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75DEA6">
      <w:pPr>
        <w:rPr>
          <w:rFonts w:hint="eastAsia" w:ascii="等线" w:hAnsi="等线" w:eastAsia="等线" w:cs="等线"/>
          <w:b/>
          <w:bCs/>
          <w:color w:val="auto"/>
          <w:sz w:val="52"/>
          <w:szCs w:val="52"/>
        </w:rPr>
      </w:pPr>
    </w:p>
    <w:p w14:paraId="5744DB3C">
      <w:pPr>
        <w:rPr>
          <w:rFonts w:hint="eastAsia" w:ascii="等线" w:hAnsi="等线" w:eastAsia="等线" w:cs="等线"/>
          <w:b/>
          <w:bCs/>
          <w:color w:val="auto"/>
          <w:sz w:val="52"/>
          <w:szCs w:val="52"/>
        </w:rPr>
      </w:pPr>
    </w:p>
    <w:p w14:paraId="079B73D4">
      <w:pPr>
        <w:rPr>
          <w:rFonts w:hint="eastAsia" w:ascii="等线" w:hAnsi="等线" w:eastAsia="等线" w:cs="等线"/>
          <w:b/>
          <w:bCs/>
          <w:color w:val="auto"/>
          <w:sz w:val="52"/>
          <w:szCs w:val="52"/>
        </w:rPr>
      </w:pPr>
    </w:p>
    <w:p w14:paraId="71B7361F">
      <w:pPr>
        <w:spacing w:line="480" w:lineRule="auto"/>
        <w:jc w:val="center"/>
        <w:rPr>
          <w:rFonts w:hint="eastAsia" w:ascii="等线" w:hAnsi="等线" w:eastAsia="等线" w:cs="等线"/>
          <w:b/>
          <w:bCs/>
          <w:color w:val="auto"/>
          <w:sz w:val="52"/>
          <w:szCs w:val="52"/>
        </w:rPr>
      </w:pPr>
      <w:r>
        <w:rPr>
          <w:rFonts w:hint="eastAsia" w:ascii="等线" w:hAnsi="等线" w:eastAsia="等线" w:cs="等线"/>
          <w:b/>
          <w:bCs/>
          <w:color w:val="auto"/>
          <w:sz w:val="52"/>
          <w:szCs w:val="52"/>
        </w:rPr>
        <w:t>小学教育专业202</w:t>
      </w:r>
      <w:r>
        <w:rPr>
          <w:rFonts w:hint="eastAsia" w:ascii="等线" w:hAnsi="等线" w:eastAsia="等线" w:cs="等线"/>
          <w:b/>
          <w:bCs/>
          <w:color w:val="auto"/>
          <w:sz w:val="52"/>
          <w:szCs w:val="52"/>
          <w:lang w:val="en-US" w:eastAsia="zh-CN"/>
        </w:rPr>
        <w:t>5</w:t>
      </w:r>
      <w:r>
        <w:rPr>
          <w:rFonts w:hint="eastAsia" w:ascii="等线" w:hAnsi="等线" w:eastAsia="等线" w:cs="等线"/>
          <w:b/>
          <w:bCs/>
          <w:color w:val="auto"/>
          <w:sz w:val="52"/>
          <w:szCs w:val="52"/>
        </w:rPr>
        <w:t>级课程教学大纲</w:t>
      </w:r>
    </w:p>
    <w:p w14:paraId="1CA4469D">
      <w:pPr>
        <w:spacing w:line="480" w:lineRule="auto"/>
        <w:jc w:val="center"/>
        <w:rPr>
          <w:rFonts w:hint="eastAsia" w:ascii="等线" w:hAnsi="等线" w:eastAsia="等线" w:cs="等线"/>
          <w:b/>
          <w:bCs/>
          <w:color w:val="auto"/>
          <w:sz w:val="44"/>
          <w:szCs w:val="44"/>
        </w:rPr>
      </w:pPr>
    </w:p>
    <w:p w14:paraId="6535B88B">
      <w:pPr>
        <w:spacing w:line="480" w:lineRule="auto"/>
        <w:jc w:val="center"/>
        <w:rPr>
          <w:rFonts w:hint="eastAsia" w:ascii="等线" w:hAnsi="等线" w:eastAsia="等线" w:cs="等线"/>
          <w:b/>
          <w:bCs/>
          <w:color w:val="auto"/>
          <w:sz w:val="44"/>
          <w:szCs w:val="44"/>
        </w:rPr>
      </w:pPr>
    </w:p>
    <w:p w14:paraId="58F59F96">
      <w:pPr>
        <w:spacing w:line="480" w:lineRule="auto"/>
        <w:jc w:val="center"/>
        <w:rPr>
          <w:rFonts w:hint="eastAsia" w:ascii="等线" w:hAnsi="等线" w:eastAsia="等线" w:cs="等线"/>
          <w:b/>
          <w:bCs/>
          <w:color w:val="auto"/>
          <w:sz w:val="44"/>
          <w:szCs w:val="44"/>
        </w:rPr>
      </w:pPr>
      <w:r>
        <w:rPr>
          <w:rFonts w:hint="eastAsia" w:ascii="等线" w:hAnsi="等线" w:eastAsia="等线" w:cs="等线"/>
          <w:b/>
          <w:bCs/>
          <w:color w:val="auto"/>
          <w:sz w:val="44"/>
          <w:szCs w:val="44"/>
        </w:rPr>
        <w:t>小学教育（理）</w:t>
      </w:r>
    </w:p>
    <w:p w14:paraId="61F81754">
      <w:pPr>
        <w:rPr>
          <w:rFonts w:hint="eastAsia" w:ascii="等线" w:hAnsi="等线" w:eastAsia="等线" w:cs="等线"/>
          <w:b/>
          <w:bCs/>
          <w:color w:val="auto"/>
          <w:sz w:val="36"/>
          <w:szCs w:val="36"/>
        </w:rPr>
      </w:pPr>
    </w:p>
    <w:p w14:paraId="05A3E98E">
      <w:pPr>
        <w:rPr>
          <w:rFonts w:hint="eastAsia" w:ascii="等线" w:hAnsi="等线" w:eastAsia="等线" w:cs="等线"/>
          <w:b/>
          <w:bCs/>
          <w:color w:val="auto"/>
          <w:sz w:val="36"/>
          <w:szCs w:val="36"/>
        </w:rPr>
      </w:pPr>
    </w:p>
    <w:p w14:paraId="7C439F9C">
      <w:pPr>
        <w:rPr>
          <w:rFonts w:hint="eastAsia" w:ascii="等线" w:hAnsi="等线" w:eastAsia="等线" w:cs="等线"/>
          <w:b/>
          <w:bCs/>
          <w:color w:val="auto"/>
          <w:sz w:val="36"/>
          <w:szCs w:val="36"/>
        </w:rPr>
      </w:pPr>
    </w:p>
    <w:p w14:paraId="494F1843">
      <w:pPr>
        <w:rPr>
          <w:rFonts w:hint="eastAsia" w:ascii="等线" w:hAnsi="等线" w:eastAsia="等线" w:cs="等线"/>
          <w:b/>
          <w:bCs/>
          <w:color w:val="auto"/>
          <w:sz w:val="36"/>
          <w:szCs w:val="36"/>
        </w:rPr>
      </w:pPr>
    </w:p>
    <w:p w14:paraId="7A628E17">
      <w:pPr>
        <w:rPr>
          <w:rFonts w:hint="eastAsia" w:ascii="等线" w:hAnsi="等线" w:eastAsia="等线" w:cs="等线"/>
          <w:b/>
          <w:bCs/>
          <w:color w:val="auto"/>
          <w:sz w:val="36"/>
          <w:szCs w:val="36"/>
        </w:rPr>
      </w:pPr>
    </w:p>
    <w:p w14:paraId="31F1FAB2">
      <w:pPr>
        <w:rPr>
          <w:rFonts w:hint="eastAsia" w:ascii="等线" w:hAnsi="等线" w:eastAsia="等线" w:cs="等线"/>
          <w:b/>
          <w:bCs/>
          <w:color w:val="auto"/>
          <w:sz w:val="36"/>
          <w:szCs w:val="36"/>
        </w:rPr>
      </w:pPr>
    </w:p>
    <w:p w14:paraId="2B2B5FB3">
      <w:pPr>
        <w:rPr>
          <w:rFonts w:hint="eastAsia" w:ascii="等线" w:hAnsi="等线" w:eastAsia="等线" w:cs="等线"/>
          <w:b/>
          <w:bCs/>
          <w:color w:val="auto"/>
          <w:sz w:val="36"/>
          <w:szCs w:val="36"/>
        </w:rPr>
      </w:pPr>
    </w:p>
    <w:p w14:paraId="22DAFCAA">
      <w:pPr>
        <w:spacing w:line="720" w:lineRule="auto"/>
        <w:jc w:val="center"/>
        <w:rPr>
          <w:rFonts w:hint="eastAsia" w:ascii="等线" w:hAnsi="等线" w:eastAsia="等线" w:cs="等线"/>
          <w:b/>
          <w:bCs/>
          <w:color w:val="auto"/>
          <w:sz w:val="36"/>
          <w:szCs w:val="36"/>
        </w:rPr>
      </w:pPr>
      <w:r>
        <w:rPr>
          <w:rFonts w:hint="eastAsia" w:ascii="等线" w:hAnsi="等线" w:eastAsia="等线" w:cs="等线"/>
          <w:b/>
          <w:bCs/>
          <w:color w:val="auto"/>
          <w:sz w:val="36"/>
          <w:szCs w:val="36"/>
        </w:rPr>
        <w:t>师范学院小学教育系</w:t>
      </w:r>
    </w:p>
    <w:p w14:paraId="23D6F4B4">
      <w:pPr>
        <w:spacing w:line="720" w:lineRule="auto"/>
        <w:jc w:val="center"/>
        <w:rPr>
          <w:rFonts w:ascii="等线" w:hAnsi="等线" w:eastAsia="等线" w:cs="等线"/>
          <w:b/>
          <w:bCs/>
          <w:color w:val="auto"/>
          <w:sz w:val="36"/>
          <w:szCs w:val="36"/>
        </w:rPr>
        <w:sectPr>
          <w:pgSz w:w="11906" w:h="16838"/>
          <w:pgMar w:top="1701" w:right="1701" w:bottom="1440" w:left="1701" w:header="851" w:footer="851" w:gutter="0"/>
          <w:pgNumType w:fmt="upperRoman" w:start="1"/>
          <w:cols w:space="425" w:num="1"/>
          <w:docGrid w:type="lines" w:linePitch="312" w:charSpace="0"/>
        </w:sectPr>
      </w:pPr>
      <w:r>
        <w:rPr>
          <w:rFonts w:hint="eastAsia" w:ascii="等线" w:hAnsi="等线" w:eastAsia="等线" w:cs="等线"/>
          <w:b/>
          <w:bCs/>
          <w:color w:val="auto"/>
          <w:sz w:val="36"/>
          <w:szCs w:val="36"/>
        </w:rPr>
        <w:t>202</w:t>
      </w:r>
      <w:r>
        <w:rPr>
          <w:rFonts w:hint="eastAsia" w:ascii="等线" w:hAnsi="等线" w:eastAsia="等线" w:cs="等线"/>
          <w:b/>
          <w:bCs/>
          <w:color w:val="auto"/>
          <w:sz w:val="36"/>
          <w:szCs w:val="36"/>
          <w:lang w:val="en-US" w:eastAsia="zh-CN"/>
        </w:rPr>
        <w:t>5</w:t>
      </w:r>
      <w:r>
        <w:rPr>
          <w:rFonts w:hint="eastAsia" w:ascii="等线" w:hAnsi="等线" w:eastAsia="等线" w:cs="等线"/>
          <w:b/>
          <w:bCs/>
          <w:color w:val="auto"/>
          <w:sz w:val="36"/>
          <w:szCs w:val="36"/>
        </w:rPr>
        <w:t>年</w:t>
      </w:r>
      <w:r>
        <w:rPr>
          <w:rFonts w:hint="eastAsia" w:ascii="等线" w:hAnsi="等线" w:eastAsia="等线" w:cs="等线"/>
          <w:b/>
          <w:bCs/>
          <w:color w:val="auto"/>
          <w:sz w:val="36"/>
          <w:szCs w:val="36"/>
          <w:lang w:val="en-US" w:eastAsia="zh-CN"/>
        </w:rPr>
        <w:t>9</w:t>
      </w:r>
      <w:r>
        <w:rPr>
          <w:rFonts w:hint="eastAsia" w:ascii="等线" w:hAnsi="等线" w:eastAsia="等线" w:cs="等线"/>
          <w:b/>
          <w:bCs/>
          <w:color w:val="auto"/>
          <w:sz w:val="36"/>
          <w:szCs w:val="36"/>
        </w:rPr>
        <w:t>月</w:t>
      </w:r>
    </w:p>
    <w:p w14:paraId="6EDE35E7">
      <w:pPr>
        <w:jc w:val="both"/>
        <w:rPr>
          <w:rFonts w:hint="eastAsia" w:ascii="等线" w:hAnsi="等线" w:eastAsia="等线" w:cs="等线"/>
          <w:b/>
          <w:bCs/>
          <w:color w:val="auto"/>
          <w:sz w:val="36"/>
          <w:szCs w:val="36"/>
        </w:rPr>
        <w:sectPr>
          <w:footerReference r:id="rId3" w:type="default"/>
          <w:pgSz w:w="11906" w:h="16838"/>
          <w:pgMar w:top="1701" w:right="1701" w:bottom="1440" w:left="1701" w:header="851" w:footer="851" w:gutter="0"/>
          <w:pgNumType w:fmt="upperRoman" w:start="1"/>
          <w:cols w:space="425" w:num="1"/>
          <w:docGrid w:type="lines" w:linePitch="312" w:charSpace="0"/>
        </w:sectPr>
      </w:pPr>
    </w:p>
    <w:sdt>
      <w:sdtPr>
        <w:rPr>
          <w:rFonts w:ascii="宋体" w:hAnsi="宋体" w:eastAsia="宋体"/>
          <w:color w:val="auto"/>
        </w:rPr>
        <w:id w:val="147466032"/>
        <w15:color w:val="DBDBDB"/>
        <w:docPartObj>
          <w:docPartGallery w:val="Table of Contents"/>
          <w:docPartUnique/>
        </w:docPartObj>
      </w:sdtPr>
      <w:sdtEndPr>
        <w:rPr>
          <w:rFonts w:ascii="宋体" w:hAnsi="宋体" w:eastAsia="宋体"/>
          <w:color w:val="auto"/>
        </w:rPr>
      </w:sdtEndPr>
      <w:sdtContent>
        <w:p w14:paraId="09C48BAD">
          <w:pPr>
            <w:spacing w:line="360" w:lineRule="auto"/>
            <w:jc w:val="center"/>
            <w:rPr>
              <w:rStyle w:val="31"/>
              <w:b/>
              <w:bCs w:val="0"/>
              <w:color w:val="auto"/>
              <w:sz w:val="36"/>
              <w:szCs w:val="36"/>
            </w:rPr>
          </w:pPr>
          <w:bookmarkStart w:id="0" w:name="_Toc57017176"/>
          <w:r>
            <w:rPr>
              <w:rStyle w:val="31"/>
              <w:b/>
              <w:bCs w:val="0"/>
              <w:color w:val="auto"/>
              <w:sz w:val="36"/>
              <w:szCs w:val="36"/>
            </w:rPr>
            <w:t>目</w:t>
          </w:r>
          <w:r>
            <w:rPr>
              <w:rStyle w:val="31"/>
              <w:rFonts w:hint="eastAsia"/>
              <w:b/>
              <w:bCs w:val="0"/>
              <w:color w:val="auto"/>
              <w:sz w:val="36"/>
              <w:szCs w:val="36"/>
              <w:lang w:val="en-US" w:eastAsia="zh-CN"/>
            </w:rPr>
            <w:t xml:space="preserve">  </w:t>
          </w:r>
          <w:r>
            <w:rPr>
              <w:rStyle w:val="31"/>
              <w:b/>
              <w:bCs w:val="0"/>
              <w:color w:val="auto"/>
              <w:sz w:val="36"/>
              <w:szCs w:val="36"/>
            </w:rPr>
            <w:t>录</w:t>
          </w:r>
        </w:p>
        <w:p w14:paraId="77854D1C">
          <w:pPr>
            <w:pStyle w:val="12"/>
            <w:tabs>
              <w:tab w:val="right" w:leader="dot" w:pos="8504"/>
              <w:tab w:val="clear" w:pos="8296"/>
            </w:tabs>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TOC \o "1-3" \h \u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_Toc9508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kern w:val="2"/>
              <w:szCs w:val="44"/>
              <w:lang w:val="en-US" w:eastAsia="zh-CN" w:bidi="ar-SA"/>
            </w:rPr>
            <w:t>《思想道德与法治》课程教学大纲</w:t>
          </w:r>
          <w:r>
            <w:tab/>
          </w:r>
          <w:r>
            <w:fldChar w:fldCharType="begin"/>
          </w:r>
          <w:r>
            <w:instrText xml:space="preserve"> PAGEREF _Toc9508 \h </w:instrText>
          </w:r>
          <w:r>
            <w:fldChar w:fldCharType="separate"/>
          </w:r>
          <w:r>
            <w:t>1</w:t>
          </w:r>
          <w:r>
            <w:fldChar w:fldCharType="end"/>
          </w:r>
          <w:r>
            <w:rPr>
              <w:rFonts w:hint="default" w:ascii="Times New Roman" w:hAnsi="Times New Roman" w:eastAsia="宋体" w:cs="Times New Roman"/>
              <w:color w:val="auto"/>
              <w:szCs w:val="21"/>
            </w:rPr>
            <w:fldChar w:fldCharType="end"/>
          </w:r>
        </w:p>
        <w:p w14:paraId="167D4005">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_Toc11170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《中国近现代史纲要》课程教学大纲</w:t>
          </w:r>
          <w:r>
            <w:tab/>
          </w:r>
          <w:r>
            <w:fldChar w:fldCharType="begin"/>
          </w:r>
          <w:r>
            <w:instrText xml:space="preserve"> PAGEREF _Toc11170 \h </w:instrText>
          </w:r>
          <w:r>
            <w:fldChar w:fldCharType="separate"/>
          </w:r>
          <w:r>
            <w:t>6</w:t>
          </w:r>
          <w:r>
            <w:fldChar w:fldCharType="end"/>
          </w:r>
          <w:r>
            <w:rPr>
              <w:rFonts w:hint="default" w:ascii="Times New Roman" w:hAnsi="Times New Roman" w:eastAsia="宋体" w:cs="Times New Roman"/>
              <w:color w:val="auto"/>
              <w:szCs w:val="21"/>
            </w:rPr>
            <w:fldChar w:fldCharType="end"/>
          </w:r>
        </w:p>
        <w:p w14:paraId="63A7C501">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_Toc18027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《马克思主义基本原理》课程教学大纲</w:t>
          </w:r>
          <w:r>
            <w:tab/>
          </w:r>
          <w:r>
            <w:fldChar w:fldCharType="begin"/>
          </w:r>
          <w:r>
            <w:instrText xml:space="preserve"> PAGEREF _Toc18027 \h </w:instrText>
          </w:r>
          <w:r>
            <w:fldChar w:fldCharType="separate"/>
          </w:r>
          <w:r>
            <w:t>11</w:t>
          </w:r>
          <w:r>
            <w:fldChar w:fldCharType="end"/>
          </w:r>
          <w:r>
            <w:rPr>
              <w:rFonts w:hint="default" w:ascii="Times New Roman" w:hAnsi="Times New Roman" w:eastAsia="宋体" w:cs="Times New Roman"/>
              <w:color w:val="auto"/>
              <w:szCs w:val="21"/>
            </w:rPr>
            <w:fldChar w:fldCharType="end"/>
          </w:r>
        </w:p>
        <w:p w14:paraId="7E0A9D18">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_Toc10164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《毛泽东思想和中国特色社会主义理论体系概论》课程教学大纲</w:t>
          </w:r>
          <w:r>
            <w:tab/>
          </w:r>
          <w:r>
            <w:fldChar w:fldCharType="begin"/>
          </w:r>
          <w:r>
            <w:instrText xml:space="preserve"> PAGEREF _Toc10164 \h </w:instrText>
          </w:r>
          <w:r>
            <w:fldChar w:fldCharType="separate"/>
          </w:r>
          <w:r>
            <w:t>16</w:t>
          </w:r>
          <w:r>
            <w:fldChar w:fldCharType="end"/>
          </w:r>
          <w:r>
            <w:rPr>
              <w:rFonts w:hint="default" w:ascii="Times New Roman" w:hAnsi="Times New Roman" w:eastAsia="宋体" w:cs="Times New Roman"/>
              <w:color w:val="auto"/>
              <w:szCs w:val="21"/>
            </w:rPr>
            <w:fldChar w:fldCharType="end"/>
          </w:r>
        </w:p>
        <w:p w14:paraId="71346AC9">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_Toc31134 </w:instrText>
          </w:r>
          <w:r>
            <w:rPr>
              <w:rFonts w:hint="default" w:ascii="Times New Roman" w:hAnsi="Times New Roman" w:eastAsia="宋体" w:cs="Times New Roman"/>
              <w:szCs w:val="21"/>
            </w:rPr>
            <w:fldChar w:fldCharType="separate"/>
          </w:r>
          <w:r>
            <w:rPr>
              <w:rFonts w:hint="eastAsia"/>
              <w:szCs w:val="28"/>
            </w:rPr>
            <w:t>《习近平新时代中国特色社会主义思想概论》</w:t>
          </w:r>
          <w:r>
            <w:rPr>
              <w:rFonts w:hint="eastAsia" w:eastAsia="宋体"/>
              <w:szCs w:val="28"/>
              <w:lang w:val="en-US" w:eastAsia="zh-CN"/>
            </w:rPr>
            <w:t>课程教学大纲</w:t>
          </w:r>
          <w:r>
            <w:tab/>
          </w:r>
          <w:r>
            <w:fldChar w:fldCharType="begin"/>
          </w:r>
          <w:r>
            <w:instrText xml:space="preserve"> PAGEREF _Toc31134 \h </w:instrText>
          </w:r>
          <w:r>
            <w:fldChar w:fldCharType="separate"/>
          </w:r>
          <w:r>
            <w:t>21</w:t>
          </w:r>
          <w:r>
            <w:fldChar w:fldCharType="end"/>
          </w:r>
          <w:r>
            <w:rPr>
              <w:rFonts w:hint="default" w:ascii="Times New Roman" w:hAnsi="Times New Roman" w:eastAsia="宋体" w:cs="Times New Roman"/>
              <w:color w:val="auto"/>
              <w:szCs w:val="21"/>
            </w:rPr>
            <w:fldChar w:fldCharType="end"/>
          </w:r>
        </w:p>
        <w:p w14:paraId="2351F2F5">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_Toc3139 </w:instrText>
          </w:r>
          <w:r>
            <w:rPr>
              <w:rFonts w:hint="default" w:ascii="Times New Roman" w:hAnsi="Times New Roman" w:eastAsia="宋体" w:cs="Times New Roman"/>
              <w:szCs w:val="21"/>
            </w:rPr>
            <w:fldChar w:fldCharType="separate"/>
          </w:r>
          <w:r>
            <w:rPr>
              <w:rFonts w:hint="eastAsia"/>
            </w:rPr>
            <w:t>《习近平总书记关于教育的重要论述研究》课程教学大纲</w:t>
          </w:r>
          <w:r>
            <w:tab/>
          </w:r>
          <w:r>
            <w:fldChar w:fldCharType="begin"/>
          </w:r>
          <w:r>
            <w:instrText xml:space="preserve"> PAGEREF _Toc3139 \h </w:instrText>
          </w:r>
          <w:r>
            <w:fldChar w:fldCharType="separate"/>
          </w:r>
          <w:r>
            <w:t>29</w:t>
          </w:r>
          <w:r>
            <w:fldChar w:fldCharType="end"/>
          </w:r>
          <w:r>
            <w:rPr>
              <w:rFonts w:hint="default" w:ascii="Times New Roman" w:hAnsi="Times New Roman" w:eastAsia="宋体" w:cs="Times New Roman"/>
              <w:color w:val="auto"/>
              <w:szCs w:val="21"/>
            </w:rPr>
            <w:fldChar w:fldCharType="end"/>
          </w:r>
        </w:p>
        <w:p w14:paraId="4904FC5A">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_Toc24891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《形势与政策》课程教学大纲</w:t>
          </w:r>
          <w:r>
            <w:tab/>
          </w:r>
          <w:r>
            <w:fldChar w:fldCharType="begin"/>
          </w:r>
          <w:r>
            <w:instrText xml:space="preserve"> PAGEREF _Toc24891 \h </w:instrText>
          </w:r>
          <w:r>
            <w:fldChar w:fldCharType="separate"/>
          </w:r>
          <w:r>
            <w:t>34</w:t>
          </w:r>
          <w:r>
            <w:fldChar w:fldCharType="end"/>
          </w:r>
          <w:r>
            <w:rPr>
              <w:rFonts w:hint="default" w:ascii="Times New Roman" w:hAnsi="Times New Roman" w:eastAsia="宋体" w:cs="Times New Roman"/>
              <w:color w:val="auto"/>
              <w:szCs w:val="21"/>
            </w:rPr>
            <w:fldChar w:fldCharType="end"/>
          </w:r>
        </w:p>
        <w:p w14:paraId="70721832">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_Toc11549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《体育I》课程教学大纲</w:t>
          </w:r>
          <w:r>
            <w:tab/>
          </w:r>
          <w:r>
            <w:fldChar w:fldCharType="begin"/>
          </w:r>
          <w:r>
            <w:instrText xml:space="preserve"> PAGEREF _Toc11549 \h </w:instrText>
          </w:r>
          <w:r>
            <w:fldChar w:fldCharType="separate"/>
          </w:r>
          <w:r>
            <w:t>37</w:t>
          </w:r>
          <w:r>
            <w:fldChar w:fldCharType="end"/>
          </w:r>
          <w:r>
            <w:rPr>
              <w:rFonts w:hint="default" w:ascii="Times New Roman" w:hAnsi="Times New Roman" w:eastAsia="宋体" w:cs="Times New Roman"/>
              <w:color w:val="auto"/>
              <w:szCs w:val="21"/>
            </w:rPr>
            <w:fldChar w:fldCharType="end"/>
          </w:r>
        </w:p>
        <w:p w14:paraId="79C17C46">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_Toc1032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《体育II》课程教学大纲</w:t>
          </w:r>
          <w:r>
            <w:tab/>
          </w:r>
          <w:r>
            <w:fldChar w:fldCharType="begin"/>
          </w:r>
          <w:r>
            <w:instrText xml:space="preserve"> PAGEREF _Toc1032 \h </w:instrText>
          </w:r>
          <w:r>
            <w:fldChar w:fldCharType="separate"/>
          </w:r>
          <w:r>
            <w:t>41</w:t>
          </w:r>
          <w:r>
            <w:fldChar w:fldCharType="end"/>
          </w:r>
          <w:r>
            <w:rPr>
              <w:rFonts w:hint="default" w:ascii="Times New Roman" w:hAnsi="Times New Roman" w:eastAsia="宋体" w:cs="Times New Roman"/>
              <w:color w:val="auto"/>
              <w:szCs w:val="21"/>
            </w:rPr>
            <w:fldChar w:fldCharType="end"/>
          </w:r>
        </w:p>
        <w:p w14:paraId="76CCA027">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_Toc16066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《体育III》课程教学大纲</w:t>
          </w:r>
          <w:r>
            <w:tab/>
          </w:r>
          <w:r>
            <w:fldChar w:fldCharType="begin"/>
          </w:r>
          <w:r>
            <w:instrText xml:space="preserve"> PAGEREF _Toc16066 \h </w:instrText>
          </w:r>
          <w:r>
            <w:fldChar w:fldCharType="separate"/>
          </w:r>
          <w:r>
            <w:t>45</w:t>
          </w:r>
          <w:r>
            <w:fldChar w:fldCharType="end"/>
          </w:r>
          <w:r>
            <w:rPr>
              <w:rFonts w:hint="default" w:ascii="Times New Roman" w:hAnsi="Times New Roman" w:eastAsia="宋体" w:cs="Times New Roman"/>
              <w:color w:val="auto"/>
              <w:szCs w:val="21"/>
            </w:rPr>
            <w:fldChar w:fldCharType="end"/>
          </w:r>
        </w:p>
        <w:p w14:paraId="54529EBA">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_Toc17045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《体育IV》课程教学大纲</w:t>
          </w:r>
          <w:r>
            <w:tab/>
          </w:r>
          <w:r>
            <w:fldChar w:fldCharType="begin"/>
          </w:r>
          <w:r>
            <w:instrText xml:space="preserve"> PAGEREF _Toc17045 \h </w:instrText>
          </w:r>
          <w:r>
            <w:fldChar w:fldCharType="separate"/>
          </w:r>
          <w:r>
            <w:t>49</w:t>
          </w:r>
          <w:r>
            <w:fldChar w:fldCharType="end"/>
          </w:r>
          <w:r>
            <w:rPr>
              <w:rFonts w:hint="default" w:ascii="Times New Roman" w:hAnsi="Times New Roman" w:eastAsia="宋体" w:cs="Times New Roman"/>
              <w:color w:val="auto"/>
              <w:szCs w:val="21"/>
            </w:rPr>
            <w:fldChar w:fldCharType="end"/>
          </w:r>
        </w:p>
        <w:p w14:paraId="1DB38C06">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_Toc964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《体育Ⅴ》课程教学大纲</w:t>
          </w:r>
          <w:r>
            <w:tab/>
          </w:r>
          <w:r>
            <w:fldChar w:fldCharType="begin"/>
          </w:r>
          <w:r>
            <w:instrText xml:space="preserve"> PAGEREF _Toc964 \h </w:instrText>
          </w:r>
          <w:r>
            <w:fldChar w:fldCharType="separate"/>
          </w:r>
          <w:r>
            <w:t>53</w:t>
          </w:r>
          <w:r>
            <w:fldChar w:fldCharType="end"/>
          </w:r>
          <w:r>
            <w:rPr>
              <w:rFonts w:hint="default" w:ascii="Times New Roman" w:hAnsi="Times New Roman" w:eastAsia="宋体" w:cs="Times New Roman"/>
              <w:color w:val="auto"/>
              <w:szCs w:val="21"/>
            </w:rPr>
            <w:fldChar w:fldCharType="end"/>
          </w:r>
        </w:p>
        <w:p w14:paraId="5BC64E09">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_Toc24621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44"/>
            </w:rPr>
            <w:t>《体育Ⅵ》课程教学大纲</w:t>
          </w:r>
          <w:r>
            <w:tab/>
          </w:r>
          <w:r>
            <w:fldChar w:fldCharType="begin"/>
          </w:r>
          <w:r>
            <w:instrText xml:space="preserve"> PAGEREF _Toc24621 \h </w:instrText>
          </w:r>
          <w:r>
            <w:fldChar w:fldCharType="separate"/>
          </w:r>
          <w:r>
            <w:t>56</w:t>
          </w:r>
          <w:r>
            <w:fldChar w:fldCharType="end"/>
          </w:r>
          <w:r>
            <w:rPr>
              <w:rFonts w:hint="default" w:ascii="Times New Roman" w:hAnsi="Times New Roman" w:eastAsia="宋体" w:cs="Times New Roman"/>
              <w:color w:val="auto"/>
              <w:szCs w:val="21"/>
            </w:rPr>
            <w:fldChar w:fldCharType="end"/>
          </w:r>
        </w:p>
        <w:p w14:paraId="29E48E3E">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_Toc6466 </w:instrText>
          </w:r>
          <w:r>
            <w:rPr>
              <w:rFonts w:hint="default" w:ascii="Times New Roman" w:hAnsi="Times New Roman" w:eastAsia="宋体" w:cs="Times New Roman"/>
              <w:szCs w:val="21"/>
            </w:rPr>
            <w:fldChar w:fldCharType="separate"/>
          </w:r>
          <w:r>
            <w:rPr>
              <w:rFonts w:hint="eastAsia"/>
            </w:rPr>
            <w:t>《大学英语A》课程教学大纲</w:t>
          </w:r>
          <w:r>
            <w:tab/>
          </w:r>
          <w:r>
            <w:fldChar w:fldCharType="begin"/>
          </w:r>
          <w:r>
            <w:instrText xml:space="preserve"> PAGEREF _Toc6466 \h </w:instrText>
          </w:r>
          <w:r>
            <w:fldChar w:fldCharType="separate"/>
          </w:r>
          <w:r>
            <w:t>59</w:t>
          </w:r>
          <w:r>
            <w:fldChar w:fldCharType="end"/>
          </w:r>
          <w:r>
            <w:rPr>
              <w:rFonts w:hint="default" w:ascii="Times New Roman" w:hAnsi="Times New Roman" w:eastAsia="宋体" w:cs="Times New Roman"/>
              <w:color w:val="auto"/>
              <w:szCs w:val="21"/>
            </w:rPr>
            <w:fldChar w:fldCharType="end"/>
          </w:r>
        </w:p>
        <w:p w14:paraId="6A689428">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_Toc14472 </w:instrText>
          </w:r>
          <w:r>
            <w:rPr>
              <w:rFonts w:hint="default" w:ascii="Times New Roman" w:hAnsi="Times New Roman" w:eastAsia="宋体" w:cs="Times New Roman"/>
              <w:szCs w:val="21"/>
            </w:rPr>
            <w:fldChar w:fldCharType="separate"/>
          </w:r>
          <w:r>
            <w:rPr>
              <w:rFonts w:hint="eastAsia" w:asciiTheme="majorHAnsi" w:hAnsiTheme="majorHAnsi" w:eastAsiaTheme="majorEastAsia" w:cstheme="majorBidi"/>
              <w:bCs/>
              <w:szCs w:val="32"/>
              <w:lang w:val="en-US" w:eastAsia="zh-CN"/>
            </w:rPr>
            <w:t>《大学英语B3》</w:t>
          </w:r>
          <w:r>
            <w:rPr>
              <w:rFonts w:hint="eastAsia" w:asciiTheme="majorHAnsi" w:hAnsiTheme="majorHAnsi" w:eastAsiaTheme="majorEastAsia" w:cstheme="majorBidi"/>
              <w:bCs/>
              <w:szCs w:val="32"/>
            </w:rPr>
            <w:t>课程教学大纲</w:t>
          </w:r>
          <w:r>
            <w:tab/>
          </w:r>
          <w:r>
            <w:fldChar w:fldCharType="begin"/>
          </w:r>
          <w:r>
            <w:instrText xml:space="preserve"> PAGEREF _Toc14472 \h </w:instrText>
          </w:r>
          <w:r>
            <w:fldChar w:fldCharType="separate"/>
          </w:r>
          <w:r>
            <w:t>65</w:t>
          </w:r>
          <w:r>
            <w:fldChar w:fldCharType="end"/>
          </w:r>
          <w:r>
            <w:rPr>
              <w:rFonts w:hint="default" w:ascii="Times New Roman" w:hAnsi="Times New Roman" w:eastAsia="宋体" w:cs="Times New Roman"/>
              <w:color w:val="auto"/>
              <w:szCs w:val="21"/>
            </w:rPr>
            <w:fldChar w:fldCharType="end"/>
          </w:r>
        </w:p>
        <w:p w14:paraId="68E8F0A8">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_Toc6872 </w:instrText>
          </w:r>
          <w:r>
            <w:rPr>
              <w:rFonts w:hint="default" w:ascii="Times New Roman" w:hAnsi="Times New Roman" w:eastAsia="宋体" w:cs="Times New Roman"/>
              <w:szCs w:val="21"/>
            </w:rPr>
            <w:fldChar w:fldCharType="separate"/>
          </w:r>
          <w:r>
            <w:rPr>
              <w:rFonts w:hint="eastAsia"/>
              <w:lang w:val="en-US" w:eastAsia="zh-CN"/>
            </w:rPr>
            <w:t>《计算机与人工智能基础C》</w:t>
          </w:r>
          <w:r>
            <w:rPr>
              <w:rFonts w:hint="eastAsia"/>
            </w:rPr>
            <w:t>课程教学大纲</w:t>
          </w:r>
          <w:r>
            <w:tab/>
          </w:r>
          <w:r>
            <w:fldChar w:fldCharType="begin"/>
          </w:r>
          <w:r>
            <w:instrText xml:space="preserve"> PAGEREF _Toc6872 \h </w:instrText>
          </w:r>
          <w:r>
            <w:fldChar w:fldCharType="separate"/>
          </w:r>
          <w:r>
            <w:t>72</w:t>
          </w:r>
          <w:r>
            <w:fldChar w:fldCharType="end"/>
          </w:r>
          <w:r>
            <w:rPr>
              <w:rFonts w:hint="default" w:ascii="Times New Roman" w:hAnsi="Times New Roman" w:eastAsia="宋体" w:cs="Times New Roman"/>
              <w:color w:val="auto"/>
              <w:szCs w:val="21"/>
            </w:rPr>
            <w:fldChar w:fldCharType="end"/>
          </w:r>
        </w:p>
        <w:p w14:paraId="3BA22B07">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_Toc5229 </w:instrText>
          </w:r>
          <w:r>
            <w:rPr>
              <w:rFonts w:hint="default" w:ascii="Times New Roman" w:hAnsi="Times New Roman" w:eastAsia="宋体" w:cs="Times New Roman"/>
              <w:szCs w:val="21"/>
            </w:rPr>
            <w:fldChar w:fldCharType="separate"/>
          </w:r>
          <w:r>
            <w:rPr>
              <w:rFonts w:hint="eastAsia"/>
            </w:rPr>
            <w:t>《专业导学》课程教学大纲</w:t>
          </w:r>
          <w:r>
            <w:tab/>
          </w:r>
          <w:r>
            <w:fldChar w:fldCharType="begin"/>
          </w:r>
          <w:r>
            <w:instrText xml:space="preserve"> PAGEREF _Toc5229 \h </w:instrText>
          </w:r>
          <w:r>
            <w:fldChar w:fldCharType="separate"/>
          </w:r>
          <w:r>
            <w:t>80</w:t>
          </w:r>
          <w:r>
            <w:fldChar w:fldCharType="end"/>
          </w:r>
          <w:r>
            <w:rPr>
              <w:rFonts w:hint="default" w:ascii="Times New Roman" w:hAnsi="Times New Roman" w:eastAsia="宋体" w:cs="Times New Roman"/>
              <w:color w:val="auto"/>
              <w:szCs w:val="21"/>
            </w:rPr>
            <w:fldChar w:fldCharType="end"/>
          </w:r>
        </w:p>
        <w:p w14:paraId="1938A845">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_Toc25423 </w:instrText>
          </w:r>
          <w:r>
            <w:rPr>
              <w:rFonts w:hint="default" w:ascii="Times New Roman" w:hAnsi="Times New Roman" w:eastAsia="宋体" w:cs="Times New Roman"/>
              <w:szCs w:val="21"/>
            </w:rPr>
            <w:fldChar w:fldCharType="separate"/>
          </w:r>
          <w:r>
            <w:rPr>
              <w:rFonts w:hint="eastAsia"/>
            </w:rPr>
            <w:t>《大学生职业生涯规划》课程教学大纲</w:t>
          </w:r>
          <w:r>
            <w:tab/>
          </w:r>
          <w:r>
            <w:fldChar w:fldCharType="begin"/>
          </w:r>
          <w:r>
            <w:instrText xml:space="preserve"> PAGEREF _Toc25423 \h </w:instrText>
          </w:r>
          <w:r>
            <w:fldChar w:fldCharType="separate"/>
          </w:r>
          <w:r>
            <w:t>84</w:t>
          </w:r>
          <w:r>
            <w:fldChar w:fldCharType="end"/>
          </w:r>
          <w:r>
            <w:rPr>
              <w:rFonts w:hint="default" w:ascii="Times New Roman" w:hAnsi="Times New Roman" w:eastAsia="宋体" w:cs="Times New Roman"/>
              <w:color w:val="auto"/>
              <w:szCs w:val="21"/>
            </w:rPr>
            <w:fldChar w:fldCharType="end"/>
          </w:r>
        </w:p>
        <w:p w14:paraId="3B60AE88">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_Toc21761 </w:instrText>
          </w:r>
          <w:r>
            <w:rPr>
              <w:rFonts w:hint="default" w:ascii="Times New Roman" w:hAnsi="Times New Roman" w:eastAsia="宋体" w:cs="Times New Roman"/>
              <w:szCs w:val="21"/>
            </w:rPr>
            <w:fldChar w:fldCharType="separate"/>
          </w:r>
          <w:r>
            <w:rPr>
              <w:rFonts w:hint="eastAsia"/>
            </w:rPr>
            <w:t>《大学生就业指导》课程教学大纲</w:t>
          </w:r>
          <w:r>
            <w:tab/>
          </w:r>
          <w:r>
            <w:fldChar w:fldCharType="begin"/>
          </w:r>
          <w:r>
            <w:instrText xml:space="preserve"> PAGEREF _Toc21761 \h </w:instrText>
          </w:r>
          <w:r>
            <w:fldChar w:fldCharType="separate"/>
          </w:r>
          <w:r>
            <w:t>89</w:t>
          </w:r>
          <w:r>
            <w:fldChar w:fldCharType="end"/>
          </w:r>
          <w:r>
            <w:rPr>
              <w:rFonts w:hint="default" w:ascii="Times New Roman" w:hAnsi="Times New Roman" w:eastAsia="宋体" w:cs="Times New Roman"/>
              <w:color w:val="auto"/>
              <w:szCs w:val="21"/>
            </w:rPr>
            <w:fldChar w:fldCharType="end"/>
          </w:r>
        </w:p>
        <w:p w14:paraId="235D790A">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_Toc9784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《大学生劳动教育》课程教学大纲</w:t>
          </w:r>
          <w:r>
            <w:tab/>
          </w:r>
          <w:r>
            <w:fldChar w:fldCharType="begin"/>
          </w:r>
          <w:r>
            <w:instrText xml:space="preserve"> PAGEREF _Toc9784 \h </w:instrText>
          </w:r>
          <w:r>
            <w:fldChar w:fldCharType="separate"/>
          </w:r>
          <w:r>
            <w:t>98</w:t>
          </w:r>
          <w:r>
            <w:fldChar w:fldCharType="end"/>
          </w:r>
          <w:r>
            <w:rPr>
              <w:rFonts w:hint="default" w:ascii="Times New Roman" w:hAnsi="Times New Roman" w:eastAsia="宋体" w:cs="Times New Roman"/>
              <w:color w:val="auto"/>
              <w:szCs w:val="21"/>
            </w:rPr>
            <w:fldChar w:fldCharType="end"/>
          </w:r>
        </w:p>
        <w:p w14:paraId="4CB87191">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_Toc1366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《大学生创新创业基础》课程教学大纲</w:t>
          </w:r>
          <w:r>
            <w:tab/>
          </w:r>
          <w:r>
            <w:fldChar w:fldCharType="begin"/>
          </w:r>
          <w:r>
            <w:instrText xml:space="preserve"> PAGEREF _Toc1366 \h </w:instrText>
          </w:r>
          <w:r>
            <w:fldChar w:fldCharType="separate"/>
          </w:r>
          <w:r>
            <w:t>104</w:t>
          </w:r>
          <w:r>
            <w:fldChar w:fldCharType="end"/>
          </w:r>
          <w:r>
            <w:rPr>
              <w:rFonts w:hint="default" w:ascii="Times New Roman" w:hAnsi="Times New Roman" w:eastAsia="宋体" w:cs="Times New Roman"/>
              <w:color w:val="auto"/>
              <w:szCs w:val="21"/>
            </w:rPr>
            <w:fldChar w:fldCharType="end"/>
          </w:r>
        </w:p>
        <w:p w14:paraId="6EF64641">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_Toc23209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《军事理论》课程教学大纲</w:t>
          </w:r>
          <w:r>
            <w:tab/>
          </w:r>
          <w:r>
            <w:fldChar w:fldCharType="begin"/>
          </w:r>
          <w:r>
            <w:instrText xml:space="preserve"> PAGEREF _Toc23209 \h </w:instrText>
          </w:r>
          <w:r>
            <w:fldChar w:fldCharType="separate"/>
          </w:r>
          <w:r>
            <w:t>111</w:t>
          </w:r>
          <w:r>
            <w:fldChar w:fldCharType="end"/>
          </w:r>
          <w:r>
            <w:rPr>
              <w:rFonts w:hint="default" w:ascii="Times New Roman" w:hAnsi="Times New Roman" w:eastAsia="宋体" w:cs="Times New Roman"/>
              <w:color w:val="auto"/>
              <w:szCs w:val="21"/>
            </w:rPr>
            <w:fldChar w:fldCharType="end"/>
          </w:r>
        </w:p>
        <w:p w14:paraId="6FC80D0F">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_Toc2289 </w:instrText>
          </w:r>
          <w:r>
            <w:rPr>
              <w:rFonts w:hint="default" w:ascii="Times New Roman" w:hAnsi="Times New Roman" w:eastAsia="宋体" w:cs="Times New Roman"/>
              <w:szCs w:val="21"/>
            </w:rPr>
            <w:fldChar w:fldCharType="separate"/>
          </w:r>
          <w:r>
            <w:rPr>
              <w:rFonts w:hint="eastAsia"/>
              <w:szCs w:val="44"/>
            </w:rPr>
            <w:t>《大学生心理健康教育》课程教学大纲</w:t>
          </w:r>
          <w:r>
            <w:tab/>
          </w:r>
          <w:r>
            <w:fldChar w:fldCharType="begin"/>
          </w:r>
          <w:r>
            <w:instrText xml:space="preserve"> PAGEREF _Toc2289 \h </w:instrText>
          </w:r>
          <w:r>
            <w:fldChar w:fldCharType="separate"/>
          </w:r>
          <w:r>
            <w:t>117</w:t>
          </w:r>
          <w:r>
            <w:fldChar w:fldCharType="end"/>
          </w:r>
          <w:r>
            <w:rPr>
              <w:rFonts w:hint="default" w:ascii="Times New Roman" w:hAnsi="Times New Roman" w:eastAsia="宋体" w:cs="Times New Roman"/>
              <w:color w:val="auto"/>
              <w:szCs w:val="21"/>
            </w:rPr>
            <w:fldChar w:fldCharType="end"/>
          </w:r>
        </w:p>
        <w:p w14:paraId="4E9B29B2">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_Toc30213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《大学生安全教育》课程教学大纲</w:t>
          </w:r>
          <w:r>
            <w:tab/>
          </w:r>
          <w:r>
            <w:fldChar w:fldCharType="begin"/>
          </w:r>
          <w:r>
            <w:instrText xml:space="preserve"> PAGEREF _Toc30213 \h </w:instrText>
          </w:r>
          <w:r>
            <w:fldChar w:fldCharType="separate"/>
          </w:r>
          <w:r>
            <w:t>126</w:t>
          </w:r>
          <w:r>
            <w:fldChar w:fldCharType="end"/>
          </w:r>
          <w:r>
            <w:rPr>
              <w:rFonts w:hint="default" w:ascii="Times New Roman" w:hAnsi="Times New Roman" w:eastAsia="宋体" w:cs="Times New Roman"/>
              <w:color w:val="auto"/>
              <w:szCs w:val="21"/>
            </w:rPr>
            <w:fldChar w:fldCharType="end"/>
          </w:r>
        </w:p>
        <w:p w14:paraId="24816C20">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_Toc32496 </w:instrText>
          </w:r>
          <w:r>
            <w:rPr>
              <w:rFonts w:hint="default" w:ascii="Times New Roman" w:hAnsi="Times New Roman" w:eastAsia="宋体" w:cs="Times New Roman"/>
              <w:szCs w:val="21"/>
            </w:rPr>
            <w:fldChar w:fldCharType="separate"/>
          </w:r>
          <w:r>
            <w:rPr>
              <w:rFonts w:hint="eastAsia" w:eastAsia="黑体"/>
              <w:bCs w:val="0"/>
              <w:lang w:eastAsia="zh-CN"/>
            </w:rPr>
            <w:t>《</w:t>
          </w:r>
          <w:r>
            <w:rPr>
              <w:rFonts w:hint="eastAsia" w:ascii="Times New Roman" w:hAnsi="Times New Roman" w:eastAsia="宋体" w:cs="Times New Roman"/>
              <w:bCs w:val="0"/>
              <w:szCs w:val="44"/>
            </w:rPr>
            <w:t>实验室</w:t>
          </w:r>
          <w:r>
            <w:rPr>
              <w:rFonts w:hint="eastAsia" w:ascii="宋体" w:hAnsi="宋体" w:eastAsia="宋体" w:cs="宋体"/>
              <w:bCs w:val="0"/>
            </w:rPr>
            <w:t>安全教育</w:t>
          </w:r>
          <w:r>
            <w:rPr>
              <w:rFonts w:hint="eastAsia" w:ascii="宋体" w:hAnsi="宋体" w:eastAsia="宋体" w:cs="宋体"/>
              <w:bCs w:val="0"/>
              <w:lang w:eastAsia="zh-CN"/>
            </w:rPr>
            <w:t>》</w:t>
          </w:r>
          <w:r>
            <w:rPr>
              <w:rFonts w:hint="eastAsia" w:ascii="宋体" w:hAnsi="宋体" w:eastAsia="宋体" w:cs="宋体"/>
              <w:bCs w:val="0"/>
            </w:rPr>
            <w:t>课程教学大纲</w:t>
          </w:r>
          <w:r>
            <w:tab/>
          </w:r>
          <w:r>
            <w:fldChar w:fldCharType="begin"/>
          </w:r>
          <w:r>
            <w:instrText xml:space="preserve"> PAGEREF _Toc32496 \h </w:instrText>
          </w:r>
          <w:r>
            <w:fldChar w:fldCharType="separate"/>
          </w:r>
          <w:r>
            <w:t>131</w:t>
          </w:r>
          <w:r>
            <w:fldChar w:fldCharType="end"/>
          </w:r>
          <w:r>
            <w:rPr>
              <w:rFonts w:hint="default" w:ascii="Times New Roman" w:hAnsi="Times New Roman" w:eastAsia="宋体" w:cs="Times New Roman"/>
              <w:color w:val="auto"/>
              <w:szCs w:val="21"/>
            </w:rPr>
            <w:fldChar w:fldCharType="end"/>
          </w:r>
        </w:p>
        <w:p w14:paraId="702F1C01">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_Toc3047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《经典阅读与学术素养》课程教学大纲</w:t>
          </w:r>
          <w:r>
            <w:tab/>
          </w:r>
          <w:r>
            <w:fldChar w:fldCharType="begin"/>
          </w:r>
          <w:r>
            <w:instrText xml:space="preserve"> PAGEREF _Toc3047 \h </w:instrText>
          </w:r>
          <w:r>
            <w:fldChar w:fldCharType="separate"/>
          </w:r>
          <w:r>
            <w:t>134</w:t>
          </w:r>
          <w:r>
            <w:fldChar w:fldCharType="end"/>
          </w:r>
          <w:r>
            <w:rPr>
              <w:rFonts w:hint="default" w:ascii="Times New Roman" w:hAnsi="Times New Roman" w:eastAsia="宋体" w:cs="Times New Roman"/>
              <w:color w:val="auto"/>
              <w:szCs w:val="21"/>
            </w:rPr>
            <w:fldChar w:fldCharType="end"/>
          </w:r>
        </w:p>
        <w:p w14:paraId="47388751">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_Toc9521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《国家安全教育》课程教学大纲</w:t>
          </w:r>
          <w:r>
            <w:tab/>
          </w:r>
          <w:r>
            <w:fldChar w:fldCharType="begin"/>
          </w:r>
          <w:r>
            <w:instrText xml:space="preserve"> PAGEREF _Toc9521 \h </w:instrText>
          </w:r>
          <w:r>
            <w:fldChar w:fldCharType="separate"/>
          </w:r>
          <w:r>
            <w:t>140</w:t>
          </w:r>
          <w:r>
            <w:fldChar w:fldCharType="end"/>
          </w:r>
          <w:r>
            <w:rPr>
              <w:rFonts w:hint="default" w:ascii="Times New Roman" w:hAnsi="Times New Roman" w:eastAsia="宋体" w:cs="Times New Roman"/>
              <w:color w:val="auto"/>
              <w:szCs w:val="21"/>
            </w:rPr>
            <w:fldChar w:fldCharType="end"/>
          </w:r>
        </w:p>
        <w:p w14:paraId="76032BD8">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_Toc2662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《书写技能》课程教学大纲</w:t>
          </w:r>
          <w:r>
            <w:tab/>
          </w:r>
          <w:r>
            <w:fldChar w:fldCharType="begin"/>
          </w:r>
          <w:r>
            <w:instrText xml:space="preserve"> PAGEREF _Toc2662 \h </w:instrText>
          </w:r>
          <w:r>
            <w:fldChar w:fldCharType="separate"/>
          </w:r>
          <w:r>
            <w:t>147</w:t>
          </w:r>
          <w:r>
            <w:fldChar w:fldCharType="end"/>
          </w:r>
          <w:r>
            <w:rPr>
              <w:rFonts w:hint="default" w:ascii="Times New Roman" w:hAnsi="Times New Roman" w:eastAsia="宋体" w:cs="Times New Roman"/>
              <w:color w:val="auto"/>
              <w:szCs w:val="21"/>
            </w:rPr>
            <w:fldChar w:fldCharType="end"/>
          </w:r>
        </w:p>
        <w:p w14:paraId="7B9436B2">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_Toc27740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《普通话训练指导》课程教学大纲</w:t>
          </w:r>
          <w:r>
            <w:tab/>
          </w:r>
          <w:r>
            <w:fldChar w:fldCharType="begin"/>
          </w:r>
          <w:r>
            <w:instrText xml:space="preserve"> PAGEREF _Toc27740 \h </w:instrText>
          </w:r>
          <w:r>
            <w:fldChar w:fldCharType="separate"/>
          </w:r>
          <w:r>
            <w:t>150</w:t>
          </w:r>
          <w:r>
            <w:fldChar w:fldCharType="end"/>
          </w:r>
          <w:r>
            <w:rPr>
              <w:rFonts w:hint="default" w:ascii="Times New Roman" w:hAnsi="Times New Roman" w:eastAsia="宋体" w:cs="Times New Roman"/>
              <w:color w:val="auto"/>
              <w:szCs w:val="21"/>
            </w:rPr>
            <w:fldChar w:fldCharType="end"/>
          </w:r>
        </w:p>
        <w:p w14:paraId="79A3B602">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_Toc21035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《小学心理学》课程教学大纲</w:t>
          </w:r>
          <w:r>
            <w:tab/>
          </w:r>
          <w:r>
            <w:fldChar w:fldCharType="begin"/>
          </w:r>
          <w:r>
            <w:instrText xml:space="preserve"> PAGEREF _Toc21035 \h </w:instrText>
          </w:r>
          <w:r>
            <w:fldChar w:fldCharType="separate"/>
          </w:r>
          <w:r>
            <w:t>155</w:t>
          </w:r>
          <w:r>
            <w:fldChar w:fldCharType="end"/>
          </w:r>
          <w:r>
            <w:rPr>
              <w:rFonts w:hint="default" w:ascii="Times New Roman" w:hAnsi="Times New Roman" w:eastAsia="宋体" w:cs="Times New Roman"/>
              <w:color w:val="auto"/>
              <w:szCs w:val="21"/>
            </w:rPr>
            <w:fldChar w:fldCharType="end"/>
          </w:r>
        </w:p>
        <w:p w14:paraId="6C8CE03E">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_Toc31837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《教育原理》课程教学大纲</w:t>
          </w:r>
          <w:r>
            <w:tab/>
          </w:r>
          <w:r>
            <w:fldChar w:fldCharType="begin"/>
          </w:r>
          <w:r>
            <w:instrText xml:space="preserve"> PAGEREF _Toc31837 \h </w:instrText>
          </w:r>
          <w:r>
            <w:fldChar w:fldCharType="separate"/>
          </w:r>
          <w:r>
            <w:t>161</w:t>
          </w:r>
          <w:r>
            <w:fldChar w:fldCharType="end"/>
          </w:r>
          <w:r>
            <w:rPr>
              <w:rFonts w:hint="default" w:ascii="Times New Roman" w:hAnsi="Times New Roman" w:eastAsia="宋体" w:cs="Times New Roman"/>
              <w:color w:val="auto"/>
              <w:szCs w:val="21"/>
            </w:rPr>
            <w:fldChar w:fldCharType="end"/>
          </w:r>
        </w:p>
        <w:p w14:paraId="1F35D393">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_Toc11991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《中国教育史》课程教学大纲</w:t>
          </w:r>
          <w:r>
            <w:tab/>
          </w:r>
          <w:r>
            <w:fldChar w:fldCharType="begin"/>
          </w:r>
          <w:r>
            <w:instrText xml:space="preserve"> PAGEREF _Toc11991 \h </w:instrText>
          </w:r>
          <w:r>
            <w:fldChar w:fldCharType="separate"/>
          </w:r>
          <w:r>
            <w:t>168</w:t>
          </w:r>
          <w:r>
            <w:fldChar w:fldCharType="end"/>
          </w:r>
          <w:r>
            <w:rPr>
              <w:rFonts w:hint="default" w:ascii="Times New Roman" w:hAnsi="Times New Roman" w:eastAsia="宋体" w:cs="Times New Roman"/>
              <w:color w:val="auto"/>
              <w:szCs w:val="21"/>
            </w:rPr>
            <w:fldChar w:fldCharType="end"/>
          </w:r>
        </w:p>
        <w:p w14:paraId="7C469595">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_Toc30825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《外国教育史》课程与教学大纲</w:t>
          </w:r>
          <w:r>
            <w:tab/>
          </w:r>
          <w:r>
            <w:fldChar w:fldCharType="begin"/>
          </w:r>
          <w:r>
            <w:instrText xml:space="preserve"> PAGEREF _Toc30825 \h </w:instrText>
          </w:r>
          <w:r>
            <w:fldChar w:fldCharType="separate"/>
          </w:r>
          <w:r>
            <w:t>175</w:t>
          </w:r>
          <w:r>
            <w:fldChar w:fldCharType="end"/>
          </w:r>
          <w:r>
            <w:rPr>
              <w:rFonts w:hint="default" w:ascii="Times New Roman" w:hAnsi="Times New Roman" w:eastAsia="宋体" w:cs="Times New Roman"/>
              <w:color w:val="auto"/>
              <w:szCs w:val="21"/>
            </w:rPr>
            <w:fldChar w:fldCharType="end"/>
          </w:r>
        </w:p>
        <w:p w14:paraId="0CED725B">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_Toc23581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《小学教育政策与法规》课程与教学大纲</w:t>
          </w:r>
          <w:r>
            <w:tab/>
          </w:r>
          <w:r>
            <w:fldChar w:fldCharType="begin"/>
          </w:r>
          <w:r>
            <w:instrText xml:space="preserve"> PAGEREF _Toc23581 \h </w:instrText>
          </w:r>
          <w:r>
            <w:fldChar w:fldCharType="separate"/>
          </w:r>
          <w:r>
            <w:t>181</w:t>
          </w:r>
          <w:r>
            <w:fldChar w:fldCharType="end"/>
          </w:r>
          <w:r>
            <w:rPr>
              <w:rFonts w:hint="default" w:ascii="Times New Roman" w:hAnsi="Times New Roman" w:eastAsia="宋体" w:cs="Times New Roman"/>
              <w:color w:val="auto"/>
              <w:szCs w:val="21"/>
            </w:rPr>
            <w:fldChar w:fldCharType="end"/>
          </w:r>
        </w:p>
        <w:p w14:paraId="761C270D">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_Toc1396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《教师职业道德》课程教学大纲</w:t>
          </w:r>
          <w:r>
            <w:tab/>
          </w:r>
          <w:r>
            <w:fldChar w:fldCharType="begin"/>
          </w:r>
          <w:r>
            <w:instrText xml:space="preserve"> PAGEREF _Toc1396 \h </w:instrText>
          </w:r>
          <w:r>
            <w:fldChar w:fldCharType="separate"/>
          </w:r>
          <w:r>
            <w:t>186</w:t>
          </w:r>
          <w:r>
            <w:fldChar w:fldCharType="end"/>
          </w:r>
          <w:r>
            <w:rPr>
              <w:rFonts w:hint="default" w:ascii="Times New Roman" w:hAnsi="Times New Roman" w:eastAsia="宋体" w:cs="Times New Roman"/>
              <w:color w:val="auto"/>
              <w:szCs w:val="21"/>
            </w:rPr>
            <w:fldChar w:fldCharType="end"/>
          </w:r>
        </w:p>
        <w:p w14:paraId="6FF8EA9D">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_Toc25741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《课程与教学论》课程教学大纲</w:t>
          </w:r>
          <w:r>
            <w:tab/>
          </w:r>
          <w:r>
            <w:fldChar w:fldCharType="begin"/>
          </w:r>
          <w:r>
            <w:instrText xml:space="preserve"> PAGEREF _Toc25741 \h </w:instrText>
          </w:r>
          <w:r>
            <w:fldChar w:fldCharType="separate"/>
          </w:r>
          <w:r>
            <w:t>191</w:t>
          </w:r>
          <w:r>
            <w:fldChar w:fldCharType="end"/>
          </w:r>
          <w:r>
            <w:rPr>
              <w:rFonts w:hint="default" w:ascii="Times New Roman" w:hAnsi="Times New Roman" w:eastAsia="宋体" w:cs="Times New Roman"/>
              <w:color w:val="auto"/>
              <w:szCs w:val="21"/>
            </w:rPr>
            <w:fldChar w:fldCharType="end"/>
          </w:r>
        </w:p>
        <w:p w14:paraId="7628C05C">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_Toc30585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《教育心理学》课程教学大纲</w:t>
          </w:r>
          <w:r>
            <w:tab/>
          </w:r>
          <w:r>
            <w:fldChar w:fldCharType="begin"/>
          </w:r>
          <w:r>
            <w:instrText xml:space="preserve"> PAGEREF _Toc30585 \h </w:instrText>
          </w:r>
          <w:r>
            <w:fldChar w:fldCharType="separate"/>
          </w:r>
          <w:r>
            <w:t>199</w:t>
          </w:r>
          <w:r>
            <w:fldChar w:fldCharType="end"/>
          </w:r>
          <w:r>
            <w:rPr>
              <w:rFonts w:hint="default" w:ascii="Times New Roman" w:hAnsi="Times New Roman" w:eastAsia="宋体" w:cs="Times New Roman"/>
              <w:color w:val="auto"/>
              <w:szCs w:val="21"/>
            </w:rPr>
            <w:fldChar w:fldCharType="end"/>
          </w:r>
        </w:p>
        <w:p w14:paraId="572C0963">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_Toc32712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《现代教育技术》课程教学大纲</w:t>
          </w:r>
          <w:r>
            <w:tab/>
          </w:r>
          <w:r>
            <w:fldChar w:fldCharType="begin"/>
          </w:r>
          <w:r>
            <w:instrText xml:space="preserve"> PAGEREF _Toc32712 \h </w:instrText>
          </w:r>
          <w:r>
            <w:fldChar w:fldCharType="separate"/>
          </w:r>
          <w:r>
            <w:t>205</w:t>
          </w:r>
          <w:r>
            <w:fldChar w:fldCharType="end"/>
          </w:r>
          <w:r>
            <w:rPr>
              <w:rFonts w:hint="default" w:ascii="Times New Roman" w:hAnsi="Times New Roman" w:eastAsia="宋体" w:cs="Times New Roman"/>
              <w:color w:val="auto"/>
              <w:szCs w:val="21"/>
            </w:rPr>
            <w:fldChar w:fldCharType="end"/>
          </w:r>
        </w:p>
        <w:p w14:paraId="2461A8F8">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_Toc29587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《教育科学研究方法》课程教学大纲</w:t>
          </w:r>
          <w:r>
            <w:tab/>
          </w:r>
          <w:r>
            <w:fldChar w:fldCharType="begin"/>
          </w:r>
          <w:r>
            <w:instrText xml:space="preserve"> PAGEREF _Toc29587 \h </w:instrText>
          </w:r>
          <w:r>
            <w:fldChar w:fldCharType="separate"/>
          </w:r>
          <w:r>
            <w:t>211</w:t>
          </w:r>
          <w:r>
            <w:fldChar w:fldCharType="end"/>
          </w:r>
          <w:r>
            <w:rPr>
              <w:rFonts w:hint="default" w:ascii="Times New Roman" w:hAnsi="Times New Roman" w:eastAsia="宋体" w:cs="Times New Roman"/>
              <w:color w:val="auto"/>
              <w:szCs w:val="21"/>
            </w:rPr>
            <w:fldChar w:fldCharType="end"/>
          </w:r>
        </w:p>
        <w:p w14:paraId="6CAB698D">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_Toc16958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《小学班队管理》课程教学大纲</w:t>
          </w:r>
          <w:r>
            <w:tab/>
          </w:r>
          <w:r>
            <w:fldChar w:fldCharType="begin"/>
          </w:r>
          <w:r>
            <w:instrText xml:space="preserve"> PAGEREF _Toc16958 \h </w:instrText>
          </w:r>
          <w:r>
            <w:fldChar w:fldCharType="separate"/>
          </w:r>
          <w:r>
            <w:t>219</w:t>
          </w:r>
          <w:r>
            <w:fldChar w:fldCharType="end"/>
          </w:r>
          <w:r>
            <w:rPr>
              <w:rFonts w:hint="default" w:ascii="Times New Roman" w:hAnsi="Times New Roman" w:eastAsia="宋体" w:cs="Times New Roman"/>
              <w:color w:val="auto"/>
              <w:szCs w:val="21"/>
            </w:rPr>
            <w:fldChar w:fldCharType="end"/>
          </w:r>
        </w:p>
        <w:p w14:paraId="011E5585">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_Toc10119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《教师口语与礼仪》课程教学大纲</w:t>
          </w:r>
          <w:r>
            <w:tab/>
          </w:r>
          <w:r>
            <w:fldChar w:fldCharType="begin"/>
          </w:r>
          <w:r>
            <w:instrText xml:space="preserve"> PAGEREF _Toc10119 \h </w:instrText>
          </w:r>
          <w:r>
            <w:fldChar w:fldCharType="separate"/>
          </w:r>
          <w:r>
            <w:t>225</w:t>
          </w:r>
          <w:r>
            <w:fldChar w:fldCharType="end"/>
          </w:r>
          <w:r>
            <w:rPr>
              <w:rFonts w:hint="default" w:ascii="Times New Roman" w:hAnsi="Times New Roman" w:eastAsia="宋体" w:cs="Times New Roman"/>
              <w:color w:val="auto"/>
              <w:szCs w:val="21"/>
            </w:rPr>
            <w:fldChar w:fldCharType="end"/>
          </w:r>
        </w:p>
        <w:p w14:paraId="1D708598">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_Toc21889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《教育统计与测量》课程教学大纲</w:t>
          </w:r>
          <w:r>
            <w:tab/>
          </w:r>
          <w:r>
            <w:fldChar w:fldCharType="begin"/>
          </w:r>
          <w:r>
            <w:instrText xml:space="preserve"> PAGEREF _Toc21889 \h </w:instrText>
          </w:r>
          <w:r>
            <w:fldChar w:fldCharType="separate"/>
          </w:r>
          <w:r>
            <w:t>231</w:t>
          </w:r>
          <w:r>
            <w:fldChar w:fldCharType="end"/>
          </w:r>
          <w:r>
            <w:rPr>
              <w:rFonts w:hint="default" w:ascii="Times New Roman" w:hAnsi="Times New Roman" w:eastAsia="宋体" w:cs="Times New Roman"/>
              <w:color w:val="auto"/>
              <w:szCs w:val="21"/>
            </w:rPr>
            <w:fldChar w:fldCharType="end"/>
          </w:r>
        </w:p>
        <w:p w14:paraId="5D6D7182">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_Toc32000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《中外基础教育改革热点》课程教学大纲</w:t>
          </w:r>
          <w:r>
            <w:tab/>
          </w:r>
          <w:r>
            <w:fldChar w:fldCharType="begin"/>
          </w:r>
          <w:r>
            <w:instrText xml:space="preserve"> PAGEREF _Toc32000 \h </w:instrText>
          </w:r>
          <w:r>
            <w:fldChar w:fldCharType="separate"/>
          </w:r>
          <w:r>
            <w:t>236</w:t>
          </w:r>
          <w:r>
            <w:fldChar w:fldCharType="end"/>
          </w:r>
          <w:r>
            <w:rPr>
              <w:rFonts w:hint="default" w:ascii="Times New Roman" w:hAnsi="Times New Roman" w:eastAsia="宋体" w:cs="Times New Roman"/>
              <w:color w:val="auto"/>
              <w:szCs w:val="21"/>
            </w:rPr>
            <w:fldChar w:fldCharType="end"/>
          </w:r>
        </w:p>
        <w:p w14:paraId="792C8B2A">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_Toc20843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《教育哲学》课程教学大纲</w:t>
          </w:r>
          <w:r>
            <w:tab/>
          </w:r>
          <w:r>
            <w:fldChar w:fldCharType="begin"/>
          </w:r>
          <w:r>
            <w:instrText xml:space="preserve"> PAGEREF _Toc20843 \h </w:instrText>
          </w:r>
          <w:r>
            <w:fldChar w:fldCharType="separate"/>
          </w:r>
          <w:r>
            <w:t>240</w:t>
          </w:r>
          <w:r>
            <w:fldChar w:fldCharType="end"/>
          </w:r>
          <w:r>
            <w:rPr>
              <w:rFonts w:hint="default" w:ascii="Times New Roman" w:hAnsi="Times New Roman" w:eastAsia="宋体" w:cs="Times New Roman"/>
              <w:color w:val="auto"/>
              <w:szCs w:val="21"/>
            </w:rPr>
            <w:fldChar w:fldCharType="end"/>
          </w:r>
        </w:p>
        <w:p w14:paraId="208EB5DB">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_Toc5609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《教育社会学》课程与教学大纲</w:t>
          </w:r>
          <w:r>
            <w:tab/>
          </w:r>
          <w:r>
            <w:fldChar w:fldCharType="begin"/>
          </w:r>
          <w:r>
            <w:instrText xml:space="preserve"> PAGEREF _Toc5609 \h </w:instrText>
          </w:r>
          <w:r>
            <w:fldChar w:fldCharType="separate"/>
          </w:r>
          <w:r>
            <w:t>248</w:t>
          </w:r>
          <w:r>
            <w:fldChar w:fldCharType="end"/>
          </w:r>
          <w:r>
            <w:rPr>
              <w:rFonts w:hint="default" w:ascii="Times New Roman" w:hAnsi="Times New Roman" w:eastAsia="宋体" w:cs="Times New Roman"/>
              <w:color w:val="auto"/>
              <w:szCs w:val="21"/>
            </w:rPr>
            <w:fldChar w:fldCharType="end"/>
          </w:r>
        </w:p>
        <w:p w14:paraId="2F6D5439">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_Toc23522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《家校社协同育人》课程教学大纲</w:t>
          </w:r>
          <w:r>
            <w:tab/>
          </w:r>
          <w:r>
            <w:fldChar w:fldCharType="begin"/>
          </w:r>
          <w:r>
            <w:instrText xml:space="preserve"> PAGEREF _Toc23522 \h </w:instrText>
          </w:r>
          <w:r>
            <w:fldChar w:fldCharType="separate"/>
          </w:r>
          <w:r>
            <w:t>254</w:t>
          </w:r>
          <w:r>
            <w:fldChar w:fldCharType="end"/>
          </w:r>
          <w:r>
            <w:rPr>
              <w:rFonts w:hint="default" w:ascii="Times New Roman" w:hAnsi="Times New Roman" w:eastAsia="宋体" w:cs="Times New Roman"/>
              <w:color w:val="auto"/>
              <w:szCs w:val="21"/>
            </w:rPr>
            <w:fldChar w:fldCharType="end"/>
          </w:r>
        </w:p>
        <w:p w14:paraId="0CF7D1A7">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_Toc1416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《中外教育名著导读》课程教学大纲</w:t>
          </w:r>
          <w:r>
            <w:tab/>
          </w:r>
          <w:r>
            <w:fldChar w:fldCharType="begin"/>
          </w:r>
          <w:r>
            <w:instrText xml:space="preserve"> PAGEREF _Toc1416 \h </w:instrText>
          </w:r>
          <w:r>
            <w:fldChar w:fldCharType="separate"/>
          </w:r>
          <w:r>
            <w:t>259</w:t>
          </w:r>
          <w:r>
            <w:fldChar w:fldCharType="end"/>
          </w:r>
          <w:r>
            <w:rPr>
              <w:rFonts w:hint="default" w:ascii="Times New Roman" w:hAnsi="Times New Roman" w:eastAsia="宋体" w:cs="Times New Roman"/>
              <w:color w:val="auto"/>
              <w:szCs w:val="21"/>
            </w:rPr>
            <w:fldChar w:fldCharType="end"/>
          </w:r>
        </w:p>
        <w:p w14:paraId="1561EE67">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_Toc13329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《课堂观察与模拟教学》课程教学大纲</w:t>
          </w:r>
          <w:r>
            <w:tab/>
          </w:r>
          <w:r>
            <w:fldChar w:fldCharType="begin"/>
          </w:r>
          <w:r>
            <w:instrText xml:space="preserve"> PAGEREF _Toc13329 \h </w:instrText>
          </w:r>
          <w:r>
            <w:fldChar w:fldCharType="separate"/>
          </w:r>
          <w:r>
            <w:t>263</w:t>
          </w:r>
          <w:r>
            <w:fldChar w:fldCharType="end"/>
          </w:r>
          <w:r>
            <w:rPr>
              <w:rFonts w:hint="default" w:ascii="Times New Roman" w:hAnsi="Times New Roman" w:eastAsia="宋体" w:cs="Times New Roman"/>
              <w:color w:val="auto"/>
              <w:szCs w:val="21"/>
            </w:rPr>
            <w:fldChar w:fldCharType="end"/>
          </w:r>
        </w:p>
        <w:p w14:paraId="39104C3A">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_Toc2935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《校本课程开发》课程教学大纲</w:t>
          </w:r>
          <w:r>
            <w:tab/>
          </w:r>
          <w:r>
            <w:fldChar w:fldCharType="begin"/>
          </w:r>
          <w:r>
            <w:instrText xml:space="preserve"> PAGEREF _Toc2935 \h </w:instrText>
          </w:r>
          <w:r>
            <w:fldChar w:fldCharType="separate"/>
          </w:r>
          <w:r>
            <w:t>268</w:t>
          </w:r>
          <w:r>
            <w:fldChar w:fldCharType="end"/>
          </w:r>
          <w:r>
            <w:rPr>
              <w:rFonts w:hint="default" w:ascii="Times New Roman" w:hAnsi="Times New Roman" w:eastAsia="宋体" w:cs="Times New Roman"/>
              <w:color w:val="auto"/>
              <w:szCs w:val="21"/>
            </w:rPr>
            <w:fldChar w:fldCharType="end"/>
          </w:r>
        </w:p>
        <w:p w14:paraId="1D53703B">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_Toc27635 </w:instrText>
          </w:r>
          <w:r>
            <w:rPr>
              <w:rFonts w:hint="default" w:ascii="Times New Roman" w:hAnsi="Times New Roman" w:eastAsia="宋体" w:cs="Times New Roman"/>
              <w:szCs w:val="21"/>
            </w:rPr>
            <w:fldChar w:fldCharType="separate"/>
          </w:r>
          <w:r>
            <w:rPr>
              <w:rFonts w:hint="eastAsia"/>
            </w:rPr>
            <w:t>《小学生心理辅导》课程教学大纲</w:t>
          </w:r>
          <w:r>
            <w:tab/>
          </w:r>
          <w:r>
            <w:fldChar w:fldCharType="begin"/>
          </w:r>
          <w:r>
            <w:instrText xml:space="preserve"> PAGEREF _Toc27635 \h </w:instrText>
          </w:r>
          <w:r>
            <w:fldChar w:fldCharType="separate"/>
          </w:r>
          <w:r>
            <w:t>274</w:t>
          </w:r>
          <w:r>
            <w:fldChar w:fldCharType="end"/>
          </w:r>
          <w:r>
            <w:rPr>
              <w:rFonts w:hint="default" w:ascii="Times New Roman" w:hAnsi="Times New Roman" w:eastAsia="宋体" w:cs="Times New Roman"/>
              <w:color w:val="auto"/>
              <w:szCs w:val="21"/>
            </w:rPr>
            <w:fldChar w:fldCharType="end"/>
          </w:r>
        </w:p>
        <w:p w14:paraId="187F296D">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_Toc10081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《小学跨学科学习》课程教学大纲</w:t>
          </w:r>
          <w:r>
            <w:tab/>
          </w:r>
          <w:r>
            <w:fldChar w:fldCharType="begin"/>
          </w:r>
          <w:r>
            <w:instrText xml:space="preserve"> PAGEREF _Toc10081 \h </w:instrText>
          </w:r>
          <w:r>
            <w:fldChar w:fldCharType="separate"/>
          </w:r>
          <w:r>
            <w:t>281</w:t>
          </w:r>
          <w:r>
            <w:fldChar w:fldCharType="end"/>
          </w:r>
          <w:r>
            <w:rPr>
              <w:rFonts w:hint="default" w:ascii="Times New Roman" w:hAnsi="Times New Roman" w:eastAsia="宋体" w:cs="Times New Roman"/>
              <w:color w:val="auto"/>
              <w:szCs w:val="21"/>
            </w:rPr>
            <w:fldChar w:fldCharType="end"/>
          </w:r>
        </w:p>
        <w:p w14:paraId="2DA5DDCD">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_Toc27554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《教育论文写作》课程教学大纲</w:t>
          </w:r>
          <w:r>
            <w:tab/>
          </w:r>
          <w:r>
            <w:fldChar w:fldCharType="begin"/>
          </w:r>
          <w:r>
            <w:instrText xml:space="preserve"> PAGEREF _Toc27554 \h </w:instrText>
          </w:r>
          <w:r>
            <w:fldChar w:fldCharType="separate"/>
          </w:r>
          <w:r>
            <w:t>285</w:t>
          </w:r>
          <w:r>
            <w:fldChar w:fldCharType="end"/>
          </w:r>
          <w:r>
            <w:rPr>
              <w:rFonts w:hint="default" w:ascii="Times New Roman" w:hAnsi="Times New Roman" w:eastAsia="宋体" w:cs="Times New Roman"/>
              <w:color w:val="auto"/>
              <w:szCs w:val="21"/>
            </w:rPr>
            <w:fldChar w:fldCharType="end"/>
          </w:r>
        </w:p>
        <w:p w14:paraId="4E68907F">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_Toc21421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《数学分析I》课程教学大纲</w:t>
          </w:r>
          <w:r>
            <w:tab/>
          </w:r>
          <w:r>
            <w:fldChar w:fldCharType="begin"/>
          </w:r>
          <w:r>
            <w:instrText xml:space="preserve"> PAGEREF _Toc21421 \h </w:instrText>
          </w:r>
          <w:r>
            <w:fldChar w:fldCharType="separate"/>
          </w:r>
          <w:r>
            <w:t>291</w:t>
          </w:r>
          <w:r>
            <w:fldChar w:fldCharType="end"/>
          </w:r>
          <w:r>
            <w:rPr>
              <w:rFonts w:hint="default" w:ascii="Times New Roman" w:hAnsi="Times New Roman" w:eastAsia="宋体" w:cs="Times New Roman"/>
              <w:color w:val="auto"/>
              <w:szCs w:val="21"/>
            </w:rPr>
            <w:fldChar w:fldCharType="end"/>
          </w:r>
        </w:p>
        <w:p w14:paraId="1FFE38B9">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_Toc29652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《数学分析II》课程教学大纲</w:t>
          </w:r>
          <w:r>
            <w:tab/>
          </w:r>
          <w:r>
            <w:fldChar w:fldCharType="begin"/>
          </w:r>
          <w:r>
            <w:instrText xml:space="preserve"> PAGEREF _Toc29652 \h </w:instrText>
          </w:r>
          <w:r>
            <w:fldChar w:fldCharType="separate"/>
          </w:r>
          <w:r>
            <w:t>295</w:t>
          </w:r>
          <w:r>
            <w:fldChar w:fldCharType="end"/>
          </w:r>
          <w:r>
            <w:rPr>
              <w:rFonts w:hint="default" w:ascii="Times New Roman" w:hAnsi="Times New Roman" w:eastAsia="宋体" w:cs="Times New Roman"/>
              <w:color w:val="auto"/>
              <w:szCs w:val="21"/>
            </w:rPr>
            <w:fldChar w:fldCharType="end"/>
          </w:r>
        </w:p>
        <w:p w14:paraId="73901FA0">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_Toc26237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《空间解析几何》课程教学大纲</w:t>
          </w:r>
          <w:r>
            <w:tab/>
          </w:r>
          <w:r>
            <w:fldChar w:fldCharType="begin"/>
          </w:r>
          <w:r>
            <w:instrText xml:space="preserve"> PAGEREF _Toc26237 \h </w:instrText>
          </w:r>
          <w:r>
            <w:fldChar w:fldCharType="separate"/>
          </w:r>
          <w:r>
            <w:t>299</w:t>
          </w:r>
          <w:r>
            <w:fldChar w:fldCharType="end"/>
          </w:r>
          <w:r>
            <w:rPr>
              <w:rFonts w:hint="default" w:ascii="Times New Roman" w:hAnsi="Times New Roman" w:eastAsia="宋体" w:cs="Times New Roman"/>
              <w:color w:val="auto"/>
              <w:szCs w:val="21"/>
            </w:rPr>
            <w:fldChar w:fldCharType="end"/>
          </w:r>
        </w:p>
        <w:p w14:paraId="64BB63B5">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_Toc16729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《高等代数I》课程教学大纲</w:t>
          </w:r>
          <w:r>
            <w:tab/>
          </w:r>
          <w:r>
            <w:fldChar w:fldCharType="begin"/>
          </w:r>
          <w:r>
            <w:instrText xml:space="preserve"> PAGEREF _Toc16729 \h </w:instrText>
          </w:r>
          <w:r>
            <w:fldChar w:fldCharType="separate"/>
          </w:r>
          <w:r>
            <w:t>303</w:t>
          </w:r>
          <w:r>
            <w:fldChar w:fldCharType="end"/>
          </w:r>
          <w:r>
            <w:rPr>
              <w:rFonts w:hint="default" w:ascii="Times New Roman" w:hAnsi="Times New Roman" w:eastAsia="宋体" w:cs="Times New Roman"/>
              <w:color w:val="auto"/>
              <w:szCs w:val="21"/>
            </w:rPr>
            <w:fldChar w:fldCharType="end"/>
          </w:r>
        </w:p>
        <w:p w14:paraId="373A20A9">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_Toc21420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《高等代数II》课程教学大纲</w:t>
          </w:r>
          <w:r>
            <w:tab/>
          </w:r>
          <w:r>
            <w:fldChar w:fldCharType="begin"/>
          </w:r>
          <w:r>
            <w:instrText xml:space="preserve"> PAGEREF _Toc21420 \h </w:instrText>
          </w:r>
          <w:r>
            <w:fldChar w:fldCharType="separate"/>
          </w:r>
          <w:r>
            <w:t>307</w:t>
          </w:r>
          <w:r>
            <w:fldChar w:fldCharType="end"/>
          </w:r>
          <w:r>
            <w:rPr>
              <w:rFonts w:hint="default" w:ascii="Times New Roman" w:hAnsi="Times New Roman" w:eastAsia="宋体" w:cs="Times New Roman"/>
              <w:color w:val="auto"/>
              <w:szCs w:val="21"/>
            </w:rPr>
            <w:fldChar w:fldCharType="end"/>
          </w:r>
        </w:p>
        <w:p w14:paraId="38A2FAAB">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_Toc16813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《概率与统计》课程教学大纲</w:t>
          </w:r>
          <w:r>
            <w:tab/>
          </w:r>
          <w:r>
            <w:fldChar w:fldCharType="begin"/>
          </w:r>
          <w:r>
            <w:instrText xml:space="preserve"> PAGEREF _Toc16813 \h </w:instrText>
          </w:r>
          <w:r>
            <w:fldChar w:fldCharType="separate"/>
          </w:r>
          <w:r>
            <w:t>312</w:t>
          </w:r>
          <w:r>
            <w:fldChar w:fldCharType="end"/>
          </w:r>
          <w:r>
            <w:rPr>
              <w:rFonts w:hint="default" w:ascii="Times New Roman" w:hAnsi="Times New Roman" w:eastAsia="宋体" w:cs="Times New Roman"/>
              <w:color w:val="auto"/>
              <w:szCs w:val="21"/>
            </w:rPr>
            <w:fldChar w:fldCharType="end"/>
          </w:r>
        </w:p>
        <w:p w14:paraId="1D26BE1B">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_Toc8110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《初等数论》课程教学大纲</w:t>
          </w:r>
          <w:r>
            <w:tab/>
          </w:r>
          <w:r>
            <w:fldChar w:fldCharType="begin"/>
          </w:r>
          <w:r>
            <w:instrText xml:space="preserve"> PAGEREF _Toc8110 \h </w:instrText>
          </w:r>
          <w:r>
            <w:fldChar w:fldCharType="separate"/>
          </w:r>
          <w:r>
            <w:t>318</w:t>
          </w:r>
          <w:r>
            <w:fldChar w:fldCharType="end"/>
          </w:r>
          <w:r>
            <w:rPr>
              <w:rFonts w:hint="default" w:ascii="Times New Roman" w:hAnsi="Times New Roman" w:eastAsia="宋体" w:cs="Times New Roman"/>
              <w:color w:val="auto"/>
              <w:szCs w:val="21"/>
            </w:rPr>
            <w:fldChar w:fldCharType="end"/>
          </w:r>
        </w:p>
        <w:p w14:paraId="211BC12A">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_Toc2251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《数学思想方法》课程教学大纲</w:t>
          </w:r>
          <w:r>
            <w:tab/>
          </w:r>
          <w:r>
            <w:fldChar w:fldCharType="begin"/>
          </w:r>
          <w:r>
            <w:instrText xml:space="preserve"> PAGEREF _Toc2251 \h </w:instrText>
          </w:r>
          <w:r>
            <w:fldChar w:fldCharType="separate"/>
          </w:r>
          <w:r>
            <w:t>322</w:t>
          </w:r>
          <w:r>
            <w:fldChar w:fldCharType="end"/>
          </w:r>
          <w:r>
            <w:rPr>
              <w:rFonts w:hint="default" w:ascii="Times New Roman" w:hAnsi="Times New Roman" w:eastAsia="宋体" w:cs="Times New Roman"/>
              <w:color w:val="auto"/>
              <w:szCs w:val="21"/>
            </w:rPr>
            <w:fldChar w:fldCharType="end"/>
          </w:r>
        </w:p>
        <w:p w14:paraId="2AF9B743">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_Toc4737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0"/>
            </w:rPr>
            <w:t>《小学数学课程标准与教材分析》课程教学大纲</w:t>
          </w:r>
          <w:r>
            <w:tab/>
          </w:r>
          <w:r>
            <w:fldChar w:fldCharType="begin"/>
          </w:r>
          <w:r>
            <w:instrText xml:space="preserve"> PAGEREF _Toc4737 \h </w:instrText>
          </w:r>
          <w:r>
            <w:fldChar w:fldCharType="separate"/>
          </w:r>
          <w:r>
            <w:t>327</w:t>
          </w:r>
          <w:r>
            <w:fldChar w:fldCharType="end"/>
          </w:r>
          <w:r>
            <w:rPr>
              <w:rFonts w:hint="default" w:ascii="Times New Roman" w:hAnsi="Times New Roman" w:eastAsia="宋体" w:cs="Times New Roman"/>
              <w:color w:val="auto"/>
              <w:szCs w:val="21"/>
            </w:rPr>
            <w:fldChar w:fldCharType="end"/>
          </w:r>
        </w:p>
        <w:p w14:paraId="6C40A192">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_Toc31463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《小学数学教学设计与实施》课程教学大纲</w:t>
          </w:r>
          <w:r>
            <w:tab/>
          </w:r>
          <w:r>
            <w:fldChar w:fldCharType="begin"/>
          </w:r>
          <w:r>
            <w:instrText xml:space="preserve"> PAGEREF _Toc31463 \h </w:instrText>
          </w:r>
          <w:r>
            <w:fldChar w:fldCharType="separate"/>
          </w:r>
          <w:r>
            <w:t>333</w:t>
          </w:r>
          <w:r>
            <w:fldChar w:fldCharType="end"/>
          </w:r>
          <w:r>
            <w:rPr>
              <w:rFonts w:hint="default" w:ascii="Times New Roman" w:hAnsi="Times New Roman" w:eastAsia="宋体" w:cs="Times New Roman"/>
              <w:color w:val="auto"/>
              <w:szCs w:val="21"/>
            </w:rPr>
            <w:fldChar w:fldCharType="end"/>
          </w:r>
        </w:p>
        <w:p w14:paraId="46DB5C65">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_Toc29454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《社会统计软件》课程教学大纲</w:t>
          </w:r>
          <w:r>
            <w:tab/>
          </w:r>
          <w:r>
            <w:fldChar w:fldCharType="begin"/>
          </w:r>
          <w:r>
            <w:instrText xml:space="preserve"> PAGEREF _Toc29454 \h </w:instrText>
          </w:r>
          <w:r>
            <w:fldChar w:fldCharType="separate"/>
          </w:r>
          <w:r>
            <w:t>339</w:t>
          </w:r>
          <w:r>
            <w:fldChar w:fldCharType="end"/>
          </w:r>
          <w:r>
            <w:rPr>
              <w:rFonts w:hint="default" w:ascii="Times New Roman" w:hAnsi="Times New Roman" w:eastAsia="宋体" w:cs="Times New Roman"/>
              <w:color w:val="auto"/>
              <w:szCs w:val="21"/>
            </w:rPr>
            <w:fldChar w:fldCharType="end"/>
          </w:r>
        </w:p>
        <w:p w14:paraId="69FFEFA7">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_Toc28864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《科学概论》课程教学大纲</w:t>
          </w:r>
          <w:r>
            <w:tab/>
          </w:r>
          <w:r>
            <w:fldChar w:fldCharType="begin"/>
          </w:r>
          <w:r>
            <w:instrText xml:space="preserve"> PAGEREF _Toc28864 \h </w:instrText>
          </w:r>
          <w:r>
            <w:fldChar w:fldCharType="separate"/>
          </w:r>
          <w:r>
            <w:t>344</w:t>
          </w:r>
          <w:r>
            <w:fldChar w:fldCharType="end"/>
          </w:r>
          <w:r>
            <w:rPr>
              <w:rFonts w:hint="default" w:ascii="Times New Roman" w:hAnsi="Times New Roman" w:eastAsia="宋体" w:cs="Times New Roman"/>
              <w:color w:val="auto"/>
              <w:szCs w:val="21"/>
            </w:rPr>
            <w:fldChar w:fldCharType="end"/>
          </w:r>
        </w:p>
        <w:p w14:paraId="687A3CA4">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_Toc5802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《美术基础》课程教学大纲</w:t>
          </w:r>
          <w:r>
            <w:tab/>
          </w:r>
          <w:r>
            <w:fldChar w:fldCharType="begin"/>
          </w:r>
          <w:r>
            <w:instrText xml:space="preserve"> PAGEREF _Toc5802 \h </w:instrText>
          </w:r>
          <w:r>
            <w:fldChar w:fldCharType="separate"/>
          </w:r>
          <w:r>
            <w:t>349</w:t>
          </w:r>
          <w:r>
            <w:fldChar w:fldCharType="end"/>
          </w:r>
          <w:r>
            <w:rPr>
              <w:rFonts w:hint="default" w:ascii="Times New Roman" w:hAnsi="Times New Roman" w:eastAsia="宋体" w:cs="Times New Roman"/>
              <w:color w:val="auto"/>
              <w:szCs w:val="21"/>
            </w:rPr>
            <w:fldChar w:fldCharType="end"/>
          </w:r>
        </w:p>
        <w:p w14:paraId="7F5644ED">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_Toc5021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《音乐基础》课程教学大纲</w:t>
          </w:r>
          <w:r>
            <w:tab/>
          </w:r>
          <w:r>
            <w:fldChar w:fldCharType="begin"/>
          </w:r>
          <w:r>
            <w:instrText xml:space="preserve"> PAGEREF _Toc5021 \h </w:instrText>
          </w:r>
          <w:r>
            <w:fldChar w:fldCharType="separate"/>
          </w:r>
          <w:r>
            <w:t>355</w:t>
          </w:r>
          <w:r>
            <w:fldChar w:fldCharType="end"/>
          </w:r>
          <w:r>
            <w:rPr>
              <w:rFonts w:hint="default" w:ascii="Times New Roman" w:hAnsi="Times New Roman" w:eastAsia="宋体" w:cs="Times New Roman"/>
              <w:color w:val="auto"/>
              <w:szCs w:val="21"/>
            </w:rPr>
            <w:fldChar w:fldCharType="end"/>
          </w:r>
        </w:p>
        <w:p w14:paraId="0391EAC0">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_Toc11678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《小学科学课程与教学论》课程教学大纲</w:t>
          </w:r>
          <w:r>
            <w:tab/>
          </w:r>
          <w:r>
            <w:fldChar w:fldCharType="begin"/>
          </w:r>
          <w:r>
            <w:instrText xml:space="preserve"> PAGEREF _Toc11678 \h </w:instrText>
          </w:r>
          <w:r>
            <w:fldChar w:fldCharType="separate"/>
          </w:r>
          <w:r>
            <w:t>360</w:t>
          </w:r>
          <w:r>
            <w:fldChar w:fldCharType="end"/>
          </w:r>
          <w:r>
            <w:rPr>
              <w:rFonts w:hint="default" w:ascii="Times New Roman" w:hAnsi="Times New Roman" w:eastAsia="宋体" w:cs="Times New Roman"/>
              <w:color w:val="auto"/>
              <w:szCs w:val="21"/>
            </w:rPr>
            <w:fldChar w:fldCharType="end"/>
          </w:r>
        </w:p>
        <w:p w14:paraId="5ADB3497">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_Toc22080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《逻辑学》课程教学大纲</w:t>
          </w:r>
          <w:r>
            <w:tab/>
          </w:r>
          <w:r>
            <w:fldChar w:fldCharType="begin"/>
          </w:r>
          <w:r>
            <w:instrText xml:space="preserve"> PAGEREF _Toc22080 \h </w:instrText>
          </w:r>
          <w:r>
            <w:fldChar w:fldCharType="separate"/>
          </w:r>
          <w:r>
            <w:t>365</w:t>
          </w:r>
          <w:r>
            <w:fldChar w:fldCharType="end"/>
          </w:r>
          <w:r>
            <w:rPr>
              <w:rFonts w:hint="default" w:ascii="Times New Roman" w:hAnsi="Times New Roman" w:eastAsia="宋体" w:cs="Times New Roman"/>
              <w:color w:val="auto"/>
              <w:szCs w:val="21"/>
            </w:rPr>
            <w:fldChar w:fldCharType="end"/>
          </w:r>
        </w:p>
        <w:p w14:paraId="31972F9F">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_Toc15574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《数学史》课程教学大纲</w:t>
          </w:r>
          <w:r>
            <w:tab/>
          </w:r>
          <w:r>
            <w:fldChar w:fldCharType="begin"/>
          </w:r>
          <w:r>
            <w:instrText xml:space="preserve"> PAGEREF _Toc15574 \h </w:instrText>
          </w:r>
          <w:r>
            <w:fldChar w:fldCharType="separate"/>
          </w:r>
          <w:r>
            <w:t>371</w:t>
          </w:r>
          <w:r>
            <w:fldChar w:fldCharType="end"/>
          </w:r>
          <w:r>
            <w:rPr>
              <w:rFonts w:hint="default" w:ascii="Times New Roman" w:hAnsi="Times New Roman" w:eastAsia="宋体" w:cs="Times New Roman"/>
              <w:color w:val="auto"/>
              <w:szCs w:val="21"/>
            </w:rPr>
            <w:fldChar w:fldCharType="end"/>
          </w:r>
        </w:p>
        <w:p w14:paraId="349B6FB3">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_Toc23117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《计算方法》课程教学大纲</w:t>
          </w:r>
          <w:r>
            <w:tab/>
          </w:r>
          <w:r>
            <w:fldChar w:fldCharType="begin"/>
          </w:r>
          <w:r>
            <w:instrText xml:space="preserve"> PAGEREF _Toc23117 \h </w:instrText>
          </w:r>
          <w:r>
            <w:fldChar w:fldCharType="separate"/>
          </w:r>
          <w:r>
            <w:t>377</w:t>
          </w:r>
          <w:r>
            <w:fldChar w:fldCharType="end"/>
          </w:r>
          <w:r>
            <w:rPr>
              <w:rFonts w:hint="default" w:ascii="Times New Roman" w:hAnsi="Times New Roman" w:eastAsia="宋体" w:cs="Times New Roman"/>
              <w:color w:val="auto"/>
              <w:szCs w:val="21"/>
            </w:rPr>
            <w:fldChar w:fldCharType="end"/>
          </w:r>
        </w:p>
        <w:p w14:paraId="3DAE784D">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_Toc30253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《小学数学思维训练》课程教学大纲</w:t>
          </w:r>
          <w:r>
            <w:tab/>
          </w:r>
          <w:r>
            <w:fldChar w:fldCharType="begin"/>
          </w:r>
          <w:r>
            <w:instrText xml:space="preserve"> PAGEREF _Toc30253 \h </w:instrText>
          </w:r>
          <w:r>
            <w:fldChar w:fldCharType="separate"/>
          </w:r>
          <w:r>
            <w:t>382</w:t>
          </w:r>
          <w:r>
            <w:fldChar w:fldCharType="end"/>
          </w:r>
          <w:r>
            <w:rPr>
              <w:rFonts w:hint="default" w:ascii="Times New Roman" w:hAnsi="Times New Roman" w:eastAsia="宋体" w:cs="Times New Roman"/>
              <w:color w:val="auto"/>
              <w:szCs w:val="21"/>
            </w:rPr>
            <w:fldChar w:fldCharType="end"/>
          </w:r>
        </w:p>
        <w:p w14:paraId="4242DBF5">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_Toc19953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《综合实践活动设计》课程教学大纲</w:t>
          </w:r>
          <w:r>
            <w:tab/>
          </w:r>
          <w:r>
            <w:fldChar w:fldCharType="begin"/>
          </w:r>
          <w:r>
            <w:instrText xml:space="preserve"> PAGEREF _Toc19953 \h </w:instrText>
          </w:r>
          <w:r>
            <w:fldChar w:fldCharType="separate"/>
          </w:r>
          <w:r>
            <w:t>386</w:t>
          </w:r>
          <w:r>
            <w:fldChar w:fldCharType="end"/>
          </w:r>
          <w:r>
            <w:rPr>
              <w:rFonts w:hint="default" w:ascii="Times New Roman" w:hAnsi="Times New Roman" w:eastAsia="宋体" w:cs="Times New Roman"/>
              <w:color w:val="auto"/>
              <w:szCs w:val="21"/>
            </w:rPr>
            <w:fldChar w:fldCharType="end"/>
          </w:r>
        </w:p>
        <w:p w14:paraId="5810D419">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_Toc27629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《航模制作与训练》课程教学大纲</w:t>
          </w:r>
          <w:r>
            <w:tab/>
          </w:r>
          <w:r>
            <w:fldChar w:fldCharType="begin"/>
          </w:r>
          <w:r>
            <w:instrText xml:space="preserve"> PAGEREF _Toc27629 \h </w:instrText>
          </w:r>
          <w:r>
            <w:fldChar w:fldCharType="separate"/>
          </w:r>
          <w:r>
            <w:t>393</w:t>
          </w:r>
          <w:r>
            <w:fldChar w:fldCharType="end"/>
          </w:r>
          <w:r>
            <w:rPr>
              <w:rFonts w:hint="default" w:ascii="Times New Roman" w:hAnsi="Times New Roman" w:eastAsia="宋体" w:cs="Times New Roman"/>
              <w:color w:val="auto"/>
              <w:szCs w:val="21"/>
            </w:rPr>
            <w:fldChar w:fldCharType="end"/>
          </w:r>
        </w:p>
        <w:p w14:paraId="69B37DD6">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_Toc27604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《机器人制作与训练课程》教学大纲</w:t>
          </w:r>
          <w:r>
            <w:tab/>
          </w:r>
          <w:r>
            <w:fldChar w:fldCharType="begin"/>
          </w:r>
          <w:r>
            <w:instrText xml:space="preserve"> PAGEREF _Toc27604 \h </w:instrText>
          </w:r>
          <w:r>
            <w:fldChar w:fldCharType="separate"/>
          </w:r>
          <w:r>
            <w:t>400</w:t>
          </w:r>
          <w:r>
            <w:fldChar w:fldCharType="end"/>
          </w:r>
          <w:r>
            <w:rPr>
              <w:rFonts w:hint="default" w:ascii="Times New Roman" w:hAnsi="Times New Roman" w:eastAsia="宋体" w:cs="Times New Roman"/>
              <w:color w:val="auto"/>
              <w:szCs w:val="21"/>
            </w:rPr>
            <w:fldChar w:fldCharType="end"/>
          </w:r>
        </w:p>
        <w:p w14:paraId="3BCE3C6A">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_Toc16764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《STEAM课程设计》课程教学大纲</w:t>
          </w:r>
          <w:r>
            <w:tab/>
          </w:r>
          <w:r>
            <w:fldChar w:fldCharType="begin"/>
          </w:r>
          <w:r>
            <w:instrText xml:space="preserve"> PAGEREF _Toc16764 \h </w:instrText>
          </w:r>
          <w:r>
            <w:fldChar w:fldCharType="separate"/>
          </w:r>
          <w:r>
            <w:t>407</w:t>
          </w:r>
          <w:r>
            <w:fldChar w:fldCharType="end"/>
          </w:r>
          <w:r>
            <w:rPr>
              <w:rFonts w:hint="default" w:ascii="Times New Roman" w:hAnsi="Times New Roman" w:eastAsia="宋体" w:cs="Times New Roman"/>
              <w:color w:val="auto"/>
              <w:szCs w:val="21"/>
            </w:rPr>
            <w:fldChar w:fldCharType="end"/>
          </w:r>
        </w:p>
        <w:p w14:paraId="05D6884C">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_Toc22432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《科学实验指导》课程教学大纲</w:t>
          </w:r>
          <w:r>
            <w:tab/>
          </w:r>
          <w:r>
            <w:fldChar w:fldCharType="begin"/>
          </w:r>
          <w:r>
            <w:instrText xml:space="preserve"> PAGEREF _Toc22432 \h </w:instrText>
          </w:r>
          <w:r>
            <w:fldChar w:fldCharType="separate"/>
          </w:r>
          <w:r>
            <w:t>412</w:t>
          </w:r>
          <w:r>
            <w:fldChar w:fldCharType="end"/>
          </w:r>
          <w:r>
            <w:rPr>
              <w:rFonts w:hint="default" w:ascii="Times New Roman" w:hAnsi="Times New Roman" w:eastAsia="宋体" w:cs="Times New Roman"/>
              <w:color w:val="auto"/>
              <w:szCs w:val="21"/>
            </w:rPr>
            <w:fldChar w:fldCharType="end"/>
          </w:r>
        </w:p>
        <w:p w14:paraId="219523DA">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_Toc19024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《小学科学教学案例研究》课程教学大纲</w:t>
          </w:r>
          <w:r>
            <w:tab/>
          </w:r>
          <w:r>
            <w:fldChar w:fldCharType="begin"/>
          </w:r>
          <w:r>
            <w:instrText xml:space="preserve"> PAGEREF _Toc19024 \h </w:instrText>
          </w:r>
          <w:r>
            <w:fldChar w:fldCharType="separate"/>
          </w:r>
          <w:r>
            <w:t>417</w:t>
          </w:r>
          <w:r>
            <w:fldChar w:fldCharType="end"/>
          </w:r>
          <w:r>
            <w:rPr>
              <w:rFonts w:hint="default" w:ascii="Times New Roman" w:hAnsi="Times New Roman" w:eastAsia="宋体" w:cs="Times New Roman"/>
              <w:color w:val="auto"/>
              <w:szCs w:val="21"/>
            </w:rPr>
            <w:fldChar w:fldCharType="end"/>
          </w:r>
        </w:p>
        <w:p w14:paraId="0CBF9DDF">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_Toc9113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《数学建模课程》教学大纲</w:t>
          </w:r>
          <w:r>
            <w:tab/>
          </w:r>
          <w:r>
            <w:fldChar w:fldCharType="begin"/>
          </w:r>
          <w:r>
            <w:instrText xml:space="preserve"> PAGEREF _Toc9113 \h </w:instrText>
          </w:r>
          <w:r>
            <w:fldChar w:fldCharType="separate"/>
          </w:r>
          <w:r>
            <w:t>423</w:t>
          </w:r>
          <w:r>
            <w:fldChar w:fldCharType="end"/>
          </w:r>
          <w:r>
            <w:rPr>
              <w:rFonts w:hint="default" w:ascii="Times New Roman" w:hAnsi="Times New Roman" w:eastAsia="宋体" w:cs="Times New Roman"/>
              <w:color w:val="auto"/>
              <w:szCs w:val="21"/>
            </w:rPr>
            <w:fldChar w:fldCharType="end"/>
          </w:r>
        </w:p>
        <w:p w14:paraId="4F3FB74D">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_Toc20895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《小学数学教学案例研究》课程教学大纲</w:t>
          </w:r>
          <w:r>
            <w:tab/>
          </w:r>
          <w:r>
            <w:fldChar w:fldCharType="begin"/>
          </w:r>
          <w:r>
            <w:instrText xml:space="preserve"> PAGEREF _Toc20895 \h </w:instrText>
          </w:r>
          <w:r>
            <w:fldChar w:fldCharType="separate"/>
          </w:r>
          <w:r>
            <w:t>428</w:t>
          </w:r>
          <w:r>
            <w:fldChar w:fldCharType="end"/>
          </w:r>
          <w:r>
            <w:rPr>
              <w:rFonts w:hint="default" w:ascii="Times New Roman" w:hAnsi="Times New Roman" w:eastAsia="宋体" w:cs="Times New Roman"/>
              <w:color w:val="auto"/>
              <w:szCs w:val="21"/>
            </w:rPr>
            <w:fldChar w:fldCharType="end"/>
          </w:r>
        </w:p>
        <w:p w14:paraId="5A31C748">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_Toc28701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《小学数学解题指导》课程教学大纲</w:t>
          </w:r>
          <w:r>
            <w:tab/>
          </w:r>
          <w:r>
            <w:fldChar w:fldCharType="begin"/>
          </w:r>
          <w:r>
            <w:instrText xml:space="preserve"> PAGEREF _Toc28701 \h </w:instrText>
          </w:r>
          <w:r>
            <w:fldChar w:fldCharType="separate"/>
          </w:r>
          <w:r>
            <w:t>434</w:t>
          </w:r>
          <w:r>
            <w:fldChar w:fldCharType="end"/>
          </w:r>
          <w:r>
            <w:rPr>
              <w:rFonts w:hint="default" w:ascii="Times New Roman" w:hAnsi="Times New Roman" w:eastAsia="宋体" w:cs="Times New Roman"/>
              <w:color w:val="auto"/>
              <w:szCs w:val="21"/>
            </w:rPr>
            <w:fldChar w:fldCharType="end"/>
          </w:r>
        </w:p>
        <w:p w14:paraId="3F934320">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_Toc22626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《认知实习》课程教学大纲</w:t>
          </w:r>
          <w:r>
            <w:tab/>
          </w:r>
          <w:r>
            <w:fldChar w:fldCharType="begin"/>
          </w:r>
          <w:r>
            <w:instrText xml:space="preserve"> PAGEREF _Toc22626 \h </w:instrText>
          </w:r>
          <w:r>
            <w:fldChar w:fldCharType="separate"/>
          </w:r>
          <w:r>
            <w:t>439</w:t>
          </w:r>
          <w:r>
            <w:fldChar w:fldCharType="end"/>
          </w:r>
          <w:r>
            <w:rPr>
              <w:rFonts w:hint="default" w:ascii="Times New Roman" w:hAnsi="Times New Roman" w:eastAsia="宋体" w:cs="Times New Roman"/>
              <w:color w:val="auto"/>
              <w:szCs w:val="21"/>
            </w:rPr>
            <w:fldChar w:fldCharType="end"/>
          </w:r>
        </w:p>
        <w:p w14:paraId="6896B746">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_Toc23560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《教育见习I》课程教学大纲</w:t>
          </w:r>
          <w:r>
            <w:tab/>
          </w:r>
          <w:r>
            <w:fldChar w:fldCharType="begin"/>
          </w:r>
          <w:r>
            <w:instrText xml:space="preserve"> PAGEREF _Toc23560 \h </w:instrText>
          </w:r>
          <w:r>
            <w:fldChar w:fldCharType="separate"/>
          </w:r>
          <w:r>
            <w:t>444</w:t>
          </w:r>
          <w:r>
            <w:fldChar w:fldCharType="end"/>
          </w:r>
          <w:r>
            <w:rPr>
              <w:rFonts w:hint="default" w:ascii="Times New Roman" w:hAnsi="Times New Roman" w:eastAsia="宋体" w:cs="Times New Roman"/>
              <w:color w:val="auto"/>
              <w:szCs w:val="21"/>
            </w:rPr>
            <w:fldChar w:fldCharType="end"/>
          </w:r>
        </w:p>
        <w:p w14:paraId="2FECF3CA">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_Toc17574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《教育见习Ⅱ》教学大纲</w:t>
          </w:r>
          <w:r>
            <w:tab/>
          </w:r>
          <w:r>
            <w:fldChar w:fldCharType="begin"/>
          </w:r>
          <w:r>
            <w:instrText xml:space="preserve"> PAGEREF _Toc17574 \h </w:instrText>
          </w:r>
          <w:r>
            <w:fldChar w:fldCharType="separate"/>
          </w:r>
          <w:r>
            <w:t>449</w:t>
          </w:r>
          <w:r>
            <w:fldChar w:fldCharType="end"/>
          </w:r>
          <w:r>
            <w:rPr>
              <w:rFonts w:hint="default" w:ascii="Times New Roman" w:hAnsi="Times New Roman" w:eastAsia="宋体" w:cs="Times New Roman"/>
              <w:color w:val="auto"/>
              <w:szCs w:val="21"/>
            </w:rPr>
            <w:fldChar w:fldCharType="end"/>
          </w:r>
        </w:p>
        <w:p w14:paraId="4C6C1DA8">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_Toc30028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《教学实训》课程教学大纲</w:t>
          </w:r>
          <w:r>
            <w:tab/>
          </w:r>
          <w:r>
            <w:fldChar w:fldCharType="begin"/>
          </w:r>
          <w:r>
            <w:instrText xml:space="preserve"> PAGEREF _Toc30028 \h </w:instrText>
          </w:r>
          <w:r>
            <w:fldChar w:fldCharType="separate"/>
          </w:r>
          <w:r>
            <w:t>454</w:t>
          </w:r>
          <w:r>
            <w:fldChar w:fldCharType="end"/>
          </w:r>
          <w:r>
            <w:rPr>
              <w:rFonts w:hint="default" w:ascii="Times New Roman" w:hAnsi="Times New Roman" w:eastAsia="宋体" w:cs="Times New Roman"/>
              <w:color w:val="auto"/>
              <w:szCs w:val="21"/>
            </w:rPr>
            <w:fldChar w:fldCharType="end"/>
          </w:r>
        </w:p>
        <w:p w14:paraId="18CF311C">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_Toc5191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《教育实习I》课程教学大纲</w:t>
          </w:r>
          <w:r>
            <w:tab/>
          </w:r>
          <w:r>
            <w:fldChar w:fldCharType="begin"/>
          </w:r>
          <w:r>
            <w:instrText xml:space="preserve"> PAGEREF _Toc5191 \h </w:instrText>
          </w:r>
          <w:r>
            <w:fldChar w:fldCharType="separate"/>
          </w:r>
          <w:r>
            <w:t>458</w:t>
          </w:r>
          <w:r>
            <w:fldChar w:fldCharType="end"/>
          </w:r>
          <w:r>
            <w:rPr>
              <w:rFonts w:hint="default" w:ascii="Times New Roman" w:hAnsi="Times New Roman" w:eastAsia="宋体" w:cs="Times New Roman"/>
              <w:color w:val="auto"/>
              <w:szCs w:val="21"/>
            </w:rPr>
            <w:fldChar w:fldCharType="end"/>
          </w:r>
        </w:p>
        <w:p w14:paraId="3A8B9587">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_Toc4930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《教育研习》课程教学大纲</w:t>
          </w:r>
          <w:r>
            <w:tab/>
          </w:r>
          <w:r>
            <w:fldChar w:fldCharType="begin"/>
          </w:r>
          <w:r>
            <w:instrText xml:space="preserve"> PAGEREF _Toc4930 \h </w:instrText>
          </w:r>
          <w:r>
            <w:fldChar w:fldCharType="separate"/>
          </w:r>
          <w:r>
            <w:t>464</w:t>
          </w:r>
          <w:r>
            <w:fldChar w:fldCharType="end"/>
          </w:r>
          <w:r>
            <w:rPr>
              <w:rFonts w:hint="default" w:ascii="Times New Roman" w:hAnsi="Times New Roman" w:eastAsia="宋体" w:cs="Times New Roman"/>
              <w:color w:val="auto"/>
              <w:szCs w:val="21"/>
            </w:rPr>
            <w:fldChar w:fldCharType="end"/>
          </w:r>
        </w:p>
        <w:p w14:paraId="10CA0E8A">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_Toc30333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《教育实习II》课程教学大纲</w:t>
          </w:r>
          <w:r>
            <w:tab/>
          </w:r>
          <w:r>
            <w:fldChar w:fldCharType="begin"/>
          </w:r>
          <w:r>
            <w:instrText xml:space="preserve"> PAGEREF _Toc30333 \h </w:instrText>
          </w:r>
          <w:r>
            <w:fldChar w:fldCharType="separate"/>
          </w:r>
          <w:r>
            <w:t>471</w:t>
          </w:r>
          <w:r>
            <w:fldChar w:fldCharType="end"/>
          </w:r>
          <w:r>
            <w:rPr>
              <w:rFonts w:hint="default" w:ascii="Times New Roman" w:hAnsi="Times New Roman" w:eastAsia="宋体" w:cs="Times New Roman"/>
              <w:color w:val="auto"/>
              <w:szCs w:val="21"/>
            </w:rPr>
            <w:fldChar w:fldCharType="end"/>
          </w:r>
        </w:p>
        <w:p w14:paraId="035AA40B">
          <w:pPr>
            <w:pStyle w:val="12"/>
            <w:tabs>
              <w:tab w:val="right" w:leader="dot" w:pos="8504"/>
              <w:tab w:val="clear" w:pos="8296"/>
            </w:tabs>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_Toc4217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szCs w:val="44"/>
            </w:rPr>
            <w:t>《毕业论文》课程教学大纲</w:t>
          </w:r>
          <w:r>
            <w:tab/>
          </w:r>
          <w:r>
            <w:fldChar w:fldCharType="begin"/>
          </w:r>
          <w:r>
            <w:instrText xml:space="preserve"> PAGEREF _Toc4217 \h </w:instrText>
          </w:r>
          <w:r>
            <w:fldChar w:fldCharType="separate"/>
          </w:r>
          <w:r>
            <w:t>476</w:t>
          </w:r>
          <w:r>
            <w:fldChar w:fldCharType="end"/>
          </w:r>
          <w:r>
            <w:rPr>
              <w:rFonts w:hint="default" w:ascii="Times New Roman" w:hAnsi="Times New Roman" w:eastAsia="宋体" w:cs="Times New Roman"/>
              <w:color w:val="auto"/>
              <w:szCs w:val="21"/>
            </w:rPr>
            <w:fldChar w:fldCharType="end"/>
          </w:r>
        </w:p>
        <w:p w14:paraId="45213D67">
          <w:pPr>
            <w:spacing w:line="240" w:lineRule="auto"/>
            <w:rPr>
              <w:color w:val="auto"/>
            </w:rPr>
          </w:pPr>
          <w:r>
            <w:rPr>
              <w:rFonts w:hint="default" w:ascii="Times New Roman" w:hAnsi="Times New Roman" w:eastAsia="宋体" w:cs="Times New Roman"/>
              <w:color w:val="auto"/>
              <w:szCs w:val="21"/>
            </w:rPr>
            <w:fldChar w:fldCharType="end"/>
          </w:r>
        </w:p>
      </w:sdtContent>
    </w:sdt>
    <w:bookmarkEnd w:id="0"/>
    <w:p w14:paraId="7BD679D3">
      <w:pPr>
        <w:rPr>
          <w:rFonts w:hint="eastAsia" w:ascii="等线" w:hAnsi="等线" w:eastAsia="等线" w:cs="等线"/>
          <w:b/>
          <w:bCs/>
          <w:color w:val="auto"/>
          <w:sz w:val="44"/>
          <w:szCs w:val="44"/>
        </w:rPr>
        <w:sectPr>
          <w:footerReference r:id="rId4" w:type="default"/>
          <w:pgSz w:w="11906" w:h="16838"/>
          <w:pgMar w:top="1701" w:right="1701" w:bottom="1440" w:left="1701" w:header="851" w:footer="851" w:gutter="0"/>
          <w:pgNumType w:fmt="upperRoman" w:start="1"/>
          <w:cols w:space="425" w:num="1"/>
          <w:docGrid w:type="lines" w:linePitch="312" w:charSpace="0"/>
        </w:sectPr>
      </w:pPr>
    </w:p>
    <w:p w14:paraId="0C407E58">
      <w:pPr>
        <w:pStyle w:val="2"/>
        <w:keepNext/>
        <w:keepLines/>
        <w:pageBreakBefore w:val="0"/>
        <w:widowControl w:val="0"/>
        <w:tabs>
          <w:tab w:val="left" w:pos="720"/>
          <w:tab w:val="left" w:pos="2700"/>
        </w:tabs>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color w:val="auto"/>
          <w:kern w:val="2"/>
          <w:sz w:val="44"/>
          <w:szCs w:val="44"/>
          <w:lang w:val="en-US" w:eastAsia="zh-CN" w:bidi="ar-SA"/>
        </w:rPr>
        <w:sectPr>
          <w:footerReference r:id="rId5" w:type="default"/>
          <w:pgSz w:w="11906" w:h="16838"/>
          <w:pgMar w:top="1701" w:right="1701" w:bottom="1440" w:left="1701" w:header="851" w:footer="851" w:gutter="0"/>
          <w:pgNumType w:fmt="decimal" w:start="1"/>
          <w:cols w:space="425" w:num="1"/>
          <w:docGrid w:type="lines" w:linePitch="312" w:charSpace="0"/>
        </w:sectPr>
      </w:pPr>
      <w:bookmarkStart w:id="1" w:name="_Toc9508"/>
      <w:bookmarkStart w:id="2" w:name="_Toc12481"/>
      <w:bookmarkStart w:id="468" w:name="_GoBack"/>
      <w:bookmarkEnd w:id="468"/>
    </w:p>
    <w:p w14:paraId="6E0C99C6">
      <w:pPr>
        <w:pStyle w:val="2"/>
        <w:keepNext/>
        <w:keepLines/>
        <w:pageBreakBefore w:val="0"/>
        <w:widowControl w:val="0"/>
        <w:tabs>
          <w:tab w:val="left" w:pos="720"/>
          <w:tab w:val="left" w:pos="2700"/>
        </w:tabs>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color w:val="auto"/>
          <w:kern w:val="2"/>
          <w:sz w:val="44"/>
          <w:szCs w:val="44"/>
          <w:lang w:val="en-US" w:eastAsia="zh-CN" w:bidi="ar-SA"/>
        </w:rPr>
      </w:pPr>
      <w:r>
        <w:rPr>
          <w:rFonts w:hint="eastAsia" w:ascii="Times New Roman" w:hAnsi="Times New Roman" w:eastAsia="宋体" w:cs="Times New Roman"/>
          <w:b/>
          <w:color w:val="auto"/>
          <w:kern w:val="2"/>
          <w:sz w:val="44"/>
          <w:szCs w:val="44"/>
          <w:lang w:val="en-US" w:eastAsia="zh-CN" w:bidi="ar-SA"/>
        </w:rPr>
        <w:t>《思想道德与法治》课程教学大纲</w:t>
      </w:r>
      <w:bookmarkEnd w:id="1"/>
      <w:bookmarkEnd w:id="2"/>
    </w:p>
    <w:p w14:paraId="7474202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（Ideological Morality and Rule of Law）</w:t>
      </w:r>
    </w:p>
    <w:p w14:paraId="2602C001">
      <w:pPr>
        <w:spacing w:line="360" w:lineRule="auto"/>
        <w:jc w:val="center"/>
        <w:rPr>
          <w:rFonts w:ascii="Times New Roman" w:hAnsi="Times New Roman" w:eastAsia="黑体" w:cs="Times New Roman"/>
          <w:bCs/>
          <w:color w:val="auto"/>
          <w:sz w:val="21"/>
          <w:szCs w:val="18"/>
        </w:rPr>
      </w:pPr>
    </w:p>
    <w:p w14:paraId="528CAA9F">
      <w:pPr>
        <w:spacing w:line="360" w:lineRule="auto"/>
        <w:ind w:firstLine="482" w:firstLineChars="200"/>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课程名称：思想道德与法治</w:t>
      </w:r>
    </w:p>
    <w:p w14:paraId="797A81CE">
      <w:pPr>
        <w:spacing w:line="360" w:lineRule="auto"/>
        <w:ind w:firstLine="482" w:firstLineChars="200"/>
        <w:rPr>
          <w:rFonts w:ascii="Times New Roman" w:hAnsi="Times New Roman" w:eastAsia="宋体" w:cs="Times New Roman"/>
          <w:b/>
          <w:bCs/>
          <w:color w:val="auto"/>
          <w:sz w:val="28"/>
          <w:szCs w:val="28"/>
        </w:rPr>
      </w:pPr>
      <w:r>
        <w:rPr>
          <w:rFonts w:ascii="Times New Roman" w:hAnsi="Times New Roman" w:eastAsia="宋体" w:cs="Times New Roman"/>
          <w:b/>
          <w:bCs/>
          <w:color w:val="auto"/>
          <w:kern w:val="0"/>
          <w:sz w:val="24"/>
        </w:rPr>
        <w:t>课程代码：</w:t>
      </w:r>
      <w:r>
        <w:rPr>
          <w:rFonts w:hint="eastAsia" w:ascii="Times New Roman" w:hAnsi="Times New Roman" w:eastAsia="宋体" w:cs="Times New Roman"/>
          <w:b/>
          <w:bCs/>
          <w:color w:val="auto"/>
          <w:kern w:val="0"/>
          <w:sz w:val="24"/>
        </w:rPr>
        <w:t>10010</w:t>
      </w:r>
      <w:r>
        <w:rPr>
          <w:rFonts w:ascii="Times New Roman" w:hAnsi="Times New Roman" w:eastAsia="宋体" w:cs="Times New Roman"/>
          <w:b/>
          <w:bCs/>
          <w:color w:val="auto"/>
          <w:kern w:val="0"/>
          <w:sz w:val="24"/>
        </w:rPr>
        <w:t>3</w:t>
      </w:r>
      <w:r>
        <w:rPr>
          <w:rFonts w:hint="eastAsia" w:ascii="Times New Roman" w:hAnsi="Times New Roman" w:eastAsia="宋体" w:cs="Times New Roman"/>
          <w:b/>
          <w:bCs/>
          <w:color w:val="auto"/>
          <w:kern w:val="0"/>
          <w:sz w:val="24"/>
        </w:rPr>
        <w:t>1</w:t>
      </w:r>
    </w:p>
    <w:p w14:paraId="6BD2B930">
      <w:pPr>
        <w:spacing w:line="360" w:lineRule="auto"/>
        <w:ind w:firstLine="482" w:firstLineChars="200"/>
        <w:rPr>
          <w:rFonts w:ascii="Times New Roman" w:hAnsi="Times New Roman" w:eastAsia="宋体" w:cs="Times New Roman"/>
          <w:b/>
          <w:bCs/>
          <w:color w:val="auto"/>
          <w:kern w:val="0"/>
          <w:sz w:val="24"/>
        </w:rPr>
      </w:pPr>
      <w:r>
        <w:rPr>
          <w:rFonts w:ascii="Times New Roman" w:hAnsi="Times New Roman" w:eastAsia="宋体" w:cs="Times New Roman"/>
          <w:b/>
          <w:bCs/>
          <w:color w:val="auto"/>
          <w:kern w:val="0"/>
          <w:sz w:val="24"/>
        </w:rPr>
        <w:t>学    分：</w:t>
      </w:r>
      <w:r>
        <w:rPr>
          <w:rFonts w:hint="eastAsia" w:ascii="Times New Roman" w:hAnsi="Times New Roman" w:eastAsia="宋体" w:cs="Times New Roman"/>
          <w:b/>
          <w:bCs/>
          <w:color w:val="auto"/>
          <w:kern w:val="0"/>
          <w:sz w:val="24"/>
        </w:rPr>
        <w:t>3</w:t>
      </w:r>
    </w:p>
    <w:p w14:paraId="0E17624C">
      <w:pPr>
        <w:spacing w:line="360" w:lineRule="auto"/>
        <w:ind w:firstLine="482" w:firstLineChars="200"/>
        <w:rPr>
          <w:rFonts w:ascii="Times New Roman" w:hAnsi="Times New Roman" w:eastAsia="宋体" w:cs="Times New Roman"/>
          <w:b/>
          <w:bCs/>
          <w:color w:val="auto"/>
          <w:kern w:val="0"/>
          <w:sz w:val="24"/>
        </w:rPr>
      </w:pPr>
      <w:r>
        <w:rPr>
          <w:rFonts w:ascii="Times New Roman" w:hAnsi="Times New Roman" w:eastAsia="宋体" w:cs="Times New Roman"/>
          <w:b/>
          <w:bCs/>
          <w:color w:val="auto"/>
          <w:kern w:val="0"/>
          <w:sz w:val="24"/>
        </w:rPr>
        <w:t>学    时：</w:t>
      </w:r>
      <w:r>
        <w:rPr>
          <w:rFonts w:hint="eastAsia" w:ascii="Times New Roman" w:hAnsi="Times New Roman" w:eastAsia="宋体" w:cs="Times New Roman"/>
          <w:b/>
          <w:bCs/>
          <w:color w:val="auto"/>
          <w:kern w:val="0"/>
          <w:sz w:val="24"/>
        </w:rPr>
        <w:t>48</w:t>
      </w:r>
      <w:r>
        <w:rPr>
          <w:rFonts w:ascii="Times New Roman" w:hAnsi="Times New Roman" w:eastAsia="宋体" w:cs="Times New Roman"/>
          <w:b/>
          <w:bCs/>
          <w:color w:val="auto"/>
          <w:kern w:val="0"/>
          <w:sz w:val="24"/>
        </w:rPr>
        <w:t xml:space="preserve"> </w:t>
      </w:r>
      <w:r>
        <w:rPr>
          <w:rFonts w:hint="eastAsia" w:ascii="Times New Roman" w:hAnsi="Times New Roman" w:eastAsia="宋体" w:cs="Times New Roman"/>
          <w:b/>
          <w:bCs/>
          <w:color w:val="auto"/>
          <w:kern w:val="0"/>
          <w:sz w:val="24"/>
        </w:rPr>
        <w:t>（其中：讲授学时42， 实践学时6）</w:t>
      </w:r>
    </w:p>
    <w:p w14:paraId="3222BAD4">
      <w:pPr>
        <w:spacing w:line="360" w:lineRule="auto"/>
        <w:ind w:firstLine="482" w:firstLineChars="200"/>
        <w:rPr>
          <w:rFonts w:hint="eastAsia" w:ascii="宋体" w:hAnsi="宋体" w:eastAsia="宋体" w:cs="Times New Roman"/>
          <w:b/>
          <w:bCs/>
          <w:color w:val="auto"/>
          <w:kern w:val="0"/>
          <w:sz w:val="24"/>
        </w:rPr>
      </w:pPr>
      <w:r>
        <w:rPr>
          <w:rFonts w:ascii="宋体" w:hAnsi="宋体" w:eastAsia="宋体" w:cs="Times New Roman"/>
          <w:b/>
          <w:bCs/>
          <w:color w:val="auto"/>
          <w:kern w:val="0"/>
          <w:sz w:val="24"/>
        </w:rPr>
        <w:t>先修课程：</w:t>
      </w:r>
      <w:r>
        <w:rPr>
          <w:rFonts w:hint="eastAsia" w:ascii="宋体" w:hAnsi="宋体" w:eastAsia="宋体" w:cs="Times New Roman"/>
          <w:b/>
          <w:bCs/>
          <w:color w:val="auto"/>
          <w:kern w:val="0"/>
          <w:sz w:val="24"/>
        </w:rPr>
        <w:t>无</w:t>
      </w:r>
    </w:p>
    <w:p w14:paraId="796619D9">
      <w:pPr>
        <w:spacing w:line="360" w:lineRule="auto"/>
        <w:ind w:firstLine="482" w:firstLineChars="200"/>
        <w:rPr>
          <w:rFonts w:hint="eastAsia" w:ascii="宋体" w:hAnsi="宋体" w:eastAsia="宋体" w:cs="Times New Roman"/>
          <w:b/>
          <w:bCs/>
          <w:color w:val="auto"/>
          <w:kern w:val="0"/>
          <w:sz w:val="24"/>
        </w:rPr>
      </w:pPr>
      <w:r>
        <w:rPr>
          <w:rFonts w:ascii="宋体" w:hAnsi="宋体" w:eastAsia="宋体" w:cs="Times New Roman"/>
          <w:b/>
          <w:bCs/>
          <w:color w:val="auto"/>
          <w:kern w:val="0"/>
          <w:sz w:val="24"/>
        </w:rPr>
        <w:t>适用专业：</w:t>
      </w:r>
      <w:r>
        <w:rPr>
          <w:rFonts w:hint="eastAsia" w:ascii="宋体" w:hAnsi="宋体" w:eastAsia="宋体" w:cs="Times New Roman"/>
          <w:b/>
          <w:bCs/>
          <w:color w:val="auto"/>
          <w:kern w:val="0"/>
          <w:sz w:val="24"/>
        </w:rPr>
        <w:t>小学教育</w:t>
      </w:r>
    </w:p>
    <w:p w14:paraId="15169B7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r>
        <w:rPr>
          <w:rFonts w:hint="eastAsia" w:ascii="宋体" w:hAnsi="宋体" w:eastAsia="宋体" w:cs="Times New Roman"/>
          <w:b/>
          <w:color w:val="auto"/>
          <w:sz w:val="24"/>
        </w:rPr>
        <w:t>一、课程简介</w:t>
      </w:r>
    </w:p>
    <w:p w14:paraId="1F56F980">
      <w:pPr>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color w:val="auto"/>
          <w:kern w:val="0"/>
          <w:szCs w:val="21"/>
        </w:rPr>
        <w:t>本课程是面向小学教育专业开设的通识必修课。通过本课程的学习，培养学生了解中华民族的传统美德和社会主义核心价值体系的基本内容，掌握以爱国主义为核心的民族精神和以改革创新为核心的时代精神实质，认识建设社会主义法治体系的基本内涵和重要意义，坚定科学的理想信念，树立正确的人生观和价值观，培养良好的思想道德素质和法律素质，加强自我修养，从而成为德智体美劳全面发展的社会主义事业的合格建设者和可靠接班人。</w:t>
      </w:r>
    </w:p>
    <w:p w14:paraId="4D5C17AD">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r>
        <w:rPr>
          <w:rFonts w:hint="eastAsia" w:ascii="宋体" w:hAnsi="宋体" w:eastAsia="宋体" w:cs="Times New Roman"/>
          <w:b/>
          <w:color w:val="auto"/>
          <w:sz w:val="24"/>
        </w:rPr>
        <w:t>二、课程目标</w:t>
      </w:r>
    </w:p>
    <w:p w14:paraId="61052595">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1D7FA7E3">
      <w:pPr>
        <w:snapToGrid w:val="0"/>
        <w:spacing w:line="360" w:lineRule="auto"/>
        <w:ind w:firstLine="413" w:firstLineChars="196"/>
        <w:rPr>
          <w:rFonts w:hint="eastAsia" w:ascii="宋体" w:hAnsi="宋体" w:eastAsia="宋体"/>
          <w:color w:val="auto"/>
          <w:kern w:val="0"/>
          <w:szCs w:val="21"/>
        </w:rPr>
      </w:pPr>
      <w:r>
        <w:rPr>
          <w:rFonts w:hint="eastAsia" w:ascii="宋体" w:hAnsi="宋体" w:eastAsia="宋体"/>
          <w:b/>
          <w:bCs/>
          <w:color w:val="auto"/>
          <w:kern w:val="0"/>
          <w:szCs w:val="21"/>
        </w:rPr>
        <w:t>目标1：</w:t>
      </w:r>
      <w:r>
        <w:rPr>
          <w:rFonts w:hint="eastAsia" w:ascii="宋体" w:hAnsi="宋体" w:eastAsia="宋体"/>
          <w:color w:val="auto"/>
          <w:kern w:val="0"/>
          <w:szCs w:val="21"/>
        </w:rPr>
        <w:t>坚定科学的理想信念，树立正确的人生观和价值观，能够科学认识社会，理解和认同社会主义核心价值观。</w:t>
      </w:r>
    </w:p>
    <w:p w14:paraId="45587260">
      <w:pPr>
        <w:snapToGrid w:val="0"/>
        <w:spacing w:line="360" w:lineRule="auto"/>
        <w:ind w:firstLine="413" w:firstLineChars="196"/>
        <w:rPr>
          <w:rFonts w:hint="eastAsia" w:ascii="宋体" w:hAnsi="宋体" w:eastAsia="宋体"/>
          <w:color w:val="auto"/>
          <w:kern w:val="0"/>
          <w:szCs w:val="21"/>
        </w:rPr>
      </w:pPr>
      <w:r>
        <w:rPr>
          <w:rFonts w:hint="eastAsia" w:ascii="宋体" w:hAnsi="宋体" w:eastAsia="宋体"/>
          <w:b/>
          <w:bCs/>
          <w:color w:val="auto"/>
          <w:kern w:val="0"/>
          <w:szCs w:val="21"/>
        </w:rPr>
        <w:t>目标2：</w:t>
      </w:r>
      <w:r>
        <w:rPr>
          <w:rFonts w:hint="eastAsia" w:ascii="Times New Roman" w:hAnsi="Times New Roman" w:eastAsia="宋体" w:cs="Times New Roman"/>
          <w:color w:val="auto"/>
          <w:kern w:val="0"/>
          <w:szCs w:val="21"/>
        </w:rPr>
        <w:t>了解社会主义法治体系，</w:t>
      </w:r>
      <w:r>
        <w:rPr>
          <w:rFonts w:hint="eastAsia" w:ascii="宋体" w:hAnsi="宋体" w:eastAsia="宋体"/>
          <w:color w:val="auto"/>
          <w:kern w:val="0"/>
          <w:szCs w:val="21"/>
        </w:rPr>
        <w:t>能够掌握与专业相关的法律规范，具备</w:t>
      </w:r>
      <w:r>
        <w:rPr>
          <w:rFonts w:hint="eastAsia" w:ascii="Times New Roman" w:hAnsi="Times New Roman" w:eastAsia="宋体" w:cs="Times New Roman"/>
          <w:color w:val="auto"/>
          <w:kern w:val="0"/>
          <w:szCs w:val="21"/>
        </w:rPr>
        <w:t>良好的</w:t>
      </w:r>
      <w:r>
        <w:rPr>
          <w:rFonts w:hint="eastAsia" w:ascii="宋体" w:hAnsi="宋体" w:eastAsia="宋体"/>
          <w:color w:val="auto"/>
          <w:kern w:val="0"/>
          <w:szCs w:val="21"/>
        </w:rPr>
        <w:t>法律素养。</w:t>
      </w:r>
    </w:p>
    <w:p w14:paraId="4CBE5E93">
      <w:pPr>
        <w:snapToGrid w:val="0"/>
        <w:spacing w:line="360" w:lineRule="auto"/>
        <w:ind w:firstLine="413" w:firstLineChars="196"/>
        <w:rPr>
          <w:rFonts w:hint="eastAsia" w:ascii="宋体" w:hAnsi="宋体" w:eastAsia="宋体"/>
          <w:b/>
          <w:bCs/>
          <w:color w:val="auto"/>
          <w:kern w:val="0"/>
          <w:szCs w:val="21"/>
        </w:rPr>
      </w:pPr>
      <w:r>
        <w:rPr>
          <w:rFonts w:hint="eastAsia" w:ascii="宋体" w:hAnsi="宋体" w:eastAsia="宋体"/>
          <w:b/>
          <w:bCs/>
          <w:color w:val="auto"/>
          <w:kern w:val="0"/>
          <w:szCs w:val="21"/>
        </w:rPr>
        <w:t>目标3：</w:t>
      </w:r>
      <w:r>
        <w:rPr>
          <w:rFonts w:hint="eastAsia" w:ascii="Times New Roman" w:hAnsi="Times New Roman" w:eastAsia="宋体" w:cs="Times New Roman"/>
          <w:color w:val="auto"/>
          <w:kern w:val="0"/>
          <w:szCs w:val="21"/>
        </w:rPr>
        <w:t>了解社会主义核心价值体系和社会主义道德规范，</w:t>
      </w:r>
      <w:r>
        <w:rPr>
          <w:rFonts w:hint="eastAsia" w:ascii="宋体" w:hAnsi="宋体" w:eastAsia="宋体"/>
          <w:color w:val="auto"/>
          <w:kern w:val="0"/>
          <w:szCs w:val="21"/>
        </w:rPr>
        <w:t>具备良好的思想道德素质。</w:t>
      </w:r>
      <w:r>
        <w:rPr>
          <w:rFonts w:hint="eastAsia" w:ascii="宋体" w:hAnsi="宋体" w:eastAsia="宋体"/>
          <w:b/>
          <w:bCs/>
          <w:color w:val="auto"/>
          <w:kern w:val="0"/>
          <w:szCs w:val="21"/>
        </w:rPr>
        <w:t xml:space="preserve"> </w:t>
      </w:r>
    </w:p>
    <w:p w14:paraId="3E3EFC27">
      <w:pPr>
        <w:snapToGrid w:val="0"/>
        <w:spacing w:line="360" w:lineRule="auto"/>
        <w:ind w:firstLine="413" w:firstLineChars="196"/>
        <w:rPr>
          <w:rFonts w:hint="eastAsia" w:ascii="宋体" w:hAnsi="宋体" w:eastAsia="宋体"/>
          <w:b/>
          <w:bCs/>
          <w:color w:val="auto"/>
          <w:szCs w:val="21"/>
        </w:rPr>
      </w:pPr>
      <w:r>
        <w:rPr>
          <w:rFonts w:hint="eastAsia" w:ascii="宋体" w:hAnsi="宋体" w:eastAsia="宋体"/>
          <w:b/>
          <w:bCs/>
          <w:color w:val="auto"/>
          <w:szCs w:val="21"/>
        </w:rPr>
        <w:t>（二）</w:t>
      </w:r>
      <w:r>
        <w:rPr>
          <w:rFonts w:ascii="宋体" w:hAnsi="宋体" w:eastAsia="宋体"/>
          <w:b/>
          <w:bCs/>
          <w:color w:val="auto"/>
          <w:szCs w:val="21"/>
        </w:rPr>
        <w:t>课程目标</w:t>
      </w:r>
      <w:r>
        <w:rPr>
          <w:rFonts w:hint="eastAsia" w:ascii="宋体" w:hAnsi="宋体" w:eastAsia="宋体"/>
          <w:b/>
          <w:bCs/>
          <w:color w:val="auto"/>
          <w:szCs w:val="21"/>
        </w:rPr>
        <w:t>及其</w:t>
      </w:r>
      <w:r>
        <w:rPr>
          <w:rFonts w:ascii="宋体" w:hAnsi="宋体" w:eastAsia="宋体"/>
          <w:b/>
          <w:bCs/>
          <w:color w:val="auto"/>
          <w:szCs w:val="21"/>
        </w:rPr>
        <w:t>对毕业要求指标点的支撑</w:t>
      </w:r>
    </w:p>
    <w:tbl>
      <w:tblPr>
        <w:tblStyle w:val="16"/>
        <w:tblW w:w="8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1266"/>
        <w:gridCol w:w="6127"/>
        <w:gridCol w:w="1110"/>
      </w:tblGrid>
      <w:tr w14:paraId="4F76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307" w:hRule="atLeast"/>
        </w:trPr>
        <w:tc>
          <w:tcPr>
            <w:tcW w:w="1266" w:type="dxa"/>
            <w:tcBorders>
              <w:top w:val="single" w:color="000000" w:sz="8" w:space="0"/>
              <w:left w:val="single" w:color="000000" w:sz="8" w:space="0"/>
              <w:bottom w:val="single" w:color="000000" w:sz="8" w:space="0"/>
              <w:right w:val="single" w:color="000000" w:sz="8" w:space="0"/>
            </w:tcBorders>
            <w:vAlign w:val="center"/>
          </w:tcPr>
          <w:p w14:paraId="115C3A57">
            <w:pPr>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eastAsia" w:ascii="宋体" w:hAnsi="宋体" w:eastAsia="宋体"/>
                <w:b/>
                <w:bCs/>
                <w:color w:val="auto"/>
                <w:kern w:val="0"/>
                <w:szCs w:val="21"/>
              </w:rPr>
            </w:pPr>
            <w:r>
              <w:rPr>
                <w:rFonts w:hint="eastAsia" w:ascii="宋体" w:hAnsi="宋体" w:eastAsia="宋体"/>
                <w:b/>
                <w:bCs/>
                <w:color w:val="auto"/>
                <w:kern w:val="0"/>
                <w:szCs w:val="21"/>
              </w:rPr>
              <w:t>毕业要求</w:t>
            </w:r>
          </w:p>
        </w:tc>
        <w:tc>
          <w:tcPr>
            <w:tcW w:w="6127" w:type="dxa"/>
            <w:tcBorders>
              <w:top w:val="single" w:color="000000" w:sz="8" w:space="0"/>
              <w:left w:val="single" w:color="000000" w:sz="8" w:space="0"/>
              <w:bottom w:val="single" w:color="000000" w:sz="8" w:space="0"/>
              <w:right w:val="single" w:color="000000" w:sz="8" w:space="0"/>
            </w:tcBorders>
            <w:vAlign w:val="center"/>
          </w:tcPr>
          <w:p w14:paraId="1A36CABD">
            <w:pPr>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eastAsia" w:ascii="宋体" w:hAnsi="宋体" w:eastAsia="宋体"/>
                <w:b/>
                <w:bCs/>
                <w:color w:val="auto"/>
                <w:kern w:val="0"/>
                <w:szCs w:val="21"/>
              </w:rPr>
            </w:pPr>
            <w:r>
              <w:rPr>
                <w:rFonts w:ascii="宋体" w:hAnsi="宋体" w:eastAsia="宋体"/>
                <w:b/>
                <w:bCs/>
                <w:color w:val="auto"/>
                <w:kern w:val="0"/>
                <w:szCs w:val="21"/>
              </w:rPr>
              <w:t>支撑毕业要求指标点</w:t>
            </w:r>
          </w:p>
        </w:tc>
        <w:tc>
          <w:tcPr>
            <w:tcW w:w="1110" w:type="dxa"/>
            <w:tcBorders>
              <w:top w:val="single" w:color="000000" w:sz="8" w:space="0"/>
              <w:left w:val="single" w:color="000000" w:sz="8" w:space="0"/>
              <w:bottom w:val="single" w:color="000000" w:sz="8" w:space="0"/>
              <w:right w:val="single" w:color="000000" w:sz="8" w:space="0"/>
            </w:tcBorders>
            <w:vAlign w:val="center"/>
          </w:tcPr>
          <w:p w14:paraId="430C71CD">
            <w:pPr>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eastAsia" w:ascii="宋体" w:hAnsi="宋体" w:eastAsia="宋体"/>
                <w:b/>
                <w:bCs/>
                <w:color w:val="auto"/>
                <w:kern w:val="0"/>
                <w:szCs w:val="21"/>
              </w:rPr>
            </w:pPr>
            <w:r>
              <w:rPr>
                <w:rFonts w:hint="eastAsia" w:ascii="宋体" w:hAnsi="宋体" w:eastAsia="宋体"/>
                <w:b/>
                <w:bCs/>
                <w:color w:val="auto"/>
                <w:kern w:val="0"/>
                <w:szCs w:val="21"/>
              </w:rPr>
              <w:t>课程目标</w:t>
            </w:r>
          </w:p>
        </w:tc>
      </w:tr>
      <w:tr w14:paraId="32A3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69" w:hRule="atLeast"/>
        </w:trPr>
        <w:tc>
          <w:tcPr>
            <w:tcW w:w="1266" w:type="dxa"/>
            <w:vMerge w:val="restart"/>
            <w:tcBorders>
              <w:top w:val="single" w:color="000000" w:sz="8" w:space="0"/>
              <w:left w:val="single" w:color="000000" w:sz="8" w:space="0"/>
              <w:right w:val="single" w:color="000000" w:sz="8" w:space="0"/>
            </w:tcBorders>
            <w:vAlign w:val="center"/>
          </w:tcPr>
          <w:p w14:paraId="248A8353">
            <w:pPr>
              <w:snapToGrid w:val="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毕业要求1</w:t>
            </w:r>
          </w:p>
          <w:p w14:paraId="160C8341">
            <w:pPr>
              <w:snapToGrid w:val="0"/>
              <w:jc w:val="center"/>
              <w:rPr>
                <w:rFonts w:hint="eastAsia" w:ascii="宋体" w:hAnsi="宋体" w:eastAsia="宋体"/>
                <w:color w:val="auto"/>
                <w:kern w:val="0"/>
                <w:szCs w:val="21"/>
              </w:rPr>
            </w:pPr>
            <w:r>
              <w:rPr>
                <w:rFonts w:hint="eastAsia" w:ascii="Times New Roman" w:hAnsi="Times New Roman" w:eastAsia="宋体" w:cs="Times New Roman"/>
                <w:b/>
                <w:bCs/>
                <w:color w:val="auto"/>
                <w:szCs w:val="21"/>
              </w:rPr>
              <w:t>师德规范</w:t>
            </w:r>
          </w:p>
        </w:tc>
        <w:tc>
          <w:tcPr>
            <w:tcW w:w="6127" w:type="dxa"/>
            <w:tcBorders>
              <w:top w:val="single" w:color="000000" w:sz="8" w:space="0"/>
              <w:left w:val="single" w:color="000000" w:sz="8" w:space="0"/>
              <w:bottom w:val="single" w:color="000000" w:sz="8" w:space="0"/>
              <w:right w:val="single" w:color="000000" w:sz="8" w:space="0"/>
            </w:tcBorders>
            <w:vAlign w:val="center"/>
          </w:tcPr>
          <w:p w14:paraId="79140670">
            <w:pPr>
              <w:keepNext w:val="0"/>
              <w:keepLines w:val="0"/>
              <w:pageBreakBefore w:val="0"/>
              <w:widowControl w:val="0"/>
              <w:kinsoku/>
              <w:wordWrap/>
              <w:overflowPunct/>
              <w:topLinePunct w:val="0"/>
              <w:autoSpaceDE/>
              <w:autoSpaceDN/>
              <w:bidi w:val="0"/>
              <w:adjustRightInd/>
              <w:snapToGrid w:val="0"/>
              <w:ind w:left="0" w:firstLine="0"/>
              <w:jc w:val="left"/>
              <w:textAlignment w:val="auto"/>
              <w:rPr>
                <w:rFonts w:hint="eastAsia" w:ascii="宋体" w:hAnsi="宋体" w:eastAsia="宋体"/>
                <w:b w:val="0"/>
                <w:bCs w:val="0"/>
                <w:color w:val="auto"/>
                <w:kern w:val="0"/>
                <w:szCs w:val="21"/>
                <w:lang w:eastAsia="zh-CN"/>
              </w:rPr>
            </w:pPr>
            <w:r>
              <w:rPr>
                <w:rFonts w:hint="eastAsia" w:ascii="宋体" w:hAnsi="宋体" w:eastAsia="宋体"/>
                <w:b w:val="0"/>
                <w:bCs w:val="0"/>
                <w:color w:val="auto"/>
                <w:kern w:val="0"/>
                <w:szCs w:val="21"/>
                <w:lang w:eastAsia="zh-CN"/>
              </w:rPr>
              <w:t>指标点1-1：【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10" w:type="dxa"/>
            <w:tcBorders>
              <w:top w:val="single" w:color="000000" w:sz="8" w:space="0"/>
              <w:left w:val="single" w:color="000000" w:sz="8" w:space="0"/>
              <w:bottom w:val="single" w:color="000000" w:sz="8" w:space="0"/>
              <w:right w:val="single" w:color="000000" w:sz="8" w:space="0"/>
            </w:tcBorders>
            <w:vAlign w:val="center"/>
          </w:tcPr>
          <w:p w14:paraId="1047EEE0">
            <w:pPr>
              <w:snapToGrid w:val="0"/>
              <w:jc w:val="center"/>
              <w:rPr>
                <w:rFonts w:hint="eastAsia" w:ascii="宋体" w:hAnsi="宋体" w:eastAsia="宋体"/>
                <w:color w:val="auto"/>
                <w:kern w:val="0"/>
                <w:szCs w:val="21"/>
              </w:rPr>
            </w:pPr>
            <w:r>
              <w:rPr>
                <w:rFonts w:hint="eastAsia" w:ascii="Times New Roman" w:hAnsi="Times New Roman" w:eastAsia="宋体" w:cs="Times New Roman"/>
                <w:color w:val="auto"/>
                <w:szCs w:val="21"/>
              </w:rPr>
              <w:t>课程目标1</w:t>
            </w:r>
          </w:p>
        </w:tc>
      </w:tr>
      <w:tr w14:paraId="3984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477" w:hRule="atLeast"/>
        </w:trPr>
        <w:tc>
          <w:tcPr>
            <w:tcW w:w="1266" w:type="dxa"/>
            <w:vMerge w:val="continue"/>
            <w:tcBorders>
              <w:left w:val="single" w:color="000000" w:sz="8" w:space="0"/>
              <w:bottom w:val="single" w:color="000000" w:sz="8" w:space="0"/>
              <w:right w:val="single" w:color="000000" w:sz="8" w:space="0"/>
            </w:tcBorders>
            <w:vAlign w:val="center"/>
          </w:tcPr>
          <w:p w14:paraId="50497796">
            <w:pPr>
              <w:snapToGrid w:val="0"/>
              <w:jc w:val="center"/>
              <w:rPr>
                <w:rFonts w:hint="eastAsia" w:ascii="宋体" w:hAnsi="宋体" w:eastAsia="宋体"/>
                <w:color w:val="auto"/>
                <w:kern w:val="0"/>
                <w:szCs w:val="21"/>
              </w:rPr>
            </w:pPr>
          </w:p>
        </w:tc>
        <w:tc>
          <w:tcPr>
            <w:tcW w:w="6127" w:type="dxa"/>
            <w:tcBorders>
              <w:top w:val="single" w:color="000000" w:sz="8" w:space="0"/>
              <w:left w:val="single" w:color="000000" w:sz="8" w:space="0"/>
              <w:bottom w:val="single" w:color="000000" w:sz="8" w:space="0"/>
              <w:right w:val="single" w:color="000000" w:sz="8" w:space="0"/>
            </w:tcBorders>
            <w:vAlign w:val="center"/>
          </w:tcPr>
          <w:p w14:paraId="2D7DA85C">
            <w:pPr>
              <w:keepNext w:val="0"/>
              <w:keepLines w:val="0"/>
              <w:pageBreakBefore w:val="0"/>
              <w:widowControl w:val="0"/>
              <w:kinsoku/>
              <w:wordWrap/>
              <w:overflowPunct/>
              <w:topLinePunct w:val="0"/>
              <w:autoSpaceDE/>
              <w:autoSpaceDN/>
              <w:bidi w:val="0"/>
              <w:adjustRightInd/>
              <w:snapToGrid w:val="0"/>
              <w:ind w:left="0" w:firstLine="0"/>
              <w:jc w:val="left"/>
              <w:textAlignment w:val="auto"/>
              <w:rPr>
                <w:rFonts w:hint="eastAsia" w:ascii="宋体" w:hAnsi="宋体" w:eastAsia="宋体"/>
                <w:b w:val="0"/>
                <w:bCs w:val="0"/>
                <w:color w:val="auto"/>
                <w:kern w:val="0"/>
                <w:szCs w:val="21"/>
              </w:rPr>
            </w:pPr>
            <w:r>
              <w:rPr>
                <w:rFonts w:hint="eastAsia" w:ascii="宋体" w:hAnsi="宋体" w:eastAsia="宋体"/>
                <w:b w:val="0"/>
                <w:bCs w:val="0"/>
                <w:color w:val="auto"/>
                <w:kern w:val="0"/>
                <w:szCs w:val="21"/>
                <w:lang w:eastAsia="zh-CN"/>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r>
              <w:rPr>
                <w:rFonts w:hint="eastAsia" w:ascii="宋体" w:hAnsi="宋体" w:eastAsia="宋体"/>
                <w:b w:val="0"/>
                <w:bCs w:val="0"/>
                <w:color w:val="auto"/>
                <w:kern w:val="0"/>
                <w:szCs w:val="21"/>
              </w:rPr>
              <w:t xml:space="preserve"> </w:t>
            </w:r>
          </w:p>
        </w:tc>
        <w:tc>
          <w:tcPr>
            <w:tcW w:w="1110" w:type="dxa"/>
            <w:tcBorders>
              <w:top w:val="single" w:color="000000" w:sz="8" w:space="0"/>
              <w:left w:val="single" w:color="000000" w:sz="8" w:space="0"/>
              <w:bottom w:val="single" w:color="000000" w:sz="8" w:space="0"/>
              <w:right w:val="single" w:color="000000" w:sz="8" w:space="0"/>
            </w:tcBorders>
            <w:vAlign w:val="center"/>
          </w:tcPr>
          <w:p w14:paraId="48B0965B">
            <w:pPr>
              <w:snapToGrid w:val="0"/>
              <w:jc w:val="center"/>
              <w:rPr>
                <w:rFonts w:hint="eastAsia" w:ascii="宋体" w:hAnsi="宋体" w:eastAsia="宋体"/>
                <w:color w:val="auto"/>
                <w:kern w:val="0"/>
                <w:szCs w:val="21"/>
              </w:rPr>
            </w:pPr>
            <w:r>
              <w:rPr>
                <w:rFonts w:hint="eastAsia" w:ascii="Times New Roman" w:hAnsi="Times New Roman" w:eastAsia="宋体" w:cs="Times New Roman"/>
                <w:color w:val="auto"/>
                <w:szCs w:val="21"/>
              </w:rPr>
              <w:t>课程目标2</w:t>
            </w:r>
          </w:p>
        </w:tc>
      </w:tr>
      <w:tr w14:paraId="0A6B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104" w:hRule="atLeast"/>
        </w:trPr>
        <w:tc>
          <w:tcPr>
            <w:tcW w:w="12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03A7E3">
            <w:pPr>
              <w:widowControl/>
              <w:spacing w:line="340" w:lineRule="exact"/>
              <w:jc w:val="center"/>
              <w:rPr>
                <w:b/>
                <w:bCs/>
                <w:color w:val="auto"/>
                <w:kern w:val="0"/>
                <w:szCs w:val="21"/>
              </w:rPr>
            </w:pPr>
            <w:r>
              <w:rPr>
                <w:b/>
                <w:bCs/>
                <w:color w:val="auto"/>
                <w:kern w:val="0"/>
                <w:szCs w:val="21"/>
              </w:rPr>
              <w:t>毕业要求2</w:t>
            </w:r>
          </w:p>
          <w:p w14:paraId="7B7A8355">
            <w:pPr>
              <w:widowControl/>
              <w:spacing w:line="340" w:lineRule="exact"/>
              <w:jc w:val="center"/>
              <w:rPr>
                <w:rFonts w:ascii="Times New Roman" w:hAnsi="Times New Roman" w:eastAsia="宋体" w:cs="Times New Roman"/>
                <w:b/>
                <w:bCs/>
                <w:color w:val="auto"/>
                <w:szCs w:val="21"/>
              </w:rPr>
            </w:pPr>
            <w:r>
              <w:rPr>
                <w:b/>
                <w:bCs/>
                <w:color w:val="auto"/>
                <w:szCs w:val="23"/>
              </w:rPr>
              <w:t>教育情怀</w:t>
            </w:r>
          </w:p>
        </w:tc>
        <w:tc>
          <w:tcPr>
            <w:tcW w:w="612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0D5D73">
            <w:pPr>
              <w:keepNext w:val="0"/>
              <w:keepLines w:val="0"/>
              <w:pageBreakBefore w:val="0"/>
              <w:widowControl w:val="0"/>
              <w:kinsoku/>
              <w:wordWrap/>
              <w:overflowPunct/>
              <w:topLinePunct w:val="0"/>
              <w:autoSpaceDE/>
              <w:autoSpaceDN/>
              <w:bidi w:val="0"/>
              <w:adjustRightInd/>
              <w:snapToGrid w:val="0"/>
              <w:ind w:left="0" w:firstLine="0"/>
              <w:jc w:val="left"/>
              <w:textAlignment w:val="auto"/>
              <w:rPr>
                <w:rFonts w:hint="eastAsia" w:ascii="宋体" w:hAnsi="宋体" w:eastAsia="宋体"/>
                <w:b/>
                <w:bCs/>
                <w:color w:val="auto"/>
                <w:kern w:val="0"/>
                <w:szCs w:val="21"/>
              </w:rPr>
            </w:pPr>
            <w:r>
              <w:rPr>
                <w:rFonts w:hint="eastAsia" w:ascii="宋体" w:hAnsi="宋体" w:eastAsia="宋体"/>
                <w:b w:val="0"/>
                <w:bCs w:val="0"/>
                <w:color w:val="auto"/>
                <w:kern w:val="0"/>
                <w:szCs w:val="21"/>
              </w:rPr>
              <w:t>指标点2-3：【自身修养良好】具有较好的人文艺术底蕴与科学精神，言行举止符合教师职业标准，情感积极，人格健全，身心健康</w:t>
            </w:r>
            <w:r>
              <w:rPr>
                <w:rFonts w:hint="eastAsia" w:ascii="宋体" w:hAnsi="宋体" w:eastAsia="宋体"/>
                <w:color w:val="auto"/>
                <w:kern w:val="0"/>
                <w:szCs w:val="21"/>
              </w:rPr>
              <w:t>。</w:t>
            </w:r>
          </w:p>
        </w:tc>
        <w:tc>
          <w:tcPr>
            <w:tcW w:w="11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C6CB22">
            <w:pPr>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课程目标3</w:t>
            </w:r>
          </w:p>
        </w:tc>
      </w:tr>
    </w:tbl>
    <w:p w14:paraId="63B2715B">
      <w:pPr>
        <w:snapToGrid w:val="0"/>
        <w:spacing w:line="240" w:lineRule="auto"/>
        <w:rPr>
          <w:rFonts w:hint="eastAsia" w:ascii="宋体" w:hAnsi="宋体" w:eastAsia="宋体"/>
          <w:b/>
          <w:bCs/>
          <w:color w:val="auto"/>
          <w:sz w:val="28"/>
          <w:szCs w:val="28"/>
        </w:rPr>
      </w:pPr>
    </w:p>
    <w:p w14:paraId="4FB38FF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r>
        <w:rPr>
          <w:rFonts w:hint="eastAsia" w:ascii="宋体" w:hAnsi="宋体" w:eastAsia="宋体" w:cs="Times New Roman"/>
          <w:b/>
          <w:color w:val="auto"/>
          <w:sz w:val="24"/>
        </w:rPr>
        <w:t>三、课程内容及要求</w:t>
      </w:r>
    </w:p>
    <w:tbl>
      <w:tblPr>
        <w:tblStyle w:val="15"/>
        <w:tblW w:w="1092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97"/>
        <w:gridCol w:w="3085"/>
        <w:gridCol w:w="1245"/>
        <w:gridCol w:w="3113"/>
        <w:gridCol w:w="1387"/>
        <w:gridCol w:w="694"/>
      </w:tblGrid>
      <w:tr w14:paraId="1A96E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36A6E3C1">
            <w:pPr>
              <w:jc w:val="center"/>
              <w:rPr>
                <w:rFonts w:hint="eastAsia" w:ascii="宋体" w:hAnsi="宋体" w:eastAsia="宋体" w:cs="宋体"/>
                <w:b/>
                <w:bCs/>
                <w:color w:val="auto"/>
                <w:szCs w:val="21"/>
              </w:rPr>
            </w:pPr>
            <w:r>
              <w:rPr>
                <w:rFonts w:hint="eastAsia" w:ascii="宋体" w:hAnsi="宋体" w:eastAsia="宋体" w:cs="宋体"/>
                <w:b/>
                <w:bCs/>
                <w:color w:val="auto"/>
                <w:szCs w:val="21"/>
              </w:rPr>
              <w:t>知识单元</w:t>
            </w:r>
          </w:p>
        </w:tc>
        <w:tc>
          <w:tcPr>
            <w:tcW w:w="3085" w:type="dxa"/>
            <w:shd w:val="clear" w:color="auto" w:fill="auto"/>
            <w:vAlign w:val="center"/>
          </w:tcPr>
          <w:p w14:paraId="3B7C219B">
            <w:pPr>
              <w:jc w:val="center"/>
              <w:rPr>
                <w:rFonts w:hint="eastAsia" w:ascii="宋体" w:hAnsi="宋体" w:eastAsia="宋体" w:cs="宋体"/>
                <w:b/>
                <w:bCs/>
                <w:color w:val="auto"/>
                <w:szCs w:val="21"/>
              </w:rPr>
            </w:pPr>
            <w:r>
              <w:rPr>
                <w:rFonts w:hint="eastAsia" w:ascii="宋体" w:hAnsi="宋体" w:eastAsia="宋体" w:cs="宋体"/>
                <w:b/>
                <w:bCs/>
                <w:color w:val="auto"/>
                <w:szCs w:val="21"/>
              </w:rPr>
              <w:t>知识点</w:t>
            </w:r>
          </w:p>
        </w:tc>
        <w:tc>
          <w:tcPr>
            <w:tcW w:w="1245" w:type="dxa"/>
            <w:shd w:val="clear" w:color="auto" w:fill="auto"/>
            <w:vAlign w:val="center"/>
          </w:tcPr>
          <w:p w14:paraId="2421FD85">
            <w:pPr>
              <w:jc w:val="center"/>
              <w:rPr>
                <w:rFonts w:hint="eastAsia" w:ascii="宋体" w:hAnsi="宋体" w:eastAsia="宋体" w:cs="宋体"/>
                <w:b/>
                <w:color w:val="auto"/>
                <w:szCs w:val="21"/>
              </w:rPr>
            </w:pPr>
            <w:r>
              <w:rPr>
                <w:rFonts w:hint="eastAsia" w:ascii="宋体" w:hAnsi="宋体" w:eastAsia="宋体" w:cs="宋体"/>
                <w:b/>
                <w:color w:val="auto"/>
                <w:szCs w:val="21"/>
              </w:rPr>
              <w:t>对应</w:t>
            </w:r>
          </w:p>
          <w:p w14:paraId="4707925C">
            <w:pPr>
              <w:jc w:val="center"/>
              <w:rPr>
                <w:rFonts w:hint="eastAsia" w:ascii="宋体" w:hAnsi="宋体" w:eastAsia="宋体" w:cs="宋体"/>
                <w:b/>
                <w:bCs/>
                <w:color w:val="auto"/>
                <w:szCs w:val="21"/>
              </w:rPr>
            </w:pPr>
            <w:r>
              <w:rPr>
                <w:rFonts w:hint="eastAsia" w:ascii="宋体" w:hAnsi="宋体" w:eastAsia="宋体" w:cs="宋体"/>
                <w:b/>
                <w:color w:val="auto"/>
                <w:szCs w:val="21"/>
              </w:rPr>
              <w:t>课程目标</w:t>
            </w:r>
          </w:p>
        </w:tc>
        <w:tc>
          <w:tcPr>
            <w:tcW w:w="3113" w:type="dxa"/>
            <w:shd w:val="clear" w:color="auto" w:fill="auto"/>
            <w:vAlign w:val="center"/>
          </w:tcPr>
          <w:p w14:paraId="0886B25C">
            <w:pPr>
              <w:jc w:val="center"/>
              <w:rPr>
                <w:rFonts w:hint="eastAsia" w:ascii="宋体" w:hAnsi="宋体" w:eastAsia="宋体" w:cs="宋体"/>
                <w:b/>
                <w:bCs/>
                <w:color w:val="auto"/>
                <w:szCs w:val="21"/>
              </w:rPr>
            </w:pPr>
            <w:r>
              <w:rPr>
                <w:rFonts w:hint="eastAsia" w:ascii="宋体" w:hAnsi="宋体" w:eastAsia="宋体" w:cs="宋体"/>
                <w:b/>
                <w:bCs/>
                <w:color w:val="auto"/>
                <w:szCs w:val="21"/>
              </w:rPr>
              <w:t>预期学习成效</w:t>
            </w:r>
          </w:p>
        </w:tc>
        <w:tc>
          <w:tcPr>
            <w:tcW w:w="1387" w:type="dxa"/>
            <w:shd w:val="clear" w:color="auto" w:fill="auto"/>
            <w:vAlign w:val="center"/>
          </w:tcPr>
          <w:p w14:paraId="32752C38">
            <w:pPr>
              <w:jc w:val="center"/>
              <w:rPr>
                <w:rFonts w:hint="eastAsia" w:ascii="宋体" w:hAnsi="宋体" w:eastAsia="宋体" w:cs="宋体"/>
                <w:b/>
                <w:bCs/>
                <w:color w:val="auto"/>
                <w:szCs w:val="21"/>
              </w:rPr>
            </w:pPr>
            <w:r>
              <w:rPr>
                <w:rFonts w:hint="eastAsia" w:ascii="宋体" w:hAnsi="宋体" w:eastAsia="宋体" w:cs="宋体"/>
                <w:b/>
                <w:bCs/>
                <w:color w:val="auto"/>
                <w:szCs w:val="21"/>
              </w:rPr>
              <w:t>实现</w:t>
            </w:r>
          </w:p>
          <w:p w14:paraId="542E2E0B">
            <w:pPr>
              <w:jc w:val="center"/>
              <w:rPr>
                <w:rFonts w:hint="eastAsia" w:ascii="宋体" w:hAnsi="宋体" w:eastAsia="宋体" w:cs="宋体"/>
                <w:b/>
                <w:bCs/>
                <w:color w:val="auto"/>
                <w:szCs w:val="21"/>
              </w:rPr>
            </w:pPr>
            <w:r>
              <w:rPr>
                <w:rFonts w:hint="eastAsia" w:ascii="宋体" w:hAnsi="宋体" w:eastAsia="宋体" w:cs="宋体"/>
                <w:b/>
                <w:bCs/>
                <w:color w:val="auto"/>
                <w:szCs w:val="21"/>
              </w:rPr>
              <w:t>环节</w:t>
            </w:r>
          </w:p>
        </w:tc>
        <w:tc>
          <w:tcPr>
            <w:tcW w:w="694" w:type="dxa"/>
            <w:shd w:val="clear" w:color="auto" w:fill="auto"/>
            <w:vAlign w:val="center"/>
          </w:tcPr>
          <w:p w14:paraId="0AA943B3">
            <w:pPr>
              <w:jc w:val="center"/>
              <w:rPr>
                <w:rFonts w:hint="eastAsia" w:ascii="宋体" w:hAnsi="宋体" w:eastAsia="宋体" w:cs="宋体"/>
                <w:b/>
                <w:bCs/>
                <w:color w:val="auto"/>
                <w:szCs w:val="21"/>
              </w:rPr>
            </w:pPr>
            <w:r>
              <w:rPr>
                <w:rFonts w:hint="eastAsia" w:ascii="宋体" w:hAnsi="宋体" w:eastAsia="宋体" w:cs="宋体"/>
                <w:b/>
                <w:bCs/>
                <w:color w:val="auto"/>
                <w:szCs w:val="21"/>
              </w:rPr>
              <w:t>学时</w:t>
            </w:r>
          </w:p>
        </w:tc>
      </w:tr>
      <w:tr w14:paraId="746DF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27" w:hRule="atLeast"/>
          <w:jc w:val="center"/>
        </w:trPr>
        <w:tc>
          <w:tcPr>
            <w:tcW w:w="1397" w:type="dxa"/>
            <w:shd w:val="clear" w:color="auto" w:fill="auto"/>
            <w:vAlign w:val="center"/>
          </w:tcPr>
          <w:p w14:paraId="2AFB55AC">
            <w:pPr>
              <w:adjustRightInd w:val="0"/>
              <w:snapToGrid w:val="0"/>
              <w:jc w:val="center"/>
              <w:rPr>
                <w:rFonts w:hint="eastAsia" w:ascii="宋体" w:hAnsi="宋体" w:eastAsia="宋体" w:cs="宋体"/>
                <w:color w:val="auto"/>
                <w:szCs w:val="21"/>
              </w:rPr>
            </w:pPr>
            <w:r>
              <w:rPr>
                <w:rFonts w:hint="eastAsia" w:ascii="宋体" w:hAnsi="宋体" w:eastAsia="宋体" w:cs="宋体"/>
                <w:bCs/>
                <w:color w:val="auto"/>
                <w:szCs w:val="21"/>
              </w:rPr>
              <w:t>绪论 担当复兴大任 成就时代新人</w:t>
            </w:r>
          </w:p>
        </w:tc>
        <w:tc>
          <w:tcPr>
            <w:tcW w:w="3085" w:type="dxa"/>
            <w:shd w:val="clear" w:color="auto" w:fill="auto"/>
            <w:vAlign w:val="center"/>
          </w:tcPr>
          <w:p w14:paraId="07126E4C">
            <w:pPr>
              <w:adjustRightInd w:val="0"/>
              <w:snapToGrid w:val="0"/>
              <w:rPr>
                <w:rFonts w:hint="eastAsia" w:ascii="宋体" w:hAnsi="宋体" w:eastAsia="宋体" w:cs="宋体"/>
                <w:color w:val="auto"/>
                <w:szCs w:val="21"/>
              </w:rPr>
            </w:pPr>
            <w:r>
              <w:rPr>
                <w:rFonts w:hint="eastAsia" w:ascii="宋体" w:hAnsi="宋体" w:eastAsia="宋体" w:cs="宋体"/>
                <w:color w:val="auto"/>
                <w:szCs w:val="21"/>
              </w:rPr>
              <w:t>（1）我们处在中国特色社会主义新时代</w:t>
            </w:r>
          </w:p>
          <w:p w14:paraId="691DFFAC">
            <w:pPr>
              <w:adjustRightInd w:val="0"/>
              <w:snapToGrid w:val="0"/>
              <w:rPr>
                <w:rFonts w:hint="eastAsia" w:ascii="宋体" w:hAnsi="宋体" w:eastAsia="宋体" w:cs="宋体"/>
                <w:color w:val="auto"/>
                <w:szCs w:val="21"/>
              </w:rPr>
            </w:pPr>
            <w:r>
              <w:rPr>
                <w:rFonts w:hint="eastAsia" w:ascii="宋体" w:hAnsi="宋体" w:eastAsia="宋体" w:cs="宋体"/>
                <w:color w:val="auto"/>
                <w:szCs w:val="21"/>
              </w:rPr>
              <w:t>（2）新时代呼唤民族复兴大任的时代新人</w:t>
            </w:r>
          </w:p>
          <w:p w14:paraId="244406B8">
            <w:pPr>
              <w:adjustRightInd w:val="0"/>
              <w:snapToGrid w:val="0"/>
              <w:rPr>
                <w:rFonts w:hint="eastAsia" w:ascii="宋体" w:hAnsi="宋体" w:eastAsia="宋体" w:cs="宋体"/>
                <w:color w:val="auto"/>
                <w:szCs w:val="21"/>
              </w:rPr>
            </w:pPr>
            <w:r>
              <w:rPr>
                <w:rFonts w:hint="eastAsia" w:ascii="宋体" w:hAnsi="宋体" w:eastAsia="宋体" w:cs="宋体"/>
                <w:color w:val="auto"/>
                <w:szCs w:val="21"/>
              </w:rPr>
              <w:t>（3）不断提升思想道德素质和法治素养</w:t>
            </w:r>
          </w:p>
        </w:tc>
        <w:tc>
          <w:tcPr>
            <w:tcW w:w="1245" w:type="dxa"/>
            <w:shd w:val="clear" w:color="auto" w:fill="auto"/>
            <w:vAlign w:val="center"/>
          </w:tcPr>
          <w:p w14:paraId="60C298BC">
            <w:pPr>
              <w:jc w:val="center"/>
              <w:rPr>
                <w:rFonts w:hint="eastAsia" w:ascii="宋体" w:hAnsi="宋体" w:eastAsia="宋体" w:cs="宋体"/>
                <w:color w:val="auto"/>
                <w:szCs w:val="21"/>
              </w:rPr>
            </w:pPr>
            <w:r>
              <w:rPr>
                <w:rFonts w:hint="eastAsia" w:ascii="宋体" w:hAnsi="宋体" w:eastAsia="宋体" w:cs="宋体"/>
                <w:color w:val="auto"/>
                <w:szCs w:val="21"/>
              </w:rPr>
              <w:t>目标1</w:t>
            </w:r>
          </w:p>
          <w:p w14:paraId="246A409C">
            <w:pPr>
              <w:jc w:val="center"/>
              <w:rPr>
                <w:rFonts w:hint="eastAsia" w:ascii="宋体" w:hAnsi="宋体" w:eastAsia="宋体" w:cs="宋体"/>
                <w:color w:val="auto"/>
                <w:szCs w:val="21"/>
              </w:rPr>
            </w:pPr>
            <w:r>
              <w:rPr>
                <w:rFonts w:hint="eastAsia" w:ascii="宋体" w:hAnsi="宋体" w:eastAsia="宋体" w:cs="宋体"/>
                <w:color w:val="auto"/>
                <w:szCs w:val="21"/>
              </w:rPr>
              <w:t>目标2</w:t>
            </w:r>
          </w:p>
          <w:p w14:paraId="1B3D721F">
            <w:pPr>
              <w:jc w:val="center"/>
              <w:rPr>
                <w:rFonts w:hint="eastAsia" w:ascii="宋体" w:hAnsi="宋体" w:eastAsia="宋体" w:cs="宋体"/>
                <w:color w:val="auto"/>
                <w:szCs w:val="21"/>
              </w:rPr>
            </w:pPr>
            <w:r>
              <w:rPr>
                <w:rFonts w:hint="eastAsia" w:ascii="宋体" w:hAnsi="宋体" w:eastAsia="宋体" w:cs="宋体"/>
                <w:color w:val="auto"/>
                <w:szCs w:val="21"/>
              </w:rPr>
              <w:t>目标3</w:t>
            </w:r>
          </w:p>
        </w:tc>
        <w:tc>
          <w:tcPr>
            <w:tcW w:w="3113" w:type="dxa"/>
            <w:shd w:val="clear" w:color="auto" w:fill="auto"/>
            <w:vAlign w:val="center"/>
          </w:tcPr>
          <w:p w14:paraId="1F4FD3C0">
            <w:pPr>
              <w:autoSpaceDE w:val="0"/>
              <w:autoSpaceDN w:val="0"/>
              <w:adjustRightInd w:val="0"/>
              <w:rPr>
                <w:rFonts w:hint="eastAsia" w:ascii="宋体" w:hAnsi="宋体" w:eastAsia="宋体" w:cs="宋体"/>
                <w:color w:val="auto"/>
                <w:kern w:val="0"/>
                <w:szCs w:val="21"/>
              </w:rPr>
            </w:pPr>
            <w:r>
              <w:rPr>
                <w:rFonts w:hint="eastAsia" w:ascii="宋体" w:hAnsi="宋体" w:eastAsia="宋体" w:cs="宋体"/>
                <w:color w:val="auto"/>
                <w:kern w:val="0"/>
                <w:szCs w:val="21"/>
              </w:rPr>
              <w:t>了解中国发展的新方位，中国特色社会主义进入了新时代；理解中国特色社会主义进入新时代的实践价值和世界意义；掌握学习本课程的学习方法，增强学习的积极性和主动性，明确自己肩负的历史使命和时代责任</w:t>
            </w:r>
          </w:p>
        </w:tc>
        <w:tc>
          <w:tcPr>
            <w:tcW w:w="1387" w:type="dxa"/>
            <w:shd w:val="clear" w:color="auto" w:fill="auto"/>
            <w:vAlign w:val="center"/>
          </w:tcPr>
          <w:p w14:paraId="547B20F9">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12ACE17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w:t>
            </w:r>
          </w:p>
          <w:p w14:paraId="0D51CF5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3.课堂讨论</w:t>
            </w:r>
          </w:p>
          <w:p w14:paraId="168B4EC3">
            <w:pPr>
              <w:rPr>
                <w:rFonts w:hint="eastAsia" w:ascii="宋体" w:hAnsi="宋体" w:eastAsia="宋体" w:cs="宋体"/>
                <w:color w:val="auto"/>
                <w:szCs w:val="21"/>
              </w:rPr>
            </w:pPr>
            <w:r>
              <w:rPr>
                <w:rFonts w:hint="eastAsia" w:ascii="宋体" w:hAnsi="宋体" w:eastAsia="宋体" w:cs="Times New Roman"/>
                <w:color w:val="auto"/>
                <w:szCs w:val="21"/>
              </w:rPr>
              <w:t>4.单元测验</w:t>
            </w:r>
          </w:p>
        </w:tc>
        <w:tc>
          <w:tcPr>
            <w:tcW w:w="694" w:type="dxa"/>
            <w:shd w:val="clear" w:color="auto" w:fill="auto"/>
            <w:vAlign w:val="center"/>
          </w:tcPr>
          <w:p w14:paraId="79595DBC">
            <w:pPr>
              <w:jc w:val="center"/>
              <w:rPr>
                <w:rFonts w:hint="eastAsia" w:ascii="宋体" w:hAnsi="宋体" w:eastAsia="宋体" w:cs="宋体"/>
                <w:color w:val="auto"/>
                <w:szCs w:val="21"/>
              </w:rPr>
            </w:pPr>
            <w:r>
              <w:rPr>
                <w:rFonts w:hint="eastAsia" w:ascii="宋体" w:hAnsi="宋体" w:eastAsia="宋体" w:cs="宋体"/>
                <w:color w:val="auto"/>
                <w:szCs w:val="21"/>
              </w:rPr>
              <w:t>2</w:t>
            </w:r>
          </w:p>
        </w:tc>
      </w:tr>
      <w:tr w14:paraId="4EC7B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3AF9CF74">
            <w:pPr>
              <w:adjustRightInd w:val="0"/>
              <w:snapToGrid w:val="0"/>
              <w:jc w:val="center"/>
              <w:rPr>
                <w:rFonts w:hint="eastAsia" w:ascii="宋体" w:hAnsi="宋体" w:eastAsia="宋体" w:cs="宋体"/>
                <w:color w:val="auto"/>
                <w:szCs w:val="21"/>
              </w:rPr>
            </w:pPr>
            <w:r>
              <w:rPr>
                <w:rFonts w:hint="eastAsia" w:ascii="宋体" w:hAnsi="宋体" w:eastAsia="宋体" w:cs="宋体"/>
                <w:color w:val="auto"/>
                <w:szCs w:val="21"/>
              </w:rPr>
              <w:t>第一章 领悟人生真谛 把握人生方向</w:t>
            </w:r>
          </w:p>
        </w:tc>
        <w:tc>
          <w:tcPr>
            <w:tcW w:w="3085" w:type="dxa"/>
            <w:shd w:val="clear" w:color="auto" w:fill="auto"/>
            <w:vAlign w:val="center"/>
          </w:tcPr>
          <w:p w14:paraId="1C987979">
            <w:pPr>
              <w:rPr>
                <w:rFonts w:hint="eastAsia" w:ascii="宋体" w:hAnsi="宋体" w:eastAsia="宋体" w:cs="宋体"/>
                <w:color w:val="auto"/>
                <w:szCs w:val="21"/>
              </w:rPr>
            </w:pPr>
            <w:r>
              <w:rPr>
                <w:rFonts w:hint="eastAsia" w:ascii="宋体" w:hAnsi="宋体" w:eastAsia="宋体" w:cs="宋体"/>
                <w:color w:val="auto"/>
                <w:szCs w:val="21"/>
              </w:rPr>
              <w:t>（1）人生观是对人生的总看法</w:t>
            </w:r>
          </w:p>
          <w:p w14:paraId="2078D2C1">
            <w:pPr>
              <w:rPr>
                <w:rFonts w:hint="eastAsia" w:ascii="宋体" w:hAnsi="宋体" w:eastAsia="宋体" w:cs="宋体"/>
                <w:color w:val="auto"/>
                <w:szCs w:val="21"/>
              </w:rPr>
            </w:pPr>
            <w:r>
              <w:rPr>
                <w:rFonts w:hint="eastAsia" w:ascii="宋体" w:hAnsi="宋体" w:eastAsia="宋体" w:cs="宋体"/>
                <w:color w:val="auto"/>
                <w:szCs w:val="21"/>
              </w:rPr>
              <w:t>（2）正确的人生观</w:t>
            </w:r>
          </w:p>
          <w:p w14:paraId="06785AE5">
            <w:pPr>
              <w:rPr>
                <w:rFonts w:hint="eastAsia" w:ascii="宋体" w:hAnsi="宋体" w:eastAsia="宋体" w:cs="宋体"/>
                <w:color w:val="auto"/>
                <w:szCs w:val="21"/>
              </w:rPr>
            </w:pPr>
            <w:r>
              <w:rPr>
                <w:rFonts w:hint="eastAsia" w:ascii="宋体" w:hAnsi="宋体" w:eastAsia="宋体" w:cs="宋体"/>
                <w:color w:val="auto"/>
                <w:szCs w:val="21"/>
              </w:rPr>
              <w:t>（3）创造有意义的人生</w:t>
            </w:r>
          </w:p>
        </w:tc>
        <w:tc>
          <w:tcPr>
            <w:tcW w:w="1245" w:type="dxa"/>
            <w:shd w:val="clear" w:color="auto" w:fill="auto"/>
            <w:vAlign w:val="center"/>
          </w:tcPr>
          <w:p w14:paraId="5243AE46">
            <w:pPr>
              <w:jc w:val="center"/>
              <w:rPr>
                <w:rFonts w:hint="eastAsia" w:ascii="宋体" w:hAnsi="宋体" w:eastAsia="宋体" w:cs="宋体"/>
                <w:color w:val="auto"/>
                <w:szCs w:val="21"/>
              </w:rPr>
            </w:pPr>
            <w:r>
              <w:rPr>
                <w:rFonts w:hint="eastAsia" w:ascii="宋体" w:hAnsi="宋体" w:eastAsia="宋体" w:cs="宋体"/>
                <w:color w:val="auto"/>
                <w:szCs w:val="21"/>
              </w:rPr>
              <w:t>目标1</w:t>
            </w:r>
          </w:p>
        </w:tc>
        <w:tc>
          <w:tcPr>
            <w:tcW w:w="3113" w:type="dxa"/>
            <w:shd w:val="clear" w:color="auto" w:fill="auto"/>
            <w:vAlign w:val="center"/>
          </w:tcPr>
          <w:p w14:paraId="09819E48">
            <w:pPr>
              <w:rPr>
                <w:rFonts w:hint="eastAsia" w:ascii="宋体" w:hAnsi="宋体" w:eastAsia="宋体" w:cs="宋体"/>
                <w:color w:val="auto"/>
                <w:szCs w:val="21"/>
              </w:rPr>
            </w:pPr>
            <w:r>
              <w:rPr>
                <w:rFonts w:hint="eastAsia" w:ascii="宋体" w:hAnsi="宋体" w:eastAsia="宋体" w:cs="宋体"/>
                <w:color w:val="auto"/>
                <w:szCs w:val="21"/>
              </w:rPr>
              <w:t>了解人生观的基本内涵以及对人生的重要作用；理解树立为人民服务的人生观的重要意义；掌握处理各种关系的方法，立志在实践中创造有价值的人生，做到和谐发展</w:t>
            </w:r>
          </w:p>
        </w:tc>
        <w:tc>
          <w:tcPr>
            <w:tcW w:w="1387" w:type="dxa"/>
            <w:shd w:val="clear" w:color="auto" w:fill="auto"/>
            <w:vAlign w:val="center"/>
          </w:tcPr>
          <w:p w14:paraId="4CA1E46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79C34E3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w:t>
            </w:r>
          </w:p>
          <w:p w14:paraId="549D03F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3.课堂讨论</w:t>
            </w:r>
          </w:p>
          <w:p w14:paraId="26AE5FDE">
            <w:pPr>
              <w:rPr>
                <w:rFonts w:hint="eastAsia" w:ascii="宋体" w:hAnsi="宋体" w:eastAsia="宋体" w:cs="宋体"/>
                <w:color w:val="auto"/>
                <w:szCs w:val="21"/>
              </w:rPr>
            </w:pPr>
            <w:r>
              <w:rPr>
                <w:rFonts w:hint="eastAsia" w:ascii="宋体" w:hAnsi="宋体" w:eastAsia="宋体" w:cs="Times New Roman"/>
                <w:color w:val="auto"/>
                <w:szCs w:val="21"/>
              </w:rPr>
              <w:t>4.单元测验</w:t>
            </w:r>
          </w:p>
        </w:tc>
        <w:tc>
          <w:tcPr>
            <w:tcW w:w="694" w:type="dxa"/>
            <w:shd w:val="clear" w:color="auto" w:fill="auto"/>
            <w:vAlign w:val="center"/>
          </w:tcPr>
          <w:p w14:paraId="0AA09D85">
            <w:pPr>
              <w:jc w:val="center"/>
              <w:rPr>
                <w:rFonts w:hint="eastAsia" w:ascii="宋体" w:hAnsi="宋体" w:eastAsia="宋体" w:cs="宋体"/>
                <w:color w:val="auto"/>
                <w:szCs w:val="21"/>
              </w:rPr>
            </w:pPr>
            <w:r>
              <w:rPr>
                <w:rFonts w:hint="eastAsia" w:ascii="宋体" w:hAnsi="宋体" w:eastAsia="宋体" w:cs="宋体"/>
                <w:color w:val="auto"/>
                <w:szCs w:val="21"/>
              </w:rPr>
              <w:t>6</w:t>
            </w:r>
          </w:p>
        </w:tc>
      </w:tr>
      <w:tr w14:paraId="7A087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5DDBB4D0">
            <w:pPr>
              <w:jc w:val="center"/>
              <w:rPr>
                <w:rFonts w:hint="eastAsia" w:ascii="宋体" w:hAnsi="宋体" w:eastAsia="宋体" w:cs="宋体"/>
                <w:color w:val="auto"/>
                <w:szCs w:val="21"/>
              </w:rPr>
            </w:pPr>
            <w:r>
              <w:rPr>
                <w:rFonts w:hint="eastAsia" w:ascii="宋体" w:hAnsi="宋体" w:eastAsia="宋体" w:cs="宋体"/>
                <w:color w:val="auto"/>
                <w:szCs w:val="21"/>
              </w:rPr>
              <w:t>第二章 追求远大理想 坚定崇高信念</w:t>
            </w:r>
          </w:p>
        </w:tc>
        <w:tc>
          <w:tcPr>
            <w:tcW w:w="3085" w:type="dxa"/>
            <w:shd w:val="clear" w:color="auto" w:fill="auto"/>
            <w:vAlign w:val="center"/>
          </w:tcPr>
          <w:p w14:paraId="50B4704B">
            <w:pPr>
              <w:rPr>
                <w:rFonts w:hint="eastAsia" w:ascii="宋体" w:hAnsi="宋体" w:eastAsia="宋体" w:cs="宋体"/>
                <w:color w:val="auto"/>
                <w:szCs w:val="21"/>
              </w:rPr>
            </w:pPr>
            <w:r>
              <w:rPr>
                <w:rFonts w:hint="eastAsia" w:ascii="宋体" w:hAnsi="宋体" w:eastAsia="宋体" w:cs="宋体"/>
                <w:color w:val="auto"/>
                <w:szCs w:val="21"/>
              </w:rPr>
              <w:t>（1）理想信念的内涵及重要性</w:t>
            </w:r>
          </w:p>
          <w:p w14:paraId="3544DA31">
            <w:pPr>
              <w:rPr>
                <w:rFonts w:hint="eastAsia" w:ascii="宋体" w:hAnsi="宋体" w:eastAsia="宋体" w:cs="宋体"/>
                <w:color w:val="auto"/>
                <w:szCs w:val="21"/>
              </w:rPr>
            </w:pPr>
            <w:r>
              <w:rPr>
                <w:rFonts w:hint="eastAsia" w:ascii="宋体" w:hAnsi="宋体" w:eastAsia="宋体" w:cs="宋体"/>
                <w:color w:val="auto"/>
                <w:szCs w:val="21"/>
              </w:rPr>
              <w:t>（2）坚定信仰信念信心</w:t>
            </w:r>
          </w:p>
          <w:p w14:paraId="3F5D9544">
            <w:pPr>
              <w:rPr>
                <w:rFonts w:hint="eastAsia" w:ascii="宋体" w:hAnsi="宋体" w:eastAsia="宋体" w:cs="宋体"/>
                <w:color w:val="auto"/>
                <w:szCs w:val="21"/>
              </w:rPr>
            </w:pPr>
            <w:r>
              <w:rPr>
                <w:rFonts w:hint="eastAsia" w:ascii="宋体" w:hAnsi="宋体" w:eastAsia="宋体" w:cs="宋体"/>
                <w:color w:val="auto"/>
                <w:szCs w:val="21"/>
              </w:rPr>
              <w:t>（3）在实现中国梦的实践中放飞青春梦想</w:t>
            </w:r>
          </w:p>
        </w:tc>
        <w:tc>
          <w:tcPr>
            <w:tcW w:w="1245" w:type="dxa"/>
            <w:shd w:val="clear" w:color="auto" w:fill="auto"/>
            <w:vAlign w:val="center"/>
          </w:tcPr>
          <w:p w14:paraId="043432BD">
            <w:pPr>
              <w:jc w:val="center"/>
              <w:rPr>
                <w:rFonts w:hint="eastAsia" w:ascii="宋体" w:hAnsi="宋体" w:eastAsia="宋体" w:cs="宋体"/>
                <w:color w:val="auto"/>
                <w:szCs w:val="21"/>
              </w:rPr>
            </w:pPr>
            <w:r>
              <w:rPr>
                <w:rFonts w:hint="eastAsia" w:ascii="宋体" w:hAnsi="宋体" w:eastAsia="宋体" w:cs="宋体"/>
                <w:color w:val="auto"/>
                <w:szCs w:val="21"/>
              </w:rPr>
              <w:t>目标1</w:t>
            </w:r>
          </w:p>
        </w:tc>
        <w:tc>
          <w:tcPr>
            <w:tcW w:w="3113" w:type="dxa"/>
            <w:shd w:val="clear" w:color="auto" w:fill="auto"/>
            <w:vAlign w:val="center"/>
          </w:tcPr>
          <w:p w14:paraId="618B38C0">
            <w:pPr>
              <w:rPr>
                <w:rFonts w:hint="eastAsia" w:ascii="宋体" w:hAnsi="宋体" w:eastAsia="宋体" w:cs="宋体"/>
                <w:color w:val="auto"/>
                <w:szCs w:val="21"/>
              </w:rPr>
            </w:pPr>
            <w:r>
              <w:rPr>
                <w:rFonts w:hint="eastAsia" w:ascii="宋体" w:hAnsi="宋体" w:eastAsia="宋体" w:cs="宋体"/>
                <w:color w:val="auto"/>
                <w:szCs w:val="21"/>
              </w:rPr>
              <w:t>了解理想信念、共同理想的含义和特征；理解理想信念对大学生成才的重要意义，树立马克思主义的崇高的理想信念；掌握把理想转化为现实，实现中国梦的基本条件</w:t>
            </w:r>
          </w:p>
        </w:tc>
        <w:tc>
          <w:tcPr>
            <w:tcW w:w="1387" w:type="dxa"/>
            <w:shd w:val="clear" w:color="auto" w:fill="auto"/>
            <w:vAlign w:val="center"/>
          </w:tcPr>
          <w:p w14:paraId="350D118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5165C0C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w:t>
            </w:r>
          </w:p>
          <w:p w14:paraId="47A18B9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3.课堂讨论</w:t>
            </w:r>
          </w:p>
          <w:p w14:paraId="1B756FB6">
            <w:pPr>
              <w:rPr>
                <w:rFonts w:hint="eastAsia" w:ascii="宋体" w:hAnsi="宋体" w:eastAsia="宋体" w:cs="宋体"/>
                <w:color w:val="auto"/>
                <w:szCs w:val="21"/>
              </w:rPr>
            </w:pPr>
            <w:r>
              <w:rPr>
                <w:rFonts w:hint="eastAsia" w:ascii="宋体" w:hAnsi="宋体" w:eastAsia="宋体" w:cs="Times New Roman"/>
                <w:color w:val="auto"/>
                <w:szCs w:val="21"/>
              </w:rPr>
              <w:t>4.单元测验</w:t>
            </w:r>
          </w:p>
        </w:tc>
        <w:tc>
          <w:tcPr>
            <w:tcW w:w="694" w:type="dxa"/>
            <w:shd w:val="clear" w:color="auto" w:fill="auto"/>
            <w:vAlign w:val="center"/>
          </w:tcPr>
          <w:p w14:paraId="034B47A7">
            <w:pPr>
              <w:jc w:val="center"/>
              <w:rPr>
                <w:rFonts w:hint="eastAsia" w:ascii="宋体" w:hAnsi="宋体" w:eastAsia="宋体" w:cs="宋体"/>
                <w:color w:val="auto"/>
                <w:szCs w:val="21"/>
              </w:rPr>
            </w:pPr>
            <w:r>
              <w:rPr>
                <w:rFonts w:hint="eastAsia" w:ascii="宋体" w:hAnsi="宋体" w:eastAsia="宋体" w:cs="宋体"/>
                <w:color w:val="auto"/>
                <w:szCs w:val="21"/>
              </w:rPr>
              <w:t>6</w:t>
            </w:r>
          </w:p>
        </w:tc>
      </w:tr>
      <w:tr w14:paraId="30561D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32C09B70">
            <w:pPr>
              <w:jc w:val="center"/>
              <w:rPr>
                <w:rFonts w:hint="eastAsia" w:ascii="宋体" w:hAnsi="宋体" w:eastAsia="宋体" w:cs="宋体"/>
                <w:color w:val="auto"/>
                <w:szCs w:val="21"/>
              </w:rPr>
            </w:pPr>
            <w:r>
              <w:rPr>
                <w:rFonts w:hint="eastAsia" w:ascii="宋体" w:hAnsi="宋体" w:eastAsia="宋体" w:cs="宋体"/>
                <w:color w:val="auto"/>
                <w:szCs w:val="21"/>
              </w:rPr>
              <w:t>第三章 继承优良传统 弘扬中国精神</w:t>
            </w:r>
          </w:p>
        </w:tc>
        <w:tc>
          <w:tcPr>
            <w:tcW w:w="3085" w:type="dxa"/>
            <w:shd w:val="clear" w:color="auto" w:fill="auto"/>
            <w:vAlign w:val="center"/>
          </w:tcPr>
          <w:p w14:paraId="2217E431">
            <w:pPr>
              <w:rPr>
                <w:rFonts w:hint="eastAsia" w:ascii="宋体" w:hAnsi="宋体" w:eastAsia="宋体" w:cs="宋体"/>
                <w:color w:val="auto"/>
                <w:szCs w:val="21"/>
              </w:rPr>
            </w:pPr>
            <w:r>
              <w:rPr>
                <w:rFonts w:hint="eastAsia" w:ascii="宋体" w:hAnsi="宋体" w:eastAsia="宋体" w:cs="宋体"/>
                <w:color w:val="auto"/>
                <w:szCs w:val="21"/>
              </w:rPr>
              <w:t>（1）中国精神是兴国强国之魂；</w:t>
            </w:r>
          </w:p>
          <w:p w14:paraId="0999F0BD">
            <w:pPr>
              <w:rPr>
                <w:rFonts w:hint="eastAsia" w:ascii="宋体" w:hAnsi="宋体" w:eastAsia="宋体" w:cs="宋体"/>
                <w:color w:val="auto"/>
                <w:szCs w:val="21"/>
              </w:rPr>
            </w:pPr>
            <w:r>
              <w:rPr>
                <w:rFonts w:hint="eastAsia" w:ascii="宋体" w:hAnsi="宋体" w:eastAsia="宋体" w:cs="宋体"/>
                <w:color w:val="auto"/>
                <w:szCs w:val="21"/>
              </w:rPr>
              <w:t>（2）做新时代的忠诚爱国者</w:t>
            </w:r>
          </w:p>
          <w:p w14:paraId="71B53A54">
            <w:pPr>
              <w:rPr>
                <w:rFonts w:hint="eastAsia" w:ascii="宋体" w:hAnsi="宋体" w:eastAsia="宋体" w:cs="宋体"/>
                <w:color w:val="auto"/>
                <w:szCs w:val="21"/>
              </w:rPr>
            </w:pPr>
            <w:r>
              <w:rPr>
                <w:rFonts w:hint="eastAsia" w:ascii="宋体" w:hAnsi="宋体" w:eastAsia="宋体" w:cs="宋体"/>
                <w:color w:val="auto"/>
                <w:szCs w:val="21"/>
              </w:rPr>
              <w:t>（3）让改革创新成为青春远航的动力</w:t>
            </w:r>
          </w:p>
        </w:tc>
        <w:tc>
          <w:tcPr>
            <w:tcW w:w="1245" w:type="dxa"/>
            <w:shd w:val="clear" w:color="auto" w:fill="auto"/>
            <w:vAlign w:val="center"/>
          </w:tcPr>
          <w:p w14:paraId="508BA725">
            <w:pPr>
              <w:jc w:val="center"/>
              <w:rPr>
                <w:rFonts w:hint="eastAsia" w:ascii="宋体" w:hAnsi="宋体" w:eastAsia="宋体" w:cs="宋体"/>
                <w:color w:val="auto"/>
                <w:szCs w:val="21"/>
              </w:rPr>
            </w:pPr>
            <w:r>
              <w:rPr>
                <w:rFonts w:hint="eastAsia" w:ascii="宋体" w:hAnsi="宋体" w:eastAsia="宋体" w:cs="宋体"/>
                <w:color w:val="auto"/>
                <w:szCs w:val="21"/>
              </w:rPr>
              <w:t>目标1</w:t>
            </w:r>
          </w:p>
        </w:tc>
        <w:tc>
          <w:tcPr>
            <w:tcW w:w="3113" w:type="dxa"/>
            <w:shd w:val="clear" w:color="auto" w:fill="auto"/>
            <w:vAlign w:val="center"/>
          </w:tcPr>
          <w:p w14:paraId="18980F62">
            <w:pPr>
              <w:autoSpaceDE w:val="0"/>
              <w:autoSpaceDN w:val="0"/>
              <w:adjustRightInd w:val="0"/>
              <w:rPr>
                <w:rFonts w:hint="eastAsia" w:ascii="宋体" w:hAnsi="宋体" w:eastAsia="宋体" w:cs="宋体"/>
                <w:color w:val="auto"/>
                <w:szCs w:val="21"/>
              </w:rPr>
            </w:pPr>
            <w:r>
              <w:rPr>
                <w:rFonts w:hint="eastAsia" w:ascii="宋体" w:hAnsi="宋体" w:eastAsia="宋体" w:cs="宋体"/>
                <w:color w:val="auto"/>
                <w:szCs w:val="21"/>
              </w:rPr>
              <w:t>了解中国精神的科学内涵，实现中国梦必须弘扬中国精神；理解爱国主义的科学内涵和民族精神的优良传统，创新创造是中华民族的民族禀赋；掌握做忠诚的爱国者及改革创新实践者的途径</w:t>
            </w:r>
          </w:p>
        </w:tc>
        <w:tc>
          <w:tcPr>
            <w:tcW w:w="1387" w:type="dxa"/>
            <w:shd w:val="clear" w:color="auto" w:fill="auto"/>
            <w:vAlign w:val="center"/>
          </w:tcPr>
          <w:p w14:paraId="1C92ED6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4BA986B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w:t>
            </w:r>
          </w:p>
          <w:p w14:paraId="41A20A9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3.课堂讨论</w:t>
            </w:r>
          </w:p>
          <w:p w14:paraId="007C790E">
            <w:pPr>
              <w:rPr>
                <w:rFonts w:hint="eastAsia" w:ascii="宋体" w:hAnsi="宋体" w:eastAsia="宋体" w:cs="宋体"/>
                <w:color w:val="auto"/>
                <w:szCs w:val="21"/>
              </w:rPr>
            </w:pPr>
            <w:r>
              <w:rPr>
                <w:rFonts w:hint="eastAsia" w:ascii="宋体" w:hAnsi="宋体" w:eastAsia="宋体" w:cs="Times New Roman"/>
                <w:color w:val="auto"/>
                <w:szCs w:val="21"/>
              </w:rPr>
              <w:t>4.单元测验</w:t>
            </w:r>
          </w:p>
        </w:tc>
        <w:tc>
          <w:tcPr>
            <w:tcW w:w="694" w:type="dxa"/>
            <w:shd w:val="clear" w:color="auto" w:fill="auto"/>
            <w:vAlign w:val="center"/>
          </w:tcPr>
          <w:p w14:paraId="423CC4C9">
            <w:pPr>
              <w:jc w:val="center"/>
              <w:rPr>
                <w:rFonts w:hint="eastAsia" w:ascii="宋体" w:hAnsi="宋体" w:eastAsia="宋体" w:cs="宋体"/>
                <w:color w:val="auto"/>
                <w:szCs w:val="21"/>
              </w:rPr>
            </w:pPr>
            <w:r>
              <w:rPr>
                <w:rFonts w:hint="eastAsia" w:ascii="宋体" w:hAnsi="宋体" w:eastAsia="宋体" w:cs="宋体"/>
                <w:color w:val="auto"/>
                <w:szCs w:val="21"/>
              </w:rPr>
              <w:t>6</w:t>
            </w:r>
          </w:p>
        </w:tc>
      </w:tr>
      <w:tr w14:paraId="0E2D0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72B3ABB2">
            <w:pPr>
              <w:jc w:val="center"/>
              <w:rPr>
                <w:rFonts w:hint="eastAsia" w:ascii="宋体" w:hAnsi="宋体" w:eastAsia="宋体" w:cs="宋体"/>
                <w:color w:val="auto"/>
                <w:szCs w:val="21"/>
              </w:rPr>
            </w:pPr>
            <w:r>
              <w:rPr>
                <w:rFonts w:hint="eastAsia" w:ascii="宋体" w:hAnsi="宋体" w:eastAsia="宋体" w:cs="宋体"/>
                <w:color w:val="auto"/>
                <w:szCs w:val="21"/>
              </w:rPr>
              <w:t>第四章 明确价值要求 践行价值准则</w:t>
            </w:r>
          </w:p>
        </w:tc>
        <w:tc>
          <w:tcPr>
            <w:tcW w:w="3085" w:type="dxa"/>
            <w:shd w:val="clear" w:color="auto" w:fill="auto"/>
            <w:vAlign w:val="center"/>
          </w:tcPr>
          <w:p w14:paraId="71CEC858">
            <w:pPr>
              <w:adjustRightInd w:val="0"/>
              <w:snapToGrid w:val="0"/>
              <w:rPr>
                <w:rFonts w:hint="eastAsia" w:ascii="宋体" w:hAnsi="宋体" w:eastAsia="宋体" w:cs="宋体"/>
                <w:color w:val="auto"/>
                <w:szCs w:val="21"/>
              </w:rPr>
            </w:pPr>
            <w:r>
              <w:rPr>
                <w:rFonts w:hint="eastAsia" w:ascii="宋体" w:hAnsi="宋体" w:eastAsia="宋体" w:cs="宋体"/>
                <w:color w:val="auto"/>
                <w:szCs w:val="21"/>
              </w:rPr>
              <w:t>（1）全体人民共同的价值追求</w:t>
            </w:r>
          </w:p>
          <w:p w14:paraId="24E8BB67">
            <w:pPr>
              <w:adjustRightInd w:val="0"/>
              <w:snapToGrid w:val="0"/>
              <w:rPr>
                <w:rFonts w:hint="eastAsia" w:ascii="宋体" w:hAnsi="宋体" w:eastAsia="宋体" w:cs="宋体"/>
                <w:color w:val="auto"/>
                <w:szCs w:val="21"/>
              </w:rPr>
            </w:pPr>
            <w:r>
              <w:rPr>
                <w:rFonts w:hint="eastAsia" w:ascii="宋体" w:hAnsi="宋体" w:eastAsia="宋体" w:cs="宋体"/>
                <w:color w:val="auto"/>
                <w:szCs w:val="21"/>
              </w:rPr>
              <w:t>（2)社会主义核心价值观的显著特征</w:t>
            </w:r>
          </w:p>
          <w:p w14:paraId="7376CD46">
            <w:pPr>
              <w:adjustRightInd w:val="0"/>
              <w:snapToGrid w:val="0"/>
              <w:rPr>
                <w:rFonts w:hint="eastAsia" w:ascii="宋体" w:hAnsi="宋体" w:eastAsia="宋体" w:cs="宋体"/>
                <w:color w:val="auto"/>
                <w:szCs w:val="21"/>
              </w:rPr>
            </w:pPr>
            <w:r>
              <w:rPr>
                <w:rFonts w:hint="eastAsia" w:ascii="宋体" w:hAnsi="宋体" w:eastAsia="宋体" w:cs="宋体"/>
                <w:color w:val="auto"/>
                <w:szCs w:val="21"/>
              </w:rPr>
              <w:t>(3)积极践行社会主义核心价值观</w:t>
            </w:r>
          </w:p>
        </w:tc>
        <w:tc>
          <w:tcPr>
            <w:tcW w:w="1245" w:type="dxa"/>
            <w:shd w:val="clear" w:color="auto" w:fill="auto"/>
            <w:vAlign w:val="center"/>
          </w:tcPr>
          <w:p w14:paraId="2FADF07D">
            <w:pPr>
              <w:jc w:val="center"/>
              <w:rPr>
                <w:rFonts w:hint="eastAsia" w:ascii="宋体" w:hAnsi="宋体" w:eastAsia="宋体" w:cs="宋体"/>
                <w:color w:val="auto"/>
                <w:szCs w:val="21"/>
              </w:rPr>
            </w:pPr>
            <w:r>
              <w:rPr>
                <w:rFonts w:hint="eastAsia" w:ascii="宋体" w:hAnsi="宋体" w:eastAsia="宋体" w:cs="宋体"/>
                <w:color w:val="auto"/>
                <w:szCs w:val="21"/>
              </w:rPr>
              <w:t>目标1</w:t>
            </w:r>
          </w:p>
          <w:p w14:paraId="3EEFC134">
            <w:pPr>
              <w:jc w:val="center"/>
              <w:rPr>
                <w:rFonts w:hint="eastAsia" w:ascii="宋体" w:hAnsi="宋体" w:eastAsia="宋体" w:cs="宋体"/>
                <w:color w:val="auto"/>
                <w:szCs w:val="21"/>
              </w:rPr>
            </w:pPr>
            <w:r>
              <w:rPr>
                <w:rFonts w:hint="eastAsia" w:ascii="宋体" w:hAnsi="宋体" w:eastAsia="宋体" w:cs="宋体"/>
                <w:color w:val="auto"/>
                <w:szCs w:val="21"/>
              </w:rPr>
              <w:t>目标2</w:t>
            </w:r>
          </w:p>
        </w:tc>
        <w:tc>
          <w:tcPr>
            <w:tcW w:w="3113" w:type="dxa"/>
            <w:shd w:val="clear" w:color="auto" w:fill="auto"/>
            <w:vAlign w:val="center"/>
          </w:tcPr>
          <w:p w14:paraId="6C9C5607">
            <w:pPr>
              <w:rPr>
                <w:rFonts w:hint="eastAsia" w:ascii="宋体" w:hAnsi="宋体" w:eastAsia="宋体" w:cs="宋体"/>
                <w:color w:val="auto"/>
                <w:szCs w:val="21"/>
              </w:rPr>
            </w:pPr>
            <w:r>
              <w:rPr>
                <w:rFonts w:hint="eastAsia" w:ascii="宋体" w:hAnsi="宋体" w:eastAsia="宋体" w:cs="宋体"/>
                <w:color w:val="auto"/>
                <w:szCs w:val="21"/>
              </w:rPr>
              <w:t>了解社会主义核心价值观的基本内容；理解社会主义核心价值观的历史底蕴、现实基础、道义力量；掌握积极努力做社会主义核心价值观的践行者，扣好人生的第一个扣子</w:t>
            </w:r>
          </w:p>
        </w:tc>
        <w:tc>
          <w:tcPr>
            <w:tcW w:w="1387" w:type="dxa"/>
            <w:shd w:val="clear" w:color="auto" w:fill="auto"/>
            <w:vAlign w:val="center"/>
          </w:tcPr>
          <w:p w14:paraId="449D2AE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5C83AA2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w:t>
            </w:r>
          </w:p>
          <w:p w14:paraId="4224340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3.课堂讨论</w:t>
            </w:r>
          </w:p>
          <w:p w14:paraId="01ED96F1">
            <w:pPr>
              <w:rPr>
                <w:rFonts w:hint="eastAsia" w:ascii="宋体" w:hAnsi="宋体" w:eastAsia="宋体" w:cs="宋体"/>
                <w:color w:val="auto"/>
                <w:szCs w:val="21"/>
              </w:rPr>
            </w:pPr>
            <w:r>
              <w:rPr>
                <w:rFonts w:hint="eastAsia" w:ascii="宋体" w:hAnsi="宋体" w:eastAsia="宋体" w:cs="Times New Roman"/>
                <w:color w:val="auto"/>
                <w:szCs w:val="21"/>
              </w:rPr>
              <w:t>4.单元测验</w:t>
            </w:r>
          </w:p>
        </w:tc>
        <w:tc>
          <w:tcPr>
            <w:tcW w:w="694" w:type="dxa"/>
            <w:shd w:val="clear" w:color="auto" w:fill="auto"/>
            <w:vAlign w:val="center"/>
          </w:tcPr>
          <w:p w14:paraId="12C44238">
            <w:pPr>
              <w:jc w:val="center"/>
              <w:rPr>
                <w:rFonts w:hint="eastAsia" w:ascii="宋体" w:hAnsi="宋体" w:eastAsia="宋体" w:cs="宋体"/>
                <w:color w:val="auto"/>
                <w:szCs w:val="21"/>
              </w:rPr>
            </w:pPr>
            <w:r>
              <w:rPr>
                <w:rFonts w:hint="eastAsia" w:ascii="宋体" w:hAnsi="宋体" w:eastAsia="宋体" w:cs="宋体"/>
                <w:color w:val="auto"/>
                <w:szCs w:val="21"/>
              </w:rPr>
              <w:t>6</w:t>
            </w:r>
          </w:p>
        </w:tc>
      </w:tr>
      <w:tr w14:paraId="46F12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1397" w:type="dxa"/>
            <w:shd w:val="clear" w:color="auto" w:fill="auto"/>
            <w:vAlign w:val="center"/>
          </w:tcPr>
          <w:p w14:paraId="707F2011">
            <w:pPr>
              <w:jc w:val="center"/>
              <w:rPr>
                <w:rFonts w:hint="eastAsia" w:ascii="宋体" w:hAnsi="宋体" w:eastAsia="宋体" w:cs="宋体"/>
                <w:color w:val="auto"/>
                <w:szCs w:val="21"/>
              </w:rPr>
            </w:pPr>
            <w:r>
              <w:rPr>
                <w:rFonts w:hint="eastAsia" w:ascii="宋体" w:hAnsi="宋体" w:eastAsia="宋体" w:cs="宋体"/>
                <w:color w:val="auto"/>
                <w:szCs w:val="21"/>
              </w:rPr>
              <w:t>第五章 遵守道德规范 锤炼道德品格</w:t>
            </w:r>
          </w:p>
        </w:tc>
        <w:tc>
          <w:tcPr>
            <w:tcW w:w="3085" w:type="dxa"/>
            <w:shd w:val="clear" w:color="auto" w:fill="auto"/>
            <w:vAlign w:val="center"/>
          </w:tcPr>
          <w:p w14:paraId="57FE245C">
            <w:pPr>
              <w:rPr>
                <w:rFonts w:hint="eastAsia" w:ascii="宋体" w:hAnsi="宋体" w:eastAsia="宋体" w:cs="宋体"/>
                <w:color w:val="auto"/>
                <w:szCs w:val="21"/>
              </w:rPr>
            </w:pPr>
            <w:r>
              <w:rPr>
                <w:rFonts w:hint="eastAsia" w:ascii="宋体" w:hAnsi="宋体" w:eastAsia="宋体" w:cs="宋体"/>
                <w:color w:val="auto"/>
                <w:szCs w:val="21"/>
              </w:rPr>
              <w:t>(1)社会主义道德的核心与原则</w:t>
            </w:r>
          </w:p>
          <w:p w14:paraId="4BC5C4BF">
            <w:pPr>
              <w:rPr>
                <w:rFonts w:hint="eastAsia" w:ascii="宋体" w:hAnsi="宋体" w:eastAsia="宋体" w:cs="宋体"/>
                <w:color w:val="auto"/>
                <w:szCs w:val="21"/>
              </w:rPr>
            </w:pPr>
            <w:r>
              <w:rPr>
                <w:rFonts w:hint="eastAsia" w:ascii="宋体" w:hAnsi="宋体" w:eastAsia="宋体" w:cs="宋体"/>
                <w:color w:val="auto"/>
                <w:szCs w:val="21"/>
              </w:rPr>
              <w:t>(2)吸收借鉴优秀道德成果</w:t>
            </w:r>
          </w:p>
          <w:p w14:paraId="5FDD5BCC">
            <w:pPr>
              <w:rPr>
                <w:rFonts w:hint="eastAsia" w:ascii="宋体" w:hAnsi="宋体" w:eastAsia="宋体" w:cs="宋体"/>
                <w:color w:val="auto"/>
                <w:szCs w:val="21"/>
              </w:rPr>
            </w:pPr>
            <w:r>
              <w:rPr>
                <w:rFonts w:hint="eastAsia" w:ascii="宋体" w:hAnsi="宋体" w:eastAsia="宋体" w:cs="宋体"/>
                <w:color w:val="auto"/>
                <w:szCs w:val="21"/>
              </w:rPr>
              <w:t>(3)投身崇德向善的道德实践</w:t>
            </w:r>
          </w:p>
        </w:tc>
        <w:tc>
          <w:tcPr>
            <w:tcW w:w="1245" w:type="dxa"/>
            <w:shd w:val="clear" w:color="auto" w:fill="auto"/>
            <w:vAlign w:val="center"/>
          </w:tcPr>
          <w:p w14:paraId="4A178C7B">
            <w:pPr>
              <w:jc w:val="center"/>
              <w:rPr>
                <w:rFonts w:hint="eastAsia" w:ascii="宋体" w:hAnsi="宋体" w:eastAsia="宋体" w:cs="宋体"/>
                <w:color w:val="auto"/>
                <w:szCs w:val="21"/>
              </w:rPr>
            </w:pPr>
            <w:r>
              <w:rPr>
                <w:rFonts w:hint="eastAsia" w:ascii="宋体" w:hAnsi="宋体" w:eastAsia="宋体" w:cs="宋体"/>
                <w:color w:val="auto"/>
                <w:szCs w:val="21"/>
              </w:rPr>
              <w:t>目标1</w:t>
            </w:r>
          </w:p>
          <w:p w14:paraId="04752FB1">
            <w:pPr>
              <w:jc w:val="center"/>
              <w:rPr>
                <w:rFonts w:hint="eastAsia" w:ascii="宋体" w:hAnsi="宋体" w:eastAsia="宋体" w:cs="宋体"/>
                <w:color w:val="auto"/>
                <w:kern w:val="0"/>
                <w:szCs w:val="21"/>
              </w:rPr>
            </w:pPr>
            <w:r>
              <w:rPr>
                <w:rFonts w:hint="eastAsia" w:ascii="宋体" w:hAnsi="宋体" w:eastAsia="宋体" w:cs="宋体"/>
                <w:color w:val="auto"/>
                <w:szCs w:val="21"/>
              </w:rPr>
              <w:t>目标3</w:t>
            </w:r>
          </w:p>
        </w:tc>
        <w:tc>
          <w:tcPr>
            <w:tcW w:w="3113" w:type="dxa"/>
            <w:shd w:val="clear" w:color="auto" w:fill="auto"/>
            <w:vAlign w:val="center"/>
          </w:tcPr>
          <w:p w14:paraId="1EB34716">
            <w:pPr>
              <w:rPr>
                <w:rFonts w:hint="eastAsia" w:ascii="宋体" w:hAnsi="宋体" w:eastAsia="宋体" w:cs="宋体"/>
                <w:color w:val="auto"/>
                <w:kern w:val="0"/>
                <w:szCs w:val="21"/>
              </w:rPr>
            </w:pPr>
            <w:r>
              <w:rPr>
                <w:rFonts w:hint="eastAsia" w:ascii="宋体" w:hAnsi="宋体" w:eastAsia="宋体" w:cs="宋体"/>
                <w:color w:val="auto"/>
                <w:kern w:val="0"/>
                <w:szCs w:val="21"/>
              </w:rPr>
              <w:t>了解道德的历史演变、功能、作用和中华民族优良道德传统、革命道德；理解公共生活、职业生活、婚姻家庭生活中的道德与法律的内容；正确的择业观、职业观、恋爱观、婚姻观及公德意识的养成；掌握学习和掌握社会生活领域的道德规范和法律规范，自觉加强道德修养和法律修养，锤炼高尚品格</w:t>
            </w:r>
          </w:p>
        </w:tc>
        <w:tc>
          <w:tcPr>
            <w:tcW w:w="1387" w:type="dxa"/>
            <w:shd w:val="clear" w:color="auto" w:fill="auto"/>
            <w:vAlign w:val="center"/>
          </w:tcPr>
          <w:p w14:paraId="5EBAC9C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3EDC506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w:t>
            </w:r>
          </w:p>
          <w:p w14:paraId="2506641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3.课堂讨论</w:t>
            </w:r>
          </w:p>
          <w:p w14:paraId="013A1E20">
            <w:pPr>
              <w:rPr>
                <w:rFonts w:hint="eastAsia" w:ascii="宋体" w:hAnsi="宋体" w:eastAsia="宋体" w:cs="宋体"/>
                <w:color w:val="auto"/>
                <w:szCs w:val="21"/>
              </w:rPr>
            </w:pPr>
            <w:r>
              <w:rPr>
                <w:rFonts w:hint="eastAsia" w:ascii="宋体" w:hAnsi="宋体" w:eastAsia="宋体" w:cs="Times New Roman"/>
                <w:color w:val="auto"/>
                <w:szCs w:val="21"/>
              </w:rPr>
              <w:t>4.单元测验</w:t>
            </w:r>
          </w:p>
        </w:tc>
        <w:tc>
          <w:tcPr>
            <w:tcW w:w="694" w:type="dxa"/>
            <w:shd w:val="clear" w:color="auto" w:fill="auto"/>
            <w:vAlign w:val="center"/>
          </w:tcPr>
          <w:p w14:paraId="2DA25059">
            <w:pPr>
              <w:jc w:val="center"/>
              <w:rPr>
                <w:rFonts w:hint="eastAsia" w:ascii="宋体" w:hAnsi="宋体" w:eastAsia="宋体" w:cs="宋体"/>
                <w:color w:val="auto"/>
                <w:szCs w:val="21"/>
              </w:rPr>
            </w:pPr>
            <w:r>
              <w:rPr>
                <w:rFonts w:hint="eastAsia" w:ascii="宋体" w:hAnsi="宋体" w:eastAsia="宋体" w:cs="宋体"/>
                <w:color w:val="auto"/>
                <w:szCs w:val="21"/>
              </w:rPr>
              <w:t>8</w:t>
            </w:r>
          </w:p>
        </w:tc>
      </w:tr>
      <w:tr w14:paraId="79D30B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2D2F9814">
            <w:pPr>
              <w:jc w:val="center"/>
              <w:rPr>
                <w:rFonts w:hint="eastAsia" w:ascii="宋体" w:hAnsi="宋体" w:eastAsia="宋体" w:cs="宋体"/>
                <w:color w:val="auto"/>
                <w:szCs w:val="21"/>
              </w:rPr>
            </w:pPr>
            <w:r>
              <w:rPr>
                <w:rFonts w:hint="eastAsia" w:ascii="宋体" w:hAnsi="宋体" w:eastAsia="宋体" w:cs="宋体"/>
                <w:color w:val="auto"/>
                <w:szCs w:val="21"/>
              </w:rPr>
              <w:t>第六章 学习法治思想 提升法治素养</w:t>
            </w:r>
          </w:p>
        </w:tc>
        <w:tc>
          <w:tcPr>
            <w:tcW w:w="3085" w:type="dxa"/>
            <w:shd w:val="clear" w:color="auto" w:fill="auto"/>
            <w:vAlign w:val="center"/>
          </w:tcPr>
          <w:p w14:paraId="15E9F90E">
            <w:pPr>
              <w:rPr>
                <w:rFonts w:hint="eastAsia" w:ascii="宋体" w:hAnsi="宋体" w:eastAsia="宋体" w:cs="宋体"/>
                <w:color w:val="auto"/>
                <w:szCs w:val="21"/>
              </w:rPr>
            </w:pPr>
            <w:r>
              <w:rPr>
                <w:rFonts w:hint="eastAsia" w:ascii="宋体" w:hAnsi="宋体" w:eastAsia="宋体" w:cs="宋体"/>
                <w:color w:val="auto"/>
                <w:szCs w:val="21"/>
              </w:rPr>
              <w:t>（1）社会主义法律的特征和运行</w:t>
            </w:r>
          </w:p>
          <w:p w14:paraId="4C0453FE">
            <w:pPr>
              <w:rPr>
                <w:rFonts w:hint="eastAsia" w:ascii="宋体" w:hAnsi="宋体" w:eastAsia="宋体" w:cs="宋体"/>
                <w:color w:val="auto"/>
                <w:szCs w:val="21"/>
              </w:rPr>
            </w:pPr>
            <w:r>
              <w:rPr>
                <w:rFonts w:hint="eastAsia" w:ascii="宋体" w:hAnsi="宋体" w:eastAsia="宋体" w:cs="宋体"/>
                <w:color w:val="auto"/>
                <w:szCs w:val="21"/>
              </w:rPr>
              <w:t>（2）坚持全面依法治国；</w:t>
            </w:r>
          </w:p>
          <w:p w14:paraId="5D17232B">
            <w:pPr>
              <w:rPr>
                <w:rFonts w:hint="eastAsia" w:ascii="宋体" w:hAnsi="宋体" w:eastAsia="宋体" w:cs="宋体"/>
                <w:color w:val="auto"/>
                <w:szCs w:val="21"/>
              </w:rPr>
            </w:pPr>
            <w:r>
              <w:rPr>
                <w:rFonts w:hint="eastAsia" w:ascii="宋体" w:hAnsi="宋体" w:eastAsia="宋体" w:cs="宋体"/>
                <w:color w:val="auto"/>
                <w:szCs w:val="21"/>
              </w:rPr>
              <w:t>（3）维护宪法权威</w:t>
            </w:r>
          </w:p>
          <w:p w14:paraId="1A80154C">
            <w:pPr>
              <w:rPr>
                <w:rFonts w:hint="eastAsia" w:ascii="宋体" w:hAnsi="宋体" w:eastAsia="宋体" w:cs="宋体"/>
                <w:color w:val="auto"/>
                <w:szCs w:val="21"/>
              </w:rPr>
            </w:pPr>
            <w:r>
              <w:rPr>
                <w:rFonts w:hint="eastAsia" w:ascii="宋体" w:hAnsi="宋体" w:eastAsia="宋体" w:cs="宋体"/>
                <w:color w:val="auto"/>
                <w:szCs w:val="21"/>
              </w:rPr>
              <w:t>（4）自觉尊法学法守法用法</w:t>
            </w:r>
          </w:p>
        </w:tc>
        <w:tc>
          <w:tcPr>
            <w:tcW w:w="1245" w:type="dxa"/>
            <w:shd w:val="clear" w:color="auto" w:fill="auto"/>
            <w:vAlign w:val="center"/>
          </w:tcPr>
          <w:p w14:paraId="3EBDBA09">
            <w:pPr>
              <w:jc w:val="center"/>
              <w:rPr>
                <w:rFonts w:hint="eastAsia" w:ascii="宋体" w:hAnsi="宋体" w:eastAsia="宋体" w:cs="宋体"/>
                <w:color w:val="auto"/>
                <w:szCs w:val="21"/>
              </w:rPr>
            </w:pPr>
            <w:r>
              <w:rPr>
                <w:rFonts w:hint="eastAsia" w:ascii="宋体" w:hAnsi="宋体" w:eastAsia="宋体" w:cs="宋体"/>
                <w:color w:val="auto"/>
                <w:szCs w:val="21"/>
              </w:rPr>
              <w:t>目标1</w:t>
            </w:r>
          </w:p>
          <w:p w14:paraId="0F96B24E">
            <w:pPr>
              <w:jc w:val="center"/>
              <w:rPr>
                <w:rFonts w:hint="eastAsia" w:ascii="宋体" w:hAnsi="宋体" w:eastAsia="宋体" w:cs="宋体"/>
                <w:color w:val="auto"/>
                <w:szCs w:val="21"/>
              </w:rPr>
            </w:pPr>
            <w:r>
              <w:rPr>
                <w:rFonts w:hint="eastAsia" w:ascii="宋体" w:hAnsi="宋体" w:eastAsia="宋体" w:cs="宋体"/>
                <w:color w:val="auto"/>
                <w:szCs w:val="21"/>
              </w:rPr>
              <w:t>目标2</w:t>
            </w:r>
          </w:p>
          <w:p w14:paraId="2343154E">
            <w:pPr>
              <w:jc w:val="center"/>
              <w:rPr>
                <w:rFonts w:hint="eastAsia" w:ascii="宋体" w:hAnsi="宋体" w:eastAsia="宋体" w:cs="宋体"/>
                <w:color w:val="auto"/>
                <w:kern w:val="0"/>
                <w:szCs w:val="21"/>
              </w:rPr>
            </w:pPr>
          </w:p>
        </w:tc>
        <w:tc>
          <w:tcPr>
            <w:tcW w:w="3113" w:type="dxa"/>
            <w:shd w:val="clear" w:color="auto" w:fill="auto"/>
            <w:vAlign w:val="center"/>
          </w:tcPr>
          <w:p w14:paraId="5F95294D">
            <w:pPr>
              <w:rPr>
                <w:rFonts w:hint="eastAsia" w:ascii="宋体" w:hAnsi="宋体" w:eastAsia="宋体" w:cs="宋体"/>
                <w:color w:val="auto"/>
                <w:kern w:val="0"/>
                <w:szCs w:val="21"/>
              </w:rPr>
            </w:pPr>
            <w:r>
              <w:rPr>
                <w:rFonts w:hint="eastAsia" w:ascii="宋体" w:hAnsi="宋体" w:eastAsia="宋体" w:cs="宋体"/>
                <w:color w:val="auto"/>
                <w:kern w:val="0"/>
                <w:szCs w:val="21"/>
              </w:rPr>
              <w:t>了解法律的概念与历史发展，宪法规定的基本制度、实体法律部门和程序法律部门，社会主义法治思维方式与法律的至上地位，法律权利与义务以及二者的关系；理解社会主义法治观念的主要内容、社主义法治思维方式的基本含义和特征，我国宪法法律规定的权利和义务；掌握中国特色社会主义法治体系，不断增强维护法律尊严的自觉性和责任感；树立法治理念，培养法治思维，维护法律权威，成为具有良好的法律素质的社会主义建设者和接班人，如何依法行使权利和履行义务</w:t>
            </w:r>
          </w:p>
        </w:tc>
        <w:tc>
          <w:tcPr>
            <w:tcW w:w="1387" w:type="dxa"/>
            <w:shd w:val="clear" w:color="auto" w:fill="auto"/>
            <w:vAlign w:val="center"/>
          </w:tcPr>
          <w:p w14:paraId="785E524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558654F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w:t>
            </w:r>
          </w:p>
          <w:p w14:paraId="1D75666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3.课堂讨论</w:t>
            </w:r>
          </w:p>
          <w:p w14:paraId="3BE6A136">
            <w:pPr>
              <w:rPr>
                <w:rFonts w:hint="eastAsia" w:ascii="宋体" w:hAnsi="宋体" w:eastAsia="宋体" w:cs="宋体"/>
                <w:color w:val="auto"/>
                <w:szCs w:val="21"/>
              </w:rPr>
            </w:pPr>
            <w:r>
              <w:rPr>
                <w:rFonts w:hint="eastAsia" w:ascii="宋体" w:hAnsi="宋体" w:eastAsia="宋体" w:cs="Times New Roman"/>
                <w:color w:val="auto"/>
                <w:szCs w:val="21"/>
              </w:rPr>
              <w:t>4.单元测验</w:t>
            </w:r>
          </w:p>
        </w:tc>
        <w:tc>
          <w:tcPr>
            <w:tcW w:w="694" w:type="dxa"/>
            <w:shd w:val="clear" w:color="auto" w:fill="auto"/>
            <w:vAlign w:val="center"/>
          </w:tcPr>
          <w:p w14:paraId="19C37102">
            <w:pPr>
              <w:jc w:val="center"/>
              <w:rPr>
                <w:rFonts w:hint="eastAsia" w:ascii="宋体" w:hAnsi="宋体" w:eastAsia="宋体" w:cs="宋体"/>
                <w:color w:val="auto"/>
                <w:szCs w:val="21"/>
              </w:rPr>
            </w:pPr>
            <w:r>
              <w:rPr>
                <w:rFonts w:hint="eastAsia" w:ascii="宋体" w:hAnsi="宋体" w:eastAsia="宋体" w:cs="宋体"/>
                <w:color w:val="auto"/>
                <w:szCs w:val="21"/>
              </w:rPr>
              <w:t>8</w:t>
            </w:r>
          </w:p>
        </w:tc>
      </w:tr>
      <w:tr w14:paraId="10C87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3077B805">
            <w:pPr>
              <w:jc w:val="center"/>
              <w:rPr>
                <w:rFonts w:hint="eastAsia" w:ascii="宋体" w:hAnsi="宋体" w:eastAsia="宋体" w:cs="宋体"/>
                <w:color w:val="auto"/>
                <w:szCs w:val="21"/>
              </w:rPr>
            </w:pPr>
            <w:r>
              <w:rPr>
                <w:rFonts w:hint="eastAsia" w:ascii="宋体" w:hAnsi="宋体" w:eastAsia="宋体" w:cs="宋体"/>
                <w:bCs/>
                <w:color w:val="auto"/>
                <w:szCs w:val="21"/>
              </w:rPr>
              <w:t>思想政治理论课实践</w:t>
            </w:r>
          </w:p>
        </w:tc>
        <w:tc>
          <w:tcPr>
            <w:tcW w:w="8830" w:type="dxa"/>
            <w:gridSpan w:val="4"/>
            <w:shd w:val="clear" w:color="auto" w:fill="auto"/>
            <w:vAlign w:val="center"/>
          </w:tcPr>
          <w:p w14:paraId="7BDB72DA">
            <w:pPr>
              <w:rPr>
                <w:rFonts w:hint="eastAsia" w:ascii="宋体" w:hAnsi="宋体" w:eastAsia="宋体" w:cs="宋体"/>
                <w:color w:val="auto"/>
                <w:szCs w:val="21"/>
              </w:rPr>
            </w:pPr>
            <w:r>
              <w:rPr>
                <w:rFonts w:hint="eastAsia" w:ascii="宋体" w:hAnsi="宋体" w:eastAsia="宋体" w:cs="宋体"/>
                <w:bCs/>
                <w:color w:val="auto"/>
                <w:szCs w:val="21"/>
              </w:rPr>
              <w:t>落实教育部要求，本课程的实践学时计入“思想政治理论课实践”课程。学院组织实践教师指导学生分散在第一学期至第四学期完成“思想政治理论课实践”项目，学生的实践成绩在第四学期计入“思想政治理论课实践”课程成绩。</w:t>
            </w:r>
          </w:p>
        </w:tc>
        <w:tc>
          <w:tcPr>
            <w:tcW w:w="694" w:type="dxa"/>
            <w:shd w:val="clear" w:color="auto" w:fill="auto"/>
            <w:vAlign w:val="center"/>
          </w:tcPr>
          <w:p w14:paraId="2CD209A3">
            <w:pPr>
              <w:jc w:val="center"/>
              <w:rPr>
                <w:rFonts w:hint="eastAsia" w:ascii="宋体" w:hAnsi="宋体" w:eastAsia="宋体" w:cs="宋体"/>
                <w:color w:val="auto"/>
                <w:szCs w:val="21"/>
              </w:rPr>
            </w:pPr>
            <w:r>
              <w:rPr>
                <w:rFonts w:hint="eastAsia" w:ascii="宋体" w:hAnsi="宋体" w:eastAsia="宋体" w:cs="宋体"/>
                <w:color w:val="auto"/>
                <w:szCs w:val="21"/>
              </w:rPr>
              <w:t>6</w:t>
            </w:r>
          </w:p>
        </w:tc>
      </w:tr>
    </w:tbl>
    <w:p w14:paraId="18D0FA8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4"/>
        </w:rPr>
      </w:pPr>
      <w:r>
        <w:rPr>
          <w:rFonts w:hint="eastAsia" w:ascii="宋体" w:hAnsi="宋体" w:eastAsia="宋体" w:cs="Times New Roman"/>
          <w:b/>
          <w:color w:val="auto"/>
          <w:sz w:val="24"/>
        </w:rPr>
        <w:t>四、目标评价与成绩评定</w:t>
      </w:r>
    </w:p>
    <w:p w14:paraId="24285C85">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3B7232BB">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2010"/>
        <w:gridCol w:w="1553"/>
        <w:gridCol w:w="1335"/>
        <w:gridCol w:w="1494"/>
        <w:gridCol w:w="815"/>
      </w:tblGrid>
      <w:tr w14:paraId="7FFC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restart"/>
            <w:vAlign w:val="center"/>
          </w:tcPr>
          <w:p w14:paraId="559F2C5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6392" w:type="dxa"/>
            <w:gridSpan w:val="4"/>
            <w:vAlign w:val="center"/>
          </w:tcPr>
          <w:p w14:paraId="56758C8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815" w:type="dxa"/>
            <w:vMerge w:val="restart"/>
            <w:vAlign w:val="center"/>
          </w:tcPr>
          <w:p w14:paraId="769CFF5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3013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continue"/>
            <w:vAlign w:val="center"/>
          </w:tcPr>
          <w:p w14:paraId="1A985D4B">
            <w:pPr>
              <w:spacing w:line="360" w:lineRule="auto"/>
              <w:jc w:val="center"/>
              <w:rPr>
                <w:rFonts w:hint="eastAsia" w:ascii="宋体" w:hAnsi="宋体" w:eastAsia="宋体" w:cs="Times New Roman"/>
                <w:color w:val="auto"/>
                <w:szCs w:val="21"/>
              </w:rPr>
            </w:pPr>
          </w:p>
        </w:tc>
        <w:tc>
          <w:tcPr>
            <w:tcW w:w="2010" w:type="dxa"/>
            <w:vAlign w:val="center"/>
          </w:tcPr>
          <w:p w14:paraId="623FD71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网络课堂学习</w:t>
            </w:r>
          </w:p>
        </w:tc>
        <w:tc>
          <w:tcPr>
            <w:tcW w:w="1553" w:type="dxa"/>
            <w:vAlign w:val="center"/>
          </w:tcPr>
          <w:p w14:paraId="462B8D2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平时表现</w:t>
            </w:r>
          </w:p>
        </w:tc>
        <w:tc>
          <w:tcPr>
            <w:tcW w:w="1335" w:type="dxa"/>
            <w:vAlign w:val="center"/>
          </w:tcPr>
          <w:p w14:paraId="0FD4194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作业</w:t>
            </w:r>
          </w:p>
        </w:tc>
        <w:tc>
          <w:tcPr>
            <w:tcW w:w="1494" w:type="dxa"/>
            <w:vAlign w:val="center"/>
          </w:tcPr>
          <w:p w14:paraId="56DA33B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815" w:type="dxa"/>
            <w:vMerge w:val="continue"/>
            <w:vAlign w:val="center"/>
          </w:tcPr>
          <w:p w14:paraId="0BFE2662">
            <w:pPr>
              <w:spacing w:line="360" w:lineRule="auto"/>
              <w:jc w:val="center"/>
              <w:rPr>
                <w:rFonts w:hint="eastAsia" w:ascii="宋体" w:hAnsi="宋体" w:eastAsia="宋体" w:cs="Times New Roman"/>
                <w:color w:val="auto"/>
                <w:szCs w:val="21"/>
              </w:rPr>
            </w:pPr>
          </w:p>
        </w:tc>
      </w:tr>
      <w:tr w14:paraId="259E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14:paraId="6BD5B7D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2010" w:type="dxa"/>
            <w:vAlign w:val="center"/>
          </w:tcPr>
          <w:p w14:paraId="00FB4A7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553" w:type="dxa"/>
            <w:vAlign w:val="center"/>
          </w:tcPr>
          <w:p w14:paraId="43638A85">
            <w:pPr>
              <w:spacing w:line="360" w:lineRule="auto"/>
              <w:jc w:val="center"/>
              <w:rPr>
                <w:rFonts w:hint="eastAsia" w:ascii="宋体" w:hAnsi="宋体" w:eastAsia="宋体" w:cs="Times New Roman"/>
                <w:color w:val="auto"/>
                <w:szCs w:val="21"/>
              </w:rPr>
            </w:pPr>
          </w:p>
        </w:tc>
        <w:tc>
          <w:tcPr>
            <w:tcW w:w="1335" w:type="dxa"/>
            <w:vAlign w:val="center"/>
          </w:tcPr>
          <w:p w14:paraId="5CC5F65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94" w:type="dxa"/>
            <w:vAlign w:val="center"/>
          </w:tcPr>
          <w:p w14:paraId="3189689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815" w:type="dxa"/>
            <w:vAlign w:val="center"/>
          </w:tcPr>
          <w:p w14:paraId="7F7E26A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36</w:t>
            </w:r>
          </w:p>
        </w:tc>
      </w:tr>
      <w:tr w14:paraId="4E2F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14:paraId="4923A18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2010" w:type="dxa"/>
            <w:vAlign w:val="center"/>
          </w:tcPr>
          <w:p w14:paraId="76F86D3D">
            <w:pPr>
              <w:spacing w:line="360" w:lineRule="auto"/>
              <w:jc w:val="center"/>
              <w:rPr>
                <w:rFonts w:hint="eastAsia" w:ascii="宋体" w:hAnsi="宋体" w:eastAsia="宋体" w:cs="Times New Roman"/>
                <w:color w:val="auto"/>
                <w:szCs w:val="21"/>
              </w:rPr>
            </w:pPr>
          </w:p>
        </w:tc>
        <w:tc>
          <w:tcPr>
            <w:tcW w:w="1553" w:type="dxa"/>
            <w:vAlign w:val="center"/>
          </w:tcPr>
          <w:p w14:paraId="3383BC0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335" w:type="dxa"/>
            <w:vAlign w:val="center"/>
          </w:tcPr>
          <w:p w14:paraId="5FD0ACDC">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94" w:type="dxa"/>
            <w:vAlign w:val="center"/>
          </w:tcPr>
          <w:p w14:paraId="638451BB">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815" w:type="dxa"/>
            <w:vAlign w:val="center"/>
          </w:tcPr>
          <w:p w14:paraId="66405CA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42</w:t>
            </w:r>
          </w:p>
        </w:tc>
      </w:tr>
      <w:tr w14:paraId="5878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14:paraId="0F08B32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2010" w:type="dxa"/>
            <w:vAlign w:val="center"/>
          </w:tcPr>
          <w:p w14:paraId="5BCDD674">
            <w:pPr>
              <w:spacing w:line="360" w:lineRule="auto"/>
              <w:jc w:val="center"/>
              <w:rPr>
                <w:rFonts w:hint="eastAsia" w:ascii="宋体" w:hAnsi="宋体" w:eastAsia="宋体" w:cs="Times New Roman"/>
                <w:color w:val="auto"/>
                <w:szCs w:val="21"/>
              </w:rPr>
            </w:pPr>
          </w:p>
        </w:tc>
        <w:tc>
          <w:tcPr>
            <w:tcW w:w="1553" w:type="dxa"/>
            <w:vAlign w:val="center"/>
          </w:tcPr>
          <w:p w14:paraId="02A90094">
            <w:pPr>
              <w:spacing w:line="360" w:lineRule="auto"/>
              <w:jc w:val="center"/>
              <w:rPr>
                <w:rFonts w:hint="eastAsia" w:ascii="宋体" w:hAnsi="宋体" w:eastAsia="宋体" w:cs="Times New Roman"/>
                <w:color w:val="auto"/>
                <w:szCs w:val="21"/>
              </w:rPr>
            </w:pPr>
          </w:p>
        </w:tc>
        <w:tc>
          <w:tcPr>
            <w:tcW w:w="1335" w:type="dxa"/>
            <w:vAlign w:val="center"/>
          </w:tcPr>
          <w:p w14:paraId="2887D87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94" w:type="dxa"/>
            <w:vAlign w:val="center"/>
          </w:tcPr>
          <w:p w14:paraId="7E88885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815" w:type="dxa"/>
            <w:vAlign w:val="center"/>
          </w:tcPr>
          <w:p w14:paraId="56E2DE5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22</w:t>
            </w:r>
          </w:p>
        </w:tc>
      </w:tr>
      <w:tr w14:paraId="1DFC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14:paraId="3094927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2010" w:type="dxa"/>
            <w:vAlign w:val="center"/>
          </w:tcPr>
          <w:p w14:paraId="4EC3077D">
            <w:pPr>
              <w:spacing w:line="360" w:lineRule="auto"/>
              <w:jc w:val="center"/>
              <w:rPr>
                <w:rFonts w:hint="eastAsia" w:ascii="宋体" w:hAnsi="宋体" w:eastAsia="宋体" w:cs="Times New Roman"/>
                <w:color w:val="auto"/>
                <w:szCs w:val="21"/>
              </w:rPr>
            </w:pPr>
          </w:p>
        </w:tc>
        <w:tc>
          <w:tcPr>
            <w:tcW w:w="1553" w:type="dxa"/>
            <w:vAlign w:val="center"/>
          </w:tcPr>
          <w:p w14:paraId="2B032BB7">
            <w:pPr>
              <w:spacing w:line="360" w:lineRule="auto"/>
              <w:jc w:val="center"/>
              <w:rPr>
                <w:rFonts w:hint="eastAsia" w:ascii="宋体" w:hAnsi="宋体" w:eastAsia="宋体" w:cs="Times New Roman"/>
                <w:color w:val="auto"/>
                <w:szCs w:val="21"/>
              </w:rPr>
            </w:pPr>
          </w:p>
        </w:tc>
        <w:tc>
          <w:tcPr>
            <w:tcW w:w="1335" w:type="dxa"/>
            <w:vAlign w:val="center"/>
          </w:tcPr>
          <w:p w14:paraId="33B0D523">
            <w:pPr>
              <w:spacing w:line="360" w:lineRule="auto"/>
              <w:jc w:val="center"/>
              <w:rPr>
                <w:rFonts w:hint="eastAsia" w:ascii="宋体" w:hAnsi="宋体" w:eastAsia="宋体" w:cs="Times New Roman"/>
                <w:color w:val="auto"/>
                <w:szCs w:val="21"/>
              </w:rPr>
            </w:pPr>
          </w:p>
        </w:tc>
        <w:tc>
          <w:tcPr>
            <w:tcW w:w="1494" w:type="dxa"/>
            <w:vAlign w:val="center"/>
          </w:tcPr>
          <w:p w14:paraId="21ED6866">
            <w:pPr>
              <w:spacing w:line="360" w:lineRule="auto"/>
              <w:jc w:val="center"/>
              <w:rPr>
                <w:rFonts w:hint="eastAsia" w:ascii="宋体" w:hAnsi="宋体" w:eastAsia="宋体" w:cs="Times New Roman"/>
                <w:color w:val="auto"/>
                <w:szCs w:val="21"/>
              </w:rPr>
            </w:pPr>
          </w:p>
        </w:tc>
        <w:tc>
          <w:tcPr>
            <w:tcW w:w="815" w:type="dxa"/>
            <w:vAlign w:val="center"/>
          </w:tcPr>
          <w:p w14:paraId="2BCACBE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6B8DCCF0">
      <w:pPr>
        <w:spacing w:before="156" w:beforeLines="50"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39FC0621">
      <w:pPr>
        <w:spacing w:line="360" w:lineRule="auto"/>
        <w:ind w:firstLine="420" w:firstLineChars="200"/>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p w14:paraId="6F946703">
      <w:pPr>
        <w:spacing w:line="360" w:lineRule="auto"/>
        <w:ind w:firstLine="420" w:firstLineChars="200"/>
        <w:jc w:val="left"/>
        <w:rPr>
          <w:rFonts w:hint="eastAsia" w:ascii="Times New Roman" w:hAnsi="Times New Roman" w:eastAsia="宋体" w:cs="Times New Roman"/>
          <w:color w:val="auto"/>
          <w:szCs w:val="21"/>
          <w:lang w:eastAsia="zh-CN"/>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6657"/>
        <w:gridCol w:w="638"/>
      </w:tblGrid>
      <w:tr w14:paraId="3A7C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159" w:type="dxa"/>
            <w:vAlign w:val="center"/>
          </w:tcPr>
          <w:p w14:paraId="2403237C">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657" w:type="dxa"/>
            <w:vAlign w:val="center"/>
          </w:tcPr>
          <w:p w14:paraId="27751C72">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52D1176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33C4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dxa"/>
            <w:vAlign w:val="center"/>
          </w:tcPr>
          <w:p w14:paraId="5F99D77C">
            <w:pPr>
              <w:jc w:val="center"/>
              <w:rPr>
                <w:rFonts w:ascii="Times New Roman" w:hAnsi="Times New Roman" w:eastAsia="宋体" w:cs="Times New Roman"/>
                <w:b/>
                <w:bCs/>
                <w:color w:val="auto"/>
                <w:szCs w:val="21"/>
              </w:rPr>
            </w:pPr>
            <w:r>
              <w:rPr>
                <w:rFonts w:hint="eastAsia" w:ascii="Times New Roman" w:hAnsi="Times New Roman" w:eastAsia="宋体" w:cs="Times New Roman"/>
                <w:color w:val="auto"/>
                <w:szCs w:val="21"/>
              </w:rPr>
              <w:t>网络课堂学习</w:t>
            </w:r>
          </w:p>
        </w:tc>
        <w:tc>
          <w:tcPr>
            <w:tcW w:w="6657" w:type="dxa"/>
            <w:vAlign w:val="center"/>
          </w:tcPr>
          <w:p w14:paraId="2BEC9188">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通过网络视频观看、互动讨论等，考核对思想道德与法治理论的理解和运用</w:t>
            </w:r>
          </w:p>
        </w:tc>
        <w:tc>
          <w:tcPr>
            <w:tcW w:w="0" w:type="auto"/>
            <w:vAlign w:val="center"/>
          </w:tcPr>
          <w:p w14:paraId="2D97CDF2">
            <w:pPr>
              <w:jc w:val="center"/>
              <w:rPr>
                <w:rFonts w:hint="eastAsia" w:ascii="宋体" w:hAnsi="宋体" w:eastAsia="宋体" w:cs="宋体"/>
                <w:color w:val="auto"/>
                <w:szCs w:val="21"/>
              </w:rPr>
            </w:pPr>
            <w:r>
              <w:rPr>
                <w:rFonts w:hint="eastAsia" w:ascii="宋体" w:hAnsi="宋体" w:eastAsia="宋体" w:cs="宋体"/>
                <w:color w:val="auto"/>
                <w:szCs w:val="21"/>
              </w:rPr>
              <w:t>10%</w:t>
            </w:r>
          </w:p>
        </w:tc>
      </w:tr>
      <w:tr w14:paraId="3728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dxa"/>
            <w:vAlign w:val="center"/>
          </w:tcPr>
          <w:p w14:paraId="180639B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平时表现</w:t>
            </w:r>
          </w:p>
        </w:tc>
        <w:tc>
          <w:tcPr>
            <w:tcW w:w="6657" w:type="dxa"/>
            <w:vAlign w:val="center"/>
          </w:tcPr>
          <w:p w14:paraId="41E105A9">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通过出勤情况、听课表现、学习互动等，考核对思想道德与法治理论的理解和运用。</w:t>
            </w:r>
          </w:p>
        </w:tc>
        <w:tc>
          <w:tcPr>
            <w:tcW w:w="0" w:type="auto"/>
            <w:vAlign w:val="center"/>
          </w:tcPr>
          <w:p w14:paraId="70A2F89C">
            <w:pPr>
              <w:jc w:val="center"/>
              <w:rPr>
                <w:rFonts w:hint="eastAsia" w:ascii="宋体" w:hAnsi="宋体" w:eastAsia="宋体" w:cs="宋体"/>
                <w:color w:val="auto"/>
                <w:szCs w:val="21"/>
              </w:rPr>
            </w:pPr>
            <w:r>
              <w:rPr>
                <w:rFonts w:hint="eastAsia" w:ascii="宋体" w:hAnsi="宋体" w:eastAsia="宋体" w:cs="宋体"/>
                <w:color w:val="auto"/>
                <w:szCs w:val="21"/>
              </w:rPr>
              <w:t>20%</w:t>
            </w:r>
          </w:p>
        </w:tc>
      </w:tr>
      <w:tr w14:paraId="2D14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dxa"/>
            <w:vAlign w:val="center"/>
          </w:tcPr>
          <w:p w14:paraId="27A3704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作业</w:t>
            </w:r>
          </w:p>
        </w:tc>
        <w:tc>
          <w:tcPr>
            <w:tcW w:w="6657" w:type="dxa"/>
            <w:vAlign w:val="center"/>
          </w:tcPr>
          <w:p w14:paraId="4416736F">
            <w:pPr>
              <w:widowControl/>
              <w:spacing w:line="264" w:lineRule="auto"/>
              <w:jc w:val="left"/>
              <w:rPr>
                <w:rFonts w:hint="eastAsia" w:ascii="宋体" w:hAnsi="宋体" w:eastAsia="宋体" w:cs="宋体"/>
                <w:color w:val="auto"/>
                <w:kern w:val="0"/>
                <w:szCs w:val="21"/>
                <w:lang w:bidi="ar"/>
              </w:rPr>
            </w:pPr>
            <w:r>
              <w:rPr>
                <w:rFonts w:hint="eastAsia" w:ascii="Times New Roman" w:hAnsi="Times New Roman" w:eastAsia="宋体" w:cs="Times New Roman"/>
                <w:color w:val="auto"/>
                <w:szCs w:val="21"/>
              </w:rPr>
              <w:t>平时作业共3次。</w:t>
            </w:r>
            <w:r>
              <w:rPr>
                <w:rFonts w:hint="eastAsia" w:ascii="宋体" w:hAnsi="宋体" w:eastAsia="宋体" w:cs="宋体"/>
                <w:color w:val="auto"/>
                <w:kern w:val="0"/>
                <w:szCs w:val="21"/>
                <w:lang w:bidi="ar"/>
              </w:rPr>
              <w:t>一</w:t>
            </w:r>
            <w:r>
              <w:rPr>
                <w:rFonts w:hint="eastAsia" w:ascii="Times New Roman" w:hAnsi="Times New Roman" w:eastAsia="宋体" w:cs="Times New Roman"/>
                <w:color w:val="auto"/>
                <w:szCs w:val="21"/>
              </w:rPr>
              <w:t>和二为主观题，以小论文或分析报告等的规范性、准确性、逻辑性及整洁性等为评分的主要依据。三为单元测试题，</w:t>
            </w:r>
            <w:r>
              <w:rPr>
                <w:rFonts w:hint="eastAsia" w:ascii="宋体" w:hAnsi="宋体" w:eastAsia="宋体" w:cs="宋体"/>
                <w:color w:val="auto"/>
                <w:kern w:val="0"/>
                <w:szCs w:val="21"/>
                <w:lang w:bidi="ar"/>
              </w:rPr>
              <w:t>主要考查基础知识和基本理论的掌握，以题目的正确率为得分依据。</w:t>
            </w:r>
          </w:p>
        </w:tc>
        <w:tc>
          <w:tcPr>
            <w:tcW w:w="0" w:type="auto"/>
            <w:vAlign w:val="center"/>
          </w:tcPr>
          <w:p w14:paraId="2C5752E6">
            <w:pPr>
              <w:jc w:val="center"/>
              <w:rPr>
                <w:rFonts w:hint="eastAsia" w:ascii="宋体" w:hAnsi="宋体" w:eastAsia="宋体" w:cs="宋体"/>
                <w:color w:val="auto"/>
                <w:szCs w:val="21"/>
              </w:rPr>
            </w:pPr>
            <w:r>
              <w:rPr>
                <w:rFonts w:hint="eastAsia" w:ascii="宋体" w:hAnsi="宋体" w:eastAsia="宋体" w:cs="宋体"/>
                <w:color w:val="auto"/>
                <w:szCs w:val="21"/>
              </w:rPr>
              <w:t>30%</w:t>
            </w:r>
          </w:p>
        </w:tc>
      </w:tr>
      <w:tr w14:paraId="33EC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dxa"/>
            <w:vAlign w:val="center"/>
          </w:tcPr>
          <w:p w14:paraId="770727E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6657" w:type="dxa"/>
            <w:vAlign w:val="center"/>
          </w:tcPr>
          <w:p w14:paraId="68922600">
            <w:pPr>
              <w:spacing w:line="264"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t>试卷题型包括</w:t>
            </w:r>
            <w:r>
              <w:rPr>
                <w:rFonts w:hint="eastAsia" w:ascii="Times New Roman" w:hAnsi="Times New Roman" w:eastAsia="宋体" w:cs="Times New Roman"/>
                <w:color w:val="auto"/>
                <w:szCs w:val="21"/>
              </w:rPr>
              <w:t>单项选择题</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多项选择题</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判断题、填空题、论述题</w:t>
            </w:r>
            <w:r>
              <w:rPr>
                <w:rFonts w:ascii="Times New Roman" w:hAnsi="Times New Roman" w:eastAsia="宋体" w:cs="Times New Roman"/>
                <w:color w:val="auto"/>
                <w:szCs w:val="21"/>
              </w:rPr>
              <w:t>等，以卷面成绩的</w:t>
            </w:r>
            <w:r>
              <w:rPr>
                <w:rFonts w:hint="eastAsia" w:ascii="Times New Roman" w:hAnsi="Times New Roman" w:eastAsia="宋体" w:cs="Times New Roman"/>
                <w:color w:val="auto"/>
                <w:szCs w:val="21"/>
              </w:rPr>
              <w:t>40</w:t>
            </w:r>
            <w:r>
              <w:rPr>
                <w:rFonts w:ascii="Times New Roman" w:hAnsi="Times New Roman" w:eastAsia="宋体" w:cs="Times New Roman"/>
                <w:color w:val="auto"/>
                <w:szCs w:val="21"/>
              </w:rPr>
              <w:t>%计入课程总成绩。其中考核</w:t>
            </w:r>
            <w:r>
              <w:rPr>
                <w:rFonts w:hint="eastAsia" w:ascii="Times New Roman" w:hAnsi="Times New Roman" w:eastAsia="宋体" w:cs="Times New Roman"/>
                <w:color w:val="auto"/>
                <w:szCs w:val="21"/>
              </w:rPr>
              <w:t>思想道德与法治基本理论和知识型题目占5</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%；考核学生运用思想道德与法治基本理论知识进行分析问题和解决问题能力的题型占5</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w:t>
            </w:r>
          </w:p>
        </w:tc>
        <w:tc>
          <w:tcPr>
            <w:tcW w:w="0" w:type="auto"/>
            <w:vAlign w:val="center"/>
          </w:tcPr>
          <w:p w14:paraId="49C8B5A0">
            <w:pPr>
              <w:jc w:val="center"/>
              <w:rPr>
                <w:rFonts w:hint="eastAsia" w:ascii="宋体" w:hAnsi="宋体" w:eastAsia="宋体" w:cs="宋体"/>
                <w:color w:val="auto"/>
                <w:szCs w:val="21"/>
              </w:rPr>
            </w:pPr>
            <w:r>
              <w:rPr>
                <w:rFonts w:hint="eastAsia" w:ascii="宋体" w:hAnsi="宋体" w:eastAsia="宋体" w:cs="宋体"/>
                <w:color w:val="auto"/>
                <w:szCs w:val="21"/>
              </w:rPr>
              <w:t>40%</w:t>
            </w:r>
          </w:p>
        </w:tc>
      </w:tr>
      <w:tr w14:paraId="3C03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159" w:type="dxa"/>
            <w:vAlign w:val="center"/>
          </w:tcPr>
          <w:p w14:paraId="174F2B9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6657" w:type="dxa"/>
            <w:vAlign w:val="center"/>
          </w:tcPr>
          <w:p w14:paraId="5347201C">
            <w:pPr>
              <w:jc w:val="left"/>
              <w:rPr>
                <w:rFonts w:ascii="Times New Roman" w:hAnsi="Times New Roman" w:eastAsia="宋体" w:cs="Times New Roman"/>
                <w:color w:val="auto"/>
                <w:szCs w:val="21"/>
              </w:rPr>
            </w:pPr>
          </w:p>
        </w:tc>
        <w:tc>
          <w:tcPr>
            <w:tcW w:w="0" w:type="auto"/>
            <w:vAlign w:val="center"/>
          </w:tcPr>
          <w:p w14:paraId="6AA7A21E">
            <w:pPr>
              <w:jc w:val="center"/>
              <w:rPr>
                <w:rFonts w:hint="eastAsia" w:ascii="宋体" w:hAnsi="宋体" w:eastAsia="宋体" w:cs="宋体"/>
                <w:color w:val="auto"/>
                <w:szCs w:val="21"/>
              </w:rPr>
            </w:pPr>
            <w:r>
              <w:rPr>
                <w:rFonts w:hint="eastAsia" w:ascii="宋体" w:hAnsi="宋体" w:eastAsia="宋体" w:cs="宋体"/>
                <w:color w:val="auto"/>
                <w:szCs w:val="21"/>
              </w:rPr>
              <w:t>100%</w:t>
            </w:r>
          </w:p>
        </w:tc>
      </w:tr>
    </w:tbl>
    <w:p w14:paraId="666738A9">
      <w:pPr>
        <w:spacing w:line="360" w:lineRule="auto"/>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20F594E5">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085DE571">
      <w:pPr>
        <w:snapToGrid w:val="0"/>
        <w:spacing w:line="360" w:lineRule="auto"/>
        <w:ind w:firstLine="210" w:firstLineChars="100"/>
        <w:rPr>
          <w:rFonts w:hint="eastAsia" w:ascii="宋体" w:hAnsi="宋体" w:eastAsia="宋体"/>
          <w:b/>
          <w:bCs/>
          <w:color w:val="auto"/>
          <w:sz w:val="28"/>
          <w:szCs w:val="28"/>
        </w:rPr>
      </w:pPr>
      <w:r>
        <w:rPr>
          <w:rFonts w:ascii="宋体" w:hAnsi="宋体" w:eastAsia="宋体" w:cs="Times New Roman"/>
          <w:color w:val="auto"/>
          <w:szCs w:val="21"/>
        </w:rPr>
        <w:object>
          <v:shape id="_x0000_i1025"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25" DrawAspect="Content" ObjectID="_1468075725" r:id="rId9">
            <o:LockedField>false</o:LockedField>
          </o:OLEObject>
        </w:object>
      </w:r>
    </w:p>
    <w:p w14:paraId="1537E822">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r>
        <w:rPr>
          <w:rFonts w:hint="eastAsia" w:ascii="宋体" w:hAnsi="宋体" w:eastAsia="宋体" w:cs="Times New Roman"/>
          <w:b/>
          <w:color w:val="auto"/>
          <w:sz w:val="24"/>
        </w:rPr>
        <w:t>五、有关说明</w:t>
      </w:r>
    </w:p>
    <w:p w14:paraId="1CD13027">
      <w:pPr>
        <w:spacing w:line="360" w:lineRule="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20310CCE">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本课程根据网络课堂学习、平时表现、作业和期末考试等考核情况，以及学生、教学督导等反馈，及时对教学中不足之处进行改进，并在下一轮课程教学中整改完善，确保相应毕业要求观测点达成。</w:t>
      </w:r>
    </w:p>
    <w:p w14:paraId="14C4FD00">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642AAB62">
      <w:pPr>
        <w:spacing w:line="336"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 xml:space="preserve">《思想道德与法治》，本书编写组主编，高等教育出版社，2023年2月版 </w:t>
      </w:r>
    </w:p>
    <w:p w14:paraId="53FDCC41">
      <w:pPr>
        <w:spacing w:line="360" w:lineRule="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w:t>
      </w:r>
      <w:r>
        <w:rPr>
          <w:rFonts w:ascii="Times New Roman" w:hAnsi="Times New Roman" w:eastAsia="宋体" w:cs="Times New Roman"/>
          <w:b/>
          <w:color w:val="auto"/>
          <w:szCs w:val="21"/>
        </w:rPr>
        <w:t>参考书目</w:t>
      </w:r>
    </w:p>
    <w:p w14:paraId="4A91CAE8">
      <w:pPr>
        <w:autoSpaceDE w:val="0"/>
        <w:autoSpaceDN w:val="0"/>
        <w:adjustRightInd w:val="0"/>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1.《习近平谈治国理政》第一卷，外文出版社，2018</w:t>
      </w:r>
    </w:p>
    <w:p w14:paraId="5621F255">
      <w:pPr>
        <w:autoSpaceDE w:val="0"/>
        <w:autoSpaceDN w:val="0"/>
        <w:adjustRightInd w:val="0"/>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2.《习近平关于实现中华民族伟大复兴的中国梦论述摘编》，中央文献出版社，2013</w:t>
      </w:r>
    </w:p>
    <w:p w14:paraId="6F5A8EBA">
      <w:pPr>
        <w:autoSpaceDE w:val="0"/>
        <w:autoSpaceDN w:val="0"/>
        <w:adjustRightInd w:val="0"/>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3.《新时代爱国主义教育实施纲要》，人民出版社，2019</w:t>
      </w:r>
    </w:p>
    <w:p w14:paraId="00226C56">
      <w:pPr>
        <w:autoSpaceDE w:val="0"/>
        <w:autoSpaceDN w:val="0"/>
        <w:adjustRightInd w:val="0"/>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4.《新时代公民道德建设实施纲要》，人民出版社，2019</w:t>
      </w:r>
    </w:p>
    <w:p w14:paraId="43A2CEF9">
      <w:pPr>
        <w:autoSpaceDE w:val="0"/>
        <w:autoSpaceDN w:val="0"/>
        <w:adjustRightInd w:val="0"/>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5.《中华人民共和国民法典》，法律出版社，2020</w:t>
      </w:r>
    </w:p>
    <w:p w14:paraId="57EAF4FB">
      <w:pPr>
        <w:autoSpaceDE w:val="0"/>
        <w:autoSpaceDN w:val="0"/>
        <w:adjustRightInd w:val="0"/>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6.《习近平法治思想概论》，高等教育出版社，2021</w:t>
      </w:r>
    </w:p>
    <w:p w14:paraId="6BC53731">
      <w:pPr>
        <w:autoSpaceDE w:val="0"/>
        <w:autoSpaceDN w:val="0"/>
        <w:adjustRightInd w:val="0"/>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7.《习近平法治思想学习纲要》，人民出版社、学习出版社，2021</w:t>
      </w:r>
    </w:p>
    <w:p w14:paraId="07E3563B">
      <w:pPr>
        <w:autoSpaceDE w:val="0"/>
        <w:autoSpaceDN w:val="0"/>
        <w:adjustRightInd w:val="0"/>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8.《习近平关于社会主义精神文明建设论述摘编》，中央文献出版社，2022</w:t>
      </w:r>
    </w:p>
    <w:p w14:paraId="376FB9A0">
      <w:pPr>
        <w:autoSpaceDE w:val="0"/>
        <w:autoSpaceDN w:val="0"/>
        <w:adjustRightInd w:val="0"/>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9. 毛泽东：《为人民服务》，《毛泽东选集》第3卷，人民出版社，1991</w:t>
      </w:r>
    </w:p>
    <w:p w14:paraId="5430FEB3">
      <w:pPr>
        <w:autoSpaceDE w:val="0"/>
        <w:autoSpaceDN w:val="0"/>
        <w:adjustRightInd w:val="0"/>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10. 习近平：《在纪念马克思诞辰200周年大会上的讲话》，人民出版社，2018</w:t>
      </w:r>
    </w:p>
    <w:p w14:paraId="76A7EF1E">
      <w:pPr>
        <w:autoSpaceDE w:val="0"/>
        <w:autoSpaceDN w:val="0"/>
        <w:adjustRightInd w:val="0"/>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11. 习近平：《论坚持全面依法治国》，中央文献出版社，2020</w:t>
      </w:r>
    </w:p>
    <w:p w14:paraId="238D46CA">
      <w:pPr>
        <w:autoSpaceDE w:val="0"/>
        <w:autoSpaceDN w:val="0"/>
        <w:adjustRightInd w:val="0"/>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12. 习近平：《高举中国特色社会主义伟大旗帜 为全面建设社会主义现代化国家而团结奋斗——在中国共产党第二十次全国代表大会上的报告》，人民出版社，2022</w:t>
      </w:r>
    </w:p>
    <w:p w14:paraId="7DE174A4">
      <w:pPr>
        <w:autoSpaceDE w:val="0"/>
        <w:autoSpaceDN w:val="0"/>
        <w:adjustRightInd w:val="0"/>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（四）教学改革</w:t>
      </w:r>
    </w:p>
    <w:p w14:paraId="4D44BFCC">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本课程的教学改革，需制定相应的教学方案。</w:t>
      </w:r>
    </w:p>
    <w:p w14:paraId="617ED7A3">
      <w:pPr>
        <w:spacing w:line="360" w:lineRule="auto"/>
        <w:ind w:firstLine="420" w:firstLineChars="200"/>
        <w:rPr>
          <w:rFonts w:ascii="Times New Roman" w:hAnsi="Times New Roman" w:eastAsia="宋体" w:cs="Times New Roman"/>
          <w:color w:val="auto"/>
          <w:szCs w:val="21"/>
        </w:rPr>
      </w:pPr>
    </w:p>
    <w:p w14:paraId="5A2382F2">
      <w:pPr>
        <w:autoSpaceDE w:val="0"/>
        <w:autoSpaceDN w:val="0"/>
        <w:adjustRightInd w:val="0"/>
        <w:spacing w:line="360" w:lineRule="auto"/>
        <w:ind w:firstLine="4935" w:firstLineChars="2350"/>
        <w:jc w:val="left"/>
        <w:rPr>
          <w:rFonts w:ascii="Times New Roman" w:hAnsi="Times New Roman" w:eastAsia="宋体" w:cs="Times New Roman"/>
          <w:color w:val="auto"/>
          <w:kern w:val="0"/>
          <w:szCs w:val="21"/>
        </w:rPr>
      </w:pPr>
    </w:p>
    <w:p w14:paraId="1F636BFC">
      <w:pPr>
        <w:autoSpaceDE w:val="0"/>
        <w:autoSpaceDN w:val="0"/>
        <w:adjustRightInd w:val="0"/>
        <w:spacing w:line="360" w:lineRule="auto"/>
        <w:ind w:firstLine="4935" w:firstLineChars="2350"/>
        <w:jc w:val="righ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执笔人：</w:t>
      </w:r>
      <w:r>
        <w:rPr>
          <w:rFonts w:hint="eastAsia" w:ascii="Times New Roman" w:hAnsi="Times New Roman" w:eastAsia="宋体" w:cs="Times New Roman"/>
          <w:color w:val="auto"/>
          <w:kern w:val="0"/>
          <w:szCs w:val="21"/>
        </w:rPr>
        <w:t>陈</w:t>
      </w:r>
      <w:r>
        <w:rPr>
          <w:rFonts w:hint="eastAsia" w:ascii="Times New Roman" w:hAnsi="Times New Roman" w:eastAsia="宋体" w:cs="Times New Roman"/>
          <w:color w:val="auto"/>
          <w:kern w:val="0"/>
          <w:szCs w:val="21"/>
          <w:lang w:val="en-US" w:eastAsia="zh-CN"/>
        </w:rPr>
        <w:t xml:space="preserve">  </w:t>
      </w:r>
      <w:r>
        <w:rPr>
          <w:rFonts w:hint="eastAsia" w:ascii="Times New Roman" w:hAnsi="Times New Roman" w:eastAsia="宋体" w:cs="Times New Roman"/>
          <w:color w:val="auto"/>
          <w:kern w:val="0"/>
          <w:szCs w:val="21"/>
        </w:rPr>
        <w:t>瑶</w:t>
      </w:r>
    </w:p>
    <w:p w14:paraId="443275DE">
      <w:pPr>
        <w:autoSpaceDE w:val="0"/>
        <w:autoSpaceDN w:val="0"/>
        <w:adjustRightInd w:val="0"/>
        <w:spacing w:line="360" w:lineRule="auto"/>
        <w:ind w:left="5670" w:leftChars="2700"/>
        <w:jc w:val="righ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审定人：</w:t>
      </w:r>
      <w:r>
        <w:rPr>
          <w:rFonts w:hint="eastAsia" w:ascii="Times New Roman" w:hAnsi="Times New Roman" w:eastAsia="宋体" w:cs="Times New Roman"/>
          <w:color w:val="auto"/>
          <w:kern w:val="0"/>
          <w:szCs w:val="21"/>
        </w:rPr>
        <w:t>夏天静</w:t>
      </w:r>
    </w:p>
    <w:p w14:paraId="5EE09EE3">
      <w:pPr>
        <w:autoSpaceDE w:val="0"/>
        <w:autoSpaceDN w:val="0"/>
        <w:adjustRightInd w:val="0"/>
        <w:spacing w:line="360" w:lineRule="auto"/>
        <w:ind w:left="5670" w:leftChars="2700"/>
        <w:jc w:val="right"/>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审批</w:t>
      </w:r>
      <w:r>
        <w:rPr>
          <w:rFonts w:ascii="Times New Roman" w:hAnsi="Times New Roman" w:eastAsia="宋体" w:cs="Times New Roman"/>
          <w:color w:val="auto"/>
          <w:kern w:val="0"/>
          <w:szCs w:val="21"/>
        </w:rPr>
        <w:t>人：</w:t>
      </w:r>
      <w:r>
        <w:rPr>
          <w:rFonts w:hint="eastAsia" w:ascii="Times New Roman" w:hAnsi="Times New Roman" w:eastAsia="宋体" w:cs="Times New Roman"/>
          <w:color w:val="auto"/>
          <w:kern w:val="0"/>
          <w:szCs w:val="21"/>
        </w:rPr>
        <w:t>熊焱生</w:t>
      </w:r>
    </w:p>
    <w:p w14:paraId="6A3C511D">
      <w:pPr>
        <w:autoSpaceDE w:val="0"/>
        <w:autoSpaceDN w:val="0"/>
        <w:adjustRightInd w:val="0"/>
        <w:spacing w:line="360" w:lineRule="auto"/>
        <w:ind w:firstLine="4620" w:firstLineChars="2200"/>
        <w:jc w:val="right"/>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lang w:val="en-US" w:eastAsia="zh-CN"/>
        </w:rPr>
        <w:t>批准时间：2025年7月1日</w:t>
      </w:r>
    </w:p>
    <w:p w14:paraId="2700BFE5">
      <w:pPr>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12D07357">
      <w:pPr>
        <w:spacing w:line="360" w:lineRule="auto"/>
        <w:jc w:val="center"/>
        <w:outlineLvl w:val="0"/>
        <w:rPr>
          <w:rFonts w:ascii="Times New Roman" w:hAnsi="Times New Roman" w:eastAsia="宋体" w:cs="Times New Roman"/>
          <w:b/>
          <w:color w:val="auto"/>
          <w:sz w:val="44"/>
          <w:szCs w:val="44"/>
        </w:rPr>
      </w:pPr>
      <w:bookmarkStart w:id="3" w:name="_Toc11170"/>
      <w:bookmarkStart w:id="4" w:name="_Toc26529"/>
      <w:r>
        <w:rPr>
          <w:rFonts w:hint="eastAsia" w:ascii="Times New Roman" w:hAnsi="Times New Roman" w:eastAsia="宋体" w:cs="Times New Roman"/>
          <w:b/>
          <w:color w:val="auto"/>
          <w:sz w:val="44"/>
          <w:szCs w:val="44"/>
        </w:rPr>
        <w:t>《中国近现代史纲要》课程教学大纲</w:t>
      </w:r>
      <w:bookmarkEnd w:id="3"/>
    </w:p>
    <w:p w14:paraId="61E57A1D">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w:t>
      </w:r>
      <w:r>
        <w:rPr>
          <w:rFonts w:hint="eastAsia" w:ascii="Times New Roman" w:hAnsi="Times New Roman" w:eastAsia="宋体" w:cs="Times New Roman"/>
          <w:b/>
          <w:bCs/>
          <w:color w:val="auto"/>
          <w:sz w:val="28"/>
          <w:szCs w:val="28"/>
        </w:rPr>
        <w:t>Introduction to Chinese Modern and Contemporary History</w:t>
      </w:r>
      <w:r>
        <w:rPr>
          <w:rFonts w:ascii="Times New Roman" w:hAnsi="Times New Roman" w:eastAsia="宋体" w:cs="Times New Roman"/>
          <w:b/>
          <w:bCs/>
          <w:color w:val="auto"/>
          <w:sz w:val="28"/>
          <w:szCs w:val="28"/>
        </w:rPr>
        <w:t>）</w:t>
      </w:r>
    </w:p>
    <w:p w14:paraId="3B8A9C80">
      <w:pPr>
        <w:spacing w:line="360" w:lineRule="auto"/>
        <w:jc w:val="center"/>
        <w:rPr>
          <w:rFonts w:ascii="Times New Roman" w:hAnsi="Times New Roman" w:eastAsia="宋体" w:cs="Times New Roman"/>
          <w:bCs/>
          <w:color w:val="auto"/>
          <w:sz w:val="21"/>
          <w:szCs w:val="21"/>
        </w:rPr>
      </w:pPr>
    </w:p>
    <w:p w14:paraId="4FA2BEE7">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课程名称：中国近现代史纲要</w:t>
      </w:r>
    </w:p>
    <w:p w14:paraId="31828D0B">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课程代码：1002031</w:t>
      </w:r>
    </w:p>
    <w:p w14:paraId="7869B2C3">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分：3</w:t>
      </w:r>
    </w:p>
    <w:p w14:paraId="09FBE5E5">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时：48（其中：讲授学时4</w:t>
      </w:r>
      <w:r>
        <w:rPr>
          <w:rFonts w:ascii="Times New Roman" w:hAnsi="Times New Roman" w:eastAsia="宋体" w:cs="Times New Roman"/>
          <w:b/>
          <w:color w:val="auto"/>
          <w:sz w:val="24"/>
          <w:szCs w:val="24"/>
        </w:rPr>
        <w:t>2</w:t>
      </w:r>
      <w:r>
        <w:rPr>
          <w:rFonts w:hint="eastAsia" w:ascii="Times New Roman" w:hAnsi="Times New Roman" w:eastAsia="宋体" w:cs="Times New Roman"/>
          <w:b/>
          <w:color w:val="auto"/>
          <w:sz w:val="24"/>
          <w:szCs w:val="24"/>
        </w:rPr>
        <w:t>，实践学时6）</w:t>
      </w:r>
    </w:p>
    <w:p w14:paraId="1FAF29D5">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先修课程：思想道德与法治</w:t>
      </w:r>
    </w:p>
    <w:p w14:paraId="1DE4873B">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适用专业：小学教育</w:t>
      </w:r>
    </w:p>
    <w:p w14:paraId="0D5E5FE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一、课程简介</w:t>
      </w:r>
    </w:p>
    <w:p w14:paraId="1416ED19">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是小学教育专业的一门通识必修课。通过本课程的学习，培养学生的唯物史观，帮助学生了解国史、国情，深刻领会历史和人民是怎样选择了马克思主义，选择了中国共产党，选择了社会主义道路、选择了改革开放，深刻领会中国共产党为什么能、马克思主义为什么行、中国特色社会主义为什么好，为后续思想政治理论课及思想政治理论课实践环节奠定基础。</w:t>
      </w:r>
    </w:p>
    <w:p w14:paraId="4E929D8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二、课程目标</w:t>
      </w:r>
    </w:p>
    <w:p w14:paraId="69B29F95">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04A0F8EA">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1.</w:t>
      </w:r>
      <w:r>
        <w:rPr>
          <w:rFonts w:hint="eastAsia" w:ascii="Times New Roman" w:hAnsi="Times New Roman" w:eastAsia="宋体" w:cs="Times New Roman"/>
          <w:b/>
          <w:color w:val="auto"/>
          <w:szCs w:val="21"/>
        </w:rPr>
        <w:t xml:space="preserve"> </w:t>
      </w:r>
      <w:r>
        <w:rPr>
          <w:rFonts w:hint="eastAsia" w:ascii="Times New Roman" w:hAnsi="Times New Roman" w:eastAsia="宋体" w:cs="Times New Roman"/>
          <w:color w:val="auto"/>
          <w:szCs w:val="21"/>
        </w:rPr>
        <w:t>具有坚定的政治信念，践行社会主义核心价值观；具有正确的历史观念，具有投身小学教育事业的责任感、使命感，具有坚定的心有大我、至诚报国的理想信念</w:t>
      </w:r>
      <w:r>
        <w:rPr>
          <w:rFonts w:ascii="Times New Roman" w:hAnsi="Times New Roman" w:eastAsia="宋体" w:cs="Times New Roman"/>
          <w:color w:val="auto"/>
          <w:szCs w:val="21"/>
        </w:rPr>
        <w:t>。</w:t>
      </w:r>
    </w:p>
    <w:p w14:paraId="6D50747F">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目标2</w:t>
      </w:r>
      <w:r>
        <w:rPr>
          <w:rFonts w:ascii="Times New Roman" w:hAnsi="Times New Roman" w:eastAsia="宋体" w:cs="Times New Roman"/>
          <w:b/>
          <w:color w:val="auto"/>
          <w:szCs w:val="21"/>
        </w:rPr>
        <w:t>.</w:t>
      </w:r>
      <w:r>
        <w:rPr>
          <w:rFonts w:hint="eastAsia" w:ascii="Times New Roman" w:hAnsi="Times New Roman" w:eastAsia="宋体" w:cs="Times New Roman"/>
          <w:b/>
          <w:color w:val="auto"/>
          <w:szCs w:val="21"/>
        </w:rPr>
        <w:t xml:space="preserve"> </w:t>
      </w:r>
      <w:r>
        <w:rPr>
          <w:rFonts w:hint="eastAsia" w:ascii="Times New Roman" w:hAnsi="Times New Roman" w:eastAsia="宋体" w:cs="Times New Roman"/>
          <w:color w:val="auto"/>
          <w:szCs w:val="21"/>
        </w:rPr>
        <w:t>具有良好的中国近现代历史素养、了解国史国情，具有家国情怀，热爱教育事业，愿意投身小学教育事业、践行教育家精神。</w:t>
      </w:r>
    </w:p>
    <w:p w14:paraId="3D69380F">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目标3</w:t>
      </w:r>
      <w:r>
        <w:rPr>
          <w:rFonts w:ascii="Times New Roman" w:hAnsi="Times New Roman" w:eastAsia="宋体" w:cs="Times New Roman"/>
          <w:b/>
          <w:color w:val="auto"/>
          <w:szCs w:val="21"/>
        </w:rPr>
        <w:t xml:space="preserve">. </w:t>
      </w:r>
      <w:bookmarkStart w:id="5" w:name="_Hlk195467603"/>
      <w:r>
        <w:rPr>
          <w:rFonts w:hint="eastAsia" w:ascii="Times New Roman" w:hAnsi="Times New Roman" w:eastAsia="宋体" w:cs="Times New Roman"/>
          <w:color w:val="auto"/>
          <w:szCs w:val="21"/>
        </w:rPr>
        <w:t>具有良好的中国近现代历史的知识底蕴和扎实的专业能力，胜任小学历史学科的教学，具有较强的教学研究能力。</w:t>
      </w:r>
    </w:p>
    <w:bookmarkEnd w:id="5"/>
    <w:p w14:paraId="4394E5F0">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DFE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245FE48">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5688" w:type="dxa"/>
            <w:vAlign w:val="center"/>
          </w:tcPr>
          <w:p w14:paraId="1238DEAF">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2AC3A0D7">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5DBE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742B6F7">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毕业要求1师德规范</w:t>
            </w:r>
          </w:p>
        </w:tc>
        <w:tc>
          <w:tcPr>
            <w:tcW w:w="5688" w:type="dxa"/>
            <w:vAlign w:val="center"/>
          </w:tcPr>
          <w:p w14:paraId="2571E82A">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指标点</w:t>
            </w:r>
            <w:r>
              <w:rPr>
                <w:rFonts w:ascii="Times New Roman" w:hAnsi="Times New Roman" w:eastAsia="宋体" w:cs="Times New Roman"/>
                <w:color w:val="auto"/>
                <w:szCs w:val="21"/>
              </w:rPr>
              <w:t>1-1：</w:t>
            </w:r>
            <w:r>
              <w:rPr>
                <w:rFonts w:hint="eastAsia" w:ascii="Times New Roman" w:hAnsi="Times New Roman" w:eastAsia="宋体" w:cs="Times New Roman"/>
                <w:color w:val="auto"/>
                <w:szCs w:val="21"/>
              </w:rPr>
              <w:t>【理想信念坚定】认同中国特色社会主义，贯彻党的教育方针，自觉践行社会主义核心价值观，树立职业理想，立志成为有理想信念、有道德情操、有扎实学识、有仁爱之心的好教师。</w:t>
            </w:r>
          </w:p>
        </w:tc>
        <w:tc>
          <w:tcPr>
            <w:tcW w:w="1191" w:type="dxa"/>
            <w:vAlign w:val="center"/>
          </w:tcPr>
          <w:p w14:paraId="1DE46335">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课程目标1</w:t>
            </w:r>
          </w:p>
        </w:tc>
      </w:tr>
      <w:tr w14:paraId="6C32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30FEB4C">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毕业要求2教育情怀</w:t>
            </w:r>
          </w:p>
        </w:tc>
        <w:tc>
          <w:tcPr>
            <w:tcW w:w="5688" w:type="dxa"/>
            <w:vAlign w:val="center"/>
          </w:tcPr>
          <w:p w14:paraId="24C2ADAF">
            <w:pPr>
              <w:spacing w:line="276" w:lineRule="auto"/>
              <w:jc w:val="left"/>
              <w:rPr>
                <w:rFonts w:ascii="Times New Roman" w:hAnsi="Times New Roman" w:eastAsia="宋体" w:cs="Times New Roman"/>
                <w:color w:val="auto"/>
                <w:szCs w:val="21"/>
              </w:rPr>
            </w:pPr>
            <w:r>
              <w:rPr>
                <w:rFonts w:hint="eastAsia" w:ascii="宋体" w:hAnsi="宋体" w:eastAsia="宋体" w:cs="Times New Roman"/>
                <w:color w:val="auto"/>
                <w:spacing w:val="2"/>
                <w:kern w:val="0"/>
                <w:szCs w:val="21"/>
              </w:rPr>
              <w:t>指标点2</w:t>
            </w:r>
            <w:r>
              <w:rPr>
                <w:rFonts w:ascii="宋体" w:hAnsi="宋体" w:eastAsia="宋体" w:cs="Times New Roman"/>
                <w:color w:val="auto"/>
                <w:spacing w:val="2"/>
                <w:kern w:val="0"/>
                <w:szCs w:val="21"/>
              </w:rPr>
              <w:t>-</w:t>
            </w:r>
            <w:r>
              <w:rPr>
                <w:rFonts w:hint="eastAsia" w:ascii="宋体" w:hAnsi="宋体" w:eastAsia="宋体" w:cs="Times New Roman"/>
                <w:color w:val="auto"/>
                <w:spacing w:val="2"/>
                <w:kern w:val="0"/>
                <w:szCs w:val="21"/>
              </w:rPr>
              <w:t>1</w:t>
            </w:r>
            <w:r>
              <w:rPr>
                <w:rFonts w:ascii="宋体" w:hAnsi="宋体" w:eastAsia="宋体" w:cs="Times New Roman"/>
                <w:color w:val="auto"/>
                <w:spacing w:val="2"/>
                <w:kern w:val="0"/>
                <w:szCs w:val="21"/>
              </w:rPr>
              <w:t>：</w:t>
            </w:r>
            <w:r>
              <w:rPr>
                <w:rFonts w:hint="eastAsia" w:ascii="宋体" w:hAnsi="宋体" w:eastAsia="宋体" w:cs="Times New Roman"/>
                <w:color w:val="auto"/>
                <w:spacing w:val="2"/>
                <w:kern w:val="0"/>
                <w:szCs w:val="21"/>
              </w:rPr>
              <w:t>【职业认同感强】具有家国情怀，热爱教育事业，践行教育家精神，认同教师职业的意义、价值与专业性。</w:t>
            </w:r>
          </w:p>
        </w:tc>
        <w:tc>
          <w:tcPr>
            <w:tcW w:w="1191" w:type="dxa"/>
            <w:vAlign w:val="center"/>
          </w:tcPr>
          <w:p w14:paraId="5B8DDBB4">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课程目标2</w:t>
            </w:r>
          </w:p>
        </w:tc>
      </w:tr>
      <w:tr w14:paraId="71E5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71CE4FF">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毕业要求3学科素养</w:t>
            </w:r>
          </w:p>
        </w:tc>
        <w:tc>
          <w:tcPr>
            <w:tcW w:w="5688" w:type="dxa"/>
            <w:vAlign w:val="center"/>
          </w:tcPr>
          <w:p w14:paraId="2A89FEED">
            <w:pPr>
              <w:spacing w:line="276" w:lineRule="auto"/>
              <w:jc w:val="left"/>
              <w:rPr>
                <w:rFonts w:ascii="Times New Roman" w:hAnsi="Times New Roman" w:eastAsia="宋体" w:cs="Times New Roman"/>
                <w:color w:val="auto"/>
                <w:szCs w:val="21"/>
              </w:rPr>
            </w:pPr>
            <w:r>
              <w:rPr>
                <w:rFonts w:hint="eastAsia" w:ascii="宋体" w:hAnsi="宋体" w:eastAsia="宋体" w:cs="Times New Roman"/>
                <w:color w:val="auto"/>
                <w:spacing w:val="2"/>
                <w:kern w:val="0"/>
                <w:szCs w:val="21"/>
              </w:rPr>
              <w:t>指标点</w:t>
            </w:r>
            <w:r>
              <w:rPr>
                <w:rFonts w:ascii="宋体" w:hAnsi="宋体" w:eastAsia="宋体" w:cs="Times New Roman"/>
                <w:color w:val="auto"/>
                <w:spacing w:val="2"/>
                <w:kern w:val="0"/>
                <w:szCs w:val="21"/>
              </w:rPr>
              <w:t>3-</w:t>
            </w:r>
            <w:r>
              <w:rPr>
                <w:rFonts w:hint="eastAsia" w:ascii="宋体" w:hAnsi="宋体" w:eastAsia="宋体" w:cs="Times New Roman"/>
                <w:color w:val="auto"/>
                <w:spacing w:val="2"/>
                <w:kern w:val="0"/>
                <w:szCs w:val="21"/>
              </w:rPr>
              <w:t>1</w:t>
            </w:r>
            <w:r>
              <w:rPr>
                <w:rFonts w:ascii="宋体" w:hAnsi="宋体" w:eastAsia="宋体" w:cs="Times New Roman"/>
                <w:color w:val="auto"/>
                <w:spacing w:val="2"/>
                <w:kern w:val="0"/>
                <w:szCs w:val="21"/>
              </w:rPr>
              <w:t>：</w:t>
            </w:r>
            <w:r>
              <w:rPr>
                <w:rFonts w:hint="eastAsia" w:ascii="宋体" w:hAnsi="宋体" w:eastAsia="宋体" w:cs="Times New Roman"/>
                <w:color w:val="auto"/>
                <w:spacing w:val="2"/>
                <w:kern w:val="0"/>
                <w:szCs w:val="21"/>
              </w:rPr>
              <w:t>【通识知识广博】具有相应的自然科学和人文社会科学知识素养。</w:t>
            </w:r>
          </w:p>
        </w:tc>
        <w:tc>
          <w:tcPr>
            <w:tcW w:w="1191" w:type="dxa"/>
            <w:vAlign w:val="center"/>
          </w:tcPr>
          <w:p w14:paraId="0B05A058">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课程目标3</w:t>
            </w:r>
          </w:p>
        </w:tc>
      </w:tr>
    </w:tbl>
    <w:p w14:paraId="2718DC65">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840"/>
        <w:gridCol w:w="1159"/>
        <w:gridCol w:w="2241"/>
        <w:gridCol w:w="1415"/>
        <w:gridCol w:w="438"/>
      </w:tblGrid>
      <w:tr w14:paraId="1518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FCBC576">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w:t>
            </w:r>
          </w:p>
          <w:p w14:paraId="4763379A">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单元</w:t>
            </w:r>
          </w:p>
        </w:tc>
        <w:tc>
          <w:tcPr>
            <w:tcW w:w="2840" w:type="dxa"/>
            <w:vAlign w:val="center"/>
          </w:tcPr>
          <w:p w14:paraId="4458F2FA">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知识点</w:t>
            </w:r>
          </w:p>
        </w:tc>
        <w:tc>
          <w:tcPr>
            <w:tcW w:w="1159" w:type="dxa"/>
            <w:vAlign w:val="center"/>
          </w:tcPr>
          <w:p w14:paraId="236E271B">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对应</w:t>
            </w:r>
          </w:p>
          <w:p w14:paraId="53DEF8D2">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课程目标</w:t>
            </w:r>
          </w:p>
        </w:tc>
        <w:tc>
          <w:tcPr>
            <w:tcW w:w="2241" w:type="dxa"/>
            <w:vAlign w:val="center"/>
          </w:tcPr>
          <w:p w14:paraId="2BFC6B1B">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预期学习成效</w:t>
            </w:r>
          </w:p>
        </w:tc>
        <w:tc>
          <w:tcPr>
            <w:tcW w:w="1415" w:type="dxa"/>
            <w:shd w:val="clear" w:color="auto" w:fill="auto"/>
            <w:vAlign w:val="center"/>
          </w:tcPr>
          <w:p w14:paraId="0DA5A3FB">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实现环节</w:t>
            </w:r>
          </w:p>
        </w:tc>
        <w:tc>
          <w:tcPr>
            <w:tcW w:w="438" w:type="dxa"/>
            <w:vAlign w:val="center"/>
          </w:tcPr>
          <w:p w14:paraId="26909E5D">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学时</w:t>
            </w:r>
          </w:p>
        </w:tc>
      </w:tr>
      <w:tr w14:paraId="2067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AE52A6F">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1.导言</w:t>
            </w:r>
          </w:p>
        </w:tc>
        <w:tc>
          <w:tcPr>
            <w:tcW w:w="2840" w:type="dxa"/>
            <w:vAlign w:val="center"/>
          </w:tcPr>
          <w:p w14:paraId="2499D75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（1）中国近代史综述</w:t>
            </w:r>
          </w:p>
          <w:p w14:paraId="3CE6F77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（2）中国现代史综述</w:t>
            </w:r>
          </w:p>
          <w:p w14:paraId="3286068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（3）学习中国近现代史的目的和要求</w:t>
            </w:r>
          </w:p>
        </w:tc>
        <w:tc>
          <w:tcPr>
            <w:tcW w:w="1159" w:type="dxa"/>
            <w:vAlign w:val="center"/>
          </w:tcPr>
          <w:p w14:paraId="5AB620F8">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241" w:type="dxa"/>
            <w:vAlign w:val="center"/>
          </w:tcPr>
          <w:p w14:paraId="4024678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1.理解中国近现代史的主流和本质；</w:t>
            </w:r>
          </w:p>
          <w:p w14:paraId="57B668E8">
            <w:pPr>
              <w:spacing w:line="24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2.认识学习中国近现代史的目的和要求。</w:t>
            </w:r>
          </w:p>
        </w:tc>
        <w:tc>
          <w:tcPr>
            <w:tcW w:w="1415" w:type="dxa"/>
            <w:vAlign w:val="center"/>
          </w:tcPr>
          <w:p w14:paraId="0BE37EE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72A1673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2.课堂教学</w:t>
            </w:r>
          </w:p>
          <w:p w14:paraId="6EF0880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3.单元测验</w:t>
            </w:r>
          </w:p>
        </w:tc>
        <w:tc>
          <w:tcPr>
            <w:tcW w:w="438" w:type="dxa"/>
            <w:vAlign w:val="center"/>
          </w:tcPr>
          <w:p w14:paraId="1C9F2553">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p>
        </w:tc>
      </w:tr>
      <w:tr w14:paraId="4281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22DA59B">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2.进入近代后中华民族的磨难与抗争</w:t>
            </w:r>
          </w:p>
        </w:tc>
        <w:tc>
          <w:tcPr>
            <w:tcW w:w="2840" w:type="dxa"/>
            <w:vAlign w:val="center"/>
          </w:tcPr>
          <w:p w14:paraId="6C370E4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（1）鸦片战争前后的中国与世界</w:t>
            </w:r>
          </w:p>
          <w:p w14:paraId="172C04B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（2）西方列强对中国的侵略</w:t>
            </w:r>
          </w:p>
          <w:p w14:paraId="6C0C336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（3）反抗外国武装侵略的斗争</w:t>
            </w:r>
          </w:p>
          <w:p w14:paraId="0EBD1C6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（4）反侵略战争的失败与民族意识的觉醒</w:t>
            </w:r>
          </w:p>
        </w:tc>
        <w:tc>
          <w:tcPr>
            <w:tcW w:w="1159" w:type="dxa"/>
            <w:vAlign w:val="center"/>
          </w:tcPr>
          <w:p w14:paraId="07F63E15">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241" w:type="dxa"/>
            <w:vAlign w:val="center"/>
          </w:tcPr>
          <w:p w14:paraId="0CB86FB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1.认识近代以来西方列强对中国的侵略；</w:t>
            </w:r>
          </w:p>
          <w:p w14:paraId="4D7D8D2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2.了解近代以来中国人民的反侵略斗争；</w:t>
            </w:r>
          </w:p>
          <w:p w14:paraId="0E02FBC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3.理解反侵略战争的失败如何引起民族意识的觉醒。</w:t>
            </w:r>
          </w:p>
        </w:tc>
        <w:tc>
          <w:tcPr>
            <w:tcW w:w="1415" w:type="dxa"/>
            <w:vAlign w:val="center"/>
          </w:tcPr>
          <w:p w14:paraId="6F89DEA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172EFCD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2.课堂教学</w:t>
            </w:r>
          </w:p>
          <w:p w14:paraId="51EBDA3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3.单元测验</w:t>
            </w:r>
          </w:p>
        </w:tc>
        <w:tc>
          <w:tcPr>
            <w:tcW w:w="438" w:type="dxa"/>
            <w:vAlign w:val="center"/>
          </w:tcPr>
          <w:p w14:paraId="601FE42C">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p>
        </w:tc>
      </w:tr>
      <w:tr w14:paraId="1180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42FA385">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3.不同社会力量对国家出路的早期探索</w:t>
            </w:r>
          </w:p>
        </w:tc>
        <w:tc>
          <w:tcPr>
            <w:tcW w:w="2840" w:type="dxa"/>
            <w:vAlign w:val="center"/>
          </w:tcPr>
          <w:p w14:paraId="62A11E6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（1）太平天国运动的起落</w:t>
            </w:r>
          </w:p>
          <w:p w14:paraId="5A181D4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（2）洋务运动的兴衰</w:t>
            </w:r>
          </w:p>
          <w:p w14:paraId="6A27E7A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（3）维新运动的兴起和夭折</w:t>
            </w:r>
          </w:p>
        </w:tc>
        <w:tc>
          <w:tcPr>
            <w:tcW w:w="1159" w:type="dxa"/>
            <w:vAlign w:val="center"/>
          </w:tcPr>
          <w:p w14:paraId="17F01BF0">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241" w:type="dxa"/>
            <w:vAlign w:val="center"/>
          </w:tcPr>
          <w:p w14:paraId="716C873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1.认识近代中国不同社会力量对国家出路的早期探索过程；</w:t>
            </w:r>
          </w:p>
          <w:p w14:paraId="097173A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2.理解近代中国不同社会力量对国家出路早期探索失败的原因</w:t>
            </w:r>
            <w:r>
              <w:rPr>
                <w:rFonts w:ascii="宋体" w:hAnsi="宋体" w:eastAsia="宋体" w:cs="Times New Roman"/>
                <w:color w:val="auto"/>
                <w:sz w:val="21"/>
                <w:szCs w:val="21"/>
              </w:rPr>
              <w:t>。</w:t>
            </w:r>
          </w:p>
        </w:tc>
        <w:tc>
          <w:tcPr>
            <w:tcW w:w="1415" w:type="dxa"/>
            <w:vAlign w:val="center"/>
          </w:tcPr>
          <w:p w14:paraId="1247BB7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64EEA7D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2.课堂教学</w:t>
            </w:r>
          </w:p>
          <w:p w14:paraId="058D778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3.单元测验</w:t>
            </w:r>
          </w:p>
        </w:tc>
        <w:tc>
          <w:tcPr>
            <w:tcW w:w="438" w:type="dxa"/>
            <w:vAlign w:val="center"/>
          </w:tcPr>
          <w:p w14:paraId="1F300D74">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p>
        </w:tc>
      </w:tr>
      <w:tr w14:paraId="00B4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7749EB3">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4.辛亥革命与君主专制制度的终结</w:t>
            </w:r>
          </w:p>
        </w:tc>
        <w:tc>
          <w:tcPr>
            <w:tcW w:w="2840" w:type="dxa"/>
            <w:vAlign w:val="center"/>
          </w:tcPr>
          <w:p w14:paraId="6FF8FC0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（1）举起近代民族民主革命的旗帜</w:t>
            </w:r>
          </w:p>
          <w:p w14:paraId="3DE8E7C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（2）辛亥革命与中华民国的建立</w:t>
            </w:r>
          </w:p>
          <w:p w14:paraId="2B101A9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（3）北洋军阀统治与旧民主主义革命的失败</w:t>
            </w:r>
          </w:p>
        </w:tc>
        <w:tc>
          <w:tcPr>
            <w:tcW w:w="1159" w:type="dxa"/>
            <w:vAlign w:val="center"/>
          </w:tcPr>
          <w:p w14:paraId="23D95BF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241" w:type="dxa"/>
            <w:vAlign w:val="center"/>
          </w:tcPr>
          <w:p w14:paraId="64A9DA4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1.了解辛亥革命爆发的历史条件；</w:t>
            </w:r>
          </w:p>
          <w:p w14:paraId="6D603E9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2.认识辛亥革命的历史意义；</w:t>
            </w:r>
          </w:p>
          <w:p w14:paraId="63280E4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3.理解辛亥革命失败的原因。</w:t>
            </w:r>
          </w:p>
        </w:tc>
        <w:tc>
          <w:tcPr>
            <w:tcW w:w="1415" w:type="dxa"/>
            <w:vAlign w:val="center"/>
          </w:tcPr>
          <w:p w14:paraId="4DA1E7A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574122D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2.课堂教学</w:t>
            </w:r>
          </w:p>
          <w:p w14:paraId="672FE9D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3.单元测验</w:t>
            </w:r>
          </w:p>
        </w:tc>
        <w:tc>
          <w:tcPr>
            <w:tcW w:w="438" w:type="dxa"/>
            <w:vAlign w:val="center"/>
          </w:tcPr>
          <w:p w14:paraId="342B6B00">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p>
        </w:tc>
      </w:tr>
      <w:tr w14:paraId="43BE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BF0D22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5.中国共产党成立和中国革命新局面</w:t>
            </w:r>
          </w:p>
        </w:tc>
        <w:tc>
          <w:tcPr>
            <w:tcW w:w="2840" w:type="dxa"/>
            <w:vAlign w:val="center"/>
          </w:tcPr>
          <w:p w14:paraId="50BAB59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（1）新文化运动和五四运动</w:t>
            </w:r>
          </w:p>
          <w:p w14:paraId="25D4AF7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（2）马克思主义广泛传播与中国共产党诞生</w:t>
            </w:r>
          </w:p>
          <w:p w14:paraId="4F5C475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（3）中国革命的新局面</w:t>
            </w:r>
          </w:p>
        </w:tc>
        <w:tc>
          <w:tcPr>
            <w:tcW w:w="1159" w:type="dxa"/>
            <w:vAlign w:val="center"/>
          </w:tcPr>
          <w:p w14:paraId="2228EDBB">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241" w:type="dxa"/>
            <w:vAlign w:val="center"/>
          </w:tcPr>
          <w:p w14:paraId="63F6CF9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1.认识五四运动的历史意义；</w:t>
            </w:r>
          </w:p>
          <w:p w14:paraId="068A9C7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2.认识中国共产党成立的背景和过程；</w:t>
            </w:r>
          </w:p>
          <w:p w14:paraId="0E86EA5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3.认识中国共产党推动中国革命出现新局面</w:t>
            </w:r>
            <w:r>
              <w:rPr>
                <w:rFonts w:ascii="宋体" w:hAnsi="宋体" w:eastAsia="宋体" w:cs="Times New Roman"/>
                <w:color w:val="auto"/>
                <w:sz w:val="21"/>
                <w:szCs w:val="21"/>
              </w:rPr>
              <w:t>。</w:t>
            </w:r>
          </w:p>
        </w:tc>
        <w:tc>
          <w:tcPr>
            <w:tcW w:w="1415" w:type="dxa"/>
            <w:vAlign w:val="center"/>
          </w:tcPr>
          <w:p w14:paraId="032A11A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7FF391F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2.课堂教学</w:t>
            </w:r>
          </w:p>
          <w:p w14:paraId="4461241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3.单元测验</w:t>
            </w:r>
          </w:p>
        </w:tc>
        <w:tc>
          <w:tcPr>
            <w:tcW w:w="438" w:type="dxa"/>
            <w:vAlign w:val="center"/>
          </w:tcPr>
          <w:p w14:paraId="5DB35489">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w:t>
            </w:r>
          </w:p>
        </w:tc>
      </w:tr>
      <w:tr w14:paraId="0CCC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E27DB9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6.中国革命的新道路</w:t>
            </w:r>
          </w:p>
        </w:tc>
        <w:tc>
          <w:tcPr>
            <w:tcW w:w="2840" w:type="dxa"/>
            <w:vAlign w:val="center"/>
          </w:tcPr>
          <w:p w14:paraId="2A1FD1C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（1）中国共产党对革命新道路的探索</w:t>
            </w:r>
          </w:p>
          <w:p w14:paraId="56EF3DE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（2）中国革命在曲折中前进</w:t>
            </w:r>
          </w:p>
        </w:tc>
        <w:tc>
          <w:tcPr>
            <w:tcW w:w="1159" w:type="dxa"/>
            <w:vAlign w:val="center"/>
          </w:tcPr>
          <w:p w14:paraId="33266E55">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241" w:type="dxa"/>
            <w:vAlign w:val="center"/>
          </w:tcPr>
          <w:p w14:paraId="64637B2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1.认识国民党统治及其本质；</w:t>
            </w:r>
          </w:p>
          <w:p w14:paraId="399D384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2.了解中国共产党探索革命新道路的艰辛历程；</w:t>
            </w:r>
          </w:p>
          <w:p w14:paraId="6FCD16E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3.理解中国革命如何实现伟大转折。</w:t>
            </w:r>
          </w:p>
        </w:tc>
        <w:tc>
          <w:tcPr>
            <w:tcW w:w="1415" w:type="dxa"/>
            <w:vAlign w:val="center"/>
          </w:tcPr>
          <w:p w14:paraId="7F86E91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75A858C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2.课堂教学</w:t>
            </w:r>
          </w:p>
          <w:p w14:paraId="1878F2F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3.单元测验</w:t>
            </w:r>
          </w:p>
        </w:tc>
        <w:tc>
          <w:tcPr>
            <w:tcW w:w="438" w:type="dxa"/>
            <w:vAlign w:val="center"/>
          </w:tcPr>
          <w:p w14:paraId="730E75DA">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p>
        </w:tc>
      </w:tr>
      <w:tr w14:paraId="1D78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BB12631">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7.中华民族的抗日战争</w:t>
            </w:r>
          </w:p>
        </w:tc>
        <w:tc>
          <w:tcPr>
            <w:tcW w:w="2840" w:type="dxa"/>
            <w:vAlign w:val="center"/>
          </w:tcPr>
          <w:p w14:paraId="2612E91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（1）日本发动企图灭亡中国的侵略战争</w:t>
            </w:r>
          </w:p>
          <w:p w14:paraId="3E84CF2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（2）中国人民奋起抗击日本侵略者</w:t>
            </w:r>
          </w:p>
          <w:p w14:paraId="275B252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（3）抗日战争的正面战场</w:t>
            </w:r>
          </w:p>
          <w:p w14:paraId="29C01C5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（4）抗日战争的中流砥柱</w:t>
            </w:r>
          </w:p>
          <w:p w14:paraId="080CD78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（5）抗日战争的胜利及其意义</w:t>
            </w:r>
          </w:p>
        </w:tc>
        <w:tc>
          <w:tcPr>
            <w:tcW w:w="1159" w:type="dxa"/>
            <w:vAlign w:val="center"/>
          </w:tcPr>
          <w:p w14:paraId="6FB60CC5">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241" w:type="dxa"/>
            <w:vAlign w:val="center"/>
          </w:tcPr>
          <w:p w14:paraId="3614C58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w:t>
            </w:r>
            <w:r>
              <w:rPr>
                <w:rFonts w:hint="eastAsia" w:ascii="宋体" w:hAnsi="宋体" w:eastAsia="宋体" w:cs="Times New Roman"/>
                <w:color w:val="auto"/>
                <w:sz w:val="21"/>
                <w:szCs w:val="21"/>
              </w:rPr>
              <w:t>认识抗日战争的历史进程、主流和本质；</w:t>
            </w:r>
          </w:p>
          <w:p w14:paraId="55EA652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w:t>
            </w:r>
            <w:r>
              <w:rPr>
                <w:rFonts w:hint="eastAsia" w:ascii="宋体" w:hAnsi="宋体" w:eastAsia="宋体" w:cs="Times New Roman"/>
                <w:color w:val="auto"/>
                <w:sz w:val="21"/>
                <w:szCs w:val="21"/>
              </w:rPr>
              <w:t>理解中国共产党是全民族抗战的中流砥柱；</w:t>
            </w:r>
          </w:p>
          <w:p w14:paraId="078143C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w:t>
            </w:r>
            <w:r>
              <w:rPr>
                <w:rFonts w:hint="eastAsia" w:ascii="宋体" w:hAnsi="宋体" w:eastAsia="宋体" w:cs="Times New Roman"/>
                <w:color w:val="auto"/>
                <w:sz w:val="21"/>
                <w:szCs w:val="21"/>
              </w:rPr>
              <w:t>认识抗日战争胜利的重大意义。</w:t>
            </w:r>
          </w:p>
        </w:tc>
        <w:tc>
          <w:tcPr>
            <w:tcW w:w="1415" w:type="dxa"/>
            <w:vAlign w:val="center"/>
          </w:tcPr>
          <w:p w14:paraId="7D130EE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5F2FE41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2.课堂教学</w:t>
            </w:r>
          </w:p>
          <w:p w14:paraId="01E3B01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3.单元测验</w:t>
            </w:r>
          </w:p>
        </w:tc>
        <w:tc>
          <w:tcPr>
            <w:tcW w:w="438" w:type="dxa"/>
            <w:vAlign w:val="center"/>
          </w:tcPr>
          <w:p w14:paraId="16E655DE">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w:t>
            </w:r>
          </w:p>
        </w:tc>
      </w:tr>
      <w:tr w14:paraId="5515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29E4D3C">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8.为建立新中国而奋斗</w:t>
            </w:r>
          </w:p>
        </w:tc>
        <w:tc>
          <w:tcPr>
            <w:tcW w:w="2840" w:type="dxa"/>
            <w:vAlign w:val="center"/>
          </w:tcPr>
          <w:p w14:paraId="4E05E19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（1）从争取和平民主到击退国民党的军事进攻</w:t>
            </w:r>
          </w:p>
          <w:p w14:paraId="52AB71A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（2）全国解放战争的发展和第二条战线的形成</w:t>
            </w:r>
          </w:p>
          <w:p w14:paraId="6A31A4C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（3）中国共产党与民主党派的团结合作</w:t>
            </w:r>
          </w:p>
          <w:p w14:paraId="16342F2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（4）建立人民民主专政的新中国</w:t>
            </w:r>
          </w:p>
        </w:tc>
        <w:tc>
          <w:tcPr>
            <w:tcW w:w="1159" w:type="dxa"/>
            <w:vAlign w:val="center"/>
          </w:tcPr>
          <w:p w14:paraId="6B01749B">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241" w:type="dxa"/>
            <w:vAlign w:val="center"/>
          </w:tcPr>
          <w:p w14:paraId="7208EEB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（1）认识第二条战线形成和发展的重要意义；</w:t>
            </w:r>
          </w:p>
          <w:p w14:paraId="74EC5AF0">
            <w:pPr>
              <w:spacing w:line="240" w:lineRule="auto"/>
              <w:jc w:val="left"/>
              <w:rPr>
                <w:rFonts w:hint="eastAsia"/>
                <w:color w:val="auto"/>
                <w:sz w:val="21"/>
                <w:szCs w:val="21"/>
              </w:rPr>
            </w:pPr>
            <w:r>
              <w:rPr>
                <w:rFonts w:hint="eastAsia" w:ascii="宋体" w:hAnsi="宋体" w:eastAsia="宋体" w:cs="Times New Roman"/>
                <w:color w:val="auto"/>
                <w:sz w:val="21"/>
                <w:szCs w:val="21"/>
              </w:rPr>
              <w:t>（2）认识中华人民共和国的建立和中国共产党执政地位的确立是历史和人民的选择</w:t>
            </w:r>
            <w:r>
              <w:rPr>
                <w:rFonts w:ascii="宋体" w:hAnsi="宋体" w:eastAsia="宋体" w:cs="Times New Roman"/>
                <w:color w:val="auto"/>
                <w:sz w:val="21"/>
                <w:szCs w:val="21"/>
              </w:rPr>
              <w:t>。</w:t>
            </w:r>
          </w:p>
        </w:tc>
        <w:tc>
          <w:tcPr>
            <w:tcW w:w="1415" w:type="dxa"/>
            <w:vAlign w:val="center"/>
          </w:tcPr>
          <w:p w14:paraId="5729751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6C7CDEE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2.课堂教学</w:t>
            </w:r>
          </w:p>
          <w:p w14:paraId="25C536F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3.单元测验</w:t>
            </w:r>
          </w:p>
        </w:tc>
        <w:tc>
          <w:tcPr>
            <w:tcW w:w="438" w:type="dxa"/>
            <w:vAlign w:val="center"/>
          </w:tcPr>
          <w:p w14:paraId="19D9D6E1">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p>
        </w:tc>
      </w:tr>
      <w:tr w14:paraId="7259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AF730D5">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9.中华人民共和国的成立与中国社会主义建设道路的探索</w:t>
            </w:r>
          </w:p>
        </w:tc>
        <w:tc>
          <w:tcPr>
            <w:tcW w:w="2840" w:type="dxa"/>
            <w:vAlign w:val="center"/>
          </w:tcPr>
          <w:p w14:paraId="2D8A1AA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（1）中华人民共和国的成立和新生人民政权的巩固</w:t>
            </w:r>
          </w:p>
          <w:p w14:paraId="25B1C9D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（2）党在过渡时期的总路线及其实施</w:t>
            </w:r>
          </w:p>
          <w:p w14:paraId="30991ED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（3）初步确立社会主义基本制度</w:t>
            </w:r>
          </w:p>
          <w:p w14:paraId="23EB68B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（4）全面建设社会主义的良好开端</w:t>
            </w:r>
          </w:p>
          <w:p w14:paraId="7D3FE60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（5）社会主义道路的艰辛探索和曲折发展</w:t>
            </w:r>
          </w:p>
        </w:tc>
        <w:tc>
          <w:tcPr>
            <w:tcW w:w="1159" w:type="dxa"/>
            <w:vAlign w:val="center"/>
          </w:tcPr>
          <w:p w14:paraId="1767A96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241" w:type="dxa"/>
            <w:vAlign w:val="center"/>
          </w:tcPr>
          <w:p w14:paraId="7EDAA3C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1.了解中华人民共和国的成立和新生人民政权巩固的过程；</w:t>
            </w:r>
          </w:p>
          <w:p w14:paraId="24C97DC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2.认识中华人民共和国走上社会主义道路是历史和人民的选择；</w:t>
            </w:r>
          </w:p>
          <w:p w14:paraId="1346163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3.认识中华人民共和国确立社会主义基本制度的历史意义。</w:t>
            </w:r>
          </w:p>
        </w:tc>
        <w:tc>
          <w:tcPr>
            <w:tcW w:w="1415" w:type="dxa"/>
            <w:vAlign w:val="center"/>
          </w:tcPr>
          <w:p w14:paraId="3D38C88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46717CE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2.课堂教学</w:t>
            </w:r>
          </w:p>
          <w:p w14:paraId="1AF645C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3.单元测验</w:t>
            </w:r>
          </w:p>
        </w:tc>
        <w:tc>
          <w:tcPr>
            <w:tcW w:w="438" w:type="dxa"/>
            <w:vAlign w:val="center"/>
          </w:tcPr>
          <w:p w14:paraId="74E0E264">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p>
        </w:tc>
      </w:tr>
      <w:tr w14:paraId="04C9D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8B17129">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10.改革开放与中国特色社会主义的开创和发展</w:t>
            </w:r>
          </w:p>
        </w:tc>
        <w:tc>
          <w:tcPr>
            <w:tcW w:w="2840" w:type="dxa"/>
            <w:vAlign w:val="center"/>
          </w:tcPr>
          <w:p w14:paraId="6DA9C99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（1）历史性的伟大转折和改革开放的起步</w:t>
            </w:r>
          </w:p>
          <w:p w14:paraId="3291EDD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（2）改革开放和社会主义现代化建设新局面</w:t>
            </w:r>
          </w:p>
          <w:p w14:paraId="235F106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（3）把中国特色社会主义全面推向21世纪</w:t>
            </w:r>
          </w:p>
          <w:p w14:paraId="6A4EFDB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（4）在新形势下坚持和发展中国特色社会主义</w:t>
            </w:r>
          </w:p>
        </w:tc>
        <w:tc>
          <w:tcPr>
            <w:tcW w:w="1159" w:type="dxa"/>
            <w:vAlign w:val="center"/>
          </w:tcPr>
          <w:p w14:paraId="7368752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241" w:type="dxa"/>
            <w:vAlign w:val="center"/>
          </w:tcPr>
          <w:p w14:paraId="4D4A4BF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1.认识历史性的伟大转折和社会主义现代化建设新局面；</w:t>
            </w:r>
          </w:p>
          <w:p w14:paraId="096335E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2.认识改革开放和社会主义现代化建设发展的历史进程。</w:t>
            </w:r>
          </w:p>
        </w:tc>
        <w:tc>
          <w:tcPr>
            <w:tcW w:w="1415" w:type="dxa"/>
            <w:vAlign w:val="center"/>
          </w:tcPr>
          <w:p w14:paraId="62C5629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4964C0E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2.课堂教学</w:t>
            </w:r>
          </w:p>
          <w:p w14:paraId="3E18C08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3.单元测验</w:t>
            </w:r>
          </w:p>
        </w:tc>
        <w:tc>
          <w:tcPr>
            <w:tcW w:w="438" w:type="dxa"/>
            <w:vAlign w:val="center"/>
          </w:tcPr>
          <w:p w14:paraId="569DF4EC">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p>
        </w:tc>
      </w:tr>
      <w:tr w14:paraId="05C3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146AD7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11.中国特色社会主义进入新时代</w:t>
            </w:r>
          </w:p>
        </w:tc>
        <w:tc>
          <w:tcPr>
            <w:tcW w:w="2840" w:type="dxa"/>
            <w:vAlign w:val="center"/>
          </w:tcPr>
          <w:p w14:paraId="0F7A49F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（1）开拓中国特色社会主义更为广阔的发展前景</w:t>
            </w:r>
          </w:p>
          <w:p w14:paraId="61751D8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（2）把新时代中国特色社会主义不断推向前进</w:t>
            </w:r>
          </w:p>
          <w:p w14:paraId="64FA358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（3）开启全面建设社会主义现代化国家新征程</w:t>
            </w:r>
          </w:p>
        </w:tc>
        <w:tc>
          <w:tcPr>
            <w:tcW w:w="1159" w:type="dxa"/>
            <w:vAlign w:val="center"/>
          </w:tcPr>
          <w:p w14:paraId="6DE4FCE5">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p w14:paraId="04C6D083">
            <w:pPr>
              <w:spacing w:line="240" w:lineRule="auto"/>
              <w:jc w:val="center"/>
              <w:rPr>
                <w:rFonts w:hint="eastAsia" w:ascii="宋体" w:hAnsi="宋体" w:eastAsia="宋体" w:cs="Times New Roman"/>
                <w:color w:val="auto"/>
                <w:sz w:val="21"/>
                <w:szCs w:val="21"/>
              </w:rPr>
            </w:pPr>
          </w:p>
        </w:tc>
        <w:tc>
          <w:tcPr>
            <w:tcW w:w="2241" w:type="dxa"/>
            <w:vAlign w:val="center"/>
          </w:tcPr>
          <w:p w14:paraId="5A39D3A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1.了解中国特色社会主义进入新时代的发展成就；</w:t>
            </w:r>
          </w:p>
          <w:p w14:paraId="3FF8352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2.认识习近平新时代中国特色社会主义思想的意义；</w:t>
            </w:r>
          </w:p>
          <w:p w14:paraId="55A1DAD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3.认识中国共产党的百年奋斗重大成就和历史经验。</w:t>
            </w:r>
          </w:p>
        </w:tc>
        <w:tc>
          <w:tcPr>
            <w:tcW w:w="1415" w:type="dxa"/>
            <w:vAlign w:val="center"/>
          </w:tcPr>
          <w:p w14:paraId="57A8EED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06DFFC1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2.课堂教学</w:t>
            </w:r>
          </w:p>
          <w:p w14:paraId="604C580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3.单元测验</w:t>
            </w:r>
          </w:p>
        </w:tc>
        <w:tc>
          <w:tcPr>
            <w:tcW w:w="438" w:type="dxa"/>
            <w:vAlign w:val="center"/>
          </w:tcPr>
          <w:p w14:paraId="6BD92DEC">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w:t>
            </w:r>
          </w:p>
        </w:tc>
      </w:tr>
      <w:tr w14:paraId="2BA2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1205" w:type="dxa"/>
            <w:vAlign w:val="center"/>
          </w:tcPr>
          <w:p w14:paraId="0CA8EA6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12．思想政治理论课实践</w:t>
            </w:r>
          </w:p>
        </w:tc>
        <w:tc>
          <w:tcPr>
            <w:tcW w:w="2840" w:type="dxa"/>
            <w:vAlign w:val="center"/>
          </w:tcPr>
          <w:p w14:paraId="47352E56">
            <w:pPr>
              <w:spacing w:line="240" w:lineRule="auto"/>
              <w:jc w:val="left"/>
              <w:rPr>
                <w:rFonts w:hint="eastAsia" w:ascii="宋体" w:hAnsi="宋体" w:eastAsia="宋体" w:cs="Times New Roman"/>
                <w:color w:val="auto"/>
                <w:sz w:val="21"/>
                <w:szCs w:val="21"/>
              </w:rPr>
            </w:pPr>
          </w:p>
        </w:tc>
        <w:tc>
          <w:tcPr>
            <w:tcW w:w="1159" w:type="dxa"/>
            <w:vAlign w:val="center"/>
          </w:tcPr>
          <w:p w14:paraId="5E3F6691">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241" w:type="dxa"/>
            <w:vAlign w:val="center"/>
          </w:tcPr>
          <w:p w14:paraId="414EB3E6">
            <w:pPr>
              <w:spacing w:line="240" w:lineRule="auto"/>
              <w:jc w:val="left"/>
              <w:rPr>
                <w:rFonts w:hint="eastAsia" w:ascii="宋体" w:hAnsi="宋体" w:eastAsia="宋体" w:cs="Times New Roman"/>
                <w:color w:val="auto"/>
                <w:sz w:val="21"/>
                <w:szCs w:val="21"/>
              </w:rPr>
            </w:pPr>
          </w:p>
        </w:tc>
        <w:tc>
          <w:tcPr>
            <w:tcW w:w="1415" w:type="dxa"/>
            <w:vAlign w:val="center"/>
          </w:tcPr>
          <w:p w14:paraId="035855A0">
            <w:pPr>
              <w:spacing w:line="240" w:lineRule="auto"/>
              <w:jc w:val="left"/>
              <w:rPr>
                <w:rFonts w:hint="eastAsia" w:ascii="宋体" w:hAnsi="宋体" w:eastAsia="宋体" w:cs="Times New Roman"/>
                <w:color w:val="auto"/>
                <w:sz w:val="21"/>
                <w:szCs w:val="21"/>
              </w:rPr>
            </w:pPr>
          </w:p>
        </w:tc>
        <w:tc>
          <w:tcPr>
            <w:tcW w:w="438" w:type="dxa"/>
            <w:vAlign w:val="center"/>
          </w:tcPr>
          <w:p w14:paraId="6ED99125">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w:t>
            </w:r>
          </w:p>
        </w:tc>
      </w:tr>
    </w:tbl>
    <w:p w14:paraId="32EE35DF">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4"/>
          <w:szCs w:val="24"/>
        </w:rPr>
      </w:pPr>
      <w:r>
        <w:rPr>
          <w:rFonts w:hint="eastAsia" w:ascii="宋体" w:hAnsi="宋体" w:eastAsia="宋体" w:cs="Times New Roman"/>
          <w:b/>
          <w:color w:val="auto"/>
          <w:sz w:val="24"/>
          <w:szCs w:val="24"/>
        </w:rPr>
        <w:t>四、目标评价与成绩评定</w:t>
      </w:r>
    </w:p>
    <w:p w14:paraId="77957A9C">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3C8DA144">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根据总体设计，用于评价各课程目标的评价方式如</w:t>
      </w:r>
      <w:r>
        <w:rPr>
          <w:rFonts w:hint="eastAsia" w:ascii="Times New Roman" w:hAnsi="Times New Roman" w:eastAsia="宋体" w:cs="Times New Roman"/>
          <w:color w:val="auto"/>
          <w:szCs w:val="21"/>
          <w:lang w:val="en-US" w:eastAsia="zh-CN"/>
        </w:rPr>
        <w:t>下表</w:t>
      </w:r>
      <w:r>
        <w:rPr>
          <w:rFonts w:ascii="Times New Roman" w:hAnsi="Times New Roman" w:eastAsia="宋体" w:cs="Times New Roman"/>
          <w:color w:val="auto"/>
          <w:szCs w:val="21"/>
        </w:rPr>
        <w:t>所示。</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2"/>
        <w:gridCol w:w="1284"/>
        <w:gridCol w:w="1596"/>
        <w:gridCol w:w="1596"/>
        <w:gridCol w:w="1392"/>
        <w:gridCol w:w="980"/>
      </w:tblGrid>
      <w:tr w14:paraId="4120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Merge w:val="restart"/>
            <w:vAlign w:val="center"/>
          </w:tcPr>
          <w:p w14:paraId="4420A38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3364" w:type="pct"/>
            <w:gridSpan w:val="4"/>
            <w:vAlign w:val="center"/>
          </w:tcPr>
          <w:p w14:paraId="332F289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562" w:type="pct"/>
            <w:vMerge w:val="restart"/>
            <w:vAlign w:val="center"/>
          </w:tcPr>
          <w:p w14:paraId="333631C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4E64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Merge w:val="continue"/>
            <w:vAlign w:val="center"/>
          </w:tcPr>
          <w:p w14:paraId="18D63C5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736" w:type="pct"/>
            <w:vAlign w:val="center"/>
          </w:tcPr>
          <w:p w14:paraId="6DD69D4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网络学习</w:t>
            </w:r>
          </w:p>
        </w:tc>
        <w:tc>
          <w:tcPr>
            <w:tcW w:w="915" w:type="pct"/>
            <w:vAlign w:val="center"/>
          </w:tcPr>
          <w:p w14:paraId="5D5C1F9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color w:val="auto"/>
                <w:szCs w:val="21"/>
              </w:rPr>
              <w:t>平时表现</w:t>
            </w:r>
          </w:p>
        </w:tc>
        <w:tc>
          <w:tcPr>
            <w:tcW w:w="915" w:type="pct"/>
            <w:vAlign w:val="center"/>
          </w:tcPr>
          <w:p w14:paraId="3235585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color w:val="auto"/>
                <w:szCs w:val="21"/>
              </w:rPr>
              <w:t>作业成绩</w:t>
            </w:r>
          </w:p>
        </w:tc>
        <w:tc>
          <w:tcPr>
            <w:tcW w:w="798" w:type="pct"/>
          </w:tcPr>
          <w:p w14:paraId="438B1C6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eastAsia="宋体"/>
                <w:color w:val="auto"/>
              </w:rPr>
              <w:t>期末考试</w:t>
            </w:r>
          </w:p>
        </w:tc>
        <w:tc>
          <w:tcPr>
            <w:tcW w:w="562" w:type="pct"/>
            <w:vMerge w:val="continue"/>
            <w:vAlign w:val="center"/>
          </w:tcPr>
          <w:p w14:paraId="4ACDA5F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r>
      <w:tr w14:paraId="754E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Align w:val="center"/>
          </w:tcPr>
          <w:p w14:paraId="05BE34A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736" w:type="pct"/>
            <w:vAlign w:val="center"/>
          </w:tcPr>
          <w:p w14:paraId="6CF5B9A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915" w:type="pct"/>
            <w:vAlign w:val="center"/>
          </w:tcPr>
          <w:p w14:paraId="29E16D6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915" w:type="pct"/>
            <w:vAlign w:val="center"/>
          </w:tcPr>
          <w:p w14:paraId="482FDC5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798" w:type="pct"/>
          </w:tcPr>
          <w:p w14:paraId="6F25DFF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562" w:type="pct"/>
            <w:vAlign w:val="center"/>
          </w:tcPr>
          <w:p w14:paraId="1B0DA3B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03D6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Align w:val="center"/>
          </w:tcPr>
          <w:p w14:paraId="721EAA2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736" w:type="pct"/>
            <w:vAlign w:val="center"/>
          </w:tcPr>
          <w:p w14:paraId="1D72B3D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915" w:type="pct"/>
            <w:vAlign w:val="center"/>
          </w:tcPr>
          <w:p w14:paraId="546A544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915" w:type="pct"/>
            <w:vAlign w:val="center"/>
          </w:tcPr>
          <w:p w14:paraId="0E30672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798" w:type="pct"/>
          </w:tcPr>
          <w:p w14:paraId="71F2664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562" w:type="pct"/>
            <w:vAlign w:val="center"/>
          </w:tcPr>
          <w:p w14:paraId="7B4AE8E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189E6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Align w:val="center"/>
          </w:tcPr>
          <w:p w14:paraId="26A1C41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736" w:type="pct"/>
            <w:vAlign w:val="center"/>
          </w:tcPr>
          <w:p w14:paraId="26ED5A7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915" w:type="pct"/>
            <w:vAlign w:val="center"/>
          </w:tcPr>
          <w:p w14:paraId="7AB4371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915" w:type="pct"/>
            <w:vAlign w:val="center"/>
          </w:tcPr>
          <w:p w14:paraId="6EB309A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798" w:type="pct"/>
          </w:tcPr>
          <w:p w14:paraId="65856B6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562" w:type="pct"/>
            <w:vAlign w:val="center"/>
          </w:tcPr>
          <w:p w14:paraId="4A757F3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7DED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Align w:val="center"/>
          </w:tcPr>
          <w:p w14:paraId="50C1C30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736" w:type="pct"/>
            <w:vAlign w:val="center"/>
          </w:tcPr>
          <w:p w14:paraId="3463721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915" w:type="pct"/>
            <w:vAlign w:val="center"/>
          </w:tcPr>
          <w:p w14:paraId="661C4C3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915" w:type="pct"/>
            <w:vAlign w:val="center"/>
          </w:tcPr>
          <w:p w14:paraId="66A5E4B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798" w:type="pct"/>
          </w:tcPr>
          <w:p w14:paraId="0543A2B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562" w:type="pct"/>
            <w:vAlign w:val="center"/>
          </w:tcPr>
          <w:p w14:paraId="0EC6DBD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592DD038">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4D99EC74">
      <w:pPr>
        <w:spacing w:line="360" w:lineRule="auto"/>
        <w:ind w:firstLine="420" w:firstLineChars="200"/>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6092"/>
        <w:gridCol w:w="706"/>
      </w:tblGrid>
      <w:tr w14:paraId="7C7D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724" w:type="dxa"/>
            <w:vAlign w:val="center"/>
          </w:tcPr>
          <w:p w14:paraId="18003E9B">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092" w:type="dxa"/>
            <w:vAlign w:val="center"/>
          </w:tcPr>
          <w:p w14:paraId="5C6E8C6F">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180E6D25">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600E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4" w:type="dxa"/>
            <w:vAlign w:val="center"/>
          </w:tcPr>
          <w:p w14:paraId="0688993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网络学习</w:t>
            </w:r>
          </w:p>
        </w:tc>
        <w:tc>
          <w:tcPr>
            <w:tcW w:w="6092" w:type="dxa"/>
            <w:vAlign w:val="center"/>
          </w:tcPr>
          <w:p w14:paraId="416B7D45">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通过视频学习、互动讨论等考核对课程理论的理解和运用</w:t>
            </w:r>
          </w:p>
        </w:tc>
        <w:tc>
          <w:tcPr>
            <w:tcW w:w="0" w:type="auto"/>
            <w:vAlign w:val="center"/>
          </w:tcPr>
          <w:p w14:paraId="53B19E2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625E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724" w:type="dxa"/>
            <w:vAlign w:val="center"/>
          </w:tcPr>
          <w:p w14:paraId="14AC3FC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平时表现</w:t>
            </w:r>
          </w:p>
        </w:tc>
        <w:tc>
          <w:tcPr>
            <w:tcW w:w="6092" w:type="dxa"/>
            <w:vAlign w:val="center"/>
          </w:tcPr>
          <w:p w14:paraId="540F4123">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通过课堂互动、听课表现等考核对课程理论的理解和运用</w:t>
            </w:r>
          </w:p>
        </w:tc>
        <w:tc>
          <w:tcPr>
            <w:tcW w:w="0" w:type="auto"/>
            <w:vAlign w:val="center"/>
          </w:tcPr>
          <w:p w14:paraId="6842B67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w:t>
            </w:r>
          </w:p>
        </w:tc>
      </w:tr>
      <w:tr w14:paraId="1544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724" w:type="dxa"/>
            <w:vAlign w:val="center"/>
          </w:tcPr>
          <w:p w14:paraId="327D7FA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作业</w:t>
            </w:r>
          </w:p>
        </w:tc>
        <w:tc>
          <w:tcPr>
            <w:tcW w:w="6092" w:type="dxa"/>
            <w:vAlign w:val="center"/>
          </w:tcPr>
          <w:p w14:paraId="1397C247">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通过章节测验、思考题等考核对课程理论的理解和运用</w:t>
            </w:r>
          </w:p>
        </w:tc>
        <w:tc>
          <w:tcPr>
            <w:tcW w:w="0" w:type="auto"/>
            <w:vAlign w:val="center"/>
          </w:tcPr>
          <w:p w14:paraId="4004DAA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w:t>
            </w:r>
          </w:p>
        </w:tc>
      </w:tr>
      <w:tr w14:paraId="7D05B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4" w:type="dxa"/>
            <w:vAlign w:val="center"/>
          </w:tcPr>
          <w:p w14:paraId="4D9C04D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6092" w:type="dxa"/>
            <w:vAlign w:val="center"/>
          </w:tcPr>
          <w:p w14:paraId="75726905">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通过选择题、填空题和论述题等考核对课程理论的理解和运用</w:t>
            </w:r>
          </w:p>
        </w:tc>
        <w:tc>
          <w:tcPr>
            <w:tcW w:w="0" w:type="auto"/>
            <w:vAlign w:val="center"/>
          </w:tcPr>
          <w:p w14:paraId="4133D88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40%</w:t>
            </w:r>
          </w:p>
        </w:tc>
      </w:tr>
      <w:tr w14:paraId="166F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724" w:type="dxa"/>
            <w:vAlign w:val="center"/>
          </w:tcPr>
          <w:p w14:paraId="7FB4C88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6092" w:type="dxa"/>
            <w:vAlign w:val="center"/>
          </w:tcPr>
          <w:p w14:paraId="557D7BFE">
            <w:pPr>
              <w:jc w:val="left"/>
              <w:rPr>
                <w:rFonts w:ascii="Times New Roman" w:hAnsi="Times New Roman" w:eastAsia="宋体" w:cs="Times New Roman"/>
                <w:color w:val="auto"/>
                <w:szCs w:val="21"/>
              </w:rPr>
            </w:pPr>
          </w:p>
        </w:tc>
        <w:tc>
          <w:tcPr>
            <w:tcW w:w="0" w:type="auto"/>
            <w:vAlign w:val="center"/>
          </w:tcPr>
          <w:p w14:paraId="4A0AABD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4997964F">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576E33DB">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39C84CA0">
      <w:pPr>
        <w:spacing w:before="156" w:beforeLines="50"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object>
          <v:shape id="_x0000_i1026" o:spt="75" type="#_x0000_t75" style="height:25pt;width:404.5pt;" o:ole="t" filled="f" o:preferrelative="t" stroked="f" coordsize="21600,21600">
            <v:path/>
            <v:fill on="f" focussize="0,0"/>
            <v:stroke on="f" joinstyle="miter"/>
            <v:imagedata r:id="rId10" o:title=""/>
            <o:lock v:ext="edit" aspectratio="t"/>
            <w10:wrap type="none"/>
            <w10:anchorlock/>
          </v:shape>
          <o:OLEObject Type="Embed" ProgID="Equation.3" ShapeID="_x0000_i1026" DrawAspect="Content" ObjectID="_1468075726" r:id="rId11">
            <o:LockedField>false</o:LockedField>
          </o:OLEObject>
        </w:object>
      </w:r>
    </w:p>
    <w:p w14:paraId="54305776">
      <w:pPr>
        <w:spacing w:line="360" w:lineRule="auto"/>
        <w:jc w:val="left"/>
        <w:rPr>
          <w:rFonts w:ascii="Times New Roman" w:hAnsi="Times New Roman" w:eastAsia="宋体" w:cs="Times New Roman"/>
          <w:b/>
          <w:bCs/>
          <w:color w:val="auto"/>
          <w:sz w:val="24"/>
          <w:szCs w:val="24"/>
        </w:rPr>
      </w:pPr>
      <w:r>
        <w:rPr>
          <w:rFonts w:hint="eastAsia" w:ascii="宋体" w:hAnsi="宋体" w:eastAsia="宋体" w:cs="Times New Roman"/>
          <w:b/>
          <w:color w:val="auto"/>
          <w:sz w:val="24"/>
          <w:szCs w:val="24"/>
        </w:rPr>
        <w:t>五、有关说明</w:t>
      </w:r>
    </w:p>
    <w:p w14:paraId="5D9832B1">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32DD8E90">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color w:val="auto"/>
          <w:szCs w:val="21"/>
        </w:rPr>
        <w:t>本课程根据平时表现、作业和期末考试等考核情况，以及学生、教学督导等反馈，及时对教学中不足之处进行改进，并在下一轮课程教学中整改完善，确保相应毕业要求观测点达成。</w:t>
      </w:r>
    </w:p>
    <w:p w14:paraId="78B2F11E">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6D942647">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《中国近现代史纲要》，本书编写组主编，高等教育出版社，2023年2月</w:t>
      </w:r>
    </w:p>
    <w:p w14:paraId="36AF8A44">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701E06B1">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1.《从鸦片战争到五四运动》，人民出版社，1998</w:t>
      </w:r>
    </w:p>
    <w:p w14:paraId="4AF3A27A">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2.《习近平新时代中国特色社会主义思想学习问答》，学习出版社、人民出版社，2021</w:t>
      </w:r>
    </w:p>
    <w:p w14:paraId="7FAD0BBE">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3.《中国共产党简史》，人民出版社，2021</w:t>
      </w:r>
    </w:p>
    <w:p w14:paraId="2CA867AB">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4.《中国共产党的一百年》，中共党史出版社，2022</w:t>
      </w:r>
    </w:p>
    <w:p w14:paraId="403C7FE8">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5.《党的二十届三中全会〈决定〉学习辅导百问》，党建读物出版社、学习出版社，2024</w:t>
      </w:r>
    </w:p>
    <w:p w14:paraId="53F508D4">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（四）教学改革</w:t>
      </w:r>
    </w:p>
    <w:p w14:paraId="388B883A">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color w:val="auto"/>
        </w:rPr>
      </w:pPr>
      <w:r>
        <w:rPr>
          <w:rFonts w:hint="eastAsia" w:ascii="Times New Roman" w:hAnsi="Times New Roman" w:eastAsia="宋体" w:cs="Times New Roman"/>
          <w:bCs/>
          <w:color w:val="auto"/>
          <w:szCs w:val="21"/>
        </w:rPr>
        <w:t>本课程的教学改革，需制定相应的教学方案。</w:t>
      </w:r>
    </w:p>
    <w:p w14:paraId="56D7FDEB">
      <w:pPr>
        <w:keepNext w:val="0"/>
        <w:keepLines w:val="0"/>
        <w:pageBreakBefore w:val="0"/>
        <w:widowControl w:val="0"/>
        <w:kinsoku/>
        <w:wordWrap/>
        <w:overflowPunct/>
        <w:topLinePunct w:val="0"/>
        <w:autoSpaceDE/>
        <w:autoSpaceDN/>
        <w:bidi w:val="0"/>
        <w:adjustRightInd/>
        <w:snapToGrid/>
        <w:spacing w:line="312"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执 笔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王若颖</w:t>
      </w:r>
    </w:p>
    <w:p w14:paraId="4294F646">
      <w:pPr>
        <w:keepNext w:val="0"/>
        <w:keepLines w:val="0"/>
        <w:pageBreakBefore w:val="0"/>
        <w:widowControl w:val="0"/>
        <w:kinsoku/>
        <w:wordWrap/>
        <w:overflowPunct/>
        <w:topLinePunct w:val="0"/>
        <w:autoSpaceDE/>
        <w:autoSpaceDN/>
        <w:bidi w:val="0"/>
        <w:adjustRightInd/>
        <w:snapToGrid/>
        <w:spacing w:line="312"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 定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夏天静</w:t>
      </w:r>
    </w:p>
    <w:p w14:paraId="67B8B5A4">
      <w:pPr>
        <w:keepNext w:val="0"/>
        <w:keepLines w:val="0"/>
        <w:pageBreakBefore w:val="0"/>
        <w:widowControl w:val="0"/>
        <w:kinsoku/>
        <w:wordWrap/>
        <w:overflowPunct/>
        <w:topLinePunct w:val="0"/>
        <w:autoSpaceDE/>
        <w:autoSpaceDN/>
        <w:bidi w:val="0"/>
        <w:adjustRightInd/>
        <w:snapToGrid/>
        <w:spacing w:line="312"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     审 批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熊焱生</w:t>
      </w:r>
    </w:p>
    <w:p w14:paraId="095D8692">
      <w:pPr>
        <w:keepNext w:val="0"/>
        <w:keepLines w:val="0"/>
        <w:pageBreakBefore w:val="0"/>
        <w:widowControl w:val="0"/>
        <w:kinsoku/>
        <w:wordWrap/>
        <w:overflowPunct/>
        <w:topLinePunct w:val="0"/>
        <w:autoSpaceDE/>
        <w:autoSpaceDN/>
        <w:bidi w:val="0"/>
        <w:adjustRightInd/>
        <w:snapToGrid/>
        <w:spacing w:line="312" w:lineRule="auto"/>
        <w:ind w:right="0"/>
        <w:jc w:val="righ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eastAsia="zh-CN"/>
        </w:rPr>
        <w:t>批准时间：2025年7月1日</w:t>
      </w:r>
    </w:p>
    <w:p w14:paraId="712C6CA6">
      <w:pPr>
        <w:rPr>
          <w:color w:val="auto"/>
          <w:kern w:val="0"/>
          <w:sz w:val="24"/>
          <w:szCs w:val="21"/>
        </w:rPr>
      </w:pPr>
      <w:r>
        <w:rPr>
          <w:rFonts w:ascii="Times New Roman" w:hAnsi="Times New Roman" w:eastAsia="宋体" w:cs="Times New Roman"/>
          <w:color w:val="auto"/>
          <w:sz w:val="21"/>
          <w:szCs w:val="21"/>
        </w:rPr>
        <w:br w:type="page"/>
      </w:r>
    </w:p>
    <w:p w14:paraId="505121C0">
      <w:pPr>
        <w:spacing w:line="360" w:lineRule="auto"/>
        <w:jc w:val="center"/>
        <w:outlineLvl w:val="0"/>
        <w:rPr>
          <w:rFonts w:hint="eastAsia" w:ascii="Times New Roman" w:hAnsi="Times New Roman" w:eastAsia="宋体" w:cs="Times New Roman"/>
          <w:b/>
          <w:sz w:val="44"/>
          <w:szCs w:val="44"/>
        </w:rPr>
      </w:pPr>
      <w:bookmarkStart w:id="6" w:name="_Toc18027"/>
      <w:r>
        <w:rPr>
          <w:rFonts w:hint="eastAsia" w:ascii="Times New Roman" w:hAnsi="Times New Roman" w:eastAsia="宋体" w:cs="Times New Roman"/>
          <w:b/>
          <w:sz w:val="44"/>
          <w:szCs w:val="44"/>
        </w:rPr>
        <w:t>《马克思主义基本原理》课程教学大纲</w:t>
      </w:r>
      <w:bookmarkEnd w:id="6"/>
    </w:p>
    <w:p w14:paraId="5388AFEB">
      <w:pPr>
        <w:spacing w:line="360" w:lineRule="auto"/>
        <w:jc w:val="center"/>
        <w:rPr>
          <w:rFonts w:ascii="Times New Roman" w:hAnsi="Times New Roman" w:eastAsia="宋体" w:cs="Times New Roman"/>
          <w:bCs/>
          <w:color w:val="auto"/>
          <w:sz w:val="30"/>
          <w:szCs w:val="30"/>
        </w:rPr>
      </w:pPr>
      <w:r>
        <w:rPr>
          <w:rFonts w:hint="eastAsia" w:ascii="Times New Roman" w:hAnsi="Times New Roman" w:eastAsia="宋体" w:cs="Times New Roman"/>
          <w:b/>
          <w:bCs/>
          <w:color w:val="auto"/>
          <w:sz w:val="28"/>
          <w:szCs w:val="28"/>
        </w:rPr>
        <w:t>（Basic Principles of Marxism）</w:t>
      </w:r>
    </w:p>
    <w:p w14:paraId="3DD1BD29">
      <w:pPr>
        <w:spacing w:line="360" w:lineRule="auto"/>
        <w:ind w:firstLine="422" w:firstLineChars="200"/>
        <w:jc w:val="left"/>
        <w:rPr>
          <w:rFonts w:ascii="Times New Roman" w:hAnsi="Times New Roman" w:eastAsia="宋体" w:cs="Times New Roman"/>
          <w:b/>
          <w:color w:val="auto"/>
          <w:sz w:val="21"/>
          <w:szCs w:val="21"/>
        </w:rPr>
      </w:pPr>
    </w:p>
    <w:p w14:paraId="78751E47">
      <w:pPr>
        <w:spacing w:line="360" w:lineRule="auto"/>
        <w:ind w:firstLine="482" w:firstLineChars="200"/>
        <w:jc w:val="left"/>
        <w:rPr>
          <w:rFonts w:hint="eastAsia" w:ascii="宋体" w:hAnsi="宋体" w:eastAsia="宋体" w:cs="Times New Roman"/>
          <w:b/>
          <w:sz w:val="24"/>
        </w:rPr>
      </w:pPr>
      <w:r>
        <w:rPr>
          <w:rFonts w:hint="eastAsia" w:ascii="宋体" w:hAnsi="宋体" w:eastAsia="宋体" w:cs="Times New Roman"/>
          <w:b/>
          <w:sz w:val="24"/>
        </w:rPr>
        <w:t>课程名称：马克思主义基本原理</w:t>
      </w:r>
    </w:p>
    <w:p w14:paraId="40178BDE">
      <w:pPr>
        <w:spacing w:line="360" w:lineRule="auto"/>
        <w:ind w:firstLine="482" w:firstLineChars="200"/>
        <w:jc w:val="left"/>
        <w:rPr>
          <w:rFonts w:hint="eastAsia" w:ascii="宋体" w:hAnsi="宋体" w:eastAsia="宋体" w:cs="Times New Roman"/>
          <w:b/>
          <w:sz w:val="24"/>
        </w:rPr>
      </w:pPr>
      <w:r>
        <w:rPr>
          <w:rFonts w:hint="eastAsia" w:ascii="宋体" w:hAnsi="宋体" w:eastAsia="宋体" w:cs="Times New Roman"/>
          <w:b/>
          <w:sz w:val="24"/>
        </w:rPr>
        <w:t>课程代码：1003031</w:t>
      </w:r>
    </w:p>
    <w:p w14:paraId="625DAA13">
      <w:pPr>
        <w:spacing w:line="360" w:lineRule="auto"/>
        <w:ind w:firstLine="482" w:firstLineChars="200"/>
        <w:jc w:val="left"/>
        <w:rPr>
          <w:rFonts w:hint="eastAsia" w:ascii="宋体" w:hAnsi="宋体" w:eastAsia="宋体" w:cs="Times New Roman"/>
          <w:b/>
          <w:sz w:val="24"/>
        </w:rPr>
      </w:pPr>
      <w:r>
        <w:rPr>
          <w:rFonts w:hint="eastAsia" w:ascii="宋体" w:hAnsi="宋体" w:eastAsia="宋体" w:cs="Times New Roman"/>
          <w:b/>
          <w:sz w:val="24"/>
        </w:rPr>
        <w:t xml:space="preserve">学 </w:t>
      </w:r>
      <w:r>
        <w:rPr>
          <w:rFonts w:ascii="宋体" w:hAnsi="宋体" w:eastAsia="宋体" w:cs="Times New Roman"/>
          <w:b/>
          <w:sz w:val="24"/>
        </w:rPr>
        <w:t xml:space="preserve">   </w:t>
      </w:r>
      <w:r>
        <w:rPr>
          <w:rFonts w:hint="eastAsia" w:ascii="宋体" w:hAnsi="宋体" w:eastAsia="宋体" w:cs="Times New Roman"/>
          <w:b/>
          <w:sz w:val="24"/>
        </w:rPr>
        <w:t>分：3</w:t>
      </w:r>
    </w:p>
    <w:p w14:paraId="3E52805B">
      <w:pPr>
        <w:spacing w:line="360" w:lineRule="auto"/>
        <w:ind w:firstLine="482" w:firstLineChars="200"/>
        <w:jc w:val="left"/>
        <w:rPr>
          <w:rFonts w:hint="eastAsia" w:ascii="宋体" w:hAnsi="宋体" w:eastAsia="宋体" w:cs="Times New Roman"/>
          <w:b/>
          <w:sz w:val="24"/>
        </w:rPr>
      </w:pPr>
      <w:r>
        <w:rPr>
          <w:rFonts w:hint="eastAsia" w:ascii="宋体" w:hAnsi="宋体" w:eastAsia="宋体" w:cs="Times New Roman"/>
          <w:b/>
          <w:sz w:val="24"/>
        </w:rPr>
        <w:t xml:space="preserve">学 </w:t>
      </w:r>
      <w:r>
        <w:rPr>
          <w:rFonts w:ascii="宋体" w:hAnsi="宋体" w:eastAsia="宋体" w:cs="Times New Roman"/>
          <w:b/>
          <w:sz w:val="24"/>
        </w:rPr>
        <w:t xml:space="preserve">   </w:t>
      </w:r>
      <w:r>
        <w:rPr>
          <w:rFonts w:hint="eastAsia" w:ascii="宋体" w:hAnsi="宋体" w:eastAsia="宋体" w:cs="Times New Roman"/>
          <w:b/>
          <w:sz w:val="24"/>
        </w:rPr>
        <w:t>时：48（其中：讲授学时42，实践学时6）</w:t>
      </w:r>
    </w:p>
    <w:p w14:paraId="7E12FAA5">
      <w:pPr>
        <w:spacing w:line="360" w:lineRule="auto"/>
        <w:ind w:firstLine="482" w:firstLineChars="200"/>
        <w:jc w:val="left"/>
        <w:rPr>
          <w:rFonts w:hint="eastAsia" w:ascii="宋体" w:hAnsi="宋体" w:eastAsia="宋体" w:cs="Times New Roman"/>
          <w:b/>
          <w:sz w:val="24"/>
        </w:rPr>
      </w:pPr>
      <w:r>
        <w:rPr>
          <w:rFonts w:hint="eastAsia" w:ascii="宋体" w:hAnsi="宋体" w:eastAsia="宋体" w:cs="Times New Roman"/>
          <w:b/>
          <w:sz w:val="24"/>
        </w:rPr>
        <w:t>先修课程：思想道德与法治、中国近现代史纲要</w:t>
      </w:r>
    </w:p>
    <w:p w14:paraId="3926991B">
      <w:pPr>
        <w:spacing w:line="360" w:lineRule="auto"/>
        <w:ind w:firstLine="482" w:firstLineChars="200"/>
        <w:jc w:val="left"/>
        <w:rPr>
          <w:rFonts w:hint="default" w:ascii="宋体" w:hAnsi="宋体" w:eastAsia="宋体" w:cs="Times New Roman"/>
          <w:b/>
          <w:sz w:val="24"/>
          <w:lang w:val="en-US" w:eastAsia="zh-CN"/>
        </w:rPr>
      </w:pPr>
      <w:r>
        <w:rPr>
          <w:rFonts w:hint="eastAsia" w:ascii="宋体" w:hAnsi="宋体" w:eastAsia="宋体" w:cs="Times New Roman"/>
          <w:b/>
          <w:sz w:val="24"/>
        </w:rPr>
        <w:t>适用专业：</w:t>
      </w:r>
      <w:r>
        <w:rPr>
          <w:rFonts w:hint="eastAsia" w:ascii="宋体" w:hAnsi="宋体" w:eastAsia="宋体" w:cs="Times New Roman"/>
          <w:b/>
          <w:sz w:val="24"/>
          <w:lang w:val="en-US" w:eastAsia="zh-CN"/>
        </w:rPr>
        <w:t>全校所有专业</w:t>
      </w:r>
    </w:p>
    <w:p w14:paraId="18CC82BE">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78C0760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面向小学教育专业开设的通识必修课。通过本课程的学习，使学生理解马克思主义基本原理相关理论，掌握辩证唯物主义和历史唯物主义的基本观点，认识资本主义本质和社会主义建立、实践和发展的必然性，学会运用马克思主义的立场、观点、方法来认识、分析和解决问题，树立马克思主义的世界观、人生观和价值观，为后续思想政治理论课及思想政治理论课实践环节奠定基础，从而完成人才培养目标。</w:t>
      </w:r>
    </w:p>
    <w:p w14:paraId="0A7C1368">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550126D1">
      <w:pPr>
        <w:spacing w:line="360" w:lineRule="auto"/>
        <w:ind w:firstLine="422" w:firstLineChars="200"/>
        <w:rPr>
          <w:rFonts w:hint="eastAsia" w:ascii="宋体" w:hAnsi="宋体" w:eastAsia="宋体" w:cs="Times New Roman"/>
          <w:b/>
          <w:szCs w:val="21"/>
        </w:rPr>
      </w:pPr>
      <w:bookmarkStart w:id="7" w:name="OLE_LINK27"/>
      <w:bookmarkStart w:id="8" w:name="_Hlk187778138"/>
      <w:r>
        <w:rPr>
          <w:rFonts w:hint="eastAsia" w:ascii="宋体" w:hAnsi="宋体" w:eastAsia="宋体" w:cs="Times New Roman"/>
          <w:b/>
          <w:szCs w:val="21"/>
        </w:rPr>
        <w:t>（一）课程具体目标</w:t>
      </w:r>
    </w:p>
    <w:bookmarkEnd w:id="7"/>
    <w:p w14:paraId="283AF5F2">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w:t>
      </w:r>
      <w:r>
        <w:rPr>
          <w:rFonts w:ascii="Times New Roman" w:hAnsi="Times New Roman" w:eastAsia="宋体" w:cs="Times New Roman"/>
          <w:bCs/>
          <w:szCs w:val="21"/>
        </w:rPr>
        <w:t>培养学生立足国情认知与全球视野，系统理解新时代中国特色社会主义思想理论体系，准确把握其对中国式现代化建设的核心指导价值。坚定中国特色社会主义政治认同，自觉践行社会主义核心价值观，将党的教育方针转化为育人实践的行动自觉。深植教师职业价值认同，铸就</w:t>
      </w:r>
      <w:r>
        <w:rPr>
          <w:rFonts w:hint="eastAsia" w:ascii="Times New Roman" w:hAnsi="Times New Roman" w:eastAsia="宋体" w:cs="Times New Roman"/>
          <w:bCs/>
          <w:szCs w:val="21"/>
        </w:rPr>
        <w:t>“</w:t>
      </w:r>
      <w:r>
        <w:rPr>
          <w:rFonts w:ascii="Times New Roman" w:hAnsi="Times New Roman" w:eastAsia="宋体" w:cs="Times New Roman"/>
          <w:bCs/>
          <w:szCs w:val="21"/>
        </w:rPr>
        <w:t>四有</w:t>
      </w:r>
      <w:r>
        <w:rPr>
          <w:rFonts w:hint="eastAsia" w:ascii="Times New Roman" w:hAnsi="Times New Roman" w:eastAsia="宋体" w:cs="Times New Roman"/>
          <w:bCs/>
          <w:szCs w:val="21"/>
        </w:rPr>
        <w:t>”</w:t>
      </w:r>
      <w:r>
        <w:rPr>
          <w:rFonts w:ascii="Times New Roman" w:hAnsi="Times New Roman" w:eastAsia="宋体" w:cs="Times New Roman"/>
          <w:bCs/>
          <w:szCs w:val="21"/>
        </w:rPr>
        <w:t>教师核心素养。</w:t>
      </w:r>
    </w:p>
    <w:p w14:paraId="78FA0C78">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目标2：</w:t>
      </w:r>
      <w:r>
        <w:rPr>
          <w:rFonts w:hint="eastAsia" w:ascii="Times New Roman" w:hAnsi="Times New Roman" w:eastAsia="宋体" w:cs="Times New Roman"/>
          <w:bCs/>
          <w:szCs w:val="21"/>
        </w:rPr>
        <w:t>在马克思主义理论指导下培养学生的</w:t>
      </w:r>
      <w:r>
        <w:rPr>
          <w:rFonts w:ascii="Times New Roman" w:hAnsi="Times New Roman" w:eastAsia="宋体" w:cs="Times New Roman"/>
          <w:bCs/>
          <w:szCs w:val="21"/>
        </w:rPr>
        <w:t>人文艺术涵养与求实科学精神，恪守教师职业行为规范，保持正向情感状态，形成健全人格特质，实现身心协调发展</w:t>
      </w:r>
      <w:r>
        <w:rPr>
          <w:rFonts w:hint="eastAsia" w:ascii="Times New Roman" w:hAnsi="Times New Roman" w:eastAsia="宋体" w:cs="Times New Roman"/>
          <w:bCs/>
          <w:szCs w:val="21"/>
        </w:rPr>
        <w:t>。</w:t>
      </w:r>
    </w:p>
    <w:p w14:paraId="2BBD4358">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目标3：</w:t>
      </w:r>
      <w:bookmarkEnd w:id="8"/>
      <w:r>
        <w:rPr>
          <w:rFonts w:hint="eastAsia" w:ascii="Times New Roman" w:hAnsi="Times New Roman" w:eastAsia="宋体" w:cs="Times New Roman"/>
          <w:bCs/>
          <w:szCs w:val="21"/>
        </w:rPr>
        <w:t>科学地运用马克思主义的世界观和方法论，帮助学生培养与小学教育本科专业相应的自然科学和人文社会科学知识素养，并将其运用到教育实践中。</w:t>
      </w:r>
    </w:p>
    <w:p w14:paraId="16CD423D">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目标4：</w:t>
      </w:r>
      <w:r>
        <w:rPr>
          <w:rFonts w:hint="eastAsia" w:ascii="Times New Roman" w:hAnsi="Times New Roman" w:eastAsia="宋体" w:cs="Times New Roman"/>
          <w:bCs/>
          <w:szCs w:val="21"/>
        </w:rPr>
        <w:t>培养反思意识和批判性思维素养，对在日常学习和教育实践中发现的教育现象和问题，能运用辩证唯物主义和历史唯物主义的方法进行探索和研究，通过持续反思优化教学实践。</w:t>
      </w:r>
    </w:p>
    <w:p w14:paraId="5B72EBA2">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6"/>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6408"/>
        <w:gridCol w:w="1281"/>
      </w:tblGrid>
      <w:tr w14:paraId="454D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14:paraId="62C69F0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408" w:type="dxa"/>
            <w:vAlign w:val="center"/>
          </w:tcPr>
          <w:p w14:paraId="78CF04E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281" w:type="dxa"/>
            <w:vAlign w:val="center"/>
          </w:tcPr>
          <w:p w14:paraId="38FC622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D59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14:paraId="73C27878">
            <w:pPr>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毕业要求1</w:t>
            </w:r>
          </w:p>
          <w:p w14:paraId="5B054D5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师德规范</w:t>
            </w:r>
          </w:p>
        </w:tc>
        <w:tc>
          <w:tcPr>
            <w:tcW w:w="6408" w:type="dxa"/>
            <w:vAlign w:val="center"/>
          </w:tcPr>
          <w:p w14:paraId="7573D0A6">
            <w:pPr>
              <w:jc w:val="left"/>
              <w:rPr>
                <w:rFonts w:ascii="Times New Roman" w:hAnsi="Times New Roman" w:eastAsia="宋体" w:cs="Times New Roman"/>
                <w:szCs w:val="21"/>
              </w:rPr>
            </w:pPr>
            <w:r>
              <w:rPr>
                <w:rFonts w:hint="eastAsia" w:ascii="Times New Roman" w:hAnsi="Times New Roman" w:eastAsia="宋体" w:cs="Times New Roman"/>
                <w:b/>
                <w:bCs w:val="0"/>
                <w:szCs w:val="21"/>
                <w:lang w:eastAsia="zh-CN"/>
              </w:rPr>
              <w:t>指标点1-1</w:t>
            </w:r>
            <w:r>
              <w:rPr>
                <w:rFonts w:hint="eastAsia" w:ascii="Times New Roman" w:hAnsi="Times New Roman" w:eastAsia="宋体" w:cs="Times New Roman"/>
                <w:b w:val="0"/>
                <w:bCs w:val="0"/>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281" w:type="dxa"/>
            <w:vAlign w:val="center"/>
          </w:tcPr>
          <w:p w14:paraId="7718614B">
            <w:pPr>
              <w:jc w:val="center"/>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14762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14:paraId="1F9BAD4C">
            <w:pPr>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毕业要求2</w:t>
            </w:r>
          </w:p>
          <w:p w14:paraId="6C3CE53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教育情怀</w:t>
            </w:r>
          </w:p>
        </w:tc>
        <w:tc>
          <w:tcPr>
            <w:tcW w:w="6408" w:type="dxa"/>
            <w:vAlign w:val="center"/>
          </w:tcPr>
          <w:p w14:paraId="773244EC">
            <w:pPr>
              <w:jc w:val="left"/>
              <w:rPr>
                <w:rFonts w:ascii="Times New Roman" w:hAnsi="Times New Roman" w:eastAsia="宋体" w:cs="Times New Roman"/>
                <w:szCs w:val="21"/>
              </w:rPr>
            </w:pPr>
            <w:r>
              <w:rPr>
                <w:rFonts w:hint="eastAsia" w:ascii="宋体" w:hAnsi="宋体" w:eastAsia="宋体" w:cs="Times New Roman"/>
                <w:b/>
                <w:bCs/>
                <w:spacing w:val="2"/>
                <w:kern w:val="0"/>
                <w:szCs w:val="21"/>
                <w:lang w:eastAsia="zh-CN"/>
              </w:rPr>
              <w:t>指标点2-3</w:t>
            </w:r>
            <w:r>
              <w:rPr>
                <w:rFonts w:hint="eastAsia" w:ascii="宋体" w:hAnsi="宋体" w:eastAsia="宋体" w:cs="Times New Roman"/>
                <w:b/>
                <w:bCs/>
                <w:spacing w:val="2"/>
                <w:kern w:val="0"/>
                <w:szCs w:val="21"/>
              </w:rPr>
              <w:t>：</w:t>
            </w:r>
            <w:r>
              <w:rPr>
                <w:rFonts w:hint="eastAsia" w:ascii="宋体" w:hAnsi="宋体" w:eastAsia="宋体" w:cs="Times New Roman"/>
                <w:spacing w:val="2"/>
                <w:kern w:val="0"/>
                <w:szCs w:val="21"/>
              </w:rPr>
              <w:t>【自身修养良好】具有较好的人文艺术底蕴与科学精神，言行举止符合教师职业标准，情感积极，人格健全，身心健康。</w:t>
            </w:r>
          </w:p>
        </w:tc>
        <w:tc>
          <w:tcPr>
            <w:tcW w:w="1281" w:type="dxa"/>
            <w:vAlign w:val="center"/>
          </w:tcPr>
          <w:p w14:paraId="5E8AF8C2">
            <w:pPr>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26D0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14:paraId="3D1E2E1E">
            <w:pPr>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毕业要求3</w:t>
            </w:r>
          </w:p>
          <w:p w14:paraId="12EBB6E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学科素养</w:t>
            </w:r>
          </w:p>
        </w:tc>
        <w:tc>
          <w:tcPr>
            <w:tcW w:w="6408" w:type="dxa"/>
            <w:vAlign w:val="center"/>
          </w:tcPr>
          <w:p w14:paraId="77D53B0C">
            <w:pPr>
              <w:jc w:val="left"/>
              <w:rPr>
                <w:rFonts w:hint="eastAsia" w:ascii="宋体" w:hAnsi="宋体" w:eastAsia="宋体" w:cs="Times New Roman"/>
                <w:spacing w:val="2"/>
                <w:kern w:val="0"/>
                <w:szCs w:val="21"/>
              </w:rPr>
            </w:pPr>
            <w:r>
              <w:rPr>
                <w:rFonts w:hint="eastAsia" w:ascii="宋体" w:hAnsi="宋体" w:eastAsia="宋体" w:cs="Times New Roman"/>
                <w:b/>
                <w:bCs/>
                <w:spacing w:val="2"/>
                <w:kern w:val="0"/>
                <w:szCs w:val="21"/>
                <w:lang w:eastAsia="zh-CN"/>
              </w:rPr>
              <w:t>指标点3-1</w:t>
            </w:r>
            <w:r>
              <w:rPr>
                <w:rFonts w:hint="eastAsia" w:ascii="宋体" w:hAnsi="宋体" w:eastAsia="宋体" w:cs="Times New Roman"/>
                <w:b/>
                <w:bCs/>
                <w:spacing w:val="2"/>
                <w:kern w:val="0"/>
                <w:szCs w:val="21"/>
              </w:rPr>
              <w:t>：</w:t>
            </w:r>
            <w:r>
              <w:rPr>
                <w:rFonts w:hint="eastAsia" w:ascii="宋体" w:hAnsi="宋体" w:eastAsia="宋体" w:cs="Times New Roman"/>
                <w:spacing w:val="2"/>
                <w:kern w:val="0"/>
                <w:szCs w:val="21"/>
              </w:rPr>
              <w:t>【通识知识广博】具有小学教育本科专业相应的自然科学和人文社会科学知识素养。</w:t>
            </w:r>
          </w:p>
        </w:tc>
        <w:tc>
          <w:tcPr>
            <w:tcW w:w="1281" w:type="dxa"/>
            <w:vAlign w:val="center"/>
          </w:tcPr>
          <w:p w14:paraId="4A4727DB">
            <w:pPr>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1BDD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14:paraId="7A92522D">
            <w:pPr>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毕业要求7</w:t>
            </w:r>
          </w:p>
          <w:p w14:paraId="34D4D7B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学会反思</w:t>
            </w:r>
          </w:p>
        </w:tc>
        <w:tc>
          <w:tcPr>
            <w:tcW w:w="6408" w:type="dxa"/>
            <w:vAlign w:val="center"/>
          </w:tcPr>
          <w:p w14:paraId="64638015">
            <w:pPr>
              <w:jc w:val="left"/>
              <w:rPr>
                <w:rFonts w:ascii="Times New Roman" w:hAnsi="Times New Roman" w:eastAsia="宋体" w:cs="Times New Roman"/>
                <w:szCs w:val="21"/>
              </w:rPr>
            </w:pPr>
            <w:r>
              <w:rPr>
                <w:rFonts w:hint="eastAsia" w:ascii="宋体" w:hAnsi="宋体" w:eastAsia="宋体" w:cs="Times New Roman"/>
                <w:b/>
                <w:bCs/>
                <w:kern w:val="0"/>
                <w:szCs w:val="21"/>
                <w:lang w:eastAsia="zh-CN"/>
              </w:rPr>
              <w:t>指标点7-3</w:t>
            </w:r>
            <w:r>
              <w:rPr>
                <w:rFonts w:hint="eastAsia" w:ascii="宋体" w:hAnsi="宋体" w:eastAsia="宋体" w:cs="Times New Roman"/>
                <w:b/>
                <w:bCs/>
                <w:kern w:val="0"/>
                <w:szCs w:val="21"/>
              </w:rPr>
              <w:t>：</w:t>
            </w:r>
            <w:r>
              <w:rPr>
                <w:rFonts w:hint="eastAsia" w:ascii="宋体" w:hAnsi="宋体" w:eastAsia="宋体" w:cs="Times New Roman"/>
                <w:kern w:val="0"/>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281" w:type="dxa"/>
            <w:vAlign w:val="center"/>
          </w:tcPr>
          <w:p w14:paraId="58359D37">
            <w:pPr>
              <w:jc w:val="left"/>
              <w:rPr>
                <w:rFonts w:ascii="Times New Roman" w:hAnsi="Times New Roman" w:eastAsia="宋体" w:cs="Times New Roman"/>
                <w:szCs w:val="21"/>
              </w:rPr>
            </w:pPr>
            <w:r>
              <w:rPr>
                <w:rFonts w:hint="eastAsia" w:ascii="Times New Roman" w:hAnsi="Times New Roman" w:eastAsia="宋体" w:cs="Times New Roman"/>
                <w:szCs w:val="21"/>
              </w:rPr>
              <w:t>课程目标4</w:t>
            </w:r>
          </w:p>
        </w:tc>
      </w:tr>
    </w:tbl>
    <w:p w14:paraId="0CAB70B0">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635"/>
        <w:gridCol w:w="1134"/>
        <w:gridCol w:w="3260"/>
        <w:gridCol w:w="1342"/>
        <w:gridCol w:w="656"/>
      </w:tblGrid>
      <w:tr w14:paraId="4651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280ED972">
            <w:pPr>
              <w:spacing w:line="240" w:lineRule="auto"/>
              <w:jc w:val="center"/>
              <w:rPr>
                <w:rFonts w:hint="eastAsia" w:ascii="宋体" w:hAnsi="宋体" w:eastAsia="宋体" w:cs="Times New Roman"/>
                <w:b/>
                <w:szCs w:val="21"/>
              </w:rPr>
            </w:pPr>
            <w:r>
              <w:rPr>
                <w:rFonts w:hint="eastAsia" w:ascii="宋体" w:hAnsi="宋体" w:eastAsia="宋体" w:cs="Times New Roman"/>
                <w:b/>
                <w:szCs w:val="21"/>
              </w:rPr>
              <w:t>知识</w:t>
            </w:r>
          </w:p>
          <w:p w14:paraId="5CB8A528">
            <w:pPr>
              <w:spacing w:line="240" w:lineRule="auto"/>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635" w:type="dxa"/>
            <w:vAlign w:val="center"/>
          </w:tcPr>
          <w:p w14:paraId="32A4D8F5">
            <w:pPr>
              <w:spacing w:line="240" w:lineRule="auto"/>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4" w:type="dxa"/>
            <w:vAlign w:val="center"/>
          </w:tcPr>
          <w:p w14:paraId="7923F848">
            <w:pPr>
              <w:spacing w:line="240" w:lineRule="auto"/>
              <w:jc w:val="center"/>
              <w:rPr>
                <w:rFonts w:hint="eastAsia" w:ascii="宋体" w:hAnsi="宋体" w:eastAsia="宋体" w:cs="Times New Roman"/>
                <w:b/>
                <w:szCs w:val="21"/>
              </w:rPr>
            </w:pPr>
            <w:r>
              <w:rPr>
                <w:rFonts w:hint="eastAsia" w:ascii="宋体" w:hAnsi="宋体" w:eastAsia="宋体" w:cs="Times New Roman"/>
                <w:b/>
                <w:szCs w:val="21"/>
              </w:rPr>
              <w:t>对应</w:t>
            </w:r>
          </w:p>
          <w:p w14:paraId="73F8D4B8">
            <w:pPr>
              <w:spacing w:line="240" w:lineRule="auto"/>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260" w:type="dxa"/>
            <w:vAlign w:val="center"/>
          </w:tcPr>
          <w:p w14:paraId="2C058CB5">
            <w:pPr>
              <w:spacing w:line="240" w:lineRule="auto"/>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342" w:type="dxa"/>
            <w:vAlign w:val="center"/>
          </w:tcPr>
          <w:p w14:paraId="6BF3CAF3">
            <w:pPr>
              <w:spacing w:line="240" w:lineRule="auto"/>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656" w:type="dxa"/>
            <w:vAlign w:val="center"/>
          </w:tcPr>
          <w:p w14:paraId="02BDCC42">
            <w:pPr>
              <w:spacing w:line="240" w:lineRule="auto"/>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0CF3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48C2AAC7">
            <w:pPr>
              <w:spacing w:line="240" w:lineRule="auto"/>
              <w:jc w:val="center"/>
              <w:rPr>
                <w:rFonts w:hint="eastAsia" w:ascii="宋体" w:hAnsi="宋体" w:eastAsia="宋体" w:cs="Times New Roman"/>
                <w:szCs w:val="21"/>
              </w:rPr>
            </w:pPr>
            <w:r>
              <w:rPr>
                <w:rFonts w:hint="eastAsia" w:ascii="宋体" w:hAnsi="宋体" w:eastAsia="宋体" w:cs="Times New Roman"/>
                <w:szCs w:val="21"/>
              </w:rPr>
              <w:t>1.导论</w:t>
            </w:r>
          </w:p>
        </w:tc>
        <w:tc>
          <w:tcPr>
            <w:tcW w:w="1635" w:type="dxa"/>
            <w:vAlign w:val="center"/>
          </w:tcPr>
          <w:p w14:paraId="6F1E7865">
            <w:pPr>
              <w:spacing w:line="240" w:lineRule="auto"/>
              <w:jc w:val="center"/>
              <w:rPr>
                <w:rFonts w:hint="eastAsia" w:ascii="宋体" w:hAnsi="宋体" w:eastAsia="宋体" w:cs="Times New Roman"/>
                <w:szCs w:val="21"/>
              </w:rPr>
            </w:pPr>
            <w:r>
              <w:rPr>
                <w:rFonts w:hint="eastAsia" w:ascii="宋体" w:hAnsi="宋体" w:eastAsia="宋体" w:cs="Times New Roman"/>
                <w:szCs w:val="21"/>
              </w:rPr>
              <w:t>（1）什么是马克思主义</w:t>
            </w:r>
          </w:p>
          <w:p w14:paraId="7EFDAE4D">
            <w:pPr>
              <w:spacing w:line="240" w:lineRule="auto"/>
              <w:jc w:val="center"/>
              <w:rPr>
                <w:rFonts w:hint="eastAsia" w:ascii="宋体" w:hAnsi="宋体" w:eastAsia="宋体" w:cs="Times New Roman"/>
                <w:szCs w:val="21"/>
              </w:rPr>
            </w:pPr>
            <w:r>
              <w:rPr>
                <w:rFonts w:hint="eastAsia" w:ascii="宋体" w:hAnsi="宋体" w:eastAsia="宋体" w:cs="Times New Roman"/>
                <w:szCs w:val="21"/>
              </w:rPr>
              <w:t>（2）马克思主义的创立与发展（3）马克思主义的鲜明特征（4）马克思主义的当代价值</w:t>
            </w:r>
          </w:p>
          <w:p w14:paraId="6514CAAA">
            <w:pPr>
              <w:spacing w:line="240" w:lineRule="auto"/>
              <w:jc w:val="center"/>
              <w:rPr>
                <w:rFonts w:hint="eastAsia" w:ascii="宋体" w:hAnsi="宋体" w:eastAsia="宋体" w:cs="Times New Roman"/>
                <w:szCs w:val="21"/>
              </w:rPr>
            </w:pPr>
            <w:r>
              <w:rPr>
                <w:rFonts w:hint="eastAsia" w:ascii="宋体" w:hAnsi="宋体" w:eastAsia="宋体" w:cs="Times New Roman"/>
                <w:szCs w:val="21"/>
              </w:rPr>
              <w:t>（5）自觉学习和运用马克思主义</w:t>
            </w:r>
          </w:p>
        </w:tc>
        <w:tc>
          <w:tcPr>
            <w:tcW w:w="1134" w:type="dxa"/>
            <w:vAlign w:val="center"/>
          </w:tcPr>
          <w:p w14:paraId="69AFBDFD">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目标1</w:t>
            </w:r>
          </w:p>
          <w:p w14:paraId="161871C6">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目标2</w:t>
            </w:r>
          </w:p>
          <w:p w14:paraId="42D16AC2">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目标3</w:t>
            </w:r>
          </w:p>
          <w:p w14:paraId="76F9664C">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目标4</w:t>
            </w:r>
          </w:p>
        </w:tc>
        <w:tc>
          <w:tcPr>
            <w:tcW w:w="3260" w:type="dxa"/>
            <w:vAlign w:val="center"/>
          </w:tcPr>
          <w:p w14:paraId="58D658EF">
            <w:pPr>
              <w:spacing w:line="240" w:lineRule="auto"/>
              <w:jc w:val="center"/>
              <w:rPr>
                <w:rFonts w:hint="eastAsia"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学生能够从总体上理解和把握什么是马克思主义，；</w:t>
            </w:r>
          </w:p>
          <w:p w14:paraId="321EB53F">
            <w:pPr>
              <w:spacing w:line="240" w:lineRule="auto"/>
              <w:jc w:val="center"/>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了解马克思主义产生的历史过程和发展阶段；</w:t>
            </w:r>
          </w:p>
          <w:p w14:paraId="5F1C055B">
            <w:pPr>
              <w:spacing w:line="240" w:lineRule="auto"/>
              <w:jc w:val="center"/>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掌握马克思主义的鲜明特征；</w:t>
            </w:r>
          </w:p>
          <w:p w14:paraId="51065B3C">
            <w:pPr>
              <w:spacing w:line="240" w:lineRule="auto"/>
              <w:jc w:val="center"/>
              <w:rPr>
                <w:rFonts w:hint="eastAsia" w:ascii="宋体" w:hAnsi="宋体" w:eastAsia="宋体" w:cs="Times New Roman"/>
                <w:szCs w:val="21"/>
              </w:rPr>
            </w:pPr>
            <w:r>
              <w:rPr>
                <w:rFonts w:hint="eastAsia" w:ascii="宋体" w:hAnsi="宋体" w:eastAsia="宋体" w:cs="Times New Roman"/>
                <w:szCs w:val="21"/>
              </w:rPr>
              <w:t>4.认识马克思主义的当代价值；</w:t>
            </w:r>
          </w:p>
          <w:p w14:paraId="7BE6EB34">
            <w:pPr>
              <w:spacing w:line="240" w:lineRule="auto"/>
              <w:jc w:val="center"/>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w:t>
            </w:r>
            <w:r>
              <w:rPr>
                <w:rFonts w:hint="eastAsia" w:ascii="宋体" w:hAnsi="宋体" w:eastAsia="宋体" w:cs="Times New Roman"/>
                <w:szCs w:val="21"/>
              </w:rPr>
              <w:t>理解为什么要学习马克思主义，掌握学习、运用科学理论的原则和方法。</w:t>
            </w:r>
          </w:p>
        </w:tc>
        <w:tc>
          <w:tcPr>
            <w:tcW w:w="1342" w:type="dxa"/>
            <w:vAlign w:val="center"/>
          </w:tcPr>
          <w:p w14:paraId="64DA24FF">
            <w:pPr>
              <w:spacing w:line="240" w:lineRule="auto"/>
              <w:jc w:val="center"/>
              <w:rPr>
                <w:rFonts w:hint="eastAsia" w:ascii="宋体" w:hAnsi="宋体" w:eastAsia="宋体" w:cs="Times New Roman"/>
                <w:szCs w:val="21"/>
              </w:rPr>
            </w:pPr>
            <w:r>
              <w:rPr>
                <w:rFonts w:hint="eastAsia" w:ascii="宋体" w:hAnsi="宋体" w:eastAsia="宋体" w:cs="Times New Roman"/>
                <w:szCs w:val="21"/>
              </w:rPr>
              <w:t>1.线上学习</w:t>
            </w:r>
          </w:p>
          <w:p w14:paraId="1FCA3543">
            <w:pPr>
              <w:spacing w:line="240" w:lineRule="auto"/>
              <w:jc w:val="center"/>
              <w:rPr>
                <w:rFonts w:hint="eastAsia" w:ascii="宋体" w:hAnsi="宋体" w:eastAsia="宋体" w:cs="Times New Roman"/>
                <w:szCs w:val="21"/>
              </w:rPr>
            </w:pPr>
            <w:r>
              <w:rPr>
                <w:rFonts w:hint="eastAsia" w:ascii="宋体" w:hAnsi="宋体" w:eastAsia="宋体" w:cs="Times New Roman"/>
                <w:szCs w:val="21"/>
              </w:rPr>
              <w:t>2.课堂教学</w:t>
            </w:r>
          </w:p>
          <w:p w14:paraId="2B6A1106">
            <w:pPr>
              <w:spacing w:line="240" w:lineRule="auto"/>
              <w:jc w:val="center"/>
              <w:rPr>
                <w:rFonts w:hint="eastAsia" w:ascii="宋体" w:hAnsi="宋体" w:eastAsia="宋体" w:cs="Times New Roman"/>
                <w:szCs w:val="21"/>
              </w:rPr>
            </w:pPr>
            <w:r>
              <w:rPr>
                <w:rFonts w:hint="eastAsia" w:ascii="宋体" w:hAnsi="宋体" w:eastAsia="宋体" w:cs="Times New Roman"/>
                <w:szCs w:val="21"/>
              </w:rPr>
              <w:t>3.单元测验</w:t>
            </w:r>
          </w:p>
        </w:tc>
        <w:tc>
          <w:tcPr>
            <w:tcW w:w="656" w:type="dxa"/>
            <w:vAlign w:val="center"/>
          </w:tcPr>
          <w:p w14:paraId="1F1BEA2C">
            <w:pPr>
              <w:spacing w:line="240"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7D8C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72059EF4">
            <w:pPr>
              <w:spacing w:line="240" w:lineRule="auto"/>
              <w:jc w:val="center"/>
              <w:rPr>
                <w:rFonts w:hint="eastAsia" w:ascii="宋体" w:hAnsi="宋体" w:eastAsia="宋体" w:cs="Times New Roman"/>
                <w:szCs w:val="21"/>
              </w:rPr>
            </w:pPr>
            <w:r>
              <w:rPr>
                <w:rFonts w:hint="eastAsia" w:ascii="宋体" w:hAnsi="宋体" w:eastAsia="宋体" w:cs="Times New Roman"/>
                <w:szCs w:val="21"/>
              </w:rPr>
              <w:t>2.世界的</w:t>
            </w:r>
          </w:p>
          <w:p w14:paraId="5CAFDCFE">
            <w:pPr>
              <w:spacing w:line="240" w:lineRule="auto"/>
              <w:jc w:val="center"/>
              <w:rPr>
                <w:rFonts w:hint="eastAsia" w:ascii="宋体" w:hAnsi="宋体" w:eastAsia="宋体" w:cs="Times New Roman"/>
                <w:szCs w:val="21"/>
              </w:rPr>
            </w:pPr>
            <w:r>
              <w:rPr>
                <w:rFonts w:hint="eastAsia" w:ascii="宋体" w:hAnsi="宋体" w:eastAsia="宋体" w:cs="Times New Roman"/>
                <w:szCs w:val="21"/>
              </w:rPr>
              <w:t>物质性及</w:t>
            </w:r>
          </w:p>
          <w:p w14:paraId="61BDDAE8">
            <w:pPr>
              <w:spacing w:line="240" w:lineRule="auto"/>
              <w:jc w:val="center"/>
              <w:rPr>
                <w:rFonts w:hint="eastAsia" w:ascii="宋体" w:hAnsi="宋体" w:eastAsia="宋体" w:cs="Times New Roman"/>
                <w:szCs w:val="21"/>
              </w:rPr>
            </w:pPr>
            <w:r>
              <w:rPr>
                <w:rFonts w:hint="eastAsia" w:ascii="宋体" w:hAnsi="宋体" w:eastAsia="宋体" w:cs="Times New Roman"/>
                <w:szCs w:val="21"/>
              </w:rPr>
              <w:t>发展规律</w:t>
            </w:r>
          </w:p>
        </w:tc>
        <w:tc>
          <w:tcPr>
            <w:tcW w:w="1635" w:type="dxa"/>
            <w:vAlign w:val="center"/>
          </w:tcPr>
          <w:p w14:paraId="4B83DFEE">
            <w:pPr>
              <w:spacing w:line="240" w:lineRule="auto"/>
              <w:jc w:val="center"/>
              <w:rPr>
                <w:rFonts w:hint="eastAsia" w:ascii="宋体" w:hAnsi="宋体" w:eastAsia="宋体" w:cs="Times New Roman"/>
                <w:szCs w:val="21"/>
              </w:rPr>
            </w:pPr>
            <w:r>
              <w:rPr>
                <w:rFonts w:hint="eastAsia" w:ascii="宋体" w:hAnsi="宋体" w:eastAsia="宋体" w:cs="Times New Roman"/>
                <w:szCs w:val="21"/>
              </w:rPr>
              <w:t>（1）世界多样性与物质统一性</w:t>
            </w:r>
          </w:p>
          <w:p w14:paraId="1D328BA6">
            <w:pPr>
              <w:spacing w:line="240" w:lineRule="auto"/>
              <w:jc w:val="center"/>
              <w:rPr>
                <w:rFonts w:hint="eastAsia" w:ascii="宋体" w:hAnsi="宋体" w:eastAsia="宋体" w:cs="Times New Roman"/>
                <w:szCs w:val="21"/>
              </w:rPr>
            </w:pPr>
            <w:r>
              <w:rPr>
                <w:rFonts w:hint="eastAsia" w:ascii="宋体" w:hAnsi="宋体" w:eastAsia="宋体" w:cs="Times New Roman"/>
                <w:szCs w:val="21"/>
              </w:rPr>
              <w:t>（2）事物的普遍联系和变化发展</w:t>
            </w:r>
          </w:p>
          <w:p w14:paraId="37241F25">
            <w:pPr>
              <w:spacing w:line="240" w:lineRule="auto"/>
              <w:jc w:val="center"/>
              <w:rPr>
                <w:rFonts w:hint="eastAsia" w:ascii="宋体" w:hAnsi="宋体" w:eastAsia="宋体" w:cs="Times New Roman"/>
                <w:szCs w:val="21"/>
              </w:rPr>
            </w:pPr>
            <w:r>
              <w:rPr>
                <w:rFonts w:hint="eastAsia" w:ascii="宋体" w:hAnsi="宋体" w:eastAsia="宋体" w:cs="Times New Roman"/>
                <w:szCs w:val="21"/>
              </w:rPr>
              <w:t>（3）唯物辩证法是认识世界和改造世界的根本方法</w:t>
            </w:r>
          </w:p>
        </w:tc>
        <w:tc>
          <w:tcPr>
            <w:tcW w:w="1134" w:type="dxa"/>
            <w:vAlign w:val="center"/>
          </w:tcPr>
          <w:p w14:paraId="7FCB9EFC">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目标2</w:t>
            </w:r>
          </w:p>
          <w:p w14:paraId="419F33DD">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目标3</w:t>
            </w:r>
          </w:p>
          <w:p w14:paraId="13958B1E">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目标4</w:t>
            </w:r>
          </w:p>
        </w:tc>
        <w:tc>
          <w:tcPr>
            <w:tcW w:w="3260" w:type="dxa"/>
            <w:vAlign w:val="center"/>
          </w:tcPr>
          <w:p w14:paraId="6B06AB9A">
            <w:pPr>
              <w:spacing w:line="240" w:lineRule="auto"/>
              <w:jc w:val="center"/>
              <w:rPr>
                <w:rFonts w:hint="eastAsia" w:ascii="宋体" w:hAnsi="宋体" w:eastAsia="宋体" w:cs="Times New Roman"/>
                <w:szCs w:val="21"/>
              </w:rPr>
            </w:pPr>
            <w:r>
              <w:rPr>
                <w:rFonts w:hint="eastAsia" w:ascii="宋体" w:hAnsi="宋体" w:eastAsia="宋体" w:cs="Times New Roman"/>
                <w:szCs w:val="21"/>
              </w:rPr>
              <w:t>1.掌握辩证唯物主义基本原理，把握物质与意识的辩证关系以及世界的物质统一性；</w:t>
            </w:r>
          </w:p>
          <w:p w14:paraId="79F22B80">
            <w:pPr>
              <w:spacing w:line="240" w:lineRule="auto"/>
              <w:jc w:val="center"/>
              <w:rPr>
                <w:rFonts w:hint="eastAsia" w:ascii="宋体" w:hAnsi="宋体" w:eastAsia="宋体" w:cs="Times New Roman"/>
                <w:szCs w:val="21"/>
              </w:rPr>
            </w:pPr>
            <w:r>
              <w:rPr>
                <w:rFonts w:hint="eastAsia" w:ascii="宋体" w:hAnsi="宋体" w:eastAsia="宋体" w:cs="Times New Roman"/>
                <w:szCs w:val="21"/>
              </w:rPr>
              <w:t>2.</w:t>
            </w:r>
            <w:r>
              <w:rPr>
                <w:rFonts w:hint="eastAsia" w:ascii="宋体" w:hAnsi="宋体" w:eastAsia="宋体"/>
              </w:rPr>
              <w:t>理解</w:t>
            </w:r>
            <w:r>
              <w:rPr>
                <w:rFonts w:hint="eastAsia" w:ascii="宋体" w:hAnsi="宋体" w:eastAsia="宋体" w:cs="Times New Roman"/>
                <w:szCs w:val="21"/>
              </w:rPr>
              <w:t>事</w:t>
            </w:r>
            <w:r>
              <w:rPr>
                <w:rFonts w:hint="eastAsia" w:ascii="宋体" w:hAnsi="宋体" w:eastAsia="宋体"/>
              </w:rPr>
              <w:t>物联系和发展</w:t>
            </w:r>
            <w:r>
              <w:rPr>
                <w:rFonts w:hint="eastAsia" w:ascii="宋体" w:hAnsi="宋体" w:eastAsia="宋体" w:cs="Times New Roman"/>
                <w:szCs w:val="21"/>
              </w:rPr>
              <w:t>的基本规律和基本环节；</w:t>
            </w:r>
          </w:p>
          <w:p w14:paraId="5A7BD7BE">
            <w:pPr>
              <w:spacing w:line="240" w:lineRule="auto"/>
              <w:jc w:val="center"/>
              <w:rPr>
                <w:rFonts w:hint="eastAsia" w:ascii="宋体" w:hAnsi="宋体" w:eastAsia="宋体" w:cs="Times New Roman"/>
                <w:szCs w:val="21"/>
              </w:rPr>
            </w:pPr>
            <w:r>
              <w:rPr>
                <w:rFonts w:hint="eastAsia" w:ascii="宋体" w:hAnsi="宋体" w:eastAsia="宋体" w:cs="Times New Roman"/>
                <w:szCs w:val="21"/>
              </w:rPr>
              <w:t>3.坚持科学的世界观和方法论，运用唯物辩证法分析和解决问题，不断增强思维能力</w:t>
            </w:r>
            <w:r>
              <w:rPr>
                <w:rFonts w:ascii="宋体" w:hAnsi="宋体" w:eastAsia="宋体" w:cs="Times New Roman"/>
                <w:szCs w:val="21"/>
              </w:rPr>
              <w:t>。</w:t>
            </w:r>
          </w:p>
        </w:tc>
        <w:tc>
          <w:tcPr>
            <w:tcW w:w="1342" w:type="dxa"/>
            <w:vAlign w:val="center"/>
          </w:tcPr>
          <w:p w14:paraId="5C1072CE">
            <w:pPr>
              <w:spacing w:line="240" w:lineRule="auto"/>
              <w:jc w:val="center"/>
              <w:rPr>
                <w:rFonts w:hint="eastAsia" w:ascii="宋体" w:hAnsi="宋体" w:eastAsia="宋体" w:cs="Times New Roman"/>
                <w:szCs w:val="21"/>
              </w:rPr>
            </w:pPr>
            <w:r>
              <w:rPr>
                <w:rFonts w:hint="eastAsia" w:ascii="宋体" w:hAnsi="宋体" w:eastAsia="宋体" w:cs="Times New Roman"/>
                <w:szCs w:val="21"/>
              </w:rPr>
              <w:t>1.线上学习</w:t>
            </w:r>
          </w:p>
          <w:p w14:paraId="7E11406B">
            <w:pPr>
              <w:spacing w:line="240" w:lineRule="auto"/>
              <w:jc w:val="center"/>
              <w:rPr>
                <w:rFonts w:hint="eastAsia" w:ascii="宋体" w:hAnsi="宋体" w:eastAsia="宋体" w:cs="Times New Roman"/>
                <w:szCs w:val="21"/>
              </w:rPr>
            </w:pPr>
            <w:r>
              <w:rPr>
                <w:rFonts w:hint="eastAsia" w:ascii="宋体" w:hAnsi="宋体" w:eastAsia="宋体" w:cs="Times New Roman"/>
                <w:szCs w:val="21"/>
              </w:rPr>
              <w:t>2.课堂教学</w:t>
            </w:r>
          </w:p>
          <w:p w14:paraId="76E1452D">
            <w:pPr>
              <w:spacing w:line="240" w:lineRule="auto"/>
              <w:jc w:val="center"/>
              <w:rPr>
                <w:rFonts w:hint="eastAsia" w:ascii="宋体" w:hAnsi="宋体" w:eastAsia="宋体" w:cs="Times New Roman"/>
                <w:szCs w:val="21"/>
              </w:rPr>
            </w:pPr>
            <w:r>
              <w:rPr>
                <w:rFonts w:hint="eastAsia" w:ascii="宋体" w:hAnsi="宋体" w:eastAsia="宋体" w:cs="Times New Roman"/>
                <w:szCs w:val="21"/>
              </w:rPr>
              <w:t>3.单元测验</w:t>
            </w:r>
          </w:p>
        </w:tc>
        <w:tc>
          <w:tcPr>
            <w:tcW w:w="656" w:type="dxa"/>
            <w:vAlign w:val="center"/>
          </w:tcPr>
          <w:p w14:paraId="3B27B660">
            <w:pPr>
              <w:spacing w:line="240" w:lineRule="auto"/>
              <w:jc w:val="center"/>
              <w:rPr>
                <w:rFonts w:hint="eastAsia" w:ascii="宋体" w:hAnsi="宋体" w:eastAsia="宋体" w:cs="Times New Roman"/>
                <w:szCs w:val="21"/>
              </w:rPr>
            </w:pPr>
            <w:r>
              <w:rPr>
                <w:rFonts w:hint="eastAsia" w:ascii="宋体" w:hAnsi="宋体" w:eastAsia="宋体" w:cs="Times New Roman"/>
                <w:szCs w:val="21"/>
              </w:rPr>
              <w:t>9</w:t>
            </w:r>
          </w:p>
        </w:tc>
      </w:tr>
      <w:tr w14:paraId="1559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0B1C8031">
            <w:pPr>
              <w:spacing w:line="240" w:lineRule="auto"/>
              <w:jc w:val="center"/>
              <w:rPr>
                <w:rFonts w:hint="eastAsia" w:ascii="宋体" w:hAnsi="宋体" w:eastAsia="宋体" w:cs="Times New Roman"/>
                <w:szCs w:val="21"/>
              </w:rPr>
            </w:pPr>
            <w:r>
              <w:rPr>
                <w:rFonts w:hint="eastAsia" w:ascii="宋体" w:hAnsi="宋体" w:eastAsia="宋体" w:cs="Times New Roman"/>
                <w:szCs w:val="21"/>
              </w:rPr>
              <w:t>3.实践与认识</w:t>
            </w:r>
          </w:p>
          <w:p w14:paraId="5F6E9743">
            <w:pPr>
              <w:spacing w:line="240" w:lineRule="auto"/>
              <w:jc w:val="center"/>
              <w:rPr>
                <w:rFonts w:hint="eastAsia" w:ascii="宋体" w:hAnsi="宋体" w:eastAsia="宋体" w:cs="Times New Roman"/>
                <w:szCs w:val="21"/>
              </w:rPr>
            </w:pPr>
            <w:r>
              <w:rPr>
                <w:rFonts w:hint="eastAsia" w:ascii="宋体" w:hAnsi="宋体" w:eastAsia="宋体" w:cs="Times New Roman"/>
                <w:szCs w:val="21"/>
              </w:rPr>
              <w:t>及其发展规律</w:t>
            </w:r>
          </w:p>
        </w:tc>
        <w:tc>
          <w:tcPr>
            <w:tcW w:w="1635" w:type="dxa"/>
            <w:vAlign w:val="center"/>
          </w:tcPr>
          <w:p w14:paraId="30ADDFC6">
            <w:pPr>
              <w:spacing w:line="240" w:lineRule="auto"/>
              <w:jc w:val="center"/>
              <w:rPr>
                <w:rFonts w:hint="eastAsia" w:ascii="宋体" w:hAnsi="宋体" w:eastAsia="宋体" w:cs="Times New Roman"/>
                <w:szCs w:val="21"/>
              </w:rPr>
            </w:pPr>
            <w:r>
              <w:rPr>
                <w:rFonts w:hint="eastAsia" w:ascii="宋体" w:hAnsi="宋体" w:eastAsia="宋体" w:cs="Times New Roman"/>
                <w:szCs w:val="21"/>
              </w:rPr>
              <w:t>（1）实践与认识</w:t>
            </w:r>
          </w:p>
          <w:p w14:paraId="196E8121">
            <w:pPr>
              <w:spacing w:line="240" w:lineRule="auto"/>
              <w:jc w:val="center"/>
              <w:rPr>
                <w:rFonts w:hint="eastAsia" w:ascii="宋体" w:hAnsi="宋体" w:eastAsia="宋体" w:cs="Times New Roman"/>
                <w:szCs w:val="21"/>
              </w:rPr>
            </w:pPr>
            <w:r>
              <w:rPr>
                <w:rFonts w:hint="eastAsia" w:ascii="宋体" w:hAnsi="宋体" w:eastAsia="宋体" w:cs="Times New Roman"/>
                <w:szCs w:val="21"/>
              </w:rPr>
              <w:t>（2）真理与价值</w:t>
            </w:r>
          </w:p>
          <w:p w14:paraId="3F5C8C6E">
            <w:pPr>
              <w:spacing w:line="240" w:lineRule="auto"/>
              <w:jc w:val="center"/>
              <w:rPr>
                <w:rFonts w:hint="eastAsia" w:ascii="宋体" w:hAnsi="宋体" w:eastAsia="宋体" w:cs="Times New Roman"/>
                <w:szCs w:val="21"/>
              </w:rPr>
            </w:pPr>
            <w:r>
              <w:rPr>
                <w:rFonts w:hint="eastAsia" w:ascii="宋体" w:hAnsi="宋体" w:eastAsia="宋体" w:cs="Times New Roman"/>
                <w:szCs w:val="21"/>
              </w:rPr>
              <w:t>（3）认识世界和改造世界</w:t>
            </w:r>
          </w:p>
        </w:tc>
        <w:tc>
          <w:tcPr>
            <w:tcW w:w="1134" w:type="dxa"/>
            <w:vAlign w:val="center"/>
          </w:tcPr>
          <w:p w14:paraId="5C842FB3">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目标3</w:t>
            </w:r>
          </w:p>
          <w:p w14:paraId="5626DAC4">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目标4</w:t>
            </w:r>
          </w:p>
        </w:tc>
        <w:tc>
          <w:tcPr>
            <w:tcW w:w="3260" w:type="dxa"/>
            <w:vAlign w:val="center"/>
          </w:tcPr>
          <w:p w14:paraId="2BA36AE5">
            <w:pPr>
              <w:spacing w:line="240" w:lineRule="auto"/>
              <w:jc w:val="center"/>
              <w:rPr>
                <w:rFonts w:hint="eastAsia" w:ascii="宋体" w:hAnsi="宋体" w:eastAsia="宋体" w:cs="Times New Roman"/>
                <w:szCs w:val="21"/>
              </w:rPr>
            </w:pPr>
            <w:r>
              <w:rPr>
                <w:rFonts w:hint="eastAsia" w:ascii="宋体" w:hAnsi="宋体" w:eastAsia="宋体" w:cs="Times New Roman"/>
                <w:szCs w:val="21"/>
              </w:rPr>
              <w:t>1.了解马克思主义的实践观、认识论和价值论的基本观点；</w:t>
            </w:r>
          </w:p>
          <w:p w14:paraId="374896ED">
            <w:pPr>
              <w:spacing w:line="240" w:lineRule="auto"/>
              <w:jc w:val="center"/>
              <w:rPr>
                <w:rFonts w:hint="eastAsia" w:ascii="宋体" w:hAnsi="宋体" w:eastAsia="宋体" w:cs="Times New Roman"/>
                <w:szCs w:val="21"/>
              </w:rPr>
            </w:pPr>
            <w:r>
              <w:rPr>
                <w:rFonts w:hint="eastAsia" w:ascii="宋体" w:hAnsi="宋体" w:eastAsia="宋体" w:cs="Times New Roman"/>
                <w:szCs w:val="21"/>
              </w:rPr>
              <w:t>2.掌握实践、认识、真理、价值的本质及其相互关系，树立实践第一的观点，树立正确的价值观；</w:t>
            </w:r>
          </w:p>
          <w:p w14:paraId="76D2E3BA">
            <w:pPr>
              <w:spacing w:line="240" w:lineRule="auto"/>
              <w:jc w:val="center"/>
              <w:rPr>
                <w:rFonts w:hint="eastAsia" w:ascii="宋体" w:hAnsi="宋体" w:eastAsia="宋体" w:cs="Times New Roman"/>
                <w:szCs w:val="21"/>
              </w:rPr>
            </w:pPr>
            <w:r>
              <w:rPr>
                <w:rFonts w:hint="eastAsia" w:ascii="宋体" w:hAnsi="宋体" w:eastAsia="宋体" w:cs="Times New Roman"/>
                <w:szCs w:val="21"/>
              </w:rPr>
              <w:t>3.</w:t>
            </w:r>
            <w:r>
              <w:rPr>
                <w:rFonts w:hint="eastAsia" w:ascii="宋体" w:hAnsi="宋体" w:eastAsia="宋体"/>
              </w:rPr>
              <w:t>理解如何</w:t>
            </w:r>
            <w:r>
              <w:rPr>
                <w:rFonts w:hint="eastAsia" w:ascii="宋体" w:hAnsi="宋体" w:eastAsia="宋体" w:cs="Times New Roman"/>
                <w:szCs w:val="21"/>
              </w:rPr>
              <w:t>在改造客观世界的同时改造主观世界，努力实现理论创新和实践创新的良性互动</w:t>
            </w:r>
            <w:r>
              <w:rPr>
                <w:rFonts w:ascii="宋体" w:hAnsi="宋体" w:eastAsia="宋体" w:cs="Times New Roman"/>
                <w:szCs w:val="21"/>
              </w:rPr>
              <w:t>。</w:t>
            </w:r>
          </w:p>
        </w:tc>
        <w:tc>
          <w:tcPr>
            <w:tcW w:w="1342" w:type="dxa"/>
            <w:vAlign w:val="center"/>
          </w:tcPr>
          <w:p w14:paraId="13774A6A">
            <w:pPr>
              <w:spacing w:line="240" w:lineRule="auto"/>
              <w:jc w:val="center"/>
              <w:rPr>
                <w:rFonts w:hint="eastAsia" w:ascii="宋体" w:hAnsi="宋体" w:eastAsia="宋体" w:cs="Times New Roman"/>
                <w:szCs w:val="21"/>
              </w:rPr>
            </w:pPr>
            <w:r>
              <w:rPr>
                <w:rFonts w:hint="eastAsia" w:ascii="宋体" w:hAnsi="宋体" w:eastAsia="宋体" w:cs="Times New Roman"/>
                <w:szCs w:val="21"/>
              </w:rPr>
              <w:t>1.线上学习</w:t>
            </w:r>
          </w:p>
          <w:p w14:paraId="626E7117">
            <w:pPr>
              <w:spacing w:line="240" w:lineRule="auto"/>
              <w:jc w:val="center"/>
              <w:rPr>
                <w:rFonts w:hint="eastAsia" w:ascii="宋体" w:hAnsi="宋体" w:eastAsia="宋体" w:cs="Times New Roman"/>
                <w:szCs w:val="21"/>
              </w:rPr>
            </w:pPr>
            <w:r>
              <w:rPr>
                <w:rFonts w:hint="eastAsia" w:ascii="宋体" w:hAnsi="宋体" w:eastAsia="宋体" w:cs="Times New Roman"/>
                <w:szCs w:val="21"/>
              </w:rPr>
              <w:t>2.课堂教学</w:t>
            </w:r>
          </w:p>
          <w:p w14:paraId="41F55C1E">
            <w:pPr>
              <w:spacing w:line="240" w:lineRule="auto"/>
              <w:jc w:val="center"/>
              <w:rPr>
                <w:rFonts w:hint="eastAsia" w:ascii="宋体" w:hAnsi="宋体" w:eastAsia="宋体" w:cs="Times New Roman"/>
                <w:szCs w:val="21"/>
              </w:rPr>
            </w:pPr>
            <w:r>
              <w:rPr>
                <w:rFonts w:hint="eastAsia" w:ascii="宋体" w:hAnsi="宋体" w:eastAsia="宋体" w:cs="Times New Roman"/>
                <w:szCs w:val="21"/>
              </w:rPr>
              <w:t>3.单元测验</w:t>
            </w:r>
          </w:p>
        </w:tc>
        <w:tc>
          <w:tcPr>
            <w:tcW w:w="656" w:type="dxa"/>
            <w:vAlign w:val="center"/>
          </w:tcPr>
          <w:p w14:paraId="7CDBBFCA">
            <w:pPr>
              <w:spacing w:line="240" w:lineRule="auto"/>
              <w:jc w:val="center"/>
              <w:rPr>
                <w:rFonts w:hint="eastAsia" w:ascii="宋体" w:hAnsi="宋体" w:eastAsia="宋体" w:cs="Times New Roman"/>
                <w:szCs w:val="21"/>
              </w:rPr>
            </w:pPr>
            <w:r>
              <w:rPr>
                <w:rFonts w:hint="eastAsia" w:ascii="宋体" w:hAnsi="宋体" w:eastAsia="宋体" w:cs="Times New Roman"/>
                <w:szCs w:val="21"/>
              </w:rPr>
              <w:t>6</w:t>
            </w:r>
          </w:p>
        </w:tc>
      </w:tr>
      <w:tr w14:paraId="3885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2A7D417C">
            <w:pPr>
              <w:spacing w:line="240" w:lineRule="auto"/>
              <w:jc w:val="center"/>
              <w:rPr>
                <w:rFonts w:hint="eastAsia" w:ascii="宋体" w:hAnsi="宋体" w:eastAsia="宋体" w:cs="Times New Roman"/>
                <w:szCs w:val="21"/>
              </w:rPr>
            </w:pPr>
            <w:r>
              <w:rPr>
                <w:rFonts w:hint="eastAsia" w:ascii="宋体" w:hAnsi="宋体" w:eastAsia="宋体" w:cs="Times New Roman"/>
                <w:szCs w:val="21"/>
              </w:rPr>
              <w:t>4.人类社会及其发展规律</w:t>
            </w:r>
          </w:p>
        </w:tc>
        <w:tc>
          <w:tcPr>
            <w:tcW w:w="1635" w:type="dxa"/>
            <w:vAlign w:val="center"/>
          </w:tcPr>
          <w:p w14:paraId="22460DE9">
            <w:pPr>
              <w:spacing w:line="240" w:lineRule="auto"/>
              <w:jc w:val="center"/>
              <w:rPr>
                <w:rFonts w:hint="eastAsia" w:ascii="宋体" w:hAnsi="宋体" w:eastAsia="宋体" w:cs="Times New Roman"/>
                <w:szCs w:val="21"/>
              </w:rPr>
            </w:pPr>
            <w:r>
              <w:rPr>
                <w:rFonts w:hint="eastAsia" w:ascii="宋体" w:hAnsi="宋体" w:eastAsia="宋体" w:cs="Times New Roman"/>
                <w:szCs w:val="21"/>
              </w:rPr>
              <w:t>（1）人类社会的存在与发展（2）社会历史发展的动力</w:t>
            </w:r>
          </w:p>
          <w:p w14:paraId="749071A4">
            <w:pPr>
              <w:spacing w:line="240" w:lineRule="auto"/>
              <w:jc w:val="center"/>
              <w:rPr>
                <w:rFonts w:hint="eastAsia" w:ascii="宋体" w:hAnsi="宋体" w:eastAsia="宋体" w:cs="Times New Roman"/>
                <w:szCs w:val="21"/>
              </w:rPr>
            </w:pPr>
            <w:r>
              <w:rPr>
                <w:rFonts w:hint="eastAsia" w:ascii="宋体" w:hAnsi="宋体" w:eastAsia="宋体" w:cs="Times New Roman"/>
                <w:szCs w:val="21"/>
              </w:rPr>
              <w:t>（3）人民群众在历史发展中的作用</w:t>
            </w:r>
          </w:p>
        </w:tc>
        <w:tc>
          <w:tcPr>
            <w:tcW w:w="1134" w:type="dxa"/>
            <w:vAlign w:val="center"/>
          </w:tcPr>
          <w:p w14:paraId="6464A426">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目标1</w:t>
            </w:r>
          </w:p>
          <w:p w14:paraId="03FA4483">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目标4</w:t>
            </w:r>
          </w:p>
        </w:tc>
        <w:tc>
          <w:tcPr>
            <w:tcW w:w="3260" w:type="dxa"/>
            <w:vAlign w:val="center"/>
          </w:tcPr>
          <w:p w14:paraId="33230EFC">
            <w:pPr>
              <w:spacing w:line="240" w:lineRule="auto"/>
              <w:jc w:val="center"/>
              <w:rPr>
                <w:rFonts w:hint="eastAsia" w:ascii="宋体" w:hAnsi="宋体" w:eastAsia="宋体" w:cs="Times New Roman"/>
                <w:szCs w:val="21"/>
              </w:rPr>
            </w:pPr>
            <w:r>
              <w:rPr>
                <w:rFonts w:hint="eastAsia" w:ascii="宋体" w:hAnsi="宋体" w:eastAsia="宋体" w:cs="Times New Roman"/>
                <w:szCs w:val="21"/>
              </w:rPr>
              <w:t>1.学习和把握历史唯物主义的基本原理，着重了解社会存在与社会意识的辩证关系；</w:t>
            </w:r>
          </w:p>
          <w:p w14:paraId="6302B8A1">
            <w:pPr>
              <w:spacing w:line="240" w:lineRule="auto"/>
              <w:jc w:val="center"/>
              <w:rPr>
                <w:rFonts w:hint="eastAsia" w:ascii="宋体" w:hAnsi="宋体" w:eastAsia="宋体" w:cs="Times New Roman"/>
                <w:szCs w:val="21"/>
              </w:rPr>
            </w:pPr>
            <w:r>
              <w:rPr>
                <w:rFonts w:hint="eastAsia" w:ascii="宋体" w:hAnsi="宋体" w:eastAsia="宋体" w:cs="Times New Roman"/>
                <w:szCs w:val="21"/>
              </w:rPr>
              <w:t>2.</w:t>
            </w:r>
            <w:r>
              <w:rPr>
                <w:rFonts w:hint="eastAsia" w:ascii="宋体" w:hAnsi="宋体" w:eastAsia="宋体"/>
              </w:rPr>
              <w:t>理解</w:t>
            </w:r>
            <w:r>
              <w:rPr>
                <w:rFonts w:hint="eastAsia" w:ascii="宋体" w:hAnsi="宋体" w:eastAsia="宋体" w:cs="Times New Roman"/>
                <w:szCs w:val="21"/>
              </w:rPr>
              <w:t>社会基本矛盾及其运动规律、社会发展的动力以及人民群众和个人在社会历史中的作用；</w:t>
            </w:r>
          </w:p>
          <w:p w14:paraId="7A71E595">
            <w:pPr>
              <w:spacing w:line="240" w:lineRule="auto"/>
              <w:jc w:val="center"/>
              <w:rPr>
                <w:rFonts w:hint="eastAsia" w:ascii="宋体" w:hAnsi="宋体" w:eastAsia="宋体" w:cs="Times New Roman"/>
                <w:szCs w:val="21"/>
              </w:rPr>
            </w:pPr>
            <w:r>
              <w:rPr>
                <w:rFonts w:hint="eastAsia" w:ascii="宋体" w:hAnsi="宋体" w:eastAsia="宋体" w:cs="Times New Roman"/>
                <w:szCs w:val="21"/>
              </w:rPr>
              <w:t>3.提高运用历史唯物主义正确认识历史和现实、正确认识社会发展规律的自觉性和能力。</w:t>
            </w:r>
          </w:p>
        </w:tc>
        <w:tc>
          <w:tcPr>
            <w:tcW w:w="1342" w:type="dxa"/>
            <w:vAlign w:val="center"/>
          </w:tcPr>
          <w:p w14:paraId="7E8170F2">
            <w:pPr>
              <w:spacing w:line="240" w:lineRule="auto"/>
              <w:jc w:val="center"/>
              <w:rPr>
                <w:rFonts w:hint="eastAsia" w:ascii="宋体" w:hAnsi="宋体" w:eastAsia="宋体" w:cs="Times New Roman"/>
                <w:szCs w:val="21"/>
              </w:rPr>
            </w:pPr>
            <w:r>
              <w:rPr>
                <w:rFonts w:hint="eastAsia" w:ascii="宋体" w:hAnsi="宋体" w:eastAsia="宋体" w:cs="Times New Roman"/>
                <w:szCs w:val="21"/>
              </w:rPr>
              <w:t>1.线上学习</w:t>
            </w:r>
          </w:p>
          <w:p w14:paraId="46D702CD">
            <w:pPr>
              <w:spacing w:line="240" w:lineRule="auto"/>
              <w:jc w:val="center"/>
              <w:rPr>
                <w:rFonts w:hint="eastAsia" w:ascii="宋体" w:hAnsi="宋体" w:eastAsia="宋体" w:cs="Times New Roman"/>
                <w:szCs w:val="21"/>
              </w:rPr>
            </w:pPr>
            <w:r>
              <w:rPr>
                <w:rFonts w:hint="eastAsia" w:ascii="宋体" w:hAnsi="宋体" w:eastAsia="宋体" w:cs="Times New Roman"/>
                <w:szCs w:val="21"/>
              </w:rPr>
              <w:t>2.课堂教学</w:t>
            </w:r>
          </w:p>
          <w:p w14:paraId="41935B4C">
            <w:pPr>
              <w:spacing w:line="240" w:lineRule="auto"/>
              <w:jc w:val="center"/>
              <w:rPr>
                <w:rFonts w:hint="eastAsia" w:ascii="宋体" w:hAnsi="宋体" w:eastAsia="宋体" w:cs="Times New Roman"/>
                <w:szCs w:val="21"/>
              </w:rPr>
            </w:pPr>
            <w:r>
              <w:rPr>
                <w:rFonts w:hint="eastAsia" w:ascii="宋体" w:hAnsi="宋体" w:eastAsia="宋体" w:cs="Times New Roman"/>
                <w:szCs w:val="21"/>
              </w:rPr>
              <w:t>3.单元测验</w:t>
            </w:r>
          </w:p>
        </w:tc>
        <w:tc>
          <w:tcPr>
            <w:tcW w:w="656" w:type="dxa"/>
            <w:vAlign w:val="center"/>
          </w:tcPr>
          <w:p w14:paraId="4D2250DE">
            <w:pPr>
              <w:spacing w:line="240" w:lineRule="auto"/>
              <w:jc w:val="center"/>
              <w:rPr>
                <w:rFonts w:hint="eastAsia" w:ascii="宋体" w:hAnsi="宋体" w:eastAsia="宋体" w:cs="Times New Roman"/>
                <w:szCs w:val="21"/>
              </w:rPr>
            </w:pPr>
            <w:r>
              <w:rPr>
                <w:rFonts w:hint="eastAsia" w:ascii="宋体" w:hAnsi="宋体" w:eastAsia="宋体" w:cs="Times New Roman"/>
                <w:szCs w:val="21"/>
              </w:rPr>
              <w:t>6</w:t>
            </w:r>
          </w:p>
        </w:tc>
      </w:tr>
      <w:tr w14:paraId="693F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6B3AE1B7">
            <w:pPr>
              <w:spacing w:line="240" w:lineRule="auto"/>
              <w:jc w:val="center"/>
              <w:rPr>
                <w:rFonts w:hint="eastAsia" w:ascii="宋体" w:hAnsi="宋体" w:eastAsia="宋体" w:cs="Times New Roman"/>
                <w:szCs w:val="21"/>
              </w:rPr>
            </w:pPr>
            <w:r>
              <w:rPr>
                <w:rFonts w:hint="eastAsia" w:ascii="宋体" w:hAnsi="宋体" w:eastAsia="宋体" w:cs="Times New Roman"/>
                <w:szCs w:val="21"/>
              </w:rPr>
              <w:t>5.资本主义的本质及规律</w:t>
            </w:r>
          </w:p>
        </w:tc>
        <w:tc>
          <w:tcPr>
            <w:tcW w:w="1635" w:type="dxa"/>
            <w:vAlign w:val="center"/>
          </w:tcPr>
          <w:p w14:paraId="4CF20DCF">
            <w:pPr>
              <w:spacing w:line="240" w:lineRule="auto"/>
              <w:jc w:val="center"/>
              <w:rPr>
                <w:rFonts w:hint="eastAsia" w:ascii="宋体" w:hAnsi="宋体" w:eastAsia="宋体" w:cs="Times New Roman"/>
                <w:szCs w:val="21"/>
              </w:rPr>
            </w:pPr>
            <w:r>
              <w:rPr>
                <w:rFonts w:hint="eastAsia" w:ascii="宋体" w:hAnsi="宋体" w:eastAsia="宋体" w:cs="Times New Roman"/>
                <w:szCs w:val="21"/>
              </w:rPr>
              <w:t>（1）商品经济和价值规律（2）资本主义经济制度的本质</w:t>
            </w:r>
          </w:p>
          <w:p w14:paraId="7D08A06D">
            <w:pPr>
              <w:spacing w:line="240" w:lineRule="auto"/>
              <w:jc w:val="center"/>
              <w:rPr>
                <w:rFonts w:hint="eastAsia" w:ascii="宋体" w:hAnsi="宋体" w:eastAsia="宋体" w:cs="Times New Roman"/>
                <w:szCs w:val="21"/>
              </w:rPr>
            </w:pPr>
            <w:r>
              <w:rPr>
                <w:rFonts w:hint="eastAsia" w:ascii="宋体" w:hAnsi="宋体" w:eastAsia="宋体" w:cs="Times New Roman"/>
                <w:szCs w:val="21"/>
              </w:rPr>
              <w:t>（3）资本主义政治制度和意识形态</w:t>
            </w:r>
          </w:p>
        </w:tc>
        <w:tc>
          <w:tcPr>
            <w:tcW w:w="1134" w:type="dxa"/>
            <w:vAlign w:val="center"/>
          </w:tcPr>
          <w:p w14:paraId="4EFF7AD2">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目标1</w:t>
            </w:r>
          </w:p>
        </w:tc>
        <w:tc>
          <w:tcPr>
            <w:tcW w:w="3260" w:type="dxa"/>
            <w:vAlign w:val="center"/>
          </w:tcPr>
          <w:p w14:paraId="3A17A2A1">
            <w:pPr>
              <w:spacing w:line="240" w:lineRule="auto"/>
              <w:jc w:val="center"/>
              <w:rPr>
                <w:rFonts w:hint="eastAsia" w:ascii="宋体" w:hAnsi="宋体" w:eastAsia="宋体" w:cs="Times New Roman"/>
                <w:szCs w:val="21"/>
              </w:rPr>
            </w:pPr>
            <w:r>
              <w:rPr>
                <w:rFonts w:hint="eastAsia" w:ascii="宋体" w:hAnsi="宋体" w:eastAsia="宋体" w:cs="Times New Roman"/>
                <w:szCs w:val="21"/>
              </w:rPr>
              <w:t>1.运用马克思主义的立场观点方法，准确认识资本主义生产方式的基本矛盾；</w:t>
            </w:r>
          </w:p>
          <w:p w14:paraId="37C6DA3F">
            <w:pPr>
              <w:spacing w:line="240" w:lineRule="auto"/>
              <w:jc w:val="center"/>
              <w:rPr>
                <w:rFonts w:hint="eastAsia" w:ascii="宋体" w:hAnsi="宋体" w:eastAsia="宋体" w:cs="Times New Roman"/>
                <w:szCs w:val="21"/>
              </w:rPr>
            </w:pPr>
            <w:r>
              <w:rPr>
                <w:rFonts w:hint="eastAsia" w:ascii="宋体" w:hAnsi="宋体" w:eastAsia="宋体" w:cs="Times New Roman"/>
                <w:szCs w:val="21"/>
              </w:rPr>
              <w:t>2.深刻理解资本主义经济制度的本质，正确把握社会化大生产和商品经济运动的一般规律；</w:t>
            </w:r>
          </w:p>
          <w:p w14:paraId="62AF81F8">
            <w:pPr>
              <w:spacing w:line="240" w:lineRule="auto"/>
              <w:jc w:val="center"/>
              <w:rPr>
                <w:rFonts w:hint="eastAsia" w:ascii="宋体" w:hAnsi="宋体" w:eastAsia="宋体" w:cs="Times New Roman"/>
                <w:szCs w:val="21"/>
              </w:rPr>
            </w:pPr>
            <w:r>
              <w:rPr>
                <w:rFonts w:hint="eastAsia" w:ascii="宋体" w:hAnsi="宋体" w:eastAsia="宋体" w:cs="Times New Roman"/>
                <w:szCs w:val="21"/>
              </w:rPr>
              <w:t>3.正确认识和把握资本主义政治制度、意识形态及其本质。</w:t>
            </w:r>
          </w:p>
        </w:tc>
        <w:tc>
          <w:tcPr>
            <w:tcW w:w="1342" w:type="dxa"/>
            <w:vAlign w:val="center"/>
          </w:tcPr>
          <w:p w14:paraId="0219F432">
            <w:pPr>
              <w:spacing w:line="240" w:lineRule="auto"/>
              <w:jc w:val="center"/>
              <w:rPr>
                <w:rFonts w:hint="eastAsia" w:ascii="宋体" w:hAnsi="宋体" w:eastAsia="宋体" w:cs="Times New Roman"/>
                <w:szCs w:val="21"/>
              </w:rPr>
            </w:pPr>
            <w:r>
              <w:rPr>
                <w:rFonts w:hint="eastAsia" w:ascii="宋体" w:hAnsi="宋体" w:eastAsia="宋体" w:cs="Times New Roman"/>
                <w:szCs w:val="21"/>
              </w:rPr>
              <w:t>1.线上学习</w:t>
            </w:r>
          </w:p>
          <w:p w14:paraId="38B9C143">
            <w:pPr>
              <w:spacing w:line="240" w:lineRule="auto"/>
              <w:jc w:val="center"/>
              <w:rPr>
                <w:rFonts w:hint="eastAsia" w:ascii="宋体" w:hAnsi="宋体" w:eastAsia="宋体" w:cs="Times New Roman"/>
                <w:szCs w:val="21"/>
              </w:rPr>
            </w:pPr>
            <w:r>
              <w:rPr>
                <w:rFonts w:hint="eastAsia" w:ascii="宋体" w:hAnsi="宋体" w:eastAsia="宋体" w:cs="Times New Roman"/>
                <w:szCs w:val="21"/>
              </w:rPr>
              <w:t>2.课堂教学</w:t>
            </w:r>
          </w:p>
          <w:p w14:paraId="4937E96E">
            <w:pPr>
              <w:spacing w:line="240" w:lineRule="auto"/>
              <w:jc w:val="center"/>
              <w:rPr>
                <w:rFonts w:hint="eastAsia" w:ascii="宋体" w:hAnsi="宋体" w:eastAsia="宋体" w:cs="Times New Roman"/>
                <w:szCs w:val="21"/>
              </w:rPr>
            </w:pPr>
            <w:r>
              <w:rPr>
                <w:rFonts w:hint="eastAsia" w:ascii="宋体" w:hAnsi="宋体" w:eastAsia="宋体" w:cs="Times New Roman"/>
                <w:szCs w:val="21"/>
              </w:rPr>
              <w:t>3.单元测验</w:t>
            </w:r>
          </w:p>
        </w:tc>
        <w:tc>
          <w:tcPr>
            <w:tcW w:w="656" w:type="dxa"/>
            <w:vAlign w:val="center"/>
          </w:tcPr>
          <w:p w14:paraId="0102F363">
            <w:pPr>
              <w:spacing w:line="240" w:lineRule="auto"/>
              <w:jc w:val="center"/>
              <w:rPr>
                <w:rFonts w:hint="eastAsia" w:ascii="宋体" w:hAnsi="宋体" w:eastAsia="宋体" w:cs="Times New Roman"/>
                <w:szCs w:val="21"/>
              </w:rPr>
            </w:pPr>
            <w:r>
              <w:rPr>
                <w:rFonts w:hint="eastAsia" w:ascii="宋体" w:hAnsi="宋体" w:eastAsia="宋体" w:cs="Times New Roman"/>
                <w:szCs w:val="21"/>
              </w:rPr>
              <w:t>6</w:t>
            </w:r>
          </w:p>
        </w:tc>
      </w:tr>
      <w:tr w14:paraId="4BE5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4F0CDDA8">
            <w:pPr>
              <w:spacing w:line="240" w:lineRule="auto"/>
              <w:jc w:val="center"/>
              <w:rPr>
                <w:rFonts w:hint="eastAsia" w:ascii="宋体" w:hAnsi="宋体" w:eastAsia="宋体" w:cs="Times New Roman"/>
                <w:szCs w:val="21"/>
              </w:rPr>
            </w:pPr>
            <w:r>
              <w:rPr>
                <w:rFonts w:hint="eastAsia" w:ascii="宋体" w:hAnsi="宋体" w:eastAsia="宋体" w:cs="Times New Roman"/>
                <w:szCs w:val="21"/>
              </w:rPr>
              <w:t>6.资本主义的发展及其趋势</w:t>
            </w:r>
          </w:p>
        </w:tc>
        <w:tc>
          <w:tcPr>
            <w:tcW w:w="1635" w:type="dxa"/>
            <w:vAlign w:val="center"/>
          </w:tcPr>
          <w:p w14:paraId="3BA050FF">
            <w:pPr>
              <w:spacing w:line="240" w:lineRule="auto"/>
              <w:jc w:val="center"/>
              <w:rPr>
                <w:rFonts w:hint="eastAsia" w:ascii="宋体" w:hAnsi="宋体" w:eastAsia="宋体" w:cs="Times New Roman"/>
                <w:szCs w:val="21"/>
              </w:rPr>
            </w:pPr>
            <w:r>
              <w:rPr>
                <w:rFonts w:hint="eastAsia" w:ascii="宋体" w:hAnsi="宋体" w:eastAsia="宋体" w:cs="Times New Roman"/>
                <w:szCs w:val="21"/>
              </w:rPr>
              <w:t>（1）垄断资本主义的形成与发展</w:t>
            </w:r>
          </w:p>
          <w:p w14:paraId="10500DBF">
            <w:pPr>
              <w:spacing w:line="240" w:lineRule="auto"/>
              <w:jc w:val="center"/>
              <w:rPr>
                <w:rFonts w:hint="eastAsia" w:ascii="宋体" w:hAnsi="宋体" w:eastAsia="宋体" w:cs="Times New Roman"/>
                <w:szCs w:val="21"/>
              </w:rPr>
            </w:pPr>
            <w:r>
              <w:rPr>
                <w:rFonts w:hint="eastAsia" w:ascii="宋体" w:hAnsi="宋体" w:eastAsia="宋体" w:cs="Times New Roman"/>
                <w:szCs w:val="21"/>
              </w:rPr>
              <w:t>（2）正确认识当代资本主义的新变化</w:t>
            </w:r>
          </w:p>
          <w:p w14:paraId="6A2C1A52">
            <w:pPr>
              <w:spacing w:line="240" w:lineRule="auto"/>
              <w:jc w:val="center"/>
              <w:rPr>
                <w:rFonts w:hint="eastAsia" w:ascii="宋体" w:hAnsi="宋体" w:eastAsia="宋体" w:cs="Times New Roman"/>
                <w:szCs w:val="21"/>
              </w:rPr>
            </w:pPr>
            <w:r>
              <w:rPr>
                <w:rFonts w:hint="eastAsia" w:ascii="宋体" w:hAnsi="宋体" w:eastAsia="宋体" w:cs="Times New Roman"/>
                <w:szCs w:val="21"/>
              </w:rPr>
              <w:t>（3）资本主义的历史地位和发展趋势</w:t>
            </w:r>
          </w:p>
        </w:tc>
        <w:tc>
          <w:tcPr>
            <w:tcW w:w="1134" w:type="dxa"/>
            <w:vAlign w:val="center"/>
          </w:tcPr>
          <w:p w14:paraId="38FAB5FF">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目标2</w:t>
            </w:r>
          </w:p>
          <w:p w14:paraId="0524DB4C">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目标4</w:t>
            </w:r>
          </w:p>
        </w:tc>
        <w:tc>
          <w:tcPr>
            <w:tcW w:w="3260" w:type="dxa"/>
            <w:vAlign w:val="center"/>
          </w:tcPr>
          <w:p w14:paraId="71FD960C">
            <w:pPr>
              <w:spacing w:line="240" w:lineRule="auto"/>
              <w:jc w:val="center"/>
              <w:rPr>
                <w:rFonts w:hint="eastAsia" w:ascii="宋体" w:hAnsi="宋体" w:eastAsia="宋体" w:cs="Times New Roman"/>
                <w:szCs w:val="21"/>
              </w:rPr>
            </w:pPr>
            <w:r>
              <w:rPr>
                <w:rFonts w:hint="eastAsia" w:ascii="宋体" w:hAnsi="宋体" w:eastAsia="宋体" w:cs="Times New Roman"/>
                <w:szCs w:val="21"/>
              </w:rPr>
              <w:t>1.了解资本主义从自由竞争发展到垄断的进程，科学认识国家垄断资本主义和经济全球化；</w:t>
            </w:r>
          </w:p>
          <w:p w14:paraId="28724757">
            <w:pPr>
              <w:spacing w:line="240" w:lineRule="auto"/>
              <w:jc w:val="center"/>
              <w:rPr>
                <w:rFonts w:hint="eastAsia" w:ascii="宋体" w:hAnsi="宋体" w:eastAsia="宋体" w:cs="Times New Roman"/>
                <w:szCs w:val="21"/>
              </w:rPr>
            </w:pPr>
            <w:r>
              <w:rPr>
                <w:rFonts w:hint="eastAsia" w:ascii="宋体" w:hAnsi="宋体" w:eastAsia="宋体" w:cs="Times New Roman"/>
                <w:szCs w:val="21"/>
              </w:rPr>
              <w:t>2.正确认识第二次世界大战后资本主义的变化及其实质，当代资本主义变化的新特征，世界大变局下资本主义的矛盾与冲突；</w:t>
            </w:r>
          </w:p>
          <w:p w14:paraId="4327AD8C">
            <w:pPr>
              <w:spacing w:line="240" w:lineRule="auto"/>
              <w:jc w:val="center"/>
              <w:rPr>
                <w:rFonts w:hint="eastAsia" w:ascii="宋体" w:hAnsi="宋体" w:eastAsia="宋体" w:cs="Times New Roman"/>
                <w:szCs w:val="21"/>
              </w:rPr>
            </w:pPr>
            <w:r>
              <w:rPr>
                <w:rFonts w:hint="eastAsia" w:ascii="宋体" w:hAnsi="宋体" w:eastAsia="宋体" w:cs="Times New Roman"/>
                <w:szCs w:val="21"/>
              </w:rPr>
              <w:t>3.</w:t>
            </w:r>
            <w:r>
              <w:rPr>
                <w:rFonts w:hint="eastAsia"/>
              </w:rPr>
              <w:t xml:space="preserve"> </w:t>
            </w:r>
            <w:r>
              <w:rPr>
                <w:rFonts w:hint="eastAsia" w:ascii="宋体" w:hAnsi="宋体" w:eastAsia="宋体" w:cs="Times New Roman"/>
                <w:szCs w:val="21"/>
              </w:rPr>
              <w:t>深刻理解资本主义的历史地位及其为社会主义所代替的历史必然性，坚定资本主义必然灭亡、社会主义必然胜利的信念。</w:t>
            </w:r>
          </w:p>
        </w:tc>
        <w:tc>
          <w:tcPr>
            <w:tcW w:w="1342" w:type="dxa"/>
            <w:vAlign w:val="center"/>
          </w:tcPr>
          <w:p w14:paraId="64399EA3">
            <w:pPr>
              <w:spacing w:line="240" w:lineRule="auto"/>
              <w:jc w:val="center"/>
              <w:rPr>
                <w:rFonts w:hint="eastAsia" w:ascii="宋体" w:hAnsi="宋体" w:eastAsia="宋体" w:cs="Times New Roman"/>
                <w:szCs w:val="21"/>
              </w:rPr>
            </w:pPr>
            <w:r>
              <w:rPr>
                <w:rFonts w:hint="eastAsia" w:ascii="宋体" w:hAnsi="宋体" w:eastAsia="宋体" w:cs="Times New Roman"/>
                <w:szCs w:val="21"/>
              </w:rPr>
              <w:t>1.线上学习</w:t>
            </w:r>
          </w:p>
          <w:p w14:paraId="1187B7B2">
            <w:pPr>
              <w:spacing w:line="240" w:lineRule="auto"/>
              <w:jc w:val="center"/>
              <w:rPr>
                <w:rFonts w:hint="eastAsia" w:ascii="宋体" w:hAnsi="宋体" w:eastAsia="宋体" w:cs="Times New Roman"/>
                <w:szCs w:val="21"/>
              </w:rPr>
            </w:pPr>
            <w:r>
              <w:rPr>
                <w:rFonts w:hint="eastAsia" w:ascii="宋体" w:hAnsi="宋体" w:eastAsia="宋体" w:cs="Times New Roman"/>
                <w:szCs w:val="21"/>
              </w:rPr>
              <w:t>2.课堂教学</w:t>
            </w:r>
          </w:p>
          <w:p w14:paraId="1E9EF165">
            <w:pPr>
              <w:spacing w:line="240" w:lineRule="auto"/>
              <w:jc w:val="center"/>
              <w:rPr>
                <w:rFonts w:hint="eastAsia" w:ascii="宋体" w:hAnsi="宋体" w:eastAsia="宋体" w:cs="Times New Roman"/>
                <w:szCs w:val="21"/>
              </w:rPr>
            </w:pPr>
            <w:r>
              <w:rPr>
                <w:rFonts w:hint="eastAsia" w:ascii="宋体" w:hAnsi="宋体" w:eastAsia="宋体" w:cs="Times New Roman"/>
                <w:szCs w:val="21"/>
              </w:rPr>
              <w:t>3.单元测验</w:t>
            </w:r>
          </w:p>
        </w:tc>
        <w:tc>
          <w:tcPr>
            <w:tcW w:w="656" w:type="dxa"/>
            <w:vAlign w:val="center"/>
          </w:tcPr>
          <w:p w14:paraId="529F7F57">
            <w:pPr>
              <w:spacing w:line="240" w:lineRule="auto"/>
              <w:jc w:val="center"/>
              <w:rPr>
                <w:rFonts w:hint="eastAsia" w:ascii="宋体" w:hAnsi="宋体" w:eastAsia="宋体" w:cs="Times New Roman"/>
                <w:szCs w:val="21"/>
              </w:rPr>
            </w:pPr>
            <w:r>
              <w:rPr>
                <w:rFonts w:hint="eastAsia" w:ascii="宋体" w:hAnsi="宋体" w:eastAsia="宋体" w:cs="Times New Roman"/>
                <w:szCs w:val="21"/>
              </w:rPr>
              <w:t>6</w:t>
            </w:r>
          </w:p>
        </w:tc>
      </w:tr>
      <w:tr w14:paraId="3BF9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2CB0AF87">
            <w:pPr>
              <w:spacing w:line="240" w:lineRule="auto"/>
              <w:jc w:val="center"/>
              <w:rPr>
                <w:rFonts w:hint="eastAsia" w:ascii="宋体" w:hAnsi="宋体" w:eastAsia="宋体" w:cs="Times New Roman"/>
                <w:szCs w:val="21"/>
              </w:rPr>
            </w:pPr>
            <w:r>
              <w:rPr>
                <w:rFonts w:hint="eastAsia" w:ascii="宋体" w:hAnsi="宋体" w:eastAsia="宋体" w:cs="Times New Roman"/>
                <w:szCs w:val="21"/>
              </w:rPr>
              <w:t>7.</w:t>
            </w:r>
            <w:r>
              <w:rPr>
                <w:rFonts w:hint="eastAsia"/>
              </w:rPr>
              <w:t xml:space="preserve"> </w:t>
            </w:r>
            <w:r>
              <w:rPr>
                <w:rFonts w:hint="eastAsia" w:ascii="宋体" w:hAnsi="宋体" w:eastAsia="宋体" w:cs="Times New Roman"/>
                <w:szCs w:val="21"/>
              </w:rPr>
              <w:t>社会主义的发展及其规律</w:t>
            </w:r>
          </w:p>
        </w:tc>
        <w:tc>
          <w:tcPr>
            <w:tcW w:w="1635" w:type="dxa"/>
            <w:vAlign w:val="center"/>
          </w:tcPr>
          <w:p w14:paraId="114A8FAF">
            <w:pPr>
              <w:spacing w:line="240" w:lineRule="auto"/>
              <w:jc w:val="left"/>
              <w:rPr>
                <w:rFonts w:hint="eastAsia" w:ascii="宋体" w:hAnsi="宋体" w:eastAsia="宋体" w:cs="Times New Roman"/>
                <w:szCs w:val="21"/>
              </w:rPr>
            </w:pPr>
            <w:r>
              <w:rPr>
                <w:rFonts w:hint="eastAsia" w:ascii="宋体" w:hAnsi="宋体" w:eastAsia="宋体" w:cs="Times New Roman"/>
                <w:szCs w:val="21"/>
              </w:rPr>
              <w:t>（1）社会主义五百年的历史进程</w:t>
            </w:r>
          </w:p>
          <w:p w14:paraId="7476E48B">
            <w:pPr>
              <w:spacing w:line="240" w:lineRule="auto"/>
              <w:jc w:val="left"/>
              <w:rPr>
                <w:rFonts w:hint="eastAsia" w:ascii="宋体" w:hAnsi="宋体" w:eastAsia="宋体" w:cs="Times New Roman"/>
                <w:szCs w:val="21"/>
              </w:rPr>
            </w:pPr>
            <w:r>
              <w:rPr>
                <w:rFonts w:hint="eastAsia" w:ascii="宋体" w:hAnsi="宋体" w:eastAsia="宋体" w:cs="Times New Roman"/>
                <w:szCs w:val="21"/>
              </w:rPr>
              <w:t>（2）科学社会主义基本原则（3）在实践中探索现实社会主义的发展规律</w:t>
            </w:r>
          </w:p>
        </w:tc>
        <w:tc>
          <w:tcPr>
            <w:tcW w:w="1134" w:type="dxa"/>
            <w:vAlign w:val="center"/>
          </w:tcPr>
          <w:p w14:paraId="102A9CA3">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目标1</w:t>
            </w:r>
          </w:p>
          <w:p w14:paraId="4DC7E1AC">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目标2</w:t>
            </w:r>
          </w:p>
          <w:p w14:paraId="08294FC4">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目标3</w:t>
            </w:r>
          </w:p>
        </w:tc>
        <w:tc>
          <w:tcPr>
            <w:tcW w:w="3260" w:type="dxa"/>
            <w:vAlign w:val="center"/>
          </w:tcPr>
          <w:p w14:paraId="33E5C23C">
            <w:pPr>
              <w:spacing w:line="240" w:lineRule="auto"/>
              <w:jc w:val="left"/>
              <w:rPr>
                <w:rFonts w:hint="eastAsia" w:ascii="宋体" w:hAnsi="宋体" w:eastAsia="宋体" w:cs="Times New Roman"/>
                <w:szCs w:val="21"/>
              </w:rPr>
            </w:pPr>
            <w:r>
              <w:rPr>
                <w:rFonts w:hint="eastAsia" w:ascii="宋体" w:hAnsi="宋体" w:eastAsia="宋体" w:cs="Times New Roman"/>
                <w:szCs w:val="21"/>
              </w:rPr>
              <w:t>1.学习和了解社会主义五百年的发展历程，把握科学社会主义基本原则；</w:t>
            </w:r>
          </w:p>
          <w:p w14:paraId="10593BD6">
            <w:pPr>
              <w:spacing w:line="240" w:lineRule="auto"/>
              <w:jc w:val="left"/>
              <w:rPr>
                <w:rFonts w:hint="eastAsia" w:ascii="宋体" w:hAnsi="宋体" w:eastAsia="宋体" w:cs="Times New Roman"/>
                <w:szCs w:val="21"/>
              </w:rPr>
            </w:pPr>
            <w:r>
              <w:rPr>
                <w:rFonts w:hint="eastAsia" w:ascii="宋体" w:hAnsi="宋体" w:eastAsia="宋体" w:cs="Times New Roman"/>
                <w:szCs w:val="21"/>
              </w:rPr>
              <w:t>2.认识社会主义建设过程的长期性，明确社会主义发展道路的多样性，把握新时代中国特色社会主义在社会主义发展史上的里程碑意义；</w:t>
            </w:r>
          </w:p>
          <w:p w14:paraId="4A593185">
            <w:pPr>
              <w:spacing w:line="240" w:lineRule="auto"/>
              <w:jc w:val="left"/>
              <w:rPr>
                <w:rFonts w:hint="eastAsia" w:ascii="宋体" w:hAnsi="宋体" w:eastAsia="宋体" w:cs="Times New Roman"/>
                <w:szCs w:val="21"/>
              </w:rPr>
            </w:pPr>
            <w:r>
              <w:rPr>
                <w:rFonts w:hint="eastAsia" w:ascii="宋体" w:hAnsi="宋体" w:eastAsia="宋体" w:cs="Times New Roman"/>
                <w:szCs w:val="21"/>
              </w:rPr>
              <w:t>3.能够遵循社会主义在实践中开拓前进的发展规律，以昂扬奋进的姿态推进社会主义事业走向光明未来。</w:t>
            </w:r>
          </w:p>
        </w:tc>
        <w:tc>
          <w:tcPr>
            <w:tcW w:w="1342" w:type="dxa"/>
            <w:vAlign w:val="center"/>
          </w:tcPr>
          <w:p w14:paraId="5ACD9EAC">
            <w:pPr>
              <w:spacing w:line="240" w:lineRule="auto"/>
              <w:jc w:val="left"/>
              <w:rPr>
                <w:rFonts w:hint="eastAsia" w:ascii="宋体" w:hAnsi="宋体" w:eastAsia="宋体" w:cs="Times New Roman"/>
                <w:szCs w:val="21"/>
              </w:rPr>
            </w:pPr>
            <w:r>
              <w:rPr>
                <w:rFonts w:hint="eastAsia" w:ascii="宋体" w:hAnsi="宋体" w:eastAsia="宋体" w:cs="Times New Roman"/>
                <w:szCs w:val="21"/>
              </w:rPr>
              <w:t>1.线上学习</w:t>
            </w:r>
          </w:p>
          <w:p w14:paraId="1D4D00C8">
            <w:pPr>
              <w:spacing w:line="240" w:lineRule="auto"/>
              <w:jc w:val="left"/>
              <w:rPr>
                <w:rFonts w:hint="eastAsia" w:ascii="宋体" w:hAnsi="宋体" w:eastAsia="宋体" w:cs="Times New Roman"/>
                <w:szCs w:val="21"/>
              </w:rPr>
            </w:pPr>
            <w:r>
              <w:rPr>
                <w:rFonts w:hint="eastAsia" w:ascii="宋体" w:hAnsi="宋体" w:eastAsia="宋体" w:cs="Times New Roman"/>
                <w:szCs w:val="21"/>
              </w:rPr>
              <w:t>2.课堂教学</w:t>
            </w:r>
          </w:p>
          <w:p w14:paraId="2E23B965">
            <w:pPr>
              <w:spacing w:line="240" w:lineRule="auto"/>
              <w:jc w:val="left"/>
              <w:rPr>
                <w:rFonts w:hint="eastAsia" w:ascii="宋体" w:hAnsi="宋体" w:eastAsia="宋体" w:cs="Times New Roman"/>
                <w:szCs w:val="21"/>
              </w:rPr>
            </w:pPr>
            <w:r>
              <w:rPr>
                <w:rFonts w:hint="eastAsia" w:ascii="宋体" w:hAnsi="宋体" w:eastAsia="宋体" w:cs="Times New Roman"/>
                <w:szCs w:val="21"/>
              </w:rPr>
              <w:t>3.单元测验</w:t>
            </w:r>
          </w:p>
        </w:tc>
        <w:tc>
          <w:tcPr>
            <w:tcW w:w="656" w:type="dxa"/>
            <w:vAlign w:val="center"/>
          </w:tcPr>
          <w:p w14:paraId="2B8C2F22">
            <w:pPr>
              <w:spacing w:line="240"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22F0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5B239C27">
            <w:pPr>
              <w:spacing w:line="240" w:lineRule="auto"/>
              <w:jc w:val="center"/>
              <w:rPr>
                <w:rFonts w:hint="eastAsia" w:ascii="宋体" w:hAnsi="宋体" w:eastAsia="宋体" w:cs="Times New Roman"/>
                <w:szCs w:val="21"/>
              </w:rPr>
            </w:pPr>
            <w:r>
              <w:rPr>
                <w:rFonts w:hint="eastAsia" w:ascii="宋体" w:hAnsi="宋体" w:eastAsia="宋体" w:cs="Times New Roman"/>
                <w:szCs w:val="21"/>
              </w:rPr>
              <w:t>8.共产主义崇高理想及其最终实现</w:t>
            </w:r>
          </w:p>
        </w:tc>
        <w:tc>
          <w:tcPr>
            <w:tcW w:w="1635" w:type="dxa"/>
            <w:vAlign w:val="center"/>
          </w:tcPr>
          <w:p w14:paraId="002A6CC6">
            <w:pPr>
              <w:spacing w:line="240" w:lineRule="auto"/>
              <w:jc w:val="left"/>
              <w:rPr>
                <w:rFonts w:hint="eastAsia" w:ascii="宋体" w:hAnsi="宋体" w:eastAsia="宋体" w:cs="Times New Roman"/>
                <w:szCs w:val="21"/>
              </w:rPr>
            </w:pPr>
            <w:r>
              <w:rPr>
                <w:rFonts w:hint="eastAsia" w:ascii="宋体" w:hAnsi="宋体" w:eastAsia="宋体" w:cs="Times New Roman"/>
                <w:szCs w:val="21"/>
              </w:rPr>
              <w:t>（1）展望未来共产主义新社会（2）实现共产主义是历史发展的必然趋势</w:t>
            </w:r>
          </w:p>
          <w:p w14:paraId="769B8AEB">
            <w:pPr>
              <w:spacing w:line="240" w:lineRule="auto"/>
              <w:jc w:val="left"/>
              <w:rPr>
                <w:rFonts w:hint="eastAsia" w:ascii="宋体" w:hAnsi="宋体" w:eastAsia="宋体" w:cs="Times New Roman"/>
                <w:szCs w:val="21"/>
              </w:rPr>
            </w:pPr>
            <w:r>
              <w:rPr>
                <w:rFonts w:hint="eastAsia" w:ascii="宋体" w:hAnsi="宋体" w:eastAsia="宋体" w:cs="Times New Roman"/>
                <w:szCs w:val="21"/>
              </w:rPr>
              <w:t>（3）共产主义远大理想与中国特色社会主义共同理想</w:t>
            </w:r>
          </w:p>
        </w:tc>
        <w:tc>
          <w:tcPr>
            <w:tcW w:w="1134" w:type="dxa"/>
            <w:vAlign w:val="center"/>
          </w:tcPr>
          <w:p w14:paraId="482D52E8">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目标1</w:t>
            </w:r>
          </w:p>
          <w:p w14:paraId="0DD267F9">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目标2</w:t>
            </w:r>
          </w:p>
          <w:p w14:paraId="5BEB7F31">
            <w:pPr>
              <w:spacing w:line="240" w:lineRule="auto"/>
              <w:jc w:val="center"/>
              <w:rPr>
                <w:rFonts w:hint="eastAsia" w:ascii="宋体" w:hAnsi="宋体" w:eastAsia="宋体" w:cs="Times New Roman"/>
                <w:szCs w:val="21"/>
              </w:rPr>
            </w:pPr>
            <w:r>
              <w:rPr>
                <w:rFonts w:hint="eastAsia" w:ascii="宋体" w:hAnsi="宋体" w:eastAsia="宋体" w:cs="Times New Roman"/>
                <w:szCs w:val="21"/>
              </w:rPr>
              <w:t>目标3</w:t>
            </w:r>
          </w:p>
        </w:tc>
        <w:tc>
          <w:tcPr>
            <w:tcW w:w="3260" w:type="dxa"/>
            <w:vAlign w:val="center"/>
          </w:tcPr>
          <w:p w14:paraId="747B5C6E">
            <w:pPr>
              <w:spacing w:line="240" w:lineRule="auto"/>
              <w:jc w:val="left"/>
              <w:rPr>
                <w:rFonts w:hint="eastAsia" w:ascii="宋体" w:hAnsi="宋体" w:eastAsia="宋体" w:cs="Times New Roman"/>
                <w:szCs w:val="21"/>
              </w:rPr>
            </w:pPr>
            <w:r>
              <w:rPr>
                <w:rFonts w:hint="eastAsia" w:ascii="宋体" w:hAnsi="宋体" w:eastAsia="宋体" w:cs="Times New Roman"/>
                <w:szCs w:val="21"/>
              </w:rPr>
              <w:t>1.掌握预见未来社会的方法论原则，把握共产主义社会的基本特征；</w:t>
            </w:r>
          </w:p>
          <w:p w14:paraId="3B95DBCD">
            <w:pPr>
              <w:spacing w:line="240" w:lineRule="auto"/>
              <w:jc w:val="left"/>
              <w:rPr>
                <w:rFonts w:hint="eastAsia" w:ascii="宋体" w:hAnsi="宋体" w:eastAsia="宋体" w:cs="Times New Roman"/>
                <w:szCs w:val="21"/>
              </w:rPr>
            </w:pPr>
            <w:r>
              <w:rPr>
                <w:rFonts w:hint="eastAsia" w:ascii="宋体" w:hAnsi="宋体" w:eastAsia="宋体" w:cs="Times New Roman"/>
                <w:szCs w:val="21"/>
              </w:rPr>
              <w:t>2.深刻认识实现共产主义的历史必然性和长期性；</w:t>
            </w:r>
          </w:p>
          <w:p w14:paraId="7F1E1A6A">
            <w:pPr>
              <w:spacing w:line="240" w:lineRule="auto"/>
              <w:jc w:val="left"/>
              <w:rPr>
                <w:rFonts w:hint="eastAsia" w:ascii="宋体" w:hAnsi="宋体" w:eastAsia="宋体" w:cs="Times New Roman"/>
                <w:szCs w:val="21"/>
              </w:rPr>
            </w:pPr>
            <w:r>
              <w:rPr>
                <w:rFonts w:hint="eastAsia" w:ascii="宋体" w:hAnsi="宋体" w:eastAsia="宋体" w:cs="Times New Roman"/>
                <w:szCs w:val="21"/>
              </w:rPr>
              <w:t>3.帮助学生正确处理理想与现实、个人理想和社会理想、远大理想与共同理想的关系，坚定理想信念，投身新时代中国特色社会主义事业。</w:t>
            </w:r>
          </w:p>
        </w:tc>
        <w:tc>
          <w:tcPr>
            <w:tcW w:w="1342" w:type="dxa"/>
            <w:vAlign w:val="center"/>
          </w:tcPr>
          <w:p w14:paraId="40E857A2">
            <w:pPr>
              <w:spacing w:line="240" w:lineRule="auto"/>
              <w:jc w:val="left"/>
              <w:rPr>
                <w:rFonts w:hint="eastAsia" w:ascii="宋体" w:hAnsi="宋体" w:eastAsia="宋体" w:cs="Times New Roman"/>
                <w:szCs w:val="21"/>
              </w:rPr>
            </w:pPr>
            <w:r>
              <w:rPr>
                <w:rFonts w:hint="eastAsia" w:ascii="宋体" w:hAnsi="宋体" w:eastAsia="宋体" w:cs="Times New Roman"/>
                <w:szCs w:val="21"/>
              </w:rPr>
              <w:t>1.线上学习</w:t>
            </w:r>
          </w:p>
          <w:p w14:paraId="2C76B6E6">
            <w:pPr>
              <w:spacing w:line="240" w:lineRule="auto"/>
              <w:jc w:val="left"/>
              <w:rPr>
                <w:rFonts w:hint="eastAsia" w:ascii="宋体" w:hAnsi="宋体" w:eastAsia="宋体" w:cs="Times New Roman"/>
                <w:szCs w:val="21"/>
              </w:rPr>
            </w:pPr>
            <w:r>
              <w:rPr>
                <w:rFonts w:hint="eastAsia" w:ascii="宋体" w:hAnsi="宋体" w:eastAsia="宋体" w:cs="Times New Roman"/>
                <w:szCs w:val="21"/>
              </w:rPr>
              <w:t>2.课堂教学</w:t>
            </w:r>
          </w:p>
          <w:p w14:paraId="61534F3F">
            <w:pPr>
              <w:spacing w:line="240" w:lineRule="auto"/>
              <w:jc w:val="left"/>
              <w:rPr>
                <w:rFonts w:hint="eastAsia" w:ascii="宋体" w:hAnsi="宋体" w:eastAsia="宋体" w:cs="Times New Roman"/>
                <w:szCs w:val="21"/>
              </w:rPr>
            </w:pPr>
            <w:r>
              <w:rPr>
                <w:rFonts w:hint="eastAsia" w:ascii="宋体" w:hAnsi="宋体" w:eastAsia="宋体" w:cs="Times New Roman"/>
                <w:szCs w:val="21"/>
              </w:rPr>
              <w:t>3.单元测验</w:t>
            </w:r>
          </w:p>
        </w:tc>
        <w:tc>
          <w:tcPr>
            <w:tcW w:w="656" w:type="dxa"/>
            <w:vAlign w:val="center"/>
          </w:tcPr>
          <w:p w14:paraId="54141ED8">
            <w:pPr>
              <w:spacing w:line="240"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1133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271" w:type="dxa"/>
            <w:vAlign w:val="center"/>
          </w:tcPr>
          <w:p w14:paraId="7131E995">
            <w:pPr>
              <w:spacing w:line="240" w:lineRule="auto"/>
              <w:jc w:val="center"/>
              <w:rPr>
                <w:rFonts w:hint="eastAsia" w:ascii="宋体" w:hAnsi="宋体" w:eastAsia="宋体" w:cs="Times New Roman"/>
                <w:szCs w:val="21"/>
              </w:rPr>
            </w:pPr>
            <w:r>
              <w:rPr>
                <w:rFonts w:hint="eastAsia" w:ascii="宋体" w:hAnsi="宋体" w:eastAsia="宋体" w:cs="Times New Roman"/>
                <w:szCs w:val="21"/>
              </w:rPr>
              <w:t>思想政治理论课实践</w:t>
            </w:r>
          </w:p>
        </w:tc>
        <w:tc>
          <w:tcPr>
            <w:tcW w:w="7371" w:type="dxa"/>
            <w:gridSpan w:val="4"/>
            <w:vAlign w:val="center"/>
          </w:tcPr>
          <w:p w14:paraId="22DAF9DC">
            <w:pPr>
              <w:spacing w:line="240" w:lineRule="auto"/>
              <w:jc w:val="left"/>
              <w:rPr>
                <w:rFonts w:hint="eastAsia" w:ascii="宋体" w:hAnsi="宋体" w:eastAsia="宋体" w:cs="Times New Roman"/>
                <w:szCs w:val="21"/>
              </w:rPr>
            </w:pPr>
            <w:r>
              <w:rPr>
                <w:rFonts w:hint="eastAsia" w:ascii="宋体" w:hAnsi="宋体" w:eastAsia="宋体" w:cs="Times New Roman"/>
                <w:szCs w:val="21"/>
              </w:rPr>
              <w:t>落实教育部要求，本课程的实践学时计入“思想政治理论课实践”课程。学院组织实践教师指导学生分散在第一学期至第四学期完成“思想政治理论课实践”项目，学生的实践成绩在第四学期计入“思想政治理论课实践”课程成绩。</w:t>
            </w:r>
          </w:p>
        </w:tc>
        <w:tc>
          <w:tcPr>
            <w:tcW w:w="656" w:type="dxa"/>
            <w:vAlign w:val="center"/>
          </w:tcPr>
          <w:p w14:paraId="45B022CC">
            <w:pPr>
              <w:spacing w:line="240" w:lineRule="auto"/>
              <w:jc w:val="center"/>
              <w:rPr>
                <w:rFonts w:hint="eastAsia" w:ascii="宋体" w:hAnsi="宋体" w:eastAsia="宋体" w:cs="Times New Roman"/>
                <w:szCs w:val="21"/>
              </w:rPr>
            </w:pPr>
            <w:r>
              <w:rPr>
                <w:rFonts w:hint="eastAsia" w:ascii="宋体" w:hAnsi="宋体" w:eastAsia="宋体" w:cs="Times New Roman"/>
                <w:szCs w:val="21"/>
              </w:rPr>
              <w:t>6</w:t>
            </w:r>
          </w:p>
        </w:tc>
      </w:tr>
    </w:tbl>
    <w:p w14:paraId="07F08777">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31899415">
      <w:pPr>
        <w:spacing w:line="360" w:lineRule="auto"/>
        <w:ind w:firstLine="42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602B7C8">
      <w:pPr>
        <w:spacing w:line="360" w:lineRule="auto"/>
        <w:ind w:firstLine="420" w:firstLineChars="200"/>
        <w:jc w:val="left"/>
        <w:rPr>
          <w:rFonts w:ascii="Times New Roman" w:hAnsi="Times New Roman" w:eastAsia="宋体" w:cs="Times New Roman"/>
          <w:b/>
          <w:bCs/>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616"/>
        <w:gridCol w:w="1560"/>
        <w:gridCol w:w="1559"/>
        <w:gridCol w:w="1559"/>
        <w:gridCol w:w="992"/>
      </w:tblGrid>
      <w:tr w14:paraId="0637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Merge w:val="restart"/>
            <w:vAlign w:val="center"/>
          </w:tcPr>
          <w:p w14:paraId="31513871">
            <w:pPr>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294" w:type="dxa"/>
            <w:gridSpan w:val="4"/>
            <w:vAlign w:val="center"/>
          </w:tcPr>
          <w:p w14:paraId="13EF1727">
            <w:pPr>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992" w:type="dxa"/>
            <w:vMerge w:val="restart"/>
            <w:vAlign w:val="center"/>
          </w:tcPr>
          <w:p w14:paraId="5657ED50">
            <w:pPr>
              <w:jc w:val="center"/>
              <w:rPr>
                <w:rFonts w:hint="eastAsia" w:ascii="宋体" w:hAnsi="宋体" w:eastAsia="宋体" w:cs="Times New Roman"/>
                <w:szCs w:val="21"/>
              </w:rPr>
            </w:pPr>
            <w:r>
              <w:rPr>
                <w:rFonts w:hint="eastAsia" w:ascii="宋体" w:hAnsi="宋体" w:eastAsia="宋体" w:cs="Times New Roman"/>
                <w:szCs w:val="21"/>
              </w:rPr>
              <w:t>分值</w:t>
            </w:r>
          </w:p>
        </w:tc>
      </w:tr>
      <w:tr w14:paraId="0896E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Merge w:val="continue"/>
            <w:vAlign w:val="center"/>
          </w:tcPr>
          <w:p w14:paraId="2AB645B2">
            <w:pPr>
              <w:jc w:val="center"/>
              <w:rPr>
                <w:rFonts w:hint="eastAsia" w:ascii="宋体" w:hAnsi="宋体" w:eastAsia="宋体" w:cs="Times New Roman"/>
                <w:szCs w:val="21"/>
              </w:rPr>
            </w:pPr>
          </w:p>
        </w:tc>
        <w:tc>
          <w:tcPr>
            <w:tcW w:w="1616" w:type="dxa"/>
          </w:tcPr>
          <w:p w14:paraId="2D9C86DF">
            <w:pPr>
              <w:jc w:val="center"/>
              <w:rPr>
                <w:rFonts w:hint="eastAsia" w:ascii="宋体" w:hAnsi="宋体" w:eastAsia="宋体" w:cs="Times New Roman"/>
                <w:szCs w:val="21"/>
              </w:rPr>
            </w:pPr>
            <w:r>
              <w:rPr>
                <w:rFonts w:hint="eastAsia" w:ascii="宋体" w:hAnsi="宋体" w:eastAsia="宋体" w:cs="Times New Roman"/>
                <w:szCs w:val="21"/>
              </w:rPr>
              <w:t>网络学习</w:t>
            </w:r>
          </w:p>
        </w:tc>
        <w:tc>
          <w:tcPr>
            <w:tcW w:w="1560" w:type="dxa"/>
            <w:vAlign w:val="center"/>
          </w:tcPr>
          <w:p w14:paraId="68EEDE3E">
            <w:pPr>
              <w:jc w:val="center"/>
              <w:rPr>
                <w:rFonts w:hint="eastAsia" w:ascii="宋体" w:hAnsi="宋体" w:eastAsia="宋体" w:cs="Times New Roman"/>
                <w:szCs w:val="21"/>
              </w:rPr>
            </w:pPr>
            <w:r>
              <w:rPr>
                <w:rFonts w:hint="eastAsia" w:ascii="宋体" w:hAnsi="宋体" w:eastAsia="宋体" w:cs="Times New Roman"/>
                <w:szCs w:val="21"/>
              </w:rPr>
              <w:t>平时表现</w:t>
            </w:r>
          </w:p>
        </w:tc>
        <w:tc>
          <w:tcPr>
            <w:tcW w:w="1559" w:type="dxa"/>
            <w:vAlign w:val="center"/>
          </w:tcPr>
          <w:p w14:paraId="2ED0EA6F">
            <w:pPr>
              <w:jc w:val="center"/>
              <w:rPr>
                <w:rFonts w:hint="eastAsia" w:ascii="宋体" w:hAnsi="宋体" w:eastAsia="宋体" w:cs="Times New Roman"/>
                <w:szCs w:val="21"/>
              </w:rPr>
            </w:pPr>
            <w:r>
              <w:rPr>
                <w:rFonts w:hint="eastAsia" w:ascii="宋体" w:hAnsi="宋体" w:eastAsia="宋体" w:cs="Times New Roman"/>
                <w:szCs w:val="21"/>
              </w:rPr>
              <w:t>作业</w:t>
            </w:r>
          </w:p>
        </w:tc>
        <w:tc>
          <w:tcPr>
            <w:tcW w:w="1559" w:type="dxa"/>
            <w:vAlign w:val="center"/>
          </w:tcPr>
          <w:p w14:paraId="1FBE6C1C">
            <w:pPr>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992" w:type="dxa"/>
            <w:vMerge w:val="continue"/>
            <w:vAlign w:val="center"/>
          </w:tcPr>
          <w:p w14:paraId="67462218">
            <w:pPr>
              <w:jc w:val="center"/>
              <w:rPr>
                <w:rFonts w:hint="eastAsia" w:ascii="宋体" w:hAnsi="宋体" w:eastAsia="宋体" w:cs="Times New Roman"/>
                <w:szCs w:val="21"/>
              </w:rPr>
            </w:pPr>
          </w:p>
        </w:tc>
      </w:tr>
      <w:tr w14:paraId="6C6D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213D018E">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616" w:type="dxa"/>
          </w:tcPr>
          <w:p w14:paraId="3C71750F">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60" w:type="dxa"/>
            <w:vAlign w:val="center"/>
          </w:tcPr>
          <w:p w14:paraId="67A49D6F">
            <w:pPr>
              <w:jc w:val="center"/>
              <w:rPr>
                <w:rFonts w:hint="eastAsia" w:ascii="宋体" w:hAnsi="宋体" w:eastAsia="宋体" w:cs="Times New Roman"/>
                <w:szCs w:val="21"/>
              </w:rPr>
            </w:pPr>
          </w:p>
        </w:tc>
        <w:tc>
          <w:tcPr>
            <w:tcW w:w="1559" w:type="dxa"/>
            <w:vAlign w:val="center"/>
          </w:tcPr>
          <w:p w14:paraId="31389520">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62BDB262">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992" w:type="dxa"/>
            <w:vAlign w:val="center"/>
          </w:tcPr>
          <w:p w14:paraId="22713790">
            <w:pPr>
              <w:jc w:val="center"/>
              <w:rPr>
                <w:rFonts w:hint="eastAsia" w:ascii="宋体" w:hAnsi="宋体" w:eastAsia="宋体" w:cs="Times New Roman"/>
                <w:szCs w:val="21"/>
              </w:rPr>
            </w:pPr>
            <w:r>
              <w:rPr>
                <w:rFonts w:hint="eastAsia" w:ascii="宋体" w:hAnsi="宋体" w:eastAsia="宋体" w:cs="Times New Roman"/>
                <w:szCs w:val="21"/>
              </w:rPr>
              <w:t>26</w:t>
            </w:r>
          </w:p>
        </w:tc>
      </w:tr>
      <w:tr w14:paraId="5628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3B201D95">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616" w:type="dxa"/>
          </w:tcPr>
          <w:p w14:paraId="5A1BBFF5">
            <w:pPr>
              <w:jc w:val="center"/>
              <w:rPr>
                <w:rFonts w:hint="eastAsia" w:ascii="宋体" w:hAnsi="宋体" w:eastAsia="宋体" w:cs="Times New Roman"/>
                <w:szCs w:val="21"/>
              </w:rPr>
            </w:pPr>
          </w:p>
        </w:tc>
        <w:tc>
          <w:tcPr>
            <w:tcW w:w="1560" w:type="dxa"/>
            <w:vAlign w:val="center"/>
          </w:tcPr>
          <w:p w14:paraId="75A00A3E">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17B5F07A">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39D726DA">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992" w:type="dxa"/>
            <w:vAlign w:val="center"/>
          </w:tcPr>
          <w:p w14:paraId="0DFA4B52">
            <w:pPr>
              <w:jc w:val="cente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3</w:t>
            </w:r>
          </w:p>
        </w:tc>
      </w:tr>
      <w:tr w14:paraId="1649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610FC933">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616" w:type="dxa"/>
          </w:tcPr>
          <w:p w14:paraId="35A69DE4">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60" w:type="dxa"/>
            <w:vAlign w:val="center"/>
          </w:tcPr>
          <w:p w14:paraId="5404110A">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3B0E84F9">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37102437">
            <w:pPr>
              <w:jc w:val="center"/>
              <w:rPr>
                <w:rFonts w:hint="eastAsia" w:ascii="宋体" w:hAnsi="宋体" w:eastAsia="宋体" w:cs="Times New Roman"/>
                <w:szCs w:val="21"/>
              </w:rPr>
            </w:pPr>
          </w:p>
        </w:tc>
        <w:tc>
          <w:tcPr>
            <w:tcW w:w="992" w:type="dxa"/>
            <w:vAlign w:val="center"/>
          </w:tcPr>
          <w:p w14:paraId="014A3112">
            <w:pPr>
              <w:jc w:val="cente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5</w:t>
            </w:r>
          </w:p>
        </w:tc>
      </w:tr>
      <w:tr w14:paraId="5840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0E59F31C">
            <w:pPr>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1616" w:type="dxa"/>
          </w:tcPr>
          <w:p w14:paraId="2BD02066">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60" w:type="dxa"/>
            <w:vAlign w:val="center"/>
          </w:tcPr>
          <w:p w14:paraId="6A77B31E">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0D1F8817">
            <w:pPr>
              <w:jc w:val="center"/>
              <w:rPr>
                <w:rFonts w:hint="eastAsia" w:ascii="宋体" w:hAnsi="宋体" w:eastAsia="宋体" w:cs="Times New Roman"/>
                <w:szCs w:val="21"/>
              </w:rPr>
            </w:pPr>
          </w:p>
        </w:tc>
        <w:tc>
          <w:tcPr>
            <w:tcW w:w="1559" w:type="dxa"/>
            <w:vAlign w:val="center"/>
          </w:tcPr>
          <w:p w14:paraId="0DB491A8">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992" w:type="dxa"/>
            <w:vAlign w:val="center"/>
          </w:tcPr>
          <w:p w14:paraId="63448F74">
            <w:pPr>
              <w:jc w:val="cente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6</w:t>
            </w:r>
          </w:p>
        </w:tc>
      </w:tr>
      <w:tr w14:paraId="1D2E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3445631A">
            <w:pPr>
              <w:jc w:val="center"/>
              <w:rPr>
                <w:rFonts w:hint="eastAsia" w:ascii="宋体" w:hAnsi="宋体" w:eastAsia="宋体" w:cs="Times New Roman"/>
                <w:szCs w:val="21"/>
              </w:rPr>
            </w:pPr>
            <w:r>
              <w:rPr>
                <w:rFonts w:hint="eastAsia" w:ascii="宋体" w:hAnsi="宋体" w:eastAsia="宋体" w:cs="Times New Roman"/>
                <w:szCs w:val="21"/>
              </w:rPr>
              <w:t>合计</w:t>
            </w:r>
          </w:p>
        </w:tc>
        <w:tc>
          <w:tcPr>
            <w:tcW w:w="1616" w:type="dxa"/>
          </w:tcPr>
          <w:p w14:paraId="64F7B469">
            <w:pPr>
              <w:jc w:val="center"/>
              <w:rPr>
                <w:rFonts w:hint="eastAsia" w:ascii="宋体" w:hAnsi="宋体" w:eastAsia="宋体" w:cs="Times New Roman"/>
                <w:szCs w:val="21"/>
              </w:rPr>
            </w:pPr>
          </w:p>
        </w:tc>
        <w:tc>
          <w:tcPr>
            <w:tcW w:w="1560" w:type="dxa"/>
            <w:vAlign w:val="center"/>
          </w:tcPr>
          <w:p w14:paraId="0DD1036E">
            <w:pPr>
              <w:jc w:val="center"/>
              <w:rPr>
                <w:rFonts w:hint="eastAsia" w:ascii="宋体" w:hAnsi="宋体" w:eastAsia="宋体" w:cs="Times New Roman"/>
                <w:szCs w:val="21"/>
              </w:rPr>
            </w:pPr>
          </w:p>
        </w:tc>
        <w:tc>
          <w:tcPr>
            <w:tcW w:w="1559" w:type="dxa"/>
            <w:vAlign w:val="center"/>
          </w:tcPr>
          <w:p w14:paraId="267D39ED">
            <w:pPr>
              <w:jc w:val="center"/>
              <w:rPr>
                <w:rFonts w:hint="eastAsia" w:ascii="宋体" w:hAnsi="宋体" w:eastAsia="宋体" w:cs="Times New Roman"/>
                <w:szCs w:val="21"/>
              </w:rPr>
            </w:pPr>
          </w:p>
        </w:tc>
        <w:tc>
          <w:tcPr>
            <w:tcW w:w="1559" w:type="dxa"/>
            <w:vAlign w:val="center"/>
          </w:tcPr>
          <w:p w14:paraId="2D23FDF5">
            <w:pPr>
              <w:jc w:val="center"/>
              <w:rPr>
                <w:rFonts w:hint="eastAsia" w:ascii="宋体" w:hAnsi="宋体" w:eastAsia="宋体" w:cs="Times New Roman"/>
                <w:szCs w:val="21"/>
              </w:rPr>
            </w:pPr>
          </w:p>
        </w:tc>
        <w:tc>
          <w:tcPr>
            <w:tcW w:w="992" w:type="dxa"/>
            <w:vAlign w:val="center"/>
          </w:tcPr>
          <w:p w14:paraId="58D27712">
            <w:pPr>
              <w:jc w:val="center"/>
              <w:rPr>
                <w:rFonts w:hint="eastAsia" w:ascii="宋体" w:hAnsi="宋体" w:eastAsia="宋体" w:cs="Times New Roman"/>
                <w:szCs w:val="21"/>
              </w:rPr>
            </w:pPr>
            <w:r>
              <w:rPr>
                <w:rFonts w:hint="eastAsia" w:ascii="宋体" w:hAnsi="宋体" w:eastAsia="宋体" w:cs="Times New Roman"/>
                <w:szCs w:val="21"/>
              </w:rPr>
              <w:t>100</w:t>
            </w:r>
          </w:p>
        </w:tc>
      </w:tr>
    </w:tbl>
    <w:p w14:paraId="27056184">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4F08F6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b/>
          <w:bCs/>
          <w:szCs w:val="21"/>
        </w:rPr>
      </w:pPr>
      <w:r>
        <w:rPr>
          <w:rFonts w:hint="eastAsia" w:ascii="Times New Roman" w:hAnsi="Times New Roman" w:eastAsia="宋体" w:cs="Times New Roman"/>
          <w:szCs w:val="21"/>
        </w:rPr>
        <w:t>各部分的评价方式和成绩评定的细则</w:t>
      </w:r>
      <w:r>
        <w:rPr>
          <w:rFonts w:hint="eastAsia" w:ascii="Times New Roman" w:hAnsi="Times New Roman" w:eastAsia="宋体" w:cs="Times New Roman"/>
          <w:szCs w:val="21"/>
          <w:lang w:eastAsia="zh-CN"/>
        </w:rPr>
        <w:t>如下表所示。</w:t>
      </w:r>
    </w:p>
    <w:tbl>
      <w:tblPr>
        <w:tblStyle w:val="16"/>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7126"/>
        <w:gridCol w:w="850"/>
      </w:tblGrid>
      <w:tr w14:paraId="5FE2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5BB9B66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26" w:type="dxa"/>
            <w:vAlign w:val="center"/>
          </w:tcPr>
          <w:p w14:paraId="7E98A89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850" w:type="dxa"/>
            <w:vAlign w:val="center"/>
          </w:tcPr>
          <w:p w14:paraId="4189D5F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713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66" w:type="dxa"/>
            <w:vAlign w:val="center"/>
          </w:tcPr>
          <w:p w14:paraId="0CC2656E">
            <w:pPr>
              <w:jc w:val="center"/>
              <w:rPr>
                <w:rFonts w:hint="eastAsia" w:ascii="宋体" w:hAnsi="宋体" w:eastAsia="宋体"/>
              </w:rPr>
            </w:pPr>
            <w:r>
              <w:rPr>
                <w:rFonts w:hint="eastAsia" w:ascii="宋体" w:hAnsi="宋体" w:eastAsia="宋体"/>
              </w:rPr>
              <w:t>网络学习</w:t>
            </w:r>
          </w:p>
        </w:tc>
        <w:tc>
          <w:tcPr>
            <w:tcW w:w="7126" w:type="dxa"/>
            <w:vAlign w:val="center"/>
          </w:tcPr>
          <w:p w14:paraId="18B9D919">
            <w:pPr>
              <w:spacing w:line="264" w:lineRule="auto"/>
              <w:jc w:val="left"/>
              <w:rPr>
                <w:rFonts w:hint="eastAsia" w:ascii="宋体" w:hAnsi="宋体" w:eastAsia="宋体"/>
              </w:rPr>
            </w:pPr>
            <w:r>
              <w:rPr>
                <w:rFonts w:hint="eastAsia" w:ascii="宋体" w:hAnsi="宋体" w:eastAsia="宋体"/>
              </w:rPr>
              <w:t>通过视频学习，互动讨论等考核对课程理论的理解和运用</w:t>
            </w:r>
          </w:p>
        </w:tc>
        <w:tc>
          <w:tcPr>
            <w:tcW w:w="850" w:type="dxa"/>
            <w:vAlign w:val="center"/>
          </w:tcPr>
          <w:p w14:paraId="2CCA4709">
            <w:pPr>
              <w:jc w:val="center"/>
              <w:rPr>
                <w:rFonts w:hint="eastAsia" w:ascii="宋体" w:hAnsi="宋体" w:eastAsia="宋体" w:cs="Times New Roman"/>
                <w:szCs w:val="21"/>
              </w:rPr>
            </w:pPr>
            <w:r>
              <w:rPr>
                <w:rFonts w:hint="eastAsia"/>
              </w:rPr>
              <w:t>10%</w:t>
            </w:r>
          </w:p>
        </w:tc>
      </w:tr>
      <w:tr w14:paraId="58937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023F69EC">
            <w:pPr>
              <w:jc w:val="center"/>
              <w:rPr>
                <w:rFonts w:hint="eastAsia" w:ascii="宋体" w:hAnsi="宋体" w:eastAsia="宋体"/>
              </w:rPr>
            </w:pPr>
            <w:r>
              <w:rPr>
                <w:rFonts w:hint="eastAsia" w:ascii="宋体" w:hAnsi="宋体" w:eastAsia="宋体"/>
              </w:rPr>
              <w:t>平时表现</w:t>
            </w:r>
          </w:p>
        </w:tc>
        <w:tc>
          <w:tcPr>
            <w:tcW w:w="7126" w:type="dxa"/>
            <w:vAlign w:val="center"/>
          </w:tcPr>
          <w:p w14:paraId="55CF27F9">
            <w:pPr>
              <w:spacing w:line="264" w:lineRule="auto"/>
              <w:jc w:val="left"/>
              <w:rPr>
                <w:rFonts w:hint="eastAsia" w:ascii="宋体" w:hAnsi="宋体" w:eastAsia="宋体" w:cs="Times New Roman"/>
                <w:szCs w:val="21"/>
              </w:rPr>
            </w:pPr>
            <w:r>
              <w:rPr>
                <w:rFonts w:hint="eastAsia" w:ascii="宋体" w:hAnsi="宋体" w:eastAsia="宋体"/>
              </w:rPr>
              <w:t>通过课堂互动、听课表现等考核学生对马克思主义基本原理的理解和运用。</w:t>
            </w:r>
          </w:p>
        </w:tc>
        <w:tc>
          <w:tcPr>
            <w:tcW w:w="850" w:type="dxa"/>
            <w:vAlign w:val="center"/>
          </w:tcPr>
          <w:p w14:paraId="073D5FDE">
            <w:pPr>
              <w:jc w:val="center"/>
              <w:rPr>
                <w:rFonts w:hint="eastAsia" w:ascii="宋体" w:hAnsi="宋体" w:eastAsia="宋体" w:cs="Times New Roman"/>
                <w:szCs w:val="21"/>
              </w:rPr>
            </w:pPr>
            <w:r>
              <w:rPr>
                <w:rFonts w:hint="eastAsia"/>
              </w:rPr>
              <w:t>20%</w:t>
            </w:r>
          </w:p>
        </w:tc>
      </w:tr>
      <w:tr w14:paraId="34A4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2CE46C6D">
            <w:pPr>
              <w:jc w:val="center"/>
              <w:rPr>
                <w:rFonts w:hint="eastAsia" w:ascii="宋体" w:hAnsi="宋体" w:eastAsia="宋体"/>
              </w:rPr>
            </w:pPr>
            <w:r>
              <w:rPr>
                <w:rFonts w:hint="eastAsia" w:ascii="宋体" w:hAnsi="宋体" w:eastAsia="宋体"/>
              </w:rPr>
              <w:t>作业</w:t>
            </w:r>
          </w:p>
        </w:tc>
        <w:tc>
          <w:tcPr>
            <w:tcW w:w="7126" w:type="dxa"/>
            <w:vAlign w:val="center"/>
          </w:tcPr>
          <w:p w14:paraId="52206F1B">
            <w:pPr>
              <w:widowControl/>
              <w:spacing w:line="264" w:lineRule="auto"/>
              <w:jc w:val="left"/>
              <w:rPr>
                <w:rFonts w:hint="eastAsia" w:ascii="宋体" w:hAnsi="宋体" w:eastAsia="宋体" w:cs="宋体"/>
                <w:kern w:val="0"/>
                <w:szCs w:val="21"/>
                <w:lang w:bidi="ar"/>
              </w:rPr>
            </w:pPr>
            <w:r>
              <w:rPr>
                <w:rFonts w:hint="eastAsia" w:ascii="宋体" w:hAnsi="宋体" w:eastAsia="宋体"/>
              </w:rPr>
              <w:t>通过章节测验、思考题等考核学生对课程知识点的理解和应用；对每次作业完成情况做记录并百分制打分，计算全部作业的平均成绩。</w:t>
            </w:r>
          </w:p>
        </w:tc>
        <w:tc>
          <w:tcPr>
            <w:tcW w:w="850" w:type="dxa"/>
            <w:vAlign w:val="center"/>
          </w:tcPr>
          <w:p w14:paraId="41535306">
            <w:pPr>
              <w:jc w:val="center"/>
              <w:rPr>
                <w:rFonts w:hint="eastAsia" w:ascii="宋体" w:hAnsi="宋体" w:eastAsia="宋体" w:cs="Times New Roman"/>
                <w:szCs w:val="21"/>
              </w:rPr>
            </w:pPr>
            <w:r>
              <w:rPr>
                <w:rFonts w:hint="eastAsia"/>
              </w:rPr>
              <w:t>30%</w:t>
            </w:r>
          </w:p>
        </w:tc>
      </w:tr>
      <w:tr w14:paraId="2871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33AA2EB9">
            <w:pPr>
              <w:jc w:val="center"/>
              <w:rPr>
                <w:rFonts w:hint="eastAsia" w:ascii="宋体" w:hAnsi="宋体" w:eastAsia="宋体"/>
              </w:rPr>
            </w:pPr>
            <w:r>
              <w:rPr>
                <w:rFonts w:hint="eastAsia" w:ascii="宋体" w:hAnsi="宋体" w:eastAsia="宋体"/>
              </w:rPr>
              <w:t>期末考试</w:t>
            </w:r>
          </w:p>
        </w:tc>
        <w:tc>
          <w:tcPr>
            <w:tcW w:w="7126" w:type="dxa"/>
            <w:vAlign w:val="center"/>
          </w:tcPr>
          <w:p w14:paraId="22CF4E38">
            <w:pPr>
              <w:widowControl/>
              <w:spacing w:line="264" w:lineRule="auto"/>
              <w:jc w:val="left"/>
              <w:rPr>
                <w:rFonts w:hint="eastAsia" w:ascii="宋体" w:hAnsi="宋体" w:eastAsia="宋体" w:cs="宋体"/>
                <w:kern w:val="0"/>
                <w:szCs w:val="21"/>
                <w:lang w:bidi="ar"/>
              </w:rPr>
            </w:pPr>
            <w:r>
              <w:rPr>
                <w:rFonts w:hint="eastAsia" w:ascii="宋体" w:hAnsi="宋体" w:eastAsia="宋体"/>
              </w:rPr>
              <w:t>通过单项选择题、多项选择题、填空题、判断题和论述题等，考核思想政治理论基础知识和马克思主义的立场、观点和方法的运用。</w:t>
            </w:r>
          </w:p>
        </w:tc>
        <w:tc>
          <w:tcPr>
            <w:tcW w:w="850" w:type="dxa"/>
            <w:vAlign w:val="center"/>
          </w:tcPr>
          <w:p w14:paraId="05F87A1D">
            <w:pPr>
              <w:jc w:val="center"/>
              <w:rPr>
                <w:rFonts w:hint="eastAsia" w:ascii="宋体" w:hAnsi="宋体" w:eastAsia="宋体" w:cs="Times New Roman"/>
                <w:szCs w:val="21"/>
              </w:rPr>
            </w:pPr>
            <w:r>
              <w:rPr>
                <w:rFonts w:hint="eastAsia"/>
              </w:rPr>
              <w:t>40%</w:t>
            </w:r>
          </w:p>
        </w:tc>
      </w:tr>
      <w:tr w14:paraId="2D3E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tcPr>
          <w:p w14:paraId="1DC0A6D4">
            <w:pPr>
              <w:rPr>
                <w:rFonts w:hint="eastAsia" w:ascii="宋体" w:hAnsi="宋体" w:eastAsia="宋体" w:cs="Times New Roman"/>
                <w:szCs w:val="21"/>
              </w:rPr>
            </w:pPr>
            <w:r>
              <w:rPr>
                <w:rFonts w:hint="eastAsia" w:ascii="宋体" w:hAnsi="宋体" w:eastAsia="宋体"/>
              </w:rPr>
              <w:t>合计</w:t>
            </w:r>
          </w:p>
        </w:tc>
        <w:tc>
          <w:tcPr>
            <w:tcW w:w="7126" w:type="dxa"/>
          </w:tcPr>
          <w:p w14:paraId="02CCD1F6">
            <w:pPr>
              <w:spacing w:line="264" w:lineRule="auto"/>
              <w:jc w:val="left"/>
              <w:rPr>
                <w:rFonts w:hint="eastAsia" w:ascii="宋体" w:hAnsi="宋体" w:eastAsia="宋体" w:cs="Times New Roman"/>
                <w:szCs w:val="21"/>
              </w:rPr>
            </w:pPr>
          </w:p>
        </w:tc>
        <w:tc>
          <w:tcPr>
            <w:tcW w:w="850" w:type="dxa"/>
            <w:vAlign w:val="center"/>
          </w:tcPr>
          <w:p w14:paraId="069F6DAA">
            <w:pPr>
              <w:jc w:val="center"/>
              <w:rPr>
                <w:rFonts w:hint="eastAsia" w:ascii="宋体" w:hAnsi="宋体" w:eastAsia="宋体" w:cs="Times New Roman"/>
                <w:szCs w:val="21"/>
              </w:rPr>
            </w:pPr>
            <w:r>
              <w:rPr>
                <w:rFonts w:hint="eastAsia" w:ascii="宋体" w:hAnsi="宋体" w:eastAsia="宋体" w:cs="Times New Roman"/>
                <w:szCs w:val="21"/>
              </w:rPr>
              <w:t>100%</w:t>
            </w:r>
          </w:p>
        </w:tc>
      </w:tr>
    </w:tbl>
    <w:p w14:paraId="59B59214">
      <w:pPr>
        <w:spacing w:line="360" w:lineRule="auto"/>
        <w:ind w:firstLine="412"/>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25B1E159">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1BD7A3B6">
      <w:pPr>
        <w:spacing w:before="156" w:beforeLines="50"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五、有关说明</w:t>
      </w:r>
    </w:p>
    <w:p w14:paraId="3AB0316B">
      <w:pPr>
        <w:spacing w:line="360" w:lineRule="auto"/>
        <w:ind w:firstLine="42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1464A77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本课程根据学生作业、课堂讨论、平时考核情况，以及学生、教学督导等反馈，及时对教学中不足之处进行改进，并在下一轮课程教学中整改完善，确保相应毕业要求指标点达成。</w:t>
      </w:r>
    </w:p>
    <w:p w14:paraId="74797903">
      <w:pPr>
        <w:spacing w:line="360" w:lineRule="auto"/>
        <w:ind w:firstLine="42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732460CC">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《马克思主义基本原理》，本书编写组主编，高等教育出版社，2023年2月</w:t>
      </w:r>
    </w:p>
    <w:p w14:paraId="55A263ED">
      <w:pPr>
        <w:spacing w:line="360" w:lineRule="auto"/>
        <w:ind w:firstLine="42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51E051A4">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1.《马克思恩格斯选集》（1-4卷），人民出版社，2012</w:t>
      </w:r>
    </w:p>
    <w:p w14:paraId="25A8D28D">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2.《列宁选集》（1-4卷），人民出版社，2012</w:t>
      </w:r>
    </w:p>
    <w:p w14:paraId="58A23A1F">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3.《毛泽东选集》（1-4卷），人民出版社，1991</w:t>
      </w:r>
    </w:p>
    <w:p w14:paraId="629C9B5D">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4.《邓小平文选》（1-3卷），人民出版社，1995</w:t>
      </w:r>
    </w:p>
    <w:p w14:paraId="2D013267">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5.《江泽民文选》（1-3卷），人民出版社，2006</w:t>
      </w:r>
    </w:p>
    <w:p w14:paraId="21F75750">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6.《胡锦涛文选》（1-3卷），人民出版社，2016</w:t>
      </w:r>
    </w:p>
    <w:p w14:paraId="28DD4CE4">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7.《习近平著作选读》（第一卷），人民出版社，2023</w:t>
      </w:r>
    </w:p>
    <w:p w14:paraId="4CDB7C7A">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8.《习近平著作选读》（第二卷），人民出版社，2023</w:t>
      </w:r>
    </w:p>
    <w:p w14:paraId="1B433043">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9.《习近平经济思想学习纲要》，人民出版社、学习出版社，2022</w:t>
      </w:r>
    </w:p>
    <w:p w14:paraId="7B9F28F1">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10.《习近平新时代中国特色社会主义思想专题摘编》，党建读物出版社，2023</w:t>
      </w:r>
    </w:p>
    <w:p w14:paraId="23F2A501">
      <w:pPr>
        <w:spacing w:line="360" w:lineRule="auto"/>
        <w:ind w:firstLine="422" w:firstLineChars="200"/>
        <w:rPr>
          <w:rFonts w:hint="eastAsia" w:ascii="宋体" w:hAnsi="宋体" w:eastAsia="宋体"/>
          <w:b/>
          <w:bCs/>
        </w:rPr>
      </w:pPr>
      <w:r>
        <w:rPr>
          <w:rFonts w:hint="eastAsia" w:ascii="宋体" w:hAnsi="宋体" w:eastAsia="宋体"/>
          <w:b/>
          <w:bCs/>
        </w:rPr>
        <w:t>（四）教学改革</w:t>
      </w:r>
    </w:p>
    <w:p w14:paraId="0BC22EC8">
      <w:pPr>
        <w:spacing w:line="360" w:lineRule="auto"/>
        <w:ind w:firstLine="420"/>
        <w:rPr>
          <w:rFonts w:ascii="Times New Roman" w:hAnsi="Times New Roman" w:eastAsia="宋体" w:cs="Times New Roman"/>
          <w:sz w:val="24"/>
        </w:rPr>
      </w:pPr>
      <w:r>
        <w:rPr>
          <w:rFonts w:hint="eastAsia" w:ascii="宋体" w:hAnsi="宋体" w:eastAsia="宋体"/>
        </w:rPr>
        <w:t>本课程的教学改革，需制定相应的教学方案。</w:t>
      </w:r>
      <w:r>
        <w:rPr>
          <w:rFonts w:hint="eastAsia" w:ascii="Times New Roman" w:hAnsi="Times New Roman" w:eastAsia="宋体" w:cs="Times New Roman"/>
          <w:sz w:val="24"/>
        </w:rPr>
        <w:t xml:space="preserve">                                            </w:t>
      </w:r>
    </w:p>
    <w:p w14:paraId="33895EFC">
      <w:pPr>
        <w:spacing w:line="360" w:lineRule="auto"/>
        <w:ind w:firstLine="4830" w:firstLineChars="2300"/>
        <w:jc w:val="right"/>
        <w:rPr>
          <w:rFonts w:hint="eastAsia" w:ascii="宋体" w:hAnsi="宋体" w:eastAsia="宋体"/>
          <w:szCs w:val="21"/>
        </w:rPr>
      </w:pPr>
      <w:r>
        <w:rPr>
          <w:rFonts w:hint="eastAsia" w:ascii="Times New Roman" w:hAnsi="Times New Roman" w:eastAsia="宋体" w:cs="Times New Roman"/>
          <w:szCs w:val="21"/>
        </w:rPr>
        <w:t xml:space="preserve"> </w:t>
      </w:r>
      <w:r>
        <w:rPr>
          <w:rFonts w:hint="eastAsia" w:ascii="宋体" w:hAnsi="宋体" w:eastAsia="宋体"/>
          <w:szCs w:val="21"/>
        </w:rPr>
        <w:t xml:space="preserve">执 笔 人：赵菲菲    </w:t>
      </w:r>
    </w:p>
    <w:p w14:paraId="380DC975">
      <w:pPr>
        <w:spacing w:line="360" w:lineRule="auto"/>
        <w:jc w:val="right"/>
        <w:rPr>
          <w:rFonts w:hint="eastAsia" w:ascii="宋体" w:hAnsi="宋体" w:eastAsia="宋体"/>
          <w:szCs w:val="21"/>
        </w:rPr>
      </w:pPr>
      <w:r>
        <w:rPr>
          <w:rFonts w:hint="eastAsia" w:ascii="宋体" w:hAnsi="宋体" w:eastAsia="宋体"/>
          <w:szCs w:val="21"/>
        </w:rPr>
        <w:t xml:space="preserve">                                               审 定 人：夏天静</w:t>
      </w:r>
    </w:p>
    <w:p w14:paraId="03F6542A">
      <w:pPr>
        <w:spacing w:line="360" w:lineRule="auto"/>
        <w:jc w:val="right"/>
        <w:rPr>
          <w:rFonts w:ascii="Times New Roman" w:hAnsi="Times New Roman" w:eastAsia="宋体" w:cs="Times New Roman"/>
          <w:szCs w:val="21"/>
        </w:rPr>
      </w:pPr>
      <w:r>
        <w:rPr>
          <w:rFonts w:hint="eastAsia" w:ascii="宋体" w:hAnsi="宋体" w:eastAsia="宋体"/>
          <w:szCs w:val="21"/>
        </w:rPr>
        <w:t xml:space="preserve">                                               审 批 人：熊焱生</w:t>
      </w:r>
    </w:p>
    <w:p w14:paraId="3EFB76B2">
      <w:pPr>
        <w:spacing w:line="360" w:lineRule="auto"/>
        <w:jc w:val="right"/>
        <w:rPr>
          <w:rFonts w:hint="eastAsia" w:eastAsia="宋体"/>
          <w:color w:val="auto"/>
          <w:kern w:val="0"/>
          <w:sz w:val="24"/>
          <w:szCs w:val="21"/>
          <w:lang w:eastAsia="zh-CN"/>
        </w:rPr>
      </w:pPr>
      <w:r>
        <w:rPr>
          <w:rFonts w:hint="eastAsia" w:ascii="Times New Roman" w:hAnsi="Times New Roman" w:eastAsia="宋体" w:cs="Times New Roman"/>
          <w:szCs w:val="21"/>
        </w:rPr>
        <w:t xml:space="preserve">                  </w:t>
      </w:r>
      <w:r>
        <w:rPr>
          <w:rFonts w:hint="eastAsia" w:ascii="宋体" w:hAnsi="宋体" w:eastAsia="宋体" w:cs="Times New Roman"/>
          <w:szCs w:val="21"/>
        </w:rPr>
        <w:t xml:space="preserve">                      </w:t>
      </w:r>
      <w:r>
        <w:rPr>
          <w:rFonts w:hint="eastAsia" w:ascii="宋体" w:hAnsi="宋体" w:eastAsia="宋体" w:cs="Times New Roman"/>
          <w:szCs w:val="21"/>
          <w:lang w:eastAsia="zh-CN"/>
        </w:rPr>
        <w:t>批准时间：2025年7月1日</w:t>
      </w:r>
    </w:p>
    <w:p w14:paraId="50056BEC">
      <w:pPr>
        <w:rPr>
          <w:color w:val="auto"/>
        </w:rPr>
      </w:pPr>
      <w:r>
        <w:rPr>
          <w:rFonts w:hint="eastAsia"/>
          <w:color w:val="auto"/>
        </w:rPr>
        <w:br w:type="page"/>
      </w:r>
    </w:p>
    <w:p w14:paraId="7B0A0DBB">
      <w:pPr>
        <w:spacing w:line="360" w:lineRule="auto"/>
        <w:jc w:val="center"/>
        <w:outlineLvl w:val="0"/>
        <w:rPr>
          <w:rFonts w:hint="eastAsia" w:ascii="Times New Roman" w:hAnsi="Times New Roman" w:eastAsia="宋体" w:cs="Times New Roman"/>
          <w:b/>
          <w:sz w:val="44"/>
          <w:szCs w:val="44"/>
        </w:rPr>
      </w:pPr>
      <w:bookmarkStart w:id="9" w:name="_Toc10164"/>
      <w:r>
        <w:rPr>
          <w:rFonts w:hint="eastAsia" w:ascii="Times New Roman" w:hAnsi="Times New Roman" w:eastAsia="宋体" w:cs="Times New Roman"/>
          <w:b/>
          <w:sz w:val="44"/>
          <w:szCs w:val="44"/>
        </w:rPr>
        <w:t>《毛泽东思想和中国特色社会主义理论体系概论》课程教学大纲</w:t>
      </w:r>
      <w:bookmarkEnd w:id="9"/>
    </w:p>
    <w:p w14:paraId="4BBDA656">
      <w:pPr>
        <w:spacing w:line="360" w:lineRule="auto"/>
        <w:jc w:val="center"/>
        <w:rPr>
          <w:rFonts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rPr>
        <w:t>（Introduction to Mao Zedong Thought and Theoretical System of Socialism with Chinese Characteristics）</w:t>
      </w:r>
    </w:p>
    <w:p w14:paraId="45A2FE32">
      <w:pPr>
        <w:spacing w:line="360" w:lineRule="auto"/>
        <w:ind w:firstLine="551" w:firstLineChars="196"/>
        <w:rPr>
          <w:rFonts w:hint="eastAsia" w:asciiTheme="minorEastAsia" w:hAnsiTheme="minorEastAsia"/>
          <w:b/>
          <w:color w:val="auto"/>
          <w:sz w:val="28"/>
          <w:szCs w:val="28"/>
        </w:rPr>
      </w:pPr>
    </w:p>
    <w:p w14:paraId="18FE8C8C">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课程名称：毛泽东思想和中国特色社会主义理论体系概论</w:t>
      </w:r>
    </w:p>
    <w:p w14:paraId="78629C2A">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课程代码：1004031</w:t>
      </w:r>
    </w:p>
    <w:p w14:paraId="7A0DF822">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学    分：3</w:t>
      </w:r>
    </w:p>
    <w:p w14:paraId="04F51A61">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学    时：48（其中：讲授学时42，实践学时6）</w:t>
      </w:r>
    </w:p>
    <w:p w14:paraId="4A01AF9D">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先修课程：思想道德与法治、中国近现代史纲要、马克思主义基本原理</w:t>
      </w:r>
    </w:p>
    <w:p w14:paraId="47F9CC3F">
      <w:pPr>
        <w:spacing w:line="360" w:lineRule="auto"/>
        <w:ind w:firstLine="482" w:firstLineChars="200"/>
        <w:jc w:val="left"/>
        <w:rPr>
          <w:rFonts w:ascii="Times New Roman" w:hAnsi="Times New Roman" w:eastAsia="黑体" w:cs="Times New Roman"/>
          <w:bCs/>
          <w:color w:val="auto"/>
          <w:sz w:val="30"/>
        </w:rPr>
      </w:pPr>
      <w:r>
        <w:rPr>
          <w:rFonts w:hint="eastAsia" w:ascii="Times New Roman" w:hAnsi="Times New Roman" w:eastAsia="宋体" w:cs="Times New Roman"/>
          <w:b/>
          <w:color w:val="auto"/>
          <w:sz w:val="24"/>
        </w:rPr>
        <w:t>适用专业：小学教育</w:t>
      </w:r>
    </w:p>
    <w:p w14:paraId="551D5F9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r>
        <w:rPr>
          <w:rFonts w:hint="eastAsia" w:ascii="宋体" w:hAnsi="宋体" w:eastAsia="宋体" w:cs="Times New Roman"/>
          <w:b/>
          <w:color w:val="auto"/>
          <w:sz w:val="24"/>
        </w:rPr>
        <w:t>一、课程简介</w:t>
      </w:r>
    </w:p>
    <w:p w14:paraId="62E9AB87">
      <w:pPr>
        <w:pStyle w:val="37"/>
        <w:autoSpaceDE w:val="0"/>
        <w:autoSpaceDN w:val="0"/>
        <w:adjustRightInd w:val="0"/>
        <w:spacing w:line="360" w:lineRule="auto"/>
        <w:jc w:val="left"/>
        <w:rPr>
          <w:rFonts w:hint="eastAsia" w:ascii="宋体" w:hAnsi="宋体"/>
          <w:b/>
          <w:bCs/>
          <w:color w:val="auto"/>
          <w:kern w:val="0"/>
          <w:sz w:val="24"/>
        </w:rPr>
      </w:pPr>
      <w:r>
        <w:rPr>
          <w:rFonts w:hint="eastAsia"/>
          <w:color w:val="auto"/>
          <w:kern w:val="0"/>
          <w:szCs w:val="21"/>
        </w:rPr>
        <w:t>本课程</w:t>
      </w:r>
      <w:r>
        <w:rPr>
          <w:color w:val="auto"/>
          <w:kern w:val="0"/>
          <w:szCs w:val="21"/>
        </w:rPr>
        <w:t>是</w:t>
      </w:r>
      <w:r>
        <w:rPr>
          <w:rFonts w:hint="eastAsia"/>
          <w:color w:val="auto"/>
          <w:kern w:val="0"/>
          <w:szCs w:val="21"/>
        </w:rPr>
        <w:t>所有本科专业的通识必修</w:t>
      </w:r>
      <w:r>
        <w:rPr>
          <w:color w:val="auto"/>
          <w:kern w:val="0"/>
          <w:szCs w:val="21"/>
        </w:rPr>
        <w:t>课。</w:t>
      </w:r>
      <w:r>
        <w:rPr>
          <w:rFonts w:hint="eastAsia"/>
          <w:color w:val="auto"/>
          <w:kern w:val="0"/>
          <w:szCs w:val="21"/>
        </w:rPr>
        <w:t>本课程系统介绍了马克思主义中国化进程中形成的理论成果，在回顾中国共产党领导人民进行的革命、建设、改革的历史进程、历史变革、历史成就的基础上，着重介绍了中国共产党在新时代坚持的基本理论、基本路线、基本方略，培养学生运用马克思主义的立场、观点和方法认识问题、分析问题和解决问题的能力，坚定中国特色社会主义道路自信、理论自信、制度自信和文化自信，努力成为中国特色社会主义事业的建设者和接班人，自觉为实现中华民族伟大复兴的中国梦而努力奋斗，为后续思想政治理论课及思想政治理论课实践环节奠定基础。</w:t>
      </w:r>
    </w:p>
    <w:p w14:paraId="39663B4D">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b/>
          <w:bCs/>
          <w:color w:val="auto"/>
          <w:kern w:val="0"/>
          <w:sz w:val="24"/>
        </w:rPr>
      </w:pPr>
      <w:r>
        <w:rPr>
          <w:rFonts w:hint="eastAsia" w:ascii="宋体" w:hAnsi="宋体" w:eastAsia="宋体" w:cs="Times New Roman"/>
          <w:b/>
          <w:color w:val="auto"/>
          <w:sz w:val="24"/>
        </w:rPr>
        <w:t>二、课程目标</w:t>
      </w:r>
    </w:p>
    <w:p w14:paraId="21FDC9F9">
      <w:pPr>
        <w:spacing w:line="360" w:lineRule="auto"/>
        <w:ind w:left="489"/>
        <w:rPr>
          <w:rFonts w:hint="eastAsia" w:ascii="宋体" w:hAnsi="宋体" w:eastAsia="宋体"/>
          <w:b/>
          <w:color w:val="auto"/>
          <w:szCs w:val="21"/>
        </w:rPr>
      </w:pPr>
      <w:r>
        <w:rPr>
          <w:rFonts w:hint="eastAsia" w:ascii="宋体" w:hAnsi="宋体" w:eastAsia="宋体"/>
          <w:b/>
          <w:color w:val="auto"/>
          <w:szCs w:val="21"/>
        </w:rPr>
        <w:t>（一）课程具体目标</w:t>
      </w:r>
    </w:p>
    <w:p w14:paraId="203A167F">
      <w:pPr>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目标1：掌握马克思主义中国化时代化的历史进程和理论成果，认同中国特色社会主义，能够在实践中自觉践行社会主义核心价值观，履行社会责任。</w:t>
      </w:r>
    </w:p>
    <w:p w14:paraId="6F7DD316">
      <w:pPr>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目标2：掌握毛泽东思想的形成发展、主要内容和历史地位，具有较好的人文底蕴和科学精神。</w:t>
      </w:r>
    </w:p>
    <w:p w14:paraId="4917E1BC">
      <w:pPr>
        <w:spacing w:line="360" w:lineRule="auto"/>
        <w:ind w:firstLine="420" w:firstLineChars="200"/>
        <w:rPr>
          <w:rFonts w:hint="eastAsia" w:ascii="宋体" w:hAnsi="宋体" w:eastAsia="宋体" w:cs="宋体"/>
          <w:color w:val="auto"/>
          <w:kern w:val="0"/>
          <w:szCs w:val="21"/>
        </w:rPr>
        <w:sectPr>
          <w:footerReference r:id="rId6" w:type="default"/>
          <w:pgSz w:w="11906" w:h="16838"/>
          <w:pgMar w:top="1701" w:right="1701" w:bottom="1440" w:left="1701" w:header="851" w:footer="851" w:gutter="0"/>
          <w:pgNumType w:fmt="decimal" w:start="1"/>
          <w:cols w:space="425" w:num="1"/>
          <w:docGrid w:type="lines" w:linePitch="312" w:charSpace="0"/>
        </w:sectPr>
      </w:pPr>
    </w:p>
    <w:p w14:paraId="343BD51F">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kern w:val="0"/>
          <w:szCs w:val="21"/>
        </w:rPr>
        <w:t>目标3: 掌握邓小平理论的形成发展、主要内容和历史地位，具有相应的人文社会科学知识素养。掌握 “三个代表”重要思想、科学发展观的形成发展、主要内容和历史地位，</w:t>
      </w:r>
      <w:r>
        <w:rPr>
          <w:rFonts w:hint="eastAsia" w:ascii="宋体" w:hAnsi="宋体" w:eastAsia="宋体" w:cs="宋体"/>
          <w:color w:val="auto"/>
          <w:szCs w:val="21"/>
        </w:rPr>
        <w:t>初步掌握反思方法和技能，对在日常学习中发现的现象和问题，进行探索和研究，有自己的思考和见解。</w:t>
      </w:r>
    </w:p>
    <w:p w14:paraId="0E880893">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color w:val="auto"/>
          <w:szCs w:val="21"/>
        </w:rPr>
      </w:pPr>
      <w:r>
        <w:rPr>
          <w:rFonts w:hint="eastAsia" w:ascii="宋体" w:hAnsi="宋体" w:eastAsia="宋体"/>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0"/>
        <w:gridCol w:w="6086"/>
        <w:gridCol w:w="1191"/>
      </w:tblGrid>
      <w:tr w14:paraId="3B9D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vAlign w:val="center"/>
          </w:tcPr>
          <w:p w14:paraId="15952639">
            <w:pPr>
              <w:spacing w:line="360" w:lineRule="auto"/>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毕业要求</w:t>
            </w:r>
          </w:p>
        </w:tc>
        <w:tc>
          <w:tcPr>
            <w:tcW w:w="6086" w:type="dxa"/>
            <w:vAlign w:val="center"/>
          </w:tcPr>
          <w:p w14:paraId="2CEE9696">
            <w:pPr>
              <w:spacing w:line="360" w:lineRule="auto"/>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毕业要求指标点</w:t>
            </w:r>
          </w:p>
        </w:tc>
        <w:tc>
          <w:tcPr>
            <w:tcW w:w="1191" w:type="dxa"/>
            <w:vAlign w:val="center"/>
          </w:tcPr>
          <w:p w14:paraId="213B752F">
            <w:pPr>
              <w:spacing w:line="360" w:lineRule="auto"/>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课程目标</w:t>
            </w:r>
          </w:p>
        </w:tc>
      </w:tr>
      <w:tr w14:paraId="0BC5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vAlign w:val="center"/>
          </w:tcPr>
          <w:p w14:paraId="4CF8E8CA">
            <w:pPr>
              <w:spacing w:line="276" w:lineRule="auto"/>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毕业要求1</w:t>
            </w:r>
          </w:p>
          <w:p w14:paraId="3DE238F5">
            <w:pPr>
              <w:spacing w:line="276" w:lineRule="auto"/>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师德规范</w:t>
            </w:r>
          </w:p>
        </w:tc>
        <w:tc>
          <w:tcPr>
            <w:tcW w:w="6086" w:type="dxa"/>
            <w:vAlign w:val="center"/>
          </w:tcPr>
          <w:p w14:paraId="3A46D8E5">
            <w:pPr>
              <w:widowControl/>
              <w:jc w:val="left"/>
              <w:rPr>
                <w:rFonts w:hint="eastAsia" w:ascii="宋体" w:hAnsi="宋体" w:eastAsia="宋体" w:cs="Times New Roman"/>
                <w:b w:val="0"/>
                <w:bCs w:val="0"/>
                <w:color w:val="auto"/>
                <w:kern w:val="0"/>
                <w:szCs w:val="21"/>
                <w:lang w:eastAsia="zh-CN"/>
              </w:rPr>
            </w:pPr>
            <w:r>
              <w:rPr>
                <w:rFonts w:hint="eastAsia" w:ascii="宋体" w:hAnsi="宋体" w:eastAsia="宋体" w:cs="Times New Roman"/>
                <w:b w:val="0"/>
                <w:bCs w:val="0"/>
                <w:color w:val="auto"/>
                <w:szCs w:val="21"/>
                <w:lang w:eastAsia="zh-CN"/>
              </w:rPr>
              <w:t>指标点1-1：【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596B8676">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课程目标1</w:t>
            </w:r>
          </w:p>
        </w:tc>
      </w:tr>
      <w:tr w14:paraId="7C7E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vAlign w:val="center"/>
          </w:tcPr>
          <w:p w14:paraId="5CB27B62">
            <w:pPr>
              <w:spacing w:line="276" w:lineRule="auto"/>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毕业要求2</w:t>
            </w:r>
          </w:p>
          <w:p w14:paraId="3591931B">
            <w:pPr>
              <w:spacing w:line="276" w:lineRule="auto"/>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教育情怀</w:t>
            </w:r>
          </w:p>
        </w:tc>
        <w:tc>
          <w:tcPr>
            <w:tcW w:w="6086" w:type="dxa"/>
            <w:vAlign w:val="center"/>
          </w:tcPr>
          <w:p w14:paraId="00183002">
            <w:pPr>
              <w:widowControl/>
              <w:jc w:val="left"/>
              <w:rPr>
                <w:rFonts w:hint="eastAsia" w:ascii="宋体" w:hAnsi="宋体" w:eastAsia="宋体" w:cs="Times New Roman"/>
                <w:b w:val="0"/>
                <w:bCs w:val="0"/>
                <w:color w:val="auto"/>
                <w:kern w:val="0"/>
                <w:szCs w:val="21"/>
              </w:rPr>
            </w:pPr>
            <w:r>
              <w:rPr>
                <w:rFonts w:ascii="宋体" w:hAnsi="宋体" w:eastAsia="宋体" w:cs="宋体"/>
                <w:b w:val="0"/>
                <w:bCs w:val="0"/>
                <w:color w:val="auto"/>
                <w:spacing w:val="2"/>
                <w:kern w:val="0"/>
                <w:szCs w:val="21"/>
              </w:rPr>
              <w:t>指标点2-3：</w:t>
            </w:r>
            <w:r>
              <w:rPr>
                <w:rFonts w:hint="eastAsia" w:ascii="宋体" w:hAnsi="宋体" w:eastAsia="宋体" w:cs="宋体"/>
                <w:b w:val="0"/>
                <w:bCs w:val="0"/>
                <w:color w:val="auto"/>
                <w:spacing w:val="2"/>
                <w:kern w:val="0"/>
                <w:szCs w:val="21"/>
              </w:rPr>
              <w:t>【自身修养良好】</w:t>
            </w:r>
            <w:r>
              <w:rPr>
                <w:rFonts w:hint="eastAsia" w:ascii="宋体" w:hAnsi="宋体" w:eastAsia="宋体" w:cs="Times New Roman"/>
                <w:b w:val="0"/>
                <w:bCs w:val="0"/>
                <w:color w:val="auto"/>
                <w:szCs w:val="21"/>
              </w:rPr>
              <w:t>具有较好的人文艺术底蕴与科学精神，言行举止符合教师职业标准，情感积极，人格健全，身心健康。</w:t>
            </w:r>
          </w:p>
        </w:tc>
        <w:tc>
          <w:tcPr>
            <w:tcW w:w="1191" w:type="dxa"/>
            <w:vAlign w:val="center"/>
          </w:tcPr>
          <w:p w14:paraId="2535525A">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课程目标2</w:t>
            </w:r>
          </w:p>
        </w:tc>
      </w:tr>
      <w:tr w14:paraId="311C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700" w:type="dxa"/>
            <w:vAlign w:val="center"/>
          </w:tcPr>
          <w:p w14:paraId="3F99D4AD">
            <w:pPr>
              <w:spacing w:line="276" w:lineRule="auto"/>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毕业要求7</w:t>
            </w:r>
          </w:p>
          <w:p w14:paraId="4129E624">
            <w:pPr>
              <w:spacing w:line="276" w:lineRule="auto"/>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学会反思</w:t>
            </w:r>
          </w:p>
        </w:tc>
        <w:tc>
          <w:tcPr>
            <w:tcW w:w="6086" w:type="dxa"/>
            <w:vAlign w:val="center"/>
          </w:tcPr>
          <w:p w14:paraId="3B213F36">
            <w:pPr>
              <w:widowControl/>
              <w:jc w:val="left"/>
              <w:rPr>
                <w:rFonts w:hint="eastAsia" w:ascii="宋体" w:hAnsi="宋体" w:eastAsia="宋体" w:cs="Times New Roman"/>
                <w:b w:val="0"/>
                <w:bCs w:val="0"/>
                <w:color w:val="auto"/>
                <w:kern w:val="0"/>
                <w:szCs w:val="21"/>
              </w:rPr>
            </w:pPr>
            <w:r>
              <w:rPr>
                <w:rFonts w:ascii="宋体" w:hAnsi="宋体" w:eastAsia="宋体" w:cs="宋体"/>
                <w:b w:val="0"/>
                <w:bCs w:val="0"/>
                <w:color w:val="auto"/>
                <w:spacing w:val="2"/>
                <w:kern w:val="0"/>
                <w:szCs w:val="21"/>
              </w:rPr>
              <w:t>指标点7-</w:t>
            </w:r>
            <w:r>
              <w:rPr>
                <w:rFonts w:hint="eastAsia" w:ascii="宋体" w:hAnsi="宋体" w:eastAsia="宋体" w:cs="宋体"/>
                <w:b w:val="0"/>
                <w:bCs w:val="0"/>
                <w:color w:val="auto"/>
                <w:spacing w:val="2"/>
                <w:kern w:val="0"/>
                <w:szCs w:val="21"/>
              </w:rPr>
              <w:t>1</w:t>
            </w:r>
            <w:r>
              <w:rPr>
                <w:rFonts w:ascii="宋体" w:hAnsi="宋体" w:eastAsia="宋体" w:cs="宋体"/>
                <w:b w:val="0"/>
                <w:bCs w:val="0"/>
                <w:color w:val="auto"/>
                <w:spacing w:val="2"/>
                <w:kern w:val="0"/>
                <w:szCs w:val="21"/>
              </w:rPr>
              <w:t>：</w:t>
            </w:r>
            <w:r>
              <w:rPr>
                <w:rFonts w:hint="eastAsia" w:ascii="宋体" w:hAnsi="宋体" w:eastAsia="宋体" w:cs="Times New Roman"/>
                <w:b w:val="0"/>
                <w:bCs w:val="0"/>
                <w:color w:val="auto"/>
                <w:szCs w:val="21"/>
              </w:rPr>
              <w:t xml:space="preserve">【教育视野开阔】积极关注基础教育领域的国内外交流进展，了解国内外基础教育改革发展的动态，具有宽广的教育视野，能够主动适应新时代和教育发展需求。 </w:t>
            </w:r>
          </w:p>
        </w:tc>
        <w:tc>
          <w:tcPr>
            <w:tcW w:w="1191" w:type="dxa"/>
            <w:vAlign w:val="center"/>
          </w:tcPr>
          <w:p w14:paraId="19942C21">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课程目标3</w:t>
            </w:r>
          </w:p>
        </w:tc>
      </w:tr>
    </w:tbl>
    <w:p w14:paraId="14762F1D">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r>
        <w:rPr>
          <w:rFonts w:hint="eastAsia" w:ascii="宋体" w:hAnsi="宋体"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2042"/>
        <w:gridCol w:w="1147"/>
        <w:gridCol w:w="3040"/>
        <w:gridCol w:w="1560"/>
        <w:gridCol w:w="438"/>
      </w:tblGrid>
      <w:tr w14:paraId="156D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vAlign w:val="center"/>
          </w:tcPr>
          <w:p w14:paraId="14FA2AA1">
            <w:pPr>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知识</w:t>
            </w:r>
          </w:p>
          <w:p w14:paraId="5C4213B7">
            <w:pPr>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单元</w:t>
            </w:r>
          </w:p>
        </w:tc>
        <w:tc>
          <w:tcPr>
            <w:tcW w:w="2042" w:type="dxa"/>
            <w:vAlign w:val="center"/>
          </w:tcPr>
          <w:p w14:paraId="6DFB3A48">
            <w:pPr>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知识点</w:t>
            </w:r>
          </w:p>
        </w:tc>
        <w:tc>
          <w:tcPr>
            <w:tcW w:w="1147" w:type="dxa"/>
            <w:vAlign w:val="center"/>
          </w:tcPr>
          <w:p w14:paraId="59F7BE16">
            <w:pPr>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对应</w:t>
            </w:r>
          </w:p>
          <w:p w14:paraId="10443B6B">
            <w:pPr>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课程目标</w:t>
            </w:r>
          </w:p>
        </w:tc>
        <w:tc>
          <w:tcPr>
            <w:tcW w:w="3040" w:type="dxa"/>
            <w:vAlign w:val="center"/>
          </w:tcPr>
          <w:p w14:paraId="24A84127">
            <w:pPr>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预期学习成效</w:t>
            </w:r>
          </w:p>
        </w:tc>
        <w:tc>
          <w:tcPr>
            <w:tcW w:w="1560" w:type="dxa"/>
            <w:vAlign w:val="center"/>
          </w:tcPr>
          <w:p w14:paraId="65D8415E">
            <w:pPr>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实现环节</w:t>
            </w:r>
          </w:p>
        </w:tc>
        <w:tc>
          <w:tcPr>
            <w:tcW w:w="438" w:type="dxa"/>
            <w:vAlign w:val="center"/>
          </w:tcPr>
          <w:p w14:paraId="3450A8F0">
            <w:pPr>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学时</w:t>
            </w:r>
          </w:p>
        </w:tc>
      </w:tr>
      <w:tr w14:paraId="66BD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4" w:hRule="atLeast"/>
          <w:jc w:val="center"/>
        </w:trPr>
        <w:tc>
          <w:tcPr>
            <w:tcW w:w="1071" w:type="dxa"/>
            <w:vAlign w:val="center"/>
          </w:tcPr>
          <w:p w14:paraId="2F8551BD">
            <w:pPr>
              <w:spacing w:line="264" w:lineRule="auto"/>
              <w:rPr>
                <w:rFonts w:hint="eastAsia" w:ascii="宋体" w:hAnsi="宋体" w:eastAsia="宋体" w:cs="宋体"/>
                <w:color w:val="auto"/>
                <w:kern w:val="0"/>
                <w:szCs w:val="21"/>
              </w:rPr>
            </w:pPr>
            <w:r>
              <w:rPr>
                <w:rFonts w:hint="eastAsia" w:ascii="宋体" w:hAnsi="宋体" w:eastAsia="宋体" w:cs="宋体"/>
                <w:color w:val="auto"/>
                <w:kern w:val="0"/>
                <w:szCs w:val="21"/>
              </w:rPr>
              <w:t>1.导论</w:t>
            </w:r>
          </w:p>
        </w:tc>
        <w:tc>
          <w:tcPr>
            <w:tcW w:w="2042" w:type="dxa"/>
            <w:vAlign w:val="center"/>
          </w:tcPr>
          <w:p w14:paraId="289D802D">
            <w:p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（1）马克思主义中国化的科学内涵</w:t>
            </w:r>
          </w:p>
          <w:p w14:paraId="3D4B00E2">
            <w:p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（2）马克思主义中国化的两大历史性飞跃</w:t>
            </w:r>
          </w:p>
          <w:p w14:paraId="016DC355">
            <w:p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（3）毛泽东思想和中国特色社会主义理论体系的关系</w:t>
            </w:r>
          </w:p>
        </w:tc>
        <w:tc>
          <w:tcPr>
            <w:tcW w:w="1147" w:type="dxa"/>
            <w:vAlign w:val="center"/>
          </w:tcPr>
          <w:p w14:paraId="6AEB5690">
            <w:pPr>
              <w:adjustRightInd w:val="0"/>
              <w:snapToGrid w:val="0"/>
              <w:spacing w:line="264"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课程目标1、2、3</w:t>
            </w:r>
          </w:p>
        </w:tc>
        <w:tc>
          <w:tcPr>
            <w:tcW w:w="3040" w:type="dxa"/>
            <w:vAlign w:val="center"/>
          </w:tcPr>
          <w:p w14:paraId="6164C57A">
            <w:p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1.通过教学，使学生了解和掌握马克思主义中国化的科学内涵、实质及两大历史性飞跃；</w:t>
            </w:r>
          </w:p>
          <w:p w14:paraId="71F8C5BD">
            <w:p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2.了解开设本课程的目的与要求、教材主要内容及逻辑结构、学习要求；</w:t>
            </w:r>
          </w:p>
          <w:p w14:paraId="6FC6DD7E">
            <w:p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3.理解毛泽东思想和中国特色社会主义理论体系的关系；深刻认识学习本课程的重要性。</w:t>
            </w:r>
          </w:p>
        </w:tc>
        <w:tc>
          <w:tcPr>
            <w:tcW w:w="1560" w:type="dxa"/>
            <w:vAlign w:val="center"/>
          </w:tcPr>
          <w:p w14:paraId="3B2C121A">
            <w:pPr>
              <w:spacing w:line="269"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1.线上学习</w:t>
            </w:r>
          </w:p>
          <w:p w14:paraId="24BF3581">
            <w:pPr>
              <w:spacing w:line="269"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2.多媒体教学</w:t>
            </w:r>
          </w:p>
          <w:p w14:paraId="56746955">
            <w:pPr>
              <w:spacing w:line="269"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3.课堂讨论</w:t>
            </w:r>
          </w:p>
          <w:p w14:paraId="4AF9C90E">
            <w:pPr>
              <w:spacing w:line="269"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4.单元测验</w:t>
            </w:r>
          </w:p>
        </w:tc>
        <w:tc>
          <w:tcPr>
            <w:tcW w:w="438" w:type="dxa"/>
            <w:vAlign w:val="center"/>
          </w:tcPr>
          <w:p w14:paraId="6BA2FC7E">
            <w:pPr>
              <w:spacing w:line="269"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3</w:t>
            </w:r>
          </w:p>
        </w:tc>
      </w:tr>
      <w:tr w14:paraId="282D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vAlign w:val="center"/>
          </w:tcPr>
          <w:p w14:paraId="0B6D6A5D">
            <w:pPr>
              <w:spacing w:line="264" w:lineRule="auto"/>
              <w:rPr>
                <w:rFonts w:hint="eastAsia" w:ascii="宋体" w:hAnsi="宋体" w:eastAsia="宋体" w:cs="宋体"/>
                <w:color w:val="auto"/>
                <w:kern w:val="0"/>
                <w:szCs w:val="21"/>
              </w:rPr>
            </w:pPr>
            <w:r>
              <w:rPr>
                <w:rFonts w:hint="eastAsia" w:ascii="宋体" w:hAnsi="宋体" w:eastAsia="宋体" w:cs="宋体"/>
                <w:color w:val="auto"/>
                <w:kern w:val="0"/>
                <w:szCs w:val="21"/>
              </w:rPr>
              <w:t>2.毛泽东思想及其历史地位</w:t>
            </w:r>
          </w:p>
        </w:tc>
        <w:tc>
          <w:tcPr>
            <w:tcW w:w="2042" w:type="dxa"/>
            <w:vAlign w:val="center"/>
          </w:tcPr>
          <w:p w14:paraId="7F963777">
            <w:p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（1）毛泽东思想的形成</w:t>
            </w:r>
          </w:p>
          <w:p w14:paraId="40DACD96">
            <w:p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（2）毛泽东思想的主要内容和活的灵魂</w:t>
            </w:r>
          </w:p>
          <w:p w14:paraId="250DC8FD">
            <w:p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（3）毛泽东思想的历史地位</w:t>
            </w:r>
          </w:p>
        </w:tc>
        <w:tc>
          <w:tcPr>
            <w:tcW w:w="1147" w:type="dxa"/>
            <w:vAlign w:val="center"/>
          </w:tcPr>
          <w:p w14:paraId="1CE44F0E">
            <w:pPr>
              <w:adjustRightInd w:val="0"/>
              <w:snapToGrid w:val="0"/>
              <w:spacing w:line="264"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课程目标1、2</w:t>
            </w:r>
          </w:p>
        </w:tc>
        <w:tc>
          <w:tcPr>
            <w:tcW w:w="3040" w:type="dxa"/>
            <w:vAlign w:val="center"/>
          </w:tcPr>
          <w:p w14:paraId="7DB987F3">
            <w:p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1.通过教学，帮助学生了解毛泽东思想形成的社会历史条件和过程、主要内容；</w:t>
            </w:r>
          </w:p>
          <w:p w14:paraId="51A17A80">
            <w:p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2.理解毛泽东思想活的灵魂；深刻认识毛泽东思想的历史地位和指导意义。</w:t>
            </w:r>
          </w:p>
        </w:tc>
        <w:tc>
          <w:tcPr>
            <w:tcW w:w="1560" w:type="dxa"/>
            <w:vAlign w:val="center"/>
          </w:tcPr>
          <w:p w14:paraId="3AE558D7">
            <w:pPr>
              <w:spacing w:line="269"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1.线上学习</w:t>
            </w:r>
          </w:p>
          <w:p w14:paraId="0B8E0FDE">
            <w:pPr>
              <w:spacing w:line="269"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2.多媒体教学</w:t>
            </w:r>
          </w:p>
          <w:p w14:paraId="6403705E">
            <w:pPr>
              <w:spacing w:line="269"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3.课堂讨论</w:t>
            </w:r>
          </w:p>
          <w:p w14:paraId="72FAB33E">
            <w:pPr>
              <w:spacing w:line="269"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4.单元测验</w:t>
            </w:r>
          </w:p>
        </w:tc>
        <w:tc>
          <w:tcPr>
            <w:tcW w:w="438" w:type="dxa"/>
            <w:vAlign w:val="center"/>
          </w:tcPr>
          <w:p w14:paraId="16BB3D59">
            <w:pPr>
              <w:spacing w:line="269"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6</w:t>
            </w:r>
          </w:p>
        </w:tc>
      </w:tr>
      <w:tr w14:paraId="4F80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shd w:val="clear" w:color="auto" w:fill="auto"/>
            <w:vAlign w:val="center"/>
          </w:tcPr>
          <w:p w14:paraId="6B366785">
            <w:pPr>
              <w:spacing w:line="264"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3.新民主主义革命理论</w:t>
            </w:r>
          </w:p>
        </w:tc>
        <w:tc>
          <w:tcPr>
            <w:tcW w:w="2042" w:type="dxa"/>
            <w:shd w:val="clear" w:color="auto" w:fill="auto"/>
            <w:vAlign w:val="center"/>
          </w:tcPr>
          <w:p w14:paraId="212E56F9">
            <w:p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（1）新民主主义革命理论形成</w:t>
            </w:r>
          </w:p>
          <w:p w14:paraId="09CB5977">
            <w:p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（2）新民主主义革命的总路线和基本纲领</w:t>
            </w:r>
          </w:p>
          <w:p w14:paraId="5933D6E3">
            <w:p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（3）新民主主义革命的道路和基本经验</w:t>
            </w:r>
          </w:p>
        </w:tc>
        <w:tc>
          <w:tcPr>
            <w:tcW w:w="1147" w:type="dxa"/>
            <w:shd w:val="clear" w:color="auto" w:fill="auto"/>
            <w:vAlign w:val="center"/>
          </w:tcPr>
          <w:p w14:paraId="34C7A632">
            <w:pPr>
              <w:adjustRightInd w:val="0"/>
              <w:snapToGrid w:val="0"/>
              <w:spacing w:line="264"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课程目标1、2</w:t>
            </w:r>
          </w:p>
        </w:tc>
        <w:tc>
          <w:tcPr>
            <w:tcW w:w="3040" w:type="dxa"/>
            <w:shd w:val="clear" w:color="auto" w:fill="auto"/>
            <w:vAlign w:val="center"/>
          </w:tcPr>
          <w:p w14:paraId="6A3F9CEF">
            <w:p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1.通过教学帮助学生了解和掌握新民主主义革命理论的形成；</w:t>
            </w:r>
          </w:p>
          <w:p w14:paraId="257475AF">
            <w:p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2.理解新民主主义革命的总路线和基本纲领、新民主主义的革命道路和基本经验；</w:t>
            </w:r>
          </w:p>
          <w:p w14:paraId="7FD393E3">
            <w:p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3.深刻认识新民主主义革命理论的意义。</w:t>
            </w:r>
          </w:p>
        </w:tc>
        <w:tc>
          <w:tcPr>
            <w:tcW w:w="1560" w:type="dxa"/>
            <w:shd w:val="clear" w:color="auto" w:fill="auto"/>
            <w:vAlign w:val="center"/>
          </w:tcPr>
          <w:p w14:paraId="72DD5915">
            <w:pPr>
              <w:spacing w:line="269"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1.线上学习</w:t>
            </w:r>
          </w:p>
          <w:p w14:paraId="30AF70F1">
            <w:pPr>
              <w:spacing w:line="269"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2.多媒体教学</w:t>
            </w:r>
          </w:p>
          <w:p w14:paraId="558CA032">
            <w:pPr>
              <w:spacing w:line="269"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3.课堂讨论</w:t>
            </w:r>
          </w:p>
          <w:p w14:paraId="0EEA856B">
            <w:pPr>
              <w:spacing w:line="269"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4.单元测验</w:t>
            </w:r>
          </w:p>
        </w:tc>
        <w:tc>
          <w:tcPr>
            <w:tcW w:w="438" w:type="dxa"/>
            <w:vAlign w:val="center"/>
          </w:tcPr>
          <w:p w14:paraId="560D18E3">
            <w:pPr>
              <w:spacing w:line="269"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3</w:t>
            </w:r>
          </w:p>
        </w:tc>
      </w:tr>
      <w:tr w14:paraId="2549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shd w:val="clear" w:color="auto" w:fill="auto"/>
            <w:vAlign w:val="center"/>
          </w:tcPr>
          <w:p w14:paraId="11B16FEB">
            <w:pPr>
              <w:spacing w:line="264"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4.</w:t>
            </w:r>
            <w:r>
              <w:rPr>
                <w:rFonts w:hint="eastAsia" w:ascii="宋体" w:hAnsi="宋体" w:eastAsia="宋体" w:cs="宋体"/>
                <w:color w:val="auto"/>
                <w:szCs w:val="21"/>
              </w:rPr>
              <w:t>社会主义改造理论</w:t>
            </w:r>
          </w:p>
        </w:tc>
        <w:tc>
          <w:tcPr>
            <w:tcW w:w="2042" w:type="dxa"/>
            <w:shd w:val="clear" w:color="auto" w:fill="auto"/>
            <w:vAlign w:val="center"/>
          </w:tcPr>
          <w:p w14:paraId="5F1F4590">
            <w:p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（1）从新民主主义到社会主义的转变</w:t>
            </w:r>
          </w:p>
          <w:p w14:paraId="4DBC922F">
            <w:p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（2）社会主义改造道路和历史经验</w:t>
            </w:r>
          </w:p>
          <w:p w14:paraId="5640EBFD">
            <w:p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（3）社会主义制度在中国的确立</w:t>
            </w:r>
          </w:p>
          <w:p w14:paraId="13AA3DBA">
            <w:pPr>
              <w:adjustRightInd w:val="0"/>
              <w:snapToGrid w:val="0"/>
              <w:spacing w:line="264" w:lineRule="auto"/>
              <w:jc w:val="left"/>
              <w:rPr>
                <w:rFonts w:hint="eastAsia" w:ascii="宋体" w:hAnsi="宋体" w:eastAsia="宋体" w:cs="宋体"/>
                <w:color w:val="auto"/>
                <w:kern w:val="0"/>
                <w:szCs w:val="21"/>
              </w:rPr>
            </w:pPr>
          </w:p>
        </w:tc>
        <w:tc>
          <w:tcPr>
            <w:tcW w:w="1147" w:type="dxa"/>
            <w:shd w:val="clear" w:color="auto" w:fill="auto"/>
            <w:vAlign w:val="center"/>
          </w:tcPr>
          <w:p w14:paraId="050EC2DE">
            <w:pPr>
              <w:adjustRightInd w:val="0"/>
              <w:snapToGrid w:val="0"/>
              <w:spacing w:line="264"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课程目标1、2</w:t>
            </w:r>
          </w:p>
        </w:tc>
        <w:tc>
          <w:tcPr>
            <w:tcW w:w="3040" w:type="dxa"/>
            <w:shd w:val="clear" w:color="auto" w:fill="auto"/>
            <w:vAlign w:val="center"/>
          </w:tcPr>
          <w:p w14:paraId="22567E44">
            <w:pPr>
              <w:numPr>
                <w:ilvl w:val="0"/>
                <w:numId w:val="1"/>
              </w:num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通过教学，帮助学生了解从新民主主义向社会主义的转变的历史必然性；</w:t>
            </w:r>
          </w:p>
          <w:p w14:paraId="6B36B258">
            <w:pPr>
              <w:numPr>
                <w:ilvl w:val="0"/>
                <w:numId w:val="1"/>
              </w:num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理解适合中国特点的社会主义改造道路；</w:t>
            </w:r>
          </w:p>
          <w:p w14:paraId="2C64CA4A">
            <w:pPr>
              <w:numPr>
                <w:ilvl w:val="0"/>
                <w:numId w:val="1"/>
              </w:numPr>
              <w:adjustRightInd w:val="0"/>
              <w:snapToGrid w:val="0"/>
              <w:spacing w:line="264" w:lineRule="auto"/>
              <w:rPr>
                <w:rFonts w:hint="eastAsia" w:ascii="宋体" w:hAnsi="宋体" w:eastAsia="宋体" w:cs="宋体"/>
                <w:color w:val="auto"/>
                <w:kern w:val="0"/>
                <w:szCs w:val="21"/>
              </w:rPr>
            </w:pPr>
            <w:r>
              <w:rPr>
                <w:rFonts w:hint="eastAsia" w:ascii="宋体" w:hAnsi="宋体" w:eastAsia="宋体" w:cs="宋体"/>
                <w:color w:val="auto"/>
                <w:szCs w:val="21"/>
              </w:rPr>
              <w:t>深刻认识社会主义制度在中国确立的历史意义。</w:t>
            </w:r>
          </w:p>
        </w:tc>
        <w:tc>
          <w:tcPr>
            <w:tcW w:w="1560" w:type="dxa"/>
            <w:shd w:val="clear" w:color="auto" w:fill="auto"/>
            <w:vAlign w:val="center"/>
          </w:tcPr>
          <w:p w14:paraId="31B13726">
            <w:pPr>
              <w:spacing w:line="269"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1.线上学习</w:t>
            </w:r>
          </w:p>
          <w:p w14:paraId="769D8478">
            <w:pPr>
              <w:spacing w:line="269"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2.多媒体教学</w:t>
            </w:r>
          </w:p>
          <w:p w14:paraId="13EFDD5E">
            <w:pPr>
              <w:spacing w:line="269"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3.课堂讨论</w:t>
            </w:r>
          </w:p>
          <w:p w14:paraId="740C16AB">
            <w:pPr>
              <w:spacing w:line="269"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4.单元测验</w:t>
            </w:r>
          </w:p>
        </w:tc>
        <w:tc>
          <w:tcPr>
            <w:tcW w:w="438" w:type="dxa"/>
            <w:vAlign w:val="center"/>
          </w:tcPr>
          <w:p w14:paraId="0ECE8ED1">
            <w:pPr>
              <w:spacing w:line="269"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6</w:t>
            </w:r>
          </w:p>
        </w:tc>
      </w:tr>
      <w:tr w14:paraId="05C2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shd w:val="clear" w:color="auto" w:fill="auto"/>
            <w:vAlign w:val="center"/>
          </w:tcPr>
          <w:p w14:paraId="14EF83AD">
            <w:pPr>
              <w:spacing w:line="276"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5.社会主义建设道路初步探索的理论成果</w:t>
            </w:r>
          </w:p>
        </w:tc>
        <w:tc>
          <w:tcPr>
            <w:tcW w:w="2042" w:type="dxa"/>
            <w:shd w:val="clear" w:color="auto" w:fill="auto"/>
            <w:vAlign w:val="center"/>
          </w:tcPr>
          <w:p w14:paraId="439B5140">
            <w:p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（1）社会主义建设道路初步探索的重要理论成果</w:t>
            </w:r>
          </w:p>
          <w:p w14:paraId="3888D014">
            <w:p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（2）社会主义建设道路初步探索的意义和经验教训</w:t>
            </w:r>
          </w:p>
          <w:p w14:paraId="73A36235">
            <w:pPr>
              <w:adjustRightInd w:val="0"/>
              <w:snapToGrid w:val="0"/>
              <w:spacing w:line="264" w:lineRule="auto"/>
              <w:jc w:val="left"/>
              <w:rPr>
                <w:rFonts w:hint="eastAsia" w:ascii="宋体" w:hAnsi="宋体" w:eastAsia="宋体" w:cs="宋体"/>
                <w:color w:val="auto"/>
                <w:kern w:val="0"/>
                <w:szCs w:val="21"/>
              </w:rPr>
            </w:pPr>
          </w:p>
        </w:tc>
        <w:tc>
          <w:tcPr>
            <w:tcW w:w="1147" w:type="dxa"/>
            <w:shd w:val="clear" w:color="auto" w:fill="auto"/>
            <w:vAlign w:val="center"/>
          </w:tcPr>
          <w:p w14:paraId="5DFB8E60">
            <w:pPr>
              <w:adjustRightInd w:val="0"/>
              <w:snapToGrid w:val="0"/>
              <w:spacing w:line="264"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课程目标1、2</w:t>
            </w:r>
          </w:p>
        </w:tc>
        <w:tc>
          <w:tcPr>
            <w:tcW w:w="3040" w:type="dxa"/>
            <w:shd w:val="clear" w:color="auto" w:fill="auto"/>
            <w:vAlign w:val="center"/>
          </w:tcPr>
          <w:p w14:paraId="1691F449">
            <w:pPr>
              <w:numPr>
                <w:ilvl w:val="0"/>
                <w:numId w:val="2"/>
              </w:numPr>
              <w:adjustRightInd w:val="0"/>
              <w:snapToGrid w:val="0"/>
              <w:spacing w:line="264" w:lineRule="auto"/>
              <w:jc w:val="left"/>
              <w:rPr>
                <w:rFonts w:hint="eastAsia" w:ascii="宋体" w:hAnsi="宋体" w:eastAsia="宋体" w:cs="宋体"/>
                <w:color w:val="auto"/>
                <w:szCs w:val="21"/>
              </w:rPr>
            </w:pPr>
            <w:r>
              <w:rPr>
                <w:rFonts w:hint="eastAsia" w:ascii="宋体" w:hAnsi="宋体" w:eastAsia="宋体" w:cs="宋体"/>
                <w:color w:val="auto"/>
                <w:szCs w:val="21"/>
              </w:rPr>
              <w:t>通过教学，帮助学生了解新中国成立后党对社会主义建设道路初步探索的思想成果；</w:t>
            </w:r>
          </w:p>
          <w:p w14:paraId="78554E36">
            <w:pPr>
              <w:numPr>
                <w:ilvl w:val="0"/>
                <w:numId w:val="2"/>
              </w:num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szCs w:val="21"/>
              </w:rPr>
              <w:t>理解社会主义建设道路初步探索的意义和经验教训；</w:t>
            </w:r>
          </w:p>
          <w:p w14:paraId="7BA66892">
            <w:pPr>
              <w:numPr>
                <w:ilvl w:val="0"/>
                <w:numId w:val="2"/>
              </w:num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szCs w:val="21"/>
              </w:rPr>
              <w:t>深刻认识社会主义建设道路初步探索过程中形成的正确的理论原则和经验总结，是毛泽东思想体系的重要内容。</w:t>
            </w:r>
          </w:p>
        </w:tc>
        <w:tc>
          <w:tcPr>
            <w:tcW w:w="1560" w:type="dxa"/>
            <w:shd w:val="clear" w:color="auto" w:fill="auto"/>
            <w:vAlign w:val="center"/>
          </w:tcPr>
          <w:p w14:paraId="3A06AC17">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1.线上学习</w:t>
            </w:r>
          </w:p>
          <w:p w14:paraId="2D04BC5B">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2.多媒体教学</w:t>
            </w:r>
          </w:p>
          <w:p w14:paraId="29BACC45">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3.课堂讨论</w:t>
            </w:r>
          </w:p>
          <w:p w14:paraId="7E3B4B67">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4.单元测验</w:t>
            </w:r>
          </w:p>
        </w:tc>
        <w:tc>
          <w:tcPr>
            <w:tcW w:w="438" w:type="dxa"/>
            <w:vAlign w:val="center"/>
          </w:tcPr>
          <w:p w14:paraId="43C8B48A">
            <w:pPr>
              <w:spacing w:line="269"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3</w:t>
            </w:r>
          </w:p>
        </w:tc>
      </w:tr>
      <w:tr w14:paraId="05906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shd w:val="clear" w:color="auto" w:fill="auto"/>
            <w:vAlign w:val="center"/>
          </w:tcPr>
          <w:p w14:paraId="22B277D2">
            <w:pPr>
              <w:spacing w:line="276"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6.</w:t>
            </w:r>
            <w:r>
              <w:rPr>
                <w:rFonts w:hint="eastAsia" w:ascii="宋体" w:hAnsi="宋体" w:eastAsia="宋体" w:cs="宋体"/>
                <w:color w:val="auto"/>
                <w:szCs w:val="21"/>
              </w:rPr>
              <w:t>邓小平理论</w:t>
            </w:r>
          </w:p>
        </w:tc>
        <w:tc>
          <w:tcPr>
            <w:tcW w:w="2042" w:type="dxa"/>
            <w:shd w:val="clear" w:color="auto" w:fill="auto"/>
            <w:vAlign w:val="center"/>
          </w:tcPr>
          <w:p w14:paraId="33AB7082">
            <w:p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（1）邓小平理论的形成</w:t>
            </w:r>
          </w:p>
          <w:p w14:paraId="5307EE10">
            <w:p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（2）邓小平理论的基本问题和主要内容</w:t>
            </w:r>
          </w:p>
          <w:p w14:paraId="7244B68C">
            <w:pPr>
              <w:adjustRightInd w:val="0"/>
              <w:snapToGrid w:val="0"/>
              <w:spacing w:line="264" w:lineRule="auto"/>
              <w:rPr>
                <w:rFonts w:hint="eastAsia" w:ascii="宋体" w:hAnsi="宋体" w:eastAsia="宋体" w:cs="宋体"/>
                <w:color w:val="auto"/>
                <w:kern w:val="0"/>
                <w:szCs w:val="21"/>
              </w:rPr>
            </w:pPr>
            <w:r>
              <w:rPr>
                <w:rFonts w:hint="eastAsia" w:ascii="宋体" w:hAnsi="宋体" w:eastAsia="宋体" w:cs="宋体"/>
                <w:color w:val="auto"/>
                <w:szCs w:val="21"/>
              </w:rPr>
              <w:t>（3）邓小平理论的历史地位</w:t>
            </w:r>
          </w:p>
        </w:tc>
        <w:tc>
          <w:tcPr>
            <w:tcW w:w="1147" w:type="dxa"/>
            <w:shd w:val="clear" w:color="auto" w:fill="auto"/>
            <w:vAlign w:val="center"/>
          </w:tcPr>
          <w:p w14:paraId="511C17CA">
            <w:pPr>
              <w:adjustRightInd w:val="0"/>
              <w:snapToGrid w:val="0"/>
              <w:spacing w:line="264"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课程目标1、3</w:t>
            </w:r>
          </w:p>
        </w:tc>
        <w:tc>
          <w:tcPr>
            <w:tcW w:w="3040" w:type="dxa"/>
            <w:shd w:val="clear" w:color="auto" w:fill="auto"/>
            <w:vAlign w:val="center"/>
          </w:tcPr>
          <w:p w14:paraId="3DC96ED5">
            <w:pPr>
              <w:numPr>
                <w:ilvl w:val="0"/>
                <w:numId w:val="3"/>
              </w:numPr>
              <w:adjustRightInd w:val="0"/>
              <w:snapToGrid w:val="0"/>
              <w:spacing w:line="264" w:lineRule="auto"/>
              <w:jc w:val="left"/>
              <w:rPr>
                <w:rFonts w:hint="eastAsia" w:ascii="宋体" w:hAnsi="宋体" w:eastAsia="宋体" w:cs="宋体"/>
                <w:color w:val="auto"/>
                <w:szCs w:val="21"/>
              </w:rPr>
            </w:pPr>
            <w:r>
              <w:rPr>
                <w:rFonts w:hint="eastAsia" w:ascii="宋体" w:hAnsi="宋体" w:eastAsia="宋体" w:cs="宋体"/>
                <w:color w:val="auto"/>
                <w:szCs w:val="21"/>
              </w:rPr>
              <w:t>通过教学，帮助学生了解邓小平理论形成的社会历史条件、过程；</w:t>
            </w:r>
          </w:p>
          <w:p w14:paraId="73ADC209">
            <w:pPr>
              <w:numPr>
                <w:ilvl w:val="0"/>
                <w:numId w:val="3"/>
              </w:num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szCs w:val="21"/>
              </w:rPr>
              <w:t>掌握和理解邓小平理论的基本问题和主要内容；</w:t>
            </w:r>
          </w:p>
          <w:p w14:paraId="6BF9B93F">
            <w:pPr>
              <w:numPr>
                <w:ilvl w:val="0"/>
                <w:numId w:val="3"/>
              </w:numPr>
              <w:adjustRightInd w:val="0"/>
              <w:snapToGrid w:val="0"/>
              <w:spacing w:line="264" w:lineRule="auto"/>
              <w:jc w:val="left"/>
              <w:rPr>
                <w:rFonts w:hint="eastAsia" w:ascii="宋体" w:hAnsi="宋体" w:eastAsia="宋体" w:cs="宋体"/>
                <w:color w:val="auto"/>
                <w:kern w:val="0"/>
                <w:szCs w:val="21"/>
              </w:rPr>
            </w:pPr>
            <w:r>
              <w:rPr>
                <w:rFonts w:hint="eastAsia" w:ascii="宋体" w:hAnsi="宋体" w:eastAsia="宋体" w:cs="宋体"/>
                <w:color w:val="auto"/>
                <w:szCs w:val="21"/>
              </w:rPr>
              <w:t>深刻认识邓小平理论的历史地位和意义。</w:t>
            </w:r>
          </w:p>
        </w:tc>
        <w:tc>
          <w:tcPr>
            <w:tcW w:w="1560" w:type="dxa"/>
            <w:shd w:val="clear" w:color="auto" w:fill="auto"/>
            <w:vAlign w:val="center"/>
          </w:tcPr>
          <w:p w14:paraId="664487F7">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1.线上学习</w:t>
            </w:r>
          </w:p>
          <w:p w14:paraId="6E210617">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2.多媒体教学</w:t>
            </w:r>
          </w:p>
          <w:p w14:paraId="03F387C3">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3.课堂讨论</w:t>
            </w:r>
          </w:p>
          <w:p w14:paraId="30ABEA6E">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4.单元测验</w:t>
            </w:r>
          </w:p>
        </w:tc>
        <w:tc>
          <w:tcPr>
            <w:tcW w:w="438" w:type="dxa"/>
            <w:vAlign w:val="center"/>
          </w:tcPr>
          <w:p w14:paraId="4E4D4657">
            <w:pPr>
              <w:spacing w:line="269"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6</w:t>
            </w:r>
          </w:p>
        </w:tc>
      </w:tr>
      <w:tr w14:paraId="3232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shd w:val="clear" w:color="auto" w:fill="auto"/>
            <w:vAlign w:val="center"/>
          </w:tcPr>
          <w:p w14:paraId="0F3D754F">
            <w:pPr>
              <w:spacing w:line="276"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7.</w:t>
            </w:r>
            <w:r>
              <w:rPr>
                <w:rFonts w:hint="eastAsia" w:ascii="宋体" w:hAnsi="宋体" w:eastAsia="宋体" w:cs="宋体"/>
                <w:color w:val="auto"/>
                <w:szCs w:val="21"/>
              </w:rPr>
              <w:t>“三个代表”重要思想</w:t>
            </w:r>
          </w:p>
        </w:tc>
        <w:tc>
          <w:tcPr>
            <w:tcW w:w="2042" w:type="dxa"/>
            <w:shd w:val="clear" w:color="auto" w:fill="auto"/>
            <w:vAlign w:val="center"/>
          </w:tcPr>
          <w:p w14:paraId="43CA1B5C">
            <w:p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（1）“三个代表”重要思想的形成</w:t>
            </w:r>
          </w:p>
          <w:p w14:paraId="3B887316">
            <w:p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（2）“三个代表”重要思想的核心观点和主要内容</w:t>
            </w:r>
          </w:p>
          <w:p w14:paraId="7CB3E496">
            <w:pPr>
              <w:adjustRightInd w:val="0"/>
              <w:snapToGrid w:val="0"/>
              <w:spacing w:line="264" w:lineRule="auto"/>
              <w:rPr>
                <w:rFonts w:hint="eastAsia" w:ascii="宋体" w:hAnsi="宋体" w:eastAsia="宋体" w:cs="宋体"/>
                <w:color w:val="auto"/>
                <w:kern w:val="0"/>
                <w:szCs w:val="21"/>
              </w:rPr>
            </w:pPr>
            <w:r>
              <w:rPr>
                <w:rFonts w:hint="eastAsia" w:ascii="宋体" w:hAnsi="宋体" w:eastAsia="宋体" w:cs="宋体"/>
                <w:color w:val="auto"/>
                <w:szCs w:val="21"/>
              </w:rPr>
              <w:t>（3）“三个代表”重要思想的历史地位和意义</w:t>
            </w:r>
          </w:p>
        </w:tc>
        <w:tc>
          <w:tcPr>
            <w:tcW w:w="1147" w:type="dxa"/>
            <w:shd w:val="clear" w:color="auto" w:fill="auto"/>
            <w:vAlign w:val="center"/>
          </w:tcPr>
          <w:p w14:paraId="1C554747">
            <w:pPr>
              <w:adjustRightInd w:val="0"/>
              <w:snapToGrid w:val="0"/>
              <w:spacing w:line="264"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课程目标1、3</w:t>
            </w:r>
          </w:p>
        </w:tc>
        <w:tc>
          <w:tcPr>
            <w:tcW w:w="3040" w:type="dxa"/>
            <w:shd w:val="clear" w:color="auto" w:fill="auto"/>
            <w:vAlign w:val="center"/>
          </w:tcPr>
          <w:p w14:paraId="0E9C4124">
            <w:pPr>
              <w:numPr>
                <w:ilvl w:val="0"/>
                <w:numId w:val="4"/>
              </w:num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通过学习，帮助学生了解“三个代表”重要思想的形成的社会历史条件和形成过程；</w:t>
            </w:r>
          </w:p>
          <w:p w14:paraId="1B7BCD75">
            <w:pPr>
              <w:numPr>
                <w:ilvl w:val="0"/>
                <w:numId w:val="4"/>
              </w:num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理解“三个代表”重要思想的核心观点和主要内容；</w:t>
            </w:r>
          </w:p>
          <w:p w14:paraId="7785D100">
            <w:pPr>
              <w:numPr>
                <w:ilvl w:val="0"/>
                <w:numId w:val="4"/>
              </w:numPr>
              <w:adjustRightInd w:val="0"/>
              <w:snapToGrid w:val="0"/>
              <w:spacing w:line="264" w:lineRule="auto"/>
              <w:rPr>
                <w:rFonts w:hint="eastAsia" w:ascii="宋体" w:hAnsi="宋体" w:eastAsia="宋体" w:cs="宋体"/>
                <w:color w:val="auto"/>
                <w:kern w:val="0"/>
                <w:szCs w:val="21"/>
              </w:rPr>
            </w:pPr>
            <w:r>
              <w:rPr>
                <w:rFonts w:hint="eastAsia" w:ascii="宋体" w:hAnsi="宋体" w:eastAsia="宋体" w:cs="宋体"/>
                <w:color w:val="auto"/>
                <w:szCs w:val="21"/>
              </w:rPr>
              <w:t>深刻认识“三个代表”重要思想的历史地位和意义。</w:t>
            </w:r>
          </w:p>
        </w:tc>
        <w:tc>
          <w:tcPr>
            <w:tcW w:w="1560" w:type="dxa"/>
            <w:shd w:val="clear" w:color="auto" w:fill="auto"/>
            <w:vAlign w:val="center"/>
          </w:tcPr>
          <w:p w14:paraId="63AFE27C">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1.线上学习</w:t>
            </w:r>
          </w:p>
          <w:p w14:paraId="6D90A80E">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2.多媒体教学</w:t>
            </w:r>
          </w:p>
          <w:p w14:paraId="618C0856">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3.课堂讨论</w:t>
            </w:r>
          </w:p>
          <w:p w14:paraId="5428B0C5">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4.单元测验</w:t>
            </w:r>
          </w:p>
        </w:tc>
        <w:tc>
          <w:tcPr>
            <w:tcW w:w="438" w:type="dxa"/>
            <w:vAlign w:val="center"/>
          </w:tcPr>
          <w:p w14:paraId="38125420">
            <w:pPr>
              <w:spacing w:line="269"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6</w:t>
            </w:r>
          </w:p>
        </w:tc>
      </w:tr>
      <w:tr w14:paraId="6D78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shd w:val="clear" w:color="auto" w:fill="auto"/>
            <w:vAlign w:val="center"/>
          </w:tcPr>
          <w:p w14:paraId="4AC0BCA4">
            <w:pPr>
              <w:spacing w:line="264"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8.</w:t>
            </w:r>
            <w:r>
              <w:rPr>
                <w:rFonts w:hint="eastAsia" w:ascii="宋体" w:hAnsi="宋体" w:eastAsia="宋体" w:cs="宋体"/>
                <w:color w:val="auto"/>
                <w:szCs w:val="21"/>
              </w:rPr>
              <w:t>科学发展观</w:t>
            </w:r>
          </w:p>
        </w:tc>
        <w:tc>
          <w:tcPr>
            <w:tcW w:w="2042" w:type="dxa"/>
            <w:shd w:val="clear" w:color="auto" w:fill="auto"/>
            <w:vAlign w:val="center"/>
          </w:tcPr>
          <w:p w14:paraId="5F11C567">
            <w:p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（1）科学发展观的形成</w:t>
            </w:r>
          </w:p>
          <w:p w14:paraId="47CEFADA">
            <w:p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（2）科学发展观重要思想的科学内涵和主要内容</w:t>
            </w:r>
          </w:p>
          <w:p w14:paraId="6A7A4F64">
            <w:p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（3）科学发展观的历史地位和意义</w:t>
            </w:r>
          </w:p>
        </w:tc>
        <w:tc>
          <w:tcPr>
            <w:tcW w:w="1147" w:type="dxa"/>
            <w:shd w:val="clear" w:color="auto" w:fill="auto"/>
            <w:vAlign w:val="center"/>
          </w:tcPr>
          <w:p w14:paraId="71449321">
            <w:pPr>
              <w:adjustRightInd w:val="0"/>
              <w:snapToGrid w:val="0"/>
              <w:spacing w:line="264"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课程目标1、2</w:t>
            </w:r>
          </w:p>
        </w:tc>
        <w:tc>
          <w:tcPr>
            <w:tcW w:w="3040" w:type="dxa"/>
            <w:shd w:val="clear" w:color="auto" w:fill="auto"/>
            <w:vAlign w:val="center"/>
          </w:tcPr>
          <w:p w14:paraId="6ECD5717">
            <w:pPr>
              <w:numPr>
                <w:ilvl w:val="0"/>
                <w:numId w:val="5"/>
              </w:num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通过学习，帮助学生了解科学发展观形成的社会历史条件和形成过程；</w:t>
            </w:r>
          </w:p>
          <w:p w14:paraId="5693022B">
            <w:pPr>
              <w:numPr>
                <w:ilvl w:val="0"/>
                <w:numId w:val="5"/>
              </w:num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理解科学发展观重要思想的科学内涵和主要内容；</w:t>
            </w:r>
          </w:p>
          <w:p w14:paraId="60C70C5A">
            <w:pPr>
              <w:numPr>
                <w:ilvl w:val="0"/>
                <w:numId w:val="5"/>
              </w:numPr>
              <w:adjustRightInd w:val="0"/>
              <w:snapToGrid w:val="0"/>
              <w:spacing w:line="264" w:lineRule="auto"/>
              <w:rPr>
                <w:rFonts w:hint="eastAsia" w:ascii="宋体" w:hAnsi="宋体" w:eastAsia="宋体" w:cs="宋体"/>
                <w:color w:val="auto"/>
                <w:kern w:val="0"/>
                <w:szCs w:val="21"/>
              </w:rPr>
            </w:pPr>
            <w:r>
              <w:rPr>
                <w:rFonts w:hint="eastAsia" w:ascii="宋体" w:hAnsi="宋体" w:eastAsia="宋体" w:cs="宋体"/>
                <w:color w:val="auto"/>
                <w:szCs w:val="21"/>
              </w:rPr>
              <w:t>深刻认识科学发展观的历史地位和意义。</w:t>
            </w:r>
          </w:p>
        </w:tc>
        <w:tc>
          <w:tcPr>
            <w:tcW w:w="1560" w:type="dxa"/>
            <w:shd w:val="clear" w:color="auto" w:fill="auto"/>
            <w:vAlign w:val="center"/>
          </w:tcPr>
          <w:p w14:paraId="4F31C5A4">
            <w:pPr>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1.线上学习</w:t>
            </w:r>
          </w:p>
          <w:p w14:paraId="43780277">
            <w:pPr>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2.多媒体教学</w:t>
            </w:r>
          </w:p>
          <w:p w14:paraId="6E03598F">
            <w:pPr>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3.课堂讨论</w:t>
            </w:r>
          </w:p>
          <w:p w14:paraId="118FA3FC">
            <w:pPr>
              <w:spacing w:line="264"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4.单元测验</w:t>
            </w:r>
          </w:p>
        </w:tc>
        <w:tc>
          <w:tcPr>
            <w:tcW w:w="438" w:type="dxa"/>
            <w:vAlign w:val="center"/>
          </w:tcPr>
          <w:p w14:paraId="4E92B6B7">
            <w:pPr>
              <w:spacing w:line="269"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6</w:t>
            </w:r>
          </w:p>
        </w:tc>
      </w:tr>
      <w:tr w14:paraId="3283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vAlign w:val="center"/>
          </w:tcPr>
          <w:p w14:paraId="3DDB98E7">
            <w:pPr>
              <w:spacing w:line="264" w:lineRule="auto"/>
              <w:rPr>
                <w:rFonts w:hint="eastAsia" w:ascii="宋体" w:hAnsi="宋体" w:eastAsia="宋体" w:cs="宋体"/>
                <w:color w:val="auto"/>
                <w:szCs w:val="21"/>
              </w:rPr>
            </w:pPr>
            <w:r>
              <w:rPr>
                <w:rFonts w:hint="eastAsia" w:ascii="宋体" w:hAnsi="宋体" w:eastAsia="宋体" w:cs="宋体"/>
                <w:color w:val="auto"/>
                <w:szCs w:val="21"/>
              </w:rPr>
              <w:t>9.实践</w:t>
            </w:r>
          </w:p>
        </w:tc>
        <w:tc>
          <w:tcPr>
            <w:tcW w:w="2042" w:type="dxa"/>
            <w:vAlign w:val="center"/>
          </w:tcPr>
          <w:p w14:paraId="2C85A951">
            <w:pPr>
              <w:adjustRightInd w:val="0"/>
              <w:snapToGrid w:val="0"/>
              <w:spacing w:line="264" w:lineRule="auto"/>
              <w:rPr>
                <w:rFonts w:hint="eastAsia" w:ascii="宋体" w:hAnsi="宋体" w:eastAsia="宋体" w:cs="宋体"/>
                <w:color w:val="auto"/>
                <w:szCs w:val="21"/>
              </w:rPr>
            </w:pPr>
            <w:r>
              <w:rPr>
                <w:rFonts w:hint="eastAsia" w:ascii="宋体" w:hAnsi="宋体" w:eastAsia="宋体" w:cs="宋体"/>
                <w:color w:val="auto"/>
                <w:szCs w:val="21"/>
              </w:rPr>
              <w:t>（1）与思想政治理论相关的实践</w:t>
            </w:r>
          </w:p>
          <w:p w14:paraId="1EBD4246">
            <w:pPr>
              <w:adjustRightInd w:val="0"/>
              <w:snapToGrid w:val="0"/>
              <w:spacing w:line="264" w:lineRule="auto"/>
              <w:jc w:val="left"/>
              <w:rPr>
                <w:rFonts w:hint="eastAsia" w:ascii="宋体" w:hAnsi="宋体" w:eastAsia="宋体" w:cs="宋体"/>
                <w:color w:val="auto"/>
                <w:szCs w:val="21"/>
              </w:rPr>
            </w:pPr>
            <w:r>
              <w:rPr>
                <w:rFonts w:hint="eastAsia" w:ascii="宋体" w:hAnsi="宋体" w:eastAsia="宋体" w:cs="宋体"/>
                <w:color w:val="auto"/>
                <w:szCs w:val="21"/>
              </w:rPr>
              <w:t>（2）理论联系实际</w:t>
            </w:r>
          </w:p>
        </w:tc>
        <w:tc>
          <w:tcPr>
            <w:tcW w:w="1147" w:type="dxa"/>
            <w:vAlign w:val="center"/>
          </w:tcPr>
          <w:p w14:paraId="5DA43398">
            <w:pPr>
              <w:adjustRightInd w:val="0"/>
              <w:snapToGrid w:val="0"/>
              <w:spacing w:line="264" w:lineRule="auto"/>
              <w:jc w:val="center"/>
              <w:rPr>
                <w:rFonts w:hint="eastAsia" w:ascii="宋体" w:hAnsi="宋体" w:eastAsia="宋体" w:cs="宋体"/>
                <w:color w:val="auto"/>
                <w:szCs w:val="21"/>
              </w:rPr>
            </w:pPr>
            <w:r>
              <w:rPr>
                <w:rFonts w:hint="eastAsia" w:ascii="宋体" w:hAnsi="宋体" w:eastAsia="宋体" w:cs="宋体"/>
                <w:color w:val="auto"/>
                <w:szCs w:val="21"/>
              </w:rPr>
              <w:t>课程目标1、2、3</w:t>
            </w:r>
          </w:p>
        </w:tc>
        <w:tc>
          <w:tcPr>
            <w:tcW w:w="3040" w:type="dxa"/>
            <w:vAlign w:val="center"/>
          </w:tcPr>
          <w:p w14:paraId="7F5C48F3">
            <w:pPr>
              <w:adjustRightInd w:val="0"/>
              <w:snapToGrid w:val="0"/>
              <w:spacing w:line="264" w:lineRule="auto"/>
              <w:jc w:val="left"/>
              <w:rPr>
                <w:rFonts w:hint="eastAsia" w:ascii="宋体" w:hAnsi="宋体" w:eastAsia="宋体" w:cs="宋体"/>
                <w:color w:val="auto"/>
                <w:szCs w:val="21"/>
              </w:rPr>
            </w:pPr>
            <w:r>
              <w:rPr>
                <w:rFonts w:hint="eastAsia" w:ascii="宋体" w:hAnsi="宋体" w:eastAsia="宋体" w:cs="宋体"/>
                <w:color w:val="auto"/>
                <w:szCs w:val="21"/>
              </w:rPr>
              <w:t>能够将思想政治理论联系社会现实，积极参与校内外相关实践。</w:t>
            </w:r>
          </w:p>
        </w:tc>
        <w:tc>
          <w:tcPr>
            <w:tcW w:w="1560" w:type="dxa"/>
            <w:vAlign w:val="center"/>
          </w:tcPr>
          <w:p w14:paraId="1267805A">
            <w:pPr>
              <w:spacing w:line="269" w:lineRule="auto"/>
              <w:jc w:val="left"/>
              <w:rPr>
                <w:rFonts w:hint="eastAsia" w:ascii="宋体" w:hAnsi="宋体" w:eastAsia="宋体" w:cs="宋体"/>
                <w:color w:val="auto"/>
                <w:szCs w:val="21"/>
              </w:rPr>
            </w:pPr>
            <w:r>
              <w:rPr>
                <w:rFonts w:hint="eastAsia" w:ascii="宋体" w:hAnsi="宋体" w:eastAsia="宋体" w:cs="宋体"/>
                <w:color w:val="auto"/>
                <w:szCs w:val="21"/>
              </w:rPr>
              <w:t>实践教学</w:t>
            </w:r>
          </w:p>
        </w:tc>
        <w:tc>
          <w:tcPr>
            <w:tcW w:w="438" w:type="dxa"/>
            <w:vAlign w:val="center"/>
          </w:tcPr>
          <w:p w14:paraId="27B3A9BB">
            <w:pPr>
              <w:spacing w:line="269"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6</w:t>
            </w:r>
          </w:p>
        </w:tc>
      </w:tr>
    </w:tbl>
    <w:p w14:paraId="26F31B06">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r>
        <w:rPr>
          <w:rFonts w:hint="eastAsia" w:ascii="宋体" w:hAnsi="宋体" w:eastAsia="宋体" w:cs="Times New Roman"/>
          <w:b/>
          <w:color w:val="auto"/>
          <w:sz w:val="24"/>
        </w:rPr>
        <w:t>四、目标评价与成绩评定</w:t>
      </w:r>
    </w:p>
    <w:p w14:paraId="57607D09">
      <w:pPr>
        <w:adjustRightInd w:val="0"/>
        <w:snapToGrid w:val="0"/>
        <w:spacing w:before="156" w:beforeLines="50" w:after="156" w:afterLines="50" w:line="360" w:lineRule="auto"/>
        <w:ind w:firstLine="422" w:firstLineChars="200"/>
        <w:jc w:val="left"/>
        <w:rPr>
          <w:rFonts w:hint="eastAsia" w:ascii="宋体" w:hAnsi="宋体" w:eastAsia="宋体"/>
          <w:b/>
          <w:color w:val="auto"/>
          <w:sz w:val="24"/>
        </w:rPr>
      </w:pPr>
      <w:r>
        <w:rPr>
          <w:rFonts w:hint="eastAsia" w:ascii="宋体" w:hAnsi="宋体" w:eastAsia="宋体"/>
          <w:b/>
          <w:color w:val="auto"/>
          <w:szCs w:val="21"/>
        </w:rPr>
        <w:t>（一）课程目标评价方式</w:t>
      </w:r>
    </w:p>
    <w:p w14:paraId="2BA9A387">
      <w:pPr>
        <w:spacing w:line="360" w:lineRule="auto"/>
        <w:ind w:firstLine="420" w:firstLineChars="200"/>
        <w:jc w:val="left"/>
        <w:rPr>
          <w:rFonts w:hint="eastAsia" w:ascii="宋体" w:hAnsi="宋体" w:eastAsia="宋体"/>
          <w:color w:val="auto"/>
          <w:szCs w:val="21"/>
        </w:rPr>
      </w:pPr>
      <w:r>
        <w:rPr>
          <w:rFonts w:hint="eastAsia" w:ascii="宋体" w:hAnsi="宋体" w:eastAsia="宋体"/>
          <w:color w:val="auto"/>
          <w:szCs w:val="21"/>
        </w:rPr>
        <w:t>根据总体设计，用于评价各课程目标的评价方式</w:t>
      </w:r>
      <w:r>
        <w:rPr>
          <w:rFonts w:hint="eastAsia" w:ascii="宋体" w:hAnsi="宋体" w:eastAsia="宋体"/>
          <w:color w:val="auto"/>
          <w:szCs w:val="21"/>
          <w:lang w:eastAsia="zh-CN"/>
        </w:rPr>
        <w:t>如下表所示</w:t>
      </w:r>
      <w:r>
        <w:rPr>
          <w:rFonts w:ascii="宋体" w:hAnsi="宋体" w:eastAsia="宋体"/>
          <w:color w:val="auto"/>
          <w:szCs w:val="21"/>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397"/>
        <w:gridCol w:w="1594"/>
        <w:gridCol w:w="1476"/>
        <w:gridCol w:w="1615"/>
        <w:gridCol w:w="994"/>
      </w:tblGrid>
      <w:tr w14:paraId="0E99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005FBE0A">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课程目标</w:t>
            </w:r>
          </w:p>
        </w:tc>
        <w:tc>
          <w:tcPr>
            <w:tcW w:w="6082" w:type="dxa"/>
            <w:gridSpan w:val="4"/>
            <w:vAlign w:val="center"/>
          </w:tcPr>
          <w:p w14:paraId="740A2C38">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评价与成绩评定方法</w:t>
            </w:r>
          </w:p>
        </w:tc>
        <w:tc>
          <w:tcPr>
            <w:tcW w:w="994" w:type="dxa"/>
            <w:vMerge w:val="restart"/>
            <w:vAlign w:val="center"/>
          </w:tcPr>
          <w:p w14:paraId="454F4F17">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分值</w:t>
            </w:r>
          </w:p>
        </w:tc>
      </w:tr>
      <w:tr w14:paraId="224D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43F43D71">
            <w:pPr>
              <w:spacing w:line="360" w:lineRule="auto"/>
              <w:jc w:val="center"/>
              <w:rPr>
                <w:rFonts w:hint="eastAsia" w:ascii="宋体" w:hAnsi="宋体" w:eastAsia="宋体" w:cs="宋体"/>
                <w:color w:val="auto"/>
                <w:szCs w:val="21"/>
              </w:rPr>
            </w:pPr>
          </w:p>
        </w:tc>
        <w:tc>
          <w:tcPr>
            <w:tcW w:w="1397" w:type="dxa"/>
            <w:vAlign w:val="center"/>
          </w:tcPr>
          <w:p w14:paraId="0BE5EA1A">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平时作业</w:t>
            </w:r>
          </w:p>
        </w:tc>
        <w:tc>
          <w:tcPr>
            <w:tcW w:w="1594" w:type="dxa"/>
            <w:vAlign w:val="center"/>
          </w:tcPr>
          <w:p w14:paraId="0E5296F4">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平时表现</w:t>
            </w:r>
          </w:p>
        </w:tc>
        <w:tc>
          <w:tcPr>
            <w:tcW w:w="1476" w:type="dxa"/>
            <w:vAlign w:val="center"/>
          </w:tcPr>
          <w:p w14:paraId="1175C843">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网络学习</w:t>
            </w:r>
          </w:p>
        </w:tc>
        <w:tc>
          <w:tcPr>
            <w:tcW w:w="1615" w:type="dxa"/>
            <w:vAlign w:val="center"/>
          </w:tcPr>
          <w:p w14:paraId="6E907FF7">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期末考试</w:t>
            </w:r>
          </w:p>
        </w:tc>
        <w:tc>
          <w:tcPr>
            <w:tcW w:w="994" w:type="dxa"/>
            <w:vMerge w:val="continue"/>
            <w:vAlign w:val="center"/>
          </w:tcPr>
          <w:p w14:paraId="388A0777">
            <w:pPr>
              <w:spacing w:line="360" w:lineRule="auto"/>
              <w:jc w:val="center"/>
              <w:rPr>
                <w:rFonts w:hint="eastAsia" w:ascii="宋体" w:hAnsi="宋体" w:eastAsia="宋体" w:cs="宋体"/>
                <w:color w:val="auto"/>
                <w:szCs w:val="21"/>
              </w:rPr>
            </w:pPr>
          </w:p>
        </w:tc>
      </w:tr>
      <w:tr w14:paraId="5A84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4D9B752">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课程目标1</w:t>
            </w:r>
          </w:p>
        </w:tc>
        <w:tc>
          <w:tcPr>
            <w:tcW w:w="1397" w:type="dxa"/>
            <w:vAlign w:val="center"/>
          </w:tcPr>
          <w:p w14:paraId="2F5A8B00">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1594" w:type="dxa"/>
            <w:vAlign w:val="center"/>
          </w:tcPr>
          <w:p w14:paraId="3F933A0B">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1476" w:type="dxa"/>
            <w:vAlign w:val="center"/>
          </w:tcPr>
          <w:p w14:paraId="0E2696EF">
            <w:pPr>
              <w:spacing w:line="360" w:lineRule="auto"/>
              <w:jc w:val="center"/>
              <w:rPr>
                <w:rFonts w:hint="eastAsia" w:ascii="宋体" w:hAnsi="宋体" w:eastAsia="宋体" w:cs="宋体"/>
                <w:color w:val="auto"/>
                <w:szCs w:val="21"/>
              </w:rPr>
            </w:pPr>
          </w:p>
        </w:tc>
        <w:tc>
          <w:tcPr>
            <w:tcW w:w="1615" w:type="dxa"/>
            <w:vAlign w:val="center"/>
          </w:tcPr>
          <w:p w14:paraId="7979079E">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994" w:type="dxa"/>
            <w:vAlign w:val="center"/>
          </w:tcPr>
          <w:p w14:paraId="33262C77">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35</w:t>
            </w:r>
          </w:p>
        </w:tc>
      </w:tr>
      <w:tr w14:paraId="0CA6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AFA8D5F">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课程目标2</w:t>
            </w:r>
          </w:p>
        </w:tc>
        <w:tc>
          <w:tcPr>
            <w:tcW w:w="1397" w:type="dxa"/>
            <w:vAlign w:val="center"/>
          </w:tcPr>
          <w:p w14:paraId="690E4FA6">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1594" w:type="dxa"/>
            <w:vAlign w:val="center"/>
          </w:tcPr>
          <w:p w14:paraId="651280D9">
            <w:pPr>
              <w:spacing w:line="360" w:lineRule="auto"/>
              <w:jc w:val="center"/>
              <w:rPr>
                <w:rFonts w:hint="eastAsia" w:ascii="宋体" w:hAnsi="宋体" w:eastAsia="宋体" w:cs="宋体"/>
                <w:color w:val="auto"/>
                <w:szCs w:val="21"/>
              </w:rPr>
            </w:pPr>
          </w:p>
        </w:tc>
        <w:tc>
          <w:tcPr>
            <w:tcW w:w="1476" w:type="dxa"/>
            <w:vAlign w:val="center"/>
          </w:tcPr>
          <w:p w14:paraId="11E5F41B">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1615" w:type="dxa"/>
            <w:vAlign w:val="center"/>
          </w:tcPr>
          <w:p w14:paraId="3DD2592B">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994" w:type="dxa"/>
            <w:vAlign w:val="center"/>
          </w:tcPr>
          <w:p w14:paraId="49B3AAA6">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35</w:t>
            </w:r>
          </w:p>
        </w:tc>
      </w:tr>
      <w:tr w14:paraId="3856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CC6E8A6">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课程目标3</w:t>
            </w:r>
          </w:p>
        </w:tc>
        <w:tc>
          <w:tcPr>
            <w:tcW w:w="1397" w:type="dxa"/>
            <w:vAlign w:val="center"/>
          </w:tcPr>
          <w:p w14:paraId="25D8297C">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1594" w:type="dxa"/>
            <w:vAlign w:val="center"/>
          </w:tcPr>
          <w:p w14:paraId="70BC3337">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1476" w:type="dxa"/>
            <w:vAlign w:val="center"/>
          </w:tcPr>
          <w:p w14:paraId="7F05B585">
            <w:pPr>
              <w:spacing w:line="360" w:lineRule="auto"/>
              <w:jc w:val="center"/>
              <w:rPr>
                <w:rFonts w:hint="eastAsia" w:ascii="宋体" w:hAnsi="宋体" w:eastAsia="宋体" w:cs="宋体"/>
                <w:color w:val="auto"/>
                <w:szCs w:val="21"/>
              </w:rPr>
            </w:pPr>
          </w:p>
        </w:tc>
        <w:tc>
          <w:tcPr>
            <w:tcW w:w="1615" w:type="dxa"/>
            <w:vAlign w:val="center"/>
          </w:tcPr>
          <w:p w14:paraId="1911A8ED">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994" w:type="dxa"/>
            <w:vAlign w:val="center"/>
          </w:tcPr>
          <w:p w14:paraId="558A5E71">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30</w:t>
            </w:r>
          </w:p>
        </w:tc>
      </w:tr>
      <w:tr w14:paraId="7C3D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74F693E">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合计</w:t>
            </w:r>
          </w:p>
        </w:tc>
        <w:tc>
          <w:tcPr>
            <w:tcW w:w="1397" w:type="dxa"/>
            <w:vAlign w:val="center"/>
          </w:tcPr>
          <w:p w14:paraId="1C856503">
            <w:pPr>
              <w:spacing w:line="360" w:lineRule="auto"/>
              <w:jc w:val="center"/>
              <w:rPr>
                <w:rFonts w:hint="eastAsia" w:ascii="宋体" w:hAnsi="宋体" w:eastAsia="宋体" w:cs="宋体"/>
                <w:color w:val="auto"/>
                <w:szCs w:val="21"/>
              </w:rPr>
            </w:pPr>
          </w:p>
        </w:tc>
        <w:tc>
          <w:tcPr>
            <w:tcW w:w="1594" w:type="dxa"/>
            <w:vAlign w:val="center"/>
          </w:tcPr>
          <w:p w14:paraId="4480F6BC">
            <w:pPr>
              <w:spacing w:line="360" w:lineRule="auto"/>
              <w:jc w:val="center"/>
              <w:rPr>
                <w:rFonts w:hint="eastAsia" w:ascii="宋体" w:hAnsi="宋体" w:eastAsia="宋体" w:cs="宋体"/>
                <w:color w:val="auto"/>
                <w:szCs w:val="21"/>
              </w:rPr>
            </w:pPr>
          </w:p>
        </w:tc>
        <w:tc>
          <w:tcPr>
            <w:tcW w:w="1476" w:type="dxa"/>
            <w:vAlign w:val="center"/>
          </w:tcPr>
          <w:p w14:paraId="2286718D">
            <w:pPr>
              <w:spacing w:line="360" w:lineRule="auto"/>
              <w:jc w:val="center"/>
              <w:rPr>
                <w:rFonts w:hint="eastAsia" w:ascii="宋体" w:hAnsi="宋体" w:eastAsia="宋体" w:cs="宋体"/>
                <w:color w:val="auto"/>
                <w:szCs w:val="21"/>
              </w:rPr>
            </w:pPr>
          </w:p>
        </w:tc>
        <w:tc>
          <w:tcPr>
            <w:tcW w:w="1615" w:type="dxa"/>
            <w:vAlign w:val="center"/>
          </w:tcPr>
          <w:p w14:paraId="1ABEED3D">
            <w:pPr>
              <w:spacing w:line="360" w:lineRule="auto"/>
              <w:jc w:val="center"/>
              <w:rPr>
                <w:rFonts w:hint="eastAsia" w:ascii="宋体" w:hAnsi="宋体" w:eastAsia="宋体" w:cs="宋体"/>
                <w:color w:val="auto"/>
                <w:szCs w:val="21"/>
              </w:rPr>
            </w:pPr>
          </w:p>
        </w:tc>
        <w:tc>
          <w:tcPr>
            <w:tcW w:w="994" w:type="dxa"/>
            <w:vAlign w:val="center"/>
          </w:tcPr>
          <w:p w14:paraId="29A00DC9">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100</w:t>
            </w:r>
          </w:p>
        </w:tc>
      </w:tr>
    </w:tbl>
    <w:p w14:paraId="62ACBB52">
      <w:pPr>
        <w:spacing w:before="156" w:beforeLines="50" w:line="360" w:lineRule="auto"/>
        <w:ind w:firstLine="422" w:firstLineChars="200"/>
        <w:jc w:val="left"/>
        <w:rPr>
          <w:rFonts w:hint="eastAsia" w:ascii="宋体" w:hAnsi="宋体" w:eastAsia="宋体"/>
          <w:b/>
          <w:color w:val="auto"/>
          <w:szCs w:val="21"/>
        </w:rPr>
      </w:pPr>
      <w:r>
        <w:rPr>
          <w:rFonts w:hint="eastAsia" w:ascii="宋体" w:hAnsi="宋体" w:eastAsia="宋体"/>
          <w:b/>
          <w:color w:val="auto"/>
          <w:szCs w:val="21"/>
        </w:rPr>
        <w:t>（二）成绩评定细则</w:t>
      </w:r>
    </w:p>
    <w:p w14:paraId="179B25D0">
      <w:pPr>
        <w:spacing w:line="360" w:lineRule="auto"/>
        <w:jc w:val="left"/>
        <w:rPr>
          <w:rFonts w:hint="eastAsia" w:ascii="宋体" w:hAnsi="宋体" w:eastAsia="宋体"/>
          <w:color w:val="auto"/>
          <w:szCs w:val="21"/>
        </w:rPr>
      </w:pPr>
      <w:r>
        <w:rPr>
          <w:rFonts w:hint="eastAsia" w:ascii="宋体" w:hAnsi="宋体" w:eastAsia="宋体"/>
          <w:color w:val="auto"/>
          <w:szCs w:val="21"/>
        </w:rPr>
        <w:t>各部分的评价方式和成绩评定的细则</w:t>
      </w:r>
      <w:r>
        <w:rPr>
          <w:rFonts w:hint="eastAsia" w:ascii="宋体" w:hAnsi="宋体" w:eastAsia="宋体"/>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6923"/>
        <w:gridCol w:w="706"/>
      </w:tblGrid>
      <w:tr w14:paraId="0A4B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2CDFEE4C">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923" w:type="dxa"/>
            <w:vAlign w:val="center"/>
          </w:tcPr>
          <w:p w14:paraId="25C594A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27E4A99B">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425D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77FD183">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网络学习</w:t>
            </w:r>
          </w:p>
        </w:tc>
        <w:tc>
          <w:tcPr>
            <w:tcW w:w="6923" w:type="dxa"/>
            <w:vAlign w:val="center"/>
          </w:tcPr>
          <w:p w14:paraId="4D954FED">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通过视频学习、互动讨论等考核对课程理论的理解和运用。</w:t>
            </w:r>
          </w:p>
        </w:tc>
        <w:tc>
          <w:tcPr>
            <w:tcW w:w="0" w:type="auto"/>
            <w:vAlign w:val="center"/>
          </w:tcPr>
          <w:p w14:paraId="74281FE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r>
              <w:rPr>
                <w:rFonts w:hint="eastAsia" w:ascii="Times New Roman" w:hAnsi="Times New Roman" w:eastAsia="宋体" w:cs="Times New Roman"/>
                <w:color w:val="auto"/>
                <w:szCs w:val="21"/>
              </w:rPr>
              <w:t>0%</w:t>
            </w:r>
          </w:p>
        </w:tc>
      </w:tr>
      <w:tr w14:paraId="5C80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7DDC399">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平时表现</w:t>
            </w:r>
          </w:p>
        </w:tc>
        <w:tc>
          <w:tcPr>
            <w:tcW w:w="6923" w:type="dxa"/>
            <w:vAlign w:val="center"/>
          </w:tcPr>
          <w:p w14:paraId="31A57895">
            <w:pPr>
              <w:widowControl/>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通过课堂互动、学习态度等考核对课程理论的理解和运用。</w:t>
            </w:r>
          </w:p>
        </w:tc>
        <w:tc>
          <w:tcPr>
            <w:tcW w:w="0" w:type="auto"/>
            <w:vAlign w:val="center"/>
          </w:tcPr>
          <w:p w14:paraId="340FC838">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20</w:t>
            </w:r>
            <w:r>
              <w:rPr>
                <w:rFonts w:hint="eastAsia" w:ascii="Times New Roman" w:hAnsi="Times New Roman" w:eastAsia="宋体" w:cs="Times New Roman"/>
                <w:color w:val="auto"/>
                <w:szCs w:val="21"/>
              </w:rPr>
              <w:t>%</w:t>
            </w:r>
          </w:p>
        </w:tc>
      </w:tr>
      <w:tr w14:paraId="27E4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53A77D50">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作业</w:t>
            </w:r>
          </w:p>
        </w:tc>
        <w:tc>
          <w:tcPr>
            <w:tcW w:w="6923" w:type="dxa"/>
            <w:vAlign w:val="center"/>
          </w:tcPr>
          <w:p w14:paraId="5B7F3F87">
            <w:pPr>
              <w:rPr>
                <w:rFonts w:hint="eastAsia" w:eastAsia="宋体" w:cs="Times New Roman" w:asciiTheme="minorEastAsia" w:hAnsiTheme="minorEastAsia"/>
                <w:color w:val="auto"/>
                <w:kern w:val="0"/>
                <w:szCs w:val="21"/>
              </w:rPr>
            </w:pPr>
            <w:r>
              <w:rPr>
                <w:rFonts w:hint="eastAsia" w:ascii="Times New Roman" w:hAnsi="Times New Roman" w:eastAsia="宋体" w:cs="Times New Roman"/>
                <w:color w:val="auto"/>
                <w:szCs w:val="21"/>
              </w:rPr>
              <w:t>通过章节测验、思考题等考核对课程理论的理解和运用。</w:t>
            </w:r>
          </w:p>
        </w:tc>
        <w:tc>
          <w:tcPr>
            <w:tcW w:w="0" w:type="auto"/>
            <w:vAlign w:val="center"/>
          </w:tcPr>
          <w:p w14:paraId="3BB4F33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w:t>
            </w:r>
          </w:p>
        </w:tc>
      </w:tr>
      <w:tr w14:paraId="5ECC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87D6218">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6923" w:type="dxa"/>
            <w:vAlign w:val="center"/>
          </w:tcPr>
          <w:p w14:paraId="7D293670">
            <w:pPr>
              <w:spacing w:line="264" w:lineRule="auto"/>
              <w:jc w:val="left"/>
              <w:rPr>
                <w:rFonts w:ascii="Times New Roman" w:hAnsi="Times New Roman" w:eastAsia="宋体" w:cs="Times New Roman"/>
                <w:color w:val="auto"/>
                <w:szCs w:val="21"/>
              </w:rPr>
            </w:pPr>
            <w:r>
              <w:rPr>
                <w:rFonts w:eastAsia="宋体" w:cs="Times New Roman" w:asciiTheme="minorEastAsia" w:hAnsiTheme="minorEastAsia"/>
                <w:bCs/>
                <w:color w:val="auto"/>
                <w:kern w:val="24"/>
                <w:szCs w:val="21"/>
              </w:rPr>
              <w:t>试卷题型包括</w:t>
            </w:r>
            <w:r>
              <w:rPr>
                <w:rFonts w:hint="eastAsia" w:eastAsia="宋体" w:cs="Times New Roman" w:asciiTheme="minorEastAsia" w:hAnsiTheme="minorEastAsia"/>
                <w:bCs/>
                <w:color w:val="auto"/>
                <w:kern w:val="24"/>
                <w:szCs w:val="21"/>
              </w:rPr>
              <w:t>单项</w:t>
            </w:r>
            <w:r>
              <w:rPr>
                <w:rFonts w:eastAsia="宋体" w:cs="Times New Roman" w:asciiTheme="minorEastAsia" w:hAnsiTheme="minorEastAsia"/>
                <w:bCs/>
                <w:color w:val="auto"/>
                <w:kern w:val="24"/>
                <w:szCs w:val="21"/>
              </w:rPr>
              <w:t>选择题、</w:t>
            </w:r>
            <w:r>
              <w:rPr>
                <w:rFonts w:eastAsia="宋体" w:cs="Times New Roman" w:asciiTheme="minorEastAsia" w:hAnsiTheme="minorEastAsia"/>
                <w:color w:val="auto"/>
                <w:kern w:val="0"/>
                <w:szCs w:val="21"/>
              </w:rPr>
              <w:t>判断题</w:t>
            </w:r>
            <w:r>
              <w:rPr>
                <w:rFonts w:eastAsia="宋体" w:cs="Times New Roman" w:asciiTheme="minorEastAsia" w:hAnsiTheme="minorEastAsia"/>
                <w:bCs/>
                <w:color w:val="auto"/>
                <w:kern w:val="24"/>
                <w:szCs w:val="21"/>
              </w:rPr>
              <w:t>、</w:t>
            </w:r>
            <w:r>
              <w:rPr>
                <w:rFonts w:hint="eastAsia" w:eastAsia="宋体" w:cs="Times New Roman" w:asciiTheme="minorEastAsia" w:hAnsiTheme="minorEastAsia"/>
                <w:bCs/>
                <w:color w:val="auto"/>
                <w:kern w:val="24"/>
                <w:szCs w:val="21"/>
              </w:rPr>
              <w:t>多项选择</w:t>
            </w:r>
            <w:r>
              <w:rPr>
                <w:rFonts w:eastAsia="宋体" w:cs="Times New Roman" w:asciiTheme="minorEastAsia" w:hAnsiTheme="minorEastAsia"/>
                <w:bCs/>
                <w:color w:val="auto"/>
                <w:kern w:val="24"/>
                <w:szCs w:val="21"/>
              </w:rPr>
              <w:t>题等。考核思政理论基础知识</w:t>
            </w:r>
            <w:r>
              <w:rPr>
                <w:rFonts w:hint="eastAsia" w:eastAsia="宋体" w:cs="Times New Roman" w:asciiTheme="minorEastAsia" w:hAnsiTheme="minorEastAsia"/>
                <w:bCs/>
                <w:color w:val="auto"/>
                <w:kern w:val="24"/>
                <w:szCs w:val="21"/>
              </w:rPr>
              <w:t>和</w:t>
            </w:r>
            <w:r>
              <w:rPr>
                <w:rFonts w:eastAsia="宋体" w:cs="Times New Roman" w:asciiTheme="minorEastAsia" w:hAnsiTheme="minorEastAsia"/>
                <w:bCs/>
                <w:color w:val="auto"/>
                <w:kern w:val="24"/>
                <w:szCs w:val="21"/>
              </w:rPr>
              <w:t>马克思主义的立场</w:t>
            </w:r>
            <w:r>
              <w:rPr>
                <w:rFonts w:hint="eastAsia" w:eastAsia="宋体" w:cs="Times New Roman" w:asciiTheme="minorEastAsia" w:hAnsiTheme="minorEastAsia"/>
                <w:bCs/>
                <w:color w:val="auto"/>
                <w:kern w:val="24"/>
                <w:szCs w:val="21"/>
              </w:rPr>
              <w:t>、</w:t>
            </w:r>
            <w:r>
              <w:rPr>
                <w:rFonts w:eastAsia="宋体" w:cs="Times New Roman" w:asciiTheme="minorEastAsia" w:hAnsiTheme="minorEastAsia"/>
                <w:bCs/>
                <w:color w:val="auto"/>
                <w:kern w:val="24"/>
                <w:szCs w:val="21"/>
              </w:rPr>
              <w:t>观点和方法</w:t>
            </w:r>
            <w:r>
              <w:rPr>
                <w:rFonts w:hint="eastAsia" w:eastAsia="宋体" w:cs="Times New Roman" w:asciiTheme="minorEastAsia" w:hAnsiTheme="minorEastAsia"/>
                <w:bCs/>
                <w:color w:val="auto"/>
                <w:kern w:val="24"/>
                <w:szCs w:val="21"/>
              </w:rPr>
              <w:t>的</w:t>
            </w:r>
            <w:r>
              <w:rPr>
                <w:rFonts w:eastAsia="宋体" w:cs="Times New Roman" w:asciiTheme="minorEastAsia" w:hAnsiTheme="minorEastAsia"/>
                <w:bCs/>
                <w:color w:val="auto"/>
                <w:kern w:val="24"/>
                <w:szCs w:val="21"/>
              </w:rPr>
              <w:t>运用</w:t>
            </w:r>
            <w:r>
              <w:rPr>
                <w:rFonts w:hint="eastAsia" w:eastAsia="宋体" w:cs="Times New Roman" w:asciiTheme="minorEastAsia" w:hAnsiTheme="minorEastAsia"/>
                <w:color w:val="auto"/>
                <w:kern w:val="0"/>
                <w:szCs w:val="21"/>
              </w:rPr>
              <w:t>。</w:t>
            </w:r>
          </w:p>
        </w:tc>
        <w:tc>
          <w:tcPr>
            <w:tcW w:w="0" w:type="auto"/>
            <w:vAlign w:val="center"/>
          </w:tcPr>
          <w:p w14:paraId="311A737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40%</w:t>
            </w:r>
          </w:p>
        </w:tc>
      </w:tr>
      <w:tr w14:paraId="1314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7DA0763">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025A6A03">
            <w:pPr>
              <w:jc w:val="left"/>
              <w:rPr>
                <w:rFonts w:ascii="Times New Roman" w:hAnsi="Times New Roman" w:eastAsia="宋体" w:cs="Times New Roman"/>
                <w:color w:val="auto"/>
                <w:szCs w:val="21"/>
              </w:rPr>
            </w:pPr>
          </w:p>
        </w:tc>
        <w:tc>
          <w:tcPr>
            <w:tcW w:w="0" w:type="auto"/>
            <w:vAlign w:val="center"/>
          </w:tcPr>
          <w:p w14:paraId="61A1B11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0BBF3243">
      <w:pPr>
        <w:adjustRightInd w:val="0"/>
        <w:snapToGrid w:val="0"/>
        <w:spacing w:before="156" w:beforeLines="50" w:line="360" w:lineRule="auto"/>
        <w:ind w:firstLine="422" w:firstLineChars="200"/>
        <w:jc w:val="left"/>
        <w:rPr>
          <w:rFonts w:hint="eastAsia" w:ascii="宋体" w:hAnsi="宋体" w:eastAsia="宋体"/>
          <w:b/>
          <w:color w:val="auto"/>
          <w:szCs w:val="21"/>
        </w:rPr>
      </w:pPr>
      <w:r>
        <w:rPr>
          <w:rFonts w:hint="eastAsia" w:ascii="宋体" w:hAnsi="宋体" w:eastAsia="宋体"/>
          <w:b/>
          <w:color w:val="auto"/>
          <w:szCs w:val="21"/>
        </w:rPr>
        <w:t>（三）课程目标达成度计算方法</w:t>
      </w:r>
    </w:p>
    <w:p w14:paraId="40F7FDD8">
      <w:pPr>
        <w:spacing w:line="360" w:lineRule="auto"/>
        <w:ind w:firstLine="411" w:firstLineChars="196"/>
        <w:jc w:val="left"/>
        <w:rPr>
          <w:rFonts w:hint="eastAsia" w:ascii="宋体" w:hAnsi="宋体" w:eastAsia="宋体"/>
          <w:color w:val="auto"/>
          <w:sz w:val="24"/>
        </w:rPr>
      </w:pPr>
      <w:r>
        <w:rPr>
          <w:rFonts w:hint="eastAsia" w:ascii="宋体" w:hAnsi="宋体" w:eastAsia="宋体"/>
          <w:color w:val="auto"/>
          <w:szCs w:val="21"/>
        </w:rPr>
        <w:t>所有课程目标均需大于等于</w:t>
      </w:r>
      <w:r>
        <w:rPr>
          <w:rFonts w:ascii="宋体" w:hAnsi="宋体" w:eastAsia="宋体"/>
          <w:color w:val="auto"/>
          <w:szCs w:val="21"/>
        </w:rPr>
        <w:t>0.6，否则总评成绩不及格，需要补考或重修。每门课程目标总体达成度计算方法如下：</w:t>
      </w:r>
    </w:p>
    <w:p w14:paraId="0D6B78D4">
      <w:pPr>
        <w:spacing w:before="156" w:beforeLines="50" w:line="360" w:lineRule="auto"/>
        <w:ind w:firstLine="420" w:firstLineChars="200"/>
        <w:jc w:val="left"/>
        <w:rPr>
          <w:rFonts w:hint="eastAsia" w:ascii="宋体" w:hAnsi="宋体" w:eastAsia="宋体" w:cs="Times New Roman"/>
          <w:b/>
          <w:color w:val="auto"/>
          <w:sz w:val="24"/>
        </w:rPr>
      </w:pPr>
      <w:r>
        <w:rPr>
          <w:rFonts w:ascii="宋体" w:hAnsi="宋体"/>
          <w:color w:val="auto"/>
          <w:szCs w:val="21"/>
        </w:rPr>
        <w:object>
          <v:shape id="_x0000_i1028" o:spt="75" type="#_x0000_t75" style="height:25.1pt;width:404.05pt;" o:ole="t" filled="f" o:preferrelative="t" stroked="f" coordsize="21600,21600">
            <v:path/>
            <v:fill on="f" focussize="0,0"/>
            <v:stroke on="f" joinstyle="miter"/>
            <v:imagedata r:id="rId10" o:title=""/>
            <o:lock v:ext="edit" aspectratio="t"/>
            <w10:wrap type="none"/>
            <w10:anchorlock/>
          </v:shape>
          <o:OLEObject Type="Embed" ProgID="Equation.3" ShapeID="_x0000_i1028" DrawAspect="Content" ObjectID="_1468075727" r:id="rId12">
            <o:LockedField>false</o:LockedField>
          </o:OLEObject>
        </w:object>
      </w:r>
      <w:r>
        <w:rPr>
          <w:rFonts w:hint="eastAsia" w:ascii="宋体" w:hAnsi="宋体" w:eastAsia="宋体" w:cs="Times New Roman"/>
          <w:b/>
          <w:color w:val="auto"/>
          <w:sz w:val="24"/>
        </w:rPr>
        <w:t>五、有关说明</w:t>
      </w:r>
    </w:p>
    <w:p w14:paraId="6F07264B">
      <w:pPr>
        <w:spacing w:line="360" w:lineRule="auto"/>
        <w:ind w:firstLine="422" w:firstLineChars="200"/>
        <w:rPr>
          <w:rFonts w:hint="eastAsia" w:ascii="宋体" w:hAnsi="宋体" w:eastAsia="宋体"/>
          <w:b/>
          <w:color w:val="auto"/>
          <w:szCs w:val="21"/>
        </w:rPr>
      </w:pPr>
      <w:r>
        <w:rPr>
          <w:rFonts w:hint="eastAsia" w:ascii="宋体" w:hAnsi="宋体" w:eastAsia="宋体"/>
          <w:b/>
          <w:color w:val="auto"/>
          <w:szCs w:val="21"/>
        </w:rPr>
        <w:t>（一）持续改进</w:t>
      </w:r>
    </w:p>
    <w:p w14:paraId="0054FDD1">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本课程根据平时表现、作业、实践和期末考试等考核情况，以及学生、教学督导等反馈，及时对教学中不足之处进行改进，并在下一轮课程教学中整改完善，确保相应毕业要求达成。</w:t>
      </w:r>
    </w:p>
    <w:p w14:paraId="5799E40F">
      <w:pPr>
        <w:spacing w:line="360" w:lineRule="auto"/>
        <w:ind w:firstLine="422" w:firstLineChars="200"/>
        <w:rPr>
          <w:rFonts w:hint="eastAsia" w:ascii="宋体" w:hAnsi="宋体" w:eastAsia="宋体"/>
          <w:b/>
          <w:color w:val="auto"/>
          <w:szCs w:val="21"/>
        </w:rPr>
      </w:pPr>
      <w:r>
        <w:rPr>
          <w:rFonts w:hint="eastAsia" w:ascii="宋体" w:hAnsi="宋体" w:eastAsia="宋体"/>
          <w:b/>
          <w:color w:val="auto"/>
          <w:szCs w:val="21"/>
        </w:rPr>
        <w:t>（二）建议教材</w:t>
      </w:r>
    </w:p>
    <w:p w14:paraId="45CF08F0">
      <w:pPr>
        <w:spacing w:line="336"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《毛泽东思想和中国特色社会主义理论体系概论》编写组主编</w:t>
      </w:r>
      <w:r>
        <w:rPr>
          <w:rFonts w:ascii="宋体" w:hAnsi="宋体" w:eastAsia="宋体" w:cs="Times New Roman"/>
          <w:color w:val="auto"/>
          <w:szCs w:val="21"/>
        </w:rPr>
        <w:t>.</w:t>
      </w:r>
      <w:r>
        <w:rPr>
          <w:rFonts w:hint="eastAsia" w:ascii="宋体" w:hAnsi="宋体" w:eastAsia="宋体" w:cs="Times New Roman"/>
          <w:color w:val="auto"/>
          <w:szCs w:val="21"/>
        </w:rPr>
        <w:t xml:space="preserve"> 毛泽东思想和中国特色社会主义理论体系概论，高等教育出版社，2021</w:t>
      </w:r>
      <w:r>
        <w:rPr>
          <w:rFonts w:ascii="宋体" w:hAnsi="宋体" w:eastAsia="宋体" w:cs="Times New Roman"/>
          <w:color w:val="auto"/>
          <w:szCs w:val="21"/>
        </w:rPr>
        <w:t>.</w:t>
      </w:r>
      <w:r>
        <w:rPr>
          <w:rFonts w:hint="eastAsia" w:ascii="宋体" w:hAnsi="宋体" w:eastAsia="宋体" w:cs="Times New Roman"/>
          <w:color w:val="auto"/>
          <w:szCs w:val="21"/>
        </w:rPr>
        <w:t xml:space="preserve"> （马克思主义理论研究和建设工程重点教材）</w:t>
      </w:r>
    </w:p>
    <w:p w14:paraId="3296C039">
      <w:pPr>
        <w:spacing w:line="360" w:lineRule="auto"/>
        <w:ind w:firstLine="422" w:firstLineChars="200"/>
        <w:rPr>
          <w:rFonts w:hint="eastAsia" w:ascii="宋体" w:hAnsi="宋体" w:eastAsia="宋体"/>
          <w:b/>
          <w:color w:val="auto"/>
          <w:szCs w:val="21"/>
        </w:rPr>
      </w:pPr>
      <w:r>
        <w:rPr>
          <w:rFonts w:hint="eastAsia" w:ascii="宋体" w:hAnsi="宋体" w:eastAsia="宋体"/>
          <w:b/>
          <w:color w:val="auto"/>
          <w:szCs w:val="21"/>
        </w:rPr>
        <w:t>（三）</w:t>
      </w:r>
      <w:r>
        <w:rPr>
          <w:rFonts w:ascii="宋体" w:hAnsi="宋体" w:eastAsia="宋体"/>
          <w:b/>
          <w:color w:val="auto"/>
          <w:szCs w:val="21"/>
        </w:rPr>
        <w:t>参考书目</w:t>
      </w:r>
    </w:p>
    <w:p w14:paraId="5C5906CC">
      <w:pPr>
        <w:spacing w:line="360" w:lineRule="auto"/>
        <w:ind w:firstLine="420"/>
        <w:rPr>
          <w:rFonts w:hint="eastAsia" w:ascii="宋体" w:hAnsi="宋体" w:eastAsia="宋体" w:cs="宋体"/>
          <w:color w:val="auto"/>
          <w:szCs w:val="21"/>
        </w:rPr>
      </w:pPr>
      <w:bookmarkStart w:id="10" w:name="_Hlk44772693"/>
      <w:r>
        <w:rPr>
          <w:rFonts w:hint="eastAsia" w:ascii="宋体" w:hAnsi="宋体" w:eastAsia="宋体" w:cs="宋体"/>
          <w:color w:val="auto"/>
          <w:szCs w:val="21"/>
        </w:rPr>
        <w:t>1.毛泽东选集（第1-4卷）.人民出版社，1991.</w:t>
      </w:r>
    </w:p>
    <w:p w14:paraId="5E66B3DF">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2.邓小平文选（第1-3卷）.人民出版社，1995.</w:t>
      </w:r>
    </w:p>
    <w:p w14:paraId="250F6434">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3.江泽民文选（1-3卷）.人民出版社，2006.</w:t>
      </w:r>
    </w:p>
    <w:p w14:paraId="5A83F1D6">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4.胡锦涛文选（第1-3卷）.人民出版社，2016.</w:t>
      </w:r>
    </w:p>
    <w:p w14:paraId="12E17B82">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5.习近平新时代中国特色社会主义思想概论</w:t>
      </w:r>
      <w:r>
        <w:rPr>
          <w:rFonts w:ascii="宋体" w:hAnsi="宋体" w:eastAsia="宋体" w:cs="宋体"/>
          <w:color w:val="auto"/>
          <w:szCs w:val="21"/>
        </w:rPr>
        <w:t>.</w:t>
      </w:r>
      <w:r>
        <w:rPr>
          <w:rFonts w:hint="eastAsia" w:ascii="宋体" w:hAnsi="宋体" w:eastAsia="宋体" w:cs="宋体"/>
          <w:color w:val="auto"/>
          <w:szCs w:val="21"/>
        </w:rPr>
        <w:t>高等教育出版社、人民出版社，2023</w:t>
      </w:r>
      <w:r>
        <w:rPr>
          <w:rFonts w:ascii="宋体" w:hAnsi="宋体" w:eastAsia="宋体" w:cs="宋体"/>
          <w:color w:val="auto"/>
          <w:szCs w:val="21"/>
        </w:rPr>
        <w:t>.</w:t>
      </w:r>
    </w:p>
    <w:p w14:paraId="6F4BD8C1">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6.习近平新时代中国特色社会主义思想专题摘编</w:t>
      </w:r>
      <w:r>
        <w:rPr>
          <w:rFonts w:ascii="宋体" w:hAnsi="宋体" w:eastAsia="宋体" w:cs="宋体"/>
          <w:color w:val="auto"/>
          <w:szCs w:val="21"/>
        </w:rPr>
        <w:t>.</w:t>
      </w:r>
      <w:r>
        <w:rPr>
          <w:rFonts w:hint="eastAsia" w:ascii="宋体" w:hAnsi="宋体" w:eastAsia="宋体" w:cs="宋体"/>
          <w:color w:val="auto"/>
          <w:szCs w:val="21"/>
        </w:rPr>
        <w:t>党建读物出版社，2023</w:t>
      </w:r>
      <w:r>
        <w:rPr>
          <w:rFonts w:ascii="宋体" w:hAnsi="宋体" w:eastAsia="宋体" w:cs="宋体"/>
          <w:color w:val="auto"/>
          <w:szCs w:val="21"/>
        </w:rPr>
        <w:t>.</w:t>
      </w:r>
    </w:p>
    <w:p w14:paraId="4BC75C99">
      <w:pPr>
        <w:spacing w:line="360" w:lineRule="auto"/>
        <w:ind w:firstLine="422" w:firstLineChars="200"/>
        <w:rPr>
          <w:rFonts w:hint="eastAsia" w:ascii="宋体" w:hAnsi="宋体" w:eastAsia="宋体" w:cs="Times New Roman"/>
          <w:b/>
          <w:bCs/>
          <w:color w:val="auto"/>
          <w:szCs w:val="21"/>
        </w:rPr>
      </w:pPr>
      <w:r>
        <w:rPr>
          <w:rFonts w:hint="eastAsia" w:ascii="宋体" w:hAnsi="宋体" w:eastAsia="宋体" w:cs="Times New Roman"/>
          <w:b/>
          <w:bCs/>
          <w:color w:val="auto"/>
          <w:szCs w:val="21"/>
        </w:rPr>
        <w:t>（四）教学改革</w:t>
      </w:r>
    </w:p>
    <w:p w14:paraId="3A38366B">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本课程的教学改革，需制定相应的教学方案。</w:t>
      </w:r>
      <w:bookmarkEnd w:id="10"/>
    </w:p>
    <w:p w14:paraId="198C82BC">
      <w:pPr>
        <w:autoSpaceDE w:val="0"/>
        <w:autoSpaceDN w:val="0"/>
        <w:adjustRightInd w:val="0"/>
        <w:spacing w:line="360" w:lineRule="auto"/>
        <w:ind w:firstLine="480" w:firstLineChars="200"/>
        <w:jc w:val="right"/>
        <w:rPr>
          <w:rFonts w:hint="eastAsia" w:ascii="宋体" w:hAnsi="宋体" w:eastAsia="宋体" w:cs="宋体"/>
          <w:color w:val="auto"/>
          <w:kern w:val="0"/>
          <w:sz w:val="24"/>
        </w:rPr>
      </w:pPr>
      <w:r>
        <w:rPr>
          <w:rFonts w:hint="eastAsia" w:ascii="宋体" w:hAnsi="宋体" w:eastAsia="宋体" w:cs="宋体"/>
          <w:color w:val="auto"/>
          <w:kern w:val="0"/>
          <w:sz w:val="24"/>
        </w:rPr>
        <w:t>执笔人：赵  颖</w:t>
      </w:r>
    </w:p>
    <w:p w14:paraId="3E80344C">
      <w:pPr>
        <w:autoSpaceDE w:val="0"/>
        <w:autoSpaceDN w:val="0"/>
        <w:adjustRightInd w:val="0"/>
        <w:spacing w:line="360" w:lineRule="auto"/>
        <w:ind w:firstLine="480" w:firstLineChars="200"/>
        <w:jc w:val="right"/>
        <w:rPr>
          <w:rFonts w:hint="eastAsia" w:ascii="宋体" w:hAnsi="宋体" w:eastAsia="宋体" w:cs="宋体"/>
          <w:color w:val="auto"/>
          <w:kern w:val="0"/>
          <w:sz w:val="24"/>
        </w:rPr>
      </w:pPr>
      <w:r>
        <w:rPr>
          <w:rFonts w:hint="eastAsia" w:ascii="宋体" w:hAnsi="宋体" w:eastAsia="宋体" w:cs="宋体"/>
          <w:color w:val="auto"/>
          <w:kern w:val="0"/>
          <w:sz w:val="24"/>
        </w:rPr>
        <w:t>审定人：夏天静</w:t>
      </w:r>
    </w:p>
    <w:p w14:paraId="576324D2">
      <w:pPr>
        <w:autoSpaceDE w:val="0"/>
        <w:autoSpaceDN w:val="0"/>
        <w:adjustRightInd w:val="0"/>
        <w:spacing w:line="360" w:lineRule="auto"/>
        <w:ind w:firstLine="480" w:firstLineChars="200"/>
        <w:jc w:val="right"/>
        <w:rPr>
          <w:rFonts w:hint="eastAsia" w:ascii="宋体" w:hAnsi="宋体" w:eastAsia="宋体" w:cs="宋体"/>
          <w:color w:val="auto"/>
          <w:kern w:val="0"/>
          <w:sz w:val="24"/>
        </w:rPr>
      </w:pPr>
      <w:r>
        <w:rPr>
          <w:rFonts w:hint="eastAsia" w:ascii="宋体" w:hAnsi="宋体" w:eastAsia="宋体" w:cs="宋体"/>
          <w:color w:val="auto"/>
          <w:kern w:val="0"/>
          <w:sz w:val="24"/>
        </w:rPr>
        <w:t>审批人：</w:t>
      </w:r>
      <w:r>
        <w:rPr>
          <w:rFonts w:hint="eastAsia" w:ascii="Times New Roman" w:hAnsi="Times New Roman" w:eastAsia="宋体" w:cs="Times New Roman"/>
          <w:color w:val="auto"/>
          <w:kern w:val="0"/>
          <w:sz w:val="24"/>
          <w:szCs w:val="21"/>
        </w:rPr>
        <w:t>熊焱生</w:t>
      </w:r>
    </w:p>
    <w:p w14:paraId="118864A2">
      <w:pPr>
        <w:autoSpaceDE w:val="0"/>
        <w:autoSpaceDN w:val="0"/>
        <w:adjustRightInd w:val="0"/>
        <w:spacing w:line="360" w:lineRule="auto"/>
        <w:ind w:firstLine="480" w:firstLineChars="200"/>
        <w:jc w:val="right"/>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批准时间：</w:t>
      </w:r>
      <w:r>
        <w:rPr>
          <w:rFonts w:hint="eastAsia" w:ascii="宋体" w:hAnsi="宋体" w:eastAsia="宋体" w:cs="宋体"/>
          <w:color w:val="auto"/>
          <w:kern w:val="0"/>
          <w:sz w:val="24"/>
        </w:rPr>
        <w:t>202</w:t>
      </w:r>
      <w:r>
        <w:rPr>
          <w:rFonts w:hint="eastAsia" w:ascii="宋体" w:hAnsi="宋体" w:eastAsia="宋体" w:cs="宋体"/>
          <w:color w:val="auto"/>
          <w:kern w:val="0"/>
          <w:sz w:val="24"/>
          <w:lang w:val="en-US" w:eastAsia="zh-CN"/>
        </w:rPr>
        <w:t>5</w:t>
      </w:r>
      <w:r>
        <w:rPr>
          <w:rFonts w:hint="eastAsia" w:ascii="宋体" w:hAnsi="宋体" w:eastAsia="宋体" w:cs="宋体"/>
          <w:color w:val="auto"/>
          <w:kern w:val="0"/>
          <w:sz w:val="24"/>
        </w:rPr>
        <w:t>年</w:t>
      </w:r>
      <w:r>
        <w:rPr>
          <w:rFonts w:hint="eastAsia" w:ascii="宋体" w:hAnsi="宋体" w:eastAsia="宋体" w:cs="宋体"/>
          <w:color w:val="auto"/>
          <w:kern w:val="0"/>
          <w:sz w:val="24"/>
          <w:lang w:val="en-US" w:eastAsia="zh-CN"/>
        </w:rPr>
        <w:t>7</w:t>
      </w:r>
      <w:r>
        <w:rPr>
          <w:rFonts w:hint="eastAsia" w:ascii="宋体" w:hAnsi="宋体" w:eastAsia="宋体" w:cs="宋体"/>
          <w:color w:val="auto"/>
          <w:kern w:val="0"/>
          <w:sz w:val="24"/>
        </w:rPr>
        <w:t>月</w:t>
      </w:r>
      <w:r>
        <w:rPr>
          <w:rFonts w:hint="eastAsia" w:ascii="宋体" w:hAnsi="宋体" w:eastAsia="宋体" w:cs="宋体"/>
          <w:color w:val="auto"/>
          <w:kern w:val="0"/>
          <w:sz w:val="24"/>
          <w:lang w:val="en-US" w:eastAsia="zh-CN"/>
        </w:rPr>
        <w:t>1</w:t>
      </w:r>
      <w:r>
        <w:rPr>
          <w:rFonts w:hint="eastAsia" w:ascii="宋体" w:hAnsi="宋体" w:eastAsia="宋体" w:cs="宋体"/>
          <w:color w:val="auto"/>
          <w:kern w:val="0"/>
          <w:sz w:val="24"/>
        </w:rPr>
        <w:t>日</w:t>
      </w:r>
    </w:p>
    <w:p w14:paraId="3889543F">
      <w:pPr>
        <w:spacing w:line="360" w:lineRule="auto"/>
        <w:ind w:firstLine="562" w:firstLineChars="200"/>
        <w:jc w:val="left"/>
        <w:rPr>
          <w:rFonts w:ascii="Times New Roman" w:hAnsi="Times New Roman" w:eastAsia="宋体" w:cs="Times New Roman"/>
          <w:b/>
          <w:color w:val="auto"/>
          <w:sz w:val="28"/>
          <w:szCs w:val="28"/>
        </w:rPr>
      </w:pPr>
    </w:p>
    <w:p w14:paraId="0771D3F9">
      <w:pPr>
        <w:rPr>
          <w:color w:val="auto"/>
        </w:rPr>
      </w:pPr>
      <w:r>
        <w:rPr>
          <w:rFonts w:hint="eastAsia"/>
          <w:color w:val="auto"/>
        </w:rPr>
        <w:br w:type="page"/>
      </w:r>
    </w:p>
    <w:p w14:paraId="05FEBA07">
      <w:pPr>
        <w:pStyle w:val="2"/>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eastAsia"/>
          <w:color w:val="auto"/>
          <w:sz w:val="40"/>
          <w:szCs w:val="28"/>
        </w:rPr>
      </w:pPr>
      <w:bookmarkStart w:id="11" w:name="_Toc31134"/>
      <w:r>
        <w:rPr>
          <w:rFonts w:hint="eastAsia"/>
          <w:color w:val="auto"/>
          <w:sz w:val="40"/>
          <w:szCs w:val="28"/>
        </w:rPr>
        <w:t>《习近平新时代中国特色社会主义思想概论》</w:t>
      </w:r>
      <w:bookmarkEnd w:id="11"/>
    </w:p>
    <w:p w14:paraId="34DDBE31">
      <w:pPr>
        <w:pStyle w:val="2"/>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color w:val="auto"/>
          <w:sz w:val="40"/>
          <w:szCs w:val="28"/>
        </w:rPr>
      </w:pPr>
      <w:bookmarkStart w:id="12" w:name="_Toc17020"/>
      <w:r>
        <w:rPr>
          <w:rFonts w:hint="eastAsia"/>
          <w:color w:val="auto"/>
          <w:sz w:val="40"/>
          <w:szCs w:val="28"/>
        </w:rPr>
        <w:t>课程教学大纲</w:t>
      </w:r>
      <w:bookmarkEnd w:id="12"/>
    </w:p>
    <w:p w14:paraId="39D623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rPr>
        <w:t>（Introduction to Xi Jinping Thought on Socialism with Chinese Characteristics for a New Era）</w:t>
      </w:r>
    </w:p>
    <w:p w14:paraId="782E7B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rPr>
      </w:pPr>
    </w:p>
    <w:p w14:paraId="7ED5582A">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课程名称：习近平新时代中国特色社会主义概论</w:t>
      </w:r>
    </w:p>
    <w:p w14:paraId="59A44D33">
      <w:pPr>
        <w:spacing w:line="336" w:lineRule="auto"/>
        <w:ind w:firstLine="482" w:firstLineChars="200"/>
        <w:rPr>
          <w:rFonts w:ascii="Times New Roman" w:hAnsi="Times New Roman" w:eastAsia="宋体" w:cs="Times New Roman"/>
          <w:b/>
          <w:bCs/>
          <w:sz w:val="28"/>
          <w:szCs w:val="28"/>
        </w:rPr>
      </w:pPr>
      <w:r>
        <w:rPr>
          <w:rFonts w:ascii="Times New Roman" w:hAnsi="Times New Roman" w:eastAsia="宋体" w:cs="Times New Roman"/>
          <w:b/>
          <w:bCs/>
          <w:kern w:val="0"/>
          <w:sz w:val="24"/>
        </w:rPr>
        <w:t>课程代码：1005031</w:t>
      </w:r>
    </w:p>
    <w:p w14:paraId="0F3286CE">
      <w:pPr>
        <w:spacing w:line="336"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学    分：3</w:t>
      </w:r>
    </w:p>
    <w:p w14:paraId="206A482E">
      <w:pPr>
        <w:spacing w:line="336"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学    时：48</w:t>
      </w:r>
    </w:p>
    <w:p w14:paraId="285FE128">
      <w:pPr>
        <w:spacing w:line="336"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先修课程：</w:t>
      </w:r>
      <w:r>
        <w:rPr>
          <w:rFonts w:hint="eastAsia" w:ascii="Times New Roman" w:hAnsi="Times New Roman" w:eastAsia="宋体" w:cs="Times New Roman"/>
          <w:b/>
          <w:bCs/>
          <w:kern w:val="0"/>
          <w:sz w:val="24"/>
        </w:rPr>
        <w:t>思想道德与法治、中国近现代史纲要、马克思主义基本原理</w:t>
      </w:r>
    </w:p>
    <w:p w14:paraId="014D8A36">
      <w:pPr>
        <w:spacing w:line="336" w:lineRule="auto"/>
        <w:ind w:firstLine="482" w:firstLineChars="200"/>
        <w:rPr>
          <w:rFonts w:hint="default" w:ascii="Times New Roman" w:hAnsi="Times New Roman" w:eastAsia="宋体" w:cs="Times New Roman"/>
          <w:b/>
          <w:bCs/>
          <w:kern w:val="0"/>
          <w:sz w:val="24"/>
          <w:lang w:val="en-US" w:eastAsia="zh-CN"/>
        </w:rPr>
      </w:pPr>
      <w:r>
        <w:rPr>
          <w:rFonts w:ascii="Times New Roman" w:hAnsi="Times New Roman" w:eastAsia="宋体" w:cs="Times New Roman"/>
          <w:b/>
          <w:bCs/>
          <w:kern w:val="0"/>
          <w:sz w:val="24"/>
        </w:rPr>
        <w:t>适用专业：</w:t>
      </w:r>
      <w:r>
        <w:rPr>
          <w:rFonts w:hint="eastAsia" w:ascii="Times New Roman" w:hAnsi="Times New Roman" w:eastAsia="宋体" w:cs="Times New Roman"/>
          <w:b/>
          <w:bCs/>
          <w:kern w:val="0"/>
          <w:sz w:val="24"/>
          <w:lang w:val="en-US" w:eastAsia="zh-CN"/>
        </w:rPr>
        <w:t>全校所有专业</w:t>
      </w:r>
    </w:p>
    <w:p w14:paraId="40EB55C2">
      <w:pPr>
        <w:keepNext w:val="0"/>
        <w:keepLines w:val="0"/>
        <w:pageBreakBefore w:val="0"/>
        <w:widowControl w:val="0"/>
        <w:kinsoku/>
        <w:wordWrap/>
        <w:overflowPunct/>
        <w:topLinePunct w:val="0"/>
        <w:autoSpaceDE/>
        <w:autoSpaceDN/>
        <w:bidi w:val="0"/>
        <w:adjustRightInd/>
        <w:snapToGrid/>
        <w:spacing w:before="62" w:beforeLines="20" w:after="62" w:afterLines="20" w:line="360" w:lineRule="auto"/>
        <w:jc w:val="left"/>
        <w:textAlignment w:val="auto"/>
        <w:rPr>
          <w:rFonts w:ascii="Times New Roman" w:hAnsi="Times New Roman" w:eastAsia="宋体" w:cs="Times New Roman"/>
          <w:b/>
          <w:sz w:val="24"/>
        </w:rPr>
      </w:pPr>
      <w:r>
        <w:rPr>
          <w:rFonts w:ascii="Times New Roman" w:hAnsi="Times New Roman" w:eastAsia="宋体" w:cs="Times New Roman"/>
          <w:b/>
          <w:sz w:val="24"/>
        </w:rPr>
        <w:t>一、课程</w:t>
      </w:r>
      <w:r>
        <w:rPr>
          <w:rFonts w:hint="eastAsia" w:ascii="Times New Roman" w:hAnsi="Times New Roman" w:eastAsia="宋体" w:cs="Times New Roman"/>
          <w:b/>
          <w:sz w:val="24"/>
        </w:rPr>
        <w:t>简介</w:t>
      </w:r>
    </w:p>
    <w:p w14:paraId="1F45BBBF">
      <w:pPr>
        <w:autoSpaceDE w:val="0"/>
        <w:autoSpaceDN w:val="0"/>
        <w:adjustRightIn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kern w:val="0"/>
          <w:szCs w:val="21"/>
        </w:rPr>
        <w:t>本课程</w:t>
      </w:r>
      <w:r>
        <w:rPr>
          <w:rFonts w:ascii="Times New Roman" w:hAnsi="Times New Roman" w:eastAsia="宋体" w:cs="Times New Roman"/>
          <w:kern w:val="0"/>
          <w:szCs w:val="21"/>
        </w:rPr>
        <w:t>是</w:t>
      </w:r>
      <w:r>
        <w:rPr>
          <w:rFonts w:hint="eastAsia" w:ascii="Times New Roman" w:hAnsi="Times New Roman" w:eastAsia="宋体" w:cs="Times New Roman"/>
          <w:kern w:val="0"/>
          <w:szCs w:val="21"/>
        </w:rPr>
        <w:t>小学教育本科专业的通识必修</w:t>
      </w:r>
      <w:r>
        <w:rPr>
          <w:rFonts w:ascii="Times New Roman" w:hAnsi="Times New Roman" w:eastAsia="宋体" w:cs="Times New Roman"/>
          <w:kern w:val="0"/>
          <w:szCs w:val="21"/>
        </w:rPr>
        <w:t>课</w:t>
      </w:r>
      <w:r>
        <w:rPr>
          <w:rFonts w:ascii="Times New Roman" w:hAnsi="Times New Roman" w:eastAsia="宋体" w:cs="Times New Roman"/>
          <w:szCs w:val="21"/>
        </w:rPr>
        <w:t>。</w:t>
      </w:r>
      <w:r>
        <w:rPr>
          <w:rFonts w:hint="eastAsia" w:ascii="Times New Roman" w:hAnsi="Times New Roman" w:eastAsia="宋体" w:cs="Times New Roman"/>
          <w:szCs w:val="21"/>
        </w:rPr>
        <w:t>本课程围绕科学回答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重大时代课题而展开，通过系统讲授习近平新时代中国特色社会主义思想形成的时代背景、核心要义、精神实质、丰富内涵、重大意义、历史地位和实践要求，帮助大学生掌握党的最新理论创新成果，提升理论素养，树牢“四个意识”</w:t>
      </w:r>
      <w:r>
        <w:rPr>
          <w:rFonts w:ascii="Times New Roman" w:hAnsi="Times New Roman" w:eastAsia="宋体" w:cs="Times New Roman"/>
          <w:szCs w:val="21"/>
        </w:rPr>
        <w:t>，坚定</w:t>
      </w:r>
      <w:r>
        <w:rPr>
          <w:rFonts w:hint="eastAsia" w:ascii="Times New Roman" w:hAnsi="Times New Roman" w:eastAsia="宋体" w:cs="Times New Roman"/>
          <w:szCs w:val="21"/>
        </w:rPr>
        <w:t>“四个自信”</w:t>
      </w:r>
      <w:r>
        <w:rPr>
          <w:rFonts w:ascii="Times New Roman" w:hAnsi="Times New Roman" w:eastAsia="宋体" w:cs="Times New Roman"/>
          <w:szCs w:val="21"/>
        </w:rPr>
        <w:t>，坚决做到</w:t>
      </w:r>
      <w:r>
        <w:rPr>
          <w:rFonts w:hint="eastAsia" w:ascii="Times New Roman" w:hAnsi="Times New Roman" w:eastAsia="宋体" w:cs="Times New Roman"/>
          <w:szCs w:val="21"/>
        </w:rPr>
        <w:t>“两个维护”</w:t>
      </w:r>
      <w:r>
        <w:rPr>
          <w:rFonts w:ascii="Times New Roman" w:hAnsi="Times New Roman" w:eastAsia="宋体" w:cs="Times New Roman"/>
          <w:szCs w:val="21"/>
        </w:rPr>
        <w:t>，有助于学生更好把握中国特色社会主义</w:t>
      </w:r>
      <w:r>
        <w:rPr>
          <w:rFonts w:hint="eastAsia" w:ascii="Times New Roman" w:hAnsi="Times New Roman" w:eastAsia="宋体" w:cs="Times New Roman"/>
          <w:szCs w:val="21"/>
        </w:rPr>
        <w:t>的理论精髓与实践要义，自觉投身到建设新时代中国特色社会主义的伟大历史进程中去，成为中国特色社会主义事业的建设者和接班人。</w:t>
      </w:r>
    </w:p>
    <w:p w14:paraId="51405C76">
      <w:pPr>
        <w:keepNext w:val="0"/>
        <w:keepLines w:val="0"/>
        <w:pageBreakBefore w:val="0"/>
        <w:widowControl w:val="0"/>
        <w:kinsoku/>
        <w:wordWrap/>
        <w:overflowPunct/>
        <w:topLinePunct w:val="0"/>
        <w:autoSpaceDE/>
        <w:autoSpaceDN/>
        <w:bidi w:val="0"/>
        <w:adjustRightInd/>
        <w:snapToGrid/>
        <w:spacing w:before="62" w:beforeLines="20" w:after="62" w:afterLines="20" w:line="360" w:lineRule="auto"/>
        <w:jc w:val="left"/>
        <w:textAlignment w:val="auto"/>
        <w:rPr>
          <w:rFonts w:ascii="Times New Roman" w:hAnsi="Times New Roman" w:eastAsia="宋体" w:cs="Times New Roman"/>
          <w:b/>
          <w:sz w:val="24"/>
        </w:rPr>
      </w:pPr>
      <w:r>
        <w:rPr>
          <w:rFonts w:ascii="Times New Roman" w:hAnsi="Times New Roman" w:eastAsia="宋体" w:cs="Times New Roman"/>
          <w:b/>
          <w:sz w:val="24"/>
        </w:rPr>
        <w:t>二、课程目标及对毕业要求的支撑</w:t>
      </w:r>
    </w:p>
    <w:p w14:paraId="2D27FF0C">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（一）课程具体目标</w:t>
      </w:r>
    </w:p>
    <w:p w14:paraId="72704393">
      <w:pPr>
        <w:spacing w:line="360" w:lineRule="auto"/>
        <w:ind w:firstLine="422" w:firstLineChars="200"/>
        <w:rPr>
          <w:rFonts w:hint="eastAsia" w:ascii="宋体" w:hAnsi="宋体" w:eastAsia="宋体" w:cs="宋体"/>
          <w:bCs/>
          <w:szCs w:val="21"/>
        </w:rPr>
      </w:pPr>
      <w:r>
        <w:rPr>
          <w:rFonts w:hint="eastAsia" w:ascii="宋体" w:hAnsi="宋体" w:eastAsia="宋体" w:cs="宋体"/>
          <w:b/>
          <w:szCs w:val="21"/>
        </w:rPr>
        <w:t>目标1.</w:t>
      </w:r>
      <w:r>
        <w:rPr>
          <w:rFonts w:hint="eastAsia" w:ascii="宋体" w:hAnsi="宋体" w:eastAsia="宋体" w:cs="宋体"/>
          <w:bCs/>
          <w:szCs w:val="21"/>
        </w:rPr>
        <w:t xml:space="preserve"> 能够掌握党的最新理论创新成果，更好把握中国特色社会主义的理论精髓，提升理论素养。认同中国特色社会主义，自觉践行社会主义核心价值观，贯彻党的教育方针。</w:t>
      </w:r>
    </w:p>
    <w:p w14:paraId="57DD64E6">
      <w:pPr>
        <w:spacing w:line="360" w:lineRule="auto"/>
        <w:ind w:firstLine="422" w:firstLineChars="200"/>
        <w:rPr>
          <w:rFonts w:hint="eastAsia" w:ascii="宋体" w:hAnsi="宋体" w:eastAsia="宋体" w:cs="宋体"/>
          <w:bCs/>
          <w:szCs w:val="21"/>
        </w:rPr>
      </w:pPr>
      <w:r>
        <w:rPr>
          <w:rFonts w:hint="eastAsia" w:ascii="宋体" w:hAnsi="宋体" w:eastAsia="宋体" w:cs="宋体"/>
          <w:b/>
          <w:szCs w:val="21"/>
        </w:rPr>
        <w:t>目标 2.</w:t>
      </w:r>
      <w:r>
        <w:rPr>
          <w:rFonts w:hint="eastAsia" w:ascii="宋体" w:hAnsi="宋体" w:eastAsia="宋体" w:cs="宋体"/>
          <w:bCs/>
          <w:szCs w:val="21"/>
        </w:rPr>
        <w:t>能够掌握习</w:t>
      </w:r>
      <w:bookmarkStart w:id="13" w:name="_Hlk187841676"/>
      <w:r>
        <w:rPr>
          <w:rFonts w:hint="eastAsia" w:ascii="宋体" w:hAnsi="宋体" w:eastAsia="宋体" w:cs="宋体"/>
          <w:bCs/>
          <w:szCs w:val="21"/>
        </w:rPr>
        <w:t>近平新时代中国特色社会主义思想</w:t>
      </w:r>
      <w:bookmarkEnd w:id="13"/>
      <w:r>
        <w:rPr>
          <w:rFonts w:hint="eastAsia" w:ascii="宋体" w:hAnsi="宋体" w:eastAsia="宋体" w:cs="宋体"/>
          <w:bCs/>
          <w:szCs w:val="21"/>
        </w:rPr>
        <w:t>的核心要义、方法论、根本立场，增强运用习近平新时代中国特色社会主义思想指导实践的能力，提高科学思维能力，增强分析问题、解决问题的实践本领。</w:t>
      </w:r>
    </w:p>
    <w:p w14:paraId="6374A731">
      <w:pPr>
        <w:spacing w:line="360" w:lineRule="auto"/>
        <w:ind w:firstLine="422" w:firstLineChars="200"/>
        <w:rPr>
          <w:rFonts w:hint="eastAsia" w:ascii="宋体" w:hAnsi="宋体" w:eastAsia="宋体" w:cs="宋体"/>
          <w:bCs/>
          <w:szCs w:val="21"/>
        </w:rPr>
      </w:pPr>
      <w:r>
        <w:rPr>
          <w:rFonts w:hint="eastAsia" w:ascii="宋体" w:hAnsi="宋体" w:eastAsia="宋体" w:cs="宋体"/>
          <w:b/>
          <w:szCs w:val="21"/>
        </w:rPr>
        <w:t>目标</w:t>
      </w:r>
      <w:r>
        <w:rPr>
          <w:rFonts w:ascii="宋体" w:hAnsi="宋体" w:eastAsia="宋体" w:cs="宋体"/>
          <w:b/>
          <w:szCs w:val="21"/>
        </w:rPr>
        <w:t>3</w:t>
      </w:r>
      <w:r>
        <w:rPr>
          <w:rFonts w:hint="eastAsia" w:ascii="宋体" w:hAnsi="宋体" w:eastAsia="宋体" w:cs="宋体"/>
          <w:b/>
          <w:szCs w:val="21"/>
        </w:rPr>
        <w:t>.</w:t>
      </w:r>
      <w:r>
        <w:rPr>
          <w:rFonts w:hint="eastAsia" w:ascii="宋体" w:hAnsi="宋体" w:eastAsia="宋体" w:cs="宋体"/>
          <w:bCs/>
          <w:szCs w:val="21"/>
        </w:rPr>
        <w:t>能够掌握近平新时代中国特色社会主义思想主要内容，掌握“十个明确”“十四个坚持”“十三个方面成就”所涉及的相关知识。</w:t>
      </w:r>
    </w:p>
    <w:p w14:paraId="0D3EE243">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（二）课程目标及其对毕业要求指标点的支撑</w:t>
      </w:r>
    </w:p>
    <w:tbl>
      <w:tblPr>
        <w:tblStyle w:val="15"/>
        <w:tblW w:w="8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5836"/>
        <w:gridCol w:w="1345"/>
      </w:tblGrid>
      <w:tr w14:paraId="730B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47" w:type="dxa"/>
            <w:shd w:val="clear" w:color="auto" w:fill="auto"/>
            <w:noWrap/>
            <w:vAlign w:val="center"/>
          </w:tcPr>
          <w:p w14:paraId="407AE78D">
            <w:pPr>
              <w:widowControl/>
              <w:jc w:val="center"/>
              <w:rPr>
                <w:rFonts w:hint="eastAsia" w:ascii="宋体" w:hAnsi="宋体" w:eastAsia="宋体" w:cs="宋体"/>
                <w:b/>
                <w:bCs/>
                <w:kern w:val="0"/>
                <w:szCs w:val="21"/>
              </w:rPr>
            </w:pPr>
            <w:r>
              <w:rPr>
                <w:rFonts w:hint="eastAsia" w:ascii="宋体" w:hAnsi="宋体" w:eastAsia="宋体" w:cs="宋体"/>
                <w:b/>
                <w:bCs/>
                <w:kern w:val="0"/>
                <w:szCs w:val="21"/>
              </w:rPr>
              <w:t>毕业要求</w:t>
            </w:r>
          </w:p>
        </w:tc>
        <w:tc>
          <w:tcPr>
            <w:tcW w:w="5836" w:type="dxa"/>
            <w:shd w:val="clear" w:color="auto" w:fill="auto"/>
            <w:noWrap/>
            <w:vAlign w:val="center"/>
          </w:tcPr>
          <w:p w14:paraId="4611E370">
            <w:pPr>
              <w:widowControl/>
              <w:jc w:val="center"/>
              <w:rPr>
                <w:rFonts w:hint="eastAsia" w:ascii="宋体" w:hAnsi="宋体" w:eastAsia="宋体" w:cs="宋体"/>
                <w:b/>
                <w:bCs/>
                <w:kern w:val="0"/>
                <w:szCs w:val="21"/>
              </w:rPr>
            </w:pPr>
            <w:r>
              <w:rPr>
                <w:rFonts w:hint="eastAsia" w:ascii="宋体" w:hAnsi="宋体" w:eastAsia="宋体" w:cs="宋体"/>
                <w:b/>
                <w:bCs/>
                <w:kern w:val="0"/>
                <w:szCs w:val="21"/>
              </w:rPr>
              <w:t>毕业要求指标点</w:t>
            </w:r>
          </w:p>
        </w:tc>
        <w:tc>
          <w:tcPr>
            <w:tcW w:w="1345" w:type="dxa"/>
            <w:shd w:val="clear" w:color="auto" w:fill="auto"/>
            <w:noWrap/>
            <w:vAlign w:val="center"/>
          </w:tcPr>
          <w:p w14:paraId="374F2A03">
            <w:pPr>
              <w:widowControl/>
              <w:jc w:val="center"/>
              <w:rPr>
                <w:rFonts w:hint="eastAsia" w:ascii="宋体" w:hAnsi="宋体" w:eastAsia="宋体" w:cs="宋体"/>
                <w:b/>
                <w:bCs/>
                <w:kern w:val="0"/>
                <w:szCs w:val="21"/>
              </w:rPr>
            </w:pPr>
            <w:r>
              <w:rPr>
                <w:rFonts w:hint="eastAsia" w:ascii="宋体" w:hAnsi="宋体" w:eastAsia="宋体" w:cs="宋体"/>
                <w:b/>
                <w:bCs/>
                <w:kern w:val="0"/>
                <w:szCs w:val="21"/>
              </w:rPr>
              <w:t>课程目标</w:t>
            </w:r>
          </w:p>
        </w:tc>
      </w:tr>
      <w:tr w14:paraId="6F3F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247" w:type="dxa"/>
            <w:shd w:val="clear" w:color="auto" w:fill="auto"/>
            <w:noWrap/>
            <w:vAlign w:val="center"/>
          </w:tcPr>
          <w:p w14:paraId="6349AFF8">
            <w:pPr>
              <w:widowControl/>
              <w:jc w:val="center"/>
              <w:rPr>
                <w:rFonts w:hint="eastAsia" w:ascii="宋体" w:hAnsi="宋体" w:eastAsia="宋体" w:cs="宋体"/>
                <w:kern w:val="0"/>
                <w:szCs w:val="21"/>
              </w:rPr>
            </w:pPr>
            <w:r>
              <w:rPr>
                <w:rFonts w:hint="eastAsia" w:ascii="宋体" w:hAnsi="宋体" w:eastAsia="宋体" w:cs="宋体"/>
                <w:kern w:val="0"/>
                <w:szCs w:val="21"/>
              </w:rPr>
              <w:t>毕业要求1</w:t>
            </w:r>
          </w:p>
          <w:p w14:paraId="1C0442D1">
            <w:pPr>
              <w:widowControl/>
              <w:jc w:val="center"/>
              <w:rPr>
                <w:rFonts w:hint="eastAsia" w:ascii="宋体" w:hAnsi="宋体" w:eastAsia="宋体" w:cs="宋体"/>
                <w:kern w:val="0"/>
                <w:szCs w:val="21"/>
              </w:rPr>
            </w:pPr>
            <w:r>
              <w:rPr>
                <w:rFonts w:hint="eastAsia" w:ascii="宋体" w:hAnsi="宋体" w:eastAsia="宋体" w:cs="宋体"/>
                <w:kern w:val="0"/>
                <w:szCs w:val="21"/>
              </w:rPr>
              <w:t>师德规范</w:t>
            </w:r>
          </w:p>
        </w:tc>
        <w:tc>
          <w:tcPr>
            <w:tcW w:w="5836" w:type="dxa"/>
            <w:shd w:val="clear" w:color="auto" w:fill="auto"/>
            <w:noWrap/>
            <w:vAlign w:val="center"/>
          </w:tcPr>
          <w:p w14:paraId="6A841FEB">
            <w:pPr>
              <w:rPr>
                <w:rFonts w:hint="eastAsia" w:ascii="宋体" w:hAnsi="宋体" w:eastAsia="宋体" w:cs="宋体"/>
                <w:bCs/>
                <w:kern w:val="0"/>
                <w:szCs w:val="21"/>
              </w:rPr>
            </w:pPr>
            <w:r>
              <w:rPr>
                <w:rFonts w:hint="eastAsia" w:ascii="宋体" w:hAnsi="宋体" w:eastAsia="宋体" w:cs="宋体"/>
                <w:b/>
                <w:bCs/>
                <w:kern w:val="0"/>
                <w:szCs w:val="21"/>
                <w:lang w:eastAsia="zh-CN"/>
              </w:rPr>
              <w:t>指标点1-1</w:t>
            </w:r>
            <w:r>
              <w:rPr>
                <w:rFonts w:hint="eastAsia" w:ascii="宋体" w:hAnsi="宋体" w:eastAsia="宋体" w:cs="宋体"/>
                <w:bCs/>
                <w:kern w:val="0"/>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345" w:type="dxa"/>
            <w:shd w:val="clear" w:color="auto" w:fill="auto"/>
            <w:noWrap/>
            <w:vAlign w:val="center"/>
          </w:tcPr>
          <w:p w14:paraId="69C96BF6">
            <w:pPr>
              <w:widowControl/>
              <w:rPr>
                <w:rFonts w:hint="eastAsia" w:ascii="宋体" w:hAnsi="宋体" w:eastAsia="宋体" w:cs="宋体"/>
                <w:bCs/>
                <w:kern w:val="0"/>
                <w:szCs w:val="21"/>
              </w:rPr>
            </w:pPr>
            <w:r>
              <w:rPr>
                <w:rFonts w:hint="eastAsia" w:ascii="宋体" w:hAnsi="宋体" w:eastAsia="宋体" w:cs="宋体"/>
                <w:bCs/>
                <w:kern w:val="0"/>
                <w:szCs w:val="21"/>
              </w:rPr>
              <w:t>课程目标1</w:t>
            </w:r>
          </w:p>
        </w:tc>
      </w:tr>
      <w:tr w14:paraId="1C7B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247" w:type="dxa"/>
            <w:shd w:val="clear" w:color="auto" w:fill="auto"/>
            <w:noWrap/>
            <w:vAlign w:val="center"/>
          </w:tcPr>
          <w:p w14:paraId="5A1EEDB5">
            <w:pPr>
              <w:widowControl/>
              <w:jc w:val="center"/>
              <w:rPr>
                <w:rFonts w:hint="eastAsia" w:ascii="宋体" w:hAnsi="宋体" w:eastAsia="宋体" w:cs="宋体"/>
                <w:kern w:val="0"/>
                <w:szCs w:val="21"/>
              </w:rPr>
            </w:pPr>
            <w:r>
              <w:rPr>
                <w:rFonts w:hint="eastAsia" w:ascii="宋体" w:hAnsi="宋体" w:eastAsia="宋体" w:cs="宋体"/>
                <w:kern w:val="0"/>
                <w:szCs w:val="21"/>
              </w:rPr>
              <w:t>毕业要求2</w:t>
            </w:r>
          </w:p>
          <w:p w14:paraId="778EA89C">
            <w:pPr>
              <w:widowControl/>
              <w:jc w:val="center"/>
              <w:rPr>
                <w:rFonts w:hint="eastAsia" w:ascii="宋体" w:hAnsi="宋体" w:eastAsia="宋体" w:cs="宋体"/>
                <w:kern w:val="0"/>
                <w:szCs w:val="21"/>
              </w:rPr>
            </w:pPr>
            <w:r>
              <w:rPr>
                <w:rFonts w:hint="eastAsia" w:ascii="宋体" w:hAnsi="宋体" w:eastAsia="宋体" w:cs="宋体"/>
                <w:kern w:val="0"/>
                <w:szCs w:val="21"/>
              </w:rPr>
              <w:t>教育情怀</w:t>
            </w:r>
          </w:p>
        </w:tc>
        <w:tc>
          <w:tcPr>
            <w:tcW w:w="5836" w:type="dxa"/>
            <w:shd w:val="clear" w:color="auto" w:fill="auto"/>
            <w:noWrap/>
            <w:vAlign w:val="center"/>
          </w:tcPr>
          <w:p w14:paraId="36E76115">
            <w:pPr>
              <w:rPr>
                <w:rFonts w:hint="eastAsia" w:ascii="宋体" w:hAnsi="宋体" w:eastAsia="宋体" w:cs="宋体"/>
                <w:bCs/>
                <w:kern w:val="0"/>
                <w:szCs w:val="21"/>
              </w:rPr>
            </w:pPr>
            <w:r>
              <w:rPr>
                <w:rFonts w:hint="eastAsia" w:ascii="宋体" w:hAnsi="宋体" w:eastAsia="宋体" w:cs="宋体"/>
                <w:b/>
                <w:bCs/>
                <w:kern w:val="0"/>
                <w:szCs w:val="21"/>
                <w:lang w:eastAsia="zh-CN"/>
              </w:rPr>
              <w:t>指标点2-3</w:t>
            </w:r>
            <w:r>
              <w:rPr>
                <w:rFonts w:ascii="宋体" w:hAnsi="宋体" w:eastAsia="宋体" w:cs="宋体"/>
                <w:bCs/>
                <w:kern w:val="0"/>
                <w:szCs w:val="21"/>
              </w:rPr>
              <w:t>：【自身修养良好】具有较好的人文艺术底蕴与科学</w:t>
            </w:r>
            <w:r>
              <w:rPr>
                <w:rFonts w:hint="eastAsia" w:ascii="宋体" w:hAnsi="宋体" w:eastAsia="宋体" w:cs="宋体"/>
                <w:bCs/>
                <w:kern w:val="0"/>
                <w:szCs w:val="21"/>
              </w:rPr>
              <w:t>精神，言行举止符合教师职业标准，情感积极，人格健全，身心健康。</w:t>
            </w:r>
          </w:p>
        </w:tc>
        <w:tc>
          <w:tcPr>
            <w:tcW w:w="1345" w:type="dxa"/>
            <w:shd w:val="clear" w:color="auto" w:fill="auto"/>
            <w:noWrap/>
            <w:vAlign w:val="center"/>
          </w:tcPr>
          <w:p w14:paraId="65843892">
            <w:pPr>
              <w:widowControl/>
              <w:rPr>
                <w:rFonts w:hint="eastAsia" w:ascii="宋体" w:hAnsi="宋体" w:eastAsia="宋体" w:cs="宋体"/>
                <w:bCs/>
                <w:kern w:val="0"/>
                <w:szCs w:val="21"/>
              </w:rPr>
            </w:pPr>
            <w:r>
              <w:rPr>
                <w:rFonts w:hint="eastAsia" w:ascii="宋体" w:hAnsi="宋体" w:eastAsia="宋体" w:cs="宋体"/>
                <w:bCs/>
                <w:kern w:val="0"/>
                <w:szCs w:val="21"/>
              </w:rPr>
              <w:t>课程目标2</w:t>
            </w:r>
          </w:p>
        </w:tc>
      </w:tr>
      <w:tr w14:paraId="51FA7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247" w:type="dxa"/>
            <w:shd w:val="clear" w:color="auto" w:fill="auto"/>
            <w:noWrap/>
            <w:vAlign w:val="center"/>
          </w:tcPr>
          <w:p w14:paraId="001A28F6">
            <w:pPr>
              <w:widowControl/>
              <w:jc w:val="center"/>
              <w:rPr>
                <w:rFonts w:hint="eastAsia" w:ascii="宋体" w:hAnsi="宋体" w:eastAsia="宋体" w:cs="宋体"/>
                <w:kern w:val="0"/>
                <w:szCs w:val="21"/>
              </w:rPr>
            </w:pPr>
            <w:r>
              <w:rPr>
                <w:rFonts w:hint="eastAsia" w:ascii="宋体" w:hAnsi="宋体" w:eastAsia="宋体" w:cs="宋体"/>
                <w:kern w:val="0"/>
                <w:szCs w:val="21"/>
              </w:rPr>
              <w:t>毕业要求7</w:t>
            </w:r>
          </w:p>
          <w:p w14:paraId="3A871CC7">
            <w:pPr>
              <w:widowControl/>
              <w:jc w:val="center"/>
              <w:rPr>
                <w:rFonts w:hint="eastAsia" w:ascii="宋体" w:hAnsi="宋体" w:eastAsia="宋体" w:cs="宋体"/>
                <w:kern w:val="0"/>
                <w:szCs w:val="21"/>
              </w:rPr>
            </w:pPr>
            <w:r>
              <w:rPr>
                <w:rFonts w:hint="eastAsia" w:ascii="宋体" w:hAnsi="宋体" w:eastAsia="宋体" w:cs="宋体"/>
                <w:kern w:val="0"/>
                <w:szCs w:val="21"/>
              </w:rPr>
              <w:t>学会反思</w:t>
            </w:r>
          </w:p>
        </w:tc>
        <w:tc>
          <w:tcPr>
            <w:tcW w:w="5836" w:type="dxa"/>
            <w:shd w:val="clear" w:color="auto" w:fill="auto"/>
            <w:noWrap/>
            <w:vAlign w:val="center"/>
          </w:tcPr>
          <w:p w14:paraId="6C67DF66">
            <w:pPr>
              <w:widowControl/>
              <w:rPr>
                <w:rFonts w:hint="eastAsia" w:ascii="宋体" w:hAnsi="宋体" w:eastAsia="宋体" w:cs="宋体"/>
                <w:kern w:val="0"/>
                <w:szCs w:val="21"/>
              </w:rPr>
            </w:pPr>
            <w:r>
              <w:rPr>
                <w:rFonts w:hint="eastAsia" w:ascii="宋体" w:hAnsi="宋体" w:eastAsia="宋体" w:cs="宋体"/>
                <w:b/>
                <w:kern w:val="0"/>
                <w:szCs w:val="21"/>
                <w:lang w:eastAsia="zh-CN"/>
              </w:rPr>
              <w:t>指标点7-1</w:t>
            </w:r>
            <w:r>
              <w:rPr>
                <w:rFonts w:ascii="宋体" w:hAnsi="宋体" w:eastAsia="宋体" w:cs="宋体"/>
                <w:kern w:val="0"/>
                <w:szCs w:val="21"/>
              </w:rPr>
              <w:t>：【教育视野开阔】积极关注基础教育领域的国内外</w:t>
            </w:r>
            <w:r>
              <w:rPr>
                <w:rFonts w:hint="eastAsia" w:ascii="宋体" w:hAnsi="宋体" w:eastAsia="宋体" w:cs="宋体"/>
                <w:kern w:val="0"/>
                <w:szCs w:val="21"/>
              </w:rPr>
              <w:t>交流进展，了解国内外基础教育改革发展的动态，具有宽广的教育视野，能够主动适应新时代和教育发展需求。</w:t>
            </w:r>
          </w:p>
        </w:tc>
        <w:tc>
          <w:tcPr>
            <w:tcW w:w="1345" w:type="dxa"/>
            <w:shd w:val="clear" w:color="auto" w:fill="auto"/>
            <w:noWrap/>
            <w:vAlign w:val="center"/>
          </w:tcPr>
          <w:p w14:paraId="67F2357A">
            <w:pPr>
              <w:widowControl/>
              <w:ind w:right="34" w:rightChars="16"/>
              <w:rPr>
                <w:rFonts w:hint="eastAsia" w:ascii="宋体" w:hAnsi="宋体" w:eastAsia="宋体" w:cs="宋体"/>
                <w:bCs/>
                <w:kern w:val="0"/>
                <w:szCs w:val="21"/>
              </w:rPr>
            </w:pPr>
            <w:r>
              <w:rPr>
                <w:rFonts w:hint="eastAsia" w:ascii="宋体" w:hAnsi="宋体" w:eastAsia="宋体" w:cs="宋体"/>
                <w:bCs/>
                <w:kern w:val="0"/>
                <w:szCs w:val="21"/>
              </w:rPr>
              <w:t>课程目标</w:t>
            </w:r>
            <w:r>
              <w:rPr>
                <w:rFonts w:ascii="宋体" w:hAnsi="宋体" w:eastAsia="宋体" w:cs="宋体"/>
                <w:bCs/>
                <w:kern w:val="0"/>
                <w:szCs w:val="21"/>
              </w:rPr>
              <w:t>3</w:t>
            </w:r>
          </w:p>
        </w:tc>
      </w:tr>
    </w:tbl>
    <w:p w14:paraId="110247CE">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t>三、</w:t>
      </w:r>
      <w:r>
        <w:rPr>
          <w:rFonts w:hint="eastAsia" w:ascii="Times New Roman" w:hAnsi="Times New Roman" w:eastAsia="宋体" w:cs="Times New Roman"/>
          <w:b/>
          <w:sz w:val="24"/>
        </w:rPr>
        <w:t>教学内容与预期学习成效</w:t>
      </w:r>
    </w:p>
    <w:tbl>
      <w:tblPr>
        <w:tblStyle w:val="15"/>
        <w:tblW w:w="8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2126"/>
        <w:gridCol w:w="1276"/>
        <w:gridCol w:w="2512"/>
        <w:gridCol w:w="1489"/>
        <w:gridCol w:w="535"/>
      </w:tblGrid>
      <w:tr w14:paraId="101A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 w:type="dxa"/>
            <w:shd w:val="clear" w:color="auto" w:fill="auto"/>
            <w:vAlign w:val="center"/>
          </w:tcPr>
          <w:p w14:paraId="75FEA965">
            <w:pPr>
              <w:spacing w:line="240" w:lineRule="auto"/>
              <w:jc w:val="center"/>
              <w:rPr>
                <w:rFonts w:hint="eastAsia" w:ascii="宋体" w:hAnsi="宋体" w:eastAsia="宋体" w:cs="Times New Roman"/>
                <w:szCs w:val="21"/>
              </w:rPr>
            </w:pPr>
            <w:r>
              <w:rPr>
                <w:rFonts w:hint="eastAsia" w:ascii="宋体" w:hAnsi="宋体" w:eastAsia="宋体" w:cs="Times New Roman"/>
                <w:szCs w:val="21"/>
              </w:rPr>
              <w:t>知识</w:t>
            </w:r>
          </w:p>
          <w:p w14:paraId="1F897524">
            <w:pPr>
              <w:spacing w:line="240" w:lineRule="auto"/>
              <w:jc w:val="center"/>
              <w:rPr>
                <w:rFonts w:hint="eastAsia" w:ascii="宋体" w:hAnsi="宋体" w:eastAsia="宋体" w:cs="Times New Roman"/>
                <w:szCs w:val="21"/>
              </w:rPr>
            </w:pPr>
            <w:r>
              <w:rPr>
                <w:rFonts w:hint="eastAsia" w:ascii="宋体" w:hAnsi="宋体" w:eastAsia="宋体" w:cs="Times New Roman"/>
                <w:szCs w:val="21"/>
              </w:rPr>
              <w:t>单元</w:t>
            </w:r>
          </w:p>
        </w:tc>
        <w:tc>
          <w:tcPr>
            <w:tcW w:w="2126" w:type="dxa"/>
            <w:shd w:val="clear" w:color="auto" w:fill="auto"/>
            <w:vAlign w:val="center"/>
          </w:tcPr>
          <w:p w14:paraId="775FAE9B">
            <w:pPr>
              <w:spacing w:line="240" w:lineRule="auto"/>
              <w:jc w:val="center"/>
              <w:rPr>
                <w:rFonts w:hint="eastAsia" w:ascii="宋体" w:hAnsi="宋体" w:eastAsia="宋体" w:cs="Times New Roman"/>
                <w:szCs w:val="21"/>
              </w:rPr>
            </w:pPr>
            <w:r>
              <w:rPr>
                <w:rFonts w:hint="eastAsia" w:ascii="宋体" w:hAnsi="宋体" w:eastAsia="宋体" w:cs="Times New Roman"/>
                <w:szCs w:val="21"/>
              </w:rPr>
              <w:t>知识点</w:t>
            </w:r>
          </w:p>
        </w:tc>
        <w:tc>
          <w:tcPr>
            <w:tcW w:w="1276" w:type="dxa"/>
            <w:shd w:val="clear" w:color="auto" w:fill="auto"/>
            <w:vAlign w:val="center"/>
          </w:tcPr>
          <w:p w14:paraId="2CBA69EB">
            <w:pPr>
              <w:spacing w:line="240" w:lineRule="auto"/>
              <w:jc w:val="center"/>
              <w:rPr>
                <w:rFonts w:hint="eastAsia" w:ascii="宋体" w:hAnsi="宋体" w:eastAsia="宋体" w:cs="宋体"/>
                <w:szCs w:val="21"/>
              </w:rPr>
            </w:pPr>
            <w:r>
              <w:rPr>
                <w:rFonts w:hint="eastAsia" w:ascii="宋体" w:hAnsi="宋体" w:eastAsia="宋体" w:cs="宋体"/>
                <w:szCs w:val="21"/>
              </w:rPr>
              <w:t>对应</w:t>
            </w:r>
          </w:p>
          <w:p w14:paraId="067E2EB9">
            <w:pPr>
              <w:spacing w:line="240" w:lineRule="auto"/>
              <w:jc w:val="center"/>
              <w:rPr>
                <w:rFonts w:hint="eastAsia" w:ascii="宋体" w:hAnsi="宋体" w:eastAsia="宋体" w:cs="Times New Roman"/>
                <w:szCs w:val="21"/>
              </w:rPr>
            </w:pPr>
            <w:r>
              <w:rPr>
                <w:rFonts w:hint="eastAsia" w:ascii="宋体" w:hAnsi="宋体" w:eastAsia="宋体" w:cs="宋体"/>
                <w:szCs w:val="21"/>
              </w:rPr>
              <w:t>课程目标</w:t>
            </w:r>
          </w:p>
        </w:tc>
        <w:tc>
          <w:tcPr>
            <w:tcW w:w="2512" w:type="dxa"/>
            <w:shd w:val="clear" w:color="auto" w:fill="auto"/>
            <w:vAlign w:val="center"/>
          </w:tcPr>
          <w:p w14:paraId="31D31439">
            <w:pPr>
              <w:spacing w:line="240" w:lineRule="auto"/>
              <w:jc w:val="center"/>
              <w:rPr>
                <w:rFonts w:hint="eastAsia" w:ascii="宋体" w:hAnsi="宋体" w:eastAsia="宋体" w:cs="Times New Roman"/>
                <w:szCs w:val="21"/>
              </w:rPr>
            </w:pPr>
            <w:r>
              <w:rPr>
                <w:rFonts w:hint="eastAsia" w:ascii="宋体" w:hAnsi="宋体" w:eastAsia="宋体" w:cs="Times New Roman"/>
                <w:szCs w:val="21"/>
              </w:rPr>
              <w:t>预期学习成果</w:t>
            </w:r>
          </w:p>
        </w:tc>
        <w:tc>
          <w:tcPr>
            <w:tcW w:w="1489" w:type="dxa"/>
            <w:shd w:val="clear" w:color="auto" w:fill="auto"/>
            <w:vAlign w:val="center"/>
          </w:tcPr>
          <w:p w14:paraId="09BB9E36">
            <w:pPr>
              <w:spacing w:line="240" w:lineRule="auto"/>
              <w:jc w:val="center"/>
              <w:rPr>
                <w:rFonts w:hint="eastAsia" w:ascii="宋体" w:hAnsi="宋体" w:eastAsia="宋体" w:cs="Times New Roman"/>
                <w:szCs w:val="21"/>
              </w:rPr>
            </w:pPr>
            <w:r>
              <w:rPr>
                <w:rFonts w:hint="eastAsia" w:ascii="宋体" w:hAnsi="宋体" w:eastAsia="宋体" w:cs="宋体"/>
                <w:szCs w:val="21"/>
              </w:rPr>
              <w:t>实现环节</w:t>
            </w:r>
          </w:p>
        </w:tc>
        <w:tc>
          <w:tcPr>
            <w:tcW w:w="535" w:type="dxa"/>
            <w:shd w:val="clear" w:color="auto" w:fill="auto"/>
            <w:vAlign w:val="center"/>
          </w:tcPr>
          <w:p w14:paraId="7DB12660">
            <w:pPr>
              <w:spacing w:line="240" w:lineRule="auto"/>
              <w:jc w:val="center"/>
              <w:rPr>
                <w:rFonts w:hint="eastAsia" w:ascii="宋体" w:hAnsi="宋体" w:eastAsia="宋体" w:cs="Times New Roman"/>
                <w:szCs w:val="21"/>
              </w:rPr>
            </w:pPr>
            <w:r>
              <w:rPr>
                <w:rFonts w:hint="eastAsia" w:ascii="宋体" w:hAnsi="宋体" w:eastAsia="宋体" w:cs="Times New Roman"/>
                <w:szCs w:val="21"/>
              </w:rPr>
              <w:t>学时</w:t>
            </w:r>
          </w:p>
        </w:tc>
      </w:tr>
      <w:tr w14:paraId="6E09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56C5AA6D">
            <w:pPr>
              <w:spacing w:line="240" w:lineRule="auto"/>
              <w:jc w:val="center"/>
              <w:rPr>
                <w:rFonts w:hint="eastAsia" w:ascii="宋体" w:hAnsi="宋体" w:eastAsia="宋体" w:cs="Times New Roman"/>
                <w:szCs w:val="21"/>
              </w:rPr>
            </w:pPr>
            <w:r>
              <w:rPr>
                <w:rFonts w:hint="eastAsia" w:ascii="宋体" w:hAnsi="宋体" w:eastAsia="宋体" w:cs="Times New Roman"/>
                <w:szCs w:val="21"/>
              </w:rPr>
              <w:t>1.导论</w:t>
            </w:r>
          </w:p>
        </w:tc>
        <w:tc>
          <w:tcPr>
            <w:tcW w:w="2126" w:type="dxa"/>
            <w:vAlign w:val="center"/>
          </w:tcPr>
          <w:p w14:paraId="322C276B">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1）习近平新时代中国特色社会主义思想创立的时代背景</w:t>
            </w:r>
          </w:p>
          <w:p w14:paraId="62F0F8E1">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2）习近平新时代中国特色社会主义思想是“两个结合”的重大成果</w:t>
            </w:r>
          </w:p>
          <w:p w14:paraId="5188B4BE">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3）习近平新时代中国特色社会主义思想是完整的科学体系</w:t>
            </w:r>
          </w:p>
          <w:p w14:paraId="048AB12C">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4）习近平新时代中国特色社会主义思想的历史地位</w:t>
            </w:r>
          </w:p>
          <w:p w14:paraId="57BB97C9">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5）深刻领悟“两个确立”的决定性意义</w:t>
            </w:r>
          </w:p>
          <w:p w14:paraId="653EA681">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6）学好用好习近平新时代中国特色社会主义思想</w:t>
            </w:r>
          </w:p>
        </w:tc>
        <w:tc>
          <w:tcPr>
            <w:tcW w:w="1276" w:type="dxa"/>
            <w:vAlign w:val="center"/>
          </w:tcPr>
          <w:p w14:paraId="2F869415">
            <w:pPr>
              <w:spacing w:line="240" w:lineRule="auto"/>
              <w:jc w:val="left"/>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1</w:t>
            </w:r>
            <w:r>
              <w:rPr>
                <w:rFonts w:hint="eastAsia" w:ascii="宋体" w:hAnsi="宋体" w:eastAsia="宋体" w:cs="Times New Roman"/>
                <w:szCs w:val="21"/>
              </w:rPr>
              <w:t>课程目标</w:t>
            </w:r>
            <w:r>
              <w:rPr>
                <w:rFonts w:ascii="宋体" w:hAnsi="宋体" w:eastAsia="宋体" w:cs="Times New Roman"/>
                <w:szCs w:val="21"/>
              </w:rPr>
              <w:t>2</w:t>
            </w:r>
            <w:r>
              <w:rPr>
                <w:rFonts w:hint="eastAsia" w:ascii="宋体" w:hAnsi="宋体" w:eastAsia="宋体" w:cs="Times New Roman"/>
                <w:szCs w:val="21"/>
              </w:rPr>
              <w:t>课程目标</w:t>
            </w:r>
            <w:r>
              <w:rPr>
                <w:rFonts w:ascii="宋体" w:hAnsi="宋体" w:eastAsia="宋体" w:cs="Times New Roman"/>
                <w:szCs w:val="21"/>
              </w:rPr>
              <w:t>3</w:t>
            </w:r>
          </w:p>
        </w:tc>
        <w:tc>
          <w:tcPr>
            <w:tcW w:w="2512" w:type="dxa"/>
            <w:vAlign w:val="center"/>
          </w:tcPr>
          <w:p w14:paraId="58EBAEB6">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1）掌握习近平新时代中国特色社会主义思想形成的时代背景、核心要义、精神实质、丰富内涵</w:t>
            </w:r>
          </w:p>
          <w:p w14:paraId="12980A62">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2）理解习近平新时代中国特色社会主义思想的重大意义、历史地位和实践要求</w:t>
            </w:r>
          </w:p>
        </w:tc>
        <w:tc>
          <w:tcPr>
            <w:tcW w:w="1489" w:type="dxa"/>
            <w:vAlign w:val="center"/>
          </w:tcPr>
          <w:p w14:paraId="6DD304C6">
            <w:pPr>
              <w:spacing w:line="240" w:lineRule="auto"/>
              <w:jc w:val="left"/>
              <w:rPr>
                <w:rFonts w:hint="eastAsia" w:ascii="宋体" w:hAnsi="宋体" w:eastAsia="宋体" w:cs="Times New Roman"/>
                <w:szCs w:val="21"/>
              </w:rPr>
            </w:pPr>
            <w:r>
              <w:rPr>
                <w:rFonts w:ascii="宋体" w:hAnsi="宋体" w:eastAsia="宋体" w:cs="Times New Roman"/>
                <w:szCs w:val="21"/>
              </w:rPr>
              <w:t>1.线上学习</w:t>
            </w:r>
          </w:p>
          <w:p w14:paraId="536B2274">
            <w:pPr>
              <w:spacing w:line="240" w:lineRule="auto"/>
              <w:jc w:val="left"/>
              <w:rPr>
                <w:rFonts w:hint="eastAsia" w:ascii="宋体" w:hAnsi="宋体" w:eastAsia="宋体" w:cs="Times New Roman"/>
                <w:szCs w:val="21"/>
              </w:rPr>
            </w:pPr>
            <w:r>
              <w:rPr>
                <w:rFonts w:ascii="宋体" w:hAnsi="宋体" w:eastAsia="宋体" w:cs="Times New Roman"/>
                <w:szCs w:val="21"/>
              </w:rPr>
              <w:t>2.多媒体教学</w:t>
            </w:r>
          </w:p>
          <w:p w14:paraId="5015A62A">
            <w:pPr>
              <w:spacing w:line="240" w:lineRule="auto"/>
              <w:jc w:val="left"/>
              <w:rPr>
                <w:rFonts w:hint="eastAsia" w:ascii="宋体" w:hAnsi="宋体" w:eastAsia="宋体" w:cs="Times New Roman"/>
                <w:szCs w:val="21"/>
              </w:rPr>
            </w:pPr>
            <w:r>
              <w:rPr>
                <w:rFonts w:ascii="宋体" w:hAnsi="宋体" w:eastAsia="宋体" w:cs="Times New Roman"/>
                <w:szCs w:val="21"/>
              </w:rPr>
              <w:t>3.课堂讨论</w:t>
            </w:r>
          </w:p>
          <w:p w14:paraId="699473EB">
            <w:pPr>
              <w:spacing w:line="240" w:lineRule="auto"/>
              <w:jc w:val="left"/>
              <w:rPr>
                <w:rFonts w:hint="eastAsia" w:ascii="宋体" w:hAnsi="宋体" w:eastAsia="宋体" w:cs="Times New Roman"/>
                <w:szCs w:val="21"/>
              </w:rPr>
            </w:pPr>
            <w:r>
              <w:rPr>
                <w:rFonts w:ascii="宋体" w:hAnsi="宋体" w:eastAsia="宋体" w:cs="Times New Roman"/>
                <w:szCs w:val="21"/>
              </w:rPr>
              <w:t>4.单元测验</w:t>
            </w:r>
          </w:p>
        </w:tc>
        <w:tc>
          <w:tcPr>
            <w:tcW w:w="535" w:type="dxa"/>
            <w:vAlign w:val="center"/>
          </w:tcPr>
          <w:p w14:paraId="7F2FF654">
            <w:pPr>
              <w:spacing w:line="240"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1FC3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0DE17552">
            <w:pPr>
              <w:spacing w:line="240" w:lineRule="auto"/>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新时代坚持和发展中国特色社会主义</w:t>
            </w:r>
          </w:p>
          <w:p w14:paraId="1D5E963F">
            <w:pPr>
              <w:spacing w:line="240" w:lineRule="auto"/>
              <w:jc w:val="center"/>
              <w:rPr>
                <w:rFonts w:hint="eastAsia" w:ascii="宋体" w:hAnsi="宋体" w:eastAsia="宋体" w:cs="Times New Roman"/>
                <w:szCs w:val="21"/>
              </w:rPr>
            </w:pPr>
          </w:p>
        </w:tc>
        <w:tc>
          <w:tcPr>
            <w:tcW w:w="2126" w:type="dxa"/>
            <w:vAlign w:val="center"/>
          </w:tcPr>
          <w:p w14:paraId="50B69EFD">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1）方向决定道路，道路决定命运</w:t>
            </w:r>
          </w:p>
          <w:p w14:paraId="08FE4148">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2）中国特色社会主义进入新时代</w:t>
            </w:r>
            <w:r>
              <w:rPr>
                <w:rFonts w:ascii="宋体" w:hAnsi="宋体" w:eastAsia="宋体" w:cs="Times New Roman"/>
                <w:szCs w:val="21"/>
              </w:rPr>
              <w:tab/>
            </w:r>
          </w:p>
          <w:p w14:paraId="1D1B13D1">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3）新时代坚持和发展中国特色社会主义要一以贯之</w:t>
            </w:r>
          </w:p>
          <w:p w14:paraId="32D3F64B">
            <w:pPr>
              <w:spacing w:line="240" w:lineRule="auto"/>
              <w:jc w:val="left"/>
              <w:rPr>
                <w:rFonts w:hint="eastAsia" w:ascii="宋体" w:hAnsi="宋体" w:eastAsia="宋体" w:cs="Times New Roman"/>
                <w:szCs w:val="21"/>
              </w:rPr>
            </w:pPr>
          </w:p>
        </w:tc>
        <w:tc>
          <w:tcPr>
            <w:tcW w:w="1276" w:type="dxa"/>
            <w:vAlign w:val="center"/>
          </w:tcPr>
          <w:p w14:paraId="089C6C06">
            <w:pPr>
              <w:spacing w:line="240" w:lineRule="auto"/>
              <w:jc w:val="left"/>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1课程目标2课程目标3</w:t>
            </w:r>
          </w:p>
        </w:tc>
        <w:tc>
          <w:tcPr>
            <w:tcW w:w="2512" w:type="dxa"/>
            <w:vAlign w:val="center"/>
          </w:tcPr>
          <w:p w14:paraId="73E8CE4F">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1）理解中国特色社会主义是历史和人民的选择</w:t>
            </w:r>
          </w:p>
          <w:p w14:paraId="453FAC61">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2）掌握中国特色社会主义新时代的科学内涵、新时代伟大变革及其里程碑意义</w:t>
            </w:r>
          </w:p>
          <w:p w14:paraId="36C4CC7F">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3）理解全面贯彻党的基本理论、基本路线、基本方略，统筹推进“五位一体”总体布局和协调推进“四个全面”战略布局的重大意义</w:t>
            </w:r>
          </w:p>
        </w:tc>
        <w:tc>
          <w:tcPr>
            <w:tcW w:w="1489" w:type="dxa"/>
            <w:vAlign w:val="center"/>
          </w:tcPr>
          <w:p w14:paraId="36E5F403">
            <w:pPr>
              <w:spacing w:line="240" w:lineRule="auto"/>
              <w:jc w:val="left"/>
              <w:rPr>
                <w:rFonts w:hint="eastAsia" w:ascii="宋体" w:hAnsi="宋体" w:eastAsia="宋体"/>
                <w:szCs w:val="21"/>
              </w:rPr>
            </w:pPr>
            <w:r>
              <w:rPr>
                <w:rFonts w:ascii="宋体" w:hAnsi="宋体" w:eastAsia="宋体"/>
                <w:szCs w:val="21"/>
              </w:rPr>
              <w:t>1.线上学习</w:t>
            </w:r>
          </w:p>
          <w:p w14:paraId="2ECEE2B2">
            <w:pPr>
              <w:spacing w:line="240" w:lineRule="auto"/>
              <w:jc w:val="left"/>
              <w:rPr>
                <w:rFonts w:hint="eastAsia" w:ascii="宋体" w:hAnsi="宋体" w:eastAsia="宋体"/>
                <w:szCs w:val="21"/>
              </w:rPr>
            </w:pPr>
            <w:r>
              <w:rPr>
                <w:rFonts w:ascii="宋体" w:hAnsi="宋体" w:eastAsia="宋体"/>
                <w:szCs w:val="21"/>
              </w:rPr>
              <w:t>2.多媒体教学</w:t>
            </w:r>
          </w:p>
          <w:p w14:paraId="51DB84B4">
            <w:pPr>
              <w:spacing w:line="240" w:lineRule="auto"/>
              <w:jc w:val="left"/>
              <w:rPr>
                <w:rFonts w:hint="eastAsia" w:ascii="宋体" w:hAnsi="宋体" w:eastAsia="宋体"/>
                <w:szCs w:val="21"/>
              </w:rPr>
            </w:pPr>
            <w:r>
              <w:rPr>
                <w:rFonts w:ascii="宋体" w:hAnsi="宋体" w:eastAsia="宋体"/>
                <w:szCs w:val="21"/>
              </w:rPr>
              <w:t>3.课堂讨论</w:t>
            </w:r>
          </w:p>
          <w:p w14:paraId="6D7ED683">
            <w:pPr>
              <w:spacing w:line="240" w:lineRule="auto"/>
              <w:jc w:val="left"/>
              <w:rPr>
                <w:rFonts w:hint="eastAsia" w:ascii="宋体" w:hAnsi="宋体" w:eastAsia="宋体"/>
                <w:szCs w:val="21"/>
              </w:rPr>
            </w:pPr>
            <w:r>
              <w:rPr>
                <w:rFonts w:ascii="宋体" w:hAnsi="宋体" w:eastAsia="宋体"/>
                <w:szCs w:val="21"/>
              </w:rPr>
              <w:t>4.单元测验</w:t>
            </w:r>
          </w:p>
        </w:tc>
        <w:tc>
          <w:tcPr>
            <w:tcW w:w="535" w:type="dxa"/>
            <w:vMerge w:val="restart"/>
            <w:vAlign w:val="center"/>
          </w:tcPr>
          <w:p w14:paraId="35F859B9">
            <w:pPr>
              <w:spacing w:line="240" w:lineRule="auto"/>
              <w:jc w:val="center"/>
              <w:rPr>
                <w:rFonts w:hint="eastAsia" w:ascii="宋体" w:hAnsi="宋体" w:eastAsia="宋体" w:cs="Times New Roman"/>
                <w:szCs w:val="21"/>
              </w:rPr>
            </w:pPr>
            <w:r>
              <w:rPr>
                <w:rFonts w:ascii="宋体" w:hAnsi="宋体" w:eastAsia="宋体"/>
                <w:szCs w:val="21"/>
              </w:rPr>
              <w:t>3</w:t>
            </w:r>
          </w:p>
          <w:p w14:paraId="1396EB0C">
            <w:pPr>
              <w:spacing w:line="240" w:lineRule="auto"/>
              <w:jc w:val="center"/>
              <w:rPr>
                <w:rFonts w:hint="eastAsia" w:ascii="宋体" w:hAnsi="宋体" w:eastAsia="宋体" w:cs="Times New Roman"/>
                <w:szCs w:val="21"/>
              </w:rPr>
            </w:pPr>
          </w:p>
        </w:tc>
      </w:tr>
      <w:tr w14:paraId="012B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389625EC">
            <w:pPr>
              <w:spacing w:line="240" w:lineRule="auto"/>
              <w:jc w:val="center"/>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以中国式现代化全面推进中华民族伟大复兴</w:t>
            </w:r>
          </w:p>
        </w:tc>
        <w:tc>
          <w:tcPr>
            <w:tcW w:w="2126" w:type="dxa"/>
            <w:vAlign w:val="center"/>
          </w:tcPr>
          <w:p w14:paraId="7339ABF1">
            <w:pPr>
              <w:spacing w:line="240" w:lineRule="auto"/>
              <w:jc w:val="left"/>
              <w:rPr>
                <w:rFonts w:hint="eastAsia" w:ascii="宋体" w:hAnsi="宋体" w:eastAsia="宋体" w:cs="Times New Roman"/>
                <w:szCs w:val="21"/>
              </w:rPr>
            </w:pPr>
          </w:p>
          <w:p w14:paraId="06863B42">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1）中华民族近代以来最伟大的梦想</w:t>
            </w:r>
          </w:p>
          <w:p w14:paraId="669C0C72">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2）中国式现代化是强国建设、民族复兴的唯一正确道路</w:t>
            </w:r>
          </w:p>
          <w:p w14:paraId="0B965778">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3）推进中国式现代化行稳致远</w:t>
            </w:r>
          </w:p>
          <w:p w14:paraId="21A65935">
            <w:pPr>
              <w:spacing w:line="240" w:lineRule="auto"/>
              <w:jc w:val="left"/>
              <w:rPr>
                <w:rFonts w:hint="eastAsia" w:ascii="宋体" w:hAnsi="宋体" w:eastAsia="宋体" w:cs="Times New Roman"/>
                <w:szCs w:val="21"/>
              </w:rPr>
            </w:pPr>
          </w:p>
        </w:tc>
        <w:tc>
          <w:tcPr>
            <w:tcW w:w="1276" w:type="dxa"/>
            <w:vAlign w:val="center"/>
          </w:tcPr>
          <w:p w14:paraId="05B90C17">
            <w:pPr>
              <w:spacing w:line="240" w:lineRule="auto"/>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27118CEC">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1）理解中华民族伟大复兴中国梦的内涵</w:t>
            </w:r>
          </w:p>
          <w:p w14:paraId="675806E9">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2）理解全面建成小康社会的里程碑意义</w:t>
            </w:r>
          </w:p>
          <w:p w14:paraId="370DF5EE">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3）掌握中国式现代化的中国特色、本质要求和重大原则</w:t>
            </w:r>
          </w:p>
          <w:p w14:paraId="2DA08AC5">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4）掌握推进中国式现代化需要正确处理的重大关系</w:t>
            </w:r>
          </w:p>
        </w:tc>
        <w:tc>
          <w:tcPr>
            <w:tcW w:w="1489" w:type="dxa"/>
            <w:vAlign w:val="center"/>
          </w:tcPr>
          <w:p w14:paraId="02F88335">
            <w:pPr>
              <w:spacing w:line="240" w:lineRule="auto"/>
              <w:jc w:val="left"/>
              <w:rPr>
                <w:rFonts w:hint="eastAsia" w:ascii="宋体" w:hAnsi="宋体" w:eastAsia="宋体" w:cs="Times New Roman"/>
                <w:szCs w:val="21"/>
              </w:rPr>
            </w:pPr>
            <w:r>
              <w:rPr>
                <w:rFonts w:ascii="宋体" w:hAnsi="宋体" w:eastAsia="宋体" w:cs="Times New Roman"/>
                <w:szCs w:val="21"/>
              </w:rPr>
              <w:t>1.线上学习</w:t>
            </w:r>
          </w:p>
          <w:p w14:paraId="12CE415A">
            <w:pPr>
              <w:spacing w:line="240" w:lineRule="auto"/>
              <w:jc w:val="left"/>
              <w:rPr>
                <w:rFonts w:hint="eastAsia" w:ascii="宋体" w:hAnsi="宋体" w:eastAsia="宋体" w:cs="Times New Roman"/>
                <w:szCs w:val="21"/>
              </w:rPr>
            </w:pPr>
            <w:r>
              <w:rPr>
                <w:rFonts w:ascii="宋体" w:hAnsi="宋体" w:eastAsia="宋体" w:cs="Times New Roman"/>
                <w:szCs w:val="21"/>
              </w:rPr>
              <w:t>2.多媒体教学</w:t>
            </w:r>
          </w:p>
          <w:p w14:paraId="0DADDCE9">
            <w:pPr>
              <w:spacing w:line="240" w:lineRule="auto"/>
              <w:jc w:val="left"/>
              <w:rPr>
                <w:rFonts w:hint="eastAsia" w:ascii="宋体" w:hAnsi="宋体" w:eastAsia="宋体" w:cs="Times New Roman"/>
                <w:szCs w:val="21"/>
              </w:rPr>
            </w:pPr>
            <w:r>
              <w:rPr>
                <w:rFonts w:ascii="宋体" w:hAnsi="宋体" w:eastAsia="宋体" w:cs="Times New Roman"/>
                <w:szCs w:val="21"/>
              </w:rPr>
              <w:t>3.课堂讨论</w:t>
            </w:r>
          </w:p>
          <w:p w14:paraId="62009E80">
            <w:pPr>
              <w:spacing w:line="240" w:lineRule="auto"/>
              <w:jc w:val="left"/>
              <w:rPr>
                <w:rFonts w:hint="eastAsia" w:ascii="宋体" w:hAnsi="宋体" w:eastAsia="宋体" w:cs="Times New Roman"/>
                <w:szCs w:val="21"/>
              </w:rPr>
            </w:pPr>
            <w:r>
              <w:rPr>
                <w:rFonts w:ascii="宋体" w:hAnsi="宋体" w:eastAsia="宋体" w:cs="Times New Roman"/>
                <w:szCs w:val="21"/>
              </w:rPr>
              <w:t>4.单元测验</w:t>
            </w:r>
          </w:p>
        </w:tc>
        <w:tc>
          <w:tcPr>
            <w:tcW w:w="535" w:type="dxa"/>
            <w:vMerge w:val="continue"/>
            <w:vAlign w:val="center"/>
          </w:tcPr>
          <w:p w14:paraId="4CCD75C2">
            <w:pPr>
              <w:spacing w:line="240" w:lineRule="auto"/>
              <w:jc w:val="center"/>
              <w:rPr>
                <w:rFonts w:hint="eastAsia" w:ascii="宋体" w:hAnsi="宋体" w:eastAsia="宋体" w:cs="Times New Roman"/>
                <w:szCs w:val="21"/>
              </w:rPr>
            </w:pPr>
          </w:p>
        </w:tc>
      </w:tr>
      <w:tr w14:paraId="62EB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209C5F60">
            <w:pPr>
              <w:spacing w:line="240" w:lineRule="auto"/>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坚持党的全面领导</w:t>
            </w:r>
          </w:p>
        </w:tc>
        <w:tc>
          <w:tcPr>
            <w:tcW w:w="2126" w:type="dxa"/>
            <w:vAlign w:val="center"/>
          </w:tcPr>
          <w:p w14:paraId="2A03B9DF">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1）中国共产党领导是中国特色社会主义最本质的特征</w:t>
            </w:r>
          </w:p>
          <w:p w14:paraId="6BFE6B3D">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2）坚持党对一切工作的领导</w:t>
            </w:r>
          </w:p>
          <w:p w14:paraId="2C9B826F">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3）健全和完善党的领导制度体系</w:t>
            </w:r>
          </w:p>
        </w:tc>
        <w:tc>
          <w:tcPr>
            <w:tcW w:w="1276" w:type="dxa"/>
            <w:vAlign w:val="center"/>
          </w:tcPr>
          <w:p w14:paraId="64E7B530">
            <w:pPr>
              <w:spacing w:line="240" w:lineRule="auto"/>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281EDC9D">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1）掌握中国共产党领导是中国特色社会主义最本质的特征，党的领导制度是我国的根本领导制度</w:t>
            </w:r>
          </w:p>
          <w:p w14:paraId="43023546">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2）掌握坚持党对一切工作的领导的重大意义、科学内涵、历史必然性和现实紧迫性</w:t>
            </w:r>
          </w:p>
          <w:p w14:paraId="2FDFFD31">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3）理解党的领导是全面的、系统的、整体的，自觉在思想上政治上行动上同以习近平同志为核心的党中央保持高度一致</w:t>
            </w:r>
          </w:p>
        </w:tc>
        <w:tc>
          <w:tcPr>
            <w:tcW w:w="1489" w:type="dxa"/>
            <w:vAlign w:val="center"/>
          </w:tcPr>
          <w:p w14:paraId="3F010C1B">
            <w:pPr>
              <w:spacing w:line="240" w:lineRule="auto"/>
              <w:jc w:val="left"/>
              <w:rPr>
                <w:rFonts w:hint="eastAsia" w:ascii="宋体" w:hAnsi="宋体" w:eastAsia="宋体"/>
                <w:szCs w:val="21"/>
              </w:rPr>
            </w:pPr>
            <w:r>
              <w:rPr>
                <w:rFonts w:ascii="宋体" w:hAnsi="宋体" w:eastAsia="宋体"/>
                <w:szCs w:val="21"/>
              </w:rPr>
              <w:t>1.线上学习</w:t>
            </w:r>
          </w:p>
          <w:p w14:paraId="263A3057">
            <w:pPr>
              <w:spacing w:line="240" w:lineRule="auto"/>
              <w:jc w:val="left"/>
              <w:rPr>
                <w:rFonts w:hint="eastAsia" w:ascii="宋体" w:hAnsi="宋体" w:eastAsia="宋体"/>
                <w:szCs w:val="21"/>
              </w:rPr>
            </w:pPr>
            <w:r>
              <w:rPr>
                <w:rFonts w:ascii="宋体" w:hAnsi="宋体" w:eastAsia="宋体"/>
                <w:szCs w:val="21"/>
              </w:rPr>
              <w:t>2.多媒体教学</w:t>
            </w:r>
          </w:p>
          <w:p w14:paraId="215D4CDA">
            <w:pPr>
              <w:spacing w:line="240" w:lineRule="auto"/>
              <w:jc w:val="left"/>
              <w:rPr>
                <w:rFonts w:hint="eastAsia" w:ascii="宋体" w:hAnsi="宋体" w:eastAsia="宋体"/>
                <w:szCs w:val="21"/>
              </w:rPr>
            </w:pPr>
            <w:r>
              <w:rPr>
                <w:rFonts w:ascii="宋体" w:hAnsi="宋体" w:eastAsia="宋体"/>
                <w:szCs w:val="21"/>
              </w:rPr>
              <w:t>3.课堂讨论</w:t>
            </w:r>
          </w:p>
          <w:p w14:paraId="135A1978">
            <w:pPr>
              <w:spacing w:line="240" w:lineRule="auto"/>
              <w:jc w:val="left"/>
              <w:rPr>
                <w:rFonts w:hint="eastAsia" w:ascii="宋体" w:hAnsi="宋体" w:eastAsia="宋体"/>
                <w:szCs w:val="21"/>
              </w:rPr>
            </w:pPr>
            <w:r>
              <w:rPr>
                <w:rFonts w:ascii="宋体" w:hAnsi="宋体" w:eastAsia="宋体"/>
                <w:szCs w:val="21"/>
              </w:rPr>
              <w:t>4.单元测验</w:t>
            </w:r>
          </w:p>
        </w:tc>
        <w:tc>
          <w:tcPr>
            <w:tcW w:w="535" w:type="dxa"/>
            <w:vAlign w:val="center"/>
          </w:tcPr>
          <w:p w14:paraId="028FD502">
            <w:pPr>
              <w:spacing w:line="240" w:lineRule="auto"/>
              <w:jc w:val="center"/>
              <w:rPr>
                <w:rFonts w:hint="eastAsia" w:ascii="宋体" w:hAnsi="宋体" w:eastAsia="宋体" w:cs="Times New Roman"/>
                <w:szCs w:val="21"/>
              </w:rPr>
            </w:pPr>
            <w:r>
              <w:rPr>
                <w:rFonts w:ascii="宋体" w:hAnsi="宋体" w:eastAsia="宋体"/>
                <w:szCs w:val="21"/>
              </w:rPr>
              <w:t>3</w:t>
            </w:r>
          </w:p>
        </w:tc>
      </w:tr>
      <w:tr w14:paraId="32E2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7A0E444C">
            <w:pPr>
              <w:spacing w:line="240" w:lineRule="auto"/>
              <w:jc w:val="left"/>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w:t>
            </w:r>
            <w:r>
              <w:rPr>
                <w:rFonts w:hint="eastAsia" w:ascii="宋体" w:hAnsi="宋体" w:eastAsia="宋体" w:cs="Times New Roman"/>
                <w:szCs w:val="21"/>
              </w:rPr>
              <w:t>坚持以人民为中心</w:t>
            </w:r>
          </w:p>
        </w:tc>
        <w:tc>
          <w:tcPr>
            <w:tcW w:w="2126" w:type="dxa"/>
            <w:vAlign w:val="center"/>
          </w:tcPr>
          <w:p w14:paraId="105F04C8">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1）江山就是人民，人民就是江山</w:t>
            </w:r>
          </w:p>
          <w:p w14:paraId="28473929">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2）坚持人民至上</w:t>
            </w:r>
          </w:p>
          <w:p w14:paraId="4F689ED4">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3）全面落实以人民为中心的发展思想</w:t>
            </w:r>
          </w:p>
          <w:p w14:paraId="7BA2090C">
            <w:pPr>
              <w:spacing w:line="240" w:lineRule="auto"/>
              <w:jc w:val="left"/>
              <w:rPr>
                <w:rFonts w:hint="eastAsia" w:ascii="宋体" w:hAnsi="宋体" w:eastAsia="宋体" w:cs="Times New Roman"/>
                <w:szCs w:val="21"/>
              </w:rPr>
            </w:pPr>
          </w:p>
        </w:tc>
        <w:tc>
          <w:tcPr>
            <w:tcW w:w="1276" w:type="dxa"/>
            <w:vAlign w:val="center"/>
          </w:tcPr>
          <w:p w14:paraId="12420FFE">
            <w:pPr>
              <w:spacing w:line="240" w:lineRule="auto"/>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0B6C35DB">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1）理解“江山就是人民，人民就是江山”的深刻内涵</w:t>
            </w:r>
          </w:p>
          <w:p w14:paraId="515AB6F9">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2）掌握坚持人民至上的实践要求</w:t>
            </w:r>
          </w:p>
          <w:p w14:paraId="202A52F0">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3）掌握坚持以人民为中心的发展思想的基本内涵</w:t>
            </w:r>
          </w:p>
          <w:p w14:paraId="662A2905">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4）掌握扎实推动全体人民共同富裕的原则和思路</w:t>
            </w:r>
          </w:p>
        </w:tc>
        <w:tc>
          <w:tcPr>
            <w:tcW w:w="1489" w:type="dxa"/>
            <w:vAlign w:val="center"/>
          </w:tcPr>
          <w:p w14:paraId="7A7481E0">
            <w:pPr>
              <w:spacing w:line="240" w:lineRule="auto"/>
              <w:jc w:val="left"/>
              <w:rPr>
                <w:rFonts w:hint="eastAsia" w:ascii="宋体" w:hAnsi="宋体" w:eastAsia="宋体"/>
                <w:szCs w:val="21"/>
              </w:rPr>
            </w:pPr>
            <w:r>
              <w:rPr>
                <w:rFonts w:ascii="宋体" w:hAnsi="宋体" w:eastAsia="宋体"/>
                <w:szCs w:val="21"/>
              </w:rPr>
              <w:t>1.线上学习</w:t>
            </w:r>
          </w:p>
          <w:p w14:paraId="62A75F24">
            <w:pPr>
              <w:spacing w:line="240" w:lineRule="auto"/>
              <w:jc w:val="left"/>
              <w:rPr>
                <w:rFonts w:hint="eastAsia" w:ascii="宋体" w:hAnsi="宋体" w:eastAsia="宋体"/>
                <w:szCs w:val="21"/>
              </w:rPr>
            </w:pPr>
            <w:r>
              <w:rPr>
                <w:rFonts w:ascii="宋体" w:hAnsi="宋体" w:eastAsia="宋体"/>
                <w:szCs w:val="21"/>
              </w:rPr>
              <w:t>2.多媒体教学</w:t>
            </w:r>
          </w:p>
          <w:p w14:paraId="49F9D027">
            <w:pPr>
              <w:spacing w:line="240" w:lineRule="auto"/>
              <w:jc w:val="left"/>
              <w:rPr>
                <w:rFonts w:hint="eastAsia" w:ascii="宋体" w:hAnsi="宋体" w:eastAsia="宋体"/>
                <w:szCs w:val="21"/>
              </w:rPr>
            </w:pPr>
            <w:r>
              <w:rPr>
                <w:rFonts w:ascii="宋体" w:hAnsi="宋体" w:eastAsia="宋体"/>
                <w:szCs w:val="21"/>
              </w:rPr>
              <w:t>3.课堂讨论</w:t>
            </w:r>
          </w:p>
          <w:p w14:paraId="0FB34D79">
            <w:pPr>
              <w:spacing w:line="240" w:lineRule="auto"/>
              <w:jc w:val="left"/>
              <w:rPr>
                <w:rFonts w:hint="eastAsia" w:ascii="宋体" w:hAnsi="宋体" w:eastAsia="宋体"/>
                <w:szCs w:val="21"/>
              </w:rPr>
            </w:pPr>
            <w:r>
              <w:rPr>
                <w:rFonts w:ascii="宋体" w:hAnsi="宋体" w:eastAsia="宋体"/>
                <w:szCs w:val="21"/>
              </w:rPr>
              <w:t>4.单元测验</w:t>
            </w:r>
          </w:p>
        </w:tc>
        <w:tc>
          <w:tcPr>
            <w:tcW w:w="535" w:type="dxa"/>
            <w:vAlign w:val="center"/>
          </w:tcPr>
          <w:p w14:paraId="6CAFE49C">
            <w:pPr>
              <w:spacing w:line="240" w:lineRule="auto"/>
              <w:jc w:val="center"/>
              <w:rPr>
                <w:rFonts w:hint="eastAsia" w:ascii="宋体" w:hAnsi="宋体" w:eastAsia="宋体" w:cs="Times New Roman"/>
                <w:szCs w:val="21"/>
              </w:rPr>
            </w:pPr>
            <w:r>
              <w:rPr>
                <w:rFonts w:ascii="宋体" w:hAnsi="宋体" w:eastAsia="宋体"/>
                <w:szCs w:val="21"/>
              </w:rPr>
              <w:t>3</w:t>
            </w:r>
          </w:p>
        </w:tc>
      </w:tr>
      <w:tr w14:paraId="5DDB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288104D0">
            <w:pPr>
              <w:spacing w:line="240" w:lineRule="auto"/>
              <w:jc w:val="left"/>
              <w:rPr>
                <w:rFonts w:hint="eastAsia"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全面深化改革开放</w:t>
            </w:r>
          </w:p>
          <w:p w14:paraId="78A27786">
            <w:pPr>
              <w:spacing w:line="240" w:lineRule="auto"/>
              <w:jc w:val="center"/>
              <w:rPr>
                <w:rFonts w:hint="eastAsia" w:ascii="宋体" w:hAnsi="宋体" w:eastAsia="宋体" w:cs="Times New Roman"/>
                <w:szCs w:val="21"/>
              </w:rPr>
            </w:pPr>
          </w:p>
        </w:tc>
        <w:tc>
          <w:tcPr>
            <w:tcW w:w="2126" w:type="dxa"/>
            <w:vAlign w:val="center"/>
          </w:tcPr>
          <w:p w14:paraId="0BD05954">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1）改革开放是决定当代中国命运的关键一招</w:t>
            </w:r>
          </w:p>
          <w:p w14:paraId="52FF928D">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2）统筹推进各领域各方面改革开放</w:t>
            </w:r>
          </w:p>
          <w:p w14:paraId="31A61D6A">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3）将改革开放进行到底</w:t>
            </w:r>
          </w:p>
        </w:tc>
        <w:tc>
          <w:tcPr>
            <w:tcW w:w="1276" w:type="dxa"/>
            <w:vAlign w:val="center"/>
          </w:tcPr>
          <w:p w14:paraId="4CC33E74">
            <w:pPr>
              <w:spacing w:line="240" w:lineRule="auto"/>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793FC4E6">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1）理解新时代全面深化改革开放是一场深刻革命</w:t>
            </w:r>
          </w:p>
          <w:p w14:paraId="09194BC3">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2）掌握坚持全面深化改革开放的正确方向，全面深化改革的重大意义、总目标、重大部署、方法论等。</w:t>
            </w:r>
          </w:p>
        </w:tc>
        <w:tc>
          <w:tcPr>
            <w:tcW w:w="1489" w:type="dxa"/>
            <w:vAlign w:val="center"/>
          </w:tcPr>
          <w:p w14:paraId="2A7C3548">
            <w:pPr>
              <w:spacing w:line="240" w:lineRule="auto"/>
              <w:jc w:val="left"/>
              <w:rPr>
                <w:rFonts w:hint="eastAsia" w:ascii="宋体" w:hAnsi="宋体" w:eastAsia="宋体"/>
                <w:szCs w:val="21"/>
              </w:rPr>
            </w:pPr>
            <w:r>
              <w:rPr>
                <w:rFonts w:ascii="宋体" w:hAnsi="宋体" w:eastAsia="宋体"/>
                <w:szCs w:val="21"/>
              </w:rPr>
              <w:t>1.线上学习</w:t>
            </w:r>
          </w:p>
          <w:p w14:paraId="7A14E2E5">
            <w:pPr>
              <w:spacing w:line="240" w:lineRule="auto"/>
              <w:jc w:val="left"/>
              <w:rPr>
                <w:rFonts w:hint="eastAsia" w:ascii="宋体" w:hAnsi="宋体" w:eastAsia="宋体"/>
                <w:szCs w:val="21"/>
              </w:rPr>
            </w:pPr>
            <w:r>
              <w:rPr>
                <w:rFonts w:ascii="宋体" w:hAnsi="宋体" w:eastAsia="宋体"/>
                <w:szCs w:val="21"/>
              </w:rPr>
              <w:t>2.多媒体教学</w:t>
            </w:r>
          </w:p>
          <w:p w14:paraId="0E515FEF">
            <w:pPr>
              <w:spacing w:line="240" w:lineRule="auto"/>
              <w:jc w:val="left"/>
              <w:rPr>
                <w:rFonts w:hint="eastAsia" w:ascii="宋体" w:hAnsi="宋体" w:eastAsia="宋体"/>
                <w:szCs w:val="21"/>
              </w:rPr>
            </w:pPr>
            <w:r>
              <w:rPr>
                <w:rFonts w:ascii="宋体" w:hAnsi="宋体" w:eastAsia="宋体"/>
                <w:szCs w:val="21"/>
              </w:rPr>
              <w:t>3.课堂讨论</w:t>
            </w:r>
          </w:p>
          <w:p w14:paraId="62DA074C">
            <w:pPr>
              <w:spacing w:line="240" w:lineRule="auto"/>
              <w:jc w:val="left"/>
              <w:rPr>
                <w:rFonts w:hint="eastAsia" w:ascii="宋体" w:hAnsi="宋体" w:eastAsia="宋体"/>
                <w:szCs w:val="21"/>
              </w:rPr>
            </w:pPr>
            <w:r>
              <w:rPr>
                <w:rFonts w:ascii="宋体" w:hAnsi="宋体" w:eastAsia="宋体"/>
                <w:szCs w:val="21"/>
              </w:rPr>
              <w:t>4.单元测验</w:t>
            </w:r>
          </w:p>
        </w:tc>
        <w:tc>
          <w:tcPr>
            <w:tcW w:w="535" w:type="dxa"/>
            <w:vAlign w:val="center"/>
          </w:tcPr>
          <w:p w14:paraId="6156E6A5">
            <w:pPr>
              <w:spacing w:line="240" w:lineRule="auto"/>
              <w:jc w:val="center"/>
              <w:rPr>
                <w:rFonts w:hint="eastAsia" w:ascii="宋体" w:hAnsi="宋体" w:eastAsia="宋体" w:cs="Times New Roman"/>
                <w:szCs w:val="21"/>
              </w:rPr>
            </w:pPr>
            <w:r>
              <w:rPr>
                <w:rFonts w:ascii="宋体" w:hAnsi="宋体" w:eastAsia="宋体"/>
                <w:szCs w:val="21"/>
              </w:rPr>
              <w:t>3</w:t>
            </w:r>
          </w:p>
        </w:tc>
      </w:tr>
      <w:tr w14:paraId="1CF4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3A9A881B">
            <w:pPr>
              <w:spacing w:line="240" w:lineRule="auto"/>
              <w:jc w:val="left"/>
              <w:rPr>
                <w:rFonts w:hint="eastAsia" w:ascii="宋体" w:hAnsi="宋体" w:eastAsia="宋体" w:cs="Times New Roman"/>
                <w:szCs w:val="21"/>
              </w:rPr>
            </w:pPr>
            <w:r>
              <w:rPr>
                <w:rFonts w:hint="eastAsia" w:ascii="宋体" w:hAnsi="宋体" w:eastAsia="宋体" w:cs="Times New Roman"/>
                <w:szCs w:val="21"/>
              </w:rPr>
              <w:t>7</w:t>
            </w:r>
            <w:r>
              <w:rPr>
                <w:rFonts w:ascii="宋体" w:hAnsi="宋体" w:eastAsia="宋体" w:cs="Times New Roman"/>
                <w:szCs w:val="21"/>
              </w:rPr>
              <w:t>.</w:t>
            </w:r>
            <w:r>
              <w:rPr>
                <w:rFonts w:hint="eastAsia" w:ascii="宋体" w:hAnsi="宋体" w:eastAsia="宋体" w:cs="Times New Roman"/>
                <w:szCs w:val="21"/>
              </w:rPr>
              <w:t>推动高质量发展</w:t>
            </w:r>
          </w:p>
          <w:p w14:paraId="55643F8F">
            <w:pPr>
              <w:spacing w:line="240" w:lineRule="auto"/>
              <w:jc w:val="center"/>
              <w:rPr>
                <w:rFonts w:hint="eastAsia" w:ascii="宋体" w:hAnsi="宋体" w:eastAsia="宋体" w:cs="Times New Roman"/>
                <w:szCs w:val="21"/>
              </w:rPr>
            </w:pPr>
          </w:p>
        </w:tc>
        <w:tc>
          <w:tcPr>
            <w:tcW w:w="2126" w:type="dxa"/>
            <w:vAlign w:val="center"/>
          </w:tcPr>
          <w:p w14:paraId="01E7434B">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1）完整、准确、全面贯彻新发展理念</w:t>
            </w:r>
          </w:p>
          <w:p w14:paraId="200D4EC4">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2）坚持和完善社会主义基本经济制度</w:t>
            </w:r>
          </w:p>
          <w:p w14:paraId="399389BA">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3）加快构建新发展格局</w:t>
            </w:r>
          </w:p>
          <w:p w14:paraId="6C176ADA">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4）建设现代化经济体系</w:t>
            </w:r>
          </w:p>
        </w:tc>
        <w:tc>
          <w:tcPr>
            <w:tcW w:w="1276" w:type="dxa"/>
            <w:vAlign w:val="center"/>
          </w:tcPr>
          <w:p w14:paraId="596B1592">
            <w:pPr>
              <w:spacing w:line="240" w:lineRule="auto"/>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7C275CEC">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1）理解新发展理念的形成背景、科学内涵和实践要求</w:t>
            </w:r>
          </w:p>
          <w:p w14:paraId="0D24D69A">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2）理解我国经济转向高质量发展的深刻内涵和重大意义</w:t>
            </w:r>
          </w:p>
          <w:p w14:paraId="59499801">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3）掌握坚持和完善社会主义基本经济制度的内涵和重大意义</w:t>
            </w:r>
          </w:p>
          <w:p w14:paraId="775931D5">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4）掌握构建以国内大循环为主体、国内国际双循环相互促进的新发展格局</w:t>
            </w:r>
          </w:p>
        </w:tc>
        <w:tc>
          <w:tcPr>
            <w:tcW w:w="1489" w:type="dxa"/>
            <w:vAlign w:val="center"/>
          </w:tcPr>
          <w:p w14:paraId="33D99F8E">
            <w:pPr>
              <w:spacing w:line="240" w:lineRule="auto"/>
              <w:jc w:val="left"/>
              <w:rPr>
                <w:rFonts w:hint="eastAsia" w:ascii="宋体" w:hAnsi="宋体" w:eastAsia="宋体"/>
                <w:szCs w:val="21"/>
              </w:rPr>
            </w:pPr>
            <w:r>
              <w:rPr>
                <w:rFonts w:ascii="宋体" w:hAnsi="宋体" w:eastAsia="宋体"/>
                <w:szCs w:val="21"/>
              </w:rPr>
              <w:t>1.线上学习</w:t>
            </w:r>
          </w:p>
          <w:p w14:paraId="3ECAE912">
            <w:pPr>
              <w:spacing w:line="240" w:lineRule="auto"/>
              <w:jc w:val="left"/>
              <w:rPr>
                <w:rFonts w:hint="eastAsia" w:ascii="宋体" w:hAnsi="宋体" w:eastAsia="宋体"/>
                <w:szCs w:val="21"/>
              </w:rPr>
            </w:pPr>
            <w:r>
              <w:rPr>
                <w:rFonts w:ascii="宋体" w:hAnsi="宋体" w:eastAsia="宋体"/>
                <w:szCs w:val="21"/>
              </w:rPr>
              <w:t>2.多媒体教学</w:t>
            </w:r>
          </w:p>
          <w:p w14:paraId="095C3341">
            <w:pPr>
              <w:spacing w:line="240" w:lineRule="auto"/>
              <w:jc w:val="left"/>
              <w:rPr>
                <w:rFonts w:hint="eastAsia" w:ascii="宋体" w:hAnsi="宋体" w:eastAsia="宋体"/>
                <w:szCs w:val="21"/>
              </w:rPr>
            </w:pPr>
            <w:r>
              <w:rPr>
                <w:rFonts w:ascii="宋体" w:hAnsi="宋体" w:eastAsia="宋体"/>
                <w:szCs w:val="21"/>
              </w:rPr>
              <w:t>3.课堂讨论</w:t>
            </w:r>
          </w:p>
          <w:p w14:paraId="312704AE">
            <w:pPr>
              <w:spacing w:line="240" w:lineRule="auto"/>
              <w:jc w:val="left"/>
              <w:rPr>
                <w:rFonts w:hint="eastAsia" w:ascii="宋体" w:hAnsi="宋体" w:eastAsia="宋体"/>
                <w:szCs w:val="21"/>
              </w:rPr>
            </w:pPr>
            <w:r>
              <w:rPr>
                <w:rFonts w:ascii="宋体" w:hAnsi="宋体" w:eastAsia="宋体"/>
                <w:szCs w:val="21"/>
              </w:rPr>
              <w:t>4.单元测验</w:t>
            </w:r>
          </w:p>
        </w:tc>
        <w:tc>
          <w:tcPr>
            <w:tcW w:w="535" w:type="dxa"/>
            <w:vAlign w:val="center"/>
          </w:tcPr>
          <w:p w14:paraId="40EB464D">
            <w:pPr>
              <w:spacing w:line="240" w:lineRule="auto"/>
              <w:jc w:val="center"/>
              <w:rPr>
                <w:rFonts w:hint="eastAsia" w:ascii="宋体" w:hAnsi="宋体" w:eastAsia="宋体" w:cs="Times New Roman"/>
                <w:szCs w:val="21"/>
              </w:rPr>
            </w:pPr>
            <w:r>
              <w:rPr>
                <w:rFonts w:ascii="宋体" w:hAnsi="宋体" w:eastAsia="宋体"/>
                <w:szCs w:val="21"/>
              </w:rPr>
              <w:t>3</w:t>
            </w:r>
          </w:p>
        </w:tc>
      </w:tr>
      <w:tr w14:paraId="2365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76CBAE1C">
            <w:pPr>
              <w:spacing w:line="240" w:lineRule="auto"/>
              <w:jc w:val="center"/>
              <w:rPr>
                <w:rFonts w:hint="eastAsia"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社会主义现代化建设的教育、科技、人才战略</w:t>
            </w:r>
          </w:p>
        </w:tc>
        <w:tc>
          <w:tcPr>
            <w:tcW w:w="2126" w:type="dxa"/>
            <w:vAlign w:val="center"/>
          </w:tcPr>
          <w:p w14:paraId="7EE37077">
            <w:pPr>
              <w:spacing w:line="240" w:lineRule="auto"/>
              <w:jc w:val="left"/>
              <w:rPr>
                <w:rFonts w:hint="eastAsia" w:ascii="宋体" w:hAnsi="宋体" w:eastAsia="宋体" w:cs="Times New Roman"/>
                <w:szCs w:val="21"/>
              </w:rPr>
            </w:pPr>
          </w:p>
          <w:p w14:paraId="765E6EA7">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1）全面建设社会主义现代化国家的基础性、战略性支撑</w:t>
            </w:r>
          </w:p>
          <w:p w14:paraId="1FC7EC63">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2）加快建设教育强国</w:t>
            </w:r>
          </w:p>
          <w:p w14:paraId="53C46536">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3）加快建设科技强国</w:t>
            </w:r>
          </w:p>
          <w:p w14:paraId="2B21E13D">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4）加快建设人才强国</w:t>
            </w:r>
          </w:p>
        </w:tc>
        <w:tc>
          <w:tcPr>
            <w:tcW w:w="1276" w:type="dxa"/>
            <w:vAlign w:val="center"/>
          </w:tcPr>
          <w:p w14:paraId="4DCAB4C8">
            <w:pPr>
              <w:spacing w:line="240" w:lineRule="auto"/>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74862B67">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1）理解教育、科技、人才是全面建设社会主义现代化国家的基础性、战略性支撑</w:t>
            </w:r>
          </w:p>
          <w:p w14:paraId="5A3C0AF3">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2）理解教育是国之大计、党之大计、在国家发展中的基础性先导性全局性地位</w:t>
            </w:r>
          </w:p>
          <w:p w14:paraId="4C7CE1EC">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3）理解科技自立自强是国家强盛之基、安全之要，人才是实现民族振兴、赢得国际竞争主动的战略资源</w:t>
            </w:r>
          </w:p>
          <w:p w14:paraId="6DF3E5CF">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4）掌握建设教育强国、科技强国、人才强国的内在一致性和相互支撑性</w:t>
            </w:r>
          </w:p>
        </w:tc>
        <w:tc>
          <w:tcPr>
            <w:tcW w:w="1489" w:type="dxa"/>
            <w:vAlign w:val="center"/>
          </w:tcPr>
          <w:p w14:paraId="40C4368D">
            <w:pPr>
              <w:spacing w:line="240" w:lineRule="auto"/>
              <w:jc w:val="left"/>
              <w:rPr>
                <w:rFonts w:hint="eastAsia" w:ascii="宋体" w:hAnsi="宋体" w:eastAsia="宋体"/>
                <w:szCs w:val="21"/>
              </w:rPr>
            </w:pPr>
            <w:r>
              <w:rPr>
                <w:rFonts w:ascii="宋体" w:hAnsi="宋体" w:eastAsia="宋体"/>
                <w:szCs w:val="21"/>
              </w:rPr>
              <w:t>1.线上学习</w:t>
            </w:r>
          </w:p>
          <w:p w14:paraId="426D9EE8">
            <w:pPr>
              <w:spacing w:line="240" w:lineRule="auto"/>
              <w:jc w:val="left"/>
              <w:rPr>
                <w:rFonts w:hint="eastAsia" w:ascii="宋体" w:hAnsi="宋体" w:eastAsia="宋体"/>
                <w:szCs w:val="21"/>
              </w:rPr>
            </w:pPr>
            <w:r>
              <w:rPr>
                <w:rFonts w:ascii="宋体" w:hAnsi="宋体" w:eastAsia="宋体"/>
                <w:szCs w:val="21"/>
              </w:rPr>
              <w:t>2.多媒体教学</w:t>
            </w:r>
          </w:p>
          <w:p w14:paraId="02760267">
            <w:pPr>
              <w:spacing w:line="240" w:lineRule="auto"/>
              <w:jc w:val="left"/>
              <w:rPr>
                <w:rFonts w:hint="eastAsia" w:ascii="宋体" w:hAnsi="宋体" w:eastAsia="宋体"/>
                <w:szCs w:val="21"/>
              </w:rPr>
            </w:pPr>
            <w:r>
              <w:rPr>
                <w:rFonts w:ascii="宋体" w:hAnsi="宋体" w:eastAsia="宋体"/>
                <w:szCs w:val="21"/>
              </w:rPr>
              <w:t>3.课堂讨论</w:t>
            </w:r>
          </w:p>
          <w:p w14:paraId="0446CDE9">
            <w:pPr>
              <w:spacing w:line="240" w:lineRule="auto"/>
              <w:jc w:val="left"/>
              <w:rPr>
                <w:rFonts w:hint="eastAsia" w:ascii="宋体" w:hAnsi="宋体" w:eastAsia="宋体"/>
                <w:szCs w:val="21"/>
              </w:rPr>
            </w:pPr>
            <w:r>
              <w:rPr>
                <w:rFonts w:ascii="宋体" w:hAnsi="宋体" w:eastAsia="宋体"/>
                <w:szCs w:val="21"/>
              </w:rPr>
              <w:t>4.单元测验</w:t>
            </w:r>
          </w:p>
        </w:tc>
        <w:tc>
          <w:tcPr>
            <w:tcW w:w="535" w:type="dxa"/>
            <w:vAlign w:val="center"/>
          </w:tcPr>
          <w:p w14:paraId="2B5628BB">
            <w:pPr>
              <w:spacing w:line="240" w:lineRule="auto"/>
              <w:jc w:val="center"/>
              <w:rPr>
                <w:rFonts w:hint="eastAsia" w:ascii="宋体" w:hAnsi="宋体" w:eastAsia="宋体" w:cs="Times New Roman"/>
                <w:szCs w:val="21"/>
              </w:rPr>
            </w:pPr>
            <w:r>
              <w:rPr>
                <w:rFonts w:ascii="宋体" w:hAnsi="宋体" w:eastAsia="宋体"/>
                <w:szCs w:val="21"/>
              </w:rPr>
              <w:t>3</w:t>
            </w:r>
          </w:p>
        </w:tc>
      </w:tr>
      <w:tr w14:paraId="4381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04B4E7D9">
            <w:pPr>
              <w:spacing w:line="240" w:lineRule="auto"/>
              <w:jc w:val="left"/>
              <w:rPr>
                <w:rFonts w:hint="eastAsia" w:ascii="宋体" w:hAnsi="宋体" w:eastAsia="宋体" w:cs="Times New Roman"/>
                <w:szCs w:val="21"/>
              </w:rPr>
            </w:pPr>
            <w:r>
              <w:rPr>
                <w:rFonts w:hint="eastAsia" w:ascii="宋体" w:hAnsi="宋体" w:eastAsia="宋体" w:cs="Times New Roman"/>
                <w:szCs w:val="21"/>
              </w:rPr>
              <w:t>9</w:t>
            </w:r>
            <w:r>
              <w:rPr>
                <w:rFonts w:ascii="宋体" w:hAnsi="宋体" w:eastAsia="宋体" w:cs="Times New Roman"/>
                <w:szCs w:val="21"/>
              </w:rPr>
              <w:t>.</w:t>
            </w:r>
            <w:r>
              <w:rPr>
                <w:rFonts w:hint="eastAsia" w:ascii="宋体" w:hAnsi="宋体" w:eastAsia="宋体" w:cs="Times New Roman"/>
                <w:szCs w:val="21"/>
              </w:rPr>
              <w:t>发展全过程人民民主</w:t>
            </w:r>
          </w:p>
        </w:tc>
        <w:tc>
          <w:tcPr>
            <w:tcW w:w="2126" w:type="dxa"/>
            <w:vAlign w:val="center"/>
          </w:tcPr>
          <w:p w14:paraId="2B2F120A">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1）坚定中国特色社会主义政治制度自信</w:t>
            </w:r>
          </w:p>
          <w:p w14:paraId="47D3CD2E">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2）全过程人民民主是社会主义民主政治的本质属性</w:t>
            </w:r>
          </w:p>
          <w:p w14:paraId="2373411B">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3）健全人民当家作主的制度体系</w:t>
            </w:r>
          </w:p>
          <w:p w14:paraId="17956D72">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4）巩固和发展新时代爱国统一战线</w:t>
            </w:r>
          </w:p>
        </w:tc>
        <w:tc>
          <w:tcPr>
            <w:tcW w:w="1276" w:type="dxa"/>
            <w:vAlign w:val="center"/>
          </w:tcPr>
          <w:p w14:paraId="5A947093">
            <w:pPr>
              <w:spacing w:line="240" w:lineRule="auto"/>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0BAFA028">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1）理解全过程人民民主是社会主义民主政治的本质属性</w:t>
            </w:r>
          </w:p>
          <w:p w14:paraId="6B9FCF75">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2）掌握全过程人民民主的基本内涵，发展全过程人民民主的重大意义和实践要求，人民当家作主制度体系的主要内容</w:t>
            </w:r>
          </w:p>
          <w:p w14:paraId="6CE6ACCB">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3）理解巩固和发展新时代爱国统一战线的重要意义</w:t>
            </w:r>
          </w:p>
          <w:p w14:paraId="687FDA29">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4）掌握坚定不移走中国特色社会主义政治发展道路意义与内涵</w:t>
            </w:r>
          </w:p>
        </w:tc>
        <w:tc>
          <w:tcPr>
            <w:tcW w:w="1489" w:type="dxa"/>
            <w:vAlign w:val="center"/>
          </w:tcPr>
          <w:p w14:paraId="0BE13ED3">
            <w:pPr>
              <w:spacing w:line="240" w:lineRule="auto"/>
              <w:jc w:val="left"/>
              <w:rPr>
                <w:rFonts w:hint="eastAsia" w:ascii="宋体" w:hAnsi="宋体" w:eastAsia="宋体"/>
                <w:szCs w:val="21"/>
              </w:rPr>
            </w:pPr>
            <w:r>
              <w:rPr>
                <w:rFonts w:ascii="宋体" w:hAnsi="宋体" w:eastAsia="宋体"/>
                <w:szCs w:val="21"/>
              </w:rPr>
              <w:t>1.线上学习</w:t>
            </w:r>
          </w:p>
          <w:p w14:paraId="5B33D5A7">
            <w:pPr>
              <w:spacing w:line="240" w:lineRule="auto"/>
              <w:jc w:val="left"/>
              <w:rPr>
                <w:rFonts w:hint="eastAsia" w:ascii="宋体" w:hAnsi="宋体" w:eastAsia="宋体"/>
                <w:szCs w:val="21"/>
              </w:rPr>
            </w:pPr>
            <w:r>
              <w:rPr>
                <w:rFonts w:ascii="宋体" w:hAnsi="宋体" w:eastAsia="宋体"/>
                <w:szCs w:val="21"/>
              </w:rPr>
              <w:t>2.多媒体教学</w:t>
            </w:r>
          </w:p>
          <w:p w14:paraId="6E985FED">
            <w:pPr>
              <w:spacing w:line="240" w:lineRule="auto"/>
              <w:jc w:val="left"/>
              <w:rPr>
                <w:rFonts w:hint="eastAsia" w:ascii="宋体" w:hAnsi="宋体" w:eastAsia="宋体"/>
                <w:szCs w:val="21"/>
              </w:rPr>
            </w:pPr>
            <w:r>
              <w:rPr>
                <w:rFonts w:ascii="宋体" w:hAnsi="宋体" w:eastAsia="宋体"/>
                <w:szCs w:val="21"/>
              </w:rPr>
              <w:t>3.课堂讨论</w:t>
            </w:r>
          </w:p>
          <w:p w14:paraId="66A4F564">
            <w:pPr>
              <w:spacing w:line="240" w:lineRule="auto"/>
              <w:jc w:val="left"/>
              <w:rPr>
                <w:rFonts w:hint="eastAsia" w:ascii="宋体" w:hAnsi="宋体" w:eastAsia="宋体"/>
                <w:szCs w:val="21"/>
              </w:rPr>
            </w:pPr>
            <w:r>
              <w:rPr>
                <w:rFonts w:ascii="宋体" w:hAnsi="宋体" w:eastAsia="宋体"/>
                <w:szCs w:val="21"/>
              </w:rPr>
              <w:t>4.单元测验</w:t>
            </w:r>
          </w:p>
        </w:tc>
        <w:tc>
          <w:tcPr>
            <w:tcW w:w="535" w:type="dxa"/>
            <w:vAlign w:val="center"/>
          </w:tcPr>
          <w:p w14:paraId="6166E58D">
            <w:pPr>
              <w:spacing w:line="240" w:lineRule="auto"/>
              <w:jc w:val="center"/>
              <w:rPr>
                <w:rFonts w:hint="eastAsia" w:ascii="宋体" w:hAnsi="宋体" w:eastAsia="宋体" w:cs="Times New Roman"/>
                <w:szCs w:val="21"/>
              </w:rPr>
            </w:pPr>
            <w:r>
              <w:rPr>
                <w:rFonts w:ascii="宋体" w:hAnsi="宋体" w:eastAsia="宋体"/>
                <w:szCs w:val="21"/>
              </w:rPr>
              <w:t>3</w:t>
            </w:r>
          </w:p>
        </w:tc>
      </w:tr>
      <w:tr w14:paraId="086C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5152A7A4">
            <w:pPr>
              <w:spacing w:line="240" w:lineRule="auto"/>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r>
              <w:rPr>
                <w:rFonts w:hint="eastAsia" w:ascii="宋体" w:hAnsi="宋体" w:eastAsia="宋体" w:cs="Times New Roman"/>
                <w:szCs w:val="21"/>
              </w:rPr>
              <w:t>全面依法治国</w:t>
            </w:r>
          </w:p>
        </w:tc>
        <w:tc>
          <w:tcPr>
            <w:tcW w:w="2126" w:type="dxa"/>
            <w:vAlign w:val="center"/>
          </w:tcPr>
          <w:p w14:paraId="6AF62E5E">
            <w:pPr>
              <w:spacing w:line="240" w:lineRule="auto"/>
              <w:jc w:val="left"/>
              <w:rPr>
                <w:rFonts w:hint="eastAsia" w:ascii="宋体" w:hAnsi="宋体" w:eastAsia="宋体" w:cs="Times New Roman"/>
                <w:b/>
                <w:szCs w:val="21"/>
              </w:rPr>
            </w:pPr>
          </w:p>
          <w:p w14:paraId="015DCCA8">
            <w:pPr>
              <w:spacing w:line="240" w:lineRule="auto"/>
              <w:jc w:val="left"/>
              <w:rPr>
                <w:rFonts w:hint="eastAsia"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1）坚持中国特色社会主义法治道路</w:t>
            </w:r>
          </w:p>
          <w:p w14:paraId="0680E9EE">
            <w:pPr>
              <w:spacing w:line="240" w:lineRule="auto"/>
              <w:jc w:val="left"/>
              <w:rPr>
                <w:rFonts w:hint="eastAsia"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2）建设中国特色社会主义法治体系</w:t>
            </w:r>
          </w:p>
          <w:p w14:paraId="464E3F8E">
            <w:pPr>
              <w:spacing w:line="240" w:lineRule="auto"/>
              <w:jc w:val="left"/>
              <w:rPr>
                <w:rFonts w:hint="eastAsia"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3）加快建设法治中国</w:t>
            </w:r>
          </w:p>
        </w:tc>
        <w:tc>
          <w:tcPr>
            <w:tcW w:w="1276" w:type="dxa"/>
            <w:vAlign w:val="center"/>
          </w:tcPr>
          <w:p w14:paraId="42E91604">
            <w:pPr>
              <w:spacing w:line="240" w:lineRule="auto"/>
              <w:jc w:val="left"/>
              <w:rPr>
                <w:rFonts w:hint="eastAsia" w:ascii="宋体" w:hAnsi="宋体" w:eastAsia="宋体" w:cs="Times New Roman"/>
                <w:bCs/>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02FE64EF">
            <w:pPr>
              <w:spacing w:line="240" w:lineRule="auto"/>
              <w:jc w:val="left"/>
              <w:rPr>
                <w:rFonts w:hint="eastAsia"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1）掌握全面依法治国的总目标，全面依法治国的重大意义和实践要求</w:t>
            </w:r>
          </w:p>
          <w:p w14:paraId="7472D141">
            <w:pPr>
              <w:spacing w:line="240" w:lineRule="auto"/>
              <w:jc w:val="left"/>
              <w:rPr>
                <w:rFonts w:hint="eastAsia"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2）掌握中国特色社会主义法治道路的核心要义和基本原则，中国特色社会主义法治体系的主要内容</w:t>
            </w:r>
          </w:p>
          <w:p w14:paraId="72496FAF">
            <w:pPr>
              <w:spacing w:line="240" w:lineRule="auto"/>
              <w:jc w:val="left"/>
              <w:rPr>
                <w:rFonts w:hint="eastAsia" w:ascii="宋体" w:hAnsi="宋体" w:eastAsia="宋体" w:cs="Times New Roman"/>
                <w:szCs w:val="21"/>
              </w:rPr>
            </w:pPr>
            <w:r>
              <w:rPr>
                <w:rFonts w:hint="eastAsia" w:ascii="宋体" w:hAnsi="宋体" w:eastAsia="宋体" w:cs="Times New Roman"/>
                <w:bCs/>
                <w:szCs w:val="21"/>
              </w:rPr>
              <w:t>（</w:t>
            </w:r>
            <w:r>
              <w:rPr>
                <w:rFonts w:ascii="宋体" w:hAnsi="宋体" w:eastAsia="宋体" w:cs="Times New Roman"/>
                <w:bCs/>
                <w:szCs w:val="21"/>
              </w:rPr>
              <w:t>2）了解加快推进法治中国建设的主要任务</w:t>
            </w:r>
          </w:p>
        </w:tc>
        <w:tc>
          <w:tcPr>
            <w:tcW w:w="1489" w:type="dxa"/>
            <w:vAlign w:val="center"/>
          </w:tcPr>
          <w:p w14:paraId="064E824A">
            <w:pPr>
              <w:spacing w:line="240" w:lineRule="auto"/>
              <w:jc w:val="left"/>
              <w:rPr>
                <w:rFonts w:hint="eastAsia" w:ascii="宋体" w:hAnsi="宋体" w:eastAsia="宋体"/>
                <w:szCs w:val="21"/>
              </w:rPr>
            </w:pPr>
            <w:r>
              <w:rPr>
                <w:rFonts w:ascii="宋体" w:hAnsi="宋体" w:eastAsia="宋体"/>
                <w:szCs w:val="21"/>
              </w:rPr>
              <w:t>1.线上学习</w:t>
            </w:r>
          </w:p>
          <w:p w14:paraId="0CE91226">
            <w:pPr>
              <w:spacing w:line="240" w:lineRule="auto"/>
              <w:jc w:val="left"/>
              <w:rPr>
                <w:rFonts w:hint="eastAsia" w:ascii="宋体" w:hAnsi="宋体" w:eastAsia="宋体"/>
                <w:szCs w:val="21"/>
              </w:rPr>
            </w:pPr>
            <w:r>
              <w:rPr>
                <w:rFonts w:ascii="宋体" w:hAnsi="宋体" w:eastAsia="宋体"/>
                <w:szCs w:val="21"/>
              </w:rPr>
              <w:t>2.多媒体教学</w:t>
            </w:r>
          </w:p>
          <w:p w14:paraId="6469F74C">
            <w:pPr>
              <w:spacing w:line="240" w:lineRule="auto"/>
              <w:jc w:val="left"/>
              <w:rPr>
                <w:rFonts w:hint="eastAsia" w:ascii="宋体" w:hAnsi="宋体" w:eastAsia="宋体"/>
                <w:szCs w:val="21"/>
              </w:rPr>
            </w:pPr>
            <w:r>
              <w:rPr>
                <w:rFonts w:ascii="宋体" w:hAnsi="宋体" w:eastAsia="宋体"/>
                <w:szCs w:val="21"/>
              </w:rPr>
              <w:t>3.课堂讨论</w:t>
            </w:r>
          </w:p>
          <w:p w14:paraId="504100FD">
            <w:pPr>
              <w:spacing w:line="240" w:lineRule="auto"/>
              <w:jc w:val="left"/>
              <w:rPr>
                <w:rFonts w:hint="eastAsia" w:ascii="宋体" w:hAnsi="宋体" w:eastAsia="宋体"/>
                <w:szCs w:val="21"/>
              </w:rPr>
            </w:pPr>
            <w:r>
              <w:rPr>
                <w:rFonts w:ascii="宋体" w:hAnsi="宋体" w:eastAsia="宋体"/>
                <w:szCs w:val="21"/>
              </w:rPr>
              <w:t>4.单元测验</w:t>
            </w:r>
          </w:p>
        </w:tc>
        <w:tc>
          <w:tcPr>
            <w:tcW w:w="535" w:type="dxa"/>
            <w:vAlign w:val="center"/>
          </w:tcPr>
          <w:p w14:paraId="68CFD6B4">
            <w:pPr>
              <w:spacing w:line="240" w:lineRule="auto"/>
              <w:jc w:val="center"/>
              <w:rPr>
                <w:rFonts w:hint="eastAsia" w:ascii="宋体" w:hAnsi="宋体" w:eastAsia="宋体" w:cs="Times New Roman"/>
                <w:szCs w:val="21"/>
              </w:rPr>
            </w:pPr>
            <w:r>
              <w:rPr>
                <w:rFonts w:ascii="宋体" w:hAnsi="宋体" w:eastAsia="宋体"/>
                <w:szCs w:val="21"/>
              </w:rPr>
              <w:t>3</w:t>
            </w:r>
          </w:p>
        </w:tc>
      </w:tr>
      <w:tr w14:paraId="064D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5" w:type="dxa"/>
            <w:vAlign w:val="center"/>
          </w:tcPr>
          <w:p w14:paraId="4C50A4F6">
            <w:pPr>
              <w:spacing w:line="240" w:lineRule="auto"/>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建设社会主义文化强国</w:t>
            </w:r>
          </w:p>
          <w:p w14:paraId="4CD551A6">
            <w:pPr>
              <w:spacing w:line="240" w:lineRule="auto"/>
              <w:jc w:val="center"/>
              <w:rPr>
                <w:rFonts w:hint="eastAsia" w:ascii="宋体" w:hAnsi="宋体" w:eastAsia="宋体" w:cs="Times New Roman"/>
                <w:szCs w:val="21"/>
              </w:rPr>
            </w:pPr>
          </w:p>
        </w:tc>
        <w:tc>
          <w:tcPr>
            <w:tcW w:w="2126" w:type="dxa"/>
            <w:vAlign w:val="center"/>
          </w:tcPr>
          <w:p w14:paraId="2EAA36CE">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1）文化是民族生存和发展的重要力量</w:t>
            </w:r>
          </w:p>
          <w:p w14:paraId="53054D15">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2）建设具有强大凝聚力和引领力的社会主义意识形态</w:t>
            </w:r>
          </w:p>
          <w:p w14:paraId="0D6B0D14">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3）以社会主义核心价值观引领文化建设</w:t>
            </w:r>
          </w:p>
          <w:p w14:paraId="5EE161B3">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4）铸就社会主义文化新辉煌</w:t>
            </w:r>
          </w:p>
          <w:p w14:paraId="076DFB07">
            <w:pPr>
              <w:spacing w:line="240" w:lineRule="auto"/>
              <w:jc w:val="left"/>
              <w:rPr>
                <w:rFonts w:hint="eastAsia" w:ascii="宋体" w:hAnsi="宋体" w:eastAsia="宋体" w:cs="Times New Roman"/>
                <w:szCs w:val="21"/>
              </w:rPr>
            </w:pPr>
          </w:p>
        </w:tc>
        <w:tc>
          <w:tcPr>
            <w:tcW w:w="1276" w:type="dxa"/>
            <w:vAlign w:val="center"/>
          </w:tcPr>
          <w:p w14:paraId="2143FDB5">
            <w:pPr>
              <w:spacing w:line="240" w:lineRule="auto"/>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4868CB24">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1）理解文化自信是实现中华民族伟大复兴的强大精神力量</w:t>
            </w:r>
          </w:p>
          <w:p w14:paraId="7745FB5E">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2）掌握建设中国特色社会主义文化、坚持马克思主义在意识形态领域指导地位的根本制度、用社会主义核心价值观凝心聚力的重大意义，理解提升国家文化软实力和中华文化影响力的实践要求</w:t>
            </w:r>
            <w:r>
              <w:rPr>
                <w:rFonts w:ascii="宋体" w:hAnsi="宋体" w:eastAsia="宋体" w:cs="Times New Roman"/>
                <w:szCs w:val="21"/>
              </w:rPr>
              <w:tab/>
            </w:r>
          </w:p>
          <w:p w14:paraId="52C93670">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3）掌握培育和践行社会主义核心价值观的基本要求</w:t>
            </w:r>
          </w:p>
          <w:p w14:paraId="3579224C">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4）了解中华文明的突出特性</w:t>
            </w:r>
          </w:p>
        </w:tc>
        <w:tc>
          <w:tcPr>
            <w:tcW w:w="1489" w:type="dxa"/>
            <w:vAlign w:val="center"/>
          </w:tcPr>
          <w:p w14:paraId="03258E03">
            <w:pPr>
              <w:spacing w:line="240" w:lineRule="auto"/>
              <w:jc w:val="left"/>
              <w:rPr>
                <w:rFonts w:hint="eastAsia" w:ascii="宋体" w:hAnsi="宋体" w:eastAsia="宋体"/>
                <w:szCs w:val="21"/>
              </w:rPr>
            </w:pPr>
          </w:p>
        </w:tc>
        <w:tc>
          <w:tcPr>
            <w:tcW w:w="535" w:type="dxa"/>
            <w:vAlign w:val="center"/>
          </w:tcPr>
          <w:p w14:paraId="52C5B8BE">
            <w:pPr>
              <w:spacing w:line="240" w:lineRule="auto"/>
              <w:jc w:val="center"/>
              <w:rPr>
                <w:rFonts w:hint="eastAsia" w:ascii="宋体" w:hAnsi="宋体" w:eastAsia="宋体" w:cs="Times New Roman"/>
                <w:szCs w:val="21"/>
              </w:rPr>
            </w:pPr>
            <w:r>
              <w:rPr>
                <w:rFonts w:ascii="宋体" w:hAnsi="宋体" w:eastAsia="宋体"/>
                <w:szCs w:val="21"/>
              </w:rPr>
              <w:t>3</w:t>
            </w:r>
          </w:p>
        </w:tc>
      </w:tr>
      <w:tr w14:paraId="0BD3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5" w:type="dxa"/>
            <w:vAlign w:val="center"/>
          </w:tcPr>
          <w:p w14:paraId="021CB064">
            <w:pPr>
              <w:spacing w:line="240" w:lineRule="auto"/>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以保障和改善民生为重点加强社会建设</w:t>
            </w:r>
          </w:p>
        </w:tc>
        <w:tc>
          <w:tcPr>
            <w:tcW w:w="2126" w:type="dxa"/>
            <w:vAlign w:val="center"/>
          </w:tcPr>
          <w:p w14:paraId="21A7ACB2">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1）让人民生活幸福是“国之大者”</w:t>
            </w:r>
          </w:p>
          <w:p w14:paraId="3898DD44">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2）不断提高人民生活品质</w:t>
            </w:r>
          </w:p>
          <w:p w14:paraId="0CCEA5CD">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3）在共建共治共享中推进社会治理现代化</w:t>
            </w:r>
          </w:p>
        </w:tc>
        <w:tc>
          <w:tcPr>
            <w:tcW w:w="1276" w:type="dxa"/>
            <w:vAlign w:val="center"/>
          </w:tcPr>
          <w:p w14:paraId="6EBB57C7">
            <w:pPr>
              <w:spacing w:line="240" w:lineRule="auto"/>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242350E0">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1）理解在发展中增进民生福祉</w:t>
            </w:r>
          </w:p>
          <w:p w14:paraId="79E26448">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2）理解提高人民生活品质的主要着力点</w:t>
            </w:r>
          </w:p>
          <w:p w14:paraId="7D2E2639">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3）理解以民生为重点的社会建设的重大意义，理解增强人民获得感、幸福感、安全感，推进社会治理现代化的实践要求。</w:t>
            </w:r>
          </w:p>
          <w:p w14:paraId="58F9BDB4">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4）掌握加强和创新社会治理的意义和要求</w:t>
            </w:r>
          </w:p>
        </w:tc>
        <w:tc>
          <w:tcPr>
            <w:tcW w:w="1489" w:type="dxa"/>
            <w:vAlign w:val="center"/>
          </w:tcPr>
          <w:p w14:paraId="7FEF78A1">
            <w:pPr>
              <w:spacing w:line="240" w:lineRule="auto"/>
              <w:jc w:val="left"/>
              <w:rPr>
                <w:rFonts w:hint="eastAsia" w:ascii="宋体" w:hAnsi="宋体" w:eastAsia="宋体"/>
                <w:szCs w:val="21"/>
              </w:rPr>
            </w:pPr>
            <w:r>
              <w:rPr>
                <w:rFonts w:ascii="宋体" w:hAnsi="宋体" w:eastAsia="宋体"/>
                <w:szCs w:val="21"/>
              </w:rPr>
              <w:t>1.线上学习</w:t>
            </w:r>
          </w:p>
          <w:p w14:paraId="20F3BB51">
            <w:pPr>
              <w:spacing w:line="240" w:lineRule="auto"/>
              <w:jc w:val="left"/>
              <w:rPr>
                <w:rFonts w:hint="eastAsia" w:ascii="宋体" w:hAnsi="宋体" w:eastAsia="宋体"/>
                <w:szCs w:val="21"/>
              </w:rPr>
            </w:pPr>
            <w:r>
              <w:rPr>
                <w:rFonts w:ascii="宋体" w:hAnsi="宋体" w:eastAsia="宋体"/>
                <w:szCs w:val="21"/>
              </w:rPr>
              <w:t>2.多媒体教学</w:t>
            </w:r>
          </w:p>
          <w:p w14:paraId="4165CB99">
            <w:pPr>
              <w:spacing w:line="240" w:lineRule="auto"/>
              <w:jc w:val="left"/>
              <w:rPr>
                <w:rFonts w:hint="eastAsia" w:ascii="宋体" w:hAnsi="宋体" w:eastAsia="宋体"/>
                <w:szCs w:val="21"/>
              </w:rPr>
            </w:pPr>
            <w:r>
              <w:rPr>
                <w:rFonts w:ascii="宋体" w:hAnsi="宋体" w:eastAsia="宋体"/>
                <w:szCs w:val="21"/>
              </w:rPr>
              <w:t>3.课堂讨论</w:t>
            </w:r>
          </w:p>
          <w:p w14:paraId="794076C2">
            <w:pPr>
              <w:spacing w:line="240" w:lineRule="auto"/>
              <w:jc w:val="left"/>
              <w:rPr>
                <w:rFonts w:hint="eastAsia" w:ascii="宋体" w:hAnsi="宋体" w:eastAsia="宋体"/>
                <w:szCs w:val="21"/>
              </w:rPr>
            </w:pPr>
            <w:r>
              <w:rPr>
                <w:rFonts w:ascii="宋体" w:hAnsi="宋体" w:eastAsia="宋体"/>
                <w:szCs w:val="21"/>
              </w:rPr>
              <w:t>4.单元测验</w:t>
            </w:r>
          </w:p>
        </w:tc>
        <w:tc>
          <w:tcPr>
            <w:tcW w:w="535" w:type="dxa"/>
            <w:vAlign w:val="center"/>
          </w:tcPr>
          <w:p w14:paraId="3918E9F0">
            <w:pPr>
              <w:spacing w:line="240" w:lineRule="auto"/>
              <w:jc w:val="center"/>
              <w:rPr>
                <w:rFonts w:hint="eastAsia" w:ascii="宋体" w:hAnsi="宋体" w:eastAsia="宋体" w:cs="Times New Roman"/>
                <w:szCs w:val="21"/>
              </w:rPr>
            </w:pPr>
            <w:r>
              <w:rPr>
                <w:rFonts w:ascii="宋体" w:hAnsi="宋体" w:eastAsia="宋体"/>
                <w:szCs w:val="21"/>
              </w:rPr>
              <w:t>3</w:t>
            </w:r>
          </w:p>
        </w:tc>
      </w:tr>
      <w:tr w14:paraId="72AD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5" w:type="dxa"/>
            <w:vAlign w:val="center"/>
          </w:tcPr>
          <w:p w14:paraId="472DA134">
            <w:pPr>
              <w:spacing w:line="240" w:lineRule="auto"/>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3.</w:t>
            </w:r>
            <w:r>
              <w:rPr>
                <w:rFonts w:hint="eastAsia" w:ascii="宋体" w:hAnsi="宋体" w:eastAsia="宋体" w:cs="Times New Roman"/>
                <w:szCs w:val="21"/>
              </w:rPr>
              <w:t>建设社会主义生态文明</w:t>
            </w:r>
          </w:p>
          <w:p w14:paraId="3C8E16A4">
            <w:pPr>
              <w:spacing w:line="240" w:lineRule="auto"/>
              <w:jc w:val="center"/>
              <w:rPr>
                <w:rFonts w:hint="eastAsia" w:ascii="宋体" w:hAnsi="宋体" w:eastAsia="宋体" w:cs="Times New Roman"/>
                <w:szCs w:val="21"/>
              </w:rPr>
            </w:pPr>
          </w:p>
        </w:tc>
        <w:tc>
          <w:tcPr>
            <w:tcW w:w="2126" w:type="dxa"/>
            <w:vAlign w:val="center"/>
          </w:tcPr>
          <w:p w14:paraId="320767BF">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1）坚持人与自然和谐共生</w:t>
            </w:r>
          </w:p>
          <w:p w14:paraId="6123DFE1">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2）建设美丽中国</w:t>
            </w:r>
          </w:p>
          <w:p w14:paraId="38509E3E">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3）共谋全球生态文明建设之路</w:t>
            </w:r>
          </w:p>
          <w:p w14:paraId="07D392C2">
            <w:pPr>
              <w:spacing w:line="240" w:lineRule="auto"/>
              <w:jc w:val="left"/>
              <w:rPr>
                <w:rFonts w:hint="eastAsia" w:ascii="宋体" w:hAnsi="宋体" w:eastAsia="宋体" w:cs="Times New Roman"/>
                <w:szCs w:val="21"/>
              </w:rPr>
            </w:pPr>
          </w:p>
        </w:tc>
        <w:tc>
          <w:tcPr>
            <w:tcW w:w="1276" w:type="dxa"/>
            <w:vAlign w:val="center"/>
          </w:tcPr>
          <w:p w14:paraId="5AB1D4F9">
            <w:pPr>
              <w:spacing w:line="240" w:lineRule="auto"/>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73442CA5">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1）掌握社会主义生态文明的科学内涵</w:t>
            </w:r>
          </w:p>
          <w:p w14:paraId="1971AE21">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2）理解建设生态文明的重大意义和实践要求</w:t>
            </w:r>
          </w:p>
          <w:p w14:paraId="3931E8F4">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3）掌握绿水青山就是金山银山的科学内涵</w:t>
            </w:r>
          </w:p>
          <w:p w14:paraId="4AC29EA0">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4）了解建设美丽中国的主要任务</w:t>
            </w:r>
          </w:p>
          <w:p w14:paraId="3058E16C">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5）了解全球环境治理的中国方案</w:t>
            </w:r>
          </w:p>
        </w:tc>
        <w:tc>
          <w:tcPr>
            <w:tcW w:w="1489" w:type="dxa"/>
            <w:vAlign w:val="center"/>
          </w:tcPr>
          <w:p w14:paraId="5CCCCA45">
            <w:pPr>
              <w:spacing w:line="240" w:lineRule="auto"/>
              <w:jc w:val="left"/>
              <w:rPr>
                <w:rFonts w:hint="eastAsia" w:ascii="宋体" w:hAnsi="宋体" w:eastAsia="宋体"/>
                <w:szCs w:val="21"/>
              </w:rPr>
            </w:pPr>
            <w:r>
              <w:rPr>
                <w:rFonts w:ascii="宋体" w:hAnsi="宋体" w:eastAsia="宋体"/>
                <w:szCs w:val="21"/>
              </w:rPr>
              <w:t>1.线上学习</w:t>
            </w:r>
          </w:p>
          <w:p w14:paraId="37789155">
            <w:pPr>
              <w:spacing w:line="240" w:lineRule="auto"/>
              <w:jc w:val="left"/>
              <w:rPr>
                <w:rFonts w:hint="eastAsia" w:ascii="宋体" w:hAnsi="宋体" w:eastAsia="宋体"/>
                <w:szCs w:val="21"/>
              </w:rPr>
            </w:pPr>
            <w:r>
              <w:rPr>
                <w:rFonts w:ascii="宋体" w:hAnsi="宋体" w:eastAsia="宋体"/>
                <w:szCs w:val="21"/>
              </w:rPr>
              <w:t>2.多媒体教学</w:t>
            </w:r>
          </w:p>
          <w:p w14:paraId="276C42AC">
            <w:pPr>
              <w:spacing w:line="240" w:lineRule="auto"/>
              <w:jc w:val="left"/>
              <w:rPr>
                <w:rFonts w:hint="eastAsia" w:ascii="宋体" w:hAnsi="宋体" w:eastAsia="宋体"/>
                <w:szCs w:val="21"/>
              </w:rPr>
            </w:pPr>
            <w:r>
              <w:rPr>
                <w:rFonts w:ascii="宋体" w:hAnsi="宋体" w:eastAsia="宋体"/>
                <w:szCs w:val="21"/>
              </w:rPr>
              <w:t>3.课堂讨论</w:t>
            </w:r>
          </w:p>
          <w:p w14:paraId="7F467D53">
            <w:pPr>
              <w:spacing w:line="240" w:lineRule="auto"/>
              <w:jc w:val="left"/>
              <w:rPr>
                <w:rFonts w:hint="eastAsia" w:ascii="宋体" w:hAnsi="宋体" w:eastAsia="宋体"/>
                <w:szCs w:val="21"/>
              </w:rPr>
            </w:pPr>
            <w:r>
              <w:rPr>
                <w:rFonts w:ascii="宋体" w:hAnsi="宋体" w:eastAsia="宋体"/>
                <w:szCs w:val="21"/>
              </w:rPr>
              <w:t>4.单元测验</w:t>
            </w:r>
          </w:p>
        </w:tc>
        <w:tc>
          <w:tcPr>
            <w:tcW w:w="535" w:type="dxa"/>
            <w:vAlign w:val="center"/>
          </w:tcPr>
          <w:p w14:paraId="4E42C5DF">
            <w:pPr>
              <w:spacing w:line="240" w:lineRule="auto"/>
              <w:jc w:val="center"/>
              <w:rPr>
                <w:rFonts w:hint="eastAsia" w:ascii="宋体" w:hAnsi="宋体" w:eastAsia="宋体" w:cs="Times New Roman"/>
                <w:szCs w:val="21"/>
              </w:rPr>
            </w:pPr>
            <w:r>
              <w:rPr>
                <w:rFonts w:ascii="宋体" w:hAnsi="宋体" w:eastAsia="宋体"/>
                <w:szCs w:val="21"/>
              </w:rPr>
              <w:t>3</w:t>
            </w:r>
          </w:p>
        </w:tc>
      </w:tr>
      <w:tr w14:paraId="07E9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5" w:type="dxa"/>
            <w:vAlign w:val="center"/>
          </w:tcPr>
          <w:p w14:paraId="152DB8A0">
            <w:pPr>
              <w:spacing w:line="240" w:lineRule="auto"/>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4.</w:t>
            </w:r>
            <w:r>
              <w:rPr>
                <w:rFonts w:hint="eastAsia" w:ascii="宋体" w:hAnsi="宋体" w:eastAsia="宋体" w:cs="Times New Roman"/>
                <w:szCs w:val="21"/>
              </w:rPr>
              <w:t>维护和塑造国家安全</w:t>
            </w:r>
          </w:p>
        </w:tc>
        <w:tc>
          <w:tcPr>
            <w:tcW w:w="2126" w:type="dxa"/>
            <w:vAlign w:val="center"/>
          </w:tcPr>
          <w:p w14:paraId="161087B4">
            <w:pPr>
              <w:spacing w:line="240" w:lineRule="auto"/>
              <w:jc w:val="left"/>
              <w:rPr>
                <w:rFonts w:hint="eastAsia" w:ascii="宋体" w:hAnsi="宋体" w:eastAsia="宋体" w:cs="Times New Roman"/>
                <w:b/>
                <w:bCs/>
                <w:szCs w:val="21"/>
              </w:rPr>
            </w:pPr>
          </w:p>
          <w:p w14:paraId="1332B300">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1）坚持总体国家安全观</w:t>
            </w:r>
          </w:p>
          <w:p w14:paraId="1B09B9BB">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2）构建统筹各领域安全的新安全格局</w:t>
            </w:r>
          </w:p>
          <w:p w14:paraId="5F26ED49">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3）开创新时代国家安全工作新局面</w:t>
            </w:r>
          </w:p>
        </w:tc>
        <w:tc>
          <w:tcPr>
            <w:tcW w:w="1276" w:type="dxa"/>
            <w:vAlign w:val="center"/>
          </w:tcPr>
          <w:p w14:paraId="7369E5C1">
            <w:pPr>
              <w:spacing w:line="240" w:lineRule="auto"/>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40A00DF5">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1）理解国家安全是民族复兴的根基</w:t>
            </w:r>
          </w:p>
          <w:p w14:paraId="574438C2">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2）理解总体国家安全观的丰富内涵和指导意义</w:t>
            </w:r>
          </w:p>
          <w:p w14:paraId="6F4252A0">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3）掌握构建统筹各领域安全的新安全格局</w:t>
            </w:r>
          </w:p>
          <w:p w14:paraId="7143FEA9">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4）掌握推进国家安全体系和能力现代化</w:t>
            </w:r>
          </w:p>
        </w:tc>
        <w:tc>
          <w:tcPr>
            <w:tcW w:w="1489" w:type="dxa"/>
            <w:vAlign w:val="center"/>
          </w:tcPr>
          <w:p w14:paraId="588D8FC8">
            <w:pPr>
              <w:spacing w:line="240" w:lineRule="auto"/>
              <w:jc w:val="left"/>
              <w:rPr>
                <w:rFonts w:hint="eastAsia" w:ascii="宋体" w:hAnsi="宋体" w:eastAsia="宋体"/>
                <w:szCs w:val="21"/>
              </w:rPr>
            </w:pPr>
            <w:r>
              <w:rPr>
                <w:rFonts w:ascii="宋体" w:hAnsi="宋体" w:eastAsia="宋体"/>
                <w:szCs w:val="21"/>
              </w:rPr>
              <w:t>1.线上学习</w:t>
            </w:r>
          </w:p>
          <w:p w14:paraId="49D1C532">
            <w:pPr>
              <w:spacing w:line="240" w:lineRule="auto"/>
              <w:jc w:val="left"/>
              <w:rPr>
                <w:rFonts w:hint="eastAsia" w:ascii="宋体" w:hAnsi="宋体" w:eastAsia="宋体"/>
                <w:szCs w:val="21"/>
              </w:rPr>
            </w:pPr>
            <w:r>
              <w:rPr>
                <w:rFonts w:ascii="宋体" w:hAnsi="宋体" w:eastAsia="宋体"/>
                <w:szCs w:val="21"/>
              </w:rPr>
              <w:t>2.多媒体教学</w:t>
            </w:r>
          </w:p>
          <w:p w14:paraId="0F86EB54">
            <w:pPr>
              <w:spacing w:line="240" w:lineRule="auto"/>
              <w:jc w:val="left"/>
              <w:rPr>
                <w:rFonts w:hint="eastAsia" w:ascii="宋体" w:hAnsi="宋体" w:eastAsia="宋体"/>
                <w:szCs w:val="21"/>
              </w:rPr>
            </w:pPr>
            <w:r>
              <w:rPr>
                <w:rFonts w:ascii="宋体" w:hAnsi="宋体" w:eastAsia="宋体"/>
                <w:szCs w:val="21"/>
              </w:rPr>
              <w:t>3.课堂讨论</w:t>
            </w:r>
          </w:p>
          <w:p w14:paraId="45FEB907">
            <w:pPr>
              <w:spacing w:line="240" w:lineRule="auto"/>
              <w:jc w:val="left"/>
              <w:rPr>
                <w:rFonts w:hint="eastAsia" w:ascii="宋体" w:hAnsi="宋体" w:eastAsia="宋体"/>
                <w:szCs w:val="21"/>
              </w:rPr>
            </w:pPr>
            <w:r>
              <w:rPr>
                <w:rFonts w:ascii="宋体" w:hAnsi="宋体" w:eastAsia="宋体"/>
                <w:szCs w:val="21"/>
              </w:rPr>
              <w:t>4.单元测验</w:t>
            </w:r>
          </w:p>
        </w:tc>
        <w:tc>
          <w:tcPr>
            <w:tcW w:w="535" w:type="dxa"/>
            <w:vAlign w:val="center"/>
          </w:tcPr>
          <w:p w14:paraId="580D0E45">
            <w:pPr>
              <w:spacing w:line="240" w:lineRule="auto"/>
              <w:jc w:val="center"/>
              <w:rPr>
                <w:rFonts w:hint="eastAsia" w:ascii="宋体" w:hAnsi="宋体" w:eastAsia="宋体" w:cs="Times New Roman"/>
                <w:szCs w:val="21"/>
              </w:rPr>
            </w:pPr>
            <w:r>
              <w:rPr>
                <w:rFonts w:ascii="宋体" w:hAnsi="宋体" w:eastAsia="宋体"/>
                <w:szCs w:val="21"/>
              </w:rPr>
              <w:t>3</w:t>
            </w:r>
          </w:p>
        </w:tc>
      </w:tr>
      <w:tr w14:paraId="0CD0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5" w:type="dxa"/>
            <w:vAlign w:val="center"/>
          </w:tcPr>
          <w:p w14:paraId="346E8108">
            <w:pPr>
              <w:spacing w:line="240" w:lineRule="auto"/>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5.</w:t>
            </w:r>
            <w:r>
              <w:rPr>
                <w:rFonts w:hint="eastAsia" w:ascii="宋体" w:hAnsi="宋体" w:eastAsia="宋体" w:cs="Times New Roman"/>
                <w:szCs w:val="21"/>
              </w:rPr>
              <w:t>建设巩固国防和强大人民军队</w:t>
            </w:r>
          </w:p>
        </w:tc>
        <w:tc>
          <w:tcPr>
            <w:tcW w:w="2126" w:type="dxa"/>
            <w:vAlign w:val="center"/>
          </w:tcPr>
          <w:p w14:paraId="0E58DE22">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1）强国必须强军，军强才能国安</w:t>
            </w:r>
          </w:p>
          <w:p w14:paraId="024E8A1C">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2）实现党在新时代的强军目标</w:t>
            </w:r>
          </w:p>
          <w:p w14:paraId="31BF74E8">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3）加快推进国防和军队现代化</w:t>
            </w:r>
          </w:p>
        </w:tc>
        <w:tc>
          <w:tcPr>
            <w:tcW w:w="1276" w:type="dxa"/>
            <w:vAlign w:val="center"/>
          </w:tcPr>
          <w:p w14:paraId="18F4AD71">
            <w:pPr>
              <w:spacing w:line="240" w:lineRule="auto"/>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7DAE94A0">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1）理解建设巩固国防和强大人民军队的重大意义</w:t>
            </w:r>
          </w:p>
          <w:p w14:paraId="2D88B064">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2）理解党在新时代的强军目标</w:t>
            </w:r>
          </w:p>
          <w:p w14:paraId="6FE3C650">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3）掌握坚持党对人民军队绝对领导的根本原则和制度</w:t>
            </w:r>
          </w:p>
          <w:p w14:paraId="669AB76A">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4）掌握习近平强军思想的重大意义、丰富内涵和精神实质</w:t>
            </w:r>
          </w:p>
        </w:tc>
        <w:tc>
          <w:tcPr>
            <w:tcW w:w="1489" w:type="dxa"/>
            <w:vAlign w:val="center"/>
          </w:tcPr>
          <w:p w14:paraId="587B52D8">
            <w:pPr>
              <w:spacing w:line="240" w:lineRule="auto"/>
              <w:jc w:val="left"/>
              <w:rPr>
                <w:rFonts w:hint="eastAsia" w:ascii="宋体" w:hAnsi="宋体" w:eastAsia="宋体"/>
                <w:szCs w:val="21"/>
              </w:rPr>
            </w:pPr>
            <w:r>
              <w:rPr>
                <w:rFonts w:ascii="宋体" w:hAnsi="宋体" w:eastAsia="宋体"/>
                <w:szCs w:val="21"/>
              </w:rPr>
              <w:t>1.线上学习</w:t>
            </w:r>
          </w:p>
          <w:p w14:paraId="0E26138B">
            <w:pPr>
              <w:spacing w:line="240" w:lineRule="auto"/>
              <w:jc w:val="left"/>
              <w:rPr>
                <w:rFonts w:hint="eastAsia" w:ascii="宋体" w:hAnsi="宋体" w:eastAsia="宋体"/>
                <w:szCs w:val="21"/>
              </w:rPr>
            </w:pPr>
            <w:r>
              <w:rPr>
                <w:rFonts w:ascii="宋体" w:hAnsi="宋体" w:eastAsia="宋体"/>
                <w:szCs w:val="21"/>
              </w:rPr>
              <w:t>2.多媒体教学</w:t>
            </w:r>
          </w:p>
          <w:p w14:paraId="65C884A0">
            <w:pPr>
              <w:spacing w:line="240" w:lineRule="auto"/>
              <w:jc w:val="left"/>
              <w:rPr>
                <w:rFonts w:hint="eastAsia" w:ascii="宋体" w:hAnsi="宋体" w:eastAsia="宋体"/>
                <w:szCs w:val="21"/>
              </w:rPr>
            </w:pPr>
            <w:r>
              <w:rPr>
                <w:rFonts w:ascii="宋体" w:hAnsi="宋体" w:eastAsia="宋体"/>
                <w:szCs w:val="21"/>
              </w:rPr>
              <w:t>3.课堂讨论</w:t>
            </w:r>
          </w:p>
          <w:p w14:paraId="5894D2C1">
            <w:pPr>
              <w:spacing w:line="240" w:lineRule="auto"/>
              <w:jc w:val="left"/>
              <w:rPr>
                <w:rFonts w:hint="eastAsia" w:ascii="宋体" w:hAnsi="宋体" w:eastAsia="宋体"/>
                <w:szCs w:val="21"/>
              </w:rPr>
            </w:pPr>
            <w:r>
              <w:rPr>
                <w:rFonts w:ascii="宋体" w:hAnsi="宋体" w:eastAsia="宋体"/>
                <w:szCs w:val="21"/>
              </w:rPr>
              <w:t>4.单元测验</w:t>
            </w:r>
          </w:p>
        </w:tc>
        <w:tc>
          <w:tcPr>
            <w:tcW w:w="535" w:type="dxa"/>
            <w:vMerge w:val="restart"/>
            <w:vAlign w:val="center"/>
          </w:tcPr>
          <w:p w14:paraId="60660DC7">
            <w:pPr>
              <w:spacing w:line="240" w:lineRule="auto"/>
              <w:jc w:val="center"/>
              <w:rPr>
                <w:rFonts w:hint="eastAsia" w:ascii="宋体" w:hAnsi="宋体" w:eastAsia="宋体" w:cs="Times New Roman"/>
                <w:szCs w:val="21"/>
              </w:rPr>
            </w:pPr>
            <w:r>
              <w:rPr>
                <w:rFonts w:ascii="宋体" w:hAnsi="宋体" w:eastAsia="宋体"/>
                <w:szCs w:val="21"/>
              </w:rPr>
              <w:t>3</w:t>
            </w:r>
          </w:p>
          <w:p w14:paraId="462B7910">
            <w:pPr>
              <w:spacing w:line="240" w:lineRule="auto"/>
              <w:jc w:val="center"/>
              <w:rPr>
                <w:rFonts w:hint="eastAsia" w:ascii="宋体" w:hAnsi="宋体" w:eastAsia="宋体" w:cs="Times New Roman"/>
                <w:szCs w:val="21"/>
              </w:rPr>
            </w:pPr>
          </w:p>
        </w:tc>
      </w:tr>
      <w:tr w14:paraId="4A4E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5" w:type="dxa"/>
            <w:vAlign w:val="center"/>
          </w:tcPr>
          <w:p w14:paraId="7C5A1B32">
            <w:pPr>
              <w:spacing w:line="240" w:lineRule="auto"/>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6.</w:t>
            </w:r>
            <w:r>
              <w:rPr>
                <w:rFonts w:hint="eastAsia" w:ascii="宋体" w:hAnsi="宋体" w:eastAsia="宋体" w:cs="Times New Roman"/>
                <w:szCs w:val="21"/>
              </w:rPr>
              <w:t>坚持“一国两制”和推进祖国完全统一</w:t>
            </w:r>
          </w:p>
        </w:tc>
        <w:tc>
          <w:tcPr>
            <w:tcW w:w="2126" w:type="dxa"/>
            <w:vAlign w:val="center"/>
          </w:tcPr>
          <w:p w14:paraId="27D2559C">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1）全面准确理解和贯彻"一国两制"方针</w:t>
            </w:r>
          </w:p>
          <w:p w14:paraId="4B2B12AB">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2）保持香港、澳门长期繁荣稳定</w:t>
            </w:r>
          </w:p>
          <w:p w14:paraId="6F450EA1">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3）推进祖国完全统一</w:t>
            </w:r>
          </w:p>
        </w:tc>
        <w:tc>
          <w:tcPr>
            <w:tcW w:w="1276" w:type="dxa"/>
            <w:vAlign w:val="center"/>
          </w:tcPr>
          <w:p w14:paraId="474F253B">
            <w:pPr>
              <w:spacing w:line="240" w:lineRule="auto"/>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42543441">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1）理解“一国两制”的科学内涵和重大意义</w:t>
            </w:r>
          </w:p>
          <w:p w14:paraId="33658A10">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2）理解新时代“一国两制”在香港、澳门的成功实践</w:t>
            </w:r>
          </w:p>
          <w:p w14:paraId="7BD5C7A1">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3）理解新时代党解决台湾问题的总体方略</w:t>
            </w:r>
          </w:p>
        </w:tc>
        <w:tc>
          <w:tcPr>
            <w:tcW w:w="1489" w:type="dxa"/>
            <w:vAlign w:val="center"/>
          </w:tcPr>
          <w:p w14:paraId="53585C68">
            <w:pPr>
              <w:spacing w:line="240" w:lineRule="auto"/>
              <w:jc w:val="left"/>
              <w:rPr>
                <w:rFonts w:hint="eastAsia" w:ascii="宋体" w:hAnsi="宋体" w:eastAsia="宋体" w:cs="Times New Roman"/>
                <w:szCs w:val="21"/>
              </w:rPr>
            </w:pPr>
            <w:r>
              <w:rPr>
                <w:rFonts w:ascii="宋体" w:hAnsi="宋体" w:eastAsia="宋体" w:cs="Times New Roman"/>
                <w:szCs w:val="21"/>
              </w:rPr>
              <w:t>1.线上学习</w:t>
            </w:r>
          </w:p>
          <w:p w14:paraId="7FDDD16D">
            <w:pPr>
              <w:spacing w:line="240" w:lineRule="auto"/>
              <w:jc w:val="left"/>
              <w:rPr>
                <w:rFonts w:hint="eastAsia" w:ascii="宋体" w:hAnsi="宋体" w:eastAsia="宋体" w:cs="Times New Roman"/>
                <w:szCs w:val="21"/>
              </w:rPr>
            </w:pPr>
            <w:r>
              <w:rPr>
                <w:rFonts w:ascii="宋体" w:hAnsi="宋体" w:eastAsia="宋体" w:cs="Times New Roman"/>
                <w:szCs w:val="21"/>
              </w:rPr>
              <w:t>2.多媒体教学</w:t>
            </w:r>
          </w:p>
          <w:p w14:paraId="7BB84605">
            <w:pPr>
              <w:spacing w:line="240" w:lineRule="auto"/>
              <w:jc w:val="left"/>
              <w:rPr>
                <w:rFonts w:hint="eastAsia" w:ascii="宋体" w:hAnsi="宋体" w:eastAsia="宋体" w:cs="Times New Roman"/>
                <w:szCs w:val="21"/>
              </w:rPr>
            </w:pPr>
            <w:r>
              <w:rPr>
                <w:rFonts w:ascii="宋体" w:hAnsi="宋体" w:eastAsia="宋体" w:cs="Times New Roman"/>
                <w:szCs w:val="21"/>
              </w:rPr>
              <w:t>3.课堂讨论</w:t>
            </w:r>
          </w:p>
          <w:p w14:paraId="67631EBB">
            <w:pPr>
              <w:spacing w:line="240" w:lineRule="auto"/>
              <w:jc w:val="left"/>
              <w:rPr>
                <w:rFonts w:hint="eastAsia" w:ascii="宋体" w:hAnsi="宋体" w:eastAsia="宋体" w:cs="Times New Roman"/>
                <w:szCs w:val="21"/>
              </w:rPr>
            </w:pPr>
            <w:r>
              <w:rPr>
                <w:rFonts w:ascii="宋体" w:hAnsi="宋体" w:eastAsia="宋体" w:cs="Times New Roman"/>
                <w:szCs w:val="21"/>
              </w:rPr>
              <w:t>4.单元测验</w:t>
            </w:r>
          </w:p>
        </w:tc>
        <w:tc>
          <w:tcPr>
            <w:tcW w:w="535" w:type="dxa"/>
            <w:vMerge w:val="continue"/>
            <w:vAlign w:val="center"/>
          </w:tcPr>
          <w:p w14:paraId="609EE1F2">
            <w:pPr>
              <w:spacing w:line="240" w:lineRule="auto"/>
              <w:jc w:val="center"/>
              <w:rPr>
                <w:rFonts w:hint="eastAsia" w:ascii="宋体" w:hAnsi="宋体" w:eastAsia="宋体" w:cs="Times New Roman"/>
                <w:szCs w:val="21"/>
              </w:rPr>
            </w:pPr>
          </w:p>
        </w:tc>
      </w:tr>
      <w:tr w14:paraId="6115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5" w:type="dxa"/>
            <w:vAlign w:val="center"/>
          </w:tcPr>
          <w:p w14:paraId="661194B5">
            <w:pPr>
              <w:spacing w:line="240" w:lineRule="auto"/>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7.</w:t>
            </w:r>
            <w:r>
              <w:rPr>
                <w:rFonts w:hint="eastAsia" w:ascii="宋体" w:hAnsi="宋体" w:eastAsia="宋体" w:cs="Times New Roman"/>
                <w:szCs w:val="21"/>
              </w:rPr>
              <w:t>中国特色大国外交和推动构建人类命运共同体</w:t>
            </w:r>
          </w:p>
        </w:tc>
        <w:tc>
          <w:tcPr>
            <w:tcW w:w="2126" w:type="dxa"/>
            <w:vAlign w:val="center"/>
          </w:tcPr>
          <w:p w14:paraId="4B82C217">
            <w:pPr>
              <w:spacing w:line="240" w:lineRule="auto"/>
              <w:jc w:val="left"/>
              <w:rPr>
                <w:rFonts w:hint="eastAsia" w:ascii="宋体" w:hAnsi="宋体" w:eastAsia="宋体" w:cs="Times New Roman"/>
                <w:szCs w:val="21"/>
              </w:rPr>
            </w:pPr>
            <w:r>
              <w:rPr>
                <w:rFonts w:ascii="宋体" w:hAnsi="宋体" w:eastAsia="宋体" w:cs="Times New Roman"/>
                <w:szCs w:val="21"/>
              </w:rPr>
              <w:t>1.教学内容</w:t>
            </w:r>
          </w:p>
          <w:p w14:paraId="725CBA21">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1）新时代中国外交在大变局中开创新局</w:t>
            </w:r>
          </w:p>
          <w:p w14:paraId="6A5D72A8">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2）全面推进中国特色大国外交</w:t>
            </w:r>
          </w:p>
          <w:p w14:paraId="2D0E99CE">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3）推动构建人类命运共同体</w:t>
            </w:r>
          </w:p>
        </w:tc>
        <w:tc>
          <w:tcPr>
            <w:tcW w:w="1276" w:type="dxa"/>
            <w:vAlign w:val="center"/>
          </w:tcPr>
          <w:p w14:paraId="242F3301">
            <w:pPr>
              <w:spacing w:line="240" w:lineRule="auto"/>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41C4658F">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1）理解当今世界正经历百年未有之大变局</w:t>
            </w:r>
          </w:p>
          <w:p w14:paraId="267901A2">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2）掌握全面推进中国特色大国外交的原则和布局</w:t>
            </w:r>
          </w:p>
          <w:p w14:paraId="3FA7D493">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3）理解推动构建人类命运共同体的丰富内涵和实践成果</w:t>
            </w:r>
          </w:p>
        </w:tc>
        <w:tc>
          <w:tcPr>
            <w:tcW w:w="1489" w:type="dxa"/>
            <w:vAlign w:val="center"/>
          </w:tcPr>
          <w:p w14:paraId="2492DF79">
            <w:pPr>
              <w:spacing w:line="240" w:lineRule="auto"/>
              <w:jc w:val="left"/>
              <w:rPr>
                <w:rFonts w:hint="eastAsia" w:ascii="宋体" w:hAnsi="宋体" w:eastAsia="宋体"/>
                <w:szCs w:val="21"/>
              </w:rPr>
            </w:pPr>
            <w:r>
              <w:rPr>
                <w:rFonts w:ascii="宋体" w:hAnsi="宋体" w:eastAsia="宋体"/>
                <w:szCs w:val="21"/>
              </w:rPr>
              <w:t>1.线上学习</w:t>
            </w:r>
          </w:p>
          <w:p w14:paraId="3193F728">
            <w:pPr>
              <w:spacing w:line="240" w:lineRule="auto"/>
              <w:jc w:val="left"/>
              <w:rPr>
                <w:rFonts w:hint="eastAsia" w:ascii="宋体" w:hAnsi="宋体" w:eastAsia="宋体"/>
                <w:szCs w:val="21"/>
              </w:rPr>
            </w:pPr>
            <w:r>
              <w:rPr>
                <w:rFonts w:ascii="宋体" w:hAnsi="宋体" w:eastAsia="宋体"/>
                <w:szCs w:val="21"/>
              </w:rPr>
              <w:t>2.多媒体教学</w:t>
            </w:r>
          </w:p>
          <w:p w14:paraId="147D76FA">
            <w:pPr>
              <w:spacing w:line="240" w:lineRule="auto"/>
              <w:jc w:val="left"/>
              <w:rPr>
                <w:rFonts w:hint="eastAsia" w:ascii="宋体" w:hAnsi="宋体" w:eastAsia="宋体"/>
                <w:szCs w:val="21"/>
              </w:rPr>
            </w:pPr>
            <w:r>
              <w:rPr>
                <w:rFonts w:ascii="宋体" w:hAnsi="宋体" w:eastAsia="宋体"/>
                <w:szCs w:val="21"/>
              </w:rPr>
              <w:t>3.课堂讨论</w:t>
            </w:r>
          </w:p>
          <w:p w14:paraId="2C4A0633">
            <w:pPr>
              <w:spacing w:line="240" w:lineRule="auto"/>
              <w:jc w:val="left"/>
              <w:rPr>
                <w:rFonts w:hint="eastAsia" w:ascii="宋体" w:hAnsi="宋体" w:eastAsia="宋体"/>
                <w:szCs w:val="21"/>
              </w:rPr>
            </w:pPr>
            <w:r>
              <w:rPr>
                <w:rFonts w:ascii="宋体" w:hAnsi="宋体" w:eastAsia="宋体"/>
                <w:szCs w:val="21"/>
              </w:rPr>
              <w:t>4.单元测验</w:t>
            </w:r>
          </w:p>
        </w:tc>
        <w:tc>
          <w:tcPr>
            <w:tcW w:w="535" w:type="dxa"/>
            <w:vAlign w:val="center"/>
          </w:tcPr>
          <w:p w14:paraId="2EDCA0E7">
            <w:pPr>
              <w:spacing w:line="240" w:lineRule="auto"/>
              <w:jc w:val="center"/>
              <w:rPr>
                <w:rFonts w:hint="eastAsia" w:ascii="宋体" w:hAnsi="宋体" w:eastAsia="宋体" w:cs="Times New Roman"/>
                <w:szCs w:val="21"/>
              </w:rPr>
            </w:pPr>
            <w:r>
              <w:rPr>
                <w:rFonts w:ascii="宋体" w:hAnsi="宋体" w:eastAsia="宋体"/>
                <w:szCs w:val="21"/>
              </w:rPr>
              <w:t>3</w:t>
            </w:r>
          </w:p>
        </w:tc>
      </w:tr>
      <w:tr w14:paraId="71B3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5" w:type="dxa"/>
            <w:vAlign w:val="center"/>
          </w:tcPr>
          <w:p w14:paraId="28041A6A">
            <w:pPr>
              <w:spacing w:line="240" w:lineRule="auto"/>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8.</w:t>
            </w:r>
            <w:r>
              <w:rPr>
                <w:rFonts w:hint="eastAsia" w:ascii="宋体" w:hAnsi="宋体" w:eastAsia="宋体" w:cs="Times New Roman"/>
                <w:szCs w:val="21"/>
              </w:rPr>
              <w:t>全面从严治党</w:t>
            </w:r>
          </w:p>
        </w:tc>
        <w:tc>
          <w:tcPr>
            <w:tcW w:w="2126" w:type="dxa"/>
            <w:vAlign w:val="center"/>
          </w:tcPr>
          <w:p w14:paraId="407621FC">
            <w:pPr>
              <w:spacing w:line="240" w:lineRule="auto"/>
              <w:jc w:val="left"/>
              <w:rPr>
                <w:rFonts w:hint="eastAsia" w:ascii="宋体" w:hAnsi="宋体" w:eastAsia="宋体" w:cs="Times New Roman"/>
                <w:szCs w:val="21"/>
              </w:rPr>
            </w:pPr>
            <w:r>
              <w:rPr>
                <w:rFonts w:ascii="宋体" w:hAnsi="宋体" w:eastAsia="宋体" w:cs="Times New Roman"/>
                <w:szCs w:val="21"/>
              </w:rPr>
              <w:t>1.教学内容</w:t>
            </w:r>
          </w:p>
          <w:p w14:paraId="0F029359">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1）全面从严治党是新时代党的建设的鲜明主题</w:t>
            </w:r>
          </w:p>
          <w:p w14:paraId="70DB65CA">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2）以政治建设为统领深入推进党的建设</w:t>
            </w:r>
          </w:p>
          <w:p w14:paraId="2BDCF9E2">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3）坚定不移推进反腐败斗争</w:t>
            </w:r>
          </w:p>
          <w:p w14:paraId="576B248C">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4）建设长期执政的马克思主义政党二个答案</w:t>
            </w:r>
          </w:p>
          <w:p w14:paraId="4465F9B5">
            <w:pPr>
              <w:spacing w:line="240" w:lineRule="auto"/>
              <w:jc w:val="left"/>
              <w:rPr>
                <w:rFonts w:hint="eastAsia" w:ascii="宋体" w:hAnsi="宋体" w:eastAsia="宋体" w:cs="Times New Roman"/>
                <w:szCs w:val="21"/>
              </w:rPr>
            </w:pPr>
          </w:p>
        </w:tc>
        <w:tc>
          <w:tcPr>
            <w:tcW w:w="1276" w:type="dxa"/>
            <w:vAlign w:val="center"/>
          </w:tcPr>
          <w:p w14:paraId="17296F58">
            <w:pPr>
              <w:spacing w:line="240" w:lineRule="auto"/>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2BA14D99">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1）掌握全面从严治党的基本内涵</w:t>
            </w:r>
          </w:p>
          <w:p w14:paraId="662ABD1F">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2）理解全面从严治党这场伟大自我革命的重大意义</w:t>
            </w:r>
          </w:p>
          <w:p w14:paraId="10A6469A">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3）掌握以党的政治建设统领党的建设各项工作</w:t>
            </w:r>
          </w:p>
          <w:p w14:paraId="55EF2A7B">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4）理解反腐败斗争取得压倒性胜利并全面巩固</w:t>
            </w:r>
          </w:p>
          <w:p w14:paraId="533D94C9">
            <w:pPr>
              <w:spacing w:line="24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5）掌握党的自我革命是跳出历史周期率的第</w:t>
            </w:r>
          </w:p>
        </w:tc>
        <w:tc>
          <w:tcPr>
            <w:tcW w:w="1489" w:type="dxa"/>
            <w:vAlign w:val="center"/>
          </w:tcPr>
          <w:p w14:paraId="7C81D6A1">
            <w:pPr>
              <w:spacing w:line="240" w:lineRule="auto"/>
              <w:jc w:val="left"/>
              <w:rPr>
                <w:rFonts w:hint="eastAsia" w:ascii="宋体" w:hAnsi="宋体" w:eastAsia="宋体"/>
                <w:szCs w:val="21"/>
              </w:rPr>
            </w:pPr>
            <w:r>
              <w:rPr>
                <w:rFonts w:ascii="宋体" w:hAnsi="宋体" w:eastAsia="宋体"/>
                <w:szCs w:val="21"/>
              </w:rPr>
              <w:t>1.线上学习</w:t>
            </w:r>
          </w:p>
          <w:p w14:paraId="1C13E91C">
            <w:pPr>
              <w:spacing w:line="240" w:lineRule="auto"/>
              <w:jc w:val="left"/>
              <w:rPr>
                <w:rFonts w:hint="eastAsia" w:ascii="宋体" w:hAnsi="宋体" w:eastAsia="宋体"/>
                <w:szCs w:val="21"/>
              </w:rPr>
            </w:pPr>
            <w:r>
              <w:rPr>
                <w:rFonts w:ascii="宋体" w:hAnsi="宋体" w:eastAsia="宋体"/>
                <w:szCs w:val="21"/>
              </w:rPr>
              <w:t>2.多媒体教学</w:t>
            </w:r>
          </w:p>
          <w:p w14:paraId="42E28C25">
            <w:pPr>
              <w:spacing w:line="240" w:lineRule="auto"/>
              <w:jc w:val="left"/>
              <w:rPr>
                <w:rFonts w:hint="eastAsia" w:ascii="宋体" w:hAnsi="宋体" w:eastAsia="宋体"/>
                <w:szCs w:val="21"/>
              </w:rPr>
            </w:pPr>
            <w:r>
              <w:rPr>
                <w:rFonts w:ascii="宋体" w:hAnsi="宋体" w:eastAsia="宋体"/>
                <w:szCs w:val="21"/>
              </w:rPr>
              <w:t>3.课堂讨论</w:t>
            </w:r>
          </w:p>
          <w:p w14:paraId="08275165">
            <w:pPr>
              <w:spacing w:line="240" w:lineRule="auto"/>
              <w:jc w:val="left"/>
              <w:rPr>
                <w:rFonts w:hint="eastAsia" w:ascii="宋体" w:hAnsi="宋体" w:eastAsia="宋体"/>
                <w:szCs w:val="21"/>
              </w:rPr>
            </w:pPr>
            <w:r>
              <w:rPr>
                <w:rFonts w:ascii="宋体" w:hAnsi="宋体" w:eastAsia="宋体"/>
                <w:szCs w:val="21"/>
              </w:rPr>
              <w:t>4.单元测验</w:t>
            </w:r>
          </w:p>
        </w:tc>
        <w:tc>
          <w:tcPr>
            <w:tcW w:w="535" w:type="dxa"/>
            <w:vAlign w:val="center"/>
          </w:tcPr>
          <w:p w14:paraId="676A3D05">
            <w:pPr>
              <w:spacing w:line="240" w:lineRule="auto"/>
              <w:jc w:val="center"/>
              <w:rPr>
                <w:rFonts w:hint="eastAsia" w:ascii="宋体" w:hAnsi="宋体" w:eastAsia="宋体" w:cs="Times New Roman"/>
                <w:szCs w:val="21"/>
              </w:rPr>
            </w:pPr>
            <w:r>
              <w:rPr>
                <w:rFonts w:ascii="宋体" w:hAnsi="宋体" w:eastAsia="宋体"/>
                <w:szCs w:val="21"/>
              </w:rPr>
              <w:t>3</w:t>
            </w:r>
          </w:p>
        </w:tc>
      </w:tr>
    </w:tbl>
    <w:p w14:paraId="1D611D9B">
      <w:pPr>
        <w:keepNext w:val="0"/>
        <w:keepLines w:val="0"/>
        <w:pageBreakBefore w:val="0"/>
        <w:widowControl w:val="0"/>
        <w:kinsoku/>
        <w:wordWrap/>
        <w:overflowPunct/>
        <w:topLinePunct w:val="0"/>
        <w:autoSpaceDE/>
        <w:autoSpaceDN/>
        <w:bidi w:val="0"/>
        <w:adjustRightInd/>
        <w:snapToGrid/>
        <w:spacing w:before="62" w:beforeLines="20" w:after="62" w:afterLines="20" w:line="360" w:lineRule="auto"/>
        <w:jc w:val="left"/>
        <w:textAlignment w:val="auto"/>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31B972E4">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（一）课程目标评价方式</w:t>
      </w:r>
    </w:p>
    <w:p w14:paraId="3279556B">
      <w:pPr>
        <w:spacing w:line="360" w:lineRule="auto"/>
        <w:ind w:firstLine="420" w:firstLineChars="200"/>
        <w:rPr>
          <w:rFonts w:hint="default" w:ascii="宋体" w:hAnsi="宋体" w:eastAsia="宋体" w:cs="宋体"/>
          <w:bCs/>
          <w:szCs w:val="21"/>
          <w:lang w:val="en-US" w:eastAsia="zh-CN"/>
        </w:rPr>
      </w:pPr>
      <w:r>
        <w:rPr>
          <w:rFonts w:hint="eastAsia" w:ascii="宋体" w:hAnsi="宋体" w:eastAsia="宋体" w:cs="宋体"/>
          <w:bCs/>
          <w:szCs w:val="21"/>
        </w:rPr>
        <w:t>根据总体设计，用于评价各课程目标的评价方式如</w:t>
      </w:r>
      <w:r>
        <w:rPr>
          <w:rFonts w:hint="eastAsia" w:ascii="宋体" w:hAnsi="宋体" w:eastAsia="宋体" w:cs="宋体"/>
          <w:bCs/>
          <w:szCs w:val="21"/>
          <w:lang w:val="en-US" w:eastAsia="zh-CN"/>
        </w:rPr>
        <w:t>下表所示。</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2"/>
        <w:gridCol w:w="1383"/>
        <w:gridCol w:w="1383"/>
        <w:gridCol w:w="1383"/>
        <w:gridCol w:w="1383"/>
      </w:tblGrid>
      <w:tr w14:paraId="2A22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restart"/>
          </w:tcPr>
          <w:p w14:paraId="73CEB35F">
            <w:pPr>
              <w:rPr>
                <w:rFonts w:hint="eastAsia" w:ascii="宋体" w:hAnsi="宋体" w:eastAsia="宋体" w:cs="宋体"/>
                <w:bCs/>
                <w:szCs w:val="21"/>
              </w:rPr>
            </w:pPr>
            <w:r>
              <w:rPr>
                <w:rFonts w:hint="eastAsia" w:ascii="宋体" w:hAnsi="宋体" w:eastAsia="宋体" w:cs="宋体"/>
                <w:bCs/>
                <w:szCs w:val="21"/>
              </w:rPr>
              <w:t>课程目标</w:t>
            </w:r>
          </w:p>
        </w:tc>
        <w:tc>
          <w:tcPr>
            <w:tcW w:w="5531" w:type="dxa"/>
            <w:gridSpan w:val="4"/>
          </w:tcPr>
          <w:p w14:paraId="5BC44AFB">
            <w:pPr>
              <w:jc w:val="center"/>
              <w:rPr>
                <w:rFonts w:hint="eastAsia" w:ascii="宋体" w:hAnsi="宋体" w:eastAsia="宋体" w:cs="宋体"/>
                <w:bCs/>
                <w:szCs w:val="21"/>
              </w:rPr>
            </w:pPr>
            <w:r>
              <w:rPr>
                <w:rFonts w:hint="eastAsia" w:ascii="宋体" w:hAnsi="宋体" w:eastAsia="宋体" w:cs="宋体"/>
                <w:bCs/>
                <w:szCs w:val="21"/>
              </w:rPr>
              <w:t>评价与成绩评定方法</w:t>
            </w:r>
          </w:p>
        </w:tc>
        <w:tc>
          <w:tcPr>
            <w:tcW w:w="1383" w:type="dxa"/>
            <w:vMerge w:val="restart"/>
          </w:tcPr>
          <w:p w14:paraId="147D689C">
            <w:pPr>
              <w:rPr>
                <w:rFonts w:hint="eastAsia" w:ascii="宋体" w:hAnsi="宋体" w:eastAsia="宋体" w:cs="宋体"/>
                <w:bCs/>
                <w:szCs w:val="21"/>
              </w:rPr>
            </w:pPr>
            <w:r>
              <w:rPr>
                <w:rFonts w:hint="eastAsia" w:ascii="宋体" w:hAnsi="宋体" w:eastAsia="宋体" w:cs="宋体"/>
                <w:bCs/>
                <w:szCs w:val="21"/>
              </w:rPr>
              <w:t>分值</w:t>
            </w:r>
          </w:p>
        </w:tc>
      </w:tr>
      <w:tr w14:paraId="415C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tcPr>
          <w:p w14:paraId="19A8E9D8">
            <w:pPr>
              <w:rPr>
                <w:rFonts w:hint="eastAsia" w:ascii="宋体" w:hAnsi="宋体" w:eastAsia="宋体" w:cs="宋体"/>
                <w:bCs/>
                <w:szCs w:val="21"/>
              </w:rPr>
            </w:pPr>
          </w:p>
        </w:tc>
        <w:tc>
          <w:tcPr>
            <w:tcW w:w="1382" w:type="dxa"/>
          </w:tcPr>
          <w:p w14:paraId="001FD2E6">
            <w:pPr>
              <w:rPr>
                <w:rFonts w:hint="eastAsia" w:ascii="宋体" w:hAnsi="宋体" w:eastAsia="宋体" w:cs="宋体"/>
                <w:bCs/>
                <w:szCs w:val="21"/>
              </w:rPr>
            </w:pPr>
            <w:r>
              <w:rPr>
                <w:rFonts w:hint="eastAsia" w:ascii="宋体" w:hAnsi="宋体" w:eastAsia="宋体" w:cs="宋体"/>
                <w:bCs/>
                <w:szCs w:val="21"/>
              </w:rPr>
              <w:t>网络学习</w:t>
            </w:r>
          </w:p>
        </w:tc>
        <w:tc>
          <w:tcPr>
            <w:tcW w:w="1383" w:type="dxa"/>
          </w:tcPr>
          <w:p w14:paraId="5FEA6359">
            <w:pPr>
              <w:rPr>
                <w:rFonts w:hint="eastAsia" w:ascii="宋体" w:hAnsi="宋体" w:eastAsia="宋体" w:cs="宋体"/>
                <w:bCs/>
                <w:szCs w:val="21"/>
              </w:rPr>
            </w:pPr>
            <w:r>
              <w:rPr>
                <w:rFonts w:hint="eastAsia" w:ascii="宋体" w:hAnsi="宋体" w:eastAsia="宋体" w:cs="宋体"/>
                <w:bCs/>
                <w:szCs w:val="21"/>
              </w:rPr>
              <w:t>平时表现</w:t>
            </w:r>
          </w:p>
        </w:tc>
        <w:tc>
          <w:tcPr>
            <w:tcW w:w="1383" w:type="dxa"/>
          </w:tcPr>
          <w:p w14:paraId="3DF2241A">
            <w:pPr>
              <w:rPr>
                <w:rFonts w:hint="eastAsia" w:ascii="宋体" w:hAnsi="宋体" w:eastAsia="宋体" w:cs="宋体"/>
                <w:bCs/>
                <w:szCs w:val="21"/>
              </w:rPr>
            </w:pPr>
            <w:r>
              <w:rPr>
                <w:rFonts w:hint="eastAsia" w:ascii="宋体" w:hAnsi="宋体" w:eastAsia="宋体" w:cs="宋体"/>
                <w:bCs/>
                <w:szCs w:val="21"/>
              </w:rPr>
              <w:t>作业</w:t>
            </w:r>
          </w:p>
        </w:tc>
        <w:tc>
          <w:tcPr>
            <w:tcW w:w="1383" w:type="dxa"/>
          </w:tcPr>
          <w:p w14:paraId="0D5FC859">
            <w:pPr>
              <w:rPr>
                <w:rFonts w:hint="eastAsia" w:ascii="宋体" w:hAnsi="宋体" w:eastAsia="宋体" w:cs="宋体"/>
                <w:bCs/>
                <w:szCs w:val="21"/>
              </w:rPr>
            </w:pPr>
            <w:r>
              <w:rPr>
                <w:rFonts w:hint="eastAsia" w:ascii="宋体" w:hAnsi="宋体" w:eastAsia="宋体" w:cs="宋体"/>
                <w:bCs/>
                <w:szCs w:val="21"/>
              </w:rPr>
              <w:t>期末考试</w:t>
            </w:r>
          </w:p>
        </w:tc>
        <w:tc>
          <w:tcPr>
            <w:tcW w:w="1383" w:type="dxa"/>
            <w:vMerge w:val="continue"/>
          </w:tcPr>
          <w:p w14:paraId="2E95BC13">
            <w:pPr>
              <w:rPr>
                <w:rFonts w:hint="eastAsia" w:ascii="宋体" w:hAnsi="宋体" w:eastAsia="宋体" w:cs="宋体"/>
                <w:bCs/>
                <w:szCs w:val="21"/>
              </w:rPr>
            </w:pPr>
          </w:p>
        </w:tc>
      </w:tr>
      <w:tr w14:paraId="622A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14:paraId="25C2A66D">
            <w:pPr>
              <w:rPr>
                <w:rFonts w:hint="eastAsia" w:ascii="宋体" w:hAnsi="宋体" w:eastAsia="宋体" w:cs="宋体"/>
                <w:bCs/>
                <w:szCs w:val="21"/>
              </w:rPr>
            </w:pPr>
            <w:r>
              <w:rPr>
                <w:rFonts w:hint="eastAsia" w:ascii="宋体" w:hAnsi="宋体" w:eastAsia="宋体" w:cs="宋体"/>
                <w:bCs/>
                <w:szCs w:val="21"/>
              </w:rPr>
              <w:t>课程目标 1</w:t>
            </w:r>
          </w:p>
        </w:tc>
        <w:tc>
          <w:tcPr>
            <w:tcW w:w="1382" w:type="dxa"/>
          </w:tcPr>
          <w:p w14:paraId="3777586C">
            <w:pPr>
              <w:jc w:val="center"/>
              <w:rPr>
                <w:rFonts w:hint="eastAsia" w:ascii="宋体" w:hAnsi="宋体" w:eastAsia="宋体" w:cs="宋体"/>
                <w:bCs/>
                <w:szCs w:val="21"/>
                <w:highlight w:val="yellow"/>
              </w:rPr>
            </w:pPr>
            <w:r>
              <w:rPr>
                <w:rFonts w:hint="eastAsia" w:ascii="宋体" w:hAnsi="宋体" w:eastAsia="宋体" w:cs="宋体"/>
                <w:bCs/>
                <w:szCs w:val="21"/>
              </w:rPr>
              <w:t>√</w:t>
            </w:r>
          </w:p>
        </w:tc>
        <w:tc>
          <w:tcPr>
            <w:tcW w:w="1383" w:type="dxa"/>
            <w:shd w:val="clear" w:color="auto" w:fill="auto"/>
          </w:tcPr>
          <w:p w14:paraId="7888033E">
            <w:pPr>
              <w:jc w:val="center"/>
              <w:rPr>
                <w:rFonts w:hint="eastAsia" w:ascii="宋体" w:hAnsi="宋体" w:eastAsia="宋体" w:cs="宋体"/>
                <w:bCs/>
                <w:szCs w:val="21"/>
                <w:highlight w:val="yellow"/>
              </w:rPr>
            </w:pPr>
            <w:r>
              <w:rPr>
                <w:rFonts w:hint="eastAsia" w:ascii="宋体" w:hAnsi="宋体" w:eastAsia="宋体" w:cs="宋体"/>
                <w:bCs/>
                <w:szCs w:val="21"/>
              </w:rPr>
              <w:t>√</w:t>
            </w:r>
          </w:p>
        </w:tc>
        <w:tc>
          <w:tcPr>
            <w:tcW w:w="1383" w:type="dxa"/>
          </w:tcPr>
          <w:p w14:paraId="14F163D4">
            <w:pPr>
              <w:jc w:val="center"/>
              <w:rPr>
                <w:rFonts w:hint="eastAsia" w:ascii="宋体" w:hAnsi="宋体" w:eastAsia="宋体" w:cs="宋体"/>
                <w:bCs/>
                <w:szCs w:val="21"/>
              </w:rPr>
            </w:pPr>
            <w:r>
              <w:rPr>
                <w:rFonts w:hint="eastAsia" w:ascii="宋体" w:hAnsi="宋体" w:eastAsia="宋体" w:cs="宋体"/>
                <w:bCs/>
                <w:szCs w:val="21"/>
              </w:rPr>
              <w:t>√</w:t>
            </w:r>
          </w:p>
        </w:tc>
        <w:tc>
          <w:tcPr>
            <w:tcW w:w="1383" w:type="dxa"/>
            <w:shd w:val="clear" w:color="auto" w:fill="auto"/>
          </w:tcPr>
          <w:p w14:paraId="0B8F6AB3">
            <w:pPr>
              <w:jc w:val="center"/>
              <w:rPr>
                <w:rFonts w:hint="eastAsia" w:ascii="宋体" w:hAnsi="宋体" w:eastAsia="宋体" w:cs="宋体"/>
                <w:bCs/>
                <w:szCs w:val="21"/>
              </w:rPr>
            </w:pPr>
            <w:r>
              <w:rPr>
                <w:rFonts w:hint="eastAsia" w:ascii="宋体" w:hAnsi="宋体" w:eastAsia="宋体" w:cs="宋体"/>
                <w:bCs/>
                <w:szCs w:val="21"/>
              </w:rPr>
              <w:t>√</w:t>
            </w:r>
          </w:p>
        </w:tc>
        <w:tc>
          <w:tcPr>
            <w:tcW w:w="1383" w:type="dxa"/>
          </w:tcPr>
          <w:p w14:paraId="17FD0EBA">
            <w:pPr>
              <w:rPr>
                <w:rFonts w:hint="eastAsia" w:ascii="宋体" w:hAnsi="宋体" w:eastAsia="宋体" w:cs="宋体"/>
                <w:bCs/>
                <w:szCs w:val="21"/>
              </w:rPr>
            </w:pPr>
            <w:r>
              <w:rPr>
                <w:rFonts w:hint="eastAsia" w:ascii="宋体" w:hAnsi="宋体" w:eastAsia="宋体" w:cs="宋体"/>
                <w:bCs/>
                <w:szCs w:val="21"/>
              </w:rPr>
              <w:t>4</w:t>
            </w:r>
            <w:r>
              <w:rPr>
                <w:rFonts w:ascii="宋体" w:hAnsi="宋体" w:eastAsia="宋体" w:cs="宋体"/>
                <w:bCs/>
                <w:szCs w:val="21"/>
              </w:rPr>
              <w:t>0</w:t>
            </w:r>
          </w:p>
        </w:tc>
      </w:tr>
      <w:tr w14:paraId="7D51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14:paraId="18DACC16">
            <w:pPr>
              <w:rPr>
                <w:rFonts w:hint="eastAsia" w:ascii="宋体" w:hAnsi="宋体" w:eastAsia="宋体" w:cs="宋体"/>
                <w:bCs/>
                <w:szCs w:val="21"/>
              </w:rPr>
            </w:pPr>
            <w:r>
              <w:rPr>
                <w:rFonts w:hint="eastAsia" w:ascii="宋体" w:hAnsi="宋体" w:eastAsia="宋体" w:cs="宋体"/>
                <w:bCs/>
                <w:szCs w:val="21"/>
              </w:rPr>
              <w:t>课程目标 2</w:t>
            </w:r>
          </w:p>
        </w:tc>
        <w:tc>
          <w:tcPr>
            <w:tcW w:w="1382" w:type="dxa"/>
            <w:shd w:val="clear" w:color="auto" w:fill="auto"/>
          </w:tcPr>
          <w:p w14:paraId="1CD42EF4">
            <w:pPr>
              <w:jc w:val="center"/>
              <w:rPr>
                <w:rFonts w:hint="eastAsia" w:ascii="宋体" w:hAnsi="宋体" w:eastAsia="宋体" w:cs="宋体"/>
                <w:bCs/>
                <w:szCs w:val="21"/>
              </w:rPr>
            </w:pPr>
          </w:p>
        </w:tc>
        <w:tc>
          <w:tcPr>
            <w:tcW w:w="1383" w:type="dxa"/>
          </w:tcPr>
          <w:p w14:paraId="1319FAA5">
            <w:pPr>
              <w:jc w:val="center"/>
              <w:rPr>
                <w:rFonts w:hint="eastAsia" w:ascii="宋体" w:hAnsi="宋体" w:eastAsia="宋体" w:cs="宋体"/>
                <w:bCs/>
                <w:szCs w:val="21"/>
              </w:rPr>
            </w:pPr>
            <w:r>
              <w:rPr>
                <w:rFonts w:hint="eastAsia" w:ascii="宋体" w:hAnsi="宋体" w:eastAsia="宋体" w:cs="宋体"/>
                <w:bCs/>
                <w:szCs w:val="21"/>
              </w:rPr>
              <w:t>√</w:t>
            </w:r>
          </w:p>
        </w:tc>
        <w:tc>
          <w:tcPr>
            <w:tcW w:w="1383" w:type="dxa"/>
          </w:tcPr>
          <w:p w14:paraId="66B141AA">
            <w:pPr>
              <w:jc w:val="center"/>
              <w:rPr>
                <w:rFonts w:hint="eastAsia" w:ascii="宋体" w:hAnsi="宋体" w:eastAsia="宋体" w:cs="宋体"/>
                <w:bCs/>
                <w:szCs w:val="21"/>
              </w:rPr>
            </w:pPr>
            <w:r>
              <w:rPr>
                <w:rFonts w:hint="eastAsia" w:ascii="宋体" w:hAnsi="宋体" w:eastAsia="宋体" w:cs="宋体"/>
                <w:bCs/>
                <w:szCs w:val="21"/>
              </w:rPr>
              <w:t>√</w:t>
            </w:r>
          </w:p>
        </w:tc>
        <w:tc>
          <w:tcPr>
            <w:tcW w:w="1383" w:type="dxa"/>
            <w:shd w:val="clear" w:color="auto" w:fill="auto"/>
          </w:tcPr>
          <w:p w14:paraId="3930F9AA">
            <w:pPr>
              <w:jc w:val="center"/>
              <w:rPr>
                <w:rFonts w:hint="eastAsia" w:ascii="宋体" w:hAnsi="宋体" w:eastAsia="宋体" w:cs="宋体"/>
                <w:bCs/>
                <w:szCs w:val="21"/>
              </w:rPr>
            </w:pPr>
            <w:r>
              <w:rPr>
                <w:rFonts w:hint="eastAsia" w:ascii="宋体" w:hAnsi="宋体" w:eastAsia="宋体" w:cs="宋体"/>
                <w:bCs/>
                <w:szCs w:val="21"/>
              </w:rPr>
              <w:t>√</w:t>
            </w:r>
          </w:p>
        </w:tc>
        <w:tc>
          <w:tcPr>
            <w:tcW w:w="1383" w:type="dxa"/>
          </w:tcPr>
          <w:p w14:paraId="26E6BF9B">
            <w:pPr>
              <w:rPr>
                <w:rFonts w:hint="eastAsia" w:ascii="宋体" w:hAnsi="宋体" w:eastAsia="宋体" w:cs="宋体"/>
                <w:bCs/>
                <w:szCs w:val="21"/>
              </w:rPr>
            </w:pPr>
            <w:r>
              <w:rPr>
                <w:rFonts w:hint="eastAsia" w:ascii="宋体" w:hAnsi="宋体" w:eastAsia="宋体" w:cs="宋体"/>
                <w:bCs/>
                <w:szCs w:val="21"/>
              </w:rPr>
              <w:t>4</w:t>
            </w:r>
            <w:r>
              <w:rPr>
                <w:rFonts w:ascii="宋体" w:hAnsi="宋体" w:eastAsia="宋体" w:cs="宋体"/>
                <w:bCs/>
                <w:szCs w:val="21"/>
              </w:rPr>
              <w:t>0</w:t>
            </w:r>
          </w:p>
        </w:tc>
      </w:tr>
      <w:tr w14:paraId="3F7B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14:paraId="39465F20">
            <w:pPr>
              <w:rPr>
                <w:rFonts w:hint="eastAsia" w:ascii="宋体" w:hAnsi="宋体" w:eastAsia="宋体" w:cs="宋体"/>
                <w:bCs/>
                <w:szCs w:val="21"/>
              </w:rPr>
            </w:pPr>
            <w:r>
              <w:rPr>
                <w:rFonts w:hint="eastAsia" w:ascii="宋体" w:hAnsi="宋体" w:eastAsia="宋体" w:cs="宋体"/>
                <w:bCs/>
                <w:szCs w:val="21"/>
              </w:rPr>
              <w:t>课程目标 3</w:t>
            </w:r>
          </w:p>
        </w:tc>
        <w:tc>
          <w:tcPr>
            <w:tcW w:w="1382" w:type="dxa"/>
          </w:tcPr>
          <w:p w14:paraId="5BBC1654">
            <w:pPr>
              <w:jc w:val="center"/>
              <w:rPr>
                <w:rFonts w:hint="eastAsia" w:ascii="宋体" w:hAnsi="宋体" w:eastAsia="宋体" w:cs="宋体"/>
                <w:bCs/>
                <w:szCs w:val="21"/>
                <w:highlight w:val="yellow"/>
              </w:rPr>
            </w:pPr>
          </w:p>
        </w:tc>
        <w:tc>
          <w:tcPr>
            <w:tcW w:w="1383" w:type="dxa"/>
          </w:tcPr>
          <w:p w14:paraId="59B18E33">
            <w:pPr>
              <w:jc w:val="center"/>
              <w:rPr>
                <w:rFonts w:hint="eastAsia" w:ascii="宋体" w:hAnsi="宋体" w:eastAsia="宋体" w:cs="宋体"/>
                <w:bCs/>
                <w:szCs w:val="21"/>
                <w:highlight w:val="yellow"/>
              </w:rPr>
            </w:pPr>
          </w:p>
        </w:tc>
        <w:tc>
          <w:tcPr>
            <w:tcW w:w="1383" w:type="dxa"/>
            <w:shd w:val="clear" w:color="auto" w:fill="auto"/>
          </w:tcPr>
          <w:p w14:paraId="0BA913C5">
            <w:pPr>
              <w:jc w:val="center"/>
              <w:rPr>
                <w:rFonts w:hint="eastAsia" w:ascii="宋体" w:hAnsi="宋体" w:eastAsia="宋体" w:cs="宋体"/>
                <w:bCs/>
                <w:szCs w:val="21"/>
                <w:highlight w:val="yellow"/>
              </w:rPr>
            </w:pPr>
            <w:r>
              <w:rPr>
                <w:rFonts w:hint="eastAsia" w:ascii="宋体" w:hAnsi="宋体" w:eastAsia="宋体" w:cs="宋体"/>
                <w:bCs/>
                <w:szCs w:val="21"/>
              </w:rPr>
              <w:t>√</w:t>
            </w:r>
          </w:p>
        </w:tc>
        <w:tc>
          <w:tcPr>
            <w:tcW w:w="1383" w:type="dxa"/>
            <w:shd w:val="clear" w:color="auto" w:fill="auto"/>
          </w:tcPr>
          <w:p w14:paraId="70682CDA">
            <w:pPr>
              <w:jc w:val="center"/>
              <w:rPr>
                <w:rFonts w:hint="eastAsia" w:ascii="宋体" w:hAnsi="宋体" w:eastAsia="宋体" w:cs="宋体"/>
                <w:bCs/>
                <w:szCs w:val="21"/>
                <w:highlight w:val="yellow"/>
              </w:rPr>
            </w:pPr>
            <w:r>
              <w:rPr>
                <w:rFonts w:hint="eastAsia" w:ascii="宋体" w:hAnsi="宋体" w:eastAsia="宋体" w:cs="宋体"/>
                <w:bCs/>
                <w:szCs w:val="21"/>
              </w:rPr>
              <w:t>√</w:t>
            </w:r>
          </w:p>
        </w:tc>
        <w:tc>
          <w:tcPr>
            <w:tcW w:w="1383" w:type="dxa"/>
          </w:tcPr>
          <w:p w14:paraId="678DA18D">
            <w:pPr>
              <w:rPr>
                <w:rFonts w:hint="eastAsia" w:ascii="宋体" w:hAnsi="宋体" w:eastAsia="宋体" w:cs="宋体"/>
                <w:bCs/>
                <w:szCs w:val="21"/>
              </w:rPr>
            </w:pPr>
            <w:r>
              <w:rPr>
                <w:rFonts w:hint="eastAsia" w:ascii="宋体" w:hAnsi="宋体" w:eastAsia="宋体" w:cs="宋体"/>
                <w:bCs/>
                <w:szCs w:val="21"/>
              </w:rPr>
              <w:t>2</w:t>
            </w:r>
            <w:r>
              <w:rPr>
                <w:rFonts w:ascii="宋体" w:hAnsi="宋体" w:eastAsia="宋体" w:cs="宋体"/>
                <w:bCs/>
                <w:szCs w:val="21"/>
              </w:rPr>
              <w:t>0</w:t>
            </w:r>
          </w:p>
        </w:tc>
      </w:tr>
      <w:tr w14:paraId="731A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14:paraId="024BE65D">
            <w:pPr>
              <w:rPr>
                <w:rFonts w:hint="eastAsia" w:ascii="宋体" w:hAnsi="宋体" w:eastAsia="宋体" w:cs="宋体"/>
                <w:bCs/>
                <w:szCs w:val="21"/>
              </w:rPr>
            </w:pPr>
            <w:r>
              <w:rPr>
                <w:rFonts w:hint="eastAsia" w:ascii="宋体" w:hAnsi="宋体" w:eastAsia="宋体" w:cs="宋体"/>
                <w:bCs/>
                <w:szCs w:val="21"/>
              </w:rPr>
              <w:t>合计</w:t>
            </w:r>
          </w:p>
        </w:tc>
        <w:tc>
          <w:tcPr>
            <w:tcW w:w="1382" w:type="dxa"/>
          </w:tcPr>
          <w:p w14:paraId="34D12AAB">
            <w:pPr>
              <w:rPr>
                <w:rFonts w:hint="eastAsia" w:ascii="宋体" w:hAnsi="宋体" w:eastAsia="宋体" w:cs="宋体"/>
                <w:bCs/>
                <w:strike/>
                <w:szCs w:val="21"/>
                <w:highlight w:val="yellow"/>
              </w:rPr>
            </w:pPr>
          </w:p>
        </w:tc>
        <w:tc>
          <w:tcPr>
            <w:tcW w:w="1383" w:type="dxa"/>
          </w:tcPr>
          <w:p w14:paraId="575EB465">
            <w:pPr>
              <w:rPr>
                <w:rFonts w:hint="eastAsia" w:ascii="宋体" w:hAnsi="宋体" w:eastAsia="宋体" w:cs="宋体"/>
                <w:bCs/>
                <w:strike/>
                <w:szCs w:val="21"/>
                <w:highlight w:val="yellow"/>
              </w:rPr>
            </w:pPr>
          </w:p>
        </w:tc>
        <w:tc>
          <w:tcPr>
            <w:tcW w:w="1383" w:type="dxa"/>
          </w:tcPr>
          <w:p w14:paraId="673B621A">
            <w:pPr>
              <w:rPr>
                <w:rFonts w:hint="eastAsia" w:ascii="宋体" w:hAnsi="宋体" w:eastAsia="宋体" w:cs="宋体"/>
                <w:bCs/>
                <w:szCs w:val="21"/>
                <w:highlight w:val="yellow"/>
              </w:rPr>
            </w:pPr>
          </w:p>
        </w:tc>
        <w:tc>
          <w:tcPr>
            <w:tcW w:w="1383" w:type="dxa"/>
          </w:tcPr>
          <w:p w14:paraId="6C2F705C">
            <w:pPr>
              <w:rPr>
                <w:rFonts w:hint="eastAsia" w:ascii="宋体" w:hAnsi="宋体" w:eastAsia="宋体" w:cs="宋体"/>
                <w:bCs/>
                <w:szCs w:val="21"/>
                <w:highlight w:val="yellow"/>
              </w:rPr>
            </w:pPr>
          </w:p>
        </w:tc>
        <w:tc>
          <w:tcPr>
            <w:tcW w:w="1383" w:type="dxa"/>
          </w:tcPr>
          <w:p w14:paraId="72F66F5B">
            <w:pPr>
              <w:rPr>
                <w:rFonts w:hint="eastAsia" w:ascii="宋体" w:hAnsi="宋体" w:eastAsia="宋体" w:cs="宋体"/>
                <w:bCs/>
                <w:szCs w:val="21"/>
              </w:rPr>
            </w:pPr>
            <w:r>
              <w:rPr>
                <w:rFonts w:hint="eastAsia" w:ascii="宋体" w:hAnsi="宋体" w:eastAsia="宋体" w:cs="宋体"/>
                <w:bCs/>
                <w:szCs w:val="21"/>
              </w:rPr>
              <w:t>100</w:t>
            </w:r>
          </w:p>
        </w:tc>
      </w:tr>
    </w:tbl>
    <w:p w14:paraId="6BDC404B">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（二）成绩评定细则</w:t>
      </w:r>
    </w:p>
    <w:p w14:paraId="134BA304">
      <w:pPr>
        <w:spacing w:line="360" w:lineRule="auto"/>
        <w:ind w:firstLine="420" w:firstLineChars="200"/>
        <w:rPr>
          <w:rFonts w:hint="eastAsia" w:ascii="宋体" w:hAnsi="宋体" w:eastAsia="宋体" w:cs="宋体"/>
          <w:b/>
          <w:szCs w:val="21"/>
          <w:lang w:val="en-US" w:eastAsia="zh-CN"/>
        </w:rPr>
      </w:pPr>
      <w:r>
        <w:rPr>
          <w:rFonts w:hint="eastAsia" w:ascii="宋体" w:hAnsi="宋体" w:eastAsia="宋体" w:cs="宋体"/>
          <w:bCs/>
          <w:szCs w:val="21"/>
        </w:rPr>
        <w:t>各部分的评价方式和成绩评定的细则</w:t>
      </w:r>
      <w:r>
        <w:rPr>
          <w:rFonts w:hint="eastAsia" w:ascii="宋体" w:hAnsi="宋体" w:eastAsia="宋体" w:cs="宋体"/>
          <w:bCs/>
          <w:szCs w:val="21"/>
          <w:lang w:val="en-US" w:eastAsia="zh-CN"/>
        </w:rPr>
        <w:t>下表所示。</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5978"/>
        <w:gridCol w:w="930"/>
      </w:tblGrid>
      <w:tr w14:paraId="4FD3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vAlign w:val="center"/>
          </w:tcPr>
          <w:p w14:paraId="03BF0ADC">
            <w:pPr>
              <w:jc w:val="center"/>
              <w:rPr>
                <w:rFonts w:hint="eastAsia" w:ascii="宋体" w:hAnsi="宋体" w:eastAsia="宋体" w:cs="宋体"/>
                <w:b/>
                <w:szCs w:val="21"/>
              </w:rPr>
            </w:pPr>
            <w:r>
              <w:rPr>
                <w:rFonts w:hint="eastAsia" w:ascii="宋体" w:hAnsi="宋体" w:eastAsia="宋体" w:cs="宋体"/>
                <w:b/>
                <w:szCs w:val="21"/>
              </w:rPr>
              <w:t>评价方式</w:t>
            </w:r>
          </w:p>
        </w:tc>
        <w:tc>
          <w:tcPr>
            <w:tcW w:w="5978" w:type="dxa"/>
            <w:vAlign w:val="center"/>
          </w:tcPr>
          <w:p w14:paraId="531051BE">
            <w:pPr>
              <w:jc w:val="center"/>
              <w:rPr>
                <w:rFonts w:hint="eastAsia" w:ascii="宋体" w:hAnsi="宋体" w:eastAsia="宋体" w:cs="宋体"/>
                <w:b/>
                <w:szCs w:val="21"/>
              </w:rPr>
            </w:pPr>
            <w:r>
              <w:rPr>
                <w:rFonts w:hint="eastAsia" w:ascii="宋体" w:hAnsi="宋体" w:eastAsia="宋体" w:cs="宋体"/>
                <w:b/>
                <w:szCs w:val="21"/>
              </w:rPr>
              <w:t>评定细则</w:t>
            </w:r>
          </w:p>
        </w:tc>
        <w:tc>
          <w:tcPr>
            <w:tcW w:w="930" w:type="dxa"/>
            <w:vAlign w:val="center"/>
          </w:tcPr>
          <w:p w14:paraId="341CCC3A">
            <w:pPr>
              <w:jc w:val="center"/>
              <w:rPr>
                <w:rFonts w:hint="eastAsia" w:ascii="宋体" w:hAnsi="宋体" w:eastAsia="宋体" w:cs="宋体"/>
                <w:b/>
                <w:szCs w:val="21"/>
              </w:rPr>
            </w:pPr>
            <w:r>
              <w:rPr>
                <w:rFonts w:hint="eastAsia" w:ascii="宋体" w:hAnsi="宋体" w:eastAsia="宋体" w:cs="宋体"/>
                <w:b/>
                <w:szCs w:val="21"/>
              </w:rPr>
              <w:t>占比</w:t>
            </w:r>
          </w:p>
        </w:tc>
      </w:tr>
      <w:tr w14:paraId="67FF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tcPr>
          <w:p w14:paraId="04529A5B">
            <w:pPr>
              <w:jc w:val="center"/>
              <w:rPr>
                <w:rFonts w:hint="eastAsia" w:ascii="宋体" w:hAnsi="宋体" w:eastAsia="宋体" w:cs="宋体"/>
                <w:bCs/>
                <w:szCs w:val="21"/>
              </w:rPr>
            </w:pPr>
            <w:r>
              <w:rPr>
                <w:rFonts w:hint="eastAsia" w:ascii="宋体" w:hAnsi="宋体" w:eastAsia="宋体" w:cs="宋体"/>
                <w:bCs/>
                <w:szCs w:val="21"/>
              </w:rPr>
              <w:t>网络学习</w:t>
            </w:r>
          </w:p>
        </w:tc>
        <w:tc>
          <w:tcPr>
            <w:tcW w:w="5978" w:type="dxa"/>
          </w:tcPr>
          <w:p w14:paraId="6FF8545F">
            <w:pPr>
              <w:ind w:firstLine="420" w:firstLineChars="200"/>
              <w:jc w:val="left"/>
              <w:rPr>
                <w:rFonts w:hint="eastAsia" w:ascii="宋体" w:hAnsi="宋体" w:eastAsia="宋体" w:cs="宋体"/>
                <w:bCs/>
                <w:szCs w:val="21"/>
              </w:rPr>
            </w:pPr>
            <w:r>
              <w:rPr>
                <w:rFonts w:hint="eastAsia" w:ascii="宋体" w:hAnsi="宋体" w:eastAsia="宋体" w:cs="宋体"/>
                <w:bCs/>
                <w:szCs w:val="21"/>
              </w:rPr>
              <w:t>通过视频学习时长、线上互动讨论等评定</w:t>
            </w:r>
          </w:p>
        </w:tc>
        <w:tc>
          <w:tcPr>
            <w:tcW w:w="930" w:type="dxa"/>
            <w:vAlign w:val="center"/>
          </w:tcPr>
          <w:p w14:paraId="24C9AD03">
            <w:pPr>
              <w:jc w:val="center"/>
              <w:rPr>
                <w:rFonts w:hint="eastAsia" w:ascii="宋体" w:hAnsi="宋体" w:eastAsia="宋体" w:cs="宋体"/>
                <w:bCs/>
                <w:szCs w:val="21"/>
              </w:rPr>
            </w:pPr>
            <w:r>
              <w:rPr>
                <w:rFonts w:hint="eastAsia" w:ascii="宋体" w:hAnsi="宋体" w:eastAsia="宋体" w:cs="宋体"/>
                <w:bCs/>
                <w:szCs w:val="21"/>
              </w:rPr>
              <w:t>1</w:t>
            </w:r>
            <w:r>
              <w:rPr>
                <w:rFonts w:ascii="宋体" w:hAnsi="宋体" w:eastAsia="宋体" w:cs="宋体"/>
                <w:bCs/>
                <w:szCs w:val="21"/>
              </w:rPr>
              <w:t>0%</w:t>
            </w:r>
          </w:p>
        </w:tc>
      </w:tr>
      <w:tr w14:paraId="27FD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tcPr>
          <w:p w14:paraId="3CB62E50">
            <w:pPr>
              <w:jc w:val="center"/>
              <w:rPr>
                <w:rFonts w:hint="eastAsia" w:ascii="宋体" w:hAnsi="宋体" w:eastAsia="宋体" w:cs="宋体"/>
                <w:bCs/>
                <w:szCs w:val="21"/>
              </w:rPr>
            </w:pPr>
            <w:r>
              <w:rPr>
                <w:rFonts w:hint="eastAsia" w:ascii="宋体" w:hAnsi="宋体" w:eastAsia="宋体" w:cs="宋体"/>
                <w:bCs/>
                <w:szCs w:val="21"/>
              </w:rPr>
              <w:t>平时表现</w:t>
            </w:r>
          </w:p>
        </w:tc>
        <w:tc>
          <w:tcPr>
            <w:tcW w:w="5978" w:type="dxa"/>
          </w:tcPr>
          <w:p w14:paraId="341B91D9">
            <w:pPr>
              <w:ind w:firstLine="420" w:firstLineChars="200"/>
              <w:jc w:val="left"/>
              <w:rPr>
                <w:rFonts w:hint="eastAsia" w:ascii="宋体" w:hAnsi="宋体" w:eastAsia="宋体" w:cs="宋体"/>
                <w:bCs/>
                <w:szCs w:val="21"/>
              </w:rPr>
            </w:pPr>
            <w:r>
              <w:rPr>
                <w:rFonts w:hint="eastAsia" w:ascii="宋体" w:hAnsi="宋体" w:eastAsia="宋体" w:cs="宋体"/>
                <w:bCs/>
                <w:szCs w:val="21"/>
              </w:rPr>
              <w:t>一是课堂不定期点名，考核能否按时到勤，旷课一次扣20分，迟到或早退一次扣5分。二是关注学生做笔记的情况以及课堂听课情况，以督促学生按时上课，认真听讲；课堂随机提问，提高学生上课的集中度和参与度，并考察学生当堂课程的掌握情况。三是线上学习时长、讨论互动。</w:t>
            </w:r>
          </w:p>
        </w:tc>
        <w:tc>
          <w:tcPr>
            <w:tcW w:w="930" w:type="dxa"/>
            <w:vAlign w:val="center"/>
          </w:tcPr>
          <w:p w14:paraId="20B7030E">
            <w:pPr>
              <w:jc w:val="center"/>
              <w:rPr>
                <w:rFonts w:hint="eastAsia" w:ascii="宋体" w:hAnsi="宋体" w:eastAsia="宋体" w:cs="宋体"/>
                <w:bCs/>
                <w:szCs w:val="21"/>
              </w:rPr>
            </w:pPr>
            <w:r>
              <w:rPr>
                <w:rFonts w:ascii="宋体" w:hAnsi="宋体" w:eastAsia="宋体" w:cs="宋体"/>
                <w:bCs/>
                <w:szCs w:val="21"/>
              </w:rPr>
              <w:t>20</w:t>
            </w:r>
            <w:r>
              <w:rPr>
                <w:rFonts w:hint="eastAsia" w:ascii="宋体" w:hAnsi="宋体" w:eastAsia="宋体" w:cs="宋体"/>
                <w:bCs/>
                <w:szCs w:val="21"/>
              </w:rPr>
              <w:t>%</w:t>
            </w:r>
          </w:p>
        </w:tc>
      </w:tr>
      <w:tr w14:paraId="285C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tcPr>
          <w:p w14:paraId="30DD217F">
            <w:pPr>
              <w:jc w:val="center"/>
              <w:rPr>
                <w:rFonts w:hint="eastAsia" w:ascii="宋体" w:hAnsi="宋体" w:eastAsia="宋体" w:cs="宋体"/>
                <w:bCs/>
                <w:szCs w:val="21"/>
              </w:rPr>
            </w:pPr>
            <w:r>
              <w:rPr>
                <w:rFonts w:hint="eastAsia" w:ascii="宋体" w:hAnsi="宋体" w:eastAsia="宋体" w:cs="宋体"/>
                <w:bCs/>
                <w:szCs w:val="21"/>
              </w:rPr>
              <w:t>作业</w:t>
            </w:r>
          </w:p>
        </w:tc>
        <w:tc>
          <w:tcPr>
            <w:tcW w:w="5978" w:type="dxa"/>
          </w:tcPr>
          <w:p w14:paraId="2E5ACEA5">
            <w:pPr>
              <w:ind w:firstLine="420" w:firstLineChars="200"/>
              <w:jc w:val="left"/>
              <w:rPr>
                <w:rFonts w:hint="eastAsia" w:ascii="宋体" w:hAnsi="宋体" w:eastAsia="宋体" w:cs="宋体"/>
                <w:bCs/>
                <w:szCs w:val="21"/>
              </w:rPr>
            </w:pPr>
            <w:r>
              <w:rPr>
                <w:rFonts w:hint="eastAsia" w:ascii="宋体" w:hAnsi="宋体" w:eastAsia="宋体" w:cs="宋体"/>
                <w:bCs/>
                <w:szCs w:val="21"/>
              </w:rPr>
              <w:t>通过两次理论作业和每个单元的测验考核学生对课程知识点的理解和应用：对每次作业完成情况做记录并百分制打分，计算全部作业的平均成绩。</w:t>
            </w:r>
          </w:p>
        </w:tc>
        <w:tc>
          <w:tcPr>
            <w:tcW w:w="930" w:type="dxa"/>
            <w:vAlign w:val="center"/>
          </w:tcPr>
          <w:p w14:paraId="6CB64AAF">
            <w:pPr>
              <w:jc w:val="center"/>
              <w:rPr>
                <w:rFonts w:hint="eastAsia" w:ascii="宋体" w:hAnsi="宋体" w:eastAsia="宋体" w:cs="宋体"/>
                <w:bCs/>
                <w:szCs w:val="21"/>
              </w:rPr>
            </w:pPr>
            <w:r>
              <w:rPr>
                <w:rFonts w:ascii="宋体" w:hAnsi="宋体" w:eastAsia="宋体" w:cs="宋体"/>
                <w:bCs/>
                <w:szCs w:val="21"/>
              </w:rPr>
              <w:t>30</w:t>
            </w:r>
            <w:r>
              <w:rPr>
                <w:rFonts w:hint="eastAsia" w:ascii="宋体" w:hAnsi="宋体" w:eastAsia="宋体" w:cs="宋体"/>
                <w:bCs/>
                <w:szCs w:val="21"/>
              </w:rPr>
              <w:t>%</w:t>
            </w:r>
          </w:p>
        </w:tc>
      </w:tr>
      <w:tr w14:paraId="4B66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tcPr>
          <w:p w14:paraId="6D389A5A">
            <w:pPr>
              <w:jc w:val="center"/>
              <w:rPr>
                <w:rFonts w:hint="eastAsia" w:ascii="宋体" w:hAnsi="宋体" w:eastAsia="宋体" w:cs="宋体"/>
                <w:bCs/>
                <w:szCs w:val="21"/>
              </w:rPr>
            </w:pPr>
            <w:r>
              <w:rPr>
                <w:rFonts w:hint="eastAsia" w:ascii="宋体" w:hAnsi="宋体" w:eastAsia="宋体" w:cs="宋体"/>
                <w:bCs/>
                <w:szCs w:val="21"/>
              </w:rPr>
              <w:t>期末考试</w:t>
            </w:r>
          </w:p>
        </w:tc>
        <w:tc>
          <w:tcPr>
            <w:tcW w:w="5978" w:type="dxa"/>
          </w:tcPr>
          <w:p w14:paraId="2F86683B">
            <w:pPr>
              <w:jc w:val="left"/>
              <w:rPr>
                <w:rFonts w:hint="eastAsia" w:ascii="宋体" w:hAnsi="宋体" w:eastAsia="宋体" w:cs="宋体"/>
                <w:bCs/>
                <w:szCs w:val="21"/>
              </w:rPr>
            </w:pPr>
            <w:r>
              <w:rPr>
                <w:rFonts w:hint="eastAsia" w:ascii="宋体" w:hAnsi="宋体" w:eastAsia="宋体" w:cs="宋体"/>
                <w:bCs/>
                <w:szCs w:val="21"/>
              </w:rPr>
              <w:t>试卷题型包括判断题、填空题、单项选择题等。考核对习近平新时代中国特色社会主义思想的理解和运用。</w:t>
            </w:r>
          </w:p>
        </w:tc>
        <w:tc>
          <w:tcPr>
            <w:tcW w:w="930" w:type="dxa"/>
            <w:vAlign w:val="center"/>
          </w:tcPr>
          <w:p w14:paraId="52596AE3">
            <w:pPr>
              <w:jc w:val="center"/>
              <w:rPr>
                <w:rFonts w:hint="eastAsia" w:ascii="宋体" w:hAnsi="宋体" w:eastAsia="宋体" w:cs="宋体"/>
                <w:bCs/>
                <w:szCs w:val="21"/>
              </w:rPr>
            </w:pPr>
            <w:r>
              <w:rPr>
                <w:rFonts w:hint="eastAsia" w:ascii="宋体" w:hAnsi="宋体" w:eastAsia="宋体" w:cs="宋体"/>
                <w:bCs/>
                <w:szCs w:val="21"/>
              </w:rPr>
              <w:t>40%</w:t>
            </w:r>
          </w:p>
        </w:tc>
      </w:tr>
      <w:tr w14:paraId="3622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tcPr>
          <w:p w14:paraId="310807D4">
            <w:pPr>
              <w:jc w:val="center"/>
              <w:rPr>
                <w:rFonts w:hint="eastAsia" w:ascii="宋体" w:hAnsi="宋体" w:eastAsia="宋体" w:cs="宋体"/>
                <w:b/>
                <w:szCs w:val="21"/>
              </w:rPr>
            </w:pPr>
            <w:r>
              <w:rPr>
                <w:rFonts w:hint="eastAsia" w:ascii="宋体" w:hAnsi="宋体" w:eastAsia="宋体" w:cs="宋体"/>
                <w:b/>
                <w:szCs w:val="21"/>
              </w:rPr>
              <w:t>合计</w:t>
            </w:r>
          </w:p>
        </w:tc>
        <w:tc>
          <w:tcPr>
            <w:tcW w:w="5978" w:type="dxa"/>
          </w:tcPr>
          <w:p w14:paraId="1C21230A">
            <w:pPr>
              <w:jc w:val="center"/>
              <w:rPr>
                <w:rFonts w:hint="eastAsia" w:ascii="宋体" w:hAnsi="宋体" w:eastAsia="宋体" w:cs="宋体"/>
                <w:b/>
                <w:szCs w:val="21"/>
              </w:rPr>
            </w:pPr>
          </w:p>
        </w:tc>
        <w:tc>
          <w:tcPr>
            <w:tcW w:w="930" w:type="dxa"/>
          </w:tcPr>
          <w:p w14:paraId="3E49F400">
            <w:pPr>
              <w:jc w:val="center"/>
              <w:rPr>
                <w:rFonts w:hint="eastAsia" w:ascii="宋体" w:hAnsi="宋体" w:eastAsia="宋体" w:cs="宋体"/>
                <w:b/>
                <w:szCs w:val="21"/>
              </w:rPr>
            </w:pPr>
            <w:r>
              <w:rPr>
                <w:rFonts w:hint="eastAsia" w:ascii="宋体" w:hAnsi="宋体" w:eastAsia="宋体" w:cs="宋体"/>
                <w:b/>
                <w:szCs w:val="21"/>
              </w:rPr>
              <w:t>100%</w:t>
            </w:r>
          </w:p>
        </w:tc>
      </w:tr>
    </w:tbl>
    <w:p w14:paraId="62E6A26D">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szCs w:val="21"/>
        </w:rPr>
      </w:pPr>
      <w:r>
        <w:rPr>
          <w:rFonts w:hint="eastAsia" w:ascii="宋体" w:hAnsi="宋体" w:eastAsia="宋体" w:cs="宋体"/>
          <w:b/>
          <w:szCs w:val="21"/>
        </w:rPr>
        <w:t>（三）课程目标达成度计算方法</w:t>
      </w:r>
    </w:p>
    <w:p w14:paraId="44F208E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szCs w:val="21"/>
        </w:rPr>
      </w:pPr>
      <w:r>
        <w:rPr>
          <w:rFonts w:hint="eastAsia" w:ascii="宋体" w:hAnsi="宋体" w:eastAsia="宋体" w:cs="宋体"/>
          <w:bCs/>
          <w:szCs w:val="21"/>
        </w:rPr>
        <w:t xml:space="preserve">所有课程目标均需大于等于 0.6，否则总评成绩不及格，需要补考或重修。每门课程目标总体达成度计算方法如下： </w:t>
      </w:r>
    </w:p>
    <w:p w14:paraId="5F78C093">
      <w:pPr>
        <w:spacing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29" o:spt="75" type="#_x0000_t75" style="height:25.5pt;width:404.3pt;" o:ole="t" filled="f" o:preferrelative="t" stroked="f" coordsize="21600,21600">
            <v:path/>
            <v:fill on="f" focussize="0,0"/>
            <v:stroke on="f" joinstyle="miter"/>
            <v:imagedata r:id="rId10" o:title=""/>
            <o:lock v:ext="edit" aspectratio="t"/>
            <w10:wrap type="none"/>
            <w10:anchorlock/>
          </v:shape>
          <o:OLEObject Type="Embed" ProgID="Equation.3" ShapeID="_x0000_i1029" DrawAspect="Content" ObjectID="_1468075728" r:id="rId13">
            <o:LockedField>false</o:LockedField>
          </o:OLEObject>
        </w:object>
      </w:r>
      <w:r>
        <w:rPr>
          <w:rFonts w:hint="eastAsia" w:ascii="Times New Roman" w:hAnsi="Times New Roman" w:eastAsia="宋体" w:cs="Times New Roman"/>
          <w:b/>
          <w:sz w:val="24"/>
        </w:rPr>
        <w:t>五</w:t>
      </w:r>
      <w:r>
        <w:rPr>
          <w:rFonts w:ascii="Times New Roman" w:hAnsi="Times New Roman" w:eastAsia="宋体" w:cs="Times New Roman"/>
          <w:b/>
          <w:sz w:val="24"/>
        </w:rPr>
        <w:t>、</w:t>
      </w:r>
      <w:r>
        <w:rPr>
          <w:rFonts w:hint="eastAsia" w:ascii="Times New Roman" w:hAnsi="Times New Roman" w:eastAsia="宋体" w:cs="Times New Roman"/>
          <w:b/>
          <w:sz w:val="24"/>
        </w:rPr>
        <w:t>有关说明</w:t>
      </w:r>
    </w:p>
    <w:p w14:paraId="3680B95F">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（一）持续改进</w:t>
      </w:r>
    </w:p>
    <w:p w14:paraId="03542F8E">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本课程根据平时表现、作业、实践和期末考试等考核情况，以及学生、教学督导等反馈，及时对教学中不足之处进行改进，并在下一轮课程教学中整改完善，确保相应毕业要求达成。</w:t>
      </w:r>
    </w:p>
    <w:p w14:paraId="4FB11D59">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（二）参考书目及学习资料</w:t>
      </w:r>
    </w:p>
    <w:p w14:paraId="58BFB3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bookmarkStart w:id="14" w:name="_Hlk116297680"/>
      <w:r>
        <w:rPr>
          <w:rFonts w:hint="eastAsia" w:ascii="宋体" w:hAnsi="宋体" w:eastAsia="宋体" w:cs="宋体"/>
          <w:szCs w:val="21"/>
        </w:rPr>
        <w:t>1. 《习近平谈治国理政》，外文出版社，2014</w:t>
      </w:r>
    </w:p>
    <w:p w14:paraId="4D46E02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 xml:space="preserve">2. </w:t>
      </w:r>
      <w:bookmarkStart w:id="15" w:name="_Hlk115408979"/>
      <w:r>
        <w:rPr>
          <w:rFonts w:hint="eastAsia" w:ascii="宋体" w:hAnsi="宋体" w:eastAsia="宋体" w:cs="宋体"/>
          <w:szCs w:val="21"/>
        </w:rPr>
        <w:t>《习近平谈治国理政（第二卷）》，外文出版社，2017</w:t>
      </w:r>
      <w:bookmarkEnd w:id="15"/>
    </w:p>
    <w:p w14:paraId="3311639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3. 《习近平谈治国理政（第三卷）》，外文出版社，2020</w:t>
      </w:r>
    </w:p>
    <w:p w14:paraId="3D25D57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 《习近平谈治国理政（第四卷）》，外文出版社，2022</w:t>
      </w:r>
    </w:p>
    <w:bookmarkEnd w:id="14"/>
    <w:p w14:paraId="6F7B38F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5.《习近平新时代中国特色社会主义思想学习纲要》，学习出版社、人民出版社，2019</w:t>
      </w:r>
    </w:p>
    <w:p w14:paraId="6545CD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6.《习近平新时代中国特色社会主义思想基本问题》，中共中央党校出版社，2020</w:t>
      </w:r>
    </w:p>
    <w:p w14:paraId="41ED4D4F">
      <w:pPr>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rPr>
        <w:t>（三）教学改革</w:t>
      </w:r>
    </w:p>
    <w:p w14:paraId="47BBAAA9">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本课程的教学改革，需制定相应的教学方案。</w:t>
      </w:r>
    </w:p>
    <w:p w14:paraId="3F820E56">
      <w:pPr>
        <w:autoSpaceDE w:val="0"/>
        <w:autoSpaceDN w:val="0"/>
        <w:adjustRightInd w:val="0"/>
        <w:spacing w:line="360" w:lineRule="auto"/>
        <w:ind w:right="720" w:firstLine="420" w:firstLineChars="200"/>
        <w:jc w:val="right"/>
        <w:rPr>
          <w:rFonts w:ascii="Times New Roman" w:hAnsi="Times New Roman" w:eastAsia="宋体" w:cs="Times New Roman"/>
          <w:kern w:val="0"/>
          <w:szCs w:val="21"/>
        </w:rPr>
      </w:pPr>
      <w:r>
        <w:rPr>
          <w:rFonts w:ascii="Times New Roman" w:hAnsi="Times New Roman" w:eastAsia="宋体" w:cs="Times New Roman"/>
          <w:kern w:val="0"/>
          <w:szCs w:val="21"/>
        </w:rPr>
        <w:t>执笔人：</w:t>
      </w:r>
      <w:r>
        <w:rPr>
          <w:rFonts w:hint="eastAsia" w:ascii="Times New Roman" w:hAnsi="Times New Roman" w:eastAsia="宋体" w:cs="Times New Roman"/>
          <w:kern w:val="0"/>
          <w:szCs w:val="21"/>
        </w:rPr>
        <w:t>袁青欢</w:t>
      </w:r>
    </w:p>
    <w:p w14:paraId="7B6CDCE5">
      <w:pPr>
        <w:autoSpaceDE w:val="0"/>
        <w:autoSpaceDN w:val="0"/>
        <w:adjustRightInd w:val="0"/>
        <w:spacing w:line="360" w:lineRule="auto"/>
        <w:ind w:right="720" w:firstLine="420" w:firstLineChars="200"/>
        <w:jc w:val="right"/>
        <w:rPr>
          <w:rFonts w:ascii="Times New Roman" w:hAnsi="Times New Roman" w:eastAsia="宋体" w:cs="Times New Roman"/>
          <w:kern w:val="0"/>
          <w:szCs w:val="21"/>
        </w:rPr>
      </w:pPr>
      <w:r>
        <w:rPr>
          <w:rFonts w:ascii="Times New Roman" w:hAnsi="Times New Roman" w:eastAsia="宋体" w:cs="Times New Roman"/>
          <w:kern w:val="0"/>
          <w:szCs w:val="21"/>
        </w:rPr>
        <w:t>审定人：</w:t>
      </w:r>
      <w:r>
        <w:rPr>
          <w:rFonts w:hint="eastAsia" w:ascii="Times New Roman" w:hAnsi="Times New Roman" w:eastAsia="宋体" w:cs="Times New Roman"/>
          <w:kern w:val="0"/>
          <w:szCs w:val="21"/>
        </w:rPr>
        <w:t>夏天静</w:t>
      </w:r>
    </w:p>
    <w:p w14:paraId="1A632D5D">
      <w:pPr>
        <w:autoSpaceDE w:val="0"/>
        <w:autoSpaceDN w:val="0"/>
        <w:adjustRightInd w:val="0"/>
        <w:spacing w:line="360" w:lineRule="auto"/>
        <w:ind w:right="720" w:firstLine="420" w:firstLineChars="200"/>
        <w:jc w:val="right"/>
        <w:rPr>
          <w:rFonts w:ascii="Times New Roman" w:hAnsi="Times New Roman" w:eastAsia="宋体" w:cs="Times New Roman"/>
          <w:kern w:val="0"/>
          <w:szCs w:val="21"/>
        </w:rPr>
      </w:pPr>
      <w:r>
        <w:rPr>
          <w:rFonts w:ascii="Times New Roman" w:hAnsi="Times New Roman" w:eastAsia="宋体" w:cs="Times New Roman"/>
          <w:kern w:val="0"/>
          <w:szCs w:val="21"/>
        </w:rPr>
        <w:t>审批人：</w:t>
      </w:r>
      <w:r>
        <w:rPr>
          <w:rFonts w:hint="eastAsia" w:ascii="Times New Roman" w:hAnsi="Times New Roman" w:eastAsia="宋体" w:cs="Times New Roman"/>
          <w:kern w:val="0"/>
          <w:szCs w:val="21"/>
        </w:rPr>
        <w:t>熊焱生</w:t>
      </w:r>
    </w:p>
    <w:p w14:paraId="69CFF91D">
      <w:pPr>
        <w:autoSpaceDE w:val="0"/>
        <w:autoSpaceDN w:val="0"/>
        <w:adjustRightInd w:val="0"/>
        <w:spacing w:line="360" w:lineRule="auto"/>
        <w:ind w:right="651" w:firstLine="420" w:firstLineChars="200"/>
        <w:jc w:val="right"/>
        <w:rPr>
          <w:rFonts w:hint="eastAsia" w:eastAsiaTheme="minorEastAsia"/>
          <w:szCs w:val="21"/>
          <w:lang w:eastAsia="zh-CN"/>
        </w:rPr>
      </w:pPr>
      <w:r>
        <w:rPr>
          <w:rFonts w:hint="eastAsia" w:ascii="Times New Roman" w:hAnsi="Times New Roman" w:eastAsia="宋体" w:cs="Times New Roman"/>
          <w:kern w:val="0"/>
          <w:szCs w:val="21"/>
          <w:lang w:eastAsia="zh-CN"/>
        </w:rPr>
        <w:t>批准时间：2025年7月1日</w:t>
      </w:r>
    </w:p>
    <w:p w14:paraId="1566F384">
      <w:pPr>
        <w:spacing w:line="360" w:lineRule="auto"/>
        <w:ind w:firstLine="562" w:firstLineChars="200"/>
        <w:rPr>
          <w:rFonts w:ascii="Times New Roman" w:hAnsi="Times New Roman" w:eastAsia="宋体" w:cs="Times New Roman"/>
          <w:b/>
          <w:color w:val="auto"/>
          <w:sz w:val="28"/>
          <w:szCs w:val="28"/>
        </w:rPr>
      </w:pPr>
    </w:p>
    <w:p w14:paraId="3A3B3FD7">
      <w:pPr>
        <w:rPr>
          <w:color w:val="auto"/>
        </w:rPr>
      </w:pPr>
      <w:r>
        <w:rPr>
          <w:rFonts w:hint="eastAsia"/>
          <w:color w:val="auto"/>
        </w:rPr>
        <w:br w:type="page"/>
      </w:r>
    </w:p>
    <w:p w14:paraId="0E0CF180">
      <w:pPr>
        <w:pStyle w:val="3"/>
        <w:rPr>
          <w:color w:val="auto"/>
        </w:rPr>
      </w:pPr>
      <w:bookmarkStart w:id="16" w:name="_Toc3139"/>
      <w:r>
        <w:rPr>
          <w:rFonts w:hint="eastAsia"/>
          <w:color w:val="auto"/>
        </w:rPr>
        <w:t>《习近平总书记关于教育的重要论述研究》课程教学大纲</w:t>
      </w:r>
      <w:bookmarkEnd w:id="16"/>
    </w:p>
    <w:p w14:paraId="21997F89">
      <w:pPr>
        <w:spacing w:line="360" w:lineRule="auto"/>
        <w:jc w:val="center"/>
        <w:rPr>
          <w:rFonts w:hint="default" w:ascii="Times New Roman" w:hAnsi="Times New Roman" w:eastAsia="宋体" w:cs="Times New Roman"/>
          <w:bCs/>
          <w:color w:val="auto"/>
          <w:sz w:val="28"/>
          <w:szCs w:val="28"/>
        </w:rPr>
      </w:pPr>
      <w:r>
        <w:rPr>
          <w:rFonts w:hint="default" w:ascii="Times New Roman" w:hAnsi="Times New Roman" w:eastAsia="宋体" w:cs="Times New Roman"/>
          <w:b/>
          <w:bCs/>
          <w:color w:val="auto"/>
          <w:sz w:val="28"/>
          <w:szCs w:val="28"/>
        </w:rPr>
        <w:t>（</w:t>
      </w:r>
      <w:r>
        <w:rPr>
          <w:rFonts w:hint="default" w:ascii="Times New Roman" w:hAnsi="Times New Roman" w:eastAsia="等线" w:cs="Times New Roman"/>
          <w:b/>
          <w:bCs/>
          <w:color w:val="auto"/>
          <w:sz w:val="28"/>
          <w:szCs w:val="28"/>
        </w:rPr>
        <w:t>General Secretary Xi Jinping's Important Exposition on Education</w:t>
      </w:r>
      <w:r>
        <w:rPr>
          <w:rFonts w:hint="default" w:ascii="Times New Roman" w:hAnsi="Times New Roman" w:eastAsia="宋体" w:cs="Times New Roman"/>
          <w:b/>
          <w:bCs/>
          <w:color w:val="auto"/>
          <w:sz w:val="28"/>
          <w:szCs w:val="28"/>
        </w:rPr>
        <w:t>）</w:t>
      </w:r>
    </w:p>
    <w:p w14:paraId="18BE81EA">
      <w:pPr>
        <w:spacing w:line="360" w:lineRule="auto"/>
        <w:jc w:val="left"/>
        <w:rPr>
          <w:rFonts w:ascii="Times New Roman" w:hAnsi="Times New Roman" w:eastAsia="宋体" w:cs="Times New Roman"/>
          <w:b/>
          <w:color w:val="auto"/>
          <w:sz w:val="24"/>
        </w:rPr>
      </w:pPr>
    </w:p>
    <w:p w14:paraId="5F8AAAFF">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课程名称：习近平总书记关于教育的重要论述研究</w:t>
      </w:r>
    </w:p>
    <w:p w14:paraId="65CEF34B">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课程代码：2400002</w:t>
      </w:r>
    </w:p>
    <w:p w14:paraId="4F586B59">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分：1</w:t>
      </w:r>
    </w:p>
    <w:p w14:paraId="0E1B0CC7">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时：8</w:t>
      </w:r>
    </w:p>
    <w:p w14:paraId="3EC5E0CC">
      <w:pPr>
        <w:spacing w:line="360" w:lineRule="auto"/>
        <w:ind w:firstLine="482" w:firstLineChars="200"/>
        <w:jc w:val="left"/>
        <w:rPr>
          <w:rFonts w:ascii="Times New Roman" w:hAnsi="Times New Roman" w:eastAsia="等线" w:cs="Times New Roman"/>
          <w:color w:val="auto"/>
          <w:sz w:val="24"/>
        </w:rPr>
      </w:pPr>
      <w:r>
        <w:rPr>
          <w:rFonts w:hint="eastAsia" w:ascii="Times New Roman" w:hAnsi="Times New Roman" w:eastAsia="宋体" w:cs="Times New Roman"/>
          <w:b/>
          <w:color w:val="auto"/>
          <w:sz w:val="24"/>
        </w:rPr>
        <w:t>先修课程：中国近现代史纲要</w:t>
      </w:r>
    </w:p>
    <w:p w14:paraId="484DB5EB">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适用专业：小学教育</w:t>
      </w:r>
    </w:p>
    <w:p w14:paraId="6848E0F8">
      <w:pPr>
        <w:spacing w:line="240" w:lineRule="auto"/>
        <w:jc w:val="left"/>
        <w:rPr>
          <w:rFonts w:ascii="Times New Roman" w:hAnsi="Times New Roman" w:eastAsia="宋体" w:cs="Times New Roman"/>
          <w:b/>
          <w:color w:val="auto"/>
          <w:sz w:val="24"/>
        </w:rPr>
      </w:pPr>
    </w:p>
    <w:p w14:paraId="4EEB79D0">
      <w:pPr>
        <w:spacing w:line="360" w:lineRule="auto"/>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一、课程简介</w:t>
      </w:r>
    </w:p>
    <w:p w14:paraId="3AACF3BC">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是小学教育专业教师教育类公共必修课程。为推动教育系统广大干部师生深入学贯彻学习总书记关于教育的重要论述，教育部组织编写了《习近平总书记教育重要论述讲义》。党的十八大以来，习近平总书记就教育改革发展作出了一系列重要讲话、指示批示，提出了一系列新理念新思想新观点，形成了习近平总书记关于教育的重要论述。习近平总书记关于教育的重要论述从根本上阐明了新时代中国特色社会主义教育发展方向、道路、方针、原则等一系列方向性根本性战略性问题，以全新的视野深化了对社会主义建设规律、教育发展规律、人才培养规律的认识，开拓了马克思主义教育思想的新境界，标志着中国特色社会主义教育理论发展达到了新高度，为加快推进教育现代化、建设教育强国、办好人民满意的教育提供了根本遵循和行动指南。</w:t>
      </w:r>
    </w:p>
    <w:p w14:paraId="180F3E9A">
      <w:pPr>
        <w:spacing w:line="240" w:lineRule="auto"/>
        <w:jc w:val="left"/>
        <w:rPr>
          <w:rFonts w:hint="eastAsia" w:ascii="宋体" w:hAnsi="宋体" w:eastAsia="宋体" w:cs="Times New Roman"/>
          <w:b/>
          <w:color w:val="auto"/>
          <w:szCs w:val="21"/>
        </w:rPr>
      </w:pPr>
    </w:p>
    <w:p w14:paraId="1BE1627A">
      <w:pPr>
        <w:spacing w:line="360" w:lineRule="auto"/>
        <w:jc w:val="left"/>
        <w:rPr>
          <w:rFonts w:ascii="Times New Roman" w:hAnsi="Times New Roman" w:eastAsia="宋体" w:cs="Times New Roman"/>
          <w:color w:val="auto"/>
          <w:sz w:val="24"/>
        </w:rPr>
      </w:pPr>
      <w:r>
        <w:rPr>
          <w:rFonts w:hint="eastAsia" w:ascii="宋体" w:hAnsi="宋体" w:eastAsia="宋体" w:cs="Times New Roman"/>
          <w:b/>
          <w:color w:val="auto"/>
          <w:sz w:val="24"/>
        </w:rPr>
        <w:t>二</w:t>
      </w:r>
      <w:r>
        <w:rPr>
          <w:rFonts w:ascii="宋体" w:hAnsi="宋体" w:eastAsia="宋体" w:cs="Times New Roman"/>
          <w:b/>
          <w:color w:val="auto"/>
          <w:sz w:val="24"/>
        </w:rPr>
        <w:t>、课程目标</w:t>
      </w:r>
    </w:p>
    <w:p w14:paraId="308BB591">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7AC14DF2">
      <w:pPr>
        <w:spacing w:before="156" w:beforeLines="50" w:after="156" w:after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目标1：</w:t>
      </w:r>
      <w:r>
        <w:rPr>
          <w:rFonts w:hint="eastAsia" w:ascii="Times New Roman" w:hAnsi="Times New Roman" w:eastAsia="宋体" w:cs="Times New Roman"/>
          <w:bCs/>
          <w:color w:val="auto"/>
          <w:szCs w:val="21"/>
        </w:rPr>
        <w:t>真学真用。总书记关于教育的重要论述为新时代中国特色社会主义教育指明了方向指明了道路、揭示了本质揭示了规律、给出了要求给出了方法，教育战线要紧密联系工作实际，真学真用，把总书记关于教育的重要论述落</w:t>
      </w:r>
      <w:r>
        <w:rPr>
          <w:rFonts w:hint="eastAsia" w:ascii="Times New Roman" w:hAnsi="Times New Roman" w:eastAsia="宋体" w:cs="Times New Roman"/>
          <w:bCs/>
          <w:color w:val="auto"/>
          <w:szCs w:val="21"/>
          <w:lang w:val="en-US" w:eastAsia="zh-CN"/>
        </w:rPr>
        <w:t>实</w:t>
      </w:r>
      <w:r>
        <w:rPr>
          <w:rFonts w:hint="eastAsia" w:ascii="Times New Roman" w:hAnsi="Times New Roman" w:eastAsia="宋体" w:cs="Times New Roman"/>
          <w:bCs/>
          <w:color w:val="auto"/>
          <w:szCs w:val="21"/>
        </w:rPr>
        <w:t>下去、落</w:t>
      </w:r>
      <w:r>
        <w:rPr>
          <w:rFonts w:hint="eastAsia" w:ascii="Times New Roman" w:hAnsi="Times New Roman" w:eastAsia="宋体" w:cs="Times New Roman"/>
          <w:bCs/>
          <w:color w:val="auto"/>
          <w:szCs w:val="21"/>
          <w:lang w:val="en-US" w:eastAsia="zh-CN"/>
        </w:rPr>
        <w:t>实</w:t>
      </w:r>
      <w:r>
        <w:rPr>
          <w:rFonts w:hint="eastAsia" w:ascii="Times New Roman" w:hAnsi="Times New Roman" w:eastAsia="宋体" w:cs="Times New Roman"/>
          <w:bCs/>
          <w:color w:val="auto"/>
          <w:szCs w:val="21"/>
        </w:rPr>
        <w:t>到位。</w:t>
      </w:r>
    </w:p>
    <w:p w14:paraId="64D827AF">
      <w:pPr>
        <w:spacing w:before="156" w:beforeLines="50" w:after="156" w:afterLines="50" w:line="360" w:lineRule="auto"/>
        <w:ind w:firstLine="422" w:firstLineChars="200"/>
        <w:jc w:val="left"/>
        <w:rPr>
          <w:rFonts w:ascii="Times New Roman" w:hAnsi="Times New Roman" w:eastAsia="宋体" w:cs="Times New Roman"/>
          <w:bCs/>
          <w:color w:val="auto"/>
          <w:szCs w:val="21"/>
        </w:rPr>
      </w:pPr>
      <w:r>
        <w:rPr>
          <w:rFonts w:hint="eastAsia" w:ascii="Times New Roman" w:hAnsi="Times New Roman" w:eastAsia="宋体" w:cs="Times New Roman"/>
          <w:b/>
          <w:color w:val="auto"/>
          <w:szCs w:val="21"/>
        </w:rPr>
        <w:t>目标2：</w:t>
      </w:r>
      <w:r>
        <w:rPr>
          <w:rFonts w:hint="eastAsia" w:ascii="Times New Roman" w:hAnsi="Times New Roman" w:eastAsia="宋体" w:cs="Times New Roman"/>
          <w:bCs/>
          <w:color w:val="auto"/>
          <w:szCs w:val="21"/>
        </w:rPr>
        <w:t>学深学透。要深刻领会总书记关于教育地位作用和目标的重要论述、总书记关于立德树人这一根本任务的重要论述、总书记关于教师队伍建设的重要论述、总书记关于教育改革的重要论述、总书记关于党对教育工作全面领导的重要论述，掌握全面、把握重点、理解难点。</w:t>
      </w:r>
    </w:p>
    <w:p w14:paraId="53775EA2">
      <w:pPr>
        <w:spacing w:before="156" w:beforeLines="50" w:after="156" w:afterLines="50" w:line="360" w:lineRule="auto"/>
        <w:ind w:firstLine="422" w:firstLineChars="200"/>
        <w:jc w:val="left"/>
        <w:rPr>
          <w:rFonts w:ascii="Times New Roman" w:hAnsi="Times New Roman" w:eastAsia="宋体" w:cs="Times New Roman"/>
          <w:bCs/>
          <w:color w:val="auto"/>
          <w:szCs w:val="21"/>
        </w:rPr>
      </w:pPr>
      <w:r>
        <w:rPr>
          <w:rFonts w:hint="eastAsia" w:ascii="Times New Roman" w:hAnsi="Times New Roman" w:eastAsia="宋体" w:cs="Times New Roman"/>
          <w:b/>
          <w:color w:val="auto"/>
          <w:szCs w:val="21"/>
        </w:rPr>
        <w:t>目标3：</w:t>
      </w:r>
      <w:r>
        <w:rPr>
          <w:rFonts w:hint="eastAsia" w:ascii="Times New Roman" w:hAnsi="Times New Roman" w:eastAsia="宋体" w:cs="Times New Roman"/>
          <w:bCs/>
          <w:color w:val="auto"/>
          <w:szCs w:val="21"/>
        </w:rPr>
        <w:t>会学善学。要坚持融入思想学、形成体系学、带着问题学、提升本领学，学习好宣传好落实好总书记关于教育的重要论述，提高政治站位、提升理论自觉、树立问题导向，坚持真学、真懂、真信、真用，推动学习往深里走、往实里走、往心里走。</w:t>
      </w:r>
    </w:p>
    <w:p w14:paraId="25764292">
      <w:pPr>
        <w:spacing w:before="156" w:beforeLines="50" w:after="156" w:afterLines="50" w:line="360" w:lineRule="auto"/>
        <w:ind w:firstLine="422" w:firstLineChars="200"/>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42"/>
        <w:tblW w:w="9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6030"/>
        <w:gridCol w:w="1590"/>
      </w:tblGrid>
      <w:tr w14:paraId="2666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6" w:type="dxa"/>
            <w:vAlign w:val="center"/>
          </w:tcPr>
          <w:p w14:paraId="44E4AD16">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030" w:type="dxa"/>
            <w:vAlign w:val="center"/>
          </w:tcPr>
          <w:p w14:paraId="13D0FADD">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590" w:type="dxa"/>
            <w:vAlign w:val="center"/>
          </w:tcPr>
          <w:p w14:paraId="5334A9E7">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75FA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6" w:type="dxa"/>
            <w:vAlign w:val="center"/>
          </w:tcPr>
          <w:p w14:paraId="179BEE89">
            <w:pPr>
              <w:spacing w:line="276" w:lineRule="auto"/>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毕业要求1</w:t>
            </w:r>
          </w:p>
          <w:p w14:paraId="571B0303">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师德规范</w:t>
            </w:r>
          </w:p>
        </w:tc>
        <w:tc>
          <w:tcPr>
            <w:tcW w:w="6030" w:type="dxa"/>
            <w:vAlign w:val="center"/>
          </w:tcPr>
          <w:p w14:paraId="424F7709">
            <w:pPr>
              <w:spacing w:line="276" w:lineRule="auto"/>
              <w:jc w:val="left"/>
              <w:rPr>
                <w:rFonts w:hint="eastAsia" w:ascii="Times New Roman" w:hAnsi="Times New Roman" w:eastAsia="宋体" w:cs="Times New Roman"/>
                <w:b w:val="0"/>
                <w:bCs w:val="0"/>
                <w:color w:val="auto"/>
                <w:szCs w:val="21"/>
                <w:lang w:eastAsia="zh-CN"/>
              </w:rPr>
            </w:pPr>
            <w:r>
              <w:rPr>
                <w:rFonts w:hint="eastAsia" w:ascii="宋体" w:hAnsi="宋体" w:eastAsia="宋体" w:cs="Times New Roman"/>
                <w:b w:val="0"/>
                <w:bCs w:val="0"/>
                <w:color w:val="auto"/>
                <w:spacing w:val="2"/>
                <w:kern w:val="0"/>
                <w:szCs w:val="21"/>
                <w:lang w:eastAsia="zh-CN"/>
              </w:rPr>
              <w:t>指标点1-1：【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590" w:type="dxa"/>
            <w:vAlign w:val="center"/>
          </w:tcPr>
          <w:p w14:paraId="7D967227">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p>
          <w:p w14:paraId="0FA632DD">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1、2、3</w:t>
            </w:r>
          </w:p>
        </w:tc>
      </w:tr>
      <w:tr w14:paraId="7928F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6" w:type="dxa"/>
            <w:vAlign w:val="center"/>
          </w:tcPr>
          <w:p w14:paraId="53F95932">
            <w:pPr>
              <w:spacing w:line="276" w:lineRule="auto"/>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毕业要求2</w:t>
            </w:r>
          </w:p>
          <w:p w14:paraId="13502D19">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教育情怀</w:t>
            </w:r>
          </w:p>
        </w:tc>
        <w:tc>
          <w:tcPr>
            <w:tcW w:w="6030" w:type="dxa"/>
            <w:vAlign w:val="center"/>
          </w:tcPr>
          <w:p w14:paraId="05DEE5A3">
            <w:pPr>
              <w:spacing w:line="276" w:lineRule="auto"/>
              <w:jc w:val="left"/>
              <w:rPr>
                <w:rFonts w:hint="eastAsia" w:ascii="宋体" w:hAnsi="宋体" w:eastAsia="宋体" w:cs="Times New Roman"/>
                <w:b w:val="0"/>
                <w:bCs w:val="0"/>
                <w:color w:val="auto"/>
                <w:spacing w:val="2"/>
                <w:kern w:val="0"/>
                <w:szCs w:val="21"/>
                <w:lang w:eastAsia="zh-CN"/>
              </w:rPr>
            </w:pPr>
            <w:r>
              <w:rPr>
                <w:rFonts w:hint="eastAsia" w:ascii="宋体" w:hAnsi="宋体" w:eastAsia="宋体" w:cs="Times New Roman"/>
                <w:b w:val="0"/>
                <w:bCs w:val="0"/>
                <w:color w:val="auto"/>
                <w:spacing w:val="2"/>
                <w:kern w:val="0"/>
                <w:szCs w:val="21"/>
                <w:lang w:eastAsia="zh-CN"/>
              </w:rPr>
              <w:t>指标点2-1：【职业认同感强】具有家国情怀，热爱教育事业，秉持“坚忍诚勇，立己达人”的师范精神，践行教育家精神，乐于从教，热爱教育事业，具有较高的教师职业认同感，认同教师职业的意义、价值与专业性。</w:t>
            </w:r>
          </w:p>
        </w:tc>
        <w:tc>
          <w:tcPr>
            <w:tcW w:w="1590" w:type="dxa"/>
            <w:vAlign w:val="center"/>
          </w:tcPr>
          <w:p w14:paraId="531C519D">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p>
          <w:p w14:paraId="0073E51B">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1、2、3</w:t>
            </w:r>
          </w:p>
        </w:tc>
      </w:tr>
    </w:tbl>
    <w:p w14:paraId="3323CBDB">
      <w:pPr>
        <w:spacing w:before="156" w:beforeLines="50" w:line="360" w:lineRule="auto"/>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7F506B71">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深刻领会、认真践行习总书记关于教育的重要论述，贯彻“九个坚持”。</w:t>
      </w:r>
    </w:p>
    <w:p w14:paraId="4B36DAEA">
      <w:pPr>
        <w:spacing w:line="360" w:lineRule="auto"/>
        <w:jc w:val="left"/>
        <w:rPr>
          <w:rFonts w:hint="eastAsia" w:ascii="宋体" w:hAnsi="宋体" w:eastAsia="宋体" w:cs="Times New Roman"/>
          <w:b/>
          <w:color w:val="auto"/>
          <w:sz w:val="24"/>
        </w:rPr>
      </w:pPr>
      <w:r>
        <w:rPr>
          <w:rFonts w:hint="eastAsia" w:ascii="宋体" w:hAnsi="宋体" w:eastAsia="宋体" w:cs="Times New Roman"/>
          <w:b/>
          <w:color w:val="auto"/>
          <w:sz w:val="24"/>
        </w:rPr>
        <w:t>三、教学内容与预期学习成效</w:t>
      </w:r>
    </w:p>
    <w:tbl>
      <w:tblPr>
        <w:tblStyle w:val="42"/>
        <w:tblW w:w="9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2595"/>
        <w:gridCol w:w="1191"/>
        <w:gridCol w:w="2825"/>
        <w:gridCol w:w="1300"/>
        <w:gridCol w:w="489"/>
      </w:tblGrid>
      <w:tr w14:paraId="2848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Align w:val="center"/>
          </w:tcPr>
          <w:p w14:paraId="12792F6F">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4E1D626E">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2595" w:type="dxa"/>
            <w:vAlign w:val="center"/>
          </w:tcPr>
          <w:p w14:paraId="5855FD23">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91" w:type="dxa"/>
            <w:vAlign w:val="center"/>
          </w:tcPr>
          <w:p w14:paraId="75DD061F">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3B40CE5F">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2825" w:type="dxa"/>
            <w:vAlign w:val="center"/>
          </w:tcPr>
          <w:p w14:paraId="4039D6C6">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300" w:type="dxa"/>
            <w:vAlign w:val="center"/>
          </w:tcPr>
          <w:p w14:paraId="05F12F9E">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89" w:type="dxa"/>
            <w:vAlign w:val="center"/>
          </w:tcPr>
          <w:p w14:paraId="10BC7108">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5CFF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11042FE8">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1.中国特色社会主义教育事业的发展方向（教育宏观发展方向）</w:t>
            </w:r>
          </w:p>
        </w:tc>
        <w:tc>
          <w:tcPr>
            <w:tcW w:w="2595" w:type="dxa"/>
            <w:vAlign w:val="center"/>
          </w:tcPr>
          <w:p w14:paraId="68AE974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1.建设教育强国的根本遵循；</w:t>
            </w:r>
          </w:p>
          <w:p w14:paraId="0CEE108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2.坚持党对教育事业的全面领导；</w:t>
            </w:r>
          </w:p>
          <w:p w14:paraId="23FDCCF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3.社会主义的发展方向；</w:t>
            </w:r>
          </w:p>
          <w:p w14:paraId="5AABD34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4.优先发展教育</w:t>
            </w:r>
          </w:p>
        </w:tc>
        <w:tc>
          <w:tcPr>
            <w:tcW w:w="1191" w:type="dxa"/>
            <w:vAlign w:val="center"/>
          </w:tcPr>
          <w:p w14:paraId="0CD423B5">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2825" w:type="dxa"/>
            <w:vAlign w:val="center"/>
          </w:tcPr>
          <w:p w14:paraId="416A87FB">
            <w:pPr>
              <w:numPr>
                <w:ilvl w:val="0"/>
                <w:numId w:val="6"/>
              </w:num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理解习近平总书记教育重要论述的时代背景、科学内涵、重大意义；</w:t>
            </w:r>
          </w:p>
          <w:p w14:paraId="2EEF8EFD">
            <w:pPr>
              <w:numPr>
                <w:ilvl w:val="0"/>
                <w:numId w:val="6"/>
              </w:num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理解课程思政的理念；</w:t>
            </w:r>
          </w:p>
          <w:p w14:paraId="374D3B7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3.运用课程思政理念理解教育发展的方向并践行教育教学活动。</w:t>
            </w:r>
          </w:p>
        </w:tc>
        <w:tc>
          <w:tcPr>
            <w:tcW w:w="1300" w:type="dxa"/>
            <w:vAlign w:val="center"/>
          </w:tcPr>
          <w:p w14:paraId="28EFA0A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w:t>
            </w:r>
          </w:p>
          <w:p w14:paraId="0BF3A8C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1D9F6A6F">
            <w:pPr>
              <w:spacing w:line="269" w:lineRule="auto"/>
              <w:jc w:val="left"/>
              <w:rPr>
                <w:rFonts w:hint="eastAsia" w:ascii="宋体" w:hAnsi="宋体" w:eastAsia="宋体" w:cs="Times New Roman"/>
                <w:color w:val="auto"/>
                <w:szCs w:val="21"/>
              </w:rPr>
            </w:pPr>
          </w:p>
        </w:tc>
        <w:tc>
          <w:tcPr>
            <w:tcW w:w="489" w:type="dxa"/>
            <w:vAlign w:val="center"/>
          </w:tcPr>
          <w:p w14:paraId="07C2F361">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7A8F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4F4D8D98">
            <w:pPr>
              <w:spacing w:line="264" w:lineRule="auto"/>
              <w:jc w:val="center"/>
              <w:rPr>
                <w:rFonts w:hint="eastAsia" w:ascii="宋体" w:hAnsi="宋体" w:eastAsia="宋体" w:cs="Times New Roman"/>
                <w:color w:val="auto"/>
                <w:szCs w:val="21"/>
              </w:rPr>
            </w:pPr>
          </w:p>
        </w:tc>
        <w:tc>
          <w:tcPr>
            <w:tcW w:w="8400" w:type="dxa"/>
            <w:gridSpan w:val="5"/>
            <w:vAlign w:val="center"/>
          </w:tcPr>
          <w:p w14:paraId="6D3DE538">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在探讨建设教育强国和坚持党对教育事业的全面领导时，鼓励学生深入思考如何在实际教学中贯彻党的教育方针，把握教育发展的正确政治方向。结合社会主义核心价值观，探讨如何通过教育教学活动培养学生的爱国主义精神和社会责任感，确保教育不仅关注知识的传授，更注重思想道德的引导，为中国特色社会主义事业培养德才兼备的建设者和接班人。</w:t>
            </w:r>
          </w:p>
        </w:tc>
      </w:tr>
      <w:tr w14:paraId="79FB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708E776F">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2.立德树人（育人的方式）</w:t>
            </w:r>
          </w:p>
        </w:tc>
        <w:tc>
          <w:tcPr>
            <w:tcW w:w="2595" w:type="dxa"/>
            <w:vAlign w:val="center"/>
          </w:tcPr>
          <w:p w14:paraId="2488C40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1.扎根中国大地办教育，以人民为中心，并坚持立德树人的教育目的；</w:t>
            </w:r>
          </w:p>
          <w:p w14:paraId="2DD601C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2.教育优先发展的战略地位。</w:t>
            </w:r>
          </w:p>
        </w:tc>
        <w:tc>
          <w:tcPr>
            <w:tcW w:w="1191" w:type="dxa"/>
            <w:vAlign w:val="center"/>
          </w:tcPr>
          <w:p w14:paraId="060E63EB">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2825" w:type="dxa"/>
            <w:vAlign w:val="center"/>
          </w:tcPr>
          <w:p w14:paraId="711BEC2F">
            <w:pPr>
              <w:numPr>
                <w:ilvl w:val="0"/>
                <w:numId w:val="7"/>
              </w:num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将以人民为重，扎根中国大地办教育；</w:t>
            </w:r>
          </w:p>
          <w:p w14:paraId="5740C1A8">
            <w:pPr>
              <w:numPr>
                <w:ilvl w:val="0"/>
                <w:numId w:val="7"/>
              </w:num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坚持把立德树人贯彻学生学习的过程。</w:t>
            </w:r>
          </w:p>
        </w:tc>
        <w:tc>
          <w:tcPr>
            <w:tcW w:w="1300" w:type="dxa"/>
            <w:vAlign w:val="center"/>
          </w:tcPr>
          <w:p w14:paraId="6A522A29">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w:t>
            </w:r>
          </w:p>
          <w:p w14:paraId="6D2868D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424A18C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3.平时作业</w:t>
            </w:r>
          </w:p>
        </w:tc>
        <w:tc>
          <w:tcPr>
            <w:tcW w:w="489" w:type="dxa"/>
            <w:vAlign w:val="center"/>
          </w:tcPr>
          <w:p w14:paraId="2FA57810">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3A07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4E254C7C">
            <w:pPr>
              <w:spacing w:line="264" w:lineRule="auto"/>
              <w:jc w:val="center"/>
              <w:rPr>
                <w:rFonts w:hint="eastAsia" w:ascii="宋体" w:hAnsi="宋体" w:eastAsia="宋体" w:cs="Times New Roman"/>
                <w:color w:val="auto"/>
                <w:szCs w:val="21"/>
              </w:rPr>
            </w:pPr>
          </w:p>
        </w:tc>
        <w:tc>
          <w:tcPr>
            <w:tcW w:w="8400" w:type="dxa"/>
            <w:gridSpan w:val="5"/>
            <w:vAlign w:val="center"/>
          </w:tcPr>
          <w:p w14:paraId="07F41647">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在探讨立德树人的教育目的时，引导学生思考如何在教育实践中将德育与智育有机结合，把培养学生的道德品质放在首位。通过扎根中国大地办教育的实际案例，强调坚持以人民为中心的重要性，讨论如何在教学过程中融入社会主义核心价值观，培养学生的社会责任感和使命感，使他们成为有理想、有本领、有担当的新时代建设者。</w:t>
            </w:r>
          </w:p>
        </w:tc>
      </w:tr>
      <w:tr w14:paraId="52B9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48A68F7C">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3.深化教育改革促进民族伟大复兴（教育的途径与使命）</w:t>
            </w:r>
          </w:p>
        </w:tc>
        <w:tc>
          <w:tcPr>
            <w:tcW w:w="2595" w:type="dxa"/>
            <w:vAlign w:val="center"/>
          </w:tcPr>
          <w:p w14:paraId="38DB68D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1.探讨改革如何推动中国教育系统的现代化和国际化，以及改革对教育质量和效率的正面影响。</w:t>
            </w:r>
          </w:p>
          <w:p w14:paraId="5452671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分析当前教育系统中存在的主要问题，讨论包括课程、评估、教师发展在内的综合改革策略。</w:t>
            </w:r>
          </w:p>
          <w:p w14:paraId="784A76EF">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2.探讨教育强国的战略意义和实现路径，包括教育的普及率提高、质量提升和创新能力加强。</w:t>
            </w:r>
          </w:p>
        </w:tc>
        <w:tc>
          <w:tcPr>
            <w:tcW w:w="1191" w:type="dxa"/>
            <w:vAlign w:val="center"/>
          </w:tcPr>
          <w:p w14:paraId="5BC19FE4">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2825" w:type="dxa"/>
            <w:vAlign w:val="center"/>
          </w:tcPr>
          <w:p w14:paraId="2E1FCB6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1.能够详细描述教育改革的必要性和历史进程；</w:t>
            </w:r>
          </w:p>
          <w:p w14:paraId="14CB765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2、理解全球教育开放的趋势及其对我国教育影响；</w:t>
            </w:r>
          </w:p>
          <w:p w14:paraId="5C873FA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3.能够阐述建设教育强国的具体措施和预期效果；</w:t>
            </w:r>
          </w:p>
          <w:p w14:paraId="4BA2641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4.理解教育如何服务于国家的社会经济发展战略。</w:t>
            </w:r>
          </w:p>
        </w:tc>
        <w:tc>
          <w:tcPr>
            <w:tcW w:w="1300" w:type="dxa"/>
            <w:vAlign w:val="center"/>
          </w:tcPr>
          <w:p w14:paraId="2FE62EC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w:t>
            </w:r>
          </w:p>
          <w:p w14:paraId="2C9C73A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tc>
        <w:tc>
          <w:tcPr>
            <w:tcW w:w="489" w:type="dxa"/>
            <w:vAlign w:val="center"/>
          </w:tcPr>
          <w:p w14:paraId="090CFFAC">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64C2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221780DC">
            <w:pPr>
              <w:spacing w:line="264" w:lineRule="auto"/>
              <w:jc w:val="center"/>
              <w:rPr>
                <w:rFonts w:hint="eastAsia" w:ascii="宋体" w:hAnsi="宋体" w:eastAsia="宋体" w:cs="Times New Roman"/>
                <w:color w:val="auto"/>
                <w:szCs w:val="21"/>
              </w:rPr>
            </w:pPr>
          </w:p>
        </w:tc>
        <w:tc>
          <w:tcPr>
            <w:tcW w:w="8400" w:type="dxa"/>
            <w:gridSpan w:val="5"/>
            <w:vAlign w:val="center"/>
          </w:tcPr>
          <w:p w14:paraId="7AB74AF0">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在探讨教育改革的过程中，引导学生理解教育改革如何服务于民族伟大复兴的战略目标，强调教育对实现中华民族伟大复兴的关键作用。结合社会主义核心价值观，讨论如何在教育改革中体现公平、公正的原则，推动教育系统的现代化与国际化，同时关注教育资源的优化配置和全民教育的均衡发展。通过批判性思维和策略规划，培养学生的领导力和社会责任感，使他们能够积极参与教育改革，促进国家的社会经济发展。</w:t>
            </w:r>
          </w:p>
        </w:tc>
      </w:tr>
      <w:tr w14:paraId="76E2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23961202">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4.把教师队伍建设作为基础工作（教师队伍建设）</w:t>
            </w:r>
          </w:p>
        </w:tc>
        <w:tc>
          <w:tcPr>
            <w:tcW w:w="2595" w:type="dxa"/>
            <w:vAlign w:val="center"/>
          </w:tcPr>
          <w:p w14:paraId="4F3D89D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1.理解教师在教育系统中的核心地位及其对教育质量的影响，探索教师角色的历史和现代转变；</w:t>
            </w:r>
          </w:p>
          <w:p w14:paraId="06DD5F37">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2.分析公众对优秀教师的期望和标准，以及如何通过道德操守、教学技能和持续学习来满足这些期望；</w:t>
            </w:r>
          </w:p>
          <w:p w14:paraId="759A623F">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3.探讨教师专业发展的策略，包括教育政策、持续培训和职业发展路径的设计。</w:t>
            </w:r>
          </w:p>
        </w:tc>
        <w:tc>
          <w:tcPr>
            <w:tcW w:w="1191" w:type="dxa"/>
            <w:vAlign w:val="center"/>
          </w:tcPr>
          <w:p w14:paraId="3EB7FD9A">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2825" w:type="dxa"/>
            <w:vAlign w:val="center"/>
          </w:tcPr>
          <w:p w14:paraId="3388DA62">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1.能够描述优秀教师的特质和行为，理解教师专业道德的重要性；</w:t>
            </w:r>
          </w:p>
          <w:p w14:paraId="242EA87C">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2.理解教师专业化发展的国内外模式和趋势，包括教师评估和激励机制；</w:t>
            </w:r>
          </w:p>
          <w:p w14:paraId="2D027072">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3.形成批判性思维能力，能评估和提出改进教师教育和培训系统的建议；</w:t>
            </w:r>
          </w:p>
          <w:p w14:paraId="51A07F42">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4.提升领导力和沟通技能，能在未来的教育环境中有效地支持和提升教师队伍的职业发展。</w:t>
            </w:r>
          </w:p>
        </w:tc>
        <w:tc>
          <w:tcPr>
            <w:tcW w:w="1300" w:type="dxa"/>
            <w:vAlign w:val="center"/>
          </w:tcPr>
          <w:p w14:paraId="153EE98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w:t>
            </w:r>
          </w:p>
          <w:p w14:paraId="2990F499">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tc>
        <w:tc>
          <w:tcPr>
            <w:tcW w:w="489" w:type="dxa"/>
            <w:vAlign w:val="center"/>
          </w:tcPr>
          <w:p w14:paraId="3904594A">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739FB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609F8721">
            <w:pPr>
              <w:spacing w:line="276" w:lineRule="auto"/>
              <w:jc w:val="center"/>
              <w:rPr>
                <w:rFonts w:hint="eastAsia" w:ascii="宋体" w:hAnsi="宋体" w:eastAsia="宋体" w:cs="Times New Roman"/>
                <w:color w:val="auto"/>
                <w:szCs w:val="21"/>
              </w:rPr>
            </w:pPr>
          </w:p>
        </w:tc>
        <w:tc>
          <w:tcPr>
            <w:tcW w:w="8400" w:type="dxa"/>
            <w:gridSpan w:val="5"/>
            <w:vAlign w:val="center"/>
          </w:tcPr>
          <w:p w14:paraId="630FE3B7">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在讨论教师队伍建设时，引导学生认识到教师在教育系统中的核心作用，以及如何通过提升教师的职业道德和专业素养，推动教育质量的整体提升。结合社会主义核心价值观，探讨如何在教师培训和职业发展中融入思想政治教育，培养教师的社会责任感和职业使命感。同时，讨论如何通过政策支持和资源优化，平衡教师的工作压力，提升教师的职业满意度，使他们能够更好地服务于国家的教育事业和社会发展。</w:t>
            </w:r>
          </w:p>
        </w:tc>
      </w:tr>
    </w:tbl>
    <w:p w14:paraId="5259E285">
      <w:pPr>
        <w:spacing w:line="360" w:lineRule="auto"/>
        <w:jc w:val="left"/>
        <w:rPr>
          <w:rFonts w:ascii="Times New Roman" w:hAnsi="Times New Roman" w:eastAsia="宋体" w:cs="Times New Roman"/>
          <w:color w:val="auto"/>
          <w:sz w:val="24"/>
        </w:rPr>
      </w:pPr>
      <w:r>
        <w:rPr>
          <w:rFonts w:hint="eastAsia" w:ascii="宋体" w:hAnsi="宋体" w:eastAsia="宋体" w:cs="Times New Roman"/>
          <w:b/>
          <w:color w:val="auto"/>
          <w:sz w:val="24"/>
        </w:rPr>
        <w:t>四、目标评价与成绩评定</w:t>
      </w:r>
    </w:p>
    <w:p w14:paraId="5D53F0B1">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7845911C">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42"/>
        <w:tblpPr w:leftFromText="180" w:rightFromText="180" w:vertAnchor="text" w:horzAnchor="page" w:tblpX="1697" w:tblpY="626"/>
        <w:tblOverlap w:val="never"/>
        <w:tblW w:w="90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1767"/>
        <w:gridCol w:w="1929"/>
        <w:gridCol w:w="2068"/>
        <w:gridCol w:w="1812"/>
      </w:tblGrid>
      <w:tr w14:paraId="090E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519" w:type="dxa"/>
            <w:vMerge w:val="restart"/>
            <w:vAlign w:val="center"/>
          </w:tcPr>
          <w:p w14:paraId="1FDCE51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5764" w:type="dxa"/>
            <w:gridSpan w:val="3"/>
            <w:vAlign w:val="center"/>
          </w:tcPr>
          <w:p w14:paraId="784CADC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812" w:type="dxa"/>
            <w:vMerge w:val="restart"/>
            <w:vAlign w:val="center"/>
          </w:tcPr>
          <w:p w14:paraId="30B41ED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167F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9" w:type="dxa"/>
            <w:vMerge w:val="continue"/>
            <w:vAlign w:val="center"/>
          </w:tcPr>
          <w:p w14:paraId="18984C10">
            <w:pPr>
              <w:spacing w:line="360" w:lineRule="auto"/>
              <w:jc w:val="center"/>
              <w:rPr>
                <w:rFonts w:hint="eastAsia" w:ascii="宋体" w:hAnsi="宋体" w:eastAsia="宋体" w:cs="Times New Roman"/>
                <w:color w:val="auto"/>
                <w:szCs w:val="21"/>
              </w:rPr>
            </w:pPr>
          </w:p>
        </w:tc>
        <w:tc>
          <w:tcPr>
            <w:tcW w:w="1767" w:type="dxa"/>
            <w:vAlign w:val="center"/>
          </w:tcPr>
          <w:p w14:paraId="25AAC8E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1929" w:type="dxa"/>
            <w:vAlign w:val="center"/>
          </w:tcPr>
          <w:p w14:paraId="23EAC7A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2068" w:type="dxa"/>
            <w:vAlign w:val="center"/>
          </w:tcPr>
          <w:p w14:paraId="00FAE55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期末考查</w:t>
            </w:r>
          </w:p>
        </w:tc>
        <w:tc>
          <w:tcPr>
            <w:tcW w:w="1812" w:type="dxa"/>
            <w:vMerge w:val="continue"/>
            <w:vAlign w:val="center"/>
          </w:tcPr>
          <w:p w14:paraId="343CAB2C">
            <w:pPr>
              <w:spacing w:line="360" w:lineRule="auto"/>
              <w:jc w:val="center"/>
              <w:rPr>
                <w:rFonts w:hint="eastAsia" w:ascii="宋体" w:hAnsi="宋体" w:eastAsia="宋体" w:cs="Times New Roman"/>
                <w:color w:val="auto"/>
                <w:szCs w:val="21"/>
              </w:rPr>
            </w:pPr>
          </w:p>
        </w:tc>
      </w:tr>
      <w:tr w14:paraId="6B8B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9" w:type="dxa"/>
            <w:vAlign w:val="center"/>
          </w:tcPr>
          <w:p w14:paraId="347CA78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767" w:type="dxa"/>
            <w:vAlign w:val="center"/>
          </w:tcPr>
          <w:p w14:paraId="2D32C11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929" w:type="dxa"/>
            <w:vAlign w:val="center"/>
          </w:tcPr>
          <w:p w14:paraId="0F265A8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068" w:type="dxa"/>
            <w:vAlign w:val="center"/>
          </w:tcPr>
          <w:p w14:paraId="4D6C7E1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812" w:type="dxa"/>
            <w:vAlign w:val="center"/>
          </w:tcPr>
          <w:p w14:paraId="562F318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15B7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9" w:type="dxa"/>
            <w:vAlign w:val="center"/>
          </w:tcPr>
          <w:p w14:paraId="526D65F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767" w:type="dxa"/>
            <w:vAlign w:val="center"/>
          </w:tcPr>
          <w:p w14:paraId="49ECC33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929" w:type="dxa"/>
            <w:vAlign w:val="center"/>
          </w:tcPr>
          <w:p w14:paraId="1B09E7B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068" w:type="dxa"/>
            <w:vAlign w:val="center"/>
          </w:tcPr>
          <w:p w14:paraId="660AAC3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812" w:type="dxa"/>
            <w:vAlign w:val="center"/>
          </w:tcPr>
          <w:p w14:paraId="427ECE2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7846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9" w:type="dxa"/>
            <w:vAlign w:val="center"/>
          </w:tcPr>
          <w:p w14:paraId="3016DA1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1767" w:type="dxa"/>
            <w:vAlign w:val="center"/>
          </w:tcPr>
          <w:p w14:paraId="77B9714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929" w:type="dxa"/>
            <w:vAlign w:val="center"/>
          </w:tcPr>
          <w:p w14:paraId="203CAC1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068" w:type="dxa"/>
            <w:vAlign w:val="center"/>
          </w:tcPr>
          <w:p w14:paraId="52A2671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812" w:type="dxa"/>
            <w:vAlign w:val="center"/>
          </w:tcPr>
          <w:p w14:paraId="3B599F7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106B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9" w:type="dxa"/>
            <w:vAlign w:val="center"/>
          </w:tcPr>
          <w:p w14:paraId="46A22DC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767" w:type="dxa"/>
            <w:vAlign w:val="center"/>
          </w:tcPr>
          <w:p w14:paraId="56C38F4C">
            <w:pPr>
              <w:spacing w:line="360" w:lineRule="auto"/>
              <w:jc w:val="center"/>
              <w:rPr>
                <w:rFonts w:hint="eastAsia" w:ascii="宋体" w:hAnsi="宋体" w:eastAsia="宋体" w:cs="Times New Roman"/>
                <w:color w:val="auto"/>
                <w:szCs w:val="21"/>
              </w:rPr>
            </w:pPr>
          </w:p>
        </w:tc>
        <w:tc>
          <w:tcPr>
            <w:tcW w:w="1929" w:type="dxa"/>
            <w:vAlign w:val="center"/>
          </w:tcPr>
          <w:p w14:paraId="275D4C8C">
            <w:pPr>
              <w:spacing w:line="360" w:lineRule="auto"/>
              <w:jc w:val="center"/>
              <w:rPr>
                <w:rFonts w:hint="eastAsia" w:ascii="宋体" w:hAnsi="宋体" w:eastAsia="宋体" w:cs="Times New Roman"/>
                <w:color w:val="auto"/>
                <w:szCs w:val="21"/>
              </w:rPr>
            </w:pPr>
          </w:p>
        </w:tc>
        <w:tc>
          <w:tcPr>
            <w:tcW w:w="2068" w:type="dxa"/>
            <w:vAlign w:val="center"/>
          </w:tcPr>
          <w:p w14:paraId="414E6CF4">
            <w:pPr>
              <w:spacing w:line="360" w:lineRule="auto"/>
              <w:jc w:val="center"/>
              <w:rPr>
                <w:rFonts w:hint="eastAsia" w:ascii="宋体" w:hAnsi="宋体" w:eastAsia="宋体" w:cs="Times New Roman"/>
                <w:color w:val="auto"/>
                <w:szCs w:val="21"/>
              </w:rPr>
            </w:pPr>
          </w:p>
        </w:tc>
        <w:tc>
          <w:tcPr>
            <w:tcW w:w="1812" w:type="dxa"/>
            <w:vAlign w:val="center"/>
          </w:tcPr>
          <w:p w14:paraId="78B69B2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6D2F2541">
      <w:pPr>
        <w:spacing w:before="156" w:beforeLines="50"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44B5174A">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42"/>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249"/>
        <w:gridCol w:w="1092"/>
      </w:tblGrid>
      <w:tr w14:paraId="23BA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C3A9A2C">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249" w:type="dxa"/>
            <w:vAlign w:val="center"/>
          </w:tcPr>
          <w:p w14:paraId="7F3977E7">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1092" w:type="dxa"/>
            <w:vAlign w:val="center"/>
          </w:tcPr>
          <w:p w14:paraId="5AB9C4A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2123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71BBCCE">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7249" w:type="dxa"/>
            <w:vAlign w:val="center"/>
          </w:tcPr>
          <w:p w14:paraId="0E26FDA3">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平时作业共1次，为小论文或讨论题，论述的逻辑性、充分性及深刻性为评分的主要依据。</w:t>
            </w:r>
          </w:p>
        </w:tc>
        <w:tc>
          <w:tcPr>
            <w:tcW w:w="1092" w:type="dxa"/>
            <w:vAlign w:val="center"/>
          </w:tcPr>
          <w:p w14:paraId="08DCFEA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w:t>
            </w:r>
          </w:p>
        </w:tc>
      </w:tr>
      <w:tr w14:paraId="0953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92907EB">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7249" w:type="dxa"/>
            <w:vAlign w:val="center"/>
          </w:tcPr>
          <w:p w14:paraId="1621A641">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一是考勤情况</w:t>
            </w:r>
            <w:r>
              <w:rPr>
                <w:rFonts w:ascii="宋体" w:hAnsi="宋体" w:eastAsia="宋体" w:cs="宋体"/>
                <w:color w:val="auto"/>
                <w:kern w:val="0"/>
                <w:szCs w:val="21"/>
                <w:lang w:bidi="ar"/>
              </w:rPr>
              <w:t>。</w:t>
            </w:r>
            <w:r>
              <w:rPr>
                <w:rFonts w:hint="eastAsia" w:ascii="Times New Roman" w:hAnsi="Times New Roman" w:eastAsia="宋体" w:cs="Times New Roman"/>
                <w:color w:val="auto"/>
                <w:szCs w:val="21"/>
              </w:rPr>
              <w:t>迟到一次扣2分，无故缺席一次扣5分，累计达2次及以上取消课程成绩。</w:t>
            </w:r>
          </w:p>
          <w:p w14:paraId="23F3C3F6">
            <w:pPr>
              <w:widowControl/>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二是</w:t>
            </w:r>
            <w:r>
              <w:rPr>
                <w:rFonts w:ascii="宋体" w:hAnsi="宋体" w:eastAsia="宋体" w:cs="宋体"/>
                <w:color w:val="auto"/>
                <w:kern w:val="0"/>
                <w:szCs w:val="21"/>
                <w:lang w:bidi="ar"/>
              </w:rPr>
              <w:t>课堂参与</w:t>
            </w:r>
            <w:r>
              <w:rPr>
                <w:rFonts w:hint="eastAsia" w:ascii="宋体" w:hAnsi="宋体" w:eastAsia="宋体" w:cs="宋体"/>
                <w:color w:val="auto"/>
                <w:kern w:val="0"/>
                <w:szCs w:val="21"/>
                <w:lang w:bidi="ar"/>
              </w:rPr>
              <w:t>情况。</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表现良好，按照对应的课程目标及权重给予评定</w:t>
            </w:r>
            <w:r>
              <w:rPr>
                <w:rFonts w:hint="eastAsia" w:ascii="宋体" w:hAnsi="宋体" w:eastAsia="宋体" w:cs="宋体"/>
                <w:color w:val="auto"/>
                <w:kern w:val="0"/>
                <w:szCs w:val="21"/>
                <w:lang w:bidi="ar"/>
              </w:rPr>
              <w:t>。</w:t>
            </w:r>
          </w:p>
        </w:tc>
        <w:tc>
          <w:tcPr>
            <w:tcW w:w="1092" w:type="dxa"/>
            <w:vAlign w:val="center"/>
          </w:tcPr>
          <w:p w14:paraId="59B17E9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w:t>
            </w:r>
          </w:p>
        </w:tc>
      </w:tr>
      <w:tr w14:paraId="151B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18F4C3A">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期末考查</w:t>
            </w:r>
          </w:p>
        </w:tc>
        <w:tc>
          <w:tcPr>
            <w:tcW w:w="7249" w:type="dxa"/>
            <w:vAlign w:val="center"/>
          </w:tcPr>
          <w:p w14:paraId="516C4076">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完成课程论文，考查学生对所学内容的认识、理解和应用情况</w:t>
            </w:r>
          </w:p>
        </w:tc>
        <w:tc>
          <w:tcPr>
            <w:tcW w:w="1092" w:type="dxa"/>
            <w:vAlign w:val="center"/>
          </w:tcPr>
          <w:p w14:paraId="40F1BE3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54B11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75" w:type="dxa"/>
            <w:vAlign w:val="center"/>
          </w:tcPr>
          <w:p w14:paraId="4E61DB4B">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7249" w:type="dxa"/>
            <w:vAlign w:val="center"/>
          </w:tcPr>
          <w:p w14:paraId="1B26B2C0">
            <w:pPr>
              <w:jc w:val="left"/>
              <w:rPr>
                <w:rFonts w:ascii="Times New Roman" w:hAnsi="Times New Roman" w:eastAsia="宋体" w:cs="Times New Roman"/>
                <w:color w:val="auto"/>
                <w:szCs w:val="21"/>
              </w:rPr>
            </w:pPr>
          </w:p>
        </w:tc>
        <w:tc>
          <w:tcPr>
            <w:tcW w:w="1092" w:type="dxa"/>
            <w:vAlign w:val="center"/>
          </w:tcPr>
          <w:p w14:paraId="36A435C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29329C4D">
      <w:pPr>
        <w:spacing w:line="360" w:lineRule="auto"/>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15A2EE06">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26920A90">
      <w:pPr>
        <w:spacing w:line="360" w:lineRule="auto"/>
        <w:jc w:val="left"/>
        <w:rPr>
          <w:rFonts w:ascii="Times New Roman" w:hAnsi="Times New Roman" w:eastAsia="宋体" w:cs="Times New Roman"/>
          <w:b/>
          <w:bCs/>
          <w:color w:val="auto"/>
          <w:sz w:val="24"/>
        </w:rPr>
      </w:pPr>
      <w:r>
        <w:rPr>
          <w:rFonts w:ascii="宋体" w:hAnsi="宋体" w:eastAsia="宋体" w:cs="Times New Roman"/>
          <w:color w:val="auto"/>
          <w:szCs w:val="21"/>
        </w:rPr>
        <w:object>
          <v:shape id="_x0000_i1030"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30" DrawAspect="Content" ObjectID="_1468075729" r:id="rId14">
            <o:LockedField>false</o:LockedField>
          </o:OLEObject>
        </w:object>
      </w:r>
      <w:r>
        <w:rPr>
          <w:rFonts w:hint="eastAsia" w:ascii="宋体" w:hAnsi="宋体" w:eastAsia="宋体" w:cs="Times New Roman"/>
          <w:b/>
          <w:color w:val="auto"/>
          <w:sz w:val="24"/>
        </w:rPr>
        <w:t>五、有关说明</w:t>
      </w:r>
    </w:p>
    <w:p w14:paraId="4BABFA7F">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1FB5BF38">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根据学生课堂教学中的反应、课后反馈、作业质量，以及领导、督导、教师同行等的听课情况，及时发现和改进教学中的不足之处，确保相应毕业要求指标点达成。</w:t>
      </w:r>
    </w:p>
    <w:p w14:paraId="1A757C19">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282679C4">
      <w:pPr>
        <w:spacing w:line="360" w:lineRule="auto"/>
        <w:ind w:firstLine="420" w:firstLineChars="200"/>
        <w:jc w:val="left"/>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编写组.习近平总书记教育重要论述讲义[M].北京：高等教育出版社，2020.</w:t>
      </w:r>
    </w:p>
    <w:p w14:paraId="671A0DE5">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6D940525">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1. 习近平.论教育[M].北京：中央文献出版社，2024.</w:t>
      </w:r>
    </w:p>
    <w:p w14:paraId="62965F6A">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2.胡金平.学校教育发展[M].上海：华东师范大学出版社，2016.</w:t>
      </w:r>
    </w:p>
    <w:p w14:paraId="3DD752D4">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3.教育学原理编写组. 教育学原理[M]. 北京: 高等教育出版社, 2019.</w:t>
      </w:r>
    </w:p>
    <w:p w14:paraId="08916962">
      <w:pPr>
        <w:rPr>
          <w:rFonts w:hint="eastAsia" w:ascii="等线" w:hAnsi="等线" w:eastAsia="等线" w:cs="Times New Roman"/>
          <w:color w:val="auto"/>
          <w:szCs w:val="22"/>
        </w:rPr>
      </w:pPr>
    </w:p>
    <w:p w14:paraId="4D848A53">
      <w:pPr>
        <w:rPr>
          <w:rFonts w:hint="eastAsia" w:ascii="等线" w:hAnsi="等线" w:eastAsia="等线" w:cs="Times New Roman"/>
          <w:color w:val="auto"/>
          <w:szCs w:val="22"/>
        </w:rPr>
      </w:pPr>
    </w:p>
    <w:p w14:paraId="70BB750E">
      <w:pPr>
        <w:wordWrap w:val="0"/>
        <w:spacing w:line="360" w:lineRule="auto"/>
        <w:ind w:right="144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                                       执 笔 人： 姚玉香</w:t>
      </w:r>
    </w:p>
    <w:p w14:paraId="6286914C">
      <w:pPr>
        <w:wordWrap w:val="0"/>
        <w:spacing w:line="360" w:lineRule="auto"/>
        <w:ind w:right="144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                                       审 定 人： 王  健</w:t>
      </w:r>
    </w:p>
    <w:p w14:paraId="5F80EA26">
      <w:pPr>
        <w:spacing w:line="360" w:lineRule="auto"/>
        <w:ind w:right="144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                                       审 批 人：</w:t>
      </w:r>
      <w:r>
        <w:rPr>
          <w:rFonts w:ascii="Times New Roman" w:hAnsi="Times New Roman" w:eastAsia="宋体" w:cs="Times New Roman"/>
          <w:color w:val="auto"/>
          <w:sz w:val="24"/>
        </w:rPr>
        <w:t xml:space="preserve"> </w:t>
      </w:r>
      <w:r>
        <w:rPr>
          <w:rFonts w:hint="eastAsia" w:ascii="Times New Roman" w:hAnsi="Times New Roman" w:eastAsia="宋体" w:cs="Times New Roman"/>
          <w:color w:val="auto"/>
          <w:sz w:val="24"/>
        </w:rPr>
        <w:t>张志欣</w:t>
      </w:r>
    </w:p>
    <w:p w14:paraId="6FA38FF7">
      <w:pPr>
        <w:spacing w:line="360" w:lineRule="auto"/>
        <w:ind w:right="240" w:firstLine="4800" w:firstLineChars="200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批准时间： 202</w:t>
      </w:r>
      <w:r>
        <w:rPr>
          <w:rFonts w:hint="eastAsia" w:ascii="Times New Roman" w:hAnsi="Times New Roman" w:eastAsia="宋体" w:cs="Times New Roman"/>
          <w:color w:val="auto"/>
          <w:sz w:val="24"/>
          <w:lang w:val="en-US" w:eastAsia="zh-CN"/>
        </w:rPr>
        <w:t>5</w:t>
      </w:r>
      <w:r>
        <w:rPr>
          <w:rFonts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7</w:t>
      </w:r>
      <w:r>
        <w:rPr>
          <w:rFonts w:ascii="Times New Roman" w:hAnsi="Times New Roman" w:eastAsia="宋体" w:cs="Times New Roman"/>
          <w:color w:val="auto"/>
          <w:sz w:val="24"/>
        </w:rPr>
        <w:t>月</w:t>
      </w: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日</w:t>
      </w:r>
    </w:p>
    <w:p w14:paraId="70D6E09A">
      <w:pPr>
        <w:rPr>
          <w:rFonts w:hint="eastAsia" w:ascii="等线" w:hAnsi="等线" w:eastAsia="等线" w:cs="Times New Roman"/>
          <w:color w:val="auto"/>
          <w:szCs w:val="22"/>
        </w:rPr>
      </w:pPr>
    </w:p>
    <w:p w14:paraId="7E73671B">
      <w:pPr>
        <w:rPr>
          <w:color w:val="auto"/>
        </w:rPr>
      </w:pPr>
      <w:r>
        <w:rPr>
          <w:color w:val="auto"/>
        </w:rPr>
        <w:br w:type="page"/>
      </w:r>
    </w:p>
    <w:p w14:paraId="2C477E0E">
      <w:pPr>
        <w:spacing w:line="360" w:lineRule="auto"/>
        <w:jc w:val="center"/>
        <w:outlineLvl w:val="0"/>
        <w:rPr>
          <w:rFonts w:hint="eastAsia" w:ascii="Times New Roman" w:hAnsi="Times New Roman" w:eastAsia="宋体" w:cs="Times New Roman"/>
          <w:b/>
          <w:sz w:val="44"/>
          <w:szCs w:val="44"/>
        </w:rPr>
      </w:pPr>
      <w:bookmarkStart w:id="17" w:name="_Toc24891"/>
      <w:r>
        <w:rPr>
          <w:rFonts w:hint="eastAsia" w:ascii="Times New Roman" w:hAnsi="Times New Roman" w:eastAsia="宋体" w:cs="Times New Roman"/>
          <w:b/>
          <w:sz w:val="44"/>
          <w:szCs w:val="44"/>
        </w:rPr>
        <w:t>《形势与政策》课程教学大纲</w:t>
      </w:r>
      <w:bookmarkEnd w:id="4"/>
      <w:bookmarkEnd w:id="17"/>
    </w:p>
    <w:p w14:paraId="4DBBB3AE">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Situation And Policy</w:t>
      </w:r>
      <w:r>
        <w:rPr>
          <w:rFonts w:ascii="Times New Roman" w:hAnsi="Times New Roman" w:eastAsia="宋体" w:cs="Times New Roman"/>
          <w:b/>
          <w:bCs/>
          <w:sz w:val="28"/>
          <w:szCs w:val="28"/>
        </w:rPr>
        <w:t>）</w:t>
      </w:r>
    </w:p>
    <w:p w14:paraId="34E8F6D3">
      <w:pPr>
        <w:spacing w:line="360" w:lineRule="auto"/>
        <w:jc w:val="center"/>
        <w:rPr>
          <w:rFonts w:ascii="Times New Roman" w:hAnsi="Times New Roman" w:eastAsia="宋体" w:cs="Times New Roman"/>
          <w:bCs/>
          <w:color w:val="auto"/>
          <w:sz w:val="21"/>
          <w:szCs w:val="21"/>
        </w:rPr>
      </w:pPr>
    </w:p>
    <w:p w14:paraId="6851C39B">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课程名称：形势与政策</w:t>
      </w:r>
    </w:p>
    <w:p w14:paraId="23CA120A">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课程代码：1006031形势与政策Ⅰ(上)、1006032形势与政策Ⅰ(下)</w:t>
      </w:r>
    </w:p>
    <w:p w14:paraId="1A22BF5C">
      <w:pPr>
        <w:spacing w:line="360" w:lineRule="auto"/>
        <w:ind w:firstLine="1687" w:firstLineChars="7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1006033形势与政策Ⅱ(上)、1006034形势与政策Ⅱ(下)</w:t>
      </w:r>
    </w:p>
    <w:p w14:paraId="4213E8F7">
      <w:pPr>
        <w:spacing w:line="360" w:lineRule="auto"/>
        <w:ind w:firstLine="1687" w:firstLineChars="7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1006035形势与政策Ⅲ(上)、1006036形势与政策Ⅲ(下)</w:t>
      </w:r>
    </w:p>
    <w:p w14:paraId="10DD1C95">
      <w:pPr>
        <w:spacing w:line="360" w:lineRule="auto"/>
        <w:ind w:firstLine="1687" w:firstLineChars="7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1006037形势与政策Ⅳ(上)、1006038形势与政策Ⅳ(下)</w:t>
      </w:r>
    </w:p>
    <w:p w14:paraId="0D9E333C">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分：2（其中，形势与政策Ⅰ(上)0.25、形势与政策Ⅰ(下)0.25、形势与政策Ⅱ(上) 0.25、形势与政策Ⅱ(下) 0.25、形势与政策Ⅲ(上) 0.25、形势与政策Ⅲ(下) 0.25、形势与政策Ⅳ(上) 0.25、形势与政策Ⅳ(下) 0.25）</w:t>
      </w:r>
    </w:p>
    <w:p w14:paraId="092033A1">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时：64</w:t>
      </w:r>
    </w:p>
    <w:p w14:paraId="33696F1F">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先修课程：无</w:t>
      </w:r>
    </w:p>
    <w:p w14:paraId="6ED8C49C">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适用专业：小学教育</w:t>
      </w:r>
    </w:p>
    <w:p w14:paraId="2B12411F">
      <w:pPr>
        <w:spacing w:line="360" w:lineRule="auto"/>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一、课程简介</w:t>
      </w:r>
    </w:p>
    <w:p w14:paraId="76590159">
      <w:pPr>
        <w:spacing w:line="360" w:lineRule="auto"/>
        <w:ind w:firstLine="420" w:firstLineChars="200"/>
        <w:jc w:val="left"/>
        <w:rPr>
          <w:rFonts w:hint="eastAsia" w:ascii="宋体" w:hAnsi="宋体" w:eastAsia="宋体" w:cs="Times New Roman"/>
          <w:b/>
          <w:color w:val="auto"/>
          <w:szCs w:val="21"/>
        </w:rPr>
      </w:pPr>
      <w:r>
        <w:rPr>
          <w:rFonts w:hint="eastAsia" w:ascii="Times New Roman" w:hAnsi="Times New Roman" w:eastAsia="宋体" w:cs="Times New Roman"/>
          <w:color w:val="auto"/>
          <w:szCs w:val="21"/>
        </w:rPr>
        <w:t>本课程是小学教育专业的通识必修课。本课程系统介绍了新时代国内外形势、党和国家事业的历史性成就、历史性变革和历史性机遇挑战，培养学生准确理解党的基本理论、基本路线和基本方略的能力，树立“四个意识”，坚定“四个自信”。</w:t>
      </w:r>
    </w:p>
    <w:p w14:paraId="4F95B149">
      <w:pPr>
        <w:spacing w:line="360" w:lineRule="auto"/>
        <w:jc w:val="left"/>
        <w:rPr>
          <w:rFonts w:ascii="Times New Roman" w:hAnsi="Times New Roman" w:eastAsia="宋体" w:cs="Times New Roman"/>
          <w:color w:val="auto"/>
          <w:sz w:val="24"/>
        </w:rPr>
      </w:pPr>
      <w:r>
        <w:rPr>
          <w:rFonts w:hint="eastAsia" w:ascii="宋体" w:hAnsi="宋体" w:eastAsia="宋体" w:cs="Times New Roman"/>
          <w:b/>
          <w:color w:val="auto"/>
          <w:sz w:val="24"/>
        </w:rPr>
        <w:t>二</w:t>
      </w:r>
      <w:r>
        <w:rPr>
          <w:rFonts w:ascii="宋体" w:hAnsi="宋体" w:eastAsia="宋体" w:cs="Times New Roman"/>
          <w:b/>
          <w:color w:val="auto"/>
          <w:sz w:val="24"/>
        </w:rPr>
        <w:t>、课程目标</w:t>
      </w:r>
    </w:p>
    <w:p w14:paraId="3CBF246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0BE41F98">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1.</w:t>
      </w:r>
      <w:bookmarkStart w:id="18" w:name="_Hlk187586849"/>
      <w:r>
        <w:rPr>
          <w:rFonts w:hint="eastAsia" w:ascii="Times New Roman" w:hAnsi="Times New Roman" w:eastAsia="宋体" w:cs="Times New Roman"/>
          <w:b/>
          <w:color w:val="auto"/>
          <w:szCs w:val="21"/>
        </w:rPr>
        <w:t xml:space="preserve"> </w:t>
      </w:r>
      <w:bookmarkEnd w:id="18"/>
      <w:r>
        <w:rPr>
          <w:rFonts w:hint="eastAsia" w:ascii="Times New Roman" w:hAnsi="Times New Roman" w:eastAsia="宋体" w:cs="Times New Roman"/>
          <w:color w:val="auto"/>
          <w:szCs w:val="21"/>
        </w:rPr>
        <w:t>帮助学生了解时代发展大势、基本国情和党的教育方针，引导学生积极践行社会主义核心价值观，以立德树人为己任，忠诚党的教育方针。增强人文社会科学素养和社会责任感，了解相关法律法规政策，能够依法执教，知晓作为社会主义接班人所肩负的责任和使命。</w:t>
      </w:r>
    </w:p>
    <w:p w14:paraId="499CC915">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2"/>
        <w:gridCol w:w="5604"/>
        <w:gridCol w:w="1191"/>
      </w:tblGrid>
      <w:tr w14:paraId="785DA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vAlign w:val="center"/>
          </w:tcPr>
          <w:p w14:paraId="1EDB13AE">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5604" w:type="dxa"/>
            <w:vAlign w:val="center"/>
          </w:tcPr>
          <w:p w14:paraId="558EC703">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61759EE5">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4E43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vAlign w:val="center"/>
          </w:tcPr>
          <w:p w14:paraId="3C7A0493">
            <w:pPr>
              <w:spacing w:line="276" w:lineRule="auto"/>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毕业要求1：师德规范</w:t>
            </w:r>
          </w:p>
        </w:tc>
        <w:tc>
          <w:tcPr>
            <w:tcW w:w="5604" w:type="dxa"/>
            <w:vAlign w:val="center"/>
          </w:tcPr>
          <w:p w14:paraId="300E4642">
            <w:pPr>
              <w:spacing w:line="276" w:lineRule="auto"/>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b/>
                <w:bCs/>
                <w:color w:val="auto"/>
                <w:szCs w:val="21"/>
                <w:lang w:eastAsia="zh-CN"/>
              </w:rPr>
              <w:t>指标点1-1：【理想信念坚定】</w:t>
            </w:r>
            <w:r>
              <w:rPr>
                <w:rFonts w:hint="eastAsia" w:ascii="Times New Roman" w:hAnsi="Times New Roman" w:eastAsia="宋体" w:cs="Times New Roman"/>
                <w:b w:val="0"/>
                <w:bCs w:val="0"/>
                <w:color w:val="auto"/>
                <w:szCs w:val="21"/>
                <w:lang w:eastAsia="zh-CN"/>
              </w:rPr>
              <w:t>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2EAA1710">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课程目标1</w:t>
            </w:r>
          </w:p>
        </w:tc>
      </w:tr>
    </w:tbl>
    <w:p w14:paraId="0F88AD43">
      <w:pPr>
        <w:spacing w:line="360" w:lineRule="auto"/>
        <w:jc w:val="left"/>
        <w:rPr>
          <w:rFonts w:hint="eastAsia" w:ascii="宋体" w:hAnsi="宋体" w:eastAsia="宋体" w:cs="Times New Roman"/>
          <w:b/>
          <w:color w:val="auto"/>
          <w:sz w:val="24"/>
        </w:rPr>
      </w:pPr>
      <w:r>
        <w:rPr>
          <w:rFonts w:hint="eastAsia" w:ascii="宋体" w:hAnsi="宋体"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2363"/>
        <w:gridCol w:w="1222"/>
        <w:gridCol w:w="2367"/>
        <w:gridCol w:w="1531"/>
        <w:gridCol w:w="636"/>
      </w:tblGrid>
      <w:tr w14:paraId="4696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vAlign w:val="center"/>
          </w:tcPr>
          <w:p w14:paraId="096B9685">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7F7A221D">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2363" w:type="dxa"/>
            <w:vAlign w:val="center"/>
          </w:tcPr>
          <w:p w14:paraId="0B7B9C6A">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222" w:type="dxa"/>
            <w:vAlign w:val="center"/>
          </w:tcPr>
          <w:p w14:paraId="202C34F3">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5AF808B8">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2367" w:type="dxa"/>
            <w:vAlign w:val="center"/>
          </w:tcPr>
          <w:p w14:paraId="78736EC1">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531" w:type="dxa"/>
            <w:vAlign w:val="center"/>
          </w:tcPr>
          <w:p w14:paraId="7F6CE23D">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636" w:type="dxa"/>
            <w:vAlign w:val="center"/>
          </w:tcPr>
          <w:p w14:paraId="0F302F61">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71FC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vAlign w:val="center"/>
          </w:tcPr>
          <w:p w14:paraId="122352A2">
            <w:pPr>
              <w:spacing w:line="264" w:lineRule="auto"/>
              <w:jc w:val="both"/>
              <w:rPr>
                <w:rFonts w:hint="eastAsia" w:ascii="宋体" w:hAnsi="宋体" w:eastAsia="宋体" w:cs="Times New Roman"/>
                <w:color w:val="auto"/>
                <w:szCs w:val="21"/>
              </w:rPr>
            </w:pPr>
            <w:r>
              <w:rPr>
                <w:rFonts w:hint="eastAsia" w:ascii="宋体" w:hAnsi="宋体" w:eastAsia="宋体" w:cs="Times New Roman"/>
                <w:color w:val="auto"/>
                <w:szCs w:val="21"/>
              </w:rPr>
              <w:t>1.</w:t>
            </w:r>
            <w:r>
              <w:rPr>
                <w:rFonts w:hint="eastAsia"/>
                <w:color w:val="auto"/>
              </w:rPr>
              <w:t xml:space="preserve"> </w:t>
            </w:r>
            <w:r>
              <w:rPr>
                <w:rFonts w:hint="eastAsia" w:ascii="宋体" w:hAnsi="宋体" w:eastAsia="宋体" w:cs="Times New Roman"/>
                <w:color w:val="auto"/>
                <w:szCs w:val="21"/>
              </w:rPr>
              <w:t>全面从严治党形势与政策专题</w:t>
            </w:r>
          </w:p>
        </w:tc>
        <w:tc>
          <w:tcPr>
            <w:tcW w:w="2363" w:type="dxa"/>
            <w:vAlign w:val="center"/>
          </w:tcPr>
          <w:p w14:paraId="7025DCC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（1）党的二十大精神</w:t>
            </w:r>
          </w:p>
          <w:p w14:paraId="7792B206">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（2）党的领导制度体系</w:t>
            </w:r>
          </w:p>
          <w:p w14:paraId="51C48F2F">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（3）爱国主义精神</w:t>
            </w:r>
          </w:p>
        </w:tc>
        <w:tc>
          <w:tcPr>
            <w:tcW w:w="1222" w:type="dxa"/>
            <w:vAlign w:val="center"/>
          </w:tcPr>
          <w:p w14:paraId="7CB5D36A">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2367" w:type="dxa"/>
            <w:vAlign w:val="center"/>
          </w:tcPr>
          <w:p w14:paraId="667C857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能够正确理解党的基本路线、重大方针和政策，把对课程的认识统一到党和国家的科学判断上和正确决策上。</w:t>
            </w:r>
          </w:p>
        </w:tc>
        <w:tc>
          <w:tcPr>
            <w:tcW w:w="1531" w:type="dxa"/>
            <w:vAlign w:val="center"/>
          </w:tcPr>
          <w:p w14:paraId="5218044F">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w:t>
            </w:r>
          </w:p>
          <w:p w14:paraId="7E6A36B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2.单元测验</w:t>
            </w:r>
          </w:p>
          <w:p w14:paraId="4BC3146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3.互动讨论</w:t>
            </w:r>
          </w:p>
        </w:tc>
        <w:tc>
          <w:tcPr>
            <w:tcW w:w="636" w:type="dxa"/>
            <w:vAlign w:val="center"/>
          </w:tcPr>
          <w:p w14:paraId="15F1A2BC">
            <w:pPr>
              <w:jc w:val="center"/>
              <w:rPr>
                <w:rFonts w:hint="eastAsia" w:ascii="宋体" w:hAnsi="宋体" w:eastAsia="宋体" w:cs="Times New Roman"/>
                <w:color w:val="auto"/>
                <w:szCs w:val="21"/>
              </w:rPr>
            </w:pPr>
            <w:r>
              <w:rPr>
                <w:rFonts w:ascii="宋体" w:hAnsi="宋体" w:eastAsia="宋体" w:cs="Times New Roman"/>
                <w:color w:val="auto"/>
                <w:szCs w:val="21"/>
              </w:rPr>
              <w:t>2</w:t>
            </w:r>
            <w:r>
              <w:rPr>
                <w:rFonts w:hint="eastAsia" w:ascii="宋体" w:hAnsi="宋体" w:eastAsia="宋体" w:cs="Times New Roman"/>
                <w:color w:val="auto"/>
                <w:szCs w:val="21"/>
              </w:rPr>
              <w:t>×8</w:t>
            </w:r>
            <w:r>
              <w:rPr>
                <w:rFonts w:ascii="宋体" w:hAnsi="宋体" w:eastAsia="宋体" w:cs="Times New Roman"/>
                <w:color w:val="auto"/>
                <w:szCs w:val="21"/>
              </w:rPr>
              <w:t xml:space="preserve"> </w:t>
            </w:r>
          </w:p>
        </w:tc>
      </w:tr>
      <w:tr w14:paraId="72C2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vAlign w:val="center"/>
          </w:tcPr>
          <w:p w14:paraId="08E281EC">
            <w:pPr>
              <w:spacing w:line="264" w:lineRule="auto"/>
              <w:jc w:val="both"/>
              <w:rPr>
                <w:rFonts w:hint="eastAsia" w:ascii="宋体" w:hAnsi="宋体" w:eastAsia="宋体" w:cs="Times New Roman"/>
                <w:color w:val="auto"/>
                <w:szCs w:val="21"/>
              </w:rPr>
            </w:pPr>
            <w:r>
              <w:rPr>
                <w:rFonts w:hint="eastAsia" w:ascii="宋体" w:hAnsi="宋体" w:eastAsia="宋体" w:cs="Times New Roman"/>
                <w:color w:val="auto"/>
                <w:szCs w:val="21"/>
              </w:rPr>
              <w:t>2.我国经济社会发展形势与政策专题</w:t>
            </w:r>
          </w:p>
        </w:tc>
        <w:tc>
          <w:tcPr>
            <w:tcW w:w="2363" w:type="dxa"/>
            <w:vAlign w:val="center"/>
          </w:tcPr>
          <w:p w14:paraId="749EF34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（1）脱贫攻坚战</w:t>
            </w:r>
          </w:p>
          <w:p w14:paraId="10E8D68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（2）我国经济形势与发展战略</w:t>
            </w:r>
          </w:p>
          <w:p w14:paraId="4F7993F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（3）科技创新体制机制</w:t>
            </w:r>
          </w:p>
        </w:tc>
        <w:tc>
          <w:tcPr>
            <w:tcW w:w="1222" w:type="dxa"/>
            <w:vAlign w:val="center"/>
          </w:tcPr>
          <w:p w14:paraId="062F2030">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2367" w:type="dxa"/>
            <w:vAlign w:val="center"/>
          </w:tcPr>
          <w:p w14:paraId="58F28BA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能够正确理解党的基本路线、重大方针和政策，把对课程的认识统一到党和国家的科学判断上和正确决策上。</w:t>
            </w:r>
          </w:p>
        </w:tc>
        <w:tc>
          <w:tcPr>
            <w:tcW w:w="1531" w:type="dxa"/>
            <w:vAlign w:val="center"/>
          </w:tcPr>
          <w:p w14:paraId="6BE48B0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w:t>
            </w:r>
          </w:p>
          <w:p w14:paraId="39B6E4C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2.单元测验</w:t>
            </w:r>
          </w:p>
          <w:p w14:paraId="3872D67F">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3.互动讨论</w:t>
            </w:r>
          </w:p>
        </w:tc>
        <w:tc>
          <w:tcPr>
            <w:tcW w:w="636" w:type="dxa"/>
            <w:vAlign w:val="center"/>
          </w:tcPr>
          <w:p w14:paraId="289B8ED2">
            <w:pPr>
              <w:jc w:val="center"/>
              <w:rPr>
                <w:rFonts w:hint="eastAsia" w:ascii="宋体" w:hAnsi="宋体" w:eastAsia="宋体" w:cs="Times New Roman"/>
                <w:color w:val="auto"/>
                <w:szCs w:val="21"/>
              </w:rPr>
            </w:pPr>
            <w:r>
              <w:rPr>
                <w:rFonts w:ascii="宋体" w:hAnsi="宋体" w:eastAsia="宋体" w:cs="Times New Roman"/>
                <w:color w:val="auto"/>
                <w:szCs w:val="21"/>
              </w:rPr>
              <w:t>2</w:t>
            </w:r>
            <w:r>
              <w:rPr>
                <w:rFonts w:hint="eastAsia" w:ascii="宋体" w:hAnsi="宋体" w:eastAsia="宋体" w:cs="Times New Roman"/>
                <w:color w:val="auto"/>
                <w:szCs w:val="21"/>
              </w:rPr>
              <w:t>×8</w:t>
            </w:r>
            <w:r>
              <w:rPr>
                <w:rFonts w:ascii="宋体" w:hAnsi="宋体" w:eastAsia="宋体" w:cs="Times New Roman"/>
                <w:color w:val="auto"/>
                <w:szCs w:val="21"/>
              </w:rPr>
              <w:t xml:space="preserve"> </w:t>
            </w:r>
          </w:p>
        </w:tc>
      </w:tr>
      <w:tr w14:paraId="3CFF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vAlign w:val="center"/>
          </w:tcPr>
          <w:p w14:paraId="35AA0134">
            <w:pPr>
              <w:spacing w:line="264" w:lineRule="auto"/>
              <w:jc w:val="both"/>
              <w:rPr>
                <w:rFonts w:hint="eastAsia" w:ascii="宋体" w:hAnsi="宋体" w:eastAsia="宋体" w:cs="Times New Roman"/>
                <w:color w:val="auto"/>
                <w:szCs w:val="21"/>
              </w:rPr>
            </w:pPr>
            <w:r>
              <w:rPr>
                <w:rFonts w:hint="eastAsia" w:ascii="宋体" w:hAnsi="宋体" w:eastAsia="宋体" w:cs="Times New Roman"/>
                <w:color w:val="auto"/>
                <w:szCs w:val="21"/>
              </w:rPr>
              <w:t>3.港澳台工作形势与政策专题</w:t>
            </w:r>
          </w:p>
        </w:tc>
        <w:tc>
          <w:tcPr>
            <w:tcW w:w="2363" w:type="dxa"/>
            <w:vAlign w:val="center"/>
          </w:tcPr>
          <w:p w14:paraId="55FCED0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（1）“一国两制”“港人治港”“澳人治澳”</w:t>
            </w:r>
          </w:p>
          <w:p w14:paraId="631ED84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（2）高度自治的方针</w:t>
            </w:r>
          </w:p>
          <w:p w14:paraId="315CCDE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（3）两岸关系发展大势</w:t>
            </w:r>
          </w:p>
        </w:tc>
        <w:tc>
          <w:tcPr>
            <w:tcW w:w="1222" w:type="dxa"/>
            <w:vAlign w:val="center"/>
          </w:tcPr>
          <w:p w14:paraId="5052E44A">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2367" w:type="dxa"/>
            <w:vAlign w:val="center"/>
          </w:tcPr>
          <w:p w14:paraId="170CC38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能够深刻认识中国特色社会主义制度的显著优势，坚定“一国两制”制度自信；充分了解对台工作的新局势新气象。</w:t>
            </w:r>
          </w:p>
        </w:tc>
        <w:tc>
          <w:tcPr>
            <w:tcW w:w="1531" w:type="dxa"/>
            <w:vAlign w:val="center"/>
          </w:tcPr>
          <w:p w14:paraId="5FB5C0F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w:t>
            </w:r>
          </w:p>
          <w:p w14:paraId="5AB7F8E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2.单元测验</w:t>
            </w:r>
          </w:p>
          <w:p w14:paraId="5ED397F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3.互动讨论</w:t>
            </w:r>
          </w:p>
        </w:tc>
        <w:tc>
          <w:tcPr>
            <w:tcW w:w="636" w:type="dxa"/>
            <w:vAlign w:val="center"/>
          </w:tcPr>
          <w:p w14:paraId="7679E2D3">
            <w:pPr>
              <w:jc w:val="center"/>
              <w:rPr>
                <w:rFonts w:hint="eastAsia" w:ascii="宋体" w:hAnsi="宋体" w:eastAsia="宋体" w:cs="Times New Roman"/>
                <w:color w:val="auto"/>
                <w:szCs w:val="21"/>
              </w:rPr>
            </w:pPr>
            <w:r>
              <w:rPr>
                <w:rFonts w:ascii="宋体" w:hAnsi="宋体" w:eastAsia="宋体" w:cs="Times New Roman"/>
                <w:color w:val="auto"/>
                <w:szCs w:val="21"/>
              </w:rPr>
              <w:t>2</w:t>
            </w:r>
            <w:r>
              <w:rPr>
                <w:rFonts w:hint="eastAsia" w:ascii="宋体" w:hAnsi="宋体" w:eastAsia="宋体" w:cs="Times New Roman"/>
                <w:color w:val="auto"/>
                <w:szCs w:val="21"/>
              </w:rPr>
              <w:t>×8</w:t>
            </w:r>
            <w:r>
              <w:rPr>
                <w:rFonts w:ascii="宋体" w:hAnsi="宋体" w:eastAsia="宋体" w:cs="Times New Roman"/>
                <w:color w:val="auto"/>
                <w:szCs w:val="21"/>
              </w:rPr>
              <w:t xml:space="preserve"> </w:t>
            </w:r>
          </w:p>
        </w:tc>
      </w:tr>
      <w:tr w14:paraId="68B0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vAlign w:val="center"/>
          </w:tcPr>
          <w:p w14:paraId="3AB98BFE">
            <w:pPr>
              <w:spacing w:line="276" w:lineRule="auto"/>
              <w:jc w:val="both"/>
              <w:rPr>
                <w:rFonts w:hint="eastAsia" w:ascii="宋体" w:hAnsi="宋体" w:eastAsia="宋体" w:cs="Times New Roman"/>
                <w:color w:val="auto"/>
                <w:szCs w:val="21"/>
              </w:rPr>
            </w:pPr>
            <w:r>
              <w:rPr>
                <w:rFonts w:hint="eastAsia" w:ascii="宋体" w:hAnsi="宋体" w:eastAsia="宋体" w:cs="Times New Roman"/>
                <w:color w:val="auto"/>
                <w:szCs w:val="21"/>
              </w:rPr>
              <w:t>4.国际形势与政策专题</w:t>
            </w:r>
          </w:p>
        </w:tc>
        <w:tc>
          <w:tcPr>
            <w:tcW w:w="2363" w:type="dxa"/>
            <w:vAlign w:val="center"/>
          </w:tcPr>
          <w:p w14:paraId="7B3C588D">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（1）世界百年未有之大变局与新时代中国特色大国外交</w:t>
            </w:r>
          </w:p>
          <w:p w14:paraId="551E0BC9">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（2）开放型世界经济</w:t>
            </w:r>
          </w:p>
        </w:tc>
        <w:tc>
          <w:tcPr>
            <w:tcW w:w="1222" w:type="dxa"/>
            <w:vAlign w:val="center"/>
          </w:tcPr>
          <w:p w14:paraId="7CB713E1">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2367" w:type="dxa"/>
            <w:vAlign w:val="center"/>
          </w:tcPr>
          <w:p w14:paraId="1682943B">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能够掌握正确分析形势和理解政策的能力，特别是对国际重大事件的分析和判断能力，进一步坚定中国特色社会主义制度自信。</w:t>
            </w:r>
          </w:p>
        </w:tc>
        <w:tc>
          <w:tcPr>
            <w:tcW w:w="1531" w:type="dxa"/>
            <w:vAlign w:val="center"/>
          </w:tcPr>
          <w:p w14:paraId="2A7D47B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w:t>
            </w:r>
          </w:p>
          <w:p w14:paraId="23351EB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2.单元测验</w:t>
            </w:r>
          </w:p>
          <w:p w14:paraId="47E8D150">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3.互动讨论</w:t>
            </w:r>
          </w:p>
        </w:tc>
        <w:tc>
          <w:tcPr>
            <w:tcW w:w="636" w:type="dxa"/>
            <w:vAlign w:val="center"/>
          </w:tcPr>
          <w:p w14:paraId="49B2BAAF">
            <w:pPr>
              <w:jc w:val="center"/>
              <w:rPr>
                <w:rFonts w:hint="eastAsia" w:ascii="宋体" w:hAnsi="宋体" w:eastAsia="宋体" w:cs="Times New Roman"/>
                <w:color w:val="auto"/>
                <w:szCs w:val="21"/>
              </w:rPr>
            </w:pPr>
            <w:r>
              <w:rPr>
                <w:rFonts w:ascii="宋体" w:hAnsi="宋体" w:eastAsia="宋体" w:cs="Times New Roman"/>
                <w:color w:val="auto"/>
                <w:szCs w:val="21"/>
              </w:rPr>
              <w:t>2</w:t>
            </w:r>
            <w:r>
              <w:rPr>
                <w:rFonts w:hint="eastAsia" w:ascii="宋体" w:hAnsi="宋体" w:eastAsia="宋体" w:cs="Times New Roman"/>
                <w:color w:val="auto"/>
                <w:szCs w:val="21"/>
              </w:rPr>
              <w:t>×8</w:t>
            </w:r>
            <w:r>
              <w:rPr>
                <w:rFonts w:ascii="宋体" w:hAnsi="宋体" w:eastAsia="宋体" w:cs="Times New Roman"/>
                <w:color w:val="auto"/>
                <w:szCs w:val="21"/>
              </w:rPr>
              <w:t xml:space="preserve"> </w:t>
            </w:r>
          </w:p>
        </w:tc>
      </w:tr>
    </w:tbl>
    <w:p w14:paraId="2571FE2C">
      <w:pPr>
        <w:spacing w:line="360" w:lineRule="auto"/>
        <w:jc w:val="left"/>
        <w:rPr>
          <w:rFonts w:ascii="Times New Roman" w:hAnsi="Times New Roman" w:eastAsia="宋体" w:cs="Times New Roman"/>
          <w:color w:val="auto"/>
          <w:sz w:val="24"/>
        </w:rPr>
      </w:pPr>
      <w:r>
        <w:rPr>
          <w:rFonts w:hint="eastAsia" w:ascii="宋体" w:hAnsi="宋体" w:eastAsia="宋体" w:cs="Times New Roman"/>
          <w:b/>
          <w:color w:val="auto"/>
          <w:sz w:val="24"/>
        </w:rPr>
        <w:t>四、目标评价与成绩评定</w:t>
      </w:r>
    </w:p>
    <w:p w14:paraId="2130B4E7">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6498D05E">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871"/>
        <w:gridCol w:w="1985"/>
        <w:gridCol w:w="1984"/>
        <w:gridCol w:w="1418"/>
      </w:tblGrid>
      <w:tr w14:paraId="6366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720672D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5840" w:type="dxa"/>
            <w:gridSpan w:val="3"/>
            <w:vAlign w:val="center"/>
          </w:tcPr>
          <w:p w14:paraId="7C6F779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418" w:type="dxa"/>
            <w:vMerge w:val="restart"/>
            <w:vAlign w:val="center"/>
          </w:tcPr>
          <w:p w14:paraId="5B4AE5F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4490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0C8E695">
            <w:pPr>
              <w:spacing w:line="360" w:lineRule="auto"/>
              <w:jc w:val="center"/>
              <w:rPr>
                <w:rFonts w:hint="eastAsia" w:ascii="宋体" w:hAnsi="宋体" w:eastAsia="宋体" w:cs="Times New Roman"/>
                <w:color w:val="auto"/>
                <w:szCs w:val="21"/>
              </w:rPr>
            </w:pPr>
          </w:p>
        </w:tc>
        <w:tc>
          <w:tcPr>
            <w:tcW w:w="1871" w:type="dxa"/>
            <w:vAlign w:val="center"/>
          </w:tcPr>
          <w:p w14:paraId="1642CFE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平时表现成绩</w:t>
            </w:r>
          </w:p>
        </w:tc>
        <w:tc>
          <w:tcPr>
            <w:tcW w:w="1985" w:type="dxa"/>
            <w:vAlign w:val="center"/>
          </w:tcPr>
          <w:p w14:paraId="1C2E885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作业成绩</w:t>
            </w:r>
          </w:p>
        </w:tc>
        <w:tc>
          <w:tcPr>
            <w:tcW w:w="1984" w:type="dxa"/>
            <w:vAlign w:val="center"/>
          </w:tcPr>
          <w:p w14:paraId="4032418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1418" w:type="dxa"/>
            <w:vMerge w:val="continue"/>
            <w:vAlign w:val="center"/>
          </w:tcPr>
          <w:p w14:paraId="6307FD61">
            <w:pPr>
              <w:spacing w:line="360" w:lineRule="auto"/>
              <w:jc w:val="center"/>
              <w:rPr>
                <w:rFonts w:hint="eastAsia" w:ascii="宋体" w:hAnsi="宋体" w:eastAsia="宋体" w:cs="Times New Roman"/>
                <w:color w:val="auto"/>
                <w:szCs w:val="21"/>
              </w:rPr>
            </w:pPr>
          </w:p>
        </w:tc>
      </w:tr>
      <w:tr w14:paraId="785B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FFF9EB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871" w:type="dxa"/>
            <w:vAlign w:val="center"/>
          </w:tcPr>
          <w:p w14:paraId="3C788C8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985" w:type="dxa"/>
            <w:vAlign w:val="center"/>
          </w:tcPr>
          <w:p w14:paraId="77B4CE5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984" w:type="dxa"/>
            <w:vAlign w:val="center"/>
          </w:tcPr>
          <w:p w14:paraId="6E5DE17C">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18" w:type="dxa"/>
            <w:vAlign w:val="center"/>
          </w:tcPr>
          <w:p w14:paraId="22A03D4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r w14:paraId="79A9F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32D6F9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871" w:type="dxa"/>
            <w:vAlign w:val="center"/>
          </w:tcPr>
          <w:p w14:paraId="611F881D">
            <w:pPr>
              <w:spacing w:line="360" w:lineRule="auto"/>
              <w:jc w:val="center"/>
              <w:rPr>
                <w:rFonts w:hint="eastAsia" w:ascii="宋体" w:hAnsi="宋体" w:eastAsia="宋体" w:cs="Times New Roman"/>
                <w:color w:val="auto"/>
                <w:szCs w:val="21"/>
              </w:rPr>
            </w:pPr>
          </w:p>
        </w:tc>
        <w:tc>
          <w:tcPr>
            <w:tcW w:w="1985" w:type="dxa"/>
            <w:vAlign w:val="center"/>
          </w:tcPr>
          <w:p w14:paraId="11B5B594">
            <w:pPr>
              <w:spacing w:line="360" w:lineRule="auto"/>
              <w:jc w:val="center"/>
              <w:rPr>
                <w:rFonts w:hint="eastAsia" w:ascii="宋体" w:hAnsi="宋体" w:eastAsia="宋体" w:cs="Times New Roman"/>
                <w:color w:val="auto"/>
                <w:szCs w:val="21"/>
              </w:rPr>
            </w:pPr>
          </w:p>
        </w:tc>
        <w:tc>
          <w:tcPr>
            <w:tcW w:w="1984" w:type="dxa"/>
            <w:vAlign w:val="center"/>
          </w:tcPr>
          <w:p w14:paraId="0303979B">
            <w:pPr>
              <w:spacing w:line="360" w:lineRule="auto"/>
              <w:jc w:val="center"/>
              <w:rPr>
                <w:rFonts w:hint="eastAsia" w:ascii="宋体" w:hAnsi="宋体" w:eastAsia="宋体" w:cs="Times New Roman"/>
                <w:color w:val="auto"/>
                <w:szCs w:val="21"/>
              </w:rPr>
            </w:pPr>
          </w:p>
        </w:tc>
        <w:tc>
          <w:tcPr>
            <w:tcW w:w="1418" w:type="dxa"/>
            <w:vAlign w:val="center"/>
          </w:tcPr>
          <w:p w14:paraId="3BDBC88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08C57106">
      <w:pPr>
        <w:spacing w:before="156" w:beforeLines="50"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198DB74B">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3107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A7E4282">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18CA49F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238499A5">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6627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6A3C124">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平时表现</w:t>
            </w:r>
          </w:p>
        </w:tc>
        <w:tc>
          <w:tcPr>
            <w:tcW w:w="7141" w:type="dxa"/>
            <w:vAlign w:val="center"/>
          </w:tcPr>
          <w:p w14:paraId="03357D7D">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通过网络学习、听课表现、学习互动等情况，考核对形势与政策专题理论的理解和运用</w:t>
            </w:r>
          </w:p>
        </w:tc>
        <w:tc>
          <w:tcPr>
            <w:tcW w:w="0" w:type="auto"/>
            <w:vAlign w:val="center"/>
          </w:tcPr>
          <w:p w14:paraId="361BDE2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w:t>
            </w:r>
          </w:p>
        </w:tc>
      </w:tr>
      <w:tr w14:paraId="7D09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08B7AED">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作业</w:t>
            </w:r>
          </w:p>
        </w:tc>
        <w:tc>
          <w:tcPr>
            <w:tcW w:w="7141" w:type="dxa"/>
            <w:vAlign w:val="center"/>
          </w:tcPr>
          <w:p w14:paraId="51F7945D">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通过每个专题的单元测验考核对课程理论的理解和运用</w:t>
            </w:r>
          </w:p>
        </w:tc>
        <w:tc>
          <w:tcPr>
            <w:tcW w:w="0" w:type="auto"/>
            <w:vAlign w:val="center"/>
          </w:tcPr>
          <w:p w14:paraId="22038B7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w:t>
            </w:r>
          </w:p>
        </w:tc>
      </w:tr>
      <w:tr w14:paraId="25D4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693E0AB">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7141" w:type="dxa"/>
            <w:vAlign w:val="center"/>
          </w:tcPr>
          <w:p w14:paraId="221EE9D9">
            <w:pPr>
              <w:spacing w:line="264"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t>试卷题型包括</w:t>
            </w:r>
            <w:r>
              <w:rPr>
                <w:rFonts w:hint="eastAsia" w:ascii="Times New Roman" w:hAnsi="Times New Roman" w:eastAsia="宋体" w:cs="Times New Roman"/>
                <w:color w:val="auto"/>
                <w:szCs w:val="21"/>
              </w:rPr>
              <w:t>单选题</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多选题</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填空题</w:t>
            </w:r>
            <w:r>
              <w:rPr>
                <w:rFonts w:ascii="Times New Roman" w:hAnsi="Times New Roman" w:eastAsia="宋体" w:cs="Times New Roman"/>
                <w:color w:val="auto"/>
                <w:szCs w:val="21"/>
              </w:rPr>
              <w:t>，以卷面成绩的</w:t>
            </w:r>
            <w:r>
              <w:rPr>
                <w:rFonts w:hint="eastAsia" w:ascii="Times New Roman" w:hAnsi="Times New Roman" w:eastAsia="宋体" w:cs="Times New Roman"/>
                <w:color w:val="auto"/>
                <w:szCs w:val="21"/>
              </w:rPr>
              <w:t>4</w:t>
            </w:r>
            <w:r>
              <w:rPr>
                <w:rFonts w:ascii="Times New Roman" w:hAnsi="Times New Roman" w:eastAsia="宋体" w:cs="Times New Roman"/>
                <w:color w:val="auto"/>
                <w:szCs w:val="21"/>
              </w:rPr>
              <w:t>0%计入课程总成绩。</w:t>
            </w:r>
            <w:r>
              <w:rPr>
                <w:rFonts w:hint="eastAsia" w:ascii="Times New Roman" w:hAnsi="Times New Roman" w:eastAsia="宋体" w:cs="Times New Roman"/>
                <w:color w:val="auto"/>
                <w:szCs w:val="21"/>
              </w:rPr>
              <w:t>主要考核学生对新时代国内外形势的认识；对新时期党和国家事业的历史性成就、历史性变革、历史性机遇和挑战的认识。</w:t>
            </w:r>
          </w:p>
        </w:tc>
        <w:tc>
          <w:tcPr>
            <w:tcW w:w="0" w:type="auto"/>
            <w:vAlign w:val="center"/>
          </w:tcPr>
          <w:p w14:paraId="16FDE8B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40%</w:t>
            </w:r>
          </w:p>
        </w:tc>
      </w:tr>
      <w:tr w14:paraId="0C51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24A8247">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2F74E4F7">
            <w:pPr>
              <w:jc w:val="left"/>
              <w:rPr>
                <w:rFonts w:ascii="Times New Roman" w:hAnsi="Times New Roman" w:eastAsia="宋体" w:cs="Times New Roman"/>
                <w:color w:val="auto"/>
                <w:szCs w:val="21"/>
              </w:rPr>
            </w:pPr>
          </w:p>
        </w:tc>
        <w:tc>
          <w:tcPr>
            <w:tcW w:w="0" w:type="auto"/>
            <w:vAlign w:val="center"/>
          </w:tcPr>
          <w:p w14:paraId="3280A54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30CAEC70">
      <w:pPr>
        <w:spacing w:line="360" w:lineRule="auto"/>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73DD6232">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02A0B497">
      <w:pPr>
        <w:spacing w:before="156" w:beforeLines="50" w:line="360" w:lineRule="auto"/>
        <w:ind w:firstLine="420" w:firstLineChars="200"/>
        <w:jc w:val="left"/>
        <w:rPr>
          <w:rFonts w:ascii="Times New Roman" w:hAnsi="Times New Roman" w:eastAsia="宋体" w:cs="Times New Roman"/>
          <w:b/>
          <w:bCs/>
          <w:color w:val="auto"/>
          <w:sz w:val="24"/>
        </w:rPr>
      </w:pPr>
      <w:r>
        <w:rPr>
          <w:rFonts w:ascii="宋体" w:hAnsi="宋体" w:eastAsia="宋体" w:cs="Times New Roman"/>
          <w:color w:val="auto"/>
          <w:szCs w:val="21"/>
        </w:rPr>
        <w:object>
          <v:shape id="_x0000_i1031" o:spt="75" type="#_x0000_t75" style="height:24.65pt;width:404.05pt;" o:ole="t" filled="f" o:preferrelative="t" stroked="f" coordsize="21600,21600">
            <v:path/>
            <v:fill on="f" focussize="0,0"/>
            <v:stroke on="f" joinstyle="miter"/>
            <v:imagedata r:id="rId10" o:title=""/>
            <o:lock v:ext="edit" aspectratio="t"/>
            <w10:wrap type="none"/>
            <w10:anchorlock/>
          </v:shape>
          <o:OLEObject Type="Embed" ProgID="Equation.3" ShapeID="_x0000_i1031" DrawAspect="Content" ObjectID="_1468075730" r:id="rId15">
            <o:LockedField>false</o:LockedField>
          </o:OLEObject>
        </w:object>
      </w:r>
      <w:r>
        <w:rPr>
          <w:rFonts w:hint="eastAsia" w:ascii="宋体" w:hAnsi="宋体" w:eastAsia="宋体" w:cs="Times New Roman"/>
          <w:b/>
          <w:color w:val="auto"/>
          <w:sz w:val="24"/>
        </w:rPr>
        <w:t>五、有关说明</w:t>
      </w:r>
    </w:p>
    <w:p w14:paraId="6A3CC60A">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38866EE3">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本课程根据平时表现、作业和期末考试等考核情况，以及学生、教学督导等反馈情况，及时对教学中不足之处进行改进，并在下一轮课程教学中整改完善，确保相应毕业要求观测点达成。</w:t>
      </w:r>
    </w:p>
    <w:p w14:paraId="1858D19C">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226E0AAA">
      <w:pPr>
        <w:spacing w:line="336"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《形势与政策》，江苏省形势与政策教学指导委员会编，南京大学出版社，最新版</w:t>
      </w:r>
    </w:p>
    <w:p w14:paraId="729BF00D">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635509D2">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 教育部印发《高校“形势与政策”课教学要点》</w:t>
      </w:r>
    </w:p>
    <w:p w14:paraId="5066BB18">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 《时事报告》，中共中央宣传部主管，《时事报告》杂志社</w:t>
      </w:r>
    </w:p>
    <w:p w14:paraId="10246096">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 《习近平新时代中国特色社会主义思想学习纲要》，学习出版社，2019</w:t>
      </w:r>
    </w:p>
    <w:p w14:paraId="5E9A1E4D">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4.《党的二十届三中全会〈决定〉学习辅导百问》，学习出版社、党建读物出版社，2024</w:t>
      </w:r>
    </w:p>
    <w:p w14:paraId="5E9FECDB">
      <w:pPr>
        <w:spacing w:line="336" w:lineRule="auto"/>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5. 学习网站：人民网、新华网、光明网等</w:t>
      </w:r>
    </w:p>
    <w:p w14:paraId="348565C0">
      <w:pPr>
        <w:spacing w:line="336" w:lineRule="auto"/>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                                            执 笔 人：姚彦琳</w:t>
      </w:r>
    </w:p>
    <w:p w14:paraId="7C9D3769">
      <w:pPr>
        <w:spacing w:line="360" w:lineRule="auto"/>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                                            审 定 人：夏天静</w:t>
      </w:r>
    </w:p>
    <w:p w14:paraId="3663ADFB">
      <w:pPr>
        <w:spacing w:line="360" w:lineRule="auto"/>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                                            审 批 人：熊焱生</w:t>
      </w:r>
    </w:p>
    <w:p w14:paraId="29165352">
      <w:pPr>
        <w:spacing w:line="360" w:lineRule="auto"/>
        <w:jc w:val="right"/>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 xml:space="preserve">                                          </w:t>
      </w:r>
      <w:r>
        <w:rPr>
          <w:rFonts w:hint="eastAsia" w:ascii="Times New Roman" w:hAnsi="Times New Roman" w:eastAsia="宋体" w:cs="Times New Roman"/>
          <w:color w:val="auto"/>
          <w:sz w:val="24"/>
          <w:lang w:eastAsia="zh-CN"/>
        </w:rPr>
        <w:t>批准时间：2025年7月1日</w:t>
      </w:r>
    </w:p>
    <w:p w14:paraId="58874229">
      <w:pPr>
        <w:rPr>
          <w:rFonts w:ascii="Times New Roman" w:hAnsi="Times New Roman" w:eastAsia="宋体" w:cs="Times New Roman"/>
          <w:color w:val="auto"/>
          <w:sz w:val="24"/>
        </w:rPr>
      </w:pPr>
      <w:r>
        <w:rPr>
          <w:rFonts w:ascii="Times New Roman" w:hAnsi="Times New Roman" w:eastAsia="宋体" w:cs="Times New Roman"/>
          <w:color w:val="auto"/>
          <w:sz w:val="24"/>
        </w:rPr>
        <w:br w:type="page"/>
      </w:r>
    </w:p>
    <w:p w14:paraId="603144A3">
      <w:pPr>
        <w:spacing w:line="360" w:lineRule="auto"/>
        <w:jc w:val="center"/>
        <w:outlineLvl w:val="0"/>
        <w:rPr>
          <w:rFonts w:hint="eastAsia" w:ascii="Times New Roman" w:hAnsi="Times New Roman" w:eastAsia="宋体" w:cs="Times New Roman"/>
          <w:b/>
          <w:sz w:val="44"/>
          <w:szCs w:val="44"/>
        </w:rPr>
      </w:pPr>
      <w:bookmarkStart w:id="19" w:name="_Toc5353"/>
      <w:bookmarkStart w:id="20" w:name="_Toc11549"/>
      <w:r>
        <w:rPr>
          <w:rFonts w:hint="eastAsia" w:ascii="Times New Roman" w:hAnsi="Times New Roman" w:eastAsia="宋体" w:cs="Times New Roman"/>
          <w:b/>
          <w:sz w:val="44"/>
          <w:szCs w:val="44"/>
        </w:rPr>
        <w:t>《体育I》课程教学大纲</w:t>
      </w:r>
      <w:bookmarkEnd w:id="19"/>
      <w:bookmarkEnd w:id="20"/>
    </w:p>
    <w:p w14:paraId="5D2311D5">
      <w:pPr>
        <w:spacing w:line="360" w:lineRule="auto"/>
        <w:jc w:val="center"/>
        <w:rPr>
          <w:rFonts w:hint="eastAsia" w:ascii="Times New Roman" w:hAnsi="Times New Roman" w:eastAsia="宋体" w:cs="Times New Roman"/>
          <w:b/>
          <w:bCs/>
          <w:sz w:val="28"/>
          <w:szCs w:val="28"/>
        </w:rPr>
      </w:pPr>
      <w:r>
        <w:rPr>
          <w:rFonts w:ascii="Times New Roman" w:hAnsi="Times New Roman" w:eastAsia="宋体" w:cs="Times New Roman"/>
          <w:b/>
          <w:bCs/>
          <w:sz w:val="28"/>
          <w:szCs w:val="28"/>
        </w:rPr>
        <w:t>（Physical  Education I）</w:t>
      </w:r>
    </w:p>
    <w:p w14:paraId="256FF272">
      <w:pPr>
        <w:spacing w:line="360" w:lineRule="auto"/>
        <w:ind w:firstLine="413" w:firstLineChars="196"/>
        <w:rPr>
          <w:rFonts w:hint="eastAsia" w:ascii="宋体" w:hAnsi="宋体" w:eastAsia="宋体" w:cs="宋体"/>
          <w:b/>
          <w:color w:val="auto"/>
          <w:sz w:val="21"/>
          <w:szCs w:val="21"/>
        </w:rPr>
      </w:pPr>
    </w:p>
    <w:p w14:paraId="4FCA1DF8">
      <w:pPr>
        <w:spacing w:line="360" w:lineRule="auto"/>
        <w:ind w:firstLine="482" w:firstLineChars="200"/>
        <w:rPr>
          <w:rFonts w:hint="default" w:ascii="Times New Roman" w:hAnsi="Times New Roman" w:eastAsia="宋体" w:cs="Times New Roman"/>
          <w:b/>
          <w:bCs/>
          <w:color w:val="auto"/>
          <w:kern w:val="0"/>
          <w:sz w:val="24"/>
          <w:lang w:val="en-US" w:eastAsia="zh-CN"/>
        </w:rPr>
      </w:pPr>
      <w:r>
        <w:rPr>
          <w:rFonts w:hint="eastAsia" w:ascii="宋体" w:hAnsi="宋体" w:eastAsia="宋体" w:cs="宋体"/>
          <w:b/>
          <w:bCs/>
          <w:color w:val="auto"/>
          <w:kern w:val="0"/>
          <w:sz w:val="24"/>
          <w:lang w:val="en-US" w:eastAsia="zh-CN"/>
        </w:rPr>
        <w:t>课程名称：</w:t>
      </w:r>
      <w:r>
        <w:rPr>
          <w:rFonts w:hint="default" w:ascii="Times New Roman" w:hAnsi="Times New Roman" w:eastAsia="宋体" w:cs="Times New Roman"/>
          <w:b/>
          <w:bCs/>
          <w:color w:val="auto"/>
          <w:kern w:val="0"/>
          <w:sz w:val="24"/>
          <w:lang w:val="en-US" w:eastAsia="zh-CN"/>
        </w:rPr>
        <w:t>体育I</w:t>
      </w:r>
    </w:p>
    <w:p w14:paraId="03B90F53">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kern w:val="0"/>
          <w:sz w:val="24"/>
        </w:rPr>
        <w:t>课程代码：1101010</w:t>
      </w:r>
    </w:p>
    <w:p w14:paraId="16BDBBC9">
      <w:pPr>
        <w:spacing w:line="360" w:lineRule="auto"/>
        <w:ind w:firstLine="482" w:firstLineChars="200"/>
        <w:rPr>
          <w:rFonts w:hint="eastAsia" w:ascii="宋体" w:hAnsi="宋体" w:eastAsia="宋体" w:cs="宋体"/>
          <w:b/>
          <w:bCs/>
          <w:color w:val="auto"/>
          <w:kern w:val="0"/>
          <w:sz w:val="24"/>
        </w:rPr>
      </w:pPr>
      <w:r>
        <w:rPr>
          <w:rFonts w:hint="eastAsia" w:ascii="宋体" w:hAnsi="宋体" w:eastAsia="宋体" w:cs="宋体"/>
          <w:b/>
          <w:bCs/>
          <w:color w:val="auto"/>
          <w:kern w:val="0"/>
          <w:sz w:val="24"/>
        </w:rPr>
        <w:t>学    分：0.75</w:t>
      </w:r>
    </w:p>
    <w:p w14:paraId="3276034E">
      <w:pPr>
        <w:spacing w:line="360" w:lineRule="auto"/>
        <w:ind w:firstLine="482" w:firstLineChars="200"/>
        <w:rPr>
          <w:rFonts w:hint="eastAsia" w:ascii="宋体" w:hAnsi="宋体" w:eastAsia="宋体" w:cs="宋体"/>
          <w:b/>
          <w:bCs/>
          <w:color w:val="auto"/>
          <w:kern w:val="0"/>
          <w:sz w:val="24"/>
        </w:rPr>
      </w:pPr>
      <w:r>
        <w:rPr>
          <w:rFonts w:hint="eastAsia" w:ascii="宋体" w:hAnsi="宋体" w:eastAsia="宋体" w:cs="宋体"/>
          <w:b/>
          <w:bCs/>
          <w:color w:val="auto"/>
          <w:kern w:val="0"/>
          <w:sz w:val="24"/>
        </w:rPr>
        <w:t>学    时：30</w:t>
      </w:r>
    </w:p>
    <w:p w14:paraId="6C5D3948">
      <w:pPr>
        <w:spacing w:line="360" w:lineRule="auto"/>
        <w:ind w:firstLine="482" w:firstLineChars="200"/>
        <w:rPr>
          <w:rFonts w:hint="eastAsia" w:ascii="宋体" w:hAnsi="宋体" w:eastAsia="宋体" w:cs="宋体"/>
          <w:b/>
          <w:bCs/>
          <w:color w:val="auto"/>
          <w:kern w:val="0"/>
          <w:sz w:val="24"/>
        </w:rPr>
      </w:pPr>
      <w:r>
        <w:rPr>
          <w:rFonts w:hint="eastAsia" w:ascii="宋体" w:hAnsi="宋体" w:eastAsia="宋体" w:cs="宋体"/>
          <w:b/>
          <w:bCs/>
          <w:color w:val="auto"/>
          <w:kern w:val="0"/>
          <w:sz w:val="24"/>
        </w:rPr>
        <w:t>先修课程：无</w:t>
      </w:r>
    </w:p>
    <w:p w14:paraId="17B3FDF3">
      <w:pPr>
        <w:spacing w:line="360" w:lineRule="auto"/>
        <w:ind w:firstLine="482" w:firstLineChars="200"/>
        <w:rPr>
          <w:rFonts w:hint="eastAsia" w:ascii="宋体" w:hAnsi="宋体" w:eastAsia="宋体" w:cs="宋体"/>
          <w:b/>
          <w:bCs/>
          <w:color w:val="auto"/>
          <w:kern w:val="0"/>
          <w:sz w:val="24"/>
        </w:rPr>
      </w:pPr>
      <w:r>
        <w:rPr>
          <w:rFonts w:hint="eastAsia" w:ascii="宋体" w:hAnsi="宋体" w:eastAsia="宋体" w:cs="宋体"/>
          <w:b/>
          <w:bCs/>
          <w:color w:val="auto"/>
          <w:kern w:val="0"/>
          <w:sz w:val="24"/>
        </w:rPr>
        <w:t xml:space="preserve">适用专业：全校各专业                        </w:t>
      </w:r>
    </w:p>
    <w:p w14:paraId="74E00CF7">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default" w:ascii="宋体" w:hAnsi="宋体" w:eastAsia="宋体" w:cs="宋体"/>
          <w:b/>
          <w:bCs/>
          <w:color w:val="auto"/>
          <w:kern w:val="0"/>
          <w:sz w:val="24"/>
          <w:lang w:val="en-US" w:eastAsia="zh-CN"/>
        </w:rPr>
      </w:pPr>
      <w:bookmarkStart w:id="21" w:name="_Hlk27938417"/>
      <w:r>
        <w:rPr>
          <w:rFonts w:hint="eastAsia" w:ascii="宋体" w:hAnsi="宋体" w:eastAsia="宋体" w:cs="宋体"/>
          <w:b/>
          <w:bCs/>
          <w:color w:val="auto"/>
          <w:kern w:val="0"/>
          <w:sz w:val="24"/>
          <w:lang w:val="en-US" w:eastAsia="zh-CN"/>
        </w:rPr>
        <w:t>一、课程简介</w:t>
      </w:r>
    </w:p>
    <w:p w14:paraId="2EA7E329">
      <w:pPr>
        <w:autoSpaceDE w:val="0"/>
        <w:autoSpaceDN w:val="0"/>
        <w:adjustRightInd w:val="0"/>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本课程是面向全校各专业开设的以身体练习为主要手段，以培养学生体育人文素养和塑造健全人格为主要目的，以提高学生体质健康水平为主要目标的通识必修课。其教学安排在第一学年第一学期进行。</w:t>
      </w:r>
    </w:p>
    <w:p w14:paraId="20C0BFD7">
      <w:pPr>
        <w:autoSpaceDE w:val="0"/>
        <w:autoSpaceDN w:val="0"/>
        <w:adjustRightInd w:val="0"/>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通过本课程的学习，学生掌握和应用基本的体育与健康知识及运动技能，增强学生体质与健康水平，激发学生参与体育活动的兴趣，促进身心和谐发展和体育技能与素养的提高。坚持以立德树人为根本，通过融入社会主义核心价值观、做人做事的道理和体育精神等课程思政元素，培养学生的爱国情怀、体育道德、规则意识、合作精神和意志品质，增强与他人交流沟通、团结合作的能力，提升学生体育核心素养。本课程将为后续课程的学习以及相关课程的学习与训练奠定重要的基础。</w:t>
      </w:r>
    </w:p>
    <w:bookmarkEnd w:id="21"/>
    <w:p w14:paraId="3B4C7519">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二、课程目标与毕业要求指标点对应关系</w:t>
      </w:r>
    </w:p>
    <w:p w14:paraId="04A2AE20">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目标1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全面发展体能，提高运动能力，掌握体育基本理论知识和基本技术，了解体育锻炼的健身原理，具有一定的体育文化素养和欣赏能力。树立“健康第一”思想和正确的体育道德观，增强团结协作意识、规则意识、公平意识和积极进取意识。</w:t>
      </w:r>
    </w:p>
    <w:p w14:paraId="73B4BA61">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目标2：积极参与各种体育活动，掌握所学项目的基本技能和锻炼方法，能科学地进行体育锻炼，掌握常见运动损伤的处理方法。学会利用体育调节身心，改善心理状态，养成积极乐观的生活态度。</w:t>
      </w:r>
    </w:p>
    <w:p w14:paraId="41F950AD">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本课程支撑专业培养方案中毕业要求</w:t>
      </w:r>
      <w:r>
        <w:rPr>
          <w:rFonts w:hint="eastAsia" w:ascii="宋体" w:hAnsi="宋体" w:eastAsia="宋体" w:cs="宋体"/>
          <w:color w:val="auto"/>
          <w:sz w:val="24"/>
          <w:lang w:val="en-US" w:eastAsia="zh-CN"/>
        </w:rPr>
        <w:t>2</w:t>
      </w:r>
      <w:r>
        <w:rPr>
          <w:rFonts w:hint="eastAsia" w:ascii="宋体" w:hAnsi="宋体" w:eastAsia="宋体" w:cs="宋体"/>
          <w:color w:val="auto"/>
          <w:sz w:val="24"/>
        </w:rPr>
        <w:t>、</w:t>
      </w:r>
      <w:r>
        <w:rPr>
          <w:rFonts w:hint="eastAsia" w:ascii="宋体" w:hAnsi="宋体" w:eastAsia="宋体" w:cs="宋体"/>
          <w:color w:val="auto"/>
          <w:sz w:val="24"/>
          <w:lang w:val="en-US" w:eastAsia="zh-CN"/>
        </w:rPr>
        <w:t>6</w:t>
      </w:r>
      <w:r>
        <w:rPr>
          <w:rFonts w:hint="eastAsia" w:ascii="宋体" w:hAnsi="宋体" w:eastAsia="宋体" w:cs="宋体"/>
          <w:color w:val="auto"/>
          <w:sz w:val="24"/>
        </w:rPr>
        <w:t>(不同专业会略有区别，具体见培养方案中的毕业要求实现矩阵)，对应关系如下表所示。</w:t>
      </w:r>
    </w:p>
    <w:tbl>
      <w:tblPr>
        <w:tblStyle w:val="16"/>
        <w:tblW w:w="52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6259"/>
        <w:gridCol w:w="1189"/>
      </w:tblGrid>
      <w:tr w14:paraId="713D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850" w:type="pct"/>
            <w:vAlign w:val="center"/>
          </w:tcPr>
          <w:p w14:paraId="68F55AC8">
            <w:pPr>
              <w:jc w:val="center"/>
              <w:rPr>
                <w:rFonts w:hint="eastAsia" w:ascii="宋体" w:hAnsi="宋体" w:eastAsia="宋体" w:cs="宋体"/>
                <w:b/>
                <w:bCs/>
                <w:color w:val="auto"/>
              </w:rPr>
            </w:pPr>
            <w:r>
              <w:rPr>
                <w:rFonts w:hint="eastAsia" w:ascii="宋体" w:hAnsi="宋体" w:eastAsia="宋体" w:cs="宋体"/>
                <w:b/>
                <w:bCs/>
                <w:color w:val="auto"/>
              </w:rPr>
              <w:t>毕业要求2</w:t>
            </w:r>
          </w:p>
          <w:p w14:paraId="260B6183">
            <w:pPr>
              <w:jc w:val="center"/>
              <w:rPr>
                <w:rFonts w:hint="eastAsia" w:ascii="宋体" w:hAnsi="宋体" w:eastAsia="宋体" w:cs="宋体"/>
                <w:b/>
                <w:bCs/>
                <w:color w:val="auto"/>
              </w:rPr>
            </w:pPr>
            <w:r>
              <w:rPr>
                <w:rFonts w:hint="eastAsia" w:ascii="宋体" w:hAnsi="宋体" w:eastAsia="宋体" w:cs="宋体"/>
                <w:b/>
                <w:bCs/>
                <w:color w:val="auto"/>
              </w:rPr>
              <w:t>教育情怀</w:t>
            </w:r>
          </w:p>
        </w:tc>
        <w:tc>
          <w:tcPr>
            <w:tcW w:w="3486" w:type="pct"/>
            <w:vAlign w:val="center"/>
          </w:tcPr>
          <w:p w14:paraId="0A56CCC7">
            <w:pPr>
              <w:rPr>
                <w:rFonts w:hint="eastAsia" w:ascii="宋体" w:hAnsi="宋体" w:eastAsia="宋体" w:cs="宋体"/>
                <w:color w:val="auto"/>
              </w:rPr>
            </w:pPr>
            <w:r>
              <w:rPr>
                <w:rFonts w:hint="eastAsia" w:ascii="宋体" w:hAnsi="宋体" w:eastAsia="宋体" w:cs="宋体"/>
                <w:b/>
                <w:bCs/>
                <w:color w:val="auto"/>
              </w:rPr>
              <w:t>指标点2-3：</w:t>
            </w:r>
            <w:r>
              <w:rPr>
                <w:rFonts w:hint="eastAsia" w:ascii="宋体" w:hAnsi="宋体" w:eastAsia="宋体" w:cs="宋体"/>
                <w:color w:val="auto"/>
              </w:rPr>
              <w:t>【自身修养良好】具有较好的人文艺术底蕴与科学精神，言行举止符合教师职业标准，情感积极，人格健全，身心健康。</w:t>
            </w:r>
          </w:p>
        </w:tc>
        <w:tc>
          <w:tcPr>
            <w:tcW w:w="662" w:type="pct"/>
            <w:vAlign w:val="center"/>
          </w:tcPr>
          <w:p w14:paraId="771F5736">
            <w:pPr>
              <w:rPr>
                <w:rFonts w:hint="eastAsia" w:ascii="宋体" w:hAnsi="宋体" w:eastAsia="宋体" w:cs="宋体"/>
                <w:color w:val="auto"/>
                <w:lang w:eastAsia="zh"/>
              </w:rPr>
            </w:pPr>
            <w:r>
              <w:rPr>
                <w:rFonts w:hint="eastAsia" w:ascii="宋体" w:hAnsi="宋体" w:eastAsia="宋体" w:cs="宋体"/>
                <w:color w:val="auto"/>
              </w:rPr>
              <w:t>课程目标</w:t>
            </w:r>
            <w:r>
              <w:rPr>
                <w:rFonts w:hint="eastAsia" w:ascii="宋体" w:hAnsi="宋体" w:eastAsia="宋体" w:cs="宋体"/>
                <w:color w:val="auto"/>
                <w:lang w:eastAsia="zh"/>
              </w:rPr>
              <w:t>1</w:t>
            </w:r>
          </w:p>
        </w:tc>
      </w:tr>
      <w:tr w14:paraId="3A2E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pct"/>
            <w:vAlign w:val="center"/>
          </w:tcPr>
          <w:p w14:paraId="039A3B2D">
            <w:pPr>
              <w:jc w:val="center"/>
              <w:rPr>
                <w:rFonts w:hint="eastAsia" w:ascii="宋体" w:hAnsi="宋体" w:eastAsia="宋体" w:cs="宋体"/>
                <w:b/>
                <w:bCs/>
                <w:color w:val="auto"/>
              </w:rPr>
            </w:pPr>
            <w:r>
              <w:rPr>
                <w:rFonts w:hint="eastAsia" w:ascii="宋体" w:hAnsi="宋体" w:eastAsia="宋体" w:cs="宋体"/>
                <w:b/>
                <w:bCs/>
                <w:color w:val="auto"/>
              </w:rPr>
              <w:t>毕业要求6</w:t>
            </w:r>
          </w:p>
          <w:p w14:paraId="38C8587D">
            <w:pPr>
              <w:jc w:val="center"/>
              <w:rPr>
                <w:rFonts w:hint="eastAsia" w:ascii="宋体" w:hAnsi="宋体" w:eastAsia="宋体" w:cs="宋体"/>
                <w:b/>
                <w:bCs/>
                <w:color w:val="auto"/>
              </w:rPr>
            </w:pPr>
            <w:r>
              <w:rPr>
                <w:rFonts w:hint="eastAsia" w:ascii="宋体" w:hAnsi="宋体" w:eastAsia="宋体" w:cs="宋体"/>
                <w:b/>
                <w:bCs/>
                <w:color w:val="auto"/>
              </w:rPr>
              <w:t>综合育人</w:t>
            </w:r>
          </w:p>
        </w:tc>
        <w:tc>
          <w:tcPr>
            <w:tcW w:w="3486" w:type="pct"/>
            <w:vAlign w:val="center"/>
          </w:tcPr>
          <w:p w14:paraId="4243F514">
            <w:pPr>
              <w:rPr>
                <w:rFonts w:hint="eastAsia" w:ascii="宋体" w:hAnsi="宋体" w:eastAsia="宋体" w:cs="宋体"/>
                <w:color w:val="auto"/>
                <w:lang w:eastAsia="zh-CN"/>
              </w:rPr>
            </w:pPr>
            <w:r>
              <w:rPr>
                <w:rFonts w:hint="eastAsia" w:ascii="宋体" w:hAnsi="宋体" w:eastAsia="宋体" w:cs="宋体"/>
                <w:b/>
                <w:bCs/>
                <w:color w:val="auto"/>
                <w:lang w:eastAsia="zh-CN"/>
              </w:rPr>
              <w:t>指标点6-3：</w:t>
            </w:r>
            <w:r>
              <w:rPr>
                <w:rFonts w:hint="eastAsia" w:ascii="宋体" w:hAnsi="宋体" w:eastAsia="宋体" w:cs="宋体"/>
                <w:b w:val="0"/>
                <w:bCs w:val="0"/>
                <w:color w:val="auto"/>
                <w:lang w:eastAsia="zh-CN"/>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662" w:type="pct"/>
            <w:vAlign w:val="center"/>
          </w:tcPr>
          <w:p w14:paraId="683F1779">
            <w:pPr>
              <w:rPr>
                <w:rFonts w:hint="eastAsia" w:ascii="宋体" w:hAnsi="宋体" w:eastAsia="宋体" w:cs="宋体"/>
                <w:color w:val="auto"/>
              </w:rPr>
            </w:pPr>
            <w:r>
              <w:rPr>
                <w:rFonts w:hint="eastAsia" w:ascii="宋体" w:hAnsi="宋体" w:eastAsia="宋体" w:cs="宋体"/>
                <w:color w:val="auto"/>
              </w:rPr>
              <w:t>课程目标1</w:t>
            </w:r>
          </w:p>
          <w:p w14:paraId="3BEC6040">
            <w:pPr>
              <w:rPr>
                <w:rFonts w:hint="eastAsia" w:ascii="宋体" w:hAnsi="宋体" w:eastAsia="宋体" w:cs="宋体"/>
                <w:color w:val="auto"/>
              </w:rPr>
            </w:pPr>
            <w:r>
              <w:rPr>
                <w:rFonts w:hint="eastAsia" w:ascii="宋体" w:hAnsi="宋体" w:eastAsia="宋体" w:cs="宋体"/>
                <w:color w:val="auto"/>
              </w:rPr>
              <w:t>课程目标2</w:t>
            </w:r>
          </w:p>
        </w:tc>
      </w:tr>
    </w:tbl>
    <w:p w14:paraId="2EE86F65">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三、</w:t>
      </w:r>
      <w:r>
        <w:rPr>
          <w:rFonts w:hint="eastAsia" w:ascii="宋体" w:hAnsi="宋体" w:eastAsia="宋体" w:cs="Times New Roman"/>
          <w:b/>
          <w:color w:val="000000"/>
          <w:sz w:val="24"/>
          <w:szCs w:val="24"/>
        </w:rPr>
        <w:t>教学内容与预期学习成效</w:t>
      </w:r>
    </w:p>
    <w:tbl>
      <w:tblPr>
        <w:tblStyle w:val="15"/>
        <w:tblW w:w="8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3737"/>
        <w:gridCol w:w="2806"/>
        <w:gridCol w:w="687"/>
        <w:gridCol w:w="977"/>
      </w:tblGrid>
      <w:tr w14:paraId="39B34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8" w:type="pct"/>
            <w:vAlign w:val="center"/>
          </w:tcPr>
          <w:p w14:paraId="6E487077">
            <w:pPr>
              <w:jc w:val="center"/>
              <w:rPr>
                <w:rFonts w:hint="eastAsia" w:ascii="宋体" w:hAnsi="宋体" w:eastAsia="宋体" w:cs="宋体"/>
                <w:b/>
                <w:bCs/>
                <w:color w:val="auto"/>
                <w:szCs w:val="21"/>
              </w:rPr>
            </w:pPr>
            <w:r>
              <w:rPr>
                <w:rFonts w:hint="eastAsia" w:ascii="宋体" w:hAnsi="宋体" w:eastAsia="宋体" w:cs="宋体"/>
                <w:b/>
                <w:bCs/>
                <w:color w:val="auto"/>
                <w:szCs w:val="21"/>
              </w:rPr>
              <w:t>序号</w:t>
            </w:r>
          </w:p>
        </w:tc>
        <w:tc>
          <w:tcPr>
            <w:tcW w:w="2127" w:type="pct"/>
            <w:vAlign w:val="center"/>
          </w:tcPr>
          <w:p w14:paraId="71117099">
            <w:pPr>
              <w:jc w:val="center"/>
              <w:rPr>
                <w:rFonts w:hint="eastAsia" w:ascii="宋体" w:hAnsi="宋体" w:eastAsia="宋体" w:cs="宋体"/>
                <w:b/>
                <w:bCs/>
                <w:color w:val="auto"/>
                <w:szCs w:val="21"/>
              </w:rPr>
            </w:pPr>
            <w:r>
              <w:rPr>
                <w:rFonts w:hint="eastAsia" w:ascii="宋体" w:hAnsi="宋体" w:eastAsia="宋体" w:cs="宋体"/>
                <w:b/>
                <w:bCs/>
                <w:color w:val="auto"/>
                <w:szCs w:val="21"/>
              </w:rPr>
              <w:t>教学内容</w:t>
            </w:r>
          </w:p>
        </w:tc>
        <w:tc>
          <w:tcPr>
            <w:tcW w:w="1597" w:type="pct"/>
            <w:vAlign w:val="center"/>
          </w:tcPr>
          <w:p w14:paraId="01DB22DF">
            <w:pPr>
              <w:jc w:val="center"/>
              <w:rPr>
                <w:rFonts w:hint="eastAsia" w:ascii="宋体" w:hAnsi="宋体" w:eastAsia="宋体" w:cs="宋体"/>
                <w:b/>
                <w:bCs/>
                <w:color w:val="auto"/>
                <w:szCs w:val="21"/>
                <w:lang w:val="en-US" w:eastAsia="zh-CN"/>
              </w:rPr>
            </w:pPr>
            <w:r>
              <w:rPr>
                <w:rFonts w:hint="eastAsia" w:ascii="宋体" w:hAnsi="宋体" w:eastAsia="宋体" w:cs="宋体"/>
                <w:b/>
                <w:bCs/>
                <w:color w:val="auto"/>
                <w:szCs w:val="21"/>
              </w:rPr>
              <w:t>预期学习成</w:t>
            </w:r>
            <w:r>
              <w:rPr>
                <w:rFonts w:hint="eastAsia" w:ascii="宋体" w:hAnsi="宋体" w:eastAsia="宋体" w:cs="宋体"/>
                <w:b/>
                <w:bCs/>
                <w:color w:val="auto"/>
                <w:szCs w:val="21"/>
                <w:lang w:val="en-US" w:eastAsia="zh-CN"/>
              </w:rPr>
              <w:t>效</w:t>
            </w:r>
          </w:p>
        </w:tc>
        <w:tc>
          <w:tcPr>
            <w:tcW w:w="391" w:type="pct"/>
            <w:vAlign w:val="center"/>
          </w:tcPr>
          <w:p w14:paraId="6D2E4B37">
            <w:pPr>
              <w:jc w:val="center"/>
              <w:rPr>
                <w:rFonts w:hint="eastAsia" w:ascii="宋体" w:hAnsi="宋体" w:eastAsia="宋体" w:cs="宋体"/>
                <w:b/>
                <w:bCs/>
                <w:color w:val="auto"/>
                <w:szCs w:val="21"/>
              </w:rPr>
            </w:pPr>
            <w:r>
              <w:rPr>
                <w:rFonts w:hint="eastAsia" w:ascii="宋体" w:hAnsi="宋体" w:eastAsia="宋体" w:cs="宋体"/>
                <w:b/>
                <w:bCs/>
                <w:color w:val="auto"/>
                <w:szCs w:val="21"/>
              </w:rPr>
              <w:t>教学学时</w:t>
            </w:r>
          </w:p>
        </w:tc>
        <w:tc>
          <w:tcPr>
            <w:tcW w:w="555" w:type="pct"/>
            <w:vAlign w:val="center"/>
          </w:tcPr>
          <w:p w14:paraId="476C4127">
            <w:pPr>
              <w:jc w:val="center"/>
              <w:rPr>
                <w:rFonts w:hint="eastAsia" w:ascii="宋体" w:hAnsi="宋体" w:eastAsia="宋体" w:cs="宋体"/>
                <w:b/>
                <w:bCs/>
                <w:color w:val="auto"/>
                <w:szCs w:val="21"/>
              </w:rPr>
            </w:pPr>
            <w:r>
              <w:rPr>
                <w:rFonts w:hint="eastAsia" w:ascii="宋体" w:hAnsi="宋体" w:eastAsia="宋体" w:cs="宋体"/>
                <w:b/>
                <w:bCs/>
                <w:color w:val="auto"/>
                <w:szCs w:val="21"/>
              </w:rPr>
              <w:t>教学</w:t>
            </w:r>
          </w:p>
          <w:p w14:paraId="0ABE8F65">
            <w:pPr>
              <w:jc w:val="center"/>
              <w:rPr>
                <w:rFonts w:hint="eastAsia" w:ascii="宋体" w:hAnsi="宋体" w:eastAsia="宋体" w:cs="宋体"/>
                <w:b/>
                <w:bCs/>
                <w:color w:val="auto"/>
                <w:szCs w:val="21"/>
              </w:rPr>
            </w:pPr>
            <w:r>
              <w:rPr>
                <w:rFonts w:hint="eastAsia" w:ascii="宋体" w:hAnsi="宋体" w:eastAsia="宋体" w:cs="宋体"/>
                <w:b/>
                <w:bCs/>
                <w:color w:val="auto"/>
                <w:szCs w:val="21"/>
              </w:rPr>
              <w:t>方式</w:t>
            </w:r>
          </w:p>
        </w:tc>
      </w:tr>
      <w:tr w14:paraId="4A58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8" w:type="pct"/>
            <w:vMerge w:val="restart"/>
            <w:vAlign w:val="center"/>
          </w:tcPr>
          <w:p w14:paraId="46C57B9E">
            <w:pPr>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127" w:type="pct"/>
            <w:vAlign w:val="center"/>
          </w:tcPr>
          <w:p w14:paraId="4A0A1A69">
            <w:pPr>
              <w:keepNext w:val="0"/>
              <w:keepLines w:val="0"/>
              <w:pageBreakBefore w:val="0"/>
              <w:kinsoku/>
              <w:wordWrap/>
              <w:overflowPunct/>
              <w:topLinePunct w:val="0"/>
              <w:bidi w:val="0"/>
              <w:snapToGrid/>
              <w:spacing w:line="240" w:lineRule="auto"/>
              <w:jc w:val="left"/>
              <w:textAlignment w:val="auto"/>
              <w:rPr>
                <w:rFonts w:hint="eastAsia" w:ascii="宋体" w:hAnsi="宋体" w:eastAsia="宋体" w:cs="宋体"/>
                <w:b/>
                <w:color w:val="auto"/>
                <w:szCs w:val="21"/>
              </w:rPr>
            </w:pPr>
            <w:r>
              <w:rPr>
                <w:rFonts w:hint="eastAsia" w:ascii="宋体" w:hAnsi="宋体" w:eastAsia="宋体" w:cs="宋体"/>
                <w:b/>
                <w:color w:val="auto"/>
                <w:szCs w:val="21"/>
              </w:rPr>
              <w:t>㈠体育理论部分:</w:t>
            </w:r>
          </w:p>
          <w:p w14:paraId="3F3D5537">
            <w:pPr>
              <w:keepNext w:val="0"/>
              <w:keepLines w:val="0"/>
              <w:pageBreakBefore w:val="0"/>
              <w:kinsoku/>
              <w:wordWrap/>
              <w:overflowPunct/>
              <w:topLinePunct w:val="0"/>
              <w:bidi w:val="0"/>
              <w:snapToGrid/>
              <w:spacing w:line="240" w:lineRule="auto"/>
              <w:jc w:val="left"/>
              <w:textAlignment w:val="auto"/>
              <w:rPr>
                <w:rFonts w:hint="eastAsia" w:ascii="宋体" w:hAnsi="宋体" w:eastAsia="宋体" w:cs="宋体"/>
                <w:bCs/>
                <w:color w:val="auto"/>
              </w:rPr>
            </w:pPr>
            <w:r>
              <w:rPr>
                <w:rFonts w:hint="eastAsia" w:ascii="宋体" w:hAnsi="宋体" w:eastAsia="宋体" w:cs="宋体"/>
                <w:bCs/>
                <w:color w:val="auto"/>
              </w:rPr>
              <w:t>1.学生思想政治教育：我校体育运动发展概况、国家领导人与体育、奥运明星的励志故事、社会主义核心价值观与体育等；</w:t>
            </w:r>
          </w:p>
          <w:p w14:paraId="78E110F1">
            <w:pPr>
              <w:keepNext w:val="0"/>
              <w:keepLines w:val="0"/>
              <w:pageBreakBefore w:val="0"/>
              <w:kinsoku/>
              <w:wordWrap/>
              <w:overflowPunct/>
              <w:topLinePunct w:val="0"/>
              <w:bidi w:val="0"/>
              <w:snapToGrid/>
              <w:spacing w:line="240" w:lineRule="auto"/>
              <w:textAlignment w:val="auto"/>
              <w:rPr>
                <w:rFonts w:hint="eastAsia" w:ascii="宋体" w:hAnsi="宋体" w:eastAsia="宋体" w:cs="宋体"/>
                <w:bCs/>
                <w:color w:val="auto"/>
              </w:rPr>
            </w:pPr>
            <w:r>
              <w:rPr>
                <w:rFonts w:hint="eastAsia" w:ascii="宋体" w:hAnsi="宋体" w:eastAsia="宋体" w:cs="宋体"/>
                <w:bCs/>
                <w:color w:val="auto"/>
              </w:rPr>
              <w:t>2.体育安全教育：我校体育课堂管理规定、体育运动伤害事故的安全教育及预防与处理措施、常见运动损伤的预防与处理等；</w:t>
            </w:r>
          </w:p>
          <w:p w14:paraId="2CF804C1">
            <w:pPr>
              <w:keepNext w:val="0"/>
              <w:keepLines w:val="0"/>
              <w:pageBreakBefore w:val="0"/>
              <w:kinsoku/>
              <w:wordWrap/>
              <w:overflowPunct/>
              <w:topLinePunct w:val="0"/>
              <w:bidi w:val="0"/>
              <w:snapToGrid/>
              <w:spacing w:line="240" w:lineRule="auto"/>
              <w:textAlignment w:val="auto"/>
              <w:rPr>
                <w:rFonts w:hint="eastAsia" w:ascii="宋体" w:hAnsi="宋体" w:eastAsia="宋体" w:cs="宋体"/>
                <w:color w:val="auto"/>
                <w:szCs w:val="21"/>
              </w:rPr>
            </w:pPr>
            <w:r>
              <w:rPr>
                <w:rFonts w:hint="eastAsia" w:ascii="宋体" w:hAnsi="宋体" w:eastAsia="宋体" w:cs="宋体"/>
                <w:bCs/>
                <w:color w:val="auto"/>
              </w:rPr>
              <w:t>3.体育基本理论：各运动项目的基本技战术知识、组织与竞赛、基本规则和裁判法，大学体育概述、</w:t>
            </w:r>
            <w:r>
              <w:rPr>
                <w:rFonts w:hint="eastAsia" w:ascii="宋体" w:hAnsi="宋体" w:eastAsia="宋体" w:cs="宋体"/>
                <w:color w:val="auto"/>
                <w:szCs w:val="21"/>
              </w:rPr>
              <w:t xml:space="preserve">体育锻炼与健康、体质测量与评价。 </w:t>
            </w:r>
          </w:p>
        </w:tc>
        <w:tc>
          <w:tcPr>
            <w:tcW w:w="1597" w:type="pct"/>
            <w:vAlign w:val="center"/>
          </w:tcPr>
          <w:p w14:paraId="1C956A07">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通过教学，使学生全方位了解我校体育工作、课程学习内容和要求，方便同学办理体育事宜、完成体育学习、发挥体育特长、丰富体育生活、激发学生奋发向上的意志品质和阳光心态；帮助学生树立“健康第一”的观念，养成体育锻炼习惯；培养学生家国情怀、社会责任感和良好的个人品质，发扬体育的力量。</w:t>
            </w:r>
          </w:p>
        </w:tc>
        <w:tc>
          <w:tcPr>
            <w:tcW w:w="391" w:type="pct"/>
            <w:vAlign w:val="center"/>
          </w:tcPr>
          <w:p w14:paraId="62B9CFD8">
            <w:pPr>
              <w:keepNext w:val="0"/>
              <w:keepLines w:val="0"/>
              <w:pageBreakBefore w:val="0"/>
              <w:kinsoku/>
              <w:wordWrap/>
              <w:overflowPunct/>
              <w:topLinePunct w:val="0"/>
              <w:bidi w:val="0"/>
              <w:snapToGrid/>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4</w:t>
            </w:r>
          </w:p>
        </w:tc>
        <w:tc>
          <w:tcPr>
            <w:tcW w:w="555" w:type="pct"/>
            <w:vAlign w:val="center"/>
          </w:tcPr>
          <w:p w14:paraId="2D9DFA56">
            <w:pPr>
              <w:keepNext w:val="0"/>
              <w:keepLines w:val="0"/>
              <w:pageBreakBefore w:val="0"/>
              <w:kinsoku/>
              <w:wordWrap/>
              <w:overflowPunct/>
              <w:topLinePunct w:val="0"/>
              <w:bidi w:val="0"/>
              <w:snapToGrid/>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讲授法</w:t>
            </w:r>
          </w:p>
        </w:tc>
      </w:tr>
      <w:tr w14:paraId="32ED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8" w:type="pct"/>
            <w:vMerge w:val="continue"/>
            <w:vAlign w:val="center"/>
          </w:tcPr>
          <w:p w14:paraId="2414CE7F">
            <w:pPr>
              <w:jc w:val="center"/>
              <w:rPr>
                <w:rFonts w:hint="eastAsia" w:ascii="宋体" w:hAnsi="宋体" w:eastAsia="宋体" w:cs="宋体"/>
                <w:color w:val="auto"/>
                <w:szCs w:val="21"/>
              </w:rPr>
            </w:pPr>
          </w:p>
        </w:tc>
        <w:tc>
          <w:tcPr>
            <w:tcW w:w="4671" w:type="pct"/>
            <w:gridSpan w:val="4"/>
            <w:vAlign w:val="center"/>
          </w:tcPr>
          <w:p w14:paraId="5A48579B">
            <w:pPr>
              <w:keepNext w:val="0"/>
              <w:keepLines w:val="0"/>
              <w:pageBreakBefore w:val="0"/>
              <w:kinsoku/>
              <w:wordWrap/>
              <w:overflowPunct/>
              <w:topLinePunct w:val="0"/>
              <w:bidi w:val="0"/>
              <w:snapToGrid/>
              <w:spacing w:line="240" w:lineRule="auto"/>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课程思政元素：</w:t>
            </w:r>
            <w:r>
              <w:rPr>
                <w:rFonts w:hint="eastAsia" w:ascii="宋体" w:hAnsi="宋体" w:eastAsia="宋体" w:cs="宋体"/>
                <w:color w:val="auto"/>
                <w:kern w:val="0"/>
                <w:szCs w:val="21"/>
              </w:rPr>
              <w:t>理想信念、国家认同和</w:t>
            </w:r>
            <w:r>
              <w:rPr>
                <w:rFonts w:hint="eastAsia" w:ascii="宋体" w:hAnsi="宋体" w:eastAsia="宋体" w:cs="宋体"/>
                <w:color w:val="auto"/>
                <w:szCs w:val="21"/>
              </w:rPr>
              <w:t>社会主义核心价值观等</w:t>
            </w:r>
            <w:r>
              <w:rPr>
                <w:rFonts w:hint="eastAsia" w:ascii="宋体" w:hAnsi="宋体" w:eastAsia="宋体" w:cs="宋体"/>
                <w:color w:val="auto"/>
                <w:kern w:val="0"/>
                <w:szCs w:val="21"/>
              </w:rPr>
              <w:t>教育；健康中国教育。</w:t>
            </w:r>
          </w:p>
        </w:tc>
      </w:tr>
      <w:tr w14:paraId="0ACE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8" w:type="pct"/>
            <w:vMerge w:val="restart"/>
            <w:vAlign w:val="center"/>
          </w:tcPr>
          <w:p w14:paraId="0E458D08">
            <w:pPr>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127" w:type="pct"/>
            <w:vAlign w:val="center"/>
          </w:tcPr>
          <w:p w14:paraId="4522ED13">
            <w:pPr>
              <w:keepNext w:val="0"/>
              <w:keepLines w:val="0"/>
              <w:pageBreakBefore w:val="0"/>
              <w:kinsoku/>
              <w:wordWrap/>
              <w:overflowPunct/>
              <w:topLinePunct w:val="0"/>
              <w:bidi w:val="0"/>
              <w:snapToGrid/>
              <w:spacing w:line="240" w:lineRule="auto"/>
              <w:jc w:val="left"/>
              <w:textAlignment w:val="auto"/>
              <w:rPr>
                <w:rFonts w:hint="eastAsia" w:ascii="宋体" w:hAnsi="宋体" w:eastAsia="宋体" w:cs="宋体"/>
                <w:b/>
                <w:color w:val="auto"/>
                <w:szCs w:val="21"/>
              </w:rPr>
            </w:pPr>
            <w:r>
              <w:rPr>
                <w:rFonts w:hint="eastAsia" w:ascii="宋体" w:hAnsi="宋体" w:eastAsia="宋体" w:cs="宋体"/>
                <w:b/>
                <w:color w:val="auto"/>
                <w:szCs w:val="21"/>
              </w:rPr>
              <w:t>㈡实践部分：</w:t>
            </w:r>
          </w:p>
          <w:p w14:paraId="7B62A544">
            <w:pPr>
              <w:keepNext w:val="0"/>
              <w:keepLines w:val="0"/>
              <w:pageBreakBefore w:val="0"/>
              <w:kinsoku/>
              <w:wordWrap/>
              <w:overflowPunct/>
              <w:topLinePunct w:val="0"/>
              <w:bidi w:val="0"/>
              <w:snapToGrid/>
              <w:spacing w:line="240" w:lineRule="auto"/>
              <w:textAlignment w:val="auto"/>
              <w:rPr>
                <w:rFonts w:hint="eastAsia" w:ascii="宋体" w:hAnsi="宋体" w:eastAsia="宋体" w:cs="宋体"/>
                <w:bCs/>
                <w:color w:val="auto"/>
              </w:rPr>
            </w:pPr>
            <w:r>
              <w:rPr>
                <w:rFonts w:hint="eastAsia" w:ascii="宋体" w:hAnsi="宋体" w:eastAsia="宋体" w:cs="宋体"/>
                <w:bCs/>
                <w:color w:val="auto"/>
              </w:rPr>
              <w:t>1.各运动项目和身体素质为主，主要包括篮球、足球、五人制足球、排球、乒乓球、排舞(女)、武术、散打、健美操(女)、排舞(女)、花样跳绳、飞盘和体育保健等。</w:t>
            </w:r>
          </w:p>
          <w:p w14:paraId="7E34A59B">
            <w:pPr>
              <w:keepNext w:val="0"/>
              <w:keepLines w:val="0"/>
              <w:pageBreakBefore w:val="0"/>
              <w:kinsoku/>
              <w:wordWrap/>
              <w:overflowPunct/>
              <w:topLinePunct w:val="0"/>
              <w:bidi w:val="0"/>
              <w:snapToGrid/>
              <w:spacing w:line="240" w:lineRule="auto"/>
              <w:textAlignment w:val="auto"/>
              <w:rPr>
                <w:rFonts w:hint="eastAsia" w:ascii="宋体" w:hAnsi="宋体" w:eastAsia="宋体" w:cs="宋体"/>
                <w:bCs/>
                <w:color w:val="auto"/>
              </w:rPr>
            </w:pPr>
            <w:r>
              <w:rPr>
                <w:rFonts w:hint="eastAsia" w:ascii="宋体" w:hAnsi="宋体" w:eastAsia="宋体" w:cs="宋体"/>
                <w:bCs/>
                <w:color w:val="auto"/>
              </w:rPr>
              <w:t>2.健康标准测试和发展体能</w:t>
            </w:r>
          </w:p>
        </w:tc>
        <w:tc>
          <w:tcPr>
            <w:tcW w:w="1597" w:type="pct"/>
            <w:vAlign w:val="center"/>
          </w:tcPr>
          <w:p w14:paraId="460B4D28">
            <w:pPr>
              <w:keepNext w:val="0"/>
              <w:keepLines w:val="0"/>
              <w:pageBreakBefore w:val="0"/>
              <w:kinsoku/>
              <w:wordWrap/>
              <w:overflowPunct/>
              <w:topLinePunct w:val="0"/>
              <w:bidi w:val="0"/>
              <w:snapToGrid/>
              <w:spacing w:line="240" w:lineRule="auto"/>
              <w:jc w:val="left"/>
              <w:textAlignment w:val="auto"/>
              <w:rPr>
                <w:rFonts w:hint="eastAsia" w:ascii="宋体" w:hAnsi="宋体" w:eastAsia="宋体" w:cs="宋体"/>
                <w:color w:val="auto"/>
                <w:szCs w:val="21"/>
              </w:rPr>
            </w:pPr>
            <w:r>
              <w:rPr>
                <w:rFonts w:hint="eastAsia" w:ascii="宋体" w:hAnsi="宋体" w:eastAsia="宋体" w:cs="宋体"/>
                <w:color w:val="auto"/>
                <w:szCs w:val="21"/>
              </w:rPr>
              <w:t>通过学习，使学生了解和掌握所选运动项目基本知识、基本技术和锻炼方法；发展身体素质，增强体质；提升人际交往能力，提高竞争、合作意识和社会责任感；遵守规则和诚信自律，形成健康的生活方式和积极进取且充满活力的人生态度。</w:t>
            </w:r>
          </w:p>
        </w:tc>
        <w:tc>
          <w:tcPr>
            <w:tcW w:w="391" w:type="pct"/>
            <w:vAlign w:val="center"/>
          </w:tcPr>
          <w:p w14:paraId="4A0ED103">
            <w:pPr>
              <w:keepNext w:val="0"/>
              <w:keepLines w:val="0"/>
              <w:pageBreakBefore w:val="0"/>
              <w:kinsoku/>
              <w:wordWrap/>
              <w:overflowPunct/>
              <w:topLinePunct w:val="0"/>
              <w:bidi w:val="0"/>
              <w:snapToGrid/>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26</w:t>
            </w:r>
          </w:p>
        </w:tc>
        <w:tc>
          <w:tcPr>
            <w:tcW w:w="555" w:type="pct"/>
            <w:vAlign w:val="center"/>
          </w:tcPr>
          <w:p w14:paraId="2BD64819">
            <w:pPr>
              <w:keepNext w:val="0"/>
              <w:keepLines w:val="0"/>
              <w:pageBreakBefore w:val="0"/>
              <w:kinsoku/>
              <w:wordWrap/>
              <w:overflowPunct/>
              <w:topLinePunct w:val="0"/>
              <w:bidi w:val="0"/>
              <w:snapToGrid/>
              <w:spacing w:line="240" w:lineRule="auto"/>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rPr>
              <w:t>讲授</w:t>
            </w:r>
            <w:r>
              <w:rPr>
                <w:rFonts w:hint="eastAsia" w:ascii="宋体" w:hAnsi="宋体" w:eastAsia="宋体" w:cs="宋体"/>
                <w:color w:val="auto"/>
                <w:szCs w:val="21"/>
                <w:lang w:val="en-US" w:eastAsia="zh-CN"/>
              </w:rPr>
              <w:t>法</w:t>
            </w:r>
          </w:p>
          <w:p w14:paraId="63B173BF">
            <w:pPr>
              <w:keepNext w:val="0"/>
              <w:keepLines w:val="0"/>
              <w:pageBreakBefore w:val="0"/>
              <w:kinsoku/>
              <w:wordWrap/>
              <w:overflowPunct/>
              <w:topLinePunct w:val="0"/>
              <w:bidi w:val="0"/>
              <w:snapToGrid/>
              <w:spacing w:line="240" w:lineRule="auto"/>
              <w:jc w:val="center"/>
              <w:textAlignment w:val="auto"/>
              <w:rPr>
                <w:rFonts w:hint="eastAsia" w:ascii="宋体" w:hAnsi="宋体" w:eastAsia="宋体" w:cs="宋体"/>
                <w:color w:val="auto"/>
                <w:szCs w:val="21"/>
                <w:lang w:eastAsia="zh-CN"/>
              </w:rPr>
            </w:pPr>
            <w:r>
              <w:rPr>
                <w:rFonts w:hint="eastAsia" w:ascii="宋体" w:hAnsi="宋体" w:eastAsia="宋体" w:cs="宋体"/>
                <w:color w:val="auto"/>
                <w:szCs w:val="21"/>
              </w:rPr>
              <w:t>演示</w:t>
            </w:r>
            <w:r>
              <w:rPr>
                <w:rFonts w:hint="eastAsia" w:ascii="宋体" w:hAnsi="宋体" w:eastAsia="宋体" w:cs="宋体"/>
                <w:color w:val="auto"/>
                <w:szCs w:val="21"/>
                <w:lang w:val="en-US" w:eastAsia="zh-CN"/>
              </w:rPr>
              <w:t>法</w:t>
            </w:r>
          </w:p>
          <w:p w14:paraId="728A1BE5">
            <w:pPr>
              <w:keepNext w:val="0"/>
              <w:keepLines w:val="0"/>
              <w:pageBreakBefore w:val="0"/>
              <w:kinsoku/>
              <w:wordWrap/>
              <w:overflowPunct/>
              <w:topLinePunct w:val="0"/>
              <w:bidi w:val="0"/>
              <w:snapToGrid/>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练习法</w:t>
            </w:r>
          </w:p>
        </w:tc>
      </w:tr>
      <w:tr w14:paraId="316D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8" w:type="pct"/>
            <w:vMerge w:val="continue"/>
            <w:vAlign w:val="center"/>
          </w:tcPr>
          <w:p w14:paraId="2A5A457B">
            <w:pPr>
              <w:jc w:val="center"/>
              <w:rPr>
                <w:rFonts w:hint="eastAsia" w:ascii="宋体" w:hAnsi="宋体" w:eastAsia="宋体" w:cs="宋体"/>
                <w:color w:val="auto"/>
                <w:szCs w:val="21"/>
              </w:rPr>
            </w:pPr>
          </w:p>
        </w:tc>
        <w:tc>
          <w:tcPr>
            <w:tcW w:w="4671" w:type="pct"/>
            <w:gridSpan w:val="4"/>
            <w:vAlign w:val="center"/>
          </w:tcPr>
          <w:p w14:paraId="6DDEE5D2">
            <w:pPr>
              <w:keepNext w:val="0"/>
              <w:keepLines w:val="0"/>
              <w:pageBreakBefore w:val="0"/>
              <w:kinsoku/>
              <w:wordWrap/>
              <w:overflowPunct/>
              <w:topLinePunct w:val="0"/>
              <w:bidi w:val="0"/>
              <w:snapToGrid/>
              <w:spacing w:line="240" w:lineRule="auto"/>
              <w:jc w:val="left"/>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课程思政元素：</w:t>
            </w:r>
            <w:r>
              <w:rPr>
                <w:rFonts w:hint="eastAsia" w:ascii="宋体" w:hAnsi="宋体" w:eastAsia="宋体" w:cs="宋体"/>
                <w:color w:val="auto"/>
                <w:kern w:val="0"/>
                <w:szCs w:val="21"/>
              </w:rPr>
              <w:t>爱国主义和集体主义教育；体育道德观、意志品德培育；遵纪守则和诚信意识教育。</w:t>
            </w:r>
          </w:p>
        </w:tc>
      </w:tr>
    </w:tbl>
    <w:p w14:paraId="24BFFD05">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四、课程实施</w:t>
      </w:r>
    </w:p>
    <w:p w14:paraId="3A1113B1">
      <w:pPr>
        <w:spacing w:line="360" w:lineRule="auto"/>
        <w:ind w:firstLine="422" w:firstLineChars="200"/>
        <w:jc w:val="left"/>
        <w:rPr>
          <w:rFonts w:hint="eastAsia" w:ascii="宋体" w:hAnsi="宋体" w:eastAsia="宋体" w:cs="宋体"/>
          <w:b/>
          <w:color w:val="auto"/>
          <w:sz w:val="21"/>
          <w:szCs w:val="21"/>
        </w:rPr>
      </w:pPr>
      <w:r>
        <w:rPr>
          <w:rFonts w:hint="eastAsia" w:ascii="宋体" w:hAnsi="宋体" w:eastAsia="宋体" w:cs="宋体"/>
          <w:b/>
          <w:color w:val="auto"/>
          <w:sz w:val="21"/>
          <w:szCs w:val="21"/>
        </w:rPr>
        <w:t>（一）教学方法与手段</w:t>
      </w:r>
    </w:p>
    <w:p w14:paraId="783D9DE1">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 xml:space="preserve">1．本课程以实践教学为主，教学方法与手段的运用要考虑到学生的实际情况，从实际出发，因材施教，注意区别对待，激发学生学习兴趣，着重培养学生自学、自练、自评、互评等能力。  </w:t>
      </w:r>
    </w:p>
    <w:p w14:paraId="632F0A32">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2．教学方法与手段的运用合理，注意防止伤害事故发生，重视学生自我保护能力培养。 </w:t>
      </w:r>
    </w:p>
    <w:p w14:paraId="0D0A5BA7">
      <w:pPr>
        <w:spacing w:line="360" w:lineRule="auto"/>
        <w:ind w:firstLine="420" w:firstLineChars="200"/>
        <w:jc w:val="left"/>
        <w:rPr>
          <w:rFonts w:hint="eastAsia" w:ascii="宋体" w:hAnsi="宋体" w:eastAsia="宋体" w:cs="宋体"/>
          <w:color w:val="auto"/>
          <w:sz w:val="24"/>
        </w:rPr>
      </w:pPr>
      <w:r>
        <w:rPr>
          <w:rFonts w:hint="eastAsia" w:ascii="宋体" w:hAnsi="宋体" w:eastAsia="宋体" w:cs="宋体"/>
          <w:color w:val="auto"/>
          <w:sz w:val="21"/>
          <w:szCs w:val="21"/>
        </w:rPr>
        <w:t>3．针对体育教学的特点，本课程将采用：讲解法、示范法、完整法、分解法、集体练习、小组练习等教学方法，并利用多媒体教学方式，提高学生的欣赏能力、让学生更加深刻的了解所学项目</w:t>
      </w:r>
      <w:r>
        <w:rPr>
          <w:rFonts w:hint="eastAsia" w:ascii="宋体" w:hAnsi="宋体" w:eastAsia="宋体" w:cs="宋体"/>
          <w:color w:val="auto"/>
          <w:sz w:val="24"/>
        </w:rPr>
        <w:t>。</w:t>
      </w:r>
    </w:p>
    <w:p w14:paraId="1950C7FB">
      <w:pPr>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（二）课程实施与保障</w:t>
      </w:r>
    </w:p>
    <w:tbl>
      <w:tblPr>
        <w:tblStyle w:val="15"/>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991"/>
        <w:gridCol w:w="6781"/>
      </w:tblGrid>
      <w:tr w14:paraId="6D40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0" w:type="dxa"/>
            <w:gridSpan w:val="2"/>
            <w:tcBorders>
              <w:top w:val="single" w:color="auto" w:sz="8" w:space="0"/>
              <w:left w:val="single" w:color="auto" w:sz="8" w:space="0"/>
              <w:right w:val="single" w:color="auto" w:sz="8" w:space="0"/>
            </w:tcBorders>
            <w:tcMar>
              <w:left w:w="28" w:type="dxa"/>
              <w:right w:w="28" w:type="dxa"/>
            </w:tcMar>
            <w:vAlign w:val="center"/>
          </w:tcPr>
          <w:p w14:paraId="7B282D3B">
            <w:pPr>
              <w:spacing w:line="240" w:lineRule="auto"/>
              <w:jc w:val="center"/>
              <w:rPr>
                <w:rFonts w:hint="eastAsia" w:ascii="宋体" w:hAnsi="宋体" w:eastAsia="宋体" w:cs="宋体"/>
                <w:color w:val="auto"/>
                <w:sz w:val="21"/>
                <w:szCs w:val="21"/>
              </w:rPr>
            </w:pPr>
            <w:r>
              <w:rPr>
                <w:rFonts w:hint="eastAsia" w:ascii="宋体" w:hAnsi="宋体" w:eastAsia="宋体" w:cs="宋体"/>
                <w:b/>
                <w:bCs/>
                <w:color w:val="auto"/>
                <w:sz w:val="21"/>
                <w:szCs w:val="21"/>
              </w:rPr>
              <w:t>主要教学环节</w:t>
            </w:r>
          </w:p>
        </w:tc>
        <w:tc>
          <w:tcPr>
            <w:tcW w:w="6781" w:type="dxa"/>
            <w:tcBorders>
              <w:top w:val="single" w:color="auto" w:sz="8" w:space="0"/>
              <w:left w:val="single" w:color="auto" w:sz="8" w:space="0"/>
              <w:right w:val="single" w:color="auto" w:sz="8" w:space="0"/>
            </w:tcBorders>
            <w:vAlign w:val="center"/>
          </w:tcPr>
          <w:p w14:paraId="580D55E0">
            <w:pPr>
              <w:spacing w:line="240" w:lineRule="auto"/>
              <w:jc w:val="center"/>
              <w:rPr>
                <w:rFonts w:hint="eastAsia" w:ascii="宋体" w:hAnsi="宋体" w:eastAsia="宋体" w:cs="宋体"/>
                <w:color w:val="auto"/>
                <w:sz w:val="21"/>
                <w:szCs w:val="21"/>
              </w:rPr>
            </w:pPr>
            <w:r>
              <w:rPr>
                <w:rFonts w:hint="eastAsia" w:ascii="宋体" w:hAnsi="宋体" w:eastAsia="宋体" w:cs="宋体"/>
                <w:b/>
                <w:bCs/>
                <w:color w:val="auto"/>
                <w:sz w:val="21"/>
                <w:szCs w:val="21"/>
              </w:rPr>
              <w:t>质量要求</w:t>
            </w:r>
          </w:p>
        </w:tc>
      </w:tr>
      <w:tr w14:paraId="2631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left w:val="single" w:color="auto" w:sz="8" w:space="0"/>
            </w:tcBorders>
            <w:vAlign w:val="center"/>
          </w:tcPr>
          <w:p w14:paraId="33DE955D">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991" w:type="dxa"/>
            <w:tcMar>
              <w:left w:w="28" w:type="dxa"/>
              <w:right w:w="28" w:type="dxa"/>
            </w:tcMar>
            <w:vAlign w:val="center"/>
          </w:tcPr>
          <w:p w14:paraId="6D5AAEA6">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备课</w:t>
            </w:r>
          </w:p>
        </w:tc>
        <w:tc>
          <w:tcPr>
            <w:tcW w:w="6781" w:type="dxa"/>
            <w:tcBorders>
              <w:right w:val="single" w:color="auto" w:sz="8" w:space="0"/>
            </w:tcBorders>
            <w:vAlign w:val="center"/>
          </w:tcPr>
          <w:p w14:paraId="33F3DA8B">
            <w:pPr>
              <w:autoSpaceDE w:val="0"/>
              <w:autoSpaceDN w:val="0"/>
              <w:adjustRightInd w:val="0"/>
              <w:snapToGrid w:val="0"/>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1.掌握本课程教学大纲内容，严格按照教学大纲要求进行本课程教学内容的组织；</w:t>
            </w:r>
          </w:p>
          <w:p w14:paraId="1DE8102C">
            <w:pPr>
              <w:autoSpaceDE w:val="0"/>
              <w:autoSpaceDN w:val="0"/>
              <w:adjustRightInd w:val="0"/>
              <w:snapToGrid w:val="0"/>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2.熟悉教材各章节，借助相关专业书籍资料，并依据教学大纲编写授课计划；</w:t>
            </w:r>
          </w:p>
          <w:p w14:paraId="2F70944D">
            <w:pPr>
              <w:autoSpaceDE w:val="0"/>
              <w:autoSpaceDN w:val="0"/>
              <w:adjustRightInd w:val="0"/>
              <w:snapToGrid w:val="0"/>
              <w:spacing w:line="240" w:lineRule="auto"/>
              <w:jc w:val="left"/>
              <w:rPr>
                <w:rFonts w:hint="eastAsia" w:ascii="宋体" w:hAnsi="宋体" w:eastAsia="宋体" w:cs="宋体"/>
                <w:color w:val="auto"/>
                <w:spacing w:val="-8"/>
                <w:kern w:val="0"/>
                <w:sz w:val="21"/>
                <w:szCs w:val="21"/>
              </w:rPr>
            </w:pPr>
            <w:r>
              <w:rPr>
                <w:rFonts w:hint="eastAsia" w:ascii="宋体" w:hAnsi="宋体" w:eastAsia="宋体" w:cs="宋体"/>
                <w:color w:val="auto"/>
                <w:spacing w:val="-8"/>
                <w:kern w:val="0"/>
                <w:sz w:val="21"/>
                <w:szCs w:val="21"/>
              </w:rPr>
              <w:t xml:space="preserve">3.结合课程特点，制作课件，运用多媒体教学手段讲授部分教学内容； </w:t>
            </w:r>
          </w:p>
          <w:p w14:paraId="7E8D075D">
            <w:pPr>
              <w:autoSpaceDE w:val="0"/>
              <w:autoSpaceDN w:val="0"/>
              <w:adjustRightInd w:val="0"/>
              <w:snapToGrid w:val="0"/>
              <w:spacing w:line="240" w:lineRule="auto"/>
              <w:jc w:val="left"/>
              <w:rPr>
                <w:rFonts w:hint="eastAsia" w:ascii="宋体" w:hAnsi="宋体" w:eastAsia="宋体" w:cs="宋体"/>
                <w:color w:val="auto"/>
                <w:sz w:val="21"/>
                <w:szCs w:val="21"/>
              </w:rPr>
            </w:pPr>
            <w:r>
              <w:rPr>
                <w:rFonts w:hint="eastAsia" w:ascii="宋体" w:hAnsi="宋体" w:eastAsia="宋体" w:cs="宋体"/>
                <w:color w:val="auto"/>
                <w:kern w:val="0"/>
                <w:sz w:val="21"/>
                <w:szCs w:val="21"/>
              </w:rPr>
              <w:t>4.确定各章节课程内容的教学方法，构思授课思路、技巧和方法。</w:t>
            </w:r>
          </w:p>
        </w:tc>
      </w:tr>
      <w:tr w14:paraId="64D2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left w:val="single" w:color="auto" w:sz="8" w:space="0"/>
            </w:tcBorders>
            <w:vAlign w:val="center"/>
          </w:tcPr>
          <w:p w14:paraId="3A0AE8DC">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991" w:type="dxa"/>
            <w:tcMar>
              <w:left w:w="28" w:type="dxa"/>
              <w:right w:w="28" w:type="dxa"/>
            </w:tcMar>
            <w:vAlign w:val="center"/>
          </w:tcPr>
          <w:p w14:paraId="5D9F804A">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讲授</w:t>
            </w:r>
          </w:p>
        </w:tc>
        <w:tc>
          <w:tcPr>
            <w:tcW w:w="6781" w:type="dxa"/>
            <w:tcBorders>
              <w:right w:val="single" w:color="auto" w:sz="8" w:space="0"/>
            </w:tcBorders>
            <w:vAlign w:val="center"/>
          </w:tcPr>
          <w:p w14:paraId="46229721">
            <w:pPr>
              <w:autoSpaceDE w:val="0"/>
              <w:autoSpaceDN w:val="0"/>
              <w:adjustRightInd w:val="0"/>
              <w:snapToGrid w:val="0"/>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r>
              <w:rPr>
                <w:rFonts w:hint="eastAsia" w:ascii="宋体" w:hAnsi="宋体" w:eastAsia="宋体" w:cs="宋体"/>
                <w:color w:val="auto"/>
                <w:sz w:val="21"/>
                <w:szCs w:val="21"/>
              </w:rPr>
              <w:t>满足需要，发展个性；</w:t>
            </w:r>
            <w:r>
              <w:rPr>
                <w:rFonts w:hint="eastAsia" w:ascii="宋体" w:hAnsi="宋体" w:eastAsia="宋体" w:cs="宋体"/>
                <w:color w:val="auto"/>
                <w:kern w:val="0"/>
                <w:sz w:val="21"/>
                <w:szCs w:val="21"/>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64ABF9C3">
            <w:pPr>
              <w:autoSpaceDE w:val="0"/>
              <w:autoSpaceDN w:val="0"/>
              <w:adjustRightInd w:val="0"/>
              <w:snapToGrid w:val="0"/>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2.采用多种教学方式（如启发式教学、导学式、发现式等），精讲多练，培养学生自学、自练、自评、互评等能力。</w:t>
            </w:r>
          </w:p>
          <w:p w14:paraId="267609DD">
            <w:pPr>
              <w:autoSpaceDE w:val="0"/>
              <w:autoSpaceDN w:val="0"/>
              <w:adjustRightInd w:val="0"/>
              <w:snapToGrid w:val="0"/>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0F9D7825">
            <w:pPr>
              <w:autoSpaceDE w:val="0"/>
              <w:autoSpaceDN w:val="0"/>
              <w:adjustRightInd w:val="0"/>
              <w:snapToGrid w:val="0"/>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4.区别对待，因材施教。重视安全和关心基础较差的学生成长。</w:t>
            </w:r>
          </w:p>
          <w:p w14:paraId="367B8B41">
            <w:pPr>
              <w:autoSpaceDE w:val="0"/>
              <w:autoSpaceDN w:val="0"/>
              <w:adjustRightInd w:val="0"/>
              <w:snapToGrid w:val="0"/>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5.教学中教师要以身作则，言传身教，做到既教学又育人。培养学生的优良品质，达到身心全面发展。</w:t>
            </w:r>
          </w:p>
        </w:tc>
      </w:tr>
      <w:tr w14:paraId="4800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left w:val="single" w:color="auto" w:sz="8" w:space="0"/>
            </w:tcBorders>
            <w:vAlign w:val="center"/>
          </w:tcPr>
          <w:p w14:paraId="070AC3E2">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991" w:type="dxa"/>
            <w:tcMar>
              <w:left w:w="28" w:type="dxa"/>
              <w:right w:w="28" w:type="dxa"/>
            </w:tcMar>
            <w:vAlign w:val="center"/>
          </w:tcPr>
          <w:p w14:paraId="40E26016">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课外练习</w:t>
            </w:r>
          </w:p>
        </w:tc>
        <w:tc>
          <w:tcPr>
            <w:tcW w:w="6781" w:type="dxa"/>
            <w:tcBorders>
              <w:right w:val="single" w:color="auto" w:sz="8" w:space="0"/>
            </w:tcBorders>
            <w:vAlign w:val="center"/>
          </w:tcPr>
          <w:p w14:paraId="2C00F6E3">
            <w:pPr>
              <w:autoSpaceDE w:val="0"/>
              <w:autoSpaceDN w:val="0"/>
              <w:adjustRightInd w:val="0"/>
              <w:snapToGrid w:val="0"/>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课外练习是教师布置课外练习内容，重点要求学生利用课余时间巩固课堂上所学的技术动作，形成正确的动力定型，同时要求学生加强身体素质练习。</w:t>
            </w:r>
          </w:p>
        </w:tc>
      </w:tr>
      <w:tr w14:paraId="6798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left w:val="single" w:color="auto" w:sz="8" w:space="0"/>
            </w:tcBorders>
            <w:vAlign w:val="center"/>
          </w:tcPr>
          <w:p w14:paraId="2143EE71">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991" w:type="dxa"/>
            <w:tcMar>
              <w:left w:w="28" w:type="dxa"/>
              <w:right w:w="28" w:type="dxa"/>
            </w:tcMar>
            <w:vAlign w:val="center"/>
          </w:tcPr>
          <w:p w14:paraId="3624C787">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成绩考核</w:t>
            </w:r>
          </w:p>
        </w:tc>
        <w:tc>
          <w:tcPr>
            <w:tcW w:w="6781" w:type="dxa"/>
            <w:tcBorders>
              <w:right w:val="single" w:color="auto" w:sz="8" w:space="0"/>
            </w:tcBorders>
            <w:vAlign w:val="center"/>
          </w:tcPr>
          <w:p w14:paraId="11E28CD5">
            <w:pPr>
              <w:autoSpaceDE w:val="0"/>
              <w:autoSpaceDN w:val="0"/>
              <w:adjustRightInd w:val="0"/>
              <w:snapToGrid w:val="0"/>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本课程考核的方式：考试。总评成绩的评定见课程评分方案。有下列情况之一者，总评成绩为不及格：</w:t>
            </w:r>
          </w:p>
          <w:p w14:paraId="195D201F">
            <w:pPr>
              <w:autoSpaceDE w:val="0"/>
              <w:autoSpaceDN w:val="0"/>
              <w:adjustRightInd w:val="0"/>
              <w:snapToGrid w:val="0"/>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1.课外体育锻炼不合格者；</w:t>
            </w:r>
          </w:p>
          <w:p w14:paraId="025B7131">
            <w:pPr>
              <w:autoSpaceDE w:val="0"/>
              <w:autoSpaceDN w:val="0"/>
              <w:adjustRightInd w:val="0"/>
              <w:snapToGrid w:val="0"/>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2.缺课次数达本学期总授课学时的1/3以上者；</w:t>
            </w:r>
          </w:p>
        </w:tc>
      </w:tr>
    </w:tbl>
    <w:p w14:paraId="11A08901">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五、课程考核</w:t>
      </w:r>
    </w:p>
    <w:p w14:paraId="36CEE1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（一）课程考核由期末考试和平时考核构成，期末考试采用随堂方式。</w:t>
      </w:r>
    </w:p>
    <w:p w14:paraId="558558A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（二）课程总评成绩=平时成绩50%+期末考试50%，平时成绩=课堂表现10%+课外锻炼20%+体质测试20%。</w:t>
      </w:r>
    </w:p>
    <w:p w14:paraId="3B7716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具体内容和比例如表所示：</w:t>
      </w:r>
    </w:p>
    <w:p w14:paraId="1A2CCE1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p>
    <w:tbl>
      <w:tblPr>
        <w:tblStyle w:val="15"/>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86"/>
        <w:gridCol w:w="1310"/>
      </w:tblGrid>
      <w:tr w14:paraId="0A24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tcMar>
              <w:left w:w="57" w:type="dxa"/>
              <w:right w:w="57" w:type="dxa"/>
            </w:tcMar>
            <w:vAlign w:val="center"/>
          </w:tcPr>
          <w:p w14:paraId="2E0DAF3F">
            <w:pPr>
              <w:jc w:val="center"/>
              <w:rPr>
                <w:rFonts w:hint="eastAsia" w:ascii="宋体" w:hAnsi="宋体" w:eastAsia="宋体" w:cs="宋体"/>
                <w:color w:val="auto"/>
                <w:szCs w:val="21"/>
              </w:rPr>
            </w:pPr>
            <w:r>
              <w:rPr>
                <w:rFonts w:hint="eastAsia" w:ascii="宋体" w:hAnsi="宋体" w:eastAsia="宋体" w:cs="宋体"/>
                <w:color w:val="auto"/>
                <w:szCs w:val="21"/>
              </w:rPr>
              <w:t>成绩组成</w:t>
            </w:r>
          </w:p>
        </w:tc>
        <w:tc>
          <w:tcPr>
            <w:tcW w:w="1301" w:type="dxa"/>
            <w:shd w:val="clear" w:color="auto" w:fill="FFFFFF"/>
            <w:vAlign w:val="center"/>
          </w:tcPr>
          <w:p w14:paraId="136EB35C">
            <w:pPr>
              <w:jc w:val="center"/>
              <w:rPr>
                <w:rFonts w:hint="eastAsia" w:ascii="宋体" w:hAnsi="宋体" w:eastAsia="宋体" w:cs="宋体"/>
                <w:color w:val="auto"/>
                <w:szCs w:val="21"/>
              </w:rPr>
            </w:pPr>
            <w:r>
              <w:rPr>
                <w:rFonts w:hint="eastAsia" w:ascii="宋体" w:hAnsi="宋体" w:eastAsia="宋体" w:cs="宋体"/>
                <w:color w:val="auto"/>
                <w:szCs w:val="21"/>
              </w:rPr>
              <w:t>考核/评价环节</w:t>
            </w:r>
          </w:p>
        </w:tc>
        <w:tc>
          <w:tcPr>
            <w:tcW w:w="741" w:type="dxa"/>
            <w:shd w:val="clear" w:color="auto" w:fill="FFFFFF"/>
            <w:vAlign w:val="center"/>
          </w:tcPr>
          <w:p w14:paraId="163AAAC2">
            <w:pPr>
              <w:jc w:val="center"/>
              <w:rPr>
                <w:rFonts w:hint="eastAsia" w:ascii="宋体" w:hAnsi="宋体" w:eastAsia="宋体" w:cs="宋体"/>
                <w:color w:val="auto"/>
                <w:szCs w:val="21"/>
              </w:rPr>
            </w:pPr>
            <w:r>
              <w:rPr>
                <w:rFonts w:hint="eastAsia" w:ascii="宋体" w:hAnsi="宋体" w:eastAsia="宋体" w:cs="宋体"/>
                <w:color w:val="auto"/>
                <w:szCs w:val="21"/>
              </w:rPr>
              <w:t>权重</w:t>
            </w:r>
          </w:p>
        </w:tc>
        <w:tc>
          <w:tcPr>
            <w:tcW w:w="4086" w:type="dxa"/>
            <w:shd w:val="clear" w:color="auto" w:fill="FFFFFF"/>
            <w:vAlign w:val="center"/>
          </w:tcPr>
          <w:p w14:paraId="75043C00">
            <w:pPr>
              <w:jc w:val="center"/>
              <w:rPr>
                <w:rFonts w:hint="eastAsia" w:ascii="宋体" w:hAnsi="宋体" w:eastAsia="宋体" w:cs="宋体"/>
                <w:color w:val="auto"/>
                <w:szCs w:val="21"/>
              </w:rPr>
            </w:pPr>
            <w:r>
              <w:rPr>
                <w:rFonts w:hint="eastAsia" w:ascii="宋体" w:hAnsi="宋体" w:eastAsia="宋体" w:cs="宋体"/>
                <w:color w:val="auto"/>
                <w:szCs w:val="21"/>
              </w:rPr>
              <w:t>考核/评价细则</w:t>
            </w:r>
          </w:p>
        </w:tc>
        <w:tc>
          <w:tcPr>
            <w:tcW w:w="1310" w:type="dxa"/>
            <w:shd w:val="clear" w:color="auto" w:fill="FFFFFF"/>
            <w:vAlign w:val="center"/>
          </w:tcPr>
          <w:p w14:paraId="4696F675">
            <w:pPr>
              <w:jc w:val="center"/>
              <w:rPr>
                <w:rFonts w:hint="eastAsia" w:ascii="宋体" w:hAnsi="宋体" w:eastAsia="宋体" w:cs="宋体"/>
                <w:color w:val="auto"/>
                <w:szCs w:val="21"/>
              </w:rPr>
            </w:pPr>
            <w:r>
              <w:rPr>
                <w:rFonts w:hint="eastAsia" w:ascii="宋体" w:hAnsi="宋体" w:eastAsia="宋体" w:cs="宋体"/>
                <w:color w:val="auto"/>
                <w:szCs w:val="21"/>
              </w:rPr>
              <w:t>对应的毕业要求指标点</w:t>
            </w:r>
          </w:p>
        </w:tc>
      </w:tr>
      <w:tr w14:paraId="4DD7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tcMar>
              <w:left w:w="57" w:type="dxa"/>
              <w:right w:w="57" w:type="dxa"/>
            </w:tcMar>
            <w:vAlign w:val="center"/>
          </w:tcPr>
          <w:p w14:paraId="47FE4F1B">
            <w:pPr>
              <w:jc w:val="center"/>
              <w:rPr>
                <w:rFonts w:hint="eastAsia" w:ascii="宋体" w:hAnsi="宋体" w:eastAsia="宋体" w:cs="宋体"/>
                <w:color w:val="auto"/>
                <w:szCs w:val="21"/>
              </w:rPr>
            </w:pPr>
            <w:r>
              <w:rPr>
                <w:rFonts w:hint="eastAsia" w:ascii="宋体" w:hAnsi="宋体" w:eastAsia="宋体" w:cs="宋体"/>
                <w:color w:val="auto"/>
                <w:szCs w:val="21"/>
              </w:rPr>
              <w:t>平时成绩</w:t>
            </w:r>
          </w:p>
          <w:p w14:paraId="73219482">
            <w:pPr>
              <w:jc w:val="center"/>
              <w:rPr>
                <w:rFonts w:hint="eastAsia" w:ascii="宋体" w:hAnsi="宋体" w:eastAsia="宋体" w:cs="宋体"/>
                <w:color w:val="auto"/>
                <w:szCs w:val="21"/>
              </w:rPr>
            </w:pPr>
            <w:r>
              <w:rPr>
                <w:rFonts w:hint="eastAsia" w:ascii="宋体" w:hAnsi="宋体" w:eastAsia="宋体" w:cs="宋体"/>
                <w:color w:val="auto"/>
                <w:szCs w:val="21"/>
              </w:rPr>
              <w:t>50%</w:t>
            </w:r>
          </w:p>
        </w:tc>
        <w:tc>
          <w:tcPr>
            <w:tcW w:w="1301" w:type="dxa"/>
            <w:vAlign w:val="center"/>
          </w:tcPr>
          <w:p w14:paraId="6A42E09D">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课堂表现</w:t>
            </w:r>
          </w:p>
        </w:tc>
        <w:tc>
          <w:tcPr>
            <w:tcW w:w="741" w:type="dxa"/>
            <w:vAlign w:val="center"/>
          </w:tcPr>
          <w:p w14:paraId="25C28C4E">
            <w:pPr>
              <w:rPr>
                <w:rFonts w:hint="eastAsia" w:ascii="宋体" w:hAnsi="宋体" w:eastAsia="宋体" w:cs="宋体"/>
                <w:color w:val="auto"/>
                <w:szCs w:val="21"/>
              </w:rPr>
            </w:pPr>
            <w:r>
              <w:rPr>
                <w:rFonts w:hint="eastAsia" w:ascii="宋体" w:hAnsi="宋体" w:eastAsia="宋体" w:cs="宋体"/>
                <w:color w:val="auto"/>
                <w:szCs w:val="21"/>
              </w:rPr>
              <w:t xml:space="preserve"> 10%</w:t>
            </w:r>
          </w:p>
        </w:tc>
        <w:tc>
          <w:tcPr>
            <w:tcW w:w="4086" w:type="dxa"/>
            <w:vAlign w:val="center"/>
          </w:tcPr>
          <w:p w14:paraId="64D8F48F">
            <w:pPr>
              <w:spacing w:line="320" w:lineRule="exact"/>
              <w:jc w:val="left"/>
              <w:rPr>
                <w:rFonts w:hint="eastAsia" w:ascii="宋体" w:hAnsi="宋体" w:eastAsia="宋体" w:cs="宋体"/>
                <w:color w:val="auto"/>
                <w:sz w:val="24"/>
              </w:rPr>
            </w:pPr>
            <w:r>
              <w:rPr>
                <w:rFonts w:hint="eastAsia" w:ascii="宋体" w:hAnsi="宋体" w:eastAsia="宋体" w:cs="宋体"/>
                <w:bCs/>
                <w:color w:val="auto"/>
                <w:kern w:val="24"/>
                <w:szCs w:val="21"/>
              </w:rPr>
              <w:t>课堂整队点名，考核</w:t>
            </w:r>
            <w:r>
              <w:rPr>
                <w:rFonts w:hint="eastAsia" w:ascii="宋体" w:hAnsi="宋体" w:eastAsia="宋体" w:cs="宋体"/>
                <w:color w:val="auto"/>
                <w:szCs w:val="21"/>
              </w:rPr>
              <w:t>能否按时到勤，旷课一次扣20分，迟到与早退等一次扣10分。</w:t>
            </w:r>
          </w:p>
        </w:tc>
        <w:tc>
          <w:tcPr>
            <w:tcW w:w="1310" w:type="dxa"/>
            <w:vAlign w:val="center"/>
          </w:tcPr>
          <w:p w14:paraId="5AA6F395">
            <w:pPr>
              <w:jc w:val="center"/>
              <w:rPr>
                <w:rFonts w:hint="default" w:ascii="宋体" w:hAnsi="宋体" w:eastAsia="宋体" w:cs="宋体"/>
                <w:color w:val="auto"/>
                <w:szCs w:val="21"/>
                <w:lang w:val="en-US" w:eastAsia="zh-CN"/>
              </w:rPr>
            </w:pPr>
            <w:r>
              <w:rPr>
                <w:rFonts w:hint="eastAsia" w:ascii="宋体" w:hAnsi="宋体" w:eastAsia="宋体" w:cs="宋体"/>
                <w:bCs/>
                <w:color w:val="auto"/>
                <w:szCs w:val="21"/>
                <w:lang w:val="en-US" w:eastAsia="zh-CN"/>
              </w:rPr>
              <w:t>2、6</w:t>
            </w:r>
          </w:p>
        </w:tc>
      </w:tr>
      <w:tr w14:paraId="5A9C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tcMar>
              <w:left w:w="57" w:type="dxa"/>
              <w:right w:w="57" w:type="dxa"/>
            </w:tcMar>
            <w:vAlign w:val="center"/>
          </w:tcPr>
          <w:p w14:paraId="7CF59802">
            <w:pPr>
              <w:jc w:val="center"/>
              <w:rPr>
                <w:rFonts w:hint="eastAsia" w:ascii="宋体" w:hAnsi="宋体" w:eastAsia="宋体" w:cs="宋体"/>
                <w:color w:val="auto"/>
                <w:szCs w:val="21"/>
              </w:rPr>
            </w:pPr>
          </w:p>
        </w:tc>
        <w:tc>
          <w:tcPr>
            <w:tcW w:w="1301" w:type="dxa"/>
            <w:vAlign w:val="center"/>
          </w:tcPr>
          <w:p w14:paraId="6923D691">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课外锻炼</w:t>
            </w:r>
          </w:p>
        </w:tc>
        <w:tc>
          <w:tcPr>
            <w:tcW w:w="741" w:type="dxa"/>
            <w:vAlign w:val="center"/>
          </w:tcPr>
          <w:p w14:paraId="2E96BB0E">
            <w:pPr>
              <w:rPr>
                <w:rFonts w:hint="eastAsia" w:ascii="宋体" w:hAnsi="宋体" w:eastAsia="宋体" w:cs="宋体"/>
                <w:color w:val="auto"/>
                <w:szCs w:val="21"/>
              </w:rPr>
            </w:pPr>
            <w:r>
              <w:rPr>
                <w:rFonts w:hint="eastAsia" w:ascii="宋体" w:hAnsi="宋体" w:eastAsia="宋体" w:cs="宋体"/>
                <w:color w:val="auto"/>
                <w:szCs w:val="21"/>
              </w:rPr>
              <w:t xml:space="preserve"> 20%</w:t>
            </w:r>
          </w:p>
        </w:tc>
        <w:tc>
          <w:tcPr>
            <w:tcW w:w="4086" w:type="dxa"/>
            <w:vAlign w:val="center"/>
          </w:tcPr>
          <w:p w14:paraId="7812C5C6">
            <w:pPr>
              <w:spacing w:line="320" w:lineRule="exact"/>
              <w:jc w:val="left"/>
              <w:rPr>
                <w:rFonts w:hint="eastAsia" w:ascii="宋体" w:hAnsi="宋体" w:eastAsia="宋体" w:cs="宋体"/>
                <w:bCs/>
                <w:color w:val="auto"/>
                <w:kern w:val="24"/>
                <w:szCs w:val="21"/>
              </w:rPr>
            </w:pPr>
            <w:r>
              <w:rPr>
                <w:rFonts w:hint="eastAsia" w:ascii="宋体" w:hAnsi="宋体" w:eastAsia="宋体" w:cs="宋体"/>
                <w:bCs/>
                <w:color w:val="auto"/>
                <w:kern w:val="24"/>
                <w:szCs w:val="21"/>
              </w:rPr>
              <w:t>课外体育锻炼成绩纳入学期体育成绩总评，占总评分数的20%。主要包括晨跑、课外健身跑、健身辅导站、体育社团或单项协会健身活动和校级、院级、体育社团组织的体育竞赛活动等。</w:t>
            </w:r>
          </w:p>
        </w:tc>
        <w:tc>
          <w:tcPr>
            <w:tcW w:w="1310" w:type="dxa"/>
            <w:vAlign w:val="center"/>
          </w:tcPr>
          <w:p w14:paraId="4B7ECC05">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2、6</w:t>
            </w:r>
          </w:p>
        </w:tc>
      </w:tr>
      <w:tr w14:paraId="15111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040" w:type="dxa"/>
            <w:vMerge w:val="continue"/>
            <w:tcMar>
              <w:left w:w="57" w:type="dxa"/>
              <w:right w:w="57" w:type="dxa"/>
            </w:tcMar>
            <w:vAlign w:val="center"/>
          </w:tcPr>
          <w:p w14:paraId="5995DA4C">
            <w:pPr>
              <w:jc w:val="center"/>
              <w:rPr>
                <w:rFonts w:hint="eastAsia" w:ascii="宋体" w:hAnsi="宋体" w:eastAsia="宋体" w:cs="宋体"/>
                <w:color w:val="auto"/>
                <w:szCs w:val="21"/>
              </w:rPr>
            </w:pPr>
          </w:p>
        </w:tc>
        <w:tc>
          <w:tcPr>
            <w:tcW w:w="1301" w:type="dxa"/>
            <w:vAlign w:val="center"/>
          </w:tcPr>
          <w:p w14:paraId="50B6D3E9">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体质测试</w:t>
            </w:r>
          </w:p>
        </w:tc>
        <w:tc>
          <w:tcPr>
            <w:tcW w:w="741" w:type="dxa"/>
            <w:vAlign w:val="center"/>
          </w:tcPr>
          <w:p w14:paraId="7F8C4838">
            <w:pPr>
              <w:jc w:val="center"/>
              <w:rPr>
                <w:rFonts w:hint="eastAsia" w:ascii="宋体" w:hAnsi="宋体" w:eastAsia="宋体" w:cs="宋体"/>
                <w:color w:val="auto"/>
                <w:szCs w:val="21"/>
              </w:rPr>
            </w:pPr>
            <w:r>
              <w:rPr>
                <w:rFonts w:hint="eastAsia" w:ascii="宋体" w:hAnsi="宋体" w:eastAsia="宋体" w:cs="宋体"/>
                <w:color w:val="auto"/>
                <w:szCs w:val="21"/>
              </w:rPr>
              <w:t>20%</w:t>
            </w:r>
          </w:p>
        </w:tc>
        <w:tc>
          <w:tcPr>
            <w:tcW w:w="4086" w:type="dxa"/>
            <w:vAlign w:val="center"/>
          </w:tcPr>
          <w:p w14:paraId="217C8521">
            <w:pPr>
              <w:spacing w:line="320" w:lineRule="exact"/>
              <w:jc w:val="left"/>
              <w:rPr>
                <w:rFonts w:hint="eastAsia" w:ascii="宋体" w:hAnsi="宋体" w:eastAsia="宋体" w:cs="宋体"/>
                <w:color w:val="auto"/>
                <w:sz w:val="24"/>
              </w:rPr>
            </w:pPr>
            <w:r>
              <w:rPr>
                <w:rFonts w:hint="eastAsia" w:ascii="宋体" w:hAnsi="宋体" w:eastAsia="宋体" w:cs="宋体"/>
                <w:bCs/>
                <w:color w:val="auto"/>
                <w:kern w:val="24"/>
                <w:szCs w:val="21"/>
              </w:rPr>
              <w:t>根据《国家学生体质健康标准》测试要求，测试身高、体重、肺活量、立定跳远、一分钟仰卧起坐（女）/引体向上（男）、坐位体前屈、50M、1000M（男）/800M（女）等八个项目；课堂测试，评分参照《国家学生体质健康标准》。</w:t>
            </w:r>
          </w:p>
        </w:tc>
        <w:tc>
          <w:tcPr>
            <w:tcW w:w="1310" w:type="dxa"/>
            <w:vAlign w:val="center"/>
          </w:tcPr>
          <w:p w14:paraId="33E7CD22">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2</w:t>
            </w:r>
            <w:r>
              <w:rPr>
                <w:rFonts w:hint="eastAsia" w:ascii="宋体" w:hAnsi="宋体" w:eastAsia="宋体" w:cs="宋体"/>
                <w:color w:val="auto"/>
              </w:rPr>
              <w:t>、</w:t>
            </w:r>
            <w:r>
              <w:rPr>
                <w:rFonts w:hint="eastAsia" w:ascii="宋体" w:hAnsi="宋体" w:eastAsia="宋体" w:cs="宋体"/>
                <w:color w:val="auto"/>
                <w:lang w:val="en-US" w:eastAsia="zh-CN"/>
              </w:rPr>
              <w:t>6</w:t>
            </w:r>
          </w:p>
        </w:tc>
      </w:tr>
      <w:tr w14:paraId="7055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40" w:type="dxa"/>
            <w:tcMar>
              <w:left w:w="57" w:type="dxa"/>
              <w:right w:w="57" w:type="dxa"/>
            </w:tcMar>
            <w:vAlign w:val="center"/>
          </w:tcPr>
          <w:p w14:paraId="121C3C47">
            <w:pPr>
              <w:jc w:val="center"/>
              <w:rPr>
                <w:rFonts w:hint="eastAsia" w:ascii="宋体" w:hAnsi="宋体" w:eastAsia="宋体" w:cs="宋体"/>
                <w:color w:val="auto"/>
                <w:szCs w:val="21"/>
              </w:rPr>
            </w:pPr>
            <w:r>
              <w:rPr>
                <w:rFonts w:hint="eastAsia" w:ascii="宋体" w:hAnsi="宋体" w:eastAsia="宋体" w:cs="宋体"/>
                <w:color w:val="auto"/>
                <w:szCs w:val="21"/>
              </w:rPr>
              <w:t>期末考试</w:t>
            </w:r>
          </w:p>
          <w:p w14:paraId="4E2675DC">
            <w:pPr>
              <w:jc w:val="center"/>
              <w:rPr>
                <w:rFonts w:hint="eastAsia" w:ascii="宋体" w:hAnsi="宋体" w:eastAsia="宋体" w:cs="宋体"/>
                <w:color w:val="auto"/>
                <w:szCs w:val="21"/>
              </w:rPr>
            </w:pPr>
            <w:r>
              <w:rPr>
                <w:rFonts w:hint="eastAsia" w:ascii="宋体" w:hAnsi="宋体" w:eastAsia="宋体" w:cs="宋体"/>
                <w:color w:val="auto"/>
                <w:szCs w:val="21"/>
              </w:rPr>
              <w:t>50%</w:t>
            </w:r>
          </w:p>
        </w:tc>
        <w:tc>
          <w:tcPr>
            <w:tcW w:w="1301" w:type="dxa"/>
            <w:vAlign w:val="center"/>
          </w:tcPr>
          <w:p w14:paraId="0A2E9D5E">
            <w:pPr>
              <w:jc w:val="center"/>
              <w:rPr>
                <w:rFonts w:hint="eastAsia" w:ascii="宋体" w:hAnsi="宋体" w:eastAsia="宋体" w:cs="宋体"/>
                <w:color w:val="auto"/>
                <w:szCs w:val="21"/>
              </w:rPr>
            </w:pPr>
            <w:r>
              <w:rPr>
                <w:rFonts w:hint="eastAsia" w:ascii="宋体" w:hAnsi="宋体" w:eastAsia="宋体" w:cs="宋体"/>
                <w:color w:val="auto"/>
                <w:szCs w:val="21"/>
              </w:rPr>
              <w:t>期末运动技能考试</w:t>
            </w:r>
          </w:p>
        </w:tc>
        <w:tc>
          <w:tcPr>
            <w:tcW w:w="741" w:type="dxa"/>
            <w:vAlign w:val="center"/>
          </w:tcPr>
          <w:p w14:paraId="72A50A90">
            <w:pPr>
              <w:jc w:val="center"/>
              <w:rPr>
                <w:rFonts w:hint="eastAsia" w:ascii="宋体" w:hAnsi="宋体" w:eastAsia="宋体" w:cs="宋体"/>
                <w:color w:val="auto"/>
                <w:szCs w:val="21"/>
              </w:rPr>
            </w:pPr>
            <w:r>
              <w:rPr>
                <w:rFonts w:hint="eastAsia" w:ascii="宋体" w:hAnsi="宋体" w:eastAsia="宋体" w:cs="宋体"/>
                <w:color w:val="auto"/>
                <w:szCs w:val="21"/>
              </w:rPr>
              <w:t xml:space="preserve">   50%</w:t>
            </w:r>
          </w:p>
        </w:tc>
        <w:tc>
          <w:tcPr>
            <w:tcW w:w="4086" w:type="dxa"/>
            <w:vAlign w:val="center"/>
          </w:tcPr>
          <w:p w14:paraId="38CA967F">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各专项技能</w:t>
            </w:r>
          </w:p>
        </w:tc>
        <w:tc>
          <w:tcPr>
            <w:tcW w:w="1310" w:type="dxa"/>
            <w:vAlign w:val="center"/>
          </w:tcPr>
          <w:p w14:paraId="7D551AC7">
            <w:pPr>
              <w:jc w:val="center"/>
              <w:rPr>
                <w:rFonts w:hint="eastAsia" w:ascii="宋体" w:hAnsi="宋体" w:eastAsia="宋体" w:cs="宋体"/>
                <w:color w:val="auto"/>
                <w:szCs w:val="21"/>
                <w:lang w:val="en-US" w:eastAsia="zh-CN"/>
              </w:rPr>
            </w:pPr>
            <w:r>
              <w:rPr>
                <w:rFonts w:hint="eastAsia" w:ascii="宋体" w:hAnsi="宋体" w:eastAsia="宋体" w:cs="宋体"/>
                <w:bCs/>
                <w:color w:val="auto"/>
                <w:szCs w:val="21"/>
                <w:lang w:val="en-US" w:eastAsia="zh-CN"/>
              </w:rPr>
              <w:t>2</w:t>
            </w:r>
            <w:r>
              <w:rPr>
                <w:rFonts w:hint="eastAsia" w:ascii="宋体" w:hAnsi="宋体" w:eastAsia="宋体" w:cs="宋体"/>
                <w:bCs/>
                <w:color w:val="auto"/>
                <w:szCs w:val="21"/>
              </w:rPr>
              <w:t>、</w:t>
            </w:r>
            <w:r>
              <w:rPr>
                <w:rFonts w:hint="eastAsia" w:ascii="宋体" w:hAnsi="宋体" w:eastAsia="宋体" w:cs="宋体"/>
                <w:bCs/>
                <w:color w:val="auto"/>
                <w:szCs w:val="21"/>
                <w:lang w:val="en-US" w:eastAsia="zh-CN"/>
              </w:rPr>
              <w:t>6</w:t>
            </w:r>
          </w:p>
        </w:tc>
      </w:tr>
    </w:tbl>
    <w:p w14:paraId="0407AEBF">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color w:val="auto"/>
          <w:sz w:val="28"/>
          <w:szCs w:val="28"/>
        </w:rPr>
      </w:pPr>
      <w:r>
        <w:rPr>
          <w:rFonts w:hint="eastAsia" w:ascii="宋体" w:hAnsi="宋体" w:eastAsia="宋体" w:cs="宋体"/>
          <w:b/>
          <w:bCs/>
          <w:color w:val="auto"/>
          <w:kern w:val="0"/>
          <w:sz w:val="24"/>
          <w:lang w:val="en-US" w:eastAsia="zh-CN"/>
        </w:rPr>
        <w:t>六、有关说明</w:t>
      </w:r>
    </w:p>
    <w:p w14:paraId="528C6C81">
      <w:pPr>
        <w:spacing w:line="312" w:lineRule="auto"/>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（一）持续改进</w:t>
      </w:r>
    </w:p>
    <w:p w14:paraId="7A5FA68D">
      <w:pPr>
        <w:spacing w:line="312"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本课程根据学生课外体育锻炼、课堂表现、体质测试、平时考核情况，以及学生、教学督导等反馈，及时对教学中不足之处进行改进</w:t>
      </w:r>
      <w:r>
        <w:rPr>
          <w:rFonts w:hint="eastAsia" w:ascii="宋体" w:hAnsi="宋体" w:eastAsia="宋体" w:cs="宋体"/>
          <w:color w:val="auto"/>
          <w:sz w:val="21"/>
          <w:szCs w:val="20"/>
        </w:rPr>
        <w:t>，并在下一轮课程教学中整改完善，</w:t>
      </w:r>
      <w:r>
        <w:rPr>
          <w:rFonts w:hint="eastAsia" w:ascii="宋体" w:hAnsi="宋体" w:eastAsia="宋体" w:cs="宋体"/>
          <w:color w:val="auto"/>
          <w:sz w:val="21"/>
          <w:szCs w:val="21"/>
        </w:rPr>
        <w:t>确保相应毕业要求指标点达成。</w:t>
      </w:r>
    </w:p>
    <w:p w14:paraId="5520347F">
      <w:pPr>
        <w:spacing w:line="312" w:lineRule="auto"/>
        <w:ind w:firstLine="422" w:firstLineChars="200"/>
        <w:jc w:val="left"/>
        <w:rPr>
          <w:rFonts w:hint="eastAsia" w:ascii="宋体" w:hAnsi="宋体" w:eastAsia="宋体" w:cs="宋体"/>
          <w:color w:val="auto"/>
          <w:sz w:val="21"/>
          <w:szCs w:val="21"/>
        </w:rPr>
      </w:pPr>
      <w:r>
        <w:rPr>
          <w:rFonts w:hint="eastAsia" w:ascii="宋体" w:hAnsi="宋体" w:eastAsia="宋体" w:cs="宋体"/>
          <w:b/>
          <w:color w:val="auto"/>
          <w:sz w:val="21"/>
          <w:szCs w:val="21"/>
        </w:rPr>
        <w:t>（二）教学参考书</w:t>
      </w:r>
    </w:p>
    <w:p w14:paraId="0DEE0CD0">
      <w:pPr>
        <w:spacing w:line="312"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1.毛振明.大学体育文化与实技教程[M].沈阳：东北大学出版社，2013.</w:t>
      </w:r>
    </w:p>
    <w:p w14:paraId="31295E28">
      <w:pPr>
        <w:wordWrap w:val="0"/>
        <w:spacing w:line="312" w:lineRule="auto"/>
        <w:ind w:firstLine="420" w:firstLineChars="200"/>
        <w:jc w:val="right"/>
        <w:rPr>
          <w:rFonts w:hint="eastAsia" w:ascii="宋体" w:hAnsi="宋体" w:eastAsia="宋体" w:cs="宋体"/>
          <w:color w:val="auto"/>
          <w:sz w:val="21"/>
          <w:szCs w:val="21"/>
        </w:rPr>
      </w:pPr>
      <w:r>
        <w:rPr>
          <w:rFonts w:hint="eastAsia" w:ascii="宋体" w:hAnsi="宋体" w:eastAsia="宋体" w:cs="宋体"/>
          <w:color w:val="auto"/>
          <w:sz w:val="21"/>
          <w:szCs w:val="21"/>
        </w:rPr>
        <w:t xml:space="preserve">执笔人：顾  宏 </w:t>
      </w:r>
    </w:p>
    <w:p w14:paraId="4D4C5C68">
      <w:pPr>
        <w:wordWrap w:val="0"/>
        <w:spacing w:line="312" w:lineRule="auto"/>
        <w:ind w:firstLine="420" w:firstLineChars="200"/>
        <w:jc w:val="right"/>
        <w:rPr>
          <w:rFonts w:hint="eastAsia" w:ascii="宋体" w:hAnsi="宋体" w:eastAsia="宋体" w:cs="宋体"/>
          <w:color w:val="auto"/>
          <w:sz w:val="21"/>
          <w:szCs w:val="21"/>
        </w:rPr>
      </w:pPr>
      <w:r>
        <w:rPr>
          <w:rFonts w:hint="eastAsia" w:ascii="宋体" w:hAnsi="宋体" w:eastAsia="宋体" w:cs="宋体"/>
          <w:color w:val="auto"/>
          <w:sz w:val="21"/>
          <w:szCs w:val="21"/>
        </w:rPr>
        <w:t xml:space="preserve">审定人：朱亚男 </w:t>
      </w:r>
    </w:p>
    <w:p w14:paraId="2C4F032F">
      <w:pPr>
        <w:wordWrap w:val="0"/>
        <w:spacing w:line="312" w:lineRule="auto"/>
        <w:ind w:firstLine="420" w:firstLineChars="200"/>
        <w:jc w:val="right"/>
        <w:rPr>
          <w:rFonts w:hint="eastAsia" w:ascii="宋体" w:hAnsi="宋体" w:eastAsia="宋体" w:cs="宋体"/>
          <w:color w:val="auto"/>
          <w:sz w:val="21"/>
          <w:szCs w:val="21"/>
        </w:rPr>
      </w:pPr>
      <w:r>
        <w:rPr>
          <w:rFonts w:hint="eastAsia" w:ascii="宋体" w:hAnsi="宋体" w:eastAsia="宋体" w:cs="宋体"/>
          <w:color w:val="auto"/>
          <w:sz w:val="21"/>
          <w:szCs w:val="21"/>
        </w:rPr>
        <w:t xml:space="preserve">批准人：王红福 </w:t>
      </w:r>
    </w:p>
    <w:p w14:paraId="67446975">
      <w:pPr>
        <w:jc w:val="right"/>
        <w:rPr>
          <w:rFonts w:hint="eastAsia" w:ascii="等线" w:hAnsi="等线" w:eastAsia="等线" w:cs="等线"/>
          <w:b/>
          <w:bCs/>
          <w:sz w:val="36"/>
          <w:szCs w:val="36"/>
        </w:rPr>
      </w:pPr>
      <w:r>
        <w:rPr>
          <w:rFonts w:hint="eastAsia" w:ascii="宋体" w:hAnsi="宋体" w:eastAsia="宋体" w:cs="宋体"/>
          <w:color w:val="auto"/>
          <w:sz w:val="24"/>
          <w:lang w:val="en-US" w:eastAsia="zh-CN"/>
        </w:rPr>
        <w:t>批准时间：2025年7月1日</w:t>
      </w:r>
    </w:p>
    <w:p w14:paraId="096096FF">
      <w:pPr>
        <w:wordWrap/>
        <w:spacing w:line="312" w:lineRule="auto"/>
        <w:ind w:firstLine="602" w:firstLineChars="200"/>
        <w:jc w:val="left"/>
        <w:rPr>
          <w:rFonts w:hint="eastAsia" w:ascii="仿宋" w:hAnsi="仿宋" w:eastAsia="仿宋"/>
          <w:b/>
          <w:bCs/>
          <w:color w:val="auto"/>
          <w:sz w:val="30"/>
        </w:rPr>
      </w:pPr>
    </w:p>
    <w:p w14:paraId="1BCDB41D">
      <w:pPr>
        <w:wordWrap/>
        <w:spacing w:line="312" w:lineRule="auto"/>
        <w:ind w:firstLine="602" w:firstLineChars="200"/>
        <w:jc w:val="right"/>
        <w:rPr>
          <w:rFonts w:hint="eastAsia" w:ascii="仿宋" w:hAnsi="仿宋" w:eastAsia="仿宋"/>
          <w:b/>
          <w:bCs/>
          <w:color w:val="auto"/>
          <w:sz w:val="30"/>
        </w:rPr>
      </w:pPr>
      <w:r>
        <w:rPr>
          <w:rFonts w:hint="eastAsia" w:ascii="仿宋" w:hAnsi="仿宋" w:eastAsia="仿宋"/>
          <w:b/>
          <w:bCs/>
          <w:color w:val="auto"/>
          <w:sz w:val="30"/>
        </w:rPr>
        <w:br w:type="page"/>
      </w:r>
    </w:p>
    <w:p w14:paraId="3D837BDA">
      <w:pPr>
        <w:spacing w:line="360" w:lineRule="auto"/>
        <w:jc w:val="center"/>
        <w:outlineLvl w:val="0"/>
        <w:rPr>
          <w:rFonts w:hint="eastAsia" w:ascii="Times New Roman" w:hAnsi="Times New Roman" w:eastAsia="宋体" w:cs="Times New Roman"/>
          <w:b/>
          <w:sz w:val="44"/>
          <w:szCs w:val="44"/>
        </w:rPr>
      </w:pPr>
      <w:bookmarkStart w:id="22" w:name="_Toc1032"/>
      <w:bookmarkStart w:id="23" w:name="_Toc29064"/>
      <w:r>
        <w:rPr>
          <w:rFonts w:hint="eastAsia" w:ascii="Times New Roman" w:hAnsi="Times New Roman" w:eastAsia="宋体" w:cs="Times New Roman"/>
          <w:b/>
          <w:sz w:val="44"/>
          <w:szCs w:val="44"/>
        </w:rPr>
        <w:t>《体育II》课程教学大纲</w:t>
      </w:r>
      <w:bookmarkEnd w:id="22"/>
      <w:bookmarkEnd w:id="23"/>
    </w:p>
    <w:p w14:paraId="78332053">
      <w:pPr>
        <w:spacing w:line="360" w:lineRule="auto"/>
        <w:jc w:val="center"/>
        <w:rPr>
          <w:rFonts w:hint="eastAsia" w:ascii="Times New Roman" w:hAnsi="Times New Roman" w:eastAsia="宋体" w:cs="Times New Roman"/>
          <w:b/>
          <w:bCs/>
          <w:sz w:val="28"/>
          <w:szCs w:val="28"/>
        </w:rPr>
      </w:pPr>
      <w:r>
        <w:rPr>
          <w:rFonts w:ascii="Times New Roman" w:hAnsi="Times New Roman" w:eastAsia="宋体" w:cs="Times New Roman"/>
          <w:b/>
          <w:bCs/>
          <w:sz w:val="28"/>
          <w:szCs w:val="28"/>
        </w:rPr>
        <w:t>（Physical  Education I</w:t>
      </w:r>
      <w:r>
        <w:rPr>
          <w:rFonts w:hint="eastAsia" w:ascii="Times New Roman" w:hAnsi="Times New Roman" w:eastAsia="宋体" w:cs="Times New Roman"/>
          <w:b/>
          <w:bCs/>
          <w:sz w:val="28"/>
          <w:szCs w:val="28"/>
        </w:rPr>
        <w:t>I</w:t>
      </w:r>
      <w:r>
        <w:rPr>
          <w:rFonts w:ascii="Times New Roman" w:hAnsi="Times New Roman" w:eastAsia="宋体" w:cs="Times New Roman"/>
          <w:b/>
          <w:bCs/>
          <w:sz w:val="28"/>
          <w:szCs w:val="28"/>
        </w:rPr>
        <w:t>）</w:t>
      </w:r>
    </w:p>
    <w:p w14:paraId="131256B3">
      <w:pPr>
        <w:spacing w:line="360" w:lineRule="auto"/>
        <w:ind w:firstLine="422" w:firstLineChars="200"/>
        <w:jc w:val="left"/>
        <w:rPr>
          <w:rFonts w:hint="eastAsia" w:ascii="宋体" w:hAnsi="宋体" w:eastAsia="宋体" w:cs="宋体"/>
          <w:b/>
          <w:bCs/>
          <w:color w:val="auto"/>
          <w:kern w:val="0"/>
          <w:sz w:val="21"/>
          <w:szCs w:val="21"/>
        </w:rPr>
      </w:pPr>
    </w:p>
    <w:p w14:paraId="506A2F63">
      <w:pPr>
        <w:spacing w:line="360" w:lineRule="auto"/>
        <w:ind w:firstLine="482" w:firstLineChars="200"/>
        <w:jc w:val="left"/>
        <w:rPr>
          <w:rFonts w:hint="default"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课程名称：体育II</w:t>
      </w:r>
    </w:p>
    <w:p w14:paraId="38D343C6">
      <w:pPr>
        <w:spacing w:line="360" w:lineRule="auto"/>
        <w:ind w:firstLine="482" w:firstLineChars="200"/>
        <w:jc w:val="left"/>
        <w:rPr>
          <w:rFonts w:hint="eastAsia" w:ascii="宋体" w:hAnsi="宋体" w:eastAsia="宋体" w:cs="宋体"/>
          <w:b/>
          <w:bCs/>
          <w:color w:val="auto"/>
          <w:sz w:val="24"/>
        </w:rPr>
      </w:pPr>
      <w:r>
        <w:rPr>
          <w:rFonts w:hint="eastAsia" w:ascii="宋体" w:hAnsi="宋体" w:eastAsia="宋体" w:cs="宋体"/>
          <w:b/>
          <w:bCs/>
          <w:color w:val="auto"/>
          <w:kern w:val="0"/>
          <w:sz w:val="24"/>
        </w:rPr>
        <w:t>课程代码：1101020</w:t>
      </w:r>
    </w:p>
    <w:p w14:paraId="1BDBC252">
      <w:pPr>
        <w:spacing w:line="360" w:lineRule="auto"/>
        <w:ind w:firstLine="482" w:firstLineChars="200"/>
        <w:jc w:val="left"/>
        <w:rPr>
          <w:rFonts w:hint="eastAsia" w:ascii="宋体" w:hAnsi="宋体" w:eastAsia="宋体" w:cs="宋体"/>
          <w:b/>
          <w:bCs/>
          <w:color w:val="auto"/>
          <w:kern w:val="0"/>
          <w:sz w:val="24"/>
        </w:rPr>
      </w:pPr>
      <w:r>
        <w:rPr>
          <w:rFonts w:hint="eastAsia" w:ascii="宋体" w:hAnsi="宋体" w:eastAsia="宋体" w:cs="宋体"/>
          <w:b/>
          <w:bCs/>
          <w:color w:val="auto"/>
          <w:kern w:val="0"/>
          <w:sz w:val="24"/>
        </w:rPr>
        <w:t>学    分：0.75</w:t>
      </w:r>
    </w:p>
    <w:p w14:paraId="58BA90E4">
      <w:pPr>
        <w:spacing w:line="360" w:lineRule="auto"/>
        <w:ind w:firstLine="482" w:firstLineChars="200"/>
        <w:jc w:val="left"/>
        <w:rPr>
          <w:rFonts w:hint="eastAsia" w:ascii="宋体" w:hAnsi="宋体" w:eastAsia="宋体" w:cs="宋体"/>
          <w:b/>
          <w:bCs/>
          <w:color w:val="auto"/>
          <w:kern w:val="0"/>
          <w:sz w:val="24"/>
        </w:rPr>
      </w:pPr>
      <w:r>
        <w:rPr>
          <w:rFonts w:hint="eastAsia" w:ascii="宋体" w:hAnsi="宋体" w:eastAsia="宋体" w:cs="宋体"/>
          <w:b/>
          <w:bCs/>
          <w:color w:val="auto"/>
          <w:kern w:val="0"/>
          <w:sz w:val="24"/>
        </w:rPr>
        <w:t>学    时：30</w:t>
      </w:r>
    </w:p>
    <w:p w14:paraId="08555126">
      <w:pPr>
        <w:spacing w:line="360" w:lineRule="auto"/>
        <w:ind w:firstLine="482" w:firstLineChars="200"/>
        <w:jc w:val="left"/>
        <w:rPr>
          <w:rFonts w:hint="eastAsia" w:ascii="宋体" w:hAnsi="宋体" w:eastAsia="宋体" w:cs="宋体"/>
          <w:b/>
          <w:bCs/>
          <w:color w:val="auto"/>
          <w:kern w:val="0"/>
          <w:sz w:val="24"/>
        </w:rPr>
      </w:pPr>
      <w:r>
        <w:rPr>
          <w:rFonts w:hint="eastAsia" w:ascii="宋体" w:hAnsi="宋体" w:eastAsia="宋体" w:cs="宋体"/>
          <w:b/>
          <w:bCs/>
          <w:color w:val="auto"/>
          <w:kern w:val="0"/>
          <w:sz w:val="24"/>
        </w:rPr>
        <w:t>先修课程：无</w:t>
      </w:r>
    </w:p>
    <w:p w14:paraId="4C16DBDF">
      <w:pPr>
        <w:spacing w:line="360" w:lineRule="auto"/>
        <w:ind w:firstLine="482" w:firstLineChars="200"/>
        <w:jc w:val="left"/>
        <w:rPr>
          <w:rFonts w:hint="eastAsia" w:ascii="宋体" w:hAnsi="宋体" w:eastAsia="宋体" w:cs="宋体"/>
          <w:color w:val="auto"/>
          <w:kern w:val="0"/>
          <w:sz w:val="24"/>
        </w:rPr>
      </w:pPr>
      <w:r>
        <w:rPr>
          <w:rFonts w:hint="eastAsia" w:ascii="宋体" w:hAnsi="宋体" w:eastAsia="宋体" w:cs="宋体"/>
          <w:b/>
          <w:bCs/>
          <w:color w:val="auto"/>
          <w:kern w:val="0"/>
          <w:sz w:val="24"/>
        </w:rPr>
        <w:t xml:space="preserve">适用专业：全校各专业    </w:t>
      </w:r>
      <w:r>
        <w:rPr>
          <w:rFonts w:hint="eastAsia" w:ascii="宋体" w:hAnsi="宋体" w:eastAsia="宋体" w:cs="宋体"/>
          <w:color w:val="auto"/>
          <w:kern w:val="0"/>
          <w:sz w:val="24"/>
        </w:rPr>
        <w:t xml:space="preserve">                    </w:t>
      </w:r>
    </w:p>
    <w:p w14:paraId="2DDA2D8B">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default"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一、课程简介</w:t>
      </w:r>
    </w:p>
    <w:p w14:paraId="7E67B0F5">
      <w:pPr>
        <w:autoSpaceDE w:val="0"/>
        <w:autoSpaceDN w:val="0"/>
        <w:adjustRightInd w:val="0"/>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一学年第二学期进行。</w:t>
      </w:r>
    </w:p>
    <w:p w14:paraId="6AFCA2B5">
      <w:pPr>
        <w:autoSpaceDE w:val="0"/>
        <w:autoSpaceDN w:val="0"/>
        <w:adjustRightInd w:val="0"/>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通过本课程的学习，使学生掌握和应用基本的体育与健康知识及运动技能，增强学生体质与健康水平，激发学生参与体育活动的兴趣，促进身心和谐发展和体育技能与素养的提高。坚持以立德树人为根本，通过融入社会主义核心价值观、做人做事的道理和体育精神等课程思政元素，培养学生的爱国情怀、体育道德、规则意识、合作精神和意志品质，增强与他人交流沟通、团结合作的能力，提升学生体育核心素养。本课程将为后续课程的学习以及相关课程的学习与训练奠定重要的基础。</w:t>
      </w:r>
    </w:p>
    <w:p w14:paraId="78FAF5C2">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二、课程目标</w:t>
      </w:r>
    </w:p>
    <w:p w14:paraId="4EB304FE">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目标1：全面发展体能，提高运动能力，掌握体育基本理论知识和基本技术，了解体育锻炼的健身原理，具有一定的体育文化素养和体育欣赏能力。树立“健康第一”思想和正确的体育道德观，增强团结协作意识、规则意识、公平意识和积极进取意识。</w:t>
      </w:r>
    </w:p>
    <w:p w14:paraId="44D3654E">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目标2：积极参与各种体育活动，掌握所学项目的基本技能和锻炼方法，能科学地进行体育锻炼，掌握常见运动损伤的处理方法。学会利用体育调节身心，改善心理状态，养成积极乐观的生活态度。</w:t>
      </w:r>
    </w:p>
    <w:p w14:paraId="7CE243CA">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本课程支撑专业培养方案中毕业要求</w:t>
      </w:r>
      <w:r>
        <w:rPr>
          <w:rFonts w:hint="eastAsia" w:ascii="宋体" w:hAnsi="宋体" w:eastAsia="宋体" w:cs="宋体"/>
          <w:color w:val="auto"/>
          <w:sz w:val="21"/>
          <w:szCs w:val="21"/>
          <w:lang w:val="en-US" w:eastAsia="zh-CN"/>
        </w:rPr>
        <w:t>2、6</w:t>
      </w:r>
      <w:r>
        <w:rPr>
          <w:rFonts w:hint="eastAsia" w:ascii="宋体" w:hAnsi="宋体" w:eastAsia="宋体" w:cs="宋体"/>
          <w:color w:val="auto"/>
          <w:sz w:val="21"/>
          <w:szCs w:val="21"/>
        </w:rPr>
        <w:t>(不同专业会略有区别，具体见培养方案中的毕业要求实现矩阵)，对应关系如下表所示。</w:t>
      </w:r>
    </w:p>
    <w:tbl>
      <w:tblPr>
        <w:tblStyle w:val="16"/>
        <w:tblW w:w="52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6227"/>
        <w:gridCol w:w="1318"/>
      </w:tblGrid>
      <w:tr w14:paraId="6341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96" w:type="pct"/>
            <w:vAlign w:val="center"/>
          </w:tcPr>
          <w:p w14:paraId="224B7B48">
            <w:pPr>
              <w:jc w:val="center"/>
              <w:rPr>
                <w:rFonts w:hint="eastAsia" w:ascii="宋体" w:hAnsi="宋体" w:eastAsia="宋体" w:cs="宋体"/>
                <w:b/>
                <w:bCs/>
                <w:color w:val="auto"/>
              </w:rPr>
            </w:pPr>
            <w:r>
              <w:rPr>
                <w:rFonts w:hint="eastAsia" w:ascii="宋体" w:hAnsi="宋体" w:eastAsia="宋体" w:cs="宋体"/>
                <w:b/>
                <w:bCs/>
                <w:color w:val="auto"/>
              </w:rPr>
              <w:t>毕业要求2</w:t>
            </w:r>
          </w:p>
          <w:p w14:paraId="514177DC">
            <w:pPr>
              <w:jc w:val="center"/>
              <w:rPr>
                <w:rFonts w:hint="eastAsia" w:ascii="宋体" w:hAnsi="宋体" w:eastAsia="宋体" w:cs="宋体"/>
                <w:b/>
                <w:bCs/>
                <w:color w:val="auto"/>
              </w:rPr>
            </w:pPr>
            <w:r>
              <w:rPr>
                <w:rFonts w:hint="eastAsia" w:ascii="宋体" w:hAnsi="宋体" w:eastAsia="宋体" w:cs="宋体"/>
                <w:b/>
                <w:bCs/>
                <w:color w:val="auto"/>
              </w:rPr>
              <w:t>教育情怀</w:t>
            </w:r>
          </w:p>
        </w:tc>
        <w:tc>
          <w:tcPr>
            <w:tcW w:w="3468" w:type="pct"/>
            <w:vAlign w:val="center"/>
          </w:tcPr>
          <w:p w14:paraId="57A010CE">
            <w:pPr>
              <w:jc w:val="both"/>
              <w:rPr>
                <w:rFonts w:hint="eastAsia" w:ascii="宋体" w:hAnsi="宋体" w:eastAsia="宋体" w:cs="宋体"/>
                <w:color w:val="auto"/>
              </w:rPr>
            </w:pPr>
            <w:r>
              <w:rPr>
                <w:rFonts w:hint="eastAsia" w:ascii="宋体" w:hAnsi="宋体" w:eastAsia="宋体" w:cs="宋体"/>
                <w:b/>
                <w:bCs/>
                <w:color w:val="auto"/>
              </w:rPr>
              <w:t>指标点2-3：</w:t>
            </w:r>
            <w:r>
              <w:rPr>
                <w:rFonts w:hint="eastAsia" w:ascii="宋体" w:hAnsi="宋体" w:eastAsia="宋体" w:cs="宋体"/>
                <w:color w:val="auto"/>
              </w:rPr>
              <w:t>【自身修养良好】具有较好的人文艺术底蕴与科学精神，言行举止符合教师职业标准，情感积极，人格健全，身心健康。</w:t>
            </w:r>
          </w:p>
        </w:tc>
        <w:tc>
          <w:tcPr>
            <w:tcW w:w="734" w:type="pct"/>
            <w:vAlign w:val="center"/>
          </w:tcPr>
          <w:p w14:paraId="32B19F87">
            <w:pPr>
              <w:jc w:val="center"/>
              <w:rPr>
                <w:rFonts w:hint="eastAsia" w:ascii="宋体" w:hAnsi="宋体" w:eastAsia="宋体" w:cs="宋体"/>
                <w:color w:val="auto"/>
                <w:lang w:eastAsia="zh"/>
              </w:rPr>
            </w:pPr>
            <w:r>
              <w:rPr>
                <w:rFonts w:hint="eastAsia" w:ascii="宋体" w:hAnsi="宋体" w:eastAsia="宋体" w:cs="宋体"/>
                <w:color w:val="auto"/>
              </w:rPr>
              <w:t>课程目标</w:t>
            </w:r>
            <w:r>
              <w:rPr>
                <w:rFonts w:hint="eastAsia" w:ascii="宋体" w:hAnsi="宋体" w:eastAsia="宋体" w:cs="宋体"/>
                <w:color w:val="auto"/>
                <w:lang w:eastAsia="zh"/>
              </w:rPr>
              <w:t>1</w:t>
            </w:r>
          </w:p>
        </w:tc>
      </w:tr>
      <w:tr w14:paraId="4E16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Align w:val="center"/>
          </w:tcPr>
          <w:p w14:paraId="4B208021">
            <w:pPr>
              <w:jc w:val="center"/>
              <w:rPr>
                <w:rFonts w:hint="eastAsia" w:ascii="宋体" w:hAnsi="宋体" w:eastAsia="宋体" w:cs="宋体"/>
                <w:b/>
                <w:bCs/>
                <w:color w:val="auto"/>
              </w:rPr>
            </w:pPr>
            <w:r>
              <w:rPr>
                <w:rFonts w:hint="eastAsia" w:ascii="宋体" w:hAnsi="宋体" w:eastAsia="宋体" w:cs="宋体"/>
                <w:b/>
                <w:bCs/>
                <w:color w:val="auto"/>
              </w:rPr>
              <w:t>毕业要求6</w:t>
            </w:r>
          </w:p>
          <w:p w14:paraId="7117BE5B">
            <w:pPr>
              <w:jc w:val="center"/>
              <w:rPr>
                <w:rFonts w:hint="eastAsia" w:ascii="宋体" w:hAnsi="宋体" w:eastAsia="宋体" w:cs="宋体"/>
                <w:b/>
                <w:bCs/>
                <w:color w:val="auto"/>
              </w:rPr>
            </w:pPr>
            <w:r>
              <w:rPr>
                <w:rFonts w:hint="eastAsia" w:ascii="宋体" w:hAnsi="宋体" w:eastAsia="宋体" w:cs="宋体"/>
                <w:b/>
                <w:bCs/>
                <w:color w:val="auto"/>
              </w:rPr>
              <w:t>综合育人</w:t>
            </w:r>
          </w:p>
        </w:tc>
        <w:tc>
          <w:tcPr>
            <w:tcW w:w="3468" w:type="pct"/>
            <w:vAlign w:val="center"/>
          </w:tcPr>
          <w:p w14:paraId="36EE9CD3">
            <w:pPr>
              <w:jc w:val="both"/>
              <w:rPr>
                <w:rFonts w:hint="eastAsia" w:ascii="宋体" w:hAnsi="宋体" w:eastAsia="宋体" w:cs="宋体"/>
                <w:color w:val="auto"/>
                <w:lang w:eastAsia="zh-CN"/>
              </w:rPr>
            </w:pPr>
            <w:r>
              <w:rPr>
                <w:rFonts w:hint="eastAsia" w:ascii="宋体" w:hAnsi="宋体" w:eastAsia="宋体" w:cs="宋体"/>
                <w:b/>
                <w:bCs/>
                <w:color w:val="auto"/>
                <w:lang w:eastAsia="zh-CN"/>
              </w:rPr>
              <w:t>指标点6-3：</w:t>
            </w:r>
            <w:r>
              <w:rPr>
                <w:rFonts w:hint="eastAsia" w:ascii="宋体" w:hAnsi="宋体" w:eastAsia="宋体" w:cs="宋体"/>
                <w:b w:val="0"/>
                <w:bCs w:val="0"/>
                <w:color w:val="auto"/>
                <w:lang w:eastAsia="zh-CN"/>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734" w:type="pct"/>
            <w:vAlign w:val="center"/>
          </w:tcPr>
          <w:p w14:paraId="7B03168D">
            <w:pPr>
              <w:jc w:val="center"/>
              <w:rPr>
                <w:rFonts w:hint="eastAsia" w:ascii="宋体" w:hAnsi="宋体" w:eastAsia="宋体" w:cs="宋体"/>
                <w:color w:val="auto"/>
              </w:rPr>
            </w:pPr>
            <w:r>
              <w:rPr>
                <w:rFonts w:hint="eastAsia" w:ascii="宋体" w:hAnsi="宋体" w:eastAsia="宋体" w:cs="宋体"/>
                <w:color w:val="auto"/>
              </w:rPr>
              <w:t>课程目标1</w:t>
            </w:r>
          </w:p>
          <w:p w14:paraId="40851F80">
            <w:pPr>
              <w:jc w:val="center"/>
              <w:rPr>
                <w:rFonts w:hint="eastAsia" w:ascii="宋体" w:hAnsi="宋体" w:eastAsia="宋体" w:cs="宋体"/>
                <w:color w:val="auto"/>
              </w:rPr>
            </w:pPr>
            <w:r>
              <w:rPr>
                <w:rFonts w:hint="eastAsia" w:ascii="宋体" w:hAnsi="宋体" w:eastAsia="宋体" w:cs="宋体"/>
                <w:color w:val="auto"/>
              </w:rPr>
              <w:t>课程目标2</w:t>
            </w:r>
          </w:p>
        </w:tc>
      </w:tr>
    </w:tbl>
    <w:p w14:paraId="1F7750EF">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三、教学内容与预期学习成效</w:t>
      </w:r>
    </w:p>
    <w:tbl>
      <w:tblPr>
        <w:tblStyle w:val="1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3358"/>
        <w:gridCol w:w="2953"/>
        <w:gridCol w:w="732"/>
        <w:gridCol w:w="891"/>
      </w:tblGrid>
      <w:tr w14:paraId="4722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Align w:val="center"/>
          </w:tcPr>
          <w:p w14:paraId="3F68A90E">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974" w:type="pct"/>
            <w:vAlign w:val="center"/>
          </w:tcPr>
          <w:p w14:paraId="301E1146">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教学内容</w:t>
            </w:r>
          </w:p>
        </w:tc>
        <w:tc>
          <w:tcPr>
            <w:tcW w:w="1736" w:type="pct"/>
            <w:vAlign w:val="center"/>
          </w:tcPr>
          <w:p w14:paraId="0C8965C7">
            <w:pPr>
              <w:spacing w:line="240" w:lineRule="auto"/>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预期学习成</w:t>
            </w:r>
            <w:r>
              <w:rPr>
                <w:rFonts w:hint="eastAsia" w:ascii="宋体" w:hAnsi="宋体" w:eastAsia="宋体" w:cs="宋体"/>
                <w:b/>
                <w:bCs/>
                <w:color w:val="auto"/>
                <w:sz w:val="21"/>
                <w:szCs w:val="21"/>
                <w:lang w:val="en-US" w:eastAsia="zh-CN"/>
              </w:rPr>
              <w:t>效</w:t>
            </w:r>
          </w:p>
        </w:tc>
        <w:tc>
          <w:tcPr>
            <w:tcW w:w="430" w:type="pct"/>
            <w:vAlign w:val="center"/>
          </w:tcPr>
          <w:p w14:paraId="0E123161">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教学学时</w:t>
            </w:r>
          </w:p>
        </w:tc>
        <w:tc>
          <w:tcPr>
            <w:tcW w:w="523" w:type="pct"/>
            <w:vAlign w:val="center"/>
          </w:tcPr>
          <w:p w14:paraId="6AFCFE8C">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教学</w:t>
            </w:r>
          </w:p>
          <w:p w14:paraId="06BE366D">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方式</w:t>
            </w:r>
          </w:p>
        </w:tc>
      </w:tr>
      <w:tr w14:paraId="1B93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14DAEE0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974" w:type="pct"/>
            <w:vAlign w:val="center"/>
          </w:tcPr>
          <w:p w14:paraId="2DE9B691">
            <w:pPr>
              <w:spacing w:line="240" w:lineRule="auto"/>
              <w:jc w:val="left"/>
              <w:rPr>
                <w:rFonts w:hint="eastAsia" w:ascii="宋体" w:hAnsi="宋体" w:eastAsia="宋体" w:cs="宋体"/>
                <w:b/>
                <w:color w:val="auto"/>
                <w:sz w:val="21"/>
                <w:szCs w:val="21"/>
              </w:rPr>
            </w:pPr>
            <w:r>
              <w:rPr>
                <w:rFonts w:hint="eastAsia" w:ascii="宋体" w:hAnsi="宋体" w:eastAsia="宋体" w:cs="宋体"/>
                <w:b/>
                <w:color w:val="auto"/>
                <w:sz w:val="21"/>
                <w:szCs w:val="21"/>
              </w:rPr>
              <w:t>㈠体育理论部分:</w:t>
            </w:r>
          </w:p>
          <w:p w14:paraId="7A0DAB78">
            <w:pPr>
              <w:spacing w:line="240" w:lineRule="auto"/>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1.学生思想政治教育：国家领导人与体育、奥运明星的励志故事、社会主义核心价值观与体育等；</w:t>
            </w:r>
          </w:p>
          <w:p w14:paraId="79780FC7">
            <w:pPr>
              <w:spacing w:line="240" w:lineRule="auto"/>
              <w:jc w:val="left"/>
              <w:rPr>
                <w:rFonts w:hint="eastAsia" w:ascii="宋体" w:hAnsi="宋体" w:eastAsia="宋体" w:cs="宋体"/>
                <w:b/>
                <w:color w:val="auto"/>
                <w:sz w:val="21"/>
                <w:szCs w:val="21"/>
              </w:rPr>
            </w:pPr>
            <w:r>
              <w:rPr>
                <w:rFonts w:hint="eastAsia" w:ascii="宋体" w:hAnsi="宋体" w:eastAsia="宋体" w:cs="宋体"/>
                <w:bCs/>
                <w:color w:val="auto"/>
                <w:sz w:val="21"/>
                <w:szCs w:val="21"/>
              </w:rPr>
              <w:t>2.体育安全教育：体育运动伤害事故的安全教育及预防与处理措施、常见运动损伤的预防与处理等；</w:t>
            </w:r>
          </w:p>
          <w:p w14:paraId="1D9501E5">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3.体育基本理论：各运动项目的基本理论知识，体育竞赛与欣赏等。</w:t>
            </w:r>
          </w:p>
        </w:tc>
        <w:tc>
          <w:tcPr>
            <w:tcW w:w="1736" w:type="pct"/>
            <w:vAlign w:val="center"/>
          </w:tcPr>
          <w:p w14:paraId="787678D1">
            <w:pPr>
              <w:autoSpaceDE w:val="0"/>
              <w:autoSpaceDN w:val="0"/>
              <w:adjustRightInd w:val="0"/>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通过教学，使学生了解和基本掌握常见运动创伤预防和处理方法，具备一定欣赏各类体育竞赛能力，了解中国与奥林匹克运动简史和奥林匹克文化精神，激发学生爱国情怀和追求和平、向往美好、顽强拼搏、不甘平庸、不断进取的体育精神。</w:t>
            </w:r>
          </w:p>
        </w:tc>
        <w:tc>
          <w:tcPr>
            <w:tcW w:w="430" w:type="pct"/>
            <w:vAlign w:val="center"/>
          </w:tcPr>
          <w:p w14:paraId="7405E6D4">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523" w:type="pct"/>
            <w:vAlign w:val="center"/>
          </w:tcPr>
          <w:p w14:paraId="21754B6D">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讲授法</w:t>
            </w:r>
          </w:p>
        </w:tc>
      </w:tr>
      <w:tr w14:paraId="196B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7A12CAAD">
            <w:pPr>
              <w:spacing w:line="240" w:lineRule="auto"/>
              <w:jc w:val="center"/>
              <w:rPr>
                <w:rFonts w:hint="eastAsia" w:ascii="宋体" w:hAnsi="宋体" w:eastAsia="宋体" w:cs="宋体"/>
                <w:color w:val="auto"/>
                <w:sz w:val="21"/>
                <w:szCs w:val="21"/>
              </w:rPr>
            </w:pPr>
          </w:p>
        </w:tc>
        <w:tc>
          <w:tcPr>
            <w:tcW w:w="4664" w:type="pct"/>
            <w:gridSpan w:val="4"/>
            <w:vAlign w:val="center"/>
          </w:tcPr>
          <w:p w14:paraId="036619CC">
            <w:pPr>
              <w:spacing w:line="240" w:lineRule="auto"/>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课程思政元素：</w:t>
            </w:r>
            <w:r>
              <w:rPr>
                <w:rFonts w:hint="eastAsia" w:ascii="宋体" w:hAnsi="宋体" w:eastAsia="宋体" w:cs="宋体"/>
                <w:color w:val="auto"/>
                <w:kern w:val="0"/>
                <w:sz w:val="21"/>
                <w:szCs w:val="21"/>
              </w:rPr>
              <w:t>理想信念、国家认同和</w:t>
            </w:r>
            <w:r>
              <w:rPr>
                <w:rFonts w:hint="eastAsia" w:ascii="宋体" w:hAnsi="宋体" w:eastAsia="宋体" w:cs="宋体"/>
                <w:color w:val="auto"/>
                <w:sz w:val="21"/>
                <w:szCs w:val="21"/>
              </w:rPr>
              <w:t>社会主义核心价值观等</w:t>
            </w:r>
            <w:r>
              <w:rPr>
                <w:rFonts w:hint="eastAsia" w:ascii="宋体" w:hAnsi="宋体" w:eastAsia="宋体" w:cs="宋体"/>
                <w:color w:val="auto"/>
                <w:kern w:val="0"/>
                <w:sz w:val="21"/>
                <w:szCs w:val="21"/>
              </w:rPr>
              <w:t>教育。</w:t>
            </w:r>
          </w:p>
        </w:tc>
      </w:tr>
      <w:tr w14:paraId="6A71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74E9707E">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974" w:type="pct"/>
            <w:vAlign w:val="center"/>
          </w:tcPr>
          <w:p w14:paraId="3A8D993F">
            <w:pPr>
              <w:spacing w:line="240" w:lineRule="auto"/>
              <w:jc w:val="left"/>
              <w:rPr>
                <w:rFonts w:hint="eastAsia" w:ascii="宋体" w:hAnsi="宋体" w:eastAsia="宋体" w:cs="宋体"/>
                <w:b/>
                <w:color w:val="auto"/>
                <w:sz w:val="21"/>
                <w:szCs w:val="21"/>
              </w:rPr>
            </w:pPr>
            <w:r>
              <w:rPr>
                <w:rFonts w:hint="eastAsia" w:ascii="宋体" w:hAnsi="宋体" w:eastAsia="宋体" w:cs="宋体"/>
                <w:b/>
                <w:color w:val="auto"/>
                <w:sz w:val="21"/>
                <w:szCs w:val="21"/>
              </w:rPr>
              <w:t>㈡实践部分：</w:t>
            </w:r>
          </w:p>
          <w:p w14:paraId="653CC8F2">
            <w:pPr>
              <w:spacing w:line="240" w:lineRule="auto"/>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1.各运动项目和身体素质为主，主要包括篮球、足球、五人制足球、排球、乒乓球、排舞(女)、武术、散打、健美操(女)、排舞(女)、花样跳绳、飞盘和体育保健等。</w:t>
            </w:r>
          </w:p>
          <w:p w14:paraId="2A4B0B60">
            <w:pPr>
              <w:widowControl/>
              <w:spacing w:line="240" w:lineRule="auto"/>
              <w:ind w:left="-44" w:leftChars="-21" w:right="-109" w:rightChars="-52" w:firstLine="44" w:firstLineChars="21"/>
              <w:jc w:val="left"/>
              <w:rPr>
                <w:rFonts w:hint="eastAsia" w:ascii="宋体" w:hAnsi="宋体" w:eastAsia="宋体" w:cs="宋体"/>
                <w:color w:val="auto"/>
                <w:kern w:val="0"/>
                <w:sz w:val="21"/>
                <w:szCs w:val="21"/>
              </w:rPr>
            </w:pPr>
            <w:r>
              <w:rPr>
                <w:rFonts w:hint="eastAsia" w:ascii="宋体" w:hAnsi="宋体" w:eastAsia="宋体" w:cs="宋体"/>
                <w:bCs/>
                <w:color w:val="auto"/>
                <w:sz w:val="21"/>
                <w:szCs w:val="21"/>
              </w:rPr>
              <w:t>2.健康标准测试和发展体能</w:t>
            </w:r>
          </w:p>
        </w:tc>
        <w:tc>
          <w:tcPr>
            <w:tcW w:w="1736" w:type="pct"/>
            <w:vAlign w:val="center"/>
          </w:tcPr>
          <w:p w14:paraId="1C0038A5">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通过学习，使学生了解和掌握所选运动项目的基本知识、基本技术和锻炼方法；</w:t>
            </w:r>
            <w:r>
              <w:rPr>
                <w:rFonts w:hint="eastAsia" w:ascii="宋体" w:hAnsi="宋体" w:eastAsia="宋体" w:cs="宋体"/>
                <w:bCs/>
                <w:color w:val="auto"/>
                <w:sz w:val="21"/>
                <w:szCs w:val="21"/>
              </w:rPr>
              <w:t>发展学生的力量、灵敏、协调、平衡等身体素质及提高感知能力</w:t>
            </w:r>
            <w:r>
              <w:rPr>
                <w:rFonts w:hint="eastAsia" w:ascii="宋体" w:hAnsi="宋体" w:eastAsia="宋体" w:cs="宋体"/>
                <w:color w:val="auto"/>
                <w:sz w:val="21"/>
                <w:szCs w:val="21"/>
              </w:rPr>
              <w:t>；增强人际交往能力，培养团结协作的集体主义精神、顽强拼搏的竞争意识和爱国主义情怀。</w:t>
            </w:r>
          </w:p>
        </w:tc>
        <w:tc>
          <w:tcPr>
            <w:tcW w:w="430" w:type="pct"/>
            <w:vAlign w:val="center"/>
          </w:tcPr>
          <w:p w14:paraId="4F89D274">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26</w:t>
            </w:r>
          </w:p>
        </w:tc>
        <w:tc>
          <w:tcPr>
            <w:tcW w:w="523" w:type="pct"/>
            <w:vAlign w:val="center"/>
          </w:tcPr>
          <w:p w14:paraId="755B950A">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讲授</w:t>
            </w:r>
            <w:r>
              <w:rPr>
                <w:rFonts w:hint="eastAsia" w:ascii="宋体" w:hAnsi="宋体" w:eastAsia="宋体" w:cs="宋体"/>
                <w:color w:val="auto"/>
                <w:sz w:val="21"/>
                <w:szCs w:val="21"/>
                <w:lang w:val="en-US" w:eastAsia="zh-CN"/>
              </w:rPr>
              <w:t>法</w:t>
            </w:r>
            <w:r>
              <w:rPr>
                <w:rFonts w:hint="eastAsia" w:ascii="宋体" w:hAnsi="宋体" w:eastAsia="宋体" w:cs="宋体"/>
                <w:color w:val="auto"/>
                <w:sz w:val="21"/>
                <w:szCs w:val="21"/>
              </w:rPr>
              <w:t>演示</w:t>
            </w:r>
            <w:r>
              <w:rPr>
                <w:rFonts w:hint="eastAsia" w:ascii="宋体" w:hAnsi="宋体" w:eastAsia="宋体" w:cs="宋体"/>
                <w:color w:val="auto"/>
                <w:sz w:val="21"/>
                <w:szCs w:val="21"/>
                <w:lang w:val="en-US" w:eastAsia="zh-CN"/>
              </w:rPr>
              <w:t>法</w:t>
            </w:r>
            <w:r>
              <w:rPr>
                <w:rFonts w:hint="eastAsia" w:ascii="宋体" w:hAnsi="宋体" w:eastAsia="宋体" w:cs="宋体"/>
                <w:color w:val="auto"/>
                <w:sz w:val="21"/>
                <w:szCs w:val="21"/>
              </w:rPr>
              <w:t>练习法</w:t>
            </w:r>
          </w:p>
        </w:tc>
      </w:tr>
      <w:tr w14:paraId="6DA8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6CA2786F">
            <w:pPr>
              <w:spacing w:line="240" w:lineRule="auto"/>
              <w:jc w:val="center"/>
              <w:rPr>
                <w:rFonts w:hint="eastAsia" w:ascii="宋体" w:hAnsi="宋体" w:eastAsia="宋体" w:cs="宋体"/>
                <w:color w:val="auto"/>
                <w:sz w:val="21"/>
                <w:szCs w:val="21"/>
              </w:rPr>
            </w:pPr>
          </w:p>
        </w:tc>
        <w:tc>
          <w:tcPr>
            <w:tcW w:w="4664" w:type="pct"/>
            <w:gridSpan w:val="4"/>
            <w:vAlign w:val="center"/>
          </w:tcPr>
          <w:p w14:paraId="4771642A">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课程思政元素：</w:t>
            </w:r>
            <w:r>
              <w:rPr>
                <w:rFonts w:hint="eastAsia" w:ascii="宋体" w:hAnsi="宋体" w:eastAsia="宋体" w:cs="宋体"/>
                <w:color w:val="auto"/>
                <w:kern w:val="0"/>
                <w:sz w:val="21"/>
                <w:szCs w:val="21"/>
              </w:rPr>
              <w:t>爱国主义和集体主义教育；体育道德观、意志品德培育；规则意识和诚信意识教育。</w:t>
            </w:r>
          </w:p>
        </w:tc>
      </w:tr>
    </w:tbl>
    <w:p w14:paraId="2A6430D3">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color w:val="auto"/>
          <w:sz w:val="28"/>
          <w:szCs w:val="28"/>
        </w:rPr>
      </w:pPr>
      <w:r>
        <w:rPr>
          <w:rFonts w:hint="eastAsia" w:ascii="宋体" w:hAnsi="宋体" w:eastAsia="宋体" w:cs="宋体"/>
          <w:b/>
          <w:bCs/>
          <w:color w:val="auto"/>
          <w:kern w:val="0"/>
          <w:sz w:val="24"/>
          <w:lang w:val="en-US" w:eastAsia="zh-CN"/>
        </w:rPr>
        <w:t>四、课程实施</w:t>
      </w:r>
    </w:p>
    <w:p w14:paraId="60B1EA83">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（一）教学方法与手段</w:t>
      </w:r>
    </w:p>
    <w:p w14:paraId="247E97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1．本课程以实践教学为主，教学方法与手段的运用要考虑到学生的实际情况，从实际出发，因材施教，注意区别对待，激发学生学习兴趣，着重培养学生自学、自练、自评、互评等能力。  </w:t>
      </w:r>
    </w:p>
    <w:p w14:paraId="279848D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2．教学方法与手段的运用合理，注意防止伤害事故发生，重视学生自我保护能力培养。</w:t>
      </w:r>
    </w:p>
    <w:p w14:paraId="182FAB8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3．针对体育教学的特点，本课程将采用：讲解法、示范法、完整法、分解法、集体练习、小组练习等教学方法，并利用多媒体教学方式，提高学生的欣赏能力、让学生更加深刻的了解所学项目。</w:t>
      </w:r>
    </w:p>
    <w:p w14:paraId="77D4868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（二）课程实施与保障</w:t>
      </w:r>
    </w:p>
    <w:tbl>
      <w:tblPr>
        <w:tblStyle w:val="15"/>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134"/>
        <w:gridCol w:w="6758"/>
      </w:tblGrid>
      <w:tr w14:paraId="06F1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gridSpan w:val="2"/>
            <w:tcBorders>
              <w:top w:val="single" w:color="auto" w:sz="8" w:space="0"/>
              <w:left w:val="single" w:color="auto" w:sz="8" w:space="0"/>
              <w:right w:val="single" w:color="auto" w:sz="8" w:space="0"/>
            </w:tcBorders>
            <w:tcMar>
              <w:left w:w="28" w:type="dxa"/>
              <w:right w:w="28" w:type="dxa"/>
            </w:tcMar>
            <w:vAlign w:val="center"/>
          </w:tcPr>
          <w:p w14:paraId="2F39C821">
            <w:pPr>
              <w:spacing w:line="276" w:lineRule="auto"/>
              <w:jc w:val="center"/>
              <w:rPr>
                <w:rFonts w:hint="eastAsia" w:ascii="宋体" w:hAnsi="宋体" w:eastAsia="宋体" w:cs="宋体"/>
                <w:color w:val="auto"/>
                <w:sz w:val="24"/>
              </w:rPr>
            </w:pPr>
            <w:r>
              <w:rPr>
                <w:rFonts w:hint="eastAsia" w:ascii="宋体" w:hAnsi="宋体" w:eastAsia="宋体" w:cs="宋体"/>
                <w:b/>
                <w:bCs/>
                <w:color w:val="auto"/>
                <w:sz w:val="24"/>
              </w:rPr>
              <w:t>主要教学环节</w:t>
            </w:r>
          </w:p>
        </w:tc>
        <w:tc>
          <w:tcPr>
            <w:tcW w:w="6758" w:type="dxa"/>
            <w:tcBorders>
              <w:top w:val="single" w:color="auto" w:sz="8" w:space="0"/>
              <w:left w:val="single" w:color="auto" w:sz="8" w:space="0"/>
              <w:right w:val="single" w:color="auto" w:sz="8" w:space="0"/>
            </w:tcBorders>
            <w:vAlign w:val="center"/>
          </w:tcPr>
          <w:p w14:paraId="56BF60CB">
            <w:pPr>
              <w:spacing w:line="276" w:lineRule="auto"/>
              <w:jc w:val="center"/>
              <w:rPr>
                <w:rFonts w:hint="eastAsia" w:ascii="宋体" w:hAnsi="宋体" w:eastAsia="宋体" w:cs="宋体"/>
                <w:color w:val="auto"/>
                <w:sz w:val="24"/>
              </w:rPr>
            </w:pPr>
            <w:r>
              <w:rPr>
                <w:rFonts w:hint="eastAsia" w:ascii="宋体" w:hAnsi="宋体" w:eastAsia="宋体" w:cs="宋体"/>
                <w:b/>
                <w:bCs/>
                <w:color w:val="auto"/>
                <w:sz w:val="24"/>
              </w:rPr>
              <w:t>质量要求</w:t>
            </w:r>
          </w:p>
        </w:tc>
      </w:tr>
      <w:tr w14:paraId="57FA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6FF8F219">
            <w:pPr>
              <w:spacing w:line="276" w:lineRule="auto"/>
              <w:jc w:val="center"/>
              <w:rPr>
                <w:rFonts w:hint="eastAsia" w:ascii="宋体" w:hAnsi="宋体" w:eastAsia="宋体" w:cs="宋体"/>
                <w:color w:val="auto"/>
                <w:sz w:val="24"/>
              </w:rPr>
            </w:pPr>
            <w:r>
              <w:rPr>
                <w:rFonts w:hint="eastAsia" w:ascii="宋体" w:hAnsi="宋体" w:eastAsia="宋体" w:cs="宋体"/>
                <w:color w:val="auto"/>
                <w:sz w:val="24"/>
              </w:rPr>
              <w:t>1</w:t>
            </w:r>
          </w:p>
        </w:tc>
        <w:tc>
          <w:tcPr>
            <w:tcW w:w="1134" w:type="dxa"/>
            <w:tcMar>
              <w:left w:w="28" w:type="dxa"/>
              <w:right w:w="28" w:type="dxa"/>
            </w:tcMar>
            <w:vAlign w:val="center"/>
          </w:tcPr>
          <w:p w14:paraId="3C6C8B3D">
            <w:pPr>
              <w:spacing w:line="276" w:lineRule="auto"/>
              <w:jc w:val="center"/>
              <w:rPr>
                <w:rFonts w:hint="eastAsia" w:ascii="宋体" w:hAnsi="宋体" w:eastAsia="宋体" w:cs="宋体"/>
                <w:color w:val="auto"/>
                <w:sz w:val="24"/>
              </w:rPr>
            </w:pPr>
            <w:r>
              <w:rPr>
                <w:rFonts w:hint="eastAsia" w:ascii="宋体" w:hAnsi="宋体" w:eastAsia="宋体" w:cs="宋体"/>
                <w:color w:val="auto"/>
                <w:sz w:val="24"/>
              </w:rPr>
              <w:t>备课</w:t>
            </w:r>
          </w:p>
        </w:tc>
        <w:tc>
          <w:tcPr>
            <w:tcW w:w="6758" w:type="dxa"/>
            <w:tcBorders>
              <w:right w:val="single" w:color="auto" w:sz="8" w:space="0"/>
            </w:tcBorders>
            <w:vAlign w:val="center"/>
          </w:tcPr>
          <w:p w14:paraId="2B267B34">
            <w:pPr>
              <w:autoSpaceDE w:val="0"/>
              <w:autoSpaceDN w:val="0"/>
              <w:adjustRightInd w:val="0"/>
              <w:snapToGrid w:val="0"/>
              <w:spacing w:line="320" w:lineRule="exact"/>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1.掌握本课程教学大纲内容，严格按照教学大纲要求进行本课程教学内容的组织；</w:t>
            </w:r>
          </w:p>
          <w:p w14:paraId="7E513DC6">
            <w:pPr>
              <w:autoSpaceDE w:val="0"/>
              <w:autoSpaceDN w:val="0"/>
              <w:adjustRightInd w:val="0"/>
              <w:snapToGrid w:val="0"/>
              <w:spacing w:line="320" w:lineRule="exact"/>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2.熟悉教材各章节，借助相关专业书籍资料，并依据教学大纲编写授课计划；</w:t>
            </w:r>
          </w:p>
          <w:p w14:paraId="0DBBC480">
            <w:pPr>
              <w:autoSpaceDE w:val="0"/>
              <w:autoSpaceDN w:val="0"/>
              <w:adjustRightInd w:val="0"/>
              <w:snapToGrid w:val="0"/>
              <w:spacing w:line="320" w:lineRule="exact"/>
              <w:jc w:val="left"/>
              <w:rPr>
                <w:rFonts w:hint="eastAsia" w:ascii="宋体" w:hAnsi="宋体" w:eastAsia="宋体" w:cs="宋体"/>
                <w:color w:val="auto"/>
                <w:spacing w:val="-10"/>
                <w:kern w:val="0"/>
                <w:sz w:val="21"/>
                <w:szCs w:val="21"/>
              </w:rPr>
            </w:pPr>
            <w:r>
              <w:rPr>
                <w:rFonts w:hint="eastAsia" w:ascii="宋体" w:hAnsi="宋体" w:eastAsia="宋体" w:cs="宋体"/>
                <w:color w:val="auto"/>
                <w:spacing w:val="-10"/>
                <w:kern w:val="0"/>
                <w:sz w:val="21"/>
                <w:szCs w:val="21"/>
              </w:rPr>
              <w:t xml:space="preserve">3.结合课程特点，制作课件，运用多媒体教学手段讲授部分教学内容； </w:t>
            </w:r>
          </w:p>
          <w:p w14:paraId="776E27CE">
            <w:pPr>
              <w:autoSpaceDE w:val="0"/>
              <w:autoSpaceDN w:val="0"/>
              <w:adjustRightInd w:val="0"/>
              <w:snapToGrid w:val="0"/>
              <w:spacing w:line="320" w:lineRule="exact"/>
              <w:jc w:val="left"/>
              <w:rPr>
                <w:rFonts w:hint="eastAsia" w:ascii="宋体" w:hAnsi="宋体" w:eastAsia="宋体" w:cs="宋体"/>
                <w:color w:val="auto"/>
                <w:sz w:val="21"/>
                <w:szCs w:val="21"/>
              </w:rPr>
            </w:pPr>
            <w:r>
              <w:rPr>
                <w:rFonts w:hint="eastAsia" w:ascii="宋体" w:hAnsi="宋体" w:eastAsia="宋体" w:cs="宋体"/>
                <w:color w:val="auto"/>
                <w:kern w:val="0"/>
                <w:sz w:val="21"/>
                <w:szCs w:val="21"/>
              </w:rPr>
              <w:t>4.确定各章节课程内容的教学方法，构思授课思路、技巧和方法。</w:t>
            </w:r>
          </w:p>
        </w:tc>
      </w:tr>
      <w:tr w14:paraId="37C8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2E79D224">
            <w:pPr>
              <w:spacing w:line="276" w:lineRule="auto"/>
              <w:jc w:val="center"/>
              <w:rPr>
                <w:rFonts w:hint="eastAsia" w:ascii="宋体" w:hAnsi="宋体" w:eastAsia="宋体" w:cs="宋体"/>
                <w:color w:val="auto"/>
                <w:sz w:val="24"/>
              </w:rPr>
            </w:pPr>
            <w:r>
              <w:rPr>
                <w:rFonts w:hint="eastAsia" w:ascii="宋体" w:hAnsi="宋体" w:eastAsia="宋体" w:cs="宋体"/>
                <w:color w:val="auto"/>
                <w:sz w:val="24"/>
              </w:rPr>
              <w:t>2</w:t>
            </w:r>
          </w:p>
        </w:tc>
        <w:tc>
          <w:tcPr>
            <w:tcW w:w="1134" w:type="dxa"/>
            <w:tcMar>
              <w:left w:w="28" w:type="dxa"/>
              <w:right w:w="28" w:type="dxa"/>
            </w:tcMar>
            <w:vAlign w:val="center"/>
          </w:tcPr>
          <w:p w14:paraId="127F89BF">
            <w:pPr>
              <w:spacing w:line="276" w:lineRule="auto"/>
              <w:jc w:val="center"/>
              <w:rPr>
                <w:rFonts w:hint="eastAsia" w:ascii="宋体" w:hAnsi="宋体" w:eastAsia="宋体" w:cs="宋体"/>
                <w:color w:val="auto"/>
                <w:sz w:val="24"/>
              </w:rPr>
            </w:pPr>
            <w:r>
              <w:rPr>
                <w:rFonts w:hint="eastAsia" w:ascii="宋体" w:hAnsi="宋体" w:eastAsia="宋体" w:cs="宋体"/>
                <w:color w:val="auto"/>
                <w:sz w:val="24"/>
              </w:rPr>
              <w:t>讲授</w:t>
            </w:r>
          </w:p>
        </w:tc>
        <w:tc>
          <w:tcPr>
            <w:tcW w:w="6758" w:type="dxa"/>
            <w:tcBorders>
              <w:right w:val="single" w:color="auto" w:sz="8" w:space="0"/>
            </w:tcBorders>
            <w:vAlign w:val="center"/>
          </w:tcPr>
          <w:p w14:paraId="41D40F9F">
            <w:pPr>
              <w:autoSpaceDE w:val="0"/>
              <w:autoSpaceDN w:val="0"/>
              <w:adjustRightInd w:val="0"/>
              <w:snapToGrid w:val="0"/>
              <w:spacing w:line="320" w:lineRule="exact"/>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r>
              <w:rPr>
                <w:rFonts w:hint="eastAsia" w:ascii="宋体" w:hAnsi="宋体" w:eastAsia="宋体" w:cs="宋体"/>
                <w:color w:val="auto"/>
                <w:sz w:val="21"/>
                <w:szCs w:val="21"/>
              </w:rPr>
              <w:t>满足需要，发展个性；</w:t>
            </w:r>
            <w:r>
              <w:rPr>
                <w:rFonts w:hint="eastAsia" w:ascii="宋体" w:hAnsi="宋体" w:eastAsia="宋体" w:cs="宋体"/>
                <w:color w:val="auto"/>
                <w:kern w:val="0"/>
                <w:sz w:val="21"/>
                <w:szCs w:val="21"/>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7F68192E">
            <w:pPr>
              <w:autoSpaceDE w:val="0"/>
              <w:autoSpaceDN w:val="0"/>
              <w:adjustRightInd w:val="0"/>
              <w:snapToGrid w:val="0"/>
              <w:spacing w:line="320" w:lineRule="exact"/>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2.采用多种教学方式（如启发式教学、导学式、发现式等），精讲多练，培养学生自学、自练、自评、互评等能力。</w:t>
            </w:r>
          </w:p>
          <w:p w14:paraId="579AF26B">
            <w:pPr>
              <w:autoSpaceDE w:val="0"/>
              <w:autoSpaceDN w:val="0"/>
              <w:adjustRightInd w:val="0"/>
              <w:snapToGrid w:val="0"/>
              <w:spacing w:line="320" w:lineRule="exact"/>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6E52E4AF">
            <w:pPr>
              <w:autoSpaceDE w:val="0"/>
              <w:autoSpaceDN w:val="0"/>
              <w:adjustRightInd w:val="0"/>
              <w:snapToGrid w:val="0"/>
              <w:spacing w:line="320" w:lineRule="exact"/>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4.区别对待，因材施教。重视安全和关心基础较差的学生成长。</w:t>
            </w:r>
          </w:p>
          <w:p w14:paraId="7D1C0A67">
            <w:pPr>
              <w:autoSpaceDE w:val="0"/>
              <w:autoSpaceDN w:val="0"/>
              <w:adjustRightInd w:val="0"/>
              <w:snapToGrid w:val="0"/>
              <w:spacing w:line="320" w:lineRule="exact"/>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5.教学中教师要以身作则，言传身教，做到既教学又育人。培养学生的优良品质，达到身心全面发展。</w:t>
            </w:r>
          </w:p>
        </w:tc>
      </w:tr>
      <w:tr w14:paraId="05491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0F256BDC">
            <w:pPr>
              <w:spacing w:line="276" w:lineRule="auto"/>
              <w:jc w:val="center"/>
              <w:rPr>
                <w:rFonts w:hint="eastAsia" w:ascii="宋体" w:hAnsi="宋体" w:eastAsia="宋体" w:cs="宋体"/>
                <w:color w:val="auto"/>
                <w:sz w:val="24"/>
              </w:rPr>
            </w:pPr>
            <w:r>
              <w:rPr>
                <w:rFonts w:hint="eastAsia" w:ascii="宋体" w:hAnsi="宋体" w:eastAsia="宋体" w:cs="宋体"/>
                <w:color w:val="auto"/>
                <w:sz w:val="24"/>
              </w:rPr>
              <w:t>3</w:t>
            </w:r>
          </w:p>
        </w:tc>
        <w:tc>
          <w:tcPr>
            <w:tcW w:w="1134" w:type="dxa"/>
            <w:tcMar>
              <w:left w:w="28" w:type="dxa"/>
              <w:right w:w="28" w:type="dxa"/>
            </w:tcMar>
            <w:vAlign w:val="center"/>
          </w:tcPr>
          <w:p w14:paraId="29A79304">
            <w:pPr>
              <w:spacing w:line="276" w:lineRule="auto"/>
              <w:jc w:val="center"/>
              <w:rPr>
                <w:rFonts w:hint="eastAsia" w:ascii="宋体" w:hAnsi="宋体" w:eastAsia="宋体" w:cs="宋体"/>
                <w:color w:val="auto"/>
                <w:sz w:val="24"/>
              </w:rPr>
            </w:pPr>
            <w:r>
              <w:rPr>
                <w:rFonts w:hint="eastAsia" w:ascii="宋体" w:hAnsi="宋体" w:eastAsia="宋体" w:cs="宋体"/>
                <w:color w:val="auto"/>
                <w:sz w:val="24"/>
              </w:rPr>
              <w:t>课外练习</w:t>
            </w:r>
          </w:p>
        </w:tc>
        <w:tc>
          <w:tcPr>
            <w:tcW w:w="6758" w:type="dxa"/>
            <w:tcBorders>
              <w:right w:val="single" w:color="auto" w:sz="8" w:space="0"/>
            </w:tcBorders>
            <w:vAlign w:val="center"/>
          </w:tcPr>
          <w:p w14:paraId="1CBFCDDB">
            <w:pPr>
              <w:autoSpaceDE w:val="0"/>
              <w:autoSpaceDN w:val="0"/>
              <w:adjustRightInd w:val="0"/>
              <w:snapToGrid w:val="0"/>
              <w:spacing w:line="320" w:lineRule="exact"/>
              <w:jc w:val="left"/>
              <w:rPr>
                <w:rFonts w:hint="eastAsia" w:ascii="宋体" w:hAnsi="宋体" w:eastAsia="宋体" w:cs="宋体"/>
                <w:color w:val="auto"/>
                <w:kern w:val="0"/>
                <w:sz w:val="22"/>
              </w:rPr>
            </w:pPr>
            <w:r>
              <w:rPr>
                <w:rFonts w:hint="eastAsia" w:ascii="宋体" w:hAnsi="宋体" w:eastAsia="宋体" w:cs="宋体"/>
                <w:color w:val="auto"/>
                <w:kern w:val="0"/>
                <w:sz w:val="22"/>
              </w:rPr>
              <w:t>课外练习是教师布置课外练习内容，重点要求学生利用课余时间巩固课堂上所学的技术动作，形成正确的动力定型，同时要求学生加强身体素质练习。</w:t>
            </w:r>
          </w:p>
        </w:tc>
      </w:tr>
      <w:tr w14:paraId="6660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5FECA6E9">
            <w:pPr>
              <w:spacing w:line="276" w:lineRule="auto"/>
              <w:jc w:val="center"/>
              <w:rPr>
                <w:rFonts w:hint="eastAsia" w:ascii="宋体" w:hAnsi="宋体" w:eastAsia="宋体" w:cs="宋体"/>
                <w:color w:val="auto"/>
                <w:sz w:val="24"/>
              </w:rPr>
            </w:pPr>
            <w:r>
              <w:rPr>
                <w:rFonts w:hint="eastAsia" w:ascii="宋体" w:hAnsi="宋体" w:eastAsia="宋体" w:cs="宋体"/>
                <w:color w:val="auto"/>
                <w:sz w:val="24"/>
              </w:rPr>
              <w:t>4</w:t>
            </w:r>
          </w:p>
        </w:tc>
        <w:tc>
          <w:tcPr>
            <w:tcW w:w="1134" w:type="dxa"/>
            <w:tcMar>
              <w:left w:w="28" w:type="dxa"/>
              <w:right w:w="28" w:type="dxa"/>
            </w:tcMar>
            <w:vAlign w:val="center"/>
          </w:tcPr>
          <w:p w14:paraId="14CC1569">
            <w:pPr>
              <w:spacing w:line="276" w:lineRule="auto"/>
              <w:jc w:val="center"/>
              <w:rPr>
                <w:rFonts w:hint="eastAsia" w:ascii="宋体" w:hAnsi="宋体" w:eastAsia="宋体" w:cs="宋体"/>
                <w:color w:val="auto"/>
                <w:sz w:val="24"/>
              </w:rPr>
            </w:pPr>
            <w:r>
              <w:rPr>
                <w:rFonts w:hint="eastAsia" w:ascii="宋体" w:hAnsi="宋体" w:eastAsia="宋体" w:cs="宋体"/>
                <w:color w:val="auto"/>
                <w:sz w:val="24"/>
              </w:rPr>
              <w:t>成绩考核</w:t>
            </w:r>
          </w:p>
        </w:tc>
        <w:tc>
          <w:tcPr>
            <w:tcW w:w="6758" w:type="dxa"/>
            <w:tcBorders>
              <w:right w:val="single" w:color="auto" w:sz="8" w:space="0"/>
            </w:tcBorders>
            <w:vAlign w:val="center"/>
          </w:tcPr>
          <w:p w14:paraId="745E0BAC">
            <w:pPr>
              <w:autoSpaceDE w:val="0"/>
              <w:autoSpaceDN w:val="0"/>
              <w:adjustRightInd w:val="0"/>
              <w:snapToGrid w:val="0"/>
              <w:spacing w:line="320" w:lineRule="exact"/>
              <w:jc w:val="left"/>
              <w:rPr>
                <w:rFonts w:hint="eastAsia" w:ascii="宋体" w:hAnsi="宋体" w:eastAsia="宋体" w:cs="宋体"/>
                <w:color w:val="auto"/>
                <w:kern w:val="0"/>
                <w:sz w:val="22"/>
              </w:rPr>
            </w:pPr>
            <w:r>
              <w:rPr>
                <w:rFonts w:hint="eastAsia" w:ascii="宋体" w:hAnsi="宋体" w:eastAsia="宋体" w:cs="宋体"/>
                <w:color w:val="auto"/>
                <w:kern w:val="0"/>
                <w:sz w:val="22"/>
              </w:rPr>
              <w:t>本课程考核的方式：考试。总评成绩的评定见课程评分方案。有下列情况之一者，总评成绩为不及格：</w:t>
            </w:r>
          </w:p>
          <w:p w14:paraId="56F2BDF8">
            <w:pPr>
              <w:autoSpaceDE w:val="0"/>
              <w:autoSpaceDN w:val="0"/>
              <w:adjustRightInd w:val="0"/>
              <w:snapToGrid w:val="0"/>
              <w:spacing w:line="320" w:lineRule="exact"/>
              <w:jc w:val="left"/>
              <w:rPr>
                <w:rFonts w:hint="eastAsia" w:ascii="宋体" w:hAnsi="宋体" w:eastAsia="宋体" w:cs="宋体"/>
                <w:color w:val="auto"/>
                <w:kern w:val="0"/>
                <w:sz w:val="22"/>
              </w:rPr>
            </w:pPr>
            <w:r>
              <w:rPr>
                <w:rFonts w:hint="eastAsia" w:ascii="宋体" w:hAnsi="宋体" w:eastAsia="宋体" w:cs="宋体"/>
                <w:color w:val="auto"/>
                <w:kern w:val="0"/>
                <w:sz w:val="22"/>
              </w:rPr>
              <w:t>1.课外体育锻炼不合格者；</w:t>
            </w:r>
          </w:p>
          <w:p w14:paraId="396EAFEE">
            <w:pPr>
              <w:autoSpaceDE w:val="0"/>
              <w:autoSpaceDN w:val="0"/>
              <w:adjustRightInd w:val="0"/>
              <w:snapToGrid w:val="0"/>
              <w:spacing w:line="320" w:lineRule="exact"/>
              <w:jc w:val="left"/>
              <w:rPr>
                <w:rFonts w:hint="eastAsia" w:ascii="宋体" w:hAnsi="宋体" w:eastAsia="宋体" w:cs="宋体"/>
                <w:color w:val="auto"/>
                <w:kern w:val="0"/>
                <w:sz w:val="22"/>
              </w:rPr>
            </w:pPr>
            <w:r>
              <w:rPr>
                <w:rFonts w:hint="eastAsia" w:ascii="宋体" w:hAnsi="宋体" w:eastAsia="宋体" w:cs="宋体"/>
                <w:color w:val="auto"/>
                <w:kern w:val="0"/>
                <w:sz w:val="22"/>
              </w:rPr>
              <w:t>2.缺课次数达本学期总授课学时的1/3以上者；</w:t>
            </w:r>
          </w:p>
        </w:tc>
      </w:tr>
    </w:tbl>
    <w:p w14:paraId="0FB85328">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五、课程考核</w:t>
      </w:r>
    </w:p>
    <w:p w14:paraId="2D5ADC61">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（一）课程考核由期末考试和平时考核构成，期末考试采用随堂方式。</w:t>
      </w:r>
    </w:p>
    <w:p w14:paraId="11C54D95">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（二）课程总评成绩=平时成绩50%+期末考试50%，平时成绩=课堂表现10%+课外体育锻炼20%+身体素质20%。</w:t>
      </w:r>
    </w:p>
    <w:p w14:paraId="593E0686">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具体内容和比例如表所示：</w:t>
      </w:r>
    </w:p>
    <w:tbl>
      <w:tblPr>
        <w:tblStyle w:val="15"/>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86"/>
        <w:gridCol w:w="1310"/>
      </w:tblGrid>
      <w:tr w14:paraId="134D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tcMar>
              <w:left w:w="57" w:type="dxa"/>
              <w:right w:w="57" w:type="dxa"/>
            </w:tcMar>
            <w:vAlign w:val="center"/>
          </w:tcPr>
          <w:p w14:paraId="3B8D21C4">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成绩组成</w:t>
            </w:r>
          </w:p>
        </w:tc>
        <w:tc>
          <w:tcPr>
            <w:tcW w:w="1301" w:type="dxa"/>
            <w:shd w:val="clear" w:color="auto" w:fill="FFFFFF"/>
            <w:vAlign w:val="center"/>
          </w:tcPr>
          <w:p w14:paraId="305522F0">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考核/评价环节</w:t>
            </w:r>
          </w:p>
        </w:tc>
        <w:tc>
          <w:tcPr>
            <w:tcW w:w="741" w:type="dxa"/>
            <w:shd w:val="clear" w:color="auto" w:fill="FFFFFF"/>
            <w:vAlign w:val="center"/>
          </w:tcPr>
          <w:p w14:paraId="4D2A16A5">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权重</w:t>
            </w:r>
          </w:p>
        </w:tc>
        <w:tc>
          <w:tcPr>
            <w:tcW w:w="4086" w:type="dxa"/>
            <w:shd w:val="clear" w:color="auto" w:fill="FFFFFF"/>
            <w:vAlign w:val="center"/>
          </w:tcPr>
          <w:p w14:paraId="62B3A064">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考核/评价细则</w:t>
            </w:r>
          </w:p>
        </w:tc>
        <w:tc>
          <w:tcPr>
            <w:tcW w:w="1310" w:type="dxa"/>
            <w:shd w:val="clear" w:color="auto" w:fill="FFFFFF"/>
            <w:vAlign w:val="center"/>
          </w:tcPr>
          <w:p w14:paraId="201CFE1D">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对应的毕业要求指标点</w:t>
            </w:r>
          </w:p>
        </w:tc>
      </w:tr>
      <w:tr w14:paraId="7060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tcMar>
              <w:left w:w="57" w:type="dxa"/>
              <w:right w:w="57" w:type="dxa"/>
            </w:tcMar>
            <w:vAlign w:val="center"/>
          </w:tcPr>
          <w:p w14:paraId="188C6C0C">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平时成绩</w:t>
            </w:r>
          </w:p>
          <w:p w14:paraId="5E19D7EF">
            <w:pPr>
              <w:jc w:val="center"/>
              <w:rPr>
                <w:rFonts w:hint="eastAsia" w:ascii="宋体" w:hAnsi="宋体" w:eastAsia="宋体" w:cs="宋体"/>
                <w:color w:val="auto"/>
                <w:sz w:val="21"/>
                <w:szCs w:val="21"/>
              </w:rPr>
            </w:pPr>
            <w:r>
              <w:rPr>
                <w:rFonts w:hint="eastAsia" w:ascii="宋体" w:hAnsi="宋体" w:eastAsia="宋体" w:cs="宋体"/>
                <w:color w:val="auto"/>
                <w:sz w:val="21"/>
                <w:szCs w:val="21"/>
              </w:rPr>
              <w:t>50%</w:t>
            </w:r>
          </w:p>
        </w:tc>
        <w:tc>
          <w:tcPr>
            <w:tcW w:w="1301" w:type="dxa"/>
            <w:vAlign w:val="center"/>
          </w:tcPr>
          <w:p w14:paraId="207DC1EB">
            <w:pPr>
              <w:spacing w:line="276"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课堂表现</w:t>
            </w:r>
          </w:p>
        </w:tc>
        <w:tc>
          <w:tcPr>
            <w:tcW w:w="741" w:type="dxa"/>
            <w:vAlign w:val="center"/>
          </w:tcPr>
          <w:p w14:paraId="138522E6">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10%</w:t>
            </w:r>
          </w:p>
        </w:tc>
        <w:tc>
          <w:tcPr>
            <w:tcW w:w="4086" w:type="dxa"/>
            <w:vAlign w:val="center"/>
          </w:tcPr>
          <w:p w14:paraId="759892D0">
            <w:pPr>
              <w:spacing w:line="320" w:lineRule="exact"/>
              <w:jc w:val="left"/>
              <w:rPr>
                <w:rFonts w:hint="eastAsia" w:ascii="宋体" w:hAnsi="宋体" w:eastAsia="宋体" w:cs="宋体"/>
                <w:color w:val="auto"/>
                <w:sz w:val="21"/>
                <w:szCs w:val="21"/>
              </w:rPr>
            </w:pPr>
            <w:r>
              <w:rPr>
                <w:rFonts w:hint="eastAsia" w:ascii="宋体" w:hAnsi="宋体" w:eastAsia="宋体" w:cs="宋体"/>
                <w:bCs/>
                <w:color w:val="auto"/>
                <w:kern w:val="24"/>
                <w:sz w:val="21"/>
                <w:szCs w:val="21"/>
              </w:rPr>
              <w:t>课堂整队点名，考核</w:t>
            </w:r>
            <w:r>
              <w:rPr>
                <w:rFonts w:hint="eastAsia" w:ascii="宋体" w:hAnsi="宋体" w:eastAsia="宋体" w:cs="宋体"/>
                <w:color w:val="auto"/>
                <w:sz w:val="21"/>
                <w:szCs w:val="21"/>
              </w:rPr>
              <w:t>能否按时到勤，旷课一次扣20分，迟到与早退等一次扣10分。</w:t>
            </w:r>
          </w:p>
        </w:tc>
        <w:tc>
          <w:tcPr>
            <w:tcW w:w="1310" w:type="dxa"/>
            <w:vAlign w:val="center"/>
          </w:tcPr>
          <w:p w14:paraId="79453DC7">
            <w:pPr>
              <w:jc w:val="center"/>
              <w:rPr>
                <w:rFonts w:hint="default"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2、6</w:t>
            </w:r>
          </w:p>
        </w:tc>
      </w:tr>
      <w:tr w14:paraId="12F2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tcMar>
              <w:left w:w="57" w:type="dxa"/>
              <w:right w:w="57" w:type="dxa"/>
            </w:tcMar>
            <w:vAlign w:val="center"/>
          </w:tcPr>
          <w:p w14:paraId="2E8D79E2">
            <w:pPr>
              <w:jc w:val="center"/>
              <w:rPr>
                <w:rFonts w:hint="eastAsia" w:ascii="宋体" w:hAnsi="宋体" w:eastAsia="宋体" w:cs="宋体"/>
                <w:color w:val="auto"/>
                <w:sz w:val="21"/>
                <w:szCs w:val="21"/>
              </w:rPr>
            </w:pPr>
          </w:p>
        </w:tc>
        <w:tc>
          <w:tcPr>
            <w:tcW w:w="1301" w:type="dxa"/>
            <w:vAlign w:val="center"/>
          </w:tcPr>
          <w:p w14:paraId="0489A1DB">
            <w:pPr>
              <w:spacing w:line="276"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课外锻炼</w:t>
            </w:r>
          </w:p>
        </w:tc>
        <w:tc>
          <w:tcPr>
            <w:tcW w:w="741" w:type="dxa"/>
            <w:vAlign w:val="center"/>
          </w:tcPr>
          <w:p w14:paraId="2F12FE5D">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20%</w:t>
            </w:r>
          </w:p>
        </w:tc>
        <w:tc>
          <w:tcPr>
            <w:tcW w:w="4086" w:type="dxa"/>
            <w:vAlign w:val="center"/>
          </w:tcPr>
          <w:p w14:paraId="06B50B48">
            <w:pPr>
              <w:spacing w:line="280" w:lineRule="exact"/>
              <w:jc w:val="left"/>
              <w:rPr>
                <w:rFonts w:hint="eastAsia" w:ascii="宋体" w:hAnsi="宋体" w:eastAsia="宋体" w:cs="宋体"/>
                <w:bCs/>
                <w:color w:val="auto"/>
                <w:kern w:val="24"/>
                <w:sz w:val="21"/>
                <w:szCs w:val="21"/>
              </w:rPr>
            </w:pPr>
            <w:r>
              <w:rPr>
                <w:rFonts w:hint="eastAsia" w:ascii="宋体" w:hAnsi="宋体" w:eastAsia="宋体" w:cs="宋体"/>
                <w:bCs/>
                <w:color w:val="auto"/>
                <w:kern w:val="24"/>
                <w:sz w:val="21"/>
                <w:szCs w:val="21"/>
              </w:rPr>
              <w:t>课外体育锻炼成绩纳入学期体育成绩总评，占总评分数的20%。主要包括晨跑、课外健身跑、健身辅导站、体育社团或单项协会健身活动和校级、院级、体育社团组织的体育竞赛活动等。</w:t>
            </w:r>
          </w:p>
        </w:tc>
        <w:tc>
          <w:tcPr>
            <w:tcW w:w="1310" w:type="dxa"/>
            <w:vAlign w:val="center"/>
          </w:tcPr>
          <w:p w14:paraId="6A7E864C">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2、6</w:t>
            </w:r>
          </w:p>
        </w:tc>
      </w:tr>
      <w:tr w14:paraId="34AC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040" w:type="dxa"/>
            <w:vMerge w:val="continue"/>
            <w:tcMar>
              <w:left w:w="57" w:type="dxa"/>
              <w:right w:w="57" w:type="dxa"/>
            </w:tcMar>
            <w:vAlign w:val="center"/>
          </w:tcPr>
          <w:p w14:paraId="0D815DF8">
            <w:pPr>
              <w:jc w:val="center"/>
              <w:rPr>
                <w:rFonts w:hint="eastAsia" w:ascii="宋体" w:hAnsi="宋体" w:eastAsia="宋体" w:cs="宋体"/>
                <w:color w:val="auto"/>
                <w:sz w:val="21"/>
                <w:szCs w:val="21"/>
              </w:rPr>
            </w:pPr>
          </w:p>
        </w:tc>
        <w:tc>
          <w:tcPr>
            <w:tcW w:w="1301" w:type="dxa"/>
            <w:vAlign w:val="center"/>
          </w:tcPr>
          <w:p w14:paraId="36FEA4EC">
            <w:pPr>
              <w:spacing w:line="276"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身体素质</w:t>
            </w:r>
          </w:p>
        </w:tc>
        <w:tc>
          <w:tcPr>
            <w:tcW w:w="741" w:type="dxa"/>
            <w:vAlign w:val="center"/>
          </w:tcPr>
          <w:p w14:paraId="6209C38E">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20%</w:t>
            </w:r>
          </w:p>
        </w:tc>
        <w:tc>
          <w:tcPr>
            <w:tcW w:w="4086" w:type="dxa"/>
            <w:vAlign w:val="center"/>
          </w:tcPr>
          <w:p w14:paraId="2BA005EA">
            <w:pPr>
              <w:spacing w:line="280" w:lineRule="exact"/>
              <w:jc w:val="left"/>
              <w:rPr>
                <w:rFonts w:hint="eastAsia" w:ascii="宋体" w:hAnsi="宋体" w:eastAsia="宋体" w:cs="宋体"/>
                <w:color w:val="auto"/>
                <w:sz w:val="21"/>
                <w:szCs w:val="21"/>
              </w:rPr>
            </w:pPr>
            <w:r>
              <w:rPr>
                <w:rFonts w:hint="eastAsia" w:ascii="宋体" w:hAnsi="宋体" w:eastAsia="宋体" w:cs="宋体"/>
                <w:bCs/>
                <w:color w:val="auto"/>
                <w:kern w:val="24"/>
                <w:sz w:val="21"/>
                <w:szCs w:val="21"/>
              </w:rPr>
              <w:t>课堂测试，评分参照《国家学生体质健康标准》。</w:t>
            </w:r>
          </w:p>
        </w:tc>
        <w:tc>
          <w:tcPr>
            <w:tcW w:w="1310" w:type="dxa"/>
            <w:vAlign w:val="center"/>
          </w:tcPr>
          <w:p w14:paraId="350FA7FE">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2、6</w:t>
            </w:r>
          </w:p>
        </w:tc>
      </w:tr>
      <w:tr w14:paraId="70B6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40" w:type="dxa"/>
            <w:tcMar>
              <w:left w:w="57" w:type="dxa"/>
              <w:right w:w="57" w:type="dxa"/>
            </w:tcMar>
            <w:vAlign w:val="center"/>
          </w:tcPr>
          <w:p w14:paraId="59E1A23A">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期末考试</w:t>
            </w:r>
          </w:p>
          <w:p w14:paraId="4019691B">
            <w:pPr>
              <w:jc w:val="center"/>
              <w:rPr>
                <w:rFonts w:hint="eastAsia" w:ascii="宋体" w:hAnsi="宋体" w:eastAsia="宋体" w:cs="宋体"/>
                <w:color w:val="auto"/>
                <w:sz w:val="21"/>
                <w:szCs w:val="21"/>
              </w:rPr>
            </w:pPr>
            <w:r>
              <w:rPr>
                <w:rFonts w:hint="eastAsia" w:ascii="宋体" w:hAnsi="宋体" w:eastAsia="宋体" w:cs="宋体"/>
                <w:color w:val="auto"/>
                <w:sz w:val="21"/>
                <w:szCs w:val="21"/>
              </w:rPr>
              <w:t>50%</w:t>
            </w:r>
          </w:p>
        </w:tc>
        <w:tc>
          <w:tcPr>
            <w:tcW w:w="1301" w:type="dxa"/>
            <w:vAlign w:val="center"/>
          </w:tcPr>
          <w:p w14:paraId="29E20913">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期末运动技能考试</w:t>
            </w:r>
          </w:p>
        </w:tc>
        <w:tc>
          <w:tcPr>
            <w:tcW w:w="741" w:type="dxa"/>
            <w:vAlign w:val="center"/>
          </w:tcPr>
          <w:p w14:paraId="5F82F6B1">
            <w:pPr>
              <w:jc w:val="center"/>
              <w:rPr>
                <w:rFonts w:hint="eastAsia" w:ascii="宋体" w:hAnsi="宋体" w:eastAsia="宋体" w:cs="宋体"/>
                <w:color w:val="auto"/>
                <w:sz w:val="21"/>
                <w:szCs w:val="21"/>
              </w:rPr>
            </w:pPr>
            <w:r>
              <w:rPr>
                <w:rFonts w:hint="eastAsia" w:ascii="宋体" w:hAnsi="宋体" w:eastAsia="宋体" w:cs="宋体"/>
                <w:color w:val="auto"/>
                <w:sz w:val="21"/>
                <w:szCs w:val="21"/>
              </w:rPr>
              <w:t>50%</w:t>
            </w:r>
          </w:p>
        </w:tc>
        <w:tc>
          <w:tcPr>
            <w:tcW w:w="4086" w:type="dxa"/>
            <w:vAlign w:val="center"/>
          </w:tcPr>
          <w:p w14:paraId="3E3EC782">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各专项技能</w:t>
            </w:r>
          </w:p>
        </w:tc>
        <w:tc>
          <w:tcPr>
            <w:tcW w:w="1310" w:type="dxa"/>
            <w:vAlign w:val="center"/>
          </w:tcPr>
          <w:p w14:paraId="09788C96">
            <w:pPr>
              <w:jc w:val="center"/>
              <w:rPr>
                <w:rFonts w:hint="default"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2、6</w:t>
            </w:r>
          </w:p>
        </w:tc>
      </w:tr>
    </w:tbl>
    <w:p w14:paraId="15E23BA7">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六、有关说明</w:t>
      </w:r>
    </w:p>
    <w:p w14:paraId="23172F4A">
      <w:pPr>
        <w:spacing w:line="360" w:lineRule="auto"/>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（一）持续改进</w:t>
      </w:r>
    </w:p>
    <w:p w14:paraId="4B7DF782">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本课程根据学生课外体育锻炼、课堂表现、身体素质测试、平时考核情况，以及学生、教学督导等反馈，及时对教学中不足之处进行改进</w:t>
      </w:r>
      <w:r>
        <w:rPr>
          <w:rFonts w:hint="eastAsia" w:ascii="宋体" w:hAnsi="宋体" w:eastAsia="宋体" w:cs="宋体"/>
          <w:color w:val="auto"/>
          <w:sz w:val="21"/>
          <w:szCs w:val="20"/>
        </w:rPr>
        <w:t>，并在下一轮课程教学中整改完善，</w:t>
      </w:r>
      <w:r>
        <w:rPr>
          <w:rFonts w:hint="eastAsia" w:ascii="宋体" w:hAnsi="宋体" w:eastAsia="宋体" w:cs="宋体"/>
          <w:color w:val="auto"/>
          <w:sz w:val="21"/>
          <w:szCs w:val="21"/>
        </w:rPr>
        <w:t>确保相应毕业要求指标点达成。</w:t>
      </w:r>
    </w:p>
    <w:p w14:paraId="3A8D16F6">
      <w:pPr>
        <w:spacing w:line="360" w:lineRule="auto"/>
        <w:ind w:firstLine="422" w:firstLineChars="200"/>
        <w:jc w:val="left"/>
        <w:rPr>
          <w:rFonts w:hint="eastAsia" w:ascii="宋体" w:hAnsi="宋体" w:eastAsia="宋体" w:cs="宋体"/>
          <w:color w:val="auto"/>
          <w:sz w:val="21"/>
          <w:szCs w:val="21"/>
        </w:rPr>
      </w:pPr>
      <w:r>
        <w:rPr>
          <w:rFonts w:hint="eastAsia" w:ascii="宋体" w:hAnsi="宋体" w:eastAsia="宋体" w:cs="宋体"/>
          <w:b/>
          <w:color w:val="auto"/>
          <w:sz w:val="21"/>
          <w:szCs w:val="21"/>
        </w:rPr>
        <w:t>（二）教学参考书</w:t>
      </w:r>
    </w:p>
    <w:p w14:paraId="51B6A1F3">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1.毛振明.大学体育文化与实技教程[M].沈阳：东北大学出版社，2013.</w:t>
      </w:r>
    </w:p>
    <w:p w14:paraId="666FC529">
      <w:pPr>
        <w:wordWrap w:val="0"/>
        <w:spacing w:line="360" w:lineRule="auto"/>
        <w:ind w:firstLine="420" w:firstLineChars="200"/>
        <w:jc w:val="right"/>
        <w:rPr>
          <w:rFonts w:hint="eastAsia" w:ascii="宋体" w:hAnsi="宋体" w:eastAsia="宋体" w:cs="宋体"/>
          <w:color w:val="auto"/>
          <w:sz w:val="21"/>
          <w:szCs w:val="21"/>
        </w:rPr>
      </w:pPr>
      <w:r>
        <w:rPr>
          <w:rFonts w:hint="eastAsia" w:ascii="宋体" w:hAnsi="宋体" w:eastAsia="宋体" w:cs="宋体"/>
          <w:color w:val="auto"/>
          <w:sz w:val="21"/>
          <w:szCs w:val="21"/>
        </w:rPr>
        <w:t>执笔人：顾  宏</w:t>
      </w:r>
    </w:p>
    <w:p w14:paraId="68EBA696">
      <w:pPr>
        <w:wordWrap w:val="0"/>
        <w:spacing w:line="360" w:lineRule="auto"/>
        <w:ind w:firstLine="420" w:firstLineChars="200"/>
        <w:jc w:val="right"/>
        <w:rPr>
          <w:rFonts w:hint="eastAsia" w:ascii="宋体" w:hAnsi="宋体" w:eastAsia="宋体" w:cs="宋体"/>
          <w:color w:val="auto"/>
          <w:sz w:val="21"/>
          <w:szCs w:val="21"/>
        </w:rPr>
      </w:pPr>
      <w:r>
        <w:rPr>
          <w:rFonts w:hint="eastAsia" w:ascii="宋体" w:hAnsi="宋体" w:eastAsia="宋体" w:cs="宋体"/>
          <w:color w:val="auto"/>
          <w:sz w:val="21"/>
          <w:szCs w:val="21"/>
        </w:rPr>
        <w:t>审定人：朱亚男</w:t>
      </w:r>
    </w:p>
    <w:p w14:paraId="3362A987">
      <w:pPr>
        <w:spacing w:line="360" w:lineRule="auto"/>
        <w:ind w:firstLine="420" w:firstLineChars="200"/>
        <w:jc w:val="right"/>
        <w:rPr>
          <w:rFonts w:hint="eastAsia" w:ascii="宋体" w:hAnsi="宋体" w:eastAsia="宋体" w:cs="宋体"/>
          <w:color w:val="auto"/>
          <w:sz w:val="21"/>
          <w:szCs w:val="21"/>
        </w:rPr>
      </w:pPr>
      <w:r>
        <w:rPr>
          <w:rFonts w:hint="eastAsia" w:ascii="宋体" w:hAnsi="宋体" w:eastAsia="宋体" w:cs="宋体"/>
          <w:color w:val="auto"/>
          <w:sz w:val="21"/>
          <w:szCs w:val="21"/>
        </w:rPr>
        <w:t>批准人：王红福</w:t>
      </w:r>
    </w:p>
    <w:p w14:paraId="294DBA5B">
      <w:pPr>
        <w:spacing w:line="360" w:lineRule="auto"/>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批准时间：2025年7月1日</w:t>
      </w:r>
    </w:p>
    <w:p w14:paraId="6B0E5C22">
      <w:pPr>
        <w:rPr>
          <w:rFonts w:hint="eastAsia" w:ascii="仿宋" w:hAnsi="仿宋" w:eastAsia="仿宋"/>
          <w:color w:val="auto"/>
          <w:sz w:val="24"/>
        </w:rPr>
      </w:pPr>
      <w:r>
        <w:rPr>
          <w:rFonts w:ascii="仿宋" w:hAnsi="仿宋" w:eastAsia="仿宋"/>
          <w:color w:val="auto"/>
          <w:sz w:val="24"/>
        </w:rPr>
        <w:br w:type="page"/>
      </w:r>
    </w:p>
    <w:p w14:paraId="20F1781E">
      <w:pPr>
        <w:spacing w:line="360" w:lineRule="auto"/>
        <w:jc w:val="center"/>
        <w:outlineLvl w:val="0"/>
        <w:rPr>
          <w:rFonts w:hint="eastAsia" w:ascii="Times New Roman" w:hAnsi="Times New Roman" w:eastAsia="宋体" w:cs="Times New Roman"/>
          <w:b/>
          <w:sz w:val="44"/>
          <w:szCs w:val="44"/>
        </w:rPr>
      </w:pPr>
      <w:bookmarkStart w:id="24" w:name="_Toc19387"/>
      <w:bookmarkStart w:id="25" w:name="_Toc16066"/>
      <w:r>
        <w:rPr>
          <w:rFonts w:hint="eastAsia" w:ascii="Times New Roman" w:hAnsi="Times New Roman" w:eastAsia="宋体" w:cs="Times New Roman"/>
          <w:b/>
          <w:sz w:val="44"/>
          <w:szCs w:val="44"/>
        </w:rPr>
        <w:t>《体育III》课程教学大纲</w:t>
      </w:r>
      <w:bookmarkEnd w:id="24"/>
      <w:bookmarkEnd w:id="25"/>
    </w:p>
    <w:p w14:paraId="6A99E2CC">
      <w:pPr>
        <w:spacing w:line="360" w:lineRule="auto"/>
        <w:jc w:val="center"/>
        <w:rPr>
          <w:rFonts w:hint="eastAsia" w:ascii="Times New Roman" w:hAnsi="Times New Roman" w:eastAsia="宋体" w:cs="Times New Roman"/>
          <w:b/>
          <w:bCs/>
          <w:sz w:val="28"/>
          <w:szCs w:val="28"/>
        </w:rPr>
      </w:pPr>
      <w:r>
        <w:rPr>
          <w:rFonts w:ascii="Times New Roman" w:hAnsi="Times New Roman" w:eastAsia="宋体" w:cs="Times New Roman"/>
          <w:b/>
          <w:bCs/>
          <w:sz w:val="28"/>
          <w:szCs w:val="28"/>
        </w:rPr>
        <w:t>（Physical  Education I</w:t>
      </w:r>
      <w:r>
        <w:rPr>
          <w:rFonts w:hint="eastAsia" w:ascii="Times New Roman" w:hAnsi="Times New Roman" w:eastAsia="宋体" w:cs="Times New Roman"/>
          <w:b/>
          <w:bCs/>
          <w:sz w:val="28"/>
          <w:szCs w:val="28"/>
        </w:rPr>
        <w:t>II</w:t>
      </w:r>
      <w:r>
        <w:rPr>
          <w:rFonts w:ascii="Times New Roman" w:hAnsi="Times New Roman" w:eastAsia="宋体" w:cs="Times New Roman"/>
          <w:b/>
          <w:bCs/>
          <w:sz w:val="28"/>
          <w:szCs w:val="28"/>
        </w:rPr>
        <w:t>）</w:t>
      </w:r>
    </w:p>
    <w:p w14:paraId="37F5B5F7">
      <w:pPr>
        <w:rPr>
          <w:rFonts w:hint="eastAsia" w:ascii="宋体" w:hAnsi="宋体" w:eastAsia="宋体" w:cs="宋体"/>
          <w:color w:val="auto"/>
          <w:sz w:val="21"/>
          <w:szCs w:val="21"/>
        </w:rPr>
      </w:pPr>
    </w:p>
    <w:p w14:paraId="163ADC12">
      <w:pPr>
        <w:spacing w:line="360" w:lineRule="auto"/>
        <w:ind w:firstLine="482" w:firstLineChars="200"/>
        <w:rPr>
          <w:rFonts w:hint="default" w:cs="宋体" w:asciiTheme="majorEastAsia" w:hAnsiTheme="majorEastAsia" w:eastAsiaTheme="majorEastAsia"/>
          <w:b/>
          <w:bCs/>
          <w:kern w:val="0"/>
          <w:sz w:val="24"/>
          <w:szCs w:val="24"/>
          <w:lang w:val="en-US" w:eastAsia="zh-CN"/>
        </w:rPr>
      </w:pPr>
      <w:r>
        <w:rPr>
          <w:rFonts w:hint="eastAsia" w:cs="宋体" w:asciiTheme="majorEastAsia" w:hAnsiTheme="majorEastAsia" w:eastAsiaTheme="majorEastAsia"/>
          <w:b/>
          <w:bCs/>
          <w:kern w:val="0"/>
          <w:sz w:val="24"/>
          <w:szCs w:val="24"/>
          <w:lang w:val="en-US" w:eastAsia="zh-CN"/>
        </w:rPr>
        <w:t>课程名称：体育III</w:t>
      </w:r>
    </w:p>
    <w:p w14:paraId="14712FA8">
      <w:pPr>
        <w:spacing w:line="360" w:lineRule="auto"/>
        <w:ind w:firstLine="482" w:firstLineChars="200"/>
        <w:rPr>
          <w:rFonts w:hint="eastAsia" w:cs="宋体" w:asciiTheme="majorEastAsia" w:hAnsiTheme="majorEastAsia" w:eastAsiaTheme="majorEastAsia"/>
          <w:b/>
          <w:bCs/>
          <w:sz w:val="24"/>
          <w:szCs w:val="24"/>
        </w:rPr>
      </w:pPr>
      <w:r>
        <w:rPr>
          <w:rFonts w:hint="eastAsia" w:cs="宋体" w:asciiTheme="majorEastAsia" w:hAnsiTheme="majorEastAsia" w:eastAsiaTheme="majorEastAsia"/>
          <w:b/>
          <w:bCs/>
          <w:kern w:val="0"/>
          <w:sz w:val="24"/>
          <w:szCs w:val="24"/>
        </w:rPr>
        <w:t>课程代码：1102010</w:t>
      </w:r>
    </w:p>
    <w:p w14:paraId="229264C9">
      <w:pPr>
        <w:spacing w:line="360" w:lineRule="auto"/>
        <w:ind w:firstLine="482" w:firstLineChars="200"/>
        <w:rPr>
          <w:rFonts w:hint="eastAsia" w:cs="宋体" w:asciiTheme="majorEastAsia" w:hAnsiTheme="majorEastAsia" w:eastAsiaTheme="majorEastAsia"/>
          <w:b/>
          <w:bCs/>
          <w:kern w:val="0"/>
          <w:sz w:val="24"/>
          <w:szCs w:val="24"/>
        </w:rPr>
      </w:pPr>
      <w:r>
        <w:rPr>
          <w:rFonts w:hint="eastAsia" w:cs="宋体" w:asciiTheme="majorEastAsia" w:hAnsiTheme="majorEastAsia" w:eastAsiaTheme="majorEastAsia"/>
          <w:b/>
          <w:bCs/>
          <w:kern w:val="0"/>
          <w:sz w:val="24"/>
          <w:szCs w:val="24"/>
        </w:rPr>
        <w:t>学    分：0.75</w:t>
      </w:r>
    </w:p>
    <w:p w14:paraId="7984C889">
      <w:pPr>
        <w:spacing w:line="360" w:lineRule="auto"/>
        <w:ind w:firstLine="482" w:firstLineChars="200"/>
        <w:rPr>
          <w:rFonts w:hint="eastAsia" w:cs="宋体" w:asciiTheme="majorEastAsia" w:hAnsiTheme="majorEastAsia" w:eastAsiaTheme="majorEastAsia"/>
          <w:b/>
          <w:bCs/>
          <w:kern w:val="0"/>
          <w:sz w:val="24"/>
          <w:szCs w:val="24"/>
        </w:rPr>
      </w:pPr>
      <w:r>
        <w:rPr>
          <w:rFonts w:hint="eastAsia" w:cs="宋体" w:asciiTheme="majorEastAsia" w:hAnsiTheme="majorEastAsia" w:eastAsiaTheme="majorEastAsia"/>
          <w:b/>
          <w:bCs/>
          <w:kern w:val="0"/>
          <w:sz w:val="24"/>
          <w:szCs w:val="24"/>
        </w:rPr>
        <w:t>学    时：30</w:t>
      </w:r>
    </w:p>
    <w:p w14:paraId="1D07BDF9">
      <w:pPr>
        <w:spacing w:line="360" w:lineRule="auto"/>
        <w:ind w:firstLine="482" w:firstLineChars="200"/>
        <w:rPr>
          <w:rFonts w:hint="eastAsia" w:cs="宋体" w:asciiTheme="majorEastAsia" w:hAnsiTheme="majorEastAsia" w:eastAsiaTheme="majorEastAsia"/>
          <w:b/>
          <w:bCs/>
          <w:kern w:val="0"/>
          <w:sz w:val="24"/>
          <w:szCs w:val="24"/>
        </w:rPr>
      </w:pPr>
      <w:r>
        <w:rPr>
          <w:rFonts w:hint="eastAsia" w:cs="宋体" w:asciiTheme="majorEastAsia" w:hAnsiTheme="majorEastAsia" w:eastAsiaTheme="majorEastAsia"/>
          <w:b/>
          <w:bCs/>
          <w:kern w:val="0"/>
          <w:sz w:val="24"/>
          <w:szCs w:val="24"/>
        </w:rPr>
        <w:t>先修课程：无</w:t>
      </w:r>
    </w:p>
    <w:p w14:paraId="7D0730AA">
      <w:pPr>
        <w:spacing w:line="360" w:lineRule="auto"/>
        <w:ind w:firstLine="482" w:firstLineChars="200"/>
        <w:rPr>
          <w:rFonts w:hint="eastAsia" w:cs="宋体" w:asciiTheme="majorEastAsia" w:hAnsiTheme="majorEastAsia" w:eastAsiaTheme="majorEastAsia"/>
          <w:kern w:val="0"/>
          <w:szCs w:val="21"/>
        </w:rPr>
      </w:pPr>
      <w:r>
        <w:rPr>
          <w:rFonts w:hint="eastAsia" w:cs="宋体" w:asciiTheme="majorEastAsia" w:hAnsiTheme="majorEastAsia" w:eastAsiaTheme="majorEastAsia"/>
          <w:b/>
          <w:bCs/>
          <w:kern w:val="0"/>
          <w:sz w:val="24"/>
          <w:szCs w:val="24"/>
        </w:rPr>
        <w:t xml:space="preserve">适用专业：全校各专业    </w:t>
      </w:r>
      <w:r>
        <w:rPr>
          <w:rFonts w:hint="eastAsia" w:cs="宋体" w:asciiTheme="majorEastAsia" w:hAnsiTheme="majorEastAsia" w:eastAsiaTheme="majorEastAsia"/>
          <w:kern w:val="0"/>
          <w:szCs w:val="21"/>
        </w:rPr>
        <w:t xml:space="preserve">                    </w:t>
      </w:r>
    </w:p>
    <w:p w14:paraId="5173743F">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一、课程简介</w:t>
      </w:r>
    </w:p>
    <w:p w14:paraId="4BCBF257">
      <w:pPr>
        <w:autoSpaceDE w:val="0"/>
        <w:autoSpaceDN w:val="0"/>
        <w:adjustRightInd w:val="0"/>
        <w:spacing w:line="360" w:lineRule="auto"/>
        <w:ind w:firstLine="420" w:firstLineChars="200"/>
        <w:jc w:val="left"/>
        <w:rPr>
          <w:rFonts w:hint="eastAsia" w:cs="宋体" w:asciiTheme="majorEastAsia" w:hAnsiTheme="majorEastAsia" w:eastAsiaTheme="majorEastAsia"/>
          <w:szCs w:val="21"/>
        </w:rPr>
      </w:pPr>
      <w:r>
        <w:rPr>
          <w:rFonts w:hint="eastAsia" w:cs="宋体" w:asciiTheme="majorEastAsia" w:hAnsiTheme="majorEastAsia" w:eastAsiaTheme="majorEastAsia"/>
          <w:szCs w:val="21"/>
        </w:rPr>
        <w:t>本课程是面向全校各专业开设的以身体练习为主要手段，以培养学生体育人文素养和塑造健全人格为主要目的，以提高学生体质健康水平为主要目标的通识必修课。其教学安排在第二学年</w:t>
      </w:r>
    </w:p>
    <w:p w14:paraId="0CD57DEF">
      <w:pPr>
        <w:autoSpaceDE w:val="0"/>
        <w:autoSpaceDN w:val="0"/>
        <w:adjustRightInd w:val="0"/>
        <w:spacing w:line="360" w:lineRule="auto"/>
        <w:ind w:firstLine="420" w:firstLineChars="200"/>
        <w:jc w:val="left"/>
        <w:rPr>
          <w:rFonts w:hint="eastAsia" w:cs="宋体" w:asciiTheme="majorEastAsia" w:hAnsiTheme="majorEastAsia" w:eastAsiaTheme="majorEastAsia"/>
          <w:szCs w:val="21"/>
        </w:rPr>
      </w:pPr>
      <w:r>
        <w:rPr>
          <w:rFonts w:hint="eastAsia" w:cs="宋体" w:asciiTheme="majorEastAsia" w:hAnsiTheme="majorEastAsia" w:eastAsiaTheme="majorEastAsia"/>
          <w:szCs w:val="21"/>
        </w:rPr>
        <w:t>第三学期进行。课程主要内容包括篮球、足球、排球、羽毛球、乒乓球、网球、武术、手球、健美（男）、健美操（女）、艺术体操、跆拳道、散打、瑜伽、体育舞蹈和体育保健等项目。</w:t>
      </w:r>
    </w:p>
    <w:p w14:paraId="2A718EFF">
      <w:pPr>
        <w:spacing w:line="360" w:lineRule="auto"/>
        <w:ind w:firstLine="420" w:firstLineChars="200"/>
        <w:rPr>
          <w:rFonts w:hint="eastAsia" w:cs="宋体" w:asciiTheme="majorEastAsia" w:hAnsiTheme="majorEastAsia" w:eastAsiaTheme="majorEastAsia"/>
          <w:szCs w:val="21"/>
        </w:rPr>
      </w:pPr>
      <w:r>
        <w:rPr>
          <w:rFonts w:hint="eastAsia" w:cs="宋体" w:asciiTheme="majorEastAsia" w:hAnsiTheme="majorEastAsia" w:eastAsiaTheme="majorEastAsia"/>
          <w:szCs w:val="21"/>
        </w:rPr>
        <w:t>通过本课程的学习，使学生较全面、系统地掌握所学项目的基本理论知识，正确、熟练地掌握所学项目基本技术和战术，发展专项身体素质，并能在比赛或练习中灵活运用，从而提高学生的身体素质和促进学生身心健康发展。坚持以立德树人为根本，通过融入社会主义核心价值观、做人做事的道理和体育精神等课程思政元素，培养学生的爱国情怀、良好的体育道德风尚、团队精神、体育文化素养和顽强的意志品质。基本形成终身体育意识和自觉锻炼习惯。</w:t>
      </w:r>
    </w:p>
    <w:p w14:paraId="0F9F072F">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二、课程目标</w:t>
      </w:r>
    </w:p>
    <w:p w14:paraId="09FD2610">
      <w:pPr>
        <w:spacing w:line="360" w:lineRule="auto"/>
        <w:ind w:firstLine="420" w:firstLineChars="200"/>
        <w:rPr>
          <w:rFonts w:hint="eastAsia" w:cs="宋体" w:asciiTheme="majorEastAsia" w:hAnsiTheme="majorEastAsia" w:eastAsiaTheme="majorEastAsia"/>
          <w:szCs w:val="21"/>
        </w:rPr>
      </w:pPr>
      <w:r>
        <w:rPr>
          <w:rFonts w:hint="eastAsia" w:cs="宋体" w:asciiTheme="majorEastAsia" w:hAnsiTheme="majorEastAsia" w:eastAsiaTheme="majorEastAsia"/>
          <w:szCs w:val="21"/>
        </w:rPr>
        <w:t>目标1：全面发展体能，提高运动能力，掌握体育基本理论知识和基本技术，具有一定的体育文化素养和体育欣赏能力。树立“健康第一”思想和正确的体育道德观，培养勇于拼搏、团结进取、战胜自我的优良品质。</w:t>
      </w:r>
    </w:p>
    <w:p w14:paraId="7E5400D9">
      <w:pPr>
        <w:spacing w:line="360" w:lineRule="auto"/>
        <w:ind w:firstLine="420" w:firstLineChars="200"/>
        <w:rPr>
          <w:rFonts w:hint="eastAsia" w:cs="宋体" w:asciiTheme="majorEastAsia" w:hAnsiTheme="majorEastAsia" w:eastAsiaTheme="majorEastAsia"/>
          <w:szCs w:val="21"/>
        </w:rPr>
      </w:pPr>
      <w:r>
        <w:rPr>
          <w:rFonts w:hint="eastAsia" w:cs="宋体" w:asciiTheme="majorEastAsia" w:hAnsiTheme="majorEastAsia" w:eastAsiaTheme="majorEastAsia"/>
          <w:szCs w:val="21"/>
        </w:rPr>
        <w:t>目标2：爱好并积极参与各种体育运动，掌握1-2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70DA3BCC">
      <w:pPr>
        <w:spacing w:line="360" w:lineRule="auto"/>
        <w:ind w:firstLine="420" w:firstLineChars="200"/>
        <w:rPr>
          <w:rFonts w:hint="eastAsia" w:cs="宋体" w:asciiTheme="majorEastAsia" w:hAnsiTheme="majorEastAsia" w:eastAsiaTheme="majorEastAsia"/>
          <w:szCs w:val="21"/>
        </w:rPr>
      </w:pPr>
      <w:r>
        <w:rPr>
          <w:rFonts w:hint="eastAsia" w:cs="宋体" w:asciiTheme="majorEastAsia" w:hAnsiTheme="majorEastAsia" w:eastAsiaTheme="majorEastAsia"/>
          <w:szCs w:val="21"/>
        </w:rPr>
        <w:t>本课程支撑专业培养方案中毕业要求</w:t>
      </w:r>
      <w:r>
        <w:rPr>
          <w:rFonts w:hint="eastAsia" w:cs="宋体" w:asciiTheme="majorEastAsia" w:hAnsiTheme="majorEastAsia" w:eastAsiaTheme="majorEastAsia"/>
          <w:szCs w:val="21"/>
          <w:lang w:val="en-US" w:eastAsia="zh-CN"/>
        </w:rPr>
        <w:t>2</w:t>
      </w:r>
      <w:r>
        <w:rPr>
          <w:rFonts w:hint="eastAsia" w:cs="宋体" w:asciiTheme="majorEastAsia" w:hAnsiTheme="majorEastAsia" w:eastAsiaTheme="majorEastAsia"/>
          <w:szCs w:val="21"/>
        </w:rPr>
        <w:t>、</w:t>
      </w:r>
      <w:r>
        <w:rPr>
          <w:rFonts w:hint="eastAsia" w:cs="宋体" w:asciiTheme="majorEastAsia" w:hAnsiTheme="majorEastAsia" w:eastAsiaTheme="majorEastAsia"/>
          <w:szCs w:val="21"/>
          <w:lang w:val="en-US" w:eastAsia="zh-CN"/>
        </w:rPr>
        <w:t>6</w:t>
      </w:r>
      <w:r>
        <w:rPr>
          <w:rFonts w:hint="eastAsia" w:cs="宋体" w:asciiTheme="majorEastAsia" w:hAnsiTheme="majorEastAsia" w:eastAsiaTheme="majorEastAsia"/>
          <w:szCs w:val="21"/>
        </w:rPr>
        <w:t>(不同专业会略有区别，具体见培养方案中的毕业要求实现矩阵)，对应关系如下表所示。</w:t>
      </w:r>
    </w:p>
    <w:tbl>
      <w:tblPr>
        <w:tblStyle w:val="16"/>
        <w:tblW w:w="52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5690"/>
        <w:gridCol w:w="1189"/>
      </w:tblGrid>
      <w:tr w14:paraId="58FFE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Align w:val="center"/>
          </w:tcPr>
          <w:p w14:paraId="5779AF8E">
            <w:pPr>
              <w:jc w:val="center"/>
              <w:rPr>
                <w:rFonts w:hint="eastAsia" w:cs="宋体" w:asciiTheme="majorEastAsia" w:hAnsiTheme="majorEastAsia" w:eastAsiaTheme="majorEastAsia"/>
                <w:b/>
                <w:bCs/>
                <w:szCs w:val="21"/>
              </w:rPr>
            </w:pPr>
            <w:r>
              <w:rPr>
                <w:rFonts w:hint="eastAsia" w:cs="宋体" w:asciiTheme="majorEastAsia" w:hAnsiTheme="majorEastAsia" w:eastAsiaTheme="majorEastAsia"/>
                <w:b/>
                <w:bCs/>
                <w:szCs w:val="21"/>
              </w:rPr>
              <w:t>毕业要求2</w:t>
            </w:r>
          </w:p>
          <w:p w14:paraId="440E4855">
            <w:pPr>
              <w:jc w:val="center"/>
              <w:rPr>
                <w:rFonts w:hint="eastAsia" w:cs="宋体" w:asciiTheme="majorEastAsia" w:hAnsiTheme="majorEastAsia" w:eastAsiaTheme="majorEastAsia"/>
                <w:b/>
                <w:bCs/>
                <w:szCs w:val="21"/>
              </w:rPr>
            </w:pPr>
            <w:r>
              <w:rPr>
                <w:rFonts w:hint="eastAsia" w:cs="宋体" w:asciiTheme="majorEastAsia" w:hAnsiTheme="majorEastAsia" w:eastAsiaTheme="majorEastAsia"/>
                <w:b/>
                <w:bCs/>
                <w:szCs w:val="21"/>
              </w:rPr>
              <w:t>教育情怀</w:t>
            </w:r>
          </w:p>
        </w:tc>
        <w:tc>
          <w:tcPr>
            <w:tcW w:w="3169" w:type="pct"/>
            <w:vAlign w:val="center"/>
          </w:tcPr>
          <w:p w14:paraId="61540E07">
            <w:pPr>
              <w:rPr>
                <w:rFonts w:hint="eastAsia" w:cs="宋体" w:asciiTheme="majorEastAsia" w:hAnsiTheme="majorEastAsia" w:eastAsiaTheme="majorEastAsia"/>
                <w:szCs w:val="21"/>
              </w:rPr>
            </w:pPr>
            <w:r>
              <w:rPr>
                <w:rFonts w:hint="eastAsia" w:cs="宋体" w:asciiTheme="majorEastAsia" w:hAnsiTheme="majorEastAsia" w:eastAsiaTheme="majorEastAsia"/>
                <w:b/>
                <w:bCs/>
                <w:szCs w:val="21"/>
                <w:lang w:eastAsia="zh-CN"/>
              </w:rPr>
              <w:t>指标点2-3</w:t>
            </w:r>
            <w:r>
              <w:rPr>
                <w:rFonts w:hint="eastAsia" w:cs="宋体" w:asciiTheme="majorEastAsia" w:hAnsiTheme="majorEastAsia" w:eastAsiaTheme="majorEastAsia"/>
                <w:b/>
                <w:bCs/>
                <w:szCs w:val="21"/>
              </w:rPr>
              <w:t>：</w:t>
            </w:r>
            <w:r>
              <w:rPr>
                <w:rFonts w:hint="eastAsia" w:cs="宋体" w:asciiTheme="majorEastAsia" w:hAnsiTheme="majorEastAsia" w:eastAsiaTheme="majorEastAsia"/>
                <w:szCs w:val="21"/>
              </w:rPr>
              <w:t>【自身修养良好】具有较好的人文艺术底蕴与科学精神，言行举止符合教师职业标准，情感积极，人格健全，身心健康。</w:t>
            </w:r>
          </w:p>
        </w:tc>
        <w:tc>
          <w:tcPr>
            <w:tcW w:w="662" w:type="pct"/>
            <w:vAlign w:val="center"/>
          </w:tcPr>
          <w:p w14:paraId="5275BF99">
            <w:pPr>
              <w:rPr>
                <w:rFonts w:hint="eastAsia" w:cs="宋体" w:asciiTheme="majorEastAsia" w:hAnsiTheme="majorEastAsia" w:eastAsiaTheme="majorEastAsia"/>
                <w:szCs w:val="21"/>
                <w:lang w:eastAsia="zh"/>
              </w:rPr>
            </w:pPr>
            <w:r>
              <w:rPr>
                <w:rFonts w:hint="eastAsia" w:cs="宋体" w:asciiTheme="majorEastAsia" w:hAnsiTheme="majorEastAsia" w:eastAsiaTheme="majorEastAsia"/>
                <w:szCs w:val="21"/>
              </w:rPr>
              <w:t>课程目标</w:t>
            </w:r>
            <w:r>
              <w:rPr>
                <w:rFonts w:hint="eastAsia" w:cs="宋体" w:asciiTheme="majorEastAsia" w:hAnsiTheme="majorEastAsia" w:eastAsiaTheme="majorEastAsia"/>
                <w:szCs w:val="21"/>
                <w:lang w:eastAsia="zh"/>
              </w:rPr>
              <w:t>1</w:t>
            </w:r>
          </w:p>
        </w:tc>
      </w:tr>
      <w:tr w14:paraId="2150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Align w:val="center"/>
          </w:tcPr>
          <w:p w14:paraId="376F8B5F">
            <w:pPr>
              <w:jc w:val="center"/>
              <w:rPr>
                <w:rFonts w:hint="eastAsia" w:cs="宋体" w:asciiTheme="majorEastAsia" w:hAnsiTheme="majorEastAsia" w:eastAsiaTheme="majorEastAsia"/>
                <w:b/>
                <w:bCs/>
                <w:szCs w:val="21"/>
              </w:rPr>
            </w:pPr>
            <w:r>
              <w:rPr>
                <w:rFonts w:hint="eastAsia" w:cs="宋体" w:asciiTheme="majorEastAsia" w:hAnsiTheme="majorEastAsia" w:eastAsiaTheme="majorEastAsia"/>
                <w:b/>
                <w:bCs/>
                <w:szCs w:val="21"/>
              </w:rPr>
              <w:t>毕业要求6</w:t>
            </w:r>
          </w:p>
          <w:p w14:paraId="4CABD4DC">
            <w:pPr>
              <w:jc w:val="center"/>
              <w:rPr>
                <w:rFonts w:hint="eastAsia" w:cs="宋体" w:asciiTheme="majorEastAsia" w:hAnsiTheme="majorEastAsia" w:eastAsiaTheme="majorEastAsia"/>
                <w:b/>
                <w:bCs/>
                <w:szCs w:val="21"/>
              </w:rPr>
            </w:pPr>
            <w:r>
              <w:rPr>
                <w:rFonts w:hint="eastAsia" w:cs="宋体" w:asciiTheme="majorEastAsia" w:hAnsiTheme="majorEastAsia" w:eastAsiaTheme="majorEastAsia"/>
                <w:b/>
                <w:bCs/>
                <w:szCs w:val="21"/>
              </w:rPr>
              <w:t>综合育人</w:t>
            </w:r>
          </w:p>
        </w:tc>
        <w:tc>
          <w:tcPr>
            <w:tcW w:w="3169" w:type="pct"/>
            <w:vAlign w:val="center"/>
          </w:tcPr>
          <w:p w14:paraId="4D0865B7">
            <w:pPr>
              <w:rPr>
                <w:rFonts w:hint="eastAsia" w:cs="宋体" w:asciiTheme="majorEastAsia" w:hAnsiTheme="majorEastAsia" w:eastAsiaTheme="majorEastAsia"/>
                <w:szCs w:val="21"/>
              </w:rPr>
            </w:pPr>
            <w:r>
              <w:rPr>
                <w:rFonts w:hint="eastAsia" w:cs="宋体" w:asciiTheme="majorEastAsia" w:hAnsiTheme="majorEastAsia" w:eastAsiaTheme="majorEastAsia"/>
                <w:b/>
                <w:bCs/>
                <w:szCs w:val="21"/>
                <w:lang w:eastAsia="zh-CN"/>
              </w:rPr>
              <w:t>指标点6-3</w:t>
            </w:r>
            <w:r>
              <w:rPr>
                <w:rFonts w:hint="eastAsia" w:cs="宋体" w:asciiTheme="majorEastAsia" w:hAnsiTheme="majorEastAsia" w:eastAsiaTheme="majorEastAsia"/>
                <w:b/>
                <w:bCs/>
                <w:szCs w:val="21"/>
              </w:rPr>
              <w:t>：</w:t>
            </w:r>
            <w:r>
              <w:rPr>
                <w:rFonts w:hint="eastAsia" w:cs="宋体" w:asciiTheme="majorEastAsia" w:hAnsiTheme="majorEastAsia" w:eastAsiaTheme="majorEastAsia"/>
                <w:szCs w:val="21"/>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662" w:type="pct"/>
            <w:vAlign w:val="center"/>
          </w:tcPr>
          <w:p w14:paraId="04EB5651">
            <w:pPr>
              <w:rPr>
                <w:rFonts w:hint="eastAsia" w:cs="宋体" w:asciiTheme="majorEastAsia" w:hAnsiTheme="majorEastAsia" w:eastAsiaTheme="majorEastAsia"/>
                <w:szCs w:val="21"/>
              </w:rPr>
            </w:pPr>
            <w:r>
              <w:rPr>
                <w:rFonts w:hint="eastAsia" w:cs="宋体" w:asciiTheme="majorEastAsia" w:hAnsiTheme="majorEastAsia" w:eastAsiaTheme="majorEastAsia"/>
                <w:szCs w:val="21"/>
              </w:rPr>
              <w:t>课程目标1</w:t>
            </w:r>
          </w:p>
          <w:p w14:paraId="095DFF15">
            <w:pPr>
              <w:rPr>
                <w:rFonts w:hint="eastAsia" w:cs="宋体" w:asciiTheme="majorEastAsia" w:hAnsiTheme="majorEastAsia" w:eastAsiaTheme="majorEastAsia"/>
                <w:szCs w:val="21"/>
              </w:rPr>
            </w:pPr>
            <w:r>
              <w:rPr>
                <w:rFonts w:hint="eastAsia" w:cs="宋体" w:asciiTheme="majorEastAsia" w:hAnsiTheme="majorEastAsia" w:eastAsiaTheme="majorEastAsia"/>
                <w:szCs w:val="21"/>
              </w:rPr>
              <w:t>课程目标2</w:t>
            </w:r>
          </w:p>
        </w:tc>
      </w:tr>
    </w:tbl>
    <w:p w14:paraId="731E5697">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三、教学内容与预期学习成效</w:t>
      </w: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4027"/>
        <w:gridCol w:w="2706"/>
        <w:gridCol w:w="780"/>
        <w:gridCol w:w="951"/>
      </w:tblGrid>
      <w:tr w14:paraId="56E6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Align w:val="center"/>
          </w:tcPr>
          <w:p w14:paraId="264655E6">
            <w:pPr>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2219" w:type="pct"/>
            <w:vAlign w:val="center"/>
          </w:tcPr>
          <w:p w14:paraId="69380857">
            <w:pPr>
              <w:jc w:val="center"/>
              <w:rPr>
                <w:rFonts w:hint="eastAsia" w:ascii="宋体" w:hAnsi="宋体" w:eastAsia="宋体" w:cs="宋体"/>
                <w:b/>
                <w:bCs/>
                <w:sz w:val="21"/>
                <w:szCs w:val="21"/>
              </w:rPr>
            </w:pPr>
            <w:r>
              <w:rPr>
                <w:rFonts w:hint="eastAsia" w:ascii="宋体" w:hAnsi="宋体" w:eastAsia="宋体" w:cs="宋体"/>
                <w:b/>
                <w:bCs/>
                <w:sz w:val="21"/>
                <w:szCs w:val="21"/>
              </w:rPr>
              <w:t>教学内容</w:t>
            </w:r>
          </w:p>
        </w:tc>
        <w:tc>
          <w:tcPr>
            <w:tcW w:w="1491" w:type="pct"/>
            <w:vAlign w:val="center"/>
          </w:tcPr>
          <w:p w14:paraId="408D0855">
            <w:pPr>
              <w:jc w:val="center"/>
              <w:rPr>
                <w:rFonts w:hint="eastAsia" w:ascii="宋体" w:hAnsi="宋体" w:eastAsia="宋体" w:cs="宋体"/>
                <w:b/>
                <w:bCs/>
                <w:sz w:val="21"/>
                <w:szCs w:val="21"/>
              </w:rPr>
            </w:pPr>
            <w:r>
              <w:rPr>
                <w:rFonts w:hint="eastAsia" w:ascii="宋体" w:hAnsi="宋体" w:eastAsia="宋体" w:cs="宋体"/>
                <w:b/>
                <w:bCs/>
                <w:sz w:val="21"/>
                <w:szCs w:val="21"/>
              </w:rPr>
              <w:t>预期学习成果</w:t>
            </w:r>
          </w:p>
        </w:tc>
        <w:tc>
          <w:tcPr>
            <w:tcW w:w="430" w:type="pct"/>
            <w:vAlign w:val="center"/>
          </w:tcPr>
          <w:p w14:paraId="2822C708">
            <w:pPr>
              <w:jc w:val="center"/>
              <w:rPr>
                <w:rFonts w:hint="eastAsia" w:ascii="宋体" w:hAnsi="宋体" w:eastAsia="宋体" w:cs="宋体"/>
                <w:b/>
                <w:bCs/>
                <w:sz w:val="21"/>
                <w:szCs w:val="21"/>
              </w:rPr>
            </w:pPr>
            <w:r>
              <w:rPr>
                <w:rFonts w:hint="eastAsia" w:ascii="宋体" w:hAnsi="宋体" w:eastAsia="宋体" w:cs="宋体"/>
                <w:b/>
                <w:bCs/>
                <w:sz w:val="21"/>
                <w:szCs w:val="21"/>
              </w:rPr>
              <w:t>教学学时</w:t>
            </w:r>
          </w:p>
        </w:tc>
        <w:tc>
          <w:tcPr>
            <w:tcW w:w="523" w:type="pct"/>
            <w:vAlign w:val="center"/>
          </w:tcPr>
          <w:p w14:paraId="175B8221">
            <w:pPr>
              <w:jc w:val="center"/>
              <w:rPr>
                <w:rFonts w:hint="eastAsia" w:ascii="宋体" w:hAnsi="宋体" w:eastAsia="宋体" w:cs="宋体"/>
                <w:b/>
                <w:bCs/>
                <w:sz w:val="21"/>
                <w:szCs w:val="21"/>
              </w:rPr>
            </w:pPr>
            <w:r>
              <w:rPr>
                <w:rFonts w:hint="eastAsia" w:ascii="宋体" w:hAnsi="宋体" w:eastAsia="宋体" w:cs="宋体"/>
                <w:b/>
                <w:bCs/>
                <w:sz w:val="21"/>
                <w:szCs w:val="21"/>
              </w:rPr>
              <w:t>教学</w:t>
            </w:r>
          </w:p>
          <w:p w14:paraId="323A221C">
            <w:pPr>
              <w:jc w:val="center"/>
              <w:rPr>
                <w:rFonts w:hint="eastAsia" w:ascii="宋体" w:hAnsi="宋体" w:eastAsia="宋体" w:cs="宋体"/>
                <w:b/>
                <w:bCs/>
                <w:sz w:val="21"/>
                <w:szCs w:val="21"/>
              </w:rPr>
            </w:pPr>
            <w:r>
              <w:rPr>
                <w:rFonts w:hint="eastAsia" w:ascii="宋体" w:hAnsi="宋体" w:eastAsia="宋体" w:cs="宋体"/>
                <w:b/>
                <w:bCs/>
                <w:sz w:val="21"/>
                <w:szCs w:val="21"/>
              </w:rPr>
              <w:t>方式</w:t>
            </w:r>
          </w:p>
        </w:tc>
      </w:tr>
      <w:tr w14:paraId="2685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18FD6167">
            <w:pPr>
              <w:jc w:val="center"/>
              <w:rPr>
                <w:rFonts w:hint="eastAsia" w:ascii="宋体" w:hAnsi="宋体" w:eastAsia="宋体" w:cs="宋体"/>
                <w:sz w:val="21"/>
                <w:szCs w:val="21"/>
              </w:rPr>
            </w:pPr>
            <w:r>
              <w:rPr>
                <w:rFonts w:hint="eastAsia" w:ascii="宋体" w:hAnsi="宋体" w:eastAsia="宋体" w:cs="宋体"/>
                <w:sz w:val="21"/>
                <w:szCs w:val="21"/>
              </w:rPr>
              <w:t>1</w:t>
            </w:r>
          </w:p>
        </w:tc>
        <w:tc>
          <w:tcPr>
            <w:tcW w:w="2219" w:type="pct"/>
            <w:vAlign w:val="center"/>
          </w:tcPr>
          <w:p w14:paraId="0E91CECF">
            <w:pPr>
              <w:jc w:val="left"/>
              <w:rPr>
                <w:rFonts w:hint="eastAsia" w:ascii="宋体" w:hAnsi="宋体" w:eastAsia="宋体" w:cs="宋体"/>
                <w:b/>
                <w:sz w:val="21"/>
                <w:szCs w:val="21"/>
              </w:rPr>
            </w:pPr>
            <w:r>
              <w:rPr>
                <w:rFonts w:hint="eastAsia" w:ascii="宋体" w:hAnsi="宋体" w:eastAsia="宋体" w:cs="宋体"/>
                <w:b/>
                <w:sz w:val="21"/>
                <w:szCs w:val="21"/>
              </w:rPr>
              <w:t>㈠体育理论部分:</w:t>
            </w:r>
          </w:p>
          <w:p w14:paraId="344C8449">
            <w:pPr>
              <w:jc w:val="left"/>
              <w:rPr>
                <w:rFonts w:hint="eastAsia" w:ascii="宋体" w:hAnsi="宋体" w:eastAsia="宋体" w:cs="宋体"/>
                <w:bCs/>
                <w:sz w:val="21"/>
                <w:szCs w:val="21"/>
              </w:rPr>
            </w:pPr>
            <w:r>
              <w:rPr>
                <w:rFonts w:hint="eastAsia" w:ascii="宋体" w:hAnsi="宋体" w:eastAsia="宋体" w:cs="宋体"/>
                <w:bCs/>
                <w:sz w:val="21"/>
                <w:szCs w:val="21"/>
              </w:rPr>
              <w:t>1.学生思想政治教育：我校体育运动发展概况、国家领导人与体育、奥运明星的励志故事、社会主义核心价值观与体育等；</w:t>
            </w:r>
          </w:p>
          <w:p w14:paraId="1BB098E0">
            <w:pPr>
              <w:jc w:val="left"/>
              <w:rPr>
                <w:rFonts w:hint="eastAsia" w:ascii="宋体" w:hAnsi="宋体" w:eastAsia="宋体" w:cs="宋体"/>
                <w:sz w:val="21"/>
                <w:szCs w:val="21"/>
              </w:rPr>
            </w:pPr>
            <w:r>
              <w:rPr>
                <w:rFonts w:hint="eastAsia" w:ascii="宋体" w:hAnsi="宋体" w:eastAsia="宋体" w:cs="宋体"/>
                <w:bCs/>
                <w:sz w:val="21"/>
                <w:szCs w:val="21"/>
              </w:rPr>
              <w:t>2.</w:t>
            </w:r>
            <w:r>
              <w:rPr>
                <w:rFonts w:hint="eastAsia" w:ascii="宋体" w:hAnsi="宋体" w:eastAsia="宋体" w:cs="宋体"/>
                <w:sz w:val="21"/>
                <w:szCs w:val="21"/>
              </w:rPr>
              <w:t>体育安全教育：体育运动伤害事故的安全教育及预防与处理措施、常见运动损伤的预防与处理等；</w:t>
            </w:r>
          </w:p>
          <w:p w14:paraId="60865D93">
            <w:pPr>
              <w:jc w:val="center"/>
              <w:rPr>
                <w:rFonts w:hint="eastAsia" w:ascii="宋体" w:hAnsi="宋体" w:eastAsia="宋体" w:cs="宋体"/>
                <w:kern w:val="0"/>
                <w:sz w:val="21"/>
                <w:szCs w:val="21"/>
              </w:rPr>
            </w:pPr>
            <w:r>
              <w:rPr>
                <w:rFonts w:hint="eastAsia" w:ascii="宋体" w:hAnsi="宋体" w:eastAsia="宋体" w:cs="宋体"/>
                <w:sz w:val="21"/>
                <w:szCs w:val="21"/>
              </w:rPr>
              <w:t>3.体育基本理论：各运动项目的基本技战术知识、组织与竞赛、基本规则和裁判法，运动健身的基本原理与锻炼方法，体育锻炼的自我监督与评价，体育养生与保健知识等；</w:t>
            </w:r>
          </w:p>
        </w:tc>
        <w:tc>
          <w:tcPr>
            <w:tcW w:w="1491" w:type="pct"/>
            <w:vAlign w:val="center"/>
          </w:tcPr>
          <w:p w14:paraId="00DB0B41">
            <w:pPr>
              <w:autoSpaceDE w:val="0"/>
              <w:autoSpaceDN w:val="0"/>
              <w:adjustRightInd w:val="0"/>
              <w:jc w:val="left"/>
              <w:rPr>
                <w:rFonts w:hint="eastAsia" w:ascii="宋体" w:hAnsi="宋体" w:eastAsia="宋体" w:cs="宋体"/>
                <w:kern w:val="0"/>
                <w:sz w:val="21"/>
                <w:szCs w:val="21"/>
              </w:rPr>
            </w:pPr>
            <w:r>
              <w:rPr>
                <w:rFonts w:hint="eastAsia" w:ascii="宋体" w:hAnsi="宋体" w:eastAsia="宋体" w:cs="宋体"/>
                <w:kern w:val="0"/>
                <w:sz w:val="21"/>
                <w:szCs w:val="21"/>
              </w:rPr>
              <w:t>通过教学，提高对体育的正确认识，形成正确积极的体育态度，学会运用科学理论指导健身锻炼实际，从而自觉遵循体育运动的规律，实现体育锻炼的目的。</w:t>
            </w:r>
          </w:p>
        </w:tc>
        <w:tc>
          <w:tcPr>
            <w:tcW w:w="430" w:type="pct"/>
            <w:vAlign w:val="center"/>
          </w:tcPr>
          <w:p w14:paraId="3E4A17AC">
            <w:pPr>
              <w:jc w:val="center"/>
              <w:rPr>
                <w:rFonts w:hint="eastAsia" w:ascii="宋体" w:hAnsi="宋体" w:eastAsia="宋体" w:cs="宋体"/>
                <w:sz w:val="21"/>
                <w:szCs w:val="21"/>
              </w:rPr>
            </w:pPr>
            <w:r>
              <w:rPr>
                <w:rFonts w:hint="eastAsia" w:ascii="宋体" w:hAnsi="宋体" w:eastAsia="宋体" w:cs="宋体"/>
                <w:sz w:val="21"/>
                <w:szCs w:val="21"/>
              </w:rPr>
              <w:t>4</w:t>
            </w:r>
          </w:p>
        </w:tc>
        <w:tc>
          <w:tcPr>
            <w:tcW w:w="523" w:type="pct"/>
            <w:vAlign w:val="center"/>
          </w:tcPr>
          <w:p w14:paraId="3805953F">
            <w:pPr>
              <w:jc w:val="left"/>
              <w:rPr>
                <w:rFonts w:hint="eastAsia" w:ascii="宋体" w:hAnsi="宋体" w:eastAsia="宋体" w:cs="宋体"/>
                <w:sz w:val="21"/>
                <w:szCs w:val="21"/>
              </w:rPr>
            </w:pPr>
            <w:r>
              <w:rPr>
                <w:rFonts w:hint="eastAsia" w:ascii="宋体" w:hAnsi="宋体" w:eastAsia="宋体" w:cs="宋体"/>
                <w:sz w:val="21"/>
                <w:szCs w:val="21"/>
              </w:rPr>
              <w:t>讲授法</w:t>
            </w:r>
          </w:p>
        </w:tc>
      </w:tr>
      <w:tr w14:paraId="1EB5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12B5D949">
            <w:pPr>
              <w:jc w:val="center"/>
              <w:rPr>
                <w:rFonts w:hint="eastAsia" w:ascii="宋体" w:hAnsi="宋体" w:eastAsia="宋体" w:cs="宋体"/>
                <w:sz w:val="21"/>
                <w:szCs w:val="21"/>
              </w:rPr>
            </w:pPr>
          </w:p>
        </w:tc>
        <w:tc>
          <w:tcPr>
            <w:tcW w:w="4664" w:type="pct"/>
            <w:gridSpan w:val="4"/>
            <w:vAlign w:val="center"/>
          </w:tcPr>
          <w:p w14:paraId="0D8A9593">
            <w:pPr>
              <w:jc w:val="both"/>
              <w:rPr>
                <w:rFonts w:hint="eastAsia" w:ascii="宋体" w:hAnsi="宋体" w:eastAsia="宋体" w:cs="宋体"/>
                <w:sz w:val="21"/>
                <w:szCs w:val="21"/>
                <w:lang w:eastAsia="zh-CN"/>
              </w:rPr>
            </w:pPr>
            <w:r>
              <w:rPr>
                <w:rFonts w:hint="eastAsia" w:ascii="宋体" w:hAnsi="宋体" w:eastAsia="宋体" w:cs="宋体"/>
                <w:b/>
                <w:bCs/>
                <w:sz w:val="21"/>
                <w:szCs w:val="21"/>
              </w:rPr>
              <w:t>思政元素</w:t>
            </w:r>
            <w:r>
              <w:rPr>
                <w:rFonts w:hint="eastAsia" w:ascii="宋体" w:hAnsi="宋体" w:eastAsia="宋体" w:cs="宋体"/>
                <w:b/>
                <w:bCs/>
                <w:sz w:val="21"/>
                <w:szCs w:val="21"/>
                <w:lang w:eastAsia="zh-CN"/>
              </w:rPr>
              <w:t>：</w:t>
            </w:r>
            <w:r>
              <w:rPr>
                <w:rFonts w:hint="eastAsia" w:ascii="宋体" w:hAnsi="宋体" w:eastAsia="宋体" w:cs="宋体"/>
                <w:kern w:val="0"/>
                <w:sz w:val="21"/>
                <w:szCs w:val="21"/>
              </w:rPr>
              <w:t>理想信念、国家认同和社会主义核心价值观等教育；安全意识、健康意识教育</w:t>
            </w:r>
          </w:p>
        </w:tc>
      </w:tr>
      <w:tr w14:paraId="0AA3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374A173E">
            <w:pPr>
              <w:jc w:val="center"/>
              <w:rPr>
                <w:rFonts w:hint="eastAsia" w:ascii="宋体" w:hAnsi="宋体" w:eastAsia="宋体" w:cs="宋体"/>
                <w:sz w:val="21"/>
                <w:szCs w:val="21"/>
              </w:rPr>
            </w:pPr>
            <w:r>
              <w:rPr>
                <w:rFonts w:hint="eastAsia" w:ascii="宋体" w:hAnsi="宋体" w:eastAsia="宋体" w:cs="宋体"/>
                <w:sz w:val="21"/>
                <w:szCs w:val="21"/>
              </w:rPr>
              <w:t>2</w:t>
            </w:r>
          </w:p>
        </w:tc>
        <w:tc>
          <w:tcPr>
            <w:tcW w:w="2219" w:type="pct"/>
            <w:vAlign w:val="center"/>
          </w:tcPr>
          <w:p w14:paraId="6A8EB008">
            <w:pPr>
              <w:jc w:val="left"/>
              <w:rPr>
                <w:rFonts w:hint="eastAsia" w:ascii="宋体" w:hAnsi="宋体" w:eastAsia="宋体" w:cs="宋体"/>
                <w:b/>
                <w:sz w:val="21"/>
                <w:szCs w:val="21"/>
              </w:rPr>
            </w:pPr>
            <w:r>
              <w:rPr>
                <w:rFonts w:hint="eastAsia" w:ascii="宋体" w:hAnsi="宋体" w:eastAsia="宋体" w:cs="宋体"/>
                <w:b/>
                <w:sz w:val="21"/>
                <w:szCs w:val="21"/>
              </w:rPr>
              <w:t>㈡实践部分：</w:t>
            </w:r>
          </w:p>
          <w:p w14:paraId="3628EFC2">
            <w:pPr>
              <w:widowControl/>
              <w:ind w:left="-44" w:leftChars="-21" w:right="-109" w:rightChars="-52" w:firstLine="44" w:firstLineChars="21"/>
              <w:jc w:val="left"/>
              <w:rPr>
                <w:rFonts w:hint="eastAsia" w:ascii="宋体" w:hAnsi="宋体" w:eastAsia="宋体" w:cs="宋体"/>
                <w:kern w:val="0"/>
                <w:sz w:val="21"/>
                <w:szCs w:val="21"/>
              </w:rPr>
            </w:pPr>
            <w:r>
              <w:rPr>
                <w:rFonts w:hint="eastAsia" w:ascii="宋体" w:hAnsi="宋体" w:eastAsia="宋体" w:cs="宋体"/>
                <w:bCs/>
                <w:sz w:val="21"/>
                <w:szCs w:val="21"/>
              </w:rPr>
              <w:t>各运动项目和身体素质为主，主要包括篮球、足球、排球、手球、乒乓球、网球、羽毛球、台球、健美（男）、体育舞蹈、武术、散打、跆拳道、艺术体操、健美操（女）、排舞（女）、瑜伽、体育舞蹈和体育保健等项目。</w:t>
            </w:r>
          </w:p>
        </w:tc>
        <w:tc>
          <w:tcPr>
            <w:tcW w:w="1491" w:type="pct"/>
            <w:vAlign w:val="center"/>
          </w:tcPr>
          <w:p w14:paraId="55FBB482">
            <w:pPr>
              <w:rPr>
                <w:rFonts w:hint="eastAsia" w:ascii="宋体" w:hAnsi="宋体" w:eastAsia="宋体" w:cs="宋体"/>
                <w:sz w:val="21"/>
                <w:szCs w:val="21"/>
              </w:rPr>
            </w:pPr>
            <w:r>
              <w:rPr>
                <w:rFonts w:hint="eastAsia" w:ascii="宋体" w:hAnsi="宋体" w:eastAsia="宋体" w:cs="宋体"/>
                <w:sz w:val="21"/>
                <w:szCs w:val="21"/>
              </w:rPr>
              <w:t>通过学习，</w:t>
            </w:r>
            <w:r>
              <w:rPr>
                <w:rFonts w:hint="eastAsia" w:ascii="宋体" w:hAnsi="宋体" w:eastAsia="宋体" w:cs="宋体"/>
                <w:kern w:val="0"/>
                <w:sz w:val="21"/>
                <w:szCs w:val="21"/>
              </w:rPr>
              <w:t>使学生了解和掌握所选运动项目的基本知识、基本技术和锻炼方法；爱好并积极参与各种体育运动，发展学生速度、灵敏、耐力等身体素质，增强体质</w:t>
            </w:r>
            <w:r>
              <w:rPr>
                <w:rFonts w:hint="eastAsia" w:ascii="宋体" w:hAnsi="宋体" w:eastAsia="宋体" w:cs="宋体"/>
                <w:sz w:val="21"/>
                <w:szCs w:val="21"/>
              </w:rPr>
              <w:t>；培养团结协作的集体主义精神和顽强拼搏的竞争意识；达到“国家体质健康标准”</w:t>
            </w:r>
            <w:r>
              <w:rPr>
                <w:rFonts w:hint="eastAsia" w:ascii="宋体" w:hAnsi="宋体" w:eastAsia="宋体" w:cs="宋体"/>
                <w:kern w:val="0"/>
                <w:sz w:val="21"/>
                <w:szCs w:val="21"/>
              </w:rPr>
              <w:t>。</w:t>
            </w:r>
          </w:p>
        </w:tc>
        <w:tc>
          <w:tcPr>
            <w:tcW w:w="430" w:type="pct"/>
            <w:vAlign w:val="center"/>
          </w:tcPr>
          <w:p w14:paraId="4CBCF535">
            <w:pPr>
              <w:jc w:val="center"/>
              <w:rPr>
                <w:rFonts w:hint="eastAsia" w:ascii="宋体" w:hAnsi="宋体" w:eastAsia="宋体" w:cs="宋体"/>
                <w:sz w:val="21"/>
                <w:szCs w:val="21"/>
              </w:rPr>
            </w:pPr>
            <w:r>
              <w:rPr>
                <w:rFonts w:hint="eastAsia" w:ascii="宋体" w:hAnsi="宋体" w:eastAsia="宋体" w:cs="宋体"/>
                <w:sz w:val="21"/>
                <w:szCs w:val="21"/>
              </w:rPr>
              <w:t>26</w:t>
            </w:r>
          </w:p>
        </w:tc>
        <w:tc>
          <w:tcPr>
            <w:tcW w:w="523" w:type="pct"/>
            <w:vAlign w:val="center"/>
          </w:tcPr>
          <w:p w14:paraId="29373A0B">
            <w:pPr>
              <w:rPr>
                <w:rFonts w:hint="eastAsia" w:ascii="宋体" w:hAnsi="宋体" w:eastAsia="宋体" w:cs="宋体"/>
                <w:sz w:val="21"/>
                <w:szCs w:val="21"/>
              </w:rPr>
            </w:pPr>
            <w:r>
              <w:rPr>
                <w:rFonts w:hint="eastAsia" w:ascii="宋体" w:hAnsi="宋体" w:eastAsia="宋体" w:cs="宋体"/>
                <w:color w:val="auto"/>
                <w:sz w:val="21"/>
                <w:szCs w:val="21"/>
              </w:rPr>
              <w:t>讲授</w:t>
            </w:r>
            <w:r>
              <w:rPr>
                <w:rFonts w:hint="eastAsia" w:ascii="宋体" w:hAnsi="宋体" w:eastAsia="宋体" w:cs="宋体"/>
                <w:color w:val="auto"/>
                <w:sz w:val="21"/>
                <w:szCs w:val="21"/>
                <w:lang w:val="en-US" w:eastAsia="zh-CN"/>
              </w:rPr>
              <w:t>法</w:t>
            </w:r>
            <w:r>
              <w:rPr>
                <w:rFonts w:hint="eastAsia" w:ascii="宋体" w:hAnsi="宋体" w:eastAsia="宋体" w:cs="宋体"/>
                <w:color w:val="auto"/>
                <w:sz w:val="21"/>
                <w:szCs w:val="21"/>
              </w:rPr>
              <w:t>演示</w:t>
            </w:r>
            <w:r>
              <w:rPr>
                <w:rFonts w:hint="eastAsia" w:ascii="宋体" w:hAnsi="宋体" w:eastAsia="宋体" w:cs="宋体"/>
                <w:color w:val="auto"/>
                <w:sz w:val="21"/>
                <w:szCs w:val="21"/>
                <w:lang w:val="en-US" w:eastAsia="zh-CN"/>
              </w:rPr>
              <w:t>法</w:t>
            </w:r>
            <w:r>
              <w:rPr>
                <w:rFonts w:hint="eastAsia" w:ascii="宋体" w:hAnsi="宋体" w:eastAsia="宋体" w:cs="宋体"/>
                <w:color w:val="auto"/>
                <w:sz w:val="21"/>
                <w:szCs w:val="21"/>
              </w:rPr>
              <w:t>练习法</w:t>
            </w:r>
          </w:p>
        </w:tc>
      </w:tr>
      <w:tr w14:paraId="73BE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3E8363DC">
            <w:pPr>
              <w:jc w:val="center"/>
              <w:rPr>
                <w:rFonts w:hint="eastAsia" w:ascii="宋体" w:hAnsi="宋体" w:eastAsia="宋体" w:cs="宋体"/>
                <w:sz w:val="21"/>
                <w:szCs w:val="21"/>
              </w:rPr>
            </w:pPr>
          </w:p>
        </w:tc>
        <w:tc>
          <w:tcPr>
            <w:tcW w:w="4664" w:type="pct"/>
            <w:gridSpan w:val="4"/>
            <w:vAlign w:val="center"/>
          </w:tcPr>
          <w:p w14:paraId="63CAEFE8">
            <w:pPr>
              <w:rPr>
                <w:rFonts w:hint="eastAsia" w:ascii="宋体" w:hAnsi="宋体" w:eastAsia="宋体" w:cs="宋体"/>
                <w:color w:val="auto"/>
                <w:sz w:val="21"/>
                <w:szCs w:val="21"/>
              </w:rPr>
            </w:pPr>
            <w:r>
              <w:rPr>
                <w:rFonts w:hint="eastAsia" w:ascii="宋体" w:hAnsi="宋体" w:eastAsia="宋体" w:cs="宋体"/>
                <w:b/>
                <w:bCs/>
                <w:sz w:val="21"/>
                <w:szCs w:val="21"/>
              </w:rPr>
              <w:t>思政元素</w:t>
            </w:r>
            <w:r>
              <w:rPr>
                <w:rFonts w:hint="eastAsia" w:ascii="宋体" w:hAnsi="宋体" w:eastAsia="宋体" w:cs="宋体"/>
                <w:b/>
                <w:bCs/>
                <w:sz w:val="21"/>
                <w:szCs w:val="21"/>
                <w:lang w:eastAsia="zh-CN"/>
              </w:rPr>
              <w:t>：</w:t>
            </w:r>
            <w:r>
              <w:rPr>
                <w:rFonts w:hint="eastAsia" w:ascii="宋体" w:hAnsi="宋体" w:eastAsia="宋体" w:cs="宋体"/>
                <w:kern w:val="0"/>
                <w:sz w:val="21"/>
                <w:szCs w:val="21"/>
              </w:rPr>
              <w:t>爱国主义和集体主义教育；体育道德观、意志品德培育；规则意识和诚信意识教育。</w:t>
            </w:r>
          </w:p>
        </w:tc>
      </w:tr>
    </w:tbl>
    <w:p w14:paraId="56F712EC">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四、课程实施</w:t>
      </w:r>
    </w:p>
    <w:p w14:paraId="1D799651">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cs="宋体" w:asciiTheme="majorEastAsia" w:hAnsiTheme="majorEastAsia" w:eastAsiaTheme="majorEastAsia"/>
          <w:b/>
          <w:szCs w:val="21"/>
        </w:rPr>
      </w:pPr>
      <w:r>
        <w:rPr>
          <w:rFonts w:hint="eastAsia" w:cs="宋体" w:asciiTheme="majorEastAsia" w:hAnsiTheme="majorEastAsia" w:eastAsiaTheme="majorEastAsia"/>
          <w:b/>
          <w:szCs w:val="21"/>
        </w:rPr>
        <w:t>（一）教学方法与手段</w:t>
      </w:r>
    </w:p>
    <w:p w14:paraId="6CF9AEE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s="宋体" w:asciiTheme="majorEastAsia" w:hAnsiTheme="majorEastAsia" w:eastAsiaTheme="majorEastAsia"/>
          <w:szCs w:val="21"/>
          <w:lang w:val="en-US" w:eastAsia="zh-CN"/>
        </w:rPr>
      </w:pPr>
      <w:r>
        <w:rPr>
          <w:rFonts w:hint="eastAsia" w:cs="宋体" w:asciiTheme="majorEastAsia" w:hAnsiTheme="majorEastAsia" w:eastAsiaTheme="majorEastAsia"/>
          <w:szCs w:val="21"/>
        </w:rPr>
        <w:t>1．本课程以实践教学为主，教学方法与手段的运用要考虑到学生的实际情况，从实际出发，因材施教，注意区别对待，激发学生学习兴趣，并在教学中重视学生实践能力的培养。</w:t>
      </w:r>
      <w:r>
        <w:rPr>
          <w:rFonts w:hint="eastAsia" w:cs="宋体" w:asciiTheme="majorEastAsia" w:hAnsiTheme="majorEastAsia" w:eastAsiaTheme="majorEastAsia"/>
          <w:szCs w:val="21"/>
          <w:lang w:val="en-US" w:eastAsia="zh-CN"/>
        </w:rPr>
        <w:t xml:space="preserve">  </w:t>
      </w:r>
    </w:p>
    <w:p w14:paraId="1D0C0AD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s="宋体" w:asciiTheme="majorEastAsia" w:hAnsiTheme="majorEastAsia" w:eastAsiaTheme="majorEastAsia"/>
          <w:szCs w:val="21"/>
          <w:lang w:eastAsia="zh-CN"/>
        </w:rPr>
      </w:pPr>
      <w:r>
        <w:rPr>
          <w:rFonts w:hint="eastAsia" w:cs="宋体" w:asciiTheme="majorEastAsia" w:hAnsiTheme="majorEastAsia" w:eastAsiaTheme="majorEastAsia"/>
          <w:szCs w:val="21"/>
        </w:rPr>
        <w:t>2．教学方法与手段的运用合理，注意防止伤害事故发生，重视学生自我保护能力培养。</w:t>
      </w:r>
    </w:p>
    <w:p w14:paraId="396AD6D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s="宋体" w:asciiTheme="majorEastAsia" w:hAnsiTheme="majorEastAsia" w:eastAsiaTheme="majorEastAsia"/>
          <w:szCs w:val="21"/>
        </w:rPr>
      </w:pPr>
      <w:r>
        <w:rPr>
          <w:rFonts w:hint="eastAsia" w:cs="宋体" w:asciiTheme="majorEastAsia" w:hAnsiTheme="majorEastAsia" w:eastAsiaTheme="majorEastAsia"/>
          <w:szCs w:val="21"/>
        </w:rPr>
        <w:t>3．针对体育教学技术教学的特点，本课程将采用：讲解法、示范法、完整法、分解法、集体练习、小组练习等教学方法，并利用多媒体教学方式，提高学生的欣赏能力、让学生更加深刻的了解所学项目。</w:t>
      </w:r>
    </w:p>
    <w:p w14:paraId="0C5F066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cs="宋体" w:asciiTheme="majorEastAsia" w:hAnsiTheme="majorEastAsia" w:eastAsiaTheme="majorEastAsia"/>
          <w:b/>
          <w:szCs w:val="21"/>
        </w:rPr>
      </w:pPr>
      <w:r>
        <w:rPr>
          <w:rFonts w:hint="eastAsia" w:cs="宋体" w:asciiTheme="majorEastAsia" w:hAnsiTheme="majorEastAsia" w:eastAsiaTheme="majorEastAsia"/>
          <w:b/>
          <w:szCs w:val="21"/>
        </w:rPr>
        <w:t>（二）课程实施与保障</w:t>
      </w:r>
    </w:p>
    <w:tbl>
      <w:tblPr>
        <w:tblStyle w:val="15"/>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4035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91" w:type="dxa"/>
            <w:gridSpan w:val="2"/>
            <w:tcBorders>
              <w:top w:val="single" w:color="auto" w:sz="8" w:space="0"/>
              <w:left w:val="single" w:color="auto" w:sz="8" w:space="0"/>
              <w:right w:val="single" w:color="auto" w:sz="8" w:space="0"/>
            </w:tcBorders>
            <w:tcMar>
              <w:left w:w="28" w:type="dxa"/>
              <w:right w:w="28" w:type="dxa"/>
            </w:tcMar>
            <w:vAlign w:val="center"/>
          </w:tcPr>
          <w:p w14:paraId="47F950C3">
            <w:pPr>
              <w:spacing w:line="240" w:lineRule="auto"/>
              <w:jc w:val="center"/>
              <w:rPr>
                <w:rFonts w:hint="eastAsia" w:cs="宋体" w:asciiTheme="majorEastAsia" w:hAnsiTheme="majorEastAsia" w:eastAsiaTheme="majorEastAsia"/>
                <w:sz w:val="21"/>
                <w:szCs w:val="21"/>
              </w:rPr>
            </w:pPr>
            <w:r>
              <w:rPr>
                <w:rFonts w:hint="eastAsia" w:cs="宋体" w:asciiTheme="majorEastAsia" w:hAnsiTheme="majorEastAsia" w:eastAsiaTheme="majorEastAsia"/>
                <w:b/>
                <w:bCs/>
                <w:sz w:val="21"/>
                <w:szCs w:val="21"/>
              </w:rPr>
              <w:t>主要教学环节</w:t>
            </w:r>
          </w:p>
        </w:tc>
        <w:tc>
          <w:tcPr>
            <w:tcW w:w="6640" w:type="dxa"/>
            <w:tcBorders>
              <w:top w:val="single" w:color="auto" w:sz="8" w:space="0"/>
              <w:left w:val="single" w:color="auto" w:sz="8" w:space="0"/>
              <w:right w:val="single" w:color="auto" w:sz="8" w:space="0"/>
            </w:tcBorders>
            <w:vAlign w:val="center"/>
          </w:tcPr>
          <w:p w14:paraId="0332DDC9">
            <w:pPr>
              <w:spacing w:line="240" w:lineRule="auto"/>
              <w:jc w:val="center"/>
              <w:rPr>
                <w:rFonts w:hint="eastAsia" w:cs="宋体" w:asciiTheme="majorEastAsia" w:hAnsiTheme="majorEastAsia" w:eastAsiaTheme="majorEastAsia"/>
                <w:sz w:val="21"/>
                <w:szCs w:val="21"/>
              </w:rPr>
            </w:pPr>
            <w:r>
              <w:rPr>
                <w:rFonts w:hint="eastAsia" w:cs="宋体" w:asciiTheme="majorEastAsia" w:hAnsiTheme="majorEastAsia" w:eastAsiaTheme="majorEastAsia"/>
                <w:b/>
                <w:bCs/>
                <w:sz w:val="21"/>
                <w:szCs w:val="21"/>
              </w:rPr>
              <w:t>质量要求</w:t>
            </w:r>
          </w:p>
        </w:tc>
      </w:tr>
      <w:tr w14:paraId="457C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4D12D7E3">
            <w:pPr>
              <w:spacing w:line="240" w:lineRule="auto"/>
              <w:jc w:val="center"/>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p>
        </w:tc>
        <w:tc>
          <w:tcPr>
            <w:tcW w:w="1252" w:type="dxa"/>
            <w:tcMar>
              <w:left w:w="28" w:type="dxa"/>
              <w:right w:w="28" w:type="dxa"/>
            </w:tcMar>
            <w:vAlign w:val="center"/>
          </w:tcPr>
          <w:p w14:paraId="611C55F8">
            <w:pPr>
              <w:spacing w:line="240" w:lineRule="auto"/>
              <w:jc w:val="center"/>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备课</w:t>
            </w:r>
          </w:p>
        </w:tc>
        <w:tc>
          <w:tcPr>
            <w:tcW w:w="6640" w:type="dxa"/>
            <w:tcBorders>
              <w:right w:val="single" w:color="auto" w:sz="8" w:space="0"/>
            </w:tcBorders>
            <w:vAlign w:val="center"/>
          </w:tcPr>
          <w:p w14:paraId="39ED98E8">
            <w:pPr>
              <w:autoSpaceDE w:val="0"/>
              <w:autoSpaceDN w:val="0"/>
              <w:adjustRightInd w:val="0"/>
              <w:snapToGrid w:val="0"/>
              <w:spacing w:line="240" w:lineRule="auto"/>
              <w:jc w:val="left"/>
              <w:rPr>
                <w:rFonts w:hint="eastAsia" w:cs="宋体" w:asciiTheme="majorEastAsia" w:hAnsiTheme="majorEastAsia" w:eastAsiaTheme="majorEastAsia"/>
                <w:kern w:val="0"/>
                <w:sz w:val="21"/>
                <w:szCs w:val="21"/>
              </w:rPr>
            </w:pPr>
            <w:r>
              <w:rPr>
                <w:rFonts w:hint="eastAsia" w:cs="宋体" w:asciiTheme="majorEastAsia" w:hAnsiTheme="majorEastAsia" w:eastAsiaTheme="majorEastAsia"/>
                <w:kern w:val="0"/>
                <w:sz w:val="21"/>
                <w:szCs w:val="21"/>
              </w:rPr>
              <w:t>1.掌握本课程教学大纲内容，严格按照教学大纲要求进行本课程教学内容的组织；</w:t>
            </w:r>
          </w:p>
          <w:p w14:paraId="66D01473">
            <w:pPr>
              <w:autoSpaceDE w:val="0"/>
              <w:autoSpaceDN w:val="0"/>
              <w:adjustRightInd w:val="0"/>
              <w:snapToGrid w:val="0"/>
              <w:spacing w:line="240" w:lineRule="auto"/>
              <w:jc w:val="left"/>
              <w:rPr>
                <w:rFonts w:hint="eastAsia" w:cs="宋体" w:asciiTheme="majorEastAsia" w:hAnsiTheme="majorEastAsia" w:eastAsiaTheme="majorEastAsia"/>
                <w:kern w:val="0"/>
                <w:sz w:val="21"/>
                <w:szCs w:val="21"/>
              </w:rPr>
            </w:pPr>
            <w:r>
              <w:rPr>
                <w:rFonts w:hint="eastAsia" w:cs="宋体" w:asciiTheme="majorEastAsia" w:hAnsiTheme="majorEastAsia" w:eastAsiaTheme="majorEastAsia"/>
                <w:kern w:val="0"/>
                <w:sz w:val="21"/>
                <w:szCs w:val="21"/>
              </w:rPr>
              <w:t>2.熟悉教材各章节，借助相关专业书籍资料，并依据教学大纲编写授课计划；</w:t>
            </w:r>
          </w:p>
          <w:p w14:paraId="62DE5C6C">
            <w:pPr>
              <w:autoSpaceDE w:val="0"/>
              <w:autoSpaceDN w:val="0"/>
              <w:adjustRightInd w:val="0"/>
              <w:snapToGrid w:val="0"/>
              <w:spacing w:line="240" w:lineRule="auto"/>
              <w:jc w:val="left"/>
              <w:rPr>
                <w:rFonts w:hint="eastAsia" w:cs="宋体" w:asciiTheme="majorEastAsia" w:hAnsiTheme="majorEastAsia" w:eastAsiaTheme="majorEastAsia"/>
                <w:kern w:val="0"/>
                <w:sz w:val="21"/>
                <w:szCs w:val="21"/>
              </w:rPr>
            </w:pPr>
            <w:r>
              <w:rPr>
                <w:rFonts w:hint="eastAsia" w:cs="宋体" w:asciiTheme="majorEastAsia" w:hAnsiTheme="majorEastAsia" w:eastAsiaTheme="majorEastAsia"/>
                <w:kern w:val="0"/>
                <w:sz w:val="21"/>
                <w:szCs w:val="21"/>
              </w:rPr>
              <w:t xml:space="preserve">3.结合课程特点，制作课件，运用多媒体教学手段讲授部分教学内容； </w:t>
            </w:r>
          </w:p>
          <w:p w14:paraId="70A54C0C">
            <w:pPr>
              <w:autoSpaceDE w:val="0"/>
              <w:autoSpaceDN w:val="0"/>
              <w:adjustRightInd w:val="0"/>
              <w:snapToGrid w:val="0"/>
              <w:spacing w:line="240" w:lineRule="auto"/>
              <w:jc w:val="left"/>
              <w:rPr>
                <w:rFonts w:hint="eastAsia" w:cs="宋体" w:asciiTheme="majorEastAsia" w:hAnsiTheme="majorEastAsia" w:eastAsiaTheme="majorEastAsia"/>
                <w:sz w:val="21"/>
                <w:szCs w:val="21"/>
              </w:rPr>
            </w:pPr>
            <w:r>
              <w:rPr>
                <w:rFonts w:hint="eastAsia" w:cs="宋体" w:asciiTheme="majorEastAsia" w:hAnsiTheme="majorEastAsia" w:eastAsiaTheme="majorEastAsia"/>
                <w:kern w:val="0"/>
                <w:sz w:val="21"/>
                <w:szCs w:val="21"/>
              </w:rPr>
              <w:t>4.确定各章节课程内容的教学方法，构思授课思路、技巧和方法。</w:t>
            </w:r>
          </w:p>
        </w:tc>
      </w:tr>
      <w:tr w14:paraId="4855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206431C2">
            <w:pPr>
              <w:spacing w:line="240" w:lineRule="auto"/>
              <w:jc w:val="center"/>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p>
        </w:tc>
        <w:tc>
          <w:tcPr>
            <w:tcW w:w="1252" w:type="dxa"/>
            <w:tcMar>
              <w:left w:w="28" w:type="dxa"/>
              <w:right w:w="28" w:type="dxa"/>
            </w:tcMar>
            <w:vAlign w:val="center"/>
          </w:tcPr>
          <w:p w14:paraId="7DCC17B6">
            <w:pPr>
              <w:spacing w:line="240" w:lineRule="auto"/>
              <w:jc w:val="center"/>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讲授</w:t>
            </w:r>
          </w:p>
        </w:tc>
        <w:tc>
          <w:tcPr>
            <w:tcW w:w="6640" w:type="dxa"/>
            <w:tcBorders>
              <w:right w:val="single" w:color="auto" w:sz="8" w:space="0"/>
            </w:tcBorders>
            <w:vAlign w:val="center"/>
          </w:tcPr>
          <w:p w14:paraId="6952561B">
            <w:pPr>
              <w:autoSpaceDE w:val="0"/>
              <w:autoSpaceDN w:val="0"/>
              <w:adjustRightInd w:val="0"/>
              <w:snapToGrid w:val="0"/>
              <w:spacing w:line="240" w:lineRule="auto"/>
              <w:jc w:val="left"/>
              <w:rPr>
                <w:rFonts w:hint="eastAsia" w:cs="宋体" w:asciiTheme="majorEastAsia" w:hAnsiTheme="majorEastAsia" w:eastAsiaTheme="majorEastAsia"/>
                <w:kern w:val="0"/>
                <w:sz w:val="21"/>
                <w:szCs w:val="21"/>
              </w:rPr>
            </w:pPr>
            <w:r>
              <w:rPr>
                <w:rFonts w:hint="eastAsia" w:cs="宋体" w:asciiTheme="majorEastAsia" w:hAnsiTheme="majorEastAsia" w:eastAsiaTheme="majorEastAsia"/>
                <w:kern w:val="0"/>
                <w:sz w:val="21"/>
                <w:szCs w:val="21"/>
              </w:rPr>
              <w:t>1.</w:t>
            </w:r>
            <w:r>
              <w:rPr>
                <w:rFonts w:hint="eastAsia" w:cs="宋体" w:asciiTheme="majorEastAsia" w:hAnsiTheme="majorEastAsia" w:eastAsiaTheme="majorEastAsia"/>
                <w:sz w:val="21"/>
                <w:szCs w:val="21"/>
              </w:rPr>
              <w:t>满足需要，发展个性；</w:t>
            </w:r>
            <w:r>
              <w:rPr>
                <w:rFonts w:hint="eastAsia" w:cs="宋体" w:asciiTheme="majorEastAsia" w:hAnsiTheme="majorEastAsia" w:eastAsiaTheme="majorEastAsia"/>
                <w:kern w:val="0"/>
                <w:sz w:val="21"/>
                <w:szCs w:val="21"/>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68AA59C3">
            <w:pPr>
              <w:autoSpaceDE w:val="0"/>
              <w:autoSpaceDN w:val="0"/>
              <w:adjustRightInd w:val="0"/>
              <w:snapToGrid w:val="0"/>
              <w:spacing w:line="240" w:lineRule="auto"/>
              <w:jc w:val="left"/>
              <w:rPr>
                <w:rFonts w:hint="eastAsia" w:cs="宋体" w:asciiTheme="majorEastAsia" w:hAnsiTheme="majorEastAsia" w:eastAsiaTheme="majorEastAsia"/>
                <w:kern w:val="0"/>
                <w:sz w:val="21"/>
                <w:szCs w:val="21"/>
              </w:rPr>
            </w:pPr>
            <w:r>
              <w:rPr>
                <w:rFonts w:hint="eastAsia" w:cs="宋体" w:asciiTheme="majorEastAsia" w:hAnsiTheme="majorEastAsia" w:eastAsiaTheme="majorEastAsia"/>
                <w:kern w:val="0"/>
                <w:sz w:val="21"/>
                <w:szCs w:val="21"/>
              </w:rPr>
              <w:t>2.采用多种教学方式（如启发式教学、导学式、发现式等），精讲多练，培养学生自学、自练、自评、互评等能力。</w:t>
            </w:r>
          </w:p>
          <w:p w14:paraId="3D3E098D">
            <w:pPr>
              <w:autoSpaceDE w:val="0"/>
              <w:autoSpaceDN w:val="0"/>
              <w:adjustRightInd w:val="0"/>
              <w:snapToGrid w:val="0"/>
              <w:spacing w:line="240" w:lineRule="auto"/>
              <w:jc w:val="left"/>
              <w:rPr>
                <w:rFonts w:hint="eastAsia" w:cs="宋体" w:asciiTheme="majorEastAsia" w:hAnsiTheme="majorEastAsia" w:eastAsiaTheme="majorEastAsia"/>
                <w:kern w:val="0"/>
                <w:sz w:val="21"/>
                <w:szCs w:val="21"/>
              </w:rPr>
            </w:pPr>
            <w:r>
              <w:rPr>
                <w:rFonts w:hint="eastAsia" w:cs="宋体" w:asciiTheme="majorEastAsia" w:hAnsiTheme="majorEastAsia" w:eastAsiaTheme="majorEastAsia"/>
                <w:kern w:val="0"/>
                <w:sz w:val="21"/>
                <w:szCs w:val="21"/>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0826988C">
            <w:pPr>
              <w:autoSpaceDE w:val="0"/>
              <w:autoSpaceDN w:val="0"/>
              <w:adjustRightInd w:val="0"/>
              <w:snapToGrid w:val="0"/>
              <w:spacing w:line="240" w:lineRule="auto"/>
              <w:jc w:val="left"/>
              <w:rPr>
                <w:rFonts w:hint="eastAsia" w:cs="宋体" w:asciiTheme="majorEastAsia" w:hAnsiTheme="majorEastAsia" w:eastAsiaTheme="majorEastAsia"/>
                <w:kern w:val="0"/>
                <w:sz w:val="21"/>
                <w:szCs w:val="21"/>
              </w:rPr>
            </w:pPr>
            <w:r>
              <w:rPr>
                <w:rFonts w:hint="eastAsia" w:cs="宋体" w:asciiTheme="majorEastAsia" w:hAnsiTheme="majorEastAsia" w:eastAsiaTheme="majorEastAsia"/>
                <w:kern w:val="0"/>
                <w:sz w:val="21"/>
                <w:szCs w:val="21"/>
              </w:rPr>
              <w:t>4.区别对待，因材施教。重视安全和关心基础较差的学生成长。</w:t>
            </w:r>
          </w:p>
          <w:p w14:paraId="46EABE16">
            <w:pPr>
              <w:autoSpaceDE w:val="0"/>
              <w:autoSpaceDN w:val="0"/>
              <w:adjustRightInd w:val="0"/>
              <w:snapToGrid w:val="0"/>
              <w:spacing w:line="240" w:lineRule="auto"/>
              <w:jc w:val="left"/>
              <w:rPr>
                <w:rFonts w:hint="eastAsia" w:cs="宋体" w:asciiTheme="majorEastAsia" w:hAnsiTheme="majorEastAsia" w:eastAsiaTheme="majorEastAsia"/>
                <w:kern w:val="0"/>
                <w:sz w:val="21"/>
                <w:szCs w:val="21"/>
              </w:rPr>
            </w:pPr>
            <w:r>
              <w:rPr>
                <w:rFonts w:hint="eastAsia" w:cs="宋体" w:asciiTheme="majorEastAsia" w:hAnsiTheme="majorEastAsia" w:eastAsiaTheme="majorEastAsia"/>
                <w:kern w:val="0"/>
                <w:sz w:val="21"/>
                <w:szCs w:val="21"/>
              </w:rPr>
              <w:t>5.教学中教师要以身作则，言传身教，做到既教学又育人。培养学生的优良品质，达到身心全面发展。</w:t>
            </w:r>
          </w:p>
        </w:tc>
      </w:tr>
      <w:tr w14:paraId="49D4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0F2998A8">
            <w:pPr>
              <w:spacing w:line="240" w:lineRule="auto"/>
              <w:jc w:val="center"/>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3</w:t>
            </w:r>
          </w:p>
        </w:tc>
        <w:tc>
          <w:tcPr>
            <w:tcW w:w="1252" w:type="dxa"/>
            <w:tcMar>
              <w:left w:w="28" w:type="dxa"/>
              <w:right w:w="28" w:type="dxa"/>
            </w:tcMar>
            <w:vAlign w:val="center"/>
          </w:tcPr>
          <w:p w14:paraId="083ED38C">
            <w:pPr>
              <w:spacing w:line="240" w:lineRule="auto"/>
              <w:jc w:val="center"/>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课外练习</w:t>
            </w:r>
          </w:p>
        </w:tc>
        <w:tc>
          <w:tcPr>
            <w:tcW w:w="6640" w:type="dxa"/>
            <w:tcBorders>
              <w:right w:val="single" w:color="auto" w:sz="8" w:space="0"/>
            </w:tcBorders>
            <w:vAlign w:val="center"/>
          </w:tcPr>
          <w:p w14:paraId="134CFBBB">
            <w:pPr>
              <w:autoSpaceDE w:val="0"/>
              <w:autoSpaceDN w:val="0"/>
              <w:adjustRightInd w:val="0"/>
              <w:snapToGrid w:val="0"/>
              <w:spacing w:line="240" w:lineRule="auto"/>
              <w:jc w:val="left"/>
              <w:rPr>
                <w:rFonts w:hint="eastAsia" w:cs="宋体" w:asciiTheme="majorEastAsia" w:hAnsiTheme="majorEastAsia" w:eastAsiaTheme="majorEastAsia"/>
                <w:kern w:val="0"/>
                <w:sz w:val="21"/>
                <w:szCs w:val="21"/>
              </w:rPr>
            </w:pPr>
            <w:r>
              <w:rPr>
                <w:rFonts w:hint="eastAsia" w:cs="宋体" w:asciiTheme="majorEastAsia" w:hAnsiTheme="majorEastAsia" w:eastAsiaTheme="majorEastAsia"/>
                <w:kern w:val="0"/>
                <w:sz w:val="21"/>
                <w:szCs w:val="21"/>
              </w:rPr>
              <w:t>课外练习是教师布置课外练习内容，重点要求学生利用课余时间巩固课堂上所学的技术动作，形成正确的动力定型，同时要求学生加强身体素质练习。</w:t>
            </w:r>
          </w:p>
        </w:tc>
      </w:tr>
      <w:tr w14:paraId="308B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3F686F70">
            <w:pPr>
              <w:spacing w:line="240" w:lineRule="auto"/>
              <w:jc w:val="center"/>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4</w:t>
            </w:r>
          </w:p>
        </w:tc>
        <w:tc>
          <w:tcPr>
            <w:tcW w:w="1252" w:type="dxa"/>
            <w:tcMar>
              <w:left w:w="28" w:type="dxa"/>
              <w:right w:w="28" w:type="dxa"/>
            </w:tcMar>
            <w:vAlign w:val="center"/>
          </w:tcPr>
          <w:p w14:paraId="5DEFB6BE">
            <w:pPr>
              <w:spacing w:line="240" w:lineRule="auto"/>
              <w:jc w:val="center"/>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成绩考核</w:t>
            </w:r>
          </w:p>
        </w:tc>
        <w:tc>
          <w:tcPr>
            <w:tcW w:w="6640" w:type="dxa"/>
            <w:tcBorders>
              <w:right w:val="single" w:color="auto" w:sz="8" w:space="0"/>
            </w:tcBorders>
            <w:vAlign w:val="center"/>
          </w:tcPr>
          <w:p w14:paraId="7CA3333D">
            <w:pPr>
              <w:autoSpaceDE w:val="0"/>
              <w:autoSpaceDN w:val="0"/>
              <w:adjustRightInd w:val="0"/>
              <w:snapToGrid w:val="0"/>
              <w:spacing w:line="240" w:lineRule="auto"/>
              <w:jc w:val="left"/>
              <w:rPr>
                <w:rFonts w:hint="eastAsia" w:cs="宋体" w:asciiTheme="majorEastAsia" w:hAnsiTheme="majorEastAsia" w:eastAsiaTheme="majorEastAsia"/>
                <w:kern w:val="0"/>
                <w:sz w:val="21"/>
                <w:szCs w:val="21"/>
              </w:rPr>
            </w:pPr>
            <w:r>
              <w:rPr>
                <w:rFonts w:hint="eastAsia" w:cs="宋体" w:asciiTheme="majorEastAsia" w:hAnsiTheme="majorEastAsia" w:eastAsiaTheme="majorEastAsia"/>
                <w:kern w:val="0"/>
                <w:sz w:val="21"/>
                <w:szCs w:val="21"/>
              </w:rPr>
              <w:t>本课程考核的方式：考试。总评成绩的评定见课程评分方案。有下列情况之一者，总评成绩为不及格：</w:t>
            </w:r>
          </w:p>
          <w:p w14:paraId="0E891993">
            <w:pPr>
              <w:autoSpaceDE w:val="0"/>
              <w:autoSpaceDN w:val="0"/>
              <w:adjustRightInd w:val="0"/>
              <w:snapToGrid w:val="0"/>
              <w:spacing w:line="240" w:lineRule="auto"/>
              <w:jc w:val="left"/>
              <w:rPr>
                <w:rFonts w:hint="eastAsia" w:cs="宋体" w:asciiTheme="majorEastAsia" w:hAnsiTheme="majorEastAsia" w:eastAsiaTheme="majorEastAsia"/>
                <w:kern w:val="0"/>
                <w:sz w:val="21"/>
                <w:szCs w:val="21"/>
              </w:rPr>
            </w:pPr>
            <w:r>
              <w:rPr>
                <w:rFonts w:hint="eastAsia" w:cs="宋体" w:asciiTheme="majorEastAsia" w:hAnsiTheme="majorEastAsia" w:eastAsiaTheme="majorEastAsia"/>
                <w:kern w:val="0"/>
                <w:sz w:val="21"/>
                <w:szCs w:val="21"/>
              </w:rPr>
              <w:t>1.课外体育锻炼不合格者；</w:t>
            </w:r>
          </w:p>
          <w:p w14:paraId="23456BBC">
            <w:pPr>
              <w:autoSpaceDE w:val="0"/>
              <w:autoSpaceDN w:val="0"/>
              <w:adjustRightInd w:val="0"/>
              <w:snapToGrid w:val="0"/>
              <w:spacing w:line="240" w:lineRule="auto"/>
              <w:jc w:val="left"/>
              <w:rPr>
                <w:rFonts w:hint="eastAsia" w:cs="宋体" w:asciiTheme="majorEastAsia" w:hAnsiTheme="majorEastAsia" w:eastAsiaTheme="majorEastAsia"/>
                <w:kern w:val="0"/>
                <w:sz w:val="21"/>
                <w:szCs w:val="21"/>
              </w:rPr>
            </w:pPr>
            <w:r>
              <w:rPr>
                <w:rFonts w:hint="eastAsia" w:cs="宋体" w:asciiTheme="majorEastAsia" w:hAnsiTheme="majorEastAsia" w:eastAsiaTheme="majorEastAsia"/>
                <w:kern w:val="0"/>
                <w:sz w:val="21"/>
                <w:szCs w:val="21"/>
              </w:rPr>
              <w:t>2.缺课次数达本学期总授课学时的1/3以上者；</w:t>
            </w:r>
          </w:p>
        </w:tc>
      </w:tr>
    </w:tbl>
    <w:p w14:paraId="562E28FE">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五、课程考核</w:t>
      </w:r>
    </w:p>
    <w:p w14:paraId="386C54E1">
      <w:pPr>
        <w:spacing w:line="360" w:lineRule="auto"/>
        <w:ind w:firstLine="420" w:firstLineChars="200"/>
        <w:rPr>
          <w:rFonts w:hint="eastAsia" w:cs="宋体" w:asciiTheme="majorEastAsia" w:hAnsiTheme="majorEastAsia" w:eastAsiaTheme="majorEastAsia"/>
          <w:szCs w:val="21"/>
        </w:rPr>
      </w:pPr>
      <w:r>
        <w:rPr>
          <w:rFonts w:hint="eastAsia" w:cs="宋体" w:asciiTheme="majorEastAsia" w:hAnsiTheme="majorEastAsia" w:eastAsiaTheme="majorEastAsia"/>
          <w:szCs w:val="21"/>
        </w:rPr>
        <w:t>（一）课程考核由期末考试和平时考核构成，期末考试采用随堂方式。</w:t>
      </w:r>
    </w:p>
    <w:p w14:paraId="5F85279A">
      <w:pPr>
        <w:spacing w:line="360" w:lineRule="auto"/>
        <w:ind w:firstLine="420" w:firstLineChars="200"/>
        <w:rPr>
          <w:rFonts w:hint="eastAsia" w:cs="宋体" w:asciiTheme="majorEastAsia" w:hAnsiTheme="majorEastAsia" w:eastAsiaTheme="majorEastAsia"/>
          <w:szCs w:val="21"/>
        </w:rPr>
      </w:pPr>
      <w:r>
        <w:rPr>
          <w:rFonts w:hint="eastAsia" w:cs="宋体" w:asciiTheme="majorEastAsia" w:hAnsiTheme="majorEastAsia" w:eastAsiaTheme="majorEastAsia"/>
          <w:szCs w:val="21"/>
        </w:rPr>
        <w:t>（二）课程总评成绩=平时成绩×50%+期末考试×50%，平时成绩=课堂表现×20%+课外锻炼×40%+身体素质×40%。</w:t>
      </w:r>
    </w:p>
    <w:p w14:paraId="73FC0D8E">
      <w:pPr>
        <w:spacing w:line="360" w:lineRule="auto"/>
        <w:ind w:firstLine="420" w:firstLineChars="200"/>
        <w:rPr>
          <w:rFonts w:hint="eastAsia" w:cs="宋体" w:asciiTheme="majorEastAsia" w:hAnsiTheme="majorEastAsia" w:eastAsiaTheme="majorEastAsia"/>
          <w:szCs w:val="21"/>
        </w:rPr>
      </w:pPr>
      <w:r>
        <w:rPr>
          <w:rFonts w:hint="eastAsia" w:cs="宋体" w:asciiTheme="majorEastAsia" w:hAnsiTheme="majorEastAsia" w:eastAsiaTheme="majorEastAsia"/>
          <w:szCs w:val="21"/>
        </w:rPr>
        <w:t>具体内容和比例如表所示：</w:t>
      </w:r>
    </w:p>
    <w:tbl>
      <w:tblPr>
        <w:tblStyle w:val="15"/>
        <w:tblW w:w="8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47"/>
        <w:gridCol w:w="1349"/>
      </w:tblGrid>
      <w:tr w14:paraId="3EA0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040" w:type="dxa"/>
            <w:shd w:val="clear" w:color="auto" w:fill="auto"/>
            <w:tcMar>
              <w:left w:w="57" w:type="dxa"/>
              <w:right w:w="57" w:type="dxa"/>
            </w:tcMar>
            <w:vAlign w:val="center"/>
          </w:tcPr>
          <w:p w14:paraId="7E762884">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成绩组成</w:t>
            </w:r>
          </w:p>
        </w:tc>
        <w:tc>
          <w:tcPr>
            <w:tcW w:w="1301" w:type="dxa"/>
            <w:shd w:val="clear" w:color="auto" w:fill="auto"/>
            <w:vAlign w:val="center"/>
          </w:tcPr>
          <w:p w14:paraId="6B05C813">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考核/评价环节</w:t>
            </w:r>
          </w:p>
        </w:tc>
        <w:tc>
          <w:tcPr>
            <w:tcW w:w="741" w:type="dxa"/>
            <w:shd w:val="clear" w:color="auto" w:fill="auto"/>
            <w:vAlign w:val="center"/>
          </w:tcPr>
          <w:p w14:paraId="65B89728">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权重</w:t>
            </w:r>
          </w:p>
        </w:tc>
        <w:tc>
          <w:tcPr>
            <w:tcW w:w="4047" w:type="dxa"/>
            <w:shd w:val="clear" w:color="auto" w:fill="auto"/>
            <w:vAlign w:val="center"/>
          </w:tcPr>
          <w:p w14:paraId="29976351">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考核/评价细则</w:t>
            </w:r>
          </w:p>
        </w:tc>
        <w:tc>
          <w:tcPr>
            <w:tcW w:w="1349" w:type="dxa"/>
            <w:shd w:val="clear" w:color="auto" w:fill="auto"/>
            <w:vAlign w:val="center"/>
          </w:tcPr>
          <w:p w14:paraId="6DC1465C">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对应的毕业要求指标点</w:t>
            </w:r>
          </w:p>
        </w:tc>
      </w:tr>
      <w:tr w14:paraId="600F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40" w:type="dxa"/>
            <w:vMerge w:val="restart"/>
            <w:shd w:val="clear" w:color="auto" w:fill="auto"/>
            <w:tcMar>
              <w:left w:w="57" w:type="dxa"/>
              <w:right w:w="57" w:type="dxa"/>
            </w:tcMar>
            <w:vAlign w:val="center"/>
          </w:tcPr>
          <w:p w14:paraId="4CD4938E">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平时成绩</w:t>
            </w:r>
          </w:p>
          <w:p w14:paraId="3713C5FD">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50%</w:t>
            </w:r>
          </w:p>
        </w:tc>
        <w:tc>
          <w:tcPr>
            <w:tcW w:w="1301" w:type="dxa"/>
            <w:shd w:val="clear" w:color="auto" w:fill="auto"/>
            <w:vAlign w:val="center"/>
          </w:tcPr>
          <w:p w14:paraId="1295D8F2">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课堂表现</w:t>
            </w:r>
          </w:p>
        </w:tc>
        <w:tc>
          <w:tcPr>
            <w:tcW w:w="741" w:type="dxa"/>
            <w:shd w:val="clear" w:color="auto" w:fill="auto"/>
            <w:vAlign w:val="center"/>
          </w:tcPr>
          <w:p w14:paraId="10A258E0">
            <w:pP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10%</w:t>
            </w:r>
          </w:p>
        </w:tc>
        <w:tc>
          <w:tcPr>
            <w:tcW w:w="4047" w:type="dxa"/>
            <w:shd w:val="clear" w:color="auto" w:fill="auto"/>
            <w:vAlign w:val="center"/>
          </w:tcPr>
          <w:p w14:paraId="7C33094D">
            <w:pPr>
              <w:rPr>
                <w:rFonts w:hint="default" w:ascii="Times New Roman" w:hAnsi="Times New Roman" w:cs="Times New Roman" w:eastAsiaTheme="majorEastAsia"/>
                <w:szCs w:val="21"/>
              </w:rPr>
            </w:pPr>
            <w:r>
              <w:rPr>
                <w:rFonts w:hint="default" w:ascii="Times New Roman" w:hAnsi="Times New Roman" w:cs="Times New Roman" w:eastAsiaTheme="majorEastAsia"/>
                <w:bCs/>
                <w:kern w:val="24"/>
                <w:szCs w:val="21"/>
              </w:rPr>
              <w:t>课堂整队点名，考核</w:t>
            </w:r>
            <w:r>
              <w:rPr>
                <w:rFonts w:hint="default" w:ascii="Times New Roman" w:hAnsi="Times New Roman" w:cs="Times New Roman" w:eastAsiaTheme="majorEastAsia"/>
                <w:szCs w:val="21"/>
              </w:rPr>
              <w:t>能否按时到勤，旷课一次扣20分，迟到与早退一次扣10分。</w:t>
            </w:r>
          </w:p>
        </w:tc>
        <w:tc>
          <w:tcPr>
            <w:tcW w:w="1349" w:type="dxa"/>
            <w:shd w:val="clear" w:color="auto" w:fill="auto"/>
            <w:vAlign w:val="center"/>
          </w:tcPr>
          <w:p w14:paraId="34298EF7">
            <w:pPr>
              <w:jc w:val="center"/>
              <w:rPr>
                <w:rFonts w:hint="default" w:ascii="Times New Roman" w:hAnsi="Times New Roman" w:cs="Times New Roman" w:eastAsiaTheme="majorEastAsia"/>
                <w:szCs w:val="21"/>
                <w:lang w:eastAsia="zh-CN"/>
              </w:rPr>
            </w:pPr>
            <w:r>
              <w:rPr>
                <w:rFonts w:hint="default" w:ascii="Times New Roman" w:hAnsi="Times New Roman" w:cs="Times New Roman" w:eastAsiaTheme="majorEastAsia"/>
                <w:bCs/>
                <w:szCs w:val="21"/>
                <w:lang w:val="en-US" w:eastAsia="zh-CN"/>
              </w:rPr>
              <w:t>2</w:t>
            </w:r>
            <w:r>
              <w:rPr>
                <w:rFonts w:hint="default" w:ascii="Times New Roman" w:hAnsi="Times New Roman" w:cs="Times New Roman" w:eastAsiaTheme="majorEastAsia"/>
                <w:bCs/>
                <w:szCs w:val="21"/>
              </w:rPr>
              <w:t>、</w:t>
            </w:r>
            <w:r>
              <w:rPr>
                <w:rFonts w:hint="default" w:ascii="Times New Roman" w:hAnsi="Times New Roman" w:cs="Times New Roman" w:eastAsiaTheme="majorEastAsia"/>
                <w:bCs/>
                <w:szCs w:val="21"/>
                <w:lang w:val="en-US" w:eastAsia="zh-CN"/>
              </w:rPr>
              <w:t>6</w:t>
            </w:r>
          </w:p>
        </w:tc>
      </w:tr>
      <w:tr w14:paraId="1E0A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1040" w:type="dxa"/>
            <w:vMerge w:val="continue"/>
            <w:shd w:val="clear" w:color="auto" w:fill="auto"/>
            <w:tcMar>
              <w:left w:w="57" w:type="dxa"/>
              <w:right w:w="57" w:type="dxa"/>
            </w:tcMar>
            <w:vAlign w:val="center"/>
          </w:tcPr>
          <w:p w14:paraId="29037D36">
            <w:pPr>
              <w:jc w:val="center"/>
              <w:rPr>
                <w:rFonts w:hint="default" w:ascii="Times New Roman" w:hAnsi="Times New Roman" w:cs="Times New Roman" w:eastAsiaTheme="majorEastAsia"/>
                <w:szCs w:val="21"/>
              </w:rPr>
            </w:pPr>
          </w:p>
        </w:tc>
        <w:tc>
          <w:tcPr>
            <w:tcW w:w="1301" w:type="dxa"/>
            <w:shd w:val="clear" w:color="auto" w:fill="auto"/>
            <w:vAlign w:val="center"/>
          </w:tcPr>
          <w:p w14:paraId="4EA179AE">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课外锻炼</w:t>
            </w:r>
          </w:p>
        </w:tc>
        <w:tc>
          <w:tcPr>
            <w:tcW w:w="741" w:type="dxa"/>
            <w:shd w:val="clear" w:color="auto" w:fill="auto"/>
            <w:vAlign w:val="center"/>
          </w:tcPr>
          <w:p w14:paraId="06D72887">
            <w:pP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20%</w:t>
            </w:r>
          </w:p>
        </w:tc>
        <w:tc>
          <w:tcPr>
            <w:tcW w:w="4047" w:type="dxa"/>
            <w:shd w:val="clear" w:color="auto" w:fill="auto"/>
            <w:vAlign w:val="center"/>
          </w:tcPr>
          <w:p w14:paraId="484C0153">
            <w:pPr>
              <w:rPr>
                <w:rFonts w:hint="default" w:ascii="Times New Roman" w:hAnsi="Times New Roman" w:cs="Times New Roman" w:eastAsiaTheme="majorEastAsia"/>
                <w:szCs w:val="21"/>
              </w:rPr>
            </w:pPr>
            <w:r>
              <w:rPr>
                <w:rFonts w:hint="default" w:ascii="Times New Roman" w:hAnsi="Times New Roman" w:cs="Times New Roman" w:eastAsiaTheme="majorEastAsia"/>
                <w:bCs/>
                <w:kern w:val="24"/>
                <w:szCs w:val="21"/>
              </w:rPr>
              <w:t>课外体育锻炼成绩纳入学期体育成绩总评，占总评分数的20%。主要包括晨跑、课外健身跑、健身辅导站、体育社团或单项协会健身活动和校级、院级、体育社团组织的体育竞赛活动等。</w:t>
            </w:r>
          </w:p>
        </w:tc>
        <w:tc>
          <w:tcPr>
            <w:tcW w:w="1349" w:type="dxa"/>
            <w:shd w:val="clear" w:color="auto" w:fill="auto"/>
            <w:vAlign w:val="center"/>
          </w:tcPr>
          <w:p w14:paraId="662688F5">
            <w:pPr>
              <w:jc w:val="center"/>
              <w:rPr>
                <w:rFonts w:hint="default" w:ascii="Times New Roman" w:hAnsi="Times New Roman" w:cs="Times New Roman" w:eastAsiaTheme="majorEastAsia"/>
                <w:szCs w:val="21"/>
                <w:lang w:eastAsia="zh-CN"/>
              </w:rPr>
            </w:pPr>
            <w:r>
              <w:rPr>
                <w:rFonts w:hint="default" w:ascii="Times New Roman" w:hAnsi="Times New Roman" w:cs="Times New Roman" w:eastAsiaTheme="majorEastAsia"/>
                <w:szCs w:val="21"/>
                <w:lang w:val="en-US" w:eastAsia="zh-CN"/>
              </w:rPr>
              <w:t>2</w:t>
            </w:r>
            <w:r>
              <w:rPr>
                <w:rFonts w:hint="default" w:ascii="Times New Roman" w:hAnsi="Times New Roman" w:cs="Times New Roman" w:eastAsiaTheme="majorEastAsia"/>
                <w:szCs w:val="21"/>
              </w:rPr>
              <w:t>、</w:t>
            </w:r>
            <w:r>
              <w:rPr>
                <w:rFonts w:hint="default" w:ascii="Times New Roman" w:hAnsi="Times New Roman" w:cs="Times New Roman" w:eastAsiaTheme="majorEastAsia"/>
                <w:szCs w:val="21"/>
                <w:lang w:val="en-US" w:eastAsia="zh-CN"/>
              </w:rPr>
              <w:t>6</w:t>
            </w:r>
          </w:p>
        </w:tc>
      </w:tr>
      <w:tr w14:paraId="4897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1040" w:type="dxa"/>
            <w:vMerge w:val="continue"/>
            <w:shd w:val="clear" w:color="auto" w:fill="auto"/>
            <w:tcMar>
              <w:left w:w="57" w:type="dxa"/>
              <w:right w:w="57" w:type="dxa"/>
            </w:tcMar>
            <w:vAlign w:val="center"/>
          </w:tcPr>
          <w:p w14:paraId="0C420A99">
            <w:pPr>
              <w:jc w:val="center"/>
              <w:rPr>
                <w:rFonts w:hint="default" w:ascii="Times New Roman" w:hAnsi="Times New Roman" w:cs="Times New Roman" w:eastAsiaTheme="majorEastAsia"/>
                <w:szCs w:val="21"/>
              </w:rPr>
            </w:pPr>
          </w:p>
        </w:tc>
        <w:tc>
          <w:tcPr>
            <w:tcW w:w="1301" w:type="dxa"/>
            <w:shd w:val="clear" w:color="auto" w:fill="auto"/>
            <w:vAlign w:val="center"/>
          </w:tcPr>
          <w:p w14:paraId="4DCF16B1">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身体素质</w:t>
            </w:r>
          </w:p>
        </w:tc>
        <w:tc>
          <w:tcPr>
            <w:tcW w:w="741" w:type="dxa"/>
            <w:shd w:val="clear" w:color="auto" w:fill="auto"/>
            <w:vAlign w:val="center"/>
          </w:tcPr>
          <w:p w14:paraId="0AE94436">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20%</w:t>
            </w:r>
          </w:p>
        </w:tc>
        <w:tc>
          <w:tcPr>
            <w:tcW w:w="4047" w:type="dxa"/>
            <w:shd w:val="clear" w:color="auto" w:fill="auto"/>
            <w:vAlign w:val="center"/>
          </w:tcPr>
          <w:p w14:paraId="0458480C">
            <w:pPr>
              <w:jc w:val="left"/>
              <w:rPr>
                <w:rFonts w:hint="default" w:ascii="Times New Roman" w:hAnsi="Times New Roman" w:cs="Times New Roman" w:eastAsiaTheme="majorEastAsia"/>
                <w:bCs/>
                <w:kern w:val="24"/>
                <w:szCs w:val="21"/>
              </w:rPr>
            </w:pPr>
            <w:r>
              <w:rPr>
                <w:rFonts w:hint="default" w:ascii="Times New Roman" w:hAnsi="Times New Roman" w:cs="Times New Roman" w:eastAsiaTheme="majorEastAsia"/>
                <w:bCs/>
                <w:kern w:val="24"/>
                <w:szCs w:val="21"/>
              </w:rPr>
              <w:t>1.2400米（男）、2000米（女）</w:t>
            </w:r>
          </w:p>
          <w:p w14:paraId="7BCDBA74">
            <w:pPr>
              <w:jc w:val="left"/>
              <w:rPr>
                <w:rFonts w:hint="default" w:ascii="Times New Roman" w:hAnsi="Times New Roman" w:cs="Times New Roman" w:eastAsiaTheme="majorEastAsia"/>
                <w:bCs/>
                <w:kern w:val="24"/>
                <w:szCs w:val="21"/>
              </w:rPr>
            </w:pPr>
            <w:r>
              <w:rPr>
                <w:rFonts w:hint="default" w:ascii="Times New Roman" w:hAnsi="Times New Roman" w:cs="Times New Roman" w:eastAsiaTheme="majorEastAsia"/>
                <w:bCs/>
                <w:kern w:val="24"/>
                <w:szCs w:val="21"/>
              </w:rPr>
              <w:t>2.引体向上（男）、立定跳远（女）</w:t>
            </w:r>
          </w:p>
          <w:p w14:paraId="132F52C4">
            <w:pPr>
              <w:jc w:val="left"/>
              <w:rPr>
                <w:rFonts w:hint="default" w:ascii="Times New Roman" w:hAnsi="Times New Roman" w:cs="Times New Roman" w:eastAsiaTheme="majorEastAsia"/>
                <w:szCs w:val="21"/>
              </w:rPr>
            </w:pPr>
            <w:r>
              <w:rPr>
                <w:rFonts w:hint="default" w:ascii="Times New Roman" w:hAnsi="Times New Roman" w:cs="Times New Roman" w:eastAsiaTheme="majorEastAsia"/>
                <w:bCs/>
                <w:kern w:val="24"/>
                <w:szCs w:val="21"/>
              </w:rPr>
              <w:t>课堂测试，评分参照《国家学生体质健康标准》。</w:t>
            </w:r>
          </w:p>
        </w:tc>
        <w:tc>
          <w:tcPr>
            <w:tcW w:w="1349" w:type="dxa"/>
            <w:shd w:val="clear" w:color="auto" w:fill="auto"/>
            <w:vAlign w:val="center"/>
          </w:tcPr>
          <w:p w14:paraId="6FA0BC06">
            <w:pPr>
              <w:jc w:val="center"/>
              <w:rPr>
                <w:rFonts w:hint="default" w:ascii="Times New Roman" w:hAnsi="Times New Roman" w:cs="Times New Roman" w:eastAsiaTheme="majorEastAsia"/>
                <w:szCs w:val="21"/>
                <w:lang w:eastAsia="zh-CN"/>
              </w:rPr>
            </w:pPr>
            <w:r>
              <w:rPr>
                <w:rFonts w:hint="default" w:ascii="Times New Roman" w:hAnsi="Times New Roman" w:cs="Times New Roman" w:eastAsiaTheme="majorEastAsia"/>
                <w:szCs w:val="21"/>
                <w:lang w:val="en-US" w:eastAsia="zh-CN"/>
              </w:rPr>
              <w:t>2</w:t>
            </w:r>
            <w:r>
              <w:rPr>
                <w:rFonts w:hint="default" w:ascii="Times New Roman" w:hAnsi="Times New Roman" w:cs="Times New Roman" w:eastAsiaTheme="majorEastAsia"/>
                <w:szCs w:val="21"/>
              </w:rPr>
              <w:t>、</w:t>
            </w:r>
            <w:r>
              <w:rPr>
                <w:rFonts w:hint="default" w:ascii="Times New Roman" w:hAnsi="Times New Roman" w:cs="Times New Roman" w:eastAsiaTheme="majorEastAsia"/>
                <w:szCs w:val="21"/>
                <w:lang w:val="en-US" w:eastAsia="zh-CN"/>
              </w:rPr>
              <w:t>6</w:t>
            </w:r>
          </w:p>
        </w:tc>
      </w:tr>
      <w:tr w14:paraId="0CC2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40" w:type="dxa"/>
            <w:shd w:val="clear" w:color="auto" w:fill="auto"/>
            <w:tcMar>
              <w:left w:w="57" w:type="dxa"/>
              <w:right w:w="57" w:type="dxa"/>
            </w:tcMar>
            <w:vAlign w:val="center"/>
          </w:tcPr>
          <w:p w14:paraId="55329EB4">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期末考试</w:t>
            </w:r>
          </w:p>
          <w:p w14:paraId="27ACB439">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50%</w:t>
            </w:r>
          </w:p>
        </w:tc>
        <w:tc>
          <w:tcPr>
            <w:tcW w:w="1301" w:type="dxa"/>
            <w:shd w:val="clear" w:color="auto" w:fill="auto"/>
            <w:vAlign w:val="center"/>
          </w:tcPr>
          <w:p w14:paraId="40F9C339">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期末运动技能考试</w:t>
            </w:r>
          </w:p>
        </w:tc>
        <w:tc>
          <w:tcPr>
            <w:tcW w:w="741" w:type="dxa"/>
            <w:shd w:val="clear" w:color="auto" w:fill="auto"/>
            <w:vAlign w:val="center"/>
          </w:tcPr>
          <w:p w14:paraId="7D435F9D">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50%</w:t>
            </w:r>
          </w:p>
        </w:tc>
        <w:tc>
          <w:tcPr>
            <w:tcW w:w="4047" w:type="dxa"/>
            <w:shd w:val="clear" w:color="auto" w:fill="auto"/>
            <w:vAlign w:val="center"/>
          </w:tcPr>
          <w:p w14:paraId="50ADB69B">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各专项技能</w:t>
            </w:r>
          </w:p>
        </w:tc>
        <w:tc>
          <w:tcPr>
            <w:tcW w:w="1349" w:type="dxa"/>
            <w:shd w:val="clear" w:color="auto" w:fill="auto"/>
            <w:vAlign w:val="center"/>
          </w:tcPr>
          <w:p w14:paraId="120DF028">
            <w:pPr>
              <w:jc w:val="center"/>
              <w:rPr>
                <w:rFonts w:hint="default" w:ascii="Times New Roman" w:hAnsi="Times New Roman" w:cs="Times New Roman" w:eastAsiaTheme="majorEastAsia"/>
                <w:szCs w:val="21"/>
                <w:lang w:eastAsia="zh-CN"/>
              </w:rPr>
            </w:pPr>
            <w:r>
              <w:rPr>
                <w:rFonts w:hint="default" w:ascii="Times New Roman" w:hAnsi="Times New Roman" w:cs="Times New Roman" w:eastAsiaTheme="majorEastAsia"/>
                <w:bCs/>
                <w:szCs w:val="21"/>
                <w:lang w:val="en-US" w:eastAsia="zh-CN"/>
              </w:rPr>
              <w:t>2</w:t>
            </w:r>
            <w:r>
              <w:rPr>
                <w:rFonts w:hint="default" w:ascii="Times New Roman" w:hAnsi="Times New Roman" w:cs="Times New Roman" w:eastAsiaTheme="majorEastAsia"/>
                <w:bCs/>
                <w:szCs w:val="21"/>
              </w:rPr>
              <w:t>、</w:t>
            </w:r>
            <w:r>
              <w:rPr>
                <w:rFonts w:hint="default" w:ascii="Times New Roman" w:hAnsi="Times New Roman" w:cs="Times New Roman" w:eastAsiaTheme="majorEastAsia"/>
                <w:bCs/>
                <w:szCs w:val="21"/>
                <w:lang w:val="en-US" w:eastAsia="zh-CN"/>
              </w:rPr>
              <w:t>6</w:t>
            </w:r>
          </w:p>
        </w:tc>
      </w:tr>
    </w:tbl>
    <w:p w14:paraId="14A54FED">
      <w:pPr>
        <w:spacing w:before="62" w:beforeLines="20" w:after="62" w:afterLines="20" w:line="360" w:lineRule="auto"/>
        <w:jc w:val="left"/>
        <w:rPr>
          <w:rFonts w:hint="default" w:ascii="Times New Roman" w:hAnsi="Times New Roman" w:eastAsia="宋体" w:cs="Times New Roman"/>
          <w:b/>
          <w:sz w:val="24"/>
        </w:rPr>
      </w:pPr>
      <w:r>
        <w:rPr>
          <w:rFonts w:hint="default" w:ascii="Times New Roman" w:hAnsi="Times New Roman" w:eastAsia="宋体" w:cs="Times New Roman"/>
          <w:b/>
          <w:sz w:val="24"/>
          <w:lang w:val="en-US" w:eastAsia="zh-CN"/>
        </w:rPr>
        <w:t>六</w:t>
      </w:r>
      <w:r>
        <w:rPr>
          <w:rFonts w:hint="default" w:ascii="Times New Roman" w:hAnsi="Times New Roman" w:eastAsia="宋体" w:cs="Times New Roman"/>
          <w:b/>
          <w:sz w:val="24"/>
        </w:rPr>
        <w:t>、有关说明</w:t>
      </w:r>
    </w:p>
    <w:p w14:paraId="60437A9B">
      <w:pPr>
        <w:spacing w:line="360" w:lineRule="auto"/>
        <w:ind w:firstLine="422" w:firstLineChars="200"/>
        <w:rPr>
          <w:rFonts w:hint="default" w:ascii="Times New Roman" w:hAnsi="Times New Roman" w:cs="Times New Roman" w:eastAsiaTheme="majorEastAsia"/>
          <w:b/>
          <w:szCs w:val="21"/>
        </w:rPr>
      </w:pPr>
      <w:r>
        <w:rPr>
          <w:rFonts w:hint="default" w:ascii="Times New Roman" w:hAnsi="Times New Roman" w:cs="Times New Roman" w:eastAsiaTheme="majorEastAsia"/>
          <w:b/>
          <w:szCs w:val="21"/>
        </w:rPr>
        <w:t>（一）持续改进</w:t>
      </w:r>
    </w:p>
    <w:p w14:paraId="432E6335">
      <w:pPr>
        <w:spacing w:line="360" w:lineRule="auto"/>
        <w:ind w:firstLine="420" w:firstLineChars="200"/>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本课程根据学生课外体育锻炼、课堂表现、体质测试、平时考核情况，以及学生、教学督导等反馈，及时对教学中不足之处进行改进，并在下一轮课程教学中整改完善，确保相应毕业要求指标点达成。</w:t>
      </w:r>
    </w:p>
    <w:p w14:paraId="27440768">
      <w:pPr>
        <w:spacing w:line="360" w:lineRule="auto"/>
        <w:ind w:firstLine="422" w:firstLineChars="200"/>
        <w:jc w:val="left"/>
        <w:rPr>
          <w:rFonts w:hint="default" w:ascii="Times New Roman" w:hAnsi="Times New Roman" w:cs="Times New Roman" w:eastAsiaTheme="majorEastAsia"/>
          <w:szCs w:val="21"/>
        </w:rPr>
      </w:pPr>
      <w:r>
        <w:rPr>
          <w:rFonts w:hint="default" w:ascii="Times New Roman" w:hAnsi="Times New Roman" w:cs="Times New Roman" w:eastAsiaTheme="majorEastAsia"/>
          <w:b/>
          <w:szCs w:val="21"/>
        </w:rPr>
        <w:t>（二）教学参考书</w:t>
      </w:r>
    </w:p>
    <w:p w14:paraId="6DA3B8FF">
      <w:pPr>
        <w:spacing w:line="360" w:lineRule="auto"/>
        <w:ind w:firstLine="420" w:firstLineChars="200"/>
        <w:jc w:val="lef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1.毛振明.大学体育文化与实技教程[M].沈阳：东北大学出版社，2013</w:t>
      </w:r>
    </w:p>
    <w:p w14:paraId="70A1A887">
      <w:pPr>
        <w:wordWrap w:val="0"/>
        <w:spacing w:line="360" w:lineRule="auto"/>
        <w:jc w:val="right"/>
        <w:rPr>
          <w:rFonts w:hint="default" w:ascii="Times New Roman" w:hAnsi="Times New Roman" w:eastAsia="宋体" w:cs="Times New Roman"/>
          <w:sz w:val="21"/>
          <w:szCs w:val="20"/>
        </w:rPr>
      </w:pPr>
      <w:r>
        <w:rPr>
          <w:rFonts w:hint="default" w:ascii="Times New Roman" w:hAnsi="Times New Roman" w:eastAsia="宋体" w:cs="Times New Roman"/>
          <w:sz w:val="24"/>
          <w:szCs w:val="22"/>
        </w:rPr>
        <w:t xml:space="preserve">                                                      </w:t>
      </w:r>
      <w:r>
        <w:rPr>
          <w:rFonts w:hint="default" w:ascii="Times New Roman" w:hAnsi="Times New Roman" w:eastAsia="宋体" w:cs="Times New Roman"/>
          <w:sz w:val="21"/>
          <w:szCs w:val="20"/>
        </w:rPr>
        <w:t xml:space="preserve"> 执笔人：顾  宏</w:t>
      </w:r>
    </w:p>
    <w:p w14:paraId="6589E59B">
      <w:pPr>
        <w:spacing w:line="360" w:lineRule="auto"/>
        <w:ind w:firstLine="420" w:firstLineChars="200"/>
        <w:jc w:val="right"/>
        <w:rPr>
          <w:rFonts w:hint="default" w:ascii="Times New Roman" w:hAnsi="Times New Roman" w:eastAsia="宋体" w:cs="Times New Roman"/>
          <w:sz w:val="21"/>
          <w:szCs w:val="20"/>
        </w:rPr>
      </w:pPr>
      <w:r>
        <w:rPr>
          <w:rFonts w:hint="default" w:ascii="Times New Roman" w:hAnsi="Times New Roman" w:eastAsia="宋体" w:cs="Times New Roman"/>
          <w:sz w:val="21"/>
          <w:szCs w:val="20"/>
        </w:rPr>
        <w:t>审定人：方曙光</w:t>
      </w:r>
    </w:p>
    <w:p w14:paraId="7CC8643D">
      <w:pPr>
        <w:spacing w:line="360" w:lineRule="auto"/>
        <w:jc w:val="right"/>
        <w:rPr>
          <w:rFonts w:hint="default" w:ascii="Times New Roman" w:hAnsi="Times New Roman" w:eastAsia="宋体" w:cs="Times New Roman"/>
          <w:sz w:val="21"/>
          <w:szCs w:val="20"/>
        </w:rPr>
      </w:pPr>
      <w:r>
        <w:rPr>
          <w:rFonts w:hint="default" w:ascii="Times New Roman" w:hAnsi="Times New Roman" w:eastAsia="宋体" w:cs="Times New Roman"/>
          <w:sz w:val="21"/>
          <w:szCs w:val="20"/>
        </w:rPr>
        <w:t>批准人：王红福</w:t>
      </w:r>
    </w:p>
    <w:p w14:paraId="12424188">
      <w:pPr>
        <w:spacing w:line="360" w:lineRule="auto"/>
        <w:ind w:firstLine="420" w:firstLineChars="200"/>
        <w:jc w:val="right"/>
        <w:rPr>
          <w:rFonts w:hint="eastAsia" w:ascii="Times New Roman" w:hAnsi="Times New Roman" w:eastAsia="宋体" w:cs="Times New Roman"/>
          <w:sz w:val="21"/>
          <w:szCs w:val="20"/>
          <w:lang w:eastAsia="zh-CN"/>
        </w:rPr>
      </w:pPr>
      <w:r>
        <w:rPr>
          <w:rFonts w:hint="eastAsia" w:ascii="Times New Roman" w:hAnsi="Times New Roman" w:eastAsia="宋体" w:cs="Times New Roman"/>
          <w:sz w:val="21"/>
          <w:szCs w:val="20"/>
          <w:lang w:eastAsia="zh-CN"/>
        </w:rPr>
        <w:t>批准时间：2025年7月1日</w:t>
      </w:r>
    </w:p>
    <w:p w14:paraId="5D1C0459">
      <w:pPr>
        <w:rPr>
          <w:rFonts w:hint="eastAsia" w:ascii="宋体" w:hAnsi="宋体" w:eastAsia="宋体" w:cs="宋体"/>
          <w:color w:val="auto"/>
          <w:sz w:val="24"/>
        </w:rPr>
      </w:pPr>
    </w:p>
    <w:p w14:paraId="2A3E5CD3">
      <w:pPr>
        <w:rPr>
          <w:rFonts w:hint="eastAsia" w:ascii="宋体" w:hAnsi="宋体" w:eastAsia="宋体" w:cs="宋体"/>
          <w:color w:val="auto"/>
          <w:sz w:val="24"/>
        </w:rPr>
      </w:pPr>
    </w:p>
    <w:p w14:paraId="23D7FA21">
      <w:pPr>
        <w:rPr>
          <w:rFonts w:hint="eastAsia" w:ascii="宋体" w:hAnsi="宋体" w:eastAsia="宋体" w:cs="宋体"/>
          <w:color w:val="auto"/>
        </w:rPr>
      </w:pPr>
      <w:r>
        <w:rPr>
          <w:rFonts w:hint="eastAsia" w:ascii="宋体" w:hAnsi="宋体" w:eastAsia="宋体" w:cs="宋体"/>
          <w:color w:val="auto"/>
          <w:sz w:val="24"/>
        </w:rPr>
        <w:br w:type="page"/>
      </w:r>
    </w:p>
    <w:p w14:paraId="2FA38434">
      <w:pPr>
        <w:spacing w:line="360" w:lineRule="auto"/>
        <w:jc w:val="center"/>
        <w:outlineLvl w:val="0"/>
        <w:rPr>
          <w:rFonts w:hint="eastAsia" w:ascii="Times New Roman" w:hAnsi="Times New Roman" w:eastAsia="宋体" w:cs="Times New Roman"/>
          <w:b/>
          <w:sz w:val="44"/>
          <w:szCs w:val="44"/>
        </w:rPr>
      </w:pPr>
      <w:bookmarkStart w:id="26" w:name="_Toc20194"/>
      <w:bookmarkStart w:id="27" w:name="_Toc17045"/>
      <w:r>
        <w:rPr>
          <w:rFonts w:hint="eastAsia" w:ascii="Times New Roman" w:hAnsi="Times New Roman" w:eastAsia="宋体" w:cs="Times New Roman"/>
          <w:b/>
          <w:sz w:val="44"/>
          <w:szCs w:val="44"/>
        </w:rPr>
        <w:t>《体育IV》课程教学大纲</w:t>
      </w:r>
      <w:bookmarkEnd w:id="26"/>
      <w:bookmarkEnd w:id="27"/>
    </w:p>
    <w:p w14:paraId="2F138BEB">
      <w:pPr>
        <w:spacing w:line="312" w:lineRule="auto"/>
        <w:jc w:val="center"/>
        <w:rPr>
          <w:rFonts w:hint="default" w:ascii="Times New Roman" w:hAnsi="Times New Roman" w:eastAsia="仿宋" w:cs="Times New Roman"/>
          <w:b/>
          <w:bCs/>
          <w:color w:val="auto"/>
          <w:sz w:val="28"/>
          <w:szCs w:val="22"/>
        </w:rPr>
      </w:pPr>
      <w:r>
        <w:rPr>
          <w:rFonts w:hint="default" w:ascii="Times New Roman" w:hAnsi="Times New Roman" w:eastAsia="仿宋" w:cs="Times New Roman"/>
          <w:b/>
          <w:bCs/>
          <w:color w:val="auto"/>
          <w:sz w:val="28"/>
          <w:szCs w:val="22"/>
        </w:rPr>
        <w:t>（Physical  Education IV）</w:t>
      </w:r>
    </w:p>
    <w:p w14:paraId="78456B55">
      <w:pPr>
        <w:spacing w:line="360" w:lineRule="auto"/>
        <w:ind w:firstLine="482" w:firstLineChars="200"/>
        <w:rPr>
          <w:rFonts w:hint="default" w:ascii="Times New Roman" w:hAnsi="Times New Roman" w:eastAsia="宋体" w:cs="Times New Roman"/>
          <w:b/>
          <w:bCs/>
          <w:color w:val="auto"/>
          <w:kern w:val="0"/>
          <w:sz w:val="24"/>
        </w:rPr>
      </w:pPr>
    </w:p>
    <w:p w14:paraId="0B9F2938">
      <w:pPr>
        <w:spacing w:line="360" w:lineRule="auto"/>
        <w:ind w:firstLine="482" w:firstLineChars="200"/>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课程名称：体育IV</w:t>
      </w:r>
    </w:p>
    <w:p w14:paraId="3575CB65">
      <w:pPr>
        <w:spacing w:line="360" w:lineRule="auto"/>
        <w:ind w:firstLine="482" w:firstLineChars="200"/>
        <w:rPr>
          <w:rFonts w:hint="default" w:ascii="Times New Roman" w:hAnsi="Times New Roman" w:eastAsia="宋体" w:cs="Times New Roman"/>
          <w:bCs/>
          <w:color w:val="auto"/>
          <w:sz w:val="28"/>
          <w:szCs w:val="28"/>
        </w:rPr>
      </w:pPr>
      <w:r>
        <w:rPr>
          <w:rFonts w:hint="default" w:ascii="Times New Roman" w:hAnsi="Times New Roman" w:eastAsia="宋体" w:cs="Times New Roman"/>
          <w:b/>
          <w:bCs/>
          <w:color w:val="auto"/>
          <w:kern w:val="0"/>
          <w:sz w:val="24"/>
        </w:rPr>
        <w:t>课程代码</w:t>
      </w:r>
      <w:r>
        <w:rPr>
          <w:rFonts w:hint="default" w:ascii="Times New Roman" w:hAnsi="Times New Roman" w:eastAsia="宋体" w:cs="Times New Roman"/>
          <w:b/>
          <w:color w:val="auto"/>
          <w:kern w:val="0"/>
          <w:sz w:val="24"/>
        </w:rPr>
        <w:t>：</w:t>
      </w:r>
      <w:r>
        <w:rPr>
          <w:rFonts w:hint="default" w:ascii="Times New Roman" w:hAnsi="Times New Roman" w:eastAsia="宋体" w:cs="Times New Roman"/>
          <w:bCs/>
          <w:color w:val="auto"/>
          <w:kern w:val="0"/>
          <w:sz w:val="24"/>
        </w:rPr>
        <w:t>1102020</w:t>
      </w:r>
    </w:p>
    <w:p w14:paraId="0308BC95">
      <w:pPr>
        <w:spacing w:line="360" w:lineRule="auto"/>
        <w:ind w:firstLine="482" w:firstLineChars="200"/>
        <w:rPr>
          <w:rFonts w:hint="default" w:ascii="Times New Roman" w:hAnsi="Times New Roman" w:eastAsia="宋体" w:cs="Times New Roman"/>
          <w:bCs/>
          <w:color w:val="auto"/>
          <w:kern w:val="0"/>
          <w:sz w:val="24"/>
        </w:rPr>
      </w:pPr>
      <w:r>
        <w:rPr>
          <w:rFonts w:hint="default" w:ascii="Times New Roman" w:hAnsi="Times New Roman" w:eastAsia="宋体" w:cs="Times New Roman"/>
          <w:b/>
          <w:bCs/>
          <w:color w:val="auto"/>
          <w:kern w:val="0"/>
          <w:sz w:val="24"/>
        </w:rPr>
        <w:t>学    分</w:t>
      </w:r>
      <w:r>
        <w:rPr>
          <w:rFonts w:hint="default" w:ascii="Times New Roman" w:hAnsi="Times New Roman" w:eastAsia="宋体" w:cs="Times New Roman"/>
          <w:b/>
          <w:color w:val="auto"/>
          <w:kern w:val="0"/>
          <w:sz w:val="24"/>
        </w:rPr>
        <w:t>：</w:t>
      </w:r>
      <w:r>
        <w:rPr>
          <w:rFonts w:hint="default" w:ascii="Times New Roman" w:hAnsi="Times New Roman" w:eastAsia="宋体" w:cs="Times New Roman"/>
          <w:bCs/>
          <w:color w:val="auto"/>
          <w:kern w:val="0"/>
          <w:sz w:val="24"/>
        </w:rPr>
        <w:t>0.75</w:t>
      </w:r>
    </w:p>
    <w:p w14:paraId="01376046">
      <w:pPr>
        <w:spacing w:line="360" w:lineRule="auto"/>
        <w:ind w:firstLine="482"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kern w:val="0"/>
          <w:sz w:val="24"/>
        </w:rPr>
        <w:t>学    时</w:t>
      </w:r>
      <w:r>
        <w:rPr>
          <w:rFonts w:hint="default" w:ascii="Times New Roman" w:hAnsi="Times New Roman" w:eastAsia="宋体" w:cs="Times New Roman"/>
          <w:b/>
          <w:color w:val="auto"/>
          <w:kern w:val="0"/>
          <w:sz w:val="24"/>
        </w:rPr>
        <w:t>：</w:t>
      </w:r>
      <w:r>
        <w:rPr>
          <w:rFonts w:hint="default" w:ascii="Times New Roman" w:hAnsi="Times New Roman" w:eastAsia="宋体" w:cs="Times New Roman"/>
          <w:color w:val="auto"/>
          <w:kern w:val="0"/>
          <w:sz w:val="24"/>
        </w:rPr>
        <w:t>30</w:t>
      </w:r>
    </w:p>
    <w:p w14:paraId="4474FD20">
      <w:pPr>
        <w:spacing w:line="360" w:lineRule="auto"/>
        <w:ind w:firstLine="482"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kern w:val="0"/>
          <w:sz w:val="24"/>
        </w:rPr>
        <w:t>适用专业</w:t>
      </w:r>
      <w:r>
        <w:rPr>
          <w:rFonts w:hint="default" w:ascii="Times New Roman" w:hAnsi="Times New Roman" w:eastAsia="宋体" w:cs="Times New Roman"/>
          <w:b/>
          <w:color w:val="auto"/>
          <w:kern w:val="0"/>
          <w:sz w:val="24"/>
        </w:rPr>
        <w:t>：</w:t>
      </w:r>
      <w:r>
        <w:rPr>
          <w:rFonts w:hint="default" w:ascii="Times New Roman" w:hAnsi="Times New Roman" w:eastAsia="宋体" w:cs="Times New Roman"/>
          <w:color w:val="auto"/>
          <w:kern w:val="0"/>
          <w:sz w:val="24"/>
        </w:rPr>
        <w:t xml:space="preserve"> 全校各专业                        </w:t>
      </w:r>
    </w:p>
    <w:p w14:paraId="6D4A7512">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default" w:ascii="Times New Roman" w:hAnsi="Times New Roman" w:eastAsia="宋体" w:cs="Times New Roman"/>
          <w:b/>
          <w:bCs/>
          <w:color w:val="auto"/>
          <w:kern w:val="0"/>
          <w:sz w:val="24"/>
        </w:rPr>
      </w:pPr>
      <w:r>
        <w:rPr>
          <w:rFonts w:hint="eastAsia" w:ascii="宋体" w:hAnsi="宋体" w:eastAsia="宋体" w:cs="宋体"/>
          <w:b/>
          <w:bCs/>
          <w:color w:val="auto"/>
          <w:kern w:val="0"/>
          <w:sz w:val="24"/>
          <w:lang w:val="en-US" w:eastAsia="zh-CN"/>
        </w:rPr>
        <w:t>一、课程简介</w:t>
      </w:r>
    </w:p>
    <w:p w14:paraId="40055A3A">
      <w:pPr>
        <w:autoSpaceDE w:val="0"/>
        <w:autoSpaceDN w:val="0"/>
        <w:adjustRightInd w:val="0"/>
        <w:spacing w:line="420" w:lineRule="exact"/>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课程是面向全校各专业开设的以身体练习为主要手段，以培养学生体育人文素养和塑造健全人格为主要目的，以提高学生体质健康水平为主要目标的通识必修课。其教学安排在第二学年第二、四学期进行。课程主要内容包括篮球、足球、排球、羽毛球、乒乓球、网球、武术、手球、健美（男）、健美操（女）、艺术体操、跆拳道、散打、瑜伽、体育舞蹈和体育保健等项目。</w:t>
      </w:r>
    </w:p>
    <w:p w14:paraId="286346CD">
      <w:pPr>
        <w:spacing w:line="420" w:lineRule="exact"/>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过本课程的学习，使学生较全面、系统地掌握所学项目的基本理论知识，正确、熟练地掌握所学项目基本技术和战术，发展专项身体素质，并能在比赛或练习中灵活运用，从而提高学生的身体素质和促进学生身心健康发展。通过融入社会主义核心价值观、做人做事的道理和体育精神等课程思政元素，培养学生的爱国情怀、良好的体育道德风尚、团队精神、体育文化素养和顽强的意志品质。基本形成终身体育意识和自觉锻炼习惯。</w:t>
      </w:r>
    </w:p>
    <w:p w14:paraId="039FF740">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default" w:ascii="宋体" w:hAnsi="宋体" w:eastAsia="宋体" w:cs="宋体"/>
          <w:b/>
          <w:bCs/>
          <w:color w:val="auto"/>
          <w:kern w:val="0"/>
          <w:sz w:val="24"/>
          <w:lang w:val="en-US" w:eastAsia="zh-CN"/>
        </w:rPr>
      </w:pPr>
      <w:r>
        <w:rPr>
          <w:rFonts w:hint="default" w:ascii="宋体" w:hAnsi="宋体" w:eastAsia="宋体" w:cs="宋体"/>
          <w:b/>
          <w:bCs/>
          <w:color w:val="auto"/>
          <w:kern w:val="0"/>
          <w:sz w:val="24"/>
          <w:lang w:val="en-US" w:eastAsia="zh-CN"/>
        </w:rPr>
        <w:t>二、课程目标</w:t>
      </w:r>
    </w:p>
    <w:p w14:paraId="2ADCFE62">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目标1：全面发展体能，提高运动能力，掌握体育基本理论知识和基本技术，具有一定的体育文化素养和体育欣赏能力。树立“健康第一”思想和正确的体育道德观，培养勇于拼搏、团结进取、战胜自我的优良品质。 </w:t>
      </w:r>
    </w:p>
    <w:p w14:paraId="7B17CEEA">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目标2：积极参与各种体育运动，掌握1-2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3A2864CC">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本课程支撑专业培养方案中毕业要求</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(不同专业会略有区别，具体见培养方案中的毕业要求实现矩阵)，对应关系如下表所示。</w:t>
      </w:r>
    </w:p>
    <w:tbl>
      <w:tblPr>
        <w:tblStyle w:val="16"/>
        <w:tblW w:w="52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5690"/>
        <w:gridCol w:w="1190"/>
      </w:tblGrid>
      <w:tr w14:paraId="06AD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Align w:val="center"/>
          </w:tcPr>
          <w:p w14:paraId="2FF0EABC">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毕业要求2</w:t>
            </w:r>
          </w:p>
          <w:p w14:paraId="3AAFAF51">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教育情怀</w:t>
            </w:r>
          </w:p>
        </w:tc>
        <w:tc>
          <w:tcPr>
            <w:tcW w:w="3169" w:type="pct"/>
            <w:vAlign w:val="center"/>
          </w:tcPr>
          <w:p w14:paraId="00E57BAA">
            <w:pPr>
              <w:rPr>
                <w:rFonts w:hint="default" w:ascii="Times New Roman" w:hAnsi="Times New Roman" w:eastAsia="宋体" w:cs="Times New Roman"/>
                <w:color w:val="auto"/>
              </w:rPr>
            </w:pPr>
            <w:r>
              <w:rPr>
                <w:rFonts w:hint="default" w:ascii="Times New Roman" w:hAnsi="Times New Roman" w:eastAsia="宋体" w:cs="Times New Roman"/>
                <w:b/>
                <w:bCs/>
                <w:color w:val="auto"/>
              </w:rPr>
              <w:t>指标点2-3：</w:t>
            </w:r>
            <w:r>
              <w:rPr>
                <w:rFonts w:hint="default" w:ascii="Times New Roman" w:hAnsi="Times New Roman" w:eastAsia="宋体" w:cs="Times New Roman"/>
                <w:color w:val="auto"/>
              </w:rPr>
              <w:t>【自身修养良好】具有较好的人文艺术底蕴与科学精神，言行举止符合教师职业标准，情感积极，人格健全，身心健康。</w:t>
            </w:r>
          </w:p>
        </w:tc>
        <w:tc>
          <w:tcPr>
            <w:tcW w:w="663" w:type="pct"/>
            <w:vAlign w:val="center"/>
          </w:tcPr>
          <w:p w14:paraId="7EC5D5F0">
            <w:pPr>
              <w:rPr>
                <w:rFonts w:hint="default" w:ascii="Times New Roman" w:hAnsi="Times New Roman" w:eastAsia="宋体" w:cs="Times New Roman"/>
                <w:color w:val="auto"/>
                <w:lang w:eastAsia="zh"/>
              </w:rPr>
            </w:pPr>
            <w:r>
              <w:rPr>
                <w:rFonts w:hint="default" w:ascii="Times New Roman" w:hAnsi="Times New Roman" w:eastAsia="宋体" w:cs="Times New Roman"/>
                <w:color w:val="auto"/>
              </w:rPr>
              <w:t>课程目标</w:t>
            </w:r>
            <w:r>
              <w:rPr>
                <w:rFonts w:hint="default" w:ascii="Times New Roman" w:hAnsi="Times New Roman" w:eastAsia="宋体" w:cs="Times New Roman"/>
                <w:color w:val="auto"/>
                <w:lang w:eastAsia="zh"/>
              </w:rPr>
              <w:t>1</w:t>
            </w:r>
          </w:p>
        </w:tc>
      </w:tr>
      <w:tr w14:paraId="2534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Align w:val="center"/>
          </w:tcPr>
          <w:p w14:paraId="7D9E5EB6">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毕业要求6</w:t>
            </w:r>
          </w:p>
          <w:p w14:paraId="407010B5">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综合育人</w:t>
            </w:r>
          </w:p>
        </w:tc>
        <w:tc>
          <w:tcPr>
            <w:tcW w:w="3169" w:type="pct"/>
            <w:vAlign w:val="center"/>
          </w:tcPr>
          <w:p w14:paraId="263DC3D3">
            <w:pPr>
              <w:rPr>
                <w:rFonts w:hint="eastAsia" w:ascii="Times New Roman" w:hAnsi="Times New Roman" w:eastAsia="宋体" w:cs="Times New Roman"/>
                <w:color w:val="auto"/>
                <w:lang w:eastAsia="zh-CN"/>
              </w:rPr>
            </w:pPr>
            <w:r>
              <w:rPr>
                <w:rFonts w:hint="eastAsia" w:ascii="Times New Roman" w:hAnsi="Times New Roman" w:eastAsia="宋体" w:cs="Times New Roman"/>
                <w:b/>
                <w:bCs/>
                <w:color w:val="auto"/>
                <w:lang w:eastAsia="zh-CN"/>
              </w:rPr>
              <w:t>指标点6-3：</w:t>
            </w:r>
            <w:r>
              <w:rPr>
                <w:rFonts w:hint="eastAsia" w:ascii="Times New Roman" w:hAnsi="Times New Roman" w:eastAsia="宋体" w:cs="Times New Roman"/>
                <w:b w:val="0"/>
                <w:bCs w:val="0"/>
                <w:color w:val="auto"/>
                <w:lang w:eastAsia="zh-CN"/>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663" w:type="pct"/>
            <w:vAlign w:val="center"/>
          </w:tcPr>
          <w:p w14:paraId="2A8E47DA">
            <w:pPr>
              <w:rPr>
                <w:rFonts w:hint="default" w:ascii="Times New Roman" w:hAnsi="Times New Roman" w:eastAsia="宋体" w:cs="Times New Roman"/>
                <w:color w:val="auto"/>
              </w:rPr>
            </w:pPr>
            <w:r>
              <w:rPr>
                <w:rFonts w:hint="default" w:ascii="Times New Roman" w:hAnsi="Times New Roman" w:eastAsia="宋体" w:cs="Times New Roman"/>
                <w:color w:val="auto"/>
              </w:rPr>
              <w:t>课程目标1</w:t>
            </w:r>
          </w:p>
          <w:p w14:paraId="2F6733A3">
            <w:pPr>
              <w:rPr>
                <w:rFonts w:hint="default" w:ascii="Times New Roman" w:hAnsi="Times New Roman" w:eastAsia="宋体" w:cs="Times New Roman"/>
                <w:color w:val="auto"/>
              </w:rPr>
            </w:pPr>
            <w:r>
              <w:rPr>
                <w:rFonts w:hint="default" w:ascii="Times New Roman" w:hAnsi="Times New Roman" w:eastAsia="宋体" w:cs="Times New Roman"/>
                <w:color w:val="auto"/>
              </w:rPr>
              <w:t>课程目标2</w:t>
            </w:r>
          </w:p>
        </w:tc>
      </w:tr>
    </w:tbl>
    <w:p w14:paraId="384101E0">
      <w:pPr>
        <w:keepNext w:val="0"/>
        <w:keepLines w:val="0"/>
        <w:pageBreakBefore w:val="0"/>
        <w:widowControl w:val="0"/>
        <w:numPr>
          <w:ilvl w:val="0"/>
          <w:numId w:val="8"/>
        </w:numPr>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教学内容与预期学习成效</w:t>
      </w: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4027"/>
        <w:gridCol w:w="2706"/>
        <w:gridCol w:w="780"/>
        <w:gridCol w:w="951"/>
      </w:tblGrid>
      <w:tr w14:paraId="4C73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Align w:val="center"/>
          </w:tcPr>
          <w:p w14:paraId="31E6EBFD">
            <w:pPr>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2219" w:type="pct"/>
            <w:vAlign w:val="center"/>
          </w:tcPr>
          <w:p w14:paraId="4ADF24C1">
            <w:pPr>
              <w:jc w:val="center"/>
              <w:rPr>
                <w:rFonts w:hint="eastAsia" w:ascii="宋体" w:hAnsi="宋体" w:eastAsia="宋体" w:cs="宋体"/>
                <w:b/>
                <w:bCs/>
                <w:sz w:val="21"/>
                <w:szCs w:val="21"/>
              </w:rPr>
            </w:pPr>
            <w:r>
              <w:rPr>
                <w:rFonts w:hint="eastAsia" w:ascii="宋体" w:hAnsi="宋体" w:eastAsia="宋体" w:cs="宋体"/>
                <w:b/>
                <w:bCs/>
                <w:sz w:val="21"/>
                <w:szCs w:val="21"/>
              </w:rPr>
              <w:t>教学内容</w:t>
            </w:r>
          </w:p>
        </w:tc>
        <w:tc>
          <w:tcPr>
            <w:tcW w:w="1491" w:type="pct"/>
            <w:vAlign w:val="center"/>
          </w:tcPr>
          <w:p w14:paraId="30521B7D">
            <w:pPr>
              <w:jc w:val="center"/>
              <w:rPr>
                <w:rFonts w:hint="eastAsia" w:ascii="宋体" w:hAnsi="宋体" w:eastAsia="宋体" w:cs="宋体"/>
                <w:b/>
                <w:bCs/>
                <w:sz w:val="21"/>
                <w:szCs w:val="21"/>
              </w:rPr>
            </w:pPr>
            <w:r>
              <w:rPr>
                <w:rFonts w:hint="eastAsia" w:ascii="宋体" w:hAnsi="宋体" w:eastAsia="宋体" w:cs="宋体"/>
                <w:b/>
                <w:bCs/>
                <w:sz w:val="21"/>
                <w:szCs w:val="21"/>
              </w:rPr>
              <w:t>预期学习成果</w:t>
            </w:r>
          </w:p>
        </w:tc>
        <w:tc>
          <w:tcPr>
            <w:tcW w:w="430" w:type="pct"/>
            <w:vAlign w:val="center"/>
          </w:tcPr>
          <w:p w14:paraId="343665A7">
            <w:pPr>
              <w:jc w:val="center"/>
              <w:rPr>
                <w:rFonts w:hint="eastAsia" w:ascii="宋体" w:hAnsi="宋体" w:eastAsia="宋体" w:cs="宋体"/>
                <w:b/>
                <w:bCs/>
                <w:sz w:val="21"/>
                <w:szCs w:val="21"/>
              </w:rPr>
            </w:pPr>
            <w:r>
              <w:rPr>
                <w:rFonts w:hint="eastAsia" w:ascii="宋体" w:hAnsi="宋体" w:eastAsia="宋体" w:cs="宋体"/>
                <w:b/>
                <w:bCs/>
                <w:sz w:val="21"/>
                <w:szCs w:val="21"/>
              </w:rPr>
              <w:t>教学学时</w:t>
            </w:r>
          </w:p>
        </w:tc>
        <w:tc>
          <w:tcPr>
            <w:tcW w:w="523" w:type="pct"/>
            <w:vAlign w:val="center"/>
          </w:tcPr>
          <w:p w14:paraId="0B34D73A">
            <w:pPr>
              <w:jc w:val="center"/>
              <w:rPr>
                <w:rFonts w:hint="eastAsia" w:ascii="宋体" w:hAnsi="宋体" w:eastAsia="宋体" w:cs="宋体"/>
                <w:b/>
                <w:bCs/>
                <w:sz w:val="21"/>
                <w:szCs w:val="21"/>
              </w:rPr>
            </w:pPr>
            <w:r>
              <w:rPr>
                <w:rFonts w:hint="eastAsia" w:ascii="宋体" w:hAnsi="宋体" w:eastAsia="宋体" w:cs="宋体"/>
                <w:b/>
                <w:bCs/>
                <w:sz w:val="21"/>
                <w:szCs w:val="21"/>
              </w:rPr>
              <w:t>教学</w:t>
            </w:r>
          </w:p>
          <w:p w14:paraId="6CF9B6C0">
            <w:pPr>
              <w:jc w:val="center"/>
              <w:rPr>
                <w:rFonts w:hint="eastAsia" w:ascii="宋体" w:hAnsi="宋体" w:eastAsia="宋体" w:cs="宋体"/>
                <w:b/>
                <w:bCs/>
                <w:sz w:val="21"/>
                <w:szCs w:val="21"/>
              </w:rPr>
            </w:pPr>
            <w:r>
              <w:rPr>
                <w:rFonts w:hint="eastAsia" w:ascii="宋体" w:hAnsi="宋体" w:eastAsia="宋体" w:cs="宋体"/>
                <w:b/>
                <w:bCs/>
                <w:sz w:val="21"/>
                <w:szCs w:val="21"/>
              </w:rPr>
              <w:t>方式</w:t>
            </w:r>
          </w:p>
        </w:tc>
      </w:tr>
      <w:tr w14:paraId="3F0C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54E64EA3">
            <w:pPr>
              <w:jc w:val="center"/>
              <w:rPr>
                <w:rFonts w:hint="eastAsia" w:ascii="宋体" w:hAnsi="宋体" w:eastAsia="宋体" w:cs="宋体"/>
                <w:sz w:val="21"/>
                <w:szCs w:val="21"/>
              </w:rPr>
            </w:pPr>
            <w:r>
              <w:rPr>
                <w:rFonts w:hint="eastAsia" w:ascii="宋体" w:hAnsi="宋体" w:eastAsia="宋体" w:cs="宋体"/>
                <w:sz w:val="21"/>
                <w:szCs w:val="21"/>
              </w:rPr>
              <w:t>1</w:t>
            </w:r>
          </w:p>
        </w:tc>
        <w:tc>
          <w:tcPr>
            <w:tcW w:w="2219" w:type="pct"/>
            <w:vAlign w:val="center"/>
          </w:tcPr>
          <w:p w14:paraId="44712852">
            <w:pPr>
              <w:jc w:val="both"/>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㈠体育理论部分:</w:t>
            </w:r>
          </w:p>
          <w:p w14:paraId="1C1A7DA7">
            <w:pPr>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1.学生思想政治教育：我校体育运动发展概况、国家领导人与体育、奥运明星的励志故事、社会主义核心价值观与体育等；</w:t>
            </w:r>
          </w:p>
          <w:p w14:paraId="051010C9">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2.</w:t>
            </w:r>
            <w:r>
              <w:rPr>
                <w:rFonts w:hint="default" w:ascii="Times New Roman" w:hAnsi="Times New Roman" w:eastAsia="宋体" w:cs="Times New Roman"/>
                <w:color w:val="auto"/>
                <w:sz w:val="21"/>
                <w:szCs w:val="21"/>
              </w:rPr>
              <w:t>体育安全教育：体育运动伤害事故的安全教育及预防与处理措施、常见运动损伤的预防与处理等；</w:t>
            </w:r>
          </w:p>
          <w:p w14:paraId="0E68B6CB">
            <w:pPr>
              <w:jc w:val="both"/>
              <w:rPr>
                <w:rFonts w:hint="eastAsia" w:ascii="宋体" w:hAnsi="宋体" w:eastAsia="宋体" w:cs="宋体"/>
                <w:color w:val="auto"/>
                <w:kern w:val="0"/>
                <w:sz w:val="21"/>
                <w:szCs w:val="21"/>
              </w:rPr>
            </w:pPr>
            <w:r>
              <w:rPr>
                <w:rFonts w:hint="default" w:ascii="Times New Roman" w:hAnsi="Times New Roman" w:eastAsia="宋体" w:cs="Times New Roman"/>
                <w:color w:val="auto"/>
                <w:sz w:val="21"/>
                <w:szCs w:val="21"/>
              </w:rPr>
              <w:t>3.体育基本理论：各运动项目的基本技战术知识、组织与竞赛、基本规则和裁判法，运动健身的基本原理与锻炼方法，体育锻炼的自我监督与评价，体育养生与保健知识等</w:t>
            </w:r>
          </w:p>
        </w:tc>
        <w:tc>
          <w:tcPr>
            <w:tcW w:w="1491" w:type="pct"/>
            <w:vAlign w:val="center"/>
          </w:tcPr>
          <w:p w14:paraId="7C15F10E">
            <w:pPr>
              <w:autoSpaceDE w:val="0"/>
              <w:autoSpaceDN w:val="0"/>
              <w:adjustRightInd w:val="0"/>
              <w:jc w:val="left"/>
              <w:rPr>
                <w:rFonts w:hint="eastAsia" w:ascii="宋体" w:hAnsi="宋体" w:eastAsia="宋体" w:cs="宋体"/>
                <w:color w:val="auto"/>
                <w:kern w:val="0"/>
                <w:sz w:val="21"/>
                <w:szCs w:val="21"/>
              </w:rPr>
            </w:pPr>
            <w:r>
              <w:rPr>
                <w:rFonts w:hint="default" w:ascii="Times New Roman" w:hAnsi="Times New Roman" w:eastAsia="宋体" w:cs="Times New Roman"/>
                <w:color w:val="auto"/>
                <w:kern w:val="0"/>
                <w:sz w:val="21"/>
                <w:szCs w:val="21"/>
              </w:rPr>
              <w:t>通过教学，提高对体育的正确认识，形成正确积极的体育态度，学会运用科学理论指导健身锻炼实际，从而自觉遵循体育运动的规律，实现体育锻炼的目的。</w:t>
            </w:r>
          </w:p>
        </w:tc>
        <w:tc>
          <w:tcPr>
            <w:tcW w:w="430" w:type="pct"/>
            <w:vAlign w:val="center"/>
          </w:tcPr>
          <w:p w14:paraId="44C421D2">
            <w:pPr>
              <w:jc w:val="center"/>
              <w:rPr>
                <w:rFonts w:hint="eastAsia" w:ascii="宋体" w:hAnsi="宋体" w:eastAsia="宋体" w:cs="宋体"/>
                <w:sz w:val="21"/>
                <w:szCs w:val="21"/>
              </w:rPr>
            </w:pPr>
            <w:r>
              <w:rPr>
                <w:rFonts w:hint="eastAsia" w:ascii="宋体" w:hAnsi="宋体" w:eastAsia="宋体" w:cs="宋体"/>
                <w:sz w:val="21"/>
                <w:szCs w:val="21"/>
              </w:rPr>
              <w:t>4</w:t>
            </w:r>
          </w:p>
        </w:tc>
        <w:tc>
          <w:tcPr>
            <w:tcW w:w="523" w:type="pct"/>
            <w:vAlign w:val="center"/>
          </w:tcPr>
          <w:p w14:paraId="6CF8566A">
            <w:pPr>
              <w:jc w:val="left"/>
              <w:rPr>
                <w:rFonts w:hint="eastAsia" w:ascii="宋体" w:hAnsi="宋体" w:eastAsia="宋体" w:cs="宋体"/>
                <w:sz w:val="21"/>
                <w:szCs w:val="21"/>
              </w:rPr>
            </w:pPr>
            <w:r>
              <w:rPr>
                <w:rFonts w:hint="eastAsia" w:ascii="宋体" w:hAnsi="宋体" w:eastAsia="宋体" w:cs="宋体"/>
                <w:sz w:val="21"/>
                <w:szCs w:val="21"/>
              </w:rPr>
              <w:t>讲授法</w:t>
            </w:r>
          </w:p>
        </w:tc>
      </w:tr>
      <w:tr w14:paraId="5138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27243E4E">
            <w:pPr>
              <w:jc w:val="center"/>
              <w:rPr>
                <w:rFonts w:hint="eastAsia" w:ascii="宋体" w:hAnsi="宋体" w:eastAsia="宋体" w:cs="宋体"/>
                <w:sz w:val="21"/>
                <w:szCs w:val="21"/>
              </w:rPr>
            </w:pPr>
          </w:p>
        </w:tc>
        <w:tc>
          <w:tcPr>
            <w:tcW w:w="4664" w:type="pct"/>
            <w:gridSpan w:val="4"/>
            <w:vAlign w:val="center"/>
          </w:tcPr>
          <w:p w14:paraId="13CFF72E">
            <w:pPr>
              <w:jc w:val="both"/>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rPr>
              <w:t>思政元素</w:t>
            </w:r>
            <w:r>
              <w:rPr>
                <w:rFonts w:hint="eastAsia" w:ascii="宋体" w:hAnsi="宋体" w:eastAsia="宋体" w:cs="宋体"/>
                <w:b/>
                <w:bCs/>
                <w:color w:val="auto"/>
                <w:sz w:val="21"/>
                <w:szCs w:val="21"/>
                <w:lang w:eastAsia="zh-CN"/>
              </w:rPr>
              <w:t>：</w:t>
            </w:r>
            <w:r>
              <w:rPr>
                <w:rFonts w:hint="eastAsia" w:ascii="宋体" w:hAnsi="宋体" w:eastAsia="宋体" w:cs="宋体"/>
                <w:color w:val="auto"/>
                <w:kern w:val="0"/>
                <w:sz w:val="21"/>
                <w:szCs w:val="21"/>
              </w:rPr>
              <w:t>理想信念、国家认同和社会主义核心价值观等教育；安全意识、健康意识教育</w:t>
            </w:r>
          </w:p>
        </w:tc>
      </w:tr>
      <w:tr w14:paraId="6934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6571A426">
            <w:pPr>
              <w:jc w:val="center"/>
              <w:rPr>
                <w:rFonts w:hint="eastAsia" w:ascii="宋体" w:hAnsi="宋体" w:eastAsia="宋体" w:cs="宋体"/>
                <w:sz w:val="21"/>
                <w:szCs w:val="21"/>
              </w:rPr>
            </w:pPr>
            <w:r>
              <w:rPr>
                <w:rFonts w:hint="eastAsia" w:ascii="宋体" w:hAnsi="宋体" w:eastAsia="宋体" w:cs="宋体"/>
                <w:sz w:val="21"/>
                <w:szCs w:val="21"/>
              </w:rPr>
              <w:t>2</w:t>
            </w:r>
          </w:p>
        </w:tc>
        <w:tc>
          <w:tcPr>
            <w:tcW w:w="2219" w:type="pct"/>
            <w:vAlign w:val="center"/>
          </w:tcPr>
          <w:p w14:paraId="7BAB0FD8">
            <w:pPr>
              <w:jc w:val="lef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㈡实践部分：</w:t>
            </w:r>
          </w:p>
          <w:p w14:paraId="709D2DD7">
            <w:pPr>
              <w:rPr>
                <w:rFonts w:hint="eastAsia" w:ascii="宋体" w:hAnsi="宋体" w:eastAsia="宋体" w:cs="宋体"/>
                <w:color w:val="auto"/>
                <w:kern w:val="0"/>
                <w:sz w:val="21"/>
                <w:szCs w:val="21"/>
              </w:rPr>
            </w:pPr>
            <w:r>
              <w:rPr>
                <w:rFonts w:hint="default" w:ascii="Times New Roman" w:hAnsi="Times New Roman" w:eastAsia="宋体" w:cs="Times New Roman"/>
                <w:bCs/>
                <w:color w:val="auto"/>
                <w:sz w:val="21"/>
                <w:szCs w:val="21"/>
              </w:rPr>
              <w:t>以各运动项目和国家学生体质健康标准中的身体素质项目为主，主要包括篮球、足球、排球、手球、乒乓球、网球、羽毛球、台球、健美（男）、体育舞蹈、武术、散打、跆拳道、艺术体操、健美操（女）、排舞（女）、瑜伽、体育舞蹈和体育保健等项目。</w:t>
            </w:r>
          </w:p>
        </w:tc>
        <w:tc>
          <w:tcPr>
            <w:tcW w:w="1491" w:type="pct"/>
            <w:vAlign w:val="center"/>
          </w:tcPr>
          <w:p w14:paraId="228047E1">
            <w:pP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通过学习，</w:t>
            </w:r>
            <w:r>
              <w:rPr>
                <w:rFonts w:hint="default" w:ascii="Times New Roman" w:hAnsi="Times New Roman" w:eastAsia="宋体" w:cs="Times New Roman"/>
                <w:color w:val="auto"/>
                <w:kern w:val="0"/>
                <w:sz w:val="21"/>
                <w:szCs w:val="21"/>
              </w:rPr>
              <w:t>使学生了解和掌握所选运动项目的基本知识、基本技术和锻炼方法；爱好并积极参与各种体育运动，发展学生速度、灵敏、耐力等身体素质，增强体质</w:t>
            </w:r>
            <w:r>
              <w:rPr>
                <w:rFonts w:hint="default" w:ascii="Times New Roman" w:hAnsi="Times New Roman" w:eastAsia="宋体" w:cs="Times New Roman"/>
                <w:color w:val="auto"/>
                <w:sz w:val="21"/>
                <w:szCs w:val="21"/>
              </w:rPr>
              <w:t>；培养团结协作的集体主义精神和顽强拼搏的竞争意识；达到“国家体质健康标准”</w:t>
            </w:r>
            <w:r>
              <w:rPr>
                <w:rFonts w:hint="default" w:ascii="Times New Roman" w:hAnsi="Times New Roman" w:eastAsia="宋体" w:cs="Times New Roman"/>
                <w:color w:val="auto"/>
                <w:kern w:val="0"/>
                <w:sz w:val="21"/>
                <w:szCs w:val="21"/>
              </w:rPr>
              <w:t>。</w:t>
            </w:r>
          </w:p>
        </w:tc>
        <w:tc>
          <w:tcPr>
            <w:tcW w:w="430" w:type="pct"/>
            <w:vAlign w:val="center"/>
          </w:tcPr>
          <w:p w14:paraId="1CF569FD">
            <w:pPr>
              <w:jc w:val="center"/>
              <w:rPr>
                <w:rFonts w:hint="eastAsia" w:ascii="宋体" w:hAnsi="宋体" w:eastAsia="宋体" w:cs="宋体"/>
                <w:sz w:val="21"/>
                <w:szCs w:val="21"/>
              </w:rPr>
            </w:pPr>
            <w:r>
              <w:rPr>
                <w:rFonts w:hint="eastAsia" w:ascii="宋体" w:hAnsi="宋体" w:eastAsia="宋体" w:cs="宋体"/>
                <w:sz w:val="21"/>
                <w:szCs w:val="21"/>
              </w:rPr>
              <w:t>26</w:t>
            </w:r>
          </w:p>
        </w:tc>
        <w:tc>
          <w:tcPr>
            <w:tcW w:w="523" w:type="pct"/>
            <w:vAlign w:val="center"/>
          </w:tcPr>
          <w:p w14:paraId="7D20CAC1">
            <w:pPr>
              <w:rPr>
                <w:rFonts w:hint="eastAsia" w:ascii="宋体" w:hAnsi="宋体" w:eastAsia="宋体" w:cs="宋体"/>
                <w:sz w:val="21"/>
                <w:szCs w:val="21"/>
              </w:rPr>
            </w:pPr>
            <w:r>
              <w:rPr>
                <w:rFonts w:hint="eastAsia" w:ascii="宋体" w:hAnsi="宋体" w:eastAsia="宋体" w:cs="宋体"/>
                <w:color w:val="auto"/>
                <w:sz w:val="21"/>
                <w:szCs w:val="21"/>
              </w:rPr>
              <w:t>讲授</w:t>
            </w:r>
            <w:r>
              <w:rPr>
                <w:rFonts w:hint="eastAsia" w:ascii="宋体" w:hAnsi="宋体" w:eastAsia="宋体" w:cs="宋体"/>
                <w:color w:val="auto"/>
                <w:sz w:val="21"/>
                <w:szCs w:val="21"/>
                <w:lang w:val="en-US" w:eastAsia="zh-CN"/>
              </w:rPr>
              <w:t>法</w:t>
            </w:r>
            <w:r>
              <w:rPr>
                <w:rFonts w:hint="eastAsia" w:ascii="宋体" w:hAnsi="宋体" w:eastAsia="宋体" w:cs="宋体"/>
                <w:color w:val="auto"/>
                <w:sz w:val="21"/>
                <w:szCs w:val="21"/>
              </w:rPr>
              <w:t>演示</w:t>
            </w:r>
            <w:r>
              <w:rPr>
                <w:rFonts w:hint="eastAsia" w:ascii="宋体" w:hAnsi="宋体" w:eastAsia="宋体" w:cs="宋体"/>
                <w:color w:val="auto"/>
                <w:sz w:val="21"/>
                <w:szCs w:val="21"/>
                <w:lang w:val="en-US" w:eastAsia="zh-CN"/>
              </w:rPr>
              <w:t>法</w:t>
            </w:r>
            <w:r>
              <w:rPr>
                <w:rFonts w:hint="eastAsia" w:ascii="宋体" w:hAnsi="宋体" w:eastAsia="宋体" w:cs="宋体"/>
                <w:color w:val="auto"/>
                <w:sz w:val="21"/>
                <w:szCs w:val="21"/>
              </w:rPr>
              <w:t>练习法</w:t>
            </w:r>
          </w:p>
        </w:tc>
      </w:tr>
      <w:tr w14:paraId="7D65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26E23BB8">
            <w:pPr>
              <w:jc w:val="center"/>
              <w:rPr>
                <w:rFonts w:hint="eastAsia" w:ascii="宋体" w:hAnsi="宋体" w:eastAsia="宋体" w:cs="宋体"/>
                <w:sz w:val="21"/>
                <w:szCs w:val="21"/>
              </w:rPr>
            </w:pPr>
          </w:p>
        </w:tc>
        <w:tc>
          <w:tcPr>
            <w:tcW w:w="4664" w:type="pct"/>
            <w:gridSpan w:val="4"/>
            <w:vAlign w:val="center"/>
          </w:tcPr>
          <w:p w14:paraId="5F145860">
            <w:pPr>
              <w:rPr>
                <w:rFonts w:hint="eastAsia" w:ascii="宋体" w:hAnsi="宋体" w:eastAsia="宋体" w:cs="宋体"/>
                <w:color w:val="auto"/>
                <w:sz w:val="21"/>
                <w:szCs w:val="21"/>
              </w:rPr>
            </w:pPr>
            <w:r>
              <w:rPr>
                <w:rFonts w:hint="eastAsia" w:ascii="宋体" w:hAnsi="宋体" w:eastAsia="宋体" w:cs="宋体"/>
                <w:b/>
                <w:bCs/>
                <w:sz w:val="21"/>
                <w:szCs w:val="21"/>
              </w:rPr>
              <w:t>思政元素</w:t>
            </w:r>
            <w:r>
              <w:rPr>
                <w:rFonts w:hint="eastAsia" w:ascii="宋体" w:hAnsi="宋体" w:eastAsia="宋体" w:cs="宋体"/>
                <w:b/>
                <w:bCs/>
                <w:sz w:val="21"/>
                <w:szCs w:val="21"/>
                <w:lang w:eastAsia="zh-CN"/>
              </w:rPr>
              <w:t>：</w:t>
            </w:r>
            <w:r>
              <w:rPr>
                <w:rFonts w:hint="eastAsia" w:ascii="宋体" w:hAnsi="宋体" w:eastAsia="宋体" w:cs="宋体"/>
                <w:kern w:val="0"/>
                <w:sz w:val="21"/>
                <w:szCs w:val="21"/>
              </w:rPr>
              <w:t>爱国主义和集体主义教育；体育道德观、意志品德培育；规则意识和诚信意识教育。</w:t>
            </w:r>
          </w:p>
        </w:tc>
      </w:tr>
    </w:tbl>
    <w:p w14:paraId="508126E2">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default" w:ascii="宋体" w:hAnsi="宋体" w:eastAsia="宋体" w:cs="宋体"/>
          <w:b/>
          <w:bCs/>
          <w:color w:val="auto"/>
          <w:kern w:val="0"/>
          <w:sz w:val="24"/>
          <w:lang w:val="en-US" w:eastAsia="zh-CN"/>
        </w:rPr>
      </w:pPr>
      <w:r>
        <w:rPr>
          <w:rFonts w:hint="default" w:ascii="宋体" w:hAnsi="宋体" w:eastAsia="宋体" w:cs="宋体"/>
          <w:b/>
          <w:bCs/>
          <w:color w:val="auto"/>
          <w:kern w:val="0"/>
          <w:sz w:val="24"/>
          <w:lang w:val="en-US" w:eastAsia="zh-CN"/>
        </w:rPr>
        <w:t>四、课程实施</w:t>
      </w:r>
    </w:p>
    <w:p w14:paraId="05BD91B5">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（一）教学方法与手段</w:t>
      </w:r>
    </w:p>
    <w:p w14:paraId="548B8BE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1．本课程以实践教学为主，教学方法与手段的运用要考虑到学生的实际情况，从实际出发，因材施教，注意区别对待，激发学生学习兴趣，并在教学中重视学生实践能力的培养。  </w:t>
      </w:r>
    </w:p>
    <w:p w14:paraId="088394E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2．教学方法与手段的运用合理，注意防止伤害事故发生，重视学生自我保护能力培养。 </w:t>
      </w:r>
    </w:p>
    <w:p w14:paraId="3AF5512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3．针对体育教学技术教学的特点，本课程将采用：讲解法、示范法、完整法、分解法、集体练习、小组练习等教学方法，并利用多媒体教学方式，提高学生的欣赏能力、让学生更加深刻的了解所学项目。</w:t>
      </w:r>
    </w:p>
    <w:p w14:paraId="7036B46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（二）课程实施与保障</w:t>
      </w:r>
    </w:p>
    <w:tbl>
      <w:tblPr>
        <w:tblStyle w:val="15"/>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68F1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gridSpan w:val="2"/>
            <w:tcBorders>
              <w:top w:val="single" w:color="auto" w:sz="8" w:space="0"/>
              <w:left w:val="single" w:color="auto" w:sz="8" w:space="0"/>
              <w:right w:val="single" w:color="auto" w:sz="8" w:space="0"/>
            </w:tcBorders>
            <w:tcMar>
              <w:left w:w="28" w:type="dxa"/>
              <w:right w:w="28" w:type="dxa"/>
            </w:tcMar>
            <w:vAlign w:val="center"/>
          </w:tcPr>
          <w:p w14:paraId="7DB2F96D">
            <w:pPr>
              <w:spacing w:line="276"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主要教学环节</w:t>
            </w:r>
          </w:p>
        </w:tc>
        <w:tc>
          <w:tcPr>
            <w:tcW w:w="6640" w:type="dxa"/>
            <w:tcBorders>
              <w:top w:val="single" w:color="auto" w:sz="8" w:space="0"/>
              <w:left w:val="single" w:color="auto" w:sz="8" w:space="0"/>
              <w:right w:val="single" w:color="auto" w:sz="8" w:space="0"/>
            </w:tcBorders>
            <w:vAlign w:val="center"/>
          </w:tcPr>
          <w:p w14:paraId="5617C51B">
            <w:pPr>
              <w:spacing w:line="276"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质量要求</w:t>
            </w:r>
          </w:p>
        </w:tc>
      </w:tr>
      <w:tr w14:paraId="0BF56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124A9104">
            <w:pPr>
              <w:spacing w:line="276"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52" w:type="dxa"/>
            <w:tcMar>
              <w:left w:w="28" w:type="dxa"/>
              <w:right w:w="28" w:type="dxa"/>
            </w:tcMar>
            <w:vAlign w:val="center"/>
          </w:tcPr>
          <w:p w14:paraId="51A9F415">
            <w:pPr>
              <w:spacing w:line="276"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备课</w:t>
            </w:r>
          </w:p>
        </w:tc>
        <w:tc>
          <w:tcPr>
            <w:tcW w:w="6640" w:type="dxa"/>
            <w:tcBorders>
              <w:right w:val="single" w:color="auto" w:sz="8" w:space="0"/>
            </w:tcBorders>
            <w:vAlign w:val="center"/>
          </w:tcPr>
          <w:p w14:paraId="0005BB39">
            <w:pPr>
              <w:autoSpaceDE w:val="0"/>
              <w:autoSpaceDN w:val="0"/>
              <w:adjustRightInd w:val="0"/>
              <w:snapToGrid w:val="0"/>
              <w:spacing w:line="32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1.掌握本课程教学大纲内容，严格按照教学大纲要求进行本课程教学内容的组织；</w:t>
            </w:r>
          </w:p>
          <w:p w14:paraId="76EC3B44">
            <w:pPr>
              <w:autoSpaceDE w:val="0"/>
              <w:autoSpaceDN w:val="0"/>
              <w:adjustRightInd w:val="0"/>
              <w:snapToGrid w:val="0"/>
              <w:spacing w:line="32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2.熟悉教材各章节，借助相关专业书籍资料，并依据教学大纲编写授课计划；</w:t>
            </w:r>
          </w:p>
          <w:p w14:paraId="5FAA9D6F">
            <w:pPr>
              <w:autoSpaceDE w:val="0"/>
              <w:autoSpaceDN w:val="0"/>
              <w:adjustRightInd w:val="0"/>
              <w:snapToGrid w:val="0"/>
              <w:spacing w:line="320" w:lineRule="exact"/>
              <w:jc w:val="left"/>
              <w:rPr>
                <w:rFonts w:hint="default" w:ascii="Times New Roman" w:hAnsi="Times New Roman" w:eastAsia="宋体" w:cs="Times New Roman"/>
                <w:color w:val="auto"/>
                <w:spacing w:val="-14"/>
                <w:kern w:val="0"/>
                <w:sz w:val="21"/>
                <w:szCs w:val="21"/>
              </w:rPr>
            </w:pPr>
            <w:r>
              <w:rPr>
                <w:rFonts w:hint="default" w:ascii="Times New Roman" w:hAnsi="Times New Roman" w:eastAsia="宋体" w:cs="Times New Roman"/>
                <w:color w:val="auto"/>
                <w:spacing w:val="-14"/>
                <w:kern w:val="0"/>
                <w:sz w:val="21"/>
                <w:szCs w:val="21"/>
              </w:rPr>
              <w:t xml:space="preserve">3.结合课程特点，制作课件，运用多媒体教学手段讲授部分教学内容； </w:t>
            </w:r>
          </w:p>
          <w:p w14:paraId="2F668B29">
            <w:pPr>
              <w:autoSpaceDE w:val="0"/>
              <w:autoSpaceDN w:val="0"/>
              <w:adjustRightInd w:val="0"/>
              <w:snapToGrid w:val="0"/>
              <w:spacing w:line="32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4.确定各章节课程内容的教学方法，构思授课思路、技巧和方法。</w:t>
            </w:r>
          </w:p>
        </w:tc>
      </w:tr>
      <w:tr w14:paraId="593C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5FFA341A">
            <w:pPr>
              <w:spacing w:line="276"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52" w:type="dxa"/>
            <w:tcMar>
              <w:left w:w="28" w:type="dxa"/>
              <w:right w:w="28" w:type="dxa"/>
            </w:tcMar>
            <w:vAlign w:val="center"/>
          </w:tcPr>
          <w:p w14:paraId="1CADB5A5">
            <w:pPr>
              <w:spacing w:line="276"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讲授</w:t>
            </w:r>
          </w:p>
        </w:tc>
        <w:tc>
          <w:tcPr>
            <w:tcW w:w="6640" w:type="dxa"/>
            <w:tcBorders>
              <w:right w:val="single" w:color="auto" w:sz="8" w:space="0"/>
            </w:tcBorders>
            <w:vAlign w:val="center"/>
          </w:tcPr>
          <w:p w14:paraId="4F1E3982">
            <w:pPr>
              <w:autoSpaceDE w:val="0"/>
              <w:autoSpaceDN w:val="0"/>
              <w:adjustRightInd w:val="0"/>
              <w:snapToGrid w:val="0"/>
              <w:spacing w:line="32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r>
              <w:rPr>
                <w:rFonts w:hint="default" w:ascii="Times New Roman" w:hAnsi="Times New Roman" w:eastAsia="宋体" w:cs="Times New Roman"/>
                <w:color w:val="auto"/>
                <w:sz w:val="21"/>
                <w:szCs w:val="21"/>
              </w:rPr>
              <w:t>满足需要，发展个性；</w:t>
            </w:r>
            <w:r>
              <w:rPr>
                <w:rFonts w:hint="default" w:ascii="Times New Roman" w:hAnsi="Times New Roman" w:eastAsia="宋体" w:cs="Times New Roman"/>
                <w:color w:val="auto"/>
                <w:kern w:val="0"/>
                <w:sz w:val="21"/>
                <w:szCs w:val="21"/>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5590FD67">
            <w:pPr>
              <w:autoSpaceDE w:val="0"/>
              <w:autoSpaceDN w:val="0"/>
              <w:adjustRightInd w:val="0"/>
              <w:snapToGrid w:val="0"/>
              <w:spacing w:line="32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2.采用多种教学方式（如启发式教学、导学式、发现式等），精讲多练，培养学生自学、自练、自评、互评等能力。</w:t>
            </w:r>
          </w:p>
          <w:p w14:paraId="365635B4">
            <w:pPr>
              <w:autoSpaceDE w:val="0"/>
              <w:autoSpaceDN w:val="0"/>
              <w:adjustRightInd w:val="0"/>
              <w:snapToGrid w:val="0"/>
              <w:spacing w:line="32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245719B4">
            <w:pPr>
              <w:autoSpaceDE w:val="0"/>
              <w:autoSpaceDN w:val="0"/>
              <w:adjustRightInd w:val="0"/>
              <w:snapToGrid w:val="0"/>
              <w:spacing w:line="32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4.区别对待，因材施教。重视安全和关心基础较差的学生成长。</w:t>
            </w:r>
          </w:p>
          <w:p w14:paraId="3C81C3AA">
            <w:pPr>
              <w:autoSpaceDE w:val="0"/>
              <w:autoSpaceDN w:val="0"/>
              <w:adjustRightInd w:val="0"/>
              <w:snapToGrid w:val="0"/>
              <w:spacing w:line="32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5.教学中教师要以身作则，言传身教，做到既教学又育人。培养学生的优良品质，达到身心全面发展。</w:t>
            </w:r>
          </w:p>
        </w:tc>
      </w:tr>
      <w:tr w14:paraId="1855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7512978D">
            <w:pPr>
              <w:spacing w:line="276"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52" w:type="dxa"/>
            <w:tcMar>
              <w:left w:w="28" w:type="dxa"/>
              <w:right w:w="28" w:type="dxa"/>
            </w:tcMar>
            <w:vAlign w:val="center"/>
          </w:tcPr>
          <w:p w14:paraId="654CF9CD">
            <w:pPr>
              <w:spacing w:line="276"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课外练习</w:t>
            </w:r>
          </w:p>
        </w:tc>
        <w:tc>
          <w:tcPr>
            <w:tcW w:w="6640" w:type="dxa"/>
            <w:tcBorders>
              <w:right w:val="single" w:color="auto" w:sz="8" w:space="0"/>
            </w:tcBorders>
            <w:vAlign w:val="center"/>
          </w:tcPr>
          <w:p w14:paraId="551817CC">
            <w:pPr>
              <w:autoSpaceDE w:val="0"/>
              <w:autoSpaceDN w:val="0"/>
              <w:adjustRightInd w:val="0"/>
              <w:snapToGrid w:val="0"/>
              <w:spacing w:line="32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课外练习是教师布置课外练习内容，重点要求学生利用课余时间巩固课堂上所学的技术动作，形成正确的动力定型，同时要求学生加强身体素质练习。</w:t>
            </w:r>
          </w:p>
        </w:tc>
      </w:tr>
      <w:tr w14:paraId="38A3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2C4B5AA2">
            <w:pPr>
              <w:spacing w:line="276"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252" w:type="dxa"/>
            <w:tcMar>
              <w:left w:w="28" w:type="dxa"/>
              <w:right w:w="28" w:type="dxa"/>
            </w:tcMar>
            <w:vAlign w:val="center"/>
          </w:tcPr>
          <w:p w14:paraId="61E0CCC5">
            <w:pPr>
              <w:spacing w:line="276"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成绩考核</w:t>
            </w:r>
          </w:p>
        </w:tc>
        <w:tc>
          <w:tcPr>
            <w:tcW w:w="6640" w:type="dxa"/>
            <w:tcBorders>
              <w:right w:val="single" w:color="auto" w:sz="8" w:space="0"/>
            </w:tcBorders>
            <w:vAlign w:val="center"/>
          </w:tcPr>
          <w:p w14:paraId="081C8C31">
            <w:pPr>
              <w:autoSpaceDE w:val="0"/>
              <w:autoSpaceDN w:val="0"/>
              <w:adjustRightInd w:val="0"/>
              <w:snapToGrid w:val="0"/>
              <w:spacing w:line="32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本课程考核的方式：考试。总评成绩的评定见课程评分方案。有下列情况之一者，总评成绩为不及格：</w:t>
            </w:r>
          </w:p>
          <w:p w14:paraId="4A3AF97C">
            <w:pPr>
              <w:autoSpaceDE w:val="0"/>
              <w:autoSpaceDN w:val="0"/>
              <w:adjustRightInd w:val="0"/>
              <w:snapToGrid w:val="0"/>
              <w:spacing w:line="32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1.课外体育锻炼不合格者；</w:t>
            </w:r>
          </w:p>
          <w:p w14:paraId="5381E10A">
            <w:pPr>
              <w:autoSpaceDE w:val="0"/>
              <w:autoSpaceDN w:val="0"/>
              <w:adjustRightInd w:val="0"/>
              <w:snapToGrid w:val="0"/>
              <w:spacing w:line="32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2.缺课次数达本学期总授课学时的1/3以上者；</w:t>
            </w:r>
          </w:p>
        </w:tc>
      </w:tr>
    </w:tbl>
    <w:p w14:paraId="62F85942">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default" w:ascii="宋体" w:hAnsi="宋体" w:eastAsia="宋体" w:cs="宋体"/>
          <w:b/>
          <w:bCs/>
          <w:color w:val="auto"/>
          <w:kern w:val="0"/>
          <w:sz w:val="24"/>
          <w:lang w:val="en-US" w:eastAsia="zh-CN"/>
        </w:rPr>
      </w:pPr>
      <w:r>
        <w:rPr>
          <w:rFonts w:hint="default" w:ascii="宋体" w:hAnsi="宋体" w:eastAsia="宋体" w:cs="宋体"/>
          <w:b/>
          <w:bCs/>
          <w:color w:val="auto"/>
          <w:kern w:val="0"/>
          <w:sz w:val="24"/>
          <w:lang w:val="en-US" w:eastAsia="zh-CN"/>
        </w:rPr>
        <w:t>五、课程考核</w:t>
      </w:r>
    </w:p>
    <w:p w14:paraId="6C851F54">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（一）课程考核由期末考试和平时考核构成，期末考试采用随堂方式。</w:t>
      </w:r>
    </w:p>
    <w:p w14:paraId="4A0FB800">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（二）课程总评成绩=平时成绩50%+期末考试50%，平时成绩=课堂表现10%+课外锻炼20%+体育理论20%。</w:t>
      </w:r>
    </w:p>
    <w:p w14:paraId="5812B3C9">
      <w:pPr>
        <w:spacing w:line="360" w:lineRule="auto"/>
        <w:ind w:firstLine="42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1"/>
          <w:szCs w:val="21"/>
        </w:rPr>
        <w:t>具体内容和比例如表所示：</w:t>
      </w:r>
    </w:p>
    <w:tbl>
      <w:tblPr>
        <w:tblStyle w:val="15"/>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47"/>
        <w:gridCol w:w="1349"/>
      </w:tblGrid>
      <w:tr w14:paraId="2EF3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tcMar>
              <w:left w:w="57" w:type="dxa"/>
              <w:right w:w="57" w:type="dxa"/>
            </w:tcMar>
            <w:vAlign w:val="center"/>
          </w:tcPr>
          <w:p w14:paraId="6088136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成绩组成</w:t>
            </w:r>
          </w:p>
        </w:tc>
        <w:tc>
          <w:tcPr>
            <w:tcW w:w="1301" w:type="dxa"/>
            <w:shd w:val="clear" w:color="auto" w:fill="FFFFFF"/>
            <w:vAlign w:val="center"/>
          </w:tcPr>
          <w:p w14:paraId="5F5DAAD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考核/评价环节</w:t>
            </w:r>
          </w:p>
        </w:tc>
        <w:tc>
          <w:tcPr>
            <w:tcW w:w="741" w:type="dxa"/>
            <w:shd w:val="clear" w:color="auto" w:fill="FFFFFF"/>
            <w:vAlign w:val="center"/>
          </w:tcPr>
          <w:p w14:paraId="276FD21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权重</w:t>
            </w:r>
          </w:p>
        </w:tc>
        <w:tc>
          <w:tcPr>
            <w:tcW w:w="4047" w:type="dxa"/>
            <w:shd w:val="clear" w:color="auto" w:fill="FFFFFF"/>
            <w:vAlign w:val="center"/>
          </w:tcPr>
          <w:p w14:paraId="07DADFD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考核/评价细则</w:t>
            </w:r>
          </w:p>
        </w:tc>
        <w:tc>
          <w:tcPr>
            <w:tcW w:w="1349" w:type="dxa"/>
            <w:shd w:val="clear" w:color="auto" w:fill="FFFFFF"/>
            <w:vAlign w:val="center"/>
          </w:tcPr>
          <w:p w14:paraId="72C9489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对应的毕业要求指标点</w:t>
            </w:r>
          </w:p>
        </w:tc>
      </w:tr>
      <w:tr w14:paraId="2FBD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tcMar>
              <w:left w:w="57" w:type="dxa"/>
              <w:right w:w="57" w:type="dxa"/>
            </w:tcMar>
            <w:vAlign w:val="center"/>
          </w:tcPr>
          <w:p w14:paraId="5271AD1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平时成绩</w:t>
            </w:r>
          </w:p>
          <w:p w14:paraId="6E0B3B4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c>
          <w:tcPr>
            <w:tcW w:w="1301" w:type="dxa"/>
            <w:vAlign w:val="center"/>
          </w:tcPr>
          <w:p w14:paraId="3FED00E8">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课堂表现</w:t>
            </w:r>
          </w:p>
        </w:tc>
        <w:tc>
          <w:tcPr>
            <w:tcW w:w="741" w:type="dxa"/>
            <w:vAlign w:val="center"/>
          </w:tcPr>
          <w:p w14:paraId="0248AB76">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 10%</w:t>
            </w:r>
          </w:p>
        </w:tc>
        <w:tc>
          <w:tcPr>
            <w:tcW w:w="4047" w:type="dxa"/>
            <w:vAlign w:val="center"/>
          </w:tcPr>
          <w:p w14:paraId="38E685EA">
            <w:pPr>
              <w:spacing w:line="360" w:lineRule="exact"/>
              <w:rPr>
                <w:rFonts w:hint="default" w:ascii="Times New Roman" w:hAnsi="Times New Roman" w:eastAsia="宋体" w:cs="Times New Roman"/>
                <w:color w:val="auto"/>
                <w:sz w:val="24"/>
              </w:rPr>
            </w:pPr>
            <w:r>
              <w:rPr>
                <w:rFonts w:hint="default" w:ascii="Times New Roman" w:hAnsi="Times New Roman" w:eastAsia="宋体" w:cs="Times New Roman"/>
                <w:bCs/>
                <w:color w:val="auto"/>
                <w:kern w:val="24"/>
                <w:szCs w:val="21"/>
              </w:rPr>
              <w:t>课堂整队点名，考核</w:t>
            </w:r>
            <w:r>
              <w:rPr>
                <w:rFonts w:hint="default" w:ascii="Times New Roman" w:hAnsi="Times New Roman" w:eastAsia="宋体" w:cs="Times New Roman"/>
                <w:color w:val="auto"/>
                <w:szCs w:val="21"/>
              </w:rPr>
              <w:t>能否按时到勤，旷课一次扣20分，迟到与早退一次扣10分。</w:t>
            </w:r>
          </w:p>
        </w:tc>
        <w:tc>
          <w:tcPr>
            <w:tcW w:w="1349" w:type="dxa"/>
            <w:vAlign w:val="center"/>
          </w:tcPr>
          <w:p w14:paraId="7EAC36C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w:t>
            </w:r>
          </w:p>
        </w:tc>
      </w:tr>
      <w:tr w14:paraId="0427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tcMar>
              <w:left w:w="57" w:type="dxa"/>
              <w:right w:w="57" w:type="dxa"/>
            </w:tcMar>
            <w:vAlign w:val="center"/>
          </w:tcPr>
          <w:p w14:paraId="0FE41710">
            <w:pPr>
              <w:jc w:val="center"/>
              <w:rPr>
                <w:rFonts w:hint="default" w:ascii="Times New Roman" w:hAnsi="Times New Roman" w:eastAsia="宋体" w:cs="Times New Roman"/>
                <w:color w:val="auto"/>
                <w:szCs w:val="21"/>
              </w:rPr>
            </w:pPr>
          </w:p>
        </w:tc>
        <w:tc>
          <w:tcPr>
            <w:tcW w:w="1301" w:type="dxa"/>
            <w:vAlign w:val="center"/>
          </w:tcPr>
          <w:p w14:paraId="3C557D5B">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课外锻炼</w:t>
            </w:r>
          </w:p>
        </w:tc>
        <w:tc>
          <w:tcPr>
            <w:tcW w:w="741" w:type="dxa"/>
            <w:vAlign w:val="center"/>
          </w:tcPr>
          <w:p w14:paraId="36B6DCE8">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 20%</w:t>
            </w:r>
          </w:p>
        </w:tc>
        <w:tc>
          <w:tcPr>
            <w:tcW w:w="4047" w:type="dxa"/>
            <w:vAlign w:val="center"/>
          </w:tcPr>
          <w:p w14:paraId="204589BF">
            <w:pPr>
              <w:spacing w:line="360" w:lineRule="exact"/>
              <w:jc w:val="left"/>
              <w:rPr>
                <w:rFonts w:hint="default" w:ascii="Times New Roman" w:hAnsi="Times New Roman" w:eastAsia="宋体" w:cs="Times New Roman"/>
                <w:color w:val="auto"/>
                <w:sz w:val="24"/>
              </w:rPr>
            </w:pPr>
            <w:r>
              <w:rPr>
                <w:rFonts w:hint="default" w:ascii="Times New Roman" w:hAnsi="Times New Roman" w:eastAsia="宋体" w:cs="Times New Roman"/>
                <w:bCs/>
                <w:color w:val="auto"/>
                <w:kern w:val="24"/>
                <w:szCs w:val="21"/>
              </w:rPr>
              <w:t>课外体育锻炼成绩纳入学期体育成绩总评，占总评分数的20%。主要包括晨跑、课外健身跑、健身辅导站、体育社团或单项协会健身活动和校级、院级、体育社团组织的体育竞赛活动等。</w:t>
            </w:r>
          </w:p>
        </w:tc>
        <w:tc>
          <w:tcPr>
            <w:tcW w:w="1349" w:type="dxa"/>
            <w:vAlign w:val="center"/>
          </w:tcPr>
          <w:p w14:paraId="26C23995">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2、6</w:t>
            </w:r>
          </w:p>
        </w:tc>
      </w:tr>
      <w:tr w14:paraId="3247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40" w:type="dxa"/>
            <w:vMerge w:val="continue"/>
            <w:tcMar>
              <w:left w:w="57" w:type="dxa"/>
              <w:right w:w="57" w:type="dxa"/>
            </w:tcMar>
            <w:vAlign w:val="center"/>
          </w:tcPr>
          <w:p w14:paraId="06809532">
            <w:pPr>
              <w:jc w:val="center"/>
              <w:rPr>
                <w:rFonts w:hint="default" w:ascii="Times New Roman" w:hAnsi="Times New Roman" w:eastAsia="宋体" w:cs="Times New Roman"/>
                <w:color w:val="auto"/>
                <w:szCs w:val="21"/>
              </w:rPr>
            </w:pPr>
          </w:p>
        </w:tc>
        <w:tc>
          <w:tcPr>
            <w:tcW w:w="1301" w:type="dxa"/>
            <w:vAlign w:val="center"/>
          </w:tcPr>
          <w:p w14:paraId="0DE8562A">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体育理论</w:t>
            </w:r>
          </w:p>
        </w:tc>
        <w:tc>
          <w:tcPr>
            <w:tcW w:w="741" w:type="dxa"/>
            <w:vAlign w:val="center"/>
          </w:tcPr>
          <w:p w14:paraId="253E492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c>
          <w:tcPr>
            <w:tcW w:w="4047" w:type="dxa"/>
            <w:vAlign w:val="center"/>
          </w:tcPr>
          <w:p w14:paraId="6189F480">
            <w:pPr>
              <w:spacing w:line="440" w:lineRule="exact"/>
              <w:jc w:val="left"/>
              <w:rPr>
                <w:rFonts w:hint="default" w:ascii="Times New Roman" w:hAnsi="Times New Roman" w:eastAsia="宋体" w:cs="Times New Roman"/>
                <w:color w:val="auto"/>
                <w:sz w:val="24"/>
              </w:rPr>
            </w:pPr>
            <w:r>
              <w:rPr>
                <w:rFonts w:hint="default" w:ascii="Times New Roman" w:hAnsi="Times New Roman" w:eastAsia="宋体" w:cs="Times New Roman"/>
                <w:bCs/>
                <w:color w:val="auto"/>
                <w:kern w:val="24"/>
                <w:szCs w:val="21"/>
              </w:rPr>
              <w:t>课外网上测试，校毕博系统。</w:t>
            </w:r>
          </w:p>
        </w:tc>
        <w:tc>
          <w:tcPr>
            <w:tcW w:w="1349" w:type="dxa"/>
            <w:vAlign w:val="center"/>
          </w:tcPr>
          <w:p w14:paraId="0475B256">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2、6</w:t>
            </w:r>
          </w:p>
        </w:tc>
      </w:tr>
      <w:tr w14:paraId="542D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040" w:type="dxa"/>
            <w:tcMar>
              <w:left w:w="57" w:type="dxa"/>
              <w:right w:w="57" w:type="dxa"/>
            </w:tcMar>
            <w:vAlign w:val="center"/>
          </w:tcPr>
          <w:p w14:paraId="745F2F6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期末考试</w:t>
            </w:r>
          </w:p>
          <w:p w14:paraId="02ABA18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c>
          <w:tcPr>
            <w:tcW w:w="1301" w:type="dxa"/>
            <w:vAlign w:val="center"/>
          </w:tcPr>
          <w:p w14:paraId="0D60504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期末运动技能考试</w:t>
            </w:r>
          </w:p>
        </w:tc>
        <w:tc>
          <w:tcPr>
            <w:tcW w:w="741" w:type="dxa"/>
            <w:vAlign w:val="center"/>
          </w:tcPr>
          <w:p w14:paraId="42F34E1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w:t>
            </w:r>
          </w:p>
        </w:tc>
        <w:tc>
          <w:tcPr>
            <w:tcW w:w="4047" w:type="dxa"/>
            <w:vAlign w:val="center"/>
          </w:tcPr>
          <w:p w14:paraId="0B06B01B">
            <w:pPr>
              <w:spacing w:line="4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各专项技能</w:t>
            </w:r>
          </w:p>
        </w:tc>
        <w:tc>
          <w:tcPr>
            <w:tcW w:w="1349" w:type="dxa"/>
            <w:vAlign w:val="center"/>
          </w:tcPr>
          <w:p w14:paraId="1A9EABB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w:t>
            </w:r>
          </w:p>
        </w:tc>
      </w:tr>
    </w:tbl>
    <w:p w14:paraId="6B183770">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default" w:ascii="宋体" w:hAnsi="宋体" w:eastAsia="宋体" w:cs="宋体"/>
          <w:b/>
          <w:bCs/>
          <w:color w:val="auto"/>
          <w:kern w:val="0"/>
          <w:sz w:val="24"/>
          <w:lang w:val="en-US" w:eastAsia="zh-CN"/>
        </w:rPr>
      </w:pPr>
      <w:r>
        <w:rPr>
          <w:rFonts w:hint="default" w:ascii="宋体" w:hAnsi="宋体" w:eastAsia="宋体" w:cs="宋体"/>
          <w:b/>
          <w:bCs/>
          <w:color w:val="auto"/>
          <w:kern w:val="0"/>
          <w:sz w:val="24"/>
          <w:lang w:val="en-US" w:eastAsia="zh-CN"/>
        </w:rPr>
        <w:t>六、有关说明</w:t>
      </w:r>
    </w:p>
    <w:p w14:paraId="1B13A64C">
      <w:pPr>
        <w:spacing w:line="360" w:lineRule="auto"/>
        <w:ind w:firstLine="422" w:firstLineChars="20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（一）持续改进</w:t>
      </w:r>
    </w:p>
    <w:p w14:paraId="5BDF6695">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本课程根据学生课外体育锻炼、课堂表现、体质测试、平时考核情况，以及学生、教学督导等反馈，及时对教学中不足之处进行改进，并在下一轮课程教学中整改完善，确保相应毕业要求指标点达成。</w:t>
      </w:r>
    </w:p>
    <w:p w14:paraId="246F4C14">
      <w:pPr>
        <w:spacing w:line="360" w:lineRule="auto"/>
        <w:ind w:firstLine="422"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（二）教学参考书</w:t>
      </w:r>
    </w:p>
    <w:p w14:paraId="5CC66EF6">
      <w:pPr>
        <w:spacing w:line="36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1.毛振明.大学体育文化与实技教程[M].沈阳：东北大学出版社，2013.</w:t>
      </w:r>
    </w:p>
    <w:p w14:paraId="439BA916">
      <w:pPr>
        <w:wordWrap w:val="0"/>
        <w:spacing w:line="360" w:lineRule="exact"/>
        <w:jc w:val="right"/>
        <w:rPr>
          <w:rFonts w:hint="default" w:ascii="Times New Roman" w:hAnsi="Times New Roman" w:eastAsia="宋体" w:cs="Times New Roman"/>
          <w:color w:val="auto"/>
          <w:sz w:val="24"/>
        </w:rPr>
      </w:pPr>
    </w:p>
    <w:p w14:paraId="45B2830A">
      <w:pPr>
        <w:spacing w:line="360" w:lineRule="exact"/>
        <w:jc w:val="righ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执笔人：顾  宏</w:t>
      </w:r>
    </w:p>
    <w:p w14:paraId="6C59EC80">
      <w:pPr>
        <w:spacing w:line="360" w:lineRule="exact"/>
        <w:ind w:firstLine="420" w:firstLineChars="200"/>
        <w:jc w:val="righ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审定人：方曙光</w:t>
      </w:r>
    </w:p>
    <w:p w14:paraId="50D2CA7C">
      <w:pPr>
        <w:autoSpaceDE w:val="0"/>
        <w:autoSpaceDN w:val="0"/>
        <w:adjustRightInd w:val="0"/>
        <w:spacing w:line="360" w:lineRule="auto"/>
        <w:ind w:firstLine="420" w:firstLineChars="200"/>
        <w:jc w:val="righ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批准人：王红福</w:t>
      </w:r>
    </w:p>
    <w:p w14:paraId="07C206B5">
      <w:pPr>
        <w:autoSpaceDE w:val="0"/>
        <w:autoSpaceDN w:val="0"/>
        <w:adjustRightInd w:val="0"/>
        <w:spacing w:line="360" w:lineRule="auto"/>
        <w:ind w:firstLine="420" w:firstLineChars="200"/>
        <w:jc w:val="righ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批准时间：2025年7月1日</w:t>
      </w:r>
    </w:p>
    <w:p w14:paraId="41AEC4BF">
      <w:pPr>
        <w:spacing w:line="312" w:lineRule="auto"/>
        <w:jc w:val="center"/>
        <w:rPr>
          <w:rFonts w:hint="default" w:ascii="Times New Roman" w:hAnsi="Times New Roman" w:eastAsia="宋体" w:cs="Times New Roman"/>
          <w:b/>
          <w:bCs/>
          <w:color w:val="auto"/>
          <w:sz w:val="30"/>
        </w:rPr>
      </w:pPr>
    </w:p>
    <w:p w14:paraId="192F9C7F">
      <w:pPr>
        <w:rPr>
          <w:rFonts w:hint="default" w:ascii="Times New Roman" w:hAnsi="Times New Roman" w:eastAsia="宋体" w:cs="Times New Roman"/>
          <w:color w:val="auto"/>
        </w:rPr>
      </w:pPr>
      <w:r>
        <w:rPr>
          <w:rFonts w:hint="default" w:ascii="Times New Roman" w:hAnsi="Times New Roman" w:eastAsia="宋体" w:cs="Times New Roman"/>
          <w:b/>
          <w:bCs/>
          <w:color w:val="auto"/>
          <w:sz w:val="30"/>
        </w:rPr>
        <w:br w:type="page"/>
      </w:r>
      <w:bookmarkStart w:id="28" w:name="_Toc10841"/>
    </w:p>
    <w:p w14:paraId="52936E81">
      <w:pPr>
        <w:spacing w:line="360" w:lineRule="auto"/>
        <w:jc w:val="center"/>
        <w:outlineLvl w:val="0"/>
        <w:rPr>
          <w:rFonts w:hint="eastAsia" w:ascii="Times New Roman" w:hAnsi="Times New Roman" w:eastAsia="宋体" w:cs="Times New Roman"/>
          <w:b/>
          <w:sz w:val="44"/>
          <w:szCs w:val="44"/>
        </w:rPr>
      </w:pPr>
      <w:bookmarkStart w:id="29" w:name="_Toc964"/>
      <w:r>
        <w:rPr>
          <w:rFonts w:hint="eastAsia" w:ascii="Times New Roman" w:hAnsi="Times New Roman" w:eastAsia="宋体" w:cs="Times New Roman"/>
          <w:b/>
          <w:sz w:val="44"/>
          <w:szCs w:val="44"/>
        </w:rPr>
        <w:t>《体育Ⅴ》课程教学大纲</w:t>
      </w:r>
      <w:bookmarkEnd w:id="28"/>
      <w:bookmarkEnd w:id="29"/>
    </w:p>
    <w:p w14:paraId="7D0337CE">
      <w:pPr>
        <w:spacing w:line="360" w:lineRule="auto"/>
        <w:jc w:val="cente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（Physical  Education</w:t>
      </w:r>
      <w:r>
        <w:rPr>
          <w:rFonts w:hint="default" w:ascii="Times New Roman" w:hAnsi="Times New Roman" w:eastAsia="宋体" w:cs="Times New Roman"/>
          <w:b/>
          <w:bCs/>
          <w:sz w:val="28"/>
          <w:szCs w:val="28"/>
          <w:lang w:eastAsia="ja-JP"/>
        </w:rPr>
        <w:t>Ⅴ</w:t>
      </w:r>
      <w:r>
        <w:rPr>
          <w:rFonts w:hint="default" w:ascii="Times New Roman" w:hAnsi="Times New Roman" w:eastAsia="宋体" w:cs="Times New Roman"/>
          <w:b/>
          <w:bCs/>
          <w:sz w:val="28"/>
          <w:szCs w:val="28"/>
        </w:rPr>
        <w:t>）</w:t>
      </w:r>
    </w:p>
    <w:p w14:paraId="3EE815F2">
      <w:pPr>
        <w:spacing w:line="360" w:lineRule="exact"/>
        <w:jc w:val="left"/>
        <w:rPr>
          <w:rFonts w:hint="default" w:ascii="宋体" w:hAnsi="宋体" w:eastAsia="宋体" w:cs="宋体"/>
          <w:color w:val="auto"/>
          <w:sz w:val="21"/>
          <w:szCs w:val="21"/>
          <w:lang w:val="en-US" w:eastAsia="zh-CN"/>
        </w:rPr>
      </w:pPr>
    </w:p>
    <w:p w14:paraId="509B6B2F">
      <w:pPr>
        <w:spacing w:line="360" w:lineRule="auto"/>
        <w:ind w:firstLine="482" w:firstLineChars="200"/>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课程名称：体育V</w:t>
      </w:r>
    </w:p>
    <w:p w14:paraId="74A95FE2">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kern w:val="0"/>
          <w:sz w:val="24"/>
          <w:szCs w:val="24"/>
        </w:rPr>
        <w:t>课程代码：1103010</w:t>
      </w:r>
    </w:p>
    <w:p w14:paraId="20D05924">
      <w:pPr>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学    分：0.5</w:t>
      </w:r>
    </w:p>
    <w:p w14:paraId="73F86D40">
      <w:pPr>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学    时：18</w:t>
      </w:r>
    </w:p>
    <w:p w14:paraId="1C8432C7">
      <w:pPr>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 xml:space="preserve">适用专业：全校各专业                        </w:t>
      </w:r>
    </w:p>
    <w:p w14:paraId="4EEB9711">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kern w:val="0"/>
          <w:sz w:val="24"/>
          <w:szCs w:val="24"/>
        </w:rPr>
      </w:pPr>
      <w:r>
        <w:rPr>
          <w:rFonts w:hint="eastAsia" w:ascii="宋体" w:hAnsi="宋体" w:eastAsia="宋体" w:cs="宋体"/>
          <w:b/>
          <w:bCs/>
          <w:color w:val="auto"/>
          <w:kern w:val="0"/>
          <w:sz w:val="24"/>
          <w:szCs w:val="24"/>
          <w:lang w:val="en-US" w:eastAsia="zh-CN"/>
        </w:rPr>
        <w:t>一、课程简介</w:t>
      </w:r>
    </w:p>
    <w:p w14:paraId="4D0357EF">
      <w:pPr>
        <w:autoSpaceDE w:val="0"/>
        <w:autoSpaceDN w:val="0"/>
        <w:adjustRightIn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本课程是面向全校各专业开设的以身体练习为主要手段，以培养学生体育人文素养和塑造健全人格为主要目的，以提高学生体质健康水平为主要目标的通识必修课。其教学安排在第三学年第五学期进行。课程主要采用线上+线下、自主锻炼、体质测试和课外体育俱乐部等组织形式作为本课程重要组成部分，从而巩固课内学习效果，培养学生自我锻炼意识和习惯。</w:t>
      </w:r>
    </w:p>
    <w:p w14:paraId="14513E40">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通过本课程的学习，实现大学3年体育课程教育，大学4年学生不间断体育健身与体能活动；实现体育教学、群体活动、体育竞赛协同发展；使学生掌握科学锻炼的基础知识、基本技能和有效方法，学会至少两项终身受益的体育锻炼项目，养成良好的锻炼习惯，为终身体育打下良好的基础。</w:t>
      </w:r>
    </w:p>
    <w:p w14:paraId="70ADCE2C">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二、课程目标</w:t>
      </w:r>
    </w:p>
    <w:p w14:paraId="56CB63D8">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目标1：爱好并积极参与各种体育活动，全面发展体能，能正确评价和测试自己的身体体质与健康状况，能够编制可行的个人锻炼计划。树立“健康第一”思想和正确的体育道德观，养成健康的生活方式，具有健康的体魄。学会运用适宜的方法调节自己的情绪，积极调整和改善自己的心理现状，在体育锻炼中体验运动的乐趣和成功的感觉，增强与他人交流沟通、团结合作的能力，正确处理好竞争与合作的关系，提高社会适应能力。</w:t>
      </w:r>
    </w:p>
    <w:p w14:paraId="53C24B08">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本课程支撑专业培养方案中毕业要求</w:t>
      </w: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6</w:t>
      </w:r>
      <w:r>
        <w:rPr>
          <w:rFonts w:hint="eastAsia" w:ascii="宋体" w:hAnsi="宋体" w:eastAsia="宋体" w:cs="宋体"/>
          <w:sz w:val="21"/>
          <w:szCs w:val="21"/>
        </w:rPr>
        <w:t>(不同专业会略有区别，具体见培养方案中的毕业要求实现矩阵)，对应关系如下表所示。</w:t>
      </w:r>
    </w:p>
    <w:tbl>
      <w:tblPr>
        <w:tblStyle w:val="16"/>
        <w:tblW w:w="52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6313"/>
        <w:gridCol w:w="1189"/>
      </w:tblGrid>
      <w:tr w14:paraId="5D5E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820" w:type="pct"/>
            <w:vAlign w:val="center"/>
          </w:tcPr>
          <w:p w14:paraId="5FC54B85">
            <w:pPr>
              <w:jc w:val="center"/>
              <w:rPr>
                <w:rFonts w:hint="eastAsia" w:ascii="宋体" w:hAnsi="宋体" w:eastAsia="宋体" w:cs="宋体"/>
                <w:b/>
                <w:bCs/>
                <w:sz w:val="21"/>
                <w:szCs w:val="21"/>
              </w:rPr>
            </w:pPr>
            <w:r>
              <w:rPr>
                <w:rFonts w:hint="eastAsia" w:ascii="宋体" w:hAnsi="宋体" w:eastAsia="宋体" w:cs="宋体"/>
                <w:b/>
                <w:bCs/>
                <w:sz w:val="21"/>
                <w:szCs w:val="21"/>
              </w:rPr>
              <w:t>毕业要求2</w:t>
            </w:r>
          </w:p>
          <w:p w14:paraId="2EEF1073">
            <w:pPr>
              <w:jc w:val="center"/>
              <w:rPr>
                <w:rFonts w:hint="eastAsia" w:ascii="宋体" w:hAnsi="宋体" w:eastAsia="宋体" w:cs="宋体"/>
                <w:b/>
                <w:bCs/>
                <w:sz w:val="21"/>
                <w:szCs w:val="21"/>
              </w:rPr>
            </w:pPr>
            <w:r>
              <w:rPr>
                <w:rFonts w:hint="eastAsia" w:ascii="宋体" w:hAnsi="宋体" w:eastAsia="宋体" w:cs="宋体"/>
                <w:b/>
                <w:bCs/>
                <w:sz w:val="21"/>
                <w:szCs w:val="21"/>
              </w:rPr>
              <w:t>教育情怀</w:t>
            </w:r>
          </w:p>
        </w:tc>
        <w:tc>
          <w:tcPr>
            <w:tcW w:w="3516" w:type="pct"/>
            <w:vAlign w:val="center"/>
          </w:tcPr>
          <w:p w14:paraId="2456CB2B">
            <w:pPr>
              <w:rPr>
                <w:rFonts w:hint="eastAsia" w:ascii="宋体" w:hAnsi="宋体" w:eastAsia="宋体" w:cs="宋体"/>
                <w:b w:val="0"/>
                <w:bCs w:val="0"/>
                <w:sz w:val="21"/>
                <w:szCs w:val="21"/>
              </w:rPr>
            </w:pPr>
            <w:r>
              <w:rPr>
                <w:rFonts w:hint="eastAsia" w:ascii="宋体" w:hAnsi="宋体" w:eastAsia="宋体" w:cs="宋体"/>
                <w:b/>
                <w:bCs w:val="0"/>
                <w:sz w:val="21"/>
                <w:szCs w:val="21"/>
                <w:lang w:eastAsia="zh-CN"/>
              </w:rPr>
              <w:t>指标点2-3</w:t>
            </w:r>
            <w:r>
              <w:rPr>
                <w:rFonts w:hint="eastAsia" w:ascii="宋体" w:hAnsi="宋体" w:eastAsia="宋体" w:cs="宋体"/>
                <w:b w:val="0"/>
                <w:bCs w:val="0"/>
                <w:sz w:val="21"/>
                <w:szCs w:val="21"/>
              </w:rPr>
              <w:t>：【自身修养良好】具有较好的人文艺术底蕴与科学精神，言行举止符合教师职业标准，情感积极，人格健全，身心健康。</w:t>
            </w:r>
          </w:p>
        </w:tc>
        <w:tc>
          <w:tcPr>
            <w:tcW w:w="662" w:type="pct"/>
            <w:vAlign w:val="center"/>
          </w:tcPr>
          <w:p w14:paraId="30BCFDB9">
            <w:pPr>
              <w:rPr>
                <w:rFonts w:hint="eastAsia" w:ascii="宋体" w:hAnsi="宋体" w:eastAsia="宋体" w:cs="宋体"/>
                <w:sz w:val="21"/>
                <w:szCs w:val="21"/>
                <w:lang w:eastAsia="zh"/>
              </w:rPr>
            </w:pPr>
            <w:r>
              <w:rPr>
                <w:rFonts w:hint="eastAsia" w:ascii="宋体" w:hAnsi="宋体" w:eastAsia="宋体" w:cs="宋体"/>
                <w:sz w:val="21"/>
                <w:szCs w:val="21"/>
              </w:rPr>
              <w:t>课程目标</w:t>
            </w:r>
            <w:r>
              <w:rPr>
                <w:rFonts w:hint="eastAsia" w:ascii="宋体" w:hAnsi="宋体" w:eastAsia="宋体" w:cs="宋体"/>
                <w:sz w:val="21"/>
                <w:szCs w:val="21"/>
                <w:lang w:eastAsia="zh"/>
              </w:rPr>
              <w:t>1</w:t>
            </w:r>
          </w:p>
        </w:tc>
      </w:tr>
      <w:tr w14:paraId="668A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820" w:type="pct"/>
            <w:vAlign w:val="center"/>
          </w:tcPr>
          <w:p w14:paraId="0C42901D">
            <w:pPr>
              <w:jc w:val="center"/>
              <w:rPr>
                <w:rFonts w:hint="eastAsia" w:ascii="宋体" w:hAnsi="宋体" w:eastAsia="宋体" w:cs="宋体"/>
                <w:b/>
                <w:bCs/>
                <w:sz w:val="21"/>
                <w:szCs w:val="21"/>
              </w:rPr>
            </w:pPr>
            <w:r>
              <w:rPr>
                <w:rFonts w:hint="eastAsia" w:ascii="宋体" w:hAnsi="宋体" w:eastAsia="宋体" w:cs="宋体"/>
                <w:b/>
                <w:bCs/>
                <w:sz w:val="21"/>
                <w:szCs w:val="21"/>
              </w:rPr>
              <w:t>毕业要求6</w:t>
            </w:r>
          </w:p>
          <w:p w14:paraId="709F5D6F">
            <w:pPr>
              <w:jc w:val="center"/>
              <w:rPr>
                <w:rFonts w:hint="eastAsia" w:ascii="宋体" w:hAnsi="宋体" w:eastAsia="宋体" w:cs="宋体"/>
                <w:b/>
                <w:bCs/>
                <w:sz w:val="21"/>
                <w:szCs w:val="21"/>
              </w:rPr>
            </w:pPr>
            <w:r>
              <w:rPr>
                <w:rFonts w:hint="eastAsia" w:ascii="宋体" w:hAnsi="宋体" w:eastAsia="宋体" w:cs="宋体"/>
                <w:b/>
                <w:bCs/>
                <w:sz w:val="21"/>
                <w:szCs w:val="21"/>
              </w:rPr>
              <w:t>综合育人</w:t>
            </w:r>
          </w:p>
        </w:tc>
        <w:tc>
          <w:tcPr>
            <w:tcW w:w="3516" w:type="pct"/>
            <w:vAlign w:val="center"/>
          </w:tcPr>
          <w:p w14:paraId="2CD04E4E">
            <w:pPr>
              <w:rPr>
                <w:rFonts w:hint="eastAsia" w:ascii="宋体" w:hAnsi="宋体" w:eastAsia="宋体" w:cs="宋体"/>
                <w:b w:val="0"/>
                <w:bCs w:val="0"/>
                <w:sz w:val="21"/>
                <w:szCs w:val="21"/>
              </w:rPr>
            </w:pPr>
            <w:r>
              <w:rPr>
                <w:rFonts w:hint="eastAsia" w:ascii="宋体" w:hAnsi="宋体" w:eastAsia="宋体" w:cs="宋体"/>
                <w:b/>
                <w:bCs w:val="0"/>
                <w:sz w:val="21"/>
                <w:szCs w:val="21"/>
                <w:lang w:eastAsia="zh-CN"/>
              </w:rPr>
              <w:t>指标点6-3</w:t>
            </w:r>
            <w:r>
              <w:rPr>
                <w:rFonts w:hint="eastAsia" w:ascii="宋体" w:hAnsi="宋体" w:eastAsia="宋体" w:cs="宋体"/>
                <w:b w:val="0"/>
                <w:bCs w:val="0"/>
                <w:sz w:val="21"/>
                <w:szCs w:val="21"/>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662" w:type="pct"/>
            <w:vAlign w:val="center"/>
          </w:tcPr>
          <w:p w14:paraId="4E58DE3A">
            <w:pPr>
              <w:rPr>
                <w:rFonts w:hint="eastAsia" w:ascii="宋体" w:hAnsi="宋体" w:eastAsia="宋体" w:cs="宋体"/>
                <w:sz w:val="21"/>
                <w:szCs w:val="21"/>
              </w:rPr>
            </w:pPr>
            <w:r>
              <w:rPr>
                <w:rFonts w:hint="eastAsia" w:ascii="宋体" w:hAnsi="宋体" w:eastAsia="宋体" w:cs="宋体"/>
                <w:sz w:val="21"/>
                <w:szCs w:val="21"/>
              </w:rPr>
              <w:t>课程目标1</w:t>
            </w:r>
          </w:p>
          <w:p w14:paraId="42523362">
            <w:pPr>
              <w:rPr>
                <w:rFonts w:hint="eastAsia" w:ascii="宋体" w:hAnsi="宋体" w:eastAsia="宋体" w:cs="宋体"/>
                <w:sz w:val="21"/>
                <w:szCs w:val="21"/>
              </w:rPr>
            </w:pPr>
            <w:r>
              <w:rPr>
                <w:rFonts w:hint="eastAsia" w:ascii="宋体" w:hAnsi="宋体" w:eastAsia="宋体" w:cs="宋体"/>
                <w:sz w:val="21"/>
                <w:szCs w:val="21"/>
              </w:rPr>
              <w:t>课程目标2</w:t>
            </w:r>
          </w:p>
        </w:tc>
      </w:tr>
    </w:tbl>
    <w:p w14:paraId="58639F35">
      <w:pPr>
        <w:keepNext w:val="0"/>
        <w:keepLines w:val="0"/>
        <w:pageBreakBefore w:val="0"/>
        <w:widowControl w:val="0"/>
        <w:numPr>
          <w:ilvl w:val="0"/>
          <w:numId w:val="0"/>
        </w:numPr>
        <w:kinsoku/>
        <w:wordWrap/>
        <w:overflowPunct/>
        <w:topLinePunct w:val="0"/>
        <w:autoSpaceDE w:val="0"/>
        <w:autoSpaceDN w:val="0"/>
        <w:bidi w:val="0"/>
        <w:adjustRightInd w:val="0"/>
        <w:snapToGrid/>
        <w:spacing w:before="63" w:beforeLines="20" w:after="63" w:afterLines="20" w:line="360" w:lineRule="auto"/>
        <w:ind w:leftChars="0"/>
        <w:jc w:val="left"/>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三、教学内容与预期学习成效</w:t>
      </w: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4027"/>
        <w:gridCol w:w="2706"/>
        <w:gridCol w:w="780"/>
        <w:gridCol w:w="951"/>
      </w:tblGrid>
      <w:tr w14:paraId="5FF1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Align w:val="center"/>
          </w:tcPr>
          <w:p w14:paraId="375A5C6A">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219" w:type="pct"/>
            <w:vAlign w:val="center"/>
          </w:tcPr>
          <w:p w14:paraId="513705A7">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教学内容</w:t>
            </w:r>
          </w:p>
        </w:tc>
        <w:tc>
          <w:tcPr>
            <w:tcW w:w="1491" w:type="pct"/>
            <w:vAlign w:val="center"/>
          </w:tcPr>
          <w:p w14:paraId="0E325F90">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预期学习成果</w:t>
            </w:r>
          </w:p>
        </w:tc>
        <w:tc>
          <w:tcPr>
            <w:tcW w:w="430" w:type="pct"/>
            <w:vAlign w:val="center"/>
          </w:tcPr>
          <w:p w14:paraId="4214CA79">
            <w:pPr>
              <w:jc w:val="center"/>
              <w:rPr>
                <w:rFonts w:hint="eastAsia" w:ascii="宋体" w:hAnsi="宋体" w:eastAsia="宋体" w:cs="宋体"/>
                <w:b/>
                <w:bCs/>
                <w:sz w:val="21"/>
                <w:szCs w:val="21"/>
              </w:rPr>
            </w:pPr>
            <w:r>
              <w:rPr>
                <w:rFonts w:hint="eastAsia" w:ascii="宋体" w:hAnsi="宋体" w:eastAsia="宋体" w:cs="宋体"/>
                <w:b/>
                <w:bCs/>
                <w:sz w:val="21"/>
                <w:szCs w:val="21"/>
              </w:rPr>
              <w:t>教学学时</w:t>
            </w:r>
          </w:p>
        </w:tc>
        <w:tc>
          <w:tcPr>
            <w:tcW w:w="523" w:type="pct"/>
            <w:vAlign w:val="center"/>
          </w:tcPr>
          <w:p w14:paraId="453D7C3B">
            <w:pPr>
              <w:jc w:val="center"/>
              <w:rPr>
                <w:rFonts w:hint="eastAsia" w:ascii="宋体" w:hAnsi="宋体" w:eastAsia="宋体" w:cs="宋体"/>
                <w:b/>
                <w:bCs/>
                <w:sz w:val="21"/>
                <w:szCs w:val="21"/>
              </w:rPr>
            </w:pPr>
            <w:r>
              <w:rPr>
                <w:rFonts w:hint="eastAsia" w:ascii="宋体" w:hAnsi="宋体" w:eastAsia="宋体" w:cs="宋体"/>
                <w:b/>
                <w:bCs/>
                <w:sz w:val="21"/>
                <w:szCs w:val="21"/>
              </w:rPr>
              <w:t>教学</w:t>
            </w:r>
          </w:p>
          <w:p w14:paraId="3F867C4C">
            <w:pPr>
              <w:jc w:val="center"/>
              <w:rPr>
                <w:rFonts w:hint="eastAsia" w:ascii="宋体" w:hAnsi="宋体" w:eastAsia="宋体" w:cs="宋体"/>
                <w:b/>
                <w:bCs/>
                <w:sz w:val="21"/>
                <w:szCs w:val="21"/>
              </w:rPr>
            </w:pPr>
            <w:r>
              <w:rPr>
                <w:rFonts w:hint="eastAsia" w:ascii="宋体" w:hAnsi="宋体" w:eastAsia="宋体" w:cs="宋体"/>
                <w:b/>
                <w:bCs/>
                <w:sz w:val="21"/>
                <w:szCs w:val="21"/>
              </w:rPr>
              <w:t>方式</w:t>
            </w:r>
          </w:p>
        </w:tc>
      </w:tr>
      <w:tr w14:paraId="1BB9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2C07D232">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219" w:type="pct"/>
            <w:vAlign w:val="center"/>
          </w:tcPr>
          <w:p w14:paraId="47928CF3">
            <w:pPr>
              <w:jc w:val="both"/>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㈠体育理论部分:</w:t>
            </w:r>
          </w:p>
          <w:p w14:paraId="427645E7">
            <w:pPr>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1.学生思想政治教育：我校体育运动发展概况、国家领导人与体育、奥运明星的励志故事、社会主义核心价值观与体育等；</w:t>
            </w:r>
          </w:p>
          <w:p w14:paraId="49396214">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2.</w:t>
            </w:r>
            <w:r>
              <w:rPr>
                <w:rFonts w:hint="default" w:ascii="Times New Roman" w:hAnsi="Times New Roman" w:eastAsia="宋体" w:cs="Times New Roman"/>
                <w:color w:val="auto"/>
                <w:sz w:val="21"/>
                <w:szCs w:val="21"/>
              </w:rPr>
              <w:t>体育安全教育：体育运动伤害事故的安全教育及预防与处理措施、常见运动损伤的预防与处理等；</w:t>
            </w:r>
          </w:p>
          <w:p w14:paraId="36FCA7B7">
            <w:pPr>
              <w:jc w:val="both"/>
              <w:rPr>
                <w:rFonts w:hint="eastAsia" w:ascii="宋体" w:hAnsi="宋体" w:eastAsia="宋体" w:cs="宋体"/>
                <w:color w:val="auto"/>
                <w:kern w:val="0"/>
                <w:sz w:val="21"/>
                <w:szCs w:val="21"/>
                <w:lang w:eastAsia="zh-CN"/>
              </w:rPr>
            </w:pPr>
            <w:r>
              <w:rPr>
                <w:rFonts w:hint="default" w:ascii="Times New Roman" w:hAnsi="Times New Roman" w:eastAsia="宋体" w:cs="Times New Roman"/>
                <w:color w:val="auto"/>
                <w:sz w:val="21"/>
                <w:szCs w:val="21"/>
              </w:rPr>
              <w:t>3.体育基本理论：各运动项目的基本技战术知识、组织与竞赛、基本规则和裁判法，运动健身的基本原理与锻炼方法，体育锻炼的自我监督与评价，体育养生与保健知识等</w:t>
            </w:r>
            <w:r>
              <w:rPr>
                <w:rFonts w:hint="eastAsia" w:ascii="Times New Roman" w:hAnsi="Times New Roman" w:eastAsia="宋体" w:cs="Times New Roman"/>
                <w:color w:val="auto"/>
                <w:sz w:val="21"/>
                <w:szCs w:val="21"/>
                <w:lang w:eastAsia="zh-CN"/>
              </w:rPr>
              <w:t>。</w:t>
            </w:r>
          </w:p>
        </w:tc>
        <w:tc>
          <w:tcPr>
            <w:tcW w:w="1491" w:type="pct"/>
            <w:vAlign w:val="center"/>
          </w:tcPr>
          <w:p w14:paraId="16786FAD">
            <w:pPr>
              <w:autoSpaceDE w:val="0"/>
              <w:autoSpaceDN w:val="0"/>
              <w:adjustRightInd w:val="0"/>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通过学习，进一步巩固和提高学生对体育的正确认识，形成正确积极的体育态度，学会运用科学理论指导健身锻炼实际，从而自觉遵循体育运动的规律，实现体育锻炼的目的。</w:t>
            </w:r>
          </w:p>
        </w:tc>
        <w:tc>
          <w:tcPr>
            <w:tcW w:w="430" w:type="pct"/>
            <w:vAlign w:val="center"/>
          </w:tcPr>
          <w:p w14:paraId="29F36554">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523" w:type="pct"/>
            <w:vAlign w:val="center"/>
          </w:tcPr>
          <w:p w14:paraId="36CF6BD1">
            <w:pPr>
              <w:jc w:val="left"/>
              <w:rPr>
                <w:rFonts w:hint="eastAsia" w:ascii="宋体" w:hAnsi="宋体" w:eastAsia="宋体" w:cs="宋体"/>
                <w:sz w:val="21"/>
                <w:szCs w:val="21"/>
              </w:rPr>
            </w:pPr>
            <w:r>
              <w:rPr>
                <w:rFonts w:hint="eastAsia" w:ascii="宋体" w:hAnsi="宋体" w:eastAsia="宋体" w:cs="宋体"/>
                <w:sz w:val="21"/>
                <w:szCs w:val="21"/>
              </w:rPr>
              <w:t>讲授法</w:t>
            </w:r>
          </w:p>
        </w:tc>
      </w:tr>
      <w:tr w14:paraId="3A12E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44547DC2">
            <w:pPr>
              <w:jc w:val="center"/>
              <w:rPr>
                <w:rFonts w:hint="eastAsia" w:ascii="宋体" w:hAnsi="宋体" w:eastAsia="宋体" w:cs="宋体"/>
                <w:color w:val="auto"/>
                <w:sz w:val="21"/>
                <w:szCs w:val="21"/>
              </w:rPr>
            </w:pPr>
          </w:p>
        </w:tc>
        <w:tc>
          <w:tcPr>
            <w:tcW w:w="4664" w:type="pct"/>
            <w:gridSpan w:val="4"/>
            <w:vAlign w:val="center"/>
          </w:tcPr>
          <w:p w14:paraId="6A33531D">
            <w:pPr>
              <w:jc w:val="both"/>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rPr>
              <w:t>思政元素</w:t>
            </w:r>
            <w:r>
              <w:rPr>
                <w:rFonts w:hint="eastAsia" w:ascii="宋体" w:hAnsi="宋体" w:eastAsia="宋体" w:cs="宋体"/>
                <w:b/>
                <w:bCs/>
                <w:color w:val="auto"/>
                <w:sz w:val="21"/>
                <w:szCs w:val="21"/>
                <w:lang w:eastAsia="zh-CN"/>
              </w:rPr>
              <w:t>：</w:t>
            </w:r>
            <w:r>
              <w:rPr>
                <w:rFonts w:hint="eastAsia" w:ascii="宋体" w:hAnsi="宋体" w:eastAsia="宋体" w:cs="宋体"/>
                <w:color w:val="auto"/>
                <w:kern w:val="0"/>
                <w:sz w:val="21"/>
                <w:szCs w:val="21"/>
              </w:rPr>
              <w:t>理想信念、国家认同和社会主义核心价值观等教育；安全意识、健康意识教育</w:t>
            </w:r>
          </w:p>
        </w:tc>
      </w:tr>
      <w:tr w14:paraId="7D01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06EF6A5B">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219" w:type="pct"/>
            <w:vAlign w:val="center"/>
          </w:tcPr>
          <w:p w14:paraId="1B8EB6CB">
            <w:pPr>
              <w:jc w:val="left"/>
              <w:rPr>
                <w:rFonts w:hint="eastAsia" w:ascii="宋体" w:hAnsi="宋体" w:eastAsia="宋体" w:cs="宋体"/>
                <w:b/>
                <w:color w:val="auto"/>
                <w:sz w:val="21"/>
                <w:szCs w:val="21"/>
              </w:rPr>
            </w:pPr>
            <w:r>
              <w:rPr>
                <w:rFonts w:hint="eastAsia" w:ascii="宋体" w:hAnsi="宋体" w:eastAsia="宋体" w:cs="宋体"/>
                <w:b/>
                <w:color w:val="auto"/>
                <w:sz w:val="21"/>
                <w:szCs w:val="21"/>
              </w:rPr>
              <w:t>㈡实践部分：</w:t>
            </w:r>
          </w:p>
          <w:p w14:paraId="17B65611">
            <w:pPr>
              <w:rPr>
                <w:rFonts w:hint="eastAsia" w:ascii="宋体" w:hAnsi="宋体" w:eastAsia="宋体" w:cs="宋体"/>
                <w:bCs/>
                <w:color w:val="auto"/>
                <w:sz w:val="21"/>
                <w:szCs w:val="21"/>
              </w:rPr>
            </w:pPr>
            <w:r>
              <w:rPr>
                <w:rFonts w:hint="eastAsia" w:ascii="宋体" w:hAnsi="宋体" w:eastAsia="宋体" w:cs="宋体"/>
                <w:bCs/>
                <w:color w:val="auto"/>
                <w:sz w:val="21"/>
                <w:szCs w:val="21"/>
              </w:rPr>
              <w:t>各类体育活动和国家学生体质健康标准测试项目为主，主要包括体质测试、早锻炼、学生课外健身活动以及校级、院级和体育社团组织的各种体育比赛活动等。</w:t>
            </w:r>
          </w:p>
          <w:p w14:paraId="75304F09">
            <w:pPr>
              <w:rPr>
                <w:rFonts w:hint="eastAsia" w:ascii="宋体" w:hAnsi="宋体" w:eastAsia="宋体" w:cs="宋体"/>
                <w:bCs/>
                <w:color w:val="auto"/>
                <w:sz w:val="21"/>
                <w:szCs w:val="21"/>
              </w:rPr>
            </w:pPr>
            <w:r>
              <w:rPr>
                <w:rFonts w:hint="eastAsia" w:ascii="宋体" w:hAnsi="宋体" w:eastAsia="宋体" w:cs="宋体"/>
                <w:b/>
                <w:bCs/>
                <w:color w:val="auto"/>
                <w:sz w:val="21"/>
                <w:szCs w:val="21"/>
              </w:rPr>
              <w:t>重点：</w:t>
            </w:r>
            <w:r>
              <w:rPr>
                <w:rFonts w:hint="eastAsia" w:ascii="宋体" w:hAnsi="宋体" w:eastAsia="宋体" w:cs="宋体"/>
                <w:bCs/>
                <w:color w:val="auto"/>
                <w:sz w:val="21"/>
                <w:szCs w:val="21"/>
              </w:rPr>
              <w:t>编制可行的个人体育锻炼计划并积极实践。</w:t>
            </w:r>
          </w:p>
          <w:p w14:paraId="0D3DEEF3">
            <w:pPr>
              <w:rPr>
                <w:rFonts w:hint="eastAsia" w:ascii="宋体" w:hAnsi="宋体" w:eastAsia="宋体" w:cs="宋体"/>
                <w:color w:val="auto"/>
                <w:kern w:val="0"/>
                <w:sz w:val="21"/>
                <w:szCs w:val="21"/>
              </w:rPr>
            </w:pPr>
            <w:r>
              <w:rPr>
                <w:rFonts w:hint="eastAsia" w:ascii="宋体" w:hAnsi="宋体" w:eastAsia="宋体" w:cs="宋体"/>
                <w:b/>
                <w:bCs/>
                <w:color w:val="auto"/>
                <w:sz w:val="21"/>
                <w:szCs w:val="21"/>
              </w:rPr>
              <w:t>难点：</w:t>
            </w:r>
            <w:r>
              <w:rPr>
                <w:rFonts w:hint="eastAsia" w:ascii="宋体" w:hAnsi="宋体" w:eastAsia="宋体" w:cs="宋体"/>
                <w:bCs/>
                <w:color w:val="auto"/>
                <w:sz w:val="21"/>
                <w:szCs w:val="21"/>
              </w:rPr>
              <w:t>全面发展体能，完成体质健康标准测试。</w:t>
            </w:r>
          </w:p>
        </w:tc>
        <w:tc>
          <w:tcPr>
            <w:tcW w:w="1491" w:type="pct"/>
            <w:vAlign w:val="center"/>
          </w:tcPr>
          <w:p w14:paraId="41F5BFC7">
            <w:pPr>
              <w:rPr>
                <w:rFonts w:hint="eastAsia" w:ascii="宋体" w:hAnsi="宋体" w:eastAsia="宋体" w:cs="宋体"/>
                <w:color w:val="auto"/>
                <w:sz w:val="21"/>
                <w:szCs w:val="21"/>
              </w:rPr>
            </w:pPr>
            <w:r>
              <w:rPr>
                <w:rFonts w:hint="eastAsia" w:ascii="宋体" w:hAnsi="宋体" w:eastAsia="宋体" w:cs="宋体"/>
                <w:color w:val="auto"/>
                <w:sz w:val="21"/>
                <w:szCs w:val="21"/>
              </w:rPr>
              <w:t>通过课外实践，使学生巩固课内学习效果，掌握科学锻炼的基础知识、基本技能和有效方法，</w:t>
            </w:r>
            <w:r>
              <w:rPr>
                <w:rFonts w:hint="eastAsia" w:ascii="宋体" w:hAnsi="宋体" w:eastAsia="宋体" w:cs="宋体"/>
                <w:color w:val="auto"/>
                <w:kern w:val="0"/>
                <w:sz w:val="21"/>
                <w:szCs w:val="21"/>
              </w:rPr>
              <w:t>发展身体素质</w:t>
            </w:r>
            <w:r>
              <w:rPr>
                <w:rFonts w:hint="eastAsia" w:ascii="宋体" w:hAnsi="宋体" w:eastAsia="宋体" w:cs="宋体"/>
                <w:color w:val="auto"/>
                <w:sz w:val="21"/>
                <w:szCs w:val="21"/>
              </w:rPr>
              <w:t>；在运动中体验运动的乐趣和成功的感觉；选择适宜的体育活动调节自己的情绪，减轻学习压力，提高学习效率；表现出良好的体育道德和合作精神；正确处理竞争与合作的关系；通过体育活动，建立良好的人际关系；达到“国家体质健康标准”</w:t>
            </w:r>
            <w:r>
              <w:rPr>
                <w:rFonts w:hint="eastAsia" w:ascii="宋体" w:hAnsi="宋体" w:eastAsia="宋体" w:cs="宋体"/>
                <w:color w:val="auto"/>
                <w:kern w:val="0"/>
                <w:sz w:val="21"/>
                <w:szCs w:val="21"/>
              </w:rPr>
              <w:t>。</w:t>
            </w:r>
          </w:p>
        </w:tc>
        <w:tc>
          <w:tcPr>
            <w:tcW w:w="430" w:type="pct"/>
            <w:vAlign w:val="center"/>
          </w:tcPr>
          <w:p w14:paraId="368B564C">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6</w:t>
            </w:r>
          </w:p>
        </w:tc>
        <w:tc>
          <w:tcPr>
            <w:tcW w:w="523" w:type="pct"/>
            <w:vAlign w:val="center"/>
          </w:tcPr>
          <w:p w14:paraId="02410B06">
            <w:pPr>
              <w:rPr>
                <w:rFonts w:hint="eastAsia" w:ascii="宋体" w:hAnsi="宋体" w:eastAsia="宋体" w:cs="宋体"/>
                <w:sz w:val="21"/>
                <w:szCs w:val="21"/>
              </w:rPr>
            </w:pPr>
            <w:r>
              <w:rPr>
                <w:rFonts w:hint="eastAsia" w:ascii="宋体" w:hAnsi="宋体" w:eastAsia="宋体" w:cs="宋体"/>
                <w:color w:val="auto"/>
                <w:sz w:val="21"/>
                <w:szCs w:val="21"/>
              </w:rPr>
              <w:t>讲授</w:t>
            </w:r>
            <w:r>
              <w:rPr>
                <w:rFonts w:hint="eastAsia" w:ascii="宋体" w:hAnsi="宋体" w:eastAsia="宋体" w:cs="宋体"/>
                <w:color w:val="auto"/>
                <w:sz w:val="21"/>
                <w:szCs w:val="21"/>
                <w:lang w:val="en-US" w:eastAsia="zh-CN"/>
              </w:rPr>
              <w:t>法</w:t>
            </w:r>
            <w:r>
              <w:rPr>
                <w:rFonts w:hint="eastAsia" w:ascii="宋体" w:hAnsi="宋体" w:eastAsia="宋体" w:cs="宋体"/>
                <w:color w:val="auto"/>
                <w:sz w:val="21"/>
                <w:szCs w:val="21"/>
              </w:rPr>
              <w:t>演示</w:t>
            </w:r>
            <w:r>
              <w:rPr>
                <w:rFonts w:hint="eastAsia" w:ascii="宋体" w:hAnsi="宋体" w:eastAsia="宋体" w:cs="宋体"/>
                <w:color w:val="auto"/>
                <w:sz w:val="21"/>
                <w:szCs w:val="21"/>
                <w:lang w:val="en-US" w:eastAsia="zh-CN"/>
              </w:rPr>
              <w:t>法</w:t>
            </w:r>
            <w:r>
              <w:rPr>
                <w:rFonts w:hint="eastAsia" w:ascii="宋体" w:hAnsi="宋体" w:eastAsia="宋体" w:cs="宋体"/>
                <w:color w:val="auto"/>
                <w:sz w:val="21"/>
                <w:szCs w:val="21"/>
              </w:rPr>
              <w:t>练习法</w:t>
            </w:r>
          </w:p>
        </w:tc>
      </w:tr>
      <w:tr w14:paraId="7C0B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762CFC16">
            <w:pPr>
              <w:jc w:val="center"/>
              <w:rPr>
                <w:rFonts w:hint="eastAsia" w:ascii="宋体" w:hAnsi="宋体" w:eastAsia="宋体" w:cs="宋体"/>
                <w:sz w:val="21"/>
                <w:szCs w:val="21"/>
              </w:rPr>
            </w:pPr>
          </w:p>
        </w:tc>
        <w:tc>
          <w:tcPr>
            <w:tcW w:w="4664" w:type="pct"/>
            <w:gridSpan w:val="4"/>
            <w:vAlign w:val="center"/>
          </w:tcPr>
          <w:p w14:paraId="743E3C8B">
            <w:pPr>
              <w:rPr>
                <w:rFonts w:hint="eastAsia" w:ascii="宋体" w:hAnsi="宋体" w:eastAsia="宋体" w:cs="宋体"/>
                <w:color w:val="auto"/>
                <w:sz w:val="21"/>
                <w:szCs w:val="21"/>
              </w:rPr>
            </w:pPr>
            <w:r>
              <w:rPr>
                <w:rFonts w:hint="eastAsia" w:ascii="宋体" w:hAnsi="宋体" w:eastAsia="宋体" w:cs="宋体"/>
                <w:b/>
                <w:bCs/>
                <w:sz w:val="21"/>
                <w:szCs w:val="21"/>
              </w:rPr>
              <w:t>思政元素</w:t>
            </w:r>
            <w:r>
              <w:rPr>
                <w:rFonts w:hint="eastAsia" w:ascii="宋体" w:hAnsi="宋体" w:eastAsia="宋体" w:cs="宋体"/>
                <w:b/>
                <w:bCs/>
                <w:sz w:val="21"/>
                <w:szCs w:val="21"/>
                <w:lang w:eastAsia="zh-CN"/>
              </w:rPr>
              <w:t>：</w:t>
            </w:r>
            <w:r>
              <w:rPr>
                <w:rFonts w:hint="eastAsia" w:ascii="宋体" w:hAnsi="宋体" w:eastAsia="宋体" w:cs="宋体"/>
                <w:kern w:val="0"/>
                <w:sz w:val="21"/>
                <w:szCs w:val="21"/>
              </w:rPr>
              <w:t>爱国主义和集体主义教育；体育道德观、意志品德培育；规则意识和诚信意识教育。</w:t>
            </w:r>
          </w:p>
        </w:tc>
      </w:tr>
    </w:tbl>
    <w:p w14:paraId="406AE3AD">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四、课程实施</w:t>
      </w:r>
    </w:p>
    <w:p w14:paraId="5FAD288E">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sz w:val="21"/>
          <w:szCs w:val="21"/>
        </w:rPr>
      </w:pPr>
      <w:r>
        <w:rPr>
          <w:rFonts w:hint="eastAsia" w:ascii="宋体" w:hAnsi="宋体" w:eastAsia="宋体" w:cs="宋体"/>
          <w:b/>
          <w:sz w:val="21"/>
          <w:szCs w:val="21"/>
        </w:rPr>
        <w:t>（一）方法与手段</w:t>
      </w:r>
    </w:p>
    <w:p w14:paraId="10F9BF1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采用线上+线下、自主锻炼、体质测试和课外体育俱乐部等组织形式。</w:t>
      </w:r>
    </w:p>
    <w:p w14:paraId="582446E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（二）课程实施与保障</w:t>
      </w:r>
    </w:p>
    <w:tbl>
      <w:tblPr>
        <w:tblStyle w:val="15"/>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0705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gridSpan w:val="2"/>
            <w:tcBorders>
              <w:top w:val="single" w:color="auto" w:sz="4" w:space="0"/>
              <w:left w:val="single" w:color="auto" w:sz="4" w:space="0"/>
              <w:right w:val="single" w:color="auto" w:sz="4" w:space="0"/>
            </w:tcBorders>
            <w:tcMar>
              <w:left w:w="28" w:type="dxa"/>
              <w:right w:w="28" w:type="dxa"/>
            </w:tcMar>
            <w:vAlign w:val="center"/>
          </w:tcPr>
          <w:p w14:paraId="02C096DD">
            <w:pPr>
              <w:spacing w:line="360" w:lineRule="auto"/>
              <w:jc w:val="center"/>
              <w:rPr>
                <w:rFonts w:hint="eastAsia" w:ascii="宋体" w:hAnsi="宋体" w:eastAsia="宋体" w:cs="宋体"/>
                <w:sz w:val="21"/>
                <w:szCs w:val="21"/>
              </w:rPr>
            </w:pPr>
            <w:r>
              <w:rPr>
                <w:rFonts w:hint="eastAsia" w:ascii="宋体" w:hAnsi="宋体" w:eastAsia="宋体" w:cs="宋体"/>
                <w:b/>
                <w:bCs/>
                <w:sz w:val="21"/>
                <w:szCs w:val="21"/>
              </w:rPr>
              <w:t>主要环节</w:t>
            </w:r>
          </w:p>
        </w:tc>
        <w:tc>
          <w:tcPr>
            <w:tcW w:w="6640" w:type="dxa"/>
            <w:tcBorders>
              <w:top w:val="single" w:color="auto" w:sz="4" w:space="0"/>
              <w:left w:val="single" w:color="auto" w:sz="4" w:space="0"/>
              <w:right w:val="single" w:color="auto" w:sz="4" w:space="0"/>
            </w:tcBorders>
            <w:vAlign w:val="center"/>
          </w:tcPr>
          <w:p w14:paraId="31683D54">
            <w:pPr>
              <w:spacing w:line="360" w:lineRule="auto"/>
              <w:jc w:val="center"/>
              <w:rPr>
                <w:rFonts w:hint="eastAsia" w:ascii="宋体" w:hAnsi="宋体" w:eastAsia="宋体" w:cs="宋体"/>
                <w:sz w:val="21"/>
                <w:szCs w:val="21"/>
              </w:rPr>
            </w:pPr>
            <w:r>
              <w:rPr>
                <w:rFonts w:hint="eastAsia" w:ascii="宋体" w:hAnsi="宋体" w:eastAsia="宋体" w:cs="宋体"/>
                <w:b/>
                <w:bCs/>
                <w:sz w:val="21"/>
                <w:szCs w:val="21"/>
              </w:rPr>
              <w:t>质量要求</w:t>
            </w:r>
          </w:p>
        </w:tc>
      </w:tr>
      <w:tr w14:paraId="514D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439" w:type="dxa"/>
            <w:tcBorders>
              <w:left w:val="single" w:color="auto" w:sz="4" w:space="0"/>
              <w:right w:val="single" w:color="auto" w:sz="4" w:space="0"/>
            </w:tcBorders>
            <w:vAlign w:val="center"/>
          </w:tcPr>
          <w:p w14:paraId="7D7179E0">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252" w:type="dxa"/>
            <w:tcBorders>
              <w:left w:val="single" w:color="auto" w:sz="4" w:space="0"/>
              <w:right w:val="single" w:color="auto" w:sz="4" w:space="0"/>
            </w:tcBorders>
            <w:tcMar>
              <w:left w:w="28" w:type="dxa"/>
              <w:right w:w="28" w:type="dxa"/>
            </w:tcMar>
            <w:vAlign w:val="center"/>
          </w:tcPr>
          <w:p w14:paraId="055D88D4">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课外锻炼</w:t>
            </w:r>
          </w:p>
        </w:tc>
        <w:tc>
          <w:tcPr>
            <w:tcW w:w="6640" w:type="dxa"/>
            <w:tcBorders>
              <w:left w:val="single" w:color="auto" w:sz="4" w:space="0"/>
              <w:right w:val="single" w:color="auto" w:sz="4" w:space="0"/>
            </w:tcBorders>
            <w:vAlign w:val="center"/>
          </w:tcPr>
          <w:p w14:paraId="7056E9A1">
            <w:pPr>
              <w:autoSpaceDE w:val="0"/>
              <w:autoSpaceDN w:val="0"/>
              <w:adjustRightInd w:val="0"/>
              <w:snapToGrid w:val="0"/>
              <w:spacing w:line="360" w:lineRule="auto"/>
              <w:jc w:val="left"/>
              <w:rPr>
                <w:rFonts w:hint="eastAsia" w:ascii="宋体" w:hAnsi="宋体" w:eastAsia="宋体" w:cs="宋体"/>
                <w:kern w:val="0"/>
                <w:sz w:val="21"/>
                <w:szCs w:val="21"/>
              </w:rPr>
            </w:pPr>
            <w:r>
              <w:rPr>
                <w:rFonts w:hint="eastAsia" w:ascii="宋体" w:hAnsi="宋体" w:eastAsia="宋体" w:cs="宋体"/>
                <w:kern w:val="0"/>
                <w:sz w:val="21"/>
                <w:szCs w:val="21"/>
              </w:rPr>
              <w:t>学生利用课余时间通过参加体质测试、早锻炼、课外健身活动以及校级、院级和体育社团组织的各种体育比赛等活动，巩固课内学习效果，提高身体素质，培养学生自我锻炼意识和习惯。</w:t>
            </w:r>
          </w:p>
        </w:tc>
      </w:tr>
      <w:tr w14:paraId="3F06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4" w:space="0"/>
              <w:right w:val="single" w:color="auto" w:sz="4" w:space="0"/>
            </w:tcBorders>
            <w:vAlign w:val="center"/>
          </w:tcPr>
          <w:p w14:paraId="2F584C77">
            <w:pPr>
              <w:spacing w:line="360" w:lineRule="auto"/>
              <w:jc w:val="center"/>
              <w:rPr>
                <w:rFonts w:hint="eastAsia" w:ascii="宋体" w:hAnsi="宋体" w:eastAsia="宋体" w:cs="宋体"/>
                <w:sz w:val="21"/>
                <w:szCs w:val="21"/>
              </w:rPr>
            </w:pPr>
            <w:r>
              <w:rPr>
                <w:rFonts w:hint="eastAsia" w:ascii="宋体" w:hAnsi="宋体" w:eastAsia="宋体" w:cs="宋体"/>
                <w:sz w:val="21"/>
                <w:szCs w:val="21"/>
              </w:rPr>
              <w:t>2</w:t>
            </w:r>
          </w:p>
        </w:tc>
        <w:tc>
          <w:tcPr>
            <w:tcW w:w="1252" w:type="dxa"/>
            <w:tcBorders>
              <w:left w:val="single" w:color="auto" w:sz="4" w:space="0"/>
              <w:right w:val="single" w:color="auto" w:sz="4" w:space="0"/>
            </w:tcBorders>
            <w:tcMar>
              <w:left w:w="28" w:type="dxa"/>
              <w:right w:w="28" w:type="dxa"/>
            </w:tcMar>
            <w:vAlign w:val="center"/>
          </w:tcPr>
          <w:p w14:paraId="697A46CC">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成绩考核</w:t>
            </w:r>
          </w:p>
        </w:tc>
        <w:tc>
          <w:tcPr>
            <w:tcW w:w="6640" w:type="dxa"/>
            <w:tcBorders>
              <w:left w:val="single" w:color="auto" w:sz="4" w:space="0"/>
              <w:right w:val="single" w:color="auto" w:sz="4" w:space="0"/>
            </w:tcBorders>
            <w:vAlign w:val="center"/>
          </w:tcPr>
          <w:p w14:paraId="12FAEA96">
            <w:pPr>
              <w:autoSpaceDE w:val="0"/>
              <w:autoSpaceDN w:val="0"/>
              <w:adjustRightInd w:val="0"/>
              <w:snapToGrid w:val="0"/>
              <w:spacing w:line="360" w:lineRule="auto"/>
              <w:jc w:val="left"/>
              <w:rPr>
                <w:rFonts w:hint="eastAsia" w:ascii="宋体" w:hAnsi="宋体" w:eastAsia="宋体" w:cs="宋体"/>
                <w:kern w:val="0"/>
                <w:sz w:val="21"/>
                <w:szCs w:val="21"/>
              </w:rPr>
            </w:pPr>
            <w:r>
              <w:rPr>
                <w:rFonts w:hint="eastAsia" w:ascii="宋体" w:hAnsi="宋体" w:eastAsia="宋体" w:cs="宋体"/>
                <w:kern w:val="0"/>
                <w:sz w:val="21"/>
                <w:szCs w:val="21"/>
              </w:rPr>
              <w:t>本课程考核的方式：以学生参加课外体育活动的考勤次数为依据。总评成绩的评定见《学生参加课外体育活动成绩评定标准》。</w:t>
            </w:r>
          </w:p>
        </w:tc>
      </w:tr>
    </w:tbl>
    <w:p w14:paraId="6C0EE764">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五、课程考核</w:t>
      </w:r>
    </w:p>
    <w:p w14:paraId="12CFE25D">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一）课程考核以学生参加课外体育活动的考勤次数为依据，制定学生参加课外体育活动成绩评定标准。主要包括晨跑、课外自主健身跑、健身辅导站、体育社团或单项协会健身活动和校级、院级、体育社团组织的体育竞赛活动等。</w:t>
      </w:r>
    </w:p>
    <w:p w14:paraId="4C2BC727">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（二）学生课外体育活动成绩评定标准。</w:t>
      </w:r>
    </w:p>
    <w:p w14:paraId="4683F3F1">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学生参加课外体育活动成绩评定标准（百分制）</w:t>
      </w:r>
    </w:p>
    <w:tbl>
      <w:tblPr>
        <w:tblStyle w:val="15"/>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762"/>
        <w:gridCol w:w="762"/>
        <w:gridCol w:w="760"/>
        <w:gridCol w:w="762"/>
        <w:gridCol w:w="760"/>
        <w:gridCol w:w="762"/>
        <w:gridCol w:w="760"/>
        <w:gridCol w:w="762"/>
        <w:gridCol w:w="763"/>
      </w:tblGrid>
      <w:tr w14:paraId="5795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vAlign w:val="center"/>
          </w:tcPr>
          <w:p w14:paraId="4F32370C">
            <w:pPr>
              <w:jc w:val="center"/>
              <w:rPr>
                <w:rFonts w:hint="eastAsia" w:ascii="宋体" w:hAnsi="宋体" w:eastAsia="宋体" w:cs="宋体"/>
                <w:sz w:val="21"/>
                <w:szCs w:val="21"/>
              </w:rPr>
            </w:pPr>
            <w:r>
              <w:rPr>
                <w:rFonts w:hint="eastAsia" w:ascii="宋体" w:hAnsi="宋体" w:eastAsia="宋体" w:cs="宋体"/>
                <w:sz w:val="21"/>
                <w:szCs w:val="21"/>
              </w:rPr>
              <w:t>考勤次数</w:t>
            </w:r>
          </w:p>
        </w:tc>
        <w:tc>
          <w:tcPr>
            <w:tcW w:w="447" w:type="pct"/>
            <w:vAlign w:val="center"/>
          </w:tcPr>
          <w:p w14:paraId="5476A0AC">
            <w:pPr>
              <w:jc w:val="center"/>
              <w:rPr>
                <w:rFonts w:hint="eastAsia" w:ascii="宋体" w:hAnsi="宋体" w:eastAsia="宋体" w:cs="宋体"/>
                <w:sz w:val="21"/>
                <w:szCs w:val="21"/>
              </w:rPr>
            </w:pPr>
            <w:r>
              <w:rPr>
                <w:rFonts w:hint="eastAsia" w:ascii="宋体" w:hAnsi="宋体" w:eastAsia="宋体" w:cs="宋体"/>
                <w:sz w:val="21"/>
                <w:szCs w:val="21"/>
              </w:rPr>
              <w:t>0</w:t>
            </w:r>
          </w:p>
        </w:tc>
        <w:tc>
          <w:tcPr>
            <w:tcW w:w="447" w:type="pct"/>
            <w:vAlign w:val="center"/>
          </w:tcPr>
          <w:p w14:paraId="65FED41A">
            <w:pPr>
              <w:jc w:val="center"/>
              <w:rPr>
                <w:rFonts w:hint="eastAsia" w:ascii="宋体" w:hAnsi="宋体" w:eastAsia="宋体" w:cs="宋体"/>
                <w:sz w:val="21"/>
                <w:szCs w:val="21"/>
              </w:rPr>
            </w:pPr>
            <w:r>
              <w:rPr>
                <w:rFonts w:hint="eastAsia" w:ascii="宋体" w:hAnsi="宋体" w:eastAsia="宋体" w:cs="宋体"/>
                <w:sz w:val="21"/>
                <w:szCs w:val="21"/>
              </w:rPr>
              <w:t>5</w:t>
            </w:r>
          </w:p>
        </w:tc>
        <w:tc>
          <w:tcPr>
            <w:tcW w:w="446" w:type="pct"/>
            <w:vAlign w:val="center"/>
          </w:tcPr>
          <w:p w14:paraId="7C1BDFAE">
            <w:pPr>
              <w:jc w:val="center"/>
              <w:rPr>
                <w:rFonts w:hint="eastAsia" w:ascii="宋体" w:hAnsi="宋体" w:eastAsia="宋体" w:cs="宋体"/>
                <w:sz w:val="21"/>
                <w:szCs w:val="21"/>
              </w:rPr>
            </w:pPr>
            <w:r>
              <w:rPr>
                <w:rFonts w:hint="eastAsia" w:ascii="宋体" w:hAnsi="宋体" w:eastAsia="宋体" w:cs="宋体"/>
                <w:sz w:val="21"/>
                <w:szCs w:val="21"/>
              </w:rPr>
              <w:t>10</w:t>
            </w:r>
          </w:p>
        </w:tc>
        <w:tc>
          <w:tcPr>
            <w:tcW w:w="447" w:type="pct"/>
            <w:vAlign w:val="center"/>
          </w:tcPr>
          <w:p w14:paraId="5461082D">
            <w:pPr>
              <w:jc w:val="center"/>
              <w:rPr>
                <w:rFonts w:hint="eastAsia" w:ascii="宋体" w:hAnsi="宋体" w:eastAsia="宋体" w:cs="宋体"/>
                <w:sz w:val="21"/>
                <w:szCs w:val="21"/>
              </w:rPr>
            </w:pPr>
            <w:r>
              <w:rPr>
                <w:rFonts w:hint="eastAsia" w:ascii="宋体" w:hAnsi="宋体" w:eastAsia="宋体" w:cs="宋体"/>
                <w:sz w:val="21"/>
                <w:szCs w:val="21"/>
              </w:rPr>
              <w:t>15</w:t>
            </w:r>
          </w:p>
        </w:tc>
        <w:tc>
          <w:tcPr>
            <w:tcW w:w="446" w:type="pct"/>
            <w:vAlign w:val="center"/>
          </w:tcPr>
          <w:p w14:paraId="29838AD4">
            <w:pPr>
              <w:jc w:val="center"/>
              <w:rPr>
                <w:rFonts w:hint="eastAsia" w:ascii="宋体" w:hAnsi="宋体" w:eastAsia="宋体" w:cs="宋体"/>
                <w:sz w:val="21"/>
                <w:szCs w:val="21"/>
              </w:rPr>
            </w:pPr>
            <w:r>
              <w:rPr>
                <w:rFonts w:hint="eastAsia" w:ascii="宋体" w:hAnsi="宋体" w:eastAsia="宋体" w:cs="宋体"/>
                <w:sz w:val="21"/>
                <w:szCs w:val="21"/>
              </w:rPr>
              <w:t>20</w:t>
            </w:r>
          </w:p>
        </w:tc>
        <w:tc>
          <w:tcPr>
            <w:tcW w:w="447" w:type="pct"/>
            <w:vAlign w:val="center"/>
          </w:tcPr>
          <w:p w14:paraId="3671B0BF">
            <w:pPr>
              <w:jc w:val="center"/>
              <w:rPr>
                <w:rFonts w:hint="eastAsia" w:ascii="宋体" w:hAnsi="宋体" w:eastAsia="宋体" w:cs="宋体"/>
                <w:sz w:val="21"/>
                <w:szCs w:val="21"/>
              </w:rPr>
            </w:pPr>
            <w:r>
              <w:rPr>
                <w:rFonts w:hint="eastAsia" w:ascii="宋体" w:hAnsi="宋体" w:eastAsia="宋体" w:cs="宋体"/>
                <w:sz w:val="21"/>
                <w:szCs w:val="21"/>
              </w:rPr>
              <w:t>25</w:t>
            </w:r>
          </w:p>
        </w:tc>
        <w:tc>
          <w:tcPr>
            <w:tcW w:w="446" w:type="pct"/>
            <w:vAlign w:val="center"/>
          </w:tcPr>
          <w:p w14:paraId="42965F09">
            <w:pPr>
              <w:jc w:val="center"/>
              <w:rPr>
                <w:rFonts w:hint="eastAsia" w:ascii="宋体" w:hAnsi="宋体" w:eastAsia="宋体" w:cs="宋体"/>
                <w:sz w:val="21"/>
                <w:szCs w:val="21"/>
              </w:rPr>
            </w:pPr>
            <w:r>
              <w:rPr>
                <w:rFonts w:hint="eastAsia" w:ascii="宋体" w:hAnsi="宋体" w:eastAsia="宋体" w:cs="宋体"/>
                <w:sz w:val="21"/>
                <w:szCs w:val="21"/>
              </w:rPr>
              <w:t>30</w:t>
            </w:r>
          </w:p>
        </w:tc>
        <w:tc>
          <w:tcPr>
            <w:tcW w:w="447" w:type="pct"/>
            <w:vAlign w:val="center"/>
          </w:tcPr>
          <w:p w14:paraId="1DC8B955">
            <w:pPr>
              <w:jc w:val="center"/>
              <w:rPr>
                <w:rFonts w:hint="eastAsia" w:ascii="宋体" w:hAnsi="宋体" w:eastAsia="宋体" w:cs="宋体"/>
                <w:sz w:val="21"/>
                <w:szCs w:val="21"/>
              </w:rPr>
            </w:pPr>
            <w:r>
              <w:rPr>
                <w:rFonts w:hint="eastAsia" w:ascii="宋体" w:hAnsi="宋体" w:eastAsia="宋体" w:cs="宋体"/>
                <w:sz w:val="21"/>
                <w:szCs w:val="21"/>
              </w:rPr>
              <w:t>35</w:t>
            </w:r>
          </w:p>
        </w:tc>
        <w:tc>
          <w:tcPr>
            <w:tcW w:w="447" w:type="pct"/>
            <w:vAlign w:val="center"/>
          </w:tcPr>
          <w:p w14:paraId="387ABC49">
            <w:pPr>
              <w:jc w:val="center"/>
              <w:rPr>
                <w:rFonts w:hint="eastAsia" w:ascii="宋体" w:hAnsi="宋体" w:eastAsia="宋体" w:cs="宋体"/>
                <w:sz w:val="21"/>
                <w:szCs w:val="21"/>
              </w:rPr>
            </w:pPr>
            <w:r>
              <w:rPr>
                <w:rFonts w:hint="eastAsia" w:ascii="宋体" w:hAnsi="宋体" w:eastAsia="宋体" w:cs="宋体"/>
                <w:sz w:val="21"/>
                <w:szCs w:val="21"/>
              </w:rPr>
              <w:t>40</w:t>
            </w:r>
          </w:p>
        </w:tc>
      </w:tr>
      <w:tr w14:paraId="72D8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vAlign w:val="center"/>
          </w:tcPr>
          <w:p w14:paraId="304422DE">
            <w:pPr>
              <w:jc w:val="center"/>
              <w:rPr>
                <w:rFonts w:hint="eastAsia" w:ascii="宋体" w:hAnsi="宋体" w:eastAsia="宋体" w:cs="宋体"/>
                <w:sz w:val="21"/>
                <w:szCs w:val="21"/>
              </w:rPr>
            </w:pPr>
            <w:r>
              <w:rPr>
                <w:rFonts w:hint="eastAsia" w:ascii="宋体" w:hAnsi="宋体" w:eastAsia="宋体" w:cs="宋体"/>
                <w:sz w:val="21"/>
                <w:szCs w:val="21"/>
              </w:rPr>
              <w:t>成绩</w:t>
            </w:r>
          </w:p>
        </w:tc>
        <w:tc>
          <w:tcPr>
            <w:tcW w:w="447" w:type="pct"/>
            <w:vAlign w:val="center"/>
          </w:tcPr>
          <w:p w14:paraId="40FA6C6D">
            <w:pPr>
              <w:jc w:val="center"/>
              <w:rPr>
                <w:rFonts w:hint="eastAsia" w:ascii="宋体" w:hAnsi="宋体" w:eastAsia="宋体" w:cs="宋体"/>
                <w:sz w:val="21"/>
                <w:szCs w:val="21"/>
              </w:rPr>
            </w:pPr>
            <w:r>
              <w:rPr>
                <w:rFonts w:hint="eastAsia" w:ascii="宋体" w:hAnsi="宋体" w:eastAsia="宋体" w:cs="宋体"/>
                <w:sz w:val="21"/>
                <w:szCs w:val="21"/>
              </w:rPr>
              <w:t>0</w:t>
            </w:r>
          </w:p>
        </w:tc>
        <w:tc>
          <w:tcPr>
            <w:tcW w:w="447" w:type="pct"/>
            <w:vAlign w:val="center"/>
          </w:tcPr>
          <w:p w14:paraId="621E59E7">
            <w:pPr>
              <w:jc w:val="center"/>
              <w:rPr>
                <w:rFonts w:hint="eastAsia" w:ascii="宋体" w:hAnsi="宋体" w:eastAsia="宋体" w:cs="宋体"/>
                <w:sz w:val="21"/>
                <w:szCs w:val="21"/>
              </w:rPr>
            </w:pPr>
            <w:r>
              <w:rPr>
                <w:rFonts w:hint="eastAsia" w:ascii="宋体" w:hAnsi="宋体" w:eastAsia="宋体" w:cs="宋体"/>
                <w:sz w:val="21"/>
                <w:szCs w:val="21"/>
              </w:rPr>
              <w:t>12.5</w:t>
            </w:r>
          </w:p>
        </w:tc>
        <w:tc>
          <w:tcPr>
            <w:tcW w:w="446" w:type="pct"/>
            <w:vAlign w:val="center"/>
          </w:tcPr>
          <w:p w14:paraId="416BD79F">
            <w:pPr>
              <w:jc w:val="center"/>
              <w:rPr>
                <w:rFonts w:hint="eastAsia" w:ascii="宋体" w:hAnsi="宋体" w:eastAsia="宋体" w:cs="宋体"/>
                <w:sz w:val="21"/>
                <w:szCs w:val="21"/>
              </w:rPr>
            </w:pPr>
            <w:r>
              <w:rPr>
                <w:rFonts w:hint="eastAsia" w:ascii="宋体" w:hAnsi="宋体" w:eastAsia="宋体" w:cs="宋体"/>
                <w:sz w:val="21"/>
                <w:szCs w:val="21"/>
              </w:rPr>
              <w:t>25</w:t>
            </w:r>
          </w:p>
        </w:tc>
        <w:tc>
          <w:tcPr>
            <w:tcW w:w="447" w:type="pct"/>
            <w:vAlign w:val="center"/>
          </w:tcPr>
          <w:p w14:paraId="613BCD65">
            <w:pPr>
              <w:jc w:val="center"/>
              <w:rPr>
                <w:rFonts w:hint="eastAsia" w:ascii="宋体" w:hAnsi="宋体" w:eastAsia="宋体" w:cs="宋体"/>
                <w:sz w:val="21"/>
                <w:szCs w:val="21"/>
              </w:rPr>
            </w:pPr>
            <w:r>
              <w:rPr>
                <w:rFonts w:hint="eastAsia" w:ascii="宋体" w:hAnsi="宋体" w:eastAsia="宋体" w:cs="宋体"/>
                <w:sz w:val="21"/>
                <w:szCs w:val="21"/>
              </w:rPr>
              <w:t>37.5</w:t>
            </w:r>
          </w:p>
        </w:tc>
        <w:tc>
          <w:tcPr>
            <w:tcW w:w="446" w:type="pct"/>
            <w:vAlign w:val="center"/>
          </w:tcPr>
          <w:p w14:paraId="4E438557">
            <w:pPr>
              <w:jc w:val="center"/>
              <w:rPr>
                <w:rFonts w:hint="eastAsia" w:ascii="宋体" w:hAnsi="宋体" w:eastAsia="宋体" w:cs="宋体"/>
                <w:sz w:val="21"/>
                <w:szCs w:val="21"/>
              </w:rPr>
            </w:pPr>
            <w:r>
              <w:rPr>
                <w:rFonts w:hint="eastAsia" w:ascii="宋体" w:hAnsi="宋体" w:eastAsia="宋体" w:cs="宋体"/>
                <w:sz w:val="21"/>
                <w:szCs w:val="21"/>
              </w:rPr>
              <w:t>50</w:t>
            </w:r>
          </w:p>
        </w:tc>
        <w:tc>
          <w:tcPr>
            <w:tcW w:w="447" w:type="pct"/>
            <w:vAlign w:val="center"/>
          </w:tcPr>
          <w:p w14:paraId="0F5F38CB">
            <w:pPr>
              <w:jc w:val="center"/>
              <w:rPr>
                <w:rFonts w:hint="eastAsia" w:ascii="宋体" w:hAnsi="宋体" w:eastAsia="宋体" w:cs="宋体"/>
                <w:sz w:val="21"/>
                <w:szCs w:val="21"/>
              </w:rPr>
            </w:pPr>
            <w:r>
              <w:rPr>
                <w:rFonts w:hint="eastAsia" w:ascii="宋体" w:hAnsi="宋体" w:eastAsia="宋体" w:cs="宋体"/>
                <w:sz w:val="21"/>
                <w:szCs w:val="21"/>
              </w:rPr>
              <w:t>62.5</w:t>
            </w:r>
          </w:p>
        </w:tc>
        <w:tc>
          <w:tcPr>
            <w:tcW w:w="446" w:type="pct"/>
            <w:vAlign w:val="center"/>
          </w:tcPr>
          <w:p w14:paraId="53128396">
            <w:pPr>
              <w:jc w:val="center"/>
              <w:rPr>
                <w:rFonts w:hint="eastAsia" w:ascii="宋体" w:hAnsi="宋体" w:eastAsia="宋体" w:cs="宋体"/>
                <w:sz w:val="21"/>
                <w:szCs w:val="21"/>
              </w:rPr>
            </w:pPr>
            <w:r>
              <w:rPr>
                <w:rFonts w:hint="eastAsia" w:ascii="宋体" w:hAnsi="宋体" w:eastAsia="宋体" w:cs="宋体"/>
                <w:sz w:val="21"/>
                <w:szCs w:val="21"/>
              </w:rPr>
              <w:t>75</w:t>
            </w:r>
          </w:p>
        </w:tc>
        <w:tc>
          <w:tcPr>
            <w:tcW w:w="447" w:type="pct"/>
            <w:vAlign w:val="center"/>
          </w:tcPr>
          <w:p w14:paraId="084EE20B">
            <w:pPr>
              <w:jc w:val="center"/>
              <w:rPr>
                <w:rFonts w:hint="eastAsia" w:ascii="宋体" w:hAnsi="宋体" w:eastAsia="宋体" w:cs="宋体"/>
                <w:sz w:val="21"/>
                <w:szCs w:val="21"/>
              </w:rPr>
            </w:pPr>
            <w:r>
              <w:rPr>
                <w:rFonts w:hint="eastAsia" w:ascii="宋体" w:hAnsi="宋体" w:eastAsia="宋体" w:cs="宋体"/>
                <w:sz w:val="21"/>
                <w:szCs w:val="21"/>
              </w:rPr>
              <w:t>87.5</w:t>
            </w:r>
          </w:p>
        </w:tc>
        <w:tc>
          <w:tcPr>
            <w:tcW w:w="447" w:type="pct"/>
            <w:vAlign w:val="center"/>
          </w:tcPr>
          <w:p w14:paraId="55427D96">
            <w:pPr>
              <w:jc w:val="center"/>
              <w:rPr>
                <w:rFonts w:hint="eastAsia" w:ascii="宋体" w:hAnsi="宋体" w:eastAsia="宋体" w:cs="宋体"/>
                <w:sz w:val="21"/>
                <w:szCs w:val="21"/>
              </w:rPr>
            </w:pPr>
            <w:r>
              <w:rPr>
                <w:rFonts w:hint="eastAsia" w:ascii="宋体" w:hAnsi="宋体" w:eastAsia="宋体" w:cs="宋体"/>
                <w:sz w:val="21"/>
                <w:szCs w:val="21"/>
              </w:rPr>
              <w:t>100</w:t>
            </w:r>
          </w:p>
        </w:tc>
      </w:tr>
    </w:tbl>
    <w:p w14:paraId="01AA631F">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五、有关说明</w:t>
      </w:r>
    </w:p>
    <w:p w14:paraId="00A95057">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（一）持续改进</w:t>
      </w:r>
    </w:p>
    <w:p w14:paraId="7A7BD64C">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本课程根据学生课外锻炼、体质测试等情况，以及学生、教学督导等反馈，及时对教学中不足之处进行改进，并在下一轮课程教学中整改完善，确保相应毕业要求指标点达成。</w:t>
      </w:r>
    </w:p>
    <w:p w14:paraId="7BD91763">
      <w:pPr>
        <w:spacing w:line="360" w:lineRule="auto"/>
        <w:ind w:firstLine="422" w:firstLineChars="200"/>
        <w:jc w:val="left"/>
        <w:rPr>
          <w:rFonts w:hint="eastAsia" w:ascii="宋体" w:hAnsi="宋体" w:eastAsia="宋体" w:cs="宋体"/>
          <w:sz w:val="21"/>
          <w:szCs w:val="21"/>
        </w:rPr>
      </w:pPr>
      <w:r>
        <w:rPr>
          <w:rFonts w:hint="eastAsia" w:ascii="宋体" w:hAnsi="宋体" w:eastAsia="宋体" w:cs="宋体"/>
          <w:b/>
          <w:sz w:val="21"/>
          <w:szCs w:val="21"/>
        </w:rPr>
        <w:t>（二）教学参考书</w:t>
      </w:r>
    </w:p>
    <w:p w14:paraId="4127E01A">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1.毛振明.大学体育文化与实技教程[M].沈阳：东北大学出版社，2013.</w:t>
      </w:r>
    </w:p>
    <w:p w14:paraId="31CD17CB">
      <w:pPr>
        <w:wordWrap w:val="0"/>
        <w:spacing w:line="360" w:lineRule="exact"/>
        <w:jc w:val="right"/>
        <w:rPr>
          <w:rFonts w:hint="eastAsia" w:ascii="宋体" w:hAnsi="宋体" w:eastAsia="宋体" w:cs="宋体"/>
          <w:sz w:val="21"/>
          <w:szCs w:val="21"/>
        </w:rPr>
      </w:pPr>
      <w:r>
        <w:rPr>
          <w:rFonts w:hint="eastAsia" w:ascii="宋体" w:hAnsi="宋体" w:eastAsia="宋体" w:cs="宋体"/>
          <w:sz w:val="21"/>
          <w:szCs w:val="21"/>
        </w:rPr>
        <w:t xml:space="preserve">                                                       执笔人：顾  宏</w:t>
      </w:r>
    </w:p>
    <w:p w14:paraId="24169220">
      <w:pPr>
        <w:spacing w:line="360" w:lineRule="exact"/>
        <w:ind w:firstLine="420" w:firstLineChars="200"/>
        <w:jc w:val="right"/>
        <w:rPr>
          <w:rFonts w:hint="eastAsia" w:ascii="宋体" w:hAnsi="宋体" w:eastAsia="宋体" w:cs="宋体"/>
          <w:sz w:val="21"/>
          <w:szCs w:val="21"/>
        </w:rPr>
      </w:pPr>
      <w:r>
        <w:rPr>
          <w:rFonts w:hint="eastAsia" w:ascii="宋体" w:hAnsi="宋体" w:eastAsia="宋体" w:cs="宋体"/>
          <w:sz w:val="21"/>
          <w:szCs w:val="21"/>
        </w:rPr>
        <w:t>审定人：方曙光</w:t>
      </w:r>
    </w:p>
    <w:p w14:paraId="10F0A521">
      <w:pPr>
        <w:spacing w:line="360" w:lineRule="exact"/>
        <w:jc w:val="right"/>
        <w:rPr>
          <w:rFonts w:hint="eastAsia" w:ascii="宋体" w:hAnsi="宋体" w:eastAsia="宋体" w:cs="宋体"/>
          <w:sz w:val="21"/>
          <w:szCs w:val="21"/>
        </w:rPr>
      </w:pPr>
      <w:r>
        <w:rPr>
          <w:rFonts w:hint="eastAsia" w:ascii="宋体" w:hAnsi="宋体" w:eastAsia="宋体" w:cs="宋体"/>
          <w:sz w:val="21"/>
          <w:szCs w:val="21"/>
        </w:rPr>
        <w:t>批准人：王红福</w:t>
      </w:r>
    </w:p>
    <w:p w14:paraId="7AFB8BBF">
      <w:pPr>
        <w:spacing w:line="360" w:lineRule="exact"/>
        <w:ind w:firstLine="420" w:firstLineChars="200"/>
        <w:jc w:val="right"/>
        <w:rPr>
          <w:rFonts w:hint="eastAsia" w:ascii="宋体" w:hAnsi="宋体" w:eastAsia="宋体" w:cs="宋体"/>
          <w:sz w:val="21"/>
          <w:szCs w:val="21"/>
          <w:lang w:eastAsia="zh-CN"/>
        </w:rPr>
      </w:pPr>
      <w:r>
        <w:rPr>
          <w:rFonts w:hint="eastAsia" w:ascii="宋体" w:hAnsi="宋体" w:eastAsia="宋体" w:cs="宋体"/>
          <w:sz w:val="21"/>
          <w:szCs w:val="21"/>
          <w:lang w:eastAsia="zh-CN"/>
        </w:rPr>
        <w:t>批准时间：2025年7月1日</w:t>
      </w:r>
    </w:p>
    <w:p w14:paraId="34FB506D">
      <w:pPr>
        <w:spacing w:line="360" w:lineRule="exact"/>
        <w:jc w:val="left"/>
        <w:rPr>
          <w:rFonts w:hint="default" w:ascii="宋体" w:hAnsi="宋体" w:eastAsia="宋体" w:cs="宋体"/>
          <w:color w:val="auto"/>
          <w:sz w:val="24"/>
          <w:lang w:val="en-US" w:eastAsia="zh-CN"/>
        </w:rPr>
      </w:pPr>
    </w:p>
    <w:p w14:paraId="74D6247B">
      <w:pPr>
        <w:rPr>
          <w:rFonts w:hint="eastAsia" w:ascii="仿宋" w:hAnsi="仿宋" w:eastAsia="仿宋"/>
          <w:b/>
          <w:bCs/>
          <w:color w:val="auto"/>
          <w:sz w:val="30"/>
        </w:rPr>
      </w:pPr>
      <w:r>
        <w:rPr>
          <w:rFonts w:hint="eastAsia" w:ascii="宋体" w:hAnsi="宋体" w:eastAsia="宋体" w:cs="宋体"/>
          <w:color w:val="auto"/>
          <w:sz w:val="24"/>
        </w:rPr>
        <w:br w:type="page"/>
      </w:r>
    </w:p>
    <w:p w14:paraId="56428296">
      <w:pPr>
        <w:spacing w:line="360" w:lineRule="auto"/>
        <w:jc w:val="center"/>
        <w:outlineLvl w:val="0"/>
        <w:rPr>
          <w:rFonts w:hint="default" w:ascii="Times New Roman" w:hAnsi="Times New Roman" w:eastAsia="宋体" w:cs="Times New Roman"/>
          <w:b/>
          <w:sz w:val="44"/>
          <w:szCs w:val="44"/>
        </w:rPr>
      </w:pPr>
      <w:bookmarkStart w:id="30" w:name="_Toc23197"/>
      <w:bookmarkStart w:id="31" w:name="_Toc24621"/>
      <w:r>
        <w:rPr>
          <w:rFonts w:hint="default" w:ascii="Times New Roman" w:hAnsi="Times New Roman" w:eastAsia="宋体" w:cs="Times New Roman"/>
          <w:b/>
          <w:sz w:val="44"/>
          <w:szCs w:val="44"/>
        </w:rPr>
        <w:t>《体育Ⅵ》课程教学大纲</w:t>
      </w:r>
      <w:bookmarkEnd w:id="30"/>
      <w:bookmarkEnd w:id="31"/>
    </w:p>
    <w:p w14:paraId="509890BA">
      <w:pPr>
        <w:spacing w:line="360" w:lineRule="auto"/>
        <w:jc w:val="cente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（Physical  Education Ⅵ）</w:t>
      </w:r>
    </w:p>
    <w:p w14:paraId="03F9A8EF">
      <w:pPr>
        <w:spacing w:line="360" w:lineRule="auto"/>
        <w:ind w:firstLine="482" w:firstLineChars="200"/>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课程名称：体育VI</w:t>
      </w:r>
    </w:p>
    <w:p w14:paraId="08D495C2">
      <w:pPr>
        <w:spacing w:line="360" w:lineRule="auto"/>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kern w:val="0"/>
          <w:sz w:val="24"/>
          <w:szCs w:val="24"/>
        </w:rPr>
        <w:t>课程代码：1103010</w:t>
      </w:r>
    </w:p>
    <w:p w14:paraId="5E81EB26">
      <w:pPr>
        <w:spacing w:line="360" w:lineRule="auto"/>
        <w:ind w:firstLine="482" w:firstLineChars="200"/>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学    分：0.5</w:t>
      </w:r>
    </w:p>
    <w:p w14:paraId="3926E912">
      <w:pPr>
        <w:spacing w:line="360" w:lineRule="auto"/>
        <w:ind w:firstLine="482" w:firstLineChars="200"/>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学    时：18</w:t>
      </w:r>
    </w:p>
    <w:p w14:paraId="24C83055">
      <w:pPr>
        <w:spacing w:line="360" w:lineRule="auto"/>
        <w:ind w:firstLine="482" w:firstLineChars="200"/>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先修课程：体育选项课</w:t>
      </w:r>
    </w:p>
    <w:p w14:paraId="2EF2E9B9">
      <w:pPr>
        <w:spacing w:line="360" w:lineRule="auto"/>
        <w:ind w:firstLine="482" w:firstLineChars="200"/>
        <w:rPr>
          <w:rFonts w:hint="eastAsia" w:ascii="宋体" w:hAnsi="宋体" w:eastAsia="宋体" w:cs="宋体"/>
          <w:b/>
          <w:bCs/>
          <w:kern w:val="0"/>
          <w:sz w:val="24"/>
          <w:szCs w:val="24"/>
        </w:rPr>
      </w:pPr>
      <w:r>
        <w:rPr>
          <w:rFonts w:hint="default" w:ascii="Times New Roman" w:hAnsi="Times New Roman" w:eastAsia="宋体" w:cs="Times New Roman"/>
          <w:b/>
          <w:bCs/>
          <w:kern w:val="0"/>
          <w:sz w:val="24"/>
          <w:szCs w:val="24"/>
        </w:rPr>
        <w:t xml:space="preserve">适用专业：全校各专业  </w:t>
      </w:r>
      <w:r>
        <w:rPr>
          <w:rFonts w:hint="eastAsia" w:ascii="宋体" w:hAnsi="宋体" w:eastAsia="宋体" w:cs="宋体"/>
          <w:b/>
          <w:bCs/>
          <w:kern w:val="0"/>
          <w:sz w:val="24"/>
          <w:szCs w:val="24"/>
        </w:rPr>
        <w:t xml:space="preserve">                      </w:t>
      </w:r>
    </w:p>
    <w:p w14:paraId="468851D6">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kern w:val="0"/>
          <w:sz w:val="21"/>
          <w:szCs w:val="21"/>
        </w:rPr>
      </w:pPr>
      <w:r>
        <w:rPr>
          <w:rFonts w:hint="eastAsia" w:ascii="宋体" w:hAnsi="宋体" w:eastAsia="宋体" w:cs="宋体"/>
          <w:b/>
          <w:bCs/>
          <w:color w:val="auto"/>
          <w:kern w:val="0"/>
          <w:sz w:val="24"/>
          <w:szCs w:val="24"/>
          <w:lang w:val="en-US" w:eastAsia="zh-CN"/>
        </w:rPr>
        <w:t>一、课程简介</w:t>
      </w:r>
    </w:p>
    <w:p w14:paraId="4B76DEB9">
      <w:pPr>
        <w:autoSpaceDE w:val="0"/>
        <w:autoSpaceDN w:val="0"/>
        <w:adjustRightIn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本课程是面向全校各专业开设的以身体练习为主要手段，以培养学生体育人文素养和塑造健全人格为主要目的，以提高学生体质健康水平为主要目标的通识必修课。其教学安排在第三学年第五学期进行。课程主要采用线上+线下、自主锻炼、体质测试和课外体育俱乐部等组织形式作为本课程重要组成部分，从而巩固课内学习效果，培养学生自我锻炼意识和习惯。</w:t>
      </w:r>
    </w:p>
    <w:p w14:paraId="2A4B3F1E">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通过本课程的学习，实现大学3年体育课程教育，大学4年学生不间断体育健身与体能活动；实现体育教学、群体活动、体育竞赛协同发展；使学生掌握科学锻炼的基础知识、基本技能和有效方法，学会至少两项终身受益的体育锻炼项目，养成良好的锻炼习惯，为终身体育打下良好的基础。</w:t>
      </w:r>
    </w:p>
    <w:p w14:paraId="383ABBF3">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二、课程目标</w:t>
      </w:r>
    </w:p>
    <w:p w14:paraId="0E401943">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爱好并积极参与各种体育活动，全面发展体能，能正确评价和测试自己的身体体质与健康状况，能够编制可行的个人锻炼计划。树立“健康第一”思想和正确的体育道德观，养成健康的生活方式，具有健康的体魄。学会运用适宜的方法调节自己的情绪，积极调整和改善自己的心理现状，在体育锻炼中体验运动的乐趣和成功的感觉，增强与他人交流沟通、团结合作的能力，正确处理好竞争与合作的关系，提高社会适应能力。</w:t>
      </w:r>
    </w:p>
    <w:p w14:paraId="4C15DA62">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本课程支撑专业培养方案中毕业要求</w:t>
      </w: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6</w:t>
      </w:r>
      <w:r>
        <w:rPr>
          <w:rFonts w:hint="eastAsia" w:ascii="宋体" w:hAnsi="宋体" w:eastAsia="宋体" w:cs="宋体"/>
          <w:sz w:val="21"/>
          <w:szCs w:val="21"/>
        </w:rPr>
        <w:t>(不同专业会略有区别，具体见培养方案中的毕业要求实现矩阵)，对应关系如下表所示。</w:t>
      </w:r>
    </w:p>
    <w:tbl>
      <w:tblPr>
        <w:tblStyle w:val="16"/>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6398"/>
        <w:gridCol w:w="1189"/>
      </w:tblGrid>
      <w:tr w14:paraId="1C54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387" w:type="dxa"/>
            <w:vAlign w:val="center"/>
          </w:tcPr>
          <w:p w14:paraId="7D67C088">
            <w:pPr>
              <w:jc w:val="center"/>
              <w:rPr>
                <w:rFonts w:hint="eastAsia" w:ascii="宋体" w:hAnsi="宋体" w:eastAsia="宋体" w:cs="宋体"/>
                <w:b/>
                <w:bCs/>
              </w:rPr>
            </w:pPr>
            <w:r>
              <w:rPr>
                <w:rFonts w:hint="eastAsia" w:ascii="宋体" w:hAnsi="宋体" w:eastAsia="宋体" w:cs="宋体"/>
                <w:b/>
                <w:bCs/>
              </w:rPr>
              <w:t>毕业要求2</w:t>
            </w:r>
          </w:p>
          <w:p w14:paraId="105226EF">
            <w:pPr>
              <w:jc w:val="center"/>
              <w:rPr>
                <w:rFonts w:hint="eastAsia" w:ascii="宋体" w:hAnsi="宋体" w:eastAsia="宋体" w:cs="宋体"/>
                <w:b/>
                <w:bCs/>
              </w:rPr>
            </w:pPr>
            <w:r>
              <w:rPr>
                <w:rFonts w:hint="eastAsia" w:ascii="宋体" w:hAnsi="宋体" w:eastAsia="宋体" w:cs="宋体"/>
                <w:b/>
                <w:bCs/>
              </w:rPr>
              <w:t>教育情怀</w:t>
            </w:r>
          </w:p>
        </w:tc>
        <w:tc>
          <w:tcPr>
            <w:tcW w:w="6398" w:type="dxa"/>
            <w:vAlign w:val="center"/>
          </w:tcPr>
          <w:p w14:paraId="3AAC4650">
            <w:pPr>
              <w:rPr>
                <w:rFonts w:hint="eastAsia" w:ascii="宋体" w:hAnsi="宋体" w:eastAsia="宋体" w:cs="宋体"/>
                <w:b w:val="0"/>
                <w:bCs w:val="0"/>
              </w:rPr>
            </w:pPr>
            <w:r>
              <w:rPr>
                <w:rFonts w:hint="eastAsia" w:ascii="宋体" w:hAnsi="宋体" w:eastAsia="宋体" w:cs="宋体"/>
                <w:b/>
                <w:bCs w:val="0"/>
                <w:lang w:eastAsia="zh-CN"/>
              </w:rPr>
              <w:t>指标点2-3</w:t>
            </w:r>
            <w:r>
              <w:rPr>
                <w:rFonts w:hint="eastAsia" w:ascii="宋体" w:hAnsi="宋体" w:eastAsia="宋体" w:cs="宋体"/>
                <w:b w:val="0"/>
                <w:bCs w:val="0"/>
              </w:rPr>
              <w:t>：【自身修养良好】具有较好的人文艺术底蕴与科学精神，言行举止符合教师职业标准，情感积极，人格健全，身心健康。</w:t>
            </w:r>
          </w:p>
        </w:tc>
        <w:tc>
          <w:tcPr>
            <w:tcW w:w="1189" w:type="dxa"/>
            <w:vAlign w:val="center"/>
          </w:tcPr>
          <w:p w14:paraId="7E123A55">
            <w:pPr>
              <w:rPr>
                <w:rFonts w:hint="eastAsia" w:ascii="宋体" w:hAnsi="宋体" w:eastAsia="宋体" w:cs="宋体"/>
                <w:lang w:eastAsia="zh"/>
              </w:rPr>
            </w:pPr>
            <w:r>
              <w:rPr>
                <w:rFonts w:hint="eastAsia" w:ascii="宋体" w:hAnsi="宋体" w:eastAsia="宋体" w:cs="宋体"/>
              </w:rPr>
              <w:t>课程目标</w:t>
            </w:r>
            <w:r>
              <w:rPr>
                <w:rFonts w:hint="eastAsia" w:ascii="宋体" w:hAnsi="宋体" w:eastAsia="宋体" w:cs="宋体"/>
                <w:lang w:eastAsia="zh"/>
              </w:rPr>
              <w:t>1</w:t>
            </w:r>
          </w:p>
        </w:tc>
      </w:tr>
      <w:tr w14:paraId="37F7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Align w:val="center"/>
          </w:tcPr>
          <w:p w14:paraId="7D9BDEBC">
            <w:pPr>
              <w:jc w:val="center"/>
              <w:rPr>
                <w:rFonts w:hint="eastAsia" w:ascii="宋体" w:hAnsi="宋体" w:eastAsia="宋体" w:cs="宋体"/>
                <w:b/>
                <w:bCs/>
              </w:rPr>
            </w:pPr>
            <w:r>
              <w:rPr>
                <w:rFonts w:hint="eastAsia" w:ascii="宋体" w:hAnsi="宋体" w:eastAsia="宋体" w:cs="宋体"/>
                <w:b/>
                <w:bCs/>
              </w:rPr>
              <w:t>毕业要求6</w:t>
            </w:r>
          </w:p>
          <w:p w14:paraId="5FBCBF64">
            <w:pPr>
              <w:jc w:val="center"/>
              <w:rPr>
                <w:rFonts w:hint="eastAsia" w:ascii="宋体" w:hAnsi="宋体" w:eastAsia="宋体" w:cs="宋体"/>
                <w:b/>
                <w:bCs/>
              </w:rPr>
            </w:pPr>
            <w:r>
              <w:rPr>
                <w:rFonts w:hint="eastAsia" w:ascii="宋体" w:hAnsi="宋体" w:eastAsia="宋体" w:cs="宋体"/>
                <w:b/>
                <w:bCs/>
              </w:rPr>
              <w:t>综合育人</w:t>
            </w:r>
          </w:p>
        </w:tc>
        <w:tc>
          <w:tcPr>
            <w:tcW w:w="6398" w:type="dxa"/>
            <w:vAlign w:val="center"/>
          </w:tcPr>
          <w:p w14:paraId="67074B26">
            <w:pPr>
              <w:rPr>
                <w:rFonts w:hint="eastAsia" w:ascii="宋体" w:hAnsi="宋体" w:eastAsia="宋体" w:cs="宋体"/>
                <w:b w:val="0"/>
                <w:bCs w:val="0"/>
              </w:rPr>
            </w:pPr>
            <w:r>
              <w:rPr>
                <w:rFonts w:hint="eastAsia" w:ascii="宋体" w:hAnsi="宋体" w:eastAsia="宋体" w:cs="宋体"/>
                <w:b/>
                <w:bCs w:val="0"/>
                <w:lang w:eastAsia="zh-CN"/>
              </w:rPr>
              <w:t>指标点6-3</w:t>
            </w:r>
            <w:r>
              <w:rPr>
                <w:rFonts w:hint="eastAsia" w:ascii="宋体" w:hAnsi="宋体" w:eastAsia="宋体" w:cs="宋体"/>
                <w:b w:val="0"/>
                <w:bCs w:val="0"/>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189" w:type="dxa"/>
            <w:vAlign w:val="center"/>
          </w:tcPr>
          <w:p w14:paraId="1DDAD942">
            <w:pPr>
              <w:rPr>
                <w:rFonts w:hint="eastAsia" w:ascii="宋体" w:hAnsi="宋体" w:eastAsia="宋体" w:cs="宋体"/>
              </w:rPr>
            </w:pPr>
            <w:r>
              <w:rPr>
                <w:rFonts w:hint="eastAsia" w:ascii="宋体" w:hAnsi="宋体" w:eastAsia="宋体" w:cs="宋体"/>
              </w:rPr>
              <w:t>课程目标1</w:t>
            </w:r>
          </w:p>
          <w:p w14:paraId="6FCD7464">
            <w:pPr>
              <w:rPr>
                <w:rFonts w:hint="eastAsia" w:ascii="宋体" w:hAnsi="宋体" w:eastAsia="宋体" w:cs="宋体"/>
              </w:rPr>
            </w:pPr>
            <w:r>
              <w:rPr>
                <w:rFonts w:hint="eastAsia" w:ascii="宋体" w:hAnsi="宋体" w:eastAsia="宋体" w:cs="宋体"/>
              </w:rPr>
              <w:t>课程目标2</w:t>
            </w:r>
          </w:p>
        </w:tc>
      </w:tr>
    </w:tbl>
    <w:p w14:paraId="1EE4305D">
      <w:pPr>
        <w:numPr>
          <w:ilvl w:val="0"/>
          <w:numId w:val="8"/>
        </w:numPr>
        <w:spacing w:before="62" w:beforeLines="20" w:after="62" w:afterLines="20" w:line="360" w:lineRule="auto"/>
        <w:ind w:left="0" w:leftChars="0" w:firstLine="0" w:firstLineChars="0"/>
        <w:jc w:val="left"/>
        <w:rPr>
          <w:rFonts w:hint="eastAsia" w:ascii="Times New Roman" w:hAnsi="Times New Roman" w:eastAsia="宋体" w:cs="Times New Roman"/>
          <w:b/>
          <w:sz w:val="24"/>
        </w:rPr>
      </w:pPr>
      <w:r>
        <w:rPr>
          <w:rFonts w:hint="eastAsia" w:ascii="Times New Roman" w:hAnsi="Times New Roman" w:eastAsia="宋体" w:cs="Times New Roman"/>
          <w:b/>
          <w:sz w:val="24"/>
        </w:rPr>
        <w:t>教学内容与预期学习成效</w:t>
      </w: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4027"/>
        <w:gridCol w:w="2706"/>
        <w:gridCol w:w="780"/>
        <w:gridCol w:w="951"/>
      </w:tblGrid>
      <w:tr w14:paraId="44B0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Align w:val="center"/>
          </w:tcPr>
          <w:p w14:paraId="69190704">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219" w:type="pct"/>
            <w:vAlign w:val="center"/>
          </w:tcPr>
          <w:p w14:paraId="4074B513">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教学内容</w:t>
            </w:r>
          </w:p>
        </w:tc>
        <w:tc>
          <w:tcPr>
            <w:tcW w:w="1491" w:type="pct"/>
            <w:vAlign w:val="center"/>
          </w:tcPr>
          <w:p w14:paraId="18B8D693">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预期学习成果</w:t>
            </w:r>
          </w:p>
        </w:tc>
        <w:tc>
          <w:tcPr>
            <w:tcW w:w="430" w:type="pct"/>
            <w:vAlign w:val="center"/>
          </w:tcPr>
          <w:p w14:paraId="17727859">
            <w:pPr>
              <w:jc w:val="center"/>
              <w:rPr>
                <w:rFonts w:hint="eastAsia" w:ascii="宋体" w:hAnsi="宋体" w:eastAsia="宋体" w:cs="宋体"/>
                <w:b/>
                <w:bCs/>
                <w:sz w:val="21"/>
                <w:szCs w:val="21"/>
              </w:rPr>
            </w:pPr>
            <w:r>
              <w:rPr>
                <w:rFonts w:hint="eastAsia" w:ascii="宋体" w:hAnsi="宋体" w:eastAsia="宋体" w:cs="宋体"/>
                <w:b/>
                <w:bCs/>
                <w:sz w:val="21"/>
                <w:szCs w:val="21"/>
              </w:rPr>
              <w:t>教学学时</w:t>
            </w:r>
          </w:p>
        </w:tc>
        <w:tc>
          <w:tcPr>
            <w:tcW w:w="523" w:type="pct"/>
            <w:vAlign w:val="center"/>
          </w:tcPr>
          <w:p w14:paraId="407B8127">
            <w:pPr>
              <w:jc w:val="center"/>
              <w:rPr>
                <w:rFonts w:hint="eastAsia" w:ascii="宋体" w:hAnsi="宋体" w:eastAsia="宋体" w:cs="宋体"/>
                <w:b/>
                <w:bCs/>
                <w:sz w:val="21"/>
                <w:szCs w:val="21"/>
              </w:rPr>
            </w:pPr>
            <w:r>
              <w:rPr>
                <w:rFonts w:hint="eastAsia" w:ascii="宋体" w:hAnsi="宋体" w:eastAsia="宋体" w:cs="宋体"/>
                <w:b/>
                <w:bCs/>
                <w:sz w:val="21"/>
                <w:szCs w:val="21"/>
              </w:rPr>
              <w:t>教学</w:t>
            </w:r>
          </w:p>
          <w:p w14:paraId="7CE9B769">
            <w:pPr>
              <w:jc w:val="center"/>
              <w:rPr>
                <w:rFonts w:hint="eastAsia" w:ascii="宋体" w:hAnsi="宋体" w:eastAsia="宋体" w:cs="宋体"/>
                <w:b/>
                <w:bCs/>
                <w:sz w:val="21"/>
                <w:szCs w:val="21"/>
              </w:rPr>
            </w:pPr>
            <w:r>
              <w:rPr>
                <w:rFonts w:hint="eastAsia" w:ascii="宋体" w:hAnsi="宋体" w:eastAsia="宋体" w:cs="宋体"/>
                <w:b/>
                <w:bCs/>
                <w:sz w:val="21"/>
                <w:szCs w:val="21"/>
              </w:rPr>
              <w:t>方式</w:t>
            </w:r>
          </w:p>
        </w:tc>
      </w:tr>
      <w:tr w14:paraId="0D9D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2782BD25">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219" w:type="pct"/>
            <w:vAlign w:val="center"/>
          </w:tcPr>
          <w:p w14:paraId="61BAC5F7">
            <w:pPr>
              <w:jc w:val="left"/>
              <w:rPr>
                <w:rFonts w:hint="eastAsia" w:ascii="宋体" w:hAnsi="宋体" w:eastAsia="宋体" w:cs="宋体"/>
                <w:b/>
                <w:color w:val="auto"/>
                <w:szCs w:val="21"/>
              </w:rPr>
            </w:pPr>
            <w:r>
              <w:rPr>
                <w:rFonts w:hint="eastAsia" w:ascii="宋体" w:hAnsi="宋体" w:eastAsia="宋体" w:cs="宋体"/>
                <w:b/>
                <w:color w:val="auto"/>
                <w:szCs w:val="21"/>
              </w:rPr>
              <w:t>㈠体育理论部分:</w:t>
            </w:r>
          </w:p>
          <w:p w14:paraId="41AF3562">
            <w:pPr>
              <w:jc w:val="left"/>
              <w:rPr>
                <w:rFonts w:hint="eastAsia" w:ascii="宋体" w:hAnsi="宋体" w:eastAsia="宋体" w:cs="宋体"/>
                <w:bCs/>
                <w:color w:val="auto"/>
                <w:szCs w:val="22"/>
              </w:rPr>
            </w:pPr>
            <w:r>
              <w:rPr>
                <w:rFonts w:hint="eastAsia" w:ascii="宋体" w:hAnsi="宋体" w:eastAsia="宋体" w:cs="宋体"/>
                <w:bCs/>
                <w:color w:val="auto"/>
                <w:szCs w:val="22"/>
              </w:rPr>
              <w:t>1.学生思想政治教育：我校体育运动发展概况、国家领导人与体育、奥运明星的励志故事、社会主义核心价值观与体育等；</w:t>
            </w:r>
          </w:p>
          <w:p w14:paraId="29F3954A">
            <w:pPr>
              <w:jc w:val="left"/>
              <w:rPr>
                <w:rFonts w:hint="eastAsia" w:ascii="宋体" w:hAnsi="宋体" w:eastAsia="宋体" w:cs="宋体"/>
                <w:color w:val="auto"/>
                <w:szCs w:val="22"/>
              </w:rPr>
            </w:pPr>
            <w:r>
              <w:rPr>
                <w:rFonts w:hint="eastAsia" w:ascii="宋体" w:hAnsi="宋体" w:eastAsia="宋体" w:cs="宋体"/>
                <w:bCs/>
                <w:color w:val="auto"/>
                <w:szCs w:val="22"/>
              </w:rPr>
              <w:t>2.</w:t>
            </w:r>
            <w:r>
              <w:rPr>
                <w:rFonts w:hint="eastAsia" w:ascii="宋体" w:hAnsi="宋体" w:eastAsia="宋体" w:cs="宋体"/>
                <w:color w:val="auto"/>
                <w:szCs w:val="22"/>
              </w:rPr>
              <w:t>体育安全教育：体育运动伤害事故的安全教育及预防与处理措施、常见运动损伤的预防与处理等；</w:t>
            </w:r>
          </w:p>
          <w:p w14:paraId="0100B871">
            <w:pPr>
              <w:jc w:val="left"/>
              <w:rPr>
                <w:rFonts w:hint="eastAsia" w:ascii="宋体" w:hAnsi="宋体" w:eastAsia="宋体" w:cs="宋体"/>
                <w:color w:val="auto"/>
                <w:kern w:val="0"/>
                <w:sz w:val="21"/>
                <w:szCs w:val="21"/>
                <w:lang w:eastAsia="zh-CN"/>
              </w:rPr>
            </w:pPr>
            <w:r>
              <w:rPr>
                <w:rFonts w:hint="eastAsia" w:ascii="宋体" w:hAnsi="宋体" w:eastAsia="宋体" w:cs="宋体"/>
                <w:color w:val="auto"/>
                <w:szCs w:val="22"/>
              </w:rPr>
              <w:t>3.体育基本理论：各运动项目的基本技战术知识、组织与竞赛、基本规则和裁判法，运动健身的基本原理与锻炼方法，体育锻炼的自我监督与评价，体育养生与保健知识等；</w:t>
            </w:r>
          </w:p>
        </w:tc>
        <w:tc>
          <w:tcPr>
            <w:tcW w:w="1491" w:type="pct"/>
            <w:vAlign w:val="center"/>
          </w:tcPr>
          <w:p w14:paraId="5B3873E1">
            <w:pPr>
              <w:autoSpaceDE w:val="0"/>
              <w:autoSpaceDN w:val="0"/>
              <w:adjustRightInd w:val="0"/>
              <w:jc w:val="left"/>
              <w:rPr>
                <w:rFonts w:hint="eastAsia" w:ascii="宋体" w:hAnsi="宋体" w:eastAsia="宋体" w:cs="宋体"/>
                <w:color w:val="auto"/>
                <w:kern w:val="0"/>
                <w:sz w:val="21"/>
                <w:szCs w:val="21"/>
              </w:rPr>
            </w:pPr>
            <w:r>
              <w:rPr>
                <w:rFonts w:hint="eastAsia" w:ascii="宋体" w:hAnsi="宋体" w:eastAsia="宋体" w:cs="宋体"/>
                <w:color w:val="auto"/>
                <w:kern w:val="0"/>
                <w:szCs w:val="21"/>
              </w:rPr>
              <w:t>通过教学，提高对体育的正确认识，形成正确积极的体育态度，学会运用科学理论指导健身锻炼实际，从而自觉遵循体育运动的规律，实现体育锻炼的目的。</w:t>
            </w:r>
          </w:p>
        </w:tc>
        <w:tc>
          <w:tcPr>
            <w:tcW w:w="430" w:type="pct"/>
            <w:vAlign w:val="center"/>
          </w:tcPr>
          <w:p w14:paraId="7BBCB9DD">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523" w:type="pct"/>
            <w:vAlign w:val="center"/>
          </w:tcPr>
          <w:p w14:paraId="13760309">
            <w:pPr>
              <w:jc w:val="left"/>
              <w:rPr>
                <w:rFonts w:hint="eastAsia" w:ascii="宋体" w:hAnsi="宋体" w:eastAsia="宋体" w:cs="宋体"/>
                <w:color w:val="auto"/>
                <w:sz w:val="21"/>
                <w:szCs w:val="21"/>
              </w:rPr>
            </w:pPr>
            <w:r>
              <w:rPr>
                <w:rFonts w:hint="eastAsia" w:ascii="宋体" w:hAnsi="宋体" w:eastAsia="宋体" w:cs="宋体"/>
                <w:color w:val="auto"/>
                <w:sz w:val="21"/>
                <w:szCs w:val="21"/>
              </w:rPr>
              <w:t>讲授法</w:t>
            </w:r>
          </w:p>
        </w:tc>
      </w:tr>
      <w:tr w14:paraId="29BA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2834B84F">
            <w:pPr>
              <w:jc w:val="center"/>
              <w:rPr>
                <w:rFonts w:hint="eastAsia" w:ascii="宋体" w:hAnsi="宋体" w:eastAsia="宋体" w:cs="宋体"/>
                <w:color w:val="auto"/>
                <w:sz w:val="21"/>
                <w:szCs w:val="21"/>
              </w:rPr>
            </w:pPr>
          </w:p>
        </w:tc>
        <w:tc>
          <w:tcPr>
            <w:tcW w:w="4664" w:type="pct"/>
            <w:gridSpan w:val="4"/>
            <w:vAlign w:val="center"/>
          </w:tcPr>
          <w:p w14:paraId="736A6D21">
            <w:pPr>
              <w:jc w:val="both"/>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rPr>
              <w:t>思政元素</w:t>
            </w:r>
            <w:r>
              <w:rPr>
                <w:rFonts w:hint="eastAsia" w:ascii="宋体" w:hAnsi="宋体" w:eastAsia="宋体" w:cs="宋体"/>
                <w:b/>
                <w:bCs/>
                <w:color w:val="auto"/>
                <w:sz w:val="21"/>
                <w:szCs w:val="21"/>
                <w:lang w:eastAsia="zh-CN"/>
              </w:rPr>
              <w:t>：</w:t>
            </w:r>
            <w:r>
              <w:rPr>
                <w:rFonts w:hint="eastAsia" w:ascii="宋体" w:hAnsi="宋体" w:eastAsia="宋体" w:cs="宋体"/>
                <w:color w:val="auto"/>
                <w:kern w:val="0"/>
                <w:sz w:val="21"/>
                <w:szCs w:val="21"/>
              </w:rPr>
              <w:t>理想信念、国家认同和社会主义核心价值观等教育；安全意识、健康意识教育</w:t>
            </w:r>
          </w:p>
        </w:tc>
      </w:tr>
      <w:tr w14:paraId="411E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2085B88F">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219" w:type="pct"/>
            <w:vAlign w:val="center"/>
          </w:tcPr>
          <w:p w14:paraId="5F07A5A2">
            <w:pPr>
              <w:jc w:val="left"/>
              <w:rPr>
                <w:rFonts w:hint="eastAsia" w:ascii="宋体" w:hAnsi="宋体" w:eastAsia="宋体" w:cs="宋体"/>
                <w:b/>
                <w:color w:val="auto"/>
                <w:szCs w:val="21"/>
              </w:rPr>
            </w:pPr>
            <w:r>
              <w:rPr>
                <w:rFonts w:hint="eastAsia" w:ascii="宋体" w:hAnsi="宋体" w:eastAsia="宋体" w:cs="宋体"/>
                <w:b/>
                <w:color w:val="auto"/>
                <w:szCs w:val="21"/>
              </w:rPr>
              <w:t>㈡实践部分：</w:t>
            </w:r>
          </w:p>
          <w:p w14:paraId="52CC18B0">
            <w:pPr>
              <w:rPr>
                <w:rFonts w:hint="eastAsia" w:ascii="宋体" w:hAnsi="宋体" w:eastAsia="宋体" w:cs="宋体"/>
                <w:color w:val="auto"/>
                <w:kern w:val="0"/>
                <w:sz w:val="21"/>
                <w:szCs w:val="21"/>
              </w:rPr>
            </w:pPr>
            <w:r>
              <w:rPr>
                <w:rFonts w:hint="eastAsia" w:ascii="宋体" w:hAnsi="宋体" w:eastAsia="宋体" w:cs="宋体"/>
                <w:bCs/>
                <w:color w:val="auto"/>
                <w:szCs w:val="22"/>
              </w:rPr>
              <w:t>各运动项目和国家学生体质健康标准测试的身体素质项目为主，主要包括体质测试、早锻炼、学生课外健身活动以及校级、院级和体育社团组织的各种体育比赛活动等。</w:t>
            </w:r>
          </w:p>
        </w:tc>
        <w:tc>
          <w:tcPr>
            <w:tcW w:w="1491" w:type="pct"/>
            <w:vAlign w:val="center"/>
          </w:tcPr>
          <w:p w14:paraId="70D01B7A">
            <w:pPr>
              <w:rPr>
                <w:rFonts w:hint="eastAsia" w:ascii="宋体" w:hAnsi="宋体" w:eastAsia="宋体" w:cs="宋体"/>
                <w:color w:val="auto"/>
                <w:sz w:val="21"/>
                <w:szCs w:val="21"/>
              </w:rPr>
            </w:pPr>
            <w:r>
              <w:rPr>
                <w:rFonts w:hint="eastAsia" w:ascii="宋体" w:hAnsi="宋体" w:eastAsia="宋体" w:cs="宋体"/>
                <w:color w:val="auto"/>
                <w:szCs w:val="21"/>
              </w:rPr>
              <w:t>通过课外实践，使学生巩固课内学习效果，掌握科学锻炼的基础知识、基本技能和有效方法，发展身体素质；在运动中体验运动的乐趣和成功的感觉；选择适宜的体育活动调节自己的情绪，减轻学习压力，提高学习效率；表现出良好的体育道德和合作精神；正确处理竞争与合作的关系。通过体育活动，建立良好的人际关系；达到“国家体质健康标准”</w:t>
            </w:r>
            <w:r>
              <w:rPr>
                <w:rFonts w:hint="eastAsia" w:ascii="宋体" w:hAnsi="宋体" w:eastAsia="宋体" w:cs="宋体"/>
                <w:color w:val="auto"/>
                <w:kern w:val="0"/>
                <w:szCs w:val="21"/>
              </w:rPr>
              <w:t>。</w:t>
            </w:r>
            <w:r>
              <w:rPr>
                <w:rFonts w:hint="eastAsia" w:ascii="宋体" w:hAnsi="宋体" w:eastAsia="宋体" w:cs="宋体"/>
                <w:color w:val="auto"/>
                <w:kern w:val="0"/>
                <w:sz w:val="21"/>
                <w:szCs w:val="21"/>
              </w:rPr>
              <w:t>。</w:t>
            </w:r>
          </w:p>
        </w:tc>
        <w:tc>
          <w:tcPr>
            <w:tcW w:w="430" w:type="pct"/>
            <w:vAlign w:val="center"/>
          </w:tcPr>
          <w:p w14:paraId="548BCCBD">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6</w:t>
            </w:r>
          </w:p>
        </w:tc>
        <w:tc>
          <w:tcPr>
            <w:tcW w:w="523" w:type="pct"/>
            <w:vAlign w:val="center"/>
          </w:tcPr>
          <w:p w14:paraId="25DC262B">
            <w:pPr>
              <w:rPr>
                <w:rFonts w:hint="eastAsia" w:ascii="宋体" w:hAnsi="宋体" w:eastAsia="宋体" w:cs="宋体"/>
                <w:color w:val="auto"/>
                <w:sz w:val="21"/>
                <w:szCs w:val="21"/>
              </w:rPr>
            </w:pPr>
            <w:r>
              <w:rPr>
                <w:rFonts w:hint="eastAsia" w:ascii="宋体" w:hAnsi="宋体" w:eastAsia="宋体" w:cs="宋体"/>
                <w:color w:val="auto"/>
                <w:sz w:val="21"/>
                <w:szCs w:val="21"/>
              </w:rPr>
              <w:t>讲授</w:t>
            </w:r>
            <w:r>
              <w:rPr>
                <w:rFonts w:hint="eastAsia" w:ascii="宋体" w:hAnsi="宋体" w:eastAsia="宋体" w:cs="宋体"/>
                <w:color w:val="auto"/>
                <w:sz w:val="21"/>
                <w:szCs w:val="21"/>
                <w:lang w:val="en-US" w:eastAsia="zh-CN"/>
              </w:rPr>
              <w:t>法</w:t>
            </w:r>
            <w:r>
              <w:rPr>
                <w:rFonts w:hint="eastAsia" w:ascii="宋体" w:hAnsi="宋体" w:eastAsia="宋体" w:cs="宋体"/>
                <w:color w:val="auto"/>
                <w:sz w:val="21"/>
                <w:szCs w:val="21"/>
              </w:rPr>
              <w:t>演示</w:t>
            </w:r>
            <w:r>
              <w:rPr>
                <w:rFonts w:hint="eastAsia" w:ascii="宋体" w:hAnsi="宋体" w:eastAsia="宋体" w:cs="宋体"/>
                <w:color w:val="auto"/>
                <w:sz w:val="21"/>
                <w:szCs w:val="21"/>
                <w:lang w:val="en-US" w:eastAsia="zh-CN"/>
              </w:rPr>
              <w:t>法</w:t>
            </w:r>
            <w:r>
              <w:rPr>
                <w:rFonts w:hint="eastAsia" w:ascii="宋体" w:hAnsi="宋体" w:eastAsia="宋体" w:cs="宋体"/>
                <w:color w:val="auto"/>
                <w:sz w:val="21"/>
                <w:szCs w:val="21"/>
              </w:rPr>
              <w:t>练习法</w:t>
            </w:r>
          </w:p>
        </w:tc>
      </w:tr>
      <w:tr w14:paraId="035F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05AF8A6F">
            <w:pPr>
              <w:jc w:val="center"/>
              <w:rPr>
                <w:rFonts w:hint="eastAsia" w:ascii="宋体" w:hAnsi="宋体" w:eastAsia="宋体" w:cs="宋体"/>
                <w:sz w:val="21"/>
                <w:szCs w:val="21"/>
              </w:rPr>
            </w:pPr>
          </w:p>
        </w:tc>
        <w:tc>
          <w:tcPr>
            <w:tcW w:w="4664" w:type="pct"/>
            <w:gridSpan w:val="4"/>
            <w:vAlign w:val="center"/>
          </w:tcPr>
          <w:p w14:paraId="1828C0A3">
            <w:pPr>
              <w:rPr>
                <w:rFonts w:hint="eastAsia" w:ascii="宋体" w:hAnsi="宋体" w:eastAsia="宋体" w:cs="宋体"/>
                <w:color w:val="auto"/>
                <w:sz w:val="21"/>
                <w:szCs w:val="21"/>
              </w:rPr>
            </w:pPr>
            <w:r>
              <w:rPr>
                <w:rFonts w:hint="eastAsia" w:ascii="宋体" w:hAnsi="宋体" w:eastAsia="宋体" w:cs="宋体"/>
                <w:b/>
                <w:bCs/>
                <w:sz w:val="21"/>
                <w:szCs w:val="21"/>
              </w:rPr>
              <w:t>思政元素</w:t>
            </w:r>
            <w:r>
              <w:rPr>
                <w:rFonts w:hint="eastAsia" w:ascii="宋体" w:hAnsi="宋体" w:eastAsia="宋体" w:cs="宋体"/>
                <w:b/>
                <w:bCs/>
                <w:sz w:val="21"/>
                <w:szCs w:val="21"/>
                <w:lang w:eastAsia="zh-CN"/>
              </w:rPr>
              <w:t>：</w:t>
            </w:r>
            <w:r>
              <w:rPr>
                <w:rFonts w:hint="eastAsia" w:ascii="宋体" w:hAnsi="宋体" w:eastAsia="宋体" w:cs="宋体"/>
                <w:kern w:val="0"/>
                <w:sz w:val="21"/>
                <w:szCs w:val="21"/>
              </w:rPr>
              <w:t>爱国主义和集体主义教育；体育道德观、意志品德培育；规则意识和诚信意识教育。</w:t>
            </w:r>
          </w:p>
        </w:tc>
      </w:tr>
    </w:tbl>
    <w:p w14:paraId="625AD796">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lang w:val="en-US" w:eastAsia="zh-CN"/>
        </w:rPr>
        <w:t>五</w:t>
      </w:r>
      <w:r>
        <w:rPr>
          <w:rFonts w:hint="eastAsia" w:ascii="Times New Roman" w:hAnsi="Times New Roman" w:eastAsia="宋体" w:cs="Times New Roman"/>
          <w:b/>
          <w:sz w:val="24"/>
        </w:rPr>
        <w:t>、课程实施</w:t>
      </w:r>
    </w:p>
    <w:p w14:paraId="520D825D">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sz w:val="21"/>
          <w:szCs w:val="21"/>
        </w:rPr>
      </w:pPr>
      <w:r>
        <w:rPr>
          <w:rFonts w:hint="eastAsia" w:ascii="宋体" w:hAnsi="宋体" w:eastAsia="宋体" w:cs="宋体"/>
          <w:b/>
          <w:sz w:val="21"/>
          <w:szCs w:val="21"/>
        </w:rPr>
        <w:t>（一）方法与手段</w:t>
      </w:r>
    </w:p>
    <w:p w14:paraId="6B4F00B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采用线上+线下、自主锻炼、体质测试和课外体育俱乐部等组织形式。</w:t>
      </w:r>
    </w:p>
    <w:p w14:paraId="50DAC7D7">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（二）课程实施与保障</w:t>
      </w:r>
    </w:p>
    <w:tbl>
      <w:tblPr>
        <w:tblStyle w:val="15"/>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3611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gridSpan w:val="2"/>
            <w:tcBorders>
              <w:top w:val="single" w:color="auto" w:sz="4" w:space="0"/>
              <w:left w:val="single" w:color="auto" w:sz="4" w:space="0"/>
              <w:right w:val="single" w:color="auto" w:sz="4" w:space="0"/>
            </w:tcBorders>
            <w:tcMar>
              <w:left w:w="28" w:type="dxa"/>
              <w:right w:w="28" w:type="dxa"/>
            </w:tcMar>
            <w:vAlign w:val="center"/>
          </w:tcPr>
          <w:p w14:paraId="743163D6">
            <w:pPr>
              <w:jc w:val="center"/>
              <w:rPr>
                <w:rFonts w:hint="eastAsia" w:ascii="宋体" w:hAnsi="宋体" w:eastAsia="宋体" w:cs="宋体"/>
                <w:sz w:val="21"/>
                <w:szCs w:val="21"/>
              </w:rPr>
            </w:pPr>
            <w:r>
              <w:rPr>
                <w:rFonts w:hint="eastAsia" w:ascii="宋体" w:hAnsi="宋体" w:eastAsia="宋体" w:cs="宋体"/>
                <w:b/>
                <w:bCs/>
                <w:sz w:val="21"/>
                <w:szCs w:val="21"/>
              </w:rPr>
              <w:t>主要环节</w:t>
            </w:r>
          </w:p>
        </w:tc>
        <w:tc>
          <w:tcPr>
            <w:tcW w:w="6640" w:type="dxa"/>
            <w:tcBorders>
              <w:top w:val="single" w:color="auto" w:sz="4" w:space="0"/>
              <w:left w:val="single" w:color="auto" w:sz="4" w:space="0"/>
              <w:right w:val="single" w:color="auto" w:sz="4" w:space="0"/>
            </w:tcBorders>
            <w:vAlign w:val="center"/>
          </w:tcPr>
          <w:p w14:paraId="25CFF5B1">
            <w:pPr>
              <w:jc w:val="center"/>
              <w:rPr>
                <w:rFonts w:hint="eastAsia" w:ascii="宋体" w:hAnsi="宋体" w:eastAsia="宋体" w:cs="宋体"/>
                <w:sz w:val="21"/>
                <w:szCs w:val="21"/>
              </w:rPr>
            </w:pPr>
            <w:r>
              <w:rPr>
                <w:rFonts w:hint="eastAsia" w:ascii="宋体" w:hAnsi="宋体" w:eastAsia="宋体" w:cs="宋体"/>
                <w:b/>
                <w:bCs/>
                <w:sz w:val="21"/>
                <w:szCs w:val="21"/>
              </w:rPr>
              <w:t>质量要求</w:t>
            </w:r>
          </w:p>
        </w:tc>
      </w:tr>
      <w:tr w14:paraId="0A9A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4" w:space="0"/>
              <w:right w:val="single" w:color="auto" w:sz="4" w:space="0"/>
            </w:tcBorders>
            <w:vAlign w:val="center"/>
          </w:tcPr>
          <w:p w14:paraId="4EA9AEB9">
            <w:pPr>
              <w:jc w:val="center"/>
              <w:rPr>
                <w:rFonts w:hint="eastAsia" w:ascii="宋体" w:hAnsi="宋体" w:eastAsia="宋体" w:cs="宋体"/>
                <w:sz w:val="21"/>
                <w:szCs w:val="21"/>
              </w:rPr>
            </w:pPr>
            <w:r>
              <w:rPr>
                <w:rFonts w:hint="eastAsia" w:ascii="宋体" w:hAnsi="宋体" w:eastAsia="宋体" w:cs="宋体"/>
                <w:sz w:val="21"/>
                <w:szCs w:val="21"/>
              </w:rPr>
              <w:t>1</w:t>
            </w:r>
          </w:p>
        </w:tc>
        <w:tc>
          <w:tcPr>
            <w:tcW w:w="1252" w:type="dxa"/>
            <w:tcBorders>
              <w:left w:val="single" w:color="auto" w:sz="4" w:space="0"/>
              <w:right w:val="single" w:color="auto" w:sz="4" w:space="0"/>
            </w:tcBorders>
            <w:tcMar>
              <w:left w:w="28" w:type="dxa"/>
              <w:right w:w="28" w:type="dxa"/>
            </w:tcMar>
            <w:vAlign w:val="center"/>
          </w:tcPr>
          <w:p w14:paraId="5EA0C7FF">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课外锻炼</w:t>
            </w:r>
          </w:p>
        </w:tc>
        <w:tc>
          <w:tcPr>
            <w:tcW w:w="6640" w:type="dxa"/>
            <w:tcBorders>
              <w:left w:val="single" w:color="auto" w:sz="4" w:space="0"/>
              <w:right w:val="single" w:color="auto" w:sz="4" w:space="0"/>
            </w:tcBorders>
            <w:vAlign w:val="center"/>
          </w:tcPr>
          <w:p w14:paraId="592564D7">
            <w:pPr>
              <w:keepNext w:val="0"/>
              <w:keepLines w:val="0"/>
              <w:pageBreakBefore w:val="0"/>
              <w:widowControl w:val="0"/>
              <w:kinsoku/>
              <w:wordWrap/>
              <w:overflowPunct/>
              <w:topLinePunct w:val="0"/>
              <w:autoSpaceDE w:val="0"/>
              <w:autoSpaceDN w:val="0"/>
              <w:bidi w:val="0"/>
              <w:adjustRightInd w:val="0"/>
              <w:snapToGrid w:val="0"/>
              <w:spacing w:line="312"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学生利用课余时间通过参加体质测试、早锻炼、课外健身活动以及校级、院级和体育社团组织的各种体育比赛等活动，巩固课内学习效果，提高身体素质，培养学生自我锻炼意识和习惯。</w:t>
            </w:r>
          </w:p>
        </w:tc>
      </w:tr>
      <w:tr w14:paraId="54F9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39" w:type="dxa"/>
            <w:tcBorders>
              <w:left w:val="single" w:color="auto" w:sz="4" w:space="0"/>
              <w:right w:val="single" w:color="auto" w:sz="4" w:space="0"/>
            </w:tcBorders>
            <w:vAlign w:val="center"/>
          </w:tcPr>
          <w:p w14:paraId="631A25FE">
            <w:pPr>
              <w:jc w:val="center"/>
              <w:rPr>
                <w:rFonts w:hint="eastAsia" w:ascii="宋体" w:hAnsi="宋体" w:eastAsia="宋体" w:cs="宋体"/>
                <w:sz w:val="21"/>
                <w:szCs w:val="21"/>
              </w:rPr>
            </w:pPr>
            <w:r>
              <w:rPr>
                <w:rFonts w:hint="eastAsia" w:ascii="宋体" w:hAnsi="宋体" w:eastAsia="宋体" w:cs="宋体"/>
                <w:sz w:val="21"/>
                <w:szCs w:val="21"/>
              </w:rPr>
              <w:t>2</w:t>
            </w:r>
          </w:p>
        </w:tc>
        <w:tc>
          <w:tcPr>
            <w:tcW w:w="1252" w:type="dxa"/>
            <w:tcBorders>
              <w:left w:val="single" w:color="auto" w:sz="4" w:space="0"/>
              <w:right w:val="single" w:color="auto" w:sz="4" w:space="0"/>
            </w:tcBorders>
            <w:tcMar>
              <w:left w:w="28" w:type="dxa"/>
              <w:right w:w="28" w:type="dxa"/>
            </w:tcMar>
            <w:vAlign w:val="center"/>
          </w:tcPr>
          <w:p w14:paraId="7D307E53">
            <w:pPr>
              <w:spacing w:line="360" w:lineRule="auto"/>
              <w:jc w:val="center"/>
              <w:rPr>
                <w:rFonts w:hint="eastAsia" w:ascii="宋体" w:hAnsi="宋体" w:eastAsia="宋体" w:cs="宋体"/>
                <w:sz w:val="21"/>
                <w:szCs w:val="21"/>
              </w:rPr>
            </w:pPr>
            <w:r>
              <w:rPr>
                <w:rFonts w:hint="eastAsia" w:ascii="宋体" w:hAnsi="宋体" w:eastAsia="宋体" w:cs="宋体"/>
                <w:sz w:val="21"/>
                <w:szCs w:val="21"/>
              </w:rPr>
              <w:t>体质测试</w:t>
            </w:r>
          </w:p>
        </w:tc>
        <w:tc>
          <w:tcPr>
            <w:tcW w:w="6640" w:type="dxa"/>
            <w:tcBorders>
              <w:left w:val="single" w:color="auto" w:sz="4" w:space="0"/>
              <w:right w:val="single" w:color="auto" w:sz="4" w:space="0"/>
            </w:tcBorders>
            <w:vAlign w:val="center"/>
          </w:tcPr>
          <w:p w14:paraId="486B3C6C">
            <w:pPr>
              <w:keepNext w:val="0"/>
              <w:keepLines w:val="0"/>
              <w:pageBreakBefore w:val="0"/>
              <w:widowControl w:val="0"/>
              <w:kinsoku/>
              <w:wordWrap/>
              <w:overflowPunct/>
              <w:topLinePunct w:val="0"/>
              <w:autoSpaceDE w:val="0"/>
              <w:autoSpaceDN w:val="0"/>
              <w:bidi w:val="0"/>
              <w:adjustRightInd w:val="0"/>
              <w:snapToGrid w:val="0"/>
              <w:spacing w:line="312"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完成《国家学生体质健康标准》项目测试。</w:t>
            </w:r>
          </w:p>
        </w:tc>
      </w:tr>
      <w:tr w14:paraId="19BD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4" w:space="0"/>
              <w:right w:val="single" w:color="auto" w:sz="4" w:space="0"/>
            </w:tcBorders>
            <w:vAlign w:val="center"/>
          </w:tcPr>
          <w:p w14:paraId="124FEA78">
            <w:pPr>
              <w:jc w:val="center"/>
              <w:rPr>
                <w:rFonts w:hint="eastAsia" w:ascii="宋体" w:hAnsi="宋体" w:eastAsia="宋体" w:cs="宋体"/>
                <w:sz w:val="21"/>
                <w:szCs w:val="21"/>
              </w:rPr>
            </w:pPr>
            <w:r>
              <w:rPr>
                <w:rFonts w:hint="eastAsia" w:ascii="宋体" w:hAnsi="宋体" w:eastAsia="宋体" w:cs="宋体"/>
                <w:sz w:val="21"/>
                <w:szCs w:val="21"/>
              </w:rPr>
              <w:t>3</w:t>
            </w:r>
          </w:p>
        </w:tc>
        <w:tc>
          <w:tcPr>
            <w:tcW w:w="1252" w:type="dxa"/>
            <w:tcBorders>
              <w:left w:val="single" w:color="auto" w:sz="4" w:space="0"/>
              <w:right w:val="single" w:color="auto" w:sz="4" w:space="0"/>
            </w:tcBorders>
            <w:tcMar>
              <w:left w:w="28" w:type="dxa"/>
              <w:right w:w="28" w:type="dxa"/>
            </w:tcMar>
            <w:vAlign w:val="center"/>
          </w:tcPr>
          <w:p w14:paraId="1EE2C3CE">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成绩考核</w:t>
            </w:r>
          </w:p>
        </w:tc>
        <w:tc>
          <w:tcPr>
            <w:tcW w:w="6640" w:type="dxa"/>
            <w:tcBorders>
              <w:left w:val="single" w:color="auto" w:sz="4" w:space="0"/>
              <w:right w:val="single" w:color="auto" w:sz="4" w:space="0"/>
            </w:tcBorders>
            <w:vAlign w:val="center"/>
          </w:tcPr>
          <w:p w14:paraId="7C7E70E0">
            <w:pPr>
              <w:keepNext w:val="0"/>
              <w:keepLines w:val="0"/>
              <w:pageBreakBefore w:val="0"/>
              <w:widowControl w:val="0"/>
              <w:kinsoku/>
              <w:wordWrap/>
              <w:overflowPunct/>
              <w:topLinePunct w:val="0"/>
              <w:autoSpaceDE w:val="0"/>
              <w:autoSpaceDN w:val="0"/>
              <w:bidi w:val="0"/>
              <w:adjustRightInd w:val="0"/>
              <w:snapToGrid w:val="0"/>
              <w:spacing w:line="312"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本课程考核的方式：以学生参加课外体育活动的考勤次数为依据。总评成绩的评定见《学生参加课外体育活动成绩评定标准》。</w:t>
            </w:r>
          </w:p>
        </w:tc>
      </w:tr>
    </w:tbl>
    <w:p w14:paraId="0D4D13B9">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lang w:val="en-US" w:eastAsia="zh-CN"/>
        </w:rPr>
        <w:t>六</w:t>
      </w:r>
      <w:r>
        <w:rPr>
          <w:rFonts w:hint="eastAsia" w:ascii="Times New Roman" w:hAnsi="Times New Roman" w:eastAsia="宋体" w:cs="Times New Roman"/>
          <w:b/>
          <w:sz w:val="24"/>
        </w:rPr>
        <w:t>、课程考核</w:t>
      </w:r>
    </w:p>
    <w:p w14:paraId="60FA4E8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（一）课程考核由课外体育活动和体质测试构成。</w:t>
      </w:r>
    </w:p>
    <w:p w14:paraId="7DA2DB2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（二）课程总评成绩=课外体育活动×50%+体质测试×50%。</w:t>
      </w:r>
    </w:p>
    <w:p w14:paraId="6BBEE9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具体内容和比例如表所示</w:t>
      </w:r>
      <w:r>
        <w:rPr>
          <w:rFonts w:hint="eastAsia" w:ascii="宋体" w:hAnsi="宋体" w:eastAsia="宋体" w:cs="宋体"/>
          <w:sz w:val="21"/>
          <w:szCs w:val="21"/>
          <w:lang w:eastAsia="zh-CN"/>
        </w:rPr>
        <w:t>。</w:t>
      </w:r>
    </w:p>
    <w:tbl>
      <w:tblPr>
        <w:tblStyle w:val="15"/>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1716"/>
        <w:gridCol w:w="750"/>
        <w:gridCol w:w="3046"/>
        <w:gridCol w:w="1349"/>
      </w:tblGrid>
      <w:tr w14:paraId="3D0F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617" w:type="dxa"/>
            <w:shd w:val="clear" w:color="auto" w:fill="auto"/>
            <w:tcMar>
              <w:left w:w="57" w:type="dxa"/>
              <w:right w:w="57" w:type="dxa"/>
            </w:tcMar>
            <w:vAlign w:val="center"/>
          </w:tcPr>
          <w:p w14:paraId="161CF808">
            <w:pPr>
              <w:jc w:val="center"/>
              <w:rPr>
                <w:rFonts w:hint="eastAsia" w:ascii="宋体" w:hAnsi="宋体" w:eastAsia="宋体" w:cs="宋体"/>
                <w:sz w:val="21"/>
                <w:szCs w:val="21"/>
              </w:rPr>
            </w:pPr>
            <w:r>
              <w:rPr>
                <w:rFonts w:hint="eastAsia" w:ascii="宋体" w:hAnsi="宋体" w:eastAsia="宋体" w:cs="宋体"/>
                <w:sz w:val="21"/>
                <w:szCs w:val="21"/>
              </w:rPr>
              <w:t>成绩组成</w:t>
            </w:r>
          </w:p>
        </w:tc>
        <w:tc>
          <w:tcPr>
            <w:tcW w:w="1716" w:type="dxa"/>
            <w:shd w:val="clear" w:color="auto" w:fill="auto"/>
            <w:vAlign w:val="center"/>
          </w:tcPr>
          <w:p w14:paraId="7063FD2E">
            <w:pPr>
              <w:jc w:val="center"/>
              <w:rPr>
                <w:rFonts w:hint="eastAsia" w:ascii="宋体" w:hAnsi="宋体" w:eastAsia="宋体" w:cs="宋体"/>
                <w:sz w:val="21"/>
                <w:szCs w:val="21"/>
              </w:rPr>
            </w:pPr>
            <w:r>
              <w:rPr>
                <w:rFonts w:hint="eastAsia" w:ascii="宋体" w:hAnsi="宋体" w:eastAsia="宋体" w:cs="宋体"/>
                <w:sz w:val="21"/>
                <w:szCs w:val="21"/>
              </w:rPr>
              <w:t>考核/评价环节</w:t>
            </w:r>
          </w:p>
        </w:tc>
        <w:tc>
          <w:tcPr>
            <w:tcW w:w="750" w:type="dxa"/>
            <w:shd w:val="clear" w:color="auto" w:fill="auto"/>
            <w:vAlign w:val="center"/>
          </w:tcPr>
          <w:p w14:paraId="46F4C958">
            <w:pPr>
              <w:jc w:val="center"/>
              <w:rPr>
                <w:rFonts w:hint="eastAsia" w:ascii="宋体" w:hAnsi="宋体" w:eastAsia="宋体" w:cs="宋体"/>
                <w:sz w:val="21"/>
                <w:szCs w:val="21"/>
              </w:rPr>
            </w:pPr>
            <w:r>
              <w:rPr>
                <w:rFonts w:hint="eastAsia" w:ascii="宋体" w:hAnsi="宋体" w:eastAsia="宋体" w:cs="宋体"/>
                <w:sz w:val="21"/>
                <w:szCs w:val="21"/>
              </w:rPr>
              <w:t>权重</w:t>
            </w:r>
          </w:p>
        </w:tc>
        <w:tc>
          <w:tcPr>
            <w:tcW w:w="3046" w:type="dxa"/>
            <w:shd w:val="clear" w:color="auto" w:fill="auto"/>
            <w:vAlign w:val="center"/>
          </w:tcPr>
          <w:p w14:paraId="37DD03B8">
            <w:pPr>
              <w:jc w:val="center"/>
              <w:rPr>
                <w:rFonts w:hint="eastAsia" w:ascii="宋体" w:hAnsi="宋体" w:eastAsia="宋体" w:cs="宋体"/>
                <w:sz w:val="21"/>
                <w:szCs w:val="21"/>
              </w:rPr>
            </w:pPr>
            <w:r>
              <w:rPr>
                <w:rFonts w:hint="eastAsia" w:ascii="宋体" w:hAnsi="宋体" w:eastAsia="宋体" w:cs="宋体"/>
                <w:sz w:val="21"/>
                <w:szCs w:val="21"/>
              </w:rPr>
              <w:t>考核/评价细则</w:t>
            </w:r>
          </w:p>
        </w:tc>
        <w:tc>
          <w:tcPr>
            <w:tcW w:w="1349" w:type="dxa"/>
            <w:shd w:val="clear" w:color="auto" w:fill="auto"/>
            <w:vAlign w:val="center"/>
          </w:tcPr>
          <w:p w14:paraId="34E48003">
            <w:pPr>
              <w:jc w:val="center"/>
              <w:rPr>
                <w:rFonts w:hint="eastAsia" w:ascii="宋体" w:hAnsi="宋体" w:eastAsia="宋体" w:cs="宋体"/>
                <w:sz w:val="21"/>
                <w:szCs w:val="21"/>
              </w:rPr>
            </w:pPr>
            <w:r>
              <w:rPr>
                <w:rFonts w:hint="eastAsia" w:ascii="宋体" w:hAnsi="宋体" w:eastAsia="宋体" w:cs="宋体"/>
                <w:sz w:val="21"/>
                <w:szCs w:val="21"/>
              </w:rPr>
              <w:t>对应的毕业要求指标点</w:t>
            </w:r>
          </w:p>
        </w:tc>
      </w:tr>
      <w:tr w14:paraId="6F23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1617" w:type="dxa"/>
            <w:tcMar>
              <w:left w:w="57" w:type="dxa"/>
              <w:right w:w="57" w:type="dxa"/>
            </w:tcMar>
            <w:vAlign w:val="center"/>
          </w:tcPr>
          <w:p w14:paraId="218EDFA3">
            <w:pPr>
              <w:jc w:val="center"/>
              <w:rPr>
                <w:rFonts w:hint="eastAsia" w:ascii="宋体" w:hAnsi="宋体" w:eastAsia="宋体" w:cs="宋体"/>
                <w:sz w:val="21"/>
                <w:szCs w:val="21"/>
              </w:rPr>
            </w:pPr>
            <w:r>
              <w:rPr>
                <w:rFonts w:hint="eastAsia" w:ascii="宋体" w:hAnsi="宋体" w:eastAsia="宋体" w:cs="宋体"/>
                <w:sz w:val="21"/>
                <w:szCs w:val="21"/>
              </w:rPr>
              <w:t>课外体育活动</w:t>
            </w:r>
          </w:p>
          <w:p w14:paraId="01262C16">
            <w:pPr>
              <w:jc w:val="center"/>
              <w:rPr>
                <w:rFonts w:hint="eastAsia" w:ascii="宋体" w:hAnsi="宋体" w:eastAsia="宋体" w:cs="宋体"/>
                <w:sz w:val="21"/>
                <w:szCs w:val="21"/>
              </w:rPr>
            </w:pPr>
            <w:r>
              <w:rPr>
                <w:rFonts w:hint="eastAsia" w:ascii="宋体" w:hAnsi="宋体" w:eastAsia="宋体" w:cs="宋体"/>
                <w:sz w:val="21"/>
                <w:szCs w:val="21"/>
              </w:rPr>
              <w:t>50%</w:t>
            </w:r>
          </w:p>
        </w:tc>
        <w:tc>
          <w:tcPr>
            <w:tcW w:w="1716" w:type="dxa"/>
            <w:vAlign w:val="center"/>
          </w:tcPr>
          <w:p w14:paraId="3076007D">
            <w:pPr>
              <w:jc w:val="center"/>
              <w:rPr>
                <w:rFonts w:hint="eastAsia" w:ascii="宋体" w:hAnsi="宋体" w:eastAsia="宋体" w:cs="宋体"/>
                <w:sz w:val="21"/>
                <w:szCs w:val="21"/>
              </w:rPr>
            </w:pPr>
            <w:r>
              <w:rPr>
                <w:rFonts w:hint="eastAsia" w:ascii="宋体" w:hAnsi="宋体" w:eastAsia="宋体" w:cs="宋体"/>
                <w:sz w:val="21"/>
                <w:szCs w:val="21"/>
              </w:rPr>
              <w:t>课外体育活动</w:t>
            </w:r>
          </w:p>
        </w:tc>
        <w:tc>
          <w:tcPr>
            <w:tcW w:w="750" w:type="dxa"/>
            <w:vAlign w:val="center"/>
          </w:tcPr>
          <w:p w14:paraId="39FD939A">
            <w:pPr>
              <w:jc w:val="center"/>
              <w:rPr>
                <w:rFonts w:hint="eastAsia" w:ascii="宋体" w:hAnsi="宋体" w:eastAsia="宋体" w:cs="宋体"/>
                <w:sz w:val="21"/>
                <w:szCs w:val="21"/>
              </w:rPr>
            </w:pPr>
            <w:r>
              <w:rPr>
                <w:rFonts w:hint="eastAsia" w:ascii="宋体" w:hAnsi="宋体" w:eastAsia="宋体" w:cs="宋体"/>
                <w:sz w:val="21"/>
                <w:szCs w:val="21"/>
              </w:rPr>
              <w:t>50%</w:t>
            </w:r>
          </w:p>
        </w:tc>
        <w:tc>
          <w:tcPr>
            <w:tcW w:w="3046" w:type="dxa"/>
            <w:vAlign w:val="center"/>
          </w:tcPr>
          <w:p w14:paraId="50145845">
            <w:pPr>
              <w:jc w:val="left"/>
              <w:rPr>
                <w:rFonts w:hint="eastAsia" w:ascii="宋体" w:hAnsi="宋体" w:eastAsia="宋体" w:cs="宋体"/>
                <w:sz w:val="21"/>
                <w:szCs w:val="21"/>
              </w:rPr>
            </w:pPr>
            <w:r>
              <w:rPr>
                <w:rFonts w:hint="eastAsia" w:ascii="宋体" w:hAnsi="宋体" w:eastAsia="宋体" w:cs="宋体"/>
                <w:sz w:val="21"/>
                <w:szCs w:val="21"/>
              </w:rPr>
              <w:t>具体见《学生参加课外体育活动成绩评定标准（百分制）》</w:t>
            </w:r>
          </w:p>
        </w:tc>
        <w:tc>
          <w:tcPr>
            <w:tcW w:w="1349" w:type="dxa"/>
            <w:vAlign w:val="center"/>
          </w:tcPr>
          <w:p w14:paraId="378B1EA4">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6</w:t>
            </w:r>
          </w:p>
        </w:tc>
      </w:tr>
      <w:tr w14:paraId="14A2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617" w:type="dxa"/>
            <w:tcMar>
              <w:left w:w="57" w:type="dxa"/>
              <w:right w:w="57" w:type="dxa"/>
            </w:tcMar>
            <w:vAlign w:val="center"/>
          </w:tcPr>
          <w:p w14:paraId="38B44803">
            <w:pPr>
              <w:jc w:val="center"/>
              <w:rPr>
                <w:rFonts w:hint="eastAsia" w:ascii="宋体" w:hAnsi="宋体" w:eastAsia="宋体" w:cs="宋体"/>
                <w:sz w:val="21"/>
                <w:szCs w:val="21"/>
              </w:rPr>
            </w:pPr>
            <w:r>
              <w:rPr>
                <w:rFonts w:hint="eastAsia" w:ascii="宋体" w:hAnsi="宋体" w:eastAsia="宋体" w:cs="宋体"/>
                <w:sz w:val="21"/>
                <w:szCs w:val="21"/>
              </w:rPr>
              <w:t>体质测试</w:t>
            </w:r>
          </w:p>
          <w:p w14:paraId="773B5C59">
            <w:pPr>
              <w:jc w:val="center"/>
              <w:rPr>
                <w:rFonts w:hint="eastAsia" w:ascii="宋体" w:hAnsi="宋体" w:eastAsia="宋体" w:cs="宋体"/>
                <w:sz w:val="21"/>
                <w:szCs w:val="21"/>
              </w:rPr>
            </w:pPr>
            <w:r>
              <w:rPr>
                <w:rFonts w:hint="eastAsia" w:ascii="宋体" w:hAnsi="宋体" w:eastAsia="宋体" w:cs="宋体"/>
                <w:sz w:val="21"/>
                <w:szCs w:val="21"/>
              </w:rPr>
              <w:t>50%</w:t>
            </w:r>
          </w:p>
        </w:tc>
        <w:tc>
          <w:tcPr>
            <w:tcW w:w="1716" w:type="dxa"/>
            <w:vAlign w:val="center"/>
          </w:tcPr>
          <w:p w14:paraId="3B52CA8D">
            <w:pPr>
              <w:jc w:val="center"/>
              <w:rPr>
                <w:rFonts w:hint="eastAsia" w:ascii="宋体" w:hAnsi="宋体" w:eastAsia="宋体" w:cs="宋体"/>
                <w:sz w:val="21"/>
                <w:szCs w:val="21"/>
              </w:rPr>
            </w:pPr>
            <w:r>
              <w:rPr>
                <w:rFonts w:hint="eastAsia" w:ascii="宋体" w:hAnsi="宋体" w:eastAsia="宋体" w:cs="宋体"/>
                <w:sz w:val="21"/>
                <w:szCs w:val="21"/>
              </w:rPr>
              <w:t>体质测试</w:t>
            </w:r>
          </w:p>
        </w:tc>
        <w:tc>
          <w:tcPr>
            <w:tcW w:w="750" w:type="dxa"/>
            <w:vAlign w:val="center"/>
          </w:tcPr>
          <w:p w14:paraId="723165C0">
            <w:pPr>
              <w:jc w:val="center"/>
              <w:rPr>
                <w:rFonts w:hint="eastAsia" w:ascii="宋体" w:hAnsi="宋体" w:eastAsia="宋体" w:cs="宋体"/>
                <w:sz w:val="21"/>
                <w:szCs w:val="21"/>
              </w:rPr>
            </w:pPr>
            <w:r>
              <w:rPr>
                <w:rFonts w:hint="eastAsia" w:ascii="宋体" w:hAnsi="宋体" w:eastAsia="宋体" w:cs="宋体"/>
                <w:sz w:val="21"/>
                <w:szCs w:val="21"/>
              </w:rPr>
              <w:t xml:space="preserve">   100%</w:t>
            </w:r>
          </w:p>
        </w:tc>
        <w:tc>
          <w:tcPr>
            <w:tcW w:w="3046" w:type="dxa"/>
            <w:vAlign w:val="center"/>
          </w:tcPr>
          <w:p w14:paraId="6C19717B">
            <w:pPr>
              <w:rPr>
                <w:rFonts w:hint="eastAsia" w:ascii="宋体" w:hAnsi="宋体" w:eastAsia="宋体" w:cs="宋体"/>
                <w:sz w:val="21"/>
                <w:szCs w:val="21"/>
              </w:rPr>
            </w:pPr>
            <w:r>
              <w:rPr>
                <w:rFonts w:hint="eastAsia" w:ascii="宋体" w:hAnsi="宋体" w:eastAsia="宋体" w:cs="宋体"/>
                <w:bCs/>
                <w:kern w:val="24"/>
                <w:sz w:val="21"/>
                <w:szCs w:val="21"/>
              </w:rPr>
              <w:t>课外测试，评分参照《国家学生体质健康标准》。</w:t>
            </w:r>
          </w:p>
        </w:tc>
        <w:tc>
          <w:tcPr>
            <w:tcW w:w="1349" w:type="dxa"/>
            <w:vAlign w:val="center"/>
          </w:tcPr>
          <w:p w14:paraId="272369E8">
            <w:pPr>
              <w:jc w:val="center"/>
              <w:rPr>
                <w:rFonts w:hint="eastAsia" w:ascii="宋体" w:hAnsi="宋体" w:eastAsia="宋体" w:cs="宋体"/>
                <w:sz w:val="21"/>
                <w:szCs w:val="21"/>
                <w:lang w:eastAsia="zh-CN"/>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w:t>
            </w:r>
            <w:r>
              <w:rPr>
                <w:rFonts w:hint="eastAsia" w:ascii="宋体" w:hAnsi="宋体" w:eastAsia="宋体" w:cs="宋体"/>
                <w:bCs/>
                <w:sz w:val="21"/>
                <w:szCs w:val="21"/>
                <w:lang w:val="en-US" w:eastAsia="zh-CN"/>
              </w:rPr>
              <w:t>6</w:t>
            </w:r>
          </w:p>
        </w:tc>
      </w:tr>
    </w:tbl>
    <w:p w14:paraId="3E840337">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学生参加课外体育活动成绩评定标准（百分制）</w:t>
      </w:r>
    </w:p>
    <w:tbl>
      <w:tblPr>
        <w:tblStyle w:val="15"/>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762"/>
        <w:gridCol w:w="762"/>
        <w:gridCol w:w="760"/>
        <w:gridCol w:w="762"/>
        <w:gridCol w:w="760"/>
        <w:gridCol w:w="762"/>
        <w:gridCol w:w="760"/>
        <w:gridCol w:w="762"/>
        <w:gridCol w:w="763"/>
      </w:tblGrid>
      <w:tr w14:paraId="094D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vAlign w:val="center"/>
          </w:tcPr>
          <w:p w14:paraId="697C3842">
            <w:pPr>
              <w:jc w:val="center"/>
              <w:rPr>
                <w:rFonts w:hint="eastAsia" w:ascii="宋体" w:hAnsi="宋体" w:eastAsia="宋体" w:cs="宋体"/>
                <w:sz w:val="21"/>
                <w:szCs w:val="21"/>
              </w:rPr>
            </w:pPr>
            <w:r>
              <w:rPr>
                <w:rFonts w:hint="eastAsia" w:ascii="宋体" w:hAnsi="宋体" w:eastAsia="宋体" w:cs="宋体"/>
                <w:sz w:val="21"/>
                <w:szCs w:val="21"/>
              </w:rPr>
              <w:t>考勤次数</w:t>
            </w:r>
          </w:p>
        </w:tc>
        <w:tc>
          <w:tcPr>
            <w:tcW w:w="447" w:type="pct"/>
            <w:vAlign w:val="center"/>
          </w:tcPr>
          <w:p w14:paraId="5D872FAA">
            <w:pPr>
              <w:jc w:val="center"/>
              <w:rPr>
                <w:rFonts w:hint="eastAsia" w:ascii="宋体" w:hAnsi="宋体" w:eastAsia="宋体" w:cs="宋体"/>
                <w:sz w:val="21"/>
                <w:szCs w:val="21"/>
              </w:rPr>
            </w:pPr>
            <w:r>
              <w:rPr>
                <w:rFonts w:hint="eastAsia" w:ascii="宋体" w:hAnsi="宋体" w:eastAsia="宋体" w:cs="宋体"/>
                <w:sz w:val="21"/>
                <w:szCs w:val="21"/>
              </w:rPr>
              <w:t>0</w:t>
            </w:r>
          </w:p>
        </w:tc>
        <w:tc>
          <w:tcPr>
            <w:tcW w:w="447" w:type="pct"/>
            <w:vAlign w:val="center"/>
          </w:tcPr>
          <w:p w14:paraId="263C77FB">
            <w:pPr>
              <w:jc w:val="center"/>
              <w:rPr>
                <w:rFonts w:hint="eastAsia" w:ascii="宋体" w:hAnsi="宋体" w:eastAsia="宋体" w:cs="宋体"/>
                <w:sz w:val="21"/>
                <w:szCs w:val="21"/>
              </w:rPr>
            </w:pPr>
            <w:r>
              <w:rPr>
                <w:rFonts w:hint="eastAsia" w:ascii="宋体" w:hAnsi="宋体" w:eastAsia="宋体" w:cs="宋体"/>
                <w:sz w:val="21"/>
                <w:szCs w:val="21"/>
              </w:rPr>
              <w:t>5</w:t>
            </w:r>
          </w:p>
        </w:tc>
        <w:tc>
          <w:tcPr>
            <w:tcW w:w="446" w:type="pct"/>
            <w:vAlign w:val="center"/>
          </w:tcPr>
          <w:p w14:paraId="78D3AF3F">
            <w:pPr>
              <w:jc w:val="center"/>
              <w:rPr>
                <w:rFonts w:hint="eastAsia" w:ascii="宋体" w:hAnsi="宋体" w:eastAsia="宋体" w:cs="宋体"/>
                <w:sz w:val="21"/>
                <w:szCs w:val="21"/>
              </w:rPr>
            </w:pPr>
            <w:r>
              <w:rPr>
                <w:rFonts w:hint="eastAsia" w:ascii="宋体" w:hAnsi="宋体" w:eastAsia="宋体" w:cs="宋体"/>
                <w:sz w:val="21"/>
                <w:szCs w:val="21"/>
              </w:rPr>
              <w:t>10</w:t>
            </w:r>
          </w:p>
        </w:tc>
        <w:tc>
          <w:tcPr>
            <w:tcW w:w="447" w:type="pct"/>
            <w:vAlign w:val="center"/>
          </w:tcPr>
          <w:p w14:paraId="6BF706A2">
            <w:pPr>
              <w:jc w:val="center"/>
              <w:rPr>
                <w:rFonts w:hint="eastAsia" w:ascii="宋体" w:hAnsi="宋体" w:eastAsia="宋体" w:cs="宋体"/>
                <w:sz w:val="21"/>
                <w:szCs w:val="21"/>
              </w:rPr>
            </w:pPr>
            <w:r>
              <w:rPr>
                <w:rFonts w:hint="eastAsia" w:ascii="宋体" w:hAnsi="宋体" w:eastAsia="宋体" w:cs="宋体"/>
                <w:sz w:val="21"/>
                <w:szCs w:val="21"/>
              </w:rPr>
              <w:t>15</w:t>
            </w:r>
          </w:p>
        </w:tc>
        <w:tc>
          <w:tcPr>
            <w:tcW w:w="446" w:type="pct"/>
            <w:vAlign w:val="center"/>
          </w:tcPr>
          <w:p w14:paraId="7EC673B4">
            <w:pPr>
              <w:jc w:val="center"/>
              <w:rPr>
                <w:rFonts w:hint="eastAsia" w:ascii="宋体" w:hAnsi="宋体" w:eastAsia="宋体" w:cs="宋体"/>
                <w:sz w:val="21"/>
                <w:szCs w:val="21"/>
              </w:rPr>
            </w:pPr>
            <w:r>
              <w:rPr>
                <w:rFonts w:hint="eastAsia" w:ascii="宋体" w:hAnsi="宋体" w:eastAsia="宋体" w:cs="宋体"/>
                <w:sz w:val="21"/>
                <w:szCs w:val="21"/>
              </w:rPr>
              <w:t>20</w:t>
            </w:r>
          </w:p>
        </w:tc>
        <w:tc>
          <w:tcPr>
            <w:tcW w:w="447" w:type="pct"/>
            <w:vAlign w:val="center"/>
          </w:tcPr>
          <w:p w14:paraId="1E51AE2A">
            <w:pPr>
              <w:jc w:val="center"/>
              <w:rPr>
                <w:rFonts w:hint="eastAsia" w:ascii="宋体" w:hAnsi="宋体" w:eastAsia="宋体" w:cs="宋体"/>
                <w:sz w:val="21"/>
                <w:szCs w:val="21"/>
              </w:rPr>
            </w:pPr>
            <w:r>
              <w:rPr>
                <w:rFonts w:hint="eastAsia" w:ascii="宋体" w:hAnsi="宋体" w:eastAsia="宋体" w:cs="宋体"/>
                <w:sz w:val="21"/>
                <w:szCs w:val="21"/>
              </w:rPr>
              <w:t>25</w:t>
            </w:r>
          </w:p>
        </w:tc>
        <w:tc>
          <w:tcPr>
            <w:tcW w:w="446" w:type="pct"/>
            <w:vAlign w:val="center"/>
          </w:tcPr>
          <w:p w14:paraId="3E9338C8">
            <w:pPr>
              <w:jc w:val="center"/>
              <w:rPr>
                <w:rFonts w:hint="eastAsia" w:ascii="宋体" w:hAnsi="宋体" w:eastAsia="宋体" w:cs="宋体"/>
                <w:sz w:val="21"/>
                <w:szCs w:val="21"/>
              </w:rPr>
            </w:pPr>
            <w:r>
              <w:rPr>
                <w:rFonts w:hint="eastAsia" w:ascii="宋体" w:hAnsi="宋体" w:eastAsia="宋体" w:cs="宋体"/>
                <w:sz w:val="21"/>
                <w:szCs w:val="21"/>
              </w:rPr>
              <w:t>30</w:t>
            </w:r>
          </w:p>
        </w:tc>
        <w:tc>
          <w:tcPr>
            <w:tcW w:w="447" w:type="pct"/>
            <w:vAlign w:val="center"/>
          </w:tcPr>
          <w:p w14:paraId="30F61AFD">
            <w:pPr>
              <w:jc w:val="center"/>
              <w:rPr>
                <w:rFonts w:hint="eastAsia" w:ascii="宋体" w:hAnsi="宋体" w:eastAsia="宋体" w:cs="宋体"/>
                <w:sz w:val="21"/>
                <w:szCs w:val="21"/>
              </w:rPr>
            </w:pPr>
            <w:r>
              <w:rPr>
                <w:rFonts w:hint="eastAsia" w:ascii="宋体" w:hAnsi="宋体" w:eastAsia="宋体" w:cs="宋体"/>
                <w:sz w:val="21"/>
                <w:szCs w:val="21"/>
              </w:rPr>
              <w:t>35</w:t>
            </w:r>
          </w:p>
        </w:tc>
        <w:tc>
          <w:tcPr>
            <w:tcW w:w="447" w:type="pct"/>
            <w:vAlign w:val="center"/>
          </w:tcPr>
          <w:p w14:paraId="6C761694">
            <w:pPr>
              <w:jc w:val="center"/>
              <w:rPr>
                <w:rFonts w:hint="eastAsia" w:ascii="宋体" w:hAnsi="宋体" w:eastAsia="宋体" w:cs="宋体"/>
                <w:sz w:val="21"/>
                <w:szCs w:val="21"/>
              </w:rPr>
            </w:pPr>
            <w:r>
              <w:rPr>
                <w:rFonts w:hint="eastAsia" w:ascii="宋体" w:hAnsi="宋体" w:eastAsia="宋体" w:cs="宋体"/>
                <w:sz w:val="21"/>
                <w:szCs w:val="21"/>
              </w:rPr>
              <w:t>40</w:t>
            </w:r>
          </w:p>
        </w:tc>
      </w:tr>
      <w:tr w14:paraId="1692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vAlign w:val="center"/>
          </w:tcPr>
          <w:p w14:paraId="6C276E41">
            <w:pPr>
              <w:jc w:val="center"/>
              <w:rPr>
                <w:rFonts w:hint="eastAsia" w:ascii="宋体" w:hAnsi="宋体" w:eastAsia="宋体" w:cs="宋体"/>
                <w:sz w:val="21"/>
                <w:szCs w:val="21"/>
              </w:rPr>
            </w:pPr>
            <w:r>
              <w:rPr>
                <w:rFonts w:hint="eastAsia" w:ascii="宋体" w:hAnsi="宋体" w:eastAsia="宋体" w:cs="宋体"/>
                <w:sz w:val="21"/>
                <w:szCs w:val="21"/>
              </w:rPr>
              <w:t>成绩</w:t>
            </w:r>
          </w:p>
        </w:tc>
        <w:tc>
          <w:tcPr>
            <w:tcW w:w="447" w:type="pct"/>
            <w:vAlign w:val="center"/>
          </w:tcPr>
          <w:p w14:paraId="3FBDB3BE">
            <w:pPr>
              <w:jc w:val="center"/>
              <w:rPr>
                <w:rFonts w:hint="eastAsia" w:ascii="宋体" w:hAnsi="宋体" w:eastAsia="宋体" w:cs="宋体"/>
                <w:sz w:val="21"/>
                <w:szCs w:val="21"/>
              </w:rPr>
            </w:pPr>
            <w:r>
              <w:rPr>
                <w:rFonts w:hint="eastAsia" w:ascii="宋体" w:hAnsi="宋体" w:eastAsia="宋体" w:cs="宋体"/>
                <w:sz w:val="21"/>
                <w:szCs w:val="21"/>
              </w:rPr>
              <w:t>0</w:t>
            </w:r>
          </w:p>
        </w:tc>
        <w:tc>
          <w:tcPr>
            <w:tcW w:w="447" w:type="pct"/>
            <w:vAlign w:val="center"/>
          </w:tcPr>
          <w:p w14:paraId="6BA54AE0">
            <w:pPr>
              <w:jc w:val="center"/>
              <w:rPr>
                <w:rFonts w:hint="eastAsia" w:ascii="宋体" w:hAnsi="宋体" w:eastAsia="宋体" w:cs="宋体"/>
                <w:sz w:val="21"/>
                <w:szCs w:val="21"/>
              </w:rPr>
            </w:pPr>
            <w:r>
              <w:rPr>
                <w:rFonts w:hint="eastAsia" w:ascii="宋体" w:hAnsi="宋体" w:eastAsia="宋体" w:cs="宋体"/>
                <w:sz w:val="21"/>
                <w:szCs w:val="21"/>
              </w:rPr>
              <w:t>12.5</w:t>
            </w:r>
          </w:p>
        </w:tc>
        <w:tc>
          <w:tcPr>
            <w:tcW w:w="446" w:type="pct"/>
            <w:vAlign w:val="center"/>
          </w:tcPr>
          <w:p w14:paraId="3F365ED3">
            <w:pPr>
              <w:jc w:val="center"/>
              <w:rPr>
                <w:rFonts w:hint="eastAsia" w:ascii="宋体" w:hAnsi="宋体" w:eastAsia="宋体" w:cs="宋体"/>
                <w:sz w:val="21"/>
                <w:szCs w:val="21"/>
              </w:rPr>
            </w:pPr>
            <w:r>
              <w:rPr>
                <w:rFonts w:hint="eastAsia" w:ascii="宋体" w:hAnsi="宋体" w:eastAsia="宋体" w:cs="宋体"/>
                <w:sz w:val="21"/>
                <w:szCs w:val="21"/>
              </w:rPr>
              <w:t>25</w:t>
            </w:r>
          </w:p>
        </w:tc>
        <w:tc>
          <w:tcPr>
            <w:tcW w:w="447" w:type="pct"/>
            <w:vAlign w:val="center"/>
          </w:tcPr>
          <w:p w14:paraId="23E08A6A">
            <w:pPr>
              <w:jc w:val="center"/>
              <w:rPr>
                <w:rFonts w:hint="eastAsia" w:ascii="宋体" w:hAnsi="宋体" w:eastAsia="宋体" w:cs="宋体"/>
                <w:sz w:val="21"/>
                <w:szCs w:val="21"/>
              </w:rPr>
            </w:pPr>
            <w:r>
              <w:rPr>
                <w:rFonts w:hint="eastAsia" w:ascii="宋体" w:hAnsi="宋体" w:eastAsia="宋体" w:cs="宋体"/>
                <w:sz w:val="21"/>
                <w:szCs w:val="21"/>
              </w:rPr>
              <w:t>37.5</w:t>
            </w:r>
          </w:p>
        </w:tc>
        <w:tc>
          <w:tcPr>
            <w:tcW w:w="446" w:type="pct"/>
            <w:vAlign w:val="center"/>
          </w:tcPr>
          <w:p w14:paraId="782ABC1A">
            <w:pPr>
              <w:jc w:val="center"/>
              <w:rPr>
                <w:rFonts w:hint="eastAsia" w:ascii="宋体" w:hAnsi="宋体" w:eastAsia="宋体" w:cs="宋体"/>
                <w:sz w:val="21"/>
                <w:szCs w:val="21"/>
              </w:rPr>
            </w:pPr>
            <w:r>
              <w:rPr>
                <w:rFonts w:hint="eastAsia" w:ascii="宋体" w:hAnsi="宋体" w:eastAsia="宋体" w:cs="宋体"/>
                <w:sz w:val="21"/>
                <w:szCs w:val="21"/>
              </w:rPr>
              <w:t>50</w:t>
            </w:r>
          </w:p>
        </w:tc>
        <w:tc>
          <w:tcPr>
            <w:tcW w:w="447" w:type="pct"/>
            <w:vAlign w:val="center"/>
          </w:tcPr>
          <w:p w14:paraId="1A7F291C">
            <w:pPr>
              <w:jc w:val="center"/>
              <w:rPr>
                <w:rFonts w:hint="eastAsia" w:ascii="宋体" w:hAnsi="宋体" w:eastAsia="宋体" w:cs="宋体"/>
                <w:sz w:val="21"/>
                <w:szCs w:val="21"/>
              </w:rPr>
            </w:pPr>
            <w:r>
              <w:rPr>
                <w:rFonts w:hint="eastAsia" w:ascii="宋体" w:hAnsi="宋体" w:eastAsia="宋体" w:cs="宋体"/>
                <w:sz w:val="21"/>
                <w:szCs w:val="21"/>
              </w:rPr>
              <w:t>62.5</w:t>
            </w:r>
          </w:p>
        </w:tc>
        <w:tc>
          <w:tcPr>
            <w:tcW w:w="446" w:type="pct"/>
            <w:vAlign w:val="center"/>
          </w:tcPr>
          <w:p w14:paraId="1B58CDCC">
            <w:pPr>
              <w:jc w:val="center"/>
              <w:rPr>
                <w:rFonts w:hint="eastAsia" w:ascii="宋体" w:hAnsi="宋体" w:eastAsia="宋体" w:cs="宋体"/>
                <w:sz w:val="21"/>
                <w:szCs w:val="21"/>
              </w:rPr>
            </w:pPr>
            <w:r>
              <w:rPr>
                <w:rFonts w:hint="eastAsia" w:ascii="宋体" w:hAnsi="宋体" w:eastAsia="宋体" w:cs="宋体"/>
                <w:sz w:val="21"/>
                <w:szCs w:val="21"/>
              </w:rPr>
              <w:t>75</w:t>
            </w:r>
          </w:p>
        </w:tc>
        <w:tc>
          <w:tcPr>
            <w:tcW w:w="447" w:type="pct"/>
            <w:vAlign w:val="center"/>
          </w:tcPr>
          <w:p w14:paraId="38DBCE8C">
            <w:pPr>
              <w:jc w:val="center"/>
              <w:rPr>
                <w:rFonts w:hint="eastAsia" w:ascii="宋体" w:hAnsi="宋体" w:eastAsia="宋体" w:cs="宋体"/>
                <w:sz w:val="21"/>
                <w:szCs w:val="21"/>
              </w:rPr>
            </w:pPr>
            <w:r>
              <w:rPr>
                <w:rFonts w:hint="eastAsia" w:ascii="宋体" w:hAnsi="宋体" w:eastAsia="宋体" w:cs="宋体"/>
                <w:sz w:val="21"/>
                <w:szCs w:val="21"/>
              </w:rPr>
              <w:t>87.5</w:t>
            </w:r>
          </w:p>
        </w:tc>
        <w:tc>
          <w:tcPr>
            <w:tcW w:w="447" w:type="pct"/>
            <w:vAlign w:val="center"/>
          </w:tcPr>
          <w:p w14:paraId="638F969E">
            <w:pPr>
              <w:jc w:val="center"/>
              <w:rPr>
                <w:rFonts w:hint="eastAsia" w:ascii="宋体" w:hAnsi="宋体" w:eastAsia="宋体" w:cs="宋体"/>
                <w:sz w:val="21"/>
                <w:szCs w:val="21"/>
              </w:rPr>
            </w:pPr>
            <w:r>
              <w:rPr>
                <w:rFonts w:hint="eastAsia" w:ascii="宋体" w:hAnsi="宋体" w:eastAsia="宋体" w:cs="宋体"/>
                <w:sz w:val="21"/>
                <w:szCs w:val="21"/>
              </w:rPr>
              <w:t>100</w:t>
            </w:r>
          </w:p>
        </w:tc>
      </w:tr>
    </w:tbl>
    <w:p w14:paraId="7B7DDFB7">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lang w:val="en-US" w:eastAsia="zh-CN"/>
        </w:rPr>
        <w:t>七</w:t>
      </w:r>
      <w:r>
        <w:rPr>
          <w:rFonts w:ascii="Times New Roman" w:hAnsi="Times New Roman" w:eastAsia="宋体" w:cs="Times New Roman"/>
          <w:b/>
          <w:sz w:val="24"/>
        </w:rPr>
        <w:t>、有关说明</w:t>
      </w:r>
    </w:p>
    <w:p w14:paraId="26FC72C2">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（一）持续改进</w:t>
      </w:r>
    </w:p>
    <w:p w14:paraId="3DCB38F2">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本课程根据学生课外锻炼、体质测试等情况，以及学生、教学督导等反馈，及时对教学中不足之处进行改进，并在下一轮课程教学中整改完善，确保相应毕业要求指标点达成。</w:t>
      </w:r>
    </w:p>
    <w:p w14:paraId="385465CB">
      <w:pPr>
        <w:spacing w:line="360" w:lineRule="auto"/>
        <w:ind w:firstLine="422" w:firstLineChars="200"/>
        <w:jc w:val="left"/>
        <w:rPr>
          <w:rFonts w:hint="eastAsia" w:ascii="宋体" w:hAnsi="宋体" w:eastAsia="宋体" w:cs="宋体"/>
          <w:sz w:val="21"/>
          <w:szCs w:val="21"/>
        </w:rPr>
      </w:pPr>
      <w:r>
        <w:rPr>
          <w:rFonts w:hint="eastAsia" w:ascii="宋体" w:hAnsi="宋体" w:eastAsia="宋体" w:cs="宋体"/>
          <w:b/>
          <w:sz w:val="21"/>
          <w:szCs w:val="21"/>
        </w:rPr>
        <w:t>（二）教学参考书</w:t>
      </w:r>
    </w:p>
    <w:p w14:paraId="18D1FA56">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1.毛振明.大学体育文化与实技教程[M].沈阳：东北大学出版社，2013.</w:t>
      </w:r>
    </w:p>
    <w:p w14:paraId="4575E6AB">
      <w:pPr>
        <w:wordWrap w:val="0"/>
        <w:spacing w:line="360" w:lineRule="exact"/>
        <w:jc w:val="right"/>
        <w:rPr>
          <w:rFonts w:hint="eastAsia" w:ascii="宋体" w:hAnsi="宋体" w:eastAsia="宋体" w:cs="宋体"/>
          <w:sz w:val="21"/>
          <w:szCs w:val="21"/>
        </w:rPr>
      </w:pPr>
      <w:r>
        <w:rPr>
          <w:rFonts w:hint="eastAsia" w:ascii="宋体" w:hAnsi="宋体" w:eastAsia="宋体" w:cs="宋体"/>
          <w:sz w:val="21"/>
          <w:szCs w:val="21"/>
        </w:rPr>
        <w:t>执笔人：顾  宏</w:t>
      </w:r>
    </w:p>
    <w:p w14:paraId="571F099C">
      <w:pPr>
        <w:spacing w:line="360" w:lineRule="exact"/>
        <w:ind w:firstLine="420" w:firstLineChars="200"/>
        <w:jc w:val="right"/>
        <w:rPr>
          <w:rFonts w:hint="eastAsia" w:ascii="宋体" w:hAnsi="宋体" w:eastAsia="宋体" w:cs="宋体"/>
          <w:sz w:val="21"/>
          <w:szCs w:val="21"/>
        </w:rPr>
      </w:pPr>
      <w:r>
        <w:rPr>
          <w:rFonts w:hint="eastAsia" w:ascii="宋体" w:hAnsi="宋体" w:eastAsia="宋体" w:cs="宋体"/>
          <w:sz w:val="21"/>
          <w:szCs w:val="21"/>
        </w:rPr>
        <w:t xml:space="preserve"> 审定人：方曙光</w:t>
      </w:r>
    </w:p>
    <w:p w14:paraId="5CC07731">
      <w:pPr>
        <w:autoSpaceDE w:val="0"/>
        <w:autoSpaceDN w:val="0"/>
        <w:adjustRightInd w:val="0"/>
        <w:spacing w:line="360" w:lineRule="auto"/>
        <w:ind w:firstLine="420" w:firstLineChars="200"/>
        <w:jc w:val="right"/>
        <w:rPr>
          <w:rFonts w:hint="eastAsia" w:ascii="宋体" w:hAnsi="宋体" w:eastAsia="宋体" w:cs="宋体"/>
          <w:sz w:val="21"/>
          <w:szCs w:val="21"/>
        </w:rPr>
      </w:pPr>
      <w:r>
        <w:rPr>
          <w:rFonts w:hint="eastAsia" w:ascii="宋体" w:hAnsi="宋体" w:eastAsia="宋体" w:cs="宋体"/>
          <w:sz w:val="21"/>
          <w:szCs w:val="21"/>
        </w:rPr>
        <w:t>批准人：王红福</w:t>
      </w:r>
    </w:p>
    <w:p w14:paraId="5EA9849E">
      <w:pPr>
        <w:autoSpaceDE w:val="0"/>
        <w:autoSpaceDN w:val="0"/>
        <w:adjustRightInd w:val="0"/>
        <w:spacing w:line="360" w:lineRule="auto"/>
        <w:ind w:firstLine="420" w:firstLineChars="200"/>
        <w:jc w:val="right"/>
        <w:rPr>
          <w:rFonts w:hint="eastAsia" w:ascii="宋体" w:hAnsi="宋体" w:eastAsia="宋体" w:cs="宋体"/>
          <w:sz w:val="21"/>
          <w:szCs w:val="21"/>
          <w:lang w:eastAsia="zh-CN"/>
        </w:rPr>
      </w:pPr>
      <w:r>
        <w:rPr>
          <w:rFonts w:hint="eastAsia" w:ascii="宋体" w:hAnsi="宋体" w:eastAsia="宋体" w:cs="宋体"/>
          <w:sz w:val="21"/>
          <w:szCs w:val="21"/>
          <w:lang w:eastAsia="zh-CN"/>
        </w:rPr>
        <w:t>批准时间：2025年7月1日</w:t>
      </w:r>
    </w:p>
    <w:p w14:paraId="63FE8600">
      <w:pPr>
        <w:autoSpaceDE w:val="0"/>
        <w:autoSpaceDN w:val="0"/>
        <w:adjustRightInd w:val="0"/>
        <w:spacing w:line="360" w:lineRule="auto"/>
        <w:ind w:firstLine="420" w:firstLineChars="200"/>
        <w:jc w:val="left"/>
        <w:rPr>
          <w:rFonts w:hint="default" w:ascii="宋体" w:hAnsi="宋体" w:eastAsia="宋体" w:cs="宋体"/>
          <w:color w:val="auto"/>
          <w:sz w:val="21"/>
          <w:szCs w:val="21"/>
          <w:lang w:val="en-US" w:eastAsia="zh-CN"/>
        </w:rPr>
      </w:pPr>
    </w:p>
    <w:p w14:paraId="21568664">
      <w:pPr>
        <w:autoSpaceDE w:val="0"/>
        <w:autoSpaceDN w:val="0"/>
        <w:adjustRightInd w:val="0"/>
        <w:spacing w:line="360" w:lineRule="auto"/>
        <w:ind w:firstLine="480" w:firstLineChars="200"/>
        <w:jc w:val="right"/>
        <w:rPr>
          <w:rFonts w:hint="default" w:ascii="宋体" w:hAnsi="宋体" w:eastAsia="宋体" w:cs="宋体"/>
          <w:color w:val="auto"/>
          <w:sz w:val="24"/>
          <w:lang w:val="en-US" w:eastAsia="zh-CN"/>
        </w:rPr>
      </w:pPr>
    </w:p>
    <w:p w14:paraId="407FAB04">
      <w:pPr>
        <w:rPr>
          <w:color w:val="auto"/>
        </w:rPr>
      </w:pPr>
      <w:r>
        <w:rPr>
          <w:rFonts w:hint="eastAsia" w:ascii="宋体" w:hAnsi="宋体" w:eastAsia="宋体" w:cs="宋体"/>
          <w:color w:val="auto"/>
        </w:rPr>
        <w:br w:type="page"/>
      </w:r>
    </w:p>
    <w:p w14:paraId="6894A3EE">
      <w:pPr>
        <w:pStyle w:val="2"/>
        <w:tabs>
          <w:tab w:val="left" w:pos="720"/>
          <w:tab w:val="left" w:pos="2700"/>
        </w:tabs>
        <w:rPr>
          <w:rFonts w:hint="eastAsia"/>
          <w:color w:val="auto"/>
        </w:rPr>
      </w:pPr>
      <w:bookmarkStart w:id="32" w:name="_Toc6466"/>
      <w:r>
        <w:rPr>
          <w:rFonts w:hint="eastAsia"/>
          <w:color w:val="auto"/>
        </w:rPr>
        <w:t>《大学英语A》课程教学大纲</w:t>
      </w:r>
      <w:bookmarkEnd w:id="32"/>
    </w:p>
    <w:p w14:paraId="43439835">
      <w:pPr>
        <w:spacing w:after="156" w:afterLines="50" w:line="312" w:lineRule="auto"/>
        <w:jc w:val="center"/>
        <w:rPr>
          <w:b/>
          <w:bCs/>
          <w:sz w:val="30"/>
        </w:rPr>
      </w:pPr>
      <w:r>
        <w:rPr>
          <w:b/>
          <w:bCs/>
          <w:sz w:val="30"/>
        </w:rPr>
        <w:t>（</w:t>
      </w:r>
      <w:r>
        <w:rPr>
          <w:rFonts w:hint="eastAsia"/>
          <w:b/>
          <w:bCs/>
          <w:sz w:val="30"/>
        </w:rPr>
        <w:t>College English A</w:t>
      </w:r>
      <w:r>
        <w:rPr>
          <w:b/>
          <w:bCs/>
          <w:sz w:val="30"/>
        </w:rPr>
        <w:t>）</w:t>
      </w:r>
    </w:p>
    <w:p w14:paraId="413F6C2B">
      <w:pPr>
        <w:snapToGrid w:val="0"/>
        <w:spacing w:line="360" w:lineRule="auto"/>
        <w:ind w:firstLine="413" w:firstLineChars="196"/>
        <w:rPr>
          <w:b/>
          <w:sz w:val="21"/>
          <w:szCs w:val="21"/>
        </w:rPr>
      </w:pPr>
    </w:p>
    <w:p w14:paraId="0E44B360">
      <w:pPr>
        <w:snapToGrid w:val="0"/>
        <w:spacing w:line="360" w:lineRule="auto"/>
        <w:ind w:firstLine="482" w:firstLineChars="200"/>
        <w:rPr>
          <w:kern w:val="0"/>
          <w:sz w:val="24"/>
        </w:rPr>
      </w:pPr>
      <w:r>
        <w:rPr>
          <w:b/>
          <w:bCs/>
          <w:kern w:val="0"/>
          <w:sz w:val="24"/>
        </w:rPr>
        <w:t>课程代码</w:t>
      </w:r>
      <w:r>
        <w:rPr>
          <w:b/>
          <w:kern w:val="0"/>
          <w:sz w:val="24"/>
        </w:rPr>
        <w:t>：</w:t>
      </w:r>
      <w:r>
        <w:rPr>
          <w:rFonts w:hint="eastAsia"/>
          <w:bCs/>
          <w:kern w:val="0"/>
          <w:sz w:val="24"/>
        </w:rPr>
        <w:t>0606001</w:t>
      </w:r>
    </w:p>
    <w:p w14:paraId="633B8B75">
      <w:pPr>
        <w:snapToGrid w:val="0"/>
        <w:spacing w:line="360" w:lineRule="auto"/>
        <w:ind w:firstLine="482" w:firstLineChars="200"/>
        <w:rPr>
          <w:rFonts w:hint="eastAsia"/>
          <w:color w:val="000000"/>
          <w:kern w:val="0"/>
          <w:sz w:val="24"/>
        </w:rPr>
      </w:pPr>
      <w:r>
        <w:rPr>
          <w:b/>
          <w:bCs/>
          <w:color w:val="000000"/>
          <w:kern w:val="0"/>
          <w:sz w:val="24"/>
        </w:rPr>
        <w:t>学    分</w:t>
      </w:r>
      <w:r>
        <w:rPr>
          <w:b/>
          <w:color w:val="000000"/>
          <w:kern w:val="0"/>
          <w:sz w:val="24"/>
        </w:rPr>
        <w:t>：</w:t>
      </w:r>
      <w:r>
        <w:rPr>
          <w:rFonts w:hint="eastAsia"/>
          <w:bCs/>
          <w:color w:val="000000"/>
          <w:kern w:val="0"/>
          <w:sz w:val="24"/>
        </w:rPr>
        <w:t>2</w:t>
      </w:r>
    </w:p>
    <w:p w14:paraId="733D0AA6">
      <w:pPr>
        <w:snapToGrid w:val="0"/>
        <w:spacing w:line="360" w:lineRule="auto"/>
        <w:ind w:firstLine="482" w:firstLineChars="200"/>
        <w:rPr>
          <w:color w:val="000000"/>
          <w:kern w:val="0"/>
          <w:sz w:val="24"/>
        </w:rPr>
      </w:pPr>
      <w:r>
        <w:rPr>
          <w:b/>
          <w:bCs/>
          <w:color w:val="000000"/>
          <w:kern w:val="0"/>
          <w:sz w:val="24"/>
        </w:rPr>
        <w:t>学    时</w:t>
      </w:r>
      <w:r>
        <w:rPr>
          <w:b/>
          <w:color w:val="000000"/>
          <w:kern w:val="0"/>
          <w:sz w:val="24"/>
        </w:rPr>
        <w:t>：</w:t>
      </w:r>
      <w:r>
        <w:rPr>
          <w:rFonts w:hint="eastAsia"/>
          <w:bCs/>
          <w:color w:val="000000"/>
          <w:kern w:val="0"/>
          <w:sz w:val="24"/>
        </w:rPr>
        <w:t>33</w:t>
      </w:r>
    </w:p>
    <w:p w14:paraId="5421C5DD">
      <w:pPr>
        <w:snapToGrid w:val="0"/>
        <w:spacing w:line="360" w:lineRule="auto"/>
        <w:ind w:firstLine="482" w:firstLineChars="200"/>
        <w:rPr>
          <w:bCs/>
          <w:kern w:val="0"/>
          <w:sz w:val="24"/>
        </w:rPr>
      </w:pPr>
      <w:r>
        <w:rPr>
          <w:b/>
          <w:bCs/>
          <w:kern w:val="0"/>
          <w:sz w:val="24"/>
        </w:rPr>
        <w:t>先修课程</w:t>
      </w:r>
      <w:r>
        <w:rPr>
          <w:b/>
          <w:kern w:val="0"/>
          <w:sz w:val="24"/>
        </w:rPr>
        <w:t>：</w:t>
      </w:r>
      <w:r>
        <w:rPr>
          <w:rFonts w:hint="eastAsia"/>
          <w:bCs/>
          <w:kern w:val="0"/>
          <w:sz w:val="24"/>
        </w:rPr>
        <w:t>高中英语</w:t>
      </w:r>
    </w:p>
    <w:p w14:paraId="10DF0504">
      <w:pPr>
        <w:snapToGrid w:val="0"/>
        <w:spacing w:line="360" w:lineRule="auto"/>
        <w:ind w:firstLine="482" w:firstLineChars="200"/>
        <w:rPr>
          <w:bCs/>
          <w:sz w:val="24"/>
        </w:rPr>
      </w:pPr>
      <w:r>
        <w:rPr>
          <w:b/>
          <w:bCs/>
          <w:kern w:val="0"/>
          <w:sz w:val="24"/>
        </w:rPr>
        <w:t>适用专业</w:t>
      </w:r>
      <w:r>
        <w:rPr>
          <w:b/>
          <w:kern w:val="0"/>
          <w:sz w:val="24"/>
        </w:rPr>
        <w:t>：</w:t>
      </w:r>
      <w:r>
        <w:rPr>
          <w:rFonts w:hint="eastAsia"/>
          <w:bCs/>
          <w:kern w:val="0"/>
          <w:sz w:val="24"/>
        </w:rPr>
        <w:t>非英语专业</w:t>
      </w:r>
    </w:p>
    <w:p w14:paraId="3BABB365">
      <w:pPr>
        <w:snapToGrid w:val="0"/>
        <w:spacing w:line="360" w:lineRule="auto"/>
        <w:ind w:firstLine="482" w:firstLineChars="200"/>
        <w:rPr>
          <w:b/>
          <w:bCs/>
          <w:kern w:val="0"/>
          <w:sz w:val="24"/>
        </w:rPr>
      </w:pPr>
      <w:r>
        <w:rPr>
          <w:rFonts w:hint="eastAsia"/>
          <w:b/>
          <w:bCs/>
          <w:kern w:val="0"/>
          <w:sz w:val="24"/>
        </w:rPr>
        <w:t>适用年级：</w:t>
      </w:r>
      <w:r>
        <w:rPr>
          <w:rFonts w:hint="eastAsia"/>
          <w:kern w:val="0"/>
          <w:sz w:val="24"/>
        </w:rPr>
        <w:t>2025级</w:t>
      </w:r>
    </w:p>
    <w:p w14:paraId="5C9F1314">
      <w:pPr>
        <w:snapToGrid w:val="0"/>
        <w:spacing w:line="360" w:lineRule="auto"/>
        <w:ind w:firstLine="472" w:firstLineChars="196"/>
        <w:rPr>
          <w:rFonts w:hint="eastAsia" w:eastAsia="宋体"/>
          <w:b/>
          <w:sz w:val="24"/>
          <w:szCs w:val="24"/>
          <w:lang w:val="en-US" w:eastAsia="zh-CN"/>
        </w:rPr>
      </w:pPr>
      <w:r>
        <w:rPr>
          <w:rFonts w:hint="eastAsia"/>
          <w:b/>
          <w:sz w:val="24"/>
          <w:szCs w:val="24"/>
          <w:lang w:val="en-US" w:eastAsia="zh-CN"/>
        </w:rPr>
        <w:t>一</w:t>
      </w:r>
      <w:r>
        <w:rPr>
          <w:b/>
          <w:sz w:val="24"/>
          <w:szCs w:val="24"/>
        </w:rPr>
        <w:t>、课程</w:t>
      </w:r>
      <w:r>
        <w:rPr>
          <w:rFonts w:hint="eastAsia"/>
          <w:b/>
          <w:sz w:val="24"/>
          <w:szCs w:val="24"/>
          <w:lang w:val="en-US" w:eastAsia="zh-CN"/>
        </w:rPr>
        <w:t>简介</w:t>
      </w:r>
    </w:p>
    <w:p w14:paraId="32BA8BBF">
      <w:pPr>
        <w:spacing w:line="360" w:lineRule="auto"/>
        <w:ind w:firstLine="420" w:firstLineChars="200"/>
        <w:rPr>
          <w:rFonts w:hint="eastAsia"/>
          <w:b/>
          <w:sz w:val="21"/>
          <w:szCs w:val="21"/>
        </w:rPr>
      </w:pPr>
      <w:r>
        <w:rPr>
          <w:rFonts w:hint="eastAsia" w:ascii="宋体" w:hAnsi="宋体" w:eastAsia="宋体" w:cs="宋体"/>
          <w:kern w:val="0"/>
          <w:sz w:val="21"/>
          <w:szCs w:val="21"/>
        </w:rPr>
        <w:t>大学英语教学是高等教育的一个重要组成部分。大学英语作为全校非英语专业学生必修的公共基础课程，大学英语教学以英语语言知识与应用技能、学习策略和跨文化交际为主要内容，以外语教学理论为指导，有机融入课程思政，集多种教学模式和教学手段为一体的教学体系。大学英语教学旨在夯实学生英语语言基础，培养学生英语语言应用能力；满足学生专业学习、国际交流、继续深造、工作就业等方面的需求；增强学生自主学习能力和终生学习意识；帮助学生树立全球视野，培养国际意识，提升人文素养，为学生知识创新、潜能发挥和全面发展提供一个基本工具。</w:t>
      </w:r>
    </w:p>
    <w:p w14:paraId="7536D57D">
      <w:pPr>
        <w:snapToGrid w:val="0"/>
        <w:spacing w:line="360" w:lineRule="auto"/>
        <w:ind w:firstLine="472" w:firstLineChars="196"/>
        <w:rPr>
          <w:kern w:val="0"/>
          <w:sz w:val="21"/>
          <w:szCs w:val="21"/>
        </w:rPr>
      </w:pPr>
      <w:r>
        <w:rPr>
          <w:rFonts w:hint="eastAsia" w:ascii="Times New Roman" w:hAnsi="Times New Roman" w:eastAsia="宋体" w:cs="Times New Roman"/>
          <w:b/>
          <w:sz w:val="24"/>
          <w:szCs w:val="24"/>
          <w:lang w:val="en-US" w:eastAsia="zh-CN"/>
        </w:rPr>
        <w:t>二、课程目标</w:t>
      </w:r>
    </w:p>
    <w:p w14:paraId="72A2845F">
      <w:pPr>
        <w:tabs>
          <w:tab w:val="left" w:pos="1260"/>
        </w:tabs>
        <w:snapToGrid w:val="0"/>
        <w:spacing w:line="360" w:lineRule="auto"/>
        <w:ind w:firstLine="367" w:firstLineChars="175"/>
        <w:rPr>
          <w:rFonts w:hint="eastAsia"/>
          <w:kern w:val="0"/>
          <w:sz w:val="21"/>
          <w:szCs w:val="21"/>
        </w:rPr>
      </w:pPr>
      <w:r>
        <w:rPr>
          <w:rFonts w:hint="eastAsia"/>
          <w:kern w:val="0"/>
          <w:sz w:val="21"/>
          <w:szCs w:val="21"/>
        </w:rPr>
        <w:t>目标1：系统掌握英语语言体系的核心知识与跨文化交际常识，构建综合应用的结构化知识体系。</w:t>
      </w:r>
    </w:p>
    <w:p w14:paraId="44A160EC">
      <w:pPr>
        <w:tabs>
          <w:tab w:val="left" w:pos="1260"/>
        </w:tabs>
        <w:snapToGrid w:val="0"/>
        <w:spacing w:line="360" w:lineRule="auto"/>
        <w:ind w:firstLine="367" w:firstLineChars="175"/>
        <w:rPr>
          <w:rFonts w:hint="eastAsia"/>
          <w:kern w:val="0"/>
          <w:sz w:val="21"/>
          <w:szCs w:val="21"/>
        </w:rPr>
      </w:pPr>
      <w:r>
        <w:rPr>
          <w:rFonts w:hint="eastAsia"/>
          <w:kern w:val="0"/>
          <w:sz w:val="21"/>
          <w:szCs w:val="21"/>
        </w:rPr>
        <w:t>目标2：培养英语听、说、读、写、译综合应用能力，融汇跨文化沟通策略。</w:t>
      </w:r>
    </w:p>
    <w:p w14:paraId="2C423826">
      <w:pPr>
        <w:tabs>
          <w:tab w:val="left" w:pos="1260"/>
        </w:tabs>
        <w:snapToGrid w:val="0"/>
        <w:spacing w:line="360" w:lineRule="auto"/>
        <w:ind w:firstLine="367" w:firstLineChars="175"/>
        <w:rPr>
          <w:rFonts w:hint="eastAsia"/>
          <w:kern w:val="0"/>
          <w:sz w:val="21"/>
          <w:szCs w:val="21"/>
        </w:rPr>
      </w:pPr>
      <w:r>
        <w:rPr>
          <w:rFonts w:hint="eastAsia"/>
          <w:kern w:val="0"/>
          <w:sz w:val="21"/>
          <w:szCs w:val="21"/>
        </w:rPr>
        <w:t>目标3：引导学生理性对比中西文化、拓展国际视野，掌握和运用有效的学习策略，强化自主学习能力与终身学习意识。</w:t>
      </w:r>
    </w:p>
    <w:p w14:paraId="1E1ABA94">
      <w:pPr>
        <w:tabs>
          <w:tab w:val="left" w:pos="1260"/>
        </w:tabs>
        <w:snapToGrid w:val="0"/>
        <w:spacing w:line="360" w:lineRule="auto"/>
        <w:ind w:firstLine="367" w:firstLineChars="175"/>
        <w:rPr>
          <w:rFonts w:hint="eastAsia"/>
          <w:kern w:val="0"/>
          <w:sz w:val="21"/>
          <w:szCs w:val="21"/>
        </w:rPr>
      </w:pPr>
      <w:r>
        <w:rPr>
          <w:rFonts w:hint="eastAsia"/>
          <w:kern w:val="0"/>
          <w:sz w:val="21"/>
          <w:szCs w:val="21"/>
        </w:rPr>
        <w:t>课程思政育人目标：以语言知识和语言技能为桥梁，在培养学生跨文化交际能力的同时，引导学生树立正确的世界观、人生观和价值观，讲好“中国故事”，筑牢国家认同与民族情怀。课程目标与毕业要求观测点的对应关系如表1所示。</w:t>
      </w:r>
    </w:p>
    <w:p w14:paraId="60CD5843">
      <w:pPr>
        <w:snapToGrid w:val="0"/>
        <w:spacing w:line="360" w:lineRule="auto"/>
        <w:jc w:val="center"/>
        <w:rPr>
          <w:kern w:val="0"/>
          <w:sz w:val="21"/>
          <w:szCs w:val="21"/>
        </w:rPr>
      </w:pPr>
      <w:r>
        <w:rPr>
          <w:kern w:val="0"/>
          <w:sz w:val="21"/>
          <w:szCs w:val="21"/>
        </w:rPr>
        <w:t>表1  课程目标与毕业要求</w:t>
      </w:r>
      <w:r>
        <w:rPr>
          <w:rFonts w:hint="eastAsia"/>
          <w:kern w:val="0"/>
          <w:sz w:val="21"/>
          <w:szCs w:val="21"/>
        </w:rPr>
        <w:t>观测</w:t>
      </w:r>
      <w:r>
        <w:rPr>
          <w:kern w:val="0"/>
          <w:sz w:val="21"/>
          <w:szCs w:val="21"/>
        </w:rPr>
        <w:t>点的对应关系</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5280"/>
        <w:gridCol w:w="1581"/>
      </w:tblGrid>
      <w:tr w14:paraId="6043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35" w:type="dxa"/>
            <w:vAlign w:val="center"/>
          </w:tcPr>
          <w:p w14:paraId="7F54643F">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毕业要求</w:t>
            </w:r>
          </w:p>
        </w:tc>
        <w:tc>
          <w:tcPr>
            <w:tcW w:w="5280" w:type="dxa"/>
            <w:vAlign w:val="center"/>
          </w:tcPr>
          <w:p w14:paraId="179A481D">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毕业要求指标点</w:t>
            </w:r>
          </w:p>
        </w:tc>
        <w:tc>
          <w:tcPr>
            <w:tcW w:w="1581" w:type="dxa"/>
            <w:vAlign w:val="center"/>
          </w:tcPr>
          <w:p w14:paraId="75E3A486">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课程目标</w:t>
            </w:r>
          </w:p>
        </w:tc>
      </w:tr>
      <w:tr w14:paraId="22FA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vAlign w:val="center"/>
          </w:tcPr>
          <w:p w14:paraId="5708AA4D">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毕业要求3</w:t>
            </w:r>
          </w:p>
          <w:p w14:paraId="2375EB65">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学科素养</w:t>
            </w:r>
          </w:p>
        </w:tc>
        <w:tc>
          <w:tcPr>
            <w:tcW w:w="5280" w:type="dxa"/>
            <w:vAlign w:val="center"/>
          </w:tcPr>
          <w:p w14:paraId="404FA070">
            <w:pPr>
              <w:autoSpaceDE w:val="0"/>
              <w:autoSpaceDN w:val="0"/>
              <w:adjustRightInd w:val="0"/>
              <w:rPr>
                <w:rFonts w:hint="eastAsia" w:ascii="宋体" w:hAnsi="宋体" w:eastAsia="宋体" w:cs="宋体"/>
                <w:kern w:val="0"/>
                <w:sz w:val="21"/>
                <w:szCs w:val="21"/>
              </w:rPr>
            </w:pPr>
            <w:r>
              <w:rPr>
                <w:rFonts w:hint="eastAsia" w:ascii="宋体" w:hAnsi="宋体" w:eastAsia="宋体" w:cs="宋体"/>
                <w:b/>
                <w:kern w:val="0"/>
                <w:sz w:val="21"/>
                <w:szCs w:val="21"/>
                <w:lang w:eastAsia="zh-CN"/>
              </w:rPr>
              <w:t>指标点3-1</w:t>
            </w:r>
            <w:r>
              <w:rPr>
                <w:rFonts w:hint="eastAsia" w:ascii="宋体" w:hAnsi="宋体" w:eastAsia="宋体" w:cs="宋体"/>
                <w:kern w:val="0"/>
                <w:sz w:val="21"/>
                <w:szCs w:val="21"/>
              </w:rPr>
              <w:t>：【通识知识广博】具有小学教育本科专业相应的自然科学和人文社会科学知识素养。</w:t>
            </w:r>
          </w:p>
        </w:tc>
        <w:tc>
          <w:tcPr>
            <w:tcW w:w="1581" w:type="dxa"/>
            <w:vAlign w:val="center"/>
          </w:tcPr>
          <w:p w14:paraId="075350DC">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课程目标1</w:t>
            </w:r>
          </w:p>
          <w:p w14:paraId="4A4C24EF">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课程目标2</w:t>
            </w:r>
          </w:p>
        </w:tc>
      </w:tr>
      <w:tr w14:paraId="42FD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shd w:val="clear" w:color="auto" w:fill="auto"/>
            <w:vAlign w:val="center"/>
          </w:tcPr>
          <w:p w14:paraId="70B2DFA0">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毕业要求7</w:t>
            </w:r>
          </w:p>
          <w:p w14:paraId="19E68264">
            <w:pPr>
              <w:autoSpaceDE w:val="0"/>
              <w:autoSpaceDN w:val="0"/>
              <w:adjustRightInd w:val="0"/>
              <w:jc w:val="center"/>
              <w:rPr>
                <w:rFonts w:hint="eastAsia" w:ascii="宋体" w:hAnsi="宋体" w:eastAsia="宋体" w:cs="宋体"/>
                <w:kern w:val="0"/>
                <w:sz w:val="21"/>
                <w:szCs w:val="21"/>
              </w:rPr>
            </w:pPr>
            <w:r>
              <w:rPr>
                <w:rFonts w:ascii="宋体" w:hAnsi="宋体" w:eastAsia="宋体" w:cs="宋体"/>
                <w:kern w:val="0"/>
                <w:sz w:val="21"/>
                <w:szCs w:val="21"/>
              </w:rPr>
              <w:t>学会反思</w:t>
            </w:r>
          </w:p>
        </w:tc>
        <w:tc>
          <w:tcPr>
            <w:tcW w:w="5280" w:type="dxa"/>
          </w:tcPr>
          <w:p w14:paraId="3A4AE73F">
            <w:pPr>
              <w:autoSpaceDE w:val="0"/>
              <w:autoSpaceDN w:val="0"/>
              <w:adjustRightInd w:val="0"/>
              <w:rPr>
                <w:rFonts w:hint="eastAsia" w:ascii="宋体" w:hAnsi="宋体" w:eastAsia="宋体" w:cs="宋体"/>
                <w:kern w:val="0"/>
                <w:sz w:val="21"/>
                <w:szCs w:val="21"/>
              </w:rPr>
            </w:pPr>
            <w:r>
              <w:rPr>
                <w:rFonts w:hint="eastAsia" w:ascii="宋体" w:hAnsi="宋体" w:eastAsia="宋体" w:cs="宋体"/>
                <w:b/>
                <w:kern w:val="0"/>
                <w:sz w:val="21"/>
                <w:szCs w:val="21"/>
                <w:lang w:eastAsia="zh-CN"/>
              </w:rPr>
              <w:t>指标点7-1</w:t>
            </w:r>
            <w:r>
              <w:rPr>
                <w:rFonts w:hint="eastAsia" w:ascii="宋体" w:hAnsi="宋体" w:eastAsia="宋体" w:cs="宋体"/>
                <w:kern w:val="0"/>
                <w:sz w:val="21"/>
                <w:szCs w:val="21"/>
              </w:rPr>
              <w:t>：【教育视野开阔】积极关注基础教育领域的国内外交流进展，了解国内外基础教育改革发展的动态，具有宽广的教育视野，能够主动适应新时代和教育发展需求。</w:t>
            </w:r>
          </w:p>
        </w:tc>
        <w:tc>
          <w:tcPr>
            <w:tcW w:w="1581" w:type="dxa"/>
            <w:vAlign w:val="center"/>
          </w:tcPr>
          <w:p w14:paraId="00672513">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课程目标1</w:t>
            </w:r>
          </w:p>
          <w:p w14:paraId="7002F2EE">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课程目标2</w:t>
            </w:r>
          </w:p>
          <w:p w14:paraId="7D9D5183">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课程目标3</w:t>
            </w:r>
          </w:p>
        </w:tc>
      </w:tr>
      <w:tr w14:paraId="138A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shd w:val="clear" w:color="auto" w:fill="auto"/>
            <w:vAlign w:val="center"/>
          </w:tcPr>
          <w:p w14:paraId="6D31CD1A">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毕业要求8</w:t>
            </w:r>
          </w:p>
          <w:p w14:paraId="32C22397">
            <w:pPr>
              <w:autoSpaceDE w:val="0"/>
              <w:autoSpaceDN w:val="0"/>
              <w:adjustRightInd w:val="0"/>
              <w:jc w:val="center"/>
              <w:rPr>
                <w:rFonts w:hint="eastAsia" w:ascii="宋体" w:hAnsi="宋体" w:eastAsia="宋体" w:cs="宋体"/>
                <w:kern w:val="0"/>
                <w:sz w:val="21"/>
                <w:szCs w:val="21"/>
              </w:rPr>
            </w:pPr>
            <w:r>
              <w:rPr>
                <w:rFonts w:ascii="宋体" w:hAnsi="宋体" w:eastAsia="宋体" w:cs="宋体"/>
                <w:kern w:val="0"/>
                <w:sz w:val="21"/>
                <w:szCs w:val="21"/>
              </w:rPr>
              <w:t>沟通合作</w:t>
            </w:r>
          </w:p>
        </w:tc>
        <w:tc>
          <w:tcPr>
            <w:tcW w:w="5280" w:type="dxa"/>
          </w:tcPr>
          <w:p w14:paraId="66D0F436">
            <w:pPr>
              <w:autoSpaceDE w:val="0"/>
              <w:autoSpaceDN w:val="0"/>
              <w:adjustRightInd w:val="0"/>
              <w:rPr>
                <w:rFonts w:hint="eastAsia" w:ascii="宋体" w:hAnsi="宋体" w:eastAsia="宋体" w:cs="宋体"/>
                <w:kern w:val="0"/>
                <w:sz w:val="21"/>
                <w:szCs w:val="21"/>
              </w:rPr>
            </w:pPr>
            <w:r>
              <w:rPr>
                <w:rFonts w:hint="eastAsia" w:ascii="宋体" w:hAnsi="宋体" w:eastAsia="宋体" w:cs="宋体"/>
                <w:b/>
                <w:kern w:val="0"/>
                <w:sz w:val="21"/>
                <w:szCs w:val="21"/>
                <w:lang w:eastAsia="zh-CN"/>
              </w:rPr>
              <w:t>指标点8-2</w:t>
            </w:r>
            <w:r>
              <w:rPr>
                <w:rFonts w:hint="eastAsia" w:ascii="宋体" w:hAnsi="宋体" w:eastAsia="宋体" w:cs="宋体"/>
                <w:kern w:val="0"/>
                <w:sz w:val="21"/>
                <w:szCs w:val="21"/>
              </w:rPr>
              <w:t>：【学会沟通交流】掌握人际沟通合作技能与方法，在教育教学实践中，能与学生和家长以及同行、同事、专家进行有效沟通与合作，实现共同发展。</w:t>
            </w:r>
          </w:p>
        </w:tc>
        <w:tc>
          <w:tcPr>
            <w:tcW w:w="1581" w:type="dxa"/>
            <w:vAlign w:val="center"/>
          </w:tcPr>
          <w:p w14:paraId="0744C5E3">
            <w:pPr>
              <w:autoSpaceDE w:val="0"/>
              <w:autoSpaceDN w:val="0"/>
              <w:adjustRightInd w:val="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课程目标</w:t>
            </w:r>
            <w:r>
              <w:rPr>
                <w:rFonts w:hint="eastAsia" w:ascii="宋体" w:hAnsi="宋体" w:eastAsia="宋体" w:cs="宋体"/>
                <w:kern w:val="0"/>
                <w:sz w:val="21"/>
                <w:szCs w:val="21"/>
                <w:lang w:val="en-US" w:eastAsia="zh-CN"/>
              </w:rPr>
              <w:t>1</w:t>
            </w:r>
          </w:p>
          <w:p w14:paraId="72EE9420">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课程目标3</w:t>
            </w:r>
          </w:p>
        </w:tc>
      </w:tr>
    </w:tbl>
    <w:p w14:paraId="2405365A">
      <w:pPr>
        <w:snapToGrid w:val="0"/>
        <w:spacing w:line="360" w:lineRule="auto"/>
        <w:ind w:firstLine="472" w:firstLineChars="196"/>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三、课程内容及要求</w:t>
      </w:r>
    </w:p>
    <w:p w14:paraId="6634F5D2">
      <w:pPr>
        <w:snapToGrid w:val="0"/>
        <w:spacing w:line="360" w:lineRule="auto"/>
        <w:ind w:firstLine="413" w:firstLineChars="196"/>
        <w:rPr>
          <w:rFonts w:hint="eastAsia"/>
          <w:b/>
          <w:sz w:val="21"/>
          <w:szCs w:val="21"/>
        </w:rPr>
      </w:pPr>
      <w:r>
        <w:rPr>
          <w:b/>
          <w:sz w:val="21"/>
          <w:szCs w:val="21"/>
        </w:rPr>
        <w:t>（一）</w:t>
      </w:r>
      <w:r>
        <w:rPr>
          <w:rFonts w:hint="eastAsia"/>
          <w:b/>
          <w:sz w:val="21"/>
          <w:szCs w:val="21"/>
        </w:rPr>
        <w:t>听力理解</w:t>
      </w:r>
    </w:p>
    <w:p w14:paraId="75D463F8">
      <w:pPr>
        <w:snapToGrid w:val="0"/>
        <w:spacing w:line="360" w:lineRule="auto"/>
        <w:ind w:firstLine="420" w:firstLineChars="200"/>
        <w:rPr>
          <w:sz w:val="21"/>
          <w:szCs w:val="21"/>
        </w:rPr>
      </w:pPr>
      <w:r>
        <w:rPr>
          <w:sz w:val="21"/>
          <w:szCs w:val="21"/>
        </w:rPr>
        <w:t>1.教学内容</w:t>
      </w:r>
    </w:p>
    <w:p w14:paraId="68FD50B6">
      <w:pPr>
        <w:adjustRightInd w:val="0"/>
        <w:snapToGrid w:val="0"/>
        <w:spacing w:line="360" w:lineRule="auto"/>
        <w:ind w:firstLine="420" w:firstLineChars="200"/>
        <w:rPr>
          <w:rFonts w:hint="eastAsia"/>
          <w:sz w:val="21"/>
          <w:szCs w:val="21"/>
        </w:rPr>
      </w:pPr>
      <w:r>
        <w:rPr>
          <w:rFonts w:hint="eastAsia"/>
          <w:sz w:val="21"/>
          <w:szCs w:val="21"/>
        </w:rPr>
        <w:t>（1）基础辨音</w:t>
      </w:r>
    </w:p>
    <w:p w14:paraId="36BD2B35">
      <w:pPr>
        <w:adjustRightInd w:val="0"/>
        <w:snapToGrid w:val="0"/>
        <w:spacing w:line="360" w:lineRule="auto"/>
        <w:ind w:firstLine="420" w:firstLineChars="200"/>
        <w:rPr>
          <w:sz w:val="21"/>
          <w:szCs w:val="21"/>
        </w:rPr>
      </w:pPr>
      <w:r>
        <w:rPr>
          <w:rFonts w:hint="eastAsia"/>
          <w:sz w:val="21"/>
          <w:szCs w:val="21"/>
        </w:rPr>
        <w:t>（2）信息提取、逻辑推理</w:t>
      </w:r>
    </w:p>
    <w:p w14:paraId="10F6E4E5">
      <w:pPr>
        <w:adjustRightInd w:val="0"/>
        <w:snapToGrid w:val="0"/>
        <w:spacing w:line="360" w:lineRule="auto"/>
        <w:ind w:firstLine="420" w:firstLineChars="200"/>
        <w:rPr>
          <w:color w:val="000000"/>
          <w:sz w:val="21"/>
          <w:szCs w:val="21"/>
        </w:rPr>
      </w:pPr>
      <w:r>
        <w:rPr>
          <w:rFonts w:hint="eastAsia"/>
          <w:color w:val="000000"/>
          <w:sz w:val="21"/>
          <w:szCs w:val="21"/>
        </w:rPr>
        <w:t>（3）</w:t>
      </w:r>
      <w:r>
        <w:rPr>
          <w:rFonts w:hint="eastAsia"/>
          <w:sz w:val="21"/>
          <w:szCs w:val="21"/>
        </w:rPr>
        <w:t>笔记策略</w:t>
      </w:r>
    </w:p>
    <w:p w14:paraId="4CBA6534">
      <w:pPr>
        <w:adjustRightInd w:val="0"/>
        <w:snapToGrid w:val="0"/>
        <w:spacing w:line="360" w:lineRule="auto"/>
        <w:ind w:firstLine="420" w:firstLineChars="200"/>
        <w:rPr>
          <w:sz w:val="21"/>
          <w:szCs w:val="21"/>
        </w:rPr>
      </w:pPr>
      <w:r>
        <w:rPr>
          <w:rFonts w:hint="eastAsia"/>
          <w:sz w:val="21"/>
          <w:szCs w:val="21"/>
        </w:rPr>
        <w:t>（4）听力技巧</w:t>
      </w:r>
    </w:p>
    <w:p w14:paraId="18C1C5BC">
      <w:pPr>
        <w:spacing w:line="360" w:lineRule="auto"/>
        <w:ind w:firstLine="420" w:firstLineChars="200"/>
        <w:rPr>
          <w:color w:val="000000"/>
          <w:sz w:val="21"/>
          <w:szCs w:val="21"/>
        </w:rPr>
      </w:pPr>
      <w:r>
        <w:rPr>
          <w:color w:val="000000"/>
          <w:sz w:val="21"/>
          <w:szCs w:val="21"/>
        </w:rPr>
        <w:t>2.基本要求</w:t>
      </w:r>
    </w:p>
    <w:p w14:paraId="5F565E8C">
      <w:pPr>
        <w:spacing w:line="360" w:lineRule="auto"/>
        <w:ind w:firstLine="630" w:firstLineChars="300"/>
        <w:rPr>
          <w:rFonts w:hint="eastAsia"/>
          <w:color w:val="000000"/>
          <w:sz w:val="21"/>
          <w:szCs w:val="21"/>
        </w:rPr>
      </w:pPr>
      <w:r>
        <w:rPr>
          <w:rFonts w:hint="eastAsia"/>
          <w:color w:val="000000"/>
          <w:sz w:val="21"/>
          <w:szCs w:val="21"/>
        </w:rPr>
        <w:t>能听懂英语授课，并能听懂题材熟悉、句子结构比较简单、基本上无生词、语速为130-150个单词/分钟的简短会话、谈话、报道或讲座，掌握其中心大意，抓住要点和有关细节，领会讲话者的观点和态度。</w:t>
      </w:r>
    </w:p>
    <w:p w14:paraId="6C947AED">
      <w:pPr>
        <w:spacing w:line="360" w:lineRule="auto"/>
        <w:ind w:firstLine="413" w:firstLineChars="196"/>
        <w:rPr>
          <w:b/>
          <w:sz w:val="21"/>
          <w:szCs w:val="21"/>
        </w:rPr>
      </w:pPr>
      <w:r>
        <w:rPr>
          <w:rFonts w:hint="eastAsia"/>
          <w:b/>
          <w:sz w:val="21"/>
          <w:szCs w:val="21"/>
        </w:rPr>
        <w:t>（二）口语表达</w:t>
      </w:r>
    </w:p>
    <w:p w14:paraId="14C63F56">
      <w:pPr>
        <w:spacing w:line="360" w:lineRule="auto"/>
        <w:ind w:firstLine="411" w:firstLineChars="196"/>
        <w:rPr>
          <w:rFonts w:hint="eastAsia"/>
          <w:sz w:val="21"/>
          <w:szCs w:val="21"/>
        </w:rPr>
      </w:pPr>
      <w:r>
        <w:rPr>
          <w:rFonts w:hint="eastAsia"/>
          <w:sz w:val="21"/>
          <w:szCs w:val="21"/>
        </w:rPr>
        <w:t>1.教学内容</w:t>
      </w:r>
    </w:p>
    <w:p w14:paraId="120BC093">
      <w:pPr>
        <w:spacing w:line="360" w:lineRule="auto"/>
        <w:ind w:firstLine="411" w:firstLineChars="196"/>
        <w:rPr>
          <w:sz w:val="21"/>
          <w:szCs w:val="21"/>
        </w:rPr>
      </w:pPr>
      <w:r>
        <w:rPr>
          <w:rFonts w:hint="eastAsia"/>
          <w:sz w:val="21"/>
          <w:szCs w:val="21"/>
        </w:rPr>
        <w:t>（1）语音语调</w:t>
      </w:r>
    </w:p>
    <w:p w14:paraId="6E20CAF5">
      <w:pPr>
        <w:spacing w:line="360" w:lineRule="auto"/>
        <w:ind w:firstLine="411" w:firstLineChars="196"/>
        <w:rPr>
          <w:sz w:val="21"/>
          <w:szCs w:val="21"/>
        </w:rPr>
      </w:pPr>
      <w:r>
        <w:rPr>
          <w:rFonts w:hint="eastAsia"/>
          <w:sz w:val="21"/>
          <w:szCs w:val="21"/>
        </w:rPr>
        <w:t>（2）场景对话、话题发言、主题讨论</w:t>
      </w:r>
    </w:p>
    <w:p w14:paraId="07FB78F5">
      <w:pPr>
        <w:spacing w:line="360" w:lineRule="auto"/>
        <w:ind w:firstLine="411" w:firstLineChars="196"/>
        <w:rPr>
          <w:rFonts w:hint="eastAsia"/>
          <w:sz w:val="21"/>
          <w:szCs w:val="21"/>
        </w:rPr>
      </w:pPr>
      <w:r>
        <w:rPr>
          <w:rFonts w:hint="eastAsia"/>
          <w:color w:val="000000"/>
          <w:sz w:val="21"/>
          <w:szCs w:val="21"/>
        </w:rPr>
        <w:t>（3）会话技巧</w:t>
      </w:r>
    </w:p>
    <w:p w14:paraId="7C8977AD">
      <w:pPr>
        <w:spacing w:line="360" w:lineRule="auto"/>
        <w:ind w:firstLine="411" w:firstLineChars="196"/>
        <w:rPr>
          <w:rFonts w:hint="eastAsia"/>
          <w:sz w:val="21"/>
          <w:szCs w:val="21"/>
        </w:rPr>
      </w:pPr>
      <w:r>
        <w:rPr>
          <w:rFonts w:hint="eastAsia"/>
          <w:sz w:val="21"/>
          <w:szCs w:val="21"/>
        </w:rPr>
        <w:t>2.基本要求</w:t>
      </w:r>
    </w:p>
    <w:p w14:paraId="1AC11D93">
      <w:pPr>
        <w:spacing w:line="360" w:lineRule="auto"/>
        <w:ind w:firstLine="411" w:firstLineChars="196"/>
        <w:rPr>
          <w:rFonts w:hint="eastAsia"/>
          <w:sz w:val="21"/>
          <w:szCs w:val="21"/>
        </w:rPr>
      </w:pPr>
      <w:r>
        <w:rPr>
          <w:rFonts w:hint="eastAsia"/>
          <w:sz w:val="21"/>
          <w:szCs w:val="21"/>
        </w:rPr>
        <w:t>能就日常话题用英语进行简短但多话轮的交谈；能对一般性事件和物体进行简单的叙述或描述；经准备后能就所熟悉的话题作简短发言；能就学习或未来工作相关的主题进行简单的讨论。语言表达结构比较清楚，语音、语调、语法等基本符合交际规范。能运用基本的会话技巧。</w:t>
      </w:r>
    </w:p>
    <w:p w14:paraId="684351FE">
      <w:pPr>
        <w:spacing w:line="360" w:lineRule="auto"/>
        <w:ind w:firstLine="413" w:firstLineChars="196"/>
        <w:rPr>
          <w:rFonts w:hint="eastAsia"/>
          <w:b/>
          <w:sz w:val="21"/>
          <w:szCs w:val="21"/>
        </w:rPr>
      </w:pPr>
      <w:r>
        <w:rPr>
          <w:rFonts w:hint="eastAsia"/>
          <w:b/>
          <w:sz w:val="21"/>
          <w:szCs w:val="21"/>
        </w:rPr>
        <w:t>（三）阅读理解</w:t>
      </w:r>
    </w:p>
    <w:p w14:paraId="27FD47A7">
      <w:pPr>
        <w:spacing w:line="360" w:lineRule="auto"/>
        <w:ind w:firstLine="411" w:firstLineChars="196"/>
        <w:rPr>
          <w:b/>
          <w:sz w:val="21"/>
          <w:szCs w:val="21"/>
        </w:rPr>
      </w:pPr>
      <w:r>
        <w:rPr>
          <w:rFonts w:hint="eastAsia"/>
          <w:sz w:val="21"/>
          <w:szCs w:val="21"/>
        </w:rPr>
        <w:t>1.教学内容</w:t>
      </w:r>
    </w:p>
    <w:p w14:paraId="60DF8023">
      <w:pPr>
        <w:spacing w:line="360" w:lineRule="auto"/>
        <w:ind w:firstLine="420" w:firstLineChars="200"/>
        <w:rPr>
          <w:sz w:val="21"/>
          <w:szCs w:val="21"/>
        </w:rPr>
      </w:pPr>
      <w:r>
        <w:rPr>
          <w:rFonts w:hint="eastAsia"/>
          <w:sz w:val="21"/>
          <w:szCs w:val="21"/>
        </w:rPr>
        <w:t>（1）语篇结构理解</w:t>
      </w:r>
    </w:p>
    <w:p w14:paraId="46AA5DDF">
      <w:pPr>
        <w:spacing w:line="360" w:lineRule="auto"/>
        <w:ind w:firstLine="411" w:firstLineChars="196"/>
        <w:rPr>
          <w:rFonts w:hint="eastAsia"/>
          <w:sz w:val="21"/>
          <w:szCs w:val="21"/>
        </w:rPr>
      </w:pPr>
      <w:r>
        <w:rPr>
          <w:rFonts w:hint="eastAsia"/>
          <w:sz w:val="21"/>
          <w:szCs w:val="21"/>
        </w:rPr>
        <w:t>（2）长难句分析</w:t>
      </w:r>
    </w:p>
    <w:p w14:paraId="18323622">
      <w:pPr>
        <w:spacing w:line="360" w:lineRule="auto"/>
        <w:ind w:firstLine="411" w:firstLineChars="196"/>
        <w:rPr>
          <w:rFonts w:hint="eastAsia"/>
          <w:sz w:val="21"/>
          <w:szCs w:val="21"/>
        </w:rPr>
      </w:pPr>
      <w:r>
        <w:rPr>
          <w:rFonts w:hint="eastAsia"/>
          <w:sz w:val="21"/>
          <w:szCs w:val="21"/>
        </w:rPr>
        <w:t>（3）阅读技巧</w:t>
      </w:r>
    </w:p>
    <w:p w14:paraId="32EEB3C0">
      <w:pPr>
        <w:spacing w:line="360" w:lineRule="auto"/>
        <w:ind w:firstLine="411" w:firstLineChars="196"/>
        <w:rPr>
          <w:rFonts w:hint="eastAsia"/>
          <w:sz w:val="21"/>
          <w:szCs w:val="21"/>
        </w:rPr>
      </w:pPr>
      <w:r>
        <w:rPr>
          <w:rFonts w:hint="eastAsia"/>
          <w:sz w:val="21"/>
          <w:szCs w:val="21"/>
        </w:rPr>
        <w:t>2.基本要求</w:t>
      </w:r>
    </w:p>
    <w:p w14:paraId="0AD6F8F2">
      <w:pPr>
        <w:spacing w:line="360" w:lineRule="auto"/>
        <w:ind w:firstLine="411" w:firstLineChars="196"/>
        <w:rPr>
          <w:sz w:val="21"/>
          <w:szCs w:val="21"/>
        </w:rPr>
      </w:pPr>
      <w:r>
        <w:rPr>
          <w:sz w:val="21"/>
          <w:szCs w:val="21"/>
        </w:rPr>
        <w:t>读懂一般性题材的文章，能基本读懂国内英文报刊，能读懂工作、生活中常见的应用文体的材料；阅读速度达到70单词/分钟；能借助词典阅读英语教材和未来工作、生活中常见的应用文和简单的英文</w:t>
      </w:r>
      <w:r>
        <w:rPr>
          <w:rFonts w:hint="eastAsia"/>
          <w:sz w:val="21"/>
          <w:szCs w:val="21"/>
        </w:rPr>
        <w:t>材料</w:t>
      </w:r>
      <w:r>
        <w:rPr>
          <w:sz w:val="21"/>
          <w:szCs w:val="21"/>
        </w:rPr>
        <w:t>，掌握中心大意，理解主要事实和有关细节，能根据阅读目的的不同和阅读材料的难易，适当调整阅读速度和方法。能运用基本的阅读技巧。</w:t>
      </w:r>
    </w:p>
    <w:p w14:paraId="31F71C3A">
      <w:pPr>
        <w:spacing w:line="360" w:lineRule="auto"/>
        <w:ind w:firstLine="413" w:firstLineChars="196"/>
        <w:rPr>
          <w:rFonts w:hint="eastAsia"/>
          <w:b/>
          <w:sz w:val="21"/>
          <w:szCs w:val="21"/>
        </w:rPr>
      </w:pPr>
      <w:r>
        <w:rPr>
          <w:rFonts w:hint="eastAsia"/>
          <w:b/>
          <w:sz w:val="21"/>
          <w:szCs w:val="21"/>
        </w:rPr>
        <w:t>（四）书面表达</w:t>
      </w:r>
    </w:p>
    <w:p w14:paraId="53799642">
      <w:pPr>
        <w:spacing w:line="360" w:lineRule="auto"/>
        <w:ind w:firstLine="411" w:firstLineChars="196"/>
        <w:rPr>
          <w:b/>
          <w:sz w:val="21"/>
          <w:szCs w:val="21"/>
        </w:rPr>
      </w:pPr>
      <w:r>
        <w:rPr>
          <w:rFonts w:hint="eastAsia"/>
          <w:sz w:val="21"/>
          <w:szCs w:val="21"/>
        </w:rPr>
        <w:t>1.教学内容</w:t>
      </w:r>
    </w:p>
    <w:p w14:paraId="7F53040D">
      <w:pPr>
        <w:spacing w:line="360" w:lineRule="auto"/>
        <w:ind w:firstLine="411" w:firstLineChars="196"/>
        <w:rPr>
          <w:sz w:val="21"/>
          <w:szCs w:val="21"/>
        </w:rPr>
      </w:pPr>
      <w:r>
        <w:rPr>
          <w:rFonts w:hint="eastAsia"/>
          <w:sz w:val="21"/>
          <w:szCs w:val="21"/>
        </w:rPr>
        <w:t>（1）句式结构</w:t>
      </w:r>
    </w:p>
    <w:p w14:paraId="73E70407">
      <w:pPr>
        <w:spacing w:line="360" w:lineRule="auto"/>
        <w:ind w:firstLine="411" w:firstLineChars="196"/>
        <w:rPr>
          <w:rFonts w:hint="eastAsia"/>
          <w:sz w:val="21"/>
          <w:szCs w:val="21"/>
        </w:rPr>
      </w:pPr>
      <w:r>
        <w:rPr>
          <w:rFonts w:hint="eastAsia"/>
          <w:sz w:val="21"/>
          <w:szCs w:val="21"/>
        </w:rPr>
        <w:t>（2）词汇表达</w:t>
      </w:r>
    </w:p>
    <w:p w14:paraId="22056B23">
      <w:pPr>
        <w:spacing w:line="360" w:lineRule="auto"/>
        <w:ind w:firstLine="411" w:firstLineChars="196"/>
        <w:rPr>
          <w:sz w:val="21"/>
          <w:szCs w:val="21"/>
        </w:rPr>
      </w:pPr>
      <w:r>
        <w:rPr>
          <w:rFonts w:hint="eastAsia"/>
          <w:sz w:val="21"/>
          <w:szCs w:val="21"/>
        </w:rPr>
        <w:t>（3）段落发展</w:t>
      </w:r>
    </w:p>
    <w:p w14:paraId="29645E13">
      <w:pPr>
        <w:spacing w:line="360" w:lineRule="auto"/>
        <w:ind w:firstLine="411" w:firstLineChars="196"/>
        <w:rPr>
          <w:rFonts w:hint="eastAsia"/>
          <w:sz w:val="21"/>
          <w:szCs w:val="21"/>
        </w:rPr>
      </w:pPr>
      <w:r>
        <w:rPr>
          <w:rFonts w:hint="eastAsia"/>
          <w:sz w:val="21"/>
          <w:szCs w:val="21"/>
        </w:rPr>
        <w:t>（4）语篇衔接</w:t>
      </w:r>
    </w:p>
    <w:p w14:paraId="22AEC85A">
      <w:pPr>
        <w:spacing w:line="360" w:lineRule="auto"/>
        <w:ind w:firstLine="411" w:firstLineChars="196"/>
        <w:rPr>
          <w:sz w:val="21"/>
          <w:szCs w:val="21"/>
        </w:rPr>
      </w:pPr>
      <w:r>
        <w:rPr>
          <w:rFonts w:hint="eastAsia"/>
          <w:sz w:val="21"/>
          <w:szCs w:val="21"/>
        </w:rPr>
        <w:t>（5）实用写作</w:t>
      </w:r>
    </w:p>
    <w:p w14:paraId="10B61167">
      <w:pPr>
        <w:spacing w:line="360" w:lineRule="auto"/>
        <w:ind w:firstLine="411" w:firstLineChars="196"/>
        <w:rPr>
          <w:rFonts w:hint="eastAsia"/>
          <w:sz w:val="21"/>
          <w:szCs w:val="21"/>
        </w:rPr>
      </w:pPr>
      <w:r>
        <w:rPr>
          <w:rFonts w:hint="eastAsia"/>
          <w:sz w:val="21"/>
          <w:szCs w:val="21"/>
        </w:rPr>
        <w:t>2.基本要求</w:t>
      </w:r>
    </w:p>
    <w:p w14:paraId="04FF243B">
      <w:pPr>
        <w:spacing w:line="360" w:lineRule="auto"/>
        <w:ind w:firstLine="411" w:firstLineChars="196"/>
        <w:rPr>
          <w:rFonts w:hint="eastAsia"/>
          <w:sz w:val="21"/>
          <w:szCs w:val="21"/>
        </w:rPr>
      </w:pPr>
      <w:r>
        <w:rPr>
          <w:rFonts w:hint="eastAsia"/>
          <w:sz w:val="21"/>
          <w:szCs w:val="21"/>
        </w:rPr>
        <w:t>能完成一般性写作任务，用英语描述个人经历、观感、情感和发生的事件等。能就给定话题或提纲在30分钟内写出大约150个单词的短文；能写常见的应用文；能就一般性话题或提纲以短文的形式展开简短的讨论、解释、说明等。语言结构基本完整，中心思想明确，用词较为恰当，语意连贯。能运用基本的写作技巧。</w:t>
      </w:r>
    </w:p>
    <w:p w14:paraId="7A9224EB">
      <w:pPr>
        <w:spacing w:line="360" w:lineRule="auto"/>
        <w:ind w:left="412" w:leftChars="196"/>
        <w:rPr>
          <w:rFonts w:hint="eastAsia"/>
          <w:b/>
          <w:sz w:val="21"/>
          <w:szCs w:val="21"/>
        </w:rPr>
      </w:pPr>
      <w:r>
        <w:rPr>
          <w:rFonts w:hint="eastAsia"/>
          <w:b/>
          <w:sz w:val="21"/>
          <w:szCs w:val="21"/>
        </w:rPr>
        <w:t>（五）中英互译</w:t>
      </w:r>
    </w:p>
    <w:p w14:paraId="2A017198">
      <w:pPr>
        <w:spacing w:line="360" w:lineRule="auto"/>
        <w:ind w:firstLine="411" w:firstLineChars="196"/>
        <w:rPr>
          <w:b/>
          <w:sz w:val="21"/>
          <w:szCs w:val="21"/>
        </w:rPr>
      </w:pPr>
      <w:r>
        <w:rPr>
          <w:rFonts w:hint="eastAsia"/>
          <w:sz w:val="21"/>
          <w:szCs w:val="21"/>
        </w:rPr>
        <w:t>1.教学内容</w:t>
      </w:r>
    </w:p>
    <w:p w14:paraId="0019737E">
      <w:pPr>
        <w:spacing w:line="360" w:lineRule="auto"/>
        <w:ind w:firstLine="420" w:firstLineChars="200"/>
        <w:rPr>
          <w:rFonts w:hint="eastAsia"/>
          <w:sz w:val="21"/>
          <w:szCs w:val="21"/>
        </w:rPr>
      </w:pPr>
      <w:r>
        <w:rPr>
          <w:rFonts w:hint="eastAsia"/>
          <w:sz w:val="21"/>
          <w:szCs w:val="21"/>
        </w:rPr>
        <w:t>（1）中西语言差异</w:t>
      </w:r>
    </w:p>
    <w:p w14:paraId="1DF5F144">
      <w:pPr>
        <w:spacing w:line="360" w:lineRule="auto"/>
        <w:ind w:firstLine="420" w:firstLineChars="200"/>
        <w:rPr>
          <w:rFonts w:hint="eastAsia"/>
          <w:sz w:val="21"/>
          <w:szCs w:val="21"/>
        </w:rPr>
      </w:pPr>
      <w:r>
        <w:rPr>
          <w:rFonts w:hint="eastAsia"/>
          <w:sz w:val="21"/>
          <w:szCs w:val="21"/>
        </w:rPr>
        <w:t>（2）翻译策略</w:t>
      </w:r>
    </w:p>
    <w:p w14:paraId="19A66C54">
      <w:pPr>
        <w:spacing w:line="360" w:lineRule="auto"/>
        <w:ind w:firstLine="411" w:firstLineChars="196"/>
        <w:rPr>
          <w:rFonts w:hint="eastAsia"/>
          <w:sz w:val="21"/>
          <w:szCs w:val="21"/>
        </w:rPr>
      </w:pPr>
      <w:r>
        <w:rPr>
          <w:rFonts w:hint="eastAsia"/>
          <w:sz w:val="21"/>
          <w:szCs w:val="21"/>
        </w:rPr>
        <w:t>2.基本要求</w:t>
      </w:r>
    </w:p>
    <w:p w14:paraId="55303230">
      <w:pPr>
        <w:spacing w:line="360" w:lineRule="auto"/>
        <w:ind w:firstLine="420" w:firstLineChars="200"/>
        <w:rPr>
          <w:rFonts w:hint="eastAsia"/>
          <w:sz w:val="21"/>
          <w:szCs w:val="21"/>
        </w:rPr>
      </w:pPr>
      <w:r>
        <w:rPr>
          <w:rFonts w:hint="eastAsia"/>
          <w:sz w:val="21"/>
          <w:szCs w:val="21"/>
        </w:rPr>
        <w:t>能借助词典对题材熟悉、结构清晰、语言难度较低的文章进行英汉互译，能借助词典翻译有一定深度的介绍中外国情或文化的文字资料，译文基本准确，无重大的理解和语言表达错误。能运用基本的翻译技巧。</w:t>
      </w:r>
    </w:p>
    <w:p w14:paraId="7EAF63DB">
      <w:pPr>
        <w:spacing w:line="360" w:lineRule="auto"/>
        <w:ind w:firstLine="420" w:firstLineChars="200"/>
        <w:rPr>
          <w:rFonts w:hint="eastAsia"/>
          <w:sz w:val="21"/>
          <w:szCs w:val="21"/>
        </w:rPr>
      </w:pPr>
      <w:r>
        <w:rPr>
          <w:rFonts w:hint="eastAsia"/>
          <w:sz w:val="21"/>
          <w:szCs w:val="21"/>
        </w:rPr>
        <w:t>教学内容与</w:t>
      </w:r>
      <w:r>
        <w:rPr>
          <w:sz w:val="21"/>
          <w:szCs w:val="21"/>
        </w:rPr>
        <w:t>课程目标的</w:t>
      </w:r>
      <w:r>
        <w:rPr>
          <w:rFonts w:hint="eastAsia"/>
          <w:sz w:val="21"/>
          <w:szCs w:val="21"/>
        </w:rPr>
        <w:t>对应关系及</w:t>
      </w:r>
      <w:r>
        <w:rPr>
          <w:sz w:val="21"/>
          <w:szCs w:val="21"/>
        </w:rPr>
        <w:t>学时分配</w:t>
      </w:r>
      <w:r>
        <w:rPr>
          <w:rFonts w:hint="eastAsia"/>
          <w:sz w:val="21"/>
          <w:szCs w:val="21"/>
        </w:rPr>
        <w:t>如表2所示。</w:t>
      </w:r>
    </w:p>
    <w:p w14:paraId="2AC1F6AD">
      <w:pPr>
        <w:spacing w:line="360" w:lineRule="auto"/>
        <w:ind w:firstLine="420" w:firstLineChars="200"/>
        <w:jc w:val="center"/>
        <w:rPr>
          <w:sz w:val="21"/>
          <w:szCs w:val="21"/>
        </w:rPr>
      </w:pPr>
      <w:r>
        <w:rPr>
          <w:sz w:val="21"/>
          <w:szCs w:val="21"/>
        </w:rPr>
        <w:t>表2  教学内容与课程目标的对应关系及学时分配表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163"/>
        <w:gridCol w:w="1512"/>
        <w:gridCol w:w="1638"/>
        <w:gridCol w:w="737"/>
        <w:gridCol w:w="750"/>
        <w:gridCol w:w="3209"/>
      </w:tblGrid>
      <w:tr w14:paraId="7F17A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E3C889">
            <w:pPr>
              <w:widowControl/>
              <w:adjustRightInd w:val="0"/>
              <w:snapToGrid w:val="0"/>
              <w:jc w:val="center"/>
              <w:rPr>
                <w:b/>
                <w:bCs/>
                <w:sz w:val="21"/>
                <w:szCs w:val="21"/>
              </w:rPr>
            </w:pPr>
            <w:r>
              <w:rPr>
                <w:b/>
                <w:bCs/>
                <w:sz w:val="21"/>
                <w:szCs w:val="21"/>
              </w:rPr>
              <w:t>序号</w:t>
            </w:r>
          </w:p>
        </w:tc>
        <w:tc>
          <w:tcPr>
            <w:tcW w:w="11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947D03">
            <w:pPr>
              <w:widowControl/>
              <w:adjustRightInd w:val="0"/>
              <w:snapToGrid w:val="0"/>
              <w:jc w:val="center"/>
              <w:rPr>
                <w:b/>
                <w:bCs/>
                <w:sz w:val="21"/>
                <w:szCs w:val="21"/>
              </w:rPr>
            </w:pPr>
            <w:r>
              <w:rPr>
                <w:b/>
                <w:bCs/>
                <w:sz w:val="21"/>
                <w:szCs w:val="21"/>
              </w:rPr>
              <w:t>教学内容</w:t>
            </w:r>
          </w:p>
        </w:tc>
        <w:tc>
          <w:tcPr>
            <w:tcW w:w="15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492C8D">
            <w:pPr>
              <w:widowControl/>
              <w:adjustRightInd w:val="0"/>
              <w:snapToGrid w:val="0"/>
              <w:jc w:val="center"/>
              <w:rPr>
                <w:b/>
                <w:bCs/>
                <w:sz w:val="21"/>
                <w:szCs w:val="21"/>
              </w:rPr>
            </w:pPr>
            <w:r>
              <w:rPr>
                <w:b/>
                <w:bCs/>
                <w:sz w:val="21"/>
                <w:szCs w:val="21"/>
              </w:rPr>
              <w:t>支撑的课程目标</w:t>
            </w:r>
          </w:p>
        </w:tc>
        <w:tc>
          <w:tcPr>
            <w:tcW w:w="16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A0C309">
            <w:pPr>
              <w:widowControl/>
              <w:adjustRightInd w:val="0"/>
              <w:snapToGrid w:val="0"/>
              <w:jc w:val="center"/>
              <w:rPr>
                <w:b/>
                <w:bCs/>
                <w:sz w:val="21"/>
                <w:szCs w:val="21"/>
              </w:rPr>
            </w:pPr>
            <w:r>
              <w:rPr>
                <w:b/>
                <w:bCs/>
                <w:sz w:val="21"/>
                <w:szCs w:val="21"/>
              </w:rPr>
              <w:t>支撑的毕业要求</w:t>
            </w:r>
            <w:r>
              <w:rPr>
                <w:rFonts w:hint="eastAsia"/>
                <w:b/>
                <w:bCs/>
                <w:sz w:val="21"/>
                <w:szCs w:val="21"/>
              </w:rPr>
              <w:t>观测</w:t>
            </w:r>
            <w:r>
              <w:rPr>
                <w:b/>
                <w:bCs/>
                <w:sz w:val="21"/>
                <w:szCs w:val="21"/>
              </w:rPr>
              <w:t>点</w:t>
            </w:r>
          </w:p>
        </w:tc>
        <w:tc>
          <w:tcPr>
            <w:tcW w:w="7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3B4611">
            <w:pPr>
              <w:widowControl/>
              <w:adjustRightInd w:val="0"/>
              <w:snapToGrid w:val="0"/>
              <w:jc w:val="center"/>
              <w:rPr>
                <w:b/>
                <w:bCs/>
                <w:color w:val="FF0000"/>
                <w:sz w:val="21"/>
                <w:szCs w:val="21"/>
              </w:rPr>
            </w:pPr>
            <w:r>
              <w:rPr>
                <w:b/>
                <w:bCs/>
                <w:color w:val="000000"/>
                <w:sz w:val="21"/>
                <w:szCs w:val="21"/>
              </w:rPr>
              <w:t>讲授学时</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830DF6">
            <w:pPr>
              <w:widowControl/>
              <w:adjustRightInd w:val="0"/>
              <w:snapToGrid w:val="0"/>
              <w:jc w:val="center"/>
              <w:rPr>
                <w:b/>
                <w:bCs/>
                <w:sz w:val="21"/>
                <w:szCs w:val="21"/>
              </w:rPr>
            </w:pPr>
            <w:r>
              <w:rPr>
                <w:b/>
                <w:bCs/>
                <w:sz w:val="21"/>
                <w:szCs w:val="21"/>
              </w:rPr>
              <w:t>实验学时</w:t>
            </w:r>
          </w:p>
        </w:tc>
        <w:tc>
          <w:tcPr>
            <w:tcW w:w="32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8A207D">
            <w:pPr>
              <w:widowControl/>
              <w:adjustRightInd w:val="0"/>
              <w:snapToGrid w:val="0"/>
              <w:spacing w:line="240" w:lineRule="auto"/>
              <w:jc w:val="center"/>
              <w:rPr>
                <w:b/>
                <w:bCs/>
                <w:sz w:val="21"/>
                <w:szCs w:val="21"/>
              </w:rPr>
            </w:pPr>
            <w:r>
              <w:rPr>
                <w:rFonts w:hint="eastAsia"/>
                <w:b/>
                <w:bCs/>
                <w:sz w:val="21"/>
                <w:szCs w:val="21"/>
              </w:rPr>
              <w:t>课程思政融入点</w:t>
            </w:r>
          </w:p>
        </w:tc>
      </w:tr>
      <w:tr w14:paraId="3F5B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trPr>
        <w:tc>
          <w:tcPr>
            <w:tcW w:w="667" w:type="dxa"/>
            <w:tcBorders>
              <w:top w:val="single" w:color="auto" w:sz="4" w:space="0"/>
              <w:left w:val="single" w:color="auto" w:sz="4" w:space="0"/>
              <w:bottom w:val="single" w:color="auto" w:sz="4" w:space="0"/>
              <w:right w:val="single" w:color="auto" w:sz="4" w:space="0"/>
            </w:tcBorders>
            <w:noWrap w:val="0"/>
            <w:vAlign w:val="center"/>
          </w:tcPr>
          <w:p w14:paraId="3A705284">
            <w:pPr>
              <w:widowControl/>
              <w:adjustRightInd w:val="0"/>
              <w:snapToGrid w:val="0"/>
              <w:jc w:val="center"/>
              <w:rPr>
                <w:sz w:val="21"/>
                <w:szCs w:val="21"/>
              </w:rPr>
            </w:pPr>
            <w:r>
              <w:rPr>
                <w:sz w:val="21"/>
                <w:szCs w:val="21"/>
              </w:rPr>
              <w:t>1</w:t>
            </w:r>
          </w:p>
        </w:tc>
        <w:tc>
          <w:tcPr>
            <w:tcW w:w="1163" w:type="dxa"/>
            <w:tcBorders>
              <w:top w:val="single" w:color="auto" w:sz="4" w:space="0"/>
              <w:left w:val="single" w:color="auto" w:sz="4" w:space="0"/>
              <w:bottom w:val="single" w:color="auto" w:sz="4" w:space="0"/>
              <w:right w:val="single" w:color="auto" w:sz="4" w:space="0"/>
            </w:tcBorders>
            <w:noWrap w:val="0"/>
            <w:vAlign w:val="center"/>
          </w:tcPr>
          <w:p w14:paraId="6A3CF9DE">
            <w:pPr>
              <w:widowControl/>
              <w:adjustRightInd w:val="0"/>
              <w:snapToGrid w:val="0"/>
              <w:jc w:val="center"/>
              <w:rPr>
                <w:color w:val="000000"/>
                <w:sz w:val="21"/>
                <w:szCs w:val="21"/>
              </w:rPr>
            </w:pPr>
            <w:r>
              <w:rPr>
                <w:rFonts w:hint="eastAsia"/>
                <w:color w:val="000000"/>
                <w:sz w:val="21"/>
                <w:szCs w:val="21"/>
              </w:rPr>
              <w:t>听力理解</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6BEEC556">
            <w:pPr>
              <w:widowControl/>
              <w:adjustRightInd w:val="0"/>
              <w:snapToGrid w:val="0"/>
              <w:jc w:val="center"/>
              <w:rPr>
                <w:color w:val="000000"/>
                <w:sz w:val="21"/>
                <w:szCs w:val="21"/>
              </w:rPr>
            </w:pPr>
            <w:r>
              <w:rPr>
                <w:color w:val="000000"/>
                <w:sz w:val="21"/>
                <w:szCs w:val="21"/>
              </w:rPr>
              <w:t>1、</w:t>
            </w:r>
            <w:r>
              <w:rPr>
                <w:rFonts w:hint="eastAsia"/>
                <w:color w:val="000000"/>
                <w:sz w:val="21"/>
                <w:szCs w:val="21"/>
              </w:rPr>
              <w:t>2、 3</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0040A5E7">
            <w:pPr>
              <w:widowControl/>
              <w:adjustRightInd w:val="0"/>
              <w:snapToGrid w:val="0"/>
              <w:jc w:val="center"/>
              <w:rPr>
                <w:rFonts w:hint="default" w:eastAsia="宋体"/>
                <w:sz w:val="21"/>
                <w:szCs w:val="21"/>
                <w:lang w:val="en-US" w:eastAsia="zh-CN"/>
              </w:rPr>
            </w:pPr>
            <w:r>
              <w:rPr>
                <w:rFonts w:hint="eastAsia"/>
                <w:color w:val="000000"/>
                <w:sz w:val="21"/>
                <w:szCs w:val="21"/>
                <w:lang w:val="en-US" w:eastAsia="zh-CN"/>
              </w:rPr>
              <w:t>3-1</w:t>
            </w:r>
            <w:r>
              <w:rPr>
                <w:rFonts w:hint="eastAsia"/>
                <w:color w:val="000000"/>
                <w:sz w:val="21"/>
                <w:szCs w:val="21"/>
              </w:rPr>
              <w:t>、</w:t>
            </w:r>
            <w:r>
              <w:rPr>
                <w:rFonts w:hint="eastAsia"/>
                <w:color w:val="000000"/>
                <w:sz w:val="21"/>
                <w:szCs w:val="21"/>
                <w:lang w:val="en-US" w:eastAsia="zh-CN"/>
              </w:rPr>
              <w:t>8-2</w:t>
            </w:r>
          </w:p>
        </w:tc>
        <w:tc>
          <w:tcPr>
            <w:tcW w:w="737" w:type="dxa"/>
            <w:tcBorders>
              <w:top w:val="single" w:color="auto" w:sz="4" w:space="0"/>
              <w:left w:val="single" w:color="auto" w:sz="4" w:space="0"/>
              <w:bottom w:val="single" w:color="auto" w:sz="4" w:space="0"/>
              <w:right w:val="single" w:color="auto" w:sz="4" w:space="0"/>
            </w:tcBorders>
            <w:noWrap w:val="0"/>
            <w:vAlign w:val="center"/>
          </w:tcPr>
          <w:p w14:paraId="6D677636">
            <w:pPr>
              <w:widowControl/>
              <w:adjustRightInd w:val="0"/>
              <w:snapToGrid w:val="0"/>
              <w:jc w:val="center"/>
              <w:rPr>
                <w:rFonts w:hint="eastAsia"/>
                <w:color w:val="000000"/>
                <w:sz w:val="21"/>
                <w:szCs w:val="21"/>
              </w:rPr>
            </w:pPr>
            <w:r>
              <w:rPr>
                <w:rFonts w:hint="eastAsia"/>
                <w:color w:val="000000"/>
                <w:sz w:val="21"/>
                <w:szCs w:val="21"/>
              </w:rPr>
              <w:t>8</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2272B608">
            <w:pPr>
              <w:widowControl/>
              <w:adjustRightInd w:val="0"/>
              <w:snapToGrid w:val="0"/>
              <w:jc w:val="center"/>
              <w:rPr>
                <w:rFonts w:hint="eastAsia"/>
                <w:sz w:val="21"/>
                <w:szCs w:val="21"/>
              </w:rPr>
            </w:pPr>
            <w:r>
              <w:rPr>
                <w:rFonts w:hint="eastAsia"/>
                <w:sz w:val="21"/>
                <w:szCs w:val="21"/>
              </w:rPr>
              <w:t>0</w:t>
            </w:r>
          </w:p>
        </w:tc>
        <w:tc>
          <w:tcPr>
            <w:tcW w:w="3209" w:type="dxa"/>
            <w:tcBorders>
              <w:top w:val="single" w:color="auto" w:sz="4" w:space="0"/>
              <w:left w:val="single" w:color="auto" w:sz="4" w:space="0"/>
              <w:bottom w:val="single" w:color="auto" w:sz="4" w:space="0"/>
              <w:right w:val="single" w:color="auto" w:sz="4" w:space="0"/>
            </w:tcBorders>
            <w:noWrap w:val="0"/>
            <w:vAlign w:val="top"/>
          </w:tcPr>
          <w:p w14:paraId="1B31F526">
            <w:pPr>
              <w:widowControl/>
              <w:adjustRightInd w:val="0"/>
              <w:snapToGrid w:val="0"/>
              <w:jc w:val="left"/>
              <w:rPr>
                <w:color w:val="000000"/>
                <w:sz w:val="21"/>
                <w:szCs w:val="21"/>
              </w:rPr>
            </w:pPr>
            <w:r>
              <w:rPr>
                <w:rFonts w:hint="eastAsia"/>
                <w:color w:val="000000"/>
                <w:sz w:val="21"/>
                <w:szCs w:val="21"/>
              </w:rPr>
              <w:t>国家认同与民族情怀。文化辨识与批判思维。文化自信。</w:t>
            </w:r>
          </w:p>
        </w:tc>
      </w:tr>
      <w:tr w14:paraId="5839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667" w:type="dxa"/>
            <w:tcBorders>
              <w:top w:val="single" w:color="auto" w:sz="4" w:space="0"/>
              <w:left w:val="single" w:color="auto" w:sz="4" w:space="0"/>
              <w:bottom w:val="single" w:color="auto" w:sz="4" w:space="0"/>
              <w:right w:val="single" w:color="auto" w:sz="4" w:space="0"/>
            </w:tcBorders>
            <w:noWrap w:val="0"/>
            <w:vAlign w:val="center"/>
          </w:tcPr>
          <w:p w14:paraId="3824B513">
            <w:pPr>
              <w:widowControl/>
              <w:adjustRightInd w:val="0"/>
              <w:snapToGrid w:val="0"/>
              <w:jc w:val="center"/>
              <w:rPr>
                <w:sz w:val="21"/>
                <w:szCs w:val="21"/>
              </w:rPr>
            </w:pPr>
            <w:r>
              <w:rPr>
                <w:sz w:val="21"/>
                <w:szCs w:val="21"/>
              </w:rPr>
              <w:t>2</w:t>
            </w:r>
          </w:p>
        </w:tc>
        <w:tc>
          <w:tcPr>
            <w:tcW w:w="1163" w:type="dxa"/>
            <w:tcBorders>
              <w:top w:val="single" w:color="auto" w:sz="4" w:space="0"/>
              <w:left w:val="single" w:color="auto" w:sz="4" w:space="0"/>
              <w:bottom w:val="single" w:color="auto" w:sz="4" w:space="0"/>
              <w:right w:val="single" w:color="auto" w:sz="4" w:space="0"/>
            </w:tcBorders>
            <w:noWrap w:val="0"/>
            <w:vAlign w:val="center"/>
          </w:tcPr>
          <w:p w14:paraId="3134E0D6">
            <w:pPr>
              <w:widowControl/>
              <w:adjustRightInd w:val="0"/>
              <w:snapToGrid w:val="0"/>
              <w:jc w:val="center"/>
              <w:rPr>
                <w:color w:val="000000"/>
                <w:sz w:val="21"/>
                <w:szCs w:val="21"/>
              </w:rPr>
            </w:pPr>
            <w:r>
              <w:rPr>
                <w:rFonts w:hint="eastAsia"/>
                <w:color w:val="000000"/>
                <w:sz w:val="21"/>
                <w:szCs w:val="21"/>
              </w:rPr>
              <w:t>口语表达</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71C038E0">
            <w:pPr>
              <w:widowControl/>
              <w:adjustRightInd w:val="0"/>
              <w:snapToGrid w:val="0"/>
              <w:jc w:val="center"/>
              <w:rPr>
                <w:color w:val="000000"/>
                <w:sz w:val="21"/>
                <w:szCs w:val="21"/>
              </w:rPr>
            </w:pPr>
            <w:r>
              <w:rPr>
                <w:rFonts w:hint="eastAsia"/>
                <w:color w:val="000000"/>
                <w:sz w:val="21"/>
                <w:szCs w:val="21"/>
              </w:rPr>
              <w:t>1</w:t>
            </w:r>
            <w:r>
              <w:rPr>
                <w:color w:val="000000"/>
                <w:sz w:val="21"/>
                <w:szCs w:val="21"/>
              </w:rPr>
              <w:t>、</w:t>
            </w:r>
            <w:r>
              <w:rPr>
                <w:rFonts w:hint="eastAsia"/>
                <w:color w:val="000000"/>
                <w:sz w:val="21"/>
                <w:szCs w:val="21"/>
              </w:rPr>
              <w:t>2、 3</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444483D6">
            <w:pPr>
              <w:widowControl/>
              <w:adjustRightInd w:val="0"/>
              <w:snapToGrid w:val="0"/>
              <w:jc w:val="center"/>
              <w:rPr>
                <w:rFonts w:hint="default" w:eastAsia="宋体"/>
                <w:sz w:val="21"/>
                <w:szCs w:val="21"/>
                <w:lang w:val="en-US" w:eastAsia="zh-CN"/>
              </w:rPr>
            </w:pPr>
            <w:r>
              <w:rPr>
                <w:rFonts w:hint="eastAsia"/>
                <w:color w:val="000000"/>
                <w:sz w:val="21"/>
                <w:szCs w:val="21"/>
                <w:lang w:val="en-US" w:eastAsia="zh-CN"/>
              </w:rPr>
              <w:t>3-1</w:t>
            </w:r>
            <w:r>
              <w:rPr>
                <w:rFonts w:hint="eastAsia"/>
                <w:color w:val="000000"/>
                <w:sz w:val="21"/>
                <w:szCs w:val="21"/>
              </w:rPr>
              <w:t>、</w:t>
            </w:r>
            <w:r>
              <w:rPr>
                <w:rFonts w:hint="eastAsia"/>
                <w:color w:val="000000"/>
                <w:sz w:val="21"/>
                <w:szCs w:val="21"/>
                <w:lang w:val="en-US" w:eastAsia="zh-CN"/>
              </w:rPr>
              <w:t>7-1</w:t>
            </w:r>
          </w:p>
        </w:tc>
        <w:tc>
          <w:tcPr>
            <w:tcW w:w="737" w:type="dxa"/>
            <w:tcBorders>
              <w:top w:val="single" w:color="auto" w:sz="4" w:space="0"/>
              <w:left w:val="single" w:color="auto" w:sz="4" w:space="0"/>
              <w:bottom w:val="single" w:color="auto" w:sz="4" w:space="0"/>
              <w:right w:val="single" w:color="auto" w:sz="4" w:space="0"/>
            </w:tcBorders>
            <w:noWrap w:val="0"/>
            <w:vAlign w:val="center"/>
          </w:tcPr>
          <w:p w14:paraId="5B98DD44">
            <w:pPr>
              <w:widowControl/>
              <w:adjustRightInd w:val="0"/>
              <w:snapToGrid w:val="0"/>
              <w:jc w:val="center"/>
              <w:rPr>
                <w:rFonts w:hint="eastAsia"/>
                <w:color w:val="000000"/>
                <w:sz w:val="21"/>
                <w:szCs w:val="21"/>
              </w:rPr>
            </w:pPr>
            <w:r>
              <w:rPr>
                <w:rFonts w:hint="eastAsia"/>
                <w:color w:val="000000"/>
                <w:sz w:val="21"/>
                <w:szCs w:val="21"/>
              </w:rPr>
              <w:t>5</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795B16CF">
            <w:pPr>
              <w:widowControl/>
              <w:adjustRightInd w:val="0"/>
              <w:snapToGrid w:val="0"/>
              <w:jc w:val="center"/>
              <w:rPr>
                <w:rFonts w:hint="eastAsia"/>
                <w:sz w:val="21"/>
                <w:szCs w:val="21"/>
              </w:rPr>
            </w:pPr>
            <w:r>
              <w:rPr>
                <w:rFonts w:hint="eastAsia"/>
                <w:sz w:val="21"/>
                <w:szCs w:val="21"/>
              </w:rPr>
              <w:t>0</w:t>
            </w:r>
          </w:p>
        </w:tc>
        <w:tc>
          <w:tcPr>
            <w:tcW w:w="3209" w:type="dxa"/>
            <w:tcBorders>
              <w:top w:val="single" w:color="auto" w:sz="4" w:space="0"/>
              <w:left w:val="single" w:color="auto" w:sz="4" w:space="0"/>
              <w:bottom w:val="single" w:color="auto" w:sz="4" w:space="0"/>
              <w:right w:val="single" w:color="auto" w:sz="4" w:space="0"/>
            </w:tcBorders>
            <w:noWrap w:val="0"/>
            <w:vAlign w:val="top"/>
          </w:tcPr>
          <w:p w14:paraId="5C94EC30">
            <w:pPr>
              <w:widowControl/>
              <w:adjustRightInd w:val="0"/>
              <w:snapToGrid w:val="0"/>
              <w:jc w:val="left"/>
              <w:rPr>
                <w:color w:val="000000"/>
                <w:sz w:val="21"/>
                <w:szCs w:val="21"/>
              </w:rPr>
            </w:pPr>
            <w:r>
              <w:rPr>
                <w:rFonts w:hint="eastAsia"/>
                <w:color w:val="000000"/>
                <w:sz w:val="21"/>
                <w:szCs w:val="21"/>
              </w:rPr>
              <w:t>克服焦虑，树立信心。传播社会主义核心价值观、中华优秀传统文化。讲好中国故事。</w:t>
            </w:r>
          </w:p>
        </w:tc>
      </w:tr>
      <w:tr w14:paraId="1002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667" w:type="dxa"/>
            <w:tcBorders>
              <w:top w:val="single" w:color="auto" w:sz="4" w:space="0"/>
              <w:left w:val="single" w:color="auto" w:sz="4" w:space="0"/>
              <w:bottom w:val="single" w:color="auto" w:sz="4" w:space="0"/>
              <w:right w:val="single" w:color="auto" w:sz="4" w:space="0"/>
            </w:tcBorders>
            <w:noWrap w:val="0"/>
            <w:vAlign w:val="center"/>
          </w:tcPr>
          <w:p w14:paraId="63B55539">
            <w:pPr>
              <w:widowControl/>
              <w:adjustRightInd w:val="0"/>
              <w:snapToGrid w:val="0"/>
              <w:jc w:val="center"/>
              <w:rPr>
                <w:sz w:val="21"/>
                <w:szCs w:val="21"/>
              </w:rPr>
            </w:pPr>
            <w:r>
              <w:rPr>
                <w:sz w:val="21"/>
                <w:szCs w:val="21"/>
              </w:rPr>
              <w:t>3</w:t>
            </w:r>
          </w:p>
        </w:tc>
        <w:tc>
          <w:tcPr>
            <w:tcW w:w="1163" w:type="dxa"/>
            <w:tcBorders>
              <w:top w:val="single" w:color="auto" w:sz="4" w:space="0"/>
              <w:left w:val="single" w:color="auto" w:sz="4" w:space="0"/>
              <w:bottom w:val="single" w:color="auto" w:sz="4" w:space="0"/>
              <w:right w:val="single" w:color="auto" w:sz="4" w:space="0"/>
            </w:tcBorders>
            <w:noWrap w:val="0"/>
            <w:vAlign w:val="center"/>
          </w:tcPr>
          <w:p w14:paraId="1F66EAA9">
            <w:pPr>
              <w:widowControl/>
              <w:adjustRightInd w:val="0"/>
              <w:snapToGrid w:val="0"/>
              <w:jc w:val="center"/>
              <w:rPr>
                <w:color w:val="000000"/>
                <w:sz w:val="21"/>
                <w:szCs w:val="21"/>
              </w:rPr>
            </w:pPr>
            <w:r>
              <w:rPr>
                <w:rFonts w:hint="eastAsia"/>
                <w:color w:val="000000"/>
                <w:sz w:val="21"/>
                <w:szCs w:val="21"/>
              </w:rPr>
              <w:t>阅读理解</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09D1DA6B">
            <w:pPr>
              <w:widowControl/>
              <w:adjustRightInd w:val="0"/>
              <w:snapToGrid w:val="0"/>
              <w:jc w:val="center"/>
              <w:rPr>
                <w:color w:val="000000"/>
                <w:sz w:val="21"/>
                <w:szCs w:val="21"/>
              </w:rPr>
            </w:pPr>
            <w:r>
              <w:rPr>
                <w:rFonts w:hint="eastAsia"/>
                <w:color w:val="000000"/>
                <w:sz w:val="21"/>
                <w:szCs w:val="21"/>
              </w:rPr>
              <w:t>1</w:t>
            </w:r>
            <w:r>
              <w:rPr>
                <w:color w:val="000000"/>
                <w:sz w:val="21"/>
                <w:szCs w:val="21"/>
              </w:rPr>
              <w:t>、</w:t>
            </w:r>
            <w:r>
              <w:rPr>
                <w:rFonts w:hint="eastAsia"/>
                <w:color w:val="000000"/>
                <w:sz w:val="21"/>
                <w:szCs w:val="21"/>
              </w:rPr>
              <w:t>2、 3</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6DB4E27E">
            <w:pPr>
              <w:widowControl/>
              <w:adjustRightInd w:val="0"/>
              <w:snapToGrid w:val="0"/>
              <w:jc w:val="center"/>
              <w:rPr>
                <w:rFonts w:hint="default" w:eastAsia="宋体"/>
                <w:sz w:val="21"/>
                <w:szCs w:val="21"/>
                <w:lang w:val="en-US" w:eastAsia="zh-CN"/>
              </w:rPr>
            </w:pPr>
            <w:r>
              <w:rPr>
                <w:rFonts w:hint="eastAsia"/>
                <w:color w:val="000000"/>
                <w:sz w:val="21"/>
                <w:szCs w:val="21"/>
                <w:lang w:val="en-US" w:eastAsia="zh-CN"/>
              </w:rPr>
              <w:t>3-1</w:t>
            </w:r>
            <w:r>
              <w:rPr>
                <w:rFonts w:hint="eastAsia"/>
                <w:color w:val="000000"/>
                <w:sz w:val="21"/>
                <w:szCs w:val="21"/>
              </w:rPr>
              <w:t>、</w:t>
            </w:r>
            <w:r>
              <w:rPr>
                <w:rFonts w:hint="eastAsia"/>
                <w:color w:val="000000"/>
                <w:sz w:val="21"/>
                <w:szCs w:val="21"/>
                <w:lang w:val="en-US" w:eastAsia="zh-CN"/>
              </w:rPr>
              <w:t>7-1</w:t>
            </w:r>
          </w:p>
        </w:tc>
        <w:tc>
          <w:tcPr>
            <w:tcW w:w="737" w:type="dxa"/>
            <w:tcBorders>
              <w:top w:val="single" w:color="auto" w:sz="4" w:space="0"/>
              <w:left w:val="single" w:color="auto" w:sz="4" w:space="0"/>
              <w:bottom w:val="single" w:color="auto" w:sz="4" w:space="0"/>
              <w:right w:val="single" w:color="auto" w:sz="4" w:space="0"/>
            </w:tcBorders>
            <w:noWrap w:val="0"/>
            <w:vAlign w:val="center"/>
          </w:tcPr>
          <w:p w14:paraId="2F5CC812">
            <w:pPr>
              <w:widowControl/>
              <w:adjustRightInd w:val="0"/>
              <w:snapToGrid w:val="0"/>
              <w:jc w:val="center"/>
              <w:rPr>
                <w:color w:val="000000"/>
                <w:sz w:val="21"/>
                <w:szCs w:val="21"/>
              </w:rPr>
            </w:pPr>
            <w:r>
              <w:rPr>
                <w:rFonts w:hint="eastAsia"/>
                <w:color w:val="000000"/>
                <w:sz w:val="21"/>
                <w:szCs w:val="21"/>
              </w:rPr>
              <w:t>10</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2FD1BDDC">
            <w:pPr>
              <w:widowControl/>
              <w:adjustRightInd w:val="0"/>
              <w:snapToGrid w:val="0"/>
              <w:jc w:val="center"/>
              <w:rPr>
                <w:rFonts w:hint="eastAsia"/>
                <w:sz w:val="21"/>
                <w:szCs w:val="21"/>
              </w:rPr>
            </w:pPr>
            <w:r>
              <w:rPr>
                <w:rFonts w:hint="eastAsia"/>
                <w:sz w:val="21"/>
                <w:szCs w:val="21"/>
              </w:rPr>
              <w:t>0</w:t>
            </w:r>
          </w:p>
        </w:tc>
        <w:tc>
          <w:tcPr>
            <w:tcW w:w="3209" w:type="dxa"/>
            <w:tcBorders>
              <w:top w:val="single" w:color="auto" w:sz="4" w:space="0"/>
              <w:left w:val="single" w:color="auto" w:sz="4" w:space="0"/>
              <w:bottom w:val="single" w:color="auto" w:sz="4" w:space="0"/>
              <w:right w:val="single" w:color="auto" w:sz="4" w:space="0"/>
            </w:tcBorders>
            <w:noWrap w:val="0"/>
            <w:vAlign w:val="top"/>
          </w:tcPr>
          <w:p w14:paraId="6C15FA53">
            <w:pPr>
              <w:widowControl/>
              <w:adjustRightInd w:val="0"/>
              <w:snapToGrid w:val="0"/>
              <w:jc w:val="left"/>
              <w:rPr>
                <w:rFonts w:hint="eastAsia"/>
                <w:color w:val="000000"/>
                <w:sz w:val="21"/>
                <w:szCs w:val="21"/>
              </w:rPr>
            </w:pPr>
            <w:r>
              <w:rPr>
                <w:rFonts w:hint="eastAsia"/>
                <w:color w:val="000000"/>
                <w:sz w:val="21"/>
                <w:szCs w:val="21"/>
              </w:rPr>
              <w:t>国家认同与民族情怀。文化自信。文化辨识与批判思维。</w:t>
            </w:r>
          </w:p>
        </w:tc>
      </w:tr>
      <w:tr w14:paraId="49B9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667" w:type="dxa"/>
            <w:tcBorders>
              <w:top w:val="single" w:color="auto" w:sz="4" w:space="0"/>
              <w:left w:val="single" w:color="auto" w:sz="4" w:space="0"/>
              <w:bottom w:val="single" w:color="auto" w:sz="4" w:space="0"/>
              <w:right w:val="single" w:color="auto" w:sz="4" w:space="0"/>
            </w:tcBorders>
            <w:noWrap w:val="0"/>
            <w:vAlign w:val="center"/>
          </w:tcPr>
          <w:p w14:paraId="4EF4BD7D">
            <w:pPr>
              <w:widowControl/>
              <w:adjustRightInd w:val="0"/>
              <w:snapToGrid w:val="0"/>
              <w:jc w:val="center"/>
              <w:rPr>
                <w:rFonts w:hint="eastAsia"/>
                <w:sz w:val="21"/>
                <w:szCs w:val="21"/>
              </w:rPr>
            </w:pPr>
            <w:r>
              <w:rPr>
                <w:rFonts w:hint="eastAsia"/>
                <w:sz w:val="21"/>
                <w:szCs w:val="21"/>
              </w:rPr>
              <w:t>4</w:t>
            </w:r>
          </w:p>
        </w:tc>
        <w:tc>
          <w:tcPr>
            <w:tcW w:w="1163" w:type="dxa"/>
            <w:tcBorders>
              <w:top w:val="single" w:color="auto" w:sz="4" w:space="0"/>
              <w:left w:val="single" w:color="auto" w:sz="4" w:space="0"/>
              <w:bottom w:val="single" w:color="auto" w:sz="4" w:space="0"/>
              <w:right w:val="single" w:color="auto" w:sz="4" w:space="0"/>
            </w:tcBorders>
            <w:noWrap w:val="0"/>
            <w:vAlign w:val="center"/>
          </w:tcPr>
          <w:p w14:paraId="4131FCAA">
            <w:pPr>
              <w:widowControl/>
              <w:adjustRightInd w:val="0"/>
              <w:snapToGrid w:val="0"/>
              <w:jc w:val="center"/>
              <w:rPr>
                <w:color w:val="000000"/>
                <w:sz w:val="21"/>
                <w:szCs w:val="21"/>
              </w:rPr>
            </w:pPr>
            <w:r>
              <w:rPr>
                <w:rFonts w:hint="eastAsia"/>
                <w:color w:val="000000"/>
                <w:sz w:val="21"/>
                <w:szCs w:val="21"/>
              </w:rPr>
              <w:t>书面表达</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3E8AA9CE">
            <w:pPr>
              <w:widowControl/>
              <w:adjustRightInd w:val="0"/>
              <w:snapToGrid w:val="0"/>
              <w:jc w:val="center"/>
              <w:rPr>
                <w:color w:val="000000"/>
                <w:sz w:val="21"/>
                <w:szCs w:val="21"/>
              </w:rPr>
            </w:pPr>
            <w:r>
              <w:rPr>
                <w:rFonts w:hint="eastAsia"/>
                <w:color w:val="000000"/>
                <w:sz w:val="21"/>
                <w:szCs w:val="21"/>
              </w:rPr>
              <w:t>1</w:t>
            </w:r>
            <w:r>
              <w:rPr>
                <w:color w:val="000000"/>
                <w:sz w:val="21"/>
                <w:szCs w:val="21"/>
              </w:rPr>
              <w:t>、</w:t>
            </w:r>
            <w:r>
              <w:rPr>
                <w:rFonts w:hint="eastAsia"/>
                <w:color w:val="000000"/>
                <w:sz w:val="21"/>
                <w:szCs w:val="21"/>
              </w:rPr>
              <w:t>2、 3</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64D20FCF">
            <w:pPr>
              <w:widowControl/>
              <w:adjustRightInd w:val="0"/>
              <w:snapToGrid w:val="0"/>
              <w:jc w:val="center"/>
              <w:rPr>
                <w:rFonts w:hint="default" w:eastAsia="宋体"/>
                <w:sz w:val="21"/>
                <w:szCs w:val="21"/>
                <w:lang w:val="en-US" w:eastAsia="zh-CN"/>
              </w:rPr>
            </w:pPr>
            <w:r>
              <w:rPr>
                <w:rFonts w:hint="eastAsia"/>
                <w:color w:val="000000"/>
                <w:sz w:val="21"/>
                <w:szCs w:val="21"/>
                <w:lang w:val="en-US" w:eastAsia="zh-CN"/>
              </w:rPr>
              <w:t>3-1</w:t>
            </w:r>
            <w:r>
              <w:rPr>
                <w:rFonts w:hint="eastAsia"/>
                <w:color w:val="000000"/>
                <w:sz w:val="21"/>
                <w:szCs w:val="21"/>
              </w:rPr>
              <w:t>、</w:t>
            </w:r>
            <w:r>
              <w:rPr>
                <w:rFonts w:hint="eastAsia"/>
                <w:color w:val="000000"/>
                <w:sz w:val="21"/>
                <w:szCs w:val="21"/>
                <w:lang w:val="en-US" w:eastAsia="zh-CN"/>
              </w:rPr>
              <w:t>8-2</w:t>
            </w:r>
          </w:p>
        </w:tc>
        <w:tc>
          <w:tcPr>
            <w:tcW w:w="737" w:type="dxa"/>
            <w:tcBorders>
              <w:top w:val="single" w:color="auto" w:sz="4" w:space="0"/>
              <w:left w:val="single" w:color="auto" w:sz="4" w:space="0"/>
              <w:bottom w:val="single" w:color="auto" w:sz="4" w:space="0"/>
              <w:right w:val="single" w:color="auto" w:sz="4" w:space="0"/>
            </w:tcBorders>
            <w:noWrap w:val="0"/>
            <w:vAlign w:val="center"/>
          </w:tcPr>
          <w:p w14:paraId="78083F58">
            <w:pPr>
              <w:widowControl/>
              <w:adjustRightInd w:val="0"/>
              <w:snapToGrid w:val="0"/>
              <w:jc w:val="center"/>
              <w:rPr>
                <w:rFonts w:hint="eastAsia"/>
                <w:color w:val="000000"/>
                <w:sz w:val="21"/>
                <w:szCs w:val="21"/>
              </w:rPr>
            </w:pPr>
            <w:r>
              <w:rPr>
                <w:rFonts w:hint="eastAsia"/>
                <w:color w:val="000000"/>
                <w:sz w:val="21"/>
                <w:szCs w:val="21"/>
              </w:rPr>
              <w:t>5</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24A334E4">
            <w:pPr>
              <w:widowControl/>
              <w:adjustRightInd w:val="0"/>
              <w:snapToGrid w:val="0"/>
              <w:jc w:val="center"/>
              <w:rPr>
                <w:rFonts w:hint="eastAsia"/>
                <w:sz w:val="21"/>
                <w:szCs w:val="21"/>
              </w:rPr>
            </w:pPr>
            <w:r>
              <w:rPr>
                <w:rFonts w:hint="eastAsia"/>
                <w:sz w:val="21"/>
                <w:szCs w:val="21"/>
              </w:rPr>
              <w:t>0</w:t>
            </w:r>
          </w:p>
        </w:tc>
        <w:tc>
          <w:tcPr>
            <w:tcW w:w="3209" w:type="dxa"/>
            <w:tcBorders>
              <w:top w:val="single" w:color="auto" w:sz="4" w:space="0"/>
              <w:left w:val="single" w:color="auto" w:sz="4" w:space="0"/>
              <w:bottom w:val="single" w:color="auto" w:sz="4" w:space="0"/>
              <w:right w:val="single" w:color="auto" w:sz="4" w:space="0"/>
            </w:tcBorders>
            <w:noWrap w:val="0"/>
            <w:vAlign w:val="top"/>
          </w:tcPr>
          <w:p w14:paraId="1F5F42E6">
            <w:pPr>
              <w:widowControl/>
              <w:adjustRightInd w:val="0"/>
              <w:snapToGrid w:val="0"/>
              <w:jc w:val="left"/>
              <w:rPr>
                <w:color w:val="000000"/>
                <w:sz w:val="21"/>
                <w:szCs w:val="21"/>
              </w:rPr>
            </w:pPr>
            <w:r>
              <w:rPr>
                <w:rFonts w:hint="eastAsia"/>
                <w:color w:val="000000"/>
                <w:sz w:val="21"/>
                <w:szCs w:val="21"/>
              </w:rPr>
              <w:t>文化辨识与批判思维。文化自信。传播社会主义核心价值观、中华优秀传统文化。讲好中国故事。</w:t>
            </w:r>
          </w:p>
        </w:tc>
      </w:tr>
      <w:tr w14:paraId="1DD0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667" w:type="dxa"/>
            <w:tcBorders>
              <w:top w:val="single" w:color="auto" w:sz="4" w:space="0"/>
              <w:left w:val="single" w:color="auto" w:sz="4" w:space="0"/>
              <w:bottom w:val="single" w:color="auto" w:sz="4" w:space="0"/>
              <w:right w:val="single" w:color="auto" w:sz="4" w:space="0"/>
            </w:tcBorders>
            <w:noWrap w:val="0"/>
            <w:vAlign w:val="center"/>
          </w:tcPr>
          <w:p w14:paraId="69D8645C">
            <w:pPr>
              <w:widowControl/>
              <w:adjustRightInd w:val="0"/>
              <w:snapToGrid w:val="0"/>
              <w:jc w:val="center"/>
              <w:rPr>
                <w:rFonts w:hint="eastAsia"/>
                <w:sz w:val="21"/>
                <w:szCs w:val="21"/>
              </w:rPr>
            </w:pPr>
            <w:r>
              <w:rPr>
                <w:rFonts w:hint="eastAsia"/>
                <w:sz w:val="21"/>
                <w:szCs w:val="21"/>
              </w:rPr>
              <w:t>5</w:t>
            </w:r>
          </w:p>
        </w:tc>
        <w:tc>
          <w:tcPr>
            <w:tcW w:w="1163" w:type="dxa"/>
            <w:tcBorders>
              <w:top w:val="single" w:color="auto" w:sz="4" w:space="0"/>
              <w:left w:val="single" w:color="auto" w:sz="4" w:space="0"/>
              <w:bottom w:val="single" w:color="auto" w:sz="4" w:space="0"/>
              <w:right w:val="single" w:color="auto" w:sz="4" w:space="0"/>
            </w:tcBorders>
            <w:noWrap w:val="0"/>
            <w:vAlign w:val="center"/>
          </w:tcPr>
          <w:p w14:paraId="2BF881EC">
            <w:pPr>
              <w:widowControl/>
              <w:adjustRightInd w:val="0"/>
              <w:snapToGrid w:val="0"/>
              <w:jc w:val="center"/>
              <w:rPr>
                <w:rFonts w:hint="eastAsia"/>
                <w:color w:val="000000"/>
                <w:sz w:val="21"/>
                <w:szCs w:val="21"/>
              </w:rPr>
            </w:pPr>
            <w:r>
              <w:rPr>
                <w:rFonts w:hint="eastAsia"/>
                <w:color w:val="000000"/>
                <w:sz w:val="21"/>
                <w:szCs w:val="21"/>
              </w:rPr>
              <w:t>中英互译</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28BCB993">
            <w:pPr>
              <w:widowControl/>
              <w:adjustRightInd w:val="0"/>
              <w:snapToGrid w:val="0"/>
              <w:jc w:val="center"/>
              <w:rPr>
                <w:color w:val="000000"/>
                <w:sz w:val="21"/>
                <w:szCs w:val="21"/>
              </w:rPr>
            </w:pPr>
            <w:r>
              <w:rPr>
                <w:rFonts w:hint="eastAsia"/>
                <w:color w:val="000000"/>
                <w:sz w:val="21"/>
                <w:szCs w:val="21"/>
              </w:rPr>
              <w:t>1</w:t>
            </w:r>
            <w:r>
              <w:rPr>
                <w:color w:val="000000"/>
                <w:sz w:val="21"/>
                <w:szCs w:val="21"/>
              </w:rPr>
              <w:t>、</w:t>
            </w:r>
            <w:r>
              <w:rPr>
                <w:rFonts w:hint="eastAsia"/>
                <w:color w:val="000000"/>
                <w:sz w:val="21"/>
                <w:szCs w:val="21"/>
              </w:rPr>
              <w:t>2、 3</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08ECA9E9">
            <w:pPr>
              <w:widowControl/>
              <w:adjustRightInd w:val="0"/>
              <w:snapToGrid w:val="0"/>
              <w:jc w:val="center"/>
              <w:rPr>
                <w:rFonts w:hint="default" w:eastAsia="宋体"/>
                <w:sz w:val="21"/>
                <w:szCs w:val="21"/>
                <w:lang w:val="en-US" w:eastAsia="zh-CN"/>
              </w:rPr>
            </w:pPr>
            <w:r>
              <w:rPr>
                <w:rFonts w:hint="eastAsia"/>
                <w:color w:val="000000"/>
                <w:sz w:val="21"/>
                <w:szCs w:val="21"/>
                <w:lang w:val="en-US" w:eastAsia="zh-CN"/>
              </w:rPr>
              <w:t>3-1</w:t>
            </w:r>
            <w:r>
              <w:rPr>
                <w:rFonts w:hint="eastAsia"/>
                <w:color w:val="000000"/>
                <w:sz w:val="21"/>
                <w:szCs w:val="21"/>
              </w:rPr>
              <w:t>、</w:t>
            </w:r>
            <w:r>
              <w:rPr>
                <w:rFonts w:hint="eastAsia"/>
                <w:color w:val="000000"/>
                <w:sz w:val="21"/>
                <w:szCs w:val="21"/>
                <w:lang w:val="en-US" w:eastAsia="zh-CN"/>
              </w:rPr>
              <w:t>8-2</w:t>
            </w:r>
          </w:p>
        </w:tc>
        <w:tc>
          <w:tcPr>
            <w:tcW w:w="737" w:type="dxa"/>
            <w:tcBorders>
              <w:top w:val="single" w:color="auto" w:sz="4" w:space="0"/>
              <w:left w:val="single" w:color="auto" w:sz="4" w:space="0"/>
              <w:bottom w:val="single" w:color="auto" w:sz="4" w:space="0"/>
              <w:right w:val="single" w:color="auto" w:sz="4" w:space="0"/>
            </w:tcBorders>
            <w:noWrap w:val="0"/>
            <w:vAlign w:val="center"/>
          </w:tcPr>
          <w:p w14:paraId="457C8352">
            <w:pPr>
              <w:widowControl/>
              <w:adjustRightInd w:val="0"/>
              <w:snapToGrid w:val="0"/>
              <w:jc w:val="center"/>
              <w:rPr>
                <w:rFonts w:hint="eastAsia"/>
                <w:color w:val="000000"/>
                <w:sz w:val="21"/>
                <w:szCs w:val="21"/>
              </w:rPr>
            </w:pPr>
            <w:r>
              <w:rPr>
                <w:rFonts w:hint="eastAsia"/>
                <w:color w:val="000000"/>
                <w:sz w:val="21"/>
                <w:szCs w:val="21"/>
              </w:rPr>
              <w:t>5</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545D0721">
            <w:pPr>
              <w:widowControl/>
              <w:adjustRightInd w:val="0"/>
              <w:snapToGrid w:val="0"/>
              <w:jc w:val="center"/>
              <w:rPr>
                <w:rFonts w:hint="eastAsia"/>
                <w:sz w:val="21"/>
                <w:szCs w:val="21"/>
              </w:rPr>
            </w:pPr>
            <w:r>
              <w:rPr>
                <w:rFonts w:hint="eastAsia"/>
                <w:sz w:val="21"/>
                <w:szCs w:val="21"/>
              </w:rPr>
              <w:t>0</w:t>
            </w:r>
          </w:p>
        </w:tc>
        <w:tc>
          <w:tcPr>
            <w:tcW w:w="3209" w:type="dxa"/>
            <w:tcBorders>
              <w:top w:val="single" w:color="auto" w:sz="4" w:space="0"/>
              <w:left w:val="single" w:color="auto" w:sz="4" w:space="0"/>
              <w:bottom w:val="single" w:color="auto" w:sz="4" w:space="0"/>
              <w:right w:val="single" w:color="auto" w:sz="4" w:space="0"/>
            </w:tcBorders>
            <w:noWrap w:val="0"/>
            <w:vAlign w:val="top"/>
          </w:tcPr>
          <w:p w14:paraId="2387710B">
            <w:pPr>
              <w:widowControl/>
              <w:adjustRightInd w:val="0"/>
              <w:snapToGrid w:val="0"/>
              <w:jc w:val="left"/>
              <w:rPr>
                <w:color w:val="000000"/>
                <w:sz w:val="21"/>
                <w:szCs w:val="21"/>
              </w:rPr>
            </w:pPr>
            <w:r>
              <w:rPr>
                <w:rFonts w:hint="eastAsia"/>
                <w:color w:val="000000"/>
                <w:sz w:val="21"/>
                <w:szCs w:val="21"/>
              </w:rPr>
              <w:t>文化辨识与批判思维。文化自信。传播社会主义核心价值观、中华优秀传统文化。讲好中国故事。</w:t>
            </w:r>
          </w:p>
        </w:tc>
      </w:tr>
      <w:tr w14:paraId="2FDA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980" w:type="dxa"/>
            <w:gridSpan w:val="4"/>
            <w:tcBorders>
              <w:top w:val="single" w:color="auto" w:sz="4" w:space="0"/>
              <w:left w:val="single" w:color="auto" w:sz="4" w:space="0"/>
              <w:bottom w:val="single" w:color="auto" w:sz="4" w:space="0"/>
              <w:right w:val="single" w:color="auto" w:sz="4" w:space="0"/>
            </w:tcBorders>
            <w:noWrap w:val="0"/>
            <w:vAlign w:val="center"/>
          </w:tcPr>
          <w:p w14:paraId="156BF6E4">
            <w:pPr>
              <w:widowControl/>
              <w:adjustRightInd w:val="0"/>
              <w:snapToGrid w:val="0"/>
              <w:jc w:val="center"/>
              <w:rPr>
                <w:sz w:val="21"/>
                <w:szCs w:val="21"/>
              </w:rPr>
            </w:pPr>
            <w:r>
              <w:rPr>
                <w:sz w:val="21"/>
                <w:szCs w:val="21"/>
              </w:rPr>
              <w:t>合 计</w:t>
            </w:r>
          </w:p>
        </w:tc>
        <w:tc>
          <w:tcPr>
            <w:tcW w:w="737" w:type="dxa"/>
            <w:tcBorders>
              <w:top w:val="single" w:color="auto" w:sz="4" w:space="0"/>
              <w:left w:val="single" w:color="auto" w:sz="4" w:space="0"/>
              <w:bottom w:val="single" w:color="auto" w:sz="4" w:space="0"/>
              <w:right w:val="single" w:color="auto" w:sz="4" w:space="0"/>
            </w:tcBorders>
            <w:noWrap w:val="0"/>
            <w:vAlign w:val="center"/>
          </w:tcPr>
          <w:p w14:paraId="244EF05B">
            <w:pPr>
              <w:widowControl/>
              <w:adjustRightInd w:val="0"/>
              <w:snapToGrid w:val="0"/>
              <w:jc w:val="center"/>
              <w:rPr>
                <w:color w:val="000000"/>
                <w:sz w:val="21"/>
                <w:szCs w:val="21"/>
              </w:rPr>
            </w:pPr>
            <w:r>
              <w:rPr>
                <w:rFonts w:hint="eastAsia"/>
                <w:color w:val="000000"/>
                <w:sz w:val="21"/>
                <w:szCs w:val="21"/>
              </w:rPr>
              <w:t>33</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121027C0">
            <w:pPr>
              <w:widowControl/>
              <w:adjustRightInd w:val="0"/>
              <w:snapToGrid w:val="0"/>
              <w:jc w:val="center"/>
              <w:rPr>
                <w:rFonts w:hint="eastAsia"/>
                <w:sz w:val="21"/>
                <w:szCs w:val="21"/>
              </w:rPr>
            </w:pPr>
            <w:r>
              <w:rPr>
                <w:rFonts w:hint="eastAsia"/>
                <w:sz w:val="21"/>
                <w:szCs w:val="21"/>
              </w:rPr>
              <w:t>0</w:t>
            </w:r>
          </w:p>
        </w:tc>
        <w:tc>
          <w:tcPr>
            <w:tcW w:w="3209" w:type="dxa"/>
            <w:tcBorders>
              <w:top w:val="single" w:color="auto" w:sz="4" w:space="0"/>
              <w:left w:val="single" w:color="auto" w:sz="4" w:space="0"/>
              <w:bottom w:val="single" w:color="auto" w:sz="4" w:space="0"/>
              <w:right w:val="single" w:color="auto" w:sz="4" w:space="0"/>
            </w:tcBorders>
            <w:noWrap w:val="0"/>
            <w:vAlign w:val="top"/>
          </w:tcPr>
          <w:p w14:paraId="59D7DDF2">
            <w:pPr>
              <w:widowControl/>
              <w:adjustRightInd w:val="0"/>
              <w:snapToGrid w:val="0"/>
              <w:jc w:val="center"/>
              <w:rPr>
                <w:sz w:val="21"/>
                <w:szCs w:val="21"/>
              </w:rPr>
            </w:pPr>
          </w:p>
        </w:tc>
      </w:tr>
    </w:tbl>
    <w:p w14:paraId="21275636">
      <w:pPr>
        <w:snapToGrid w:val="0"/>
        <w:spacing w:line="360" w:lineRule="auto"/>
        <w:ind w:firstLine="472" w:firstLineChars="196"/>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四、课程实施</w:t>
      </w:r>
    </w:p>
    <w:p w14:paraId="060BDD97">
      <w:pPr>
        <w:snapToGrid w:val="0"/>
        <w:spacing w:line="360" w:lineRule="auto"/>
        <w:ind w:firstLine="422" w:firstLineChars="200"/>
        <w:rPr>
          <w:b/>
          <w:sz w:val="21"/>
          <w:szCs w:val="21"/>
        </w:rPr>
      </w:pPr>
      <w:r>
        <w:rPr>
          <w:rFonts w:hint="eastAsia"/>
          <w:b/>
          <w:sz w:val="21"/>
          <w:szCs w:val="21"/>
        </w:rPr>
        <w:t>（一）教学方法与教学手段</w:t>
      </w:r>
    </w:p>
    <w:p w14:paraId="2B2C11E6">
      <w:pPr>
        <w:snapToGrid w:val="0"/>
        <w:spacing w:line="360" w:lineRule="auto"/>
        <w:ind w:firstLine="420" w:firstLineChars="200"/>
        <w:rPr>
          <w:rFonts w:hint="eastAsia"/>
          <w:bCs/>
          <w:sz w:val="21"/>
          <w:szCs w:val="21"/>
        </w:rPr>
      </w:pPr>
      <w:r>
        <w:rPr>
          <w:rFonts w:hint="eastAsia"/>
          <w:bCs/>
          <w:sz w:val="21"/>
          <w:szCs w:val="21"/>
        </w:rPr>
        <w:t>（1）依托网络学习平台，引导学生线上自主学习，培养学生自主学习能力，并进一步培养学生发现问题、分析问题、解决问题的能力。</w:t>
      </w:r>
    </w:p>
    <w:p w14:paraId="6F7F4F64">
      <w:pPr>
        <w:snapToGrid w:val="0"/>
        <w:spacing w:line="360" w:lineRule="auto"/>
        <w:ind w:firstLine="420" w:firstLineChars="200"/>
        <w:rPr>
          <w:rFonts w:hint="eastAsia"/>
          <w:bCs/>
          <w:sz w:val="21"/>
          <w:szCs w:val="21"/>
        </w:rPr>
      </w:pPr>
      <w:r>
        <w:rPr>
          <w:rFonts w:hint="eastAsia"/>
          <w:bCs/>
          <w:sz w:val="21"/>
          <w:szCs w:val="21"/>
        </w:rPr>
        <w:t>（2）线下课堂采用启发式、讨论式、合作式教学，通过学生自主探究、理性思考、充分讨论形成结论，相互评价，使基本英语技能得以内化并实现灵活应用。</w:t>
      </w:r>
    </w:p>
    <w:p w14:paraId="29CEA9FE">
      <w:pPr>
        <w:snapToGrid w:val="0"/>
        <w:spacing w:line="360" w:lineRule="auto"/>
        <w:ind w:firstLine="420" w:firstLineChars="200"/>
        <w:rPr>
          <w:rFonts w:hint="eastAsia"/>
          <w:bCs/>
          <w:sz w:val="21"/>
          <w:szCs w:val="21"/>
        </w:rPr>
      </w:pPr>
      <w:r>
        <w:rPr>
          <w:rFonts w:hint="eastAsia"/>
          <w:bCs/>
          <w:sz w:val="21"/>
          <w:szCs w:val="21"/>
        </w:rPr>
        <w:t>（3）课程思政育人方法：利用英语课程的国际视野特性，通过中西文化、制度、观念的客观比较，引导学生增强文化自信，形成辩证、全面的世界观。设计启发性、讨论式、合作式、探究式的课堂活动，让学生主动思考、辨析和表达，在语言运用中内化价值观。</w:t>
      </w:r>
    </w:p>
    <w:p w14:paraId="6601771D">
      <w:pPr>
        <w:spacing w:line="360" w:lineRule="auto"/>
        <w:ind w:firstLine="422" w:firstLineChars="200"/>
        <w:rPr>
          <w:rFonts w:hint="eastAsia"/>
          <w:b/>
          <w:sz w:val="21"/>
          <w:szCs w:val="21"/>
        </w:rPr>
      </w:pPr>
      <w:r>
        <w:rPr>
          <w:rFonts w:hint="eastAsia"/>
          <w:b/>
          <w:sz w:val="21"/>
          <w:szCs w:val="21"/>
        </w:rPr>
        <w:t>（二）教学质量要求</w:t>
      </w:r>
    </w:p>
    <w:p w14:paraId="262B7858">
      <w:pPr>
        <w:tabs>
          <w:tab w:val="right" w:pos="9070"/>
        </w:tabs>
        <w:spacing w:line="360" w:lineRule="auto"/>
        <w:ind w:firstLine="420" w:firstLineChars="200"/>
        <w:rPr>
          <w:sz w:val="21"/>
          <w:szCs w:val="21"/>
        </w:rPr>
      </w:pPr>
      <w:r>
        <w:rPr>
          <w:rFonts w:hint="eastAsia"/>
          <w:sz w:val="21"/>
          <w:szCs w:val="21"/>
        </w:rPr>
        <w:t>课程主要教学环节及其质量要求如表3所示。</w:t>
      </w:r>
      <w:r>
        <w:rPr>
          <w:sz w:val="21"/>
          <w:szCs w:val="21"/>
        </w:rPr>
        <w:tab/>
      </w:r>
    </w:p>
    <w:p w14:paraId="69350A0C">
      <w:pPr>
        <w:spacing w:line="360" w:lineRule="auto"/>
        <w:jc w:val="center"/>
        <w:rPr>
          <w:rFonts w:hint="eastAsia"/>
          <w:sz w:val="21"/>
          <w:szCs w:val="21"/>
        </w:rPr>
      </w:pPr>
      <w:r>
        <w:rPr>
          <w:rFonts w:hint="eastAsia"/>
          <w:sz w:val="21"/>
          <w:szCs w:val="21"/>
        </w:rPr>
        <w:t>表3</w:t>
      </w:r>
      <w:r>
        <w:rPr>
          <w:sz w:val="21"/>
          <w:szCs w:val="21"/>
        </w:rPr>
        <w:t xml:space="preserve">  </w:t>
      </w:r>
      <w:r>
        <w:rPr>
          <w:rFonts w:hint="eastAsia"/>
          <w:sz w:val="21"/>
          <w:szCs w:val="21"/>
        </w:rPr>
        <w:t>课程主要教学环节和质量要求表</w:t>
      </w:r>
    </w:p>
    <w:tbl>
      <w:tblPr>
        <w:tblStyle w:val="15"/>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202"/>
        <w:gridCol w:w="7221"/>
      </w:tblGrid>
      <w:tr w14:paraId="2A20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838" w:type="dxa"/>
            <w:gridSpan w:val="2"/>
            <w:tcBorders>
              <w:top w:val="single" w:color="auto" w:sz="4" w:space="0"/>
              <w:left w:val="single" w:color="auto" w:sz="4" w:space="0"/>
              <w:right w:val="single" w:color="auto" w:sz="4" w:space="0"/>
            </w:tcBorders>
            <w:noWrap w:val="0"/>
            <w:tcMar>
              <w:left w:w="28" w:type="dxa"/>
              <w:right w:w="28" w:type="dxa"/>
            </w:tcMar>
            <w:vAlign w:val="center"/>
          </w:tcPr>
          <w:p w14:paraId="6551584D">
            <w:pPr>
              <w:snapToGrid w:val="0"/>
              <w:jc w:val="center"/>
              <w:rPr>
                <w:b/>
                <w:sz w:val="21"/>
                <w:szCs w:val="21"/>
              </w:rPr>
            </w:pPr>
            <w:r>
              <w:rPr>
                <w:b/>
                <w:sz w:val="21"/>
                <w:szCs w:val="21"/>
              </w:rPr>
              <w:t>主要教学环节</w:t>
            </w:r>
          </w:p>
        </w:tc>
        <w:tc>
          <w:tcPr>
            <w:tcW w:w="7221" w:type="dxa"/>
            <w:tcBorders>
              <w:top w:val="single" w:color="auto" w:sz="4" w:space="0"/>
              <w:left w:val="single" w:color="auto" w:sz="4" w:space="0"/>
              <w:right w:val="single" w:color="auto" w:sz="4" w:space="0"/>
            </w:tcBorders>
            <w:noWrap w:val="0"/>
            <w:vAlign w:val="center"/>
          </w:tcPr>
          <w:p w14:paraId="4FF87720">
            <w:pPr>
              <w:snapToGrid w:val="0"/>
              <w:jc w:val="center"/>
              <w:rPr>
                <w:b/>
                <w:sz w:val="21"/>
                <w:szCs w:val="21"/>
              </w:rPr>
            </w:pPr>
            <w:r>
              <w:rPr>
                <w:b/>
                <w:sz w:val="21"/>
                <w:szCs w:val="21"/>
              </w:rPr>
              <w:t>质量</w:t>
            </w:r>
            <w:r>
              <w:rPr>
                <w:rFonts w:hint="eastAsia"/>
                <w:b/>
                <w:sz w:val="21"/>
                <w:szCs w:val="21"/>
              </w:rPr>
              <w:t>要求</w:t>
            </w:r>
          </w:p>
        </w:tc>
      </w:tr>
      <w:tr w14:paraId="56B1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noWrap w:val="0"/>
            <w:vAlign w:val="center"/>
          </w:tcPr>
          <w:p w14:paraId="3598B81D">
            <w:pPr>
              <w:snapToGrid w:val="0"/>
              <w:jc w:val="center"/>
              <w:rPr>
                <w:sz w:val="21"/>
                <w:szCs w:val="21"/>
              </w:rPr>
            </w:pPr>
            <w:r>
              <w:rPr>
                <w:sz w:val="21"/>
                <w:szCs w:val="21"/>
              </w:rPr>
              <w:t>1</w:t>
            </w:r>
          </w:p>
        </w:tc>
        <w:tc>
          <w:tcPr>
            <w:tcW w:w="1202" w:type="dxa"/>
            <w:noWrap w:val="0"/>
            <w:tcMar>
              <w:left w:w="28" w:type="dxa"/>
              <w:right w:w="28" w:type="dxa"/>
            </w:tcMar>
            <w:vAlign w:val="center"/>
          </w:tcPr>
          <w:p w14:paraId="6984B928">
            <w:pPr>
              <w:snapToGrid w:val="0"/>
              <w:jc w:val="center"/>
              <w:rPr>
                <w:sz w:val="21"/>
                <w:szCs w:val="21"/>
              </w:rPr>
            </w:pPr>
            <w:r>
              <w:rPr>
                <w:sz w:val="21"/>
                <w:szCs w:val="21"/>
              </w:rPr>
              <w:t>备课</w:t>
            </w:r>
          </w:p>
        </w:tc>
        <w:tc>
          <w:tcPr>
            <w:tcW w:w="7221" w:type="dxa"/>
            <w:tcBorders>
              <w:right w:val="single" w:color="auto" w:sz="4" w:space="0"/>
            </w:tcBorders>
            <w:noWrap w:val="0"/>
            <w:vAlign w:val="center"/>
          </w:tcPr>
          <w:p w14:paraId="709CF5EE">
            <w:pPr>
              <w:rPr>
                <w:rFonts w:hint="eastAsia"/>
                <w:sz w:val="21"/>
                <w:szCs w:val="21"/>
              </w:rPr>
            </w:pPr>
            <w:r>
              <w:rPr>
                <w:rFonts w:hint="eastAsia"/>
                <w:sz w:val="21"/>
                <w:szCs w:val="21"/>
              </w:rPr>
              <w:t>（1）掌握本课程教学大纲内容，严格按照教学大纲要求进行课程教学内容的组织；</w:t>
            </w:r>
          </w:p>
          <w:p w14:paraId="0918BC11">
            <w:pPr>
              <w:rPr>
                <w:rFonts w:hint="eastAsia"/>
                <w:sz w:val="21"/>
                <w:szCs w:val="21"/>
              </w:rPr>
            </w:pPr>
            <w:r>
              <w:rPr>
                <w:rFonts w:hint="eastAsia"/>
                <w:sz w:val="21"/>
                <w:szCs w:val="21"/>
              </w:rPr>
              <w:t>（2）熟悉教材各章节，借助相关专业书籍资料，并依据教学大纲编写授课计划，编写每次授课的教案；</w:t>
            </w:r>
          </w:p>
          <w:p w14:paraId="2187D29E">
            <w:pPr>
              <w:snapToGrid w:val="0"/>
              <w:jc w:val="left"/>
              <w:rPr>
                <w:sz w:val="21"/>
                <w:szCs w:val="21"/>
              </w:rPr>
            </w:pPr>
            <w:r>
              <w:rPr>
                <w:rFonts w:hint="eastAsia"/>
                <w:kern w:val="0"/>
                <w:sz w:val="21"/>
                <w:szCs w:val="21"/>
              </w:rPr>
              <w:t>（3）根据各专题教学内容，构思授课思路、技巧，选择合适的教学方法。</w:t>
            </w:r>
          </w:p>
        </w:tc>
      </w:tr>
      <w:tr w14:paraId="1472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noWrap w:val="0"/>
            <w:vAlign w:val="center"/>
          </w:tcPr>
          <w:p w14:paraId="6DC2C7E4">
            <w:pPr>
              <w:snapToGrid w:val="0"/>
              <w:jc w:val="center"/>
              <w:rPr>
                <w:sz w:val="21"/>
                <w:szCs w:val="21"/>
              </w:rPr>
            </w:pPr>
            <w:r>
              <w:rPr>
                <w:sz w:val="21"/>
                <w:szCs w:val="21"/>
              </w:rPr>
              <w:t>2</w:t>
            </w:r>
          </w:p>
        </w:tc>
        <w:tc>
          <w:tcPr>
            <w:tcW w:w="1202" w:type="dxa"/>
            <w:noWrap w:val="0"/>
            <w:tcMar>
              <w:left w:w="28" w:type="dxa"/>
              <w:right w:w="28" w:type="dxa"/>
            </w:tcMar>
            <w:vAlign w:val="center"/>
          </w:tcPr>
          <w:p w14:paraId="26A7C62F">
            <w:pPr>
              <w:snapToGrid w:val="0"/>
              <w:jc w:val="center"/>
              <w:rPr>
                <w:sz w:val="21"/>
                <w:szCs w:val="21"/>
              </w:rPr>
            </w:pPr>
            <w:r>
              <w:rPr>
                <w:sz w:val="21"/>
                <w:szCs w:val="21"/>
              </w:rPr>
              <w:t>讲授</w:t>
            </w:r>
          </w:p>
        </w:tc>
        <w:tc>
          <w:tcPr>
            <w:tcW w:w="7221" w:type="dxa"/>
            <w:tcBorders>
              <w:right w:val="single" w:color="auto" w:sz="4" w:space="0"/>
            </w:tcBorders>
            <w:noWrap w:val="0"/>
            <w:vAlign w:val="center"/>
          </w:tcPr>
          <w:p w14:paraId="2BB7A7FA">
            <w:pPr>
              <w:rPr>
                <w:rFonts w:hint="eastAsia"/>
                <w:sz w:val="21"/>
                <w:szCs w:val="21"/>
              </w:rPr>
            </w:pPr>
            <w:r>
              <w:rPr>
                <w:rFonts w:hint="eastAsia"/>
                <w:sz w:val="21"/>
                <w:szCs w:val="21"/>
              </w:rPr>
              <w:t>（</w:t>
            </w:r>
            <w:r>
              <w:rPr>
                <w:sz w:val="21"/>
                <w:szCs w:val="21"/>
              </w:rPr>
              <w:t>1</w:t>
            </w:r>
            <w:r>
              <w:rPr>
                <w:rFonts w:hint="eastAsia"/>
                <w:sz w:val="21"/>
                <w:szCs w:val="21"/>
              </w:rPr>
              <w:t>）要点准确、推理正确、条理清晰、重点突出，能够理论联系实际；</w:t>
            </w:r>
          </w:p>
          <w:p w14:paraId="590A36C5">
            <w:pPr>
              <w:rPr>
                <w:rFonts w:hint="eastAsia"/>
                <w:sz w:val="21"/>
                <w:szCs w:val="21"/>
              </w:rPr>
            </w:pPr>
            <w:r>
              <w:rPr>
                <w:rFonts w:hint="eastAsia"/>
                <w:sz w:val="21"/>
                <w:szCs w:val="21"/>
              </w:rPr>
              <w:t>（2）采用多种教学方式（如启发式、讨论式、合作式教学等），培养学生的语言综合应用能力，注重培养学生发现、分析和解决问题的能力；</w:t>
            </w:r>
          </w:p>
          <w:p w14:paraId="1E447E78">
            <w:pPr>
              <w:rPr>
                <w:rFonts w:hint="eastAsia"/>
                <w:sz w:val="21"/>
                <w:szCs w:val="21"/>
              </w:rPr>
            </w:pPr>
            <w:r>
              <w:rPr>
                <w:rFonts w:hint="eastAsia"/>
                <w:sz w:val="21"/>
                <w:szCs w:val="21"/>
              </w:rPr>
              <w:t>（3）能够采用现代信息技术辅助教学；</w:t>
            </w:r>
          </w:p>
          <w:p w14:paraId="0773D0A6">
            <w:pPr>
              <w:snapToGrid w:val="0"/>
              <w:rPr>
                <w:sz w:val="21"/>
                <w:szCs w:val="21"/>
              </w:rPr>
            </w:pPr>
            <w:r>
              <w:rPr>
                <w:rFonts w:hint="eastAsia"/>
                <w:sz w:val="21"/>
                <w:szCs w:val="21"/>
              </w:rPr>
              <w:t>（4）表达方式应便于学生理解、接受，力求形象生动，使学生在掌握知识的过程中，保持较为浓厚的兴趣。</w:t>
            </w:r>
          </w:p>
        </w:tc>
      </w:tr>
      <w:tr w14:paraId="5720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noWrap w:val="0"/>
            <w:vAlign w:val="center"/>
          </w:tcPr>
          <w:p w14:paraId="67F6F185">
            <w:pPr>
              <w:snapToGrid w:val="0"/>
              <w:jc w:val="center"/>
              <w:rPr>
                <w:sz w:val="21"/>
                <w:szCs w:val="21"/>
              </w:rPr>
            </w:pPr>
            <w:r>
              <w:rPr>
                <w:sz w:val="21"/>
                <w:szCs w:val="21"/>
              </w:rPr>
              <w:t>3</w:t>
            </w:r>
          </w:p>
        </w:tc>
        <w:tc>
          <w:tcPr>
            <w:tcW w:w="1202" w:type="dxa"/>
            <w:noWrap w:val="0"/>
            <w:tcMar>
              <w:left w:w="28" w:type="dxa"/>
              <w:right w:w="28" w:type="dxa"/>
            </w:tcMar>
            <w:vAlign w:val="center"/>
          </w:tcPr>
          <w:p w14:paraId="60E560BB">
            <w:pPr>
              <w:snapToGrid w:val="0"/>
              <w:jc w:val="center"/>
              <w:rPr>
                <w:sz w:val="21"/>
                <w:szCs w:val="21"/>
              </w:rPr>
            </w:pPr>
            <w:r>
              <w:rPr>
                <w:rFonts w:hint="eastAsia"/>
                <w:sz w:val="21"/>
                <w:szCs w:val="21"/>
              </w:rPr>
              <w:t>过程性考核</w:t>
            </w:r>
          </w:p>
        </w:tc>
        <w:tc>
          <w:tcPr>
            <w:tcW w:w="7221" w:type="dxa"/>
            <w:tcBorders>
              <w:right w:val="single" w:color="auto" w:sz="4" w:space="0"/>
            </w:tcBorders>
            <w:noWrap w:val="0"/>
            <w:vAlign w:val="center"/>
          </w:tcPr>
          <w:p w14:paraId="1E4FFEBF">
            <w:pPr>
              <w:rPr>
                <w:rFonts w:hint="eastAsia"/>
                <w:sz w:val="21"/>
                <w:szCs w:val="21"/>
              </w:rPr>
            </w:pPr>
            <w:r>
              <w:rPr>
                <w:rFonts w:hint="eastAsia"/>
                <w:sz w:val="21"/>
                <w:szCs w:val="21"/>
              </w:rPr>
              <w:t>（</w:t>
            </w:r>
            <w:r>
              <w:rPr>
                <w:sz w:val="21"/>
                <w:szCs w:val="21"/>
              </w:rPr>
              <w:t>1</w:t>
            </w:r>
            <w:r>
              <w:rPr>
                <w:rFonts w:hint="eastAsia"/>
                <w:sz w:val="21"/>
                <w:szCs w:val="21"/>
              </w:rPr>
              <w:t>）平时表现：教师应抽查学生的到课情况，通过提问、现场交流等方式随时关注学生的课堂学习状况，及时提醒并做好记录；</w:t>
            </w:r>
          </w:p>
          <w:p w14:paraId="47BA4782">
            <w:pPr>
              <w:rPr>
                <w:sz w:val="21"/>
                <w:szCs w:val="21"/>
              </w:rPr>
            </w:pPr>
            <w:r>
              <w:rPr>
                <w:rFonts w:hint="eastAsia"/>
                <w:sz w:val="21"/>
                <w:szCs w:val="21"/>
              </w:rPr>
              <w:t>（2）作业、测试：学生必须完成规定数量的课后作业和单元测试，按时按量完成，不缺交、不抄袭。教师要及时批改、反馈、讲评并做好记录；</w:t>
            </w:r>
          </w:p>
          <w:p w14:paraId="08B6D0FD">
            <w:pPr>
              <w:snapToGrid w:val="0"/>
              <w:rPr>
                <w:rFonts w:hint="eastAsia"/>
                <w:sz w:val="21"/>
                <w:szCs w:val="21"/>
              </w:rPr>
            </w:pPr>
            <w:r>
              <w:rPr>
                <w:rFonts w:hint="eastAsia"/>
                <w:sz w:val="21"/>
                <w:szCs w:val="21"/>
              </w:rPr>
              <w:t>（3）自主学习：学生在线上自主学习、参与互动讨论。教师要及时了解学生的线上自主学习情况并督促学生及时完成单元任务点；</w:t>
            </w:r>
          </w:p>
          <w:p w14:paraId="34822B72">
            <w:pPr>
              <w:snapToGrid w:val="0"/>
              <w:rPr>
                <w:rFonts w:hint="eastAsia"/>
                <w:sz w:val="21"/>
                <w:szCs w:val="21"/>
              </w:rPr>
            </w:pPr>
            <w:r>
              <w:rPr>
                <w:rFonts w:hint="eastAsia"/>
                <w:sz w:val="21"/>
                <w:szCs w:val="21"/>
              </w:rPr>
              <w:t>（4）第二课堂：为了培养学生综合运用所学知识的能力和创新精神，教师应组织、指导学生积极参与各级各类英语竞赛。</w:t>
            </w:r>
          </w:p>
        </w:tc>
      </w:tr>
      <w:tr w14:paraId="0611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noWrap w:val="0"/>
            <w:vAlign w:val="center"/>
          </w:tcPr>
          <w:p w14:paraId="33C12D37">
            <w:pPr>
              <w:snapToGrid w:val="0"/>
              <w:jc w:val="center"/>
              <w:rPr>
                <w:sz w:val="21"/>
                <w:szCs w:val="21"/>
              </w:rPr>
            </w:pPr>
            <w:r>
              <w:rPr>
                <w:sz w:val="21"/>
                <w:szCs w:val="21"/>
              </w:rPr>
              <w:t>4</w:t>
            </w:r>
          </w:p>
        </w:tc>
        <w:tc>
          <w:tcPr>
            <w:tcW w:w="1202" w:type="dxa"/>
            <w:noWrap w:val="0"/>
            <w:tcMar>
              <w:left w:w="28" w:type="dxa"/>
              <w:right w:w="28" w:type="dxa"/>
            </w:tcMar>
            <w:vAlign w:val="center"/>
          </w:tcPr>
          <w:p w14:paraId="60E645D9">
            <w:pPr>
              <w:snapToGrid w:val="0"/>
              <w:jc w:val="center"/>
              <w:rPr>
                <w:sz w:val="21"/>
                <w:szCs w:val="21"/>
              </w:rPr>
            </w:pPr>
            <w:r>
              <w:rPr>
                <w:sz w:val="21"/>
                <w:szCs w:val="21"/>
              </w:rPr>
              <w:t>课外答疑</w:t>
            </w:r>
          </w:p>
        </w:tc>
        <w:tc>
          <w:tcPr>
            <w:tcW w:w="7221" w:type="dxa"/>
            <w:tcBorders>
              <w:right w:val="single" w:color="auto" w:sz="4" w:space="0"/>
            </w:tcBorders>
            <w:noWrap w:val="0"/>
            <w:vAlign w:val="center"/>
          </w:tcPr>
          <w:p w14:paraId="41EADB11">
            <w:pPr>
              <w:snapToGrid w:val="0"/>
              <w:rPr>
                <w:rFonts w:hint="eastAsia"/>
                <w:sz w:val="21"/>
                <w:szCs w:val="21"/>
              </w:rPr>
            </w:pPr>
            <w:r>
              <w:rPr>
                <w:rFonts w:hint="eastAsia"/>
                <w:sz w:val="21"/>
                <w:szCs w:val="21"/>
              </w:rPr>
              <w:t>为了解学生的学习情况，帮助学生更好地理解和消化所学知识，改进学习方法和思维，培养其独立思考问题的能力，任课教师应合理安排课外时间或借助课程网络教学平台，对学生进行答疑与辅导工作。</w:t>
            </w:r>
          </w:p>
        </w:tc>
      </w:tr>
      <w:tr w14:paraId="195A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noWrap w:val="0"/>
            <w:vAlign w:val="center"/>
          </w:tcPr>
          <w:p w14:paraId="0C15B771">
            <w:pPr>
              <w:snapToGrid w:val="0"/>
              <w:jc w:val="center"/>
              <w:rPr>
                <w:sz w:val="21"/>
                <w:szCs w:val="21"/>
              </w:rPr>
            </w:pPr>
            <w:r>
              <w:rPr>
                <w:rFonts w:hint="eastAsia"/>
                <w:sz w:val="21"/>
                <w:szCs w:val="21"/>
              </w:rPr>
              <w:t>5</w:t>
            </w:r>
          </w:p>
        </w:tc>
        <w:tc>
          <w:tcPr>
            <w:tcW w:w="1202" w:type="dxa"/>
            <w:noWrap w:val="0"/>
            <w:tcMar>
              <w:left w:w="28" w:type="dxa"/>
              <w:right w:w="28" w:type="dxa"/>
            </w:tcMar>
            <w:vAlign w:val="center"/>
          </w:tcPr>
          <w:p w14:paraId="508BB7AE">
            <w:pPr>
              <w:snapToGrid w:val="0"/>
              <w:jc w:val="center"/>
              <w:rPr>
                <w:sz w:val="21"/>
                <w:szCs w:val="21"/>
              </w:rPr>
            </w:pPr>
            <w:r>
              <w:rPr>
                <w:rFonts w:hint="eastAsia"/>
                <w:sz w:val="21"/>
                <w:szCs w:val="21"/>
              </w:rPr>
              <w:t>期末考试</w:t>
            </w:r>
          </w:p>
        </w:tc>
        <w:tc>
          <w:tcPr>
            <w:tcW w:w="7221" w:type="dxa"/>
            <w:tcBorders>
              <w:right w:val="single" w:color="auto" w:sz="4" w:space="0"/>
            </w:tcBorders>
            <w:noWrap w:val="0"/>
            <w:vAlign w:val="center"/>
          </w:tcPr>
          <w:p w14:paraId="59501A85">
            <w:pPr>
              <w:snapToGrid w:val="0"/>
              <w:rPr>
                <w:rFonts w:hint="eastAsia"/>
                <w:color w:val="000000"/>
                <w:sz w:val="21"/>
                <w:szCs w:val="21"/>
              </w:rPr>
            </w:pPr>
            <w:r>
              <w:rPr>
                <w:rFonts w:hint="eastAsia"/>
                <w:color w:val="000000"/>
                <w:sz w:val="21"/>
                <w:szCs w:val="21"/>
              </w:rPr>
              <w:t>（1）</w:t>
            </w:r>
            <w:r>
              <w:rPr>
                <w:rFonts w:hint="eastAsia"/>
                <w:sz w:val="21"/>
                <w:szCs w:val="21"/>
              </w:rPr>
              <w:t>本课程期末考核的方式为闭卷考试，采取教考分离方式。</w:t>
            </w:r>
            <w:r>
              <w:rPr>
                <w:rFonts w:hint="eastAsia"/>
                <w:color w:val="000000"/>
                <w:sz w:val="21"/>
                <w:szCs w:val="21"/>
              </w:rPr>
              <w:t>总评成绩的评定见课程评分方案；</w:t>
            </w:r>
          </w:p>
          <w:p w14:paraId="68BA0FD9">
            <w:pPr>
              <w:snapToGrid w:val="0"/>
              <w:rPr>
                <w:rFonts w:hint="eastAsia"/>
                <w:color w:val="FF0000"/>
                <w:sz w:val="21"/>
                <w:szCs w:val="21"/>
              </w:rPr>
            </w:pPr>
            <w:r>
              <w:rPr>
                <w:rFonts w:hint="eastAsia"/>
                <w:color w:val="000000"/>
                <w:sz w:val="21"/>
                <w:szCs w:val="21"/>
              </w:rPr>
              <w:t>（2）考试可选题型：词汇与结构、听力理解、口语表达、翻译、阅读理解、书面表达等。</w:t>
            </w:r>
          </w:p>
        </w:tc>
      </w:tr>
    </w:tbl>
    <w:p w14:paraId="6E0C1A9A">
      <w:pPr>
        <w:snapToGrid w:val="0"/>
        <w:spacing w:line="360" w:lineRule="auto"/>
        <w:ind w:firstLine="472" w:firstLineChars="196"/>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五、课程考核</w:t>
      </w:r>
    </w:p>
    <w:p w14:paraId="7CB5D923">
      <w:pPr>
        <w:spacing w:line="360" w:lineRule="auto"/>
        <w:ind w:firstLine="420" w:firstLineChars="200"/>
        <w:rPr>
          <w:sz w:val="21"/>
          <w:szCs w:val="21"/>
        </w:rPr>
      </w:pPr>
      <w:r>
        <w:rPr>
          <w:rFonts w:hint="eastAsia"/>
          <w:sz w:val="21"/>
          <w:szCs w:val="21"/>
        </w:rPr>
        <w:t>（一）</w:t>
      </w:r>
      <w:r>
        <w:rPr>
          <w:sz w:val="21"/>
          <w:szCs w:val="21"/>
        </w:rPr>
        <w:t>课程考核</w:t>
      </w:r>
      <w:r>
        <w:rPr>
          <w:rFonts w:hint="eastAsia"/>
          <w:sz w:val="21"/>
          <w:szCs w:val="21"/>
        </w:rPr>
        <w:t>方式</w:t>
      </w:r>
    </w:p>
    <w:p w14:paraId="6CE01119">
      <w:pPr>
        <w:spacing w:line="360" w:lineRule="auto"/>
        <w:ind w:firstLine="420" w:firstLineChars="200"/>
        <w:rPr>
          <w:rFonts w:hint="eastAsia"/>
          <w:sz w:val="21"/>
          <w:szCs w:val="21"/>
        </w:rPr>
      </w:pPr>
      <w:r>
        <w:rPr>
          <w:rFonts w:hint="eastAsia"/>
          <w:sz w:val="21"/>
          <w:szCs w:val="21"/>
        </w:rPr>
        <w:t>课程考核方式包括期末考核、平时情况考核等。期末考核采用机考（闭卷）形式。</w:t>
      </w:r>
    </w:p>
    <w:p w14:paraId="4FA414D5">
      <w:pPr>
        <w:spacing w:line="360" w:lineRule="auto"/>
        <w:ind w:firstLine="420" w:firstLineChars="200"/>
        <w:rPr>
          <w:sz w:val="21"/>
          <w:szCs w:val="21"/>
        </w:rPr>
      </w:pPr>
      <w:r>
        <w:rPr>
          <w:rFonts w:hint="eastAsia"/>
          <w:sz w:val="21"/>
          <w:szCs w:val="21"/>
        </w:rPr>
        <w:t>（二）总评成绩评定方法</w:t>
      </w:r>
    </w:p>
    <w:p w14:paraId="2DF85A9F">
      <w:pPr>
        <w:spacing w:line="360" w:lineRule="auto"/>
        <w:ind w:firstLine="420" w:firstLineChars="200"/>
        <w:rPr>
          <w:rFonts w:hint="eastAsia"/>
          <w:sz w:val="21"/>
          <w:szCs w:val="21"/>
        </w:rPr>
      </w:pPr>
      <w:r>
        <w:rPr>
          <w:rFonts w:hint="eastAsia"/>
          <w:sz w:val="21"/>
          <w:szCs w:val="21"/>
        </w:rPr>
        <w:t>课程总评成绩=平时成绩×50%+期末成绩×50%。平时成绩考核/评价环节及其权重可结合班级的实际情况和具体教学实践适度调整。</w:t>
      </w:r>
    </w:p>
    <w:p w14:paraId="3652BA82">
      <w:pPr>
        <w:spacing w:line="360" w:lineRule="auto"/>
        <w:ind w:firstLine="420" w:firstLineChars="200"/>
        <w:rPr>
          <w:sz w:val="21"/>
          <w:szCs w:val="21"/>
        </w:rPr>
      </w:pPr>
      <w:r>
        <w:rPr>
          <w:rFonts w:hint="eastAsia"/>
          <w:sz w:val="21"/>
          <w:szCs w:val="21"/>
        </w:rPr>
        <w:t>具体内容、比例和评价参考标准如表4所示。</w:t>
      </w:r>
    </w:p>
    <w:p w14:paraId="4051967F">
      <w:pPr>
        <w:spacing w:line="360" w:lineRule="auto"/>
        <w:ind w:firstLine="420" w:firstLineChars="200"/>
        <w:jc w:val="center"/>
        <w:rPr>
          <w:rFonts w:hint="eastAsia"/>
          <w:sz w:val="21"/>
          <w:szCs w:val="21"/>
        </w:rPr>
      </w:pPr>
      <w:r>
        <w:rPr>
          <w:rFonts w:hint="eastAsia"/>
          <w:sz w:val="21"/>
          <w:szCs w:val="21"/>
        </w:rPr>
        <w:t>表4</w:t>
      </w:r>
      <w:r>
        <w:rPr>
          <w:sz w:val="21"/>
          <w:szCs w:val="21"/>
        </w:rPr>
        <w:t xml:space="preserve">  </w:t>
      </w:r>
      <w:r>
        <w:rPr>
          <w:rFonts w:hint="eastAsia"/>
          <w:sz w:val="21"/>
          <w:szCs w:val="21"/>
        </w:rPr>
        <w:t>考核总评成绩组成及评价细则表</w:t>
      </w:r>
    </w:p>
    <w:tbl>
      <w:tblPr>
        <w:tblStyle w:val="15"/>
        <w:tblW w:w="8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590"/>
        <w:gridCol w:w="750"/>
        <w:gridCol w:w="5563"/>
      </w:tblGrid>
      <w:tr w14:paraId="4833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shd w:val="clear" w:color="auto" w:fill="FFFFFF"/>
            <w:noWrap w:val="0"/>
            <w:tcMar>
              <w:left w:w="57" w:type="dxa"/>
              <w:right w:w="57" w:type="dxa"/>
            </w:tcMar>
            <w:vAlign w:val="center"/>
          </w:tcPr>
          <w:p w14:paraId="5A9E0B2E">
            <w:pPr>
              <w:pStyle w:val="36"/>
              <w:snapToGrid w:val="0"/>
              <w:jc w:val="center"/>
              <w:rPr>
                <w:rFonts w:eastAsia="宋体"/>
                <w:b/>
                <w:bCs/>
                <w:sz w:val="21"/>
                <w:szCs w:val="21"/>
              </w:rPr>
            </w:pPr>
            <w:r>
              <w:rPr>
                <w:rFonts w:eastAsia="宋体"/>
                <w:b/>
                <w:bCs/>
                <w:sz w:val="21"/>
                <w:szCs w:val="21"/>
              </w:rPr>
              <w:t>成绩组成</w:t>
            </w:r>
          </w:p>
        </w:tc>
        <w:tc>
          <w:tcPr>
            <w:tcW w:w="1590" w:type="dxa"/>
            <w:shd w:val="clear" w:color="auto" w:fill="FFFFFF"/>
            <w:noWrap w:val="0"/>
            <w:vAlign w:val="center"/>
          </w:tcPr>
          <w:p w14:paraId="78D7C336">
            <w:pPr>
              <w:pStyle w:val="36"/>
              <w:snapToGrid w:val="0"/>
              <w:jc w:val="center"/>
              <w:rPr>
                <w:rFonts w:eastAsia="宋体"/>
                <w:b/>
                <w:bCs/>
                <w:sz w:val="21"/>
                <w:szCs w:val="21"/>
              </w:rPr>
            </w:pPr>
            <w:r>
              <w:rPr>
                <w:rFonts w:eastAsia="宋体"/>
                <w:b/>
                <w:bCs/>
                <w:sz w:val="21"/>
                <w:szCs w:val="21"/>
              </w:rPr>
              <w:t>考核/评价环节</w:t>
            </w:r>
          </w:p>
        </w:tc>
        <w:tc>
          <w:tcPr>
            <w:tcW w:w="750" w:type="dxa"/>
            <w:shd w:val="clear" w:color="auto" w:fill="FFFFFF"/>
            <w:noWrap w:val="0"/>
            <w:vAlign w:val="center"/>
          </w:tcPr>
          <w:p w14:paraId="7557A849">
            <w:pPr>
              <w:pStyle w:val="36"/>
              <w:snapToGrid w:val="0"/>
              <w:jc w:val="center"/>
              <w:rPr>
                <w:rFonts w:eastAsia="宋体"/>
                <w:b/>
                <w:bCs/>
                <w:sz w:val="21"/>
                <w:szCs w:val="21"/>
              </w:rPr>
            </w:pPr>
            <w:r>
              <w:rPr>
                <w:rFonts w:hint="eastAsia" w:eastAsia="宋体"/>
                <w:b/>
                <w:bCs/>
                <w:sz w:val="21"/>
                <w:szCs w:val="21"/>
              </w:rPr>
              <w:t>权重</w:t>
            </w:r>
          </w:p>
        </w:tc>
        <w:tc>
          <w:tcPr>
            <w:tcW w:w="5563" w:type="dxa"/>
            <w:shd w:val="clear" w:color="auto" w:fill="FFFFFF"/>
            <w:noWrap w:val="0"/>
            <w:vAlign w:val="center"/>
          </w:tcPr>
          <w:p w14:paraId="2E6DB870">
            <w:pPr>
              <w:pStyle w:val="36"/>
              <w:snapToGrid w:val="0"/>
              <w:jc w:val="center"/>
              <w:rPr>
                <w:rFonts w:eastAsia="宋体"/>
                <w:b/>
                <w:bCs/>
                <w:sz w:val="21"/>
                <w:szCs w:val="21"/>
              </w:rPr>
            </w:pPr>
            <w:r>
              <w:rPr>
                <w:rFonts w:eastAsia="宋体"/>
                <w:b/>
                <w:bCs/>
                <w:sz w:val="21"/>
                <w:szCs w:val="21"/>
              </w:rPr>
              <w:t>考核/评价细则</w:t>
            </w:r>
          </w:p>
        </w:tc>
      </w:tr>
      <w:tr w14:paraId="00FB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restart"/>
            <w:noWrap w:val="0"/>
            <w:tcMar>
              <w:left w:w="57" w:type="dxa"/>
              <w:right w:w="57" w:type="dxa"/>
            </w:tcMar>
            <w:vAlign w:val="center"/>
          </w:tcPr>
          <w:p w14:paraId="7FE6E8D3">
            <w:pPr>
              <w:pStyle w:val="36"/>
              <w:snapToGrid w:val="0"/>
              <w:jc w:val="center"/>
              <w:rPr>
                <w:rFonts w:eastAsia="宋体"/>
                <w:sz w:val="21"/>
                <w:szCs w:val="21"/>
              </w:rPr>
            </w:pPr>
            <w:r>
              <w:rPr>
                <w:rFonts w:eastAsia="宋体"/>
                <w:sz w:val="21"/>
                <w:szCs w:val="21"/>
              </w:rPr>
              <w:t>平时成绩</w:t>
            </w:r>
          </w:p>
        </w:tc>
        <w:tc>
          <w:tcPr>
            <w:tcW w:w="1590" w:type="dxa"/>
            <w:noWrap w:val="0"/>
            <w:vAlign w:val="center"/>
          </w:tcPr>
          <w:p w14:paraId="1AA3EA4F">
            <w:pPr>
              <w:pStyle w:val="36"/>
              <w:snapToGrid w:val="0"/>
              <w:jc w:val="center"/>
              <w:rPr>
                <w:rFonts w:eastAsia="宋体"/>
                <w:sz w:val="21"/>
                <w:szCs w:val="21"/>
              </w:rPr>
            </w:pPr>
            <w:r>
              <w:rPr>
                <w:rFonts w:hint="eastAsia" w:eastAsia="宋体"/>
                <w:sz w:val="21"/>
                <w:szCs w:val="21"/>
              </w:rPr>
              <w:t>平时表现</w:t>
            </w:r>
          </w:p>
        </w:tc>
        <w:tc>
          <w:tcPr>
            <w:tcW w:w="750" w:type="dxa"/>
            <w:noWrap w:val="0"/>
            <w:vAlign w:val="center"/>
          </w:tcPr>
          <w:p w14:paraId="4ADA83A6">
            <w:pPr>
              <w:pStyle w:val="36"/>
              <w:snapToGrid w:val="0"/>
              <w:jc w:val="center"/>
              <w:rPr>
                <w:rFonts w:eastAsia="宋体"/>
                <w:sz w:val="21"/>
                <w:szCs w:val="21"/>
              </w:rPr>
            </w:pPr>
            <w:r>
              <w:rPr>
                <w:rFonts w:hint="eastAsia" w:eastAsia="宋体"/>
                <w:sz w:val="21"/>
                <w:szCs w:val="21"/>
              </w:rPr>
              <w:t>15%</w:t>
            </w:r>
          </w:p>
        </w:tc>
        <w:tc>
          <w:tcPr>
            <w:tcW w:w="5563" w:type="dxa"/>
            <w:noWrap w:val="0"/>
            <w:vAlign w:val="center"/>
          </w:tcPr>
          <w:p w14:paraId="0D1DE61A">
            <w:pPr>
              <w:pStyle w:val="36"/>
              <w:snapToGrid w:val="0"/>
              <w:jc w:val="left"/>
              <w:rPr>
                <w:rFonts w:hint="eastAsia" w:eastAsia="宋体"/>
                <w:sz w:val="21"/>
                <w:szCs w:val="21"/>
              </w:rPr>
            </w:pPr>
            <w:r>
              <w:rPr>
                <w:rFonts w:hint="eastAsia" w:ascii="宋体" w:hAnsi="宋体" w:eastAsia="宋体" w:cs="宋体"/>
                <w:sz w:val="21"/>
                <w:szCs w:val="21"/>
              </w:rPr>
              <w:t>根据学生的学习态度、学习任务完成情况评分，学习任务包括但不限于课堂回答、小组活动、个人展示等，满分100分。</w:t>
            </w:r>
          </w:p>
        </w:tc>
      </w:tr>
      <w:tr w14:paraId="4208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continue"/>
            <w:noWrap w:val="0"/>
            <w:tcMar>
              <w:left w:w="57" w:type="dxa"/>
              <w:right w:w="57" w:type="dxa"/>
            </w:tcMar>
            <w:vAlign w:val="center"/>
          </w:tcPr>
          <w:p w14:paraId="5BDDE77F">
            <w:pPr>
              <w:pStyle w:val="36"/>
              <w:snapToGrid w:val="0"/>
              <w:jc w:val="center"/>
              <w:rPr>
                <w:rFonts w:eastAsia="宋体"/>
                <w:sz w:val="21"/>
                <w:szCs w:val="21"/>
              </w:rPr>
            </w:pPr>
          </w:p>
        </w:tc>
        <w:tc>
          <w:tcPr>
            <w:tcW w:w="1590" w:type="dxa"/>
            <w:noWrap w:val="0"/>
            <w:vAlign w:val="center"/>
          </w:tcPr>
          <w:p w14:paraId="7C5F9FE7">
            <w:pPr>
              <w:pStyle w:val="36"/>
              <w:snapToGrid w:val="0"/>
              <w:jc w:val="center"/>
              <w:rPr>
                <w:rFonts w:eastAsia="宋体"/>
                <w:sz w:val="21"/>
                <w:szCs w:val="21"/>
              </w:rPr>
            </w:pPr>
            <w:r>
              <w:rPr>
                <w:rFonts w:hint="eastAsia" w:eastAsia="宋体"/>
                <w:sz w:val="21"/>
                <w:szCs w:val="21"/>
              </w:rPr>
              <w:t>作业、测试</w:t>
            </w:r>
          </w:p>
        </w:tc>
        <w:tc>
          <w:tcPr>
            <w:tcW w:w="750" w:type="dxa"/>
            <w:noWrap w:val="0"/>
            <w:vAlign w:val="center"/>
          </w:tcPr>
          <w:p w14:paraId="7A00AC9E">
            <w:pPr>
              <w:pStyle w:val="36"/>
              <w:snapToGrid w:val="0"/>
              <w:jc w:val="center"/>
              <w:rPr>
                <w:rFonts w:eastAsia="宋体"/>
                <w:sz w:val="21"/>
                <w:szCs w:val="21"/>
              </w:rPr>
            </w:pPr>
            <w:r>
              <w:rPr>
                <w:rFonts w:hint="eastAsia" w:eastAsia="宋体"/>
                <w:sz w:val="21"/>
                <w:szCs w:val="21"/>
              </w:rPr>
              <w:t>20%</w:t>
            </w:r>
          </w:p>
        </w:tc>
        <w:tc>
          <w:tcPr>
            <w:tcW w:w="5563" w:type="dxa"/>
            <w:noWrap w:val="0"/>
            <w:vAlign w:val="center"/>
          </w:tcPr>
          <w:p w14:paraId="6C6985FC">
            <w:pPr>
              <w:pStyle w:val="36"/>
              <w:snapToGrid w:val="0"/>
              <w:rPr>
                <w:rFonts w:hint="eastAsia" w:eastAsia="宋体"/>
                <w:sz w:val="21"/>
                <w:szCs w:val="21"/>
              </w:rPr>
            </w:pPr>
            <w:r>
              <w:rPr>
                <w:rFonts w:hint="eastAsia" w:eastAsia="宋体"/>
                <w:sz w:val="21"/>
                <w:szCs w:val="21"/>
              </w:rPr>
              <w:t>（1）考核学生对语言知识点的学习、理解和应用，满分100分。</w:t>
            </w:r>
          </w:p>
          <w:p w14:paraId="7FE4088B">
            <w:pPr>
              <w:pStyle w:val="36"/>
              <w:snapToGrid w:val="0"/>
              <w:rPr>
                <w:rFonts w:hint="eastAsia" w:eastAsia="宋体"/>
                <w:sz w:val="21"/>
                <w:szCs w:val="21"/>
              </w:rPr>
            </w:pPr>
            <w:r>
              <w:rPr>
                <w:rFonts w:hint="eastAsia" w:eastAsia="宋体"/>
                <w:sz w:val="21"/>
                <w:szCs w:val="21"/>
              </w:rPr>
              <w:t>（2）每次作业、测试单独评分，取各次成绩的平均值作为本环节的最终成绩。</w:t>
            </w:r>
          </w:p>
        </w:tc>
      </w:tr>
      <w:tr w14:paraId="04B4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continue"/>
            <w:noWrap w:val="0"/>
            <w:tcMar>
              <w:left w:w="57" w:type="dxa"/>
              <w:right w:w="57" w:type="dxa"/>
            </w:tcMar>
            <w:vAlign w:val="center"/>
          </w:tcPr>
          <w:p w14:paraId="7D3BA459">
            <w:pPr>
              <w:pStyle w:val="36"/>
              <w:snapToGrid w:val="0"/>
              <w:jc w:val="center"/>
              <w:rPr>
                <w:rFonts w:eastAsia="宋体"/>
                <w:sz w:val="21"/>
                <w:szCs w:val="21"/>
              </w:rPr>
            </w:pPr>
          </w:p>
        </w:tc>
        <w:tc>
          <w:tcPr>
            <w:tcW w:w="1590" w:type="dxa"/>
            <w:noWrap w:val="0"/>
            <w:vAlign w:val="center"/>
          </w:tcPr>
          <w:p w14:paraId="55A02EA1">
            <w:pPr>
              <w:pStyle w:val="36"/>
              <w:snapToGrid w:val="0"/>
              <w:jc w:val="center"/>
              <w:rPr>
                <w:rFonts w:eastAsia="宋体"/>
                <w:sz w:val="21"/>
                <w:szCs w:val="21"/>
              </w:rPr>
            </w:pPr>
            <w:r>
              <w:rPr>
                <w:rFonts w:hint="eastAsia" w:eastAsia="宋体"/>
                <w:sz w:val="21"/>
                <w:szCs w:val="21"/>
              </w:rPr>
              <w:t>自主学习</w:t>
            </w:r>
          </w:p>
        </w:tc>
        <w:tc>
          <w:tcPr>
            <w:tcW w:w="750" w:type="dxa"/>
            <w:noWrap w:val="0"/>
            <w:vAlign w:val="center"/>
          </w:tcPr>
          <w:p w14:paraId="36135253">
            <w:pPr>
              <w:pStyle w:val="36"/>
              <w:snapToGrid w:val="0"/>
              <w:jc w:val="center"/>
              <w:rPr>
                <w:rFonts w:eastAsia="宋体"/>
                <w:sz w:val="21"/>
                <w:szCs w:val="21"/>
              </w:rPr>
            </w:pPr>
            <w:r>
              <w:rPr>
                <w:rFonts w:hint="eastAsia" w:eastAsia="宋体"/>
                <w:sz w:val="21"/>
                <w:szCs w:val="21"/>
              </w:rPr>
              <w:t>15%</w:t>
            </w:r>
          </w:p>
        </w:tc>
        <w:tc>
          <w:tcPr>
            <w:tcW w:w="5563" w:type="dxa"/>
            <w:noWrap w:val="0"/>
            <w:vAlign w:val="center"/>
          </w:tcPr>
          <w:p w14:paraId="6A87281A">
            <w:pPr>
              <w:pStyle w:val="36"/>
              <w:snapToGrid w:val="0"/>
              <w:rPr>
                <w:rFonts w:eastAsia="宋体"/>
                <w:sz w:val="21"/>
                <w:szCs w:val="21"/>
              </w:rPr>
            </w:pPr>
            <w:r>
              <w:rPr>
                <w:rFonts w:hint="eastAsia" w:eastAsia="宋体"/>
                <w:sz w:val="21"/>
                <w:szCs w:val="21"/>
              </w:rPr>
              <w:t>根据学生自主学习任务完成情况评分，学习任务包括但不限于线上课程单元任务点、自学单元完成情况、讨论回复等，满分100分。</w:t>
            </w:r>
          </w:p>
        </w:tc>
      </w:tr>
      <w:tr w14:paraId="6439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continue"/>
            <w:noWrap w:val="0"/>
            <w:tcMar>
              <w:left w:w="57" w:type="dxa"/>
              <w:right w:w="57" w:type="dxa"/>
            </w:tcMar>
            <w:vAlign w:val="center"/>
          </w:tcPr>
          <w:p w14:paraId="34B58313">
            <w:pPr>
              <w:pStyle w:val="36"/>
              <w:snapToGrid w:val="0"/>
              <w:jc w:val="center"/>
              <w:rPr>
                <w:rFonts w:eastAsia="宋体"/>
                <w:sz w:val="21"/>
                <w:szCs w:val="21"/>
              </w:rPr>
            </w:pPr>
          </w:p>
        </w:tc>
        <w:tc>
          <w:tcPr>
            <w:tcW w:w="1590" w:type="dxa"/>
            <w:noWrap w:val="0"/>
            <w:vAlign w:val="center"/>
          </w:tcPr>
          <w:p w14:paraId="710A8EAF">
            <w:pPr>
              <w:pStyle w:val="36"/>
              <w:snapToGrid w:val="0"/>
              <w:jc w:val="center"/>
              <w:rPr>
                <w:rFonts w:eastAsia="宋体"/>
                <w:sz w:val="21"/>
                <w:szCs w:val="21"/>
              </w:rPr>
            </w:pPr>
            <w:r>
              <w:rPr>
                <w:rFonts w:hint="eastAsia" w:eastAsia="宋体"/>
                <w:sz w:val="21"/>
                <w:szCs w:val="21"/>
              </w:rPr>
              <w:t>第二课堂</w:t>
            </w:r>
          </w:p>
        </w:tc>
        <w:tc>
          <w:tcPr>
            <w:tcW w:w="750" w:type="dxa"/>
            <w:noWrap w:val="0"/>
            <w:vAlign w:val="center"/>
          </w:tcPr>
          <w:p w14:paraId="3278FAF4">
            <w:pPr>
              <w:pStyle w:val="36"/>
              <w:snapToGrid w:val="0"/>
              <w:jc w:val="center"/>
              <w:rPr>
                <w:rFonts w:eastAsia="宋体"/>
                <w:sz w:val="21"/>
                <w:szCs w:val="21"/>
              </w:rPr>
            </w:pPr>
          </w:p>
        </w:tc>
        <w:tc>
          <w:tcPr>
            <w:tcW w:w="5563" w:type="dxa"/>
            <w:noWrap w:val="0"/>
            <w:vAlign w:val="center"/>
          </w:tcPr>
          <w:p w14:paraId="38E6D364">
            <w:pPr>
              <w:pStyle w:val="36"/>
              <w:snapToGrid w:val="0"/>
              <w:rPr>
                <w:rFonts w:eastAsia="宋体"/>
                <w:sz w:val="21"/>
                <w:szCs w:val="21"/>
              </w:rPr>
            </w:pPr>
            <w:r>
              <w:rPr>
                <w:rFonts w:hint="eastAsia" w:eastAsia="宋体"/>
                <w:color w:val="000000"/>
                <w:sz w:val="21"/>
                <w:szCs w:val="21"/>
              </w:rPr>
              <w:t>根据参赛项目和获奖情况按赛事级别，给积极参与英语类竞赛的学生适当加分，原则上本环节加分不超过10分、平时成绩总分不超过100分。</w:t>
            </w:r>
          </w:p>
        </w:tc>
      </w:tr>
      <w:tr w14:paraId="28CB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noWrap w:val="0"/>
            <w:tcMar>
              <w:left w:w="57" w:type="dxa"/>
              <w:right w:w="57" w:type="dxa"/>
            </w:tcMar>
            <w:vAlign w:val="center"/>
          </w:tcPr>
          <w:p w14:paraId="4DB7F2F5">
            <w:pPr>
              <w:pStyle w:val="36"/>
              <w:snapToGrid w:val="0"/>
              <w:jc w:val="center"/>
              <w:rPr>
                <w:rFonts w:hint="eastAsia" w:eastAsia="宋体"/>
                <w:sz w:val="21"/>
                <w:szCs w:val="21"/>
              </w:rPr>
            </w:pPr>
            <w:r>
              <w:rPr>
                <w:rFonts w:eastAsia="宋体"/>
                <w:sz w:val="21"/>
                <w:szCs w:val="21"/>
              </w:rPr>
              <w:t>期末考试</w:t>
            </w:r>
          </w:p>
        </w:tc>
        <w:tc>
          <w:tcPr>
            <w:tcW w:w="1590" w:type="dxa"/>
            <w:noWrap w:val="0"/>
            <w:vAlign w:val="center"/>
          </w:tcPr>
          <w:p w14:paraId="1B450570">
            <w:pPr>
              <w:pStyle w:val="36"/>
              <w:snapToGrid w:val="0"/>
              <w:jc w:val="center"/>
              <w:rPr>
                <w:rFonts w:hint="eastAsia" w:eastAsia="宋体"/>
                <w:sz w:val="21"/>
                <w:szCs w:val="21"/>
              </w:rPr>
            </w:pPr>
            <w:r>
              <w:rPr>
                <w:rFonts w:eastAsia="宋体"/>
                <w:sz w:val="21"/>
                <w:szCs w:val="21"/>
              </w:rPr>
              <w:t>期末考试</w:t>
            </w:r>
          </w:p>
          <w:p w14:paraId="3D352713">
            <w:pPr>
              <w:pStyle w:val="36"/>
              <w:snapToGrid w:val="0"/>
              <w:jc w:val="center"/>
              <w:rPr>
                <w:rFonts w:eastAsia="宋体"/>
                <w:sz w:val="21"/>
                <w:szCs w:val="21"/>
              </w:rPr>
            </w:pPr>
            <w:r>
              <w:rPr>
                <w:rFonts w:hint="eastAsia" w:eastAsia="宋体"/>
                <w:sz w:val="21"/>
                <w:szCs w:val="21"/>
              </w:rPr>
              <w:t>卷面</w:t>
            </w:r>
            <w:r>
              <w:rPr>
                <w:rFonts w:eastAsia="宋体"/>
                <w:sz w:val="21"/>
                <w:szCs w:val="21"/>
              </w:rPr>
              <w:t>成绩</w:t>
            </w:r>
          </w:p>
        </w:tc>
        <w:tc>
          <w:tcPr>
            <w:tcW w:w="750" w:type="dxa"/>
            <w:noWrap w:val="0"/>
            <w:vAlign w:val="center"/>
          </w:tcPr>
          <w:p w14:paraId="69948C7A">
            <w:pPr>
              <w:pStyle w:val="36"/>
              <w:snapToGrid w:val="0"/>
              <w:jc w:val="center"/>
              <w:rPr>
                <w:rFonts w:eastAsia="宋体"/>
                <w:sz w:val="21"/>
                <w:szCs w:val="21"/>
              </w:rPr>
            </w:pPr>
            <w:r>
              <w:rPr>
                <w:rFonts w:hint="eastAsia" w:eastAsia="宋体"/>
                <w:sz w:val="21"/>
                <w:szCs w:val="21"/>
              </w:rPr>
              <w:t>50%</w:t>
            </w:r>
          </w:p>
        </w:tc>
        <w:tc>
          <w:tcPr>
            <w:tcW w:w="5563" w:type="dxa"/>
            <w:noWrap w:val="0"/>
            <w:vAlign w:val="center"/>
          </w:tcPr>
          <w:p w14:paraId="4069E988">
            <w:pPr>
              <w:pStyle w:val="36"/>
              <w:snapToGrid w:val="0"/>
              <w:rPr>
                <w:rFonts w:eastAsia="宋体"/>
                <w:sz w:val="21"/>
                <w:szCs w:val="21"/>
              </w:rPr>
            </w:pPr>
            <w:r>
              <w:rPr>
                <w:rFonts w:hint="eastAsia" w:eastAsia="宋体"/>
                <w:sz w:val="21"/>
                <w:szCs w:val="21"/>
              </w:rPr>
              <w:t>期末考试试题由大学英语教学部统一命题并建立试题库，题型包括听力理解、词汇与结构、快速阅读、选词填空、阅读理解、写作等（每次考核可能题型不同，以当次考核题型为准），计入期考成绩；卷面满分100分。</w:t>
            </w:r>
          </w:p>
        </w:tc>
      </w:tr>
    </w:tbl>
    <w:p w14:paraId="2601E758">
      <w:pPr>
        <w:snapToGrid w:val="0"/>
        <w:spacing w:line="360" w:lineRule="auto"/>
        <w:ind w:firstLine="420" w:firstLineChars="200"/>
        <w:rPr>
          <w:sz w:val="21"/>
          <w:szCs w:val="21"/>
        </w:rPr>
      </w:pPr>
      <w:r>
        <w:rPr>
          <w:sz w:val="21"/>
          <w:szCs w:val="21"/>
        </w:rPr>
        <w:t>（三）</w:t>
      </w:r>
      <w:r>
        <w:rPr>
          <w:rFonts w:hint="eastAsia"/>
          <w:sz w:val="21"/>
          <w:szCs w:val="21"/>
        </w:rPr>
        <w:t>课程目标考核说明</w:t>
      </w:r>
    </w:p>
    <w:p w14:paraId="1249A2D0">
      <w:pPr>
        <w:snapToGrid w:val="0"/>
        <w:spacing w:line="360" w:lineRule="auto"/>
        <w:ind w:firstLine="420" w:firstLineChars="200"/>
        <w:rPr>
          <w:sz w:val="21"/>
          <w:szCs w:val="21"/>
        </w:rPr>
      </w:pPr>
      <w:r>
        <w:rPr>
          <w:rFonts w:hint="eastAsia"/>
          <w:sz w:val="21"/>
          <w:szCs w:val="21"/>
        </w:rPr>
        <w:t>为能够学生本课程考核成绩合格，即可达到课程教学目标的要求，制定《课程教学目标考核方案一览表》，如表5所示。</w:t>
      </w:r>
    </w:p>
    <w:p w14:paraId="52290542">
      <w:pPr>
        <w:adjustRightInd w:val="0"/>
        <w:snapToGrid w:val="0"/>
        <w:spacing w:line="360" w:lineRule="auto"/>
        <w:ind w:left="596" w:hanging="596"/>
        <w:jc w:val="center"/>
        <w:rPr>
          <w:color w:val="000000"/>
          <w:sz w:val="21"/>
          <w:szCs w:val="21"/>
        </w:rPr>
      </w:pPr>
      <w:r>
        <w:rPr>
          <w:color w:val="000000"/>
          <w:sz w:val="21"/>
          <w:szCs w:val="21"/>
        </w:rPr>
        <w:t>表</w:t>
      </w:r>
      <w:r>
        <w:rPr>
          <w:rFonts w:hint="eastAsia"/>
          <w:color w:val="000000"/>
          <w:sz w:val="21"/>
          <w:szCs w:val="21"/>
        </w:rPr>
        <w:t>5</w:t>
      </w:r>
      <w:r>
        <w:rPr>
          <w:color w:val="000000"/>
          <w:sz w:val="21"/>
          <w:szCs w:val="21"/>
        </w:rPr>
        <w:t xml:space="preserve">  课程目标考核方案一览表</w:t>
      </w:r>
    </w:p>
    <w:tbl>
      <w:tblPr>
        <w:tblStyle w:val="15"/>
        <w:tblW w:w="8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665"/>
        <w:gridCol w:w="1734"/>
        <w:gridCol w:w="3939"/>
      </w:tblGrid>
      <w:tr w14:paraId="4BFC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5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F82167">
            <w:pPr>
              <w:adjustRightInd w:val="0"/>
              <w:snapToGrid w:val="0"/>
              <w:jc w:val="center"/>
              <w:rPr>
                <w:rFonts w:hint="eastAsia"/>
                <w:b/>
                <w:bCs/>
                <w:color w:val="000000"/>
                <w:sz w:val="21"/>
                <w:szCs w:val="21"/>
              </w:rPr>
            </w:pPr>
            <w:r>
              <w:rPr>
                <w:b/>
                <w:bCs/>
                <w:color w:val="000000"/>
                <w:sz w:val="21"/>
                <w:szCs w:val="21"/>
              </w:rPr>
              <w:t>课程</w:t>
            </w:r>
            <w:r>
              <w:rPr>
                <w:rFonts w:hint="eastAsia"/>
                <w:b/>
                <w:bCs/>
                <w:color w:val="000000"/>
                <w:sz w:val="21"/>
                <w:szCs w:val="21"/>
              </w:rPr>
              <w:t>教学</w:t>
            </w:r>
            <w:r>
              <w:rPr>
                <w:b/>
                <w:bCs/>
                <w:color w:val="000000"/>
                <w:sz w:val="21"/>
                <w:szCs w:val="21"/>
              </w:rPr>
              <w:t>目标</w:t>
            </w:r>
          </w:p>
        </w:tc>
        <w:tc>
          <w:tcPr>
            <w:tcW w:w="16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7ABFFA">
            <w:pPr>
              <w:adjustRightInd w:val="0"/>
              <w:snapToGrid w:val="0"/>
              <w:jc w:val="center"/>
              <w:rPr>
                <w:b/>
                <w:bCs/>
                <w:color w:val="000000"/>
                <w:sz w:val="21"/>
                <w:szCs w:val="21"/>
              </w:rPr>
            </w:pPr>
            <w:r>
              <w:rPr>
                <w:b/>
                <w:bCs/>
                <w:color w:val="000000"/>
                <w:sz w:val="21"/>
                <w:szCs w:val="21"/>
              </w:rPr>
              <w:t>考核内容</w:t>
            </w:r>
          </w:p>
        </w:tc>
        <w:tc>
          <w:tcPr>
            <w:tcW w:w="1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3CE13C">
            <w:pPr>
              <w:adjustRightInd w:val="0"/>
              <w:snapToGrid w:val="0"/>
              <w:jc w:val="center"/>
              <w:rPr>
                <w:b/>
                <w:bCs/>
                <w:color w:val="000000"/>
                <w:sz w:val="21"/>
                <w:szCs w:val="21"/>
              </w:rPr>
            </w:pPr>
            <w:r>
              <w:rPr>
                <w:b/>
                <w:bCs/>
                <w:color w:val="000000"/>
                <w:sz w:val="21"/>
                <w:szCs w:val="21"/>
              </w:rPr>
              <w:t>考核形式</w:t>
            </w:r>
          </w:p>
        </w:tc>
        <w:tc>
          <w:tcPr>
            <w:tcW w:w="39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264F53">
            <w:pPr>
              <w:adjustRightInd w:val="0"/>
              <w:snapToGrid w:val="0"/>
              <w:jc w:val="center"/>
              <w:rPr>
                <w:b/>
                <w:bCs/>
                <w:color w:val="000000"/>
                <w:sz w:val="21"/>
                <w:szCs w:val="21"/>
              </w:rPr>
            </w:pPr>
            <w:r>
              <w:rPr>
                <w:b/>
                <w:bCs/>
                <w:color w:val="000000"/>
                <w:sz w:val="21"/>
                <w:szCs w:val="21"/>
              </w:rPr>
              <w:t>考核原始材料（说明：试卷、作业、实验报告、技术报告、过程记录、实习总结等，纸质或电子稿）</w:t>
            </w:r>
          </w:p>
        </w:tc>
      </w:tr>
      <w:tr w14:paraId="5402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511" w:type="dxa"/>
            <w:tcBorders>
              <w:top w:val="single" w:color="auto" w:sz="4" w:space="0"/>
              <w:left w:val="single" w:color="auto" w:sz="4" w:space="0"/>
              <w:right w:val="single" w:color="auto" w:sz="4" w:space="0"/>
            </w:tcBorders>
            <w:noWrap w:val="0"/>
            <w:vAlign w:val="center"/>
          </w:tcPr>
          <w:p w14:paraId="0F22388A">
            <w:pPr>
              <w:adjustRightInd w:val="0"/>
              <w:snapToGrid w:val="0"/>
              <w:jc w:val="center"/>
              <w:rPr>
                <w:color w:val="000000"/>
                <w:sz w:val="21"/>
                <w:szCs w:val="21"/>
              </w:rPr>
            </w:pPr>
            <w:r>
              <w:rPr>
                <w:color w:val="000000"/>
                <w:sz w:val="21"/>
                <w:szCs w:val="21"/>
              </w:rPr>
              <w:t>目标1</w:t>
            </w:r>
            <w:r>
              <w:rPr>
                <w:rFonts w:hint="eastAsia"/>
                <w:color w:val="000000"/>
                <w:sz w:val="21"/>
                <w:szCs w:val="21"/>
              </w:rPr>
              <w:t>/2</w:t>
            </w:r>
          </w:p>
        </w:tc>
        <w:tc>
          <w:tcPr>
            <w:tcW w:w="1665" w:type="dxa"/>
            <w:tcBorders>
              <w:top w:val="single" w:color="auto" w:sz="4" w:space="0"/>
              <w:left w:val="single" w:color="auto" w:sz="4" w:space="0"/>
              <w:right w:val="single" w:color="auto" w:sz="4" w:space="0"/>
            </w:tcBorders>
            <w:noWrap w:val="0"/>
            <w:vAlign w:val="center"/>
          </w:tcPr>
          <w:p w14:paraId="0BD700E9">
            <w:pPr>
              <w:adjustRightInd w:val="0"/>
              <w:snapToGrid w:val="0"/>
              <w:jc w:val="center"/>
              <w:rPr>
                <w:sz w:val="21"/>
                <w:szCs w:val="21"/>
              </w:rPr>
            </w:pPr>
            <w:r>
              <w:rPr>
                <w:rFonts w:hint="eastAsia"/>
                <w:sz w:val="21"/>
                <w:szCs w:val="21"/>
              </w:rPr>
              <w:t>对语言知识的掌握、理解与应用</w:t>
            </w:r>
          </w:p>
        </w:tc>
        <w:tc>
          <w:tcPr>
            <w:tcW w:w="1734" w:type="dxa"/>
            <w:tcBorders>
              <w:top w:val="single" w:color="auto" w:sz="4" w:space="0"/>
              <w:left w:val="single" w:color="auto" w:sz="4" w:space="0"/>
              <w:right w:val="single" w:color="auto" w:sz="4" w:space="0"/>
            </w:tcBorders>
            <w:noWrap w:val="0"/>
            <w:vAlign w:val="center"/>
          </w:tcPr>
          <w:p w14:paraId="78F3A4DF">
            <w:pPr>
              <w:pStyle w:val="36"/>
              <w:jc w:val="center"/>
              <w:rPr>
                <w:rFonts w:eastAsia="宋体"/>
                <w:color w:val="000000"/>
                <w:sz w:val="21"/>
                <w:szCs w:val="21"/>
              </w:rPr>
            </w:pPr>
            <w:r>
              <w:rPr>
                <w:rFonts w:hint="eastAsia" w:eastAsia="宋体"/>
                <w:color w:val="000000"/>
                <w:sz w:val="21"/>
                <w:szCs w:val="21"/>
              </w:rPr>
              <w:t>平时表现</w:t>
            </w:r>
          </w:p>
          <w:p w14:paraId="10A91E68">
            <w:pPr>
              <w:pStyle w:val="36"/>
              <w:jc w:val="center"/>
              <w:rPr>
                <w:rFonts w:eastAsia="宋体"/>
                <w:color w:val="000000"/>
                <w:sz w:val="21"/>
                <w:szCs w:val="21"/>
              </w:rPr>
            </w:pPr>
            <w:r>
              <w:rPr>
                <w:rFonts w:hint="eastAsia" w:eastAsia="宋体"/>
                <w:color w:val="000000"/>
                <w:sz w:val="21"/>
                <w:szCs w:val="21"/>
              </w:rPr>
              <w:t>作业、测试</w:t>
            </w:r>
          </w:p>
          <w:p w14:paraId="4CFA8459">
            <w:pPr>
              <w:pStyle w:val="36"/>
              <w:jc w:val="center"/>
              <w:rPr>
                <w:rFonts w:hint="eastAsia" w:eastAsia="宋体"/>
                <w:color w:val="000000"/>
                <w:sz w:val="21"/>
                <w:szCs w:val="21"/>
              </w:rPr>
            </w:pPr>
            <w:r>
              <w:rPr>
                <w:rFonts w:hint="eastAsia" w:eastAsia="宋体"/>
                <w:color w:val="000000"/>
                <w:sz w:val="21"/>
                <w:szCs w:val="21"/>
              </w:rPr>
              <w:t>自主学习</w:t>
            </w:r>
          </w:p>
          <w:p w14:paraId="5F53E373">
            <w:pPr>
              <w:pStyle w:val="36"/>
              <w:jc w:val="center"/>
              <w:rPr>
                <w:rFonts w:eastAsia="宋体"/>
                <w:color w:val="000000"/>
                <w:sz w:val="21"/>
                <w:szCs w:val="21"/>
              </w:rPr>
            </w:pPr>
            <w:r>
              <w:rPr>
                <w:rFonts w:hint="eastAsia" w:eastAsia="宋体"/>
                <w:color w:val="000000"/>
                <w:sz w:val="21"/>
                <w:szCs w:val="21"/>
              </w:rPr>
              <w:t>第二课堂</w:t>
            </w:r>
          </w:p>
          <w:p w14:paraId="2B2CE657">
            <w:pPr>
              <w:adjustRightInd w:val="0"/>
              <w:snapToGrid w:val="0"/>
              <w:jc w:val="center"/>
              <w:rPr>
                <w:color w:val="000000"/>
                <w:sz w:val="21"/>
                <w:szCs w:val="21"/>
              </w:rPr>
            </w:pPr>
            <w:r>
              <w:rPr>
                <w:rFonts w:hint="eastAsia"/>
                <w:color w:val="000000"/>
                <w:sz w:val="21"/>
                <w:szCs w:val="21"/>
              </w:rPr>
              <w:t>期末考试</w:t>
            </w:r>
          </w:p>
        </w:tc>
        <w:tc>
          <w:tcPr>
            <w:tcW w:w="3939" w:type="dxa"/>
            <w:tcBorders>
              <w:top w:val="single" w:color="auto" w:sz="4" w:space="0"/>
              <w:left w:val="single" w:color="auto" w:sz="4" w:space="0"/>
              <w:right w:val="single" w:color="auto" w:sz="4" w:space="0"/>
            </w:tcBorders>
            <w:noWrap w:val="0"/>
            <w:vAlign w:val="center"/>
          </w:tcPr>
          <w:p w14:paraId="57826CD7">
            <w:pPr>
              <w:pStyle w:val="36"/>
              <w:rPr>
                <w:rFonts w:hint="eastAsia" w:eastAsia="宋体"/>
                <w:color w:val="000000"/>
                <w:sz w:val="21"/>
                <w:szCs w:val="21"/>
              </w:rPr>
            </w:pPr>
            <w:r>
              <w:rPr>
                <w:rFonts w:hint="eastAsia" w:eastAsia="宋体"/>
                <w:color w:val="000000"/>
                <w:sz w:val="21"/>
                <w:szCs w:val="21"/>
              </w:rPr>
              <w:t>平时成绩登记表（纸质稿）</w:t>
            </w:r>
          </w:p>
          <w:p w14:paraId="2B20DE99">
            <w:pPr>
              <w:pStyle w:val="36"/>
              <w:rPr>
                <w:rFonts w:eastAsia="宋体"/>
                <w:color w:val="000000"/>
                <w:sz w:val="21"/>
                <w:szCs w:val="21"/>
              </w:rPr>
            </w:pPr>
            <w:r>
              <w:rPr>
                <w:rFonts w:hint="eastAsia" w:eastAsia="宋体"/>
                <w:color w:val="000000"/>
                <w:sz w:val="21"/>
                <w:szCs w:val="21"/>
              </w:rPr>
              <w:t>第二课堂证书（电子稿）</w:t>
            </w:r>
          </w:p>
          <w:p w14:paraId="3F67571C">
            <w:pPr>
              <w:pStyle w:val="36"/>
              <w:rPr>
                <w:rFonts w:hint="eastAsia" w:eastAsia="宋体"/>
                <w:color w:val="000000"/>
                <w:sz w:val="21"/>
                <w:szCs w:val="21"/>
              </w:rPr>
            </w:pPr>
            <w:r>
              <w:rPr>
                <w:rFonts w:hint="eastAsia" w:eastAsia="宋体"/>
                <w:color w:val="000000"/>
                <w:sz w:val="21"/>
                <w:szCs w:val="21"/>
              </w:rPr>
              <w:t>作业、测试、自主学习（电子稿）</w:t>
            </w:r>
          </w:p>
          <w:p w14:paraId="7D31D89F">
            <w:pPr>
              <w:adjustRightInd w:val="0"/>
              <w:snapToGrid w:val="0"/>
              <w:rPr>
                <w:rFonts w:hint="eastAsia"/>
                <w:color w:val="000000"/>
                <w:sz w:val="21"/>
                <w:szCs w:val="21"/>
              </w:rPr>
            </w:pPr>
            <w:r>
              <w:rPr>
                <w:rFonts w:hint="eastAsia"/>
                <w:color w:val="000000"/>
                <w:sz w:val="21"/>
                <w:szCs w:val="21"/>
              </w:rPr>
              <w:t>期末试卷（电子稿）</w:t>
            </w:r>
          </w:p>
        </w:tc>
      </w:tr>
      <w:tr w14:paraId="05AA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511" w:type="dxa"/>
            <w:tcBorders>
              <w:top w:val="single" w:color="auto" w:sz="4" w:space="0"/>
              <w:left w:val="single" w:color="auto" w:sz="4" w:space="0"/>
              <w:right w:val="single" w:color="auto" w:sz="4" w:space="0"/>
            </w:tcBorders>
            <w:noWrap w:val="0"/>
            <w:vAlign w:val="center"/>
          </w:tcPr>
          <w:p w14:paraId="10A10D51">
            <w:pPr>
              <w:adjustRightInd w:val="0"/>
              <w:snapToGrid w:val="0"/>
              <w:jc w:val="center"/>
              <w:rPr>
                <w:rFonts w:hint="eastAsia"/>
                <w:color w:val="000000"/>
                <w:sz w:val="21"/>
                <w:szCs w:val="21"/>
              </w:rPr>
            </w:pPr>
            <w:r>
              <w:rPr>
                <w:rFonts w:hint="eastAsia"/>
                <w:color w:val="000000"/>
                <w:sz w:val="21"/>
                <w:szCs w:val="21"/>
              </w:rPr>
              <w:t>目标3</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152BAB95">
            <w:pPr>
              <w:adjustRightInd w:val="0"/>
              <w:snapToGrid w:val="0"/>
              <w:jc w:val="center"/>
              <w:rPr>
                <w:sz w:val="21"/>
                <w:szCs w:val="21"/>
              </w:rPr>
            </w:pPr>
            <w:r>
              <w:rPr>
                <w:rFonts w:hint="eastAsia"/>
                <w:sz w:val="21"/>
                <w:szCs w:val="21"/>
              </w:rPr>
              <w:t>对语言知识的理解与应用</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0F4AAF1A">
            <w:pPr>
              <w:pStyle w:val="36"/>
              <w:jc w:val="center"/>
              <w:rPr>
                <w:rFonts w:eastAsia="宋体"/>
                <w:color w:val="000000"/>
                <w:sz w:val="21"/>
                <w:szCs w:val="21"/>
              </w:rPr>
            </w:pPr>
            <w:r>
              <w:rPr>
                <w:rFonts w:hint="eastAsia" w:eastAsia="宋体"/>
                <w:color w:val="000000"/>
                <w:sz w:val="21"/>
                <w:szCs w:val="21"/>
              </w:rPr>
              <w:t>平时表现</w:t>
            </w:r>
          </w:p>
          <w:p w14:paraId="3D74229C">
            <w:pPr>
              <w:pStyle w:val="36"/>
              <w:jc w:val="center"/>
              <w:rPr>
                <w:rFonts w:eastAsia="宋体"/>
                <w:color w:val="000000"/>
                <w:sz w:val="21"/>
                <w:szCs w:val="21"/>
              </w:rPr>
            </w:pPr>
            <w:r>
              <w:rPr>
                <w:rFonts w:hint="eastAsia" w:eastAsia="宋体"/>
                <w:color w:val="000000"/>
                <w:sz w:val="21"/>
                <w:szCs w:val="21"/>
              </w:rPr>
              <w:t>作业、测试</w:t>
            </w:r>
          </w:p>
          <w:p w14:paraId="00E3B76A">
            <w:pPr>
              <w:pStyle w:val="36"/>
              <w:jc w:val="center"/>
              <w:rPr>
                <w:rFonts w:hint="eastAsia" w:eastAsia="宋体"/>
                <w:color w:val="000000"/>
                <w:sz w:val="21"/>
                <w:szCs w:val="21"/>
              </w:rPr>
            </w:pPr>
            <w:r>
              <w:rPr>
                <w:rFonts w:hint="eastAsia" w:eastAsia="宋体"/>
                <w:color w:val="000000"/>
                <w:sz w:val="21"/>
                <w:szCs w:val="21"/>
              </w:rPr>
              <w:t>自主学习</w:t>
            </w:r>
          </w:p>
          <w:p w14:paraId="7121F6B2">
            <w:pPr>
              <w:pStyle w:val="36"/>
              <w:jc w:val="center"/>
              <w:rPr>
                <w:rFonts w:eastAsia="宋体"/>
                <w:color w:val="000000"/>
                <w:sz w:val="21"/>
                <w:szCs w:val="21"/>
              </w:rPr>
            </w:pPr>
            <w:r>
              <w:rPr>
                <w:rFonts w:hint="eastAsia" w:eastAsia="宋体"/>
                <w:color w:val="000000"/>
                <w:sz w:val="21"/>
                <w:szCs w:val="21"/>
              </w:rPr>
              <w:t>第二课堂</w:t>
            </w:r>
          </w:p>
          <w:p w14:paraId="02B26E66">
            <w:pPr>
              <w:adjustRightInd w:val="0"/>
              <w:snapToGrid w:val="0"/>
              <w:jc w:val="center"/>
              <w:rPr>
                <w:rFonts w:hint="eastAsia"/>
                <w:color w:val="000000"/>
                <w:sz w:val="21"/>
                <w:szCs w:val="21"/>
              </w:rPr>
            </w:pPr>
            <w:r>
              <w:rPr>
                <w:rFonts w:hint="eastAsia"/>
                <w:color w:val="000000"/>
                <w:sz w:val="21"/>
                <w:szCs w:val="21"/>
              </w:rPr>
              <w:t>期末考试</w:t>
            </w:r>
          </w:p>
        </w:tc>
        <w:tc>
          <w:tcPr>
            <w:tcW w:w="3939" w:type="dxa"/>
            <w:tcBorders>
              <w:top w:val="single" w:color="auto" w:sz="4" w:space="0"/>
              <w:left w:val="single" w:color="auto" w:sz="4" w:space="0"/>
              <w:bottom w:val="single" w:color="auto" w:sz="4" w:space="0"/>
              <w:right w:val="single" w:color="auto" w:sz="4" w:space="0"/>
            </w:tcBorders>
            <w:noWrap w:val="0"/>
            <w:vAlign w:val="center"/>
          </w:tcPr>
          <w:p w14:paraId="02FDBB35">
            <w:pPr>
              <w:pStyle w:val="36"/>
              <w:rPr>
                <w:rFonts w:hint="eastAsia" w:eastAsia="宋体"/>
                <w:color w:val="000000"/>
                <w:sz w:val="21"/>
                <w:szCs w:val="21"/>
              </w:rPr>
            </w:pPr>
            <w:r>
              <w:rPr>
                <w:rFonts w:hint="eastAsia" w:eastAsia="宋体"/>
                <w:color w:val="000000"/>
                <w:sz w:val="21"/>
                <w:szCs w:val="21"/>
              </w:rPr>
              <w:t>平时成绩登记表（纸质稿）</w:t>
            </w:r>
          </w:p>
          <w:p w14:paraId="6AC70C95">
            <w:pPr>
              <w:pStyle w:val="36"/>
              <w:rPr>
                <w:rFonts w:eastAsia="宋体"/>
                <w:color w:val="000000"/>
                <w:sz w:val="21"/>
                <w:szCs w:val="21"/>
              </w:rPr>
            </w:pPr>
            <w:r>
              <w:rPr>
                <w:rFonts w:hint="eastAsia" w:eastAsia="宋体"/>
                <w:color w:val="000000"/>
                <w:sz w:val="21"/>
                <w:szCs w:val="21"/>
              </w:rPr>
              <w:t>第二课堂证书（电子稿）</w:t>
            </w:r>
          </w:p>
          <w:p w14:paraId="52A0CD9B">
            <w:pPr>
              <w:pStyle w:val="36"/>
              <w:rPr>
                <w:rFonts w:hint="eastAsia" w:eastAsia="宋体"/>
                <w:color w:val="000000"/>
                <w:sz w:val="21"/>
                <w:szCs w:val="21"/>
              </w:rPr>
            </w:pPr>
            <w:r>
              <w:rPr>
                <w:rFonts w:hint="eastAsia" w:eastAsia="宋体"/>
                <w:color w:val="000000"/>
                <w:sz w:val="21"/>
                <w:szCs w:val="21"/>
              </w:rPr>
              <w:t>作业、测试、自主学习（电子稿）</w:t>
            </w:r>
          </w:p>
          <w:p w14:paraId="1B91EBBA">
            <w:pPr>
              <w:adjustRightInd w:val="0"/>
              <w:snapToGrid w:val="0"/>
              <w:rPr>
                <w:color w:val="000000"/>
                <w:sz w:val="21"/>
                <w:szCs w:val="21"/>
              </w:rPr>
            </w:pPr>
            <w:r>
              <w:rPr>
                <w:rFonts w:hint="eastAsia"/>
                <w:color w:val="000000"/>
                <w:sz w:val="21"/>
                <w:szCs w:val="21"/>
              </w:rPr>
              <w:t>期末试卷（电子稿）</w:t>
            </w:r>
          </w:p>
        </w:tc>
      </w:tr>
    </w:tbl>
    <w:p w14:paraId="19A2B0D4">
      <w:pPr>
        <w:snapToGrid w:val="0"/>
        <w:spacing w:line="360" w:lineRule="auto"/>
        <w:ind w:firstLine="472" w:firstLineChars="196"/>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六、有关说明</w:t>
      </w:r>
    </w:p>
    <w:p w14:paraId="17BEC9FF">
      <w:pPr>
        <w:adjustRightInd w:val="0"/>
        <w:snapToGrid w:val="0"/>
        <w:spacing w:line="360" w:lineRule="auto"/>
        <w:ind w:firstLine="422" w:firstLineChars="200"/>
        <w:rPr>
          <w:b/>
          <w:color w:val="000000"/>
          <w:sz w:val="21"/>
          <w:szCs w:val="21"/>
        </w:rPr>
      </w:pPr>
      <w:r>
        <w:rPr>
          <w:rFonts w:hint="eastAsia"/>
          <w:b/>
          <w:color w:val="000000"/>
          <w:sz w:val="21"/>
          <w:szCs w:val="21"/>
        </w:rPr>
        <w:t>（一）持续改进</w:t>
      </w:r>
    </w:p>
    <w:p w14:paraId="4798F266">
      <w:pPr>
        <w:snapToGrid w:val="0"/>
        <w:spacing w:line="360" w:lineRule="auto"/>
        <w:ind w:firstLine="630" w:firstLineChars="300"/>
        <w:rPr>
          <w:sz w:val="21"/>
          <w:szCs w:val="21"/>
        </w:rPr>
      </w:pPr>
      <w:r>
        <w:rPr>
          <w:rFonts w:hint="eastAsia"/>
          <w:sz w:val="21"/>
          <w:szCs w:val="21"/>
        </w:rPr>
        <w:t>本课程根据学生作业、课堂讨论、平时考核情况和学生、教学督导等的反馈，及时对教学中的不足之处进行改进，并在下一轮课程教学中整改完善。</w:t>
      </w:r>
    </w:p>
    <w:p w14:paraId="5F35B25E">
      <w:pPr>
        <w:snapToGrid w:val="0"/>
        <w:spacing w:line="360" w:lineRule="auto"/>
        <w:ind w:firstLine="422" w:firstLineChars="200"/>
        <w:rPr>
          <w:b/>
          <w:color w:val="000000"/>
          <w:sz w:val="21"/>
          <w:szCs w:val="21"/>
        </w:rPr>
      </w:pPr>
      <w:r>
        <w:rPr>
          <w:rFonts w:hint="eastAsia"/>
          <w:b/>
          <w:color w:val="000000"/>
          <w:sz w:val="21"/>
          <w:szCs w:val="21"/>
        </w:rPr>
        <w:t>（二）</w:t>
      </w:r>
      <w:r>
        <w:rPr>
          <w:b/>
          <w:color w:val="000000"/>
          <w:sz w:val="21"/>
          <w:szCs w:val="21"/>
        </w:rPr>
        <w:t>参考书目及学习资料</w:t>
      </w:r>
    </w:p>
    <w:p w14:paraId="4C1B388F">
      <w:pPr>
        <w:snapToGrid w:val="0"/>
        <w:spacing w:line="360" w:lineRule="auto"/>
        <w:ind w:firstLine="630" w:firstLineChars="300"/>
        <w:rPr>
          <w:sz w:val="21"/>
          <w:szCs w:val="21"/>
        </w:rPr>
      </w:pPr>
      <w:r>
        <w:rPr>
          <w:rFonts w:hint="eastAsia"/>
          <w:bCs/>
          <w:color w:val="000000"/>
          <w:sz w:val="21"/>
          <w:szCs w:val="21"/>
        </w:rPr>
        <w:t xml:space="preserve">1. </w:t>
      </w:r>
      <w:r>
        <w:rPr>
          <w:rFonts w:hint="eastAsia"/>
          <w:sz w:val="21"/>
          <w:szCs w:val="21"/>
        </w:rPr>
        <w:t>习近平谈治国理政（中英文版）</w:t>
      </w:r>
      <w:r>
        <w:rPr>
          <w:sz w:val="21"/>
          <w:szCs w:val="21"/>
        </w:rPr>
        <w:t>[M]</w:t>
      </w:r>
      <w:r>
        <w:rPr>
          <w:rFonts w:hint="eastAsia"/>
          <w:sz w:val="21"/>
          <w:szCs w:val="21"/>
        </w:rPr>
        <w:t>. 北京：外文出版社</w:t>
      </w:r>
      <w:r>
        <w:rPr>
          <w:sz w:val="21"/>
          <w:szCs w:val="21"/>
        </w:rPr>
        <w:t>, 2022.</w:t>
      </w:r>
    </w:p>
    <w:p w14:paraId="5D0DAF38">
      <w:pPr>
        <w:snapToGrid w:val="0"/>
        <w:spacing w:line="360" w:lineRule="auto"/>
        <w:ind w:firstLine="630" w:firstLineChars="300"/>
        <w:rPr>
          <w:sz w:val="21"/>
          <w:szCs w:val="21"/>
        </w:rPr>
      </w:pPr>
      <w:r>
        <w:rPr>
          <w:rFonts w:hint="eastAsia"/>
          <w:sz w:val="21"/>
          <w:szCs w:val="21"/>
        </w:rPr>
        <w:t xml:space="preserve">2. </w:t>
      </w:r>
      <w:r>
        <w:rPr>
          <w:sz w:val="21"/>
          <w:szCs w:val="21"/>
        </w:rPr>
        <w:t>大学英语课程教学指南[Z]. 北京：外语教学与研究出版社, 20</w:t>
      </w:r>
      <w:r>
        <w:rPr>
          <w:rFonts w:hint="eastAsia"/>
          <w:sz w:val="21"/>
          <w:szCs w:val="21"/>
        </w:rPr>
        <w:t>20</w:t>
      </w:r>
      <w:r>
        <w:rPr>
          <w:sz w:val="21"/>
          <w:szCs w:val="21"/>
        </w:rPr>
        <w:t>.</w:t>
      </w:r>
    </w:p>
    <w:p w14:paraId="42E67AD3">
      <w:pPr>
        <w:snapToGrid w:val="0"/>
        <w:spacing w:line="360" w:lineRule="auto"/>
        <w:ind w:firstLine="630" w:firstLineChars="300"/>
        <w:rPr>
          <w:rFonts w:hint="eastAsia"/>
          <w:sz w:val="21"/>
          <w:szCs w:val="21"/>
        </w:rPr>
      </w:pPr>
      <w:r>
        <w:rPr>
          <w:rFonts w:hint="eastAsia"/>
          <w:sz w:val="21"/>
          <w:szCs w:val="21"/>
        </w:rPr>
        <w:t xml:space="preserve">3. </w:t>
      </w:r>
      <w:r>
        <w:rPr>
          <w:sz w:val="21"/>
          <w:szCs w:val="21"/>
        </w:rPr>
        <w:t>欧洲共同语言参照框架：学习、教学、评价[M]．北京：外语教育与研究出版社, 2008</w:t>
      </w:r>
      <w:r>
        <w:rPr>
          <w:rFonts w:hint="eastAsia"/>
          <w:sz w:val="21"/>
          <w:szCs w:val="21"/>
        </w:rPr>
        <w:t>.</w:t>
      </w:r>
    </w:p>
    <w:p w14:paraId="2A5CBCE2">
      <w:pPr>
        <w:snapToGrid w:val="0"/>
        <w:spacing w:line="360" w:lineRule="auto"/>
        <w:ind w:firstLine="630" w:firstLineChars="300"/>
        <w:rPr>
          <w:sz w:val="21"/>
          <w:szCs w:val="21"/>
        </w:rPr>
      </w:pPr>
      <w:r>
        <w:rPr>
          <w:rFonts w:hint="eastAsia"/>
          <w:sz w:val="21"/>
          <w:szCs w:val="21"/>
        </w:rPr>
        <w:t>4. 全新版大学进阶英语综合教程（第二版）</w:t>
      </w:r>
      <w:r>
        <w:rPr>
          <w:sz w:val="21"/>
          <w:szCs w:val="21"/>
        </w:rPr>
        <w:t>[</w:t>
      </w:r>
      <w:r>
        <w:rPr>
          <w:rFonts w:hint="eastAsia"/>
          <w:sz w:val="21"/>
          <w:szCs w:val="21"/>
        </w:rPr>
        <w:t>M</w:t>
      </w:r>
      <w:r>
        <w:rPr>
          <w:sz w:val="21"/>
          <w:szCs w:val="21"/>
        </w:rPr>
        <w:t>]</w:t>
      </w:r>
      <w:r>
        <w:rPr>
          <w:rFonts w:hint="eastAsia"/>
          <w:sz w:val="21"/>
          <w:szCs w:val="21"/>
        </w:rPr>
        <w:t>. 北京：上海外语教育出版社，2023.</w:t>
      </w:r>
    </w:p>
    <w:p w14:paraId="398686B3">
      <w:pPr>
        <w:snapToGrid w:val="0"/>
        <w:spacing w:line="360" w:lineRule="auto"/>
        <w:ind w:firstLine="630" w:firstLineChars="300"/>
        <w:rPr>
          <w:rFonts w:hint="eastAsia"/>
          <w:sz w:val="21"/>
          <w:szCs w:val="21"/>
        </w:rPr>
      </w:pPr>
      <w:r>
        <w:rPr>
          <w:rFonts w:hint="eastAsia"/>
          <w:sz w:val="21"/>
          <w:szCs w:val="21"/>
        </w:rPr>
        <w:t>5. 大学英语听说教程（智慧版）</w:t>
      </w:r>
      <w:r>
        <w:rPr>
          <w:sz w:val="21"/>
          <w:szCs w:val="21"/>
        </w:rPr>
        <w:t>[</w:t>
      </w:r>
      <w:r>
        <w:rPr>
          <w:rFonts w:hint="eastAsia"/>
          <w:sz w:val="21"/>
          <w:szCs w:val="21"/>
        </w:rPr>
        <w:t>M</w:t>
      </w:r>
      <w:r>
        <w:rPr>
          <w:sz w:val="21"/>
          <w:szCs w:val="21"/>
        </w:rPr>
        <w:t>]</w:t>
      </w:r>
      <w:r>
        <w:rPr>
          <w:rFonts w:hint="eastAsia"/>
          <w:sz w:val="21"/>
          <w:szCs w:val="21"/>
        </w:rPr>
        <w:t>. 北京：外语教学与研究出版社，2023.</w:t>
      </w:r>
    </w:p>
    <w:p w14:paraId="21AC7AB4">
      <w:pPr>
        <w:snapToGrid w:val="0"/>
        <w:spacing w:line="360" w:lineRule="auto"/>
        <w:ind w:firstLine="630" w:firstLineChars="300"/>
        <w:rPr>
          <w:rFonts w:hint="eastAsia"/>
          <w:sz w:val="21"/>
          <w:szCs w:val="21"/>
        </w:rPr>
      </w:pPr>
      <w:r>
        <w:rPr>
          <w:rFonts w:hint="eastAsia"/>
          <w:sz w:val="21"/>
          <w:szCs w:val="21"/>
        </w:rPr>
        <w:t>6. 新编大学英语技能进阶教程（第1版）</w:t>
      </w:r>
      <w:r>
        <w:rPr>
          <w:sz w:val="21"/>
          <w:szCs w:val="21"/>
        </w:rPr>
        <w:t>[</w:t>
      </w:r>
      <w:r>
        <w:rPr>
          <w:rFonts w:hint="eastAsia"/>
          <w:sz w:val="21"/>
          <w:szCs w:val="21"/>
        </w:rPr>
        <w:t>M</w:t>
      </w:r>
      <w:r>
        <w:rPr>
          <w:sz w:val="21"/>
          <w:szCs w:val="21"/>
        </w:rPr>
        <w:t>]</w:t>
      </w:r>
      <w:r>
        <w:rPr>
          <w:rFonts w:hint="eastAsia"/>
          <w:sz w:val="21"/>
          <w:szCs w:val="21"/>
        </w:rPr>
        <w:t>. 南京：东南大学出版社，2023.</w:t>
      </w:r>
    </w:p>
    <w:p w14:paraId="2090FBBB">
      <w:pPr>
        <w:snapToGrid w:val="0"/>
        <w:spacing w:line="360" w:lineRule="auto"/>
        <w:ind w:firstLine="630" w:firstLineChars="300"/>
        <w:rPr>
          <w:rFonts w:hint="eastAsia"/>
          <w:sz w:val="21"/>
          <w:szCs w:val="21"/>
        </w:rPr>
      </w:pPr>
      <w:r>
        <w:rPr>
          <w:rFonts w:hint="eastAsia"/>
          <w:sz w:val="21"/>
          <w:szCs w:val="21"/>
        </w:rPr>
        <w:t>7. 朗文当代高级英语辞典（第6版）</w:t>
      </w:r>
      <w:r>
        <w:rPr>
          <w:sz w:val="21"/>
          <w:szCs w:val="21"/>
        </w:rPr>
        <w:t>[</w:t>
      </w:r>
      <w:r>
        <w:rPr>
          <w:rFonts w:hint="eastAsia"/>
          <w:sz w:val="21"/>
          <w:szCs w:val="21"/>
        </w:rPr>
        <w:t>K</w:t>
      </w:r>
      <w:r>
        <w:rPr>
          <w:sz w:val="21"/>
          <w:szCs w:val="21"/>
        </w:rPr>
        <w:t>]</w:t>
      </w:r>
      <w:r>
        <w:rPr>
          <w:rFonts w:hint="eastAsia"/>
          <w:sz w:val="21"/>
          <w:szCs w:val="21"/>
        </w:rPr>
        <w:t>. 北京：外语教学与研究出版社，2019.</w:t>
      </w:r>
    </w:p>
    <w:p w14:paraId="5165B219">
      <w:pPr>
        <w:snapToGrid w:val="0"/>
        <w:spacing w:line="360" w:lineRule="auto"/>
        <w:ind w:firstLine="630" w:firstLineChars="300"/>
        <w:rPr>
          <w:rFonts w:hint="eastAsia"/>
          <w:sz w:val="21"/>
          <w:szCs w:val="21"/>
        </w:rPr>
      </w:pPr>
      <w:r>
        <w:rPr>
          <w:rFonts w:hint="eastAsia"/>
          <w:sz w:val="21"/>
          <w:szCs w:val="21"/>
        </w:rPr>
        <w:t>8. 牛津高阶英汉双解词典（第10版）</w:t>
      </w:r>
      <w:r>
        <w:rPr>
          <w:sz w:val="21"/>
          <w:szCs w:val="21"/>
        </w:rPr>
        <w:t>[</w:t>
      </w:r>
      <w:r>
        <w:rPr>
          <w:rFonts w:hint="eastAsia"/>
          <w:sz w:val="21"/>
          <w:szCs w:val="21"/>
        </w:rPr>
        <w:t>K</w:t>
      </w:r>
      <w:r>
        <w:rPr>
          <w:sz w:val="21"/>
          <w:szCs w:val="21"/>
        </w:rPr>
        <w:t>]</w:t>
      </w:r>
      <w:r>
        <w:rPr>
          <w:rFonts w:hint="eastAsia"/>
          <w:sz w:val="21"/>
          <w:szCs w:val="21"/>
        </w:rPr>
        <w:t>. 上海：商务印书馆，2023.</w:t>
      </w:r>
    </w:p>
    <w:p w14:paraId="60A4D654">
      <w:pPr>
        <w:snapToGrid w:val="0"/>
        <w:spacing w:line="360" w:lineRule="auto"/>
        <w:ind w:firstLine="630" w:firstLineChars="300"/>
        <w:rPr>
          <w:sz w:val="21"/>
          <w:szCs w:val="21"/>
        </w:rPr>
      </w:pPr>
      <w:r>
        <w:rPr>
          <w:rFonts w:hint="eastAsia"/>
          <w:sz w:val="21"/>
          <w:szCs w:val="21"/>
        </w:rPr>
        <w:t xml:space="preserve">9. </w:t>
      </w:r>
      <w:r>
        <w:rPr>
          <w:sz w:val="21"/>
          <w:szCs w:val="21"/>
        </w:rPr>
        <w:t>数字化教学</w:t>
      </w:r>
      <w:r>
        <w:rPr>
          <w:rFonts w:hint="eastAsia"/>
          <w:sz w:val="21"/>
          <w:szCs w:val="21"/>
        </w:rPr>
        <w:t>资源</w:t>
      </w:r>
      <w:r>
        <w:rPr>
          <w:sz w:val="21"/>
          <w:szCs w:val="21"/>
        </w:rPr>
        <w:t>链接</w:t>
      </w:r>
    </w:p>
    <w:p w14:paraId="63A6387B">
      <w:pPr>
        <w:ind w:left="420" w:firstLine="420"/>
        <w:rPr>
          <w:rFonts w:hint="eastAsia"/>
          <w:kern w:val="0"/>
          <w:sz w:val="21"/>
          <w:szCs w:val="21"/>
        </w:rPr>
      </w:pPr>
      <w:r>
        <w:rPr>
          <w:rFonts w:hint="eastAsia"/>
          <w:sz w:val="21"/>
          <w:szCs w:val="21"/>
        </w:rPr>
        <w:t>（1）</w:t>
      </w:r>
      <w:r>
        <w:rPr>
          <w:sz w:val="21"/>
          <w:szCs w:val="21"/>
        </w:rPr>
        <w:t>中国大学MOOC国家精品资源共享课，</w:t>
      </w:r>
      <w:r>
        <w:rPr>
          <w:rFonts w:hint="eastAsia"/>
          <w:sz w:val="21"/>
          <w:szCs w:val="21"/>
        </w:rPr>
        <w:t>大学英语</w:t>
      </w:r>
      <w:r>
        <w:rPr>
          <w:sz w:val="21"/>
          <w:szCs w:val="21"/>
        </w:rPr>
        <w:t>，</w:t>
      </w:r>
      <w:r>
        <w:rPr>
          <w:sz w:val="21"/>
          <w:szCs w:val="21"/>
        </w:rPr>
        <w:fldChar w:fldCharType="begin"/>
      </w:r>
      <w:r>
        <w:rPr>
          <w:sz w:val="21"/>
          <w:szCs w:val="21"/>
        </w:rPr>
        <w:instrText xml:space="preserve"> HYPERLINK "http://www.icourse163.org/course/HLJU-1206434803" </w:instrText>
      </w:r>
      <w:r>
        <w:rPr>
          <w:sz w:val="21"/>
          <w:szCs w:val="21"/>
        </w:rPr>
        <w:fldChar w:fldCharType="separate"/>
      </w:r>
      <w:r>
        <w:rPr>
          <w:sz w:val="21"/>
          <w:szCs w:val="21"/>
        </w:rPr>
        <w:t>http://www.icourse163.org</w:t>
      </w:r>
      <w:r>
        <w:rPr>
          <w:sz w:val="21"/>
          <w:szCs w:val="21"/>
        </w:rPr>
        <w:fldChar w:fldCharType="end"/>
      </w:r>
      <w:r>
        <w:rPr>
          <w:rFonts w:hint="eastAsia"/>
          <w:sz w:val="21"/>
          <w:szCs w:val="21"/>
        </w:rPr>
        <w:tab/>
      </w:r>
      <w:r>
        <w:rPr>
          <w:rFonts w:hint="eastAsia"/>
          <w:sz w:val="21"/>
          <w:szCs w:val="21"/>
        </w:rPr>
        <w:t>（2）国家精品课程资源网，大学英语，http://www.jingpinke.com</w:t>
      </w:r>
    </w:p>
    <w:p w14:paraId="3F036870">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right"/>
        <w:textAlignment w:val="auto"/>
        <w:rPr>
          <w:rFonts w:hint="eastAsia"/>
          <w:kern w:val="0"/>
          <w:sz w:val="21"/>
          <w:szCs w:val="21"/>
        </w:rPr>
      </w:pPr>
      <w:r>
        <w:rPr>
          <w:rFonts w:hint="eastAsia"/>
          <w:kern w:val="0"/>
          <w:sz w:val="21"/>
          <w:szCs w:val="21"/>
        </w:rPr>
        <w:t xml:space="preserve">执笔人：汤月明 </w:t>
      </w:r>
    </w:p>
    <w:p w14:paraId="1F68C8AA">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right"/>
        <w:textAlignment w:val="auto"/>
        <w:rPr>
          <w:rFonts w:hint="eastAsia"/>
          <w:kern w:val="0"/>
          <w:sz w:val="21"/>
          <w:szCs w:val="21"/>
        </w:rPr>
      </w:pPr>
      <w:r>
        <w:rPr>
          <w:rFonts w:hint="eastAsia"/>
          <w:kern w:val="0"/>
          <w:sz w:val="21"/>
          <w:szCs w:val="21"/>
        </w:rPr>
        <w:t xml:space="preserve">审定人：汤月明 </w:t>
      </w:r>
    </w:p>
    <w:p w14:paraId="7237ADDD">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right"/>
        <w:textAlignment w:val="auto"/>
        <w:rPr>
          <w:rFonts w:hint="eastAsia"/>
          <w:kern w:val="0"/>
          <w:sz w:val="21"/>
          <w:szCs w:val="21"/>
        </w:rPr>
      </w:pPr>
      <w:r>
        <w:rPr>
          <w:rFonts w:hint="eastAsia"/>
          <w:kern w:val="0"/>
          <w:sz w:val="21"/>
          <w:szCs w:val="21"/>
        </w:rPr>
        <w:t>审批人：施云波</w:t>
      </w:r>
    </w:p>
    <w:p w14:paraId="7288019E">
      <w:pPr>
        <w:jc w:val="right"/>
      </w:pPr>
      <w:r>
        <w:rPr>
          <w:rFonts w:hint="eastAsia"/>
          <w:kern w:val="0"/>
          <w:sz w:val="21"/>
          <w:szCs w:val="21"/>
          <w:lang w:val="en-US" w:eastAsia="zh-CN"/>
        </w:rPr>
        <w:t>审批时间：2025年8月</w:t>
      </w:r>
    </w:p>
    <w:p w14:paraId="3663484E"/>
    <w:p w14:paraId="5ADE1FB5"/>
    <w:p w14:paraId="08A75385">
      <w:pPr>
        <w:rPr>
          <w:rFonts w:hint="eastAsia" w:ascii="宋体" w:hAnsi="宋体" w:cs="宋体"/>
          <w:color w:val="auto"/>
          <w:sz w:val="24"/>
        </w:rPr>
      </w:pPr>
      <w:r>
        <w:rPr>
          <w:rFonts w:hint="eastAsia" w:ascii="宋体" w:hAnsi="宋体" w:cs="宋体"/>
          <w:color w:val="auto"/>
          <w:sz w:val="24"/>
        </w:rPr>
        <w:br w:type="page"/>
      </w:r>
    </w:p>
    <w:p w14:paraId="7138A2BC">
      <w:pPr>
        <w:pStyle w:val="2"/>
        <w:tabs>
          <w:tab w:val="left" w:pos="720"/>
          <w:tab w:val="left" w:pos="2700"/>
        </w:tabs>
        <w:spacing w:line="576" w:lineRule="auto"/>
        <w:outlineLvl w:val="0"/>
        <w:rPr>
          <w:rFonts w:hint="eastAsia" w:asciiTheme="majorHAnsi" w:hAnsiTheme="majorHAnsi" w:eastAsiaTheme="majorEastAsia" w:cstheme="majorBidi"/>
          <w:bCs/>
          <w:color w:val="auto"/>
          <w:szCs w:val="32"/>
        </w:rPr>
      </w:pPr>
      <w:bookmarkStart w:id="33" w:name="_Toc14472"/>
      <w:r>
        <w:rPr>
          <w:rFonts w:hint="eastAsia" w:asciiTheme="majorHAnsi" w:hAnsiTheme="majorHAnsi" w:eastAsiaTheme="majorEastAsia" w:cstheme="majorBidi"/>
          <w:bCs/>
          <w:color w:val="auto"/>
          <w:szCs w:val="32"/>
          <w:lang w:val="en-US" w:eastAsia="zh-CN"/>
        </w:rPr>
        <w:t>《大学英语B3》</w:t>
      </w:r>
      <w:r>
        <w:rPr>
          <w:rFonts w:hint="eastAsia" w:asciiTheme="majorHAnsi" w:hAnsiTheme="majorHAnsi" w:eastAsiaTheme="majorEastAsia" w:cstheme="majorBidi"/>
          <w:bCs/>
          <w:color w:val="auto"/>
          <w:szCs w:val="32"/>
        </w:rPr>
        <w:t>课程教学大纲</w:t>
      </w:r>
      <w:bookmarkEnd w:id="33"/>
    </w:p>
    <w:p w14:paraId="7D677EBD">
      <w:pPr>
        <w:spacing w:line="360" w:lineRule="auto"/>
        <w:jc w:val="cente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w:t>
      </w:r>
      <w:r>
        <w:rPr>
          <w:rFonts w:hint="eastAsia" w:ascii="Times New Roman" w:hAnsi="Times New Roman" w:eastAsia="宋体" w:cs="Times New Roman"/>
          <w:b/>
          <w:bCs/>
          <w:sz w:val="28"/>
          <w:szCs w:val="28"/>
          <w:lang w:val="en-US" w:eastAsia="zh-CN"/>
        </w:rPr>
        <w:t>College English B3</w:t>
      </w:r>
      <w:r>
        <w:rPr>
          <w:rFonts w:hint="default" w:ascii="Times New Roman" w:hAnsi="Times New Roman" w:eastAsia="宋体" w:cs="Times New Roman"/>
          <w:b/>
          <w:bCs/>
          <w:sz w:val="28"/>
          <w:szCs w:val="28"/>
        </w:rPr>
        <w:t>）</w:t>
      </w:r>
    </w:p>
    <w:p w14:paraId="5A8093B5">
      <w:pPr>
        <w:rPr>
          <w:rFonts w:hint="eastAsia" w:ascii="宋体" w:hAnsi="宋体" w:cs="宋体"/>
          <w:color w:val="auto"/>
          <w:sz w:val="24"/>
        </w:rPr>
      </w:pPr>
    </w:p>
    <w:p w14:paraId="4EADC16D">
      <w:pPr>
        <w:snapToGrid w:val="0"/>
        <w:spacing w:line="360" w:lineRule="auto"/>
        <w:ind w:firstLine="482" w:firstLineChars="200"/>
        <w:rPr>
          <w:rFonts w:hint="default" w:eastAsia="宋体"/>
          <w:b w:val="0"/>
          <w:bCs/>
          <w:kern w:val="0"/>
          <w:sz w:val="24"/>
          <w:lang w:val="en-US" w:eastAsia="zh-CN"/>
        </w:rPr>
      </w:pPr>
      <w:r>
        <w:rPr>
          <w:b/>
          <w:bCs/>
          <w:kern w:val="0"/>
          <w:sz w:val="24"/>
        </w:rPr>
        <w:t>课程代码</w:t>
      </w:r>
      <w:r>
        <w:rPr>
          <w:b/>
          <w:kern w:val="0"/>
          <w:sz w:val="24"/>
        </w:rPr>
        <w:t>：</w:t>
      </w:r>
      <w:r>
        <w:rPr>
          <w:rFonts w:hint="eastAsia"/>
          <w:b w:val="0"/>
          <w:bCs/>
          <w:kern w:val="0"/>
          <w:sz w:val="24"/>
          <w:lang w:val="en-US" w:eastAsia="zh-CN"/>
        </w:rPr>
        <w:t>0606004</w:t>
      </w:r>
    </w:p>
    <w:p w14:paraId="632F0DEE">
      <w:pPr>
        <w:snapToGrid w:val="0"/>
        <w:spacing w:line="360" w:lineRule="auto"/>
        <w:ind w:firstLine="482" w:firstLineChars="200"/>
        <w:rPr>
          <w:rFonts w:hint="eastAsia" w:eastAsia="宋体"/>
          <w:kern w:val="0"/>
          <w:sz w:val="24"/>
          <w:lang w:val="en-US" w:eastAsia="zh-CN"/>
        </w:rPr>
      </w:pPr>
      <w:r>
        <w:rPr>
          <w:b/>
          <w:bCs/>
          <w:kern w:val="0"/>
          <w:sz w:val="24"/>
        </w:rPr>
        <w:t>学    分</w:t>
      </w:r>
      <w:r>
        <w:rPr>
          <w:b/>
          <w:kern w:val="0"/>
          <w:sz w:val="24"/>
        </w:rPr>
        <w:t>：</w:t>
      </w:r>
      <w:r>
        <w:rPr>
          <w:rFonts w:hint="eastAsia"/>
          <w:b w:val="0"/>
          <w:bCs/>
          <w:kern w:val="0"/>
          <w:sz w:val="24"/>
          <w:lang w:val="en-US" w:eastAsia="zh-CN"/>
        </w:rPr>
        <w:t>4</w:t>
      </w:r>
    </w:p>
    <w:p w14:paraId="0F646620">
      <w:pPr>
        <w:snapToGrid w:val="0"/>
        <w:spacing w:line="360" w:lineRule="auto"/>
        <w:ind w:firstLine="482" w:firstLineChars="200"/>
        <w:rPr>
          <w:rFonts w:hint="default" w:eastAsia="宋体"/>
          <w:color w:val="auto"/>
          <w:kern w:val="0"/>
          <w:sz w:val="24"/>
          <w:shd w:val="clear" w:color="auto" w:fill="auto"/>
          <w:lang w:val="en-US" w:eastAsia="zh-CN"/>
        </w:rPr>
      </w:pPr>
      <w:r>
        <w:rPr>
          <w:b/>
          <w:bCs/>
          <w:color w:val="auto"/>
          <w:kern w:val="0"/>
          <w:sz w:val="24"/>
        </w:rPr>
        <w:t>学    时</w:t>
      </w:r>
      <w:r>
        <w:rPr>
          <w:b/>
          <w:color w:val="auto"/>
          <w:kern w:val="0"/>
          <w:sz w:val="24"/>
        </w:rPr>
        <w:t>：</w:t>
      </w:r>
      <w:r>
        <w:rPr>
          <w:rFonts w:hint="eastAsia"/>
          <w:b w:val="0"/>
          <w:bCs/>
          <w:color w:val="auto"/>
          <w:kern w:val="0"/>
          <w:sz w:val="24"/>
          <w:shd w:val="clear" w:color="auto" w:fill="auto"/>
          <w:lang w:val="en-US" w:eastAsia="zh-CN"/>
        </w:rPr>
        <w:t>65</w:t>
      </w:r>
    </w:p>
    <w:p w14:paraId="103A0B9D">
      <w:pPr>
        <w:snapToGrid w:val="0"/>
        <w:spacing w:line="360" w:lineRule="auto"/>
        <w:ind w:firstLine="482" w:firstLineChars="200"/>
        <w:rPr>
          <w:rFonts w:hint="default" w:eastAsia="宋体"/>
          <w:b w:val="0"/>
          <w:bCs/>
          <w:kern w:val="0"/>
          <w:sz w:val="24"/>
          <w:lang w:val="en-US" w:eastAsia="zh-CN"/>
        </w:rPr>
      </w:pPr>
      <w:r>
        <w:rPr>
          <w:b/>
          <w:bCs/>
          <w:kern w:val="0"/>
          <w:sz w:val="24"/>
        </w:rPr>
        <w:t>先修课程</w:t>
      </w:r>
      <w:r>
        <w:rPr>
          <w:b/>
          <w:kern w:val="0"/>
          <w:sz w:val="24"/>
        </w:rPr>
        <w:t>：</w:t>
      </w:r>
      <w:r>
        <w:rPr>
          <w:rFonts w:hint="eastAsia"/>
          <w:b w:val="0"/>
          <w:bCs/>
          <w:kern w:val="0"/>
          <w:sz w:val="24"/>
          <w:lang w:val="en-US" w:eastAsia="zh-CN"/>
        </w:rPr>
        <w:t>大学英语A</w:t>
      </w:r>
    </w:p>
    <w:p w14:paraId="7FCF405F">
      <w:pPr>
        <w:snapToGrid w:val="0"/>
        <w:spacing w:line="360" w:lineRule="auto"/>
        <w:ind w:firstLine="482" w:firstLineChars="200"/>
        <w:rPr>
          <w:rFonts w:hint="default" w:eastAsia="宋体"/>
          <w:sz w:val="24"/>
          <w:lang w:val="en-US" w:eastAsia="zh-CN"/>
        </w:rPr>
      </w:pPr>
      <w:r>
        <w:rPr>
          <w:b/>
          <w:bCs/>
          <w:kern w:val="0"/>
          <w:sz w:val="24"/>
        </w:rPr>
        <w:t>适用专业</w:t>
      </w:r>
      <w:r>
        <w:rPr>
          <w:b/>
          <w:kern w:val="0"/>
          <w:sz w:val="24"/>
        </w:rPr>
        <w:t>：</w:t>
      </w:r>
      <w:r>
        <w:rPr>
          <w:rFonts w:hint="eastAsia"/>
          <w:b w:val="0"/>
          <w:bCs/>
          <w:kern w:val="0"/>
          <w:sz w:val="24"/>
          <w:lang w:val="en-US" w:eastAsia="zh-CN"/>
        </w:rPr>
        <w:t>人文、师范、外语、艺术类专业</w:t>
      </w:r>
    </w:p>
    <w:p w14:paraId="094911DB">
      <w:pPr>
        <w:snapToGrid w:val="0"/>
        <w:spacing w:line="360" w:lineRule="auto"/>
        <w:ind w:firstLine="482" w:firstLineChars="200"/>
        <w:rPr>
          <w:rFonts w:hint="default" w:eastAsia="宋体"/>
          <w:b/>
          <w:bCs/>
          <w:kern w:val="0"/>
          <w:sz w:val="24"/>
          <w:lang w:val="en-US" w:eastAsia="zh-CN"/>
        </w:rPr>
      </w:pPr>
      <w:r>
        <w:rPr>
          <w:rFonts w:hint="eastAsia"/>
          <w:b/>
          <w:bCs/>
          <w:kern w:val="0"/>
          <w:sz w:val="24"/>
        </w:rPr>
        <w:t>适用年级：</w:t>
      </w:r>
      <w:r>
        <w:rPr>
          <w:rFonts w:hint="eastAsia"/>
          <w:b w:val="0"/>
          <w:bCs w:val="0"/>
          <w:kern w:val="0"/>
          <w:sz w:val="24"/>
          <w:lang w:val="en-US" w:eastAsia="zh-CN"/>
        </w:rPr>
        <w:t>2025级</w:t>
      </w:r>
    </w:p>
    <w:p w14:paraId="3EB62CF4">
      <w:pPr>
        <w:numPr>
          <w:ilvl w:val="0"/>
          <w:numId w:val="9"/>
        </w:numPr>
        <w:snapToGrid w:val="0"/>
        <w:spacing w:line="360" w:lineRule="auto"/>
        <w:ind w:firstLine="562" w:firstLineChars="200"/>
        <w:rPr>
          <w:rFonts w:hint="eastAsia"/>
          <w:b/>
          <w:sz w:val="28"/>
          <w:szCs w:val="28"/>
          <w:lang w:val="en-US" w:eastAsia="zh-CN"/>
        </w:rPr>
      </w:pPr>
      <w:r>
        <w:rPr>
          <w:rFonts w:hint="eastAsia"/>
          <w:b/>
          <w:sz w:val="28"/>
          <w:szCs w:val="28"/>
          <w:lang w:val="en-US" w:eastAsia="zh-CN"/>
        </w:rPr>
        <w:t>课程简介</w:t>
      </w:r>
    </w:p>
    <w:p w14:paraId="6A241325">
      <w:pPr>
        <w:spacing w:line="360" w:lineRule="auto"/>
        <w:ind w:firstLine="420" w:firstLineChars="200"/>
        <w:rPr>
          <w:rFonts w:hint="default"/>
          <w:b/>
          <w:sz w:val="28"/>
          <w:szCs w:val="28"/>
          <w:lang w:val="en-US" w:eastAsia="zh-CN"/>
        </w:rPr>
      </w:pPr>
      <w:r>
        <w:rPr>
          <w:rFonts w:hint="eastAsia" w:ascii="宋体" w:hAnsi="宋体" w:eastAsia="宋体" w:cs="宋体"/>
          <w:kern w:val="0"/>
          <w:szCs w:val="21"/>
        </w:rPr>
        <w:t>大学英语教学是高等教育的一个重要组成部分。大学英语作为全校非英语专业学生必修的公共基础课程，大学英语教学以英语语言知识与应用技能、学习策略和跨文化交际为主要内容，以外语教学理论为指导，有机融入课程思政，集多种教学模式和教学手段为一体的教学体系。大学英语教学旨在夯实学生英语语言基础，培养学生英语语言应用能力；满足学生专业学习、国际交流、继续深造、工作就业等方面的需求；增强学生自主学习能力和终生学习意识；帮助学生树立全球视野，培养国际意识，提升人文素养，为学生知识创新、潜能发挥和全面发展提供一个基本工具。</w:t>
      </w:r>
    </w:p>
    <w:p w14:paraId="2E653EBB">
      <w:pPr>
        <w:snapToGrid w:val="0"/>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二</w:t>
      </w:r>
      <w:r>
        <w:rPr>
          <w:rFonts w:ascii="Times New Roman" w:hAnsi="Times New Roman" w:eastAsia="宋体" w:cs="Times New Roman"/>
          <w:b/>
          <w:sz w:val="24"/>
          <w:szCs w:val="24"/>
        </w:rPr>
        <w:t>、课程目标</w:t>
      </w:r>
    </w:p>
    <w:p w14:paraId="21F00372">
      <w:pPr>
        <w:tabs>
          <w:tab w:val="left" w:pos="1260"/>
        </w:tabs>
        <w:snapToGrid w:val="0"/>
        <w:spacing w:line="360" w:lineRule="auto"/>
        <w:ind w:left="0" w:leftChars="0" w:firstLine="367" w:firstLineChars="175"/>
        <w:rPr>
          <w:rFonts w:hint="eastAsia"/>
          <w:kern w:val="0"/>
          <w:sz w:val="21"/>
          <w:szCs w:val="21"/>
        </w:rPr>
      </w:pPr>
      <w:r>
        <w:rPr>
          <w:rFonts w:hint="eastAsia"/>
          <w:kern w:val="0"/>
          <w:sz w:val="21"/>
          <w:szCs w:val="21"/>
        </w:rPr>
        <w:t>目标1：</w:t>
      </w:r>
      <w:r>
        <w:rPr>
          <w:rFonts w:hint="eastAsia"/>
          <w:kern w:val="0"/>
          <w:sz w:val="21"/>
          <w:szCs w:val="21"/>
          <w:lang w:val="en-US" w:eastAsia="zh-CN"/>
        </w:rPr>
        <w:t>了解专业领域</w:t>
      </w:r>
      <w:r>
        <w:rPr>
          <w:rFonts w:hint="eastAsia"/>
          <w:kern w:val="0"/>
          <w:sz w:val="21"/>
          <w:szCs w:val="21"/>
        </w:rPr>
        <w:t>的术语体系、语篇结构及表达逻辑</w:t>
      </w:r>
      <w:r>
        <w:rPr>
          <w:rFonts w:hint="eastAsia"/>
          <w:kern w:val="0"/>
          <w:sz w:val="21"/>
          <w:szCs w:val="21"/>
          <w:lang w:eastAsia="zh-CN"/>
        </w:rPr>
        <w:t>；</w:t>
      </w:r>
      <w:r>
        <w:rPr>
          <w:rFonts w:hint="eastAsia"/>
          <w:kern w:val="0"/>
          <w:sz w:val="21"/>
          <w:szCs w:val="21"/>
        </w:rPr>
        <w:t>掌握学术英语核心语法规则、专业文献阅读策略</w:t>
      </w:r>
      <w:r>
        <w:rPr>
          <w:rFonts w:hint="eastAsia"/>
          <w:kern w:val="0"/>
          <w:sz w:val="21"/>
          <w:szCs w:val="21"/>
          <w:lang w:val="en-US" w:eastAsia="zh-CN"/>
        </w:rPr>
        <w:t>及</w:t>
      </w:r>
      <w:r>
        <w:rPr>
          <w:rFonts w:hint="eastAsia"/>
          <w:kern w:val="0"/>
          <w:sz w:val="21"/>
          <w:szCs w:val="21"/>
        </w:rPr>
        <w:t>学术写作规范。</w:t>
      </w:r>
    </w:p>
    <w:p w14:paraId="2C8E0941">
      <w:pPr>
        <w:tabs>
          <w:tab w:val="left" w:pos="1260"/>
        </w:tabs>
        <w:snapToGrid w:val="0"/>
        <w:spacing w:line="360" w:lineRule="auto"/>
        <w:ind w:left="0" w:leftChars="0" w:firstLine="367" w:firstLineChars="175"/>
        <w:rPr>
          <w:rFonts w:hint="eastAsia"/>
          <w:kern w:val="0"/>
          <w:sz w:val="21"/>
          <w:szCs w:val="21"/>
        </w:rPr>
      </w:pPr>
      <w:r>
        <w:rPr>
          <w:rFonts w:hint="eastAsia"/>
          <w:kern w:val="0"/>
          <w:sz w:val="21"/>
          <w:szCs w:val="21"/>
        </w:rPr>
        <w:t>目标2：提升学生使用英语工具紧跟专业前沿，拓展专业视野，查阅专业文献的意识和能力，培养学生在</w:t>
      </w:r>
      <w:r>
        <w:rPr>
          <w:rFonts w:hint="eastAsia"/>
          <w:kern w:val="0"/>
          <w:sz w:val="21"/>
          <w:szCs w:val="21"/>
          <w:lang w:val="en-US" w:eastAsia="zh-CN"/>
        </w:rPr>
        <w:t>专业</w:t>
      </w:r>
      <w:r>
        <w:rPr>
          <w:rFonts w:hint="eastAsia"/>
          <w:kern w:val="0"/>
          <w:sz w:val="21"/>
          <w:szCs w:val="21"/>
        </w:rPr>
        <w:t>领域进行相关沟通、交流能力。</w:t>
      </w:r>
    </w:p>
    <w:p w14:paraId="1570AC1F">
      <w:pPr>
        <w:tabs>
          <w:tab w:val="left" w:pos="1260"/>
        </w:tabs>
        <w:snapToGrid w:val="0"/>
        <w:spacing w:line="360" w:lineRule="auto"/>
        <w:ind w:left="0" w:leftChars="0" w:firstLine="367" w:firstLineChars="175"/>
        <w:rPr>
          <w:rFonts w:hint="eastAsia"/>
          <w:kern w:val="0"/>
          <w:sz w:val="21"/>
          <w:szCs w:val="21"/>
        </w:rPr>
      </w:pPr>
      <w:r>
        <w:rPr>
          <w:rFonts w:hint="eastAsia"/>
          <w:kern w:val="0"/>
          <w:sz w:val="21"/>
          <w:szCs w:val="21"/>
        </w:rPr>
        <w:t>目标3：厚植学术诚信意识</w:t>
      </w:r>
      <w:r>
        <w:rPr>
          <w:rFonts w:hint="eastAsia"/>
          <w:kern w:val="0"/>
          <w:sz w:val="21"/>
          <w:szCs w:val="21"/>
          <w:lang w:eastAsia="zh-CN"/>
        </w:rPr>
        <w:t>，</w:t>
      </w:r>
      <w:r>
        <w:rPr>
          <w:rFonts w:hint="eastAsia"/>
          <w:kern w:val="0"/>
          <w:sz w:val="21"/>
          <w:szCs w:val="21"/>
        </w:rPr>
        <w:t>增</w:t>
      </w:r>
      <w:r>
        <w:rPr>
          <w:rFonts w:hint="eastAsia"/>
          <w:kern w:val="0"/>
          <w:sz w:val="21"/>
          <w:szCs w:val="21"/>
          <w:lang w:val="en-US" w:eastAsia="zh-CN"/>
        </w:rPr>
        <w:t>强跨文化理解</w:t>
      </w:r>
      <w:r>
        <w:rPr>
          <w:rFonts w:hint="eastAsia"/>
          <w:kern w:val="0"/>
          <w:sz w:val="21"/>
          <w:szCs w:val="21"/>
        </w:rPr>
        <w:t>；培养学生树立国际视野</w:t>
      </w:r>
      <w:r>
        <w:rPr>
          <w:rFonts w:hint="eastAsia"/>
          <w:kern w:val="0"/>
          <w:sz w:val="21"/>
          <w:szCs w:val="21"/>
          <w:lang w:eastAsia="zh-CN"/>
        </w:rPr>
        <w:t>，</w:t>
      </w:r>
      <w:r>
        <w:rPr>
          <w:rFonts w:hint="eastAsia"/>
          <w:kern w:val="0"/>
          <w:sz w:val="21"/>
          <w:szCs w:val="21"/>
          <w:lang w:val="en-US" w:eastAsia="zh-CN"/>
        </w:rPr>
        <w:t>增强国际传播力</w:t>
      </w:r>
      <w:r>
        <w:rPr>
          <w:rFonts w:hint="eastAsia"/>
          <w:kern w:val="0"/>
          <w:sz w:val="21"/>
          <w:szCs w:val="21"/>
        </w:rPr>
        <w:t>；培养学生自主学习能力</w:t>
      </w:r>
      <w:r>
        <w:rPr>
          <w:rFonts w:hint="eastAsia"/>
          <w:kern w:val="0"/>
          <w:sz w:val="21"/>
          <w:szCs w:val="21"/>
          <w:lang w:val="en-US" w:eastAsia="zh-CN"/>
        </w:rPr>
        <w:t>和</w:t>
      </w:r>
      <w:r>
        <w:rPr>
          <w:rFonts w:hint="eastAsia"/>
          <w:kern w:val="0"/>
          <w:sz w:val="21"/>
          <w:szCs w:val="21"/>
        </w:rPr>
        <w:t>终身学习意识</w:t>
      </w:r>
      <w:r>
        <w:rPr>
          <w:rFonts w:hint="eastAsia"/>
          <w:kern w:val="0"/>
          <w:sz w:val="21"/>
          <w:szCs w:val="21"/>
          <w:lang w:eastAsia="zh-CN"/>
        </w:rPr>
        <w:t>，</w:t>
      </w:r>
      <w:r>
        <w:rPr>
          <w:rFonts w:hint="eastAsia"/>
          <w:kern w:val="0"/>
          <w:sz w:val="21"/>
          <w:szCs w:val="21"/>
          <w:lang w:val="en-US" w:eastAsia="zh-CN"/>
        </w:rPr>
        <w:t>适应专业发展的动态需求</w:t>
      </w:r>
      <w:r>
        <w:rPr>
          <w:rFonts w:hint="eastAsia"/>
          <w:kern w:val="0"/>
          <w:sz w:val="21"/>
          <w:szCs w:val="21"/>
        </w:rPr>
        <w:t>。</w:t>
      </w:r>
    </w:p>
    <w:p w14:paraId="48D50C5D">
      <w:pPr>
        <w:snapToGrid w:val="0"/>
        <w:spacing w:line="360" w:lineRule="auto"/>
        <w:ind w:firstLine="420" w:firstLineChars="200"/>
        <w:rPr>
          <w:kern w:val="0"/>
          <w:sz w:val="21"/>
          <w:szCs w:val="21"/>
        </w:rPr>
      </w:pPr>
      <w:r>
        <w:rPr>
          <w:rFonts w:hint="eastAsia"/>
          <w:kern w:val="0"/>
          <w:sz w:val="21"/>
          <w:szCs w:val="21"/>
        </w:rPr>
        <w:t>课程思政育人目标：以语言知识和语言技能为桥梁，在培养学生</w:t>
      </w:r>
      <w:r>
        <w:rPr>
          <w:rFonts w:hint="eastAsia"/>
          <w:kern w:val="0"/>
          <w:sz w:val="21"/>
          <w:szCs w:val="21"/>
          <w:lang w:val="en-US" w:eastAsia="zh-CN"/>
        </w:rPr>
        <w:t>拓展国际视野，提升</w:t>
      </w:r>
      <w:r>
        <w:rPr>
          <w:rFonts w:hint="eastAsia"/>
          <w:kern w:val="0"/>
          <w:sz w:val="21"/>
          <w:szCs w:val="21"/>
        </w:rPr>
        <w:t>跨文化</w:t>
      </w:r>
      <w:r>
        <w:rPr>
          <w:rFonts w:hint="eastAsia"/>
          <w:kern w:val="0"/>
          <w:sz w:val="21"/>
          <w:szCs w:val="21"/>
          <w:lang w:val="en-US" w:eastAsia="zh-CN"/>
        </w:rPr>
        <w:t>沟通</w:t>
      </w:r>
      <w:r>
        <w:rPr>
          <w:rFonts w:hint="eastAsia"/>
          <w:kern w:val="0"/>
          <w:sz w:val="21"/>
          <w:szCs w:val="21"/>
        </w:rPr>
        <w:t>能力的同时，引导学生树立家国情怀</w:t>
      </w:r>
      <w:r>
        <w:rPr>
          <w:rFonts w:hint="eastAsia"/>
          <w:kern w:val="0"/>
          <w:sz w:val="21"/>
          <w:szCs w:val="21"/>
          <w:lang w:eastAsia="zh-CN"/>
        </w:rPr>
        <w:t>，</w:t>
      </w:r>
      <w:r>
        <w:rPr>
          <w:rFonts w:hint="eastAsia"/>
          <w:kern w:val="0"/>
          <w:sz w:val="21"/>
          <w:szCs w:val="21"/>
          <w:lang w:val="en-US" w:eastAsia="zh-CN"/>
        </w:rPr>
        <w:t>坚定文化自信</w:t>
      </w:r>
      <w:r>
        <w:rPr>
          <w:rFonts w:hint="eastAsia"/>
          <w:kern w:val="0"/>
          <w:sz w:val="21"/>
          <w:szCs w:val="21"/>
        </w:rPr>
        <w:t>，</w:t>
      </w:r>
      <w:r>
        <w:rPr>
          <w:rFonts w:hint="eastAsia"/>
          <w:kern w:val="0"/>
          <w:sz w:val="21"/>
          <w:szCs w:val="21"/>
          <w:lang w:val="en-US" w:eastAsia="zh-CN"/>
        </w:rPr>
        <w:t>坚守学术诚信和职业道德；培育科学精神，强化社会责任，服务国家战略需求</w:t>
      </w:r>
      <w:r>
        <w:rPr>
          <w:rFonts w:hint="eastAsia"/>
          <w:kern w:val="0"/>
          <w:sz w:val="21"/>
          <w:szCs w:val="21"/>
          <w:lang w:eastAsia="zh-CN"/>
        </w:rPr>
        <w:t>。</w:t>
      </w:r>
      <w:r>
        <w:rPr>
          <w:rFonts w:hint="eastAsia"/>
          <w:kern w:val="0"/>
          <w:sz w:val="21"/>
          <w:szCs w:val="21"/>
        </w:rPr>
        <w:t>课程目标与毕业要求观测点的对应关系如表1所示。</w:t>
      </w:r>
    </w:p>
    <w:p w14:paraId="121FCD89">
      <w:pPr>
        <w:snapToGrid w:val="0"/>
        <w:spacing w:line="360" w:lineRule="auto"/>
        <w:jc w:val="center"/>
        <w:rPr>
          <w:kern w:val="0"/>
          <w:sz w:val="21"/>
          <w:szCs w:val="21"/>
        </w:rPr>
      </w:pPr>
    </w:p>
    <w:p w14:paraId="22C3D385">
      <w:pPr>
        <w:snapToGrid w:val="0"/>
        <w:spacing w:line="360" w:lineRule="auto"/>
        <w:jc w:val="center"/>
        <w:rPr>
          <w:kern w:val="0"/>
          <w:sz w:val="21"/>
          <w:szCs w:val="21"/>
        </w:rPr>
      </w:pPr>
    </w:p>
    <w:p w14:paraId="19BE217A">
      <w:pPr>
        <w:snapToGrid w:val="0"/>
        <w:spacing w:line="360" w:lineRule="auto"/>
        <w:jc w:val="center"/>
        <w:rPr>
          <w:kern w:val="0"/>
          <w:sz w:val="21"/>
          <w:szCs w:val="21"/>
        </w:rPr>
      </w:pPr>
      <w:r>
        <w:rPr>
          <w:kern w:val="0"/>
          <w:sz w:val="21"/>
          <w:szCs w:val="21"/>
        </w:rPr>
        <w:t>表1  课程目标与毕业要求</w:t>
      </w:r>
      <w:r>
        <w:rPr>
          <w:rFonts w:hint="eastAsia"/>
          <w:kern w:val="0"/>
          <w:sz w:val="21"/>
          <w:szCs w:val="21"/>
        </w:rPr>
        <w:t>观测</w:t>
      </w:r>
      <w:r>
        <w:rPr>
          <w:kern w:val="0"/>
          <w:sz w:val="21"/>
          <w:szCs w:val="21"/>
        </w:rPr>
        <w:t>点的对应关系</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5374"/>
        <w:gridCol w:w="1302"/>
      </w:tblGrid>
      <w:tr w14:paraId="08F9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894" w:type="dxa"/>
            <w:vAlign w:val="center"/>
          </w:tcPr>
          <w:p w14:paraId="1992AF4C">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毕业要求</w:t>
            </w:r>
          </w:p>
        </w:tc>
        <w:tc>
          <w:tcPr>
            <w:tcW w:w="5530" w:type="dxa"/>
            <w:vAlign w:val="center"/>
          </w:tcPr>
          <w:p w14:paraId="18A58D2A">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毕业要求指标点</w:t>
            </w:r>
          </w:p>
        </w:tc>
        <w:tc>
          <w:tcPr>
            <w:tcW w:w="1331" w:type="dxa"/>
            <w:vAlign w:val="center"/>
          </w:tcPr>
          <w:p w14:paraId="121CB82F">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课程目标</w:t>
            </w:r>
          </w:p>
        </w:tc>
      </w:tr>
      <w:tr w14:paraId="3DB6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4" w:type="dxa"/>
            <w:vAlign w:val="center"/>
          </w:tcPr>
          <w:p w14:paraId="499594E5">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毕业要求3</w:t>
            </w:r>
          </w:p>
          <w:p w14:paraId="7348FFF7">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学科素养</w:t>
            </w:r>
          </w:p>
        </w:tc>
        <w:tc>
          <w:tcPr>
            <w:tcW w:w="5530" w:type="dxa"/>
            <w:vAlign w:val="center"/>
          </w:tcPr>
          <w:p w14:paraId="0E49009A">
            <w:pPr>
              <w:autoSpaceDE w:val="0"/>
              <w:autoSpaceDN w:val="0"/>
              <w:adjustRightInd w:val="0"/>
              <w:rPr>
                <w:rFonts w:hint="eastAsia" w:ascii="宋体" w:hAnsi="宋体" w:eastAsia="宋体" w:cs="宋体"/>
                <w:kern w:val="0"/>
                <w:sz w:val="21"/>
                <w:szCs w:val="21"/>
              </w:rPr>
            </w:pPr>
            <w:r>
              <w:rPr>
                <w:rFonts w:hint="eastAsia" w:ascii="宋体" w:hAnsi="宋体" w:eastAsia="宋体" w:cs="宋体"/>
                <w:b/>
                <w:kern w:val="0"/>
                <w:sz w:val="21"/>
                <w:szCs w:val="21"/>
                <w:lang w:eastAsia="zh-CN"/>
              </w:rPr>
              <w:t>指标点3-1</w:t>
            </w:r>
            <w:r>
              <w:rPr>
                <w:rFonts w:hint="eastAsia" w:ascii="宋体" w:hAnsi="宋体" w:eastAsia="宋体" w:cs="宋体"/>
                <w:kern w:val="0"/>
                <w:sz w:val="21"/>
                <w:szCs w:val="21"/>
              </w:rPr>
              <w:t>：【通识知识广博】具有小学教育本科专业相应的自然科学和人文社会科学知识素养。</w:t>
            </w:r>
          </w:p>
        </w:tc>
        <w:tc>
          <w:tcPr>
            <w:tcW w:w="1331" w:type="dxa"/>
            <w:vAlign w:val="center"/>
          </w:tcPr>
          <w:p w14:paraId="3DA85949">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课程目标1</w:t>
            </w:r>
          </w:p>
          <w:p w14:paraId="793CB213">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课程目标2</w:t>
            </w:r>
          </w:p>
        </w:tc>
      </w:tr>
      <w:tr w14:paraId="7817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4" w:type="dxa"/>
            <w:shd w:val="clear" w:color="auto" w:fill="auto"/>
            <w:vAlign w:val="center"/>
          </w:tcPr>
          <w:p w14:paraId="64571D7B">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毕业要求7</w:t>
            </w:r>
          </w:p>
          <w:p w14:paraId="232E478A">
            <w:pPr>
              <w:autoSpaceDE w:val="0"/>
              <w:autoSpaceDN w:val="0"/>
              <w:adjustRightInd w:val="0"/>
              <w:jc w:val="center"/>
              <w:rPr>
                <w:rFonts w:hint="eastAsia" w:ascii="宋体" w:hAnsi="宋体" w:eastAsia="宋体" w:cs="宋体"/>
                <w:kern w:val="0"/>
                <w:sz w:val="21"/>
                <w:szCs w:val="21"/>
              </w:rPr>
            </w:pPr>
            <w:r>
              <w:rPr>
                <w:rFonts w:ascii="宋体" w:hAnsi="宋体" w:eastAsia="宋体" w:cs="宋体"/>
                <w:kern w:val="0"/>
                <w:sz w:val="21"/>
                <w:szCs w:val="21"/>
              </w:rPr>
              <w:t>学会反思</w:t>
            </w:r>
          </w:p>
        </w:tc>
        <w:tc>
          <w:tcPr>
            <w:tcW w:w="5530" w:type="dxa"/>
          </w:tcPr>
          <w:p w14:paraId="5A247ABF">
            <w:pPr>
              <w:autoSpaceDE w:val="0"/>
              <w:autoSpaceDN w:val="0"/>
              <w:adjustRightInd w:val="0"/>
              <w:rPr>
                <w:rFonts w:hint="eastAsia" w:ascii="宋体" w:hAnsi="宋体" w:eastAsia="宋体" w:cs="宋体"/>
                <w:kern w:val="0"/>
                <w:sz w:val="21"/>
                <w:szCs w:val="21"/>
              </w:rPr>
            </w:pPr>
            <w:r>
              <w:rPr>
                <w:rFonts w:hint="eastAsia" w:ascii="宋体" w:hAnsi="宋体" w:eastAsia="宋体" w:cs="宋体"/>
                <w:b/>
                <w:kern w:val="0"/>
                <w:sz w:val="21"/>
                <w:szCs w:val="21"/>
                <w:lang w:eastAsia="zh-CN"/>
              </w:rPr>
              <w:t>指标点7-1</w:t>
            </w:r>
            <w:r>
              <w:rPr>
                <w:rFonts w:hint="eastAsia" w:ascii="宋体" w:hAnsi="宋体" w:eastAsia="宋体" w:cs="宋体"/>
                <w:kern w:val="0"/>
                <w:sz w:val="21"/>
                <w:szCs w:val="21"/>
              </w:rPr>
              <w:t>：【教育视野开阔】积极关注基础教育领域的国内外交流进展，了解国内外基础教育改革发展的动态，具有宽广的教育视野，能够主动适应新时代和教育发展需求。</w:t>
            </w:r>
          </w:p>
        </w:tc>
        <w:tc>
          <w:tcPr>
            <w:tcW w:w="1331" w:type="dxa"/>
            <w:vAlign w:val="center"/>
          </w:tcPr>
          <w:p w14:paraId="2C10F2F0">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课程目标1</w:t>
            </w:r>
          </w:p>
          <w:p w14:paraId="5605EE1D">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课程目标2</w:t>
            </w:r>
          </w:p>
          <w:p w14:paraId="33C8016D">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课程目标3</w:t>
            </w:r>
          </w:p>
        </w:tc>
      </w:tr>
      <w:tr w14:paraId="619E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4" w:type="dxa"/>
            <w:shd w:val="clear" w:color="auto" w:fill="auto"/>
            <w:vAlign w:val="center"/>
          </w:tcPr>
          <w:p w14:paraId="323BF447">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毕业要求8</w:t>
            </w:r>
          </w:p>
          <w:p w14:paraId="02945390">
            <w:pPr>
              <w:autoSpaceDE w:val="0"/>
              <w:autoSpaceDN w:val="0"/>
              <w:adjustRightInd w:val="0"/>
              <w:jc w:val="center"/>
              <w:rPr>
                <w:rFonts w:hint="eastAsia" w:ascii="宋体" w:hAnsi="宋体" w:eastAsia="宋体" w:cs="宋体"/>
                <w:kern w:val="0"/>
                <w:sz w:val="21"/>
                <w:szCs w:val="21"/>
              </w:rPr>
            </w:pPr>
            <w:r>
              <w:rPr>
                <w:rFonts w:ascii="宋体" w:hAnsi="宋体" w:eastAsia="宋体" w:cs="宋体"/>
                <w:kern w:val="0"/>
                <w:sz w:val="21"/>
                <w:szCs w:val="21"/>
              </w:rPr>
              <w:t>沟通合作</w:t>
            </w:r>
          </w:p>
        </w:tc>
        <w:tc>
          <w:tcPr>
            <w:tcW w:w="5530" w:type="dxa"/>
          </w:tcPr>
          <w:p w14:paraId="48991DE9">
            <w:pPr>
              <w:autoSpaceDE w:val="0"/>
              <w:autoSpaceDN w:val="0"/>
              <w:adjustRightInd w:val="0"/>
              <w:rPr>
                <w:rFonts w:hint="eastAsia" w:ascii="宋体" w:hAnsi="宋体" w:eastAsia="宋体" w:cs="宋体"/>
                <w:kern w:val="0"/>
                <w:sz w:val="21"/>
                <w:szCs w:val="21"/>
              </w:rPr>
            </w:pPr>
            <w:r>
              <w:rPr>
                <w:rFonts w:hint="eastAsia" w:ascii="宋体" w:hAnsi="宋体" w:eastAsia="宋体" w:cs="宋体"/>
                <w:b/>
                <w:kern w:val="0"/>
                <w:sz w:val="21"/>
                <w:szCs w:val="21"/>
                <w:lang w:eastAsia="zh-CN"/>
              </w:rPr>
              <w:t>指标点8-2</w:t>
            </w:r>
            <w:r>
              <w:rPr>
                <w:rFonts w:hint="eastAsia" w:ascii="宋体" w:hAnsi="宋体" w:eastAsia="宋体" w:cs="宋体"/>
                <w:kern w:val="0"/>
                <w:sz w:val="21"/>
                <w:szCs w:val="21"/>
              </w:rPr>
              <w:t>：【学会沟通交流】掌握人际沟通合作技能与方法，在教育教学实践中，能与学生和家长以及同行、同事、专家进行有效沟通与合作，实现共同发展。</w:t>
            </w:r>
          </w:p>
        </w:tc>
        <w:tc>
          <w:tcPr>
            <w:tcW w:w="1331" w:type="dxa"/>
            <w:vAlign w:val="center"/>
          </w:tcPr>
          <w:p w14:paraId="6C04DE29">
            <w:pPr>
              <w:autoSpaceDE w:val="0"/>
              <w:autoSpaceDN w:val="0"/>
              <w:adjustRightInd w:val="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课程目标</w:t>
            </w:r>
            <w:r>
              <w:rPr>
                <w:rFonts w:hint="eastAsia" w:ascii="宋体" w:hAnsi="宋体" w:eastAsia="宋体" w:cs="宋体"/>
                <w:kern w:val="0"/>
                <w:sz w:val="21"/>
                <w:szCs w:val="21"/>
                <w:lang w:val="en-US" w:eastAsia="zh-CN"/>
              </w:rPr>
              <w:t>1</w:t>
            </w:r>
          </w:p>
          <w:p w14:paraId="081946C3">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课程目标3</w:t>
            </w:r>
          </w:p>
        </w:tc>
      </w:tr>
    </w:tbl>
    <w:p w14:paraId="1AF4B24A">
      <w:pPr>
        <w:snapToGrid w:val="0"/>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三</w:t>
      </w:r>
      <w:r>
        <w:rPr>
          <w:rFonts w:ascii="Times New Roman" w:hAnsi="Times New Roman" w:eastAsia="宋体" w:cs="Times New Roman"/>
          <w:b/>
          <w:sz w:val="24"/>
          <w:szCs w:val="24"/>
        </w:rPr>
        <w:t>、课程内容及要求</w:t>
      </w:r>
    </w:p>
    <w:p w14:paraId="1C244621">
      <w:pPr>
        <w:snapToGrid w:val="0"/>
        <w:spacing w:line="360" w:lineRule="auto"/>
        <w:ind w:firstLine="413" w:firstLineChars="196"/>
        <w:rPr>
          <w:rFonts w:hint="eastAsia"/>
          <w:b/>
          <w:sz w:val="21"/>
          <w:szCs w:val="21"/>
        </w:rPr>
      </w:pPr>
      <w:r>
        <w:rPr>
          <w:b/>
          <w:sz w:val="21"/>
          <w:szCs w:val="21"/>
        </w:rPr>
        <w:t>（一）</w:t>
      </w:r>
      <w:r>
        <w:rPr>
          <w:rFonts w:hint="eastAsia"/>
          <w:b/>
          <w:sz w:val="21"/>
          <w:szCs w:val="21"/>
        </w:rPr>
        <w:t>听力理解</w:t>
      </w:r>
    </w:p>
    <w:p w14:paraId="77548186">
      <w:pPr>
        <w:snapToGrid w:val="0"/>
        <w:spacing w:line="360" w:lineRule="auto"/>
        <w:ind w:firstLine="420" w:firstLineChars="200"/>
        <w:rPr>
          <w:sz w:val="21"/>
          <w:szCs w:val="21"/>
        </w:rPr>
      </w:pPr>
      <w:r>
        <w:rPr>
          <w:sz w:val="21"/>
          <w:szCs w:val="21"/>
        </w:rPr>
        <w:t>1.教学内容</w:t>
      </w:r>
    </w:p>
    <w:p w14:paraId="3607CF88">
      <w:pPr>
        <w:spacing w:line="360" w:lineRule="auto"/>
        <w:ind w:firstLine="420" w:firstLineChars="200"/>
        <w:rPr>
          <w:rFonts w:hint="eastAsia"/>
          <w:sz w:val="21"/>
          <w:szCs w:val="21"/>
        </w:rPr>
      </w:pPr>
      <w:r>
        <w:rPr>
          <w:rFonts w:hint="eastAsia"/>
          <w:sz w:val="21"/>
          <w:szCs w:val="21"/>
        </w:rPr>
        <w:t>（1）学术场景听力</w:t>
      </w:r>
    </w:p>
    <w:p w14:paraId="1F7EA85E">
      <w:pPr>
        <w:spacing w:line="360" w:lineRule="auto"/>
        <w:ind w:firstLine="420" w:firstLineChars="200"/>
        <w:rPr>
          <w:rFonts w:hint="eastAsia"/>
          <w:sz w:val="21"/>
          <w:szCs w:val="21"/>
        </w:rPr>
      </w:pPr>
      <w:r>
        <w:rPr>
          <w:rFonts w:hint="eastAsia"/>
          <w:sz w:val="21"/>
          <w:szCs w:val="21"/>
        </w:rPr>
        <w:t>（2）学科专题听力</w:t>
      </w:r>
    </w:p>
    <w:p w14:paraId="3B038910">
      <w:pPr>
        <w:spacing w:line="360" w:lineRule="auto"/>
        <w:ind w:firstLine="420" w:firstLineChars="200"/>
        <w:rPr>
          <w:rFonts w:hint="eastAsia"/>
          <w:sz w:val="21"/>
          <w:szCs w:val="21"/>
        </w:rPr>
      </w:pPr>
      <w:r>
        <w:rPr>
          <w:rFonts w:hint="eastAsia"/>
          <w:sz w:val="21"/>
          <w:szCs w:val="21"/>
        </w:rPr>
        <w:t>（3）听力技巧</w:t>
      </w:r>
    </w:p>
    <w:p w14:paraId="0624DBA9">
      <w:pPr>
        <w:spacing w:line="360" w:lineRule="auto"/>
        <w:ind w:firstLine="420" w:firstLineChars="200"/>
        <w:rPr>
          <w:color w:val="000000"/>
          <w:sz w:val="21"/>
          <w:szCs w:val="21"/>
        </w:rPr>
      </w:pPr>
      <w:r>
        <w:rPr>
          <w:color w:val="000000"/>
          <w:sz w:val="21"/>
          <w:szCs w:val="21"/>
        </w:rPr>
        <w:t>2.基本要求</w:t>
      </w:r>
    </w:p>
    <w:p w14:paraId="5ED116C4">
      <w:pPr>
        <w:spacing w:line="360" w:lineRule="auto"/>
        <w:ind w:firstLine="420" w:firstLineChars="200"/>
        <w:rPr>
          <w:rFonts w:hint="eastAsia"/>
          <w:color w:val="000000"/>
          <w:sz w:val="21"/>
          <w:szCs w:val="21"/>
        </w:rPr>
      </w:pPr>
      <w:r>
        <w:rPr>
          <w:rFonts w:hint="eastAsia"/>
          <w:color w:val="000000"/>
          <w:sz w:val="21"/>
          <w:szCs w:val="21"/>
        </w:rPr>
        <w:t>能听懂</w:t>
      </w:r>
      <w:r>
        <w:rPr>
          <w:rFonts w:hint="eastAsia"/>
          <w:color w:val="000000"/>
          <w:sz w:val="21"/>
          <w:szCs w:val="21"/>
          <w:lang w:val="en-US" w:eastAsia="zh-CN"/>
        </w:rPr>
        <w:t>专业领域</w:t>
      </w:r>
      <w:r>
        <w:rPr>
          <w:rFonts w:hint="eastAsia"/>
          <w:color w:val="000000"/>
          <w:sz w:val="21"/>
          <w:szCs w:val="21"/>
        </w:rPr>
        <w:t>英语谈话；能基本听懂</w:t>
      </w:r>
      <w:r>
        <w:rPr>
          <w:rFonts w:hint="eastAsia"/>
          <w:color w:val="000000"/>
          <w:sz w:val="21"/>
          <w:szCs w:val="21"/>
          <w:lang w:val="en-US" w:eastAsia="zh-CN"/>
        </w:rPr>
        <w:t>专业相关</w:t>
      </w:r>
      <w:r>
        <w:rPr>
          <w:rFonts w:hint="eastAsia"/>
          <w:color w:val="000000"/>
          <w:sz w:val="21"/>
          <w:szCs w:val="21"/>
        </w:rPr>
        <w:t>、篇幅较长、语速中等的</w:t>
      </w:r>
      <w:r>
        <w:rPr>
          <w:rFonts w:hint="eastAsia"/>
          <w:color w:val="000000"/>
          <w:sz w:val="21"/>
          <w:szCs w:val="21"/>
          <w:lang w:val="en-US" w:eastAsia="zh-CN"/>
        </w:rPr>
        <w:t>学术会议和讲座</w:t>
      </w:r>
      <w:r>
        <w:rPr>
          <w:rFonts w:hint="eastAsia"/>
          <w:color w:val="000000"/>
          <w:sz w:val="21"/>
          <w:szCs w:val="21"/>
        </w:rPr>
        <w:t>，掌握中心大意，抓住要点和相关细节；能基本听懂用英语讲授的专业课程或与未来工作岗位、工作任务、产品等相关的口头介绍</w:t>
      </w:r>
      <w:r>
        <w:rPr>
          <w:rFonts w:hint="eastAsia"/>
          <w:color w:val="000000"/>
          <w:sz w:val="21"/>
          <w:szCs w:val="21"/>
          <w:lang w:eastAsia="zh-CN"/>
        </w:rPr>
        <w:t>；</w:t>
      </w:r>
      <w:r>
        <w:rPr>
          <w:rFonts w:hint="eastAsia"/>
          <w:color w:val="000000"/>
          <w:sz w:val="21"/>
          <w:szCs w:val="21"/>
        </w:rPr>
        <w:t>能较好地运用听力技巧。</w:t>
      </w:r>
    </w:p>
    <w:p w14:paraId="3AF4F9F1">
      <w:pPr>
        <w:spacing w:line="360" w:lineRule="auto"/>
        <w:ind w:firstLine="413" w:firstLineChars="196"/>
        <w:rPr>
          <w:rFonts w:hint="default" w:eastAsia="宋体"/>
          <w:b/>
          <w:sz w:val="21"/>
          <w:szCs w:val="21"/>
          <w:lang w:val="en-US" w:eastAsia="zh-CN"/>
        </w:rPr>
      </w:pPr>
      <w:r>
        <w:rPr>
          <w:rFonts w:hint="eastAsia"/>
          <w:b/>
          <w:sz w:val="21"/>
          <w:szCs w:val="21"/>
        </w:rPr>
        <w:t>（二）</w:t>
      </w:r>
      <w:r>
        <w:rPr>
          <w:rFonts w:hint="eastAsia"/>
          <w:b/>
          <w:sz w:val="21"/>
          <w:szCs w:val="21"/>
          <w:lang w:val="en-US" w:eastAsia="zh-CN"/>
        </w:rPr>
        <w:t>口语表达</w:t>
      </w:r>
    </w:p>
    <w:p w14:paraId="748E8788">
      <w:pPr>
        <w:spacing w:line="360" w:lineRule="auto"/>
        <w:ind w:firstLine="411" w:firstLineChars="196"/>
        <w:rPr>
          <w:rFonts w:hint="eastAsia"/>
          <w:sz w:val="21"/>
          <w:szCs w:val="21"/>
        </w:rPr>
      </w:pPr>
      <w:r>
        <w:rPr>
          <w:rFonts w:hint="eastAsia"/>
          <w:sz w:val="21"/>
          <w:szCs w:val="21"/>
        </w:rPr>
        <w:t>1.教学内容</w:t>
      </w:r>
    </w:p>
    <w:p w14:paraId="208FA245">
      <w:pPr>
        <w:spacing w:line="360" w:lineRule="auto"/>
        <w:ind w:firstLine="411" w:firstLineChars="196"/>
        <w:rPr>
          <w:rFonts w:hint="default" w:eastAsia="宋体"/>
          <w:sz w:val="21"/>
          <w:szCs w:val="21"/>
          <w:lang w:val="en-US" w:eastAsia="zh-CN"/>
        </w:rPr>
      </w:pPr>
      <w:r>
        <w:rPr>
          <w:rFonts w:hint="eastAsia"/>
          <w:sz w:val="21"/>
          <w:szCs w:val="21"/>
        </w:rPr>
        <w:t>（1）</w:t>
      </w:r>
      <w:r>
        <w:rPr>
          <w:rFonts w:hint="eastAsia"/>
          <w:sz w:val="21"/>
          <w:szCs w:val="21"/>
          <w:lang w:val="en-US" w:eastAsia="zh-CN"/>
        </w:rPr>
        <w:t>跨文化传播</w:t>
      </w:r>
    </w:p>
    <w:p w14:paraId="2401A286">
      <w:pPr>
        <w:spacing w:line="360" w:lineRule="auto"/>
        <w:ind w:firstLine="411" w:firstLineChars="196"/>
        <w:rPr>
          <w:rFonts w:hint="default"/>
          <w:sz w:val="21"/>
          <w:szCs w:val="21"/>
          <w:lang w:val="en-US" w:eastAsia="zh-CN"/>
        </w:rPr>
      </w:pPr>
      <w:r>
        <w:rPr>
          <w:rFonts w:hint="eastAsia"/>
          <w:sz w:val="21"/>
          <w:szCs w:val="21"/>
        </w:rPr>
        <w:t>（2）</w:t>
      </w:r>
      <w:r>
        <w:rPr>
          <w:rFonts w:hint="eastAsia"/>
          <w:sz w:val="21"/>
          <w:szCs w:val="21"/>
          <w:lang w:val="en-US" w:eastAsia="zh-CN"/>
        </w:rPr>
        <w:t>专业场景模拟</w:t>
      </w:r>
    </w:p>
    <w:p w14:paraId="5AE39B92">
      <w:pPr>
        <w:spacing w:line="360" w:lineRule="auto"/>
        <w:ind w:firstLine="411" w:firstLineChars="196"/>
        <w:rPr>
          <w:rFonts w:hint="eastAsia" w:eastAsia="宋体"/>
          <w:sz w:val="21"/>
          <w:szCs w:val="21"/>
          <w:lang w:val="en-US" w:eastAsia="zh-CN"/>
        </w:rPr>
      </w:pPr>
      <w:r>
        <w:rPr>
          <w:rFonts w:hint="eastAsia"/>
          <w:color w:val="000000"/>
          <w:sz w:val="21"/>
          <w:szCs w:val="21"/>
        </w:rPr>
        <w:t>（</w:t>
      </w:r>
      <w:r>
        <w:rPr>
          <w:rFonts w:hint="eastAsia"/>
          <w:color w:val="000000"/>
          <w:sz w:val="21"/>
          <w:szCs w:val="21"/>
          <w:lang w:val="en-US" w:eastAsia="zh-CN"/>
        </w:rPr>
        <w:t>3</w:t>
      </w:r>
      <w:r>
        <w:rPr>
          <w:rFonts w:hint="eastAsia"/>
          <w:color w:val="000000"/>
          <w:sz w:val="21"/>
          <w:szCs w:val="21"/>
        </w:rPr>
        <w:t>）</w:t>
      </w:r>
      <w:r>
        <w:rPr>
          <w:rFonts w:hint="eastAsia"/>
          <w:color w:val="000000"/>
          <w:sz w:val="21"/>
          <w:szCs w:val="21"/>
          <w:lang w:val="en-US" w:eastAsia="zh-CN"/>
        </w:rPr>
        <w:t>沟通技巧</w:t>
      </w:r>
    </w:p>
    <w:p w14:paraId="47B755D1">
      <w:pPr>
        <w:spacing w:line="360" w:lineRule="auto"/>
        <w:ind w:firstLine="411" w:firstLineChars="196"/>
        <w:rPr>
          <w:rFonts w:hint="eastAsia"/>
          <w:sz w:val="21"/>
          <w:szCs w:val="21"/>
        </w:rPr>
      </w:pPr>
      <w:r>
        <w:rPr>
          <w:rFonts w:hint="eastAsia"/>
          <w:sz w:val="21"/>
          <w:szCs w:val="21"/>
        </w:rPr>
        <w:t>2.基本要求</w:t>
      </w:r>
    </w:p>
    <w:p w14:paraId="2C310000">
      <w:pPr>
        <w:spacing w:line="360" w:lineRule="auto"/>
        <w:ind w:firstLine="420" w:firstLineChars="200"/>
        <w:rPr>
          <w:rFonts w:hint="eastAsia"/>
          <w:sz w:val="21"/>
          <w:szCs w:val="21"/>
        </w:rPr>
      </w:pPr>
      <w:r>
        <w:rPr>
          <w:rFonts w:hint="eastAsia"/>
          <w:sz w:val="21"/>
          <w:szCs w:val="21"/>
        </w:rPr>
        <w:t>能用英语就</w:t>
      </w:r>
      <w:r>
        <w:rPr>
          <w:rFonts w:hint="eastAsia"/>
          <w:sz w:val="21"/>
          <w:szCs w:val="21"/>
          <w:lang w:val="en-US" w:eastAsia="zh-CN"/>
        </w:rPr>
        <w:t>与人文、艺术专业相关</w:t>
      </w:r>
      <w:r>
        <w:rPr>
          <w:rFonts w:hint="eastAsia"/>
          <w:sz w:val="21"/>
          <w:szCs w:val="21"/>
        </w:rPr>
        <w:t>话题进行比较流利的会话；能较好地用英语表达个人意见、情感、观点等；能用英语陈述事实、理由和描述事件或物品等；能就熟悉的观点、概念、理论等进行阐述、解释、比较、总结等</w:t>
      </w:r>
      <w:r>
        <w:rPr>
          <w:rFonts w:hint="eastAsia"/>
          <w:sz w:val="21"/>
          <w:szCs w:val="21"/>
          <w:lang w:eastAsia="zh-CN"/>
        </w:rPr>
        <w:t>；</w:t>
      </w:r>
      <w:r>
        <w:rPr>
          <w:rFonts w:hint="eastAsia"/>
          <w:sz w:val="21"/>
          <w:szCs w:val="21"/>
          <w:lang w:val="en-US" w:eastAsia="zh-CN"/>
        </w:rPr>
        <w:t>具备一定的跨文化传播能力；</w:t>
      </w:r>
      <w:r>
        <w:rPr>
          <w:rFonts w:hint="eastAsia"/>
          <w:sz w:val="21"/>
          <w:szCs w:val="21"/>
        </w:rPr>
        <w:t>语言组织结构清晰，语音、语调基本正确</w:t>
      </w:r>
      <w:r>
        <w:rPr>
          <w:rFonts w:hint="eastAsia"/>
          <w:sz w:val="21"/>
          <w:szCs w:val="21"/>
          <w:lang w:eastAsia="zh-CN"/>
        </w:rPr>
        <w:t>；</w:t>
      </w:r>
      <w:r>
        <w:rPr>
          <w:rFonts w:hint="eastAsia"/>
          <w:sz w:val="21"/>
          <w:szCs w:val="21"/>
        </w:rPr>
        <w:t>能较好地运用口头表达与交流技巧。</w:t>
      </w:r>
    </w:p>
    <w:p w14:paraId="7C53CC62">
      <w:pPr>
        <w:numPr>
          <w:ilvl w:val="0"/>
          <w:numId w:val="0"/>
        </w:numPr>
        <w:spacing w:line="360" w:lineRule="auto"/>
        <w:ind w:firstLine="413" w:firstLineChars="196"/>
        <w:rPr>
          <w:rFonts w:hint="eastAsia"/>
          <w:b/>
          <w:sz w:val="21"/>
          <w:szCs w:val="21"/>
          <w:lang w:val="en-US" w:eastAsia="zh-CN"/>
        </w:rPr>
      </w:pPr>
      <w:r>
        <w:rPr>
          <w:rFonts w:hint="eastAsia" w:ascii="Times New Roman" w:hAnsi="Times New Roman" w:eastAsia="宋体" w:cs="Times New Roman"/>
          <w:b/>
          <w:kern w:val="2"/>
          <w:sz w:val="21"/>
          <w:szCs w:val="21"/>
          <w:lang w:val="en-US" w:eastAsia="zh-CN" w:bidi="ar-SA"/>
        </w:rPr>
        <w:t>（</w:t>
      </w:r>
      <w:r>
        <w:rPr>
          <w:rFonts w:hint="eastAsia" w:cs="Times New Roman"/>
          <w:b/>
          <w:kern w:val="2"/>
          <w:sz w:val="21"/>
          <w:szCs w:val="21"/>
          <w:lang w:val="en-US" w:eastAsia="zh-CN" w:bidi="ar-SA"/>
        </w:rPr>
        <w:t>三</w:t>
      </w:r>
      <w:r>
        <w:rPr>
          <w:rFonts w:hint="eastAsia" w:ascii="Times New Roman" w:hAnsi="Times New Roman" w:eastAsia="宋体" w:cs="Times New Roman"/>
          <w:b/>
          <w:kern w:val="2"/>
          <w:sz w:val="21"/>
          <w:szCs w:val="21"/>
          <w:lang w:val="en-US" w:eastAsia="zh-CN" w:bidi="ar-SA"/>
        </w:rPr>
        <w:t>）</w:t>
      </w:r>
      <w:r>
        <w:rPr>
          <w:rFonts w:hint="eastAsia"/>
          <w:b/>
          <w:sz w:val="21"/>
          <w:szCs w:val="21"/>
          <w:lang w:val="en-US" w:eastAsia="zh-CN"/>
        </w:rPr>
        <w:t>阅读理解</w:t>
      </w:r>
    </w:p>
    <w:p w14:paraId="1CF141E9">
      <w:pPr>
        <w:spacing w:line="360" w:lineRule="auto"/>
        <w:ind w:firstLine="411" w:firstLineChars="196"/>
        <w:rPr>
          <w:rFonts w:hint="default"/>
          <w:sz w:val="21"/>
          <w:szCs w:val="21"/>
          <w:lang w:val="en-US" w:eastAsia="zh-CN"/>
        </w:rPr>
      </w:pPr>
      <w:r>
        <w:rPr>
          <w:rFonts w:hint="eastAsia"/>
          <w:sz w:val="21"/>
          <w:szCs w:val="21"/>
          <w:lang w:val="en-US" w:eastAsia="zh-CN"/>
        </w:rPr>
        <w:t>1. 教学内容</w:t>
      </w:r>
    </w:p>
    <w:p w14:paraId="24965BFD">
      <w:pPr>
        <w:spacing w:line="360" w:lineRule="auto"/>
        <w:ind w:firstLine="420" w:firstLineChars="200"/>
        <w:rPr>
          <w:rFonts w:hint="default"/>
          <w:sz w:val="21"/>
          <w:szCs w:val="21"/>
          <w:lang w:val="en-US" w:eastAsia="zh-CN"/>
        </w:rPr>
      </w:pPr>
      <w:r>
        <w:rPr>
          <w:rFonts w:hint="eastAsia"/>
          <w:sz w:val="21"/>
          <w:szCs w:val="21"/>
          <w:lang w:val="en-US" w:eastAsia="zh-CN"/>
        </w:rPr>
        <w:t>（1）专业文献精读</w:t>
      </w:r>
    </w:p>
    <w:p w14:paraId="1E040473">
      <w:pPr>
        <w:spacing w:line="360" w:lineRule="auto"/>
        <w:ind w:firstLine="411" w:firstLineChars="196"/>
        <w:rPr>
          <w:rFonts w:hint="default"/>
          <w:sz w:val="21"/>
          <w:szCs w:val="21"/>
          <w:lang w:val="en-US" w:eastAsia="zh-CN"/>
        </w:rPr>
      </w:pPr>
      <w:r>
        <w:rPr>
          <w:rFonts w:hint="eastAsia"/>
          <w:sz w:val="21"/>
          <w:szCs w:val="21"/>
          <w:lang w:val="en-US" w:eastAsia="zh-CN"/>
        </w:rPr>
        <w:t>（2）跨学科文献泛读</w:t>
      </w:r>
    </w:p>
    <w:p w14:paraId="72D4B94C">
      <w:pPr>
        <w:spacing w:line="360" w:lineRule="auto"/>
        <w:ind w:firstLine="411" w:firstLineChars="196"/>
        <w:rPr>
          <w:rFonts w:hint="default"/>
          <w:sz w:val="21"/>
          <w:szCs w:val="21"/>
          <w:lang w:val="en-US" w:eastAsia="zh-CN"/>
        </w:rPr>
      </w:pPr>
      <w:r>
        <w:rPr>
          <w:rFonts w:hint="eastAsia"/>
          <w:sz w:val="21"/>
          <w:szCs w:val="21"/>
          <w:lang w:val="en-US" w:eastAsia="zh-CN"/>
        </w:rPr>
        <w:t>（3）批判性阅读</w:t>
      </w:r>
    </w:p>
    <w:p w14:paraId="14F026EB">
      <w:pPr>
        <w:spacing w:line="360" w:lineRule="auto"/>
        <w:ind w:firstLine="411" w:firstLineChars="196"/>
        <w:rPr>
          <w:rFonts w:hint="default"/>
          <w:sz w:val="21"/>
          <w:szCs w:val="21"/>
          <w:lang w:val="en-US" w:eastAsia="zh-CN"/>
        </w:rPr>
      </w:pPr>
      <w:r>
        <w:rPr>
          <w:rFonts w:hint="eastAsia"/>
          <w:sz w:val="21"/>
          <w:szCs w:val="21"/>
          <w:lang w:val="en-US" w:eastAsia="zh-CN"/>
        </w:rPr>
        <w:t>（4）阅读策略</w:t>
      </w:r>
    </w:p>
    <w:p w14:paraId="6D5DB60E">
      <w:pPr>
        <w:spacing w:line="360" w:lineRule="auto"/>
        <w:ind w:firstLine="411" w:firstLineChars="196"/>
        <w:rPr>
          <w:rFonts w:hint="eastAsia"/>
          <w:sz w:val="21"/>
          <w:szCs w:val="21"/>
        </w:rPr>
      </w:pPr>
      <w:r>
        <w:rPr>
          <w:rFonts w:hint="eastAsia"/>
          <w:sz w:val="21"/>
          <w:szCs w:val="21"/>
        </w:rPr>
        <w:t>2.基本要求</w:t>
      </w:r>
    </w:p>
    <w:p w14:paraId="5845B159">
      <w:pPr>
        <w:spacing w:line="360" w:lineRule="auto"/>
        <w:ind w:firstLine="420" w:firstLineChars="200"/>
        <w:rPr>
          <w:rFonts w:hint="default"/>
          <w:sz w:val="21"/>
          <w:szCs w:val="21"/>
          <w:lang w:val="en-US" w:eastAsia="zh-CN"/>
        </w:rPr>
      </w:pPr>
      <w:r>
        <w:rPr>
          <w:rFonts w:hint="default"/>
          <w:sz w:val="21"/>
          <w:szCs w:val="21"/>
          <w:lang w:val="en-US" w:eastAsia="zh-CN"/>
        </w:rPr>
        <w:t>能读懂公开发表的</w:t>
      </w:r>
      <w:r>
        <w:rPr>
          <w:rFonts w:hint="eastAsia"/>
          <w:sz w:val="21"/>
          <w:szCs w:val="21"/>
          <w:lang w:val="en-US" w:eastAsia="zh-CN"/>
        </w:rPr>
        <w:t>人文、艺术</w:t>
      </w:r>
      <w:r>
        <w:rPr>
          <w:rFonts w:hint="default"/>
          <w:sz w:val="21"/>
          <w:szCs w:val="21"/>
          <w:lang w:val="en-US" w:eastAsia="zh-CN"/>
        </w:rPr>
        <w:t>题材的</w:t>
      </w:r>
      <w:r>
        <w:rPr>
          <w:rFonts w:hint="eastAsia"/>
          <w:sz w:val="21"/>
          <w:szCs w:val="21"/>
          <w:lang w:val="en-US" w:eastAsia="zh-CN"/>
        </w:rPr>
        <w:t>英语</w:t>
      </w:r>
      <w:r>
        <w:rPr>
          <w:rFonts w:hint="default"/>
          <w:sz w:val="21"/>
          <w:szCs w:val="21"/>
          <w:lang w:val="en-US" w:eastAsia="zh-CN"/>
        </w:rPr>
        <w:t>文章</w:t>
      </w:r>
      <w:r>
        <w:rPr>
          <w:rFonts w:hint="eastAsia"/>
          <w:sz w:val="21"/>
          <w:szCs w:val="21"/>
          <w:lang w:val="en-US" w:eastAsia="zh-CN"/>
        </w:rPr>
        <w:t>和作品</w:t>
      </w:r>
      <w:r>
        <w:rPr>
          <w:rFonts w:hint="default"/>
          <w:sz w:val="21"/>
          <w:szCs w:val="21"/>
          <w:lang w:val="en-US" w:eastAsia="zh-CN"/>
        </w:rPr>
        <w:t>；能阅读与所学专业相关的</w:t>
      </w:r>
      <w:r>
        <w:rPr>
          <w:rFonts w:hint="eastAsia"/>
          <w:sz w:val="21"/>
          <w:szCs w:val="21"/>
          <w:lang w:val="en-US" w:eastAsia="zh-CN"/>
        </w:rPr>
        <w:t>英语</w:t>
      </w:r>
      <w:r>
        <w:rPr>
          <w:rFonts w:hint="default"/>
          <w:sz w:val="21"/>
          <w:szCs w:val="21"/>
          <w:lang w:val="en-US" w:eastAsia="zh-CN"/>
        </w:rPr>
        <w:t>综述性文献，或与未来工作相关的</w:t>
      </w:r>
      <w:r>
        <w:rPr>
          <w:rFonts w:hint="eastAsia"/>
          <w:sz w:val="21"/>
          <w:szCs w:val="21"/>
          <w:lang w:val="en-US" w:eastAsia="zh-CN"/>
        </w:rPr>
        <w:t>英语资料</w:t>
      </w:r>
      <w:r>
        <w:rPr>
          <w:rFonts w:hint="default"/>
          <w:sz w:val="21"/>
          <w:szCs w:val="21"/>
          <w:lang w:val="en-US" w:eastAsia="zh-CN"/>
        </w:rPr>
        <w:t>，理解中心大意、关键信息、文章的篇章结构和隐含意义等</w:t>
      </w:r>
      <w:r>
        <w:rPr>
          <w:rFonts w:hint="eastAsia"/>
          <w:sz w:val="21"/>
          <w:szCs w:val="21"/>
          <w:lang w:val="en-US" w:eastAsia="zh-CN"/>
        </w:rPr>
        <w:t>；</w:t>
      </w:r>
      <w:r>
        <w:rPr>
          <w:rFonts w:hint="default"/>
          <w:sz w:val="21"/>
          <w:szCs w:val="21"/>
          <w:lang w:val="en-US" w:eastAsia="zh-CN"/>
        </w:rPr>
        <w:t>能较好地运用快速阅读技巧阅读篇幅较长、难度中等的</w:t>
      </w:r>
      <w:r>
        <w:rPr>
          <w:rFonts w:hint="eastAsia"/>
          <w:sz w:val="21"/>
          <w:szCs w:val="21"/>
          <w:lang w:val="en-US" w:eastAsia="zh-CN"/>
        </w:rPr>
        <w:t>英语资</w:t>
      </w:r>
      <w:r>
        <w:rPr>
          <w:rFonts w:hint="default"/>
          <w:sz w:val="21"/>
          <w:szCs w:val="21"/>
          <w:lang w:val="en-US" w:eastAsia="zh-CN"/>
        </w:rPr>
        <w:t>料</w:t>
      </w:r>
      <w:r>
        <w:rPr>
          <w:rFonts w:hint="eastAsia"/>
          <w:sz w:val="21"/>
          <w:szCs w:val="21"/>
          <w:lang w:val="en-US" w:eastAsia="zh-CN"/>
        </w:rPr>
        <w:t>；</w:t>
      </w:r>
      <w:r>
        <w:rPr>
          <w:rFonts w:hint="default"/>
          <w:sz w:val="21"/>
          <w:szCs w:val="21"/>
          <w:lang w:val="en-US" w:eastAsia="zh-CN"/>
        </w:rPr>
        <w:t>能较好地运用常用的阅读策略。</w:t>
      </w:r>
    </w:p>
    <w:p w14:paraId="6F231578">
      <w:pPr>
        <w:spacing w:line="360" w:lineRule="auto"/>
        <w:ind w:firstLine="413" w:firstLineChars="196"/>
        <w:rPr>
          <w:rFonts w:hint="eastAsia"/>
          <w:b/>
          <w:sz w:val="21"/>
          <w:szCs w:val="21"/>
          <w:lang w:val="en-US" w:eastAsia="zh-CN"/>
        </w:rPr>
      </w:pPr>
      <w:r>
        <w:rPr>
          <w:rFonts w:hint="eastAsia"/>
          <w:b/>
          <w:sz w:val="21"/>
          <w:szCs w:val="21"/>
        </w:rPr>
        <w:t>（四）</w:t>
      </w:r>
      <w:r>
        <w:rPr>
          <w:rFonts w:hint="eastAsia"/>
          <w:b/>
          <w:sz w:val="21"/>
          <w:szCs w:val="21"/>
          <w:lang w:val="en-US" w:eastAsia="zh-CN"/>
        </w:rPr>
        <w:t>书面表达</w:t>
      </w:r>
    </w:p>
    <w:p w14:paraId="57A93CA0">
      <w:pPr>
        <w:spacing w:line="360" w:lineRule="auto"/>
        <w:ind w:firstLine="411" w:firstLineChars="196"/>
        <w:rPr>
          <w:rFonts w:hint="eastAsia"/>
          <w:sz w:val="21"/>
          <w:szCs w:val="21"/>
          <w:lang w:val="en-US" w:eastAsia="zh-CN"/>
        </w:rPr>
      </w:pPr>
      <w:r>
        <w:rPr>
          <w:rFonts w:hint="eastAsia"/>
          <w:sz w:val="21"/>
          <w:szCs w:val="21"/>
          <w:lang w:val="en-US" w:eastAsia="zh-CN"/>
        </w:rPr>
        <w:t>1. 教学内容</w:t>
      </w:r>
    </w:p>
    <w:p w14:paraId="50C99C01">
      <w:pPr>
        <w:spacing w:line="360" w:lineRule="auto"/>
        <w:ind w:firstLine="411" w:firstLineChars="196"/>
        <w:rPr>
          <w:rFonts w:hint="eastAsia"/>
          <w:sz w:val="21"/>
          <w:szCs w:val="21"/>
          <w:lang w:val="en-US" w:eastAsia="zh-CN"/>
        </w:rPr>
      </w:pPr>
      <w:r>
        <w:rPr>
          <w:rFonts w:hint="eastAsia"/>
          <w:sz w:val="21"/>
          <w:szCs w:val="21"/>
          <w:lang w:val="en-US" w:eastAsia="zh-CN"/>
        </w:rPr>
        <w:t>（1）学术写作规范</w:t>
      </w:r>
    </w:p>
    <w:p w14:paraId="115B8A6A">
      <w:pPr>
        <w:spacing w:line="360" w:lineRule="auto"/>
        <w:ind w:firstLine="411" w:firstLineChars="196"/>
        <w:rPr>
          <w:rFonts w:hint="eastAsia"/>
          <w:sz w:val="21"/>
          <w:szCs w:val="21"/>
          <w:lang w:val="en-US" w:eastAsia="zh-CN"/>
        </w:rPr>
      </w:pPr>
      <w:r>
        <w:rPr>
          <w:rFonts w:hint="eastAsia"/>
          <w:sz w:val="21"/>
          <w:szCs w:val="21"/>
          <w:lang w:val="en-US" w:eastAsia="zh-CN"/>
        </w:rPr>
        <w:t>（2）专业文本撰写</w:t>
      </w:r>
    </w:p>
    <w:p w14:paraId="6146FA46">
      <w:pPr>
        <w:spacing w:line="360" w:lineRule="auto"/>
        <w:ind w:firstLine="411" w:firstLineChars="196"/>
        <w:rPr>
          <w:rFonts w:hint="eastAsia"/>
          <w:sz w:val="21"/>
          <w:szCs w:val="21"/>
          <w:lang w:val="en-US" w:eastAsia="zh-CN"/>
        </w:rPr>
      </w:pPr>
      <w:r>
        <w:rPr>
          <w:rFonts w:hint="eastAsia"/>
          <w:sz w:val="21"/>
          <w:szCs w:val="21"/>
          <w:lang w:val="en-US" w:eastAsia="zh-CN"/>
        </w:rPr>
        <w:t>（3）文本修改</w:t>
      </w:r>
    </w:p>
    <w:p w14:paraId="0F1CF414">
      <w:pPr>
        <w:spacing w:line="360" w:lineRule="auto"/>
        <w:ind w:firstLine="411" w:firstLineChars="196"/>
        <w:rPr>
          <w:rFonts w:hint="eastAsia"/>
          <w:sz w:val="21"/>
          <w:szCs w:val="21"/>
        </w:rPr>
      </w:pPr>
      <w:r>
        <w:rPr>
          <w:rFonts w:hint="eastAsia"/>
          <w:sz w:val="21"/>
          <w:szCs w:val="21"/>
        </w:rPr>
        <w:t>2.</w:t>
      </w:r>
      <w:r>
        <w:rPr>
          <w:rFonts w:hint="eastAsia"/>
          <w:sz w:val="21"/>
          <w:szCs w:val="21"/>
          <w:lang w:val="en-US" w:eastAsia="zh-CN"/>
        </w:rPr>
        <w:t xml:space="preserve"> </w:t>
      </w:r>
      <w:r>
        <w:rPr>
          <w:rFonts w:hint="eastAsia"/>
          <w:sz w:val="21"/>
          <w:szCs w:val="21"/>
        </w:rPr>
        <w:t>基本要求</w:t>
      </w:r>
    </w:p>
    <w:p w14:paraId="47902D34">
      <w:pPr>
        <w:spacing w:line="360" w:lineRule="auto"/>
        <w:ind w:firstLine="411" w:firstLineChars="196"/>
        <w:rPr>
          <w:rFonts w:hint="eastAsia"/>
          <w:sz w:val="21"/>
          <w:szCs w:val="21"/>
        </w:rPr>
      </w:pPr>
      <w:r>
        <w:rPr>
          <w:rFonts w:hint="eastAsia"/>
          <w:sz w:val="21"/>
          <w:szCs w:val="21"/>
          <w:lang w:val="en-US" w:eastAsia="zh-CN"/>
        </w:rPr>
        <w:t>了解学术论文摘要、引言、文献综述等书写规范；</w:t>
      </w:r>
      <w:r>
        <w:rPr>
          <w:rFonts w:hint="eastAsia"/>
          <w:sz w:val="21"/>
          <w:szCs w:val="21"/>
        </w:rPr>
        <w:t>能撰写所学专业论文的英文摘要；</w:t>
      </w:r>
      <w:r>
        <w:rPr>
          <w:rFonts w:hint="eastAsia"/>
          <w:sz w:val="21"/>
          <w:szCs w:val="21"/>
          <w:lang w:val="en-US" w:eastAsia="zh-CN"/>
        </w:rPr>
        <w:t>能独立完成文献综述并体现批判思维；</w:t>
      </w:r>
      <w:r>
        <w:rPr>
          <w:rFonts w:hint="eastAsia"/>
          <w:sz w:val="21"/>
          <w:szCs w:val="21"/>
        </w:rPr>
        <w:t>能用英语就</w:t>
      </w:r>
      <w:r>
        <w:rPr>
          <w:rFonts w:hint="eastAsia"/>
          <w:sz w:val="21"/>
          <w:szCs w:val="21"/>
          <w:lang w:val="en-US" w:eastAsia="zh-CN"/>
        </w:rPr>
        <w:t>人文、艺术作品</w:t>
      </w:r>
      <w:r>
        <w:rPr>
          <w:rFonts w:hint="eastAsia"/>
          <w:sz w:val="21"/>
          <w:szCs w:val="21"/>
        </w:rPr>
        <w:t>表达个人</w:t>
      </w:r>
      <w:r>
        <w:rPr>
          <w:rFonts w:hint="eastAsia"/>
          <w:sz w:val="21"/>
          <w:szCs w:val="21"/>
          <w:lang w:val="en-US" w:eastAsia="zh-CN"/>
        </w:rPr>
        <w:t>观点</w:t>
      </w:r>
      <w:r>
        <w:rPr>
          <w:rFonts w:hint="eastAsia"/>
          <w:sz w:val="21"/>
          <w:szCs w:val="21"/>
        </w:rPr>
        <w:t>；能用英语对未来所从事工作或岗位职能、业务、产品等进行简要的书面介绍，语言表达内容完整，观点明确，条理清楚，语句通顺</w:t>
      </w:r>
      <w:r>
        <w:rPr>
          <w:rFonts w:hint="eastAsia"/>
          <w:sz w:val="21"/>
          <w:szCs w:val="21"/>
          <w:lang w:eastAsia="zh-CN"/>
        </w:rPr>
        <w:t>；</w:t>
      </w:r>
      <w:r>
        <w:rPr>
          <w:rFonts w:hint="eastAsia"/>
          <w:sz w:val="21"/>
          <w:szCs w:val="21"/>
        </w:rPr>
        <w:t>能较好地运用常用的书面表达与交流技巧。</w:t>
      </w:r>
    </w:p>
    <w:p w14:paraId="7D5B100A">
      <w:pPr>
        <w:numPr>
          <w:ilvl w:val="0"/>
          <w:numId w:val="0"/>
        </w:numPr>
        <w:spacing w:line="360" w:lineRule="auto"/>
        <w:ind w:leftChars="196"/>
        <w:rPr>
          <w:rFonts w:hint="default"/>
          <w:b/>
          <w:sz w:val="21"/>
          <w:szCs w:val="21"/>
          <w:lang w:val="en-US" w:eastAsia="zh-CN"/>
        </w:rPr>
      </w:pPr>
      <w:r>
        <w:rPr>
          <w:rFonts w:hint="eastAsia"/>
          <w:b/>
          <w:sz w:val="21"/>
          <w:szCs w:val="21"/>
          <w:lang w:val="en-US" w:eastAsia="zh-CN"/>
        </w:rPr>
        <w:t>（五）中英互译</w:t>
      </w:r>
    </w:p>
    <w:p w14:paraId="0383C36C">
      <w:pPr>
        <w:spacing w:line="360" w:lineRule="auto"/>
        <w:ind w:firstLine="420" w:firstLineChars="200"/>
        <w:rPr>
          <w:rFonts w:hint="default"/>
          <w:sz w:val="21"/>
          <w:szCs w:val="21"/>
          <w:lang w:val="en-US" w:eastAsia="zh-CN"/>
        </w:rPr>
      </w:pPr>
      <w:r>
        <w:rPr>
          <w:rFonts w:hint="eastAsia"/>
          <w:sz w:val="21"/>
          <w:szCs w:val="21"/>
          <w:lang w:val="en-US" w:eastAsia="zh-CN"/>
        </w:rPr>
        <w:t>（1）学术文本互译</w:t>
      </w:r>
    </w:p>
    <w:p w14:paraId="6B5E8707">
      <w:pPr>
        <w:spacing w:line="360" w:lineRule="auto"/>
        <w:ind w:firstLine="420" w:firstLineChars="200"/>
        <w:rPr>
          <w:rFonts w:hint="default"/>
          <w:sz w:val="21"/>
          <w:szCs w:val="21"/>
          <w:lang w:val="en-US" w:eastAsia="zh-CN"/>
        </w:rPr>
      </w:pPr>
      <w:r>
        <w:rPr>
          <w:rFonts w:hint="eastAsia"/>
          <w:sz w:val="21"/>
          <w:szCs w:val="21"/>
          <w:lang w:val="en-US" w:eastAsia="zh-CN"/>
        </w:rPr>
        <w:t>（2）翻译理论实践</w:t>
      </w:r>
    </w:p>
    <w:p w14:paraId="70BF57B8">
      <w:pPr>
        <w:spacing w:line="360" w:lineRule="auto"/>
        <w:ind w:firstLine="420" w:firstLineChars="200"/>
        <w:rPr>
          <w:rFonts w:hint="default"/>
          <w:sz w:val="21"/>
          <w:szCs w:val="21"/>
          <w:lang w:val="en-US" w:eastAsia="zh-CN"/>
        </w:rPr>
      </w:pPr>
      <w:r>
        <w:rPr>
          <w:rFonts w:hint="eastAsia"/>
          <w:sz w:val="21"/>
          <w:szCs w:val="21"/>
          <w:lang w:val="en-US" w:eastAsia="zh-CN"/>
        </w:rPr>
        <w:t>（3）术语翻译策略</w:t>
      </w:r>
    </w:p>
    <w:p w14:paraId="0891EA4C">
      <w:pPr>
        <w:spacing w:line="360" w:lineRule="auto"/>
        <w:ind w:firstLine="411" w:firstLineChars="196"/>
        <w:rPr>
          <w:rFonts w:hint="eastAsia"/>
          <w:sz w:val="21"/>
          <w:szCs w:val="21"/>
        </w:rPr>
      </w:pPr>
      <w:r>
        <w:rPr>
          <w:rFonts w:hint="eastAsia"/>
          <w:sz w:val="21"/>
          <w:szCs w:val="21"/>
        </w:rPr>
        <w:t>2.基本要求</w:t>
      </w:r>
    </w:p>
    <w:p w14:paraId="3202BD0E">
      <w:pPr>
        <w:spacing w:line="360" w:lineRule="auto"/>
        <w:ind w:firstLine="420" w:firstLineChars="200"/>
        <w:rPr>
          <w:rFonts w:hint="eastAsia"/>
          <w:sz w:val="21"/>
          <w:szCs w:val="21"/>
          <w:lang w:val="en-US" w:eastAsia="zh-CN"/>
        </w:rPr>
      </w:pPr>
      <w:r>
        <w:rPr>
          <w:rFonts w:hint="eastAsia"/>
          <w:sz w:val="21"/>
          <w:szCs w:val="21"/>
          <w:lang w:val="en-US" w:eastAsia="zh-CN"/>
        </w:rPr>
        <w:t>能摘译人文、艺术类，与所学专业或未来所从事工作岗位相关，语言难度一般的文献资料；能借助词典翻译体裁较为正式的人文、艺术英语文章或作品；理解正确，译文基本达意，语言表达清晰；能运用较常用的翻译技巧。</w:t>
      </w:r>
    </w:p>
    <w:p w14:paraId="0B54826F">
      <w:pPr>
        <w:spacing w:line="360" w:lineRule="auto"/>
        <w:ind w:firstLine="420" w:firstLineChars="200"/>
        <w:rPr>
          <w:sz w:val="21"/>
          <w:szCs w:val="21"/>
        </w:rPr>
      </w:pPr>
      <w:r>
        <w:rPr>
          <w:rFonts w:hint="eastAsia"/>
          <w:sz w:val="21"/>
          <w:szCs w:val="21"/>
        </w:rPr>
        <w:t>教学内容与</w:t>
      </w:r>
      <w:r>
        <w:rPr>
          <w:sz w:val="21"/>
          <w:szCs w:val="21"/>
        </w:rPr>
        <w:t>课程目标的</w:t>
      </w:r>
      <w:r>
        <w:rPr>
          <w:rFonts w:hint="eastAsia"/>
          <w:sz w:val="21"/>
          <w:szCs w:val="21"/>
        </w:rPr>
        <w:t>对应关系及</w:t>
      </w:r>
      <w:r>
        <w:rPr>
          <w:sz w:val="21"/>
          <w:szCs w:val="21"/>
        </w:rPr>
        <w:t>学时分配</w:t>
      </w:r>
      <w:r>
        <w:rPr>
          <w:rFonts w:hint="eastAsia"/>
          <w:sz w:val="21"/>
          <w:szCs w:val="21"/>
        </w:rPr>
        <w:t>如表2所示。</w:t>
      </w:r>
    </w:p>
    <w:p w14:paraId="633F5CAE">
      <w:pPr>
        <w:spacing w:line="360" w:lineRule="auto"/>
        <w:jc w:val="center"/>
        <w:rPr>
          <w:sz w:val="21"/>
          <w:szCs w:val="21"/>
        </w:rPr>
      </w:pPr>
    </w:p>
    <w:p w14:paraId="71FCA27A">
      <w:pPr>
        <w:spacing w:line="360" w:lineRule="auto"/>
        <w:jc w:val="center"/>
        <w:rPr>
          <w:sz w:val="21"/>
          <w:szCs w:val="21"/>
        </w:rPr>
      </w:pPr>
    </w:p>
    <w:p w14:paraId="68E2E206">
      <w:pPr>
        <w:spacing w:line="360" w:lineRule="auto"/>
        <w:jc w:val="center"/>
        <w:rPr>
          <w:sz w:val="21"/>
          <w:szCs w:val="21"/>
        </w:rPr>
      </w:pPr>
      <w:r>
        <w:rPr>
          <w:sz w:val="21"/>
          <w:szCs w:val="21"/>
        </w:rPr>
        <w:t>表2  教学内容与课程目标的对应关系及学时分配表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74"/>
        <w:gridCol w:w="1307"/>
        <w:gridCol w:w="1222"/>
        <w:gridCol w:w="836"/>
        <w:gridCol w:w="825"/>
        <w:gridCol w:w="2831"/>
      </w:tblGrid>
      <w:tr w14:paraId="2F53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B8E57C">
            <w:pPr>
              <w:widowControl/>
              <w:adjustRightInd w:val="0"/>
              <w:snapToGrid w:val="0"/>
              <w:jc w:val="center"/>
              <w:rPr>
                <w:b/>
                <w:bCs/>
                <w:sz w:val="21"/>
                <w:szCs w:val="21"/>
              </w:rPr>
            </w:pPr>
            <w:r>
              <w:rPr>
                <w:b/>
                <w:bCs/>
                <w:sz w:val="21"/>
                <w:szCs w:val="21"/>
              </w:rPr>
              <w:t>序号</w:t>
            </w:r>
          </w:p>
        </w:tc>
        <w:tc>
          <w:tcPr>
            <w:tcW w:w="107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CBAD49">
            <w:pPr>
              <w:widowControl/>
              <w:adjustRightInd w:val="0"/>
              <w:snapToGrid w:val="0"/>
              <w:jc w:val="center"/>
              <w:rPr>
                <w:b/>
                <w:bCs/>
                <w:sz w:val="21"/>
                <w:szCs w:val="21"/>
              </w:rPr>
            </w:pPr>
            <w:r>
              <w:rPr>
                <w:b/>
                <w:bCs/>
                <w:sz w:val="21"/>
                <w:szCs w:val="21"/>
              </w:rPr>
              <w:t>教学内容</w:t>
            </w:r>
          </w:p>
        </w:tc>
        <w:tc>
          <w:tcPr>
            <w:tcW w:w="130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BF831C">
            <w:pPr>
              <w:widowControl/>
              <w:adjustRightInd w:val="0"/>
              <w:snapToGrid w:val="0"/>
              <w:jc w:val="center"/>
              <w:rPr>
                <w:b/>
                <w:bCs/>
                <w:sz w:val="21"/>
                <w:szCs w:val="21"/>
              </w:rPr>
            </w:pPr>
            <w:r>
              <w:rPr>
                <w:b/>
                <w:bCs/>
                <w:sz w:val="21"/>
                <w:szCs w:val="21"/>
              </w:rPr>
              <w:t>支撑的课程目标</w:t>
            </w:r>
          </w:p>
        </w:tc>
        <w:tc>
          <w:tcPr>
            <w:tcW w:w="12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A47A3E">
            <w:pPr>
              <w:widowControl/>
              <w:adjustRightInd w:val="0"/>
              <w:snapToGrid w:val="0"/>
              <w:jc w:val="center"/>
              <w:rPr>
                <w:b/>
                <w:bCs/>
                <w:sz w:val="21"/>
                <w:szCs w:val="21"/>
              </w:rPr>
            </w:pPr>
            <w:r>
              <w:rPr>
                <w:b/>
                <w:bCs/>
                <w:sz w:val="21"/>
                <w:szCs w:val="21"/>
              </w:rPr>
              <w:t>支撑的毕业要求</w:t>
            </w:r>
            <w:r>
              <w:rPr>
                <w:rFonts w:hint="eastAsia"/>
                <w:b/>
                <w:bCs/>
                <w:sz w:val="21"/>
                <w:szCs w:val="21"/>
              </w:rPr>
              <w:t>观测</w:t>
            </w:r>
            <w:r>
              <w:rPr>
                <w:b/>
                <w:bCs/>
                <w:sz w:val="21"/>
                <w:szCs w:val="21"/>
              </w:rPr>
              <w:t>点</w:t>
            </w:r>
          </w:p>
        </w:tc>
        <w:tc>
          <w:tcPr>
            <w:tcW w:w="8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38F404">
            <w:pPr>
              <w:widowControl/>
              <w:adjustRightInd w:val="0"/>
              <w:snapToGrid w:val="0"/>
              <w:jc w:val="center"/>
              <w:rPr>
                <w:b/>
                <w:bCs/>
                <w:sz w:val="21"/>
                <w:szCs w:val="21"/>
              </w:rPr>
            </w:pPr>
            <w:r>
              <w:rPr>
                <w:b/>
                <w:bCs/>
                <w:sz w:val="21"/>
                <w:szCs w:val="21"/>
              </w:rPr>
              <w:t>讲授学时</w:t>
            </w:r>
          </w:p>
        </w:tc>
        <w:tc>
          <w:tcPr>
            <w:tcW w:w="8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23909A">
            <w:pPr>
              <w:widowControl/>
              <w:adjustRightInd w:val="0"/>
              <w:snapToGrid w:val="0"/>
              <w:jc w:val="center"/>
              <w:rPr>
                <w:b/>
                <w:bCs/>
                <w:sz w:val="21"/>
                <w:szCs w:val="21"/>
              </w:rPr>
            </w:pPr>
            <w:r>
              <w:rPr>
                <w:b/>
                <w:bCs/>
                <w:sz w:val="21"/>
                <w:szCs w:val="21"/>
              </w:rPr>
              <w:t>实</w:t>
            </w:r>
            <w:r>
              <w:rPr>
                <w:rFonts w:hint="eastAsia"/>
                <w:b/>
                <w:bCs/>
                <w:sz w:val="21"/>
                <w:szCs w:val="21"/>
                <w:lang w:val="en-US" w:eastAsia="zh-CN"/>
              </w:rPr>
              <w:t>践</w:t>
            </w:r>
            <w:r>
              <w:rPr>
                <w:b/>
                <w:bCs/>
                <w:sz w:val="21"/>
                <w:szCs w:val="21"/>
              </w:rPr>
              <w:t>学时</w:t>
            </w:r>
          </w:p>
        </w:tc>
        <w:tc>
          <w:tcPr>
            <w:tcW w:w="2831"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50B0A12F">
            <w:pPr>
              <w:widowControl/>
              <w:adjustRightInd w:val="0"/>
              <w:snapToGrid w:val="0"/>
              <w:jc w:val="center"/>
              <w:rPr>
                <w:rFonts w:hint="eastAsia"/>
                <w:b/>
                <w:bCs/>
                <w:sz w:val="21"/>
                <w:szCs w:val="21"/>
              </w:rPr>
            </w:pPr>
          </w:p>
          <w:p w14:paraId="67A2B899">
            <w:pPr>
              <w:widowControl/>
              <w:adjustRightInd w:val="0"/>
              <w:snapToGrid w:val="0"/>
              <w:jc w:val="center"/>
              <w:rPr>
                <w:b/>
                <w:bCs/>
                <w:sz w:val="21"/>
                <w:szCs w:val="21"/>
              </w:rPr>
            </w:pPr>
            <w:r>
              <w:rPr>
                <w:rFonts w:hint="eastAsia"/>
                <w:b/>
                <w:bCs/>
                <w:sz w:val="21"/>
                <w:szCs w:val="21"/>
              </w:rPr>
              <w:t>课程思政融入点</w:t>
            </w:r>
          </w:p>
        </w:tc>
      </w:tr>
      <w:tr w14:paraId="7B38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1EDEE73D">
            <w:pPr>
              <w:widowControl/>
              <w:adjustRightInd w:val="0"/>
              <w:snapToGrid w:val="0"/>
              <w:jc w:val="center"/>
              <w:rPr>
                <w:sz w:val="21"/>
                <w:szCs w:val="21"/>
              </w:rPr>
            </w:pPr>
            <w:r>
              <w:rPr>
                <w:sz w:val="21"/>
                <w:szCs w:val="21"/>
              </w:rPr>
              <w:t>1</w:t>
            </w:r>
          </w:p>
        </w:tc>
        <w:tc>
          <w:tcPr>
            <w:tcW w:w="1074" w:type="dxa"/>
            <w:tcBorders>
              <w:top w:val="single" w:color="auto" w:sz="4" w:space="0"/>
              <w:left w:val="single" w:color="auto" w:sz="4" w:space="0"/>
              <w:bottom w:val="single" w:color="auto" w:sz="4" w:space="0"/>
              <w:right w:val="single" w:color="auto" w:sz="4" w:space="0"/>
            </w:tcBorders>
            <w:noWrap w:val="0"/>
            <w:vAlign w:val="center"/>
          </w:tcPr>
          <w:p w14:paraId="23314A29">
            <w:pPr>
              <w:widowControl/>
              <w:adjustRightInd w:val="0"/>
              <w:snapToGrid w:val="0"/>
              <w:jc w:val="center"/>
              <w:rPr>
                <w:color w:val="000000"/>
                <w:sz w:val="21"/>
                <w:szCs w:val="21"/>
              </w:rPr>
            </w:pPr>
            <w:r>
              <w:rPr>
                <w:rFonts w:hint="eastAsia"/>
                <w:color w:val="000000"/>
                <w:sz w:val="21"/>
                <w:szCs w:val="21"/>
              </w:rPr>
              <w:t>听力理解</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4CA1EE7D">
            <w:pPr>
              <w:widowControl/>
              <w:numPr>
                <w:ilvl w:val="0"/>
                <w:numId w:val="0"/>
              </w:numPr>
              <w:adjustRightInd w:val="0"/>
              <w:snapToGrid w:val="0"/>
              <w:jc w:val="center"/>
              <w:rPr>
                <w:rFonts w:hint="default" w:eastAsia="宋体"/>
                <w:color w:val="000000"/>
                <w:sz w:val="21"/>
                <w:szCs w:val="21"/>
                <w:lang w:val="en-US" w:eastAsia="zh-CN"/>
              </w:rPr>
            </w:pPr>
            <w:r>
              <w:rPr>
                <w:rFonts w:hint="default" w:ascii="Times New Roman" w:hAnsi="Times New Roman" w:eastAsia="宋体" w:cs="Times New Roman"/>
                <w:color w:val="000000"/>
                <w:kern w:val="2"/>
                <w:sz w:val="21"/>
                <w:szCs w:val="21"/>
                <w:lang w:val="en-US" w:eastAsia="zh-CN" w:bidi="ar-SA"/>
              </w:rPr>
              <w:t>1、</w:t>
            </w:r>
            <w:r>
              <w:rPr>
                <w:rFonts w:hint="eastAsia"/>
                <w:color w:val="000000"/>
                <w:sz w:val="21"/>
                <w:szCs w:val="21"/>
                <w:lang w:val="en-US" w:eastAsia="zh-CN"/>
              </w:rPr>
              <w:t>2、 3</w:t>
            </w:r>
          </w:p>
        </w:tc>
        <w:tc>
          <w:tcPr>
            <w:tcW w:w="1222" w:type="dxa"/>
            <w:tcBorders>
              <w:top w:val="single" w:color="auto" w:sz="4" w:space="0"/>
              <w:left w:val="single" w:color="auto" w:sz="4" w:space="0"/>
              <w:bottom w:val="single" w:color="auto" w:sz="4" w:space="0"/>
              <w:right w:val="single" w:color="auto" w:sz="4" w:space="0"/>
            </w:tcBorders>
            <w:noWrap w:val="0"/>
            <w:vAlign w:val="center"/>
          </w:tcPr>
          <w:p w14:paraId="2E0049B1">
            <w:pPr>
              <w:widowControl/>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3-1</w:t>
            </w:r>
            <w:r>
              <w:rPr>
                <w:rFonts w:hint="eastAsia"/>
                <w:color w:val="auto"/>
                <w:sz w:val="21"/>
                <w:szCs w:val="21"/>
              </w:rPr>
              <w:t>、</w:t>
            </w:r>
            <w:r>
              <w:rPr>
                <w:rFonts w:hint="eastAsia"/>
                <w:color w:val="auto"/>
                <w:sz w:val="21"/>
                <w:szCs w:val="21"/>
                <w:lang w:val="en-US" w:eastAsia="zh-CN"/>
              </w:rPr>
              <w:t>8-2</w:t>
            </w:r>
          </w:p>
        </w:tc>
        <w:tc>
          <w:tcPr>
            <w:tcW w:w="836" w:type="dxa"/>
            <w:tcBorders>
              <w:top w:val="single" w:color="auto" w:sz="4" w:space="0"/>
              <w:left w:val="single" w:color="auto" w:sz="4" w:space="0"/>
              <w:bottom w:val="single" w:color="auto" w:sz="4" w:space="0"/>
              <w:right w:val="single" w:color="auto" w:sz="4" w:space="0"/>
            </w:tcBorders>
            <w:noWrap w:val="0"/>
            <w:vAlign w:val="center"/>
          </w:tcPr>
          <w:p w14:paraId="542DADE4">
            <w:pPr>
              <w:widowControl/>
              <w:adjustRightInd w:val="0"/>
              <w:snapToGrid w:val="0"/>
              <w:jc w:val="center"/>
              <w:rPr>
                <w:rFonts w:hint="default" w:eastAsia="宋体"/>
                <w:sz w:val="21"/>
                <w:szCs w:val="21"/>
                <w:lang w:val="en-US" w:eastAsia="zh-CN"/>
              </w:rPr>
            </w:pPr>
            <w:r>
              <w:rPr>
                <w:rFonts w:hint="eastAsia"/>
                <w:sz w:val="21"/>
                <w:szCs w:val="21"/>
                <w:lang w:val="en-US" w:eastAsia="zh-CN"/>
              </w:rPr>
              <w:t>15</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6CF22A5E">
            <w:pPr>
              <w:widowControl/>
              <w:adjustRightInd w:val="0"/>
              <w:snapToGrid w:val="0"/>
              <w:jc w:val="center"/>
              <w:rPr>
                <w:rFonts w:hint="eastAsia" w:eastAsia="宋体"/>
                <w:sz w:val="21"/>
                <w:szCs w:val="21"/>
                <w:lang w:val="en-US" w:eastAsia="zh-CN"/>
              </w:rPr>
            </w:pPr>
            <w:r>
              <w:rPr>
                <w:rFonts w:hint="eastAsia"/>
                <w:sz w:val="21"/>
                <w:szCs w:val="21"/>
                <w:lang w:val="en-US" w:eastAsia="zh-CN"/>
              </w:rPr>
              <w:t>0</w:t>
            </w:r>
          </w:p>
        </w:tc>
        <w:tc>
          <w:tcPr>
            <w:tcW w:w="2831" w:type="dxa"/>
            <w:tcBorders>
              <w:top w:val="single" w:color="auto" w:sz="4" w:space="0"/>
              <w:left w:val="single" w:color="auto" w:sz="4" w:space="0"/>
              <w:bottom w:val="single" w:color="auto" w:sz="4" w:space="0"/>
              <w:right w:val="single" w:color="auto" w:sz="4" w:space="0"/>
            </w:tcBorders>
            <w:noWrap w:val="0"/>
            <w:vAlign w:val="center"/>
          </w:tcPr>
          <w:p w14:paraId="775D81CE">
            <w:pPr>
              <w:widowControl/>
              <w:adjustRightInd w:val="0"/>
              <w:snapToGrid w:val="0"/>
              <w:jc w:val="left"/>
              <w:rPr>
                <w:sz w:val="21"/>
                <w:szCs w:val="21"/>
              </w:rPr>
            </w:pPr>
            <w:r>
              <w:rPr>
                <w:rFonts w:hint="eastAsia"/>
                <w:color w:val="000000"/>
                <w:sz w:val="21"/>
                <w:szCs w:val="21"/>
                <w:lang w:val="en-US" w:eastAsia="zh-CN"/>
              </w:rPr>
              <w:t>家国情怀与文化自信</w:t>
            </w:r>
            <w:r>
              <w:rPr>
                <w:rFonts w:hint="eastAsia"/>
                <w:color w:val="000000"/>
                <w:sz w:val="21"/>
                <w:szCs w:val="21"/>
              </w:rPr>
              <w:t>。</w:t>
            </w:r>
            <w:r>
              <w:rPr>
                <w:rFonts w:hint="eastAsia"/>
                <w:color w:val="000000"/>
                <w:sz w:val="21"/>
                <w:szCs w:val="21"/>
                <w:lang w:val="en-US" w:eastAsia="zh-CN"/>
              </w:rPr>
              <w:t>文化辨识与批判思维</w:t>
            </w:r>
            <w:r>
              <w:rPr>
                <w:rFonts w:hint="eastAsia"/>
                <w:color w:val="000000"/>
                <w:sz w:val="21"/>
                <w:szCs w:val="21"/>
                <w:lang w:eastAsia="zh-CN"/>
              </w:rPr>
              <w:t>。</w:t>
            </w:r>
          </w:p>
        </w:tc>
      </w:tr>
      <w:tr w14:paraId="26E5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1C5A9DB7">
            <w:pPr>
              <w:widowControl/>
              <w:adjustRightInd w:val="0"/>
              <w:snapToGrid w:val="0"/>
              <w:jc w:val="center"/>
              <w:rPr>
                <w:sz w:val="21"/>
                <w:szCs w:val="21"/>
              </w:rPr>
            </w:pPr>
            <w:r>
              <w:rPr>
                <w:sz w:val="21"/>
                <w:szCs w:val="21"/>
              </w:rPr>
              <w:t>2</w:t>
            </w:r>
          </w:p>
        </w:tc>
        <w:tc>
          <w:tcPr>
            <w:tcW w:w="1074" w:type="dxa"/>
            <w:tcBorders>
              <w:top w:val="single" w:color="auto" w:sz="4" w:space="0"/>
              <w:left w:val="single" w:color="auto" w:sz="4" w:space="0"/>
              <w:bottom w:val="single" w:color="auto" w:sz="4" w:space="0"/>
              <w:right w:val="single" w:color="auto" w:sz="4" w:space="0"/>
            </w:tcBorders>
            <w:noWrap w:val="0"/>
            <w:vAlign w:val="center"/>
          </w:tcPr>
          <w:p w14:paraId="5C6C69A4">
            <w:pPr>
              <w:widowControl/>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口语表达</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33B79933">
            <w:pPr>
              <w:widowControl/>
              <w:numPr>
                <w:ilvl w:val="0"/>
                <w:numId w:val="0"/>
              </w:num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w:t>
            </w:r>
            <w:r>
              <w:rPr>
                <w:rFonts w:hint="default" w:ascii="Times New Roman" w:hAnsi="Times New Roman" w:eastAsia="宋体" w:cs="Times New Roman"/>
                <w:color w:val="000000"/>
                <w:kern w:val="2"/>
                <w:sz w:val="21"/>
                <w:szCs w:val="21"/>
                <w:lang w:val="en-US" w:eastAsia="zh-CN" w:bidi="ar-SA"/>
              </w:rPr>
              <w:t>、</w:t>
            </w:r>
            <w:r>
              <w:rPr>
                <w:rFonts w:hint="eastAsia"/>
                <w:color w:val="000000"/>
                <w:sz w:val="21"/>
                <w:szCs w:val="21"/>
                <w:lang w:val="en-US" w:eastAsia="zh-CN"/>
              </w:rPr>
              <w:t>2、 3</w:t>
            </w:r>
          </w:p>
        </w:tc>
        <w:tc>
          <w:tcPr>
            <w:tcW w:w="1222" w:type="dxa"/>
            <w:tcBorders>
              <w:top w:val="single" w:color="auto" w:sz="4" w:space="0"/>
              <w:left w:val="single" w:color="auto" w:sz="4" w:space="0"/>
              <w:bottom w:val="single" w:color="auto" w:sz="4" w:space="0"/>
              <w:right w:val="single" w:color="auto" w:sz="4" w:space="0"/>
            </w:tcBorders>
            <w:noWrap w:val="0"/>
            <w:vAlign w:val="center"/>
          </w:tcPr>
          <w:p w14:paraId="2B1A9B04">
            <w:pPr>
              <w:widowControl/>
              <w:adjustRightInd w:val="0"/>
              <w:snapToGrid w:val="0"/>
              <w:jc w:val="center"/>
              <w:rPr>
                <w:color w:val="auto"/>
                <w:sz w:val="21"/>
                <w:szCs w:val="21"/>
              </w:rPr>
            </w:pPr>
            <w:r>
              <w:rPr>
                <w:rFonts w:hint="eastAsia"/>
                <w:color w:val="auto"/>
                <w:sz w:val="21"/>
                <w:szCs w:val="21"/>
                <w:lang w:val="en-US" w:eastAsia="zh-CN"/>
              </w:rPr>
              <w:t>3-1</w:t>
            </w:r>
            <w:r>
              <w:rPr>
                <w:rFonts w:hint="eastAsia"/>
                <w:color w:val="auto"/>
                <w:sz w:val="21"/>
                <w:szCs w:val="21"/>
              </w:rPr>
              <w:t>、</w:t>
            </w:r>
            <w:r>
              <w:rPr>
                <w:rFonts w:hint="eastAsia"/>
                <w:color w:val="auto"/>
                <w:sz w:val="21"/>
                <w:szCs w:val="21"/>
                <w:lang w:val="en-US" w:eastAsia="zh-CN"/>
              </w:rPr>
              <w:t>7-1</w:t>
            </w:r>
          </w:p>
        </w:tc>
        <w:tc>
          <w:tcPr>
            <w:tcW w:w="836" w:type="dxa"/>
            <w:tcBorders>
              <w:top w:val="single" w:color="auto" w:sz="4" w:space="0"/>
              <w:left w:val="single" w:color="auto" w:sz="4" w:space="0"/>
              <w:bottom w:val="single" w:color="auto" w:sz="4" w:space="0"/>
              <w:right w:val="single" w:color="auto" w:sz="4" w:space="0"/>
            </w:tcBorders>
            <w:noWrap w:val="0"/>
            <w:vAlign w:val="center"/>
          </w:tcPr>
          <w:p w14:paraId="5A84D129">
            <w:pPr>
              <w:widowControl/>
              <w:adjustRightInd w:val="0"/>
              <w:snapToGrid w:val="0"/>
              <w:jc w:val="center"/>
              <w:rPr>
                <w:rFonts w:hint="default" w:eastAsia="宋体"/>
                <w:sz w:val="21"/>
                <w:szCs w:val="21"/>
                <w:lang w:val="en-US" w:eastAsia="zh-CN"/>
              </w:rPr>
            </w:pPr>
            <w:r>
              <w:rPr>
                <w:rFonts w:hint="eastAsia"/>
                <w:sz w:val="21"/>
                <w:szCs w:val="21"/>
                <w:lang w:val="en-US" w:eastAsia="zh-CN"/>
              </w:rPr>
              <w:t>15</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48F7855F">
            <w:pPr>
              <w:widowControl/>
              <w:adjustRightInd w:val="0"/>
              <w:snapToGrid w:val="0"/>
              <w:jc w:val="center"/>
              <w:rPr>
                <w:rFonts w:hint="eastAsia" w:eastAsia="宋体"/>
                <w:sz w:val="21"/>
                <w:szCs w:val="21"/>
                <w:lang w:val="en-US" w:eastAsia="zh-CN"/>
              </w:rPr>
            </w:pPr>
            <w:r>
              <w:rPr>
                <w:rFonts w:hint="eastAsia"/>
                <w:sz w:val="21"/>
                <w:szCs w:val="21"/>
                <w:lang w:val="en-US" w:eastAsia="zh-CN"/>
              </w:rPr>
              <w:t>0</w:t>
            </w:r>
          </w:p>
        </w:tc>
        <w:tc>
          <w:tcPr>
            <w:tcW w:w="2831" w:type="dxa"/>
            <w:tcBorders>
              <w:top w:val="single" w:color="auto" w:sz="4" w:space="0"/>
              <w:left w:val="single" w:color="auto" w:sz="4" w:space="0"/>
              <w:bottom w:val="single" w:color="auto" w:sz="4" w:space="0"/>
              <w:right w:val="single" w:color="auto" w:sz="4" w:space="0"/>
            </w:tcBorders>
            <w:noWrap w:val="0"/>
            <w:vAlign w:val="center"/>
          </w:tcPr>
          <w:p w14:paraId="79AC5C56">
            <w:pPr>
              <w:widowControl/>
              <w:adjustRightInd w:val="0"/>
              <w:snapToGrid w:val="0"/>
              <w:jc w:val="left"/>
              <w:rPr>
                <w:sz w:val="21"/>
                <w:szCs w:val="21"/>
              </w:rPr>
            </w:pPr>
            <w:r>
              <w:rPr>
                <w:rFonts w:hint="eastAsia"/>
                <w:color w:val="000000"/>
                <w:sz w:val="21"/>
                <w:szCs w:val="21"/>
                <w:lang w:val="en-US" w:eastAsia="zh-CN"/>
              </w:rPr>
              <w:t>家国情怀与文化自信</w:t>
            </w:r>
            <w:r>
              <w:rPr>
                <w:rFonts w:hint="eastAsia"/>
                <w:color w:val="000000"/>
                <w:sz w:val="21"/>
                <w:szCs w:val="21"/>
              </w:rPr>
              <w:t>。</w:t>
            </w:r>
            <w:r>
              <w:rPr>
                <w:rFonts w:hint="eastAsia"/>
                <w:color w:val="000000"/>
                <w:sz w:val="21"/>
                <w:szCs w:val="21"/>
                <w:lang w:val="en-US" w:eastAsia="zh-CN"/>
              </w:rPr>
              <w:t>全球视野与社会责任。学术诚信与科学精神。专业素养与职业道德。</w:t>
            </w:r>
          </w:p>
        </w:tc>
      </w:tr>
      <w:tr w14:paraId="2270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06E4ED3F">
            <w:pPr>
              <w:widowControl/>
              <w:adjustRightInd w:val="0"/>
              <w:snapToGrid w:val="0"/>
              <w:jc w:val="center"/>
              <w:rPr>
                <w:sz w:val="21"/>
                <w:szCs w:val="21"/>
              </w:rPr>
            </w:pPr>
            <w:r>
              <w:rPr>
                <w:sz w:val="21"/>
                <w:szCs w:val="21"/>
              </w:rPr>
              <w:t>3</w:t>
            </w:r>
          </w:p>
        </w:tc>
        <w:tc>
          <w:tcPr>
            <w:tcW w:w="1074" w:type="dxa"/>
            <w:tcBorders>
              <w:top w:val="single" w:color="auto" w:sz="4" w:space="0"/>
              <w:left w:val="single" w:color="auto" w:sz="4" w:space="0"/>
              <w:bottom w:val="single" w:color="auto" w:sz="4" w:space="0"/>
              <w:right w:val="single" w:color="auto" w:sz="4" w:space="0"/>
            </w:tcBorders>
            <w:noWrap w:val="0"/>
            <w:vAlign w:val="center"/>
          </w:tcPr>
          <w:p w14:paraId="4D64E8D1">
            <w:pPr>
              <w:widowControl/>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阅读理解</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14D2D36A">
            <w:pPr>
              <w:widowControl/>
              <w:numPr>
                <w:ilvl w:val="0"/>
                <w:numId w:val="0"/>
              </w:numPr>
              <w:adjustRightInd w:val="0"/>
              <w:snapToGrid w:val="0"/>
              <w:ind w:left="0" w:leftChars="0" w:firstLine="0" w:firstLineChars="0"/>
              <w:jc w:val="center"/>
              <w:rPr>
                <w:color w:val="000000"/>
                <w:sz w:val="21"/>
                <w:szCs w:val="21"/>
              </w:rPr>
            </w:pPr>
            <w:r>
              <w:rPr>
                <w:rFonts w:hint="eastAsia" w:cs="Times New Roman"/>
                <w:color w:val="000000"/>
                <w:kern w:val="2"/>
                <w:sz w:val="21"/>
                <w:szCs w:val="21"/>
                <w:lang w:val="en-US" w:eastAsia="zh-CN" w:bidi="ar-SA"/>
              </w:rPr>
              <w:t>1</w:t>
            </w:r>
            <w:r>
              <w:rPr>
                <w:rFonts w:hint="default" w:ascii="Times New Roman" w:hAnsi="Times New Roman" w:eastAsia="宋体" w:cs="Times New Roman"/>
                <w:color w:val="000000"/>
                <w:kern w:val="2"/>
                <w:sz w:val="21"/>
                <w:szCs w:val="21"/>
                <w:lang w:val="en-US" w:eastAsia="zh-CN" w:bidi="ar-SA"/>
              </w:rPr>
              <w:t>、</w:t>
            </w:r>
            <w:r>
              <w:rPr>
                <w:rFonts w:hint="eastAsia"/>
                <w:color w:val="000000"/>
                <w:sz w:val="21"/>
                <w:szCs w:val="21"/>
                <w:lang w:val="en-US" w:eastAsia="zh-CN"/>
              </w:rPr>
              <w:t>2、 3</w:t>
            </w:r>
          </w:p>
        </w:tc>
        <w:tc>
          <w:tcPr>
            <w:tcW w:w="1222" w:type="dxa"/>
            <w:tcBorders>
              <w:top w:val="single" w:color="auto" w:sz="4" w:space="0"/>
              <w:left w:val="single" w:color="auto" w:sz="4" w:space="0"/>
              <w:bottom w:val="single" w:color="auto" w:sz="4" w:space="0"/>
              <w:right w:val="single" w:color="auto" w:sz="4" w:space="0"/>
            </w:tcBorders>
            <w:noWrap w:val="0"/>
            <w:vAlign w:val="center"/>
          </w:tcPr>
          <w:p w14:paraId="50BDB2C4">
            <w:pPr>
              <w:widowControl/>
              <w:adjustRightInd w:val="0"/>
              <w:snapToGrid w:val="0"/>
              <w:jc w:val="center"/>
              <w:rPr>
                <w:color w:val="auto"/>
                <w:sz w:val="21"/>
                <w:szCs w:val="21"/>
              </w:rPr>
            </w:pPr>
            <w:r>
              <w:rPr>
                <w:rFonts w:hint="eastAsia"/>
                <w:color w:val="auto"/>
                <w:sz w:val="21"/>
                <w:szCs w:val="21"/>
                <w:lang w:val="en-US" w:eastAsia="zh-CN"/>
              </w:rPr>
              <w:t>3-1</w:t>
            </w:r>
            <w:r>
              <w:rPr>
                <w:rFonts w:hint="eastAsia"/>
                <w:color w:val="auto"/>
                <w:sz w:val="21"/>
                <w:szCs w:val="21"/>
              </w:rPr>
              <w:t>、</w:t>
            </w:r>
            <w:r>
              <w:rPr>
                <w:rFonts w:hint="eastAsia"/>
                <w:color w:val="auto"/>
                <w:sz w:val="21"/>
                <w:szCs w:val="21"/>
                <w:lang w:val="en-US" w:eastAsia="zh-CN"/>
              </w:rPr>
              <w:t>7-1、8-2</w:t>
            </w:r>
          </w:p>
        </w:tc>
        <w:tc>
          <w:tcPr>
            <w:tcW w:w="836" w:type="dxa"/>
            <w:tcBorders>
              <w:top w:val="single" w:color="auto" w:sz="4" w:space="0"/>
              <w:left w:val="single" w:color="auto" w:sz="4" w:space="0"/>
              <w:bottom w:val="single" w:color="auto" w:sz="4" w:space="0"/>
              <w:right w:val="single" w:color="auto" w:sz="4" w:space="0"/>
            </w:tcBorders>
            <w:noWrap w:val="0"/>
            <w:vAlign w:val="center"/>
          </w:tcPr>
          <w:p w14:paraId="2D4B883D">
            <w:pPr>
              <w:widowControl/>
              <w:adjustRightInd w:val="0"/>
              <w:snapToGrid w:val="0"/>
              <w:jc w:val="center"/>
              <w:rPr>
                <w:rFonts w:hint="default" w:eastAsia="宋体"/>
                <w:sz w:val="21"/>
                <w:szCs w:val="21"/>
                <w:lang w:val="en-US" w:eastAsia="zh-CN"/>
              </w:rPr>
            </w:pPr>
            <w:r>
              <w:rPr>
                <w:rFonts w:hint="eastAsia"/>
                <w:sz w:val="21"/>
                <w:szCs w:val="21"/>
                <w:lang w:val="en-US" w:eastAsia="zh-CN"/>
              </w:rPr>
              <w:t>15</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11DFC41D">
            <w:pPr>
              <w:widowControl/>
              <w:adjustRightInd w:val="0"/>
              <w:snapToGrid w:val="0"/>
              <w:jc w:val="center"/>
              <w:rPr>
                <w:rFonts w:hint="eastAsia" w:eastAsia="宋体"/>
                <w:sz w:val="21"/>
                <w:szCs w:val="21"/>
                <w:lang w:val="en-US" w:eastAsia="zh-CN"/>
              </w:rPr>
            </w:pPr>
            <w:r>
              <w:rPr>
                <w:rFonts w:hint="eastAsia"/>
                <w:sz w:val="21"/>
                <w:szCs w:val="21"/>
                <w:lang w:val="en-US" w:eastAsia="zh-CN"/>
              </w:rPr>
              <w:t>0</w:t>
            </w:r>
          </w:p>
        </w:tc>
        <w:tc>
          <w:tcPr>
            <w:tcW w:w="2831" w:type="dxa"/>
            <w:tcBorders>
              <w:top w:val="single" w:color="auto" w:sz="4" w:space="0"/>
              <w:left w:val="single" w:color="auto" w:sz="4" w:space="0"/>
              <w:bottom w:val="single" w:color="auto" w:sz="4" w:space="0"/>
              <w:right w:val="single" w:color="auto" w:sz="4" w:space="0"/>
            </w:tcBorders>
            <w:noWrap w:val="0"/>
            <w:vAlign w:val="center"/>
          </w:tcPr>
          <w:p w14:paraId="3EE10E28">
            <w:pPr>
              <w:widowControl/>
              <w:adjustRightInd w:val="0"/>
              <w:snapToGrid w:val="0"/>
              <w:jc w:val="left"/>
              <w:rPr>
                <w:rFonts w:hint="eastAsia" w:eastAsia="宋体"/>
                <w:sz w:val="21"/>
                <w:szCs w:val="21"/>
                <w:lang w:eastAsia="zh-CN"/>
              </w:rPr>
            </w:pPr>
            <w:r>
              <w:rPr>
                <w:rFonts w:hint="eastAsia"/>
                <w:color w:val="000000"/>
                <w:sz w:val="21"/>
                <w:szCs w:val="21"/>
                <w:lang w:val="en-US" w:eastAsia="zh-CN"/>
              </w:rPr>
              <w:t>家国情怀与文化自信</w:t>
            </w:r>
            <w:r>
              <w:rPr>
                <w:rFonts w:hint="eastAsia"/>
                <w:color w:val="000000"/>
                <w:sz w:val="21"/>
                <w:szCs w:val="21"/>
              </w:rPr>
              <w:t>。</w:t>
            </w:r>
            <w:r>
              <w:rPr>
                <w:rFonts w:hint="eastAsia"/>
                <w:color w:val="000000"/>
                <w:sz w:val="21"/>
                <w:szCs w:val="21"/>
                <w:lang w:val="en-US" w:eastAsia="zh-CN"/>
              </w:rPr>
              <w:t>全球视野。文化辨识与批判思维</w:t>
            </w:r>
            <w:r>
              <w:rPr>
                <w:rFonts w:hint="eastAsia"/>
                <w:color w:val="000000"/>
                <w:sz w:val="21"/>
                <w:szCs w:val="21"/>
                <w:lang w:eastAsia="zh-CN"/>
              </w:rPr>
              <w:t>。</w:t>
            </w:r>
          </w:p>
        </w:tc>
      </w:tr>
      <w:tr w14:paraId="7445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09140DDB">
            <w:pPr>
              <w:widowControl/>
              <w:adjustRightInd w:val="0"/>
              <w:snapToGrid w:val="0"/>
              <w:jc w:val="center"/>
              <w:rPr>
                <w:rFonts w:hint="eastAsia" w:eastAsia="宋体"/>
                <w:sz w:val="21"/>
                <w:szCs w:val="21"/>
                <w:lang w:val="en-US" w:eastAsia="zh-CN"/>
              </w:rPr>
            </w:pPr>
            <w:r>
              <w:rPr>
                <w:rFonts w:hint="eastAsia"/>
                <w:sz w:val="21"/>
                <w:szCs w:val="21"/>
                <w:lang w:val="en-US" w:eastAsia="zh-CN"/>
              </w:rPr>
              <w:t>4</w:t>
            </w:r>
          </w:p>
        </w:tc>
        <w:tc>
          <w:tcPr>
            <w:tcW w:w="1074" w:type="dxa"/>
            <w:tcBorders>
              <w:top w:val="single" w:color="auto" w:sz="4" w:space="0"/>
              <w:left w:val="single" w:color="auto" w:sz="4" w:space="0"/>
              <w:bottom w:val="single" w:color="auto" w:sz="4" w:space="0"/>
              <w:right w:val="single" w:color="auto" w:sz="4" w:space="0"/>
            </w:tcBorders>
            <w:noWrap w:val="0"/>
            <w:vAlign w:val="center"/>
          </w:tcPr>
          <w:p w14:paraId="2417CF13">
            <w:pPr>
              <w:widowControl/>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书面表达</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4F0D19B9">
            <w:pPr>
              <w:widowControl/>
              <w:numPr>
                <w:ilvl w:val="0"/>
                <w:numId w:val="0"/>
              </w:numPr>
              <w:adjustRightInd w:val="0"/>
              <w:snapToGrid w:val="0"/>
              <w:ind w:left="0" w:leftChars="0" w:firstLine="0" w:firstLineChars="0"/>
              <w:jc w:val="center"/>
              <w:rPr>
                <w:color w:val="000000"/>
                <w:sz w:val="21"/>
                <w:szCs w:val="21"/>
              </w:rPr>
            </w:pPr>
            <w:r>
              <w:rPr>
                <w:rFonts w:hint="eastAsia" w:cs="Times New Roman"/>
                <w:color w:val="000000"/>
                <w:kern w:val="2"/>
                <w:sz w:val="21"/>
                <w:szCs w:val="21"/>
                <w:lang w:val="en-US" w:eastAsia="zh-CN" w:bidi="ar-SA"/>
              </w:rPr>
              <w:t>1</w:t>
            </w:r>
            <w:r>
              <w:rPr>
                <w:rFonts w:hint="default" w:ascii="Times New Roman" w:hAnsi="Times New Roman" w:eastAsia="宋体" w:cs="Times New Roman"/>
                <w:color w:val="000000"/>
                <w:kern w:val="2"/>
                <w:sz w:val="21"/>
                <w:szCs w:val="21"/>
                <w:lang w:val="en-US" w:eastAsia="zh-CN" w:bidi="ar-SA"/>
              </w:rPr>
              <w:t>、</w:t>
            </w:r>
            <w:r>
              <w:rPr>
                <w:rFonts w:hint="eastAsia"/>
                <w:color w:val="000000"/>
                <w:sz w:val="21"/>
                <w:szCs w:val="21"/>
                <w:lang w:val="en-US" w:eastAsia="zh-CN"/>
              </w:rPr>
              <w:t>2、 3</w:t>
            </w:r>
          </w:p>
        </w:tc>
        <w:tc>
          <w:tcPr>
            <w:tcW w:w="1222" w:type="dxa"/>
            <w:tcBorders>
              <w:top w:val="single" w:color="auto" w:sz="4" w:space="0"/>
              <w:left w:val="single" w:color="auto" w:sz="4" w:space="0"/>
              <w:bottom w:val="single" w:color="auto" w:sz="4" w:space="0"/>
              <w:right w:val="single" w:color="auto" w:sz="4" w:space="0"/>
            </w:tcBorders>
            <w:noWrap w:val="0"/>
            <w:vAlign w:val="center"/>
          </w:tcPr>
          <w:p w14:paraId="09C51424">
            <w:pPr>
              <w:widowControl/>
              <w:adjustRightInd w:val="0"/>
              <w:snapToGrid w:val="0"/>
              <w:jc w:val="center"/>
              <w:rPr>
                <w:rFonts w:hint="default"/>
                <w:color w:val="auto"/>
                <w:sz w:val="21"/>
                <w:szCs w:val="21"/>
                <w:lang w:val="en-US"/>
              </w:rPr>
            </w:pPr>
            <w:r>
              <w:rPr>
                <w:rFonts w:hint="eastAsia"/>
                <w:color w:val="auto"/>
                <w:sz w:val="21"/>
                <w:szCs w:val="21"/>
                <w:lang w:val="en-US" w:eastAsia="zh-CN"/>
              </w:rPr>
              <w:t>3-1</w:t>
            </w:r>
            <w:r>
              <w:rPr>
                <w:rFonts w:hint="eastAsia"/>
                <w:color w:val="auto"/>
                <w:sz w:val="21"/>
                <w:szCs w:val="21"/>
              </w:rPr>
              <w:t>、</w:t>
            </w:r>
            <w:r>
              <w:rPr>
                <w:rFonts w:hint="eastAsia"/>
                <w:color w:val="auto"/>
                <w:sz w:val="21"/>
                <w:szCs w:val="21"/>
                <w:lang w:val="en-US" w:eastAsia="zh-CN"/>
              </w:rPr>
              <w:t>7-1、8-2</w:t>
            </w:r>
          </w:p>
        </w:tc>
        <w:tc>
          <w:tcPr>
            <w:tcW w:w="836" w:type="dxa"/>
            <w:tcBorders>
              <w:top w:val="single" w:color="auto" w:sz="4" w:space="0"/>
              <w:left w:val="single" w:color="auto" w:sz="4" w:space="0"/>
              <w:bottom w:val="single" w:color="auto" w:sz="4" w:space="0"/>
              <w:right w:val="single" w:color="auto" w:sz="4" w:space="0"/>
            </w:tcBorders>
            <w:noWrap w:val="0"/>
            <w:vAlign w:val="center"/>
          </w:tcPr>
          <w:p w14:paraId="1802CBCF">
            <w:pPr>
              <w:widowControl/>
              <w:adjustRightInd w:val="0"/>
              <w:snapToGrid w:val="0"/>
              <w:jc w:val="center"/>
              <w:rPr>
                <w:rFonts w:hint="default" w:eastAsia="宋体"/>
                <w:sz w:val="21"/>
                <w:szCs w:val="21"/>
                <w:lang w:val="en-US" w:eastAsia="zh-CN"/>
              </w:rPr>
            </w:pPr>
            <w:r>
              <w:rPr>
                <w:rFonts w:hint="eastAsia"/>
                <w:sz w:val="21"/>
                <w:szCs w:val="21"/>
                <w:lang w:val="en-US" w:eastAsia="zh-CN"/>
              </w:rPr>
              <w:t>5</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A867495">
            <w:pPr>
              <w:widowControl/>
              <w:adjustRightInd w:val="0"/>
              <w:snapToGrid w:val="0"/>
              <w:jc w:val="center"/>
              <w:rPr>
                <w:rFonts w:hint="eastAsia" w:eastAsia="宋体"/>
                <w:sz w:val="21"/>
                <w:szCs w:val="21"/>
                <w:lang w:val="en-US" w:eastAsia="zh-CN"/>
              </w:rPr>
            </w:pPr>
            <w:r>
              <w:rPr>
                <w:rFonts w:hint="eastAsia"/>
                <w:sz w:val="21"/>
                <w:szCs w:val="21"/>
                <w:lang w:val="en-US" w:eastAsia="zh-CN"/>
              </w:rPr>
              <w:t>5</w:t>
            </w:r>
          </w:p>
        </w:tc>
        <w:tc>
          <w:tcPr>
            <w:tcW w:w="2831" w:type="dxa"/>
            <w:tcBorders>
              <w:top w:val="single" w:color="auto" w:sz="4" w:space="0"/>
              <w:left w:val="single" w:color="auto" w:sz="4" w:space="0"/>
              <w:bottom w:val="single" w:color="auto" w:sz="4" w:space="0"/>
              <w:right w:val="single" w:color="auto" w:sz="4" w:space="0"/>
            </w:tcBorders>
            <w:noWrap w:val="0"/>
            <w:vAlign w:val="top"/>
          </w:tcPr>
          <w:p w14:paraId="385998B2">
            <w:pPr>
              <w:widowControl/>
              <w:adjustRightInd w:val="0"/>
              <w:snapToGrid w:val="0"/>
              <w:jc w:val="left"/>
              <w:rPr>
                <w:sz w:val="21"/>
                <w:szCs w:val="21"/>
              </w:rPr>
            </w:pPr>
            <w:r>
              <w:rPr>
                <w:rFonts w:hint="eastAsia"/>
                <w:color w:val="000000"/>
                <w:sz w:val="21"/>
                <w:szCs w:val="21"/>
                <w:lang w:val="en-US" w:eastAsia="zh-CN"/>
              </w:rPr>
              <w:t>家国情怀与文化自信</w:t>
            </w:r>
            <w:r>
              <w:rPr>
                <w:rFonts w:hint="eastAsia"/>
                <w:color w:val="000000"/>
                <w:sz w:val="21"/>
                <w:szCs w:val="21"/>
              </w:rPr>
              <w:t>。</w:t>
            </w:r>
            <w:r>
              <w:rPr>
                <w:rFonts w:hint="eastAsia"/>
                <w:color w:val="000000"/>
                <w:sz w:val="21"/>
                <w:szCs w:val="21"/>
                <w:lang w:val="en-US" w:eastAsia="zh-CN"/>
              </w:rPr>
              <w:t>全球视野与社会责任。学术诚信与科学精神。专业素养与职业道德。</w:t>
            </w:r>
          </w:p>
        </w:tc>
      </w:tr>
      <w:tr w14:paraId="722B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40E9600A">
            <w:pPr>
              <w:widowControl/>
              <w:adjustRightInd w:val="0"/>
              <w:snapToGrid w:val="0"/>
              <w:jc w:val="center"/>
              <w:rPr>
                <w:rFonts w:hint="eastAsia" w:eastAsia="宋体"/>
                <w:sz w:val="21"/>
                <w:szCs w:val="21"/>
                <w:lang w:eastAsia="zh-CN"/>
              </w:rPr>
            </w:pPr>
            <w:r>
              <w:rPr>
                <w:rFonts w:hint="eastAsia"/>
                <w:sz w:val="21"/>
                <w:szCs w:val="21"/>
                <w:lang w:val="en-US" w:eastAsia="zh-CN"/>
              </w:rPr>
              <w:t>5</w:t>
            </w:r>
          </w:p>
        </w:tc>
        <w:tc>
          <w:tcPr>
            <w:tcW w:w="1074" w:type="dxa"/>
            <w:tcBorders>
              <w:top w:val="single" w:color="auto" w:sz="4" w:space="0"/>
              <w:left w:val="single" w:color="auto" w:sz="4" w:space="0"/>
              <w:bottom w:val="single" w:color="auto" w:sz="4" w:space="0"/>
              <w:right w:val="single" w:color="auto" w:sz="4" w:space="0"/>
            </w:tcBorders>
            <w:noWrap w:val="0"/>
            <w:vAlign w:val="center"/>
          </w:tcPr>
          <w:p w14:paraId="2D3AD5E7">
            <w:pPr>
              <w:widowControl/>
              <w:adjustRightInd w:val="0"/>
              <w:snapToGrid w:val="0"/>
              <w:jc w:val="center"/>
              <w:rPr>
                <w:rFonts w:hint="eastAsia" w:eastAsia="宋体"/>
                <w:color w:val="000000"/>
                <w:sz w:val="21"/>
                <w:szCs w:val="21"/>
                <w:lang w:val="en-US" w:eastAsia="zh-CN"/>
              </w:rPr>
            </w:pPr>
            <w:r>
              <w:rPr>
                <w:rFonts w:hint="eastAsia"/>
                <w:color w:val="000000"/>
                <w:sz w:val="21"/>
                <w:szCs w:val="21"/>
                <w:lang w:val="en-US" w:eastAsia="zh-CN"/>
              </w:rPr>
              <w:t>中英互译</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7D827638">
            <w:pPr>
              <w:widowControl/>
              <w:numPr>
                <w:ilvl w:val="0"/>
                <w:numId w:val="0"/>
              </w:numPr>
              <w:adjustRightInd w:val="0"/>
              <w:snapToGrid w:val="0"/>
              <w:ind w:left="0" w:leftChars="0" w:firstLine="0" w:firstLineChars="0"/>
              <w:jc w:val="center"/>
              <w:rPr>
                <w:color w:val="000000"/>
                <w:sz w:val="21"/>
                <w:szCs w:val="21"/>
              </w:rPr>
            </w:pPr>
            <w:r>
              <w:rPr>
                <w:rFonts w:hint="eastAsia" w:cs="Times New Roman"/>
                <w:color w:val="000000"/>
                <w:kern w:val="2"/>
                <w:sz w:val="21"/>
                <w:szCs w:val="21"/>
                <w:lang w:val="en-US" w:eastAsia="zh-CN" w:bidi="ar-SA"/>
              </w:rPr>
              <w:t>1</w:t>
            </w:r>
            <w:r>
              <w:rPr>
                <w:rFonts w:hint="default" w:ascii="Times New Roman" w:hAnsi="Times New Roman" w:eastAsia="宋体" w:cs="Times New Roman"/>
                <w:color w:val="000000"/>
                <w:kern w:val="2"/>
                <w:sz w:val="21"/>
                <w:szCs w:val="21"/>
                <w:lang w:val="en-US" w:eastAsia="zh-CN" w:bidi="ar-SA"/>
              </w:rPr>
              <w:t>、</w:t>
            </w:r>
            <w:r>
              <w:rPr>
                <w:rFonts w:hint="eastAsia"/>
                <w:color w:val="000000"/>
                <w:sz w:val="21"/>
                <w:szCs w:val="21"/>
                <w:lang w:val="en-US" w:eastAsia="zh-CN"/>
              </w:rPr>
              <w:t>2、 3</w:t>
            </w:r>
          </w:p>
        </w:tc>
        <w:tc>
          <w:tcPr>
            <w:tcW w:w="1222" w:type="dxa"/>
            <w:tcBorders>
              <w:top w:val="single" w:color="auto" w:sz="4" w:space="0"/>
              <w:left w:val="single" w:color="auto" w:sz="4" w:space="0"/>
              <w:bottom w:val="single" w:color="auto" w:sz="4" w:space="0"/>
              <w:right w:val="single" w:color="auto" w:sz="4" w:space="0"/>
            </w:tcBorders>
            <w:noWrap w:val="0"/>
            <w:vAlign w:val="center"/>
          </w:tcPr>
          <w:p w14:paraId="6DF96B5B">
            <w:pPr>
              <w:widowControl/>
              <w:adjustRightInd w:val="0"/>
              <w:snapToGrid w:val="0"/>
              <w:jc w:val="center"/>
              <w:rPr>
                <w:rFonts w:hint="default"/>
                <w:sz w:val="21"/>
                <w:szCs w:val="21"/>
                <w:lang w:val="en-US"/>
              </w:rPr>
            </w:pPr>
            <w:r>
              <w:rPr>
                <w:rFonts w:hint="eastAsia"/>
                <w:color w:val="auto"/>
                <w:sz w:val="21"/>
                <w:szCs w:val="21"/>
                <w:lang w:val="en-US" w:eastAsia="zh-CN"/>
              </w:rPr>
              <w:t>3-1</w:t>
            </w:r>
            <w:r>
              <w:rPr>
                <w:rFonts w:hint="eastAsia"/>
                <w:color w:val="auto"/>
                <w:sz w:val="21"/>
                <w:szCs w:val="21"/>
              </w:rPr>
              <w:t>、</w:t>
            </w:r>
            <w:r>
              <w:rPr>
                <w:rFonts w:hint="eastAsia"/>
                <w:color w:val="auto"/>
                <w:sz w:val="21"/>
                <w:szCs w:val="21"/>
                <w:lang w:val="en-US" w:eastAsia="zh-CN"/>
              </w:rPr>
              <w:t>7-1、8-2</w:t>
            </w:r>
          </w:p>
        </w:tc>
        <w:tc>
          <w:tcPr>
            <w:tcW w:w="836" w:type="dxa"/>
            <w:tcBorders>
              <w:top w:val="single" w:color="auto" w:sz="4" w:space="0"/>
              <w:left w:val="single" w:color="auto" w:sz="4" w:space="0"/>
              <w:bottom w:val="single" w:color="auto" w:sz="4" w:space="0"/>
              <w:right w:val="single" w:color="auto" w:sz="4" w:space="0"/>
            </w:tcBorders>
            <w:noWrap w:val="0"/>
            <w:vAlign w:val="center"/>
          </w:tcPr>
          <w:p w14:paraId="51B71127">
            <w:pPr>
              <w:widowControl/>
              <w:adjustRightInd w:val="0"/>
              <w:snapToGrid w:val="0"/>
              <w:jc w:val="center"/>
              <w:rPr>
                <w:rFonts w:hint="default" w:eastAsia="宋体"/>
                <w:sz w:val="21"/>
                <w:szCs w:val="21"/>
                <w:lang w:val="en-US" w:eastAsia="zh-CN"/>
              </w:rPr>
            </w:pPr>
            <w:r>
              <w:rPr>
                <w:rFonts w:hint="eastAsia"/>
                <w:sz w:val="21"/>
                <w:szCs w:val="21"/>
                <w:lang w:val="en-US" w:eastAsia="zh-CN"/>
              </w:rPr>
              <w:t>5</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B283682">
            <w:pPr>
              <w:widowControl/>
              <w:adjustRightInd w:val="0"/>
              <w:snapToGrid w:val="0"/>
              <w:jc w:val="center"/>
              <w:rPr>
                <w:rFonts w:hint="eastAsia" w:eastAsia="宋体"/>
                <w:sz w:val="21"/>
                <w:szCs w:val="21"/>
                <w:lang w:val="en-US" w:eastAsia="zh-CN"/>
              </w:rPr>
            </w:pPr>
            <w:r>
              <w:rPr>
                <w:rFonts w:hint="eastAsia"/>
                <w:sz w:val="21"/>
                <w:szCs w:val="21"/>
                <w:lang w:val="en-US" w:eastAsia="zh-CN"/>
              </w:rPr>
              <w:t>5</w:t>
            </w:r>
          </w:p>
        </w:tc>
        <w:tc>
          <w:tcPr>
            <w:tcW w:w="2831" w:type="dxa"/>
            <w:tcBorders>
              <w:top w:val="single" w:color="auto" w:sz="4" w:space="0"/>
              <w:left w:val="single" w:color="auto" w:sz="4" w:space="0"/>
              <w:bottom w:val="single" w:color="auto" w:sz="4" w:space="0"/>
              <w:right w:val="single" w:color="auto" w:sz="4" w:space="0"/>
            </w:tcBorders>
            <w:noWrap w:val="0"/>
            <w:vAlign w:val="top"/>
          </w:tcPr>
          <w:p w14:paraId="1B5034D1">
            <w:pPr>
              <w:widowControl/>
              <w:adjustRightInd w:val="0"/>
              <w:snapToGrid w:val="0"/>
              <w:jc w:val="left"/>
              <w:rPr>
                <w:sz w:val="21"/>
                <w:szCs w:val="21"/>
              </w:rPr>
            </w:pPr>
            <w:r>
              <w:rPr>
                <w:rFonts w:hint="eastAsia"/>
                <w:color w:val="000000"/>
                <w:sz w:val="21"/>
                <w:szCs w:val="21"/>
                <w:lang w:val="en-US" w:eastAsia="zh-CN"/>
              </w:rPr>
              <w:t>家国情怀与文化自信</w:t>
            </w:r>
            <w:r>
              <w:rPr>
                <w:rFonts w:hint="eastAsia"/>
                <w:color w:val="000000"/>
                <w:sz w:val="21"/>
                <w:szCs w:val="21"/>
              </w:rPr>
              <w:t>。</w:t>
            </w:r>
            <w:r>
              <w:rPr>
                <w:rFonts w:hint="eastAsia"/>
                <w:color w:val="000000"/>
                <w:sz w:val="21"/>
                <w:szCs w:val="21"/>
                <w:lang w:val="en-US" w:eastAsia="zh-CN"/>
              </w:rPr>
              <w:t>全球视野与社会责任。学术诚信与科学精神。专业素养与职业道德。</w:t>
            </w:r>
          </w:p>
        </w:tc>
      </w:tr>
      <w:tr w14:paraId="6D04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030" w:type="dxa"/>
            <w:gridSpan w:val="4"/>
            <w:tcBorders>
              <w:top w:val="single" w:color="auto" w:sz="4" w:space="0"/>
              <w:left w:val="single" w:color="auto" w:sz="4" w:space="0"/>
              <w:bottom w:val="single" w:color="auto" w:sz="4" w:space="0"/>
              <w:right w:val="single" w:color="auto" w:sz="4" w:space="0"/>
            </w:tcBorders>
            <w:noWrap w:val="0"/>
            <w:vAlign w:val="center"/>
          </w:tcPr>
          <w:p w14:paraId="262BEB60">
            <w:pPr>
              <w:widowControl/>
              <w:adjustRightInd w:val="0"/>
              <w:snapToGrid w:val="0"/>
              <w:jc w:val="center"/>
              <w:rPr>
                <w:sz w:val="21"/>
                <w:szCs w:val="21"/>
              </w:rPr>
            </w:pPr>
            <w:r>
              <w:rPr>
                <w:sz w:val="21"/>
                <w:szCs w:val="21"/>
              </w:rPr>
              <w:t>合 计</w:t>
            </w:r>
          </w:p>
        </w:tc>
        <w:tc>
          <w:tcPr>
            <w:tcW w:w="836" w:type="dxa"/>
            <w:tcBorders>
              <w:top w:val="single" w:color="auto" w:sz="4" w:space="0"/>
              <w:left w:val="single" w:color="auto" w:sz="4" w:space="0"/>
              <w:bottom w:val="single" w:color="auto" w:sz="4" w:space="0"/>
              <w:right w:val="single" w:color="auto" w:sz="4" w:space="0"/>
            </w:tcBorders>
            <w:noWrap w:val="0"/>
            <w:vAlign w:val="center"/>
          </w:tcPr>
          <w:p w14:paraId="165186C2">
            <w:pPr>
              <w:widowControl/>
              <w:adjustRightInd w:val="0"/>
              <w:snapToGrid w:val="0"/>
              <w:jc w:val="center"/>
              <w:rPr>
                <w:rFonts w:hint="default" w:eastAsia="宋体"/>
                <w:sz w:val="21"/>
                <w:szCs w:val="21"/>
                <w:lang w:val="en-US" w:eastAsia="zh-CN"/>
              </w:rPr>
            </w:pPr>
            <w:r>
              <w:rPr>
                <w:rFonts w:hint="eastAsia"/>
                <w:sz w:val="21"/>
                <w:szCs w:val="21"/>
                <w:lang w:val="en-US" w:eastAsia="zh-CN"/>
              </w:rPr>
              <w:t>55</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2640D7B7">
            <w:pPr>
              <w:widowControl/>
              <w:adjustRightInd w:val="0"/>
              <w:snapToGrid w:val="0"/>
              <w:jc w:val="center"/>
              <w:rPr>
                <w:rFonts w:hint="eastAsia" w:eastAsia="宋体"/>
                <w:sz w:val="21"/>
                <w:szCs w:val="21"/>
                <w:lang w:val="en-US" w:eastAsia="zh-CN"/>
              </w:rPr>
            </w:pPr>
            <w:r>
              <w:rPr>
                <w:rFonts w:hint="eastAsia"/>
                <w:sz w:val="21"/>
                <w:szCs w:val="21"/>
                <w:lang w:val="en-US" w:eastAsia="zh-CN"/>
              </w:rPr>
              <w:t>10</w:t>
            </w:r>
          </w:p>
        </w:tc>
        <w:tc>
          <w:tcPr>
            <w:tcW w:w="2831" w:type="dxa"/>
            <w:tcBorders>
              <w:top w:val="single" w:color="auto" w:sz="4" w:space="0"/>
              <w:left w:val="single" w:color="auto" w:sz="4" w:space="0"/>
              <w:bottom w:val="single" w:color="auto" w:sz="4" w:space="0"/>
              <w:right w:val="single" w:color="auto" w:sz="4" w:space="0"/>
            </w:tcBorders>
            <w:noWrap w:val="0"/>
            <w:vAlign w:val="top"/>
          </w:tcPr>
          <w:p w14:paraId="0A867664">
            <w:pPr>
              <w:widowControl/>
              <w:adjustRightInd w:val="0"/>
              <w:snapToGrid w:val="0"/>
              <w:jc w:val="center"/>
              <w:rPr>
                <w:sz w:val="21"/>
                <w:szCs w:val="21"/>
              </w:rPr>
            </w:pPr>
          </w:p>
        </w:tc>
      </w:tr>
    </w:tbl>
    <w:p w14:paraId="0713627C">
      <w:pPr>
        <w:snapToGrid w:val="0"/>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四、课内实践</w:t>
      </w:r>
    </w:p>
    <w:p w14:paraId="324F0E1F">
      <w:pPr>
        <w:widowControl/>
        <w:adjustRightInd w:val="0"/>
        <w:snapToGrid w:val="0"/>
        <w:spacing w:line="360" w:lineRule="auto"/>
        <w:ind w:firstLine="420" w:firstLineChars="200"/>
        <w:jc w:val="left"/>
        <w:rPr>
          <w:sz w:val="21"/>
          <w:szCs w:val="21"/>
        </w:rPr>
      </w:pPr>
      <w:r>
        <w:rPr>
          <w:sz w:val="21"/>
          <w:szCs w:val="21"/>
        </w:rPr>
        <w:t>课内</w:t>
      </w:r>
      <w:r>
        <w:rPr>
          <w:rFonts w:hint="eastAsia"/>
          <w:sz w:val="21"/>
          <w:szCs w:val="21"/>
        </w:rPr>
        <w:t>实践项目名称、教学内容及教学目标、</w:t>
      </w:r>
      <w:r>
        <w:rPr>
          <w:sz w:val="21"/>
          <w:szCs w:val="21"/>
        </w:rPr>
        <w:t>学时分配</w:t>
      </w:r>
      <w:r>
        <w:rPr>
          <w:rFonts w:hint="eastAsia"/>
          <w:sz w:val="21"/>
          <w:szCs w:val="21"/>
        </w:rPr>
        <w:t>以及</w:t>
      </w:r>
      <w:r>
        <w:rPr>
          <w:sz w:val="21"/>
          <w:szCs w:val="21"/>
        </w:rPr>
        <w:t>与课程目标的对应关系如表3所示。</w:t>
      </w:r>
    </w:p>
    <w:p w14:paraId="7E509282">
      <w:pPr>
        <w:widowControl/>
        <w:adjustRightInd w:val="0"/>
        <w:snapToGrid w:val="0"/>
        <w:spacing w:line="360" w:lineRule="auto"/>
        <w:ind w:firstLine="420" w:firstLineChars="200"/>
        <w:jc w:val="center"/>
        <w:rPr>
          <w:rFonts w:hint="eastAsia"/>
          <w:sz w:val="21"/>
          <w:szCs w:val="21"/>
        </w:rPr>
      </w:pPr>
      <w:r>
        <w:rPr>
          <w:sz w:val="21"/>
          <w:szCs w:val="21"/>
        </w:rPr>
        <w:t xml:space="preserve">表3  </w:t>
      </w:r>
      <w:r>
        <w:rPr>
          <w:rFonts w:hint="eastAsia"/>
          <w:sz w:val="21"/>
          <w:szCs w:val="21"/>
        </w:rPr>
        <w:t>实践</w:t>
      </w:r>
      <w:r>
        <w:rPr>
          <w:sz w:val="21"/>
          <w:szCs w:val="21"/>
        </w:rPr>
        <w:t>教学内容与课程</w:t>
      </w:r>
      <w:r>
        <w:rPr>
          <w:rFonts w:hint="eastAsia"/>
          <w:sz w:val="21"/>
          <w:szCs w:val="21"/>
        </w:rPr>
        <w:t>教学</w:t>
      </w:r>
      <w:r>
        <w:rPr>
          <w:sz w:val="21"/>
          <w:szCs w:val="21"/>
        </w:rPr>
        <w:t>目标的对应关系及学时分配表</w:t>
      </w:r>
    </w:p>
    <w:tbl>
      <w:tblPr>
        <w:tblStyle w:val="15"/>
        <w:tblW w:w="9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82"/>
        <w:gridCol w:w="2383"/>
        <w:gridCol w:w="667"/>
        <w:gridCol w:w="1162"/>
        <w:gridCol w:w="875"/>
        <w:gridCol w:w="625"/>
        <w:gridCol w:w="1951"/>
      </w:tblGrid>
      <w:tr w14:paraId="0F2B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A4658C">
            <w:pPr>
              <w:widowControl/>
              <w:adjustRightInd w:val="0"/>
              <w:snapToGrid w:val="0"/>
              <w:jc w:val="center"/>
              <w:rPr>
                <w:b/>
                <w:spacing w:val="-20"/>
                <w:sz w:val="21"/>
                <w:szCs w:val="21"/>
              </w:rPr>
            </w:pPr>
            <w:r>
              <w:rPr>
                <w:b/>
                <w:spacing w:val="-20"/>
                <w:sz w:val="21"/>
                <w:szCs w:val="21"/>
              </w:rPr>
              <w:t>序号</w:t>
            </w:r>
          </w:p>
        </w:tc>
        <w:tc>
          <w:tcPr>
            <w:tcW w:w="88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06D253">
            <w:pPr>
              <w:widowControl/>
              <w:adjustRightInd w:val="0"/>
              <w:snapToGrid w:val="0"/>
              <w:jc w:val="center"/>
              <w:rPr>
                <w:b/>
                <w:sz w:val="21"/>
                <w:szCs w:val="21"/>
              </w:rPr>
            </w:pPr>
            <w:r>
              <w:rPr>
                <w:rFonts w:hint="eastAsia"/>
                <w:b/>
                <w:sz w:val="21"/>
                <w:szCs w:val="21"/>
                <w:lang w:val="en-US" w:eastAsia="zh-CN"/>
              </w:rPr>
              <w:t>实践</w:t>
            </w:r>
            <w:r>
              <w:rPr>
                <w:b/>
                <w:sz w:val="21"/>
                <w:szCs w:val="21"/>
              </w:rPr>
              <w:t>项目名称</w:t>
            </w:r>
          </w:p>
        </w:tc>
        <w:tc>
          <w:tcPr>
            <w:tcW w:w="238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3343EB">
            <w:pPr>
              <w:widowControl/>
              <w:adjustRightInd w:val="0"/>
              <w:snapToGrid w:val="0"/>
              <w:jc w:val="center"/>
              <w:rPr>
                <w:b/>
                <w:sz w:val="21"/>
                <w:szCs w:val="21"/>
              </w:rPr>
            </w:pPr>
            <w:r>
              <w:rPr>
                <w:rFonts w:hint="eastAsia"/>
                <w:b/>
                <w:sz w:val="21"/>
                <w:szCs w:val="21"/>
                <w:lang w:val="en-US" w:eastAsia="zh-CN"/>
              </w:rPr>
              <w:t>实践</w:t>
            </w:r>
            <w:r>
              <w:rPr>
                <w:b/>
                <w:sz w:val="21"/>
                <w:szCs w:val="21"/>
              </w:rPr>
              <w:t>内容及</w:t>
            </w:r>
            <w:r>
              <w:rPr>
                <w:rFonts w:hint="eastAsia"/>
                <w:b/>
                <w:sz w:val="21"/>
                <w:szCs w:val="21"/>
              </w:rPr>
              <w:t>教学目标</w:t>
            </w:r>
          </w:p>
        </w:tc>
        <w:tc>
          <w:tcPr>
            <w:tcW w:w="6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A1E713">
            <w:pPr>
              <w:widowControl/>
              <w:adjustRightInd w:val="0"/>
              <w:snapToGrid w:val="0"/>
              <w:jc w:val="center"/>
              <w:rPr>
                <w:b/>
                <w:sz w:val="21"/>
                <w:szCs w:val="21"/>
              </w:rPr>
            </w:pPr>
            <w:r>
              <w:rPr>
                <w:b/>
                <w:sz w:val="21"/>
                <w:szCs w:val="21"/>
              </w:rPr>
              <w:t>学时</w:t>
            </w:r>
          </w:p>
        </w:tc>
        <w:tc>
          <w:tcPr>
            <w:tcW w:w="116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4937F3">
            <w:pPr>
              <w:widowControl/>
              <w:adjustRightInd w:val="0"/>
              <w:snapToGrid w:val="0"/>
              <w:jc w:val="center"/>
              <w:rPr>
                <w:b/>
                <w:sz w:val="21"/>
                <w:szCs w:val="21"/>
              </w:rPr>
            </w:pPr>
            <w:r>
              <w:rPr>
                <w:b/>
                <w:sz w:val="21"/>
                <w:szCs w:val="21"/>
              </w:rPr>
              <w:t>支撑的课程目标</w:t>
            </w:r>
          </w:p>
        </w:tc>
        <w:tc>
          <w:tcPr>
            <w:tcW w:w="875"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429E9D0C">
            <w:pPr>
              <w:widowControl/>
              <w:adjustRightInd w:val="0"/>
              <w:snapToGrid w:val="0"/>
              <w:jc w:val="center"/>
              <w:rPr>
                <w:b/>
                <w:sz w:val="21"/>
                <w:szCs w:val="21"/>
              </w:rPr>
            </w:pPr>
            <w:r>
              <w:rPr>
                <w:b/>
                <w:sz w:val="21"/>
                <w:szCs w:val="21"/>
              </w:rPr>
              <w:t>实验</w:t>
            </w:r>
          </w:p>
          <w:p w14:paraId="1F9CCF19">
            <w:pPr>
              <w:widowControl/>
              <w:adjustRightInd w:val="0"/>
              <w:snapToGrid w:val="0"/>
              <w:jc w:val="center"/>
              <w:rPr>
                <w:b/>
                <w:sz w:val="21"/>
                <w:szCs w:val="21"/>
              </w:rPr>
            </w:pPr>
            <w:r>
              <w:rPr>
                <w:b/>
                <w:sz w:val="21"/>
                <w:szCs w:val="21"/>
              </w:rPr>
              <w:t>类型</w:t>
            </w:r>
          </w:p>
        </w:tc>
        <w:tc>
          <w:tcPr>
            <w:tcW w:w="625"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19FF2586">
            <w:pPr>
              <w:widowControl/>
              <w:adjustRightInd w:val="0"/>
              <w:snapToGrid w:val="0"/>
              <w:jc w:val="center"/>
              <w:rPr>
                <w:b/>
                <w:sz w:val="21"/>
                <w:szCs w:val="21"/>
              </w:rPr>
            </w:pPr>
            <w:r>
              <w:rPr>
                <w:rFonts w:hint="eastAsia"/>
                <w:b/>
                <w:sz w:val="21"/>
                <w:szCs w:val="21"/>
              </w:rPr>
              <w:t>实验要求</w:t>
            </w:r>
          </w:p>
        </w:tc>
        <w:tc>
          <w:tcPr>
            <w:tcW w:w="1951"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536E891A">
            <w:pPr>
              <w:widowControl/>
              <w:adjustRightInd w:val="0"/>
              <w:snapToGrid w:val="0"/>
              <w:jc w:val="center"/>
              <w:rPr>
                <w:b/>
                <w:sz w:val="21"/>
                <w:szCs w:val="21"/>
              </w:rPr>
            </w:pPr>
            <w:r>
              <w:rPr>
                <w:rFonts w:hint="eastAsia"/>
                <w:b/>
                <w:sz w:val="21"/>
                <w:szCs w:val="21"/>
              </w:rPr>
              <w:t>课程思政融入点</w:t>
            </w:r>
          </w:p>
        </w:tc>
      </w:tr>
      <w:tr w14:paraId="7414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4EE6E1">
            <w:pPr>
              <w:widowControl/>
              <w:adjustRightInd w:val="0"/>
              <w:snapToGrid w:val="0"/>
              <w:jc w:val="center"/>
              <w:rPr>
                <w:bCs/>
                <w:spacing w:val="-20"/>
                <w:sz w:val="21"/>
                <w:szCs w:val="21"/>
              </w:rPr>
            </w:pPr>
            <w:r>
              <w:rPr>
                <w:bCs/>
                <w:spacing w:val="-20"/>
                <w:sz w:val="21"/>
                <w:szCs w:val="21"/>
              </w:rPr>
              <w:t>1</w:t>
            </w:r>
          </w:p>
        </w:tc>
        <w:tc>
          <w:tcPr>
            <w:tcW w:w="88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B94072">
            <w:pPr>
              <w:widowControl/>
              <w:adjustRightInd w:val="0"/>
              <w:snapToGrid w:val="0"/>
              <w:jc w:val="center"/>
              <w:rPr>
                <w:rFonts w:hint="default" w:eastAsia="宋体"/>
                <w:bCs/>
                <w:sz w:val="21"/>
                <w:szCs w:val="21"/>
                <w:lang w:val="en-US" w:eastAsia="zh-CN"/>
              </w:rPr>
            </w:pPr>
            <w:r>
              <w:rPr>
                <w:rFonts w:hint="eastAsia"/>
                <w:bCs/>
                <w:sz w:val="21"/>
                <w:szCs w:val="21"/>
                <w:lang w:val="en-US" w:eastAsia="zh-CN"/>
              </w:rPr>
              <w:t>书面表达</w:t>
            </w:r>
          </w:p>
        </w:tc>
        <w:tc>
          <w:tcPr>
            <w:tcW w:w="238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7514AB">
            <w:pPr>
              <w:widowControl/>
              <w:adjustRightInd w:val="0"/>
              <w:snapToGrid w:val="0"/>
              <w:jc w:val="left"/>
              <w:rPr>
                <w:bCs/>
                <w:sz w:val="21"/>
                <w:szCs w:val="21"/>
              </w:rPr>
            </w:pPr>
            <w:r>
              <w:rPr>
                <w:rFonts w:hint="eastAsia"/>
                <w:sz w:val="21"/>
                <w:szCs w:val="21"/>
                <w:lang w:val="en-US" w:eastAsia="zh-CN"/>
              </w:rPr>
              <w:t>论文摘要写作，能撰写所学专业论文的英文摘要和文献综述。</w:t>
            </w:r>
          </w:p>
        </w:tc>
        <w:tc>
          <w:tcPr>
            <w:tcW w:w="6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538C02">
            <w:pPr>
              <w:widowControl/>
              <w:adjustRightInd w:val="0"/>
              <w:snapToGrid w:val="0"/>
              <w:jc w:val="center"/>
              <w:rPr>
                <w:rFonts w:hint="eastAsia" w:eastAsia="宋体"/>
                <w:bCs/>
                <w:sz w:val="21"/>
                <w:szCs w:val="21"/>
                <w:lang w:val="en-US" w:eastAsia="zh-CN"/>
              </w:rPr>
            </w:pPr>
            <w:r>
              <w:rPr>
                <w:rFonts w:hint="eastAsia"/>
                <w:bCs/>
                <w:sz w:val="21"/>
                <w:szCs w:val="21"/>
                <w:lang w:val="en-US" w:eastAsia="zh-CN"/>
              </w:rPr>
              <w:t>5</w:t>
            </w:r>
          </w:p>
        </w:tc>
        <w:tc>
          <w:tcPr>
            <w:tcW w:w="116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89F8D2">
            <w:pPr>
              <w:widowControl/>
              <w:adjustRightInd w:val="0"/>
              <w:snapToGrid w:val="0"/>
              <w:jc w:val="center"/>
              <w:rPr>
                <w:rFonts w:hint="default" w:eastAsia="宋体"/>
                <w:sz w:val="21"/>
                <w:szCs w:val="21"/>
                <w:lang w:val="en-US" w:eastAsia="zh-CN"/>
              </w:rPr>
            </w:pPr>
            <w:r>
              <w:rPr>
                <w:rFonts w:hint="eastAsia"/>
                <w:sz w:val="21"/>
                <w:szCs w:val="21"/>
                <w:lang w:val="en-US" w:eastAsia="zh-CN"/>
              </w:rPr>
              <w:t>1、2、3</w:t>
            </w:r>
          </w:p>
        </w:tc>
        <w:tc>
          <w:tcPr>
            <w:tcW w:w="875"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39743379">
            <w:pPr>
              <w:widowControl/>
              <w:adjustRightInd w:val="0"/>
              <w:snapToGrid w:val="0"/>
              <w:jc w:val="center"/>
              <w:rPr>
                <w:rFonts w:hint="eastAsia" w:eastAsia="宋体"/>
                <w:bCs/>
                <w:sz w:val="21"/>
                <w:szCs w:val="21"/>
                <w:lang w:val="en-US" w:eastAsia="zh-CN"/>
              </w:rPr>
            </w:pPr>
            <w:r>
              <w:rPr>
                <w:rFonts w:hint="eastAsia"/>
                <w:bCs/>
                <w:sz w:val="21"/>
                <w:szCs w:val="21"/>
                <w:lang w:val="en-US" w:eastAsia="zh-CN"/>
              </w:rPr>
              <w:t>验证型</w:t>
            </w:r>
          </w:p>
        </w:tc>
        <w:tc>
          <w:tcPr>
            <w:tcW w:w="625"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7C6FD72B">
            <w:pPr>
              <w:widowControl/>
              <w:adjustRightInd w:val="0"/>
              <w:snapToGrid w:val="0"/>
              <w:jc w:val="center"/>
              <w:rPr>
                <w:rFonts w:hint="eastAsia" w:eastAsia="宋体"/>
                <w:bCs/>
                <w:sz w:val="21"/>
                <w:szCs w:val="21"/>
                <w:lang w:val="en-US" w:eastAsia="zh-CN"/>
              </w:rPr>
            </w:pPr>
            <w:r>
              <w:rPr>
                <w:rFonts w:hint="eastAsia"/>
                <w:bCs/>
                <w:sz w:val="21"/>
                <w:szCs w:val="21"/>
                <w:lang w:val="en-US" w:eastAsia="zh-CN"/>
              </w:rPr>
              <w:t>必开</w:t>
            </w:r>
          </w:p>
        </w:tc>
        <w:tc>
          <w:tcPr>
            <w:tcW w:w="1951"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773119B6">
            <w:pPr>
              <w:widowControl/>
              <w:adjustRightInd w:val="0"/>
              <w:snapToGrid w:val="0"/>
              <w:jc w:val="center"/>
              <w:rPr>
                <w:bCs/>
                <w:sz w:val="21"/>
                <w:szCs w:val="21"/>
              </w:rPr>
            </w:pPr>
            <w:r>
              <w:rPr>
                <w:rFonts w:hint="eastAsia"/>
                <w:sz w:val="21"/>
                <w:szCs w:val="21"/>
              </w:rPr>
              <w:t>理性思考中西文化差异。提升职业素养</w:t>
            </w:r>
            <w:r>
              <w:rPr>
                <w:rFonts w:hint="eastAsia"/>
                <w:sz w:val="21"/>
                <w:szCs w:val="21"/>
                <w:lang w:eastAsia="zh-CN"/>
              </w:rPr>
              <w:t>。</w:t>
            </w:r>
          </w:p>
        </w:tc>
      </w:tr>
      <w:tr w14:paraId="7BB9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93BC64">
            <w:pPr>
              <w:widowControl/>
              <w:adjustRightInd w:val="0"/>
              <w:snapToGrid w:val="0"/>
              <w:jc w:val="center"/>
              <w:rPr>
                <w:bCs/>
                <w:spacing w:val="-20"/>
                <w:sz w:val="21"/>
                <w:szCs w:val="21"/>
              </w:rPr>
            </w:pPr>
            <w:r>
              <w:rPr>
                <w:bCs/>
                <w:spacing w:val="-20"/>
                <w:sz w:val="21"/>
                <w:szCs w:val="21"/>
              </w:rPr>
              <w:t>2</w:t>
            </w:r>
          </w:p>
        </w:tc>
        <w:tc>
          <w:tcPr>
            <w:tcW w:w="88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EC735E">
            <w:pPr>
              <w:widowControl/>
              <w:adjustRightInd w:val="0"/>
              <w:snapToGrid w:val="0"/>
              <w:jc w:val="center"/>
              <w:rPr>
                <w:rFonts w:hint="default" w:eastAsia="宋体"/>
                <w:bCs/>
                <w:sz w:val="21"/>
                <w:szCs w:val="21"/>
                <w:lang w:val="en-US" w:eastAsia="zh-CN"/>
              </w:rPr>
            </w:pPr>
            <w:r>
              <w:rPr>
                <w:rFonts w:hint="eastAsia"/>
                <w:bCs/>
                <w:sz w:val="21"/>
                <w:szCs w:val="21"/>
                <w:lang w:val="en-US" w:eastAsia="zh-CN"/>
              </w:rPr>
              <w:t>中英互译</w:t>
            </w:r>
          </w:p>
        </w:tc>
        <w:tc>
          <w:tcPr>
            <w:tcW w:w="238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9D6749">
            <w:pPr>
              <w:widowControl/>
              <w:adjustRightInd w:val="0"/>
              <w:snapToGrid w:val="0"/>
              <w:jc w:val="left"/>
              <w:rPr>
                <w:bCs/>
                <w:sz w:val="21"/>
                <w:szCs w:val="21"/>
              </w:rPr>
            </w:pPr>
            <w:r>
              <w:rPr>
                <w:rFonts w:hint="eastAsia"/>
                <w:sz w:val="21"/>
                <w:szCs w:val="21"/>
                <w:lang w:val="en-US" w:eastAsia="zh-CN"/>
              </w:rPr>
              <w:t>翻译理论实践，能借助词典翻译体裁较为正式的人文、艺术英语文章或作品介绍。</w:t>
            </w:r>
          </w:p>
        </w:tc>
        <w:tc>
          <w:tcPr>
            <w:tcW w:w="6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757682">
            <w:pPr>
              <w:widowControl/>
              <w:adjustRightInd w:val="0"/>
              <w:snapToGrid w:val="0"/>
              <w:jc w:val="center"/>
              <w:rPr>
                <w:rFonts w:hint="eastAsia" w:eastAsia="宋体"/>
                <w:bCs/>
                <w:sz w:val="21"/>
                <w:szCs w:val="21"/>
                <w:lang w:val="en-US" w:eastAsia="zh-CN"/>
              </w:rPr>
            </w:pPr>
            <w:r>
              <w:rPr>
                <w:rFonts w:hint="eastAsia"/>
                <w:bCs/>
                <w:sz w:val="21"/>
                <w:szCs w:val="21"/>
                <w:lang w:val="en-US" w:eastAsia="zh-CN"/>
              </w:rPr>
              <w:t>5</w:t>
            </w:r>
          </w:p>
        </w:tc>
        <w:tc>
          <w:tcPr>
            <w:tcW w:w="116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1FDE07">
            <w:pPr>
              <w:widowControl/>
              <w:adjustRightInd w:val="0"/>
              <w:snapToGrid w:val="0"/>
              <w:jc w:val="center"/>
              <w:rPr>
                <w:sz w:val="21"/>
                <w:szCs w:val="21"/>
              </w:rPr>
            </w:pPr>
            <w:r>
              <w:rPr>
                <w:rFonts w:hint="eastAsia"/>
                <w:sz w:val="21"/>
                <w:szCs w:val="21"/>
                <w:lang w:val="en-US" w:eastAsia="zh-CN"/>
              </w:rPr>
              <w:t>1、2、3</w:t>
            </w:r>
          </w:p>
        </w:tc>
        <w:tc>
          <w:tcPr>
            <w:tcW w:w="875"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70A678F2">
            <w:pPr>
              <w:widowControl/>
              <w:adjustRightInd w:val="0"/>
              <w:snapToGrid w:val="0"/>
              <w:jc w:val="center"/>
              <w:rPr>
                <w:bCs/>
                <w:sz w:val="21"/>
                <w:szCs w:val="21"/>
              </w:rPr>
            </w:pPr>
            <w:r>
              <w:rPr>
                <w:rFonts w:hint="eastAsia"/>
                <w:bCs/>
                <w:sz w:val="21"/>
                <w:szCs w:val="21"/>
                <w:lang w:val="en-US" w:eastAsia="zh-CN"/>
              </w:rPr>
              <w:t>验证型</w:t>
            </w:r>
          </w:p>
        </w:tc>
        <w:tc>
          <w:tcPr>
            <w:tcW w:w="625"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581FCBE1">
            <w:pPr>
              <w:widowControl/>
              <w:adjustRightInd w:val="0"/>
              <w:snapToGrid w:val="0"/>
              <w:jc w:val="center"/>
              <w:rPr>
                <w:rFonts w:hint="eastAsia" w:eastAsia="宋体"/>
                <w:bCs/>
                <w:sz w:val="21"/>
                <w:szCs w:val="21"/>
                <w:lang w:val="en-US" w:eastAsia="zh-CN"/>
              </w:rPr>
            </w:pPr>
            <w:r>
              <w:rPr>
                <w:rFonts w:hint="eastAsia"/>
                <w:bCs/>
                <w:sz w:val="21"/>
                <w:szCs w:val="21"/>
                <w:lang w:val="en-US" w:eastAsia="zh-CN"/>
              </w:rPr>
              <w:t>必开</w:t>
            </w:r>
          </w:p>
        </w:tc>
        <w:tc>
          <w:tcPr>
            <w:tcW w:w="1951"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1C9BD607">
            <w:pPr>
              <w:widowControl/>
              <w:adjustRightInd w:val="0"/>
              <w:snapToGrid w:val="0"/>
              <w:jc w:val="both"/>
              <w:rPr>
                <w:bCs/>
                <w:sz w:val="21"/>
                <w:szCs w:val="21"/>
              </w:rPr>
            </w:pPr>
            <w:r>
              <w:rPr>
                <w:rFonts w:hint="eastAsia"/>
                <w:sz w:val="21"/>
                <w:szCs w:val="21"/>
              </w:rPr>
              <w:t>理性思考中西文化差异。提升职业素养</w:t>
            </w:r>
            <w:r>
              <w:rPr>
                <w:rFonts w:hint="eastAsia"/>
                <w:sz w:val="21"/>
                <w:szCs w:val="21"/>
                <w:lang w:eastAsia="zh-CN"/>
              </w:rPr>
              <w:t>。</w:t>
            </w:r>
          </w:p>
        </w:tc>
      </w:tr>
    </w:tbl>
    <w:p w14:paraId="267F5A5B">
      <w:pPr>
        <w:snapToGrid w:val="0"/>
        <w:spacing w:line="360" w:lineRule="auto"/>
        <w:ind w:firstLine="422" w:firstLineChars="200"/>
        <w:rPr>
          <w:rFonts w:hint="eastAsia"/>
          <w:b/>
          <w:sz w:val="21"/>
          <w:szCs w:val="21"/>
        </w:rPr>
      </w:pPr>
    </w:p>
    <w:p w14:paraId="1958BCC4">
      <w:pPr>
        <w:snapToGrid w:val="0"/>
        <w:spacing w:line="360" w:lineRule="auto"/>
        <w:ind w:firstLine="472" w:firstLineChars="196"/>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五</w:t>
      </w:r>
      <w:r>
        <w:rPr>
          <w:rFonts w:hint="eastAsia" w:ascii="Times New Roman" w:hAnsi="Times New Roman" w:eastAsia="宋体" w:cs="Times New Roman"/>
          <w:b/>
          <w:sz w:val="24"/>
          <w:szCs w:val="24"/>
        </w:rPr>
        <w:t>、课程实施</w:t>
      </w:r>
    </w:p>
    <w:p w14:paraId="4D0F82F7">
      <w:pPr>
        <w:snapToGrid w:val="0"/>
        <w:spacing w:line="360" w:lineRule="auto"/>
        <w:ind w:firstLine="422" w:firstLineChars="200"/>
        <w:rPr>
          <w:b/>
          <w:sz w:val="21"/>
          <w:szCs w:val="21"/>
        </w:rPr>
      </w:pPr>
      <w:r>
        <w:rPr>
          <w:rFonts w:hint="eastAsia"/>
          <w:b/>
          <w:sz w:val="21"/>
          <w:szCs w:val="21"/>
        </w:rPr>
        <w:t>（一）教学方法与教学手段</w:t>
      </w:r>
    </w:p>
    <w:p w14:paraId="772AF895">
      <w:pPr>
        <w:snapToGrid w:val="0"/>
        <w:spacing w:line="360" w:lineRule="auto"/>
        <w:ind w:firstLine="420" w:firstLineChars="200"/>
        <w:rPr>
          <w:rFonts w:hint="eastAsia"/>
          <w:bCs/>
          <w:sz w:val="21"/>
          <w:szCs w:val="21"/>
        </w:rPr>
      </w:pPr>
      <w:r>
        <w:rPr>
          <w:rFonts w:hint="eastAsia"/>
          <w:bCs/>
          <w:sz w:val="21"/>
          <w:szCs w:val="21"/>
          <w:lang w:eastAsia="zh-CN"/>
        </w:rPr>
        <w:t>（</w:t>
      </w:r>
      <w:r>
        <w:rPr>
          <w:rFonts w:hint="eastAsia"/>
          <w:bCs/>
          <w:sz w:val="21"/>
          <w:szCs w:val="21"/>
          <w:lang w:val="en-US" w:eastAsia="zh-CN"/>
        </w:rPr>
        <w:t>1</w:t>
      </w:r>
      <w:r>
        <w:rPr>
          <w:rFonts w:hint="eastAsia"/>
          <w:bCs/>
          <w:sz w:val="21"/>
          <w:szCs w:val="21"/>
          <w:lang w:eastAsia="zh-CN"/>
        </w:rPr>
        <w:t>）</w:t>
      </w:r>
      <w:r>
        <w:rPr>
          <w:rFonts w:hint="eastAsia"/>
          <w:bCs/>
          <w:sz w:val="21"/>
          <w:szCs w:val="21"/>
        </w:rPr>
        <w:t>依托网络学习平台，引导学生线上自主学习，培养学生自主学习能力，并进一步培养学生发现问题、分析问题、解决问题的能力。</w:t>
      </w:r>
    </w:p>
    <w:p w14:paraId="6B362B67">
      <w:pPr>
        <w:snapToGrid w:val="0"/>
        <w:spacing w:line="360" w:lineRule="auto"/>
        <w:ind w:firstLine="420" w:firstLineChars="200"/>
        <w:rPr>
          <w:rFonts w:hint="eastAsia"/>
          <w:bCs/>
          <w:sz w:val="21"/>
          <w:szCs w:val="21"/>
        </w:rPr>
      </w:pPr>
      <w:r>
        <w:rPr>
          <w:rFonts w:hint="eastAsia"/>
          <w:bCs/>
          <w:sz w:val="21"/>
          <w:szCs w:val="21"/>
          <w:lang w:eastAsia="zh-CN"/>
        </w:rPr>
        <w:t>（</w:t>
      </w:r>
      <w:r>
        <w:rPr>
          <w:rFonts w:hint="eastAsia"/>
          <w:bCs/>
          <w:sz w:val="21"/>
          <w:szCs w:val="21"/>
          <w:lang w:val="en-US" w:eastAsia="zh-CN"/>
        </w:rPr>
        <w:t>2</w:t>
      </w:r>
      <w:r>
        <w:rPr>
          <w:rFonts w:hint="eastAsia"/>
          <w:bCs/>
          <w:sz w:val="21"/>
          <w:szCs w:val="21"/>
          <w:lang w:eastAsia="zh-CN"/>
        </w:rPr>
        <w:t>）</w:t>
      </w:r>
      <w:r>
        <w:rPr>
          <w:rFonts w:hint="eastAsia"/>
          <w:bCs/>
          <w:sz w:val="21"/>
          <w:szCs w:val="21"/>
        </w:rPr>
        <w:t>线下课堂采用研究式、启发式、讨论式、案例式教学，通过学生自主探究，理性思考，充分讨论，形成结论，相互评价使基本英语技能得以内化并实现灵活应用。</w:t>
      </w:r>
    </w:p>
    <w:p w14:paraId="26BD8C8B">
      <w:pPr>
        <w:snapToGrid w:val="0"/>
        <w:spacing w:line="360" w:lineRule="auto"/>
        <w:ind w:firstLine="420" w:firstLineChars="200"/>
        <w:rPr>
          <w:rFonts w:hint="eastAsia"/>
          <w:bCs/>
          <w:sz w:val="21"/>
          <w:szCs w:val="21"/>
        </w:rPr>
      </w:pPr>
      <w:r>
        <w:rPr>
          <w:rFonts w:hint="eastAsia"/>
          <w:bCs/>
          <w:sz w:val="21"/>
          <w:szCs w:val="21"/>
          <w:lang w:eastAsia="zh-CN"/>
        </w:rPr>
        <w:t>（</w:t>
      </w:r>
      <w:r>
        <w:rPr>
          <w:rFonts w:hint="eastAsia"/>
          <w:bCs/>
          <w:sz w:val="21"/>
          <w:szCs w:val="21"/>
          <w:lang w:val="en-US" w:eastAsia="zh-CN"/>
        </w:rPr>
        <w:t>3</w:t>
      </w:r>
      <w:r>
        <w:rPr>
          <w:rFonts w:hint="eastAsia"/>
          <w:bCs/>
          <w:sz w:val="21"/>
          <w:szCs w:val="21"/>
          <w:lang w:eastAsia="zh-CN"/>
        </w:rPr>
        <w:t>）</w:t>
      </w:r>
      <w:r>
        <w:rPr>
          <w:rFonts w:hint="eastAsia"/>
          <w:bCs/>
          <w:sz w:val="21"/>
          <w:szCs w:val="21"/>
        </w:rPr>
        <w:t>课程思政育人方法：利用英语课程的国际视野特性，通过中西文化、制度、观念的客观比较，引导学生增强文化自信，形成辩证、全面的世界观。设计启发性、讨论式、探究式的课堂活动，让学生主动思考、辨析和表达，在语言运用中内化价值观。</w:t>
      </w:r>
    </w:p>
    <w:p w14:paraId="7CC543F3">
      <w:pPr>
        <w:spacing w:line="360" w:lineRule="auto"/>
        <w:ind w:firstLine="422" w:firstLineChars="200"/>
        <w:rPr>
          <w:rFonts w:hint="eastAsia"/>
          <w:b/>
          <w:sz w:val="21"/>
          <w:szCs w:val="21"/>
        </w:rPr>
      </w:pPr>
      <w:r>
        <w:rPr>
          <w:rFonts w:hint="eastAsia"/>
          <w:b/>
          <w:sz w:val="21"/>
          <w:szCs w:val="21"/>
        </w:rPr>
        <w:t>（二）教学质量要求</w:t>
      </w:r>
    </w:p>
    <w:p w14:paraId="331E8B15">
      <w:pPr>
        <w:tabs>
          <w:tab w:val="right" w:pos="9070"/>
        </w:tabs>
        <w:spacing w:line="360" w:lineRule="auto"/>
        <w:ind w:firstLine="420" w:firstLineChars="200"/>
        <w:rPr>
          <w:sz w:val="21"/>
          <w:szCs w:val="21"/>
        </w:rPr>
      </w:pPr>
      <w:r>
        <w:rPr>
          <w:rFonts w:hint="eastAsia"/>
          <w:sz w:val="21"/>
          <w:szCs w:val="21"/>
        </w:rPr>
        <w:t>课程主要教学环节及其质量要求如表</w:t>
      </w:r>
      <w:r>
        <w:rPr>
          <w:rFonts w:hint="default"/>
          <w:sz w:val="21"/>
          <w:szCs w:val="21"/>
          <w:lang w:val="en-US"/>
        </w:rPr>
        <w:t>3</w:t>
      </w:r>
      <w:r>
        <w:rPr>
          <w:rFonts w:hint="eastAsia"/>
          <w:sz w:val="21"/>
          <w:szCs w:val="21"/>
        </w:rPr>
        <w:t>所示。</w:t>
      </w:r>
      <w:r>
        <w:rPr>
          <w:sz w:val="21"/>
          <w:szCs w:val="21"/>
        </w:rPr>
        <w:tab/>
      </w:r>
    </w:p>
    <w:p w14:paraId="404579E4">
      <w:pPr>
        <w:spacing w:line="360" w:lineRule="auto"/>
        <w:jc w:val="center"/>
        <w:rPr>
          <w:rFonts w:hint="eastAsia"/>
          <w:sz w:val="21"/>
          <w:szCs w:val="21"/>
        </w:rPr>
      </w:pPr>
      <w:r>
        <w:rPr>
          <w:rFonts w:hint="eastAsia"/>
          <w:sz w:val="21"/>
          <w:szCs w:val="21"/>
        </w:rPr>
        <w:t>表</w:t>
      </w:r>
      <w:r>
        <w:rPr>
          <w:rFonts w:hint="default"/>
          <w:sz w:val="21"/>
          <w:szCs w:val="21"/>
          <w:lang w:val="en-US"/>
        </w:rPr>
        <w:t>3</w:t>
      </w:r>
      <w:r>
        <w:rPr>
          <w:sz w:val="21"/>
          <w:szCs w:val="21"/>
        </w:rPr>
        <w:t xml:space="preserve">  </w:t>
      </w:r>
      <w:r>
        <w:rPr>
          <w:rFonts w:hint="eastAsia"/>
          <w:sz w:val="21"/>
          <w:szCs w:val="21"/>
        </w:rPr>
        <w:t>课程主要教学环节和质量要求表</w:t>
      </w:r>
    </w:p>
    <w:tbl>
      <w:tblPr>
        <w:tblStyle w:val="15"/>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202"/>
        <w:gridCol w:w="7221"/>
      </w:tblGrid>
      <w:tr w14:paraId="4B72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76" w:hRule="atLeast"/>
          <w:jc w:val="center"/>
        </w:trPr>
        <w:tc>
          <w:tcPr>
            <w:tcW w:w="1838" w:type="dxa"/>
            <w:gridSpan w:val="2"/>
            <w:tcBorders>
              <w:top w:val="single" w:color="auto" w:sz="4" w:space="0"/>
              <w:left w:val="single" w:color="auto" w:sz="4" w:space="0"/>
              <w:right w:val="single" w:color="auto" w:sz="4" w:space="0"/>
            </w:tcBorders>
            <w:noWrap w:val="0"/>
            <w:tcMar>
              <w:left w:w="28" w:type="dxa"/>
              <w:right w:w="28" w:type="dxa"/>
            </w:tcMar>
            <w:vAlign w:val="center"/>
          </w:tcPr>
          <w:p w14:paraId="5D2C4620">
            <w:pPr>
              <w:snapToGrid w:val="0"/>
              <w:jc w:val="center"/>
              <w:rPr>
                <w:b/>
                <w:sz w:val="21"/>
                <w:szCs w:val="21"/>
              </w:rPr>
            </w:pPr>
            <w:r>
              <w:rPr>
                <w:b/>
                <w:sz w:val="21"/>
                <w:szCs w:val="21"/>
              </w:rPr>
              <w:t>主要教学环节</w:t>
            </w:r>
          </w:p>
        </w:tc>
        <w:tc>
          <w:tcPr>
            <w:tcW w:w="7221" w:type="dxa"/>
            <w:tcBorders>
              <w:top w:val="single" w:color="auto" w:sz="4" w:space="0"/>
              <w:left w:val="single" w:color="auto" w:sz="4" w:space="0"/>
              <w:right w:val="single" w:color="auto" w:sz="4" w:space="0"/>
            </w:tcBorders>
            <w:noWrap w:val="0"/>
            <w:vAlign w:val="center"/>
          </w:tcPr>
          <w:p w14:paraId="0B10CB12">
            <w:pPr>
              <w:snapToGrid w:val="0"/>
              <w:jc w:val="center"/>
              <w:rPr>
                <w:b/>
                <w:sz w:val="21"/>
                <w:szCs w:val="21"/>
              </w:rPr>
            </w:pPr>
            <w:r>
              <w:rPr>
                <w:b/>
                <w:sz w:val="21"/>
                <w:szCs w:val="21"/>
              </w:rPr>
              <w:t>质量</w:t>
            </w:r>
            <w:r>
              <w:rPr>
                <w:rFonts w:hint="eastAsia"/>
                <w:b/>
                <w:sz w:val="21"/>
                <w:szCs w:val="21"/>
              </w:rPr>
              <w:t>要求</w:t>
            </w:r>
          </w:p>
        </w:tc>
      </w:tr>
      <w:tr w14:paraId="6C2F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noWrap w:val="0"/>
            <w:vAlign w:val="center"/>
          </w:tcPr>
          <w:p w14:paraId="06C0D834">
            <w:pPr>
              <w:snapToGrid w:val="0"/>
              <w:jc w:val="center"/>
              <w:rPr>
                <w:sz w:val="21"/>
                <w:szCs w:val="21"/>
              </w:rPr>
            </w:pPr>
            <w:r>
              <w:rPr>
                <w:sz w:val="21"/>
                <w:szCs w:val="21"/>
              </w:rPr>
              <w:t>1</w:t>
            </w:r>
          </w:p>
        </w:tc>
        <w:tc>
          <w:tcPr>
            <w:tcW w:w="1202" w:type="dxa"/>
            <w:noWrap w:val="0"/>
            <w:tcMar>
              <w:left w:w="28" w:type="dxa"/>
              <w:right w:w="28" w:type="dxa"/>
            </w:tcMar>
            <w:vAlign w:val="center"/>
          </w:tcPr>
          <w:p w14:paraId="571C809E">
            <w:pPr>
              <w:snapToGrid w:val="0"/>
              <w:jc w:val="center"/>
              <w:rPr>
                <w:sz w:val="21"/>
                <w:szCs w:val="21"/>
              </w:rPr>
            </w:pPr>
            <w:r>
              <w:rPr>
                <w:sz w:val="21"/>
                <w:szCs w:val="21"/>
              </w:rPr>
              <w:t>备课</w:t>
            </w:r>
          </w:p>
        </w:tc>
        <w:tc>
          <w:tcPr>
            <w:tcW w:w="7221" w:type="dxa"/>
            <w:tcBorders>
              <w:right w:val="single" w:color="auto" w:sz="4" w:space="0"/>
            </w:tcBorders>
            <w:noWrap w:val="0"/>
            <w:vAlign w:val="center"/>
          </w:tcPr>
          <w:p w14:paraId="39CCA481">
            <w:pPr>
              <w:rPr>
                <w:rFonts w:hint="eastAsia" w:eastAsia="宋体"/>
                <w:sz w:val="21"/>
                <w:szCs w:val="21"/>
                <w:lang w:eastAsia="zh-CN"/>
              </w:rPr>
            </w:pPr>
            <w:r>
              <w:rPr>
                <w:rFonts w:hint="eastAsia"/>
                <w:sz w:val="21"/>
                <w:szCs w:val="21"/>
              </w:rPr>
              <w:t>（1）掌握本课程教学大纲内容，严格按照教学大纲要求进行课程教学内容的组织</w:t>
            </w:r>
            <w:r>
              <w:rPr>
                <w:rFonts w:hint="eastAsia"/>
                <w:sz w:val="21"/>
                <w:szCs w:val="21"/>
                <w:lang w:eastAsia="zh-CN"/>
              </w:rPr>
              <w:t>；</w:t>
            </w:r>
          </w:p>
          <w:p w14:paraId="07755B1C">
            <w:pPr>
              <w:rPr>
                <w:rFonts w:hint="eastAsia" w:eastAsia="宋体"/>
                <w:sz w:val="21"/>
                <w:szCs w:val="21"/>
                <w:lang w:eastAsia="zh-CN"/>
              </w:rPr>
            </w:pPr>
            <w:r>
              <w:rPr>
                <w:rFonts w:hint="eastAsia"/>
                <w:sz w:val="21"/>
                <w:szCs w:val="21"/>
              </w:rPr>
              <w:t>（2）熟悉教材各章节，借助相关专业书籍资料，并依据教学大纲编写授课计划，编写每次授课的教案</w:t>
            </w:r>
            <w:r>
              <w:rPr>
                <w:rFonts w:hint="eastAsia"/>
                <w:sz w:val="21"/>
                <w:szCs w:val="21"/>
                <w:lang w:eastAsia="zh-CN"/>
              </w:rPr>
              <w:t>；</w:t>
            </w:r>
          </w:p>
          <w:p w14:paraId="596CD8D1">
            <w:pPr>
              <w:snapToGrid w:val="0"/>
              <w:jc w:val="left"/>
              <w:rPr>
                <w:sz w:val="21"/>
                <w:szCs w:val="21"/>
              </w:rPr>
            </w:pPr>
            <w:r>
              <w:rPr>
                <w:rFonts w:hint="eastAsia"/>
                <w:kern w:val="0"/>
                <w:sz w:val="21"/>
                <w:szCs w:val="21"/>
              </w:rPr>
              <w:t>（3）根据各专题教学内容，构思授课思路、技巧，选择合适的教学方法。</w:t>
            </w:r>
          </w:p>
        </w:tc>
      </w:tr>
      <w:tr w14:paraId="04B8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noWrap w:val="0"/>
            <w:vAlign w:val="center"/>
          </w:tcPr>
          <w:p w14:paraId="7E115EFD">
            <w:pPr>
              <w:snapToGrid w:val="0"/>
              <w:jc w:val="center"/>
              <w:rPr>
                <w:sz w:val="21"/>
                <w:szCs w:val="21"/>
              </w:rPr>
            </w:pPr>
            <w:r>
              <w:rPr>
                <w:sz w:val="21"/>
                <w:szCs w:val="21"/>
              </w:rPr>
              <w:t>2</w:t>
            </w:r>
          </w:p>
        </w:tc>
        <w:tc>
          <w:tcPr>
            <w:tcW w:w="1202" w:type="dxa"/>
            <w:noWrap w:val="0"/>
            <w:tcMar>
              <w:left w:w="28" w:type="dxa"/>
              <w:right w:w="28" w:type="dxa"/>
            </w:tcMar>
            <w:vAlign w:val="center"/>
          </w:tcPr>
          <w:p w14:paraId="30EDC6B1">
            <w:pPr>
              <w:snapToGrid w:val="0"/>
              <w:jc w:val="center"/>
              <w:rPr>
                <w:sz w:val="21"/>
                <w:szCs w:val="21"/>
              </w:rPr>
            </w:pPr>
            <w:r>
              <w:rPr>
                <w:sz w:val="21"/>
                <w:szCs w:val="21"/>
              </w:rPr>
              <w:t>讲授</w:t>
            </w:r>
          </w:p>
        </w:tc>
        <w:tc>
          <w:tcPr>
            <w:tcW w:w="7221" w:type="dxa"/>
            <w:tcBorders>
              <w:right w:val="single" w:color="auto" w:sz="4" w:space="0"/>
            </w:tcBorders>
            <w:noWrap w:val="0"/>
            <w:vAlign w:val="center"/>
          </w:tcPr>
          <w:p w14:paraId="0E2B835D">
            <w:pPr>
              <w:rPr>
                <w:rFonts w:hint="eastAsia" w:eastAsia="宋体"/>
                <w:sz w:val="21"/>
                <w:szCs w:val="21"/>
                <w:lang w:eastAsia="zh-CN"/>
              </w:rPr>
            </w:pPr>
            <w:r>
              <w:rPr>
                <w:rFonts w:hint="eastAsia"/>
                <w:sz w:val="21"/>
                <w:szCs w:val="21"/>
              </w:rPr>
              <w:t>（</w:t>
            </w:r>
            <w:r>
              <w:rPr>
                <w:sz w:val="21"/>
                <w:szCs w:val="21"/>
              </w:rPr>
              <w:t>1</w:t>
            </w:r>
            <w:r>
              <w:rPr>
                <w:rFonts w:hint="eastAsia"/>
                <w:sz w:val="21"/>
                <w:szCs w:val="21"/>
              </w:rPr>
              <w:t>）要点准确、推理正确、条理清晰、重点突出，能够理论联系实际</w:t>
            </w:r>
            <w:r>
              <w:rPr>
                <w:rFonts w:hint="eastAsia"/>
                <w:sz w:val="21"/>
                <w:szCs w:val="21"/>
                <w:lang w:eastAsia="zh-CN"/>
              </w:rPr>
              <w:t>；</w:t>
            </w:r>
          </w:p>
          <w:p w14:paraId="5278A32F">
            <w:pPr>
              <w:rPr>
                <w:rFonts w:hint="eastAsia" w:eastAsia="宋体"/>
                <w:sz w:val="21"/>
                <w:szCs w:val="21"/>
                <w:lang w:eastAsia="zh-CN"/>
              </w:rPr>
            </w:pPr>
            <w:r>
              <w:rPr>
                <w:rFonts w:hint="eastAsia"/>
                <w:sz w:val="21"/>
                <w:szCs w:val="21"/>
              </w:rPr>
              <w:t>（2）采用多种教学方式（如</w:t>
            </w:r>
            <w:r>
              <w:rPr>
                <w:rFonts w:hint="eastAsia"/>
                <w:sz w:val="21"/>
                <w:szCs w:val="21"/>
                <w:lang w:val="en-US" w:eastAsia="zh-CN"/>
              </w:rPr>
              <w:t>启发</w:t>
            </w:r>
            <w:r>
              <w:rPr>
                <w:rFonts w:hint="eastAsia"/>
                <w:sz w:val="21"/>
                <w:szCs w:val="21"/>
              </w:rPr>
              <w:t>式、</w:t>
            </w:r>
            <w:r>
              <w:rPr>
                <w:rFonts w:hint="eastAsia"/>
                <w:sz w:val="21"/>
                <w:szCs w:val="21"/>
                <w:lang w:val="en-US" w:eastAsia="zh-CN"/>
              </w:rPr>
              <w:t>讨论</w:t>
            </w:r>
            <w:r>
              <w:rPr>
                <w:rFonts w:hint="eastAsia"/>
                <w:sz w:val="21"/>
                <w:szCs w:val="21"/>
              </w:rPr>
              <w:t>式、</w:t>
            </w:r>
            <w:r>
              <w:rPr>
                <w:rFonts w:hint="eastAsia"/>
                <w:sz w:val="21"/>
                <w:szCs w:val="21"/>
                <w:lang w:val="en-US" w:eastAsia="zh-CN"/>
              </w:rPr>
              <w:t>合作式、项目式</w:t>
            </w:r>
            <w:r>
              <w:rPr>
                <w:rFonts w:hint="eastAsia"/>
                <w:sz w:val="21"/>
                <w:szCs w:val="21"/>
              </w:rPr>
              <w:t>、</w:t>
            </w:r>
            <w:r>
              <w:rPr>
                <w:rFonts w:hint="eastAsia"/>
                <w:sz w:val="21"/>
                <w:szCs w:val="21"/>
                <w:lang w:val="en-US" w:eastAsia="zh-CN"/>
              </w:rPr>
              <w:t>任务驱动</w:t>
            </w:r>
            <w:r>
              <w:rPr>
                <w:rFonts w:hint="eastAsia"/>
                <w:sz w:val="21"/>
                <w:szCs w:val="21"/>
              </w:rPr>
              <w:t>教学等），培养学生的</w:t>
            </w:r>
            <w:r>
              <w:rPr>
                <w:rFonts w:hint="eastAsia"/>
                <w:sz w:val="21"/>
                <w:szCs w:val="21"/>
                <w:lang w:val="en-US" w:eastAsia="zh-CN"/>
              </w:rPr>
              <w:t>语言综合应用能力</w:t>
            </w:r>
            <w:r>
              <w:rPr>
                <w:rFonts w:hint="eastAsia"/>
                <w:sz w:val="21"/>
                <w:szCs w:val="21"/>
              </w:rPr>
              <w:t>，注重培养学生发现、分析和解决问题的能力</w:t>
            </w:r>
            <w:r>
              <w:rPr>
                <w:rFonts w:hint="eastAsia"/>
                <w:sz w:val="21"/>
                <w:szCs w:val="21"/>
                <w:lang w:eastAsia="zh-CN"/>
              </w:rPr>
              <w:t>；</w:t>
            </w:r>
          </w:p>
          <w:p w14:paraId="4EC6F6AC">
            <w:pPr>
              <w:rPr>
                <w:rFonts w:hint="eastAsia" w:eastAsia="宋体"/>
                <w:sz w:val="21"/>
                <w:szCs w:val="21"/>
                <w:lang w:eastAsia="zh-CN"/>
              </w:rPr>
            </w:pPr>
            <w:r>
              <w:rPr>
                <w:rFonts w:hint="eastAsia"/>
                <w:sz w:val="21"/>
                <w:szCs w:val="21"/>
              </w:rPr>
              <w:t>（3）能够采用现代信息技术辅助教学</w:t>
            </w:r>
            <w:r>
              <w:rPr>
                <w:rFonts w:hint="eastAsia"/>
                <w:sz w:val="21"/>
                <w:szCs w:val="21"/>
                <w:lang w:eastAsia="zh-CN"/>
              </w:rPr>
              <w:t>；</w:t>
            </w:r>
          </w:p>
          <w:p w14:paraId="026E95A9">
            <w:pPr>
              <w:snapToGrid w:val="0"/>
              <w:rPr>
                <w:sz w:val="21"/>
                <w:szCs w:val="21"/>
              </w:rPr>
            </w:pPr>
            <w:r>
              <w:rPr>
                <w:rFonts w:hint="eastAsia"/>
                <w:sz w:val="21"/>
                <w:szCs w:val="21"/>
              </w:rPr>
              <w:t>（4）表达方式</w:t>
            </w:r>
            <w:r>
              <w:rPr>
                <w:rFonts w:hint="eastAsia"/>
                <w:sz w:val="21"/>
                <w:szCs w:val="21"/>
                <w:lang w:eastAsia="zh-CN"/>
              </w:rPr>
              <w:t>应</w:t>
            </w:r>
            <w:r>
              <w:rPr>
                <w:rFonts w:hint="eastAsia"/>
                <w:sz w:val="21"/>
                <w:szCs w:val="21"/>
              </w:rPr>
              <w:t>便于学生理解、接受，力求形象生动，使学生在掌握知识的过程中，保持较为浓厚的兴趣。</w:t>
            </w:r>
          </w:p>
        </w:tc>
      </w:tr>
      <w:tr w14:paraId="7ED3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noWrap w:val="0"/>
            <w:vAlign w:val="center"/>
          </w:tcPr>
          <w:p w14:paraId="0E243691">
            <w:pPr>
              <w:snapToGrid w:val="0"/>
              <w:jc w:val="center"/>
              <w:rPr>
                <w:sz w:val="21"/>
                <w:szCs w:val="21"/>
              </w:rPr>
            </w:pPr>
            <w:r>
              <w:rPr>
                <w:sz w:val="21"/>
                <w:szCs w:val="21"/>
              </w:rPr>
              <w:t>3</w:t>
            </w:r>
          </w:p>
        </w:tc>
        <w:tc>
          <w:tcPr>
            <w:tcW w:w="1202" w:type="dxa"/>
            <w:noWrap w:val="0"/>
            <w:tcMar>
              <w:left w:w="28" w:type="dxa"/>
              <w:right w:w="28" w:type="dxa"/>
            </w:tcMar>
            <w:vAlign w:val="center"/>
          </w:tcPr>
          <w:p w14:paraId="27425DDE">
            <w:pPr>
              <w:snapToGrid w:val="0"/>
              <w:jc w:val="center"/>
              <w:rPr>
                <w:sz w:val="21"/>
                <w:szCs w:val="21"/>
              </w:rPr>
            </w:pPr>
            <w:r>
              <w:rPr>
                <w:rFonts w:hint="eastAsia"/>
                <w:sz w:val="21"/>
                <w:szCs w:val="21"/>
              </w:rPr>
              <w:t>过程性考核</w:t>
            </w:r>
          </w:p>
        </w:tc>
        <w:tc>
          <w:tcPr>
            <w:tcW w:w="7221" w:type="dxa"/>
            <w:tcBorders>
              <w:right w:val="single" w:color="auto" w:sz="4" w:space="0"/>
            </w:tcBorders>
            <w:noWrap w:val="0"/>
            <w:vAlign w:val="center"/>
          </w:tcPr>
          <w:p w14:paraId="6E93E5DD">
            <w:pPr>
              <w:rPr>
                <w:rFonts w:hint="eastAsia" w:eastAsia="宋体"/>
                <w:sz w:val="21"/>
                <w:szCs w:val="21"/>
                <w:lang w:eastAsia="zh-CN"/>
              </w:rPr>
            </w:pPr>
            <w:r>
              <w:rPr>
                <w:rFonts w:hint="eastAsia"/>
                <w:sz w:val="21"/>
                <w:szCs w:val="21"/>
              </w:rPr>
              <w:t>（</w:t>
            </w:r>
            <w:r>
              <w:rPr>
                <w:sz w:val="21"/>
                <w:szCs w:val="21"/>
              </w:rPr>
              <w:t>1</w:t>
            </w:r>
            <w:r>
              <w:rPr>
                <w:rFonts w:hint="eastAsia"/>
                <w:sz w:val="21"/>
                <w:szCs w:val="21"/>
              </w:rPr>
              <w:t>）平时表现：教师应抽查学生的到课情况，通过提问、现场交流等方式随时关注学生的课堂学习状况，及时提醒并做好记录</w:t>
            </w:r>
            <w:r>
              <w:rPr>
                <w:rFonts w:hint="eastAsia"/>
                <w:sz w:val="21"/>
                <w:szCs w:val="21"/>
                <w:lang w:eastAsia="zh-CN"/>
              </w:rPr>
              <w:t>；</w:t>
            </w:r>
          </w:p>
          <w:p w14:paraId="59853D1C">
            <w:pPr>
              <w:rPr>
                <w:sz w:val="21"/>
                <w:szCs w:val="21"/>
              </w:rPr>
            </w:pPr>
            <w:r>
              <w:rPr>
                <w:rFonts w:hint="eastAsia"/>
                <w:sz w:val="21"/>
                <w:szCs w:val="21"/>
              </w:rPr>
              <w:t>（2）作业</w:t>
            </w:r>
            <w:r>
              <w:rPr>
                <w:rFonts w:hint="eastAsia"/>
                <w:sz w:val="21"/>
                <w:szCs w:val="21"/>
                <w:lang w:eastAsia="zh-CN"/>
              </w:rPr>
              <w:t>、</w:t>
            </w:r>
            <w:r>
              <w:rPr>
                <w:rFonts w:hint="eastAsia"/>
                <w:sz w:val="21"/>
                <w:szCs w:val="21"/>
                <w:lang w:val="en-US" w:eastAsia="zh-CN"/>
              </w:rPr>
              <w:t>测试</w:t>
            </w:r>
            <w:r>
              <w:rPr>
                <w:rFonts w:hint="eastAsia"/>
                <w:sz w:val="21"/>
                <w:szCs w:val="21"/>
              </w:rPr>
              <w:t>：学生必须完成规定数量的课后作业</w:t>
            </w:r>
            <w:r>
              <w:rPr>
                <w:rFonts w:hint="eastAsia"/>
                <w:sz w:val="21"/>
                <w:szCs w:val="21"/>
                <w:lang w:val="en-US" w:eastAsia="zh-CN"/>
              </w:rPr>
              <w:t>和单元测试</w:t>
            </w:r>
            <w:r>
              <w:rPr>
                <w:rFonts w:hint="eastAsia"/>
                <w:sz w:val="21"/>
                <w:szCs w:val="21"/>
              </w:rPr>
              <w:t>，按时按量完成，不缺交、不抄袭。教师要及时</w:t>
            </w:r>
            <w:r>
              <w:rPr>
                <w:rFonts w:hint="eastAsia"/>
                <w:sz w:val="21"/>
                <w:szCs w:val="21"/>
                <w:lang w:val="en-US" w:eastAsia="zh-CN"/>
              </w:rPr>
              <w:t>批改、反馈、</w:t>
            </w:r>
            <w:r>
              <w:rPr>
                <w:rFonts w:hint="eastAsia"/>
                <w:sz w:val="21"/>
                <w:szCs w:val="21"/>
              </w:rPr>
              <w:t>讲评</w:t>
            </w:r>
            <w:r>
              <w:rPr>
                <w:rFonts w:hint="eastAsia"/>
                <w:sz w:val="21"/>
                <w:szCs w:val="21"/>
                <w:lang w:val="en-US" w:eastAsia="zh-CN"/>
              </w:rPr>
              <w:t>并做好记录；</w:t>
            </w:r>
          </w:p>
          <w:p w14:paraId="5F2ED70B">
            <w:pPr>
              <w:snapToGrid w:val="0"/>
              <w:rPr>
                <w:rFonts w:hint="eastAsia"/>
                <w:sz w:val="21"/>
                <w:szCs w:val="21"/>
              </w:rPr>
            </w:pPr>
            <w:r>
              <w:rPr>
                <w:rFonts w:hint="eastAsia"/>
                <w:sz w:val="21"/>
                <w:szCs w:val="21"/>
              </w:rPr>
              <w:t>（3）</w:t>
            </w:r>
            <w:r>
              <w:rPr>
                <w:rFonts w:hint="eastAsia"/>
                <w:sz w:val="21"/>
                <w:szCs w:val="21"/>
                <w:lang w:val="en-US" w:eastAsia="zh-CN"/>
              </w:rPr>
              <w:t>自主</w:t>
            </w:r>
            <w:r>
              <w:rPr>
                <w:rFonts w:hint="eastAsia"/>
                <w:sz w:val="21"/>
                <w:szCs w:val="21"/>
              </w:rPr>
              <w:t>学习：学生在线上</w:t>
            </w:r>
            <w:r>
              <w:rPr>
                <w:rFonts w:hint="eastAsia"/>
                <w:sz w:val="21"/>
                <w:szCs w:val="21"/>
                <w:lang w:val="en-US" w:eastAsia="zh-CN"/>
              </w:rPr>
              <w:t>自主</w:t>
            </w:r>
            <w:r>
              <w:rPr>
                <w:rFonts w:hint="eastAsia"/>
                <w:sz w:val="21"/>
                <w:szCs w:val="21"/>
              </w:rPr>
              <w:t>学习、</w:t>
            </w:r>
            <w:r>
              <w:rPr>
                <w:rFonts w:hint="eastAsia"/>
                <w:sz w:val="21"/>
                <w:szCs w:val="21"/>
                <w:lang w:val="en-US" w:eastAsia="zh-CN"/>
              </w:rPr>
              <w:t>参与</w:t>
            </w:r>
            <w:r>
              <w:rPr>
                <w:rFonts w:hint="eastAsia"/>
                <w:sz w:val="21"/>
                <w:szCs w:val="21"/>
              </w:rPr>
              <w:t>互动讨论。教师要及时了解学生的</w:t>
            </w:r>
            <w:r>
              <w:rPr>
                <w:rFonts w:hint="eastAsia"/>
                <w:sz w:val="21"/>
                <w:szCs w:val="21"/>
                <w:lang w:val="en-US" w:eastAsia="zh-CN"/>
              </w:rPr>
              <w:t>线上自主</w:t>
            </w:r>
            <w:r>
              <w:rPr>
                <w:rFonts w:hint="eastAsia"/>
                <w:sz w:val="21"/>
                <w:szCs w:val="21"/>
              </w:rPr>
              <w:t>学习情况并督促学生及时完成</w:t>
            </w:r>
            <w:r>
              <w:rPr>
                <w:rFonts w:hint="eastAsia"/>
                <w:sz w:val="21"/>
                <w:szCs w:val="21"/>
                <w:lang w:val="en-US" w:eastAsia="zh-CN"/>
              </w:rPr>
              <w:t>单元任务点；</w:t>
            </w:r>
          </w:p>
          <w:p w14:paraId="4F424663">
            <w:pPr>
              <w:snapToGrid w:val="0"/>
              <w:rPr>
                <w:color w:val="FF0000"/>
                <w:sz w:val="21"/>
                <w:szCs w:val="21"/>
              </w:rPr>
            </w:pPr>
            <w:r>
              <w:rPr>
                <w:rFonts w:hint="eastAsia"/>
                <w:sz w:val="21"/>
                <w:szCs w:val="21"/>
              </w:rPr>
              <w:t>（</w:t>
            </w:r>
            <w:r>
              <w:rPr>
                <w:rFonts w:hint="eastAsia"/>
                <w:sz w:val="21"/>
                <w:szCs w:val="21"/>
                <w:lang w:val="en-US" w:eastAsia="zh-CN"/>
              </w:rPr>
              <w:t>4</w:t>
            </w:r>
            <w:r>
              <w:rPr>
                <w:rFonts w:hint="eastAsia"/>
                <w:sz w:val="21"/>
                <w:szCs w:val="21"/>
              </w:rPr>
              <w:t>）</w:t>
            </w:r>
            <w:r>
              <w:rPr>
                <w:rFonts w:hint="eastAsia"/>
                <w:sz w:val="21"/>
                <w:szCs w:val="21"/>
                <w:lang w:val="en-US" w:eastAsia="zh-CN"/>
              </w:rPr>
              <w:t>第二课堂</w:t>
            </w:r>
            <w:r>
              <w:rPr>
                <w:rFonts w:hint="eastAsia"/>
                <w:sz w:val="21"/>
                <w:szCs w:val="21"/>
              </w:rPr>
              <w:t>：为了培养学生综合运用所学知识的能力和创新精神，</w:t>
            </w:r>
            <w:r>
              <w:rPr>
                <w:rFonts w:hint="eastAsia"/>
                <w:sz w:val="21"/>
                <w:szCs w:val="21"/>
                <w:lang w:eastAsia="zh-CN"/>
              </w:rPr>
              <w:t>教师应</w:t>
            </w:r>
            <w:r>
              <w:rPr>
                <w:rFonts w:hint="eastAsia"/>
                <w:sz w:val="21"/>
                <w:szCs w:val="21"/>
                <w:lang w:val="en-US" w:eastAsia="zh-CN"/>
              </w:rPr>
              <w:t>组织、指导学生积极参与各级各类</w:t>
            </w:r>
            <w:r>
              <w:rPr>
                <w:rFonts w:hint="eastAsia"/>
                <w:sz w:val="21"/>
                <w:szCs w:val="21"/>
              </w:rPr>
              <w:t>英语竞赛。</w:t>
            </w:r>
          </w:p>
        </w:tc>
      </w:tr>
      <w:tr w14:paraId="0A68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noWrap w:val="0"/>
            <w:vAlign w:val="center"/>
          </w:tcPr>
          <w:p w14:paraId="0803B14D">
            <w:pPr>
              <w:snapToGrid w:val="0"/>
              <w:jc w:val="center"/>
              <w:rPr>
                <w:rFonts w:hint="eastAsia" w:eastAsia="宋体"/>
                <w:sz w:val="21"/>
                <w:szCs w:val="21"/>
                <w:lang w:val="en-US" w:eastAsia="zh-CN"/>
              </w:rPr>
            </w:pPr>
            <w:r>
              <w:rPr>
                <w:rFonts w:hint="eastAsia"/>
                <w:sz w:val="21"/>
                <w:szCs w:val="21"/>
                <w:lang w:val="en-US" w:eastAsia="zh-CN"/>
              </w:rPr>
              <w:t>4</w:t>
            </w:r>
          </w:p>
        </w:tc>
        <w:tc>
          <w:tcPr>
            <w:tcW w:w="1202" w:type="dxa"/>
            <w:noWrap w:val="0"/>
            <w:tcMar>
              <w:left w:w="28" w:type="dxa"/>
              <w:right w:w="28" w:type="dxa"/>
            </w:tcMar>
            <w:vAlign w:val="center"/>
          </w:tcPr>
          <w:p w14:paraId="6EC4B8C6">
            <w:pPr>
              <w:snapToGrid w:val="0"/>
              <w:jc w:val="center"/>
              <w:rPr>
                <w:rFonts w:hint="default" w:eastAsia="宋体"/>
                <w:sz w:val="21"/>
                <w:szCs w:val="21"/>
                <w:lang w:val="en-US" w:eastAsia="zh-CN"/>
              </w:rPr>
            </w:pPr>
            <w:r>
              <w:rPr>
                <w:rFonts w:hint="eastAsia"/>
                <w:sz w:val="21"/>
                <w:szCs w:val="21"/>
                <w:lang w:val="en-US" w:eastAsia="zh-CN"/>
              </w:rPr>
              <w:t>课内实践</w:t>
            </w:r>
          </w:p>
        </w:tc>
        <w:tc>
          <w:tcPr>
            <w:tcW w:w="7221" w:type="dxa"/>
            <w:tcBorders>
              <w:right w:val="single" w:color="auto" w:sz="4" w:space="0"/>
            </w:tcBorders>
            <w:noWrap w:val="0"/>
            <w:vAlign w:val="center"/>
          </w:tcPr>
          <w:p w14:paraId="42F7E233">
            <w:pPr>
              <w:snapToGrid w:val="0"/>
              <w:rPr>
                <w:rFonts w:hint="eastAsia"/>
                <w:sz w:val="21"/>
                <w:szCs w:val="21"/>
              </w:rPr>
            </w:pPr>
            <w:r>
              <w:rPr>
                <w:rFonts w:hint="default"/>
                <w:sz w:val="21"/>
                <w:szCs w:val="21"/>
              </w:rPr>
              <w:t>培养学生严谨的学术语言能力、批判性学术思维及符合学术规范的书面交流能力，确保教学内容与学科专业需求深度对接。</w:t>
            </w:r>
          </w:p>
        </w:tc>
      </w:tr>
      <w:tr w14:paraId="47CF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noWrap w:val="0"/>
            <w:vAlign w:val="center"/>
          </w:tcPr>
          <w:p w14:paraId="4036E39B">
            <w:pPr>
              <w:snapToGrid w:val="0"/>
              <w:jc w:val="center"/>
              <w:rPr>
                <w:rFonts w:hint="eastAsia" w:eastAsia="宋体"/>
                <w:sz w:val="21"/>
                <w:szCs w:val="21"/>
                <w:lang w:val="en-US" w:eastAsia="zh-CN"/>
              </w:rPr>
            </w:pPr>
            <w:r>
              <w:rPr>
                <w:rFonts w:hint="eastAsia"/>
                <w:sz w:val="21"/>
                <w:szCs w:val="21"/>
                <w:lang w:val="en-US" w:eastAsia="zh-CN"/>
              </w:rPr>
              <w:t>5</w:t>
            </w:r>
          </w:p>
        </w:tc>
        <w:tc>
          <w:tcPr>
            <w:tcW w:w="1202" w:type="dxa"/>
            <w:noWrap w:val="0"/>
            <w:tcMar>
              <w:left w:w="28" w:type="dxa"/>
              <w:right w:w="28" w:type="dxa"/>
            </w:tcMar>
            <w:vAlign w:val="center"/>
          </w:tcPr>
          <w:p w14:paraId="50F75A59">
            <w:pPr>
              <w:snapToGrid w:val="0"/>
              <w:jc w:val="center"/>
              <w:rPr>
                <w:sz w:val="21"/>
                <w:szCs w:val="21"/>
              </w:rPr>
            </w:pPr>
            <w:r>
              <w:rPr>
                <w:sz w:val="21"/>
                <w:szCs w:val="21"/>
              </w:rPr>
              <w:t>课外答疑</w:t>
            </w:r>
          </w:p>
        </w:tc>
        <w:tc>
          <w:tcPr>
            <w:tcW w:w="7221" w:type="dxa"/>
            <w:tcBorders>
              <w:right w:val="single" w:color="auto" w:sz="4" w:space="0"/>
            </w:tcBorders>
            <w:noWrap w:val="0"/>
            <w:vAlign w:val="center"/>
          </w:tcPr>
          <w:p w14:paraId="167D8A13">
            <w:pPr>
              <w:snapToGrid w:val="0"/>
              <w:rPr>
                <w:sz w:val="21"/>
                <w:szCs w:val="21"/>
              </w:rPr>
            </w:pPr>
            <w:r>
              <w:rPr>
                <w:rFonts w:hint="eastAsia"/>
                <w:sz w:val="21"/>
                <w:szCs w:val="21"/>
              </w:rPr>
              <w:t>为全面了解学生的学习情况，帮助学生进一步理解和消化课堂上所学知识、改进学习方法和思维方式，培养其独立思考问题的能力，建议任课教师合理安排时间进行课外答疑与辅导工作。</w:t>
            </w:r>
          </w:p>
        </w:tc>
      </w:tr>
      <w:tr w14:paraId="294D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noWrap w:val="0"/>
            <w:vAlign w:val="center"/>
          </w:tcPr>
          <w:p w14:paraId="5331C04A">
            <w:pPr>
              <w:snapToGrid w:val="0"/>
              <w:jc w:val="center"/>
              <w:rPr>
                <w:rFonts w:hint="eastAsia" w:eastAsia="宋体"/>
                <w:sz w:val="21"/>
                <w:szCs w:val="21"/>
                <w:lang w:val="en-US" w:eastAsia="zh-CN"/>
              </w:rPr>
            </w:pPr>
            <w:r>
              <w:rPr>
                <w:rFonts w:hint="eastAsia"/>
                <w:sz w:val="21"/>
                <w:szCs w:val="21"/>
                <w:lang w:val="en-US" w:eastAsia="zh-CN"/>
              </w:rPr>
              <w:t>6</w:t>
            </w:r>
          </w:p>
        </w:tc>
        <w:tc>
          <w:tcPr>
            <w:tcW w:w="1202" w:type="dxa"/>
            <w:noWrap w:val="0"/>
            <w:tcMar>
              <w:left w:w="28" w:type="dxa"/>
              <w:right w:w="28" w:type="dxa"/>
            </w:tcMar>
            <w:vAlign w:val="center"/>
          </w:tcPr>
          <w:p w14:paraId="7A5BE780">
            <w:pPr>
              <w:snapToGrid w:val="0"/>
              <w:jc w:val="center"/>
              <w:rPr>
                <w:sz w:val="21"/>
                <w:szCs w:val="21"/>
              </w:rPr>
            </w:pPr>
            <w:r>
              <w:rPr>
                <w:rFonts w:hint="eastAsia"/>
                <w:sz w:val="21"/>
                <w:szCs w:val="21"/>
              </w:rPr>
              <w:t>期末考试</w:t>
            </w:r>
          </w:p>
        </w:tc>
        <w:tc>
          <w:tcPr>
            <w:tcW w:w="7221" w:type="dxa"/>
            <w:tcBorders>
              <w:right w:val="single" w:color="auto" w:sz="4" w:space="0"/>
            </w:tcBorders>
            <w:noWrap w:val="0"/>
            <w:vAlign w:val="center"/>
          </w:tcPr>
          <w:p w14:paraId="03AA18F2">
            <w:pPr>
              <w:snapToGrid w:val="0"/>
              <w:rPr>
                <w:rFonts w:hint="eastAsia" w:eastAsia="宋体"/>
                <w:color w:val="000000"/>
                <w:sz w:val="21"/>
                <w:szCs w:val="21"/>
                <w:lang w:eastAsia="zh-CN"/>
              </w:rPr>
            </w:pPr>
            <w:r>
              <w:rPr>
                <w:rFonts w:hint="eastAsia"/>
                <w:color w:val="000000"/>
                <w:sz w:val="21"/>
                <w:szCs w:val="21"/>
                <w:lang w:eastAsia="zh-CN"/>
              </w:rPr>
              <w:t>（</w:t>
            </w:r>
            <w:r>
              <w:rPr>
                <w:rFonts w:hint="eastAsia"/>
                <w:color w:val="000000"/>
                <w:sz w:val="21"/>
                <w:szCs w:val="21"/>
                <w:lang w:val="en-US" w:eastAsia="zh-CN"/>
              </w:rPr>
              <w:t>1</w:t>
            </w:r>
            <w:r>
              <w:rPr>
                <w:rFonts w:hint="eastAsia"/>
                <w:color w:val="000000"/>
                <w:sz w:val="21"/>
                <w:szCs w:val="21"/>
                <w:lang w:eastAsia="zh-CN"/>
              </w:rPr>
              <w:t>）</w:t>
            </w:r>
            <w:r>
              <w:rPr>
                <w:rFonts w:hint="eastAsia"/>
                <w:sz w:val="21"/>
                <w:szCs w:val="21"/>
              </w:rPr>
              <w:t>本课程期末考核的方式为</w:t>
            </w:r>
            <w:r>
              <w:rPr>
                <w:rFonts w:hint="eastAsia"/>
                <w:sz w:val="21"/>
                <w:szCs w:val="21"/>
                <w:lang w:val="en-US" w:eastAsia="zh-CN"/>
              </w:rPr>
              <w:t>闭</w:t>
            </w:r>
            <w:r>
              <w:rPr>
                <w:rFonts w:hint="eastAsia"/>
                <w:sz w:val="21"/>
                <w:szCs w:val="21"/>
              </w:rPr>
              <w:t>卷考试，采取教考分离方式</w:t>
            </w:r>
            <w:r>
              <w:rPr>
                <w:rFonts w:hint="eastAsia"/>
                <w:sz w:val="21"/>
                <w:szCs w:val="21"/>
                <w:lang w:eastAsia="zh-CN"/>
              </w:rPr>
              <w:t>。</w:t>
            </w:r>
            <w:r>
              <w:rPr>
                <w:rFonts w:hint="eastAsia"/>
                <w:color w:val="000000"/>
                <w:sz w:val="21"/>
                <w:szCs w:val="21"/>
              </w:rPr>
              <w:t>总评成绩的评定见课程评分方案</w:t>
            </w:r>
            <w:r>
              <w:rPr>
                <w:rFonts w:hint="eastAsia"/>
                <w:color w:val="000000"/>
                <w:sz w:val="21"/>
                <w:szCs w:val="21"/>
                <w:lang w:eastAsia="zh-CN"/>
              </w:rPr>
              <w:t>；</w:t>
            </w:r>
          </w:p>
          <w:p w14:paraId="042BE71D">
            <w:pPr>
              <w:snapToGrid w:val="0"/>
              <w:rPr>
                <w:rFonts w:hint="eastAsia"/>
                <w:sz w:val="21"/>
                <w:szCs w:val="21"/>
              </w:rPr>
            </w:pPr>
            <w:r>
              <w:rPr>
                <w:rFonts w:hint="eastAsia"/>
                <w:color w:val="000000"/>
                <w:sz w:val="21"/>
                <w:szCs w:val="21"/>
                <w:lang w:eastAsia="zh-CN"/>
              </w:rPr>
              <w:t>（</w:t>
            </w:r>
            <w:r>
              <w:rPr>
                <w:rFonts w:hint="eastAsia"/>
                <w:color w:val="000000"/>
                <w:sz w:val="21"/>
                <w:szCs w:val="21"/>
                <w:lang w:val="en-US" w:eastAsia="zh-CN"/>
              </w:rPr>
              <w:t>2</w:t>
            </w:r>
            <w:r>
              <w:rPr>
                <w:rFonts w:hint="eastAsia"/>
                <w:color w:val="000000"/>
                <w:sz w:val="21"/>
                <w:szCs w:val="21"/>
                <w:lang w:eastAsia="zh-CN"/>
              </w:rPr>
              <w:t>）</w:t>
            </w:r>
            <w:r>
              <w:rPr>
                <w:rFonts w:hint="eastAsia"/>
                <w:color w:val="000000"/>
                <w:sz w:val="21"/>
                <w:szCs w:val="21"/>
                <w:lang w:val="en-US" w:eastAsia="zh-CN"/>
              </w:rPr>
              <w:t>考试可选题型：词汇与结构、听力理解、口语表达、翻译、阅读理解、书面表达等。</w:t>
            </w:r>
          </w:p>
        </w:tc>
      </w:tr>
    </w:tbl>
    <w:p w14:paraId="7F0593B2">
      <w:pPr>
        <w:snapToGrid w:val="0"/>
        <w:spacing w:line="360" w:lineRule="auto"/>
        <w:ind w:firstLine="472" w:firstLineChars="196"/>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六</w:t>
      </w:r>
      <w:r>
        <w:rPr>
          <w:rFonts w:hint="eastAsia" w:ascii="Times New Roman" w:hAnsi="Times New Roman" w:eastAsia="宋体" w:cs="Times New Roman"/>
          <w:b/>
          <w:sz w:val="24"/>
          <w:szCs w:val="24"/>
        </w:rPr>
        <w:t>、课程考核</w:t>
      </w:r>
    </w:p>
    <w:p w14:paraId="356F85BD">
      <w:pPr>
        <w:spacing w:line="360" w:lineRule="auto"/>
        <w:ind w:firstLine="420" w:firstLineChars="200"/>
        <w:rPr>
          <w:sz w:val="21"/>
          <w:szCs w:val="21"/>
        </w:rPr>
      </w:pPr>
      <w:r>
        <w:rPr>
          <w:rFonts w:hint="eastAsia"/>
          <w:sz w:val="21"/>
          <w:szCs w:val="21"/>
        </w:rPr>
        <w:t>（一）</w:t>
      </w:r>
      <w:r>
        <w:rPr>
          <w:sz w:val="21"/>
          <w:szCs w:val="21"/>
        </w:rPr>
        <w:t>课程考核</w:t>
      </w:r>
      <w:r>
        <w:rPr>
          <w:rFonts w:hint="eastAsia"/>
          <w:sz w:val="21"/>
          <w:szCs w:val="21"/>
        </w:rPr>
        <w:t>方式</w:t>
      </w:r>
    </w:p>
    <w:p w14:paraId="2358E244">
      <w:pPr>
        <w:spacing w:line="360" w:lineRule="auto"/>
        <w:ind w:firstLine="420" w:firstLineChars="200"/>
        <w:rPr>
          <w:rFonts w:hint="eastAsia"/>
          <w:sz w:val="21"/>
          <w:szCs w:val="21"/>
        </w:rPr>
      </w:pPr>
      <w:r>
        <w:rPr>
          <w:rFonts w:hint="eastAsia"/>
          <w:sz w:val="21"/>
          <w:szCs w:val="21"/>
        </w:rPr>
        <w:t>课程考核方式包括</w:t>
      </w:r>
      <w:r>
        <w:rPr>
          <w:rFonts w:hint="eastAsia"/>
          <w:sz w:val="21"/>
          <w:szCs w:val="21"/>
          <w:lang w:val="en-US" w:eastAsia="zh-CN"/>
        </w:rPr>
        <w:t>期末</w:t>
      </w:r>
      <w:r>
        <w:rPr>
          <w:rFonts w:hint="eastAsia"/>
          <w:sz w:val="21"/>
          <w:szCs w:val="21"/>
        </w:rPr>
        <w:t>考核、平时情况考核</w:t>
      </w:r>
      <w:r>
        <w:rPr>
          <w:rFonts w:hint="eastAsia"/>
          <w:sz w:val="21"/>
          <w:szCs w:val="21"/>
          <w:lang w:val="en-US" w:eastAsia="zh-CN"/>
        </w:rPr>
        <w:t>和实践项目考核</w:t>
      </w:r>
      <w:r>
        <w:rPr>
          <w:rFonts w:hint="eastAsia"/>
          <w:sz w:val="21"/>
          <w:szCs w:val="21"/>
        </w:rPr>
        <w:t>等。</w:t>
      </w:r>
      <w:r>
        <w:rPr>
          <w:rFonts w:hint="eastAsia"/>
          <w:sz w:val="21"/>
          <w:szCs w:val="21"/>
          <w:lang w:val="en-US" w:eastAsia="zh-CN"/>
        </w:rPr>
        <w:t>期末</w:t>
      </w:r>
      <w:r>
        <w:rPr>
          <w:rFonts w:hint="eastAsia"/>
          <w:sz w:val="21"/>
          <w:szCs w:val="21"/>
        </w:rPr>
        <w:t>考核采用机考（闭卷）形式。</w:t>
      </w:r>
    </w:p>
    <w:p w14:paraId="2E7C5CEF">
      <w:pPr>
        <w:spacing w:line="360" w:lineRule="auto"/>
        <w:ind w:firstLine="420" w:firstLineChars="200"/>
        <w:rPr>
          <w:sz w:val="21"/>
          <w:szCs w:val="21"/>
        </w:rPr>
      </w:pPr>
      <w:r>
        <w:rPr>
          <w:rFonts w:hint="eastAsia"/>
          <w:sz w:val="21"/>
          <w:szCs w:val="21"/>
        </w:rPr>
        <w:t>（二）总评成绩评定方法</w:t>
      </w:r>
    </w:p>
    <w:p w14:paraId="11B4524C">
      <w:pPr>
        <w:spacing w:line="360" w:lineRule="auto"/>
        <w:ind w:firstLine="420" w:firstLineChars="200"/>
        <w:rPr>
          <w:rFonts w:hint="eastAsia" w:eastAsia="宋体"/>
          <w:sz w:val="21"/>
          <w:szCs w:val="21"/>
          <w:lang w:eastAsia="zh-CN"/>
        </w:rPr>
      </w:pPr>
      <w:r>
        <w:rPr>
          <w:rFonts w:hint="eastAsia"/>
          <w:sz w:val="21"/>
          <w:szCs w:val="21"/>
        </w:rPr>
        <w:t>课程总评成绩=平时成绩×</w:t>
      </w:r>
      <w:r>
        <w:rPr>
          <w:rFonts w:hint="eastAsia"/>
          <w:sz w:val="21"/>
          <w:szCs w:val="21"/>
          <w:lang w:val="en-US" w:eastAsia="zh-CN"/>
        </w:rPr>
        <w:t>4</w:t>
      </w:r>
      <w:r>
        <w:rPr>
          <w:rFonts w:hint="eastAsia"/>
          <w:sz w:val="21"/>
          <w:szCs w:val="21"/>
        </w:rPr>
        <w:t>0%+</w:t>
      </w:r>
      <w:r>
        <w:rPr>
          <w:rFonts w:hint="eastAsia"/>
          <w:sz w:val="21"/>
          <w:szCs w:val="21"/>
          <w:lang w:val="en-US" w:eastAsia="zh-CN"/>
        </w:rPr>
        <w:t>实践成绩</w:t>
      </w:r>
      <w:r>
        <w:rPr>
          <w:rFonts w:hint="eastAsia"/>
          <w:sz w:val="21"/>
          <w:szCs w:val="21"/>
        </w:rPr>
        <w:t>×</w:t>
      </w:r>
      <w:r>
        <w:rPr>
          <w:rFonts w:hint="eastAsia"/>
          <w:sz w:val="21"/>
          <w:szCs w:val="21"/>
          <w:lang w:val="en-US" w:eastAsia="zh-CN"/>
        </w:rPr>
        <w:t>1</w:t>
      </w:r>
      <w:r>
        <w:rPr>
          <w:rFonts w:hint="eastAsia"/>
          <w:sz w:val="21"/>
          <w:szCs w:val="21"/>
        </w:rPr>
        <w:t>0%</w:t>
      </w:r>
      <w:r>
        <w:rPr>
          <w:rFonts w:hint="eastAsia"/>
          <w:sz w:val="21"/>
          <w:szCs w:val="21"/>
          <w:lang w:val="en-US" w:eastAsia="zh-CN"/>
        </w:rPr>
        <w:t>+期末</w:t>
      </w:r>
      <w:r>
        <w:rPr>
          <w:rFonts w:hint="eastAsia"/>
          <w:sz w:val="21"/>
          <w:szCs w:val="21"/>
        </w:rPr>
        <w:t>成绩×</w:t>
      </w:r>
      <w:r>
        <w:rPr>
          <w:rFonts w:hint="eastAsia"/>
          <w:sz w:val="21"/>
          <w:szCs w:val="21"/>
          <w:lang w:val="en-US" w:eastAsia="zh-CN"/>
        </w:rPr>
        <w:t>5</w:t>
      </w:r>
      <w:r>
        <w:rPr>
          <w:rFonts w:hint="eastAsia"/>
          <w:sz w:val="21"/>
          <w:szCs w:val="21"/>
        </w:rPr>
        <w:t>0%。平时成绩考核/评价环节及其权重可结合班级的实际情况和具体教学实践适度调整</w:t>
      </w:r>
      <w:r>
        <w:rPr>
          <w:rFonts w:hint="eastAsia"/>
          <w:sz w:val="21"/>
          <w:szCs w:val="21"/>
          <w:lang w:eastAsia="zh-CN"/>
        </w:rPr>
        <w:t>。</w:t>
      </w:r>
    </w:p>
    <w:p w14:paraId="274AB798">
      <w:pPr>
        <w:spacing w:line="360" w:lineRule="auto"/>
        <w:ind w:firstLine="420" w:firstLineChars="200"/>
        <w:rPr>
          <w:sz w:val="21"/>
          <w:szCs w:val="21"/>
        </w:rPr>
      </w:pPr>
      <w:r>
        <w:rPr>
          <w:rFonts w:hint="eastAsia"/>
          <w:sz w:val="21"/>
          <w:szCs w:val="21"/>
        </w:rPr>
        <w:t>具体内容、比例和评价参考标准如表</w:t>
      </w:r>
      <w:r>
        <w:rPr>
          <w:sz w:val="21"/>
          <w:szCs w:val="21"/>
        </w:rPr>
        <w:t>5</w:t>
      </w:r>
      <w:r>
        <w:rPr>
          <w:rFonts w:hint="eastAsia"/>
          <w:sz w:val="21"/>
          <w:szCs w:val="21"/>
        </w:rPr>
        <w:t>所示。</w:t>
      </w:r>
    </w:p>
    <w:p w14:paraId="31892FB4">
      <w:pPr>
        <w:spacing w:line="360" w:lineRule="auto"/>
        <w:ind w:firstLine="420" w:firstLineChars="200"/>
        <w:jc w:val="center"/>
        <w:rPr>
          <w:rFonts w:hint="eastAsia"/>
          <w:sz w:val="21"/>
          <w:szCs w:val="21"/>
        </w:rPr>
      </w:pPr>
      <w:r>
        <w:rPr>
          <w:rFonts w:hint="eastAsia"/>
          <w:sz w:val="21"/>
          <w:szCs w:val="21"/>
        </w:rPr>
        <w:t>表</w:t>
      </w:r>
      <w:r>
        <w:rPr>
          <w:rFonts w:hint="default"/>
          <w:sz w:val="21"/>
          <w:szCs w:val="21"/>
          <w:lang w:val="en-US"/>
        </w:rPr>
        <w:t>4</w:t>
      </w:r>
      <w:r>
        <w:rPr>
          <w:sz w:val="21"/>
          <w:szCs w:val="21"/>
        </w:rPr>
        <w:t xml:space="preserve">  </w:t>
      </w:r>
      <w:r>
        <w:rPr>
          <w:rFonts w:hint="eastAsia"/>
          <w:sz w:val="21"/>
          <w:szCs w:val="21"/>
        </w:rPr>
        <w:t>考核总评成绩组成及评价细则表</w:t>
      </w:r>
    </w:p>
    <w:tbl>
      <w:tblPr>
        <w:tblStyle w:val="15"/>
        <w:tblW w:w="8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590"/>
        <w:gridCol w:w="1276"/>
        <w:gridCol w:w="5037"/>
      </w:tblGrid>
      <w:tr w14:paraId="5CEA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shd w:val="clear" w:color="auto" w:fill="FFFFFF"/>
            <w:noWrap w:val="0"/>
            <w:tcMar>
              <w:left w:w="57" w:type="dxa"/>
              <w:right w:w="57" w:type="dxa"/>
            </w:tcMar>
            <w:vAlign w:val="center"/>
          </w:tcPr>
          <w:p w14:paraId="7F1A3858">
            <w:pPr>
              <w:pStyle w:val="36"/>
              <w:snapToGrid w:val="0"/>
              <w:jc w:val="center"/>
              <w:rPr>
                <w:rFonts w:eastAsia="宋体"/>
                <w:b/>
                <w:bCs/>
                <w:sz w:val="21"/>
                <w:szCs w:val="21"/>
              </w:rPr>
            </w:pPr>
            <w:r>
              <w:rPr>
                <w:rFonts w:eastAsia="宋体"/>
                <w:b/>
                <w:bCs/>
                <w:sz w:val="21"/>
                <w:szCs w:val="21"/>
              </w:rPr>
              <w:t>成绩组成</w:t>
            </w:r>
          </w:p>
        </w:tc>
        <w:tc>
          <w:tcPr>
            <w:tcW w:w="1590" w:type="dxa"/>
            <w:shd w:val="clear" w:color="auto" w:fill="FFFFFF"/>
            <w:noWrap w:val="0"/>
            <w:vAlign w:val="center"/>
          </w:tcPr>
          <w:p w14:paraId="3E2AE3AE">
            <w:pPr>
              <w:pStyle w:val="36"/>
              <w:snapToGrid w:val="0"/>
              <w:jc w:val="center"/>
              <w:rPr>
                <w:rFonts w:eastAsia="宋体"/>
                <w:b/>
                <w:bCs/>
                <w:sz w:val="21"/>
                <w:szCs w:val="21"/>
              </w:rPr>
            </w:pPr>
            <w:r>
              <w:rPr>
                <w:rFonts w:eastAsia="宋体"/>
                <w:b/>
                <w:bCs/>
                <w:sz w:val="21"/>
                <w:szCs w:val="21"/>
              </w:rPr>
              <w:t>考核/评价环节</w:t>
            </w:r>
          </w:p>
        </w:tc>
        <w:tc>
          <w:tcPr>
            <w:tcW w:w="1276" w:type="dxa"/>
            <w:shd w:val="clear" w:color="auto" w:fill="FFFFFF"/>
            <w:noWrap w:val="0"/>
            <w:vAlign w:val="center"/>
          </w:tcPr>
          <w:p w14:paraId="6408CD8D">
            <w:pPr>
              <w:pStyle w:val="36"/>
              <w:snapToGrid w:val="0"/>
              <w:jc w:val="center"/>
              <w:rPr>
                <w:rFonts w:eastAsia="宋体"/>
                <w:b/>
                <w:bCs/>
                <w:sz w:val="21"/>
                <w:szCs w:val="21"/>
              </w:rPr>
            </w:pPr>
            <w:r>
              <w:rPr>
                <w:rFonts w:hint="eastAsia" w:eastAsia="宋体"/>
                <w:b/>
                <w:bCs/>
                <w:sz w:val="21"/>
                <w:szCs w:val="21"/>
              </w:rPr>
              <w:t>权重</w:t>
            </w:r>
          </w:p>
        </w:tc>
        <w:tc>
          <w:tcPr>
            <w:tcW w:w="5037" w:type="dxa"/>
            <w:shd w:val="clear" w:color="auto" w:fill="FFFFFF"/>
            <w:noWrap w:val="0"/>
            <w:vAlign w:val="center"/>
          </w:tcPr>
          <w:p w14:paraId="38865425">
            <w:pPr>
              <w:pStyle w:val="36"/>
              <w:snapToGrid w:val="0"/>
              <w:jc w:val="center"/>
              <w:rPr>
                <w:rFonts w:eastAsia="宋体"/>
                <w:b/>
                <w:bCs/>
                <w:sz w:val="21"/>
                <w:szCs w:val="21"/>
              </w:rPr>
            </w:pPr>
            <w:r>
              <w:rPr>
                <w:rFonts w:eastAsia="宋体"/>
                <w:b/>
                <w:bCs/>
                <w:sz w:val="21"/>
                <w:szCs w:val="21"/>
              </w:rPr>
              <w:t>考核/评价细则</w:t>
            </w:r>
          </w:p>
        </w:tc>
      </w:tr>
      <w:tr w14:paraId="2F73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restart"/>
            <w:noWrap w:val="0"/>
            <w:tcMar>
              <w:left w:w="57" w:type="dxa"/>
              <w:right w:w="57" w:type="dxa"/>
            </w:tcMar>
            <w:vAlign w:val="center"/>
          </w:tcPr>
          <w:p w14:paraId="68CE84D5">
            <w:pPr>
              <w:pStyle w:val="36"/>
              <w:snapToGrid w:val="0"/>
              <w:jc w:val="center"/>
              <w:rPr>
                <w:rFonts w:eastAsia="宋体"/>
                <w:sz w:val="21"/>
                <w:szCs w:val="21"/>
              </w:rPr>
            </w:pPr>
            <w:r>
              <w:rPr>
                <w:rFonts w:eastAsia="宋体"/>
                <w:sz w:val="21"/>
                <w:szCs w:val="21"/>
              </w:rPr>
              <w:t>平时成绩</w:t>
            </w:r>
          </w:p>
        </w:tc>
        <w:tc>
          <w:tcPr>
            <w:tcW w:w="1590" w:type="dxa"/>
            <w:noWrap w:val="0"/>
            <w:vAlign w:val="center"/>
          </w:tcPr>
          <w:p w14:paraId="75916F04">
            <w:pPr>
              <w:pStyle w:val="36"/>
              <w:snapToGrid w:val="0"/>
              <w:jc w:val="center"/>
              <w:rPr>
                <w:rFonts w:hint="default" w:eastAsia="宋体"/>
                <w:sz w:val="21"/>
                <w:szCs w:val="21"/>
                <w:lang w:val="en-US" w:eastAsia="zh-CN"/>
              </w:rPr>
            </w:pPr>
            <w:r>
              <w:rPr>
                <w:rFonts w:hint="eastAsia" w:eastAsia="宋体"/>
                <w:sz w:val="21"/>
                <w:szCs w:val="21"/>
                <w:lang w:val="en-US" w:eastAsia="zh-CN"/>
              </w:rPr>
              <w:t>平时表现</w:t>
            </w:r>
          </w:p>
        </w:tc>
        <w:tc>
          <w:tcPr>
            <w:tcW w:w="1276" w:type="dxa"/>
            <w:noWrap w:val="0"/>
            <w:vAlign w:val="center"/>
          </w:tcPr>
          <w:p w14:paraId="24C777D1">
            <w:pPr>
              <w:pStyle w:val="36"/>
              <w:snapToGrid w:val="0"/>
              <w:jc w:val="center"/>
              <w:rPr>
                <w:rFonts w:hint="default" w:eastAsia="宋体"/>
                <w:sz w:val="21"/>
                <w:szCs w:val="21"/>
                <w:lang w:val="en-US" w:eastAsia="zh-CN"/>
              </w:rPr>
            </w:pPr>
            <w:r>
              <w:rPr>
                <w:rFonts w:hint="eastAsia" w:eastAsia="宋体"/>
                <w:sz w:val="21"/>
                <w:szCs w:val="21"/>
                <w:lang w:val="en-US" w:eastAsia="zh-CN"/>
              </w:rPr>
              <w:t>15%</w:t>
            </w:r>
          </w:p>
        </w:tc>
        <w:tc>
          <w:tcPr>
            <w:tcW w:w="5037" w:type="dxa"/>
            <w:noWrap w:val="0"/>
            <w:vAlign w:val="center"/>
          </w:tcPr>
          <w:p w14:paraId="18690549">
            <w:pPr>
              <w:pStyle w:val="36"/>
              <w:snapToGrid w:val="0"/>
              <w:jc w:val="left"/>
              <w:rPr>
                <w:rFonts w:hint="eastAsia" w:eastAsia="宋体"/>
                <w:sz w:val="21"/>
                <w:szCs w:val="21"/>
                <w:lang w:eastAsia="zh-CN"/>
              </w:rPr>
            </w:pPr>
            <w:r>
              <w:rPr>
                <w:rFonts w:hint="eastAsia" w:ascii="宋体" w:hAnsi="宋体" w:eastAsia="宋体" w:cs="宋体"/>
                <w:sz w:val="21"/>
                <w:szCs w:val="21"/>
                <w:lang w:val="en-US" w:eastAsia="zh-CN"/>
              </w:rPr>
              <w:t>根据学生的学习态度、学习任务完成情况单独评分，学习任务包括但不限于课堂回答、小组活动、个人展示等，满分100分。</w:t>
            </w:r>
          </w:p>
        </w:tc>
      </w:tr>
      <w:tr w14:paraId="10C5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continue"/>
            <w:noWrap w:val="0"/>
            <w:tcMar>
              <w:left w:w="57" w:type="dxa"/>
              <w:right w:w="57" w:type="dxa"/>
            </w:tcMar>
            <w:vAlign w:val="center"/>
          </w:tcPr>
          <w:p w14:paraId="48AD57EB">
            <w:pPr>
              <w:pStyle w:val="36"/>
              <w:snapToGrid w:val="0"/>
              <w:jc w:val="center"/>
              <w:rPr>
                <w:rFonts w:eastAsia="宋体"/>
                <w:sz w:val="21"/>
                <w:szCs w:val="21"/>
              </w:rPr>
            </w:pPr>
          </w:p>
        </w:tc>
        <w:tc>
          <w:tcPr>
            <w:tcW w:w="1590" w:type="dxa"/>
            <w:noWrap w:val="0"/>
            <w:vAlign w:val="center"/>
          </w:tcPr>
          <w:p w14:paraId="7CFF7F86">
            <w:pPr>
              <w:pStyle w:val="36"/>
              <w:snapToGrid w:val="0"/>
              <w:jc w:val="center"/>
              <w:rPr>
                <w:rFonts w:hint="default" w:eastAsia="宋体"/>
                <w:sz w:val="21"/>
                <w:szCs w:val="21"/>
                <w:lang w:val="en-US" w:eastAsia="zh-CN"/>
              </w:rPr>
            </w:pPr>
            <w:r>
              <w:rPr>
                <w:rFonts w:hint="eastAsia" w:eastAsia="宋体"/>
                <w:sz w:val="21"/>
                <w:szCs w:val="21"/>
                <w:lang w:val="en-US" w:eastAsia="zh-CN"/>
              </w:rPr>
              <w:t>作业、测试</w:t>
            </w:r>
          </w:p>
        </w:tc>
        <w:tc>
          <w:tcPr>
            <w:tcW w:w="1276" w:type="dxa"/>
            <w:noWrap w:val="0"/>
            <w:vAlign w:val="center"/>
          </w:tcPr>
          <w:p w14:paraId="1FF9F96D">
            <w:pPr>
              <w:pStyle w:val="36"/>
              <w:snapToGrid w:val="0"/>
              <w:jc w:val="center"/>
              <w:rPr>
                <w:rFonts w:hint="default" w:eastAsia="宋体"/>
                <w:sz w:val="21"/>
                <w:szCs w:val="21"/>
                <w:lang w:val="en-US" w:eastAsia="zh-CN"/>
              </w:rPr>
            </w:pPr>
            <w:r>
              <w:rPr>
                <w:rFonts w:hint="eastAsia" w:eastAsia="宋体"/>
                <w:sz w:val="21"/>
                <w:szCs w:val="21"/>
                <w:lang w:val="en-US" w:eastAsia="zh-CN"/>
              </w:rPr>
              <w:t>15%</w:t>
            </w:r>
          </w:p>
        </w:tc>
        <w:tc>
          <w:tcPr>
            <w:tcW w:w="5037" w:type="dxa"/>
            <w:noWrap w:val="0"/>
            <w:vAlign w:val="center"/>
          </w:tcPr>
          <w:p w14:paraId="7F841294">
            <w:pPr>
              <w:pStyle w:val="36"/>
              <w:snapToGrid w:val="0"/>
              <w:rPr>
                <w:rFonts w:hint="eastAsia" w:eastAsia="宋体"/>
                <w:sz w:val="21"/>
                <w:szCs w:val="21"/>
              </w:rPr>
            </w:pPr>
            <w:r>
              <w:rPr>
                <w:rFonts w:hint="eastAsia" w:eastAsia="宋体"/>
                <w:sz w:val="21"/>
                <w:szCs w:val="21"/>
                <w:lang w:eastAsia="zh-CN"/>
              </w:rPr>
              <w:t>（</w:t>
            </w:r>
            <w:r>
              <w:rPr>
                <w:rFonts w:hint="eastAsia" w:eastAsia="宋体"/>
                <w:sz w:val="21"/>
                <w:szCs w:val="21"/>
                <w:lang w:val="en-US" w:eastAsia="zh-CN"/>
              </w:rPr>
              <w:t>1</w:t>
            </w:r>
            <w:r>
              <w:rPr>
                <w:rFonts w:hint="eastAsia" w:eastAsia="宋体"/>
                <w:sz w:val="21"/>
                <w:szCs w:val="21"/>
                <w:lang w:eastAsia="zh-CN"/>
              </w:rPr>
              <w:t>）</w:t>
            </w:r>
            <w:r>
              <w:rPr>
                <w:rFonts w:hint="eastAsia" w:eastAsia="宋体"/>
                <w:sz w:val="21"/>
                <w:szCs w:val="21"/>
              </w:rPr>
              <w:t>考核学生对单元知识点的学习、理解和</w:t>
            </w:r>
            <w:r>
              <w:rPr>
                <w:rFonts w:hint="eastAsia" w:eastAsia="宋体"/>
                <w:sz w:val="21"/>
                <w:szCs w:val="21"/>
                <w:lang w:val="en-US" w:eastAsia="zh-CN"/>
              </w:rPr>
              <w:t>应用</w:t>
            </w:r>
            <w:r>
              <w:rPr>
                <w:rFonts w:hint="eastAsia" w:eastAsia="宋体"/>
                <w:sz w:val="21"/>
                <w:szCs w:val="21"/>
                <w:lang w:eastAsia="zh-CN"/>
              </w:rPr>
              <w:t>，</w:t>
            </w:r>
            <w:r>
              <w:rPr>
                <w:rFonts w:hint="eastAsia" w:eastAsia="宋体"/>
                <w:sz w:val="21"/>
                <w:szCs w:val="21"/>
                <w:lang w:val="en-US" w:eastAsia="zh-CN"/>
              </w:rPr>
              <w:t>满分100分</w:t>
            </w:r>
            <w:r>
              <w:rPr>
                <w:rFonts w:hint="eastAsia" w:eastAsia="宋体"/>
                <w:sz w:val="21"/>
                <w:szCs w:val="21"/>
              </w:rPr>
              <w:t>。</w:t>
            </w:r>
          </w:p>
          <w:p w14:paraId="3BE0BBAD">
            <w:pPr>
              <w:pStyle w:val="36"/>
              <w:snapToGrid w:val="0"/>
              <w:rPr>
                <w:rFonts w:hint="eastAsia" w:eastAsia="宋体"/>
                <w:sz w:val="21"/>
                <w:szCs w:val="21"/>
              </w:rPr>
            </w:pPr>
            <w:r>
              <w:rPr>
                <w:rFonts w:hint="eastAsia" w:eastAsia="宋体"/>
                <w:sz w:val="21"/>
                <w:szCs w:val="21"/>
                <w:lang w:eastAsia="zh-CN"/>
              </w:rPr>
              <w:t>（</w:t>
            </w:r>
            <w:r>
              <w:rPr>
                <w:rFonts w:hint="eastAsia" w:eastAsia="宋体"/>
                <w:sz w:val="21"/>
                <w:szCs w:val="21"/>
                <w:lang w:val="en-US" w:eastAsia="zh-CN"/>
              </w:rPr>
              <w:t>2</w:t>
            </w:r>
            <w:r>
              <w:rPr>
                <w:rFonts w:hint="eastAsia" w:eastAsia="宋体"/>
                <w:sz w:val="21"/>
                <w:szCs w:val="21"/>
                <w:lang w:eastAsia="zh-CN"/>
              </w:rPr>
              <w:t>）</w:t>
            </w:r>
            <w:r>
              <w:rPr>
                <w:rFonts w:hint="eastAsia" w:eastAsia="宋体"/>
                <w:sz w:val="21"/>
                <w:szCs w:val="21"/>
                <w:lang w:val="en-US" w:eastAsia="zh-CN"/>
              </w:rPr>
              <w:t>每次作业、测试单独评分，取各次成绩的平均值作为本环节的最终成绩</w:t>
            </w:r>
            <w:r>
              <w:rPr>
                <w:rFonts w:hint="eastAsia" w:eastAsia="宋体"/>
                <w:sz w:val="21"/>
                <w:szCs w:val="21"/>
              </w:rPr>
              <w:t>。</w:t>
            </w:r>
          </w:p>
        </w:tc>
      </w:tr>
      <w:tr w14:paraId="3EE9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continue"/>
            <w:noWrap w:val="0"/>
            <w:tcMar>
              <w:left w:w="57" w:type="dxa"/>
              <w:right w:w="57" w:type="dxa"/>
            </w:tcMar>
            <w:vAlign w:val="center"/>
          </w:tcPr>
          <w:p w14:paraId="7E5EB485">
            <w:pPr>
              <w:pStyle w:val="36"/>
              <w:snapToGrid w:val="0"/>
              <w:jc w:val="center"/>
              <w:rPr>
                <w:rFonts w:eastAsia="宋体"/>
                <w:sz w:val="21"/>
                <w:szCs w:val="21"/>
              </w:rPr>
            </w:pPr>
          </w:p>
        </w:tc>
        <w:tc>
          <w:tcPr>
            <w:tcW w:w="1590" w:type="dxa"/>
            <w:noWrap w:val="0"/>
            <w:vAlign w:val="center"/>
          </w:tcPr>
          <w:p w14:paraId="3CDA3281">
            <w:pPr>
              <w:pStyle w:val="36"/>
              <w:snapToGrid w:val="0"/>
              <w:jc w:val="center"/>
              <w:rPr>
                <w:rFonts w:hint="default" w:eastAsia="宋体"/>
                <w:sz w:val="21"/>
                <w:szCs w:val="21"/>
                <w:lang w:val="en-US" w:eastAsia="zh-CN"/>
              </w:rPr>
            </w:pPr>
            <w:r>
              <w:rPr>
                <w:rFonts w:hint="eastAsia" w:eastAsia="宋体"/>
                <w:sz w:val="21"/>
                <w:szCs w:val="21"/>
                <w:lang w:val="en-US" w:eastAsia="zh-CN"/>
              </w:rPr>
              <w:t>自主学习</w:t>
            </w:r>
          </w:p>
        </w:tc>
        <w:tc>
          <w:tcPr>
            <w:tcW w:w="1276" w:type="dxa"/>
            <w:noWrap w:val="0"/>
            <w:vAlign w:val="center"/>
          </w:tcPr>
          <w:p w14:paraId="31E6A2E9">
            <w:pPr>
              <w:pStyle w:val="36"/>
              <w:snapToGrid w:val="0"/>
              <w:jc w:val="center"/>
              <w:rPr>
                <w:rFonts w:hint="default" w:eastAsia="宋体"/>
                <w:sz w:val="21"/>
                <w:szCs w:val="21"/>
                <w:lang w:val="en-US" w:eastAsia="zh-CN"/>
              </w:rPr>
            </w:pPr>
            <w:r>
              <w:rPr>
                <w:rFonts w:hint="eastAsia" w:eastAsia="宋体"/>
                <w:sz w:val="21"/>
                <w:szCs w:val="21"/>
                <w:lang w:val="en-US" w:eastAsia="zh-CN"/>
              </w:rPr>
              <w:t>10%</w:t>
            </w:r>
          </w:p>
        </w:tc>
        <w:tc>
          <w:tcPr>
            <w:tcW w:w="5037" w:type="dxa"/>
            <w:noWrap w:val="0"/>
            <w:vAlign w:val="center"/>
          </w:tcPr>
          <w:p w14:paraId="451E7C97">
            <w:pPr>
              <w:pStyle w:val="36"/>
              <w:snapToGrid w:val="0"/>
              <w:rPr>
                <w:rFonts w:hint="eastAsia" w:eastAsia="宋体"/>
                <w:sz w:val="21"/>
                <w:szCs w:val="21"/>
              </w:rPr>
            </w:pPr>
            <w:r>
              <w:rPr>
                <w:rFonts w:hint="eastAsia" w:eastAsia="宋体"/>
                <w:sz w:val="21"/>
                <w:szCs w:val="21"/>
                <w:lang w:val="en-US" w:eastAsia="zh-CN"/>
              </w:rPr>
              <w:t>根据学生自主学习任务完成情况单独评分，学习任务包括但不限于单元任务点、自主学习单元完成情况、讨论回复等，满分100分</w:t>
            </w:r>
            <w:r>
              <w:rPr>
                <w:rFonts w:hint="eastAsia" w:eastAsia="宋体"/>
                <w:sz w:val="21"/>
                <w:szCs w:val="21"/>
              </w:rPr>
              <w:t>。</w:t>
            </w:r>
          </w:p>
        </w:tc>
      </w:tr>
      <w:tr w14:paraId="78E9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continue"/>
            <w:noWrap w:val="0"/>
            <w:tcMar>
              <w:left w:w="57" w:type="dxa"/>
              <w:right w:w="57" w:type="dxa"/>
            </w:tcMar>
            <w:vAlign w:val="center"/>
          </w:tcPr>
          <w:p w14:paraId="54FA3C41">
            <w:pPr>
              <w:pStyle w:val="36"/>
              <w:snapToGrid w:val="0"/>
              <w:jc w:val="center"/>
              <w:rPr>
                <w:rFonts w:eastAsia="宋体"/>
                <w:sz w:val="21"/>
                <w:szCs w:val="21"/>
              </w:rPr>
            </w:pPr>
          </w:p>
        </w:tc>
        <w:tc>
          <w:tcPr>
            <w:tcW w:w="1590" w:type="dxa"/>
            <w:noWrap w:val="0"/>
            <w:vAlign w:val="center"/>
          </w:tcPr>
          <w:p w14:paraId="64145853">
            <w:pPr>
              <w:pStyle w:val="36"/>
              <w:snapToGrid w:val="0"/>
              <w:jc w:val="center"/>
              <w:rPr>
                <w:rFonts w:hint="default" w:eastAsia="宋体"/>
                <w:sz w:val="21"/>
                <w:szCs w:val="21"/>
                <w:lang w:val="en-US" w:eastAsia="zh-CN"/>
              </w:rPr>
            </w:pPr>
            <w:r>
              <w:rPr>
                <w:rFonts w:hint="eastAsia" w:eastAsia="宋体"/>
                <w:sz w:val="21"/>
                <w:szCs w:val="21"/>
                <w:lang w:val="en-US" w:eastAsia="zh-CN"/>
              </w:rPr>
              <w:t>第二课堂</w:t>
            </w:r>
          </w:p>
        </w:tc>
        <w:tc>
          <w:tcPr>
            <w:tcW w:w="1276" w:type="dxa"/>
            <w:noWrap w:val="0"/>
            <w:vAlign w:val="center"/>
          </w:tcPr>
          <w:p w14:paraId="36FCF4A2">
            <w:pPr>
              <w:pStyle w:val="36"/>
              <w:snapToGrid w:val="0"/>
              <w:jc w:val="center"/>
              <w:rPr>
                <w:rFonts w:hint="default" w:eastAsia="宋体"/>
                <w:sz w:val="21"/>
                <w:szCs w:val="21"/>
                <w:lang w:val="en-US" w:eastAsia="zh-CN"/>
              </w:rPr>
            </w:pPr>
          </w:p>
        </w:tc>
        <w:tc>
          <w:tcPr>
            <w:tcW w:w="5037" w:type="dxa"/>
            <w:noWrap w:val="0"/>
            <w:vAlign w:val="center"/>
          </w:tcPr>
          <w:p w14:paraId="07793DC9">
            <w:pPr>
              <w:pStyle w:val="36"/>
              <w:snapToGrid w:val="0"/>
              <w:rPr>
                <w:rFonts w:hint="default" w:eastAsia="宋体"/>
                <w:sz w:val="21"/>
                <w:szCs w:val="21"/>
                <w:lang w:val="en-US" w:eastAsia="zh-CN"/>
              </w:rPr>
            </w:pPr>
            <w:r>
              <w:rPr>
                <w:rFonts w:hint="eastAsia" w:eastAsia="宋体"/>
                <w:color w:val="000000"/>
                <w:sz w:val="21"/>
                <w:szCs w:val="21"/>
                <w:lang w:val="en-US" w:eastAsia="zh-CN"/>
              </w:rPr>
              <w:t>根据参赛项目和获奖情况按赛事级别，给积极参与英语类竞赛的学生适当加分，原则上本环节加分不超过10分、平时成绩总分不超过100分。</w:t>
            </w:r>
          </w:p>
        </w:tc>
      </w:tr>
      <w:tr w14:paraId="3ECD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noWrap w:val="0"/>
            <w:tcMar>
              <w:left w:w="57" w:type="dxa"/>
              <w:right w:w="57" w:type="dxa"/>
            </w:tcMar>
            <w:vAlign w:val="center"/>
          </w:tcPr>
          <w:p w14:paraId="25B220EC">
            <w:pPr>
              <w:pStyle w:val="36"/>
              <w:snapToGrid w:val="0"/>
              <w:jc w:val="center"/>
              <w:rPr>
                <w:rFonts w:hint="default" w:eastAsia="宋体"/>
                <w:sz w:val="21"/>
                <w:szCs w:val="21"/>
                <w:lang w:val="en-US" w:eastAsia="zh-CN"/>
              </w:rPr>
            </w:pPr>
            <w:r>
              <w:rPr>
                <w:rFonts w:hint="eastAsia" w:eastAsia="宋体"/>
                <w:sz w:val="21"/>
                <w:szCs w:val="21"/>
                <w:lang w:val="en-US" w:eastAsia="zh-CN"/>
              </w:rPr>
              <w:t>课内实践</w:t>
            </w:r>
          </w:p>
        </w:tc>
        <w:tc>
          <w:tcPr>
            <w:tcW w:w="1590" w:type="dxa"/>
            <w:noWrap w:val="0"/>
            <w:vAlign w:val="center"/>
          </w:tcPr>
          <w:p w14:paraId="482E83CE">
            <w:pPr>
              <w:pStyle w:val="36"/>
              <w:snapToGrid w:val="0"/>
              <w:jc w:val="center"/>
              <w:rPr>
                <w:rFonts w:hint="default" w:eastAsia="宋体"/>
                <w:sz w:val="21"/>
                <w:szCs w:val="21"/>
                <w:lang w:val="en-US" w:eastAsia="zh-CN"/>
              </w:rPr>
            </w:pPr>
            <w:r>
              <w:rPr>
                <w:rFonts w:hint="eastAsia" w:eastAsia="宋体"/>
                <w:sz w:val="21"/>
                <w:szCs w:val="21"/>
                <w:lang w:val="en-US" w:eastAsia="zh-CN"/>
              </w:rPr>
              <w:t>实践项目成绩</w:t>
            </w:r>
          </w:p>
        </w:tc>
        <w:tc>
          <w:tcPr>
            <w:tcW w:w="1276" w:type="dxa"/>
            <w:noWrap w:val="0"/>
            <w:vAlign w:val="center"/>
          </w:tcPr>
          <w:p w14:paraId="0F69A207">
            <w:pPr>
              <w:pStyle w:val="36"/>
              <w:snapToGrid w:val="0"/>
              <w:jc w:val="center"/>
              <w:rPr>
                <w:rFonts w:hint="default" w:eastAsia="宋体"/>
                <w:sz w:val="21"/>
                <w:szCs w:val="21"/>
                <w:lang w:val="en-US" w:eastAsia="zh-CN"/>
              </w:rPr>
            </w:pPr>
            <w:r>
              <w:rPr>
                <w:rFonts w:hint="eastAsia" w:eastAsia="宋体"/>
                <w:sz w:val="21"/>
                <w:szCs w:val="21"/>
                <w:lang w:val="en-US" w:eastAsia="zh-CN"/>
              </w:rPr>
              <w:t>10%</w:t>
            </w:r>
          </w:p>
        </w:tc>
        <w:tc>
          <w:tcPr>
            <w:tcW w:w="5037" w:type="dxa"/>
            <w:noWrap w:val="0"/>
            <w:vAlign w:val="center"/>
          </w:tcPr>
          <w:p w14:paraId="70AF7DC2">
            <w:pPr>
              <w:pStyle w:val="36"/>
              <w:snapToGrid w:val="0"/>
              <w:rPr>
                <w:rFonts w:eastAsia="宋体"/>
                <w:sz w:val="21"/>
                <w:szCs w:val="21"/>
              </w:rPr>
            </w:pPr>
          </w:p>
        </w:tc>
      </w:tr>
      <w:tr w14:paraId="5FA1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noWrap w:val="0"/>
            <w:tcMar>
              <w:left w:w="57" w:type="dxa"/>
              <w:right w:w="57" w:type="dxa"/>
            </w:tcMar>
            <w:vAlign w:val="center"/>
          </w:tcPr>
          <w:p w14:paraId="77235250">
            <w:pPr>
              <w:pStyle w:val="36"/>
              <w:snapToGrid w:val="0"/>
              <w:jc w:val="center"/>
              <w:rPr>
                <w:rFonts w:hint="eastAsia" w:ascii="Times New Roman" w:hAnsi="Times New Roman" w:eastAsia="宋体" w:cs="Times New Roman"/>
                <w:kern w:val="2"/>
                <w:sz w:val="21"/>
                <w:szCs w:val="21"/>
                <w:lang w:val="en-US" w:eastAsia="zh-CN" w:bidi="ar-SA"/>
              </w:rPr>
            </w:pPr>
            <w:r>
              <w:rPr>
                <w:rFonts w:eastAsia="宋体"/>
                <w:sz w:val="21"/>
                <w:szCs w:val="21"/>
              </w:rPr>
              <w:t>期末考试</w:t>
            </w:r>
          </w:p>
        </w:tc>
        <w:tc>
          <w:tcPr>
            <w:tcW w:w="1590" w:type="dxa"/>
            <w:noWrap w:val="0"/>
            <w:vAlign w:val="center"/>
          </w:tcPr>
          <w:p w14:paraId="2709E085">
            <w:pPr>
              <w:pStyle w:val="36"/>
              <w:snapToGrid w:val="0"/>
              <w:jc w:val="center"/>
              <w:rPr>
                <w:rFonts w:hint="eastAsia" w:eastAsia="宋体"/>
                <w:sz w:val="21"/>
                <w:szCs w:val="21"/>
              </w:rPr>
            </w:pPr>
            <w:r>
              <w:rPr>
                <w:rFonts w:eastAsia="宋体"/>
                <w:sz w:val="21"/>
                <w:szCs w:val="21"/>
              </w:rPr>
              <w:t>期末考试</w:t>
            </w:r>
          </w:p>
          <w:p w14:paraId="758FD68D">
            <w:pPr>
              <w:pStyle w:val="36"/>
              <w:snapToGrid w:val="0"/>
              <w:jc w:val="center"/>
              <w:rPr>
                <w:rFonts w:hint="eastAsia" w:ascii="Times New Roman" w:hAnsi="Times New Roman" w:eastAsia="宋体" w:cs="Times New Roman"/>
                <w:kern w:val="2"/>
                <w:sz w:val="21"/>
                <w:szCs w:val="21"/>
                <w:lang w:val="en-US" w:eastAsia="zh-CN" w:bidi="ar-SA"/>
              </w:rPr>
            </w:pPr>
            <w:r>
              <w:rPr>
                <w:rFonts w:hint="eastAsia" w:eastAsia="宋体"/>
                <w:sz w:val="21"/>
                <w:szCs w:val="21"/>
              </w:rPr>
              <w:t>卷面</w:t>
            </w:r>
            <w:r>
              <w:rPr>
                <w:rFonts w:eastAsia="宋体"/>
                <w:sz w:val="21"/>
                <w:szCs w:val="21"/>
              </w:rPr>
              <w:t>成绩</w:t>
            </w:r>
          </w:p>
        </w:tc>
        <w:tc>
          <w:tcPr>
            <w:tcW w:w="1276" w:type="dxa"/>
            <w:noWrap w:val="0"/>
            <w:vAlign w:val="center"/>
          </w:tcPr>
          <w:p w14:paraId="233B066B">
            <w:pPr>
              <w:pStyle w:val="36"/>
              <w:snapToGrid w:val="0"/>
              <w:jc w:val="center"/>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50%</w:t>
            </w:r>
          </w:p>
        </w:tc>
        <w:tc>
          <w:tcPr>
            <w:tcW w:w="5037" w:type="dxa"/>
            <w:noWrap w:val="0"/>
            <w:vAlign w:val="center"/>
          </w:tcPr>
          <w:p w14:paraId="65B3BE13">
            <w:pPr>
              <w:pStyle w:val="36"/>
              <w:snapToGrid w:val="0"/>
              <w:rPr>
                <w:rFonts w:hint="eastAsia" w:ascii="Times New Roman" w:hAnsi="Times New Roman" w:eastAsia="宋体" w:cs="Times New Roman"/>
                <w:kern w:val="2"/>
                <w:sz w:val="21"/>
                <w:szCs w:val="21"/>
                <w:lang w:val="en-US" w:eastAsia="zh-CN" w:bidi="ar-SA"/>
              </w:rPr>
            </w:pPr>
            <w:r>
              <w:rPr>
                <w:rFonts w:hint="eastAsia" w:eastAsia="宋体"/>
                <w:sz w:val="21"/>
                <w:szCs w:val="21"/>
              </w:rPr>
              <w:t>期末考试试题由大学英语教学部统一命题并建立试题库，题型包括听力理解、词汇与结构、快速阅读、选词填空、阅读理解、写作等（每次考核可能题型不同，以当次考核题型为准），计入期考成绩；卷面满分100分。</w:t>
            </w:r>
          </w:p>
        </w:tc>
      </w:tr>
    </w:tbl>
    <w:p w14:paraId="1CCA7D2A">
      <w:pPr>
        <w:snapToGrid w:val="0"/>
        <w:spacing w:line="360" w:lineRule="auto"/>
        <w:ind w:firstLine="420" w:firstLineChars="200"/>
        <w:rPr>
          <w:sz w:val="21"/>
          <w:szCs w:val="21"/>
        </w:rPr>
      </w:pPr>
      <w:r>
        <w:rPr>
          <w:sz w:val="21"/>
          <w:szCs w:val="21"/>
        </w:rPr>
        <w:t>（三）</w:t>
      </w:r>
      <w:r>
        <w:rPr>
          <w:rFonts w:hint="eastAsia"/>
          <w:sz w:val="21"/>
          <w:szCs w:val="21"/>
        </w:rPr>
        <w:t>课程目标考核说明</w:t>
      </w:r>
    </w:p>
    <w:p w14:paraId="1A4F039D">
      <w:pPr>
        <w:snapToGrid w:val="0"/>
        <w:spacing w:line="360" w:lineRule="auto"/>
        <w:ind w:firstLine="420" w:firstLineChars="200"/>
        <w:rPr>
          <w:sz w:val="21"/>
          <w:szCs w:val="21"/>
        </w:rPr>
      </w:pPr>
      <w:r>
        <w:rPr>
          <w:rFonts w:hint="eastAsia"/>
          <w:sz w:val="21"/>
          <w:szCs w:val="21"/>
        </w:rPr>
        <w:t>为能够证明学生本课程考核成绩合格，即可达到课程教学目标的要求，制定《课程教学目标考核方案一览表》，如表</w:t>
      </w:r>
      <w:r>
        <w:rPr>
          <w:rFonts w:hint="default"/>
          <w:sz w:val="21"/>
          <w:szCs w:val="21"/>
          <w:lang w:val="en-US"/>
        </w:rPr>
        <w:t>5</w:t>
      </w:r>
      <w:r>
        <w:rPr>
          <w:rFonts w:hint="eastAsia"/>
          <w:sz w:val="21"/>
          <w:szCs w:val="21"/>
        </w:rPr>
        <w:t>所示。</w:t>
      </w:r>
    </w:p>
    <w:p w14:paraId="7A2A1C00">
      <w:pPr>
        <w:adjustRightInd w:val="0"/>
        <w:snapToGrid w:val="0"/>
        <w:spacing w:line="360" w:lineRule="auto"/>
        <w:ind w:left="596" w:hanging="596"/>
        <w:jc w:val="center"/>
        <w:rPr>
          <w:color w:val="000000"/>
          <w:sz w:val="21"/>
          <w:szCs w:val="21"/>
        </w:rPr>
      </w:pPr>
      <w:r>
        <w:rPr>
          <w:color w:val="000000"/>
          <w:sz w:val="21"/>
          <w:szCs w:val="21"/>
        </w:rPr>
        <w:t>表</w:t>
      </w:r>
      <w:r>
        <w:rPr>
          <w:rFonts w:hint="default"/>
          <w:color w:val="000000"/>
          <w:sz w:val="21"/>
          <w:szCs w:val="21"/>
          <w:lang w:val="en-US"/>
        </w:rPr>
        <w:t>5</w:t>
      </w:r>
      <w:r>
        <w:rPr>
          <w:color w:val="000000"/>
          <w:sz w:val="21"/>
          <w:szCs w:val="21"/>
        </w:rPr>
        <w:t xml:space="preserve">  课程目标考核方案一览表</w:t>
      </w:r>
    </w:p>
    <w:tbl>
      <w:tblPr>
        <w:tblStyle w:val="15"/>
        <w:tblW w:w="9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863"/>
        <w:gridCol w:w="2174"/>
        <w:gridCol w:w="3601"/>
      </w:tblGrid>
      <w:tr w14:paraId="5984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jc w:val="center"/>
        </w:trPr>
        <w:tc>
          <w:tcPr>
            <w:tcW w:w="15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9E1E8E">
            <w:pPr>
              <w:adjustRightInd w:val="0"/>
              <w:snapToGrid w:val="0"/>
              <w:jc w:val="center"/>
              <w:rPr>
                <w:rFonts w:hint="eastAsia"/>
                <w:b/>
                <w:bCs/>
                <w:color w:val="000000"/>
                <w:sz w:val="21"/>
                <w:szCs w:val="21"/>
              </w:rPr>
            </w:pPr>
            <w:r>
              <w:rPr>
                <w:b/>
                <w:bCs/>
                <w:color w:val="000000"/>
                <w:sz w:val="21"/>
                <w:szCs w:val="21"/>
              </w:rPr>
              <w:t>课程</w:t>
            </w:r>
            <w:r>
              <w:rPr>
                <w:rFonts w:hint="eastAsia"/>
                <w:b/>
                <w:bCs/>
                <w:color w:val="000000"/>
                <w:sz w:val="21"/>
                <w:szCs w:val="21"/>
              </w:rPr>
              <w:t>教学</w:t>
            </w:r>
            <w:r>
              <w:rPr>
                <w:b/>
                <w:bCs/>
                <w:color w:val="000000"/>
                <w:sz w:val="21"/>
                <w:szCs w:val="21"/>
              </w:rPr>
              <w:t>目标</w:t>
            </w:r>
          </w:p>
        </w:tc>
        <w:tc>
          <w:tcPr>
            <w:tcW w:w="18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395FEF">
            <w:pPr>
              <w:adjustRightInd w:val="0"/>
              <w:snapToGrid w:val="0"/>
              <w:jc w:val="center"/>
              <w:rPr>
                <w:b/>
                <w:bCs/>
                <w:color w:val="000000"/>
                <w:sz w:val="21"/>
                <w:szCs w:val="21"/>
              </w:rPr>
            </w:pPr>
            <w:r>
              <w:rPr>
                <w:b/>
                <w:bCs/>
                <w:color w:val="000000"/>
                <w:sz w:val="21"/>
                <w:szCs w:val="21"/>
              </w:rPr>
              <w:t>考核内容</w:t>
            </w:r>
          </w:p>
        </w:tc>
        <w:tc>
          <w:tcPr>
            <w:tcW w:w="217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C99FBB">
            <w:pPr>
              <w:adjustRightInd w:val="0"/>
              <w:snapToGrid w:val="0"/>
              <w:jc w:val="center"/>
              <w:rPr>
                <w:b/>
                <w:bCs/>
                <w:color w:val="000000"/>
                <w:sz w:val="21"/>
                <w:szCs w:val="21"/>
              </w:rPr>
            </w:pPr>
            <w:r>
              <w:rPr>
                <w:b/>
                <w:bCs/>
                <w:color w:val="000000"/>
                <w:sz w:val="21"/>
                <w:szCs w:val="21"/>
              </w:rPr>
              <w:t>考核形式</w:t>
            </w:r>
          </w:p>
        </w:tc>
        <w:tc>
          <w:tcPr>
            <w:tcW w:w="36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83950B">
            <w:pPr>
              <w:adjustRightInd w:val="0"/>
              <w:snapToGrid w:val="0"/>
              <w:jc w:val="center"/>
              <w:rPr>
                <w:b/>
                <w:bCs/>
                <w:color w:val="000000"/>
                <w:sz w:val="21"/>
                <w:szCs w:val="21"/>
              </w:rPr>
            </w:pPr>
            <w:r>
              <w:rPr>
                <w:b/>
                <w:bCs/>
                <w:color w:val="000000"/>
                <w:sz w:val="21"/>
                <w:szCs w:val="21"/>
              </w:rPr>
              <w:t>考核原始材料（说明：试卷、作业、实验报告、技术报告、过程记录、实习总结等，纸质或电子稿）</w:t>
            </w:r>
          </w:p>
        </w:tc>
      </w:tr>
      <w:tr w14:paraId="2936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jc w:val="center"/>
        </w:trPr>
        <w:tc>
          <w:tcPr>
            <w:tcW w:w="1525" w:type="dxa"/>
            <w:tcBorders>
              <w:top w:val="single" w:color="auto" w:sz="4" w:space="0"/>
              <w:left w:val="single" w:color="auto" w:sz="4" w:space="0"/>
              <w:right w:val="single" w:color="auto" w:sz="4" w:space="0"/>
            </w:tcBorders>
            <w:noWrap w:val="0"/>
            <w:vAlign w:val="center"/>
          </w:tcPr>
          <w:p w14:paraId="7A4F0E57">
            <w:pPr>
              <w:adjustRightInd w:val="0"/>
              <w:snapToGrid w:val="0"/>
              <w:jc w:val="center"/>
              <w:rPr>
                <w:rFonts w:hint="default" w:eastAsia="宋体"/>
                <w:color w:val="000000"/>
                <w:sz w:val="21"/>
                <w:szCs w:val="21"/>
                <w:lang w:val="en-US" w:eastAsia="zh-CN"/>
              </w:rPr>
            </w:pPr>
            <w:r>
              <w:rPr>
                <w:color w:val="000000"/>
                <w:sz w:val="21"/>
                <w:szCs w:val="21"/>
              </w:rPr>
              <w:t>目标1</w:t>
            </w:r>
            <w:r>
              <w:rPr>
                <w:rFonts w:hint="eastAsia"/>
                <w:color w:val="000000"/>
                <w:sz w:val="21"/>
                <w:szCs w:val="21"/>
                <w:lang w:val="en-US" w:eastAsia="zh-CN"/>
              </w:rPr>
              <w:t>/2</w:t>
            </w:r>
          </w:p>
        </w:tc>
        <w:tc>
          <w:tcPr>
            <w:tcW w:w="1863" w:type="dxa"/>
            <w:tcBorders>
              <w:top w:val="single" w:color="auto" w:sz="4" w:space="0"/>
              <w:left w:val="single" w:color="auto" w:sz="4" w:space="0"/>
              <w:right w:val="single" w:color="auto" w:sz="4" w:space="0"/>
            </w:tcBorders>
            <w:noWrap w:val="0"/>
            <w:vAlign w:val="center"/>
          </w:tcPr>
          <w:p w14:paraId="004E45C4">
            <w:pPr>
              <w:adjustRightInd w:val="0"/>
              <w:snapToGrid w:val="0"/>
              <w:jc w:val="center"/>
              <w:rPr>
                <w:rFonts w:hint="default" w:eastAsia="宋体"/>
                <w:sz w:val="21"/>
                <w:szCs w:val="21"/>
                <w:lang w:val="en-US" w:eastAsia="zh-CN"/>
              </w:rPr>
            </w:pPr>
            <w:r>
              <w:rPr>
                <w:rFonts w:hint="eastAsia" w:eastAsia="宋体"/>
                <w:sz w:val="21"/>
                <w:szCs w:val="21"/>
              </w:rPr>
              <w:t>对</w:t>
            </w:r>
            <w:r>
              <w:rPr>
                <w:rFonts w:hint="eastAsia"/>
                <w:sz w:val="21"/>
                <w:szCs w:val="21"/>
                <w:lang w:val="en-US" w:eastAsia="zh-CN"/>
              </w:rPr>
              <w:t>语言知识</w:t>
            </w:r>
            <w:r>
              <w:rPr>
                <w:rFonts w:hint="eastAsia" w:eastAsia="宋体"/>
                <w:sz w:val="21"/>
                <w:szCs w:val="21"/>
              </w:rPr>
              <w:t>的掌握</w:t>
            </w:r>
            <w:r>
              <w:rPr>
                <w:rFonts w:hint="eastAsia"/>
                <w:sz w:val="21"/>
                <w:szCs w:val="21"/>
                <w:lang w:eastAsia="zh-CN"/>
              </w:rPr>
              <w:t>、</w:t>
            </w:r>
            <w:r>
              <w:rPr>
                <w:rFonts w:hint="eastAsia"/>
                <w:sz w:val="21"/>
                <w:szCs w:val="21"/>
                <w:lang w:val="en-US" w:eastAsia="zh-CN"/>
              </w:rPr>
              <w:t>理解与应用</w:t>
            </w:r>
          </w:p>
        </w:tc>
        <w:tc>
          <w:tcPr>
            <w:tcW w:w="2174" w:type="dxa"/>
            <w:tcBorders>
              <w:top w:val="single" w:color="auto" w:sz="4" w:space="0"/>
              <w:left w:val="single" w:color="auto" w:sz="4" w:space="0"/>
              <w:right w:val="single" w:color="auto" w:sz="4" w:space="0"/>
            </w:tcBorders>
            <w:noWrap w:val="0"/>
            <w:vAlign w:val="center"/>
          </w:tcPr>
          <w:p w14:paraId="2E6F659E">
            <w:pPr>
              <w:pStyle w:val="36"/>
              <w:jc w:val="center"/>
              <w:rPr>
                <w:rFonts w:eastAsia="宋体"/>
                <w:color w:val="000000"/>
                <w:sz w:val="21"/>
                <w:szCs w:val="21"/>
              </w:rPr>
            </w:pPr>
            <w:r>
              <w:rPr>
                <w:rFonts w:hint="eastAsia" w:eastAsia="宋体"/>
                <w:color w:val="000000"/>
                <w:sz w:val="21"/>
                <w:szCs w:val="21"/>
              </w:rPr>
              <w:t>平时表现</w:t>
            </w:r>
          </w:p>
          <w:p w14:paraId="64B28C10">
            <w:pPr>
              <w:pStyle w:val="36"/>
              <w:jc w:val="center"/>
              <w:rPr>
                <w:rFonts w:hint="default" w:eastAsia="宋体"/>
                <w:color w:val="000000"/>
                <w:sz w:val="21"/>
                <w:szCs w:val="21"/>
                <w:lang w:val="en-US" w:eastAsia="zh-CN"/>
              </w:rPr>
            </w:pPr>
            <w:r>
              <w:rPr>
                <w:rFonts w:hint="eastAsia" w:eastAsia="宋体"/>
                <w:color w:val="000000"/>
                <w:sz w:val="21"/>
                <w:szCs w:val="21"/>
              </w:rPr>
              <w:t>作业</w:t>
            </w:r>
            <w:r>
              <w:rPr>
                <w:rFonts w:hint="eastAsia" w:eastAsia="宋体"/>
                <w:color w:val="000000"/>
                <w:sz w:val="21"/>
                <w:szCs w:val="21"/>
                <w:lang w:eastAsia="zh-CN"/>
              </w:rPr>
              <w:t>、</w:t>
            </w:r>
            <w:r>
              <w:rPr>
                <w:rFonts w:hint="eastAsia" w:eastAsia="宋体"/>
                <w:color w:val="000000"/>
                <w:sz w:val="21"/>
                <w:szCs w:val="21"/>
                <w:lang w:val="en-US" w:eastAsia="zh-CN"/>
              </w:rPr>
              <w:t>测试</w:t>
            </w:r>
          </w:p>
          <w:p w14:paraId="619ADC75">
            <w:pPr>
              <w:pStyle w:val="36"/>
              <w:jc w:val="center"/>
              <w:rPr>
                <w:rFonts w:hint="eastAsia" w:eastAsia="宋体"/>
                <w:color w:val="000000"/>
                <w:sz w:val="21"/>
                <w:szCs w:val="21"/>
              </w:rPr>
            </w:pPr>
            <w:r>
              <w:rPr>
                <w:rFonts w:hint="eastAsia" w:eastAsia="宋体"/>
                <w:color w:val="000000"/>
                <w:sz w:val="21"/>
                <w:szCs w:val="21"/>
                <w:lang w:val="en-US" w:eastAsia="zh-CN"/>
              </w:rPr>
              <w:t>自主</w:t>
            </w:r>
            <w:r>
              <w:rPr>
                <w:rFonts w:hint="eastAsia" w:eastAsia="宋体"/>
                <w:color w:val="000000"/>
                <w:sz w:val="21"/>
                <w:szCs w:val="21"/>
              </w:rPr>
              <w:t>学习</w:t>
            </w:r>
          </w:p>
          <w:p w14:paraId="0273B3E8">
            <w:pPr>
              <w:pStyle w:val="36"/>
              <w:jc w:val="center"/>
              <w:rPr>
                <w:rFonts w:hint="eastAsia" w:eastAsia="宋体"/>
                <w:color w:val="000000"/>
                <w:sz w:val="21"/>
                <w:szCs w:val="21"/>
                <w:lang w:val="en-US" w:eastAsia="zh-CN"/>
              </w:rPr>
            </w:pPr>
            <w:r>
              <w:rPr>
                <w:rFonts w:hint="eastAsia" w:eastAsia="宋体"/>
                <w:color w:val="000000"/>
                <w:sz w:val="21"/>
                <w:szCs w:val="21"/>
                <w:lang w:val="en-US" w:eastAsia="zh-CN"/>
              </w:rPr>
              <w:t>第二课堂</w:t>
            </w:r>
          </w:p>
          <w:p w14:paraId="289A67D9">
            <w:pPr>
              <w:pStyle w:val="36"/>
              <w:jc w:val="center"/>
              <w:rPr>
                <w:rFonts w:hint="default" w:eastAsia="宋体"/>
                <w:color w:val="000000"/>
                <w:sz w:val="21"/>
                <w:szCs w:val="21"/>
                <w:lang w:val="en-US" w:eastAsia="zh-CN"/>
              </w:rPr>
            </w:pPr>
            <w:r>
              <w:rPr>
                <w:rFonts w:hint="eastAsia" w:eastAsia="宋体"/>
                <w:color w:val="000000"/>
                <w:sz w:val="21"/>
                <w:szCs w:val="21"/>
                <w:lang w:val="en-US" w:eastAsia="zh-CN"/>
              </w:rPr>
              <w:t>课内实践</w:t>
            </w:r>
          </w:p>
          <w:p w14:paraId="229163C5">
            <w:pPr>
              <w:adjustRightInd w:val="0"/>
              <w:snapToGrid w:val="0"/>
              <w:jc w:val="center"/>
              <w:rPr>
                <w:rFonts w:hint="default" w:eastAsia="宋体"/>
                <w:color w:val="000000"/>
                <w:sz w:val="21"/>
                <w:szCs w:val="21"/>
                <w:lang w:val="en-US" w:eastAsia="zh-CN"/>
              </w:rPr>
            </w:pPr>
            <w:r>
              <w:rPr>
                <w:rFonts w:hint="eastAsia" w:eastAsia="宋体"/>
                <w:color w:val="000000"/>
                <w:sz w:val="21"/>
                <w:szCs w:val="21"/>
              </w:rPr>
              <w:t>期末考试</w:t>
            </w:r>
          </w:p>
        </w:tc>
        <w:tc>
          <w:tcPr>
            <w:tcW w:w="3601" w:type="dxa"/>
            <w:tcBorders>
              <w:top w:val="single" w:color="auto" w:sz="4" w:space="0"/>
              <w:left w:val="single" w:color="auto" w:sz="4" w:space="0"/>
              <w:right w:val="single" w:color="auto" w:sz="4" w:space="0"/>
            </w:tcBorders>
            <w:noWrap w:val="0"/>
            <w:vAlign w:val="center"/>
          </w:tcPr>
          <w:p w14:paraId="33014367">
            <w:pPr>
              <w:pStyle w:val="36"/>
              <w:rPr>
                <w:rFonts w:hint="eastAsia" w:eastAsia="宋体"/>
                <w:color w:val="000000"/>
                <w:sz w:val="21"/>
                <w:szCs w:val="21"/>
                <w:lang w:eastAsia="zh-CN"/>
              </w:rPr>
            </w:pPr>
            <w:r>
              <w:rPr>
                <w:rFonts w:hint="eastAsia" w:eastAsia="宋体"/>
                <w:color w:val="000000"/>
                <w:sz w:val="21"/>
                <w:szCs w:val="21"/>
              </w:rPr>
              <w:t>平时成绩登记表</w:t>
            </w:r>
            <w:r>
              <w:rPr>
                <w:rFonts w:hint="eastAsia" w:eastAsia="宋体"/>
                <w:color w:val="000000"/>
                <w:sz w:val="21"/>
                <w:szCs w:val="21"/>
                <w:lang w:eastAsia="zh-CN"/>
              </w:rPr>
              <w:t>（</w:t>
            </w:r>
            <w:r>
              <w:rPr>
                <w:rFonts w:hint="eastAsia" w:eastAsia="宋体"/>
                <w:color w:val="000000"/>
                <w:sz w:val="21"/>
                <w:szCs w:val="21"/>
              </w:rPr>
              <w:t>纸质稿</w:t>
            </w:r>
            <w:r>
              <w:rPr>
                <w:rFonts w:hint="eastAsia" w:eastAsia="宋体"/>
                <w:color w:val="000000"/>
                <w:sz w:val="21"/>
                <w:szCs w:val="21"/>
                <w:lang w:eastAsia="zh-CN"/>
              </w:rPr>
              <w:t>）</w:t>
            </w:r>
          </w:p>
          <w:p w14:paraId="483E8539">
            <w:pPr>
              <w:pStyle w:val="36"/>
              <w:rPr>
                <w:rFonts w:hint="default" w:eastAsia="宋体"/>
                <w:color w:val="000000"/>
                <w:sz w:val="21"/>
                <w:szCs w:val="21"/>
                <w:lang w:val="en-US" w:eastAsia="zh-CN"/>
              </w:rPr>
            </w:pPr>
            <w:r>
              <w:rPr>
                <w:rFonts w:hint="eastAsia" w:eastAsia="宋体"/>
                <w:color w:val="000000"/>
                <w:sz w:val="21"/>
                <w:szCs w:val="21"/>
                <w:lang w:val="en-US" w:eastAsia="zh-CN"/>
              </w:rPr>
              <w:t>第二课堂证书（电子稿）</w:t>
            </w:r>
          </w:p>
          <w:p w14:paraId="2E7C00D6">
            <w:pPr>
              <w:pStyle w:val="36"/>
              <w:rPr>
                <w:rFonts w:hint="eastAsia" w:eastAsia="宋体"/>
                <w:color w:val="000000"/>
                <w:sz w:val="21"/>
                <w:szCs w:val="21"/>
              </w:rPr>
            </w:pPr>
            <w:r>
              <w:rPr>
                <w:rFonts w:hint="eastAsia" w:eastAsia="宋体"/>
                <w:color w:val="000000"/>
                <w:sz w:val="21"/>
                <w:szCs w:val="21"/>
                <w:lang w:val="en-US" w:eastAsia="zh-CN"/>
              </w:rPr>
              <w:t>作业、测试、自主学习（电子稿）</w:t>
            </w:r>
          </w:p>
          <w:p w14:paraId="2BC0C256">
            <w:pPr>
              <w:adjustRightInd w:val="0"/>
              <w:snapToGrid w:val="0"/>
              <w:rPr>
                <w:rFonts w:hint="default" w:eastAsia="宋体"/>
                <w:color w:val="000000"/>
                <w:sz w:val="21"/>
                <w:szCs w:val="21"/>
                <w:lang w:val="en-US" w:eastAsia="zh-CN"/>
              </w:rPr>
            </w:pPr>
            <w:r>
              <w:rPr>
                <w:rFonts w:hint="eastAsia" w:eastAsia="宋体"/>
                <w:color w:val="000000"/>
                <w:sz w:val="21"/>
                <w:szCs w:val="21"/>
              </w:rPr>
              <w:t>期末试卷</w:t>
            </w:r>
            <w:r>
              <w:rPr>
                <w:rFonts w:hint="eastAsia"/>
                <w:color w:val="000000"/>
                <w:sz w:val="21"/>
                <w:szCs w:val="21"/>
                <w:lang w:eastAsia="zh-CN"/>
              </w:rPr>
              <w:t>（</w:t>
            </w:r>
            <w:r>
              <w:rPr>
                <w:rFonts w:hint="eastAsia" w:eastAsia="宋体"/>
                <w:color w:val="000000"/>
                <w:sz w:val="21"/>
                <w:szCs w:val="21"/>
              </w:rPr>
              <w:t>电子稿</w:t>
            </w:r>
            <w:r>
              <w:rPr>
                <w:rFonts w:hint="eastAsia"/>
                <w:color w:val="000000"/>
                <w:sz w:val="21"/>
                <w:szCs w:val="21"/>
                <w:lang w:eastAsia="zh-CN"/>
              </w:rPr>
              <w:t>）</w:t>
            </w:r>
          </w:p>
        </w:tc>
      </w:tr>
      <w:tr w14:paraId="245F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jc w:val="center"/>
        </w:trPr>
        <w:tc>
          <w:tcPr>
            <w:tcW w:w="1525" w:type="dxa"/>
            <w:tcBorders>
              <w:top w:val="single" w:color="auto" w:sz="4" w:space="0"/>
              <w:left w:val="single" w:color="auto" w:sz="4" w:space="0"/>
              <w:right w:val="single" w:color="auto" w:sz="4" w:space="0"/>
            </w:tcBorders>
            <w:noWrap w:val="0"/>
            <w:vAlign w:val="center"/>
          </w:tcPr>
          <w:p w14:paraId="449DCCB4">
            <w:pPr>
              <w:adjustRightInd w:val="0"/>
              <w:snapToGrid w:val="0"/>
              <w:jc w:val="center"/>
              <w:rPr>
                <w:rFonts w:hint="eastAsia" w:eastAsia="宋体"/>
                <w:color w:val="000000"/>
                <w:sz w:val="21"/>
                <w:szCs w:val="21"/>
                <w:lang w:val="en-US" w:eastAsia="zh-CN"/>
              </w:rPr>
            </w:pPr>
            <w:r>
              <w:rPr>
                <w:rFonts w:hint="eastAsia"/>
                <w:color w:val="000000"/>
                <w:sz w:val="21"/>
                <w:szCs w:val="21"/>
              </w:rPr>
              <w:t>目标</w:t>
            </w:r>
            <w:r>
              <w:rPr>
                <w:rFonts w:hint="eastAsia"/>
                <w:color w:val="000000"/>
                <w:sz w:val="21"/>
                <w:szCs w:val="21"/>
                <w:lang w:val="en-US" w:eastAsia="zh-CN"/>
              </w:rPr>
              <w:t>3</w:t>
            </w:r>
          </w:p>
        </w:tc>
        <w:tc>
          <w:tcPr>
            <w:tcW w:w="1863" w:type="dxa"/>
            <w:tcBorders>
              <w:top w:val="single" w:color="auto" w:sz="4" w:space="0"/>
              <w:left w:val="single" w:color="auto" w:sz="4" w:space="0"/>
              <w:bottom w:val="single" w:color="auto" w:sz="4" w:space="0"/>
              <w:right w:val="single" w:color="auto" w:sz="4" w:space="0"/>
            </w:tcBorders>
            <w:noWrap w:val="0"/>
            <w:vAlign w:val="center"/>
          </w:tcPr>
          <w:p w14:paraId="2CA9D06B">
            <w:pPr>
              <w:adjustRightInd w:val="0"/>
              <w:snapToGrid w:val="0"/>
              <w:jc w:val="center"/>
              <w:rPr>
                <w:rFonts w:hint="eastAsia"/>
                <w:sz w:val="21"/>
                <w:szCs w:val="21"/>
              </w:rPr>
            </w:pPr>
            <w:r>
              <w:rPr>
                <w:rFonts w:hint="eastAsia" w:eastAsia="宋体"/>
                <w:sz w:val="21"/>
                <w:szCs w:val="21"/>
              </w:rPr>
              <w:t>对</w:t>
            </w:r>
            <w:r>
              <w:rPr>
                <w:rFonts w:hint="eastAsia"/>
                <w:sz w:val="21"/>
                <w:szCs w:val="21"/>
                <w:lang w:val="en-US" w:eastAsia="zh-CN"/>
              </w:rPr>
              <w:t>语言知识</w:t>
            </w:r>
            <w:r>
              <w:rPr>
                <w:rFonts w:hint="eastAsia" w:eastAsia="宋体"/>
                <w:sz w:val="21"/>
                <w:szCs w:val="21"/>
              </w:rPr>
              <w:t>的</w:t>
            </w:r>
            <w:r>
              <w:rPr>
                <w:rFonts w:hint="eastAsia"/>
                <w:sz w:val="21"/>
                <w:szCs w:val="21"/>
                <w:lang w:val="en-US" w:eastAsia="zh-CN"/>
              </w:rPr>
              <w:t>理解与应用</w:t>
            </w:r>
          </w:p>
        </w:tc>
        <w:tc>
          <w:tcPr>
            <w:tcW w:w="2174" w:type="dxa"/>
            <w:tcBorders>
              <w:top w:val="single" w:color="auto" w:sz="4" w:space="0"/>
              <w:left w:val="single" w:color="auto" w:sz="4" w:space="0"/>
              <w:bottom w:val="single" w:color="auto" w:sz="4" w:space="0"/>
              <w:right w:val="single" w:color="auto" w:sz="4" w:space="0"/>
            </w:tcBorders>
            <w:noWrap w:val="0"/>
            <w:vAlign w:val="center"/>
          </w:tcPr>
          <w:p w14:paraId="450C18D5">
            <w:pPr>
              <w:pStyle w:val="36"/>
              <w:jc w:val="center"/>
              <w:rPr>
                <w:rFonts w:eastAsia="宋体"/>
                <w:color w:val="000000"/>
                <w:sz w:val="21"/>
                <w:szCs w:val="21"/>
              </w:rPr>
            </w:pPr>
            <w:r>
              <w:rPr>
                <w:rFonts w:hint="eastAsia" w:eastAsia="宋体"/>
                <w:color w:val="000000"/>
                <w:sz w:val="21"/>
                <w:szCs w:val="21"/>
              </w:rPr>
              <w:t>平时表现</w:t>
            </w:r>
          </w:p>
          <w:p w14:paraId="3D82BCC1">
            <w:pPr>
              <w:pStyle w:val="36"/>
              <w:jc w:val="center"/>
              <w:rPr>
                <w:rFonts w:hint="default" w:eastAsia="宋体"/>
                <w:color w:val="000000"/>
                <w:sz w:val="21"/>
                <w:szCs w:val="21"/>
                <w:lang w:val="en-US" w:eastAsia="zh-CN"/>
              </w:rPr>
            </w:pPr>
            <w:r>
              <w:rPr>
                <w:rFonts w:hint="eastAsia" w:eastAsia="宋体"/>
                <w:color w:val="000000"/>
                <w:sz w:val="21"/>
                <w:szCs w:val="21"/>
              </w:rPr>
              <w:t>作业</w:t>
            </w:r>
            <w:r>
              <w:rPr>
                <w:rFonts w:hint="eastAsia" w:eastAsia="宋体"/>
                <w:color w:val="000000"/>
                <w:sz w:val="21"/>
                <w:szCs w:val="21"/>
                <w:lang w:eastAsia="zh-CN"/>
              </w:rPr>
              <w:t>、</w:t>
            </w:r>
            <w:r>
              <w:rPr>
                <w:rFonts w:hint="eastAsia" w:eastAsia="宋体"/>
                <w:color w:val="000000"/>
                <w:sz w:val="21"/>
                <w:szCs w:val="21"/>
                <w:lang w:val="en-US" w:eastAsia="zh-CN"/>
              </w:rPr>
              <w:t>测试</w:t>
            </w:r>
          </w:p>
          <w:p w14:paraId="01A7A410">
            <w:pPr>
              <w:pStyle w:val="36"/>
              <w:jc w:val="center"/>
              <w:rPr>
                <w:rFonts w:hint="eastAsia" w:eastAsia="宋体"/>
                <w:color w:val="000000"/>
                <w:sz w:val="21"/>
                <w:szCs w:val="21"/>
              </w:rPr>
            </w:pPr>
            <w:r>
              <w:rPr>
                <w:rFonts w:hint="eastAsia" w:eastAsia="宋体"/>
                <w:color w:val="000000"/>
                <w:sz w:val="21"/>
                <w:szCs w:val="21"/>
                <w:lang w:val="en-US" w:eastAsia="zh-CN"/>
              </w:rPr>
              <w:t>自主</w:t>
            </w:r>
            <w:r>
              <w:rPr>
                <w:rFonts w:hint="eastAsia" w:eastAsia="宋体"/>
                <w:color w:val="000000"/>
                <w:sz w:val="21"/>
                <w:szCs w:val="21"/>
              </w:rPr>
              <w:t>学习</w:t>
            </w:r>
          </w:p>
          <w:p w14:paraId="222FD8E8">
            <w:pPr>
              <w:pStyle w:val="36"/>
              <w:jc w:val="center"/>
              <w:rPr>
                <w:rFonts w:hint="eastAsia" w:eastAsia="宋体"/>
                <w:color w:val="000000"/>
                <w:sz w:val="21"/>
                <w:szCs w:val="21"/>
                <w:lang w:val="en-US" w:eastAsia="zh-CN"/>
              </w:rPr>
            </w:pPr>
            <w:r>
              <w:rPr>
                <w:rFonts w:hint="eastAsia" w:eastAsia="宋体"/>
                <w:color w:val="000000"/>
                <w:sz w:val="21"/>
                <w:szCs w:val="21"/>
                <w:lang w:val="en-US" w:eastAsia="zh-CN"/>
              </w:rPr>
              <w:t>第二课堂</w:t>
            </w:r>
          </w:p>
          <w:p w14:paraId="507C7479">
            <w:pPr>
              <w:pStyle w:val="36"/>
              <w:jc w:val="center"/>
              <w:rPr>
                <w:rFonts w:hint="default" w:eastAsia="宋体"/>
                <w:color w:val="000000"/>
                <w:sz w:val="21"/>
                <w:szCs w:val="21"/>
                <w:lang w:val="en-US" w:eastAsia="zh-CN"/>
              </w:rPr>
            </w:pPr>
            <w:r>
              <w:rPr>
                <w:rFonts w:hint="eastAsia" w:eastAsia="宋体"/>
                <w:color w:val="000000"/>
                <w:sz w:val="21"/>
                <w:szCs w:val="21"/>
                <w:lang w:val="en-US" w:eastAsia="zh-CN"/>
              </w:rPr>
              <w:t>课内实践</w:t>
            </w:r>
          </w:p>
          <w:p w14:paraId="1A2D78A2">
            <w:pPr>
              <w:adjustRightInd w:val="0"/>
              <w:snapToGrid w:val="0"/>
              <w:jc w:val="center"/>
              <w:rPr>
                <w:rFonts w:hint="eastAsia"/>
                <w:color w:val="000000"/>
                <w:sz w:val="21"/>
                <w:szCs w:val="21"/>
              </w:rPr>
            </w:pPr>
            <w:r>
              <w:rPr>
                <w:rFonts w:hint="eastAsia" w:eastAsia="宋体"/>
                <w:color w:val="000000"/>
                <w:sz w:val="21"/>
                <w:szCs w:val="21"/>
              </w:rPr>
              <w:t>期末考试</w:t>
            </w:r>
          </w:p>
        </w:tc>
        <w:tc>
          <w:tcPr>
            <w:tcW w:w="3601" w:type="dxa"/>
            <w:tcBorders>
              <w:top w:val="single" w:color="auto" w:sz="4" w:space="0"/>
              <w:left w:val="single" w:color="auto" w:sz="4" w:space="0"/>
              <w:bottom w:val="single" w:color="auto" w:sz="4" w:space="0"/>
              <w:right w:val="single" w:color="auto" w:sz="4" w:space="0"/>
            </w:tcBorders>
            <w:noWrap w:val="0"/>
            <w:vAlign w:val="center"/>
          </w:tcPr>
          <w:p w14:paraId="03AD3D6F">
            <w:pPr>
              <w:pStyle w:val="36"/>
              <w:rPr>
                <w:rFonts w:hint="eastAsia" w:eastAsia="宋体"/>
                <w:color w:val="000000"/>
                <w:sz w:val="21"/>
                <w:szCs w:val="21"/>
                <w:lang w:eastAsia="zh-CN"/>
              </w:rPr>
            </w:pPr>
            <w:r>
              <w:rPr>
                <w:rFonts w:hint="eastAsia" w:eastAsia="宋体"/>
                <w:color w:val="000000"/>
                <w:sz w:val="21"/>
                <w:szCs w:val="21"/>
              </w:rPr>
              <w:t>平时成绩登记表</w:t>
            </w:r>
            <w:r>
              <w:rPr>
                <w:rFonts w:hint="eastAsia" w:eastAsia="宋体"/>
                <w:color w:val="000000"/>
                <w:sz w:val="21"/>
                <w:szCs w:val="21"/>
                <w:lang w:eastAsia="zh-CN"/>
              </w:rPr>
              <w:t>（</w:t>
            </w:r>
            <w:r>
              <w:rPr>
                <w:rFonts w:hint="eastAsia" w:eastAsia="宋体"/>
                <w:color w:val="000000"/>
                <w:sz w:val="21"/>
                <w:szCs w:val="21"/>
              </w:rPr>
              <w:t>纸质稿</w:t>
            </w:r>
            <w:r>
              <w:rPr>
                <w:rFonts w:hint="eastAsia" w:eastAsia="宋体"/>
                <w:color w:val="000000"/>
                <w:sz w:val="21"/>
                <w:szCs w:val="21"/>
                <w:lang w:eastAsia="zh-CN"/>
              </w:rPr>
              <w:t>）</w:t>
            </w:r>
          </w:p>
          <w:p w14:paraId="42D61A52">
            <w:pPr>
              <w:pStyle w:val="36"/>
              <w:rPr>
                <w:rFonts w:hint="default" w:eastAsia="宋体"/>
                <w:color w:val="000000"/>
                <w:sz w:val="21"/>
                <w:szCs w:val="21"/>
                <w:lang w:val="en-US" w:eastAsia="zh-CN"/>
              </w:rPr>
            </w:pPr>
            <w:r>
              <w:rPr>
                <w:rFonts w:hint="eastAsia" w:eastAsia="宋体"/>
                <w:color w:val="000000"/>
                <w:sz w:val="21"/>
                <w:szCs w:val="21"/>
                <w:lang w:val="en-US" w:eastAsia="zh-CN"/>
              </w:rPr>
              <w:t>第二课堂证书（电子稿）</w:t>
            </w:r>
          </w:p>
          <w:p w14:paraId="416F053C">
            <w:pPr>
              <w:pStyle w:val="36"/>
              <w:rPr>
                <w:rFonts w:hint="eastAsia" w:eastAsia="宋体"/>
                <w:color w:val="000000"/>
                <w:sz w:val="21"/>
                <w:szCs w:val="21"/>
              </w:rPr>
            </w:pPr>
            <w:r>
              <w:rPr>
                <w:rFonts w:hint="eastAsia" w:eastAsia="宋体"/>
                <w:color w:val="000000"/>
                <w:sz w:val="21"/>
                <w:szCs w:val="21"/>
                <w:lang w:val="en-US" w:eastAsia="zh-CN"/>
              </w:rPr>
              <w:t>作业、测试、自主学习（电子稿）</w:t>
            </w:r>
          </w:p>
          <w:p w14:paraId="5078E2C9">
            <w:pPr>
              <w:adjustRightInd w:val="0"/>
              <w:snapToGrid w:val="0"/>
              <w:rPr>
                <w:color w:val="000000"/>
                <w:sz w:val="21"/>
                <w:szCs w:val="21"/>
              </w:rPr>
            </w:pPr>
            <w:r>
              <w:rPr>
                <w:rFonts w:hint="eastAsia" w:eastAsia="宋体"/>
                <w:color w:val="000000"/>
                <w:sz w:val="21"/>
                <w:szCs w:val="21"/>
              </w:rPr>
              <w:t>期末试卷</w:t>
            </w:r>
            <w:r>
              <w:rPr>
                <w:rFonts w:hint="eastAsia"/>
                <w:color w:val="000000"/>
                <w:sz w:val="21"/>
                <w:szCs w:val="21"/>
                <w:lang w:eastAsia="zh-CN"/>
              </w:rPr>
              <w:t>（</w:t>
            </w:r>
            <w:r>
              <w:rPr>
                <w:rFonts w:hint="eastAsia" w:eastAsia="宋体"/>
                <w:color w:val="000000"/>
                <w:sz w:val="21"/>
                <w:szCs w:val="21"/>
              </w:rPr>
              <w:t>电子稿</w:t>
            </w:r>
            <w:r>
              <w:rPr>
                <w:rFonts w:hint="eastAsia"/>
                <w:color w:val="000000"/>
                <w:sz w:val="21"/>
                <w:szCs w:val="21"/>
                <w:lang w:eastAsia="zh-CN"/>
              </w:rPr>
              <w:t>）</w:t>
            </w:r>
          </w:p>
        </w:tc>
      </w:tr>
    </w:tbl>
    <w:p w14:paraId="3FAA5677">
      <w:pPr>
        <w:snapToGrid w:val="0"/>
        <w:spacing w:line="360" w:lineRule="auto"/>
        <w:ind w:firstLine="422" w:firstLineChars="200"/>
        <w:rPr>
          <w:rFonts w:hint="eastAsia"/>
          <w:b/>
          <w:sz w:val="21"/>
          <w:szCs w:val="21"/>
        </w:rPr>
      </w:pPr>
    </w:p>
    <w:p w14:paraId="3A4BC6BC">
      <w:pPr>
        <w:snapToGrid w:val="0"/>
        <w:spacing w:line="360" w:lineRule="auto"/>
        <w:ind w:firstLine="472" w:firstLineChars="196"/>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七</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有关说明</w:t>
      </w:r>
    </w:p>
    <w:p w14:paraId="5C75C4E7">
      <w:pPr>
        <w:adjustRightInd w:val="0"/>
        <w:snapToGrid w:val="0"/>
        <w:spacing w:line="360" w:lineRule="auto"/>
        <w:ind w:firstLine="422" w:firstLineChars="200"/>
        <w:rPr>
          <w:b/>
          <w:color w:val="000000"/>
          <w:sz w:val="21"/>
          <w:szCs w:val="21"/>
        </w:rPr>
      </w:pPr>
      <w:r>
        <w:rPr>
          <w:rFonts w:hint="eastAsia"/>
          <w:b/>
          <w:color w:val="000000"/>
          <w:sz w:val="21"/>
          <w:szCs w:val="21"/>
        </w:rPr>
        <w:t>（一）持续改进</w:t>
      </w:r>
    </w:p>
    <w:p w14:paraId="5CCD72BA">
      <w:pPr>
        <w:snapToGrid w:val="0"/>
        <w:spacing w:line="360" w:lineRule="auto"/>
        <w:ind w:firstLine="630" w:firstLineChars="300"/>
        <w:rPr>
          <w:sz w:val="21"/>
          <w:szCs w:val="21"/>
        </w:rPr>
      </w:pPr>
      <w:r>
        <w:rPr>
          <w:rFonts w:hint="eastAsia"/>
          <w:sz w:val="21"/>
          <w:szCs w:val="21"/>
        </w:rPr>
        <w:t>本课程根据学生作业、课堂讨论、平时考核情况和学生、教学督导等的反馈，及时对教学中的不足之处进行改进，并在下一轮课程教学中整改完善。</w:t>
      </w:r>
    </w:p>
    <w:p w14:paraId="42D866DD">
      <w:pPr>
        <w:snapToGrid w:val="0"/>
        <w:spacing w:line="360" w:lineRule="auto"/>
        <w:ind w:firstLine="422" w:firstLineChars="200"/>
        <w:rPr>
          <w:rFonts w:hint="eastAsia"/>
          <w:b/>
          <w:color w:val="000000"/>
          <w:sz w:val="21"/>
          <w:szCs w:val="21"/>
        </w:rPr>
      </w:pPr>
      <w:r>
        <w:rPr>
          <w:rFonts w:hint="eastAsia"/>
          <w:b/>
          <w:color w:val="000000"/>
          <w:sz w:val="21"/>
          <w:szCs w:val="21"/>
        </w:rPr>
        <w:t>（二）</w:t>
      </w:r>
      <w:r>
        <w:rPr>
          <w:b/>
          <w:color w:val="000000"/>
          <w:sz w:val="21"/>
          <w:szCs w:val="21"/>
        </w:rPr>
        <w:t>参考书目及学习资料</w:t>
      </w:r>
    </w:p>
    <w:p w14:paraId="06D0FD97">
      <w:pPr>
        <w:snapToGrid w:val="0"/>
        <w:spacing w:line="360" w:lineRule="auto"/>
        <w:ind w:firstLine="630" w:firstLineChars="300"/>
        <w:rPr>
          <w:sz w:val="21"/>
          <w:szCs w:val="21"/>
        </w:rPr>
      </w:pPr>
      <w:r>
        <w:rPr>
          <w:rFonts w:hint="eastAsia"/>
          <w:b w:val="0"/>
          <w:bCs/>
          <w:color w:val="000000"/>
          <w:sz w:val="21"/>
          <w:szCs w:val="21"/>
          <w:lang w:val="en-US" w:eastAsia="zh-CN"/>
        </w:rPr>
        <w:t xml:space="preserve">1. </w:t>
      </w:r>
      <w:r>
        <w:rPr>
          <w:rFonts w:hint="eastAsia"/>
          <w:sz w:val="21"/>
          <w:szCs w:val="21"/>
        </w:rPr>
        <w:t>习近平谈治国理政（中英文版）</w:t>
      </w:r>
      <w:r>
        <w:rPr>
          <w:sz w:val="21"/>
          <w:szCs w:val="21"/>
        </w:rPr>
        <w:t>[M]</w:t>
      </w:r>
      <w:r>
        <w:rPr>
          <w:rFonts w:hint="eastAsia"/>
          <w:sz w:val="21"/>
          <w:szCs w:val="21"/>
        </w:rPr>
        <w:t>. 北京：外文出版社</w:t>
      </w:r>
      <w:r>
        <w:rPr>
          <w:sz w:val="21"/>
          <w:szCs w:val="21"/>
        </w:rPr>
        <w:t>, 2022.</w:t>
      </w:r>
    </w:p>
    <w:p w14:paraId="28E05F71">
      <w:pPr>
        <w:snapToGrid w:val="0"/>
        <w:spacing w:line="360" w:lineRule="auto"/>
        <w:ind w:firstLine="630" w:firstLineChars="300"/>
        <w:rPr>
          <w:rFonts w:ascii="Times New Roman" w:hAnsi="Times New Roman"/>
          <w:sz w:val="21"/>
          <w:szCs w:val="21"/>
        </w:rPr>
      </w:pPr>
      <w:r>
        <w:rPr>
          <w:rFonts w:hint="eastAsia"/>
          <w:sz w:val="21"/>
          <w:szCs w:val="21"/>
          <w:lang w:val="en-US" w:eastAsia="zh-CN"/>
        </w:rPr>
        <w:t xml:space="preserve">2. </w:t>
      </w:r>
      <w:r>
        <w:rPr>
          <w:rFonts w:ascii="Times New Roman" w:hAnsi="Times New Roman"/>
          <w:sz w:val="21"/>
          <w:szCs w:val="21"/>
        </w:rPr>
        <w:t>大学英语课程教学指南[Z]. 北京：外语教学与研究出版社, 20</w:t>
      </w:r>
      <w:r>
        <w:rPr>
          <w:rFonts w:hint="eastAsia" w:ascii="Times New Roman" w:hAnsi="Times New Roman"/>
          <w:sz w:val="21"/>
          <w:szCs w:val="21"/>
          <w:lang w:val="en-US" w:eastAsia="zh-CN"/>
        </w:rPr>
        <w:t>20</w:t>
      </w:r>
      <w:r>
        <w:rPr>
          <w:rFonts w:ascii="Times New Roman" w:hAnsi="Times New Roman"/>
          <w:sz w:val="21"/>
          <w:szCs w:val="21"/>
        </w:rPr>
        <w:t>.</w:t>
      </w:r>
    </w:p>
    <w:p w14:paraId="7E717858">
      <w:pPr>
        <w:snapToGrid w:val="0"/>
        <w:spacing w:line="360" w:lineRule="auto"/>
        <w:ind w:firstLine="630" w:firstLineChars="300"/>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 xml:space="preserve">3. </w:t>
      </w:r>
      <w:r>
        <w:rPr>
          <w:rFonts w:ascii="Times New Roman" w:hAnsi="Times New Roman"/>
          <w:sz w:val="21"/>
          <w:szCs w:val="21"/>
        </w:rPr>
        <w:t>欧洲共同语言参照框架：学习、教学、评价[M]．北京：外语教育与研究出版社, 2008</w:t>
      </w:r>
      <w:r>
        <w:rPr>
          <w:rFonts w:hint="eastAsia"/>
          <w:sz w:val="21"/>
          <w:szCs w:val="21"/>
          <w:lang w:val="en-US" w:eastAsia="zh-CN"/>
        </w:rPr>
        <w:t>.</w:t>
      </w:r>
    </w:p>
    <w:p w14:paraId="64291E8D">
      <w:pPr>
        <w:snapToGrid w:val="0"/>
        <w:spacing w:line="360" w:lineRule="auto"/>
        <w:ind w:firstLine="630" w:firstLineChars="300"/>
        <w:rPr>
          <w:rFonts w:hint="default" w:ascii="Times New Roman" w:hAnsi="Times New Roman" w:eastAsia="宋体"/>
          <w:sz w:val="21"/>
          <w:szCs w:val="21"/>
          <w:lang w:val="en-US" w:eastAsia="zh-CN"/>
        </w:rPr>
      </w:pPr>
      <w:r>
        <w:rPr>
          <w:rFonts w:hint="eastAsia"/>
          <w:sz w:val="21"/>
          <w:szCs w:val="21"/>
          <w:lang w:val="en-US" w:eastAsia="zh-CN"/>
        </w:rPr>
        <w:t xml:space="preserve">4. </w:t>
      </w:r>
      <w:r>
        <w:rPr>
          <w:rFonts w:hint="eastAsia"/>
          <w:b w:val="0"/>
          <w:bCs/>
          <w:kern w:val="0"/>
          <w:sz w:val="21"/>
          <w:szCs w:val="21"/>
          <w:lang w:val="en-US" w:eastAsia="zh-CN"/>
        </w:rPr>
        <w:t>学术英语</w:t>
      </w:r>
      <w:r>
        <w:rPr>
          <w:rFonts w:hint="eastAsia"/>
          <w:b w:val="0"/>
          <w:bCs/>
          <w:kern w:val="0"/>
          <w:sz w:val="21"/>
          <w:szCs w:val="21"/>
        </w:rPr>
        <w:t>（第二版）[M]. 北京：外语教学与研究出版社，202</w:t>
      </w:r>
      <w:r>
        <w:rPr>
          <w:rFonts w:hint="eastAsia"/>
          <w:b w:val="0"/>
          <w:bCs/>
          <w:kern w:val="0"/>
          <w:sz w:val="21"/>
          <w:szCs w:val="21"/>
          <w:lang w:val="en-US" w:eastAsia="zh-CN"/>
        </w:rPr>
        <w:t>1.</w:t>
      </w:r>
    </w:p>
    <w:p w14:paraId="334AE599">
      <w:pPr>
        <w:autoSpaceDE w:val="0"/>
        <w:autoSpaceDN w:val="0"/>
        <w:adjustRightInd w:val="0"/>
        <w:snapToGrid w:val="0"/>
        <w:spacing w:line="360" w:lineRule="auto"/>
        <w:ind w:left="928" w:leftChars="342" w:hanging="210" w:hangingChars="100"/>
        <w:jc w:val="left"/>
        <w:rPr>
          <w:rFonts w:hint="eastAsia"/>
          <w:sz w:val="21"/>
          <w:szCs w:val="21"/>
          <w:lang w:val="en-US" w:eastAsia="zh-CN"/>
        </w:rPr>
      </w:pPr>
      <w:r>
        <w:rPr>
          <w:rFonts w:hint="eastAsia"/>
          <w:sz w:val="21"/>
          <w:szCs w:val="21"/>
          <w:lang w:val="en-US" w:eastAsia="zh-CN"/>
        </w:rPr>
        <w:t xml:space="preserve">5. </w:t>
      </w:r>
      <w:r>
        <w:rPr>
          <w:rFonts w:hint="eastAsia"/>
          <w:sz w:val="21"/>
          <w:szCs w:val="21"/>
        </w:rPr>
        <w:t>新编大学英语技能进阶教程（第1版）</w:t>
      </w:r>
      <w:r>
        <w:rPr>
          <w:rFonts w:hint="eastAsia"/>
          <w:b w:val="0"/>
          <w:bCs/>
          <w:kern w:val="0"/>
          <w:sz w:val="21"/>
          <w:szCs w:val="21"/>
        </w:rPr>
        <w:t>[M].</w:t>
      </w:r>
      <w:r>
        <w:rPr>
          <w:rFonts w:hint="eastAsia"/>
          <w:b w:val="0"/>
          <w:bCs/>
          <w:kern w:val="0"/>
          <w:sz w:val="21"/>
          <w:szCs w:val="21"/>
          <w:lang w:val="en-US" w:eastAsia="zh-CN"/>
        </w:rPr>
        <w:t xml:space="preserve"> 南京：</w:t>
      </w:r>
      <w:r>
        <w:rPr>
          <w:rFonts w:hint="eastAsia"/>
          <w:sz w:val="21"/>
          <w:szCs w:val="21"/>
        </w:rPr>
        <w:t>东南大学出版社，2023</w:t>
      </w:r>
      <w:r>
        <w:rPr>
          <w:rFonts w:hint="eastAsia"/>
          <w:sz w:val="21"/>
          <w:szCs w:val="21"/>
          <w:lang w:val="en-US" w:eastAsia="zh-CN"/>
        </w:rPr>
        <w:t>.</w:t>
      </w:r>
    </w:p>
    <w:p w14:paraId="19D1BD24">
      <w:pPr>
        <w:snapToGrid w:val="0"/>
        <w:spacing w:line="360" w:lineRule="auto"/>
        <w:ind w:firstLine="630" w:firstLineChars="300"/>
        <w:rPr>
          <w:rFonts w:hint="default"/>
          <w:sz w:val="21"/>
          <w:szCs w:val="21"/>
          <w:lang w:val="en-US" w:eastAsia="zh-CN"/>
        </w:rPr>
      </w:pPr>
      <w:r>
        <w:rPr>
          <w:rFonts w:hint="eastAsia"/>
          <w:sz w:val="21"/>
          <w:szCs w:val="21"/>
          <w:lang w:val="en-US" w:eastAsia="zh-CN"/>
        </w:rPr>
        <w:t>6. 中华科学技术大词典[K]. 北京：</w:t>
      </w:r>
      <w:r>
        <w:rPr>
          <w:rFonts w:hint="eastAsia"/>
          <w:sz w:val="21"/>
          <w:szCs w:val="21"/>
        </w:rPr>
        <w:t>商务印书馆，2023</w:t>
      </w:r>
      <w:r>
        <w:rPr>
          <w:rFonts w:hint="eastAsia"/>
          <w:sz w:val="21"/>
          <w:szCs w:val="21"/>
          <w:lang w:val="en-US" w:eastAsia="zh-CN"/>
        </w:rPr>
        <w:t>.</w:t>
      </w:r>
    </w:p>
    <w:p w14:paraId="4126CCB0">
      <w:pPr>
        <w:snapToGrid w:val="0"/>
        <w:spacing w:line="360" w:lineRule="auto"/>
        <w:ind w:firstLine="630" w:firstLineChars="300"/>
        <w:rPr>
          <w:rFonts w:hint="eastAsia" w:eastAsia="宋体"/>
          <w:sz w:val="21"/>
          <w:szCs w:val="21"/>
          <w:lang w:val="en-US" w:eastAsia="zh-CN"/>
        </w:rPr>
      </w:pPr>
      <w:r>
        <w:rPr>
          <w:rFonts w:hint="eastAsia"/>
          <w:sz w:val="21"/>
          <w:szCs w:val="21"/>
          <w:lang w:val="en-US" w:eastAsia="zh-CN"/>
        </w:rPr>
        <w:t xml:space="preserve">7. </w:t>
      </w:r>
      <w:r>
        <w:rPr>
          <w:rFonts w:hint="eastAsia"/>
          <w:sz w:val="21"/>
          <w:szCs w:val="21"/>
        </w:rPr>
        <w:t>朗文当代高级英语辞典（第6版）</w:t>
      </w:r>
      <w:r>
        <w:rPr>
          <w:rFonts w:ascii="Times New Roman" w:hAnsi="Times New Roman"/>
          <w:sz w:val="21"/>
          <w:szCs w:val="21"/>
        </w:rPr>
        <w:t>[</w:t>
      </w:r>
      <w:r>
        <w:rPr>
          <w:rFonts w:hint="eastAsia"/>
          <w:sz w:val="21"/>
          <w:szCs w:val="21"/>
          <w:lang w:val="en-US" w:eastAsia="zh-CN"/>
        </w:rPr>
        <w:t>K</w:t>
      </w:r>
      <w:r>
        <w:rPr>
          <w:rFonts w:ascii="Times New Roman" w:hAnsi="Times New Roman"/>
          <w:sz w:val="21"/>
          <w:szCs w:val="21"/>
        </w:rPr>
        <w:t>]</w:t>
      </w:r>
      <w:r>
        <w:rPr>
          <w:rFonts w:hint="eastAsia"/>
          <w:sz w:val="21"/>
          <w:szCs w:val="21"/>
          <w:lang w:val="en-US" w:eastAsia="zh-CN"/>
        </w:rPr>
        <w:t>. 北京：</w:t>
      </w:r>
      <w:r>
        <w:rPr>
          <w:rFonts w:hint="eastAsia"/>
          <w:sz w:val="21"/>
          <w:szCs w:val="21"/>
        </w:rPr>
        <w:t>外语教学与研究出版社，2019</w:t>
      </w:r>
      <w:r>
        <w:rPr>
          <w:rFonts w:hint="eastAsia"/>
          <w:sz w:val="21"/>
          <w:szCs w:val="21"/>
          <w:lang w:val="en-US" w:eastAsia="zh-CN"/>
        </w:rPr>
        <w:t>.</w:t>
      </w:r>
    </w:p>
    <w:p w14:paraId="555ED691">
      <w:pPr>
        <w:snapToGrid w:val="0"/>
        <w:spacing w:line="360" w:lineRule="auto"/>
        <w:ind w:firstLine="630" w:firstLineChars="300"/>
        <w:rPr>
          <w:rFonts w:hint="eastAsia" w:eastAsia="宋体"/>
          <w:sz w:val="21"/>
          <w:szCs w:val="21"/>
          <w:lang w:val="en-US" w:eastAsia="zh-CN"/>
        </w:rPr>
      </w:pPr>
      <w:r>
        <w:rPr>
          <w:rFonts w:hint="eastAsia"/>
          <w:sz w:val="21"/>
          <w:szCs w:val="21"/>
          <w:lang w:val="en-US" w:eastAsia="zh-CN"/>
        </w:rPr>
        <w:t xml:space="preserve">8. </w:t>
      </w:r>
      <w:r>
        <w:rPr>
          <w:rFonts w:hint="eastAsia"/>
          <w:sz w:val="21"/>
          <w:szCs w:val="21"/>
        </w:rPr>
        <w:t>牛津高阶英汉双解词典（第10版）</w:t>
      </w:r>
      <w:r>
        <w:rPr>
          <w:rFonts w:ascii="Times New Roman" w:hAnsi="Times New Roman"/>
          <w:sz w:val="21"/>
          <w:szCs w:val="21"/>
        </w:rPr>
        <w:t>[</w:t>
      </w:r>
      <w:r>
        <w:rPr>
          <w:rFonts w:hint="eastAsia"/>
          <w:sz w:val="21"/>
          <w:szCs w:val="21"/>
          <w:lang w:val="en-US" w:eastAsia="zh-CN"/>
        </w:rPr>
        <w:t>K</w:t>
      </w:r>
      <w:r>
        <w:rPr>
          <w:rFonts w:ascii="Times New Roman" w:hAnsi="Times New Roman"/>
          <w:sz w:val="21"/>
          <w:szCs w:val="21"/>
        </w:rPr>
        <w:t>]</w:t>
      </w:r>
      <w:r>
        <w:rPr>
          <w:rFonts w:hint="eastAsia"/>
          <w:sz w:val="21"/>
          <w:szCs w:val="21"/>
          <w:lang w:val="en-US" w:eastAsia="zh-CN"/>
        </w:rPr>
        <w:t>. 北京：</w:t>
      </w:r>
      <w:r>
        <w:rPr>
          <w:rFonts w:hint="eastAsia"/>
          <w:sz w:val="21"/>
          <w:szCs w:val="21"/>
        </w:rPr>
        <w:t>商务印书馆，2023</w:t>
      </w:r>
      <w:r>
        <w:rPr>
          <w:rFonts w:hint="eastAsia"/>
          <w:sz w:val="21"/>
          <w:szCs w:val="21"/>
          <w:lang w:val="en-US" w:eastAsia="zh-CN"/>
        </w:rPr>
        <w:t>.</w:t>
      </w:r>
    </w:p>
    <w:p w14:paraId="4ACA8C6F">
      <w:pPr>
        <w:autoSpaceDE w:val="0"/>
        <w:autoSpaceDN w:val="0"/>
        <w:adjustRightInd w:val="0"/>
        <w:snapToGrid w:val="0"/>
        <w:spacing w:line="360" w:lineRule="auto"/>
        <w:ind w:firstLine="630" w:firstLineChars="300"/>
        <w:jc w:val="left"/>
        <w:rPr>
          <w:sz w:val="21"/>
          <w:szCs w:val="21"/>
        </w:rPr>
      </w:pPr>
      <w:r>
        <w:rPr>
          <w:rFonts w:hint="eastAsia"/>
          <w:sz w:val="21"/>
          <w:szCs w:val="21"/>
          <w:lang w:val="en-US" w:eastAsia="zh-CN"/>
        </w:rPr>
        <w:t xml:space="preserve">9. </w:t>
      </w:r>
      <w:r>
        <w:rPr>
          <w:sz w:val="21"/>
          <w:szCs w:val="21"/>
        </w:rPr>
        <w:t>数字化教学</w:t>
      </w:r>
      <w:r>
        <w:rPr>
          <w:rFonts w:hint="eastAsia"/>
          <w:sz w:val="21"/>
          <w:szCs w:val="21"/>
        </w:rPr>
        <w:t>资源</w:t>
      </w:r>
      <w:r>
        <w:rPr>
          <w:sz w:val="21"/>
          <w:szCs w:val="21"/>
        </w:rPr>
        <w:t>链接</w:t>
      </w:r>
    </w:p>
    <w:p w14:paraId="6623BA6E">
      <w:pPr>
        <w:numPr>
          <w:ilvl w:val="0"/>
          <w:numId w:val="0"/>
        </w:numPr>
        <w:ind w:left="420" w:leftChars="0" w:firstLine="420" w:firstLineChars="0"/>
        <w:rPr>
          <w:rFonts w:hint="eastAsia" w:ascii="Times New Roman" w:hAnsi="Times New Roman"/>
          <w:sz w:val="21"/>
          <w:szCs w:val="21"/>
        </w:rPr>
      </w:pPr>
      <w:r>
        <w:rPr>
          <w:rFonts w:hint="eastAsia" w:ascii="Times New Roman" w:hAnsi="Times New Roman"/>
          <w:sz w:val="21"/>
          <w:szCs w:val="21"/>
          <w:lang w:val="en-US" w:eastAsia="zh-CN"/>
        </w:rPr>
        <w:t>(1)</w:t>
      </w:r>
      <w:r>
        <w:rPr>
          <w:rFonts w:ascii="Times New Roman" w:hAnsi="Times New Roman"/>
          <w:sz w:val="21"/>
          <w:szCs w:val="21"/>
        </w:rPr>
        <w:t>中国大学MOOC国家精品资源共享课，跨文化交际，</w:t>
      </w:r>
      <w:r>
        <w:rPr>
          <w:rFonts w:hint="eastAsia" w:ascii="Times New Roman" w:hAnsi="Times New Roman"/>
          <w:sz w:val="21"/>
          <w:szCs w:val="21"/>
        </w:rPr>
        <w:t>河北</w:t>
      </w:r>
      <w:r>
        <w:rPr>
          <w:rFonts w:ascii="Times New Roman" w:hAnsi="Times New Roman"/>
          <w:sz w:val="21"/>
          <w:szCs w:val="21"/>
        </w:rPr>
        <w:t>工业大学</w:t>
      </w:r>
      <w:r>
        <w:rPr>
          <w:rFonts w:hint="eastAsia" w:ascii="Times New Roman" w:hAnsi="Times New Roman"/>
          <w:sz w:val="21"/>
          <w:szCs w:val="21"/>
        </w:rPr>
        <w:t>，</w:t>
      </w:r>
      <w:r>
        <w:rPr>
          <w:rFonts w:ascii="Times New Roman" w:hAnsi="Times New Roman"/>
          <w:sz w:val="21"/>
          <w:szCs w:val="21"/>
        </w:rPr>
        <w:fldChar w:fldCharType="begin"/>
      </w:r>
      <w:r>
        <w:rPr>
          <w:rFonts w:ascii="Times New Roman" w:hAnsi="Times New Roman"/>
          <w:sz w:val="21"/>
          <w:szCs w:val="21"/>
        </w:rPr>
        <w:instrText xml:space="preserve"> HYPERLINK "http://www.icourse163.org/course/HLJU-1206434803" </w:instrText>
      </w:r>
      <w:r>
        <w:rPr>
          <w:rFonts w:ascii="Times New Roman" w:hAnsi="Times New Roman"/>
          <w:sz w:val="21"/>
          <w:szCs w:val="21"/>
        </w:rPr>
        <w:fldChar w:fldCharType="separate"/>
      </w:r>
      <w:r>
        <w:rPr>
          <w:rFonts w:ascii="Times New Roman" w:hAnsi="Times New Roman"/>
          <w:sz w:val="21"/>
          <w:szCs w:val="21"/>
        </w:rPr>
        <w:t>http://www.icourse163.org/course/HLJU-1206434803</w:t>
      </w:r>
      <w:r>
        <w:rPr>
          <w:rFonts w:ascii="Times New Roman" w:hAnsi="Times New Roman"/>
          <w:sz w:val="21"/>
          <w:szCs w:val="21"/>
        </w:rPr>
        <w:fldChar w:fldCharType="end"/>
      </w:r>
      <w:r>
        <w:rPr>
          <w:rFonts w:hint="eastAsia" w:ascii="Times New Roman" w:hAnsi="Times New Roman"/>
          <w:sz w:val="21"/>
          <w:szCs w:val="21"/>
        </w:rPr>
        <w:t>.</w:t>
      </w:r>
    </w:p>
    <w:p w14:paraId="19E5BE39">
      <w:pPr>
        <w:numPr>
          <w:ilvl w:val="0"/>
          <w:numId w:val="0"/>
        </w:numPr>
        <w:ind w:left="420" w:leftChars="0" w:firstLine="420" w:firstLineChars="0"/>
        <w:rPr>
          <w:rFonts w:ascii="Times New Roman" w:hAnsi="Times New Roman"/>
          <w:sz w:val="21"/>
          <w:szCs w:val="21"/>
        </w:rPr>
      </w:pPr>
      <w:r>
        <w:rPr>
          <w:rFonts w:hint="eastAsia" w:ascii="Times New Roman" w:hAnsi="Times New Roman"/>
          <w:sz w:val="21"/>
          <w:szCs w:val="21"/>
          <w:lang w:val="en-US" w:eastAsia="zh-CN"/>
        </w:rPr>
        <w:t>(2)</w:t>
      </w:r>
      <w:r>
        <w:rPr>
          <w:rFonts w:ascii="Times New Roman" w:hAnsi="Times New Roman"/>
          <w:sz w:val="21"/>
          <w:szCs w:val="21"/>
        </w:rPr>
        <w:t>中国大学MOOC国家精品资源共享课，</w:t>
      </w:r>
      <w:r>
        <w:rPr>
          <w:rFonts w:hint="eastAsia" w:ascii="Times New Roman" w:hAnsi="Times New Roman"/>
          <w:sz w:val="21"/>
          <w:szCs w:val="21"/>
        </w:rPr>
        <w:t>大学</w:t>
      </w:r>
      <w:r>
        <w:rPr>
          <w:rFonts w:ascii="Times New Roman" w:hAnsi="Times New Roman"/>
          <w:sz w:val="21"/>
          <w:szCs w:val="21"/>
        </w:rPr>
        <w:t>英语学术写作，</w:t>
      </w:r>
      <w:r>
        <w:rPr>
          <w:rFonts w:hint="eastAsia" w:ascii="Times New Roman" w:hAnsi="Times New Roman"/>
          <w:sz w:val="21"/>
          <w:szCs w:val="21"/>
        </w:rPr>
        <w:t>南京</w:t>
      </w:r>
      <w:r>
        <w:rPr>
          <w:rFonts w:ascii="Times New Roman" w:hAnsi="Times New Roman"/>
          <w:sz w:val="21"/>
          <w:szCs w:val="21"/>
        </w:rPr>
        <w:t>大学</w:t>
      </w:r>
      <w:r>
        <w:rPr>
          <w:rFonts w:hint="eastAsia" w:ascii="Times New Roman" w:hAnsi="Times New Roman"/>
          <w:sz w:val="21"/>
          <w:szCs w:val="21"/>
        </w:rPr>
        <w:t xml:space="preserve">， </w:t>
      </w:r>
      <w:r>
        <w:rPr>
          <w:rFonts w:ascii="Times New Roman" w:hAnsi="Times New Roman"/>
          <w:sz w:val="21"/>
          <w:szCs w:val="21"/>
        </w:rPr>
        <w:fldChar w:fldCharType="begin"/>
      </w:r>
      <w:r>
        <w:rPr>
          <w:rFonts w:ascii="Times New Roman" w:hAnsi="Times New Roman"/>
          <w:sz w:val="21"/>
          <w:szCs w:val="21"/>
        </w:rPr>
        <w:instrText xml:space="preserve"> HYPERLINK "http://www.icourse163.org/course/NJU-1002777003" </w:instrText>
      </w:r>
      <w:r>
        <w:rPr>
          <w:rFonts w:ascii="Times New Roman" w:hAnsi="Times New Roman"/>
          <w:sz w:val="21"/>
          <w:szCs w:val="21"/>
        </w:rPr>
        <w:fldChar w:fldCharType="separate"/>
      </w:r>
      <w:r>
        <w:rPr>
          <w:rFonts w:ascii="Times New Roman" w:hAnsi="Times New Roman"/>
          <w:sz w:val="21"/>
          <w:szCs w:val="21"/>
        </w:rPr>
        <w:t>http://www.icourse163.org/course/NJU-1002777003</w:t>
      </w:r>
      <w:r>
        <w:rPr>
          <w:rFonts w:ascii="Times New Roman" w:hAnsi="Times New Roman"/>
          <w:sz w:val="21"/>
          <w:szCs w:val="21"/>
        </w:rPr>
        <w:fldChar w:fldCharType="end"/>
      </w:r>
    </w:p>
    <w:p w14:paraId="569D97D9">
      <w:pPr>
        <w:autoSpaceDE w:val="0"/>
        <w:autoSpaceDN w:val="0"/>
        <w:adjustRightInd w:val="0"/>
        <w:spacing w:line="360" w:lineRule="auto"/>
        <w:ind w:firstLine="5250" w:firstLineChars="2500"/>
        <w:jc w:val="right"/>
        <w:rPr>
          <w:rFonts w:hint="eastAsia"/>
          <w:kern w:val="0"/>
          <w:sz w:val="21"/>
          <w:szCs w:val="21"/>
        </w:rPr>
      </w:pPr>
    </w:p>
    <w:p w14:paraId="67914430">
      <w:pPr>
        <w:autoSpaceDE w:val="0"/>
        <w:autoSpaceDN w:val="0"/>
        <w:adjustRightInd w:val="0"/>
        <w:spacing w:line="360" w:lineRule="auto"/>
        <w:ind w:firstLine="6090" w:firstLineChars="2900"/>
        <w:jc w:val="right"/>
        <w:rPr>
          <w:rFonts w:hint="eastAsia"/>
          <w:kern w:val="0"/>
          <w:sz w:val="21"/>
          <w:szCs w:val="21"/>
        </w:rPr>
      </w:pPr>
      <w:r>
        <w:rPr>
          <w:rFonts w:hint="eastAsia"/>
          <w:kern w:val="0"/>
          <w:sz w:val="21"/>
          <w:szCs w:val="21"/>
        </w:rPr>
        <w:t>执笔人：</w:t>
      </w:r>
      <w:r>
        <w:rPr>
          <w:rFonts w:hint="eastAsia"/>
          <w:kern w:val="0"/>
          <w:sz w:val="21"/>
          <w:szCs w:val="21"/>
          <w:lang w:val="en-US" w:eastAsia="zh-CN"/>
        </w:rPr>
        <w:t>汤月明</w:t>
      </w:r>
      <w:r>
        <w:rPr>
          <w:rFonts w:hint="eastAsia"/>
          <w:kern w:val="0"/>
          <w:sz w:val="21"/>
          <w:szCs w:val="21"/>
        </w:rPr>
        <w:t xml:space="preserve"> </w:t>
      </w:r>
    </w:p>
    <w:p w14:paraId="56A31C20">
      <w:pPr>
        <w:autoSpaceDE w:val="0"/>
        <w:autoSpaceDN w:val="0"/>
        <w:adjustRightInd w:val="0"/>
        <w:spacing w:line="360" w:lineRule="auto"/>
        <w:ind w:firstLine="6090" w:firstLineChars="2900"/>
        <w:jc w:val="right"/>
        <w:rPr>
          <w:rFonts w:hint="eastAsia"/>
          <w:kern w:val="0"/>
          <w:sz w:val="21"/>
          <w:szCs w:val="21"/>
        </w:rPr>
      </w:pPr>
      <w:r>
        <w:rPr>
          <w:rFonts w:hint="eastAsia"/>
          <w:kern w:val="0"/>
          <w:sz w:val="21"/>
          <w:szCs w:val="21"/>
        </w:rPr>
        <w:t>审定人：</w:t>
      </w:r>
      <w:r>
        <w:rPr>
          <w:rFonts w:hint="eastAsia"/>
          <w:kern w:val="0"/>
          <w:sz w:val="21"/>
          <w:szCs w:val="21"/>
          <w:lang w:val="en-US" w:eastAsia="zh-CN"/>
        </w:rPr>
        <w:t>汤月明</w:t>
      </w:r>
      <w:r>
        <w:rPr>
          <w:rFonts w:hint="eastAsia"/>
          <w:kern w:val="0"/>
          <w:sz w:val="21"/>
          <w:szCs w:val="21"/>
        </w:rPr>
        <w:t xml:space="preserve"> </w:t>
      </w:r>
    </w:p>
    <w:p w14:paraId="2D5B3B69">
      <w:pPr>
        <w:autoSpaceDE w:val="0"/>
        <w:autoSpaceDN w:val="0"/>
        <w:adjustRightInd w:val="0"/>
        <w:spacing w:line="360" w:lineRule="auto"/>
        <w:ind w:firstLine="6090" w:firstLineChars="2900"/>
        <w:jc w:val="right"/>
        <w:rPr>
          <w:rFonts w:hint="eastAsia"/>
          <w:kern w:val="0"/>
          <w:sz w:val="21"/>
          <w:szCs w:val="21"/>
          <w:lang w:val="en-US" w:eastAsia="zh-CN"/>
        </w:rPr>
      </w:pPr>
      <w:r>
        <w:rPr>
          <w:rFonts w:hint="eastAsia"/>
          <w:kern w:val="0"/>
          <w:sz w:val="21"/>
          <w:szCs w:val="21"/>
        </w:rPr>
        <w:t>审批人：</w:t>
      </w:r>
      <w:r>
        <w:rPr>
          <w:rFonts w:hint="eastAsia"/>
          <w:kern w:val="0"/>
          <w:sz w:val="21"/>
          <w:szCs w:val="21"/>
          <w:lang w:val="en-US" w:eastAsia="zh-CN"/>
        </w:rPr>
        <w:t>施云波</w:t>
      </w:r>
    </w:p>
    <w:p w14:paraId="4DCD76E6">
      <w:pPr>
        <w:autoSpaceDE w:val="0"/>
        <w:autoSpaceDN w:val="0"/>
        <w:adjustRightInd w:val="0"/>
        <w:spacing w:line="360" w:lineRule="auto"/>
        <w:ind w:firstLine="6090" w:firstLineChars="2900"/>
        <w:jc w:val="right"/>
        <w:rPr>
          <w:rFonts w:hint="eastAsia"/>
          <w:kern w:val="0"/>
          <w:sz w:val="21"/>
          <w:szCs w:val="21"/>
          <w:lang w:val="en-US" w:eastAsia="zh-CN"/>
        </w:rPr>
      </w:pPr>
      <w:r>
        <w:rPr>
          <w:rFonts w:hint="eastAsia"/>
          <w:kern w:val="0"/>
          <w:sz w:val="21"/>
          <w:szCs w:val="21"/>
          <w:lang w:val="en-US" w:eastAsia="zh-CN"/>
        </w:rPr>
        <w:t>审批时间：2025年8月</w:t>
      </w:r>
    </w:p>
    <w:p w14:paraId="38938778">
      <w:pPr>
        <w:rPr>
          <w:rFonts w:hint="eastAsia" w:ascii="宋体" w:hAnsi="宋体" w:cs="宋体"/>
          <w:color w:val="auto"/>
          <w:sz w:val="24"/>
        </w:rPr>
      </w:pPr>
    </w:p>
    <w:p w14:paraId="28EC92C9">
      <w:pPr>
        <w:rPr>
          <w:rFonts w:hint="eastAsia" w:ascii="宋体" w:hAnsi="宋体" w:cs="宋体"/>
          <w:color w:val="auto"/>
          <w:sz w:val="24"/>
        </w:rPr>
      </w:pPr>
    </w:p>
    <w:p w14:paraId="1786C44F">
      <w:pPr>
        <w:rPr>
          <w:rFonts w:hint="eastAsia" w:ascii="宋体" w:hAnsi="宋体" w:cs="宋体"/>
          <w:color w:val="auto"/>
          <w:sz w:val="24"/>
        </w:rPr>
      </w:pPr>
      <w:r>
        <w:rPr>
          <w:rFonts w:hint="eastAsia" w:ascii="宋体" w:hAnsi="宋体" w:cs="宋体"/>
          <w:color w:val="auto"/>
          <w:sz w:val="24"/>
        </w:rPr>
        <w:br w:type="page"/>
      </w:r>
    </w:p>
    <w:p w14:paraId="7E382A97">
      <w:pPr>
        <w:rPr>
          <w:rFonts w:hint="eastAsia" w:ascii="宋体" w:hAnsi="宋体" w:cs="宋体"/>
          <w:color w:val="auto"/>
          <w:sz w:val="24"/>
        </w:rPr>
      </w:pPr>
    </w:p>
    <w:p w14:paraId="2A0D321B">
      <w:pPr>
        <w:pStyle w:val="2"/>
        <w:tabs>
          <w:tab w:val="left" w:pos="720"/>
          <w:tab w:val="left" w:pos="2700"/>
        </w:tabs>
        <w:rPr>
          <w:rFonts w:hint="default"/>
          <w:color w:val="auto"/>
          <w:lang w:val="en-US" w:eastAsia="zh-CN"/>
        </w:rPr>
      </w:pPr>
      <w:bookmarkStart w:id="34" w:name="_Toc6872"/>
      <w:r>
        <w:rPr>
          <w:rFonts w:hint="eastAsia"/>
          <w:color w:val="auto"/>
          <w:lang w:val="en-US" w:eastAsia="zh-CN"/>
        </w:rPr>
        <w:t>《计算机与人工智能基础C》</w:t>
      </w:r>
      <w:r>
        <w:rPr>
          <w:rFonts w:hint="eastAsia"/>
          <w:color w:val="auto"/>
        </w:rPr>
        <w:t>课程教学大纲</w:t>
      </w:r>
      <w:bookmarkEnd w:id="34"/>
    </w:p>
    <w:p w14:paraId="21EA4953">
      <w:pPr>
        <w:spacing w:after="156" w:afterLines="50" w:line="312" w:lineRule="auto"/>
        <w:jc w:val="center"/>
        <w:rPr>
          <w:b/>
          <w:bCs/>
          <w:sz w:val="30"/>
        </w:rPr>
      </w:pPr>
      <w:r>
        <w:rPr>
          <w:b/>
          <w:bCs/>
          <w:sz w:val="30"/>
        </w:rPr>
        <w:t>（</w:t>
      </w:r>
      <w:r>
        <w:rPr>
          <w:rFonts w:hint="eastAsia"/>
          <w:b/>
          <w:bCs/>
          <w:sz w:val="30"/>
        </w:rPr>
        <w:t xml:space="preserve">Fundamentals of Computer and Artificial Intelligence </w:t>
      </w:r>
      <w:r>
        <w:rPr>
          <w:rFonts w:hint="eastAsia"/>
          <w:b/>
          <w:bCs/>
          <w:sz w:val="30"/>
          <w:lang w:val="en-US" w:eastAsia="zh-CN"/>
        </w:rPr>
        <w:t>C</w:t>
      </w:r>
      <w:r>
        <w:rPr>
          <w:b/>
          <w:bCs/>
          <w:sz w:val="30"/>
        </w:rPr>
        <w:t>）</w:t>
      </w:r>
    </w:p>
    <w:p w14:paraId="42E3A0F1">
      <w:pPr>
        <w:snapToGrid w:val="0"/>
        <w:spacing w:line="360" w:lineRule="auto"/>
        <w:rPr>
          <w:b/>
          <w:bCs/>
          <w:kern w:val="0"/>
          <w:sz w:val="21"/>
          <w:szCs w:val="21"/>
        </w:rPr>
      </w:pPr>
    </w:p>
    <w:p w14:paraId="56CA1A79">
      <w:pPr>
        <w:snapToGrid w:val="0"/>
        <w:spacing w:line="360" w:lineRule="auto"/>
        <w:ind w:firstLine="422" w:firstLineChars="200"/>
        <w:rPr>
          <w:rFonts w:hint="eastAsia" w:eastAsia="宋体"/>
          <w:kern w:val="0"/>
          <w:sz w:val="21"/>
          <w:szCs w:val="21"/>
          <w:lang w:eastAsia="zh-CN"/>
        </w:rPr>
      </w:pPr>
      <w:r>
        <w:rPr>
          <w:b/>
          <w:bCs/>
          <w:kern w:val="0"/>
          <w:sz w:val="21"/>
          <w:szCs w:val="21"/>
        </w:rPr>
        <w:t>课程代码</w:t>
      </w:r>
      <w:r>
        <w:rPr>
          <w:b/>
          <w:kern w:val="0"/>
          <w:sz w:val="21"/>
          <w:szCs w:val="21"/>
        </w:rPr>
        <w:t>：</w:t>
      </w:r>
      <w:r>
        <w:rPr>
          <w:rFonts w:hint="eastAsia"/>
          <w:b/>
          <w:kern w:val="0"/>
          <w:sz w:val="21"/>
          <w:szCs w:val="21"/>
        </w:rPr>
        <w:t>030102</w:t>
      </w:r>
      <w:r>
        <w:rPr>
          <w:rFonts w:hint="eastAsia"/>
          <w:b/>
          <w:kern w:val="0"/>
          <w:sz w:val="21"/>
          <w:szCs w:val="21"/>
          <w:lang w:val="en-US" w:eastAsia="zh-CN"/>
        </w:rPr>
        <w:t>3</w:t>
      </w:r>
    </w:p>
    <w:p w14:paraId="1730C1DC">
      <w:pPr>
        <w:snapToGrid w:val="0"/>
        <w:spacing w:line="360" w:lineRule="auto"/>
        <w:ind w:firstLine="422" w:firstLineChars="200"/>
        <w:rPr>
          <w:rFonts w:hint="eastAsia" w:eastAsia="宋体"/>
          <w:kern w:val="0"/>
          <w:sz w:val="21"/>
          <w:szCs w:val="21"/>
          <w:lang w:val="en-US" w:eastAsia="zh-CN"/>
        </w:rPr>
      </w:pPr>
      <w:r>
        <w:rPr>
          <w:b/>
          <w:bCs/>
          <w:kern w:val="0"/>
          <w:sz w:val="21"/>
          <w:szCs w:val="21"/>
        </w:rPr>
        <w:t>学    分</w:t>
      </w:r>
      <w:r>
        <w:rPr>
          <w:b/>
          <w:kern w:val="0"/>
          <w:sz w:val="21"/>
          <w:szCs w:val="21"/>
        </w:rPr>
        <w:t>：</w:t>
      </w:r>
      <w:r>
        <w:rPr>
          <w:rFonts w:hint="eastAsia"/>
          <w:b/>
          <w:kern w:val="0"/>
          <w:sz w:val="21"/>
          <w:szCs w:val="21"/>
          <w:lang w:val="en-US" w:eastAsia="zh-CN"/>
        </w:rPr>
        <w:t>4</w:t>
      </w:r>
    </w:p>
    <w:p w14:paraId="2ED22887">
      <w:pPr>
        <w:snapToGrid w:val="0"/>
        <w:spacing w:line="360" w:lineRule="auto"/>
        <w:ind w:firstLine="422" w:firstLineChars="200"/>
        <w:rPr>
          <w:rFonts w:hint="default" w:eastAsia="宋体"/>
          <w:kern w:val="0"/>
          <w:sz w:val="21"/>
          <w:szCs w:val="21"/>
          <w:lang w:val="en-US" w:eastAsia="zh-CN"/>
        </w:rPr>
      </w:pPr>
      <w:r>
        <w:rPr>
          <w:b/>
          <w:bCs/>
          <w:kern w:val="0"/>
          <w:sz w:val="21"/>
          <w:szCs w:val="21"/>
        </w:rPr>
        <w:t>学    时</w:t>
      </w:r>
      <w:r>
        <w:rPr>
          <w:b/>
          <w:kern w:val="0"/>
          <w:sz w:val="21"/>
          <w:szCs w:val="21"/>
        </w:rPr>
        <w:t>：</w:t>
      </w:r>
      <w:r>
        <w:rPr>
          <w:rFonts w:hint="eastAsia"/>
          <w:b/>
          <w:kern w:val="0"/>
          <w:sz w:val="21"/>
          <w:szCs w:val="21"/>
          <w:lang w:val="en-US" w:eastAsia="zh-CN"/>
        </w:rPr>
        <w:t>32（</w:t>
      </w:r>
      <w:r>
        <w:rPr>
          <w:rFonts w:hint="eastAsia"/>
          <w:b/>
          <w:kern w:val="0"/>
          <w:sz w:val="21"/>
          <w:szCs w:val="21"/>
          <w:highlight w:val="none"/>
          <w:lang w:val="en-US" w:eastAsia="zh-CN"/>
        </w:rPr>
        <w:t>32理论；线上8学时，线下24学时）</w:t>
      </w:r>
    </w:p>
    <w:p w14:paraId="329144AF">
      <w:pPr>
        <w:snapToGrid w:val="0"/>
        <w:spacing w:line="360" w:lineRule="auto"/>
        <w:ind w:firstLine="422" w:firstLineChars="200"/>
        <w:rPr>
          <w:rFonts w:hint="eastAsia" w:eastAsia="宋体"/>
          <w:bCs/>
          <w:kern w:val="0"/>
          <w:sz w:val="21"/>
          <w:szCs w:val="21"/>
          <w:lang w:val="en-US" w:eastAsia="zh-CN"/>
        </w:rPr>
      </w:pPr>
      <w:r>
        <w:rPr>
          <w:b/>
          <w:bCs/>
          <w:kern w:val="0"/>
          <w:sz w:val="21"/>
          <w:szCs w:val="21"/>
        </w:rPr>
        <w:t>先修课程</w:t>
      </w:r>
      <w:r>
        <w:rPr>
          <w:b/>
          <w:kern w:val="0"/>
          <w:sz w:val="21"/>
          <w:szCs w:val="21"/>
        </w:rPr>
        <w:t>：</w:t>
      </w:r>
      <w:r>
        <w:rPr>
          <w:rFonts w:hint="eastAsia"/>
          <w:bCs/>
          <w:kern w:val="0"/>
          <w:sz w:val="21"/>
          <w:szCs w:val="21"/>
          <w:lang w:val="en-US" w:eastAsia="zh-CN"/>
        </w:rPr>
        <w:t>无</w:t>
      </w:r>
    </w:p>
    <w:p w14:paraId="7610A510">
      <w:pPr>
        <w:snapToGrid w:val="0"/>
        <w:spacing w:line="360" w:lineRule="auto"/>
        <w:ind w:firstLine="422" w:firstLineChars="200"/>
        <w:rPr>
          <w:sz w:val="21"/>
          <w:szCs w:val="21"/>
        </w:rPr>
      </w:pPr>
      <w:r>
        <w:rPr>
          <w:b/>
          <w:bCs/>
          <w:kern w:val="0"/>
          <w:sz w:val="21"/>
          <w:szCs w:val="21"/>
        </w:rPr>
        <w:t>适用专业</w:t>
      </w:r>
      <w:r>
        <w:rPr>
          <w:b/>
          <w:kern w:val="0"/>
          <w:sz w:val="21"/>
          <w:szCs w:val="21"/>
        </w:rPr>
        <w:t>：</w:t>
      </w:r>
      <w:r>
        <w:rPr>
          <w:rFonts w:hint="eastAsia" w:ascii="宋体" w:hAnsi="宋体"/>
          <w:kern w:val="0"/>
          <w:sz w:val="21"/>
          <w:szCs w:val="21"/>
        </w:rPr>
        <w:t>非计算机专业</w:t>
      </w:r>
      <w:r>
        <w:rPr>
          <w:rFonts w:ascii="宋体" w:hAnsi="宋体"/>
          <w:kern w:val="0"/>
          <w:sz w:val="21"/>
          <w:szCs w:val="21"/>
        </w:rPr>
        <w:t xml:space="preserve"> </w:t>
      </w:r>
    </w:p>
    <w:p w14:paraId="2A214DCF">
      <w:pPr>
        <w:snapToGrid w:val="0"/>
        <w:spacing w:line="360" w:lineRule="auto"/>
        <w:ind w:firstLine="422" w:firstLineChars="200"/>
        <w:rPr>
          <w:rFonts w:hint="default" w:eastAsia="宋体"/>
          <w:kern w:val="0"/>
          <w:sz w:val="21"/>
          <w:szCs w:val="21"/>
          <w:lang w:val="en-US" w:eastAsia="zh-CN"/>
        </w:rPr>
      </w:pPr>
      <w:r>
        <w:rPr>
          <w:rFonts w:hint="eastAsia"/>
          <w:b/>
          <w:bCs/>
          <w:kern w:val="0"/>
          <w:sz w:val="21"/>
          <w:szCs w:val="21"/>
        </w:rPr>
        <w:t>适用年级：</w:t>
      </w:r>
      <w:r>
        <w:rPr>
          <w:kern w:val="0"/>
          <w:sz w:val="21"/>
          <w:szCs w:val="21"/>
        </w:rPr>
        <w:t xml:space="preserve"> </w:t>
      </w:r>
      <w:r>
        <w:rPr>
          <w:rFonts w:hint="eastAsia"/>
          <w:kern w:val="0"/>
          <w:sz w:val="21"/>
          <w:szCs w:val="21"/>
          <w:lang w:val="en-US" w:eastAsia="zh-CN"/>
        </w:rPr>
        <w:t>2025级</w:t>
      </w:r>
    </w:p>
    <w:p w14:paraId="34A4DE86">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sz w:val="24"/>
          <w:szCs w:val="24"/>
        </w:rPr>
      </w:pPr>
      <w:r>
        <w:rPr>
          <w:b/>
          <w:sz w:val="24"/>
          <w:szCs w:val="24"/>
        </w:rPr>
        <w:t>一、课程</w:t>
      </w:r>
      <w:r>
        <w:rPr>
          <w:rFonts w:hint="eastAsia"/>
          <w:b/>
          <w:sz w:val="24"/>
          <w:szCs w:val="24"/>
          <w:lang w:val="en-US" w:eastAsia="zh-CN"/>
        </w:rPr>
        <w:t>简介</w:t>
      </w:r>
    </w:p>
    <w:p w14:paraId="6EA8642D">
      <w:pPr>
        <w:snapToGrid w:val="0"/>
        <w:spacing w:line="360" w:lineRule="auto"/>
        <w:ind w:firstLine="420" w:firstLineChars="200"/>
        <w:rPr>
          <w:rFonts w:hint="eastAsia" w:ascii="Times New Roman" w:hAnsi="Times New Roman" w:eastAsia="宋体" w:cs="Times New Roman"/>
          <w:b/>
          <w:sz w:val="24"/>
          <w:szCs w:val="24"/>
        </w:rPr>
      </w:pPr>
      <w:r>
        <w:rPr>
          <w:rFonts w:hint="eastAsia" w:ascii="Times New Roman" w:hAnsi="Times New Roman" w:eastAsia="宋体" w:cs="Times New Roman"/>
          <w:kern w:val="0"/>
          <w:sz w:val="21"/>
          <w:szCs w:val="21"/>
        </w:rPr>
        <w:t>《计算机与人工智能基础C》是面向全校非计算机专业学生的通识必修课，以技术认知-工具应用-创新思维为主线，构建人工智能普及教育体系。课程融合计算机科学基础与AI核心技术，通过理论讲授、案例研讨与项目实践，培养学生数字化生存能力，满足专业学习与</w:t>
      </w:r>
      <w:r>
        <w:rPr>
          <w:rFonts w:hint="eastAsia" w:ascii="Times New Roman" w:hAnsi="Times New Roman" w:eastAsia="宋体" w:cs="Times New Roman"/>
          <w:kern w:val="0"/>
          <w:sz w:val="21"/>
          <w:szCs w:val="21"/>
          <w:lang w:val="en-US" w:eastAsia="zh-CN"/>
        </w:rPr>
        <w:t>未来</w:t>
      </w:r>
      <w:r>
        <w:rPr>
          <w:rFonts w:hint="eastAsia" w:ascii="Times New Roman" w:hAnsi="Times New Roman" w:eastAsia="宋体" w:cs="Times New Roman"/>
          <w:kern w:val="0"/>
          <w:sz w:val="21"/>
          <w:szCs w:val="21"/>
        </w:rPr>
        <w:t>职场需求；提升</w:t>
      </w:r>
      <w:r>
        <w:rPr>
          <w:rFonts w:hint="eastAsia" w:ascii="Times New Roman" w:hAnsi="Times New Roman" w:eastAsia="宋体" w:cs="Times New Roman"/>
          <w:kern w:val="0"/>
          <w:sz w:val="21"/>
          <w:szCs w:val="21"/>
          <w:lang w:val="en-US" w:eastAsia="zh-CN"/>
        </w:rPr>
        <w:t>学生</w:t>
      </w:r>
      <w:r>
        <w:rPr>
          <w:rFonts w:hint="eastAsia" w:ascii="Times New Roman" w:hAnsi="Times New Roman" w:eastAsia="宋体" w:cs="Times New Roman"/>
          <w:kern w:val="0"/>
          <w:sz w:val="21"/>
          <w:szCs w:val="21"/>
        </w:rPr>
        <w:t>算法理解力与工具应用能力，适应技术迭代；</w:t>
      </w:r>
      <w:r>
        <w:rPr>
          <w:rFonts w:hint="eastAsia" w:ascii="Times New Roman" w:hAnsi="Times New Roman" w:eastAsia="宋体" w:cs="Times New Roman"/>
          <w:kern w:val="0"/>
          <w:sz w:val="21"/>
          <w:szCs w:val="21"/>
          <w:lang w:val="en-US" w:eastAsia="zh-CN"/>
        </w:rPr>
        <w:t>帮助学生</w:t>
      </w:r>
      <w:r>
        <w:rPr>
          <w:rFonts w:hint="eastAsia" w:ascii="Times New Roman" w:hAnsi="Times New Roman" w:eastAsia="宋体" w:cs="Times New Roman"/>
          <w:kern w:val="0"/>
          <w:sz w:val="21"/>
          <w:szCs w:val="21"/>
        </w:rPr>
        <w:t>树立科技伦理观，培养全球视野与终身学习能力，为个人发展提供技术支撑。</w:t>
      </w:r>
    </w:p>
    <w:p w14:paraId="41604145">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ascii="Times New Roman" w:hAnsi="Times New Roman" w:eastAsia="宋体" w:cs="Times New Roman"/>
          <w:b/>
          <w:sz w:val="24"/>
          <w:szCs w:val="24"/>
        </w:rPr>
      </w:pPr>
      <w:r>
        <w:rPr>
          <w:rFonts w:hint="eastAsia" w:ascii="Times New Roman" w:hAnsi="Times New Roman" w:eastAsia="宋体" w:cs="Times New Roman"/>
          <w:b/>
          <w:sz w:val="24"/>
          <w:szCs w:val="24"/>
        </w:rPr>
        <w:t>二</w:t>
      </w:r>
      <w:r>
        <w:rPr>
          <w:rFonts w:ascii="Times New Roman" w:hAnsi="Times New Roman" w:eastAsia="宋体" w:cs="Times New Roman"/>
          <w:b/>
          <w:sz w:val="24"/>
          <w:szCs w:val="24"/>
        </w:rPr>
        <w:t>、课程目标</w:t>
      </w:r>
    </w:p>
    <w:p w14:paraId="1A00489D">
      <w:pPr>
        <w:snapToGrid w:val="0"/>
        <w:spacing w:line="360" w:lineRule="auto"/>
        <w:ind w:firstLine="420" w:firstLineChars="200"/>
        <w:rPr>
          <w:rFonts w:hint="eastAsia"/>
          <w:kern w:val="0"/>
          <w:sz w:val="21"/>
          <w:szCs w:val="21"/>
          <w:lang w:val="en-US" w:eastAsia="zh-CN"/>
        </w:rPr>
      </w:pPr>
      <w:r>
        <w:rPr>
          <w:rFonts w:hint="eastAsia"/>
          <w:kern w:val="0"/>
          <w:sz w:val="21"/>
          <w:szCs w:val="21"/>
        </w:rPr>
        <w:t>目标1：通过课程学习，学生能够掌握人工智能的基本概念、发展历程、主要研究领域和实际应用场景，深刻理解人工智能的基本原理，并了解人工智能领域的进阶知识。</w:t>
      </w:r>
      <w:r>
        <w:rPr>
          <w:rFonts w:hint="eastAsia"/>
          <w:kern w:val="0"/>
          <w:sz w:val="21"/>
          <w:szCs w:val="21"/>
          <w:lang w:val="en-US" w:eastAsia="zh-CN"/>
        </w:rPr>
        <w:t xml:space="preserve"> </w:t>
      </w:r>
    </w:p>
    <w:p w14:paraId="78BEDEEB">
      <w:pPr>
        <w:snapToGrid w:val="0"/>
        <w:spacing w:line="360" w:lineRule="auto"/>
        <w:ind w:firstLine="420" w:firstLineChars="200"/>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目标2：提升学生信息技术综合运用能力，能够熟练获取、传输、处理和应用信息，理解并掌握数字工具的基本原理与方法。</w:t>
      </w:r>
    </w:p>
    <w:p w14:paraId="32EC96CF">
      <w:pPr>
        <w:snapToGrid w:val="0"/>
        <w:spacing w:line="360" w:lineRule="auto"/>
        <w:ind w:firstLine="420" w:firstLineChars="200"/>
        <w:rPr>
          <w:kern w:val="0"/>
          <w:sz w:val="21"/>
          <w:szCs w:val="21"/>
        </w:rPr>
      </w:pPr>
      <w:r>
        <w:rPr>
          <w:rFonts w:hint="eastAsia"/>
          <w:kern w:val="0"/>
          <w:sz w:val="21"/>
          <w:szCs w:val="21"/>
        </w:rPr>
        <w:t>课程思政育人目标：</w:t>
      </w:r>
    </w:p>
    <w:p w14:paraId="591C95A6">
      <w:pPr>
        <w:numPr>
          <w:ilvl w:val="0"/>
          <w:numId w:val="10"/>
        </w:numPr>
        <w:snapToGrid w:val="0"/>
        <w:spacing w:line="360" w:lineRule="auto"/>
        <w:ind w:firstLine="420" w:firstLineChars="200"/>
        <w:rPr>
          <w:rFonts w:hint="eastAsia"/>
          <w:kern w:val="0"/>
          <w:sz w:val="21"/>
          <w:szCs w:val="21"/>
        </w:rPr>
      </w:pPr>
      <w:r>
        <w:rPr>
          <w:rFonts w:hint="eastAsia"/>
          <w:kern w:val="0"/>
          <w:sz w:val="21"/>
          <w:szCs w:val="21"/>
        </w:rPr>
        <w:t>培养学生对人工智能领域的学习兴趣和探索精神，激发创新思维。</w:t>
      </w:r>
    </w:p>
    <w:p w14:paraId="4CAE470F">
      <w:pPr>
        <w:snapToGrid w:val="0"/>
        <w:spacing w:line="360" w:lineRule="auto"/>
        <w:ind w:firstLine="420" w:firstLineChars="200"/>
        <w:rPr>
          <w:rFonts w:hint="eastAsia" w:ascii="Times New Roman" w:hAnsi="Times New Roman" w:eastAsia="宋体" w:cs="Times New Roman"/>
          <w:kern w:val="0"/>
          <w:sz w:val="21"/>
          <w:szCs w:val="21"/>
        </w:rPr>
      </w:pPr>
      <w:r>
        <w:rPr>
          <w:rFonts w:hint="eastAsia"/>
          <w:kern w:val="0"/>
          <w:sz w:val="21"/>
          <w:szCs w:val="21"/>
        </w:rPr>
        <w:t>（2）</w:t>
      </w:r>
      <w:r>
        <w:rPr>
          <w:rFonts w:hint="eastAsia" w:ascii="Times New Roman" w:hAnsi="Times New Roman" w:eastAsia="宋体" w:cs="Times New Roman"/>
          <w:kern w:val="0"/>
          <w:sz w:val="21"/>
          <w:szCs w:val="21"/>
          <w:lang w:eastAsia="zh-CN"/>
        </w:rPr>
        <w:t>学生能够深入了解我国在人工智能领域取得的成就，增强民族自信心与自豪感，培养爱国情怀。</w:t>
      </w:r>
    </w:p>
    <w:p w14:paraId="66AF0E0A">
      <w:pPr>
        <w:snapToGrid w:val="0"/>
        <w:spacing w:line="360" w:lineRule="auto"/>
        <w:ind w:firstLine="420" w:firstLineChars="200"/>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lang w:val="en-US" w:eastAsia="zh-CN"/>
        </w:rPr>
        <w:t>3</w:t>
      </w:r>
      <w:r>
        <w:rPr>
          <w:rFonts w:hint="eastAsia" w:ascii="Times New Roman" w:hAnsi="Times New Roman" w:eastAsia="宋体" w:cs="Times New Roman"/>
          <w:kern w:val="0"/>
          <w:sz w:val="21"/>
          <w:szCs w:val="21"/>
          <w:lang w:eastAsia="zh-CN"/>
        </w:rPr>
        <w:t>）</w:t>
      </w:r>
      <w:r>
        <w:rPr>
          <w:rFonts w:hint="eastAsia"/>
          <w:kern w:val="0"/>
          <w:sz w:val="21"/>
          <w:szCs w:val="21"/>
        </w:rPr>
        <w:t>培养学生的自主学习能力和终身学习意识，能够跟踪人工智能领域的最新发展。</w:t>
      </w:r>
    </w:p>
    <w:p w14:paraId="1FA0F779">
      <w:pPr>
        <w:snapToGrid w:val="0"/>
        <w:spacing w:line="360" w:lineRule="auto"/>
        <w:ind w:firstLine="420" w:firstLineChars="200"/>
        <w:rPr>
          <w:rFonts w:hint="eastAsia"/>
          <w:kern w:val="0"/>
          <w:sz w:val="21"/>
          <w:szCs w:val="21"/>
        </w:rPr>
      </w:pPr>
      <w:r>
        <w:rPr>
          <w:rFonts w:hint="eastAsia"/>
          <w:kern w:val="0"/>
          <w:sz w:val="21"/>
          <w:szCs w:val="21"/>
        </w:rPr>
        <w:t>本课程支撑专业培养方案中毕业要求，1-3掌握计算机的基本硬件与软件知识，具有计算机应用系统设计与软件编程的基本能力、5-1能够针对复杂工程问题，开发、选择与使用恰当的技术、资源、现代工程工具和信息技术工具。课程目标与毕业要求观测点的对应关系如表1所示。</w:t>
      </w:r>
    </w:p>
    <w:p w14:paraId="2044CA76">
      <w:pPr>
        <w:snapToGrid w:val="0"/>
        <w:spacing w:line="360" w:lineRule="auto"/>
        <w:jc w:val="center"/>
        <w:rPr>
          <w:kern w:val="0"/>
          <w:sz w:val="21"/>
          <w:szCs w:val="21"/>
        </w:rPr>
      </w:pPr>
      <w:r>
        <w:rPr>
          <w:kern w:val="0"/>
          <w:sz w:val="21"/>
          <w:szCs w:val="21"/>
        </w:rPr>
        <w:t>表1  课程目标与毕业要求</w:t>
      </w:r>
      <w:r>
        <w:rPr>
          <w:rFonts w:hint="eastAsia"/>
          <w:kern w:val="0"/>
          <w:sz w:val="21"/>
          <w:szCs w:val="21"/>
        </w:rPr>
        <w:t>观测</w:t>
      </w:r>
      <w:r>
        <w:rPr>
          <w:kern w:val="0"/>
          <w:sz w:val="21"/>
          <w:szCs w:val="21"/>
        </w:rPr>
        <w:t>点的对应关系</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5374"/>
        <w:gridCol w:w="1302"/>
      </w:tblGrid>
      <w:tr w14:paraId="625E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846" w:type="dxa"/>
            <w:vAlign w:val="center"/>
          </w:tcPr>
          <w:p w14:paraId="2ACF2DF1">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毕业要求</w:t>
            </w:r>
          </w:p>
        </w:tc>
        <w:tc>
          <w:tcPr>
            <w:tcW w:w="5374" w:type="dxa"/>
            <w:vAlign w:val="center"/>
          </w:tcPr>
          <w:p w14:paraId="6AFE03A4">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毕业要求指标点</w:t>
            </w:r>
          </w:p>
        </w:tc>
        <w:tc>
          <w:tcPr>
            <w:tcW w:w="1302" w:type="dxa"/>
            <w:vAlign w:val="center"/>
          </w:tcPr>
          <w:p w14:paraId="5C39806E">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课程目标</w:t>
            </w:r>
          </w:p>
        </w:tc>
      </w:tr>
      <w:tr w14:paraId="39C7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dxa"/>
            <w:vAlign w:val="center"/>
          </w:tcPr>
          <w:p w14:paraId="3CB7F43C">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毕业要求3</w:t>
            </w:r>
          </w:p>
          <w:p w14:paraId="4F710821">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学科素养</w:t>
            </w:r>
          </w:p>
        </w:tc>
        <w:tc>
          <w:tcPr>
            <w:tcW w:w="5374" w:type="dxa"/>
            <w:vAlign w:val="center"/>
          </w:tcPr>
          <w:p w14:paraId="11A7FA71">
            <w:pPr>
              <w:autoSpaceDE w:val="0"/>
              <w:autoSpaceDN w:val="0"/>
              <w:adjustRightInd w:val="0"/>
              <w:rPr>
                <w:rFonts w:hint="eastAsia" w:ascii="宋体" w:hAnsi="宋体" w:eastAsia="宋体" w:cs="宋体"/>
                <w:kern w:val="0"/>
                <w:sz w:val="21"/>
                <w:szCs w:val="21"/>
              </w:rPr>
            </w:pPr>
            <w:r>
              <w:rPr>
                <w:rFonts w:hint="eastAsia" w:ascii="宋体" w:hAnsi="宋体" w:eastAsia="宋体" w:cs="宋体"/>
                <w:b/>
                <w:kern w:val="0"/>
                <w:sz w:val="21"/>
                <w:szCs w:val="21"/>
                <w:lang w:eastAsia="zh-CN"/>
              </w:rPr>
              <w:t>指标点3-1</w:t>
            </w:r>
            <w:r>
              <w:rPr>
                <w:rFonts w:hint="eastAsia" w:ascii="宋体" w:hAnsi="宋体" w:eastAsia="宋体" w:cs="宋体"/>
                <w:kern w:val="0"/>
                <w:sz w:val="21"/>
                <w:szCs w:val="21"/>
              </w:rPr>
              <w:t>：【通识知识广博】具有小学教育本科专业相应的自然科学和人文社会科学知识素养。</w:t>
            </w:r>
          </w:p>
        </w:tc>
        <w:tc>
          <w:tcPr>
            <w:tcW w:w="1302" w:type="dxa"/>
            <w:vAlign w:val="center"/>
          </w:tcPr>
          <w:p w14:paraId="5E76D339">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课程目标1</w:t>
            </w:r>
          </w:p>
          <w:p w14:paraId="53DA73DE">
            <w:pPr>
              <w:autoSpaceDE w:val="0"/>
              <w:autoSpaceDN w:val="0"/>
              <w:adjustRightInd w:val="0"/>
              <w:jc w:val="center"/>
              <w:rPr>
                <w:rFonts w:hint="eastAsia" w:ascii="宋体" w:hAnsi="宋体" w:eastAsia="宋体" w:cs="宋体"/>
                <w:kern w:val="0"/>
                <w:sz w:val="21"/>
                <w:szCs w:val="21"/>
              </w:rPr>
            </w:pPr>
            <w:r>
              <w:rPr>
                <w:rFonts w:hint="eastAsia" w:ascii="宋体" w:hAnsi="宋体" w:eastAsia="宋体" w:cs="宋体"/>
                <w:kern w:val="0"/>
                <w:sz w:val="21"/>
                <w:szCs w:val="21"/>
              </w:rPr>
              <w:t>课程目标2</w:t>
            </w:r>
          </w:p>
        </w:tc>
      </w:tr>
    </w:tbl>
    <w:p w14:paraId="005B362E">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ascii="Times New Roman" w:hAnsi="Times New Roman" w:eastAsia="宋体" w:cs="Times New Roman"/>
          <w:b/>
          <w:sz w:val="24"/>
          <w:szCs w:val="24"/>
        </w:rPr>
      </w:pPr>
      <w:r>
        <w:rPr>
          <w:rFonts w:hint="eastAsia" w:ascii="Times New Roman" w:hAnsi="Times New Roman" w:eastAsia="宋体" w:cs="Times New Roman"/>
          <w:b/>
          <w:sz w:val="24"/>
          <w:szCs w:val="24"/>
        </w:rPr>
        <w:t>三</w:t>
      </w:r>
      <w:r>
        <w:rPr>
          <w:rFonts w:ascii="Times New Roman" w:hAnsi="Times New Roman" w:eastAsia="宋体" w:cs="Times New Roman"/>
          <w:b/>
          <w:sz w:val="24"/>
          <w:szCs w:val="24"/>
        </w:rPr>
        <w:t>、课程内容及要求</w:t>
      </w:r>
    </w:p>
    <w:p w14:paraId="1FF3438F">
      <w:pPr>
        <w:snapToGrid w:val="0"/>
        <w:spacing w:line="360" w:lineRule="auto"/>
        <w:ind w:firstLine="413" w:firstLineChars="196"/>
        <w:rPr>
          <w:rFonts w:hint="default" w:eastAsia="宋体"/>
          <w:b/>
          <w:sz w:val="21"/>
          <w:szCs w:val="21"/>
          <w:lang w:val="en-US" w:eastAsia="zh-CN"/>
        </w:rPr>
      </w:pPr>
      <w:r>
        <w:rPr>
          <w:b/>
          <w:sz w:val="21"/>
          <w:szCs w:val="21"/>
        </w:rPr>
        <w:t>（一）</w:t>
      </w:r>
      <w:r>
        <w:rPr>
          <w:rFonts w:hint="eastAsia"/>
          <w:b/>
          <w:sz w:val="21"/>
          <w:szCs w:val="21"/>
          <w:lang w:val="en-US" w:eastAsia="zh-CN"/>
        </w:rPr>
        <w:t>人工智能概述</w:t>
      </w:r>
    </w:p>
    <w:p w14:paraId="51A66EED">
      <w:pPr>
        <w:snapToGrid w:val="0"/>
        <w:spacing w:line="360" w:lineRule="auto"/>
        <w:ind w:firstLine="420" w:firstLineChars="200"/>
        <w:rPr>
          <w:sz w:val="21"/>
          <w:szCs w:val="21"/>
        </w:rPr>
      </w:pPr>
      <w:r>
        <w:rPr>
          <w:sz w:val="21"/>
          <w:szCs w:val="21"/>
        </w:rPr>
        <w:t>1.教学内容</w:t>
      </w:r>
    </w:p>
    <w:p w14:paraId="1CFA2D46">
      <w:pPr>
        <w:spacing w:line="360" w:lineRule="auto"/>
        <w:ind w:firstLine="420" w:firstLineChars="200"/>
        <w:rPr>
          <w:rFonts w:hint="eastAsia"/>
          <w:sz w:val="21"/>
          <w:szCs w:val="21"/>
        </w:rPr>
      </w:pPr>
      <w:r>
        <w:rPr>
          <w:rFonts w:hint="eastAsia"/>
          <w:sz w:val="21"/>
          <w:szCs w:val="21"/>
        </w:rPr>
        <w:t>（1）人工智能的基本概念和发展历程</w:t>
      </w:r>
    </w:p>
    <w:p w14:paraId="2C92BA3F">
      <w:pPr>
        <w:spacing w:line="360" w:lineRule="auto"/>
        <w:ind w:firstLine="420" w:firstLineChars="200"/>
        <w:rPr>
          <w:rFonts w:hint="eastAsia"/>
          <w:sz w:val="21"/>
          <w:szCs w:val="21"/>
        </w:rPr>
      </w:pPr>
      <w:r>
        <w:rPr>
          <w:rFonts w:hint="eastAsia"/>
          <w:sz w:val="21"/>
          <w:szCs w:val="21"/>
        </w:rPr>
        <w:t>（2）人工智能的主流学派</w:t>
      </w:r>
    </w:p>
    <w:p w14:paraId="3C107D35">
      <w:pPr>
        <w:spacing w:line="360" w:lineRule="auto"/>
        <w:ind w:firstLine="420" w:firstLineChars="200"/>
        <w:rPr>
          <w:rFonts w:hint="eastAsia" w:eastAsia="宋体"/>
          <w:sz w:val="21"/>
          <w:szCs w:val="21"/>
          <w:lang w:eastAsia="zh-CN"/>
        </w:rPr>
      </w:pPr>
      <w:r>
        <w:rPr>
          <w:rFonts w:hint="eastAsia"/>
          <w:sz w:val="21"/>
          <w:szCs w:val="21"/>
        </w:rPr>
        <w:t>（3）人工智能的应用现状及未来发展趋势</w:t>
      </w:r>
    </w:p>
    <w:p w14:paraId="3A780096">
      <w:pPr>
        <w:spacing w:line="360" w:lineRule="auto"/>
        <w:ind w:firstLine="420" w:firstLineChars="200"/>
        <w:rPr>
          <w:color w:val="000000"/>
          <w:sz w:val="21"/>
          <w:szCs w:val="21"/>
        </w:rPr>
      </w:pPr>
      <w:r>
        <w:rPr>
          <w:color w:val="000000"/>
          <w:sz w:val="21"/>
          <w:szCs w:val="21"/>
        </w:rPr>
        <w:t>2.基本要求</w:t>
      </w:r>
    </w:p>
    <w:p w14:paraId="6BB299EE">
      <w:pPr>
        <w:spacing w:line="360" w:lineRule="auto"/>
        <w:ind w:firstLine="420" w:firstLineChars="200"/>
        <w:rPr>
          <w:rFonts w:hint="eastAsia"/>
          <w:color w:val="000000"/>
          <w:sz w:val="21"/>
          <w:szCs w:val="21"/>
        </w:rPr>
      </w:pPr>
      <w:r>
        <w:rPr>
          <w:rFonts w:hint="eastAsia"/>
          <w:color w:val="000000"/>
          <w:sz w:val="21"/>
          <w:szCs w:val="21"/>
        </w:rPr>
        <w:t xml:space="preserve">（1）了解人工智能的发展历程 </w:t>
      </w:r>
    </w:p>
    <w:p w14:paraId="4CB50E4D">
      <w:pPr>
        <w:spacing w:line="360" w:lineRule="auto"/>
        <w:ind w:firstLine="420" w:firstLineChars="200"/>
        <w:rPr>
          <w:color w:val="000000"/>
          <w:sz w:val="21"/>
          <w:szCs w:val="21"/>
        </w:rPr>
      </w:pPr>
      <w:r>
        <w:rPr>
          <w:rFonts w:hint="eastAsia"/>
          <w:color w:val="000000"/>
          <w:sz w:val="21"/>
          <w:szCs w:val="21"/>
        </w:rPr>
        <w:t>（2）掌握人工智能的基本概念和关键技术</w:t>
      </w:r>
    </w:p>
    <w:p w14:paraId="0E391E31">
      <w:pPr>
        <w:spacing w:line="360" w:lineRule="auto"/>
        <w:ind w:firstLine="420" w:firstLineChars="200"/>
        <w:rPr>
          <w:rFonts w:hint="eastAsia" w:eastAsia="宋体"/>
          <w:color w:val="000000"/>
          <w:sz w:val="21"/>
          <w:szCs w:val="21"/>
          <w:lang w:eastAsia="zh-CN"/>
        </w:rPr>
      </w:pPr>
      <w:r>
        <w:rPr>
          <w:rFonts w:hint="eastAsia"/>
          <w:color w:val="000000"/>
          <w:sz w:val="21"/>
          <w:szCs w:val="21"/>
        </w:rPr>
        <w:t>（3）了解人工智能的应用现状和未来发展趋势</w:t>
      </w:r>
    </w:p>
    <w:p w14:paraId="5609FEB7">
      <w:pPr>
        <w:spacing w:line="360" w:lineRule="auto"/>
        <w:ind w:firstLine="413" w:firstLineChars="196"/>
        <w:rPr>
          <w:b/>
          <w:sz w:val="21"/>
          <w:szCs w:val="21"/>
        </w:rPr>
      </w:pPr>
      <w:r>
        <w:rPr>
          <w:rFonts w:hint="eastAsia"/>
          <w:b/>
          <w:sz w:val="21"/>
          <w:szCs w:val="21"/>
        </w:rPr>
        <w:t>（</w:t>
      </w:r>
      <w:r>
        <w:rPr>
          <w:rFonts w:hint="eastAsia"/>
          <w:b/>
          <w:sz w:val="21"/>
          <w:szCs w:val="21"/>
          <w:lang w:val="en-US" w:eastAsia="zh-CN"/>
        </w:rPr>
        <w:t>二</w:t>
      </w:r>
      <w:r>
        <w:rPr>
          <w:rFonts w:hint="eastAsia"/>
          <w:b/>
          <w:sz w:val="21"/>
          <w:szCs w:val="21"/>
        </w:rPr>
        <w:t>）人工智能行业解决方案</w:t>
      </w:r>
    </w:p>
    <w:p w14:paraId="5FE82E1A">
      <w:pPr>
        <w:spacing w:line="360" w:lineRule="auto"/>
        <w:ind w:firstLine="411" w:firstLineChars="196"/>
        <w:rPr>
          <w:rFonts w:hint="eastAsia"/>
          <w:sz w:val="21"/>
          <w:szCs w:val="21"/>
        </w:rPr>
      </w:pPr>
      <w:r>
        <w:rPr>
          <w:rFonts w:hint="eastAsia"/>
          <w:sz w:val="21"/>
          <w:szCs w:val="21"/>
        </w:rPr>
        <w:t>1.教学内容</w:t>
      </w:r>
    </w:p>
    <w:p w14:paraId="3BE198EE">
      <w:pPr>
        <w:spacing w:line="360" w:lineRule="auto"/>
        <w:ind w:firstLine="411" w:firstLineChars="196"/>
        <w:rPr>
          <w:rFonts w:hint="eastAsia"/>
          <w:sz w:val="21"/>
          <w:szCs w:val="21"/>
        </w:rPr>
      </w:pPr>
      <w:r>
        <w:rPr>
          <w:rFonts w:hint="eastAsia"/>
          <w:sz w:val="21"/>
          <w:szCs w:val="21"/>
        </w:rPr>
        <w:t>（1）通过案例介绍人工智能在</w:t>
      </w:r>
      <w:r>
        <w:rPr>
          <w:rFonts w:hint="eastAsia"/>
          <w:sz w:val="21"/>
          <w:szCs w:val="21"/>
          <w:lang w:val="en-US" w:eastAsia="zh-CN"/>
        </w:rPr>
        <w:t>语言翻译</w:t>
      </w:r>
      <w:r>
        <w:rPr>
          <w:rFonts w:hint="eastAsia"/>
          <w:sz w:val="21"/>
          <w:szCs w:val="21"/>
        </w:rPr>
        <w:t>的应用场景</w:t>
      </w:r>
    </w:p>
    <w:p w14:paraId="71E0AE8D">
      <w:pPr>
        <w:spacing w:line="360" w:lineRule="auto"/>
        <w:ind w:firstLine="411" w:firstLineChars="196"/>
        <w:rPr>
          <w:rFonts w:hint="eastAsia"/>
          <w:sz w:val="21"/>
          <w:szCs w:val="21"/>
        </w:rPr>
      </w:pPr>
      <w:r>
        <w:rPr>
          <w:rFonts w:hint="eastAsia"/>
          <w:sz w:val="21"/>
          <w:szCs w:val="21"/>
        </w:rPr>
        <w:t>（2）通过案例介绍人工智能在</w:t>
      </w:r>
      <w:r>
        <w:rPr>
          <w:rFonts w:hint="eastAsia"/>
          <w:sz w:val="21"/>
          <w:szCs w:val="21"/>
          <w:lang w:val="en-US" w:eastAsia="zh-CN"/>
        </w:rPr>
        <w:t>文字与影视创作</w:t>
      </w:r>
      <w:r>
        <w:rPr>
          <w:rFonts w:hint="eastAsia"/>
          <w:sz w:val="21"/>
          <w:szCs w:val="21"/>
        </w:rPr>
        <w:t>的应用场景</w:t>
      </w:r>
    </w:p>
    <w:p w14:paraId="31563BFB">
      <w:pPr>
        <w:spacing w:line="360" w:lineRule="auto"/>
        <w:ind w:firstLine="411" w:firstLineChars="196"/>
        <w:rPr>
          <w:rFonts w:hint="eastAsia"/>
          <w:sz w:val="21"/>
          <w:szCs w:val="21"/>
        </w:rPr>
      </w:pPr>
      <w:r>
        <w:rPr>
          <w:rFonts w:hint="eastAsia"/>
          <w:sz w:val="21"/>
          <w:szCs w:val="21"/>
        </w:rPr>
        <w:t>（3）通过案例介绍人工智能在</w:t>
      </w:r>
      <w:r>
        <w:rPr>
          <w:rFonts w:hint="eastAsia"/>
          <w:sz w:val="21"/>
          <w:szCs w:val="21"/>
          <w:lang w:val="en-US" w:eastAsia="zh-CN"/>
        </w:rPr>
        <w:t>师范教育</w:t>
      </w:r>
      <w:r>
        <w:rPr>
          <w:rFonts w:hint="eastAsia"/>
          <w:sz w:val="21"/>
          <w:szCs w:val="21"/>
        </w:rPr>
        <w:t>的应用场景</w:t>
      </w:r>
    </w:p>
    <w:p w14:paraId="2C4A018E">
      <w:pPr>
        <w:spacing w:line="360" w:lineRule="auto"/>
        <w:ind w:firstLine="411" w:firstLineChars="196"/>
        <w:rPr>
          <w:rFonts w:hint="eastAsia"/>
          <w:sz w:val="21"/>
          <w:szCs w:val="21"/>
        </w:rPr>
      </w:pPr>
      <w:r>
        <w:rPr>
          <w:rFonts w:hint="eastAsia"/>
          <w:sz w:val="21"/>
          <w:szCs w:val="21"/>
        </w:rPr>
        <w:t>（4）通过案例介绍人工智能在</w:t>
      </w:r>
      <w:r>
        <w:rPr>
          <w:rFonts w:hint="eastAsia"/>
          <w:sz w:val="21"/>
          <w:szCs w:val="21"/>
          <w:lang w:val="en-US" w:eastAsia="zh-CN"/>
        </w:rPr>
        <w:t>艺术</w:t>
      </w:r>
      <w:r>
        <w:rPr>
          <w:rFonts w:hint="eastAsia"/>
          <w:sz w:val="21"/>
          <w:szCs w:val="21"/>
        </w:rPr>
        <w:t>领域的应用场景</w:t>
      </w:r>
    </w:p>
    <w:p w14:paraId="2C11B6B7">
      <w:pPr>
        <w:spacing w:line="360" w:lineRule="auto"/>
        <w:ind w:firstLine="411" w:firstLineChars="196"/>
        <w:rPr>
          <w:rFonts w:hint="eastAsia"/>
          <w:sz w:val="21"/>
          <w:szCs w:val="21"/>
        </w:rPr>
      </w:pPr>
      <w:r>
        <w:rPr>
          <w:rFonts w:hint="eastAsia"/>
          <w:sz w:val="21"/>
          <w:szCs w:val="21"/>
        </w:rPr>
        <w:t>2.基本要求</w:t>
      </w:r>
    </w:p>
    <w:p w14:paraId="73238450">
      <w:pPr>
        <w:spacing w:line="360" w:lineRule="auto"/>
        <w:ind w:firstLine="411" w:firstLineChars="196"/>
        <w:rPr>
          <w:rFonts w:hint="eastAsia"/>
          <w:sz w:val="21"/>
          <w:szCs w:val="21"/>
        </w:rPr>
      </w:pPr>
      <w:r>
        <w:rPr>
          <w:rFonts w:hint="eastAsia"/>
          <w:sz w:val="21"/>
          <w:szCs w:val="21"/>
        </w:rPr>
        <w:t>（1）了解人工智能在各专有领域的应用情况</w:t>
      </w:r>
    </w:p>
    <w:p w14:paraId="1AAD24DA">
      <w:pPr>
        <w:spacing w:line="360" w:lineRule="auto"/>
        <w:ind w:firstLine="411" w:firstLineChars="196"/>
        <w:rPr>
          <w:rFonts w:hint="eastAsia"/>
          <w:sz w:val="21"/>
          <w:szCs w:val="21"/>
        </w:rPr>
      </w:pPr>
      <w:r>
        <w:rPr>
          <w:rFonts w:hint="eastAsia"/>
          <w:sz w:val="21"/>
          <w:szCs w:val="21"/>
          <w:lang w:eastAsia="zh-CN"/>
        </w:rPr>
        <w:t>（</w:t>
      </w:r>
      <w:r>
        <w:rPr>
          <w:rFonts w:hint="eastAsia"/>
          <w:sz w:val="21"/>
          <w:szCs w:val="21"/>
          <w:lang w:val="en-US" w:eastAsia="zh-CN"/>
        </w:rPr>
        <w:t>2</w:t>
      </w:r>
      <w:r>
        <w:rPr>
          <w:rFonts w:hint="eastAsia"/>
          <w:sz w:val="21"/>
          <w:szCs w:val="21"/>
          <w:lang w:eastAsia="zh-CN"/>
        </w:rPr>
        <w:t>）</w:t>
      </w:r>
      <w:r>
        <w:rPr>
          <w:rFonts w:hint="eastAsia"/>
          <w:sz w:val="21"/>
          <w:szCs w:val="21"/>
        </w:rPr>
        <w:t>理解人工智能在各领域应用方案的解决思路及技术方法</w:t>
      </w:r>
    </w:p>
    <w:p w14:paraId="2BA13758">
      <w:pPr>
        <w:snapToGrid w:val="0"/>
        <w:spacing w:line="360" w:lineRule="auto"/>
        <w:ind w:firstLine="413" w:firstLineChars="196"/>
        <w:rPr>
          <w:b/>
          <w:sz w:val="21"/>
          <w:szCs w:val="21"/>
        </w:rPr>
      </w:pPr>
      <w:r>
        <w:rPr>
          <w:b/>
          <w:sz w:val="21"/>
          <w:szCs w:val="21"/>
        </w:rPr>
        <w:t>（</w:t>
      </w:r>
      <w:r>
        <w:rPr>
          <w:rFonts w:hint="eastAsia"/>
          <w:b/>
          <w:sz w:val="21"/>
          <w:szCs w:val="21"/>
          <w:lang w:val="en-US" w:eastAsia="zh-CN"/>
        </w:rPr>
        <w:t>三</w:t>
      </w:r>
      <w:r>
        <w:rPr>
          <w:b/>
          <w:sz w:val="21"/>
          <w:szCs w:val="21"/>
        </w:rPr>
        <w:t>）</w:t>
      </w:r>
      <w:r>
        <w:rPr>
          <w:rFonts w:hint="eastAsia"/>
          <w:b/>
          <w:sz w:val="21"/>
          <w:szCs w:val="21"/>
        </w:rPr>
        <w:t>人工智能算法原理</w:t>
      </w:r>
    </w:p>
    <w:p w14:paraId="386FAF5C">
      <w:pPr>
        <w:snapToGrid w:val="0"/>
        <w:spacing w:line="360" w:lineRule="auto"/>
        <w:ind w:firstLine="420" w:firstLineChars="200"/>
        <w:rPr>
          <w:sz w:val="21"/>
          <w:szCs w:val="21"/>
        </w:rPr>
      </w:pPr>
      <w:r>
        <w:rPr>
          <w:sz w:val="21"/>
          <w:szCs w:val="21"/>
        </w:rPr>
        <w:t>1.教学内容</w:t>
      </w:r>
    </w:p>
    <w:p w14:paraId="37B1E990">
      <w:pPr>
        <w:snapToGrid w:val="0"/>
        <w:spacing w:line="360" w:lineRule="auto"/>
        <w:ind w:firstLine="420" w:firstLineChars="200"/>
        <w:rPr>
          <w:rFonts w:hint="eastAsia"/>
          <w:sz w:val="21"/>
          <w:szCs w:val="21"/>
        </w:rPr>
      </w:pPr>
      <w:r>
        <w:rPr>
          <w:rFonts w:hint="eastAsia"/>
          <w:sz w:val="21"/>
          <w:szCs w:val="21"/>
        </w:rPr>
        <w:t>（1）机器学习定义、分类及常见算法</w:t>
      </w:r>
    </w:p>
    <w:p w14:paraId="4D4C017D">
      <w:pPr>
        <w:snapToGrid w:val="0"/>
        <w:spacing w:line="360" w:lineRule="auto"/>
        <w:ind w:firstLine="420" w:firstLineChars="200"/>
        <w:rPr>
          <w:rFonts w:hint="eastAsia"/>
          <w:sz w:val="21"/>
          <w:szCs w:val="21"/>
        </w:rPr>
      </w:pPr>
      <w:r>
        <w:rPr>
          <w:rFonts w:hint="eastAsia"/>
          <w:sz w:val="21"/>
          <w:szCs w:val="21"/>
        </w:rPr>
        <w:t>（</w:t>
      </w:r>
      <w:r>
        <w:rPr>
          <w:rFonts w:hint="eastAsia"/>
          <w:sz w:val="21"/>
          <w:szCs w:val="21"/>
          <w:lang w:val="en-US" w:eastAsia="zh-CN"/>
        </w:rPr>
        <w:t>2</w:t>
      </w:r>
      <w:r>
        <w:rPr>
          <w:rFonts w:hint="eastAsia"/>
          <w:sz w:val="21"/>
          <w:szCs w:val="21"/>
        </w:rPr>
        <w:t>）深度学习主要流程</w:t>
      </w:r>
    </w:p>
    <w:p w14:paraId="5AC87301">
      <w:pPr>
        <w:snapToGrid w:val="0"/>
        <w:spacing w:line="360" w:lineRule="auto"/>
        <w:ind w:firstLine="420" w:firstLineChars="200"/>
        <w:rPr>
          <w:rFonts w:hint="eastAsia"/>
          <w:color w:val="auto"/>
          <w:sz w:val="21"/>
          <w:szCs w:val="21"/>
        </w:rPr>
      </w:pPr>
      <w:r>
        <w:rPr>
          <w:rFonts w:hint="eastAsia"/>
          <w:sz w:val="21"/>
          <w:szCs w:val="21"/>
        </w:rPr>
        <w:t>（</w:t>
      </w:r>
      <w:r>
        <w:rPr>
          <w:rFonts w:hint="eastAsia"/>
          <w:sz w:val="21"/>
          <w:szCs w:val="21"/>
          <w:lang w:val="en-US" w:eastAsia="zh-CN"/>
        </w:rPr>
        <w:t>3</w:t>
      </w:r>
      <w:r>
        <w:rPr>
          <w:rFonts w:hint="eastAsia"/>
          <w:sz w:val="21"/>
          <w:szCs w:val="21"/>
        </w:rPr>
        <w:t>）</w:t>
      </w:r>
      <w:r>
        <w:rPr>
          <w:rFonts w:hint="eastAsia"/>
          <w:color w:val="auto"/>
          <w:sz w:val="21"/>
          <w:szCs w:val="21"/>
        </w:rPr>
        <w:t>深度学习常见模型</w:t>
      </w:r>
    </w:p>
    <w:p w14:paraId="0928E79F">
      <w:pPr>
        <w:snapToGrid w:val="0"/>
        <w:spacing w:line="360" w:lineRule="auto"/>
        <w:ind w:firstLine="420" w:firstLineChars="200"/>
        <w:rPr>
          <w:color w:val="auto"/>
          <w:sz w:val="21"/>
          <w:szCs w:val="21"/>
        </w:rPr>
      </w:pPr>
      <w:r>
        <w:rPr>
          <w:rFonts w:hint="eastAsia"/>
          <w:color w:val="auto"/>
          <w:sz w:val="21"/>
          <w:szCs w:val="21"/>
        </w:rPr>
        <w:t>（</w:t>
      </w:r>
      <w:r>
        <w:rPr>
          <w:rFonts w:hint="eastAsia"/>
          <w:color w:val="auto"/>
          <w:sz w:val="21"/>
          <w:szCs w:val="21"/>
          <w:lang w:val="en-US" w:eastAsia="zh-CN"/>
        </w:rPr>
        <w:t>4</w:t>
      </w:r>
      <w:r>
        <w:rPr>
          <w:rFonts w:hint="eastAsia"/>
          <w:color w:val="auto"/>
          <w:sz w:val="21"/>
          <w:szCs w:val="21"/>
        </w:rPr>
        <w:t>）典型深度学习应用</w:t>
      </w:r>
    </w:p>
    <w:p w14:paraId="3E0C57AE">
      <w:pPr>
        <w:spacing w:line="360" w:lineRule="auto"/>
        <w:ind w:firstLine="420" w:firstLineChars="200"/>
        <w:rPr>
          <w:color w:val="auto"/>
          <w:sz w:val="21"/>
          <w:szCs w:val="21"/>
        </w:rPr>
      </w:pPr>
      <w:r>
        <w:rPr>
          <w:color w:val="auto"/>
          <w:sz w:val="21"/>
          <w:szCs w:val="21"/>
        </w:rPr>
        <w:t>2.基本要求</w:t>
      </w:r>
    </w:p>
    <w:p w14:paraId="675E78E0">
      <w:pPr>
        <w:spacing w:line="360" w:lineRule="auto"/>
        <w:ind w:firstLine="420" w:firstLineChars="200"/>
        <w:rPr>
          <w:color w:val="auto"/>
          <w:sz w:val="21"/>
          <w:szCs w:val="21"/>
        </w:rPr>
      </w:pPr>
      <w:r>
        <w:rPr>
          <w:rFonts w:hint="eastAsia"/>
          <w:color w:val="auto"/>
          <w:sz w:val="21"/>
          <w:szCs w:val="21"/>
        </w:rPr>
        <w:t>（1）理解</w:t>
      </w:r>
      <w:r>
        <w:rPr>
          <w:color w:val="auto"/>
          <w:sz w:val="21"/>
          <w:szCs w:val="21"/>
        </w:rPr>
        <w:t>机器学习的定义</w:t>
      </w:r>
    </w:p>
    <w:p w14:paraId="28C3668A">
      <w:pPr>
        <w:spacing w:line="360" w:lineRule="auto"/>
        <w:ind w:firstLine="420" w:firstLineChars="200"/>
        <w:rPr>
          <w:color w:val="auto"/>
          <w:sz w:val="21"/>
          <w:szCs w:val="21"/>
        </w:rPr>
      </w:pPr>
      <w:r>
        <w:rPr>
          <w:rFonts w:hint="eastAsia"/>
          <w:color w:val="auto"/>
          <w:sz w:val="21"/>
          <w:szCs w:val="21"/>
        </w:rPr>
        <w:t>（2）掌握机器学习的</w:t>
      </w:r>
      <w:r>
        <w:rPr>
          <w:color w:val="auto"/>
          <w:sz w:val="21"/>
          <w:szCs w:val="21"/>
        </w:rPr>
        <w:t>分类</w:t>
      </w:r>
      <w:r>
        <w:rPr>
          <w:rFonts w:hint="eastAsia"/>
          <w:color w:val="auto"/>
          <w:sz w:val="21"/>
          <w:szCs w:val="21"/>
        </w:rPr>
        <w:t>和常见算法</w:t>
      </w:r>
    </w:p>
    <w:p w14:paraId="2EE1DC1F">
      <w:pPr>
        <w:spacing w:line="360" w:lineRule="auto"/>
        <w:ind w:firstLine="420" w:firstLineChars="200"/>
        <w:rPr>
          <w:color w:val="auto"/>
          <w:sz w:val="21"/>
          <w:szCs w:val="21"/>
        </w:rPr>
      </w:pPr>
      <w:r>
        <w:rPr>
          <w:color w:val="auto"/>
          <w:sz w:val="21"/>
          <w:szCs w:val="21"/>
        </w:rPr>
        <w:t>（</w:t>
      </w:r>
      <w:r>
        <w:rPr>
          <w:rFonts w:hint="eastAsia"/>
          <w:color w:val="auto"/>
          <w:sz w:val="21"/>
          <w:szCs w:val="21"/>
          <w:lang w:val="en-US" w:eastAsia="zh-CN"/>
        </w:rPr>
        <w:t>3</w:t>
      </w:r>
      <w:r>
        <w:rPr>
          <w:color w:val="auto"/>
          <w:sz w:val="21"/>
          <w:szCs w:val="21"/>
        </w:rPr>
        <w:t>）掌握深度学习的主要流程</w:t>
      </w:r>
    </w:p>
    <w:p w14:paraId="2D521889">
      <w:pPr>
        <w:spacing w:line="360" w:lineRule="auto"/>
        <w:ind w:firstLine="420" w:firstLineChars="200"/>
        <w:rPr>
          <w:color w:val="auto"/>
          <w:sz w:val="21"/>
          <w:szCs w:val="21"/>
        </w:rPr>
      </w:pPr>
      <w:r>
        <w:rPr>
          <w:color w:val="auto"/>
          <w:sz w:val="21"/>
          <w:szCs w:val="21"/>
        </w:rPr>
        <w:t>（</w:t>
      </w:r>
      <w:r>
        <w:rPr>
          <w:rFonts w:hint="eastAsia"/>
          <w:color w:val="auto"/>
          <w:sz w:val="21"/>
          <w:szCs w:val="21"/>
          <w:lang w:val="en-US" w:eastAsia="zh-CN"/>
        </w:rPr>
        <w:t>4</w:t>
      </w:r>
      <w:r>
        <w:rPr>
          <w:color w:val="auto"/>
          <w:sz w:val="21"/>
          <w:szCs w:val="21"/>
        </w:rPr>
        <w:t>）熟悉深度学习的常见模型</w:t>
      </w:r>
    </w:p>
    <w:p w14:paraId="2D08AF1E">
      <w:pPr>
        <w:spacing w:line="360" w:lineRule="auto"/>
        <w:ind w:firstLine="420" w:firstLineChars="200"/>
        <w:rPr>
          <w:color w:val="auto"/>
          <w:sz w:val="21"/>
          <w:szCs w:val="21"/>
        </w:rPr>
      </w:pPr>
      <w:r>
        <w:rPr>
          <w:color w:val="auto"/>
          <w:sz w:val="21"/>
          <w:szCs w:val="21"/>
        </w:rPr>
        <w:t>（</w:t>
      </w:r>
      <w:r>
        <w:rPr>
          <w:rFonts w:hint="eastAsia"/>
          <w:color w:val="auto"/>
          <w:sz w:val="21"/>
          <w:szCs w:val="21"/>
          <w:lang w:val="en-US" w:eastAsia="zh-CN"/>
        </w:rPr>
        <w:t>5</w:t>
      </w:r>
      <w:r>
        <w:rPr>
          <w:color w:val="auto"/>
          <w:sz w:val="21"/>
          <w:szCs w:val="21"/>
        </w:rPr>
        <w:t>）了解典型深度学习应用</w:t>
      </w:r>
    </w:p>
    <w:p w14:paraId="45CAAD91">
      <w:pPr>
        <w:snapToGrid w:val="0"/>
        <w:spacing w:line="360" w:lineRule="auto"/>
        <w:ind w:firstLine="413" w:firstLineChars="196"/>
        <w:rPr>
          <w:b/>
          <w:sz w:val="21"/>
          <w:szCs w:val="21"/>
        </w:rPr>
      </w:pPr>
      <w:r>
        <w:rPr>
          <w:b/>
          <w:sz w:val="21"/>
          <w:szCs w:val="21"/>
        </w:rPr>
        <w:t>（</w:t>
      </w:r>
      <w:r>
        <w:rPr>
          <w:rFonts w:hint="eastAsia"/>
          <w:b/>
          <w:sz w:val="21"/>
          <w:szCs w:val="21"/>
          <w:lang w:val="en-US" w:eastAsia="zh-CN"/>
        </w:rPr>
        <w:t>四</w:t>
      </w:r>
      <w:r>
        <w:rPr>
          <w:b/>
          <w:sz w:val="21"/>
          <w:szCs w:val="21"/>
        </w:rPr>
        <w:t>）</w:t>
      </w:r>
      <w:r>
        <w:rPr>
          <w:rFonts w:hint="eastAsia"/>
          <w:b/>
          <w:sz w:val="21"/>
          <w:szCs w:val="21"/>
        </w:rPr>
        <w:t>自然语言处理</w:t>
      </w:r>
    </w:p>
    <w:p w14:paraId="3F420828">
      <w:pPr>
        <w:snapToGrid w:val="0"/>
        <w:spacing w:line="360" w:lineRule="auto"/>
        <w:ind w:firstLine="420" w:firstLineChars="200"/>
        <w:rPr>
          <w:sz w:val="21"/>
          <w:szCs w:val="21"/>
        </w:rPr>
      </w:pPr>
      <w:r>
        <w:rPr>
          <w:sz w:val="21"/>
          <w:szCs w:val="21"/>
        </w:rPr>
        <w:t>1.教学内容</w:t>
      </w:r>
    </w:p>
    <w:p w14:paraId="0941F93E">
      <w:pPr>
        <w:snapToGrid w:val="0"/>
        <w:spacing w:line="360" w:lineRule="auto"/>
        <w:ind w:firstLine="420" w:firstLineChars="200"/>
        <w:rPr>
          <w:rFonts w:hint="eastAsia"/>
          <w:sz w:val="21"/>
          <w:szCs w:val="21"/>
        </w:rPr>
      </w:pPr>
      <w:r>
        <w:rPr>
          <w:rFonts w:hint="eastAsia"/>
          <w:sz w:val="21"/>
          <w:szCs w:val="21"/>
        </w:rPr>
        <w:t>（1）自然语言处理概述</w:t>
      </w:r>
    </w:p>
    <w:p w14:paraId="7EF41827">
      <w:pPr>
        <w:snapToGrid w:val="0"/>
        <w:spacing w:line="360" w:lineRule="auto"/>
        <w:ind w:firstLine="420" w:firstLineChars="200"/>
        <w:rPr>
          <w:rFonts w:hint="eastAsia"/>
          <w:sz w:val="21"/>
          <w:szCs w:val="21"/>
        </w:rPr>
      </w:pPr>
      <w:r>
        <w:rPr>
          <w:rFonts w:hint="eastAsia"/>
          <w:sz w:val="21"/>
          <w:szCs w:val="21"/>
        </w:rPr>
        <w:t>（2）文本理解</w:t>
      </w:r>
    </w:p>
    <w:p w14:paraId="64483B28">
      <w:pPr>
        <w:snapToGrid w:val="0"/>
        <w:spacing w:line="360" w:lineRule="auto"/>
        <w:ind w:firstLine="420" w:firstLineChars="200"/>
        <w:rPr>
          <w:rFonts w:hint="eastAsia"/>
          <w:sz w:val="21"/>
          <w:szCs w:val="21"/>
        </w:rPr>
      </w:pPr>
      <w:r>
        <w:rPr>
          <w:rFonts w:hint="eastAsia"/>
          <w:sz w:val="21"/>
          <w:szCs w:val="21"/>
        </w:rPr>
        <w:t>（3）机器翻译</w:t>
      </w:r>
    </w:p>
    <w:p w14:paraId="4474559C">
      <w:pPr>
        <w:snapToGrid w:val="0"/>
        <w:spacing w:line="360" w:lineRule="auto"/>
        <w:ind w:firstLine="420" w:firstLineChars="200"/>
        <w:rPr>
          <w:rFonts w:hint="eastAsia"/>
          <w:sz w:val="21"/>
          <w:szCs w:val="21"/>
        </w:rPr>
      </w:pPr>
      <w:r>
        <w:rPr>
          <w:rFonts w:hint="eastAsia"/>
          <w:sz w:val="21"/>
          <w:szCs w:val="21"/>
        </w:rPr>
        <w:t>（4）自然语言人机交互</w:t>
      </w:r>
    </w:p>
    <w:p w14:paraId="2E55E013">
      <w:pPr>
        <w:snapToGrid w:val="0"/>
        <w:spacing w:line="360" w:lineRule="auto"/>
        <w:ind w:firstLine="420" w:firstLineChars="200"/>
        <w:rPr>
          <w:sz w:val="21"/>
          <w:szCs w:val="21"/>
        </w:rPr>
      </w:pPr>
      <w:r>
        <w:rPr>
          <w:rFonts w:hint="eastAsia"/>
          <w:sz w:val="21"/>
          <w:szCs w:val="21"/>
        </w:rPr>
        <w:t>（5）项目学习：自然语言处理任务</w:t>
      </w:r>
    </w:p>
    <w:p w14:paraId="3AB1AFC0">
      <w:pPr>
        <w:spacing w:line="360" w:lineRule="auto"/>
        <w:ind w:firstLine="420" w:firstLineChars="200"/>
        <w:rPr>
          <w:color w:val="auto"/>
          <w:sz w:val="21"/>
          <w:szCs w:val="21"/>
        </w:rPr>
      </w:pPr>
      <w:r>
        <w:rPr>
          <w:color w:val="000000"/>
          <w:sz w:val="21"/>
          <w:szCs w:val="21"/>
        </w:rPr>
        <w:t>2.基本</w:t>
      </w:r>
      <w:r>
        <w:rPr>
          <w:color w:val="auto"/>
          <w:sz w:val="21"/>
          <w:szCs w:val="21"/>
        </w:rPr>
        <w:t>要求</w:t>
      </w:r>
    </w:p>
    <w:p w14:paraId="6FA3F944">
      <w:pPr>
        <w:spacing w:line="360" w:lineRule="auto"/>
        <w:ind w:firstLine="411" w:firstLineChars="196"/>
        <w:rPr>
          <w:rFonts w:hint="eastAsia"/>
          <w:color w:val="auto"/>
          <w:sz w:val="21"/>
          <w:szCs w:val="21"/>
        </w:rPr>
      </w:pPr>
      <w:r>
        <w:rPr>
          <w:rFonts w:hint="eastAsia"/>
          <w:color w:val="auto"/>
          <w:sz w:val="21"/>
          <w:szCs w:val="21"/>
        </w:rPr>
        <w:t>（1）了解自然语言处理基本概念和常见任务分类</w:t>
      </w:r>
    </w:p>
    <w:p w14:paraId="3FE94B88">
      <w:pPr>
        <w:spacing w:line="360" w:lineRule="auto"/>
        <w:ind w:firstLine="411" w:firstLineChars="196"/>
        <w:rPr>
          <w:rFonts w:hint="eastAsia"/>
          <w:color w:val="auto"/>
          <w:sz w:val="21"/>
          <w:szCs w:val="21"/>
        </w:rPr>
      </w:pPr>
      <w:r>
        <w:rPr>
          <w:rFonts w:hint="eastAsia"/>
          <w:color w:val="auto"/>
          <w:sz w:val="21"/>
          <w:szCs w:val="21"/>
        </w:rPr>
        <w:t>（2）了解文本翻译模型的基本原理</w:t>
      </w:r>
    </w:p>
    <w:p w14:paraId="0070C0B3">
      <w:pPr>
        <w:spacing w:line="360" w:lineRule="auto"/>
        <w:ind w:firstLine="411" w:firstLineChars="196"/>
        <w:rPr>
          <w:rFonts w:hint="eastAsia"/>
          <w:color w:val="auto"/>
          <w:sz w:val="21"/>
          <w:szCs w:val="21"/>
        </w:rPr>
      </w:pPr>
      <w:r>
        <w:rPr>
          <w:rFonts w:hint="eastAsia"/>
          <w:color w:val="auto"/>
          <w:sz w:val="21"/>
          <w:szCs w:val="21"/>
        </w:rPr>
        <w:t>（3）掌握机器翻译模型的基本原理</w:t>
      </w:r>
    </w:p>
    <w:p w14:paraId="4A78FB52">
      <w:pPr>
        <w:spacing w:line="360" w:lineRule="auto"/>
        <w:ind w:firstLine="411" w:firstLineChars="196"/>
        <w:rPr>
          <w:rFonts w:hint="eastAsia" w:eastAsia="宋体"/>
          <w:color w:val="auto"/>
          <w:sz w:val="21"/>
          <w:szCs w:val="21"/>
          <w:lang w:eastAsia="zh-CN"/>
        </w:rPr>
      </w:pPr>
      <w:r>
        <w:rPr>
          <w:rFonts w:hint="eastAsia"/>
          <w:color w:val="auto"/>
          <w:sz w:val="21"/>
          <w:szCs w:val="21"/>
        </w:rPr>
        <w:t>（4）掌握自然语言人机交互模型原理及应用场景</w:t>
      </w:r>
    </w:p>
    <w:p w14:paraId="482FAF6F">
      <w:pPr>
        <w:spacing w:line="360" w:lineRule="auto"/>
        <w:ind w:firstLine="413" w:firstLineChars="196"/>
        <w:rPr>
          <w:b/>
          <w:sz w:val="21"/>
          <w:szCs w:val="21"/>
        </w:rPr>
      </w:pPr>
      <w:r>
        <w:rPr>
          <w:rFonts w:hint="eastAsia"/>
          <w:b/>
          <w:sz w:val="21"/>
          <w:szCs w:val="21"/>
        </w:rPr>
        <w:t>（</w:t>
      </w:r>
      <w:r>
        <w:rPr>
          <w:rFonts w:hint="eastAsia"/>
          <w:b/>
          <w:sz w:val="21"/>
          <w:szCs w:val="21"/>
          <w:lang w:val="en-US" w:eastAsia="zh-CN"/>
        </w:rPr>
        <w:t>五</w:t>
      </w:r>
      <w:r>
        <w:rPr>
          <w:rFonts w:hint="eastAsia"/>
          <w:b/>
          <w:sz w:val="21"/>
          <w:szCs w:val="21"/>
        </w:rPr>
        <w:t>）人工智能伦理与法治</w:t>
      </w:r>
    </w:p>
    <w:p w14:paraId="320F3750">
      <w:pPr>
        <w:spacing w:line="360" w:lineRule="auto"/>
        <w:ind w:firstLine="411" w:firstLineChars="196"/>
        <w:rPr>
          <w:rFonts w:hint="eastAsia"/>
          <w:sz w:val="21"/>
          <w:szCs w:val="21"/>
        </w:rPr>
      </w:pPr>
      <w:r>
        <w:rPr>
          <w:rFonts w:hint="eastAsia"/>
          <w:sz w:val="21"/>
          <w:szCs w:val="21"/>
        </w:rPr>
        <w:t>1.教学内容</w:t>
      </w:r>
    </w:p>
    <w:p w14:paraId="1BFD6CC4">
      <w:pPr>
        <w:spacing w:line="360" w:lineRule="auto"/>
        <w:ind w:firstLine="411" w:firstLineChars="196"/>
        <w:rPr>
          <w:rFonts w:hint="eastAsia"/>
          <w:sz w:val="21"/>
          <w:szCs w:val="21"/>
        </w:rPr>
      </w:pPr>
      <w:r>
        <w:rPr>
          <w:rFonts w:hint="eastAsia"/>
          <w:sz w:val="21"/>
          <w:szCs w:val="21"/>
        </w:rPr>
        <w:t>（1）人工智能伦理概述</w:t>
      </w:r>
    </w:p>
    <w:p w14:paraId="48BA7657">
      <w:pPr>
        <w:spacing w:line="360" w:lineRule="auto"/>
        <w:ind w:firstLine="411" w:firstLineChars="196"/>
        <w:rPr>
          <w:rFonts w:hint="eastAsia"/>
          <w:sz w:val="21"/>
          <w:szCs w:val="21"/>
        </w:rPr>
      </w:pPr>
      <w:r>
        <w:rPr>
          <w:rFonts w:hint="eastAsia"/>
          <w:sz w:val="21"/>
          <w:szCs w:val="21"/>
        </w:rPr>
        <w:t>（2）数据与算法风险</w:t>
      </w:r>
    </w:p>
    <w:p w14:paraId="0E331997">
      <w:pPr>
        <w:spacing w:line="360" w:lineRule="auto"/>
        <w:ind w:firstLine="411" w:firstLineChars="196"/>
        <w:rPr>
          <w:rFonts w:hint="eastAsia"/>
          <w:sz w:val="21"/>
          <w:szCs w:val="21"/>
        </w:rPr>
      </w:pPr>
      <w:r>
        <w:rPr>
          <w:rFonts w:hint="eastAsia"/>
          <w:sz w:val="21"/>
          <w:szCs w:val="21"/>
        </w:rPr>
        <w:t>（3）人工智能应用伦理</w:t>
      </w:r>
    </w:p>
    <w:p w14:paraId="1F2E118B">
      <w:pPr>
        <w:spacing w:line="360" w:lineRule="auto"/>
        <w:ind w:firstLine="411" w:firstLineChars="196"/>
        <w:rPr>
          <w:rFonts w:hint="eastAsia"/>
          <w:sz w:val="21"/>
          <w:szCs w:val="21"/>
        </w:rPr>
      </w:pPr>
      <w:r>
        <w:rPr>
          <w:rFonts w:hint="eastAsia"/>
          <w:sz w:val="21"/>
          <w:szCs w:val="21"/>
        </w:rPr>
        <w:t>（4）人工智能伦理治理</w:t>
      </w:r>
    </w:p>
    <w:p w14:paraId="4E18215F">
      <w:pPr>
        <w:spacing w:line="360" w:lineRule="auto"/>
        <w:ind w:firstLine="411" w:firstLineChars="196"/>
        <w:rPr>
          <w:rFonts w:hint="eastAsia"/>
          <w:sz w:val="21"/>
          <w:szCs w:val="21"/>
        </w:rPr>
      </w:pPr>
      <w:r>
        <w:rPr>
          <w:rFonts w:hint="eastAsia"/>
          <w:sz w:val="21"/>
          <w:szCs w:val="21"/>
        </w:rPr>
        <w:t>2.基本要求</w:t>
      </w:r>
    </w:p>
    <w:p w14:paraId="24F9AEA2">
      <w:pPr>
        <w:spacing w:line="360" w:lineRule="auto"/>
        <w:ind w:firstLine="411" w:firstLineChars="196"/>
        <w:rPr>
          <w:rFonts w:hint="eastAsia"/>
          <w:bCs/>
          <w:sz w:val="21"/>
          <w:szCs w:val="21"/>
        </w:rPr>
      </w:pPr>
      <w:r>
        <w:rPr>
          <w:rFonts w:hint="eastAsia"/>
          <w:bCs/>
          <w:sz w:val="21"/>
          <w:szCs w:val="21"/>
        </w:rPr>
        <w:t>（1）了解人工智能思维及当前存在的伦理问题</w:t>
      </w:r>
    </w:p>
    <w:p w14:paraId="47BF0213">
      <w:pPr>
        <w:spacing w:line="360" w:lineRule="auto"/>
        <w:ind w:firstLine="411" w:firstLineChars="196"/>
        <w:rPr>
          <w:rFonts w:hint="eastAsia"/>
          <w:bCs/>
          <w:sz w:val="21"/>
          <w:szCs w:val="21"/>
        </w:rPr>
      </w:pPr>
      <w:r>
        <w:rPr>
          <w:rFonts w:hint="eastAsia"/>
          <w:bCs/>
          <w:sz w:val="21"/>
          <w:szCs w:val="21"/>
        </w:rPr>
        <w:t>（2）了解人工智能伦理问题的治理及法规制定</w:t>
      </w:r>
    </w:p>
    <w:p w14:paraId="3561EF35">
      <w:pPr>
        <w:spacing w:line="360" w:lineRule="auto"/>
        <w:ind w:firstLine="413" w:firstLineChars="196"/>
        <w:rPr>
          <w:b/>
          <w:sz w:val="21"/>
          <w:szCs w:val="21"/>
        </w:rPr>
      </w:pPr>
      <w:r>
        <w:rPr>
          <w:rFonts w:hint="eastAsia"/>
          <w:b/>
          <w:sz w:val="21"/>
          <w:szCs w:val="21"/>
        </w:rPr>
        <w:t>（</w:t>
      </w:r>
      <w:r>
        <w:rPr>
          <w:rFonts w:hint="eastAsia"/>
          <w:b/>
          <w:sz w:val="21"/>
          <w:szCs w:val="21"/>
          <w:lang w:val="en-US" w:eastAsia="zh-CN"/>
        </w:rPr>
        <w:t>六</w:t>
      </w:r>
      <w:r>
        <w:rPr>
          <w:rFonts w:hint="eastAsia"/>
          <w:b/>
          <w:sz w:val="21"/>
          <w:szCs w:val="21"/>
        </w:rPr>
        <w:t>）人工智能开发语言</w:t>
      </w:r>
    </w:p>
    <w:p w14:paraId="49396826">
      <w:pPr>
        <w:spacing w:line="360" w:lineRule="auto"/>
        <w:ind w:firstLine="411" w:firstLineChars="196"/>
        <w:rPr>
          <w:rFonts w:hint="eastAsia"/>
          <w:sz w:val="21"/>
          <w:szCs w:val="21"/>
        </w:rPr>
      </w:pPr>
      <w:r>
        <w:rPr>
          <w:rFonts w:hint="eastAsia"/>
          <w:sz w:val="21"/>
          <w:szCs w:val="21"/>
        </w:rPr>
        <w:t>1.教学内容</w:t>
      </w:r>
    </w:p>
    <w:p w14:paraId="18ACB89D">
      <w:pPr>
        <w:spacing w:line="360" w:lineRule="auto"/>
        <w:ind w:firstLine="411" w:firstLineChars="196"/>
        <w:rPr>
          <w:rFonts w:hint="eastAsia"/>
          <w:sz w:val="21"/>
          <w:szCs w:val="21"/>
        </w:rPr>
      </w:pPr>
      <w:r>
        <w:rPr>
          <w:rFonts w:hint="eastAsia"/>
          <w:sz w:val="21"/>
          <w:szCs w:val="21"/>
        </w:rPr>
        <w:t>（1）Python安装方法及开发环境</w:t>
      </w:r>
    </w:p>
    <w:p w14:paraId="3CDF3942">
      <w:pPr>
        <w:spacing w:line="360" w:lineRule="auto"/>
        <w:ind w:firstLine="411" w:firstLineChars="196"/>
        <w:rPr>
          <w:rFonts w:hint="eastAsia"/>
          <w:sz w:val="21"/>
          <w:szCs w:val="21"/>
        </w:rPr>
      </w:pPr>
      <w:r>
        <w:rPr>
          <w:rFonts w:hint="eastAsia"/>
          <w:sz w:val="21"/>
          <w:szCs w:val="21"/>
        </w:rPr>
        <w:t>（2）Python常用库介绍</w:t>
      </w:r>
    </w:p>
    <w:p w14:paraId="2141CF4A">
      <w:pPr>
        <w:spacing w:line="360" w:lineRule="auto"/>
        <w:ind w:firstLine="411" w:firstLineChars="196"/>
        <w:rPr>
          <w:rFonts w:hint="eastAsia"/>
          <w:sz w:val="21"/>
          <w:szCs w:val="21"/>
        </w:rPr>
      </w:pPr>
      <w:r>
        <w:rPr>
          <w:rFonts w:hint="eastAsia"/>
          <w:sz w:val="21"/>
          <w:szCs w:val="21"/>
        </w:rPr>
        <w:t>（3）Python语法与编程简介</w:t>
      </w:r>
    </w:p>
    <w:p w14:paraId="6B26D247">
      <w:pPr>
        <w:spacing w:line="360" w:lineRule="auto"/>
        <w:ind w:firstLine="411" w:firstLineChars="196"/>
        <w:rPr>
          <w:rFonts w:hint="eastAsia"/>
          <w:sz w:val="21"/>
          <w:szCs w:val="21"/>
        </w:rPr>
      </w:pPr>
      <w:r>
        <w:rPr>
          <w:rFonts w:hint="eastAsia"/>
          <w:sz w:val="21"/>
          <w:szCs w:val="21"/>
        </w:rPr>
        <w:t>2.基本要求</w:t>
      </w:r>
    </w:p>
    <w:p w14:paraId="546EFDA4">
      <w:pPr>
        <w:spacing w:line="360" w:lineRule="auto"/>
        <w:ind w:firstLine="420" w:firstLineChars="200"/>
        <w:rPr>
          <w:color w:val="000000"/>
          <w:sz w:val="21"/>
          <w:szCs w:val="21"/>
        </w:rPr>
      </w:pPr>
      <w:r>
        <w:rPr>
          <w:rFonts w:hint="eastAsia"/>
          <w:color w:val="000000"/>
          <w:sz w:val="21"/>
          <w:szCs w:val="21"/>
        </w:rPr>
        <w:t>（1）了解</w:t>
      </w:r>
      <w:r>
        <w:rPr>
          <w:color w:val="000000"/>
          <w:sz w:val="21"/>
          <w:szCs w:val="21"/>
        </w:rPr>
        <w:t>Python</w:t>
      </w:r>
      <w:r>
        <w:rPr>
          <w:rFonts w:hint="eastAsia"/>
          <w:color w:val="000000"/>
          <w:sz w:val="21"/>
          <w:szCs w:val="21"/>
        </w:rPr>
        <w:t>语言特性及其在人工智能领域的重要性</w:t>
      </w:r>
    </w:p>
    <w:p w14:paraId="61D53E58">
      <w:pPr>
        <w:spacing w:line="360" w:lineRule="auto"/>
        <w:ind w:firstLine="420" w:firstLineChars="200"/>
        <w:rPr>
          <w:color w:val="000000"/>
          <w:sz w:val="21"/>
          <w:szCs w:val="21"/>
        </w:rPr>
      </w:pPr>
      <w:r>
        <w:rPr>
          <w:rFonts w:hint="eastAsia"/>
          <w:color w:val="000000"/>
          <w:sz w:val="21"/>
          <w:szCs w:val="21"/>
        </w:rPr>
        <w:t>（2）掌握</w:t>
      </w:r>
      <w:r>
        <w:rPr>
          <w:color w:val="000000"/>
          <w:sz w:val="21"/>
          <w:szCs w:val="21"/>
        </w:rPr>
        <w:t>Python</w:t>
      </w:r>
      <w:r>
        <w:rPr>
          <w:rFonts w:hint="eastAsia"/>
          <w:color w:val="000000"/>
          <w:sz w:val="21"/>
          <w:szCs w:val="21"/>
        </w:rPr>
        <w:t>编程环境的安装与配置</w:t>
      </w:r>
    </w:p>
    <w:p w14:paraId="323C6C6A">
      <w:pPr>
        <w:spacing w:line="360" w:lineRule="auto"/>
        <w:ind w:firstLine="420" w:firstLineChars="200"/>
        <w:rPr>
          <w:color w:val="000000"/>
          <w:sz w:val="21"/>
          <w:szCs w:val="21"/>
        </w:rPr>
      </w:pPr>
      <w:r>
        <w:rPr>
          <w:rFonts w:hint="eastAsia"/>
          <w:color w:val="000000"/>
          <w:sz w:val="21"/>
          <w:szCs w:val="21"/>
        </w:rPr>
        <w:t>（3）理解</w:t>
      </w:r>
      <w:r>
        <w:rPr>
          <w:color w:val="000000"/>
          <w:sz w:val="21"/>
          <w:szCs w:val="21"/>
        </w:rPr>
        <w:t>Python</w:t>
      </w:r>
      <w:r>
        <w:rPr>
          <w:rFonts w:hint="eastAsia"/>
          <w:color w:val="000000"/>
          <w:sz w:val="21"/>
          <w:szCs w:val="21"/>
        </w:rPr>
        <w:t>基本数据类型与复合数据结构，掌握运算符与表达式的使用，熟悉程序控制语句（条件语句、循环语句、可迭代对象的遍历方法）</w:t>
      </w:r>
    </w:p>
    <w:p w14:paraId="62058F26">
      <w:pPr>
        <w:spacing w:line="360" w:lineRule="auto"/>
        <w:ind w:firstLine="420" w:firstLineChars="200"/>
        <w:rPr>
          <w:rFonts w:hint="eastAsia" w:eastAsia="宋体"/>
          <w:color w:val="000000"/>
          <w:sz w:val="21"/>
          <w:szCs w:val="21"/>
          <w:lang w:eastAsia="zh-CN"/>
        </w:rPr>
      </w:pPr>
      <w:r>
        <w:rPr>
          <w:rFonts w:hint="eastAsia"/>
          <w:color w:val="000000"/>
          <w:sz w:val="21"/>
          <w:szCs w:val="21"/>
        </w:rPr>
        <w:t>（</w:t>
      </w:r>
      <w:r>
        <w:rPr>
          <w:rFonts w:hint="eastAsia"/>
          <w:color w:val="000000"/>
          <w:sz w:val="21"/>
          <w:szCs w:val="21"/>
          <w:lang w:val="en-US" w:eastAsia="zh-CN"/>
        </w:rPr>
        <w:t>4</w:t>
      </w:r>
      <w:r>
        <w:rPr>
          <w:rFonts w:hint="eastAsia"/>
          <w:color w:val="000000"/>
          <w:sz w:val="21"/>
          <w:szCs w:val="21"/>
        </w:rPr>
        <w:t>）掌握人工智能常用第三方库的安装与使用</w:t>
      </w:r>
    </w:p>
    <w:p w14:paraId="1380EE21">
      <w:pPr>
        <w:snapToGrid w:val="0"/>
        <w:spacing w:line="360" w:lineRule="auto"/>
        <w:ind w:firstLine="413" w:firstLineChars="196"/>
        <w:rPr>
          <w:rFonts w:hint="eastAsia"/>
          <w:b/>
          <w:sz w:val="21"/>
          <w:szCs w:val="21"/>
        </w:rPr>
      </w:pPr>
      <w:r>
        <w:rPr>
          <w:b/>
          <w:sz w:val="21"/>
          <w:szCs w:val="21"/>
        </w:rPr>
        <w:t>（</w:t>
      </w:r>
      <w:r>
        <w:rPr>
          <w:rFonts w:hint="eastAsia"/>
          <w:b/>
          <w:sz w:val="21"/>
          <w:szCs w:val="21"/>
          <w:lang w:val="en-US" w:eastAsia="zh-CN"/>
        </w:rPr>
        <w:t>七</w:t>
      </w:r>
      <w:r>
        <w:rPr>
          <w:b/>
          <w:sz w:val="21"/>
          <w:szCs w:val="21"/>
        </w:rPr>
        <w:t>）</w:t>
      </w:r>
      <w:r>
        <w:rPr>
          <w:rFonts w:hint="eastAsia"/>
          <w:b/>
          <w:sz w:val="21"/>
          <w:szCs w:val="21"/>
        </w:rPr>
        <w:t>生成式人工智能大模型应用</w:t>
      </w:r>
    </w:p>
    <w:p w14:paraId="05018B1B">
      <w:pPr>
        <w:snapToGrid w:val="0"/>
        <w:spacing w:line="360" w:lineRule="auto"/>
        <w:ind w:firstLine="420" w:firstLineChars="200"/>
        <w:rPr>
          <w:sz w:val="21"/>
          <w:szCs w:val="21"/>
        </w:rPr>
      </w:pPr>
      <w:r>
        <w:rPr>
          <w:sz w:val="21"/>
          <w:szCs w:val="21"/>
        </w:rPr>
        <w:t>1.教学内容</w:t>
      </w:r>
    </w:p>
    <w:p w14:paraId="4F1793B1">
      <w:pPr>
        <w:snapToGrid w:val="0"/>
        <w:spacing w:line="360" w:lineRule="auto"/>
        <w:ind w:firstLine="420" w:firstLineChars="200"/>
        <w:rPr>
          <w:rFonts w:hint="eastAsia"/>
          <w:sz w:val="21"/>
          <w:szCs w:val="21"/>
        </w:rPr>
      </w:pPr>
      <w:r>
        <w:rPr>
          <w:rFonts w:hint="eastAsia"/>
          <w:sz w:val="21"/>
          <w:szCs w:val="21"/>
        </w:rPr>
        <w:t>（1）大语言模型的概念</w:t>
      </w:r>
    </w:p>
    <w:p w14:paraId="69D2ED78">
      <w:pPr>
        <w:snapToGrid w:val="0"/>
        <w:spacing w:line="360" w:lineRule="auto"/>
        <w:ind w:firstLine="420" w:firstLineChars="200"/>
        <w:rPr>
          <w:rFonts w:hint="eastAsia"/>
          <w:sz w:val="21"/>
          <w:szCs w:val="21"/>
        </w:rPr>
      </w:pPr>
      <w:r>
        <w:rPr>
          <w:rFonts w:hint="eastAsia"/>
          <w:sz w:val="21"/>
          <w:szCs w:val="21"/>
        </w:rPr>
        <w:t>（2）大语言模型的使用技巧</w:t>
      </w:r>
    </w:p>
    <w:p w14:paraId="314402A1">
      <w:pPr>
        <w:snapToGrid w:val="0"/>
        <w:spacing w:line="360" w:lineRule="auto"/>
        <w:ind w:firstLine="420" w:firstLineChars="200"/>
        <w:rPr>
          <w:rFonts w:hint="eastAsia"/>
          <w:sz w:val="21"/>
          <w:szCs w:val="21"/>
        </w:rPr>
      </w:pPr>
      <w:r>
        <w:rPr>
          <w:rFonts w:hint="eastAsia"/>
          <w:sz w:val="21"/>
          <w:szCs w:val="21"/>
        </w:rPr>
        <w:t>（3）大模型技术的典型应用</w:t>
      </w:r>
    </w:p>
    <w:p w14:paraId="2B89AF1A">
      <w:pPr>
        <w:snapToGrid w:val="0"/>
        <w:spacing w:line="360" w:lineRule="auto"/>
        <w:ind w:firstLine="420" w:firstLineChars="200"/>
        <w:rPr>
          <w:rFonts w:hint="eastAsia" w:eastAsia="宋体"/>
          <w:sz w:val="21"/>
          <w:szCs w:val="21"/>
          <w:lang w:eastAsia="zh-CN"/>
        </w:rPr>
      </w:pPr>
      <w:r>
        <w:rPr>
          <w:rFonts w:hint="eastAsia"/>
          <w:sz w:val="21"/>
          <w:szCs w:val="21"/>
        </w:rPr>
        <w:t>（4）图像大模型技术</w:t>
      </w:r>
    </w:p>
    <w:p w14:paraId="33D4536C">
      <w:pPr>
        <w:spacing w:line="360" w:lineRule="auto"/>
        <w:ind w:firstLine="420" w:firstLineChars="200"/>
        <w:rPr>
          <w:color w:val="000000"/>
          <w:sz w:val="21"/>
          <w:szCs w:val="21"/>
        </w:rPr>
      </w:pPr>
      <w:r>
        <w:rPr>
          <w:color w:val="000000"/>
          <w:sz w:val="21"/>
          <w:szCs w:val="21"/>
        </w:rPr>
        <w:t>2.基本要求</w:t>
      </w:r>
    </w:p>
    <w:p w14:paraId="4F8B09E9">
      <w:pPr>
        <w:spacing w:line="360" w:lineRule="auto"/>
        <w:ind w:firstLine="411" w:firstLineChars="196"/>
        <w:rPr>
          <w:bCs/>
          <w:sz w:val="21"/>
          <w:szCs w:val="21"/>
        </w:rPr>
      </w:pPr>
      <w:r>
        <w:rPr>
          <w:rFonts w:hint="eastAsia"/>
          <w:bCs/>
          <w:sz w:val="21"/>
          <w:szCs w:val="21"/>
        </w:rPr>
        <w:t>（</w:t>
      </w:r>
      <w:r>
        <w:rPr>
          <w:bCs/>
          <w:sz w:val="21"/>
          <w:szCs w:val="21"/>
        </w:rPr>
        <w:t>1</w:t>
      </w:r>
      <w:r>
        <w:rPr>
          <w:rFonts w:hint="eastAsia"/>
          <w:bCs/>
          <w:sz w:val="21"/>
          <w:szCs w:val="21"/>
        </w:rPr>
        <w:t>）了解生成式大模型的基本概念及其发展现状</w:t>
      </w:r>
    </w:p>
    <w:p w14:paraId="3068E8DB">
      <w:pPr>
        <w:spacing w:line="360" w:lineRule="auto"/>
        <w:ind w:firstLine="411" w:firstLineChars="196"/>
        <w:rPr>
          <w:bCs/>
          <w:sz w:val="21"/>
          <w:szCs w:val="21"/>
        </w:rPr>
      </w:pPr>
      <w:r>
        <w:rPr>
          <w:bCs/>
          <w:sz w:val="21"/>
          <w:szCs w:val="21"/>
        </w:rPr>
        <w:t>（</w:t>
      </w:r>
      <w:r>
        <w:rPr>
          <w:rFonts w:hint="eastAsia"/>
          <w:bCs/>
          <w:sz w:val="21"/>
          <w:szCs w:val="21"/>
        </w:rPr>
        <w:t>2）熟悉国内外主流生成式模型</w:t>
      </w:r>
    </w:p>
    <w:p w14:paraId="57051A2D">
      <w:pPr>
        <w:spacing w:line="360" w:lineRule="auto"/>
        <w:ind w:firstLine="411" w:firstLineChars="196"/>
        <w:rPr>
          <w:rFonts w:hint="eastAsia"/>
          <w:bCs/>
          <w:sz w:val="21"/>
          <w:szCs w:val="21"/>
          <w:lang w:eastAsia="zh-CN"/>
        </w:rPr>
      </w:pPr>
      <w:r>
        <w:rPr>
          <w:rFonts w:hint="eastAsia"/>
          <w:bCs/>
          <w:sz w:val="21"/>
          <w:szCs w:val="21"/>
        </w:rPr>
        <w:t>（3）掌握常见AIGC大模型工具的基本操作和使用技巧</w:t>
      </w:r>
      <w:r>
        <w:rPr>
          <w:rFonts w:hint="eastAsia"/>
          <w:bCs/>
          <w:sz w:val="21"/>
          <w:szCs w:val="21"/>
          <w:lang w:eastAsia="zh-CN"/>
        </w:rPr>
        <w:t>。</w:t>
      </w:r>
    </w:p>
    <w:p w14:paraId="64E986D7">
      <w:pPr>
        <w:spacing w:line="360" w:lineRule="auto"/>
        <w:ind w:firstLine="413" w:firstLineChars="196"/>
        <w:rPr>
          <w:rFonts w:hint="default" w:eastAsia="宋体"/>
          <w:b/>
          <w:sz w:val="21"/>
          <w:szCs w:val="21"/>
          <w:lang w:val="en-US" w:eastAsia="zh-CN"/>
        </w:rPr>
      </w:pPr>
      <w:r>
        <w:rPr>
          <w:rFonts w:hint="eastAsia"/>
          <w:b/>
          <w:sz w:val="21"/>
          <w:szCs w:val="21"/>
        </w:rPr>
        <w:t>（</w:t>
      </w:r>
      <w:r>
        <w:rPr>
          <w:rFonts w:hint="eastAsia"/>
          <w:b/>
          <w:sz w:val="21"/>
          <w:szCs w:val="21"/>
          <w:lang w:val="en-US" w:eastAsia="zh-CN"/>
        </w:rPr>
        <w:t>八</w:t>
      </w:r>
      <w:r>
        <w:rPr>
          <w:rFonts w:hint="eastAsia"/>
          <w:b/>
          <w:sz w:val="21"/>
          <w:szCs w:val="21"/>
        </w:rPr>
        <w:t>）</w:t>
      </w:r>
      <w:r>
        <w:rPr>
          <w:rFonts w:hint="eastAsia"/>
          <w:b/>
          <w:sz w:val="21"/>
          <w:szCs w:val="21"/>
          <w:lang w:val="en-US" w:eastAsia="zh-CN"/>
        </w:rPr>
        <w:t>信息素养基础模块</w:t>
      </w:r>
    </w:p>
    <w:p w14:paraId="2F3700E9">
      <w:pPr>
        <w:spacing w:line="360" w:lineRule="auto"/>
        <w:ind w:firstLine="411" w:firstLineChars="196"/>
        <w:rPr>
          <w:rFonts w:hint="eastAsia"/>
          <w:sz w:val="21"/>
          <w:szCs w:val="21"/>
        </w:rPr>
      </w:pPr>
      <w:r>
        <w:rPr>
          <w:rFonts w:hint="eastAsia"/>
          <w:sz w:val="21"/>
          <w:szCs w:val="21"/>
        </w:rPr>
        <w:t>1.教学内容</w:t>
      </w:r>
    </w:p>
    <w:p w14:paraId="382B8B3A">
      <w:pPr>
        <w:spacing w:line="360" w:lineRule="auto"/>
        <w:ind w:firstLine="411" w:firstLineChars="196"/>
        <w:rPr>
          <w:rFonts w:hint="eastAsia"/>
          <w:sz w:val="21"/>
          <w:szCs w:val="21"/>
        </w:rPr>
      </w:pPr>
      <w:r>
        <w:rPr>
          <w:rFonts w:hint="eastAsia"/>
          <w:sz w:val="21"/>
          <w:szCs w:val="21"/>
        </w:rPr>
        <w:t>（1）</w:t>
      </w:r>
      <w:r>
        <w:rPr>
          <w:rFonts w:hint="eastAsia"/>
          <w:sz w:val="21"/>
          <w:szCs w:val="21"/>
          <w:lang w:val="en-US" w:eastAsia="zh-CN"/>
        </w:rPr>
        <w:t>WPS文字</w:t>
      </w:r>
    </w:p>
    <w:p w14:paraId="19A869F1">
      <w:pPr>
        <w:spacing w:line="360" w:lineRule="auto"/>
        <w:ind w:firstLine="411" w:firstLineChars="196"/>
        <w:rPr>
          <w:rFonts w:hint="eastAsia"/>
          <w:sz w:val="21"/>
          <w:szCs w:val="21"/>
        </w:rPr>
      </w:pPr>
      <w:r>
        <w:rPr>
          <w:rFonts w:hint="eastAsia"/>
          <w:sz w:val="21"/>
          <w:szCs w:val="21"/>
        </w:rPr>
        <w:t>（2）</w:t>
      </w:r>
      <w:r>
        <w:rPr>
          <w:rFonts w:hint="eastAsia"/>
          <w:sz w:val="21"/>
          <w:szCs w:val="21"/>
          <w:lang w:val="en-US" w:eastAsia="zh-CN"/>
        </w:rPr>
        <w:t>WPS表格</w:t>
      </w:r>
    </w:p>
    <w:p w14:paraId="66F60D71">
      <w:pPr>
        <w:spacing w:line="360" w:lineRule="auto"/>
        <w:ind w:firstLine="411" w:firstLineChars="196"/>
        <w:rPr>
          <w:rFonts w:hint="eastAsia"/>
          <w:sz w:val="21"/>
          <w:szCs w:val="21"/>
        </w:rPr>
      </w:pPr>
      <w:r>
        <w:rPr>
          <w:rFonts w:hint="eastAsia"/>
          <w:sz w:val="21"/>
          <w:szCs w:val="21"/>
        </w:rPr>
        <w:t>（3）</w:t>
      </w:r>
      <w:r>
        <w:rPr>
          <w:rFonts w:hint="eastAsia"/>
          <w:sz w:val="21"/>
          <w:szCs w:val="21"/>
          <w:lang w:val="en-US" w:eastAsia="zh-CN"/>
        </w:rPr>
        <w:t>WPS演示文稿</w:t>
      </w:r>
    </w:p>
    <w:p w14:paraId="6468DF9C">
      <w:pPr>
        <w:spacing w:line="360" w:lineRule="auto"/>
        <w:ind w:firstLine="411" w:firstLineChars="196"/>
        <w:rPr>
          <w:rFonts w:hint="eastAsia"/>
          <w:sz w:val="21"/>
          <w:szCs w:val="21"/>
        </w:rPr>
      </w:pPr>
      <w:r>
        <w:rPr>
          <w:rFonts w:hint="eastAsia"/>
          <w:sz w:val="21"/>
          <w:szCs w:val="21"/>
        </w:rPr>
        <w:t>（4）</w:t>
      </w:r>
      <w:r>
        <w:rPr>
          <w:rFonts w:hint="eastAsia"/>
          <w:sz w:val="21"/>
          <w:szCs w:val="21"/>
          <w:lang w:val="en-US" w:eastAsia="zh-CN"/>
        </w:rPr>
        <w:t>办公AIGC应用</w:t>
      </w:r>
    </w:p>
    <w:p w14:paraId="0271C668">
      <w:pPr>
        <w:spacing w:line="360" w:lineRule="auto"/>
        <w:ind w:firstLine="411" w:firstLineChars="196"/>
        <w:rPr>
          <w:rFonts w:hint="eastAsia"/>
          <w:sz w:val="21"/>
          <w:szCs w:val="21"/>
        </w:rPr>
      </w:pPr>
      <w:r>
        <w:rPr>
          <w:rFonts w:hint="eastAsia"/>
          <w:sz w:val="21"/>
          <w:szCs w:val="21"/>
        </w:rPr>
        <w:t>2.基本要求</w:t>
      </w:r>
    </w:p>
    <w:p w14:paraId="088CE65F">
      <w:pPr>
        <w:spacing w:line="360" w:lineRule="auto"/>
        <w:ind w:firstLine="411" w:firstLineChars="196"/>
        <w:rPr>
          <w:rFonts w:hint="eastAsia"/>
          <w:bCs/>
          <w:sz w:val="21"/>
          <w:szCs w:val="21"/>
        </w:rPr>
      </w:pPr>
      <w:r>
        <w:rPr>
          <w:rFonts w:hint="eastAsia"/>
          <w:bCs/>
          <w:sz w:val="21"/>
          <w:szCs w:val="21"/>
        </w:rPr>
        <w:t>（</w:t>
      </w:r>
      <w:r>
        <w:rPr>
          <w:bCs/>
          <w:sz w:val="21"/>
          <w:szCs w:val="21"/>
        </w:rPr>
        <w:t>1</w:t>
      </w:r>
      <w:r>
        <w:rPr>
          <w:rFonts w:hint="eastAsia"/>
          <w:bCs/>
          <w:sz w:val="21"/>
          <w:szCs w:val="21"/>
        </w:rPr>
        <w:t>）掌握</w:t>
      </w:r>
      <w:r>
        <w:rPr>
          <w:rFonts w:hint="eastAsia"/>
          <w:bCs/>
          <w:sz w:val="21"/>
          <w:szCs w:val="21"/>
          <w:lang w:val="en-US" w:eastAsia="zh-CN"/>
        </w:rPr>
        <w:t>WPS文字编辑美化论文</w:t>
      </w:r>
    </w:p>
    <w:p w14:paraId="354C2345">
      <w:pPr>
        <w:spacing w:line="360" w:lineRule="auto"/>
        <w:ind w:firstLine="411" w:firstLineChars="196"/>
        <w:rPr>
          <w:rFonts w:hint="eastAsia"/>
          <w:bCs/>
          <w:sz w:val="21"/>
          <w:szCs w:val="21"/>
        </w:rPr>
      </w:pPr>
      <w:r>
        <w:rPr>
          <w:rFonts w:hint="eastAsia"/>
          <w:bCs/>
          <w:sz w:val="21"/>
          <w:szCs w:val="21"/>
        </w:rPr>
        <w:t>（</w:t>
      </w:r>
      <w:r>
        <w:rPr>
          <w:bCs/>
          <w:sz w:val="21"/>
          <w:szCs w:val="21"/>
        </w:rPr>
        <w:t>2</w:t>
      </w:r>
      <w:r>
        <w:rPr>
          <w:rFonts w:hint="eastAsia"/>
          <w:bCs/>
          <w:sz w:val="21"/>
          <w:szCs w:val="21"/>
        </w:rPr>
        <w:t>）</w:t>
      </w:r>
      <w:r>
        <w:rPr>
          <w:rFonts w:hint="eastAsia"/>
          <w:bCs/>
          <w:sz w:val="21"/>
          <w:szCs w:val="21"/>
          <w:lang w:val="en-US" w:eastAsia="zh-CN"/>
        </w:rPr>
        <w:t>掌握WPS表格的格式设置、函数的使用</w:t>
      </w:r>
    </w:p>
    <w:p w14:paraId="2BB46E33">
      <w:pPr>
        <w:spacing w:line="360" w:lineRule="auto"/>
        <w:ind w:firstLine="411" w:firstLineChars="196"/>
        <w:rPr>
          <w:rFonts w:hint="eastAsia"/>
          <w:bCs/>
          <w:sz w:val="21"/>
          <w:szCs w:val="21"/>
          <w:lang w:val="en-US" w:eastAsia="zh-CN"/>
        </w:rPr>
      </w:pPr>
      <w:r>
        <w:rPr>
          <w:rFonts w:hint="eastAsia"/>
          <w:bCs/>
          <w:sz w:val="21"/>
          <w:szCs w:val="21"/>
          <w:lang w:eastAsia="zh-CN"/>
        </w:rPr>
        <w:t>（</w:t>
      </w:r>
      <w:r>
        <w:rPr>
          <w:rFonts w:hint="eastAsia"/>
          <w:bCs/>
          <w:sz w:val="21"/>
          <w:szCs w:val="21"/>
          <w:lang w:val="en-US" w:eastAsia="zh-CN"/>
        </w:rPr>
        <w:t>3</w:t>
      </w:r>
      <w:r>
        <w:rPr>
          <w:rFonts w:hint="eastAsia"/>
          <w:bCs/>
          <w:sz w:val="21"/>
          <w:szCs w:val="21"/>
          <w:lang w:eastAsia="zh-CN"/>
        </w:rPr>
        <w:t>）</w:t>
      </w:r>
      <w:r>
        <w:rPr>
          <w:rFonts w:hint="eastAsia"/>
          <w:bCs/>
          <w:sz w:val="21"/>
          <w:szCs w:val="21"/>
          <w:lang w:val="en-US" w:eastAsia="zh-CN"/>
        </w:rPr>
        <w:t>掌握WPS文稿制作、美化演示文稿</w:t>
      </w:r>
    </w:p>
    <w:p w14:paraId="15081B92">
      <w:pPr>
        <w:spacing w:line="360" w:lineRule="auto"/>
        <w:ind w:firstLine="411" w:firstLineChars="196"/>
        <w:rPr>
          <w:rFonts w:hint="eastAsia"/>
          <w:bCs/>
          <w:sz w:val="21"/>
          <w:szCs w:val="21"/>
          <w:lang w:val="en-US" w:eastAsia="zh-CN"/>
        </w:rPr>
      </w:pPr>
      <w:r>
        <w:rPr>
          <w:rFonts w:hint="eastAsia"/>
          <w:bCs/>
          <w:sz w:val="21"/>
          <w:szCs w:val="21"/>
          <w:lang w:val="en-US" w:eastAsia="zh-CN"/>
        </w:rPr>
        <w:t>（4）掌握常见的办公AIGC应用</w:t>
      </w:r>
    </w:p>
    <w:p w14:paraId="3E18653A">
      <w:pPr>
        <w:spacing w:line="360" w:lineRule="auto"/>
        <w:ind w:firstLine="413" w:firstLineChars="196"/>
        <w:rPr>
          <w:rFonts w:hint="eastAsia" w:ascii="Times New Roman" w:hAnsi="Times New Roman" w:eastAsia="宋体" w:cs="Times New Roman"/>
          <w:b/>
          <w:sz w:val="21"/>
          <w:szCs w:val="21"/>
          <w:lang w:val="en-US" w:eastAsia="zh-CN"/>
        </w:rPr>
      </w:pPr>
      <w:r>
        <w:rPr>
          <w:rFonts w:hint="eastAsia" w:ascii="Times New Roman" w:hAnsi="Times New Roman" w:eastAsia="宋体" w:cs="Times New Roman"/>
          <w:b/>
          <w:sz w:val="21"/>
          <w:szCs w:val="21"/>
          <w:lang w:val="en-US" w:eastAsia="zh-CN"/>
        </w:rPr>
        <w:t>（九）综合应用</w:t>
      </w:r>
    </w:p>
    <w:p w14:paraId="1DF9BC34">
      <w:pPr>
        <w:spacing w:line="360" w:lineRule="auto"/>
        <w:ind w:firstLine="411" w:firstLineChars="196"/>
        <w:rPr>
          <w:rFonts w:hint="eastAsia"/>
          <w:sz w:val="21"/>
          <w:szCs w:val="21"/>
        </w:rPr>
      </w:pPr>
      <w:r>
        <w:rPr>
          <w:rFonts w:hint="eastAsia"/>
          <w:sz w:val="21"/>
          <w:szCs w:val="21"/>
        </w:rPr>
        <w:t>1.教学内容</w:t>
      </w:r>
    </w:p>
    <w:p w14:paraId="3A3373BD">
      <w:pPr>
        <w:spacing w:line="360" w:lineRule="auto"/>
        <w:ind w:firstLine="411" w:firstLineChars="196"/>
        <w:rPr>
          <w:rFonts w:hint="eastAsia"/>
          <w:sz w:val="21"/>
          <w:szCs w:val="21"/>
          <w:lang w:val="en-US" w:eastAsia="zh-CN"/>
        </w:rPr>
      </w:pPr>
      <w:r>
        <w:rPr>
          <w:rFonts w:hint="eastAsia"/>
          <w:sz w:val="21"/>
          <w:szCs w:val="21"/>
        </w:rPr>
        <w:t>（</w:t>
      </w:r>
      <w:r>
        <w:rPr>
          <w:rFonts w:hint="eastAsia"/>
          <w:sz w:val="21"/>
          <w:szCs w:val="21"/>
          <w:lang w:val="en-US" w:eastAsia="zh-CN"/>
        </w:rPr>
        <w:t>1）人工智能基本工具和方法</w:t>
      </w:r>
    </w:p>
    <w:p w14:paraId="0377D4C3">
      <w:pPr>
        <w:spacing w:line="360" w:lineRule="auto"/>
        <w:ind w:firstLine="411" w:firstLineChars="196"/>
        <w:rPr>
          <w:rFonts w:hint="default"/>
          <w:sz w:val="21"/>
          <w:szCs w:val="21"/>
          <w:lang w:val="en-US" w:eastAsia="zh-CN"/>
        </w:rPr>
      </w:pPr>
      <w:r>
        <w:rPr>
          <w:rFonts w:hint="eastAsia"/>
          <w:sz w:val="21"/>
          <w:szCs w:val="21"/>
          <w:lang w:val="en-US" w:eastAsia="zh-CN"/>
        </w:rPr>
        <w:t>（2）WPS文字、表格、演示文稿的综合</w:t>
      </w:r>
    </w:p>
    <w:p w14:paraId="288735DB">
      <w:pPr>
        <w:spacing w:line="360" w:lineRule="auto"/>
        <w:ind w:firstLine="411" w:firstLineChars="196"/>
        <w:rPr>
          <w:rFonts w:hint="eastAsia"/>
          <w:sz w:val="21"/>
          <w:szCs w:val="21"/>
        </w:rPr>
      </w:pPr>
      <w:r>
        <w:rPr>
          <w:rFonts w:hint="eastAsia"/>
          <w:sz w:val="21"/>
          <w:szCs w:val="21"/>
        </w:rPr>
        <w:t>2.基本要求</w:t>
      </w:r>
    </w:p>
    <w:p w14:paraId="7286DCC9">
      <w:pPr>
        <w:spacing w:line="360" w:lineRule="auto"/>
        <w:ind w:firstLine="411" w:firstLineChars="196"/>
        <w:rPr>
          <w:rFonts w:hint="eastAsia"/>
          <w:sz w:val="21"/>
          <w:szCs w:val="21"/>
          <w:lang w:val="en-US" w:eastAsia="zh-CN"/>
        </w:rPr>
      </w:pPr>
      <w:r>
        <w:rPr>
          <w:rFonts w:hint="eastAsia"/>
          <w:sz w:val="21"/>
          <w:szCs w:val="21"/>
        </w:rPr>
        <w:t>（</w:t>
      </w:r>
      <w:r>
        <w:rPr>
          <w:rFonts w:hint="eastAsia"/>
          <w:sz w:val="21"/>
          <w:szCs w:val="21"/>
          <w:lang w:val="en-US" w:eastAsia="zh-CN"/>
        </w:rPr>
        <w:t>1）掌握人工智能基本工具和方法</w:t>
      </w:r>
    </w:p>
    <w:p w14:paraId="723854EC">
      <w:pPr>
        <w:spacing w:line="360" w:lineRule="auto"/>
        <w:ind w:firstLine="411" w:firstLineChars="196"/>
        <w:rPr>
          <w:rFonts w:hint="default" w:ascii="Times New Roman" w:hAnsi="Times New Roman" w:eastAsia="宋体" w:cs="Times New Roman"/>
          <w:b/>
          <w:sz w:val="21"/>
          <w:szCs w:val="21"/>
          <w:lang w:val="en-US" w:eastAsia="zh-CN"/>
        </w:rPr>
      </w:pPr>
      <w:r>
        <w:rPr>
          <w:rFonts w:hint="eastAsia"/>
          <w:sz w:val="21"/>
          <w:szCs w:val="21"/>
          <w:lang w:val="en-US" w:eastAsia="zh-CN"/>
        </w:rPr>
        <w:t>（2）掌握WPS文字、表格、演示文稿的相关知识</w:t>
      </w:r>
    </w:p>
    <w:p w14:paraId="2295212E">
      <w:pPr>
        <w:spacing w:line="360" w:lineRule="auto"/>
        <w:ind w:firstLine="420" w:firstLineChars="200"/>
        <w:rPr>
          <w:sz w:val="21"/>
          <w:szCs w:val="21"/>
        </w:rPr>
      </w:pPr>
      <w:r>
        <w:rPr>
          <w:rFonts w:hint="eastAsia"/>
          <w:sz w:val="21"/>
          <w:szCs w:val="21"/>
        </w:rPr>
        <w:t>教学内容与</w:t>
      </w:r>
      <w:r>
        <w:rPr>
          <w:sz w:val="21"/>
          <w:szCs w:val="21"/>
        </w:rPr>
        <w:t>课程目标的</w:t>
      </w:r>
      <w:r>
        <w:rPr>
          <w:rFonts w:hint="eastAsia"/>
          <w:sz w:val="21"/>
          <w:szCs w:val="21"/>
        </w:rPr>
        <w:t>对应关系及</w:t>
      </w:r>
      <w:r>
        <w:rPr>
          <w:sz w:val="21"/>
          <w:szCs w:val="21"/>
        </w:rPr>
        <w:t>学时分配</w:t>
      </w:r>
      <w:r>
        <w:rPr>
          <w:rFonts w:hint="eastAsia"/>
          <w:sz w:val="21"/>
          <w:szCs w:val="21"/>
        </w:rPr>
        <w:t>如表2所示。</w:t>
      </w:r>
    </w:p>
    <w:p w14:paraId="3B1E15E7">
      <w:pPr>
        <w:spacing w:line="360" w:lineRule="auto"/>
        <w:jc w:val="center"/>
        <w:rPr>
          <w:sz w:val="21"/>
          <w:szCs w:val="21"/>
        </w:rPr>
      </w:pPr>
      <w:r>
        <w:rPr>
          <w:sz w:val="21"/>
          <w:szCs w:val="21"/>
        </w:rPr>
        <w:t>表2  教学内容与课程目标的对应关系及学时分配表</w:t>
      </w:r>
    </w:p>
    <w:tbl>
      <w:tblPr>
        <w:tblStyle w:val="15"/>
        <w:tblW w:w="8757"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74"/>
        <w:gridCol w:w="1292"/>
        <w:gridCol w:w="1341"/>
        <w:gridCol w:w="637"/>
        <w:gridCol w:w="2669"/>
        <w:gridCol w:w="917"/>
      </w:tblGrid>
      <w:tr w14:paraId="6908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E7ED95">
            <w:pPr>
              <w:widowControl/>
              <w:adjustRightInd w:val="0"/>
              <w:snapToGrid w:val="0"/>
              <w:jc w:val="center"/>
              <w:rPr>
                <w:b/>
                <w:bCs/>
                <w:sz w:val="21"/>
                <w:szCs w:val="21"/>
              </w:rPr>
            </w:pPr>
            <w:r>
              <w:rPr>
                <w:b/>
                <w:bCs/>
                <w:sz w:val="21"/>
                <w:szCs w:val="21"/>
              </w:rPr>
              <w:t>序号</w:t>
            </w:r>
          </w:p>
        </w:tc>
        <w:tc>
          <w:tcPr>
            <w:tcW w:w="147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6DBEF3">
            <w:pPr>
              <w:widowControl/>
              <w:adjustRightInd w:val="0"/>
              <w:snapToGrid w:val="0"/>
              <w:jc w:val="center"/>
              <w:rPr>
                <w:b/>
                <w:bCs/>
                <w:sz w:val="21"/>
                <w:szCs w:val="21"/>
              </w:rPr>
            </w:pPr>
            <w:r>
              <w:rPr>
                <w:b/>
                <w:bCs/>
                <w:sz w:val="21"/>
                <w:szCs w:val="21"/>
              </w:rPr>
              <w:t>教学内容</w:t>
            </w:r>
          </w:p>
        </w:tc>
        <w:tc>
          <w:tcPr>
            <w:tcW w:w="1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58EDEB">
            <w:pPr>
              <w:widowControl/>
              <w:adjustRightInd w:val="0"/>
              <w:snapToGrid w:val="0"/>
              <w:jc w:val="center"/>
              <w:rPr>
                <w:b/>
                <w:bCs/>
                <w:sz w:val="21"/>
                <w:szCs w:val="21"/>
              </w:rPr>
            </w:pPr>
            <w:r>
              <w:rPr>
                <w:b/>
                <w:bCs/>
                <w:sz w:val="21"/>
                <w:szCs w:val="21"/>
              </w:rPr>
              <w:t>支撑的课程目标</w:t>
            </w:r>
          </w:p>
        </w:tc>
        <w:tc>
          <w:tcPr>
            <w:tcW w:w="134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373713">
            <w:pPr>
              <w:widowControl/>
              <w:adjustRightInd w:val="0"/>
              <w:snapToGrid w:val="0"/>
              <w:jc w:val="center"/>
              <w:rPr>
                <w:b/>
                <w:bCs/>
                <w:sz w:val="21"/>
                <w:szCs w:val="21"/>
              </w:rPr>
            </w:pPr>
            <w:r>
              <w:rPr>
                <w:b/>
                <w:bCs/>
                <w:sz w:val="21"/>
                <w:szCs w:val="21"/>
              </w:rPr>
              <w:t>支撑的毕业要求</w:t>
            </w:r>
            <w:r>
              <w:rPr>
                <w:rFonts w:hint="eastAsia"/>
                <w:b/>
                <w:bCs/>
                <w:sz w:val="21"/>
                <w:szCs w:val="21"/>
              </w:rPr>
              <w:t>观测</w:t>
            </w:r>
            <w:r>
              <w:rPr>
                <w:b/>
                <w:bCs/>
                <w:sz w:val="21"/>
                <w:szCs w:val="21"/>
              </w:rPr>
              <w:t>点</w:t>
            </w:r>
          </w:p>
        </w:tc>
        <w:tc>
          <w:tcPr>
            <w:tcW w:w="6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9F210E">
            <w:pPr>
              <w:widowControl/>
              <w:adjustRightInd w:val="0"/>
              <w:snapToGrid w:val="0"/>
              <w:jc w:val="center"/>
              <w:rPr>
                <w:b/>
                <w:bCs/>
                <w:sz w:val="21"/>
                <w:szCs w:val="21"/>
              </w:rPr>
            </w:pPr>
            <w:r>
              <w:rPr>
                <w:b/>
                <w:bCs/>
                <w:sz w:val="21"/>
                <w:szCs w:val="21"/>
              </w:rPr>
              <w:t>讲授学时</w:t>
            </w:r>
          </w:p>
        </w:tc>
        <w:tc>
          <w:tcPr>
            <w:tcW w:w="266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DCCBF8">
            <w:pPr>
              <w:widowControl/>
              <w:adjustRightInd w:val="0"/>
              <w:snapToGrid w:val="0"/>
              <w:jc w:val="center"/>
              <w:rPr>
                <w:b/>
                <w:bCs/>
                <w:sz w:val="21"/>
                <w:szCs w:val="21"/>
              </w:rPr>
            </w:pPr>
            <w:r>
              <w:rPr>
                <w:rFonts w:hint="eastAsia"/>
                <w:b/>
                <w:bCs/>
                <w:sz w:val="21"/>
                <w:szCs w:val="21"/>
              </w:rPr>
              <w:t>课程思政融入点</w:t>
            </w:r>
          </w:p>
        </w:tc>
        <w:tc>
          <w:tcPr>
            <w:tcW w:w="9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4E74DA">
            <w:pPr>
              <w:widowControl/>
              <w:adjustRightInd w:val="0"/>
              <w:snapToGrid w:val="0"/>
              <w:jc w:val="center"/>
              <w:rPr>
                <w:rFonts w:hint="default" w:eastAsia="宋体"/>
                <w:b/>
                <w:bCs/>
                <w:sz w:val="21"/>
                <w:szCs w:val="21"/>
                <w:lang w:val="en-US" w:eastAsia="zh-CN"/>
              </w:rPr>
            </w:pPr>
            <w:r>
              <w:rPr>
                <w:rFonts w:hint="eastAsia"/>
                <w:b/>
                <w:bCs/>
                <w:sz w:val="21"/>
                <w:szCs w:val="21"/>
                <w:lang w:val="en-US" w:eastAsia="zh-CN"/>
              </w:rPr>
              <w:t>授课形式及学时</w:t>
            </w:r>
          </w:p>
        </w:tc>
      </w:tr>
      <w:tr w14:paraId="6E3C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6F5AEB4D">
            <w:pPr>
              <w:widowControl/>
              <w:adjustRightInd w:val="0"/>
              <w:snapToGrid w:val="0"/>
              <w:jc w:val="center"/>
              <w:rPr>
                <w:sz w:val="21"/>
                <w:szCs w:val="21"/>
                <w:highlight w:val="none"/>
              </w:rPr>
            </w:pPr>
            <w:r>
              <w:rPr>
                <w:sz w:val="21"/>
                <w:szCs w:val="21"/>
                <w:highlight w:val="none"/>
              </w:rPr>
              <w:t>1</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1AEFE91B">
            <w:pPr>
              <w:widowControl/>
              <w:adjustRightInd w:val="0"/>
              <w:snapToGrid w:val="0"/>
              <w:jc w:val="left"/>
              <w:rPr>
                <w:rFonts w:hint="default" w:eastAsia="宋体"/>
                <w:color w:val="000000"/>
                <w:sz w:val="21"/>
                <w:szCs w:val="21"/>
                <w:highlight w:val="none"/>
                <w:lang w:val="en-US" w:eastAsia="zh-CN"/>
              </w:rPr>
            </w:pPr>
            <w:r>
              <w:rPr>
                <w:rFonts w:hint="eastAsia"/>
                <w:color w:val="000000"/>
                <w:sz w:val="21"/>
                <w:szCs w:val="21"/>
                <w:highlight w:val="none"/>
                <w:lang w:val="en-US" w:eastAsia="zh-CN"/>
              </w:rPr>
              <w:t>人工智能概述</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0EE8DF66">
            <w:pPr>
              <w:widowControl/>
              <w:adjustRightInd w:val="0"/>
              <w:snapToGrid w:val="0"/>
              <w:jc w:val="center"/>
              <w:rPr>
                <w:color w:val="000000"/>
                <w:sz w:val="21"/>
                <w:szCs w:val="21"/>
                <w:highlight w:val="none"/>
              </w:rPr>
            </w:pPr>
            <w:r>
              <w:rPr>
                <w:rFonts w:hint="eastAsia"/>
                <w:sz w:val="21"/>
                <w:szCs w:val="21"/>
                <w:highlight w:val="none"/>
              </w:rPr>
              <w:t>课程目标1</w:t>
            </w:r>
          </w:p>
        </w:tc>
        <w:tc>
          <w:tcPr>
            <w:tcW w:w="1341" w:type="dxa"/>
            <w:tcBorders>
              <w:top w:val="single" w:color="auto" w:sz="4" w:space="0"/>
              <w:left w:val="single" w:color="auto" w:sz="4" w:space="0"/>
              <w:bottom w:val="single" w:color="auto" w:sz="4" w:space="0"/>
              <w:right w:val="single" w:color="auto" w:sz="4" w:space="0"/>
            </w:tcBorders>
            <w:noWrap w:val="0"/>
            <w:vAlign w:val="center"/>
          </w:tcPr>
          <w:p w14:paraId="0E687FD4">
            <w:pPr>
              <w:widowControl/>
              <w:adjustRightInd w:val="0"/>
              <w:snapToGrid w:val="0"/>
              <w:jc w:val="center"/>
              <w:rPr>
                <w:rFonts w:hint="default" w:eastAsiaTheme="minorEastAsia"/>
                <w:sz w:val="21"/>
                <w:szCs w:val="21"/>
                <w:highlight w:val="none"/>
                <w:lang w:val="en-US" w:eastAsia="zh-CN"/>
              </w:rPr>
            </w:pPr>
            <w:r>
              <w:rPr>
                <w:rFonts w:hint="eastAsia"/>
                <w:sz w:val="21"/>
                <w:szCs w:val="21"/>
                <w:highlight w:val="none"/>
              </w:rPr>
              <w:t>指标点</w:t>
            </w:r>
            <w:r>
              <w:rPr>
                <w:rFonts w:hint="eastAsia"/>
                <w:sz w:val="21"/>
                <w:szCs w:val="21"/>
                <w:highlight w:val="none"/>
                <w:lang w:val="en-US" w:eastAsia="zh-CN"/>
              </w:rPr>
              <w:t>3-1</w:t>
            </w:r>
          </w:p>
        </w:tc>
        <w:tc>
          <w:tcPr>
            <w:tcW w:w="637" w:type="dxa"/>
            <w:tcBorders>
              <w:top w:val="single" w:color="auto" w:sz="4" w:space="0"/>
              <w:left w:val="single" w:color="auto" w:sz="4" w:space="0"/>
              <w:bottom w:val="single" w:color="auto" w:sz="4" w:space="0"/>
              <w:right w:val="single" w:color="auto" w:sz="4" w:space="0"/>
            </w:tcBorders>
            <w:noWrap w:val="0"/>
            <w:vAlign w:val="center"/>
          </w:tcPr>
          <w:p w14:paraId="6F23F701">
            <w:pPr>
              <w:widowControl/>
              <w:adjustRightInd w:val="0"/>
              <w:snapToGrid w:val="0"/>
              <w:jc w:val="center"/>
              <w:rPr>
                <w:rFonts w:hint="eastAsia" w:eastAsia="宋体"/>
                <w:sz w:val="21"/>
                <w:szCs w:val="21"/>
                <w:highlight w:val="none"/>
                <w:lang w:val="en-US" w:eastAsia="zh-CN"/>
              </w:rPr>
            </w:pPr>
            <w:r>
              <w:rPr>
                <w:rFonts w:hint="eastAsia"/>
                <w:sz w:val="21"/>
                <w:szCs w:val="21"/>
                <w:highlight w:val="none"/>
                <w:lang w:val="en-US" w:eastAsia="zh-CN"/>
              </w:rPr>
              <w:t>1</w:t>
            </w:r>
          </w:p>
        </w:tc>
        <w:tc>
          <w:tcPr>
            <w:tcW w:w="2669" w:type="dxa"/>
            <w:tcBorders>
              <w:top w:val="single" w:color="auto" w:sz="4" w:space="0"/>
              <w:left w:val="single" w:color="auto" w:sz="4" w:space="0"/>
              <w:bottom w:val="single" w:color="auto" w:sz="4" w:space="0"/>
              <w:right w:val="single" w:color="auto" w:sz="4" w:space="0"/>
            </w:tcBorders>
            <w:noWrap w:val="0"/>
            <w:vAlign w:val="top"/>
          </w:tcPr>
          <w:p w14:paraId="74D405B8">
            <w:pPr>
              <w:widowControl/>
              <w:adjustRightInd w:val="0"/>
              <w:snapToGrid w:val="0"/>
              <w:jc w:val="center"/>
              <w:rPr>
                <w:rFonts w:hint="default" w:eastAsia="宋体"/>
                <w:sz w:val="21"/>
                <w:szCs w:val="21"/>
                <w:highlight w:val="none"/>
                <w:lang w:val="en-US" w:eastAsia="zh-CN"/>
              </w:rPr>
            </w:pPr>
            <w:r>
              <w:rPr>
                <w:rFonts w:hint="eastAsia"/>
                <w:color w:val="000000"/>
                <w:sz w:val="21"/>
                <w:szCs w:val="21"/>
                <w:highlight w:val="none"/>
              </w:rPr>
              <w:t>深入理解人工智能的本质及社会责任</w:t>
            </w:r>
            <w:r>
              <w:rPr>
                <w:rFonts w:hint="eastAsia"/>
                <w:sz w:val="21"/>
                <w:szCs w:val="21"/>
                <w:highlight w:val="none"/>
                <w:lang w:val="en-US" w:eastAsia="zh-CN"/>
              </w:rPr>
              <w:t>科技兴国</w:t>
            </w:r>
          </w:p>
        </w:tc>
        <w:tc>
          <w:tcPr>
            <w:tcW w:w="917" w:type="dxa"/>
            <w:tcBorders>
              <w:top w:val="single" w:color="auto" w:sz="4" w:space="0"/>
              <w:left w:val="single" w:color="auto" w:sz="4" w:space="0"/>
              <w:bottom w:val="single" w:color="auto" w:sz="4" w:space="0"/>
              <w:right w:val="single" w:color="auto" w:sz="4" w:space="0"/>
            </w:tcBorders>
            <w:noWrap w:val="0"/>
            <w:vAlign w:val="top"/>
          </w:tcPr>
          <w:p w14:paraId="7C3BBEE6">
            <w:pPr>
              <w:widowControl/>
              <w:adjustRightInd w:val="0"/>
              <w:snapToGrid w:val="0"/>
              <w:jc w:val="left"/>
              <w:rPr>
                <w:rFonts w:hint="eastAsia"/>
                <w:color w:val="auto"/>
                <w:kern w:val="2"/>
                <w:sz w:val="21"/>
                <w:szCs w:val="21"/>
                <w:highlight w:val="none"/>
                <w:lang w:val="en-US" w:eastAsia="zh-CN" w:bidi="ar-SA"/>
              </w:rPr>
            </w:pPr>
            <w:r>
              <w:rPr>
                <w:rFonts w:hint="eastAsia" w:ascii="Times New Roman" w:hAnsi="Times New Roman" w:eastAsia="仿宋" w:cs="Times New Roman"/>
                <w:bCs/>
                <w:color w:val="auto"/>
                <w:sz w:val="21"/>
                <w:szCs w:val="21"/>
                <w:highlight w:val="none"/>
                <w:lang w:val="en-US" w:eastAsia="zh-CN"/>
              </w:rPr>
              <w:t>线下学习</w:t>
            </w:r>
          </w:p>
        </w:tc>
      </w:tr>
      <w:tr w14:paraId="574E0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66D15917">
            <w:pPr>
              <w:widowControl/>
              <w:adjustRightInd w:val="0"/>
              <w:snapToGrid w:val="0"/>
              <w:jc w:val="center"/>
              <w:rPr>
                <w:rFonts w:hint="eastAsia" w:eastAsia="宋体"/>
                <w:kern w:val="2"/>
                <w:sz w:val="21"/>
                <w:szCs w:val="21"/>
                <w:highlight w:val="none"/>
                <w:lang w:val="en-US" w:eastAsia="zh-CN" w:bidi="ar-SA"/>
              </w:rPr>
            </w:pPr>
            <w:r>
              <w:rPr>
                <w:rFonts w:hint="eastAsia"/>
                <w:sz w:val="21"/>
                <w:szCs w:val="21"/>
                <w:highlight w:val="none"/>
                <w:lang w:val="en-US" w:eastAsia="zh-CN"/>
              </w:rPr>
              <w:t>2</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0787888C">
            <w:pPr>
              <w:widowControl/>
              <w:adjustRightInd w:val="0"/>
              <w:snapToGrid w:val="0"/>
              <w:jc w:val="left"/>
              <w:rPr>
                <w:rFonts w:hint="eastAsia"/>
                <w:b w:val="0"/>
                <w:bCs/>
                <w:color w:val="000000"/>
                <w:kern w:val="2"/>
                <w:sz w:val="21"/>
                <w:szCs w:val="21"/>
                <w:highlight w:val="none"/>
                <w:lang w:val="en-US" w:eastAsia="zh-CN" w:bidi="ar-SA"/>
              </w:rPr>
            </w:pPr>
            <w:r>
              <w:rPr>
                <w:rFonts w:hint="eastAsia"/>
                <w:b w:val="0"/>
                <w:bCs/>
                <w:sz w:val="21"/>
                <w:szCs w:val="21"/>
                <w:highlight w:val="none"/>
              </w:rPr>
              <w:t>人工智能行业解决方案</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0D784329">
            <w:pPr>
              <w:jc w:val="center"/>
              <w:rPr>
                <w:rFonts w:hint="eastAsia"/>
                <w:color w:val="000000"/>
                <w:kern w:val="2"/>
                <w:sz w:val="21"/>
                <w:szCs w:val="21"/>
                <w:highlight w:val="none"/>
                <w:lang w:val="en-US" w:eastAsia="zh-CN" w:bidi="ar-SA"/>
              </w:rPr>
            </w:pPr>
            <w:r>
              <w:rPr>
                <w:rFonts w:hint="eastAsia"/>
                <w:sz w:val="21"/>
                <w:szCs w:val="21"/>
                <w:highlight w:val="none"/>
              </w:rPr>
              <w:t>课程目标</w:t>
            </w:r>
            <w:r>
              <w:rPr>
                <w:rFonts w:hint="eastAsia"/>
                <w:sz w:val="21"/>
                <w:szCs w:val="21"/>
                <w:highlight w:val="none"/>
                <w:lang w:val="en-US" w:eastAsia="zh-CN"/>
              </w:rPr>
              <w:t>2</w:t>
            </w:r>
          </w:p>
        </w:tc>
        <w:tc>
          <w:tcPr>
            <w:tcW w:w="1341" w:type="dxa"/>
            <w:tcBorders>
              <w:top w:val="single" w:color="auto" w:sz="4" w:space="0"/>
              <w:left w:val="single" w:color="auto" w:sz="4" w:space="0"/>
              <w:bottom w:val="single" w:color="auto" w:sz="4" w:space="0"/>
              <w:right w:val="single" w:color="auto" w:sz="4" w:space="0"/>
            </w:tcBorders>
            <w:noWrap w:val="0"/>
            <w:vAlign w:val="center"/>
          </w:tcPr>
          <w:p w14:paraId="6433B44C">
            <w:pPr>
              <w:jc w:val="center"/>
              <w:rPr>
                <w:rFonts w:hint="eastAsia"/>
                <w:kern w:val="2"/>
                <w:sz w:val="21"/>
                <w:szCs w:val="21"/>
                <w:highlight w:val="none"/>
                <w:lang w:val="en-US" w:eastAsia="zh-CN" w:bidi="ar-SA"/>
              </w:rPr>
            </w:pPr>
            <w:r>
              <w:rPr>
                <w:rFonts w:hint="eastAsia"/>
                <w:sz w:val="21"/>
                <w:szCs w:val="21"/>
                <w:highlight w:val="none"/>
              </w:rPr>
              <w:t>指标点</w:t>
            </w:r>
            <w:r>
              <w:rPr>
                <w:rFonts w:hint="eastAsia"/>
                <w:sz w:val="21"/>
                <w:szCs w:val="21"/>
                <w:highlight w:val="none"/>
                <w:lang w:val="en-US" w:eastAsia="zh-CN"/>
              </w:rPr>
              <w:t>3-</w:t>
            </w:r>
            <w:r>
              <w:rPr>
                <w:rFonts w:hint="eastAsia"/>
                <w:sz w:val="21"/>
                <w:szCs w:val="21"/>
                <w:highlight w:val="none"/>
              </w:rPr>
              <w:t>1</w:t>
            </w:r>
          </w:p>
        </w:tc>
        <w:tc>
          <w:tcPr>
            <w:tcW w:w="637" w:type="dxa"/>
            <w:tcBorders>
              <w:top w:val="single" w:color="auto" w:sz="4" w:space="0"/>
              <w:left w:val="single" w:color="auto" w:sz="4" w:space="0"/>
              <w:bottom w:val="single" w:color="auto" w:sz="4" w:space="0"/>
              <w:right w:val="single" w:color="auto" w:sz="4" w:space="0"/>
            </w:tcBorders>
            <w:noWrap w:val="0"/>
            <w:vAlign w:val="center"/>
          </w:tcPr>
          <w:p w14:paraId="1E771CC5">
            <w:pPr>
              <w:widowControl/>
              <w:adjustRightInd w:val="0"/>
              <w:snapToGrid w:val="0"/>
              <w:jc w:val="center"/>
              <w:rPr>
                <w:rFonts w:hint="eastAsia" w:eastAsia="宋体"/>
                <w:kern w:val="2"/>
                <w:sz w:val="21"/>
                <w:szCs w:val="21"/>
                <w:highlight w:val="none"/>
                <w:lang w:val="en-US" w:eastAsia="zh-CN" w:bidi="ar-SA"/>
              </w:rPr>
            </w:pPr>
            <w:r>
              <w:rPr>
                <w:rFonts w:hint="eastAsia"/>
                <w:sz w:val="21"/>
                <w:szCs w:val="21"/>
                <w:highlight w:val="none"/>
                <w:lang w:val="en-US" w:eastAsia="zh-CN"/>
              </w:rPr>
              <w:t>2</w:t>
            </w:r>
          </w:p>
        </w:tc>
        <w:tc>
          <w:tcPr>
            <w:tcW w:w="2669" w:type="dxa"/>
            <w:tcBorders>
              <w:top w:val="single" w:color="auto" w:sz="4" w:space="0"/>
              <w:left w:val="single" w:color="auto" w:sz="4" w:space="0"/>
              <w:bottom w:val="single" w:color="auto" w:sz="4" w:space="0"/>
              <w:right w:val="single" w:color="auto" w:sz="4" w:space="0"/>
            </w:tcBorders>
            <w:noWrap w:val="0"/>
            <w:vAlign w:val="top"/>
          </w:tcPr>
          <w:p w14:paraId="19E6F896">
            <w:pPr>
              <w:widowControl/>
              <w:adjustRightInd w:val="0"/>
              <w:snapToGrid w:val="0"/>
              <w:jc w:val="center"/>
              <w:rPr>
                <w:rFonts w:hint="eastAsia"/>
                <w:kern w:val="2"/>
                <w:sz w:val="21"/>
                <w:szCs w:val="21"/>
                <w:highlight w:val="none"/>
                <w:lang w:val="en-US" w:eastAsia="zh-CN" w:bidi="ar-SA"/>
              </w:rPr>
            </w:pPr>
            <w:r>
              <w:rPr>
                <w:rFonts w:hint="eastAsia"/>
                <w:sz w:val="21"/>
                <w:szCs w:val="21"/>
                <w:highlight w:val="none"/>
              </w:rPr>
              <w:t>科技发展的最终目的是服务于人类社会，</w:t>
            </w:r>
            <w:r>
              <w:rPr>
                <w:rFonts w:hint="eastAsia"/>
                <w:sz w:val="21"/>
                <w:szCs w:val="21"/>
                <w:highlight w:val="none"/>
                <w:lang w:val="en-US" w:eastAsia="zh-CN"/>
              </w:rPr>
              <w:t>鼓励学生</w:t>
            </w:r>
            <w:r>
              <w:rPr>
                <w:rFonts w:hint="eastAsia"/>
                <w:sz w:val="21"/>
                <w:szCs w:val="21"/>
                <w:highlight w:val="none"/>
              </w:rPr>
              <w:t>将来</w:t>
            </w:r>
            <w:r>
              <w:rPr>
                <w:rFonts w:hint="eastAsia"/>
                <w:sz w:val="21"/>
                <w:szCs w:val="21"/>
                <w:highlight w:val="none"/>
                <w:lang w:val="en-US" w:eastAsia="zh-CN"/>
              </w:rPr>
              <w:t>用</w:t>
            </w:r>
            <w:r>
              <w:rPr>
                <w:rFonts w:hint="eastAsia"/>
                <w:sz w:val="21"/>
                <w:szCs w:val="21"/>
                <w:highlight w:val="none"/>
              </w:rPr>
              <w:t>科技服务社会</w:t>
            </w:r>
          </w:p>
        </w:tc>
        <w:tc>
          <w:tcPr>
            <w:tcW w:w="917" w:type="dxa"/>
            <w:tcBorders>
              <w:top w:val="single" w:color="auto" w:sz="4" w:space="0"/>
              <w:left w:val="single" w:color="auto" w:sz="4" w:space="0"/>
              <w:bottom w:val="single" w:color="auto" w:sz="4" w:space="0"/>
              <w:right w:val="single" w:color="auto" w:sz="4" w:space="0"/>
            </w:tcBorders>
            <w:noWrap w:val="0"/>
            <w:vAlign w:val="top"/>
          </w:tcPr>
          <w:p w14:paraId="2C81D1B0">
            <w:pPr>
              <w:widowControl/>
              <w:adjustRightInd w:val="0"/>
              <w:snapToGrid w:val="0"/>
              <w:jc w:val="left"/>
              <w:rPr>
                <w:rFonts w:hint="eastAsia"/>
                <w:color w:val="auto"/>
                <w:kern w:val="2"/>
                <w:sz w:val="21"/>
                <w:szCs w:val="21"/>
                <w:highlight w:val="none"/>
                <w:lang w:val="en-US" w:eastAsia="zh-CN" w:bidi="ar-SA"/>
              </w:rPr>
            </w:pPr>
            <w:r>
              <w:rPr>
                <w:rFonts w:hint="eastAsia" w:ascii="Times New Roman" w:hAnsi="Times New Roman" w:eastAsia="仿宋" w:cs="Times New Roman"/>
                <w:bCs/>
                <w:color w:val="auto"/>
                <w:sz w:val="21"/>
                <w:szCs w:val="21"/>
                <w:highlight w:val="none"/>
                <w:lang w:val="en-US" w:eastAsia="zh-CN"/>
              </w:rPr>
              <w:t>线下学习</w:t>
            </w:r>
          </w:p>
        </w:tc>
      </w:tr>
      <w:tr w14:paraId="4366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04344547">
            <w:pPr>
              <w:widowControl/>
              <w:adjustRightInd w:val="0"/>
              <w:snapToGrid w:val="0"/>
              <w:jc w:val="center"/>
              <w:rPr>
                <w:rFonts w:hint="eastAsia" w:eastAsia="宋体"/>
                <w:kern w:val="2"/>
                <w:sz w:val="21"/>
                <w:szCs w:val="21"/>
                <w:highlight w:val="none"/>
                <w:lang w:val="en-US" w:eastAsia="zh-CN" w:bidi="ar-SA"/>
              </w:rPr>
            </w:pPr>
            <w:r>
              <w:rPr>
                <w:rFonts w:hint="eastAsia"/>
                <w:sz w:val="21"/>
                <w:szCs w:val="21"/>
                <w:highlight w:val="none"/>
                <w:lang w:val="en-US" w:eastAsia="zh-CN"/>
              </w:rPr>
              <w:t>3</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4517299E">
            <w:pPr>
              <w:widowControl/>
              <w:adjustRightInd w:val="0"/>
              <w:snapToGrid w:val="0"/>
              <w:jc w:val="left"/>
              <w:rPr>
                <w:rFonts w:hint="eastAsia"/>
                <w:b w:val="0"/>
                <w:bCs/>
                <w:color w:val="000000"/>
                <w:kern w:val="2"/>
                <w:sz w:val="21"/>
                <w:szCs w:val="21"/>
                <w:highlight w:val="none"/>
                <w:lang w:val="en-US" w:eastAsia="zh-CN" w:bidi="ar-SA"/>
              </w:rPr>
            </w:pPr>
            <w:r>
              <w:rPr>
                <w:rFonts w:hint="eastAsia"/>
                <w:b w:val="0"/>
                <w:bCs/>
                <w:sz w:val="21"/>
                <w:szCs w:val="21"/>
                <w:highlight w:val="none"/>
              </w:rPr>
              <w:t>人工智能算法原理</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686C094B">
            <w:pPr>
              <w:widowControl/>
              <w:adjustRightInd w:val="0"/>
              <w:snapToGrid w:val="0"/>
              <w:jc w:val="center"/>
              <w:rPr>
                <w:rFonts w:hint="eastAsia"/>
                <w:color w:val="000000"/>
                <w:kern w:val="2"/>
                <w:sz w:val="21"/>
                <w:szCs w:val="21"/>
                <w:highlight w:val="none"/>
                <w:lang w:val="en-US" w:eastAsia="zh-CN" w:bidi="ar-SA"/>
              </w:rPr>
            </w:pPr>
            <w:r>
              <w:rPr>
                <w:rFonts w:hint="eastAsia"/>
                <w:sz w:val="21"/>
                <w:szCs w:val="21"/>
                <w:highlight w:val="none"/>
              </w:rPr>
              <w:t>课程目标1</w:t>
            </w:r>
          </w:p>
        </w:tc>
        <w:tc>
          <w:tcPr>
            <w:tcW w:w="1341" w:type="dxa"/>
            <w:tcBorders>
              <w:top w:val="single" w:color="auto" w:sz="4" w:space="0"/>
              <w:left w:val="single" w:color="auto" w:sz="4" w:space="0"/>
              <w:bottom w:val="single" w:color="auto" w:sz="4" w:space="0"/>
              <w:right w:val="single" w:color="auto" w:sz="4" w:space="0"/>
            </w:tcBorders>
            <w:noWrap w:val="0"/>
            <w:vAlign w:val="center"/>
          </w:tcPr>
          <w:p w14:paraId="76ECD870">
            <w:pPr>
              <w:widowControl/>
              <w:adjustRightInd w:val="0"/>
              <w:snapToGrid w:val="0"/>
              <w:jc w:val="center"/>
              <w:rPr>
                <w:rFonts w:hint="default" w:eastAsiaTheme="minorEastAsia"/>
                <w:kern w:val="2"/>
                <w:sz w:val="21"/>
                <w:szCs w:val="21"/>
                <w:highlight w:val="none"/>
                <w:lang w:val="en-US" w:eastAsia="zh-CN" w:bidi="ar-SA"/>
              </w:rPr>
            </w:pPr>
            <w:r>
              <w:rPr>
                <w:rFonts w:hint="eastAsia"/>
                <w:sz w:val="21"/>
                <w:szCs w:val="21"/>
                <w:highlight w:val="none"/>
              </w:rPr>
              <w:t>指标点</w:t>
            </w:r>
            <w:r>
              <w:rPr>
                <w:rFonts w:hint="eastAsia"/>
                <w:sz w:val="21"/>
                <w:szCs w:val="21"/>
                <w:highlight w:val="none"/>
                <w:lang w:val="en-US" w:eastAsia="zh-CN"/>
              </w:rPr>
              <w:t>3-1</w:t>
            </w:r>
          </w:p>
        </w:tc>
        <w:tc>
          <w:tcPr>
            <w:tcW w:w="637" w:type="dxa"/>
            <w:tcBorders>
              <w:top w:val="single" w:color="auto" w:sz="4" w:space="0"/>
              <w:left w:val="single" w:color="auto" w:sz="4" w:space="0"/>
              <w:bottom w:val="single" w:color="auto" w:sz="4" w:space="0"/>
              <w:right w:val="single" w:color="auto" w:sz="4" w:space="0"/>
            </w:tcBorders>
            <w:noWrap w:val="0"/>
            <w:vAlign w:val="center"/>
          </w:tcPr>
          <w:p w14:paraId="679AA434">
            <w:pPr>
              <w:widowControl/>
              <w:adjustRightInd w:val="0"/>
              <w:snapToGrid w:val="0"/>
              <w:jc w:val="center"/>
              <w:rPr>
                <w:rFonts w:hint="eastAsia" w:eastAsia="宋体"/>
                <w:kern w:val="2"/>
                <w:sz w:val="21"/>
                <w:szCs w:val="21"/>
                <w:highlight w:val="none"/>
                <w:lang w:val="en-US" w:eastAsia="zh-CN" w:bidi="ar-SA"/>
              </w:rPr>
            </w:pPr>
            <w:r>
              <w:rPr>
                <w:rFonts w:hint="eastAsia"/>
                <w:sz w:val="21"/>
                <w:szCs w:val="21"/>
                <w:highlight w:val="none"/>
                <w:lang w:val="en-US" w:eastAsia="zh-CN"/>
              </w:rPr>
              <w:t>2</w:t>
            </w:r>
          </w:p>
        </w:tc>
        <w:tc>
          <w:tcPr>
            <w:tcW w:w="2669" w:type="dxa"/>
            <w:tcBorders>
              <w:top w:val="single" w:color="auto" w:sz="4" w:space="0"/>
              <w:left w:val="single" w:color="auto" w:sz="4" w:space="0"/>
              <w:bottom w:val="single" w:color="auto" w:sz="4" w:space="0"/>
              <w:right w:val="single" w:color="auto" w:sz="4" w:space="0"/>
            </w:tcBorders>
            <w:noWrap w:val="0"/>
            <w:vAlign w:val="top"/>
          </w:tcPr>
          <w:p w14:paraId="5C80B66E">
            <w:pPr>
              <w:widowControl/>
              <w:adjustRightInd w:val="0"/>
              <w:snapToGrid w:val="0"/>
              <w:jc w:val="center"/>
              <w:rPr>
                <w:rFonts w:hint="eastAsia"/>
                <w:kern w:val="2"/>
                <w:sz w:val="21"/>
                <w:szCs w:val="21"/>
                <w:highlight w:val="none"/>
                <w:lang w:val="en-US" w:eastAsia="zh-CN" w:bidi="ar-SA"/>
              </w:rPr>
            </w:pPr>
            <w:r>
              <w:rPr>
                <w:rFonts w:hint="eastAsia"/>
                <w:color w:val="000000"/>
                <w:sz w:val="21"/>
                <w:szCs w:val="21"/>
                <w:highlight w:val="none"/>
              </w:rPr>
              <w:t>扩展学生知识的深度与广度，培养学生致力于国家人工智能战略的意识和能力</w:t>
            </w:r>
          </w:p>
        </w:tc>
        <w:tc>
          <w:tcPr>
            <w:tcW w:w="917" w:type="dxa"/>
            <w:tcBorders>
              <w:top w:val="single" w:color="auto" w:sz="4" w:space="0"/>
              <w:left w:val="single" w:color="auto" w:sz="4" w:space="0"/>
              <w:bottom w:val="single" w:color="auto" w:sz="4" w:space="0"/>
              <w:right w:val="single" w:color="auto" w:sz="4" w:space="0"/>
            </w:tcBorders>
            <w:noWrap w:val="0"/>
            <w:vAlign w:val="top"/>
          </w:tcPr>
          <w:p w14:paraId="15C434C9">
            <w:pPr>
              <w:widowControl/>
              <w:adjustRightInd w:val="0"/>
              <w:snapToGrid w:val="0"/>
              <w:jc w:val="left"/>
              <w:rPr>
                <w:rFonts w:hint="eastAsia"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线上学习</w:t>
            </w:r>
          </w:p>
          <w:p w14:paraId="77DE9BF8">
            <w:pPr>
              <w:widowControl/>
              <w:adjustRightInd w:val="0"/>
              <w:snapToGrid w:val="0"/>
              <w:jc w:val="center"/>
              <w:rPr>
                <w:rFonts w:hint="eastAsia"/>
                <w:bCs/>
                <w:color w:val="auto"/>
                <w:kern w:val="2"/>
                <w:sz w:val="21"/>
                <w:szCs w:val="21"/>
                <w:highlight w:val="none"/>
                <w:lang w:val="en-US" w:eastAsia="zh-CN" w:bidi="ar-SA"/>
              </w:rPr>
            </w:pPr>
          </w:p>
        </w:tc>
      </w:tr>
      <w:tr w14:paraId="60AD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40844708">
            <w:pPr>
              <w:widowControl/>
              <w:adjustRightInd w:val="0"/>
              <w:snapToGrid w:val="0"/>
              <w:jc w:val="center"/>
              <w:rPr>
                <w:rFonts w:hint="eastAsia" w:eastAsia="宋体"/>
                <w:kern w:val="2"/>
                <w:sz w:val="21"/>
                <w:szCs w:val="21"/>
                <w:highlight w:val="none"/>
                <w:lang w:val="en-US" w:eastAsia="zh-CN" w:bidi="ar-SA"/>
              </w:rPr>
            </w:pPr>
            <w:r>
              <w:rPr>
                <w:rFonts w:hint="eastAsia"/>
                <w:sz w:val="21"/>
                <w:szCs w:val="21"/>
                <w:highlight w:val="none"/>
                <w:lang w:val="en-US" w:eastAsia="zh-CN"/>
              </w:rPr>
              <w:t>4</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3ACD3921">
            <w:pPr>
              <w:widowControl/>
              <w:adjustRightInd w:val="0"/>
              <w:snapToGrid w:val="0"/>
              <w:jc w:val="left"/>
              <w:rPr>
                <w:rFonts w:hint="eastAsia"/>
                <w:b w:val="0"/>
                <w:bCs/>
                <w:color w:val="000000"/>
                <w:kern w:val="2"/>
                <w:sz w:val="21"/>
                <w:szCs w:val="21"/>
                <w:highlight w:val="none"/>
                <w:lang w:val="en-US" w:eastAsia="zh-CN" w:bidi="ar-SA"/>
              </w:rPr>
            </w:pPr>
            <w:r>
              <w:rPr>
                <w:rFonts w:hint="eastAsia"/>
                <w:b w:val="0"/>
                <w:bCs/>
                <w:sz w:val="21"/>
                <w:szCs w:val="21"/>
                <w:highlight w:val="none"/>
              </w:rPr>
              <w:t>自然语言处理</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68601B9A">
            <w:pPr>
              <w:widowControl/>
              <w:adjustRightInd w:val="0"/>
              <w:snapToGrid w:val="0"/>
              <w:jc w:val="center"/>
              <w:rPr>
                <w:rFonts w:hint="eastAsia"/>
                <w:color w:val="000000"/>
                <w:kern w:val="2"/>
                <w:sz w:val="21"/>
                <w:szCs w:val="21"/>
                <w:highlight w:val="none"/>
                <w:lang w:val="en-US" w:eastAsia="zh-CN" w:bidi="ar-SA"/>
              </w:rPr>
            </w:pPr>
            <w:r>
              <w:rPr>
                <w:rFonts w:hint="eastAsia"/>
                <w:sz w:val="21"/>
                <w:szCs w:val="21"/>
                <w:highlight w:val="none"/>
              </w:rPr>
              <w:t>课程目标1</w:t>
            </w:r>
          </w:p>
        </w:tc>
        <w:tc>
          <w:tcPr>
            <w:tcW w:w="1341" w:type="dxa"/>
            <w:tcBorders>
              <w:top w:val="single" w:color="auto" w:sz="4" w:space="0"/>
              <w:left w:val="single" w:color="auto" w:sz="4" w:space="0"/>
              <w:bottom w:val="single" w:color="auto" w:sz="4" w:space="0"/>
              <w:right w:val="single" w:color="auto" w:sz="4" w:space="0"/>
            </w:tcBorders>
            <w:noWrap w:val="0"/>
            <w:vAlign w:val="center"/>
          </w:tcPr>
          <w:p w14:paraId="4109C654">
            <w:pPr>
              <w:widowControl/>
              <w:adjustRightInd w:val="0"/>
              <w:snapToGrid w:val="0"/>
              <w:jc w:val="center"/>
              <w:rPr>
                <w:rFonts w:hint="default" w:eastAsiaTheme="minorEastAsia"/>
                <w:kern w:val="2"/>
                <w:sz w:val="21"/>
                <w:szCs w:val="21"/>
                <w:highlight w:val="none"/>
                <w:lang w:val="en-US" w:eastAsia="zh-CN" w:bidi="ar-SA"/>
              </w:rPr>
            </w:pPr>
            <w:r>
              <w:rPr>
                <w:rFonts w:hint="eastAsia"/>
                <w:sz w:val="21"/>
                <w:szCs w:val="21"/>
                <w:highlight w:val="none"/>
              </w:rPr>
              <w:t>指标点</w:t>
            </w:r>
            <w:r>
              <w:rPr>
                <w:rFonts w:hint="eastAsia"/>
                <w:sz w:val="21"/>
                <w:szCs w:val="21"/>
                <w:highlight w:val="none"/>
                <w:lang w:val="en-US" w:eastAsia="zh-CN"/>
              </w:rPr>
              <w:t>3-1</w:t>
            </w:r>
          </w:p>
        </w:tc>
        <w:tc>
          <w:tcPr>
            <w:tcW w:w="637" w:type="dxa"/>
            <w:tcBorders>
              <w:top w:val="single" w:color="auto" w:sz="4" w:space="0"/>
              <w:left w:val="single" w:color="auto" w:sz="4" w:space="0"/>
              <w:bottom w:val="single" w:color="auto" w:sz="4" w:space="0"/>
              <w:right w:val="single" w:color="auto" w:sz="4" w:space="0"/>
            </w:tcBorders>
            <w:noWrap w:val="0"/>
            <w:vAlign w:val="center"/>
          </w:tcPr>
          <w:p w14:paraId="6DAE5C85">
            <w:pPr>
              <w:widowControl/>
              <w:adjustRightInd w:val="0"/>
              <w:snapToGrid w:val="0"/>
              <w:jc w:val="center"/>
              <w:rPr>
                <w:rFonts w:hint="eastAsia" w:eastAsia="宋体"/>
                <w:kern w:val="2"/>
                <w:sz w:val="21"/>
                <w:szCs w:val="21"/>
                <w:highlight w:val="none"/>
                <w:lang w:val="en-US" w:eastAsia="zh-CN" w:bidi="ar-SA"/>
              </w:rPr>
            </w:pPr>
            <w:r>
              <w:rPr>
                <w:rFonts w:hint="eastAsia"/>
                <w:sz w:val="21"/>
                <w:szCs w:val="21"/>
                <w:highlight w:val="none"/>
                <w:lang w:val="en-US" w:eastAsia="zh-CN"/>
              </w:rPr>
              <w:t>2</w:t>
            </w:r>
          </w:p>
        </w:tc>
        <w:tc>
          <w:tcPr>
            <w:tcW w:w="2669" w:type="dxa"/>
            <w:tcBorders>
              <w:top w:val="single" w:color="auto" w:sz="4" w:space="0"/>
              <w:left w:val="single" w:color="auto" w:sz="4" w:space="0"/>
              <w:bottom w:val="single" w:color="auto" w:sz="4" w:space="0"/>
              <w:right w:val="single" w:color="auto" w:sz="4" w:space="0"/>
            </w:tcBorders>
            <w:noWrap w:val="0"/>
            <w:vAlign w:val="top"/>
          </w:tcPr>
          <w:p w14:paraId="73B93526">
            <w:pPr>
              <w:widowControl/>
              <w:adjustRightInd w:val="0"/>
              <w:snapToGrid w:val="0"/>
              <w:jc w:val="center"/>
              <w:rPr>
                <w:rFonts w:hint="eastAsia"/>
                <w:kern w:val="2"/>
                <w:sz w:val="21"/>
                <w:szCs w:val="21"/>
                <w:highlight w:val="none"/>
                <w:lang w:val="en-US" w:eastAsia="zh-CN" w:bidi="ar-SA"/>
              </w:rPr>
            </w:pPr>
            <w:r>
              <w:rPr>
                <w:rFonts w:hint="eastAsia"/>
                <w:color w:val="000000"/>
                <w:sz w:val="21"/>
                <w:szCs w:val="21"/>
                <w:highlight w:val="none"/>
              </w:rPr>
              <w:t>了解相关技术的原理，扩展学生知识的深度与广度</w:t>
            </w:r>
          </w:p>
        </w:tc>
        <w:tc>
          <w:tcPr>
            <w:tcW w:w="917" w:type="dxa"/>
            <w:tcBorders>
              <w:top w:val="single" w:color="auto" w:sz="4" w:space="0"/>
              <w:left w:val="single" w:color="auto" w:sz="4" w:space="0"/>
              <w:bottom w:val="single" w:color="auto" w:sz="4" w:space="0"/>
              <w:right w:val="single" w:color="auto" w:sz="4" w:space="0"/>
            </w:tcBorders>
            <w:noWrap w:val="0"/>
            <w:vAlign w:val="top"/>
          </w:tcPr>
          <w:p w14:paraId="06D43522">
            <w:pPr>
              <w:widowControl/>
              <w:adjustRightInd w:val="0"/>
              <w:snapToGrid w:val="0"/>
              <w:jc w:val="left"/>
              <w:rPr>
                <w:rFonts w:hint="eastAsia"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线上学习</w:t>
            </w:r>
          </w:p>
          <w:p w14:paraId="0BFECD49">
            <w:pPr>
              <w:widowControl/>
              <w:adjustRightInd w:val="0"/>
              <w:snapToGrid w:val="0"/>
              <w:jc w:val="center"/>
              <w:rPr>
                <w:rFonts w:hint="eastAsia"/>
                <w:color w:val="auto"/>
                <w:kern w:val="2"/>
                <w:sz w:val="21"/>
                <w:szCs w:val="21"/>
                <w:highlight w:val="none"/>
                <w:lang w:val="en-US" w:eastAsia="zh-CN" w:bidi="ar-SA"/>
              </w:rPr>
            </w:pPr>
          </w:p>
        </w:tc>
      </w:tr>
      <w:tr w14:paraId="3099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0B4E01C0">
            <w:pPr>
              <w:widowControl/>
              <w:adjustRightInd w:val="0"/>
              <w:snapToGrid w:val="0"/>
              <w:jc w:val="center"/>
              <w:rPr>
                <w:rFonts w:hint="eastAsia" w:eastAsia="宋体"/>
                <w:kern w:val="2"/>
                <w:sz w:val="21"/>
                <w:szCs w:val="21"/>
                <w:highlight w:val="none"/>
                <w:lang w:val="en-US" w:eastAsia="zh-CN" w:bidi="ar-SA"/>
              </w:rPr>
            </w:pPr>
            <w:r>
              <w:rPr>
                <w:rFonts w:hint="eastAsia"/>
                <w:sz w:val="21"/>
                <w:szCs w:val="21"/>
                <w:highlight w:val="none"/>
                <w:lang w:val="en-US" w:eastAsia="zh-CN"/>
              </w:rPr>
              <w:t>5</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47108230">
            <w:pPr>
              <w:spacing w:line="360" w:lineRule="auto"/>
              <w:rPr>
                <w:rFonts w:hint="eastAsia"/>
                <w:b w:val="0"/>
                <w:bCs/>
                <w:color w:val="000000"/>
                <w:kern w:val="2"/>
                <w:sz w:val="21"/>
                <w:szCs w:val="21"/>
                <w:highlight w:val="none"/>
                <w:lang w:val="en-US" w:eastAsia="zh-CN" w:bidi="ar-SA"/>
              </w:rPr>
            </w:pPr>
            <w:r>
              <w:rPr>
                <w:rFonts w:hint="eastAsia"/>
                <w:b w:val="0"/>
                <w:bCs/>
                <w:sz w:val="21"/>
                <w:szCs w:val="21"/>
                <w:highlight w:val="none"/>
              </w:rPr>
              <w:t>人工智能伦理与法治</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3489A49E">
            <w:pPr>
              <w:widowControl/>
              <w:adjustRightInd w:val="0"/>
              <w:snapToGrid w:val="0"/>
              <w:jc w:val="center"/>
              <w:rPr>
                <w:rFonts w:hint="eastAsia" w:eastAsia="宋体"/>
                <w:kern w:val="2"/>
                <w:sz w:val="21"/>
                <w:szCs w:val="21"/>
                <w:highlight w:val="none"/>
                <w:lang w:val="en-US" w:eastAsia="zh-CN" w:bidi="ar-SA"/>
              </w:rPr>
            </w:pPr>
            <w:r>
              <w:rPr>
                <w:rFonts w:hint="eastAsia"/>
                <w:sz w:val="21"/>
                <w:szCs w:val="21"/>
                <w:highlight w:val="none"/>
              </w:rPr>
              <w:t>课程目标1</w:t>
            </w:r>
          </w:p>
        </w:tc>
        <w:tc>
          <w:tcPr>
            <w:tcW w:w="1341" w:type="dxa"/>
            <w:tcBorders>
              <w:top w:val="single" w:color="auto" w:sz="4" w:space="0"/>
              <w:left w:val="single" w:color="auto" w:sz="4" w:space="0"/>
              <w:bottom w:val="single" w:color="auto" w:sz="4" w:space="0"/>
              <w:right w:val="single" w:color="auto" w:sz="4" w:space="0"/>
            </w:tcBorders>
            <w:noWrap w:val="0"/>
            <w:vAlign w:val="center"/>
          </w:tcPr>
          <w:p w14:paraId="77D56D0B">
            <w:pPr>
              <w:widowControl/>
              <w:adjustRightInd w:val="0"/>
              <w:snapToGrid w:val="0"/>
              <w:jc w:val="center"/>
              <w:rPr>
                <w:rFonts w:hint="default" w:eastAsiaTheme="minorEastAsia"/>
                <w:kern w:val="2"/>
                <w:sz w:val="21"/>
                <w:szCs w:val="21"/>
                <w:highlight w:val="none"/>
                <w:lang w:val="en-US" w:eastAsia="zh-CN" w:bidi="ar-SA"/>
              </w:rPr>
            </w:pPr>
            <w:r>
              <w:rPr>
                <w:rFonts w:hint="eastAsia"/>
                <w:sz w:val="21"/>
                <w:szCs w:val="21"/>
                <w:highlight w:val="none"/>
              </w:rPr>
              <w:t>指标点</w:t>
            </w:r>
            <w:r>
              <w:rPr>
                <w:rFonts w:hint="eastAsia"/>
                <w:sz w:val="21"/>
                <w:szCs w:val="21"/>
                <w:highlight w:val="none"/>
                <w:lang w:val="en-US" w:eastAsia="zh-CN"/>
              </w:rPr>
              <w:t>3-1</w:t>
            </w:r>
          </w:p>
        </w:tc>
        <w:tc>
          <w:tcPr>
            <w:tcW w:w="637" w:type="dxa"/>
            <w:tcBorders>
              <w:top w:val="single" w:color="auto" w:sz="4" w:space="0"/>
              <w:left w:val="single" w:color="auto" w:sz="4" w:space="0"/>
              <w:bottom w:val="single" w:color="auto" w:sz="4" w:space="0"/>
              <w:right w:val="single" w:color="auto" w:sz="4" w:space="0"/>
            </w:tcBorders>
            <w:noWrap w:val="0"/>
            <w:vAlign w:val="center"/>
          </w:tcPr>
          <w:p w14:paraId="4995DC24">
            <w:pPr>
              <w:widowControl/>
              <w:adjustRightInd w:val="0"/>
              <w:snapToGrid w:val="0"/>
              <w:jc w:val="center"/>
              <w:rPr>
                <w:rFonts w:hint="eastAsia" w:eastAsia="宋体"/>
                <w:kern w:val="2"/>
                <w:sz w:val="21"/>
                <w:szCs w:val="21"/>
                <w:highlight w:val="none"/>
                <w:lang w:val="en-US" w:eastAsia="zh-CN" w:bidi="ar-SA"/>
              </w:rPr>
            </w:pPr>
            <w:r>
              <w:rPr>
                <w:rFonts w:hint="eastAsia"/>
                <w:sz w:val="21"/>
                <w:szCs w:val="21"/>
                <w:highlight w:val="none"/>
                <w:lang w:val="en-US" w:eastAsia="zh-CN"/>
              </w:rPr>
              <w:t>2</w:t>
            </w:r>
          </w:p>
        </w:tc>
        <w:tc>
          <w:tcPr>
            <w:tcW w:w="2669" w:type="dxa"/>
            <w:tcBorders>
              <w:top w:val="single" w:color="auto" w:sz="4" w:space="0"/>
              <w:left w:val="single" w:color="auto" w:sz="4" w:space="0"/>
              <w:bottom w:val="single" w:color="auto" w:sz="4" w:space="0"/>
              <w:right w:val="single" w:color="auto" w:sz="4" w:space="0"/>
            </w:tcBorders>
            <w:noWrap w:val="0"/>
            <w:vAlign w:val="top"/>
          </w:tcPr>
          <w:p w14:paraId="4A49C2C7">
            <w:pPr>
              <w:widowControl/>
              <w:adjustRightInd w:val="0"/>
              <w:snapToGrid w:val="0"/>
              <w:jc w:val="center"/>
              <w:rPr>
                <w:rFonts w:hint="eastAsia" w:eastAsia="宋体"/>
                <w:kern w:val="2"/>
                <w:sz w:val="21"/>
                <w:szCs w:val="21"/>
                <w:highlight w:val="none"/>
                <w:lang w:val="en-US" w:eastAsia="zh-CN" w:bidi="ar-SA"/>
              </w:rPr>
            </w:pPr>
            <w:r>
              <w:rPr>
                <w:rFonts w:hint="eastAsia"/>
                <w:bCs/>
                <w:sz w:val="21"/>
                <w:szCs w:val="21"/>
                <w:highlight w:val="none"/>
              </w:rPr>
              <w:t>激发学生创新思维，遵守大数据伦理规范要求</w:t>
            </w:r>
          </w:p>
        </w:tc>
        <w:tc>
          <w:tcPr>
            <w:tcW w:w="917" w:type="dxa"/>
            <w:tcBorders>
              <w:top w:val="single" w:color="auto" w:sz="4" w:space="0"/>
              <w:left w:val="single" w:color="auto" w:sz="4" w:space="0"/>
              <w:bottom w:val="single" w:color="auto" w:sz="4" w:space="0"/>
              <w:right w:val="single" w:color="auto" w:sz="4" w:space="0"/>
            </w:tcBorders>
            <w:noWrap w:val="0"/>
            <w:vAlign w:val="top"/>
          </w:tcPr>
          <w:p w14:paraId="7D51429F">
            <w:pPr>
              <w:widowControl/>
              <w:adjustRightInd w:val="0"/>
              <w:snapToGrid w:val="0"/>
              <w:jc w:val="left"/>
              <w:rPr>
                <w:rFonts w:hint="eastAsia"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线上学习</w:t>
            </w:r>
          </w:p>
          <w:p w14:paraId="3D1C7E18">
            <w:pPr>
              <w:widowControl/>
              <w:adjustRightInd w:val="0"/>
              <w:snapToGrid w:val="0"/>
              <w:jc w:val="center"/>
              <w:rPr>
                <w:rFonts w:hint="eastAsia"/>
                <w:bCs/>
                <w:color w:val="auto"/>
                <w:kern w:val="2"/>
                <w:sz w:val="21"/>
                <w:szCs w:val="21"/>
                <w:highlight w:val="none"/>
                <w:lang w:val="en-US" w:eastAsia="zh-CN" w:bidi="ar-SA"/>
              </w:rPr>
            </w:pPr>
          </w:p>
        </w:tc>
      </w:tr>
      <w:tr w14:paraId="175EC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6538EA30">
            <w:pPr>
              <w:widowControl/>
              <w:adjustRightInd w:val="0"/>
              <w:snapToGrid w:val="0"/>
              <w:jc w:val="center"/>
              <w:rPr>
                <w:sz w:val="21"/>
                <w:szCs w:val="21"/>
                <w:highlight w:val="none"/>
              </w:rPr>
            </w:pPr>
          </w:p>
          <w:p w14:paraId="437F1871">
            <w:pPr>
              <w:widowControl/>
              <w:adjustRightInd w:val="0"/>
              <w:snapToGrid w:val="0"/>
              <w:jc w:val="center"/>
              <w:rPr>
                <w:rFonts w:hint="eastAsia" w:eastAsia="宋体"/>
                <w:kern w:val="2"/>
                <w:sz w:val="21"/>
                <w:szCs w:val="21"/>
                <w:highlight w:val="none"/>
                <w:lang w:val="en-US" w:eastAsia="zh-CN" w:bidi="ar-SA"/>
              </w:rPr>
            </w:pPr>
            <w:r>
              <w:rPr>
                <w:rFonts w:hint="eastAsia"/>
                <w:sz w:val="21"/>
                <w:szCs w:val="21"/>
                <w:highlight w:val="none"/>
                <w:lang w:val="en-US" w:eastAsia="zh-CN"/>
              </w:rPr>
              <w:t>6</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3B250F49">
            <w:pPr>
              <w:widowControl/>
              <w:adjustRightInd w:val="0"/>
              <w:snapToGrid w:val="0"/>
              <w:jc w:val="left"/>
              <w:rPr>
                <w:rFonts w:hint="eastAsia" w:eastAsia="宋体"/>
                <w:b w:val="0"/>
                <w:bCs/>
                <w:color w:val="000000"/>
                <w:kern w:val="2"/>
                <w:sz w:val="21"/>
                <w:szCs w:val="21"/>
                <w:highlight w:val="none"/>
                <w:lang w:val="en-US" w:eastAsia="zh-CN" w:bidi="ar-SA"/>
              </w:rPr>
            </w:pPr>
            <w:r>
              <w:rPr>
                <w:rFonts w:hint="eastAsia"/>
                <w:b w:val="0"/>
                <w:bCs/>
                <w:sz w:val="21"/>
                <w:szCs w:val="21"/>
                <w:highlight w:val="none"/>
                <w:lang w:val="en-US" w:eastAsia="zh-CN"/>
              </w:rPr>
              <w:t>人工智能开发语言</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4EC67983">
            <w:pPr>
              <w:widowControl/>
              <w:adjustRightInd w:val="0"/>
              <w:snapToGrid w:val="0"/>
              <w:jc w:val="center"/>
              <w:rPr>
                <w:rFonts w:hint="eastAsia"/>
                <w:color w:val="000000"/>
                <w:kern w:val="2"/>
                <w:sz w:val="21"/>
                <w:szCs w:val="21"/>
                <w:highlight w:val="none"/>
                <w:lang w:val="en-US" w:eastAsia="zh-CN" w:bidi="ar-SA"/>
              </w:rPr>
            </w:pPr>
            <w:r>
              <w:rPr>
                <w:rFonts w:hint="eastAsia"/>
                <w:sz w:val="21"/>
                <w:szCs w:val="21"/>
                <w:highlight w:val="none"/>
              </w:rPr>
              <w:t>课程目标1</w:t>
            </w:r>
          </w:p>
        </w:tc>
        <w:tc>
          <w:tcPr>
            <w:tcW w:w="1341" w:type="dxa"/>
            <w:tcBorders>
              <w:top w:val="single" w:color="auto" w:sz="4" w:space="0"/>
              <w:left w:val="single" w:color="auto" w:sz="4" w:space="0"/>
              <w:bottom w:val="single" w:color="auto" w:sz="4" w:space="0"/>
              <w:right w:val="single" w:color="auto" w:sz="4" w:space="0"/>
            </w:tcBorders>
            <w:noWrap w:val="0"/>
            <w:vAlign w:val="center"/>
          </w:tcPr>
          <w:p w14:paraId="022D9318">
            <w:pPr>
              <w:widowControl/>
              <w:adjustRightInd w:val="0"/>
              <w:snapToGrid w:val="0"/>
              <w:jc w:val="center"/>
              <w:rPr>
                <w:rFonts w:hint="default" w:eastAsiaTheme="minorEastAsia"/>
                <w:kern w:val="2"/>
                <w:sz w:val="21"/>
                <w:szCs w:val="21"/>
                <w:highlight w:val="none"/>
                <w:lang w:val="en-US" w:eastAsia="zh-CN" w:bidi="ar-SA"/>
              </w:rPr>
            </w:pPr>
            <w:r>
              <w:rPr>
                <w:rFonts w:hint="eastAsia"/>
                <w:sz w:val="21"/>
                <w:szCs w:val="21"/>
                <w:highlight w:val="none"/>
              </w:rPr>
              <w:t>指标点</w:t>
            </w:r>
            <w:r>
              <w:rPr>
                <w:rFonts w:hint="eastAsia"/>
                <w:sz w:val="21"/>
                <w:szCs w:val="21"/>
                <w:highlight w:val="none"/>
                <w:lang w:val="en-US" w:eastAsia="zh-CN"/>
              </w:rPr>
              <w:t>3-1</w:t>
            </w:r>
          </w:p>
        </w:tc>
        <w:tc>
          <w:tcPr>
            <w:tcW w:w="637" w:type="dxa"/>
            <w:tcBorders>
              <w:top w:val="single" w:color="auto" w:sz="4" w:space="0"/>
              <w:left w:val="single" w:color="auto" w:sz="4" w:space="0"/>
              <w:bottom w:val="single" w:color="auto" w:sz="4" w:space="0"/>
              <w:right w:val="single" w:color="auto" w:sz="4" w:space="0"/>
            </w:tcBorders>
            <w:noWrap w:val="0"/>
            <w:vAlign w:val="center"/>
          </w:tcPr>
          <w:p w14:paraId="3431F86D">
            <w:pPr>
              <w:widowControl/>
              <w:adjustRightInd w:val="0"/>
              <w:snapToGrid w:val="0"/>
              <w:jc w:val="center"/>
              <w:rPr>
                <w:rFonts w:hint="eastAsia" w:eastAsia="宋体"/>
                <w:kern w:val="2"/>
                <w:sz w:val="21"/>
                <w:szCs w:val="21"/>
                <w:highlight w:val="none"/>
                <w:lang w:val="en-US" w:eastAsia="zh-CN" w:bidi="ar-SA"/>
              </w:rPr>
            </w:pPr>
            <w:r>
              <w:rPr>
                <w:rFonts w:hint="eastAsia"/>
                <w:sz w:val="21"/>
                <w:szCs w:val="21"/>
                <w:highlight w:val="none"/>
                <w:lang w:val="en-US" w:eastAsia="zh-CN"/>
              </w:rPr>
              <w:t>5</w:t>
            </w:r>
          </w:p>
        </w:tc>
        <w:tc>
          <w:tcPr>
            <w:tcW w:w="2669" w:type="dxa"/>
            <w:tcBorders>
              <w:top w:val="single" w:color="auto" w:sz="4" w:space="0"/>
              <w:left w:val="single" w:color="auto" w:sz="4" w:space="0"/>
              <w:bottom w:val="single" w:color="auto" w:sz="4" w:space="0"/>
              <w:right w:val="single" w:color="auto" w:sz="4" w:space="0"/>
            </w:tcBorders>
            <w:noWrap w:val="0"/>
            <w:vAlign w:val="top"/>
          </w:tcPr>
          <w:p w14:paraId="7BA8BB08">
            <w:pPr>
              <w:widowControl/>
              <w:adjustRightInd w:val="0"/>
              <w:snapToGrid w:val="0"/>
              <w:jc w:val="center"/>
              <w:rPr>
                <w:rFonts w:hint="eastAsia"/>
                <w:kern w:val="2"/>
                <w:sz w:val="21"/>
                <w:szCs w:val="21"/>
                <w:highlight w:val="none"/>
                <w:lang w:val="en-US" w:eastAsia="zh-CN" w:bidi="ar-SA"/>
              </w:rPr>
            </w:pPr>
            <w:r>
              <w:rPr>
                <w:rFonts w:hint="eastAsia"/>
                <w:bCs/>
                <w:sz w:val="21"/>
                <w:szCs w:val="21"/>
                <w:highlight w:val="none"/>
              </w:rPr>
              <w:t>培养学生严谨的编程态度和逻辑思维</w:t>
            </w:r>
            <w:r>
              <w:rPr>
                <w:rFonts w:hint="eastAsia"/>
                <w:bCs/>
                <w:sz w:val="21"/>
                <w:szCs w:val="21"/>
                <w:highlight w:val="none"/>
                <w:lang w:eastAsia="zh-CN"/>
              </w:rPr>
              <w:t>，</w:t>
            </w:r>
            <w:r>
              <w:rPr>
                <w:rFonts w:hint="eastAsia"/>
                <w:bCs/>
                <w:sz w:val="21"/>
                <w:szCs w:val="21"/>
                <w:highlight w:val="none"/>
                <w:lang w:val="en-US" w:eastAsia="zh-CN"/>
              </w:rPr>
              <w:t>从Python发展快源于开源</w:t>
            </w:r>
            <w:r>
              <w:rPr>
                <w:rFonts w:hint="eastAsia"/>
                <w:bCs/>
                <w:sz w:val="21"/>
                <w:szCs w:val="21"/>
                <w:highlight w:val="none"/>
              </w:rPr>
              <w:t>宣</w:t>
            </w:r>
            <w:r>
              <w:rPr>
                <w:rFonts w:hint="eastAsia"/>
                <w:bCs/>
                <w:sz w:val="21"/>
                <w:szCs w:val="21"/>
                <w:highlight w:val="none"/>
                <w:lang w:val="en-US" w:eastAsia="zh-CN"/>
              </w:rPr>
              <w:t>传</w:t>
            </w:r>
            <w:r>
              <w:rPr>
                <w:rFonts w:hint="eastAsia"/>
                <w:bCs/>
                <w:sz w:val="21"/>
                <w:szCs w:val="21"/>
                <w:highlight w:val="none"/>
              </w:rPr>
              <w:t>要以合作为主</w:t>
            </w:r>
          </w:p>
        </w:tc>
        <w:tc>
          <w:tcPr>
            <w:tcW w:w="917" w:type="dxa"/>
            <w:tcBorders>
              <w:top w:val="single" w:color="auto" w:sz="4" w:space="0"/>
              <w:left w:val="single" w:color="auto" w:sz="4" w:space="0"/>
              <w:bottom w:val="single" w:color="auto" w:sz="4" w:space="0"/>
              <w:right w:val="single" w:color="auto" w:sz="4" w:space="0"/>
            </w:tcBorders>
            <w:noWrap w:val="0"/>
            <w:vAlign w:val="top"/>
          </w:tcPr>
          <w:p w14:paraId="01E15AF8">
            <w:pPr>
              <w:widowControl/>
              <w:adjustRightInd w:val="0"/>
              <w:snapToGrid w:val="0"/>
              <w:jc w:val="left"/>
              <w:rPr>
                <w:rFonts w:hint="eastAsia"/>
                <w:color w:val="auto"/>
                <w:kern w:val="2"/>
                <w:sz w:val="21"/>
                <w:szCs w:val="21"/>
                <w:highlight w:val="none"/>
                <w:lang w:val="en-US" w:eastAsia="zh-CN" w:bidi="ar-SA"/>
              </w:rPr>
            </w:pPr>
            <w:r>
              <w:rPr>
                <w:rFonts w:hint="eastAsia" w:ascii="Times New Roman" w:hAnsi="Times New Roman" w:eastAsia="仿宋" w:cs="Times New Roman"/>
                <w:bCs/>
                <w:color w:val="auto"/>
                <w:sz w:val="21"/>
                <w:szCs w:val="21"/>
                <w:highlight w:val="none"/>
                <w:lang w:val="en-US" w:eastAsia="zh-CN"/>
              </w:rPr>
              <w:t>线下学习</w:t>
            </w:r>
          </w:p>
        </w:tc>
      </w:tr>
      <w:tr w14:paraId="5230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30594B52">
            <w:pPr>
              <w:widowControl/>
              <w:adjustRightInd w:val="0"/>
              <w:snapToGrid w:val="0"/>
              <w:jc w:val="center"/>
              <w:rPr>
                <w:rFonts w:hint="eastAsia" w:eastAsia="宋体"/>
                <w:kern w:val="2"/>
                <w:sz w:val="21"/>
                <w:szCs w:val="21"/>
                <w:highlight w:val="none"/>
                <w:lang w:val="en-US" w:eastAsia="zh-CN" w:bidi="ar-SA"/>
              </w:rPr>
            </w:pPr>
            <w:r>
              <w:rPr>
                <w:rFonts w:hint="eastAsia"/>
                <w:sz w:val="21"/>
                <w:szCs w:val="21"/>
                <w:highlight w:val="none"/>
                <w:lang w:val="en-US" w:eastAsia="zh-CN"/>
              </w:rPr>
              <w:t>7</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6EE9B07F">
            <w:pPr>
              <w:widowControl/>
              <w:adjustRightInd w:val="0"/>
              <w:snapToGrid w:val="0"/>
              <w:jc w:val="left"/>
              <w:rPr>
                <w:rFonts w:hint="eastAsia"/>
                <w:b w:val="0"/>
                <w:bCs/>
                <w:color w:val="000000"/>
                <w:kern w:val="2"/>
                <w:sz w:val="21"/>
                <w:szCs w:val="21"/>
                <w:highlight w:val="none"/>
                <w:lang w:val="en-US" w:eastAsia="zh-CN" w:bidi="ar-SA"/>
              </w:rPr>
            </w:pPr>
            <w:r>
              <w:rPr>
                <w:rFonts w:hint="eastAsia"/>
                <w:b w:val="0"/>
                <w:bCs/>
                <w:sz w:val="21"/>
                <w:szCs w:val="21"/>
                <w:highlight w:val="none"/>
              </w:rPr>
              <w:t>生成式人工智能大模型应用</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4B8116FE">
            <w:pPr>
              <w:jc w:val="center"/>
              <w:rPr>
                <w:rFonts w:hint="eastAsia"/>
                <w:color w:val="000000"/>
                <w:kern w:val="2"/>
                <w:sz w:val="21"/>
                <w:szCs w:val="21"/>
                <w:highlight w:val="none"/>
                <w:lang w:val="en-US" w:eastAsia="zh-CN" w:bidi="ar-SA"/>
              </w:rPr>
            </w:pPr>
            <w:r>
              <w:rPr>
                <w:rFonts w:hint="eastAsia"/>
                <w:sz w:val="21"/>
                <w:szCs w:val="21"/>
                <w:highlight w:val="none"/>
              </w:rPr>
              <w:t>课程目标</w:t>
            </w:r>
            <w:r>
              <w:rPr>
                <w:rFonts w:hint="eastAsia"/>
                <w:sz w:val="21"/>
                <w:szCs w:val="21"/>
                <w:highlight w:val="none"/>
                <w:lang w:val="en-US" w:eastAsia="zh-CN"/>
              </w:rPr>
              <w:t>2</w:t>
            </w:r>
          </w:p>
        </w:tc>
        <w:tc>
          <w:tcPr>
            <w:tcW w:w="1341" w:type="dxa"/>
            <w:tcBorders>
              <w:top w:val="single" w:color="auto" w:sz="4" w:space="0"/>
              <w:left w:val="single" w:color="auto" w:sz="4" w:space="0"/>
              <w:bottom w:val="single" w:color="auto" w:sz="4" w:space="0"/>
              <w:right w:val="single" w:color="auto" w:sz="4" w:space="0"/>
            </w:tcBorders>
            <w:noWrap w:val="0"/>
            <w:vAlign w:val="center"/>
          </w:tcPr>
          <w:p w14:paraId="09256C89">
            <w:pPr>
              <w:jc w:val="center"/>
              <w:rPr>
                <w:rFonts w:hint="eastAsia"/>
                <w:kern w:val="2"/>
                <w:sz w:val="21"/>
                <w:szCs w:val="21"/>
                <w:highlight w:val="none"/>
                <w:lang w:val="en-US" w:eastAsia="zh-CN" w:bidi="ar-SA"/>
              </w:rPr>
            </w:pPr>
            <w:r>
              <w:rPr>
                <w:rFonts w:hint="eastAsia"/>
                <w:sz w:val="21"/>
                <w:szCs w:val="21"/>
                <w:highlight w:val="none"/>
              </w:rPr>
              <w:t>指标点</w:t>
            </w:r>
            <w:r>
              <w:rPr>
                <w:rFonts w:hint="eastAsia"/>
                <w:sz w:val="21"/>
                <w:szCs w:val="21"/>
                <w:highlight w:val="none"/>
                <w:lang w:val="en-US" w:eastAsia="zh-CN"/>
              </w:rPr>
              <w:t>3-</w:t>
            </w:r>
            <w:r>
              <w:rPr>
                <w:rFonts w:hint="eastAsia"/>
                <w:sz w:val="21"/>
                <w:szCs w:val="21"/>
                <w:highlight w:val="none"/>
              </w:rPr>
              <w:t>1</w:t>
            </w:r>
          </w:p>
        </w:tc>
        <w:tc>
          <w:tcPr>
            <w:tcW w:w="637" w:type="dxa"/>
            <w:tcBorders>
              <w:top w:val="single" w:color="auto" w:sz="4" w:space="0"/>
              <w:left w:val="single" w:color="auto" w:sz="4" w:space="0"/>
              <w:bottom w:val="single" w:color="auto" w:sz="4" w:space="0"/>
              <w:right w:val="single" w:color="auto" w:sz="4" w:space="0"/>
            </w:tcBorders>
            <w:noWrap w:val="0"/>
            <w:vAlign w:val="center"/>
          </w:tcPr>
          <w:p w14:paraId="215172B3">
            <w:pPr>
              <w:widowControl/>
              <w:adjustRightInd w:val="0"/>
              <w:snapToGrid w:val="0"/>
              <w:jc w:val="center"/>
              <w:rPr>
                <w:rFonts w:hint="eastAsia" w:eastAsia="宋体"/>
                <w:kern w:val="2"/>
                <w:sz w:val="21"/>
                <w:szCs w:val="21"/>
                <w:highlight w:val="none"/>
                <w:lang w:val="en-US" w:eastAsia="zh-CN" w:bidi="ar-SA"/>
              </w:rPr>
            </w:pPr>
            <w:r>
              <w:rPr>
                <w:rFonts w:hint="eastAsia"/>
                <w:sz w:val="21"/>
                <w:szCs w:val="21"/>
                <w:highlight w:val="none"/>
                <w:lang w:val="en-US" w:eastAsia="zh-CN"/>
              </w:rPr>
              <w:t>4</w:t>
            </w:r>
          </w:p>
        </w:tc>
        <w:tc>
          <w:tcPr>
            <w:tcW w:w="2669" w:type="dxa"/>
            <w:tcBorders>
              <w:top w:val="single" w:color="auto" w:sz="4" w:space="0"/>
              <w:left w:val="single" w:color="auto" w:sz="4" w:space="0"/>
              <w:bottom w:val="single" w:color="auto" w:sz="4" w:space="0"/>
              <w:right w:val="single" w:color="auto" w:sz="4" w:space="0"/>
            </w:tcBorders>
            <w:noWrap w:val="0"/>
            <w:vAlign w:val="top"/>
          </w:tcPr>
          <w:p w14:paraId="53E1CE47">
            <w:pPr>
              <w:widowControl/>
              <w:adjustRightInd w:val="0"/>
              <w:snapToGrid w:val="0"/>
              <w:jc w:val="center"/>
              <w:rPr>
                <w:rFonts w:hint="eastAsia"/>
                <w:kern w:val="2"/>
                <w:sz w:val="21"/>
                <w:szCs w:val="21"/>
                <w:highlight w:val="none"/>
                <w:lang w:val="en-US" w:eastAsia="zh-CN" w:bidi="ar-SA"/>
              </w:rPr>
            </w:pPr>
            <w:r>
              <w:rPr>
                <w:rFonts w:hint="eastAsia"/>
                <w:bCs/>
                <w:sz w:val="21"/>
                <w:szCs w:val="21"/>
                <w:highlight w:val="none"/>
              </w:rPr>
              <w:t>对比中美大模型发展，增强学生的民族自豪感和对国家科技实力的认同</w:t>
            </w:r>
            <w:r>
              <w:rPr>
                <w:rFonts w:hint="eastAsia"/>
                <w:bCs/>
                <w:sz w:val="21"/>
                <w:szCs w:val="21"/>
                <w:highlight w:val="none"/>
                <w:lang w:eastAsia="zh-CN"/>
              </w:rPr>
              <w:t>，</w:t>
            </w:r>
            <w:r>
              <w:rPr>
                <w:rFonts w:hint="eastAsia"/>
                <w:bCs/>
                <w:sz w:val="21"/>
                <w:szCs w:val="21"/>
                <w:highlight w:val="none"/>
              </w:rPr>
              <w:t>激发学生创新实践的积极</w:t>
            </w:r>
            <w:r>
              <w:rPr>
                <w:rFonts w:hint="eastAsia"/>
                <w:bCs/>
                <w:sz w:val="21"/>
                <w:szCs w:val="21"/>
                <w:highlight w:val="none"/>
                <w:lang w:val="en-US" w:eastAsia="zh-CN"/>
              </w:rPr>
              <w:t>性</w:t>
            </w:r>
          </w:p>
        </w:tc>
        <w:tc>
          <w:tcPr>
            <w:tcW w:w="917" w:type="dxa"/>
            <w:tcBorders>
              <w:top w:val="single" w:color="auto" w:sz="4" w:space="0"/>
              <w:left w:val="single" w:color="auto" w:sz="4" w:space="0"/>
              <w:bottom w:val="single" w:color="auto" w:sz="4" w:space="0"/>
              <w:right w:val="single" w:color="auto" w:sz="4" w:space="0"/>
            </w:tcBorders>
            <w:noWrap w:val="0"/>
            <w:vAlign w:val="top"/>
          </w:tcPr>
          <w:p w14:paraId="6D29ADB5">
            <w:pPr>
              <w:widowControl/>
              <w:adjustRightInd w:val="0"/>
              <w:snapToGrid w:val="0"/>
              <w:jc w:val="left"/>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线下学习</w:t>
            </w:r>
          </w:p>
          <w:p w14:paraId="7068FBD5">
            <w:pPr>
              <w:widowControl/>
              <w:adjustRightInd w:val="0"/>
              <w:snapToGrid w:val="0"/>
              <w:jc w:val="left"/>
              <w:rPr>
                <w:rFonts w:hint="eastAsia"/>
                <w:bCs/>
                <w:color w:val="auto"/>
                <w:kern w:val="2"/>
                <w:sz w:val="21"/>
                <w:szCs w:val="21"/>
                <w:highlight w:val="none"/>
                <w:lang w:val="en-US" w:eastAsia="zh-CN" w:bidi="ar-SA"/>
              </w:rPr>
            </w:pPr>
          </w:p>
        </w:tc>
      </w:tr>
      <w:tr w14:paraId="1B1A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27B6EF1C">
            <w:pPr>
              <w:widowControl/>
              <w:adjustRightInd w:val="0"/>
              <w:snapToGrid w:val="0"/>
              <w:jc w:val="center"/>
              <w:rPr>
                <w:rFonts w:hint="eastAsia" w:eastAsia="宋体"/>
                <w:sz w:val="21"/>
                <w:szCs w:val="21"/>
                <w:highlight w:val="none"/>
                <w:lang w:eastAsia="zh-CN"/>
              </w:rPr>
            </w:pPr>
            <w:r>
              <w:rPr>
                <w:rFonts w:hint="eastAsia"/>
                <w:sz w:val="21"/>
                <w:szCs w:val="21"/>
                <w:highlight w:val="none"/>
                <w:lang w:val="en-US" w:eastAsia="zh-CN"/>
              </w:rPr>
              <w:t>8</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7BA27570">
            <w:pPr>
              <w:widowControl/>
              <w:adjustRightInd w:val="0"/>
              <w:snapToGrid w:val="0"/>
              <w:jc w:val="left"/>
              <w:rPr>
                <w:rFonts w:hint="default" w:eastAsia="宋体"/>
                <w:b w:val="0"/>
                <w:bCs/>
                <w:color w:val="000000"/>
                <w:sz w:val="21"/>
                <w:szCs w:val="21"/>
                <w:highlight w:val="none"/>
                <w:lang w:val="en-US" w:eastAsia="zh-CN"/>
              </w:rPr>
            </w:pPr>
            <w:r>
              <w:rPr>
                <w:rFonts w:hint="eastAsia"/>
                <w:b w:val="0"/>
                <w:bCs/>
                <w:sz w:val="21"/>
                <w:szCs w:val="21"/>
                <w:highlight w:val="none"/>
                <w:lang w:val="en-US" w:eastAsia="zh-CN"/>
              </w:rPr>
              <w:t>信息素养基础模块</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4CE5A98E">
            <w:pPr>
              <w:jc w:val="center"/>
              <w:rPr>
                <w:rFonts w:hint="eastAsia" w:eastAsia="宋体"/>
                <w:kern w:val="2"/>
                <w:sz w:val="21"/>
                <w:szCs w:val="21"/>
                <w:highlight w:val="none"/>
                <w:lang w:val="en-US" w:eastAsia="zh-CN" w:bidi="ar-SA"/>
              </w:rPr>
            </w:pPr>
            <w:r>
              <w:rPr>
                <w:rFonts w:hint="eastAsia"/>
                <w:sz w:val="21"/>
                <w:szCs w:val="21"/>
                <w:highlight w:val="none"/>
              </w:rPr>
              <w:t>课程目标</w:t>
            </w:r>
            <w:r>
              <w:rPr>
                <w:rFonts w:hint="eastAsia"/>
                <w:sz w:val="21"/>
                <w:szCs w:val="21"/>
                <w:highlight w:val="none"/>
                <w:lang w:val="en-US" w:eastAsia="zh-CN"/>
              </w:rPr>
              <w:t>2</w:t>
            </w:r>
          </w:p>
        </w:tc>
        <w:tc>
          <w:tcPr>
            <w:tcW w:w="1341" w:type="dxa"/>
            <w:tcBorders>
              <w:top w:val="single" w:color="auto" w:sz="4" w:space="0"/>
              <w:left w:val="single" w:color="auto" w:sz="4" w:space="0"/>
              <w:bottom w:val="single" w:color="auto" w:sz="4" w:space="0"/>
              <w:right w:val="single" w:color="auto" w:sz="4" w:space="0"/>
            </w:tcBorders>
            <w:noWrap w:val="0"/>
            <w:vAlign w:val="center"/>
          </w:tcPr>
          <w:p w14:paraId="6A9D293B">
            <w:pPr>
              <w:jc w:val="center"/>
              <w:rPr>
                <w:kern w:val="2"/>
                <w:sz w:val="21"/>
                <w:szCs w:val="21"/>
                <w:highlight w:val="none"/>
                <w:lang w:val="en-US" w:eastAsia="zh-CN" w:bidi="ar-SA"/>
              </w:rPr>
            </w:pPr>
            <w:r>
              <w:rPr>
                <w:rFonts w:hint="eastAsia"/>
                <w:sz w:val="21"/>
                <w:szCs w:val="21"/>
                <w:highlight w:val="none"/>
              </w:rPr>
              <w:t>指标点</w:t>
            </w:r>
            <w:r>
              <w:rPr>
                <w:rFonts w:hint="eastAsia"/>
                <w:sz w:val="21"/>
                <w:szCs w:val="21"/>
                <w:highlight w:val="none"/>
                <w:lang w:val="en-US" w:eastAsia="zh-CN"/>
              </w:rPr>
              <w:t>3-</w:t>
            </w:r>
            <w:r>
              <w:rPr>
                <w:rFonts w:hint="eastAsia"/>
                <w:sz w:val="21"/>
                <w:szCs w:val="21"/>
                <w:highlight w:val="none"/>
              </w:rPr>
              <w:t>1</w:t>
            </w:r>
          </w:p>
        </w:tc>
        <w:tc>
          <w:tcPr>
            <w:tcW w:w="637" w:type="dxa"/>
            <w:tcBorders>
              <w:top w:val="single" w:color="auto" w:sz="4" w:space="0"/>
              <w:left w:val="single" w:color="auto" w:sz="4" w:space="0"/>
              <w:bottom w:val="single" w:color="auto" w:sz="4" w:space="0"/>
              <w:right w:val="single" w:color="auto" w:sz="4" w:space="0"/>
            </w:tcBorders>
            <w:noWrap w:val="0"/>
            <w:vAlign w:val="center"/>
          </w:tcPr>
          <w:p w14:paraId="6A073675">
            <w:pPr>
              <w:widowControl/>
              <w:adjustRightInd w:val="0"/>
              <w:snapToGrid w:val="0"/>
              <w:jc w:val="center"/>
              <w:rPr>
                <w:rFonts w:hint="eastAsia" w:eastAsia="宋体"/>
                <w:sz w:val="21"/>
                <w:szCs w:val="21"/>
                <w:highlight w:val="none"/>
                <w:lang w:val="en-US" w:eastAsia="zh-CN"/>
              </w:rPr>
            </w:pPr>
            <w:r>
              <w:rPr>
                <w:rFonts w:hint="eastAsia"/>
                <w:sz w:val="21"/>
                <w:szCs w:val="21"/>
                <w:highlight w:val="none"/>
                <w:lang w:val="en-US" w:eastAsia="zh-CN"/>
              </w:rPr>
              <w:t>9</w:t>
            </w:r>
          </w:p>
        </w:tc>
        <w:tc>
          <w:tcPr>
            <w:tcW w:w="2669" w:type="dxa"/>
            <w:tcBorders>
              <w:top w:val="single" w:color="auto" w:sz="4" w:space="0"/>
              <w:left w:val="single" w:color="auto" w:sz="4" w:space="0"/>
              <w:bottom w:val="single" w:color="auto" w:sz="4" w:space="0"/>
              <w:right w:val="single" w:color="auto" w:sz="4" w:space="0"/>
            </w:tcBorders>
            <w:noWrap w:val="0"/>
            <w:vAlign w:val="top"/>
          </w:tcPr>
          <w:p w14:paraId="5B6FF909">
            <w:pPr>
              <w:widowControl/>
              <w:adjustRightInd w:val="0"/>
              <w:snapToGrid w:val="0"/>
              <w:jc w:val="center"/>
              <w:rPr>
                <w:rFonts w:hint="default" w:eastAsia="宋体"/>
                <w:sz w:val="21"/>
                <w:szCs w:val="21"/>
                <w:highlight w:val="none"/>
                <w:lang w:val="en-US" w:eastAsia="zh-CN"/>
              </w:rPr>
            </w:pPr>
            <w:r>
              <w:rPr>
                <w:rFonts w:hint="eastAsia"/>
                <w:bCs/>
                <w:sz w:val="21"/>
                <w:szCs w:val="21"/>
                <w:highlight w:val="none"/>
              </w:rPr>
              <w:t>培养学生</w:t>
            </w:r>
            <w:r>
              <w:rPr>
                <w:rFonts w:hint="eastAsia"/>
                <w:bCs/>
                <w:sz w:val="21"/>
                <w:szCs w:val="21"/>
                <w:highlight w:val="none"/>
                <w:lang w:val="en-US" w:eastAsia="zh-CN"/>
              </w:rPr>
              <w:t>信息处理能力，能有条理地处理各项工作</w:t>
            </w:r>
          </w:p>
        </w:tc>
        <w:tc>
          <w:tcPr>
            <w:tcW w:w="917" w:type="dxa"/>
            <w:tcBorders>
              <w:top w:val="single" w:color="auto" w:sz="4" w:space="0"/>
              <w:left w:val="single" w:color="auto" w:sz="4" w:space="0"/>
              <w:bottom w:val="single" w:color="auto" w:sz="4" w:space="0"/>
              <w:right w:val="single" w:color="auto" w:sz="4" w:space="0"/>
            </w:tcBorders>
            <w:noWrap w:val="0"/>
            <w:vAlign w:val="top"/>
          </w:tcPr>
          <w:p w14:paraId="00460E79">
            <w:pPr>
              <w:widowControl/>
              <w:adjustRightInd w:val="0"/>
              <w:snapToGrid w:val="0"/>
              <w:jc w:val="left"/>
              <w:rPr>
                <w:rFonts w:hint="eastAsia"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线下</w:t>
            </w:r>
          </w:p>
          <w:p w14:paraId="3993AEBE">
            <w:pPr>
              <w:widowControl/>
              <w:adjustRightInd w:val="0"/>
              <w:snapToGrid w:val="0"/>
              <w:jc w:val="left"/>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学习</w:t>
            </w:r>
          </w:p>
        </w:tc>
      </w:tr>
      <w:tr w14:paraId="403C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30FD11E4">
            <w:pPr>
              <w:widowControl/>
              <w:adjustRightInd w:val="0"/>
              <w:snapToGrid w:val="0"/>
              <w:jc w:val="center"/>
              <w:rPr>
                <w:rFonts w:hint="default" w:eastAsia="宋体"/>
                <w:sz w:val="21"/>
                <w:szCs w:val="21"/>
                <w:highlight w:val="none"/>
                <w:lang w:val="en-US" w:eastAsia="zh-CN"/>
              </w:rPr>
            </w:pPr>
            <w:r>
              <w:rPr>
                <w:rFonts w:hint="eastAsia" w:eastAsia="宋体"/>
                <w:sz w:val="21"/>
                <w:szCs w:val="21"/>
                <w:highlight w:val="none"/>
                <w:lang w:val="en-US" w:eastAsia="zh-CN"/>
              </w:rPr>
              <w:t>9</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520D77CF">
            <w:pPr>
              <w:widowControl/>
              <w:adjustRightInd w:val="0"/>
              <w:snapToGrid w:val="0"/>
              <w:jc w:val="left"/>
              <w:rPr>
                <w:rFonts w:hint="default" w:eastAsia="宋体"/>
                <w:b w:val="0"/>
                <w:bCs/>
                <w:color w:val="000000"/>
                <w:sz w:val="21"/>
                <w:szCs w:val="21"/>
                <w:highlight w:val="none"/>
                <w:lang w:val="en-US" w:eastAsia="zh-CN"/>
              </w:rPr>
            </w:pPr>
            <w:r>
              <w:rPr>
                <w:rFonts w:hint="eastAsia" w:eastAsia="宋体"/>
                <w:b w:val="0"/>
                <w:bCs/>
                <w:color w:val="000000"/>
                <w:sz w:val="21"/>
                <w:szCs w:val="21"/>
                <w:highlight w:val="none"/>
                <w:lang w:val="en-US" w:eastAsia="zh-CN"/>
              </w:rPr>
              <w:t>综合应用</w:t>
            </w:r>
            <w:r>
              <w:rPr>
                <w:rFonts w:hint="eastAsia"/>
                <w:b w:val="0"/>
                <w:bCs/>
                <w:color w:val="auto"/>
                <w:sz w:val="21"/>
                <w:szCs w:val="21"/>
                <w:highlight w:val="none"/>
              </w:rPr>
              <w:t xml:space="preserve"> 、考试</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59722EC2">
            <w:pPr>
              <w:widowControl/>
              <w:adjustRightInd w:val="0"/>
              <w:snapToGrid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课程目标1、2</w:t>
            </w:r>
          </w:p>
        </w:tc>
        <w:tc>
          <w:tcPr>
            <w:tcW w:w="1341" w:type="dxa"/>
            <w:tcBorders>
              <w:top w:val="single" w:color="auto" w:sz="4" w:space="0"/>
              <w:left w:val="single" w:color="auto" w:sz="4" w:space="0"/>
              <w:bottom w:val="single" w:color="auto" w:sz="4" w:space="0"/>
              <w:right w:val="single" w:color="auto" w:sz="4" w:space="0"/>
            </w:tcBorders>
            <w:noWrap w:val="0"/>
            <w:vAlign w:val="center"/>
          </w:tcPr>
          <w:p w14:paraId="380F6C64">
            <w:pPr>
              <w:widowControl/>
              <w:adjustRightInd w:val="0"/>
              <w:snapToGrid w:val="0"/>
              <w:jc w:val="center"/>
              <w:rPr>
                <w:rFonts w:hint="default" w:eastAsiaTheme="minorEastAsia"/>
                <w:sz w:val="21"/>
                <w:szCs w:val="21"/>
                <w:highlight w:val="none"/>
                <w:lang w:val="en-US" w:eastAsia="zh-CN"/>
              </w:rPr>
            </w:pPr>
            <w:r>
              <w:rPr>
                <w:rFonts w:hint="eastAsia"/>
                <w:sz w:val="21"/>
                <w:szCs w:val="21"/>
                <w:highlight w:val="none"/>
              </w:rPr>
              <w:t>指标点</w:t>
            </w:r>
            <w:r>
              <w:rPr>
                <w:rFonts w:hint="eastAsia"/>
                <w:sz w:val="21"/>
                <w:szCs w:val="21"/>
                <w:highlight w:val="none"/>
                <w:lang w:val="en-US" w:eastAsia="zh-CN"/>
              </w:rPr>
              <w:t>3-1</w:t>
            </w:r>
          </w:p>
        </w:tc>
        <w:tc>
          <w:tcPr>
            <w:tcW w:w="637" w:type="dxa"/>
            <w:tcBorders>
              <w:top w:val="single" w:color="auto" w:sz="4" w:space="0"/>
              <w:left w:val="single" w:color="auto" w:sz="4" w:space="0"/>
              <w:bottom w:val="single" w:color="auto" w:sz="4" w:space="0"/>
              <w:right w:val="single" w:color="auto" w:sz="4" w:space="0"/>
            </w:tcBorders>
            <w:noWrap w:val="0"/>
            <w:vAlign w:val="center"/>
          </w:tcPr>
          <w:p w14:paraId="2CE9C601">
            <w:pPr>
              <w:widowControl/>
              <w:adjustRightInd w:val="0"/>
              <w:snapToGrid w:val="0"/>
              <w:jc w:val="center"/>
              <w:rPr>
                <w:rFonts w:hint="default" w:eastAsia="宋体"/>
                <w:sz w:val="21"/>
                <w:szCs w:val="21"/>
                <w:highlight w:val="none"/>
                <w:lang w:val="en-US" w:eastAsia="zh-CN"/>
              </w:rPr>
            </w:pPr>
            <w:r>
              <w:rPr>
                <w:rFonts w:hint="eastAsia" w:eastAsia="宋体"/>
                <w:sz w:val="21"/>
                <w:szCs w:val="21"/>
                <w:highlight w:val="none"/>
                <w:lang w:val="en-US" w:eastAsia="zh-CN"/>
              </w:rPr>
              <w:t>5</w:t>
            </w:r>
          </w:p>
        </w:tc>
        <w:tc>
          <w:tcPr>
            <w:tcW w:w="2669" w:type="dxa"/>
            <w:tcBorders>
              <w:top w:val="single" w:color="auto" w:sz="4" w:space="0"/>
              <w:left w:val="single" w:color="auto" w:sz="4" w:space="0"/>
              <w:bottom w:val="single" w:color="auto" w:sz="4" w:space="0"/>
              <w:right w:val="single" w:color="auto" w:sz="4" w:space="0"/>
            </w:tcBorders>
            <w:noWrap w:val="0"/>
            <w:vAlign w:val="top"/>
          </w:tcPr>
          <w:p w14:paraId="4150A7E6">
            <w:pPr>
              <w:widowControl/>
              <w:adjustRightInd w:val="0"/>
              <w:snapToGrid w:val="0"/>
              <w:jc w:val="center"/>
              <w:rPr>
                <w:sz w:val="21"/>
                <w:szCs w:val="21"/>
                <w:highlight w:val="none"/>
              </w:rPr>
            </w:pPr>
            <w:r>
              <w:rPr>
                <w:rFonts w:hint="eastAsia"/>
                <w:color w:val="auto"/>
                <w:sz w:val="21"/>
                <w:szCs w:val="21"/>
                <w:highlight w:val="none"/>
                <w:lang w:val="en-US" w:eastAsia="zh-CN"/>
              </w:rPr>
              <w:t>学以致用，社会生活中</w:t>
            </w:r>
            <w:r>
              <w:rPr>
                <w:rFonts w:hint="eastAsia" w:ascii="宋体" w:hAnsi="宋体"/>
                <w:bCs/>
                <w:sz w:val="21"/>
                <w:szCs w:val="21"/>
                <w:highlight w:val="none"/>
              </w:rPr>
              <w:t>坚守诚信、摒弃抄袭的重要性，培养诚信品质</w:t>
            </w:r>
          </w:p>
        </w:tc>
        <w:tc>
          <w:tcPr>
            <w:tcW w:w="917" w:type="dxa"/>
            <w:tcBorders>
              <w:top w:val="single" w:color="auto" w:sz="4" w:space="0"/>
              <w:left w:val="single" w:color="auto" w:sz="4" w:space="0"/>
              <w:bottom w:val="single" w:color="auto" w:sz="4" w:space="0"/>
              <w:right w:val="single" w:color="auto" w:sz="4" w:space="0"/>
            </w:tcBorders>
            <w:noWrap w:val="0"/>
            <w:vAlign w:val="top"/>
          </w:tcPr>
          <w:p w14:paraId="455D7583">
            <w:pPr>
              <w:widowControl/>
              <w:adjustRightInd w:val="0"/>
              <w:snapToGrid w:val="0"/>
              <w:jc w:val="left"/>
              <w:rPr>
                <w:rFonts w:hint="eastAsia"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线下</w:t>
            </w:r>
          </w:p>
          <w:p w14:paraId="51B85BE1">
            <w:pPr>
              <w:widowControl/>
              <w:adjustRightInd w:val="0"/>
              <w:snapToGrid w:val="0"/>
              <w:jc w:val="both"/>
              <w:rPr>
                <w:rFonts w:hint="eastAsia"/>
                <w:color w:val="auto"/>
                <w:kern w:val="2"/>
                <w:sz w:val="21"/>
                <w:szCs w:val="21"/>
                <w:highlight w:val="none"/>
                <w:lang w:val="en-US" w:eastAsia="zh-CN" w:bidi="ar-SA"/>
              </w:rPr>
            </w:pPr>
            <w:r>
              <w:rPr>
                <w:rFonts w:hint="eastAsia" w:ascii="Times New Roman" w:hAnsi="Times New Roman" w:eastAsia="仿宋" w:cs="Times New Roman"/>
                <w:bCs/>
                <w:color w:val="auto"/>
                <w:sz w:val="21"/>
                <w:szCs w:val="21"/>
                <w:highlight w:val="none"/>
                <w:lang w:val="en-US" w:eastAsia="zh-CN"/>
              </w:rPr>
              <w:t>学习</w:t>
            </w:r>
          </w:p>
        </w:tc>
      </w:tr>
      <w:tr w14:paraId="094C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534" w:type="dxa"/>
            <w:gridSpan w:val="4"/>
            <w:tcBorders>
              <w:top w:val="single" w:color="auto" w:sz="4" w:space="0"/>
              <w:left w:val="single" w:color="auto" w:sz="4" w:space="0"/>
              <w:bottom w:val="single" w:color="auto" w:sz="4" w:space="0"/>
              <w:right w:val="single" w:color="auto" w:sz="4" w:space="0"/>
            </w:tcBorders>
            <w:noWrap w:val="0"/>
            <w:vAlign w:val="center"/>
          </w:tcPr>
          <w:p w14:paraId="17F172CC">
            <w:pPr>
              <w:widowControl/>
              <w:adjustRightInd w:val="0"/>
              <w:snapToGrid w:val="0"/>
              <w:jc w:val="center"/>
              <w:rPr>
                <w:sz w:val="21"/>
                <w:szCs w:val="21"/>
              </w:rPr>
            </w:pPr>
            <w:r>
              <w:rPr>
                <w:sz w:val="21"/>
                <w:szCs w:val="21"/>
              </w:rPr>
              <w:t>合 计</w:t>
            </w:r>
          </w:p>
        </w:tc>
        <w:tc>
          <w:tcPr>
            <w:tcW w:w="637" w:type="dxa"/>
            <w:tcBorders>
              <w:top w:val="single" w:color="auto" w:sz="4" w:space="0"/>
              <w:left w:val="single" w:color="auto" w:sz="4" w:space="0"/>
              <w:bottom w:val="single" w:color="auto" w:sz="4" w:space="0"/>
              <w:right w:val="single" w:color="auto" w:sz="4" w:space="0"/>
            </w:tcBorders>
            <w:noWrap w:val="0"/>
            <w:vAlign w:val="center"/>
          </w:tcPr>
          <w:p w14:paraId="7D2BBAE5">
            <w:pPr>
              <w:widowControl/>
              <w:adjustRightInd w:val="0"/>
              <w:snapToGrid w:val="0"/>
              <w:jc w:val="center"/>
              <w:rPr>
                <w:rFonts w:hint="default" w:eastAsia="宋体"/>
                <w:sz w:val="21"/>
                <w:szCs w:val="21"/>
                <w:lang w:val="en-US" w:eastAsia="zh-CN"/>
              </w:rPr>
            </w:pPr>
            <w:r>
              <w:rPr>
                <w:rFonts w:hint="eastAsia"/>
                <w:sz w:val="21"/>
                <w:szCs w:val="21"/>
                <w:lang w:val="en-US" w:eastAsia="zh-CN"/>
              </w:rPr>
              <w:t>32</w:t>
            </w:r>
          </w:p>
        </w:tc>
        <w:tc>
          <w:tcPr>
            <w:tcW w:w="2669" w:type="dxa"/>
            <w:tcBorders>
              <w:top w:val="single" w:color="auto" w:sz="4" w:space="0"/>
              <w:left w:val="single" w:color="auto" w:sz="4" w:space="0"/>
              <w:bottom w:val="single" w:color="auto" w:sz="4" w:space="0"/>
              <w:right w:val="single" w:color="auto" w:sz="4" w:space="0"/>
            </w:tcBorders>
            <w:noWrap w:val="0"/>
            <w:vAlign w:val="top"/>
          </w:tcPr>
          <w:p w14:paraId="16C6A2F1">
            <w:pPr>
              <w:widowControl/>
              <w:adjustRightInd w:val="0"/>
              <w:snapToGrid w:val="0"/>
              <w:jc w:val="center"/>
              <w:rPr>
                <w:sz w:val="21"/>
                <w:szCs w:val="21"/>
              </w:rPr>
            </w:pPr>
          </w:p>
        </w:tc>
        <w:tc>
          <w:tcPr>
            <w:tcW w:w="917" w:type="dxa"/>
            <w:tcBorders>
              <w:top w:val="single" w:color="auto" w:sz="4" w:space="0"/>
              <w:left w:val="single" w:color="auto" w:sz="4" w:space="0"/>
              <w:bottom w:val="single" w:color="auto" w:sz="4" w:space="0"/>
              <w:right w:val="single" w:color="auto" w:sz="4" w:space="0"/>
            </w:tcBorders>
            <w:noWrap w:val="0"/>
            <w:vAlign w:val="top"/>
          </w:tcPr>
          <w:p w14:paraId="52E139E9">
            <w:pPr>
              <w:widowControl/>
              <w:adjustRightInd w:val="0"/>
              <w:snapToGrid w:val="0"/>
              <w:jc w:val="center"/>
              <w:rPr>
                <w:sz w:val="21"/>
                <w:szCs w:val="21"/>
              </w:rPr>
            </w:pPr>
          </w:p>
        </w:tc>
      </w:tr>
    </w:tbl>
    <w:p w14:paraId="45C7B43A">
      <w:pPr>
        <w:spacing w:line="360" w:lineRule="auto"/>
        <w:jc w:val="center"/>
        <w:rPr>
          <w:sz w:val="21"/>
          <w:szCs w:val="21"/>
        </w:rPr>
      </w:pPr>
    </w:p>
    <w:p w14:paraId="09590713">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四</w:t>
      </w:r>
      <w:r>
        <w:rPr>
          <w:rFonts w:hint="eastAsia" w:ascii="Times New Roman" w:hAnsi="Times New Roman" w:eastAsia="宋体" w:cs="Times New Roman"/>
          <w:b/>
          <w:sz w:val="24"/>
          <w:szCs w:val="24"/>
        </w:rPr>
        <w:t>、课程实施</w:t>
      </w:r>
    </w:p>
    <w:p w14:paraId="658C396A">
      <w:pPr>
        <w:snapToGrid w:val="0"/>
        <w:spacing w:line="360" w:lineRule="auto"/>
        <w:ind w:firstLine="422" w:firstLineChars="200"/>
        <w:rPr>
          <w:b/>
          <w:sz w:val="21"/>
          <w:szCs w:val="21"/>
        </w:rPr>
      </w:pPr>
      <w:r>
        <w:rPr>
          <w:rFonts w:hint="eastAsia"/>
          <w:b/>
          <w:sz w:val="21"/>
          <w:szCs w:val="21"/>
        </w:rPr>
        <w:t>（一）教学方法与教学手段</w:t>
      </w:r>
    </w:p>
    <w:p w14:paraId="605D2473">
      <w:pPr>
        <w:spacing w:line="360" w:lineRule="auto"/>
        <w:ind w:firstLine="420" w:firstLineChars="200"/>
        <w:rPr>
          <w:rFonts w:hint="eastAsia"/>
          <w:sz w:val="21"/>
          <w:szCs w:val="21"/>
        </w:rPr>
      </w:pPr>
      <w:r>
        <w:rPr>
          <w:rFonts w:hint="eastAsia"/>
          <w:bCs/>
          <w:sz w:val="21"/>
          <w:szCs w:val="21"/>
        </w:rPr>
        <w:t>1.</w:t>
      </w:r>
      <w:r>
        <w:rPr>
          <w:rFonts w:hint="eastAsia"/>
          <w:sz w:val="21"/>
          <w:szCs w:val="21"/>
        </w:rPr>
        <w:t>运用启发式教学法，设置问题情境，实施案例化教学，强调理论与实践的联系，突出学生独立思考的能力、创新意识的培养，提升学生的工程实践意识与主观能动性。</w:t>
      </w:r>
    </w:p>
    <w:p w14:paraId="4E0F32A4">
      <w:pPr>
        <w:snapToGrid w:val="0"/>
        <w:spacing w:line="360" w:lineRule="auto"/>
        <w:ind w:firstLine="420" w:firstLineChars="200"/>
        <w:rPr>
          <w:rFonts w:hint="eastAsia" w:eastAsia="宋体"/>
          <w:sz w:val="21"/>
          <w:szCs w:val="21"/>
          <w:lang w:eastAsia="zh-CN"/>
        </w:rPr>
      </w:pPr>
      <w:r>
        <w:rPr>
          <w:rFonts w:hint="eastAsia"/>
          <w:bCs/>
          <w:sz w:val="21"/>
          <w:szCs w:val="21"/>
        </w:rPr>
        <w:t>2.</w:t>
      </w:r>
      <w:r>
        <w:rPr>
          <w:rFonts w:hint="eastAsia"/>
          <w:sz w:val="21"/>
          <w:szCs w:val="21"/>
        </w:rPr>
        <w:t>作业在一体化教学平台上完成，系统有实时阅卷功能，作业完后学生可以直接通过阅卷解析看到得分情况。考试也在该一体化教学平台上完成</w:t>
      </w:r>
      <w:r>
        <w:rPr>
          <w:rFonts w:hint="eastAsia"/>
          <w:sz w:val="21"/>
          <w:szCs w:val="21"/>
          <w:lang w:eastAsia="zh-CN"/>
        </w:rPr>
        <w:t>。</w:t>
      </w:r>
    </w:p>
    <w:p w14:paraId="157AB3EE">
      <w:pPr>
        <w:snapToGrid w:val="0"/>
        <w:spacing w:line="360" w:lineRule="auto"/>
        <w:ind w:firstLine="420" w:firstLineChars="200"/>
        <w:rPr>
          <w:rFonts w:hint="eastAsia"/>
          <w:bCs/>
          <w:sz w:val="21"/>
          <w:szCs w:val="21"/>
        </w:rPr>
      </w:pPr>
      <w:r>
        <w:rPr>
          <w:rFonts w:hint="eastAsia"/>
          <w:bCs/>
          <w:sz w:val="21"/>
          <w:szCs w:val="21"/>
          <w:lang w:val="en-US" w:eastAsia="zh-CN"/>
        </w:rPr>
        <w:t>3</w:t>
      </w:r>
      <w:r>
        <w:rPr>
          <w:rFonts w:hint="eastAsia"/>
          <w:bCs/>
          <w:sz w:val="21"/>
          <w:szCs w:val="21"/>
        </w:rPr>
        <w:t>.课程思政育人方法：</w:t>
      </w:r>
    </w:p>
    <w:p w14:paraId="4B4BE961">
      <w:pPr>
        <w:snapToGrid w:val="0"/>
        <w:spacing w:line="360" w:lineRule="auto"/>
        <w:ind w:firstLine="420" w:firstLineChars="200"/>
        <w:rPr>
          <w:rFonts w:hint="eastAsia"/>
          <w:bCs/>
          <w:sz w:val="21"/>
          <w:szCs w:val="21"/>
        </w:rPr>
      </w:pPr>
      <w:r>
        <w:rPr>
          <w:rFonts w:hint="eastAsia"/>
          <w:bCs/>
          <w:sz w:val="21"/>
          <w:szCs w:val="21"/>
        </w:rPr>
        <w:t>采用案例驱动教学法</w:t>
      </w:r>
      <w:r>
        <w:rPr>
          <w:rFonts w:hint="eastAsia"/>
          <w:bCs/>
          <w:sz w:val="21"/>
          <w:szCs w:val="21"/>
          <w:lang w:eastAsia="zh-CN"/>
        </w:rPr>
        <w:t>，</w:t>
      </w:r>
      <w:r>
        <w:rPr>
          <w:rFonts w:hint="eastAsia"/>
          <w:bCs/>
          <w:sz w:val="21"/>
          <w:szCs w:val="21"/>
        </w:rPr>
        <w:t>设计与专业融合的实训案例，培养学生运用人工智能技术解决实际问题的能力。借助实践项目强化育人效果</w:t>
      </w:r>
      <w:r>
        <w:rPr>
          <w:rFonts w:hint="eastAsia"/>
          <w:bCs/>
          <w:sz w:val="21"/>
          <w:szCs w:val="21"/>
          <w:lang w:eastAsia="zh-CN"/>
        </w:rPr>
        <w:t>，</w:t>
      </w:r>
      <w:r>
        <w:rPr>
          <w:rFonts w:hint="eastAsia"/>
          <w:bCs/>
          <w:sz w:val="21"/>
          <w:szCs w:val="21"/>
        </w:rPr>
        <w:t>设置 AI 文案生成、文生图等多样化实践项目，让学生在实践中结合专业知识与 AI 技术。培养学生创新思维的同时，实现传统文化与现代科技融合，强化思政育人效果。</w:t>
      </w:r>
    </w:p>
    <w:p w14:paraId="4216D909">
      <w:pPr>
        <w:spacing w:line="360" w:lineRule="auto"/>
        <w:ind w:firstLine="422" w:firstLineChars="200"/>
        <w:rPr>
          <w:rFonts w:hint="eastAsia"/>
          <w:b/>
          <w:sz w:val="21"/>
          <w:szCs w:val="21"/>
        </w:rPr>
      </w:pPr>
      <w:r>
        <w:rPr>
          <w:rFonts w:hint="eastAsia"/>
          <w:b/>
          <w:sz w:val="21"/>
          <w:szCs w:val="21"/>
        </w:rPr>
        <w:t>（二）教学质量要求</w:t>
      </w:r>
    </w:p>
    <w:p w14:paraId="64488713">
      <w:pPr>
        <w:tabs>
          <w:tab w:val="right" w:pos="9070"/>
        </w:tabs>
        <w:spacing w:line="360" w:lineRule="auto"/>
        <w:ind w:firstLine="420" w:firstLineChars="200"/>
        <w:rPr>
          <w:sz w:val="21"/>
          <w:szCs w:val="21"/>
        </w:rPr>
      </w:pPr>
      <w:r>
        <w:rPr>
          <w:rFonts w:hint="eastAsia"/>
          <w:sz w:val="21"/>
          <w:szCs w:val="21"/>
        </w:rPr>
        <w:t>课程主要教学环节及其质量要求如表</w:t>
      </w:r>
      <w:r>
        <w:rPr>
          <w:sz w:val="21"/>
          <w:szCs w:val="21"/>
        </w:rPr>
        <w:t>4</w:t>
      </w:r>
      <w:r>
        <w:rPr>
          <w:rFonts w:hint="eastAsia"/>
          <w:sz w:val="21"/>
          <w:szCs w:val="21"/>
        </w:rPr>
        <w:t>所示。</w:t>
      </w:r>
    </w:p>
    <w:p w14:paraId="30C06752">
      <w:pPr>
        <w:spacing w:line="360" w:lineRule="auto"/>
        <w:jc w:val="center"/>
        <w:rPr>
          <w:rFonts w:hint="eastAsia"/>
          <w:sz w:val="21"/>
          <w:szCs w:val="21"/>
        </w:rPr>
      </w:pPr>
      <w:r>
        <w:rPr>
          <w:rFonts w:hint="eastAsia"/>
          <w:sz w:val="21"/>
          <w:szCs w:val="21"/>
        </w:rPr>
        <w:t>表</w:t>
      </w:r>
      <w:r>
        <w:rPr>
          <w:sz w:val="21"/>
          <w:szCs w:val="21"/>
        </w:rPr>
        <w:t xml:space="preserve">4  </w:t>
      </w:r>
      <w:r>
        <w:rPr>
          <w:rFonts w:hint="eastAsia"/>
          <w:sz w:val="21"/>
          <w:szCs w:val="21"/>
        </w:rPr>
        <w:t>课程主要教学环节和质量要求表</w:t>
      </w:r>
    </w:p>
    <w:tbl>
      <w:tblPr>
        <w:tblStyle w:val="15"/>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368"/>
        <w:gridCol w:w="7055"/>
      </w:tblGrid>
      <w:tr w14:paraId="717D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004" w:type="dxa"/>
            <w:gridSpan w:val="2"/>
            <w:tcBorders>
              <w:top w:val="single" w:color="auto" w:sz="4" w:space="0"/>
              <w:left w:val="single" w:color="auto" w:sz="4" w:space="0"/>
              <w:right w:val="single" w:color="auto" w:sz="4" w:space="0"/>
            </w:tcBorders>
            <w:noWrap w:val="0"/>
            <w:tcMar>
              <w:left w:w="28" w:type="dxa"/>
              <w:right w:w="28" w:type="dxa"/>
            </w:tcMar>
            <w:vAlign w:val="center"/>
          </w:tcPr>
          <w:p w14:paraId="6E73FC51">
            <w:pPr>
              <w:snapToGrid w:val="0"/>
              <w:jc w:val="center"/>
              <w:rPr>
                <w:b/>
                <w:sz w:val="21"/>
                <w:szCs w:val="21"/>
              </w:rPr>
            </w:pPr>
            <w:r>
              <w:rPr>
                <w:b/>
                <w:sz w:val="21"/>
                <w:szCs w:val="21"/>
              </w:rPr>
              <w:t>主要教学环节</w:t>
            </w:r>
          </w:p>
        </w:tc>
        <w:tc>
          <w:tcPr>
            <w:tcW w:w="7055" w:type="dxa"/>
            <w:tcBorders>
              <w:top w:val="single" w:color="auto" w:sz="4" w:space="0"/>
              <w:left w:val="single" w:color="auto" w:sz="4" w:space="0"/>
              <w:right w:val="single" w:color="auto" w:sz="4" w:space="0"/>
            </w:tcBorders>
            <w:noWrap w:val="0"/>
            <w:vAlign w:val="center"/>
          </w:tcPr>
          <w:p w14:paraId="01110B18">
            <w:pPr>
              <w:snapToGrid w:val="0"/>
              <w:jc w:val="center"/>
              <w:rPr>
                <w:b/>
                <w:sz w:val="21"/>
                <w:szCs w:val="21"/>
              </w:rPr>
            </w:pPr>
            <w:r>
              <w:rPr>
                <w:b/>
                <w:sz w:val="21"/>
                <w:szCs w:val="21"/>
              </w:rPr>
              <w:t>质量</w:t>
            </w:r>
            <w:r>
              <w:rPr>
                <w:rFonts w:hint="eastAsia"/>
                <w:b/>
                <w:sz w:val="21"/>
                <w:szCs w:val="21"/>
              </w:rPr>
              <w:t>要求</w:t>
            </w:r>
          </w:p>
        </w:tc>
      </w:tr>
      <w:tr w14:paraId="6658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noWrap w:val="0"/>
            <w:vAlign w:val="center"/>
          </w:tcPr>
          <w:p w14:paraId="4AE480A9">
            <w:pPr>
              <w:snapToGrid w:val="0"/>
              <w:jc w:val="center"/>
              <w:rPr>
                <w:sz w:val="21"/>
                <w:szCs w:val="21"/>
              </w:rPr>
            </w:pPr>
            <w:r>
              <w:rPr>
                <w:sz w:val="21"/>
                <w:szCs w:val="21"/>
              </w:rPr>
              <w:t>1</w:t>
            </w:r>
          </w:p>
        </w:tc>
        <w:tc>
          <w:tcPr>
            <w:tcW w:w="1368" w:type="dxa"/>
            <w:noWrap w:val="0"/>
            <w:tcMar>
              <w:left w:w="28" w:type="dxa"/>
              <w:right w:w="28" w:type="dxa"/>
            </w:tcMar>
            <w:vAlign w:val="center"/>
          </w:tcPr>
          <w:p w14:paraId="5309025D">
            <w:pPr>
              <w:snapToGrid w:val="0"/>
              <w:jc w:val="center"/>
              <w:rPr>
                <w:sz w:val="21"/>
                <w:szCs w:val="21"/>
              </w:rPr>
            </w:pPr>
            <w:r>
              <w:rPr>
                <w:sz w:val="21"/>
                <w:szCs w:val="21"/>
              </w:rPr>
              <w:t>备课</w:t>
            </w:r>
          </w:p>
        </w:tc>
        <w:tc>
          <w:tcPr>
            <w:tcW w:w="7055" w:type="dxa"/>
            <w:tcBorders>
              <w:right w:val="single" w:color="auto" w:sz="4" w:space="0"/>
            </w:tcBorders>
            <w:noWrap w:val="0"/>
            <w:vAlign w:val="center"/>
          </w:tcPr>
          <w:p w14:paraId="70230ABE">
            <w:pPr>
              <w:autoSpaceDE w:val="0"/>
              <w:autoSpaceDN w:val="0"/>
              <w:adjustRightInd w:val="0"/>
              <w:snapToGrid w:val="0"/>
              <w:spacing w:line="312" w:lineRule="auto"/>
              <w:jc w:val="left"/>
              <w:rPr>
                <w:rFonts w:ascii="宋体" w:hAnsi="宋体" w:cs="宋体"/>
                <w:kern w:val="0"/>
                <w:sz w:val="21"/>
                <w:szCs w:val="21"/>
              </w:rPr>
            </w:pPr>
            <w:r>
              <w:rPr>
                <w:rFonts w:ascii="宋体" w:hAnsi="宋体" w:cs="宋体"/>
                <w:kern w:val="0"/>
                <w:sz w:val="21"/>
                <w:szCs w:val="21"/>
              </w:rPr>
              <w:t>1.</w:t>
            </w:r>
            <w:r>
              <w:rPr>
                <w:rFonts w:hint="eastAsia" w:ascii="宋体" w:hAnsi="宋体" w:cs="宋体"/>
                <w:kern w:val="0"/>
                <w:sz w:val="21"/>
                <w:szCs w:val="21"/>
              </w:rPr>
              <w:t>掌握本课程教学大纲内容，严格按照教学大纲要求进行本课程教学内容的组织。</w:t>
            </w:r>
          </w:p>
          <w:p w14:paraId="576FC963">
            <w:pPr>
              <w:autoSpaceDE w:val="0"/>
              <w:autoSpaceDN w:val="0"/>
              <w:adjustRightInd w:val="0"/>
              <w:snapToGrid w:val="0"/>
              <w:spacing w:line="312" w:lineRule="auto"/>
              <w:jc w:val="left"/>
              <w:rPr>
                <w:rFonts w:ascii="宋体" w:hAnsi="宋体" w:cs="宋体"/>
                <w:kern w:val="0"/>
                <w:sz w:val="21"/>
                <w:szCs w:val="21"/>
              </w:rPr>
            </w:pPr>
            <w:r>
              <w:rPr>
                <w:rFonts w:ascii="宋体" w:hAnsi="宋体" w:cs="宋体"/>
                <w:kern w:val="0"/>
                <w:sz w:val="21"/>
                <w:szCs w:val="21"/>
              </w:rPr>
              <w:t>2.</w:t>
            </w:r>
            <w:r>
              <w:rPr>
                <w:rFonts w:hint="eastAsia" w:ascii="宋体" w:hAnsi="宋体" w:cs="宋体"/>
                <w:kern w:val="0"/>
                <w:sz w:val="21"/>
                <w:szCs w:val="21"/>
              </w:rPr>
              <w:t>熟悉教材各章节，借助相关专业书籍资料，并依据教学大纲编写授课计划，编写每次授课的教案。</w:t>
            </w:r>
          </w:p>
          <w:p w14:paraId="09BB8387">
            <w:pPr>
              <w:autoSpaceDE w:val="0"/>
              <w:autoSpaceDN w:val="0"/>
              <w:adjustRightInd w:val="0"/>
              <w:snapToGrid w:val="0"/>
              <w:spacing w:line="312" w:lineRule="auto"/>
              <w:jc w:val="left"/>
              <w:rPr>
                <w:rFonts w:ascii="宋体" w:hAnsi="宋体" w:cs="宋体"/>
                <w:kern w:val="0"/>
                <w:sz w:val="21"/>
                <w:szCs w:val="21"/>
              </w:rPr>
            </w:pPr>
            <w:r>
              <w:rPr>
                <w:rFonts w:ascii="宋体" w:hAnsi="宋体" w:cs="宋体"/>
                <w:kern w:val="0"/>
                <w:sz w:val="21"/>
                <w:szCs w:val="21"/>
              </w:rPr>
              <w:t>3.</w:t>
            </w:r>
            <w:r>
              <w:rPr>
                <w:rFonts w:hint="eastAsia" w:ascii="宋体" w:hAnsi="宋体" w:cs="宋体"/>
                <w:kern w:val="0"/>
                <w:sz w:val="21"/>
                <w:szCs w:val="21"/>
              </w:rPr>
              <w:t>结合课程特点，制作课件，运用多媒体教学手段讲授部分教学内容。</w:t>
            </w:r>
            <w:r>
              <w:rPr>
                <w:rFonts w:ascii="宋体" w:hAnsi="宋体" w:cs="宋体"/>
                <w:kern w:val="0"/>
                <w:sz w:val="21"/>
                <w:szCs w:val="21"/>
              </w:rPr>
              <w:t xml:space="preserve"> </w:t>
            </w:r>
          </w:p>
          <w:p w14:paraId="4C20909F">
            <w:pPr>
              <w:snapToGrid w:val="0"/>
              <w:rPr>
                <w:sz w:val="21"/>
                <w:szCs w:val="21"/>
              </w:rPr>
            </w:pPr>
            <w:r>
              <w:rPr>
                <w:rFonts w:ascii="宋体" w:hAnsi="宋体" w:cs="宋体"/>
                <w:kern w:val="0"/>
                <w:sz w:val="21"/>
                <w:szCs w:val="21"/>
              </w:rPr>
              <w:t>4.</w:t>
            </w:r>
            <w:r>
              <w:rPr>
                <w:rFonts w:hint="eastAsia" w:ascii="宋体" w:hAnsi="宋体" w:cs="宋体"/>
                <w:kern w:val="0"/>
                <w:sz w:val="21"/>
                <w:szCs w:val="21"/>
              </w:rPr>
              <w:t>确定各章节课程内容的教学方法，构思授课思路、技巧和方法。</w:t>
            </w:r>
          </w:p>
        </w:tc>
      </w:tr>
      <w:tr w14:paraId="4696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noWrap w:val="0"/>
            <w:vAlign w:val="center"/>
          </w:tcPr>
          <w:p w14:paraId="1259AC1A">
            <w:pPr>
              <w:snapToGrid w:val="0"/>
              <w:jc w:val="center"/>
              <w:rPr>
                <w:sz w:val="21"/>
                <w:szCs w:val="21"/>
              </w:rPr>
            </w:pPr>
            <w:r>
              <w:rPr>
                <w:sz w:val="21"/>
                <w:szCs w:val="21"/>
              </w:rPr>
              <w:t>2</w:t>
            </w:r>
          </w:p>
        </w:tc>
        <w:tc>
          <w:tcPr>
            <w:tcW w:w="1368" w:type="dxa"/>
            <w:noWrap w:val="0"/>
            <w:tcMar>
              <w:left w:w="28" w:type="dxa"/>
              <w:right w:w="28" w:type="dxa"/>
            </w:tcMar>
            <w:vAlign w:val="center"/>
          </w:tcPr>
          <w:p w14:paraId="0AB97095">
            <w:pPr>
              <w:snapToGrid w:val="0"/>
              <w:jc w:val="center"/>
              <w:rPr>
                <w:sz w:val="21"/>
                <w:szCs w:val="21"/>
              </w:rPr>
            </w:pPr>
            <w:r>
              <w:rPr>
                <w:sz w:val="21"/>
                <w:szCs w:val="21"/>
              </w:rPr>
              <w:t>讲授</w:t>
            </w:r>
          </w:p>
        </w:tc>
        <w:tc>
          <w:tcPr>
            <w:tcW w:w="7055" w:type="dxa"/>
            <w:tcBorders>
              <w:right w:val="single" w:color="auto" w:sz="4" w:space="0"/>
            </w:tcBorders>
            <w:noWrap w:val="0"/>
            <w:vAlign w:val="center"/>
          </w:tcPr>
          <w:p w14:paraId="544DCB13">
            <w:pPr>
              <w:autoSpaceDE w:val="0"/>
              <w:autoSpaceDN w:val="0"/>
              <w:adjustRightInd w:val="0"/>
              <w:snapToGrid w:val="0"/>
              <w:spacing w:line="312" w:lineRule="auto"/>
              <w:jc w:val="left"/>
              <w:rPr>
                <w:rFonts w:ascii="宋体" w:hAnsi="宋体" w:cs="宋体"/>
                <w:kern w:val="0"/>
                <w:sz w:val="21"/>
                <w:szCs w:val="21"/>
              </w:rPr>
            </w:pPr>
            <w:r>
              <w:rPr>
                <w:rFonts w:ascii="宋体" w:hAnsi="宋体" w:cs="宋体"/>
                <w:kern w:val="0"/>
                <w:sz w:val="21"/>
                <w:szCs w:val="21"/>
              </w:rPr>
              <w:t>1.</w:t>
            </w:r>
            <w:r>
              <w:rPr>
                <w:rFonts w:hint="eastAsia" w:ascii="宋体" w:hAnsi="宋体" w:cs="宋体"/>
                <w:kern w:val="0"/>
                <w:sz w:val="21"/>
                <w:szCs w:val="21"/>
              </w:rPr>
              <w:t>条理清晰，重点突出，理论联系实际，熟练地解答和讲解例题。</w:t>
            </w:r>
          </w:p>
          <w:p w14:paraId="00F73C2D">
            <w:pPr>
              <w:autoSpaceDE w:val="0"/>
              <w:autoSpaceDN w:val="0"/>
              <w:adjustRightInd w:val="0"/>
              <w:snapToGrid w:val="0"/>
              <w:spacing w:line="312" w:lineRule="auto"/>
              <w:jc w:val="left"/>
              <w:rPr>
                <w:rFonts w:ascii="宋体" w:hAnsi="宋体" w:cs="宋体"/>
                <w:kern w:val="0"/>
                <w:sz w:val="21"/>
                <w:szCs w:val="21"/>
              </w:rPr>
            </w:pPr>
            <w:r>
              <w:rPr>
                <w:rFonts w:ascii="宋体" w:hAnsi="宋体" w:cs="宋体"/>
                <w:kern w:val="0"/>
                <w:sz w:val="21"/>
                <w:szCs w:val="21"/>
              </w:rPr>
              <w:t>2.</w:t>
            </w:r>
            <w:r>
              <w:rPr>
                <w:rFonts w:hint="eastAsia" w:ascii="宋体" w:hAnsi="宋体" w:cs="宋体"/>
                <w:kern w:val="0"/>
                <w:sz w:val="21"/>
                <w:szCs w:val="21"/>
              </w:rPr>
              <w:t>采用多种教学方式（如启发式教学、案例分析教学、讨论式教学等），注重培养学生的计算思维，提高学生发现、分析和解决问题的能力。</w:t>
            </w:r>
          </w:p>
          <w:p w14:paraId="5F4499B1">
            <w:pPr>
              <w:autoSpaceDE w:val="0"/>
              <w:autoSpaceDN w:val="0"/>
              <w:adjustRightInd w:val="0"/>
              <w:snapToGrid w:val="0"/>
              <w:spacing w:line="312" w:lineRule="auto"/>
              <w:jc w:val="left"/>
              <w:rPr>
                <w:rFonts w:ascii="宋体" w:hAnsi="宋体" w:cs="宋体"/>
                <w:kern w:val="0"/>
                <w:sz w:val="21"/>
                <w:szCs w:val="21"/>
              </w:rPr>
            </w:pPr>
            <w:r>
              <w:rPr>
                <w:rFonts w:ascii="宋体" w:hAnsi="宋体" w:cs="宋体"/>
                <w:kern w:val="0"/>
                <w:sz w:val="21"/>
                <w:szCs w:val="21"/>
              </w:rPr>
              <w:t>3.</w:t>
            </w:r>
            <w:r>
              <w:rPr>
                <w:rFonts w:hint="eastAsia" w:ascii="宋体" w:hAnsi="宋体" w:cs="宋体"/>
                <w:kern w:val="0"/>
                <w:sz w:val="21"/>
                <w:szCs w:val="21"/>
              </w:rPr>
              <w:t>多种教学手段、教师演示与学生动手实践相结合，以培养学生实践动手的能力。</w:t>
            </w:r>
          </w:p>
          <w:p w14:paraId="63FD171C">
            <w:pPr>
              <w:snapToGrid w:val="0"/>
              <w:rPr>
                <w:sz w:val="21"/>
                <w:szCs w:val="21"/>
              </w:rPr>
            </w:pPr>
            <w:r>
              <w:rPr>
                <w:rFonts w:ascii="宋体" w:hAnsi="宋体" w:cs="宋体"/>
                <w:kern w:val="0"/>
                <w:sz w:val="21"/>
                <w:szCs w:val="21"/>
              </w:rPr>
              <w:t>4.</w:t>
            </w:r>
            <w:r>
              <w:rPr>
                <w:rFonts w:hint="eastAsia" w:ascii="宋体" w:hAnsi="宋体" w:cs="宋体"/>
                <w:kern w:val="0"/>
                <w:sz w:val="21"/>
                <w:szCs w:val="21"/>
              </w:rPr>
              <w:t>表达方式尽量便于学生理解、接受，力求形象生动，使学生在掌握知识的过程中，保持较为浓厚的兴趣。</w:t>
            </w:r>
          </w:p>
        </w:tc>
      </w:tr>
      <w:tr w14:paraId="144A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noWrap w:val="0"/>
            <w:vAlign w:val="center"/>
          </w:tcPr>
          <w:p w14:paraId="2EA6BDB6">
            <w:pPr>
              <w:snapToGrid w:val="0"/>
              <w:jc w:val="center"/>
              <w:rPr>
                <w:sz w:val="21"/>
                <w:szCs w:val="21"/>
              </w:rPr>
            </w:pPr>
            <w:r>
              <w:rPr>
                <w:sz w:val="21"/>
                <w:szCs w:val="21"/>
              </w:rPr>
              <w:t>3</w:t>
            </w:r>
          </w:p>
        </w:tc>
        <w:tc>
          <w:tcPr>
            <w:tcW w:w="1368" w:type="dxa"/>
            <w:noWrap w:val="0"/>
            <w:tcMar>
              <w:left w:w="28" w:type="dxa"/>
              <w:right w:w="28" w:type="dxa"/>
            </w:tcMar>
            <w:vAlign w:val="center"/>
          </w:tcPr>
          <w:p w14:paraId="2B37439F">
            <w:pPr>
              <w:snapToGrid w:val="0"/>
              <w:jc w:val="center"/>
              <w:rPr>
                <w:sz w:val="21"/>
                <w:szCs w:val="21"/>
              </w:rPr>
            </w:pPr>
            <w:r>
              <w:rPr>
                <w:rFonts w:hint="eastAsia"/>
                <w:color w:val="auto"/>
                <w:sz w:val="21"/>
                <w:szCs w:val="21"/>
              </w:rPr>
              <w:t>过程性考核</w:t>
            </w:r>
          </w:p>
        </w:tc>
        <w:tc>
          <w:tcPr>
            <w:tcW w:w="7055" w:type="dxa"/>
            <w:tcBorders>
              <w:right w:val="single" w:color="auto" w:sz="4" w:space="0"/>
            </w:tcBorders>
            <w:noWrap w:val="0"/>
            <w:vAlign w:val="center"/>
          </w:tcPr>
          <w:p w14:paraId="40977568">
            <w:pPr>
              <w:autoSpaceDE w:val="0"/>
              <w:autoSpaceDN w:val="0"/>
              <w:adjustRightInd w:val="0"/>
              <w:snapToGrid w:val="0"/>
              <w:spacing w:line="312" w:lineRule="auto"/>
              <w:jc w:val="left"/>
              <w:rPr>
                <w:rFonts w:hint="eastAsia" w:ascii="宋体" w:hAnsi="宋体" w:cs="宋体"/>
                <w:kern w:val="0"/>
                <w:sz w:val="21"/>
                <w:szCs w:val="21"/>
              </w:rPr>
            </w:pPr>
            <w:r>
              <w:rPr>
                <w:rFonts w:hint="eastAsia" w:ascii="宋体" w:hAnsi="宋体" w:cs="宋体"/>
                <w:kern w:val="0"/>
                <w:sz w:val="21"/>
                <w:szCs w:val="21"/>
              </w:rPr>
              <w:t>作业：</w:t>
            </w:r>
            <w:r>
              <w:rPr>
                <w:rFonts w:hint="eastAsia" w:ascii="宋体" w:hAnsi="宋体" w:cs="宋体"/>
                <w:kern w:val="0"/>
                <w:sz w:val="21"/>
                <w:szCs w:val="21"/>
                <w:lang w:val="en-US" w:eastAsia="zh-CN"/>
              </w:rPr>
              <w:t>主要是</w:t>
            </w:r>
            <w:r>
              <w:rPr>
                <w:rFonts w:hint="eastAsia" w:ascii="宋体" w:hAnsi="宋体" w:cs="宋体"/>
                <w:kern w:val="0"/>
                <w:sz w:val="21"/>
                <w:szCs w:val="21"/>
              </w:rPr>
              <w:t>在线</w:t>
            </w:r>
            <w:r>
              <w:rPr>
                <w:rFonts w:hint="eastAsia" w:ascii="宋体" w:hAnsi="宋体" w:cs="宋体"/>
                <w:kern w:val="0"/>
                <w:sz w:val="21"/>
                <w:szCs w:val="21"/>
                <w:lang w:val="en-US" w:eastAsia="zh-CN"/>
              </w:rPr>
              <w:t>测试</w:t>
            </w:r>
            <w:r>
              <w:rPr>
                <w:rFonts w:hint="eastAsia" w:ascii="宋体" w:hAnsi="宋体" w:cs="宋体"/>
                <w:kern w:val="0"/>
                <w:sz w:val="21"/>
                <w:szCs w:val="21"/>
              </w:rPr>
              <w:t>，独立完成。教师根据作业完成情况评分，取平均值按比例计入平时成绩。</w:t>
            </w:r>
          </w:p>
          <w:p w14:paraId="5DB5973A">
            <w:pPr>
              <w:autoSpaceDE w:val="0"/>
              <w:autoSpaceDN w:val="0"/>
              <w:adjustRightInd w:val="0"/>
              <w:snapToGrid w:val="0"/>
              <w:spacing w:line="312" w:lineRule="auto"/>
              <w:jc w:val="left"/>
              <w:rPr>
                <w:rFonts w:hint="eastAsia" w:ascii="宋体" w:hAnsi="宋体" w:cs="宋体"/>
                <w:kern w:val="0"/>
                <w:sz w:val="21"/>
                <w:szCs w:val="21"/>
              </w:rPr>
            </w:pPr>
            <w:r>
              <w:rPr>
                <w:rFonts w:hint="eastAsia" w:ascii="宋体" w:hAnsi="宋体" w:cs="宋体"/>
                <w:kern w:val="0"/>
                <w:sz w:val="21"/>
                <w:szCs w:val="21"/>
                <w:lang w:val="en-US" w:eastAsia="zh-CN"/>
              </w:rPr>
              <w:t>模拟</w:t>
            </w:r>
            <w:r>
              <w:rPr>
                <w:rFonts w:hint="eastAsia" w:ascii="宋体" w:hAnsi="宋体" w:cs="宋体"/>
                <w:kern w:val="0"/>
                <w:sz w:val="21"/>
                <w:szCs w:val="21"/>
              </w:rPr>
              <w:t>测试：可采用上机测试等形式，</w:t>
            </w:r>
            <w:r>
              <w:rPr>
                <w:rFonts w:hint="eastAsia" w:ascii="宋体" w:hAnsi="宋体" w:cs="宋体"/>
                <w:kern w:val="0"/>
                <w:sz w:val="21"/>
                <w:szCs w:val="21"/>
                <w:lang w:val="en-US" w:eastAsia="zh-CN"/>
              </w:rPr>
              <w:t>分别在期中及临近期末时</w:t>
            </w:r>
            <w:r>
              <w:rPr>
                <w:rFonts w:hint="eastAsia" w:ascii="宋体" w:hAnsi="宋体" w:cs="宋体"/>
                <w:kern w:val="0"/>
                <w:sz w:val="21"/>
                <w:szCs w:val="21"/>
              </w:rPr>
              <w:t>考查学生对特定知识模块的掌握情况，促使学生及时巩固所学知识。</w:t>
            </w:r>
          </w:p>
          <w:p w14:paraId="58BAF50B">
            <w:pPr>
              <w:autoSpaceDE w:val="0"/>
              <w:autoSpaceDN w:val="0"/>
              <w:adjustRightInd w:val="0"/>
              <w:snapToGrid w:val="0"/>
              <w:spacing w:line="312" w:lineRule="auto"/>
              <w:jc w:val="left"/>
              <w:rPr>
                <w:rFonts w:ascii="宋体" w:hAnsi="宋体" w:cs="宋体"/>
                <w:kern w:val="0"/>
                <w:sz w:val="21"/>
                <w:szCs w:val="21"/>
              </w:rPr>
            </w:pPr>
            <w:r>
              <w:rPr>
                <w:rFonts w:hint="eastAsia" w:ascii="宋体" w:hAnsi="宋体" w:cs="宋体"/>
                <w:kern w:val="0"/>
                <w:sz w:val="21"/>
                <w:szCs w:val="21"/>
              </w:rPr>
              <w:t>教师批改或讲评作业要求如下：</w:t>
            </w:r>
          </w:p>
          <w:p w14:paraId="7DEC46FD">
            <w:pPr>
              <w:autoSpaceDE w:val="0"/>
              <w:autoSpaceDN w:val="0"/>
              <w:adjustRightInd w:val="0"/>
              <w:snapToGrid w:val="0"/>
              <w:spacing w:line="312" w:lineRule="auto"/>
              <w:jc w:val="left"/>
              <w:rPr>
                <w:rFonts w:ascii="宋体" w:hAnsi="宋体" w:cs="宋体"/>
                <w:kern w:val="0"/>
                <w:sz w:val="21"/>
                <w:szCs w:val="21"/>
              </w:rPr>
            </w:pPr>
            <w:r>
              <w:rPr>
                <w:rFonts w:ascii="宋体" w:hAnsi="宋体" w:cs="宋体"/>
                <w:kern w:val="0"/>
                <w:sz w:val="21"/>
                <w:szCs w:val="21"/>
              </w:rPr>
              <w:t>1.</w:t>
            </w:r>
            <w:r>
              <w:rPr>
                <w:rFonts w:hint="eastAsia" w:ascii="宋体" w:hAnsi="宋体" w:cs="宋体"/>
                <w:kern w:val="0"/>
                <w:sz w:val="21"/>
                <w:szCs w:val="21"/>
              </w:rPr>
              <w:t>学生的作业要全批全改，并按时批改、讲评学生每次交来的作业。</w:t>
            </w:r>
          </w:p>
          <w:p w14:paraId="6BF9EC98">
            <w:pPr>
              <w:autoSpaceDE w:val="0"/>
              <w:autoSpaceDN w:val="0"/>
              <w:adjustRightInd w:val="0"/>
              <w:snapToGrid w:val="0"/>
              <w:spacing w:line="312" w:lineRule="auto"/>
              <w:jc w:val="left"/>
              <w:rPr>
                <w:color w:val="FF0000"/>
                <w:sz w:val="21"/>
                <w:szCs w:val="21"/>
              </w:rPr>
            </w:pPr>
            <w:r>
              <w:rPr>
                <w:rFonts w:ascii="宋体" w:hAnsi="宋体" w:cs="宋体"/>
                <w:kern w:val="0"/>
                <w:sz w:val="21"/>
                <w:szCs w:val="21"/>
              </w:rPr>
              <w:t>2.</w:t>
            </w:r>
            <w:r>
              <w:rPr>
                <w:rFonts w:hint="eastAsia" w:ascii="宋体" w:hAnsi="宋体" w:cs="宋体"/>
                <w:kern w:val="0"/>
                <w:sz w:val="21"/>
                <w:szCs w:val="21"/>
              </w:rPr>
              <w:t>教师批改或讲评作业要认真、细致，每次批改或讲评作业后，按百分制评定成绩，并写明日期。</w:t>
            </w:r>
          </w:p>
        </w:tc>
      </w:tr>
      <w:tr w14:paraId="0F4C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noWrap w:val="0"/>
            <w:vAlign w:val="center"/>
          </w:tcPr>
          <w:p w14:paraId="7767BC29">
            <w:pPr>
              <w:snapToGrid w:val="0"/>
              <w:jc w:val="center"/>
              <w:rPr>
                <w:sz w:val="21"/>
                <w:szCs w:val="21"/>
              </w:rPr>
            </w:pPr>
            <w:r>
              <w:rPr>
                <w:sz w:val="21"/>
                <w:szCs w:val="21"/>
              </w:rPr>
              <w:t>4</w:t>
            </w:r>
          </w:p>
        </w:tc>
        <w:tc>
          <w:tcPr>
            <w:tcW w:w="1368" w:type="dxa"/>
            <w:noWrap w:val="0"/>
            <w:tcMar>
              <w:left w:w="28" w:type="dxa"/>
              <w:right w:w="28" w:type="dxa"/>
            </w:tcMar>
            <w:vAlign w:val="center"/>
          </w:tcPr>
          <w:p w14:paraId="4B2B28C1">
            <w:pPr>
              <w:snapToGrid w:val="0"/>
              <w:jc w:val="center"/>
              <w:rPr>
                <w:sz w:val="21"/>
                <w:szCs w:val="21"/>
              </w:rPr>
            </w:pPr>
            <w:r>
              <w:rPr>
                <w:sz w:val="21"/>
                <w:szCs w:val="21"/>
              </w:rPr>
              <w:t>课外答疑</w:t>
            </w:r>
          </w:p>
        </w:tc>
        <w:tc>
          <w:tcPr>
            <w:tcW w:w="7055" w:type="dxa"/>
            <w:tcBorders>
              <w:right w:val="single" w:color="auto" w:sz="4" w:space="0"/>
            </w:tcBorders>
            <w:noWrap w:val="0"/>
            <w:vAlign w:val="center"/>
          </w:tcPr>
          <w:p w14:paraId="0D90DFCB">
            <w:pPr>
              <w:snapToGrid w:val="0"/>
              <w:rPr>
                <w:sz w:val="21"/>
                <w:szCs w:val="21"/>
              </w:rPr>
            </w:pPr>
            <w:r>
              <w:rPr>
                <w:rFonts w:hint="eastAsia" w:ascii="宋体" w:hAnsi="宋体" w:cs="宋体"/>
                <w:kern w:val="0"/>
                <w:sz w:val="21"/>
                <w:szCs w:val="21"/>
              </w:rPr>
              <w:t>为直接了解学生的学习情况，帮助学生进一步理解和消化课堂上所学知识、改进学习方法和思维方式，培养其独立思考问题的能力，建议任课教师安排时间进行课外答疑与辅导工作。</w:t>
            </w:r>
          </w:p>
        </w:tc>
      </w:tr>
      <w:tr w14:paraId="6378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noWrap w:val="0"/>
            <w:vAlign w:val="center"/>
          </w:tcPr>
          <w:p w14:paraId="373D1071">
            <w:pPr>
              <w:snapToGrid w:val="0"/>
              <w:jc w:val="center"/>
              <w:rPr>
                <w:sz w:val="21"/>
                <w:szCs w:val="21"/>
              </w:rPr>
            </w:pPr>
            <w:r>
              <w:rPr>
                <w:sz w:val="21"/>
                <w:szCs w:val="21"/>
              </w:rPr>
              <w:t>5</w:t>
            </w:r>
          </w:p>
        </w:tc>
        <w:tc>
          <w:tcPr>
            <w:tcW w:w="1368" w:type="dxa"/>
            <w:noWrap w:val="0"/>
            <w:tcMar>
              <w:left w:w="28" w:type="dxa"/>
              <w:right w:w="28" w:type="dxa"/>
            </w:tcMar>
            <w:vAlign w:val="center"/>
          </w:tcPr>
          <w:p w14:paraId="5601EA68">
            <w:pPr>
              <w:snapToGrid w:val="0"/>
              <w:jc w:val="center"/>
              <w:rPr>
                <w:sz w:val="21"/>
                <w:szCs w:val="21"/>
              </w:rPr>
            </w:pPr>
            <w:r>
              <w:rPr>
                <w:rFonts w:hint="eastAsia"/>
                <w:color w:val="auto"/>
                <w:sz w:val="21"/>
                <w:szCs w:val="21"/>
              </w:rPr>
              <w:t>期末考试</w:t>
            </w:r>
          </w:p>
        </w:tc>
        <w:tc>
          <w:tcPr>
            <w:tcW w:w="7055" w:type="dxa"/>
            <w:tcBorders>
              <w:right w:val="single" w:color="auto" w:sz="4" w:space="0"/>
            </w:tcBorders>
            <w:noWrap w:val="0"/>
            <w:vAlign w:val="center"/>
          </w:tcPr>
          <w:p w14:paraId="62B8654E">
            <w:pPr>
              <w:autoSpaceDE w:val="0"/>
              <w:autoSpaceDN w:val="0"/>
              <w:adjustRightInd w:val="0"/>
              <w:snapToGrid w:val="0"/>
              <w:spacing w:line="312" w:lineRule="auto"/>
              <w:jc w:val="left"/>
              <w:rPr>
                <w:rFonts w:ascii="宋体" w:hAnsi="宋体" w:cs="宋体"/>
                <w:kern w:val="0"/>
                <w:sz w:val="21"/>
                <w:szCs w:val="21"/>
              </w:rPr>
            </w:pPr>
            <w:r>
              <w:rPr>
                <w:rFonts w:hint="eastAsia" w:ascii="宋体" w:hAnsi="宋体" w:cs="宋体"/>
                <w:kern w:val="0"/>
                <w:sz w:val="21"/>
                <w:szCs w:val="21"/>
                <w:lang w:val="en-US" w:eastAsia="zh-CN"/>
              </w:rPr>
              <w:t>期末考试</w:t>
            </w:r>
            <w:r>
              <w:rPr>
                <w:rFonts w:hint="eastAsia" w:ascii="宋体" w:hAnsi="宋体" w:cs="宋体"/>
                <w:kern w:val="0"/>
                <w:sz w:val="21"/>
                <w:szCs w:val="21"/>
              </w:rPr>
              <w:t>必须达到以下基本要求：</w:t>
            </w:r>
          </w:p>
          <w:p w14:paraId="3451C20B">
            <w:pPr>
              <w:snapToGrid w:val="0"/>
              <w:rPr>
                <w:rFonts w:hint="eastAsia" w:ascii="宋体" w:hAnsi="宋体" w:cs="宋体"/>
                <w:kern w:val="0"/>
                <w:sz w:val="21"/>
                <w:szCs w:val="21"/>
              </w:rPr>
            </w:pPr>
            <w:r>
              <w:rPr>
                <w:rFonts w:ascii="宋体" w:hAnsi="宋体" w:cs="宋体"/>
                <w:kern w:val="0"/>
                <w:sz w:val="21"/>
                <w:szCs w:val="21"/>
              </w:rPr>
              <w:t>1.</w:t>
            </w:r>
            <w:r>
              <w:rPr>
                <w:rFonts w:hint="eastAsia" w:ascii="宋体" w:hAnsi="宋体" w:cs="宋体"/>
                <w:kern w:val="0"/>
                <w:sz w:val="21"/>
                <w:szCs w:val="21"/>
              </w:rPr>
              <w:t>考试形式</w:t>
            </w:r>
            <w:r>
              <w:rPr>
                <w:rFonts w:hint="eastAsia" w:ascii="宋体" w:hAnsi="宋体" w:cs="宋体"/>
                <w:kern w:val="0"/>
                <w:sz w:val="21"/>
                <w:szCs w:val="21"/>
                <w:lang w:eastAsia="zh-CN"/>
              </w:rPr>
              <w:t>：</w:t>
            </w:r>
            <w:r>
              <w:rPr>
                <w:rFonts w:hint="eastAsia" w:ascii="宋体" w:hAnsi="宋体" w:cs="宋体"/>
                <w:kern w:val="0"/>
                <w:sz w:val="21"/>
                <w:szCs w:val="21"/>
              </w:rPr>
              <w:t>闭卷。</w:t>
            </w:r>
          </w:p>
          <w:p w14:paraId="78D9D9A3">
            <w:pPr>
              <w:snapToGrid w:val="0"/>
              <w:rPr>
                <w:rFonts w:hint="eastAsia" w:ascii="宋体" w:hAnsi="宋体" w:cs="宋体"/>
                <w:kern w:val="0"/>
                <w:sz w:val="21"/>
                <w:szCs w:val="21"/>
              </w:rPr>
            </w:pPr>
            <w:r>
              <w:rPr>
                <w:rFonts w:hint="eastAsia" w:ascii="宋体" w:hAnsi="宋体" w:cs="宋体"/>
                <w:kern w:val="0"/>
                <w:sz w:val="21"/>
                <w:szCs w:val="21"/>
              </w:rPr>
              <w:t>考试内容：涵盖课程各个知识点，题型通常有选择题、填空题、程序设计题等。</w:t>
            </w:r>
          </w:p>
          <w:p w14:paraId="6D4C3815">
            <w:pPr>
              <w:snapToGrid w:val="0"/>
              <w:rPr>
                <w:rFonts w:hint="eastAsia" w:eastAsia="宋体"/>
                <w:sz w:val="21"/>
                <w:szCs w:val="21"/>
                <w:lang w:eastAsia="zh-CN"/>
              </w:rPr>
            </w:pPr>
            <w:r>
              <w:rPr>
                <w:rFonts w:hint="eastAsia" w:ascii="宋体" w:hAnsi="宋体" w:cs="宋体"/>
                <w:kern w:val="0"/>
                <w:sz w:val="21"/>
                <w:szCs w:val="21"/>
              </w:rPr>
              <w:t>命题原则：命题依据课程标准和考核大纲，全面覆盖知识点和技能点，注重考查</w:t>
            </w:r>
            <w:r>
              <w:rPr>
                <w:rFonts w:hint="eastAsia" w:ascii="宋体" w:hAnsi="宋体" w:cs="宋体"/>
                <w:kern w:val="0"/>
                <w:sz w:val="21"/>
                <w:szCs w:val="21"/>
                <w:lang w:val="en-US" w:eastAsia="zh-CN"/>
              </w:rPr>
              <w:t>人工智能</w:t>
            </w:r>
            <w:r>
              <w:rPr>
                <w:rFonts w:hint="eastAsia" w:ascii="宋体" w:hAnsi="宋体" w:cs="宋体"/>
                <w:kern w:val="0"/>
                <w:sz w:val="21"/>
                <w:szCs w:val="21"/>
              </w:rPr>
              <w:t>基础知识与编程能力</w:t>
            </w:r>
            <w:r>
              <w:rPr>
                <w:rFonts w:hint="eastAsia" w:ascii="宋体" w:hAnsi="宋体" w:cs="宋体"/>
                <w:kern w:val="0"/>
                <w:sz w:val="21"/>
                <w:szCs w:val="21"/>
                <w:lang w:eastAsia="zh-CN"/>
              </w:rPr>
              <w:t>。</w:t>
            </w:r>
          </w:p>
        </w:tc>
      </w:tr>
    </w:tbl>
    <w:p w14:paraId="5ACB1F1C">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五</w:t>
      </w:r>
      <w:r>
        <w:rPr>
          <w:rFonts w:hint="eastAsia" w:ascii="Times New Roman" w:hAnsi="Times New Roman" w:eastAsia="宋体" w:cs="Times New Roman"/>
          <w:b/>
          <w:sz w:val="24"/>
          <w:szCs w:val="24"/>
        </w:rPr>
        <w:t>、课程考核</w:t>
      </w:r>
    </w:p>
    <w:p w14:paraId="381A7403">
      <w:pPr>
        <w:spacing w:line="360" w:lineRule="auto"/>
        <w:ind w:firstLine="420" w:firstLineChars="200"/>
        <w:rPr>
          <w:sz w:val="21"/>
          <w:szCs w:val="21"/>
        </w:rPr>
      </w:pPr>
      <w:r>
        <w:rPr>
          <w:rFonts w:hint="eastAsia"/>
          <w:sz w:val="21"/>
          <w:szCs w:val="21"/>
        </w:rPr>
        <w:t>（一）</w:t>
      </w:r>
      <w:r>
        <w:rPr>
          <w:sz w:val="21"/>
          <w:szCs w:val="21"/>
        </w:rPr>
        <w:t>课程考核</w:t>
      </w:r>
      <w:r>
        <w:rPr>
          <w:rFonts w:hint="eastAsia"/>
          <w:sz w:val="21"/>
          <w:szCs w:val="21"/>
        </w:rPr>
        <w:t>方式</w:t>
      </w:r>
    </w:p>
    <w:p w14:paraId="61607991">
      <w:pPr>
        <w:spacing w:line="360" w:lineRule="auto"/>
        <w:ind w:firstLine="420" w:firstLineChars="200"/>
        <w:rPr>
          <w:sz w:val="21"/>
          <w:szCs w:val="21"/>
        </w:rPr>
      </w:pPr>
      <w:r>
        <w:rPr>
          <w:rFonts w:hint="eastAsia"/>
          <w:sz w:val="21"/>
          <w:szCs w:val="21"/>
        </w:rPr>
        <w:t>课程考核包括期末考试、作业、模拟考试，期末考试采用</w:t>
      </w:r>
      <w:r>
        <w:rPr>
          <w:rFonts w:hint="eastAsia"/>
          <w:sz w:val="21"/>
          <w:szCs w:val="21"/>
          <w:lang w:val="en-US" w:eastAsia="zh-CN"/>
        </w:rPr>
        <w:t>闭卷</w:t>
      </w:r>
      <w:r>
        <w:rPr>
          <w:rFonts w:hint="eastAsia"/>
          <w:sz w:val="21"/>
          <w:szCs w:val="21"/>
        </w:rPr>
        <w:t>的形式。作业、模拟考试计入平时成绩中。</w:t>
      </w:r>
    </w:p>
    <w:p w14:paraId="6162BC7F">
      <w:pPr>
        <w:spacing w:line="360" w:lineRule="auto"/>
        <w:ind w:firstLine="420" w:firstLineChars="200"/>
        <w:rPr>
          <w:sz w:val="21"/>
          <w:szCs w:val="21"/>
        </w:rPr>
      </w:pPr>
      <w:r>
        <w:rPr>
          <w:rFonts w:hint="eastAsia"/>
          <w:sz w:val="21"/>
          <w:szCs w:val="21"/>
        </w:rPr>
        <w:t>（二）总评成绩评定方法</w:t>
      </w:r>
    </w:p>
    <w:p w14:paraId="12430292">
      <w:pPr>
        <w:spacing w:line="360" w:lineRule="auto"/>
        <w:ind w:firstLine="420" w:firstLineChars="200"/>
        <w:rPr>
          <w:rFonts w:hint="eastAsia"/>
          <w:sz w:val="21"/>
          <w:szCs w:val="21"/>
        </w:rPr>
      </w:pPr>
      <w:r>
        <w:rPr>
          <w:sz w:val="21"/>
          <w:szCs w:val="21"/>
        </w:rPr>
        <w:t>课程</w:t>
      </w:r>
      <w:r>
        <w:rPr>
          <w:rFonts w:hint="eastAsia"/>
          <w:sz w:val="21"/>
          <w:szCs w:val="21"/>
        </w:rPr>
        <w:t>总评</w:t>
      </w:r>
      <w:r>
        <w:rPr>
          <w:sz w:val="21"/>
          <w:szCs w:val="21"/>
        </w:rPr>
        <w:t>成绩=</w:t>
      </w:r>
      <w:r>
        <w:rPr>
          <w:rFonts w:hint="eastAsia"/>
          <w:sz w:val="21"/>
          <w:szCs w:val="21"/>
        </w:rPr>
        <w:t>平时成绩</w:t>
      </w:r>
      <w:r>
        <w:rPr>
          <w:sz w:val="21"/>
          <w:szCs w:val="21"/>
        </w:rPr>
        <w:t>×</w:t>
      </w:r>
      <w:r>
        <w:rPr>
          <w:rFonts w:hint="eastAsia"/>
          <w:sz w:val="21"/>
          <w:szCs w:val="21"/>
          <w:lang w:val="en-US" w:eastAsia="zh-CN"/>
        </w:rPr>
        <w:t>5</w:t>
      </w:r>
      <w:r>
        <w:rPr>
          <w:rFonts w:hint="eastAsia"/>
          <w:sz w:val="21"/>
          <w:szCs w:val="21"/>
        </w:rPr>
        <w:t>0</w:t>
      </w:r>
      <w:r>
        <w:rPr>
          <w:sz w:val="21"/>
          <w:szCs w:val="21"/>
        </w:rPr>
        <w:t>%+期末考试成绩×5</w:t>
      </w:r>
      <w:r>
        <w:rPr>
          <w:rFonts w:hint="eastAsia"/>
          <w:sz w:val="21"/>
          <w:szCs w:val="21"/>
        </w:rPr>
        <w:t>0</w:t>
      </w:r>
      <w:r>
        <w:rPr>
          <w:sz w:val="21"/>
          <w:szCs w:val="21"/>
        </w:rPr>
        <w:t>%。</w:t>
      </w:r>
    </w:p>
    <w:p w14:paraId="2A02AE45">
      <w:pPr>
        <w:spacing w:line="360" w:lineRule="auto"/>
        <w:ind w:firstLine="420" w:firstLineChars="200"/>
        <w:rPr>
          <w:sz w:val="21"/>
          <w:szCs w:val="21"/>
        </w:rPr>
      </w:pPr>
      <w:r>
        <w:rPr>
          <w:rFonts w:hint="eastAsia"/>
          <w:sz w:val="21"/>
          <w:szCs w:val="21"/>
        </w:rPr>
        <w:t>具体内容、比例和评价参考标准如表</w:t>
      </w:r>
      <w:r>
        <w:rPr>
          <w:sz w:val="21"/>
          <w:szCs w:val="21"/>
        </w:rPr>
        <w:t>5</w:t>
      </w:r>
      <w:r>
        <w:rPr>
          <w:rFonts w:hint="eastAsia"/>
          <w:sz w:val="21"/>
          <w:szCs w:val="21"/>
        </w:rPr>
        <w:t>所示。</w:t>
      </w:r>
    </w:p>
    <w:p w14:paraId="009324DA">
      <w:pPr>
        <w:spacing w:line="360" w:lineRule="auto"/>
        <w:ind w:firstLine="420" w:firstLineChars="200"/>
        <w:jc w:val="center"/>
        <w:rPr>
          <w:rFonts w:hint="eastAsia"/>
          <w:sz w:val="21"/>
          <w:szCs w:val="21"/>
        </w:rPr>
      </w:pPr>
      <w:r>
        <w:rPr>
          <w:rFonts w:hint="eastAsia"/>
          <w:sz w:val="21"/>
          <w:szCs w:val="21"/>
        </w:rPr>
        <w:t>表</w:t>
      </w:r>
      <w:r>
        <w:rPr>
          <w:sz w:val="21"/>
          <w:szCs w:val="21"/>
        </w:rPr>
        <w:t xml:space="preserve">5  </w:t>
      </w:r>
      <w:r>
        <w:rPr>
          <w:rFonts w:hint="eastAsia"/>
          <w:sz w:val="21"/>
          <w:szCs w:val="21"/>
        </w:rPr>
        <w:t>考核总评成绩组成及评价细则表</w:t>
      </w:r>
    </w:p>
    <w:tbl>
      <w:tblPr>
        <w:tblStyle w:val="15"/>
        <w:tblW w:w="8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590"/>
        <w:gridCol w:w="1276"/>
        <w:gridCol w:w="5037"/>
      </w:tblGrid>
      <w:tr w14:paraId="4720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shd w:val="clear" w:color="auto" w:fill="FFFFFF"/>
            <w:noWrap w:val="0"/>
            <w:tcMar>
              <w:left w:w="57" w:type="dxa"/>
              <w:right w:w="57" w:type="dxa"/>
            </w:tcMar>
            <w:vAlign w:val="center"/>
          </w:tcPr>
          <w:p w14:paraId="13308C10">
            <w:pPr>
              <w:pStyle w:val="36"/>
              <w:snapToGrid w:val="0"/>
              <w:jc w:val="center"/>
              <w:rPr>
                <w:rFonts w:eastAsia="宋体"/>
                <w:b/>
                <w:bCs/>
                <w:sz w:val="21"/>
                <w:szCs w:val="21"/>
              </w:rPr>
            </w:pPr>
            <w:r>
              <w:rPr>
                <w:rFonts w:eastAsia="宋体"/>
                <w:b/>
                <w:bCs/>
                <w:sz w:val="21"/>
                <w:szCs w:val="21"/>
              </w:rPr>
              <w:t>成绩组成</w:t>
            </w:r>
          </w:p>
        </w:tc>
        <w:tc>
          <w:tcPr>
            <w:tcW w:w="1590" w:type="dxa"/>
            <w:shd w:val="clear" w:color="auto" w:fill="FFFFFF"/>
            <w:noWrap w:val="0"/>
            <w:vAlign w:val="center"/>
          </w:tcPr>
          <w:p w14:paraId="554F1256">
            <w:pPr>
              <w:pStyle w:val="36"/>
              <w:snapToGrid w:val="0"/>
              <w:jc w:val="center"/>
              <w:rPr>
                <w:rFonts w:eastAsia="宋体"/>
                <w:b/>
                <w:bCs/>
                <w:sz w:val="21"/>
                <w:szCs w:val="21"/>
              </w:rPr>
            </w:pPr>
            <w:r>
              <w:rPr>
                <w:rFonts w:eastAsia="宋体"/>
                <w:b/>
                <w:bCs/>
                <w:sz w:val="21"/>
                <w:szCs w:val="21"/>
              </w:rPr>
              <w:t>考核/评价环节</w:t>
            </w:r>
          </w:p>
        </w:tc>
        <w:tc>
          <w:tcPr>
            <w:tcW w:w="1276" w:type="dxa"/>
            <w:shd w:val="clear" w:color="auto" w:fill="FFFFFF"/>
            <w:noWrap w:val="0"/>
            <w:vAlign w:val="center"/>
          </w:tcPr>
          <w:p w14:paraId="583F5C12">
            <w:pPr>
              <w:pStyle w:val="36"/>
              <w:snapToGrid w:val="0"/>
              <w:jc w:val="center"/>
              <w:rPr>
                <w:rFonts w:eastAsia="宋体"/>
                <w:b/>
                <w:bCs/>
                <w:sz w:val="21"/>
                <w:szCs w:val="21"/>
              </w:rPr>
            </w:pPr>
            <w:r>
              <w:rPr>
                <w:rFonts w:hint="eastAsia" w:eastAsia="宋体"/>
                <w:b/>
                <w:bCs/>
                <w:sz w:val="21"/>
                <w:szCs w:val="21"/>
              </w:rPr>
              <w:t>权重</w:t>
            </w:r>
          </w:p>
        </w:tc>
        <w:tc>
          <w:tcPr>
            <w:tcW w:w="5037" w:type="dxa"/>
            <w:shd w:val="clear" w:color="auto" w:fill="FFFFFF"/>
            <w:noWrap w:val="0"/>
            <w:vAlign w:val="center"/>
          </w:tcPr>
          <w:p w14:paraId="27E6DC83">
            <w:pPr>
              <w:pStyle w:val="36"/>
              <w:snapToGrid w:val="0"/>
              <w:jc w:val="center"/>
              <w:rPr>
                <w:rFonts w:eastAsia="宋体"/>
                <w:b/>
                <w:bCs/>
                <w:sz w:val="21"/>
                <w:szCs w:val="21"/>
              </w:rPr>
            </w:pPr>
            <w:r>
              <w:rPr>
                <w:rFonts w:eastAsia="宋体"/>
                <w:b/>
                <w:bCs/>
                <w:sz w:val="21"/>
                <w:szCs w:val="21"/>
              </w:rPr>
              <w:t>考核/评价细则</w:t>
            </w:r>
          </w:p>
        </w:tc>
      </w:tr>
      <w:tr w14:paraId="131F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vMerge w:val="restart"/>
            <w:noWrap w:val="0"/>
            <w:tcMar>
              <w:left w:w="57" w:type="dxa"/>
              <w:right w:w="57" w:type="dxa"/>
            </w:tcMar>
            <w:vAlign w:val="center"/>
          </w:tcPr>
          <w:p w14:paraId="6BD50C2B">
            <w:pPr>
              <w:pStyle w:val="36"/>
              <w:snapToGrid w:val="0"/>
              <w:jc w:val="center"/>
              <w:rPr>
                <w:rFonts w:eastAsia="宋体"/>
                <w:sz w:val="21"/>
                <w:szCs w:val="21"/>
              </w:rPr>
            </w:pPr>
            <w:r>
              <w:rPr>
                <w:rFonts w:eastAsia="宋体"/>
                <w:sz w:val="21"/>
                <w:szCs w:val="21"/>
              </w:rPr>
              <w:t>平时成绩</w:t>
            </w:r>
          </w:p>
        </w:tc>
        <w:tc>
          <w:tcPr>
            <w:tcW w:w="1590" w:type="dxa"/>
            <w:noWrap w:val="0"/>
            <w:vAlign w:val="center"/>
          </w:tcPr>
          <w:p w14:paraId="168AD467">
            <w:pPr>
              <w:pStyle w:val="36"/>
              <w:snapToGrid w:val="0"/>
              <w:jc w:val="center"/>
              <w:rPr>
                <w:rFonts w:eastAsia="宋体"/>
                <w:sz w:val="21"/>
                <w:szCs w:val="21"/>
              </w:rPr>
            </w:pPr>
            <w:r>
              <w:rPr>
                <w:rFonts w:eastAsia="宋体"/>
                <w:sz w:val="21"/>
                <w:szCs w:val="21"/>
              </w:rPr>
              <w:t>作业</w:t>
            </w:r>
          </w:p>
        </w:tc>
        <w:tc>
          <w:tcPr>
            <w:tcW w:w="1276" w:type="dxa"/>
            <w:noWrap w:val="0"/>
            <w:vAlign w:val="center"/>
          </w:tcPr>
          <w:p w14:paraId="59543E7F">
            <w:pPr>
              <w:pStyle w:val="36"/>
              <w:snapToGrid w:val="0"/>
              <w:jc w:val="center"/>
              <w:rPr>
                <w:rFonts w:hint="default" w:eastAsia="宋体"/>
                <w:sz w:val="21"/>
                <w:szCs w:val="21"/>
                <w:lang w:val="en-US" w:eastAsia="zh-CN"/>
              </w:rPr>
            </w:pPr>
            <w:r>
              <w:rPr>
                <w:rFonts w:hint="eastAsia" w:eastAsia="宋体"/>
                <w:sz w:val="21"/>
                <w:szCs w:val="21"/>
                <w:lang w:val="en-US" w:eastAsia="zh-CN"/>
              </w:rPr>
              <w:t>40%</w:t>
            </w:r>
          </w:p>
        </w:tc>
        <w:tc>
          <w:tcPr>
            <w:tcW w:w="5037" w:type="dxa"/>
            <w:noWrap w:val="0"/>
            <w:vAlign w:val="center"/>
          </w:tcPr>
          <w:p w14:paraId="3BA94908">
            <w:pPr>
              <w:pStyle w:val="36"/>
              <w:snapToGrid w:val="0"/>
              <w:rPr>
                <w:rFonts w:hint="eastAsia" w:eastAsia="宋体"/>
                <w:sz w:val="21"/>
                <w:szCs w:val="21"/>
              </w:rPr>
            </w:pPr>
            <w:r>
              <w:rPr>
                <w:rFonts w:hint="eastAsia" w:ascii="Times New Roman" w:hAnsi="Times New Roman" w:eastAsia="宋体" w:cs="Times New Roman"/>
                <w:sz w:val="21"/>
                <w:szCs w:val="21"/>
                <w:lang w:val="en-US" w:eastAsia="zh-CN"/>
              </w:rPr>
              <w:t>用网络平台测试重要章节内容，考核学生对知识点的复习、理解和掌握度。对每次作业或测试完成情况做记录并百分制打分，计算全部作业的平均成绩。</w:t>
            </w:r>
          </w:p>
        </w:tc>
      </w:tr>
      <w:tr w14:paraId="488C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vMerge w:val="continue"/>
            <w:noWrap w:val="0"/>
            <w:tcMar>
              <w:left w:w="57" w:type="dxa"/>
              <w:right w:w="57" w:type="dxa"/>
            </w:tcMar>
            <w:vAlign w:val="center"/>
          </w:tcPr>
          <w:p w14:paraId="6D5A6932">
            <w:pPr>
              <w:pStyle w:val="36"/>
              <w:snapToGrid w:val="0"/>
              <w:jc w:val="center"/>
              <w:rPr>
                <w:rFonts w:eastAsia="宋体"/>
                <w:sz w:val="21"/>
                <w:szCs w:val="21"/>
              </w:rPr>
            </w:pPr>
          </w:p>
        </w:tc>
        <w:tc>
          <w:tcPr>
            <w:tcW w:w="1590" w:type="dxa"/>
            <w:noWrap w:val="0"/>
            <w:vAlign w:val="center"/>
          </w:tcPr>
          <w:p w14:paraId="29DBB302">
            <w:pPr>
              <w:pStyle w:val="36"/>
              <w:snapToGrid w:val="0"/>
              <w:jc w:val="center"/>
              <w:rPr>
                <w:rFonts w:hint="default" w:eastAsia="宋体"/>
                <w:sz w:val="21"/>
                <w:szCs w:val="21"/>
                <w:lang w:val="en-US" w:eastAsia="zh-CN"/>
              </w:rPr>
            </w:pPr>
            <w:r>
              <w:rPr>
                <w:rFonts w:hint="eastAsia" w:eastAsia="宋体"/>
                <w:sz w:val="21"/>
                <w:szCs w:val="21"/>
                <w:lang w:val="en-US" w:eastAsia="zh-CN"/>
              </w:rPr>
              <w:t>模拟考试</w:t>
            </w:r>
          </w:p>
        </w:tc>
        <w:tc>
          <w:tcPr>
            <w:tcW w:w="1276" w:type="dxa"/>
            <w:noWrap w:val="0"/>
            <w:vAlign w:val="center"/>
          </w:tcPr>
          <w:p w14:paraId="00A5CE6C">
            <w:pPr>
              <w:pStyle w:val="36"/>
              <w:snapToGrid w:val="0"/>
              <w:jc w:val="center"/>
              <w:rPr>
                <w:rFonts w:eastAsia="宋体"/>
                <w:sz w:val="21"/>
                <w:szCs w:val="21"/>
              </w:rPr>
            </w:pPr>
            <w:r>
              <w:rPr>
                <w:rFonts w:hint="eastAsia" w:eastAsia="宋体"/>
                <w:sz w:val="21"/>
                <w:szCs w:val="21"/>
                <w:lang w:val="en-US" w:eastAsia="zh-CN"/>
              </w:rPr>
              <w:t>10%</w:t>
            </w:r>
          </w:p>
        </w:tc>
        <w:tc>
          <w:tcPr>
            <w:tcW w:w="5037" w:type="dxa"/>
            <w:noWrap w:val="0"/>
            <w:vAlign w:val="center"/>
          </w:tcPr>
          <w:p w14:paraId="7422409D">
            <w:pPr>
              <w:pStyle w:val="36"/>
              <w:snapToGrid w:val="0"/>
              <w:rPr>
                <w:rFonts w:hint="eastAsia" w:eastAsia="宋体"/>
                <w:sz w:val="21"/>
                <w:szCs w:val="21"/>
              </w:rPr>
            </w:pPr>
            <w:r>
              <w:rPr>
                <w:rFonts w:hint="eastAsia" w:eastAsia="宋体"/>
                <w:sz w:val="21"/>
                <w:szCs w:val="21"/>
              </w:rPr>
              <w:t>帮助学生熟悉期末考试题型和难度，检验知识漏洞</w:t>
            </w:r>
            <w:r>
              <w:rPr>
                <w:rFonts w:hint="eastAsia" w:eastAsia="宋体"/>
                <w:sz w:val="21"/>
                <w:szCs w:val="21"/>
                <w:lang w:eastAsia="zh-CN"/>
              </w:rPr>
              <w:t>。</w:t>
            </w:r>
            <w:r>
              <w:rPr>
                <w:rFonts w:hint="eastAsia" w:eastAsia="宋体"/>
                <w:sz w:val="21"/>
                <w:szCs w:val="21"/>
              </w:rPr>
              <w:t>题型、难度与期末考试一致，涵盖全课程知识点。</w:t>
            </w:r>
          </w:p>
        </w:tc>
      </w:tr>
      <w:tr w14:paraId="283D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noWrap w:val="0"/>
            <w:tcMar>
              <w:left w:w="57" w:type="dxa"/>
              <w:right w:w="57" w:type="dxa"/>
            </w:tcMar>
            <w:vAlign w:val="center"/>
          </w:tcPr>
          <w:p w14:paraId="6BF483B8">
            <w:pPr>
              <w:pStyle w:val="36"/>
              <w:snapToGrid w:val="0"/>
              <w:jc w:val="center"/>
              <w:rPr>
                <w:rFonts w:hint="eastAsia" w:eastAsia="宋体"/>
                <w:kern w:val="2"/>
                <w:sz w:val="21"/>
                <w:szCs w:val="21"/>
                <w:lang w:val="en-US" w:eastAsia="zh-CN" w:bidi="ar-SA"/>
              </w:rPr>
            </w:pPr>
            <w:r>
              <w:rPr>
                <w:rFonts w:eastAsia="宋体"/>
                <w:sz w:val="21"/>
                <w:szCs w:val="21"/>
              </w:rPr>
              <w:t>期末考试</w:t>
            </w:r>
          </w:p>
        </w:tc>
        <w:tc>
          <w:tcPr>
            <w:tcW w:w="1590" w:type="dxa"/>
            <w:noWrap w:val="0"/>
            <w:vAlign w:val="center"/>
          </w:tcPr>
          <w:p w14:paraId="11D275AB">
            <w:pPr>
              <w:pStyle w:val="36"/>
              <w:snapToGrid w:val="0"/>
              <w:jc w:val="center"/>
              <w:rPr>
                <w:rFonts w:hint="eastAsia" w:eastAsia="宋体"/>
                <w:sz w:val="21"/>
                <w:szCs w:val="21"/>
              </w:rPr>
            </w:pPr>
            <w:r>
              <w:rPr>
                <w:rFonts w:eastAsia="宋体"/>
                <w:sz w:val="21"/>
                <w:szCs w:val="21"/>
              </w:rPr>
              <w:t>期末考试</w:t>
            </w:r>
          </w:p>
          <w:p w14:paraId="2555B03D">
            <w:pPr>
              <w:pStyle w:val="36"/>
              <w:snapToGrid w:val="0"/>
              <w:jc w:val="center"/>
              <w:rPr>
                <w:rFonts w:eastAsia="宋体"/>
                <w:kern w:val="2"/>
                <w:sz w:val="21"/>
                <w:szCs w:val="21"/>
                <w:lang w:val="en-US" w:eastAsia="zh-CN" w:bidi="ar-SA"/>
              </w:rPr>
            </w:pPr>
            <w:r>
              <w:rPr>
                <w:rFonts w:hint="eastAsia" w:eastAsia="宋体"/>
                <w:sz w:val="21"/>
                <w:szCs w:val="21"/>
              </w:rPr>
              <w:t>卷面</w:t>
            </w:r>
            <w:r>
              <w:rPr>
                <w:rFonts w:eastAsia="宋体"/>
                <w:sz w:val="21"/>
                <w:szCs w:val="21"/>
              </w:rPr>
              <w:t>成绩</w:t>
            </w:r>
          </w:p>
        </w:tc>
        <w:tc>
          <w:tcPr>
            <w:tcW w:w="1276" w:type="dxa"/>
            <w:noWrap w:val="0"/>
            <w:vAlign w:val="center"/>
          </w:tcPr>
          <w:p w14:paraId="7A250FCB">
            <w:pPr>
              <w:pStyle w:val="36"/>
              <w:snapToGrid w:val="0"/>
              <w:jc w:val="center"/>
              <w:rPr>
                <w:rFonts w:hint="default" w:eastAsia="宋体"/>
                <w:sz w:val="21"/>
                <w:szCs w:val="21"/>
                <w:lang w:val="en-US" w:eastAsia="zh-CN"/>
              </w:rPr>
            </w:pPr>
            <w:r>
              <w:rPr>
                <w:rFonts w:hint="eastAsia" w:eastAsia="宋体"/>
                <w:sz w:val="21"/>
                <w:szCs w:val="21"/>
                <w:lang w:val="en-US" w:eastAsia="zh-CN"/>
              </w:rPr>
              <w:t>50%</w:t>
            </w:r>
          </w:p>
        </w:tc>
        <w:tc>
          <w:tcPr>
            <w:tcW w:w="5037" w:type="dxa"/>
            <w:noWrap w:val="0"/>
            <w:vAlign w:val="center"/>
          </w:tcPr>
          <w:p w14:paraId="69C83552">
            <w:pPr>
              <w:pStyle w:val="36"/>
              <w:snapToGrid w:val="0"/>
              <w:rPr>
                <w:rFonts w:eastAsia="宋体"/>
                <w:sz w:val="21"/>
                <w:szCs w:val="21"/>
              </w:rPr>
            </w:pPr>
            <w:r>
              <w:rPr>
                <w:rFonts w:hint="eastAsia" w:eastAsia="宋体"/>
                <w:sz w:val="21"/>
                <w:szCs w:val="21"/>
              </w:rPr>
              <w:t>试卷题型包括选择题、填空题、程序</w:t>
            </w:r>
            <w:r>
              <w:rPr>
                <w:rFonts w:hint="eastAsia" w:eastAsia="宋体"/>
                <w:sz w:val="21"/>
                <w:szCs w:val="21"/>
                <w:lang w:val="en-US" w:eastAsia="zh-CN"/>
              </w:rPr>
              <w:t>设计</w:t>
            </w:r>
            <w:r>
              <w:rPr>
                <w:rFonts w:hint="eastAsia" w:eastAsia="宋体"/>
                <w:sz w:val="21"/>
                <w:szCs w:val="21"/>
              </w:rPr>
              <w:t>题等。其中考核</w:t>
            </w:r>
            <w:r>
              <w:rPr>
                <w:rFonts w:hint="eastAsia" w:eastAsia="宋体"/>
                <w:sz w:val="21"/>
                <w:szCs w:val="21"/>
                <w:lang w:val="en-US" w:eastAsia="zh-CN"/>
              </w:rPr>
              <w:t>人工智能与信息处理能力</w:t>
            </w:r>
            <w:r>
              <w:rPr>
                <w:rFonts w:hint="eastAsia" w:eastAsia="宋体"/>
                <w:sz w:val="21"/>
                <w:szCs w:val="21"/>
              </w:rPr>
              <w:t>的基础知识题（占</w:t>
            </w:r>
            <w:r>
              <w:rPr>
                <w:rFonts w:hint="eastAsia" w:eastAsia="宋体"/>
                <w:sz w:val="21"/>
                <w:szCs w:val="21"/>
                <w:lang w:val="en-US" w:eastAsia="zh-CN"/>
              </w:rPr>
              <w:t>6</w:t>
            </w:r>
            <w:r>
              <w:rPr>
                <w:rFonts w:hint="eastAsia" w:eastAsia="宋体"/>
                <w:sz w:val="21"/>
                <w:szCs w:val="21"/>
              </w:rPr>
              <w:t>0%）；考核是否具有自主学习</w:t>
            </w:r>
            <w:r>
              <w:rPr>
                <w:rFonts w:hint="eastAsia" w:eastAsia="宋体"/>
                <w:sz w:val="21"/>
                <w:szCs w:val="21"/>
                <w:lang w:eastAsia="zh-CN"/>
              </w:rPr>
              <w:t>、</w:t>
            </w:r>
            <w:r>
              <w:rPr>
                <w:rFonts w:hint="eastAsia" w:eastAsia="宋体"/>
                <w:sz w:val="21"/>
                <w:szCs w:val="21"/>
              </w:rPr>
              <w:t>用</w:t>
            </w:r>
            <w:r>
              <w:rPr>
                <w:rFonts w:hint="eastAsia" w:eastAsia="宋体"/>
                <w:sz w:val="21"/>
                <w:szCs w:val="21"/>
                <w:lang w:val="en-US" w:eastAsia="zh-CN"/>
              </w:rPr>
              <w:t>信息工具</w:t>
            </w:r>
            <w:r>
              <w:rPr>
                <w:rFonts w:hint="eastAsia" w:eastAsia="宋体"/>
                <w:sz w:val="21"/>
                <w:szCs w:val="21"/>
              </w:rPr>
              <w:t>解决实际问题的的题（占</w:t>
            </w:r>
            <w:r>
              <w:rPr>
                <w:rFonts w:hint="eastAsia" w:eastAsia="宋体"/>
                <w:sz w:val="21"/>
                <w:szCs w:val="21"/>
                <w:lang w:val="en-US" w:eastAsia="zh-CN"/>
              </w:rPr>
              <w:t>40</w:t>
            </w:r>
            <w:r>
              <w:rPr>
                <w:rFonts w:hint="eastAsia" w:eastAsia="宋体"/>
                <w:sz w:val="21"/>
                <w:szCs w:val="21"/>
              </w:rPr>
              <w:t>%）。</w:t>
            </w:r>
          </w:p>
        </w:tc>
      </w:tr>
    </w:tbl>
    <w:p w14:paraId="2C6966C9">
      <w:pPr>
        <w:snapToGrid w:val="0"/>
        <w:spacing w:line="360" w:lineRule="auto"/>
        <w:ind w:firstLine="420" w:firstLineChars="200"/>
        <w:rPr>
          <w:sz w:val="21"/>
          <w:szCs w:val="21"/>
        </w:rPr>
      </w:pPr>
      <w:r>
        <w:rPr>
          <w:sz w:val="21"/>
          <w:szCs w:val="21"/>
        </w:rPr>
        <w:t>（三）</w:t>
      </w:r>
      <w:r>
        <w:rPr>
          <w:rFonts w:hint="eastAsia"/>
          <w:sz w:val="21"/>
          <w:szCs w:val="21"/>
        </w:rPr>
        <w:t>课程目标考核说明</w:t>
      </w:r>
    </w:p>
    <w:p w14:paraId="0BB5DF50">
      <w:pPr>
        <w:snapToGrid w:val="0"/>
        <w:spacing w:line="360" w:lineRule="auto"/>
        <w:ind w:firstLine="420" w:firstLineChars="200"/>
        <w:rPr>
          <w:rFonts w:hint="eastAsia"/>
          <w:sz w:val="21"/>
          <w:szCs w:val="21"/>
        </w:rPr>
      </w:pPr>
      <w:r>
        <w:rPr>
          <w:rFonts w:hint="eastAsia"/>
          <w:sz w:val="21"/>
          <w:szCs w:val="21"/>
        </w:rPr>
        <w:t>为能够证明学生本课程考核成绩合格，即可达到课程教学目标的要求，制定《课程教学目标考核方案一览表》，如表</w:t>
      </w:r>
      <w:r>
        <w:rPr>
          <w:sz w:val="21"/>
          <w:szCs w:val="21"/>
        </w:rPr>
        <w:t>6</w:t>
      </w:r>
      <w:r>
        <w:rPr>
          <w:rFonts w:hint="eastAsia"/>
          <w:sz w:val="21"/>
          <w:szCs w:val="21"/>
        </w:rPr>
        <w:t>所示。</w:t>
      </w:r>
    </w:p>
    <w:p w14:paraId="6DF50BDA">
      <w:pPr>
        <w:snapToGrid w:val="0"/>
        <w:spacing w:line="360" w:lineRule="auto"/>
        <w:ind w:firstLine="420" w:firstLineChars="200"/>
        <w:rPr>
          <w:rFonts w:hint="eastAsia"/>
          <w:sz w:val="21"/>
          <w:szCs w:val="21"/>
        </w:rPr>
      </w:pPr>
    </w:p>
    <w:p w14:paraId="00D88331">
      <w:pPr>
        <w:adjustRightInd w:val="0"/>
        <w:snapToGrid w:val="0"/>
        <w:spacing w:line="360" w:lineRule="auto"/>
        <w:ind w:left="596" w:hanging="596"/>
        <w:jc w:val="center"/>
        <w:rPr>
          <w:color w:val="000000"/>
          <w:sz w:val="21"/>
          <w:szCs w:val="21"/>
        </w:rPr>
      </w:pPr>
      <w:r>
        <w:rPr>
          <w:color w:val="000000"/>
          <w:sz w:val="21"/>
          <w:szCs w:val="21"/>
        </w:rPr>
        <w:t>表6  课程目标考核方案一览表</w:t>
      </w:r>
    </w:p>
    <w:tbl>
      <w:tblPr>
        <w:tblStyle w:val="15"/>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959"/>
        <w:gridCol w:w="956"/>
        <w:gridCol w:w="746"/>
        <w:gridCol w:w="5105"/>
      </w:tblGrid>
      <w:tr w14:paraId="78B9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CF427A">
            <w:pPr>
              <w:adjustRightInd w:val="0"/>
              <w:snapToGrid w:val="0"/>
              <w:jc w:val="center"/>
              <w:rPr>
                <w:rFonts w:hint="eastAsia"/>
                <w:b/>
                <w:bCs/>
                <w:color w:val="000000"/>
                <w:sz w:val="21"/>
                <w:szCs w:val="21"/>
              </w:rPr>
            </w:pPr>
            <w:r>
              <w:rPr>
                <w:b/>
                <w:bCs/>
                <w:color w:val="000000"/>
                <w:sz w:val="21"/>
                <w:szCs w:val="21"/>
              </w:rPr>
              <w:t>课程支撑的毕业要求</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D2605D">
            <w:pPr>
              <w:adjustRightInd w:val="0"/>
              <w:snapToGrid w:val="0"/>
              <w:jc w:val="center"/>
              <w:rPr>
                <w:rFonts w:hint="eastAsia"/>
                <w:b/>
                <w:bCs/>
                <w:color w:val="000000"/>
                <w:sz w:val="21"/>
                <w:szCs w:val="21"/>
              </w:rPr>
            </w:pPr>
            <w:r>
              <w:rPr>
                <w:b/>
                <w:bCs/>
                <w:color w:val="000000"/>
                <w:sz w:val="21"/>
                <w:szCs w:val="21"/>
              </w:rPr>
              <w:t>课程</w:t>
            </w:r>
            <w:r>
              <w:rPr>
                <w:rFonts w:hint="eastAsia"/>
                <w:b/>
                <w:bCs/>
                <w:color w:val="000000"/>
                <w:sz w:val="21"/>
                <w:szCs w:val="21"/>
              </w:rPr>
              <w:t>教学</w:t>
            </w:r>
            <w:r>
              <w:rPr>
                <w:b/>
                <w:bCs/>
                <w:color w:val="000000"/>
                <w:sz w:val="21"/>
                <w:szCs w:val="21"/>
              </w:rPr>
              <w:t>目标</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9128EC">
            <w:pPr>
              <w:adjustRightInd w:val="0"/>
              <w:snapToGrid w:val="0"/>
              <w:jc w:val="center"/>
              <w:rPr>
                <w:b/>
                <w:bCs/>
                <w:color w:val="000000"/>
                <w:sz w:val="21"/>
                <w:szCs w:val="21"/>
              </w:rPr>
            </w:pPr>
            <w:r>
              <w:rPr>
                <w:b/>
                <w:bCs/>
                <w:color w:val="000000"/>
                <w:sz w:val="21"/>
                <w:szCs w:val="21"/>
              </w:rPr>
              <w:t>考核内容</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294537">
            <w:pPr>
              <w:adjustRightInd w:val="0"/>
              <w:snapToGrid w:val="0"/>
              <w:jc w:val="center"/>
              <w:rPr>
                <w:b/>
                <w:bCs/>
                <w:color w:val="000000"/>
                <w:sz w:val="21"/>
                <w:szCs w:val="21"/>
              </w:rPr>
            </w:pPr>
            <w:r>
              <w:rPr>
                <w:b/>
                <w:bCs/>
                <w:color w:val="000000"/>
                <w:sz w:val="21"/>
                <w:szCs w:val="21"/>
              </w:rPr>
              <w:t>考核形式</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E3B221">
            <w:pPr>
              <w:adjustRightInd w:val="0"/>
              <w:snapToGrid w:val="0"/>
              <w:jc w:val="center"/>
              <w:rPr>
                <w:b/>
                <w:bCs/>
                <w:color w:val="000000"/>
                <w:sz w:val="21"/>
                <w:szCs w:val="21"/>
              </w:rPr>
            </w:pPr>
            <w:r>
              <w:rPr>
                <w:b/>
                <w:bCs/>
                <w:color w:val="000000"/>
                <w:sz w:val="21"/>
                <w:szCs w:val="21"/>
              </w:rPr>
              <w:t>考核原始材料（说明：试卷、作业、实验报告、技术报告、过程记录、实习总结等，纸质或电子稿）</w:t>
            </w:r>
          </w:p>
        </w:tc>
      </w:tr>
      <w:tr w14:paraId="258A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0" w:type="auto"/>
            <w:tcBorders>
              <w:top w:val="single" w:color="auto" w:sz="4" w:space="0"/>
              <w:left w:val="single" w:color="auto" w:sz="4" w:space="0"/>
              <w:right w:val="single" w:color="auto" w:sz="4" w:space="0"/>
            </w:tcBorders>
            <w:noWrap w:val="0"/>
            <w:vAlign w:val="center"/>
          </w:tcPr>
          <w:p w14:paraId="0CA33ACB">
            <w:pPr>
              <w:adjustRightInd w:val="0"/>
              <w:snapToGrid w:val="0"/>
              <w:jc w:val="center"/>
              <w:rPr>
                <w:rFonts w:hint="default" w:eastAsiaTheme="minorEastAsia"/>
                <w:color w:val="000000"/>
                <w:sz w:val="21"/>
                <w:szCs w:val="21"/>
                <w:lang w:val="en-US" w:eastAsia="zh-CN"/>
              </w:rPr>
            </w:pPr>
            <w:r>
              <w:rPr>
                <w:rFonts w:hint="eastAsia"/>
                <w:color w:val="000000"/>
                <w:sz w:val="21"/>
                <w:szCs w:val="21"/>
                <w:lang w:val="en-US" w:eastAsia="zh-CN"/>
              </w:rPr>
              <w:t>3-1</w:t>
            </w:r>
          </w:p>
        </w:tc>
        <w:tc>
          <w:tcPr>
            <w:tcW w:w="0" w:type="auto"/>
            <w:tcBorders>
              <w:top w:val="single" w:color="auto" w:sz="4" w:space="0"/>
              <w:left w:val="single" w:color="auto" w:sz="4" w:space="0"/>
              <w:right w:val="single" w:color="auto" w:sz="4" w:space="0"/>
            </w:tcBorders>
            <w:noWrap w:val="0"/>
            <w:vAlign w:val="center"/>
          </w:tcPr>
          <w:p w14:paraId="65826E92">
            <w:pPr>
              <w:adjustRightInd w:val="0"/>
              <w:snapToGrid w:val="0"/>
              <w:jc w:val="center"/>
              <w:rPr>
                <w:color w:val="000000"/>
                <w:sz w:val="21"/>
                <w:szCs w:val="21"/>
              </w:rPr>
            </w:pPr>
            <w:r>
              <w:rPr>
                <w:color w:val="000000"/>
                <w:sz w:val="21"/>
                <w:szCs w:val="21"/>
              </w:rPr>
              <w:t>目标1</w:t>
            </w:r>
          </w:p>
        </w:tc>
        <w:tc>
          <w:tcPr>
            <w:tcW w:w="0" w:type="auto"/>
            <w:tcBorders>
              <w:top w:val="single" w:color="auto" w:sz="4" w:space="0"/>
              <w:left w:val="single" w:color="auto" w:sz="4" w:space="0"/>
              <w:right w:val="single" w:color="auto" w:sz="4" w:space="0"/>
            </w:tcBorders>
            <w:noWrap w:val="0"/>
            <w:vAlign w:val="center"/>
          </w:tcPr>
          <w:p w14:paraId="1B3D80C3">
            <w:pPr>
              <w:adjustRightInd w:val="0"/>
              <w:snapToGrid w:val="0"/>
              <w:jc w:val="center"/>
              <w:rPr>
                <w:rFonts w:hint="default" w:eastAsia="宋体"/>
                <w:sz w:val="21"/>
                <w:szCs w:val="21"/>
                <w:lang w:val="en-US" w:eastAsia="zh-CN"/>
              </w:rPr>
            </w:pPr>
            <w:r>
              <w:rPr>
                <w:rFonts w:hint="eastAsia"/>
                <w:sz w:val="21"/>
                <w:szCs w:val="21"/>
                <w:lang w:val="en-US" w:eastAsia="zh-CN"/>
              </w:rPr>
              <w:t>理论基础知识</w:t>
            </w:r>
          </w:p>
        </w:tc>
        <w:tc>
          <w:tcPr>
            <w:tcW w:w="0" w:type="auto"/>
            <w:tcBorders>
              <w:top w:val="single" w:color="auto" w:sz="4" w:space="0"/>
              <w:left w:val="single" w:color="auto" w:sz="4" w:space="0"/>
              <w:right w:val="single" w:color="auto" w:sz="4" w:space="0"/>
            </w:tcBorders>
            <w:noWrap w:val="0"/>
            <w:vAlign w:val="center"/>
          </w:tcPr>
          <w:p w14:paraId="1ABB6B05">
            <w:pPr>
              <w:adjustRightInd w:val="0"/>
              <w:snapToGrid w:val="0"/>
              <w:jc w:val="left"/>
              <w:rPr>
                <w:rFonts w:hint="default" w:eastAsia="宋体"/>
                <w:color w:val="000000"/>
                <w:sz w:val="21"/>
                <w:szCs w:val="21"/>
                <w:lang w:val="en-US" w:eastAsia="zh-CN"/>
              </w:rPr>
            </w:pPr>
            <w:r>
              <w:rPr>
                <w:rFonts w:hint="eastAsia"/>
                <w:color w:val="000000"/>
                <w:sz w:val="21"/>
                <w:szCs w:val="21"/>
                <w:lang w:val="en-US" w:eastAsia="zh-CN"/>
              </w:rPr>
              <w:t>闭卷</w:t>
            </w:r>
          </w:p>
        </w:tc>
        <w:tc>
          <w:tcPr>
            <w:tcW w:w="0" w:type="auto"/>
            <w:tcBorders>
              <w:top w:val="single" w:color="auto" w:sz="4" w:space="0"/>
              <w:left w:val="single" w:color="auto" w:sz="4" w:space="0"/>
              <w:right w:val="single" w:color="auto" w:sz="4" w:space="0"/>
            </w:tcBorders>
            <w:noWrap w:val="0"/>
            <w:vAlign w:val="center"/>
          </w:tcPr>
          <w:p w14:paraId="1EC3870B">
            <w:pPr>
              <w:adjustRightInd w:val="0"/>
              <w:snapToGrid w:val="0"/>
              <w:rPr>
                <w:rFonts w:hint="default" w:eastAsia="宋体"/>
                <w:color w:val="000000"/>
                <w:sz w:val="21"/>
                <w:szCs w:val="21"/>
                <w:lang w:val="en-US" w:eastAsia="zh-CN"/>
              </w:rPr>
            </w:pPr>
            <w:r>
              <w:rPr>
                <w:rFonts w:hint="eastAsia"/>
                <w:color w:val="000000"/>
                <w:sz w:val="21"/>
                <w:szCs w:val="21"/>
                <w:lang w:val="en-US" w:eastAsia="zh-CN"/>
              </w:rPr>
              <w:t>作业（电子版）</w:t>
            </w:r>
          </w:p>
        </w:tc>
      </w:tr>
      <w:tr w14:paraId="6598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0" w:type="auto"/>
            <w:tcBorders>
              <w:left w:val="single" w:color="auto" w:sz="4" w:space="0"/>
              <w:right w:val="single" w:color="auto" w:sz="4" w:space="0"/>
            </w:tcBorders>
            <w:noWrap w:val="0"/>
            <w:vAlign w:val="center"/>
          </w:tcPr>
          <w:p w14:paraId="003D0D02">
            <w:pPr>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3-1</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2783C03">
            <w:pPr>
              <w:adjustRightInd w:val="0"/>
              <w:snapToGrid w:val="0"/>
              <w:jc w:val="center"/>
              <w:rPr>
                <w:rFonts w:hint="eastAsia" w:eastAsia="宋体"/>
                <w:color w:val="000000"/>
                <w:sz w:val="21"/>
                <w:szCs w:val="21"/>
                <w:lang w:val="en-US" w:eastAsia="zh-CN"/>
              </w:rPr>
            </w:pPr>
            <w:r>
              <w:rPr>
                <w:rFonts w:hint="eastAsia"/>
                <w:color w:val="000000"/>
                <w:sz w:val="21"/>
                <w:szCs w:val="21"/>
              </w:rPr>
              <w:t>目标</w:t>
            </w:r>
            <w:r>
              <w:rPr>
                <w:rFonts w:hint="eastAsia"/>
                <w:color w:val="000000"/>
                <w:sz w:val="21"/>
                <w:szCs w:val="21"/>
                <w:lang w:val="en-US" w:eastAsia="zh-CN"/>
              </w:rPr>
              <w:t>2</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469AE3D">
            <w:pPr>
              <w:adjustRightInd w:val="0"/>
              <w:snapToGrid w:val="0"/>
              <w:jc w:val="center"/>
              <w:rPr>
                <w:rFonts w:hint="default"/>
                <w:sz w:val="21"/>
                <w:szCs w:val="21"/>
                <w:lang w:val="en-US"/>
              </w:rPr>
            </w:pPr>
            <w:r>
              <w:rPr>
                <w:rFonts w:hint="eastAsia"/>
                <w:sz w:val="21"/>
                <w:szCs w:val="21"/>
                <w:lang w:val="en-US" w:eastAsia="zh-CN"/>
              </w:rPr>
              <w:t>综合性知识</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D4A9D33">
            <w:pPr>
              <w:adjustRightInd w:val="0"/>
              <w:snapToGrid w:val="0"/>
              <w:jc w:val="left"/>
              <w:rPr>
                <w:rFonts w:hint="default"/>
                <w:color w:val="000000"/>
                <w:sz w:val="21"/>
                <w:szCs w:val="21"/>
                <w:lang w:val="en-US" w:eastAsia="zh-CN"/>
              </w:rPr>
            </w:pPr>
            <w:r>
              <w:rPr>
                <w:rFonts w:hint="eastAsia"/>
                <w:color w:val="000000"/>
                <w:sz w:val="21"/>
                <w:szCs w:val="21"/>
                <w:lang w:val="en-US" w:eastAsia="zh-CN"/>
              </w:rPr>
              <w:t>闭卷</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39AB916">
            <w:pPr>
              <w:adjustRightInd w:val="0"/>
              <w:snapToGrid w:val="0"/>
              <w:rPr>
                <w:rFonts w:hint="default" w:eastAsia="宋体"/>
                <w:color w:val="000000"/>
                <w:sz w:val="21"/>
                <w:szCs w:val="21"/>
                <w:lang w:val="en-US" w:eastAsia="zh-CN"/>
              </w:rPr>
            </w:pPr>
            <w:r>
              <w:rPr>
                <w:rFonts w:hint="eastAsia"/>
                <w:color w:val="000000"/>
                <w:sz w:val="21"/>
                <w:szCs w:val="21"/>
                <w:lang w:val="en-US" w:eastAsia="zh-CN"/>
              </w:rPr>
              <w:t>模拟考试、期末考试</w:t>
            </w:r>
          </w:p>
        </w:tc>
      </w:tr>
    </w:tbl>
    <w:p w14:paraId="1920206E">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六</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有关说明</w:t>
      </w:r>
    </w:p>
    <w:p w14:paraId="4F1998A0">
      <w:pPr>
        <w:adjustRightInd w:val="0"/>
        <w:snapToGrid w:val="0"/>
        <w:spacing w:line="360" w:lineRule="auto"/>
        <w:ind w:firstLine="422" w:firstLineChars="200"/>
        <w:rPr>
          <w:b/>
          <w:color w:val="000000"/>
          <w:sz w:val="21"/>
          <w:szCs w:val="21"/>
        </w:rPr>
      </w:pPr>
      <w:r>
        <w:rPr>
          <w:rFonts w:hint="eastAsia"/>
          <w:b/>
          <w:color w:val="000000"/>
          <w:sz w:val="21"/>
          <w:szCs w:val="21"/>
        </w:rPr>
        <w:t>（一）持续改进</w:t>
      </w:r>
    </w:p>
    <w:p w14:paraId="2CE1A31D">
      <w:pPr>
        <w:snapToGrid w:val="0"/>
        <w:spacing w:line="360" w:lineRule="auto"/>
        <w:ind w:firstLine="420" w:firstLineChars="200"/>
        <w:rPr>
          <w:sz w:val="21"/>
          <w:szCs w:val="21"/>
        </w:rPr>
      </w:pPr>
      <w:r>
        <w:rPr>
          <w:rFonts w:hint="eastAsia"/>
          <w:sz w:val="21"/>
          <w:szCs w:val="21"/>
        </w:rPr>
        <w:t>1.本课程根据学生作业、课堂讨论、课内实践环节、平时考核情况和学生、教学督导等反馈，及时对教学中不足之处进行改进，并在下一轮课程教学中改进提高，确保相应毕业要求指标点达成。</w:t>
      </w:r>
    </w:p>
    <w:p w14:paraId="239835DF">
      <w:pPr>
        <w:snapToGrid w:val="0"/>
        <w:spacing w:line="360" w:lineRule="auto"/>
        <w:ind w:firstLine="422" w:firstLineChars="200"/>
        <w:rPr>
          <w:rFonts w:hint="eastAsia"/>
          <w:b/>
          <w:color w:val="000000"/>
          <w:sz w:val="21"/>
          <w:szCs w:val="21"/>
        </w:rPr>
      </w:pPr>
      <w:r>
        <w:rPr>
          <w:rFonts w:hint="eastAsia"/>
          <w:b/>
          <w:color w:val="000000"/>
          <w:sz w:val="21"/>
          <w:szCs w:val="21"/>
        </w:rPr>
        <w:t>（二）</w:t>
      </w:r>
      <w:r>
        <w:rPr>
          <w:b/>
          <w:color w:val="000000"/>
          <w:sz w:val="21"/>
          <w:szCs w:val="21"/>
        </w:rPr>
        <w:t>参考书目及学习资料</w:t>
      </w:r>
    </w:p>
    <w:p w14:paraId="52FD6AE4">
      <w:pPr>
        <w:autoSpaceDE w:val="0"/>
        <w:autoSpaceDN w:val="0"/>
        <w:adjustRightInd w:val="0"/>
        <w:snapToGrid w:val="0"/>
        <w:spacing w:line="360" w:lineRule="auto"/>
        <w:ind w:firstLine="420" w:firstLineChars="200"/>
        <w:jc w:val="left"/>
        <w:rPr>
          <w:rFonts w:hint="eastAsia" w:ascii="Times New Roman" w:hAnsi="Times New Roman" w:eastAsia="宋体" w:cs="Times New Roman"/>
          <w:sz w:val="21"/>
          <w:szCs w:val="21"/>
          <w:lang w:val="en-US" w:eastAsia="zh-CN"/>
        </w:rPr>
      </w:pPr>
      <w:r>
        <w:rPr>
          <w:rFonts w:hint="eastAsia"/>
          <w:kern w:val="0"/>
          <w:sz w:val="21"/>
          <w:szCs w:val="21"/>
        </w:rPr>
        <w:t>1</w:t>
      </w:r>
      <w:r>
        <w:rPr>
          <w:kern w:val="0"/>
          <w:sz w:val="21"/>
          <w:szCs w:val="21"/>
        </w:rPr>
        <w:t>.</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人工智能通识教程</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，田敏，何淼，于正永主编</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上海交通</w:t>
      </w:r>
      <w:r>
        <w:rPr>
          <w:rFonts w:hint="eastAsia" w:ascii="Times New Roman" w:hAnsi="Times New Roman" w:eastAsia="宋体" w:cs="Times New Roman"/>
          <w:sz w:val="21"/>
          <w:szCs w:val="21"/>
        </w:rPr>
        <w:t xml:space="preserve">大学出版社 </w:t>
      </w:r>
      <w:r>
        <w:rPr>
          <w:rFonts w:hint="eastAsia" w:ascii="Times New Roman" w:hAnsi="Times New Roman" w:eastAsia="宋体" w:cs="Times New Roman"/>
          <w:sz w:val="21"/>
          <w:szCs w:val="21"/>
          <w:lang w:val="en-US" w:eastAsia="zh-CN"/>
        </w:rPr>
        <w:t xml:space="preserve">，2025年7月 </w:t>
      </w:r>
    </w:p>
    <w:p w14:paraId="16C9E94C">
      <w:pPr>
        <w:autoSpaceDE w:val="0"/>
        <w:autoSpaceDN w:val="0"/>
        <w:adjustRightInd w:val="0"/>
        <w:snapToGrid w:val="0"/>
        <w:spacing w:line="360" w:lineRule="auto"/>
        <w:ind w:firstLine="210" w:firstLineChars="100"/>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  2.</w:t>
      </w:r>
      <w:r>
        <w:rPr>
          <w:rFonts w:hint="eastAsia" w:ascii="Times New Roman" w:hAnsi="Times New Roman" w:eastAsia="宋体" w:cs="Times New Roman"/>
          <w:sz w:val="21"/>
          <w:szCs w:val="21"/>
        </w:rPr>
        <w:t>《人工智能通识教程》</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方伟、吴小俊编著</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上海交通大学出版社</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2024</w:t>
      </w:r>
    </w:p>
    <w:p w14:paraId="59398AE0">
      <w:pPr>
        <w:autoSpaceDE w:val="0"/>
        <w:autoSpaceDN w:val="0"/>
        <w:adjustRightInd w:val="0"/>
        <w:snapToGrid w:val="0"/>
        <w:spacing w:line="360" w:lineRule="auto"/>
        <w:ind w:firstLine="420" w:firstLineChars="200"/>
        <w:jc w:val="left"/>
        <w:rPr>
          <w:sz w:val="21"/>
          <w:szCs w:val="21"/>
        </w:rPr>
      </w:pPr>
      <w:r>
        <w:rPr>
          <w:kern w:val="0"/>
          <w:sz w:val="21"/>
          <w:szCs w:val="21"/>
        </w:rPr>
        <w:t>3</w:t>
      </w:r>
      <w:r>
        <w:rPr>
          <w:rFonts w:hint="eastAsia"/>
          <w:kern w:val="0"/>
          <w:sz w:val="21"/>
          <w:szCs w:val="21"/>
        </w:rPr>
        <w:t xml:space="preserve">. </w:t>
      </w:r>
      <w:r>
        <w:rPr>
          <w:sz w:val="21"/>
          <w:szCs w:val="21"/>
        </w:rPr>
        <w:t>数字化教学</w:t>
      </w:r>
      <w:r>
        <w:rPr>
          <w:rFonts w:hint="eastAsia"/>
          <w:sz w:val="21"/>
          <w:szCs w:val="21"/>
        </w:rPr>
        <w:t>资源</w:t>
      </w:r>
      <w:r>
        <w:rPr>
          <w:sz w:val="21"/>
          <w:szCs w:val="21"/>
        </w:rPr>
        <w:t>链接</w:t>
      </w:r>
    </w:p>
    <w:p w14:paraId="27D92B4F">
      <w:pPr>
        <w:autoSpaceDE w:val="0"/>
        <w:autoSpaceDN w:val="0"/>
        <w:adjustRightInd w:val="0"/>
        <w:snapToGrid w:val="0"/>
        <w:spacing w:line="360" w:lineRule="auto"/>
        <w:ind w:firstLine="420" w:firstLineChars="200"/>
        <w:jc w:val="left"/>
        <w:rPr>
          <w:rFonts w:hint="eastAsia"/>
          <w:sz w:val="21"/>
          <w:szCs w:val="21"/>
        </w:rPr>
      </w:pPr>
      <w:r>
        <w:rPr>
          <w:rFonts w:hint="eastAsia"/>
          <w:sz w:val="21"/>
          <w:szCs w:val="21"/>
        </w:rPr>
        <w:t>（1）中国大学 MOOC 平台 “Python 语言程序设计”（北京理工大学）</w:t>
      </w:r>
    </w:p>
    <w:p w14:paraId="5EE97501">
      <w:pPr>
        <w:autoSpaceDE w:val="0"/>
        <w:autoSpaceDN w:val="0"/>
        <w:adjustRightInd w:val="0"/>
        <w:snapToGrid w:val="0"/>
        <w:spacing w:line="360" w:lineRule="auto"/>
        <w:ind w:firstLine="420" w:firstLineChars="200"/>
        <w:jc w:val="left"/>
        <w:rPr>
          <w:sz w:val="21"/>
          <w:szCs w:val="21"/>
        </w:rPr>
      </w:pPr>
      <w:r>
        <w:rPr>
          <w:rFonts w:hint="eastAsia"/>
          <w:sz w:val="21"/>
          <w:szCs w:val="21"/>
        </w:rPr>
        <w:t>（2）百度 AI 开放平台开发者文档（https://ai.baidu.com/docs）</w:t>
      </w:r>
    </w:p>
    <w:p w14:paraId="6AB5FC84">
      <w:pPr>
        <w:autoSpaceDE w:val="0"/>
        <w:autoSpaceDN w:val="0"/>
        <w:adjustRightInd w:val="0"/>
        <w:snapToGrid w:val="0"/>
        <w:spacing w:line="360" w:lineRule="auto"/>
        <w:ind w:firstLine="420" w:firstLineChars="200"/>
        <w:jc w:val="left"/>
        <w:rPr>
          <w:rFonts w:hint="eastAsia"/>
          <w:sz w:val="21"/>
          <w:szCs w:val="21"/>
        </w:rPr>
      </w:pPr>
      <w:r>
        <w:rPr>
          <w:rFonts w:hint="eastAsia"/>
          <w:sz w:val="21"/>
          <w:szCs w:val="21"/>
        </w:rPr>
        <w:t>（3）生成式 AI 工具官方教程（如豆包、即梦、文心一言等开发者指南）</w:t>
      </w:r>
    </w:p>
    <w:p w14:paraId="27B38ADD">
      <w:pPr>
        <w:autoSpaceDE w:val="0"/>
        <w:autoSpaceDN w:val="0"/>
        <w:adjustRightInd w:val="0"/>
        <w:spacing w:line="360" w:lineRule="auto"/>
        <w:ind w:firstLine="5250" w:firstLineChars="2500"/>
        <w:jc w:val="center"/>
        <w:rPr>
          <w:rFonts w:hint="eastAsia"/>
          <w:kern w:val="0"/>
          <w:sz w:val="21"/>
          <w:szCs w:val="21"/>
        </w:rPr>
      </w:pPr>
      <w:r>
        <w:rPr>
          <w:rFonts w:hint="eastAsia"/>
          <w:kern w:val="0"/>
          <w:sz w:val="21"/>
          <w:szCs w:val="21"/>
          <w:lang w:val="en-US" w:eastAsia="zh-CN"/>
        </w:rPr>
        <w:t xml:space="preserve">          </w:t>
      </w:r>
      <w:r>
        <w:rPr>
          <w:rFonts w:hint="eastAsia"/>
          <w:kern w:val="0"/>
          <w:sz w:val="21"/>
          <w:szCs w:val="21"/>
        </w:rPr>
        <w:t>执笔人： 蔡晓丽</w:t>
      </w:r>
    </w:p>
    <w:p w14:paraId="1E09B38C">
      <w:pPr>
        <w:autoSpaceDE w:val="0"/>
        <w:autoSpaceDN w:val="0"/>
        <w:adjustRightInd w:val="0"/>
        <w:spacing w:line="360" w:lineRule="auto"/>
        <w:ind w:firstLine="5250" w:firstLineChars="2500"/>
        <w:jc w:val="center"/>
        <w:rPr>
          <w:rFonts w:hint="eastAsia"/>
          <w:kern w:val="0"/>
          <w:sz w:val="21"/>
          <w:szCs w:val="21"/>
        </w:rPr>
      </w:pPr>
      <w:r>
        <w:rPr>
          <w:rFonts w:hint="eastAsia"/>
          <w:kern w:val="0"/>
          <w:sz w:val="21"/>
          <w:szCs w:val="21"/>
          <w:lang w:val="en-US" w:eastAsia="zh-CN"/>
        </w:rPr>
        <w:t xml:space="preserve">           </w:t>
      </w:r>
      <w:r>
        <w:rPr>
          <w:rFonts w:hint="eastAsia"/>
          <w:kern w:val="0"/>
          <w:sz w:val="21"/>
          <w:szCs w:val="21"/>
        </w:rPr>
        <w:t>审定人： 蔡晓丽</w:t>
      </w:r>
    </w:p>
    <w:p w14:paraId="2CC84F23">
      <w:pPr>
        <w:autoSpaceDE w:val="0"/>
        <w:autoSpaceDN w:val="0"/>
        <w:adjustRightInd w:val="0"/>
        <w:spacing w:line="360" w:lineRule="auto"/>
        <w:ind w:firstLine="5250" w:firstLineChars="2500"/>
        <w:jc w:val="center"/>
        <w:rPr>
          <w:rFonts w:hint="eastAsia"/>
          <w:kern w:val="0"/>
          <w:sz w:val="21"/>
          <w:szCs w:val="21"/>
          <w:lang w:val="en-US" w:eastAsia="zh-CN"/>
        </w:rPr>
      </w:pPr>
      <w:r>
        <w:rPr>
          <w:rFonts w:hint="eastAsia"/>
          <w:kern w:val="0"/>
          <w:sz w:val="21"/>
          <w:szCs w:val="21"/>
          <w:lang w:val="en-US" w:eastAsia="zh-CN"/>
        </w:rPr>
        <w:t xml:space="preserve">           </w:t>
      </w:r>
      <w:r>
        <w:rPr>
          <w:rFonts w:hint="eastAsia"/>
          <w:kern w:val="0"/>
          <w:sz w:val="21"/>
          <w:szCs w:val="21"/>
        </w:rPr>
        <w:t>审批人：</w:t>
      </w:r>
      <w:r>
        <w:rPr>
          <w:rFonts w:hint="eastAsia"/>
          <w:kern w:val="0"/>
          <w:sz w:val="21"/>
          <w:szCs w:val="21"/>
          <w:lang w:val="en-US" w:eastAsia="zh-CN"/>
        </w:rPr>
        <w:t xml:space="preserve"> 奚  吉</w:t>
      </w:r>
    </w:p>
    <w:p w14:paraId="32253127">
      <w:pPr>
        <w:autoSpaceDE w:val="0"/>
        <w:autoSpaceDN w:val="0"/>
        <w:adjustRightInd w:val="0"/>
        <w:spacing w:line="360" w:lineRule="auto"/>
        <w:ind w:firstLine="5250" w:firstLineChars="2500"/>
        <w:jc w:val="right"/>
        <w:rPr>
          <w:rFonts w:hint="default" w:eastAsia="宋体"/>
          <w:kern w:val="0"/>
          <w:sz w:val="24"/>
          <w:szCs w:val="21"/>
          <w:lang w:val="en-US" w:eastAsia="zh-CN"/>
        </w:rPr>
      </w:pPr>
      <w:r>
        <w:rPr>
          <w:rFonts w:hint="eastAsia"/>
          <w:kern w:val="0"/>
          <w:sz w:val="21"/>
          <w:szCs w:val="21"/>
          <w:lang w:val="en-US" w:eastAsia="zh-CN"/>
        </w:rPr>
        <w:t>审批时间：</w:t>
      </w:r>
      <w:r>
        <w:rPr>
          <w:rFonts w:hint="eastAsia"/>
          <w:kern w:val="0"/>
          <w:sz w:val="21"/>
          <w:szCs w:val="21"/>
        </w:rPr>
        <w:t>2</w:t>
      </w:r>
      <w:r>
        <w:rPr>
          <w:kern w:val="0"/>
          <w:sz w:val="21"/>
          <w:szCs w:val="21"/>
        </w:rPr>
        <w:t>02</w:t>
      </w:r>
      <w:r>
        <w:rPr>
          <w:rFonts w:hint="eastAsia"/>
          <w:kern w:val="0"/>
          <w:sz w:val="21"/>
          <w:szCs w:val="21"/>
          <w:lang w:val="en-US" w:eastAsia="zh-CN"/>
        </w:rPr>
        <w:t>5年8月</w:t>
      </w:r>
    </w:p>
    <w:p w14:paraId="5DDB960C">
      <w:pPr>
        <w:rPr>
          <w:rFonts w:hint="eastAsia" w:ascii="宋体" w:hAnsi="宋体" w:cs="宋体"/>
          <w:color w:val="auto"/>
          <w:sz w:val="24"/>
        </w:rPr>
      </w:pPr>
    </w:p>
    <w:p w14:paraId="4DF88C59">
      <w:pPr>
        <w:rPr>
          <w:rFonts w:hint="eastAsia" w:ascii="宋体" w:hAnsi="宋体" w:cs="宋体"/>
          <w:color w:val="auto"/>
          <w:sz w:val="24"/>
        </w:rPr>
      </w:pPr>
    </w:p>
    <w:p w14:paraId="54F3CC4F">
      <w:pPr>
        <w:rPr>
          <w:rFonts w:hint="eastAsia" w:ascii="宋体" w:hAnsi="宋体" w:cs="宋体"/>
          <w:color w:val="auto"/>
          <w:sz w:val="24"/>
        </w:rPr>
      </w:pPr>
    </w:p>
    <w:p w14:paraId="693E2DD3">
      <w:pPr>
        <w:rPr>
          <w:rFonts w:hint="eastAsia" w:ascii="宋体" w:hAnsi="宋体" w:cs="宋体"/>
          <w:color w:val="auto"/>
          <w:sz w:val="24"/>
        </w:rPr>
      </w:pPr>
    </w:p>
    <w:p w14:paraId="76A32605">
      <w:pPr>
        <w:rPr>
          <w:rFonts w:hint="eastAsia" w:ascii="宋体" w:hAnsi="宋体" w:cs="宋体"/>
          <w:color w:val="auto"/>
          <w:sz w:val="24"/>
        </w:rPr>
      </w:pPr>
      <w:r>
        <w:rPr>
          <w:rFonts w:hint="eastAsia" w:ascii="宋体" w:hAnsi="宋体" w:cs="宋体"/>
          <w:color w:val="auto"/>
          <w:sz w:val="24"/>
        </w:rPr>
        <w:br w:type="page"/>
      </w:r>
    </w:p>
    <w:p w14:paraId="6BF67A89">
      <w:pPr>
        <w:pStyle w:val="2"/>
        <w:tabs>
          <w:tab w:val="left" w:pos="720"/>
          <w:tab w:val="left" w:pos="2700"/>
        </w:tabs>
        <w:rPr>
          <w:rFonts w:ascii="Times New Roman" w:hAnsi="Times New Roman" w:eastAsia="宋体" w:cs="Times New Roman"/>
          <w:color w:val="auto"/>
          <w:szCs w:val="36"/>
        </w:rPr>
      </w:pPr>
      <w:bookmarkStart w:id="35" w:name="_Toc5229"/>
      <w:bookmarkStart w:id="36" w:name="_Toc28043"/>
      <w:r>
        <w:rPr>
          <w:rFonts w:hint="eastAsia"/>
          <w:color w:val="auto"/>
        </w:rPr>
        <w:t>《专业导学》课程教学大纲</w:t>
      </w:r>
      <w:bookmarkEnd w:id="35"/>
      <w:bookmarkEnd w:id="36"/>
    </w:p>
    <w:p w14:paraId="69C7C930">
      <w:pPr>
        <w:spacing w:line="360" w:lineRule="auto"/>
        <w:jc w:val="center"/>
        <w:rPr>
          <w:rFonts w:ascii="Times New Roman" w:hAnsi="Times New Roman" w:eastAsia="宋体" w:cs="Times New Roman"/>
          <w:b/>
          <w:bCs/>
          <w:color w:val="auto"/>
          <w:sz w:val="22"/>
          <w:szCs w:val="22"/>
        </w:rPr>
      </w:pPr>
      <w:r>
        <w:rPr>
          <w:rFonts w:ascii="Times New Roman" w:hAnsi="Times New Roman" w:eastAsia="宋体" w:cs="Times New Roman"/>
          <w:b/>
          <w:bCs/>
          <w:color w:val="auto"/>
          <w:sz w:val="22"/>
          <w:szCs w:val="22"/>
        </w:rPr>
        <w:t>（An Introduction to Professions）</w:t>
      </w:r>
    </w:p>
    <w:p w14:paraId="307E142D">
      <w:pPr>
        <w:spacing w:line="360" w:lineRule="auto"/>
        <w:jc w:val="center"/>
        <w:rPr>
          <w:rFonts w:ascii="Times New Roman" w:hAnsi="Times New Roman" w:eastAsia="宋体" w:cs="Times New Roman"/>
          <w:bCs/>
          <w:color w:val="auto"/>
          <w:sz w:val="24"/>
        </w:rPr>
      </w:pPr>
    </w:p>
    <w:p w14:paraId="6FD8BEBD">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课程名称：专业导学</w:t>
      </w:r>
    </w:p>
    <w:p w14:paraId="691A41EF">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课程代码：</w:t>
      </w:r>
      <w:r>
        <w:rPr>
          <w:rFonts w:ascii="Times New Roman" w:hAnsi="Times New Roman" w:eastAsia="宋体" w:cs="Times New Roman"/>
          <w:b/>
          <w:color w:val="auto"/>
          <w:szCs w:val="21"/>
        </w:rPr>
        <w:t>2401057</w:t>
      </w:r>
    </w:p>
    <w:p w14:paraId="2F604F9B">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学</w:t>
      </w:r>
      <w:r>
        <w:rPr>
          <w:rFonts w:ascii="Times New Roman" w:hAnsi="Times New Roman" w:eastAsia="宋体" w:cs="Times New Roman"/>
          <w:b/>
          <w:color w:val="auto"/>
          <w:szCs w:val="21"/>
        </w:rPr>
        <w:t xml:space="preserve">    分：0.5</w:t>
      </w:r>
    </w:p>
    <w:p w14:paraId="1CDAC8B9">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学</w:t>
      </w:r>
      <w:r>
        <w:rPr>
          <w:rFonts w:ascii="Times New Roman" w:hAnsi="Times New Roman" w:eastAsia="宋体" w:cs="Times New Roman"/>
          <w:b/>
          <w:color w:val="auto"/>
          <w:szCs w:val="21"/>
        </w:rPr>
        <w:t xml:space="preserve">    时：8 （其中：讲授学时8）</w:t>
      </w:r>
    </w:p>
    <w:p w14:paraId="10532BC4">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先修课程：无</w:t>
      </w:r>
    </w:p>
    <w:p w14:paraId="61C2A769">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适用专业：小学教育（文）、小学教育（理）</w:t>
      </w:r>
    </w:p>
    <w:p w14:paraId="039D639B">
      <w:pPr>
        <w:spacing w:line="360" w:lineRule="auto"/>
        <w:jc w:val="left"/>
        <w:rPr>
          <w:rFonts w:ascii="Times New Roman" w:hAnsi="Times New Roman" w:eastAsia="宋体" w:cs="Times New Roman"/>
          <w:b/>
          <w:color w:val="auto"/>
          <w:sz w:val="18"/>
          <w:szCs w:val="18"/>
        </w:rPr>
      </w:pPr>
    </w:p>
    <w:p w14:paraId="4802D978">
      <w:pPr>
        <w:spacing w:line="360" w:lineRule="auto"/>
        <w:ind w:firstLine="44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 w:val="22"/>
          <w:szCs w:val="22"/>
        </w:rPr>
        <w:t>一、课程简介</w:t>
      </w:r>
    </w:p>
    <w:p w14:paraId="305DB839">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本课程是小学教育专业的一门专业基础必修课。通过本课程的学习，全面认识小学教育专业，明确本专业的培养目标，了解本专业的课程设置；为专业课程学习和专业发展奠定基础。</w:t>
      </w:r>
    </w:p>
    <w:p w14:paraId="16711E34">
      <w:pPr>
        <w:spacing w:line="360" w:lineRule="auto"/>
        <w:ind w:firstLine="442" w:firstLineChars="200"/>
        <w:jc w:val="left"/>
        <w:rPr>
          <w:rFonts w:ascii="Times New Roman" w:hAnsi="Times New Roman" w:eastAsia="宋体" w:cs="Times New Roman"/>
          <w:color w:val="auto"/>
          <w:sz w:val="22"/>
          <w:szCs w:val="22"/>
        </w:rPr>
      </w:pPr>
      <w:r>
        <w:rPr>
          <w:rFonts w:hint="eastAsia" w:ascii="宋体" w:hAnsi="宋体" w:eastAsia="宋体" w:cs="Times New Roman"/>
          <w:b/>
          <w:color w:val="auto"/>
          <w:sz w:val="22"/>
          <w:szCs w:val="22"/>
        </w:rPr>
        <w:t>二</w:t>
      </w:r>
      <w:r>
        <w:rPr>
          <w:rFonts w:ascii="宋体" w:hAnsi="宋体" w:eastAsia="宋体" w:cs="Times New Roman"/>
          <w:b/>
          <w:color w:val="auto"/>
          <w:sz w:val="22"/>
          <w:szCs w:val="22"/>
        </w:rPr>
        <w:t>、课程目标</w:t>
      </w:r>
    </w:p>
    <w:p w14:paraId="0CA06CE9">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017EED15">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w:t>
      </w:r>
      <w:r>
        <w:rPr>
          <w:rFonts w:ascii="Times New Roman" w:hAnsi="Times New Roman" w:eastAsia="宋体" w:cs="Times New Roman"/>
          <w:color w:val="auto"/>
          <w:szCs w:val="21"/>
        </w:rPr>
        <w:t>1.了解小学教育专业的</w:t>
      </w:r>
      <w:r>
        <w:rPr>
          <w:rFonts w:hint="eastAsia" w:ascii="Times New Roman" w:hAnsi="Times New Roman" w:eastAsia="宋体" w:cs="Times New Roman"/>
          <w:color w:val="auto"/>
          <w:szCs w:val="21"/>
        </w:rPr>
        <w:t>发展历史和现状</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理解</w:t>
      </w:r>
      <w:r>
        <w:rPr>
          <w:rFonts w:ascii="Times New Roman" w:hAnsi="Times New Roman" w:eastAsia="宋体" w:cs="Times New Roman"/>
          <w:color w:val="auto"/>
          <w:szCs w:val="21"/>
        </w:rPr>
        <w:t>小学教育专业的培养目标</w:t>
      </w:r>
      <w:r>
        <w:rPr>
          <w:rFonts w:hint="eastAsia" w:ascii="Times New Roman" w:hAnsi="Times New Roman" w:eastAsia="宋体" w:cs="Times New Roman"/>
          <w:color w:val="auto"/>
          <w:szCs w:val="21"/>
        </w:rPr>
        <w:t>和毕业要求</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了解小学教育专业的课程设置，了解小学教育专业学习的基本方法，明确小学教师的专业知识、能力和职业道德要求。</w:t>
      </w:r>
    </w:p>
    <w:p w14:paraId="7D59E836">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w:t>
      </w: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理解教师职业的意义，明确小学教育的重要性，具有较强的教师职业认同感，愿意从事小学教育工作，有较强的学习动机，树立正确的教师观和职业观。</w:t>
      </w:r>
    </w:p>
    <w:p w14:paraId="7D2E588D">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w:t>
      </w:r>
      <w:r>
        <w:rPr>
          <w:rFonts w:ascii="Times New Roman" w:hAnsi="Times New Roman" w:eastAsia="宋体" w:cs="Times New Roman"/>
          <w:color w:val="auto"/>
          <w:szCs w:val="21"/>
        </w:rPr>
        <w:t>3. 了解小学教师的专业发展</w:t>
      </w:r>
      <w:r>
        <w:rPr>
          <w:rFonts w:hint="eastAsia" w:ascii="Times New Roman" w:hAnsi="Times New Roman" w:eastAsia="宋体" w:cs="Times New Roman"/>
          <w:color w:val="auto"/>
          <w:szCs w:val="21"/>
        </w:rPr>
        <w:t>的要求</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初步</w:t>
      </w:r>
      <w:r>
        <w:rPr>
          <w:rFonts w:ascii="Times New Roman" w:hAnsi="Times New Roman" w:eastAsia="宋体" w:cs="Times New Roman"/>
          <w:color w:val="auto"/>
          <w:szCs w:val="21"/>
        </w:rPr>
        <w:t>了解教师资格考试</w:t>
      </w:r>
      <w:r>
        <w:rPr>
          <w:rFonts w:hint="eastAsia" w:ascii="Times New Roman" w:hAnsi="Times New Roman" w:eastAsia="宋体" w:cs="Times New Roman"/>
          <w:color w:val="auto"/>
          <w:szCs w:val="21"/>
        </w:rPr>
        <w:t>和小学教师招考的基本情况</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能结合自身实际进行职业生涯规划，具有</w:t>
      </w:r>
      <w:r>
        <w:rPr>
          <w:rFonts w:ascii="Times New Roman" w:hAnsi="Times New Roman" w:eastAsia="宋体" w:cs="Times New Roman"/>
          <w:color w:val="auto"/>
          <w:szCs w:val="21"/>
        </w:rPr>
        <w:t>明确的努力方向。</w:t>
      </w:r>
    </w:p>
    <w:p w14:paraId="7608050B">
      <w:pPr>
        <w:spacing w:before="156" w:beforeLines="50" w:after="156" w:afterLines="50" w:line="360" w:lineRule="auto"/>
        <w:ind w:firstLine="422" w:firstLineChars="200"/>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6237"/>
        <w:gridCol w:w="1327"/>
      </w:tblGrid>
      <w:tr w14:paraId="41F9D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2CB65F86">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237" w:type="dxa"/>
            <w:vAlign w:val="center"/>
          </w:tcPr>
          <w:p w14:paraId="6B7B5A24">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327" w:type="dxa"/>
            <w:vAlign w:val="center"/>
          </w:tcPr>
          <w:p w14:paraId="763DF556">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7C79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27E95BC1">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毕业要求</w:t>
            </w:r>
            <w:r>
              <w:rPr>
                <w:rFonts w:ascii="Times New Roman" w:hAnsi="Times New Roman" w:eastAsia="宋体" w:cs="Times New Roman"/>
                <w:color w:val="auto"/>
                <w:szCs w:val="21"/>
              </w:rPr>
              <w:t>1：师德规范</w:t>
            </w:r>
          </w:p>
        </w:tc>
        <w:tc>
          <w:tcPr>
            <w:tcW w:w="6237" w:type="dxa"/>
            <w:vAlign w:val="center"/>
          </w:tcPr>
          <w:p w14:paraId="3E71B7CE">
            <w:pPr>
              <w:widowControl/>
              <w:autoSpaceDE w:val="0"/>
              <w:autoSpaceDN w:val="0"/>
              <w:rPr>
                <w:rFonts w:hint="eastAsia" w:eastAsiaTheme="minorEastAsia"/>
                <w:color w:val="auto"/>
                <w:kern w:val="0"/>
                <w:szCs w:val="21"/>
                <w:lang w:eastAsia="zh-CN"/>
              </w:rPr>
            </w:pPr>
            <w:r>
              <w:rPr>
                <w:rFonts w:hint="eastAsia" w:ascii="宋体" w:hAnsi="宋体" w:cs="宋体"/>
                <w:color w:val="auto"/>
                <w:kern w:val="0"/>
                <w:szCs w:val="21"/>
                <w:lang w:eastAsia="zh-CN"/>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327" w:type="dxa"/>
            <w:vAlign w:val="center"/>
          </w:tcPr>
          <w:p w14:paraId="2BA5389F">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1</w:t>
            </w:r>
          </w:p>
        </w:tc>
      </w:tr>
      <w:tr w14:paraId="3C7C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6EEB257D">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毕业要求</w:t>
            </w:r>
            <w:r>
              <w:rPr>
                <w:rFonts w:ascii="Times New Roman" w:hAnsi="Times New Roman" w:eastAsia="宋体" w:cs="Times New Roman"/>
                <w:color w:val="auto"/>
                <w:szCs w:val="21"/>
              </w:rPr>
              <w:t>2：教育情怀</w:t>
            </w:r>
          </w:p>
        </w:tc>
        <w:tc>
          <w:tcPr>
            <w:tcW w:w="6237" w:type="dxa"/>
            <w:vAlign w:val="center"/>
          </w:tcPr>
          <w:p w14:paraId="4E0A1370">
            <w:pPr>
              <w:spacing w:line="276" w:lineRule="auto"/>
              <w:jc w:val="left"/>
              <w:rPr>
                <w:rFonts w:hint="eastAsia" w:ascii="Times New Roman" w:hAnsi="Times New Roman" w:eastAsia="宋体" w:cs="Times New Roman"/>
                <w:color w:val="auto"/>
                <w:szCs w:val="21"/>
                <w:lang w:eastAsia="zh-CN"/>
              </w:rPr>
            </w:pPr>
            <w:r>
              <w:rPr>
                <w:rFonts w:hint="eastAsia" w:ascii="宋体" w:hAnsi="宋体" w:eastAsia="宋体" w:cs="宋体"/>
                <w:color w:val="auto"/>
                <w:kern w:val="0"/>
                <w:szCs w:val="21"/>
                <w:lang w:eastAsia="zh-CN"/>
              </w:rPr>
              <w:t>指标点2-1：【职业认同感强】具有家国情怀，热爱教育事业，秉持“坚忍诚勇，立己达人”的师范精神，践行教育家精神，乐于从教，热爱教育事业，具有较高的教师职业认同感，认同教师职业的意义、价值与专业性。</w:t>
            </w:r>
          </w:p>
        </w:tc>
        <w:tc>
          <w:tcPr>
            <w:tcW w:w="1327" w:type="dxa"/>
            <w:vAlign w:val="center"/>
          </w:tcPr>
          <w:p w14:paraId="7398803C">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2</w:t>
            </w:r>
          </w:p>
        </w:tc>
      </w:tr>
      <w:tr w14:paraId="1C64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0ABEE895">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毕业要求</w:t>
            </w:r>
            <w:r>
              <w:rPr>
                <w:rFonts w:ascii="Times New Roman" w:hAnsi="Times New Roman" w:eastAsia="宋体" w:cs="Times New Roman"/>
                <w:color w:val="auto"/>
                <w:szCs w:val="21"/>
              </w:rPr>
              <w:t>7</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学会反思</w:t>
            </w:r>
          </w:p>
        </w:tc>
        <w:tc>
          <w:tcPr>
            <w:tcW w:w="6237" w:type="dxa"/>
            <w:vAlign w:val="center"/>
          </w:tcPr>
          <w:p w14:paraId="58ED49D5">
            <w:pPr>
              <w:spacing w:line="276" w:lineRule="auto"/>
              <w:jc w:val="left"/>
              <w:rPr>
                <w:rFonts w:ascii="Times New Roman" w:hAnsi="Times New Roman" w:eastAsia="宋体" w:cs="Times New Roman"/>
                <w:color w:val="auto"/>
                <w:szCs w:val="21"/>
              </w:rPr>
            </w:pPr>
            <w:r>
              <w:rPr>
                <w:rFonts w:hint="eastAsia" w:ascii="宋体" w:hAnsi="宋体" w:eastAsia="宋体" w:cs="Times New Roman"/>
                <w:color w:val="auto"/>
                <w:spacing w:val="2"/>
                <w:kern w:val="0"/>
                <w:szCs w:val="21"/>
              </w:rPr>
              <w:t>指标点</w:t>
            </w:r>
            <w:r>
              <w:rPr>
                <w:rFonts w:ascii="宋体" w:hAnsi="宋体" w:eastAsia="宋体" w:cs="Times New Roman"/>
                <w:color w:val="auto"/>
                <w:spacing w:val="2"/>
                <w:kern w:val="0"/>
                <w:szCs w:val="21"/>
              </w:rPr>
              <w:t>7-2：【职业规划合理】了解教师专业发展的要求，形成终身学习的意识和习惯，注重自身的专业发展，根据基础教育课程改革的动态和发展情况，进行职业生涯规划和自主学习。</w:t>
            </w:r>
          </w:p>
        </w:tc>
        <w:tc>
          <w:tcPr>
            <w:tcW w:w="1327" w:type="dxa"/>
            <w:vAlign w:val="center"/>
          </w:tcPr>
          <w:p w14:paraId="223668F1">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3</w:t>
            </w:r>
          </w:p>
        </w:tc>
      </w:tr>
    </w:tbl>
    <w:p w14:paraId="5BCDC203">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7767223A">
      <w:pPr>
        <w:spacing w:line="360" w:lineRule="auto"/>
        <w:ind w:firstLine="411" w:firstLineChars="196"/>
        <w:jc w:val="left"/>
        <w:rPr>
          <w:rFonts w:ascii="宋体" w:hAnsi="宋体" w:eastAsia="宋体" w:cs="Times New Roman"/>
          <w:color w:val="auto"/>
          <w:szCs w:val="21"/>
        </w:rPr>
      </w:pPr>
      <w:r>
        <w:rPr>
          <w:rFonts w:ascii="宋体" w:hAnsi="宋体" w:eastAsia="宋体" w:cs="Times New Roman"/>
          <w:color w:val="auto"/>
          <w:szCs w:val="21"/>
        </w:rPr>
        <w:t>了解小学教育专业发展的悠久历史，增强文化自信和专业自信</w:t>
      </w:r>
      <w:r>
        <w:rPr>
          <w:rFonts w:hint="eastAsia" w:ascii="宋体" w:hAnsi="宋体" w:eastAsia="宋体" w:cs="Times New Roman"/>
          <w:color w:val="auto"/>
          <w:szCs w:val="21"/>
        </w:rPr>
        <w:t>；理解教师职业的意义，具有较强的教师职业认同感，愿意从事小学教育工作，有较强的学习动机；树立正确的教师观和职业观，</w:t>
      </w:r>
      <w:r>
        <w:rPr>
          <w:rFonts w:ascii="宋体" w:hAnsi="宋体" w:eastAsia="宋体" w:cs="Times New Roman"/>
          <w:color w:val="auto"/>
          <w:szCs w:val="21"/>
        </w:rPr>
        <w:t>具有明确的努力方向。</w:t>
      </w:r>
    </w:p>
    <w:p w14:paraId="271C5BB5">
      <w:pPr>
        <w:spacing w:line="360" w:lineRule="auto"/>
        <w:ind w:firstLine="413" w:firstLineChars="196"/>
        <w:jc w:val="left"/>
        <w:rPr>
          <w:rFonts w:hint="eastAsia" w:ascii="宋体" w:hAnsi="宋体" w:eastAsia="宋体" w:cs="Times New Roman"/>
          <w:b/>
          <w:color w:val="auto"/>
          <w:szCs w:val="21"/>
        </w:rPr>
      </w:pPr>
      <w:r>
        <w:rPr>
          <w:rFonts w:hint="eastAsia" w:ascii="宋体" w:hAnsi="宋体" w:eastAsia="宋体" w:cs="Times New Roman"/>
          <w:b/>
          <w:color w:val="auto"/>
          <w:szCs w:val="21"/>
        </w:rPr>
        <w:t>三、教学内容与预期学习成效</w:t>
      </w:r>
    </w:p>
    <w:tbl>
      <w:tblPr>
        <w:tblStyle w:val="16"/>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704"/>
        <w:gridCol w:w="1135"/>
        <w:gridCol w:w="3266"/>
        <w:gridCol w:w="1563"/>
        <w:gridCol w:w="442"/>
      </w:tblGrid>
      <w:tr w14:paraId="5035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05F6F291">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6DC466E9">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1704" w:type="dxa"/>
            <w:vAlign w:val="center"/>
          </w:tcPr>
          <w:p w14:paraId="22ACE85D">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35" w:type="dxa"/>
            <w:vAlign w:val="center"/>
          </w:tcPr>
          <w:p w14:paraId="5E5B0B07">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65C3042D">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3266" w:type="dxa"/>
            <w:vAlign w:val="center"/>
          </w:tcPr>
          <w:p w14:paraId="05841D20">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563" w:type="dxa"/>
            <w:vAlign w:val="center"/>
          </w:tcPr>
          <w:p w14:paraId="385E01E2">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42" w:type="dxa"/>
            <w:vAlign w:val="center"/>
          </w:tcPr>
          <w:p w14:paraId="097B09DB">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4B12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3A07B347">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w:t>
            </w:r>
            <w:r>
              <w:rPr>
                <w:rFonts w:hint="eastAsia"/>
                <w:color w:val="auto"/>
                <w:szCs w:val="21"/>
              </w:rPr>
              <w:t xml:space="preserve"> </w:t>
            </w:r>
            <w:r>
              <w:rPr>
                <w:rFonts w:hint="eastAsia" w:ascii="宋体" w:hAnsi="宋体" w:eastAsia="宋体" w:cs="Times New Roman"/>
                <w:color w:val="auto"/>
                <w:szCs w:val="21"/>
              </w:rPr>
              <w:t>小学教育专业简介</w:t>
            </w:r>
          </w:p>
        </w:tc>
        <w:tc>
          <w:tcPr>
            <w:tcW w:w="1704" w:type="dxa"/>
            <w:vAlign w:val="center"/>
          </w:tcPr>
          <w:p w14:paraId="54758E4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1）小学教育专业的历史、现状与未来</w:t>
            </w:r>
          </w:p>
          <w:p w14:paraId="3CE0DBD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2）小学教育专业培养方案解读</w:t>
            </w:r>
          </w:p>
        </w:tc>
        <w:tc>
          <w:tcPr>
            <w:tcW w:w="1135" w:type="dxa"/>
            <w:vAlign w:val="center"/>
          </w:tcPr>
          <w:p w14:paraId="195EA5F8">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266" w:type="dxa"/>
            <w:vAlign w:val="center"/>
          </w:tcPr>
          <w:p w14:paraId="5F11CCE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1）了解小学教育专业的历史、现状与未来.</w:t>
            </w:r>
          </w:p>
          <w:p w14:paraId="48EF4B8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2）了解小学教育专业的培养目标，知道小学教育专业学生应具备的知识和能力.</w:t>
            </w:r>
          </w:p>
          <w:p w14:paraId="1F326DE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3）了解小学教育专业的课程设置。</w:t>
            </w:r>
          </w:p>
        </w:tc>
        <w:tc>
          <w:tcPr>
            <w:tcW w:w="1563" w:type="dxa"/>
            <w:vAlign w:val="center"/>
          </w:tcPr>
          <w:p w14:paraId="6CAF6FF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21682FC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34FDAA4E">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.自主学习</w:t>
            </w:r>
          </w:p>
        </w:tc>
        <w:tc>
          <w:tcPr>
            <w:tcW w:w="442" w:type="dxa"/>
            <w:vAlign w:val="center"/>
          </w:tcPr>
          <w:p w14:paraId="027B30FB">
            <w:pPr>
              <w:spacing w:line="269" w:lineRule="auto"/>
              <w:jc w:val="center"/>
              <w:rPr>
                <w:rFonts w:hint="eastAsia" w:ascii="宋体" w:hAnsi="宋体" w:eastAsia="宋体" w:cs="Times New Roman"/>
                <w:color w:val="auto"/>
                <w:szCs w:val="21"/>
              </w:rPr>
            </w:pPr>
            <w:r>
              <w:rPr>
                <w:rFonts w:ascii="宋体" w:hAnsi="宋体" w:eastAsia="宋体" w:cs="Times New Roman"/>
                <w:color w:val="auto"/>
                <w:szCs w:val="21"/>
              </w:rPr>
              <w:t>2</w:t>
            </w:r>
          </w:p>
        </w:tc>
      </w:tr>
      <w:tr w14:paraId="3424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06" w:type="dxa"/>
            <w:vMerge w:val="continue"/>
            <w:vAlign w:val="center"/>
          </w:tcPr>
          <w:p w14:paraId="289B6EE6">
            <w:pPr>
              <w:spacing w:line="264" w:lineRule="auto"/>
              <w:jc w:val="center"/>
              <w:rPr>
                <w:rFonts w:hint="eastAsia" w:ascii="宋体" w:hAnsi="宋体" w:eastAsia="宋体" w:cs="Times New Roman"/>
                <w:color w:val="auto"/>
                <w:szCs w:val="21"/>
              </w:rPr>
            </w:pPr>
          </w:p>
        </w:tc>
        <w:tc>
          <w:tcPr>
            <w:tcW w:w="8110" w:type="dxa"/>
            <w:gridSpan w:val="5"/>
            <w:vAlign w:val="center"/>
          </w:tcPr>
          <w:p w14:paraId="6DFA3DE0">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w:t>
            </w:r>
            <w:r>
              <w:rPr>
                <w:rFonts w:ascii="宋体" w:hAnsi="宋体" w:eastAsia="宋体" w:cs="Times New Roman"/>
                <w:color w:val="auto"/>
                <w:szCs w:val="21"/>
              </w:rPr>
              <w:t>1）了解小学教育专业发展的悠久历史，增强文化自信和专业自信。</w:t>
            </w:r>
            <w:r>
              <w:rPr>
                <w:rFonts w:hint="eastAsia" w:ascii="宋体" w:hAnsi="宋体" w:eastAsia="宋体" w:cs="Times New Roman"/>
                <w:color w:val="auto"/>
                <w:szCs w:val="21"/>
              </w:rPr>
              <w:t>（</w:t>
            </w:r>
            <w:r>
              <w:rPr>
                <w:rFonts w:ascii="宋体" w:hAnsi="宋体" w:eastAsia="宋体" w:cs="Times New Roman"/>
                <w:color w:val="auto"/>
                <w:szCs w:val="21"/>
              </w:rPr>
              <w:t>2）通过对专业概况的了解，进一步巩固专业思想，强化专业情怀。</w:t>
            </w:r>
          </w:p>
        </w:tc>
      </w:tr>
      <w:tr w14:paraId="0F4A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7E78A422">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w:t>
            </w:r>
            <w:r>
              <w:rPr>
                <w:rFonts w:hint="eastAsia"/>
                <w:color w:val="auto"/>
                <w:szCs w:val="21"/>
              </w:rPr>
              <w:t xml:space="preserve"> </w:t>
            </w:r>
            <w:r>
              <w:rPr>
                <w:rFonts w:hint="eastAsia" w:ascii="宋体" w:hAnsi="宋体" w:eastAsia="宋体" w:cs="Times New Roman"/>
                <w:color w:val="auto"/>
                <w:szCs w:val="21"/>
              </w:rPr>
              <w:t>小学教育专业教师教育课程的学习</w:t>
            </w:r>
          </w:p>
        </w:tc>
        <w:tc>
          <w:tcPr>
            <w:tcW w:w="1704" w:type="dxa"/>
            <w:vAlign w:val="center"/>
          </w:tcPr>
          <w:p w14:paraId="753D9EB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1）教育理论课程的学习与考研方向的选择</w:t>
            </w:r>
          </w:p>
          <w:p w14:paraId="57FDCD5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2）教育实践类课程的学习与实践能力的提升</w:t>
            </w:r>
          </w:p>
        </w:tc>
        <w:tc>
          <w:tcPr>
            <w:tcW w:w="1135" w:type="dxa"/>
            <w:vAlign w:val="center"/>
          </w:tcPr>
          <w:p w14:paraId="3EBB1869">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266" w:type="dxa"/>
            <w:vAlign w:val="center"/>
          </w:tcPr>
          <w:p w14:paraId="2AA4488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1）了解教育学、心理学学科的发展情况。</w:t>
            </w:r>
          </w:p>
          <w:p w14:paraId="7B7EB7A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2）知道教育学、心理学学科方面的考研方向。</w:t>
            </w:r>
          </w:p>
          <w:p w14:paraId="4758A1B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3）理解小学教育专业实践能力的内涵及提升路径。</w:t>
            </w:r>
          </w:p>
          <w:p w14:paraId="2E40C2B9">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4）初步了解并掌握教师教育课程的学习方法。</w:t>
            </w:r>
          </w:p>
        </w:tc>
        <w:tc>
          <w:tcPr>
            <w:tcW w:w="1563" w:type="dxa"/>
            <w:vAlign w:val="center"/>
          </w:tcPr>
          <w:p w14:paraId="057AF38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58DC232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103C9A95">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.自主学习</w:t>
            </w:r>
          </w:p>
        </w:tc>
        <w:tc>
          <w:tcPr>
            <w:tcW w:w="442" w:type="dxa"/>
            <w:vAlign w:val="center"/>
          </w:tcPr>
          <w:p w14:paraId="000307B2">
            <w:pPr>
              <w:spacing w:line="269" w:lineRule="auto"/>
              <w:jc w:val="center"/>
              <w:rPr>
                <w:rFonts w:hint="eastAsia" w:ascii="宋体" w:hAnsi="宋体" w:eastAsia="宋体" w:cs="Times New Roman"/>
                <w:color w:val="auto"/>
                <w:szCs w:val="21"/>
              </w:rPr>
            </w:pPr>
            <w:r>
              <w:rPr>
                <w:rFonts w:ascii="宋体" w:hAnsi="宋体" w:eastAsia="宋体" w:cs="Times New Roman"/>
                <w:color w:val="auto"/>
                <w:szCs w:val="21"/>
              </w:rPr>
              <w:t>2</w:t>
            </w:r>
          </w:p>
        </w:tc>
      </w:tr>
      <w:tr w14:paraId="3E3FF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continue"/>
            <w:vAlign w:val="center"/>
          </w:tcPr>
          <w:p w14:paraId="47CCBA05">
            <w:pPr>
              <w:spacing w:line="264" w:lineRule="auto"/>
              <w:jc w:val="center"/>
              <w:rPr>
                <w:rFonts w:hint="eastAsia" w:ascii="宋体" w:hAnsi="宋体" w:eastAsia="宋体" w:cs="Times New Roman"/>
                <w:color w:val="auto"/>
                <w:szCs w:val="21"/>
              </w:rPr>
            </w:pPr>
          </w:p>
        </w:tc>
        <w:tc>
          <w:tcPr>
            <w:tcW w:w="8110" w:type="dxa"/>
            <w:gridSpan w:val="5"/>
            <w:vAlign w:val="center"/>
          </w:tcPr>
          <w:p w14:paraId="14092793">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w:t>
            </w:r>
            <w:r>
              <w:rPr>
                <w:rFonts w:ascii="宋体" w:hAnsi="宋体" w:eastAsia="宋体" w:cs="Times New Roman"/>
                <w:color w:val="auto"/>
                <w:szCs w:val="21"/>
              </w:rPr>
              <w:t>1）注重我国先进教育理念的学习，增强文化自信。</w:t>
            </w:r>
            <w:r>
              <w:rPr>
                <w:rFonts w:hint="eastAsia" w:ascii="宋体" w:hAnsi="宋体" w:eastAsia="宋体" w:cs="Times New Roman"/>
                <w:color w:val="auto"/>
                <w:szCs w:val="21"/>
              </w:rPr>
              <w:t>（</w:t>
            </w:r>
            <w:r>
              <w:rPr>
                <w:rFonts w:ascii="宋体" w:hAnsi="宋体" w:eastAsia="宋体" w:cs="Times New Roman"/>
                <w:color w:val="auto"/>
                <w:szCs w:val="21"/>
              </w:rPr>
              <w:t>2）养成科学、严谨的学习习惯和实事求是的精神。</w:t>
            </w:r>
            <w:r>
              <w:rPr>
                <w:rFonts w:hint="eastAsia" w:ascii="宋体" w:hAnsi="宋体" w:eastAsia="宋体" w:cs="Times New Roman"/>
                <w:color w:val="auto"/>
                <w:szCs w:val="21"/>
              </w:rPr>
              <w:t>（</w:t>
            </w:r>
            <w:r>
              <w:rPr>
                <w:rFonts w:ascii="宋体" w:hAnsi="宋体" w:eastAsia="宋体" w:cs="Times New Roman"/>
                <w:color w:val="auto"/>
                <w:szCs w:val="21"/>
              </w:rPr>
              <w:t>3）注重自身实践能力和创新精神的提高。</w:t>
            </w:r>
          </w:p>
        </w:tc>
      </w:tr>
      <w:tr w14:paraId="3F87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369EC0AD">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w:t>
            </w:r>
            <w:r>
              <w:rPr>
                <w:rFonts w:hint="eastAsia"/>
                <w:color w:val="auto"/>
                <w:szCs w:val="21"/>
              </w:rPr>
              <w:t xml:space="preserve"> 小学教育专业学科方向课程的学习</w:t>
            </w:r>
          </w:p>
        </w:tc>
        <w:tc>
          <w:tcPr>
            <w:tcW w:w="1704" w:type="dxa"/>
            <w:vAlign w:val="center"/>
          </w:tcPr>
          <w:p w14:paraId="035277C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1）小学教育专业学科方向课程的发展与考研方向的选择</w:t>
            </w:r>
          </w:p>
          <w:p w14:paraId="0DC9D959">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2）小学教育专业学科方向课程的学习方法</w:t>
            </w:r>
          </w:p>
        </w:tc>
        <w:tc>
          <w:tcPr>
            <w:tcW w:w="1135" w:type="dxa"/>
            <w:vAlign w:val="center"/>
          </w:tcPr>
          <w:p w14:paraId="13A3ECD3">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r>
              <w:rPr>
                <w:rFonts w:ascii="宋体" w:hAnsi="宋体" w:eastAsia="宋体" w:cs="Times New Roman"/>
                <w:color w:val="auto"/>
                <w:szCs w:val="21"/>
              </w:rPr>
              <w:t>1</w:t>
            </w:r>
            <w:r>
              <w:rPr>
                <w:rFonts w:hint="eastAsia" w:ascii="宋体" w:hAnsi="宋体" w:eastAsia="宋体" w:cs="Times New Roman"/>
                <w:color w:val="auto"/>
                <w:szCs w:val="21"/>
              </w:rPr>
              <w:t>、2、3</w:t>
            </w:r>
          </w:p>
        </w:tc>
        <w:tc>
          <w:tcPr>
            <w:tcW w:w="3266" w:type="dxa"/>
            <w:vAlign w:val="center"/>
          </w:tcPr>
          <w:p w14:paraId="12C11BB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1）了解小学教育专业学科方向课程的发展情况。</w:t>
            </w:r>
          </w:p>
          <w:p w14:paraId="1550224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2）知道小学教育专业学科方向的考研选择。</w:t>
            </w:r>
          </w:p>
          <w:p w14:paraId="3E3EDFFF">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3）初步了解小学教育专业学科方向课程学习的一般方法，制订小学教育专业必读学科类书籍的阅读计划并付诸实施。</w:t>
            </w:r>
          </w:p>
        </w:tc>
        <w:tc>
          <w:tcPr>
            <w:tcW w:w="1563" w:type="dxa"/>
            <w:vAlign w:val="center"/>
          </w:tcPr>
          <w:p w14:paraId="0D23FEF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38F8646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2C31939F">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.观察实践</w:t>
            </w:r>
          </w:p>
          <w:p w14:paraId="04F9156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ascii="宋体" w:hAnsi="宋体" w:eastAsia="宋体" w:cs="Times New Roman"/>
                <w:color w:val="auto"/>
                <w:szCs w:val="21"/>
              </w:rPr>
              <w:t>自主学习</w:t>
            </w:r>
          </w:p>
        </w:tc>
        <w:tc>
          <w:tcPr>
            <w:tcW w:w="442" w:type="dxa"/>
            <w:vAlign w:val="center"/>
          </w:tcPr>
          <w:p w14:paraId="62B7C831">
            <w:pPr>
              <w:spacing w:line="269" w:lineRule="auto"/>
              <w:jc w:val="center"/>
              <w:rPr>
                <w:rFonts w:hint="eastAsia" w:ascii="宋体" w:hAnsi="宋体" w:eastAsia="宋体" w:cs="Times New Roman"/>
                <w:color w:val="auto"/>
                <w:szCs w:val="21"/>
              </w:rPr>
            </w:pPr>
            <w:r>
              <w:rPr>
                <w:rFonts w:ascii="宋体" w:hAnsi="宋体" w:eastAsia="宋体" w:cs="Times New Roman"/>
                <w:color w:val="auto"/>
                <w:szCs w:val="21"/>
              </w:rPr>
              <w:t>12</w:t>
            </w:r>
          </w:p>
        </w:tc>
      </w:tr>
      <w:tr w14:paraId="1A25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206" w:type="dxa"/>
            <w:vMerge w:val="continue"/>
            <w:vAlign w:val="center"/>
          </w:tcPr>
          <w:p w14:paraId="5E5864D6">
            <w:pPr>
              <w:spacing w:line="264" w:lineRule="auto"/>
              <w:jc w:val="center"/>
              <w:rPr>
                <w:rFonts w:hint="eastAsia" w:ascii="宋体" w:hAnsi="宋体" w:eastAsia="宋体" w:cs="Times New Roman"/>
                <w:color w:val="auto"/>
                <w:szCs w:val="21"/>
              </w:rPr>
            </w:pPr>
          </w:p>
        </w:tc>
        <w:tc>
          <w:tcPr>
            <w:tcW w:w="8110" w:type="dxa"/>
            <w:gridSpan w:val="5"/>
            <w:vAlign w:val="center"/>
          </w:tcPr>
          <w:p w14:paraId="0021577D">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w:t>
            </w:r>
            <w:r>
              <w:rPr>
                <w:rFonts w:ascii="宋体" w:hAnsi="宋体" w:eastAsia="宋体" w:cs="Times New Roman"/>
                <w:color w:val="auto"/>
                <w:szCs w:val="21"/>
              </w:rPr>
              <w:t>1）注重对中国传统文化的学习，增强文化自信和民族自豪感。</w:t>
            </w:r>
            <w:r>
              <w:rPr>
                <w:rFonts w:hint="eastAsia" w:ascii="宋体" w:hAnsi="宋体" w:eastAsia="宋体" w:cs="Times New Roman"/>
                <w:color w:val="auto"/>
                <w:szCs w:val="21"/>
              </w:rPr>
              <w:t>（</w:t>
            </w:r>
            <w:r>
              <w:rPr>
                <w:rFonts w:ascii="宋体" w:hAnsi="宋体" w:eastAsia="宋体" w:cs="Times New Roman"/>
                <w:color w:val="auto"/>
                <w:szCs w:val="21"/>
              </w:rPr>
              <w:t>2）养成严谨治学的习惯。</w:t>
            </w:r>
          </w:p>
        </w:tc>
      </w:tr>
      <w:tr w14:paraId="5E4C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206" w:type="dxa"/>
            <w:vMerge w:val="restart"/>
            <w:vAlign w:val="center"/>
          </w:tcPr>
          <w:p w14:paraId="3EC96CFC">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color w:val="auto"/>
                <w:szCs w:val="21"/>
              </w:rPr>
              <w:t xml:space="preserve"> </w:t>
            </w:r>
            <w:r>
              <w:rPr>
                <w:rFonts w:hint="eastAsia" w:ascii="宋体" w:hAnsi="宋体" w:eastAsia="宋体" w:cs="Times New Roman"/>
                <w:color w:val="auto"/>
                <w:szCs w:val="21"/>
              </w:rPr>
              <w:t>小学教师的专业发展</w:t>
            </w:r>
          </w:p>
        </w:tc>
        <w:tc>
          <w:tcPr>
            <w:tcW w:w="1704" w:type="dxa"/>
            <w:vAlign w:val="center"/>
          </w:tcPr>
          <w:p w14:paraId="5066E08F">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1）小学教师专业发展的维度</w:t>
            </w:r>
          </w:p>
          <w:p w14:paraId="15C1B846">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2）小学教师专业发展的路径</w:t>
            </w:r>
          </w:p>
          <w:p w14:paraId="43C7259A">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3）小学教师资格证的获得</w:t>
            </w:r>
          </w:p>
        </w:tc>
        <w:tc>
          <w:tcPr>
            <w:tcW w:w="1135" w:type="dxa"/>
            <w:vAlign w:val="center"/>
          </w:tcPr>
          <w:p w14:paraId="49FA6C6C">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266" w:type="dxa"/>
            <w:vAlign w:val="center"/>
          </w:tcPr>
          <w:p w14:paraId="271E3F2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1）明确小学教师专业发展的意义；</w:t>
            </w:r>
          </w:p>
          <w:p w14:paraId="4E69A5CA">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 xml:space="preserve">2）了解小学教师专业发展的维度与路径； </w:t>
            </w:r>
          </w:p>
          <w:p w14:paraId="460A226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3）了解小学教师资格的获得条件和流程</w:t>
            </w:r>
          </w:p>
        </w:tc>
        <w:tc>
          <w:tcPr>
            <w:tcW w:w="1563" w:type="dxa"/>
            <w:vAlign w:val="center"/>
          </w:tcPr>
          <w:p w14:paraId="0DD7ACF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2612E21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3D7735FC">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.模拟教学</w:t>
            </w:r>
          </w:p>
          <w:p w14:paraId="215EEAE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ascii="宋体" w:hAnsi="宋体" w:eastAsia="宋体" w:cs="Times New Roman"/>
                <w:color w:val="auto"/>
                <w:szCs w:val="21"/>
              </w:rPr>
              <w:t>自主学习</w:t>
            </w:r>
          </w:p>
        </w:tc>
        <w:tc>
          <w:tcPr>
            <w:tcW w:w="442" w:type="dxa"/>
            <w:vAlign w:val="center"/>
          </w:tcPr>
          <w:p w14:paraId="5166580A">
            <w:pPr>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t>2</w:t>
            </w:r>
          </w:p>
        </w:tc>
      </w:tr>
      <w:tr w14:paraId="7280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31263D66">
            <w:pPr>
              <w:spacing w:line="276" w:lineRule="auto"/>
              <w:jc w:val="center"/>
              <w:rPr>
                <w:rFonts w:hint="eastAsia" w:ascii="宋体" w:hAnsi="宋体" w:eastAsia="宋体" w:cs="Times New Roman"/>
                <w:color w:val="auto"/>
                <w:szCs w:val="21"/>
              </w:rPr>
            </w:pPr>
          </w:p>
        </w:tc>
        <w:tc>
          <w:tcPr>
            <w:tcW w:w="8110" w:type="dxa"/>
            <w:gridSpan w:val="5"/>
            <w:vAlign w:val="center"/>
          </w:tcPr>
          <w:p w14:paraId="230E3125">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w:t>
            </w:r>
            <w:r>
              <w:rPr>
                <w:rFonts w:ascii="宋体" w:hAnsi="宋体" w:eastAsia="宋体" w:cs="Times New Roman"/>
                <w:color w:val="auto"/>
                <w:szCs w:val="21"/>
              </w:rPr>
              <w:t>1）能够以“四有”好老师的标准要求自己，树立为社会主义教育事业奋斗的远大志向。</w:t>
            </w:r>
            <w:r>
              <w:rPr>
                <w:rFonts w:hint="eastAsia" w:ascii="宋体" w:hAnsi="宋体" w:eastAsia="宋体" w:cs="Times New Roman"/>
                <w:color w:val="auto"/>
                <w:szCs w:val="21"/>
              </w:rPr>
              <w:t>（</w:t>
            </w:r>
            <w:r>
              <w:rPr>
                <w:rFonts w:ascii="宋体" w:hAnsi="宋体" w:eastAsia="宋体" w:cs="Times New Roman"/>
                <w:color w:val="auto"/>
                <w:szCs w:val="21"/>
              </w:rPr>
              <w:t>2）愿意为成为一名小学教师不懈努力。</w:t>
            </w:r>
          </w:p>
        </w:tc>
      </w:tr>
    </w:tbl>
    <w:p w14:paraId="3ABF89B5">
      <w:pPr>
        <w:spacing w:line="360" w:lineRule="auto"/>
        <w:jc w:val="left"/>
        <w:rPr>
          <w:rFonts w:ascii="Times New Roman" w:hAnsi="Times New Roman" w:eastAsia="宋体" w:cs="Times New Roman"/>
          <w:color w:val="auto"/>
          <w:szCs w:val="21"/>
        </w:rPr>
      </w:pPr>
    </w:p>
    <w:p w14:paraId="6112C6AF">
      <w:pPr>
        <w:spacing w:line="360" w:lineRule="auto"/>
        <w:ind w:firstLine="442" w:firstLineChars="200"/>
        <w:jc w:val="left"/>
        <w:rPr>
          <w:rFonts w:ascii="Times New Roman" w:hAnsi="Times New Roman" w:eastAsia="宋体" w:cs="Times New Roman"/>
          <w:color w:val="auto"/>
          <w:sz w:val="22"/>
          <w:szCs w:val="22"/>
        </w:rPr>
      </w:pPr>
      <w:r>
        <w:rPr>
          <w:rFonts w:hint="eastAsia" w:ascii="宋体" w:hAnsi="宋体" w:eastAsia="宋体" w:cs="Times New Roman"/>
          <w:b/>
          <w:color w:val="auto"/>
          <w:sz w:val="22"/>
          <w:szCs w:val="22"/>
        </w:rPr>
        <w:t>四、目标评价与成绩评定</w:t>
      </w:r>
    </w:p>
    <w:p w14:paraId="285D10ED">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155F166A">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1908"/>
        <w:gridCol w:w="1735"/>
        <w:gridCol w:w="1735"/>
        <w:gridCol w:w="1046"/>
      </w:tblGrid>
      <w:tr w14:paraId="562E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restart"/>
            <w:vAlign w:val="center"/>
          </w:tcPr>
          <w:p w14:paraId="162BECA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0" w:type="auto"/>
            <w:gridSpan w:val="3"/>
            <w:vAlign w:val="center"/>
          </w:tcPr>
          <w:p w14:paraId="2E2241B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733F15A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3DA5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0" w:type="auto"/>
            <w:vMerge w:val="continue"/>
            <w:vAlign w:val="center"/>
          </w:tcPr>
          <w:p w14:paraId="40FA2476">
            <w:pPr>
              <w:spacing w:line="360" w:lineRule="auto"/>
              <w:jc w:val="center"/>
              <w:rPr>
                <w:rFonts w:hint="eastAsia" w:ascii="宋体" w:hAnsi="宋体" w:eastAsia="宋体" w:cs="Times New Roman"/>
                <w:color w:val="auto"/>
                <w:szCs w:val="21"/>
              </w:rPr>
            </w:pPr>
          </w:p>
        </w:tc>
        <w:tc>
          <w:tcPr>
            <w:tcW w:w="0" w:type="auto"/>
            <w:vAlign w:val="center"/>
          </w:tcPr>
          <w:p w14:paraId="57559F7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作业</w:t>
            </w:r>
            <w:r>
              <w:rPr>
                <w:rFonts w:ascii="宋体" w:hAnsi="宋体" w:eastAsia="宋体" w:cs="Times New Roman"/>
                <w:color w:val="auto"/>
                <w:szCs w:val="21"/>
              </w:rPr>
              <w:t>+考勤</w:t>
            </w:r>
          </w:p>
        </w:tc>
        <w:tc>
          <w:tcPr>
            <w:tcW w:w="0" w:type="auto"/>
            <w:vAlign w:val="center"/>
          </w:tcPr>
          <w:p w14:paraId="0AD3F8A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0" w:type="auto"/>
            <w:vAlign w:val="center"/>
          </w:tcPr>
          <w:p w14:paraId="00F685F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0" w:type="auto"/>
            <w:vMerge w:val="continue"/>
            <w:vAlign w:val="center"/>
          </w:tcPr>
          <w:p w14:paraId="0C7D4AA4">
            <w:pPr>
              <w:spacing w:line="360" w:lineRule="auto"/>
              <w:jc w:val="center"/>
              <w:rPr>
                <w:rFonts w:hint="eastAsia" w:ascii="宋体" w:hAnsi="宋体" w:eastAsia="宋体" w:cs="Times New Roman"/>
                <w:color w:val="auto"/>
                <w:szCs w:val="21"/>
              </w:rPr>
            </w:pPr>
          </w:p>
        </w:tc>
      </w:tr>
      <w:tr w14:paraId="7805C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0580AB9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0" w:type="auto"/>
            <w:vAlign w:val="center"/>
          </w:tcPr>
          <w:p w14:paraId="344467D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F4FCF9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3DA8CD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25A29E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30</w:t>
            </w:r>
          </w:p>
        </w:tc>
      </w:tr>
      <w:tr w14:paraId="1CA0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Align w:val="center"/>
          </w:tcPr>
          <w:p w14:paraId="10B7D24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0" w:type="auto"/>
            <w:vAlign w:val="center"/>
          </w:tcPr>
          <w:p w14:paraId="770AFD9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BAF066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0495B68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E87039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40</w:t>
            </w:r>
          </w:p>
        </w:tc>
      </w:tr>
      <w:tr w14:paraId="0EBE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Align w:val="center"/>
          </w:tcPr>
          <w:p w14:paraId="6388F51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0" w:type="auto"/>
            <w:vAlign w:val="center"/>
          </w:tcPr>
          <w:p w14:paraId="182E54F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47E154B">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403B35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0D04DDD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30</w:t>
            </w:r>
          </w:p>
        </w:tc>
      </w:tr>
      <w:tr w14:paraId="727D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Align w:val="center"/>
          </w:tcPr>
          <w:p w14:paraId="346B474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0" w:type="auto"/>
            <w:vAlign w:val="center"/>
          </w:tcPr>
          <w:p w14:paraId="1299726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40</w:t>
            </w:r>
          </w:p>
        </w:tc>
        <w:tc>
          <w:tcPr>
            <w:tcW w:w="0" w:type="auto"/>
            <w:vAlign w:val="center"/>
          </w:tcPr>
          <w:p w14:paraId="23C7124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0</w:t>
            </w:r>
          </w:p>
        </w:tc>
        <w:tc>
          <w:tcPr>
            <w:tcW w:w="0" w:type="auto"/>
            <w:vAlign w:val="center"/>
          </w:tcPr>
          <w:p w14:paraId="271498A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w:t>
            </w:r>
            <w:r>
              <w:rPr>
                <w:rFonts w:ascii="宋体" w:hAnsi="宋体" w:eastAsia="宋体" w:cs="Times New Roman"/>
                <w:color w:val="auto"/>
                <w:szCs w:val="21"/>
              </w:rPr>
              <w:t>0</w:t>
            </w:r>
          </w:p>
        </w:tc>
        <w:tc>
          <w:tcPr>
            <w:tcW w:w="0" w:type="auto"/>
            <w:vAlign w:val="center"/>
          </w:tcPr>
          <w:p w14:paraId="5C31830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5596F577">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1B53C68D">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6782"/>
        <w:gridCol w:w="706"/>
      </w:tblGrid>
      <w:tr w14:paraId="237B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05792C3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782" w:type="dxa"/>
            <w:vAlign w:val="center"/>
          </w:tcPr>
          <w:p w14:paraId="14A1B8DC">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1B3D8DF7">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57745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6705588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作业</w:t>
            </w:r>
            <w:r>
              <w:rPr>
                <w:rFonts w:ascii="Times New Roman" w:hAnsi="Times New Roman" w:eastAsia="宋体" w:cs="Times New Roman"/>
                <w:color w:val="auto"/>
                <w:szCs w:val="21"/>
              </w:rPr>
              <w:t>+考勤</w:t>
            </w:r>
          </w:p>
        </w:tc>
        <w:tc>
          <w:tcPr>
            <w:tcW w:w="6782" w:type="dxa"/>
            <w:vAlign w:val="center"/>
          </w:tcPr>
          <w:p w14:paraId="5322A92E">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平时作业共3次，平时总评</w:t>
            </w:r>
            <w:r>
              <w:rPr>
                <w:rFonts w:ascii="Times New Roman" w:hAnsi="Times New Roman" w:eastAsia="宋体" w:cs="Times New Roman"/>
                <w:color w:val="auto"/>
                <w:szCs w:val="21"/>
              </w:rPr>
              <w:t>=作业平均—考勤扣分，旷课1次扣5分，事假一次扣2分，迟到1次扣1分，病假不扣分（但病假次数达本学期总授课学时的1/3以上者不得参加考核）。</w:t>
            </w:r>
          </w:p>
        </w:tc>
        <w:tc>
          <w:tcPr>
            <w:tcW w:w="0" w:type="auto"/>
            <w:vAlign w:val="center"/>
          </w:tcPr>
          <w:p w14:paraId="73C13DFF">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4</w:t>
            </w:r>
            <w:r>
              <w:rPr>
                <w:rFonts w:hint="eastAsia" w:ascii="Times New Roman" w:hAnsi="Times New Roman" w:eastAsia="宋体" w:cs="Times New Roman"/>
                <w:color w:val="auto"/>
                <w:szCs w:val="21"/>
              </w:rPr>
              <w:t>0%</w:t>
            </w:r>
          </w:p>
        </w:tc>
      </w:tr>
      <w:tr w14:paraId="2C69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2603931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6782" w:type="dxa"/>
            <w:vAlign w:val="center"/>
          </w:tcPr>
          <w:p w14:paraId="722D8CCC">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课堂表现。</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按照对应的课程目标及权重给予评定</w:t>
            </w:r>
            <w:r>
              <w:rPr>
                <w:rFonts w:hint="eastAsia" w:ascii="宋体" w:hAnsi="宋体" w:eastAsia="宋体" w:cs="宋体"/>
                <w:color w:val="auto"/>
                <w:kern w:val="0"/>
                <w:szCs w:val="21"/>
                <w:lang w:bidi="ar"/>
              </w:rPr>
              <w:t>。</w:t>
            </w:r>
          </w:p>
        </w:tc>
        <w:tc>
          <w:tcPr>
            <w:tcW w:w="0" w:type="auto"/>
            <w:vAlign w:val="center"/>
          </w:tcPr>
          <w:p w14:paraId="587F72F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3A1F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7913BEC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6782" w:type="dxa"/>
            <w:vAlign w:val="center"/>
          </w:tcPr>
          <w:p w14:paraId="058AB9A1">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结合专业和自身实际，撰写一份小学教育专业发展规划，规划要有明确的目标和计划，不少于1</w:t>
            </w:r>
            <w:r>
              <w:rPr>
                <w:rFonts w:ascii="Times New Roman" w:hAnsi="Times New Roman" w:eastAsia="宋体" w:cs="Times New Roman"/>
                <w:color w:val="auto"/>
                <w:szCs w:val="21"/>
              </w:rPr>
              <w:t>500</w:t>
            </w:r>
            <w:r>
              <w:rPr>
                <w:rFonts w:hint="eastAsia" w:ascii="Times New Roman" w:hAnsi="Times New Roman" w:eastAsia="宋体" w:cs="Times New Roman"/>
                <w:color w:val="auto"/>
                <w:szCs w:val="21"/>
              </w:rPr>
              <w:t>字</w:t>
            </w:r>
            <w:r>
              <w:rPr>
                <w:rFonts w:ascii="Times New Roman" w:hAnsi="Times New Roman" w:eastAsia="宋体" w:cs="Times New Roman"/>
                <w:color w:val="auto"/>
                <w:szCs w:val="21"/>
              </w:rPr>
              <w:t>。</w:t>
            </w:r>
          </w:p>
        </w:tc>
        <w:tc>
          <w:tcPr>
            <w:tcW w:w="0" w:type="auto"/>
            <w:vAlign w:val="center"/>
          </w:tcPr>
          <w:p w14:paraId="3600072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6745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8" w:type="dxa"/>
            <w:vAlign w:val="center"/>
          </w:tcPr>
          <w:p w14:paraId="6F29046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6782" w:type="dxa"/>
            <w:vAlign w:val="center"/>
          </w:tcPr>
          <w:p w14:paraId="139BDB90">
            <w:pPr>
              <w:jc w:val="left"/>
              <w:rPr>
                <w:rFonts w:ascii="Times New Roman" w:hAnsi="Times New Roman" w:eastAsia="宋体" w:cs="Times New Roman"/>
                <w:color w:val="auto"/>
                <w:szCs w:val="21"/>
              </w:rPr>
            </w:pPr>
          </w:p>
        </w:tc>
        <w:tc>
          <w:tcPr>
            <w:tcW w:w="0" w:type="auto"/>
            <w:vAlign w:val="center"/>
          </w:tcPr>
          <w:p w14:paraId="5D42D07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6B7D94A8">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4BBCEC83">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29CA449E">
      <w:pPr>
        <w:spacing w:before="156" w:beforeLines="50"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object>
          <v:shape id="_x0000_i1032"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32" DrawAspect="Content" ObjectID="_1468075731" r:id="rId16">
            <o:LockedField>false</o:LockedField>
          </o:OLEObject>
        </w:object>
      </w:r>
    </w:p>
    <w:p w14:paraId="3E8F6470">
      <w:pPr>
        <w:keepNext w:val="0"/>
        <w:keepLines w:val="0"/>
        <w:pageBreakBefore w:val="0"/>
        <w:widowControl w:val="0"/>
        <w:kinsoku/>
        <w:overflowPunct/>
        <w:topLinePunct w:val="0"/>
        <w:autoSpaceDE/>
        <w:autoSpaceDN/>
        <w:bidi w:val="0"/>
        <w:adjustRightInd/>
        <w:snapToGrid/>
        <w:spacing w:line="348" w:lineRule="auto"/>
        <w:ind w:right="0" w:firstLine="422" w:firstLineChars="200"/>
        <w:jc w:val="left"/>
        <w:textAlignment w:val="auto"/>
        <w:rPr>
          <w:rFonts w:ascii="Times New Roman" w:hAnsi="Times New Roman" w:eastAsia="宋体" w:cs="Times New Roman"/>
          <w:b/>
          <w:bCs/>
          <w:color w:val="auto"/>
          <w:szCs w:val="21"/>
        </w:rPr>
      </w:pPr>
      <w:r>
        <w:rPr>
          <w:rFonts w:hint="eastAsia" w:ascii="宋体" w:hAnsi="宋体" w:eastAsia="宋体" w:cs="Times New Roman"/>
          <w:b/>
          <w:color w:val="auto"/>
          <w:szCs w:val="21"/>
          <w:lang w:val="en-US" w:eastAsia="zh-CN"/>
        </w:rPr>
        <w:t>五</w:t>
      </w:r>
      <w:r>
        <w:rPr>
          <w:rFonts w:hint="eastAsia" w:ascii="宋体" w:hAnsi="宋体" w:eastAsia="宋体" w:cs="Times New Roman"/>
          <w:b/>
          <w:color w:val="auto"/>
          <w:szCs w:val="21"/>
        </w:rPr>
        <w:t>、有关说明</w:t>
      </w:r>
    </w:p>
    <w:p w14:paraId="1E0CE273">
      <w:pPr>
        <w:keepNext w:val="0"/>
        <w:keepLines w:val="0"/>
        <w:pageBreakBefore w:val="0"/>
        <w:widowControl w:val="0"/>
        <w:kinsoku/>
        <w:overflowPunct/>
        <w:topLinePunct w:val="0"/>
        <w:autoSpaceDE/>
        <w:autoSpaceDN/>
        <w:bidi w:val="0"/>
        <w:adjustRightInd/>
        <w:snapToGrid/>
        <w:spacing w:line="348" w:lineRule="auto"/>
        <w:ind w:right="0"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6F580D5F">
      <w:pPr>
        <w:keepNext w:val="0"/>
        <w:keepLines w:val="0"/>
        <w:pageBreakBefore w:val="0"/>
        <w:widowControl w:val="0"/>
        <w:kinsoku/>
        <w:overflowPunct/>
        <w:topLinePunct w:val="0"/>
        <w:autoSpaceDE/>
        <w:autoSpaceDN/>
        <w:bidi w:val="0"/>
        <w:adjustRightInd/>
        <w:snapToGrid/>
        <w:spacing w:line="348" w:lineRule="auto"/>
        <w:ind w:right="0" w:firstLine="525" w:firstLineChars="25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本课程根据学生作业、课堂讨论和学生、教学督导等的反馈，及时对教学中的不足之处进行改进，并在下一轮课程教学中整改完善，确保相应毕业要求指标点达成。</w:t>
      </w:r>
    </w:p>
    <w:p w14:paraId="2005ED2D">
      <w:pPr>
        <w:keepNext w:val="0"/>
        <w:keepLines w:val="0"/>
        <w:pageBreakBefore w:val="0"/>
        <w:widowControl w:val="0"/>
        <w:kinsoku/>
        <w:overflowPunct/>
        <w:topLinePunct w:val="0"/>
        <w:autoSpaceDE/>
        <w:autoSpaceDN/>
        <w:bidi w:val="0"/>
        <w:adjustRightInd/>
        <w:snapToGrid/>
        <w:spacing w:line="348" w:lineRule="auto"/>
        <w:ind w:right="0"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1E688DF9">
      <w:pPr>
        <w:keepNext w:val="0"/>
        <w:keepLines w:val="0"/>
        <w:pageBreakBefore w:val="0"/>
        <w:widowControl w:val="0"/>
        <w:kinsoku/>
        <w:overflowPunct/>
        <w:topLinePunct w:val="0"/>
        <w:autoSpaceDE/>
        <w:autoSpaceDN/>
        <w:bidi w:val="0"/>
        <w:adjustRightInd/>
        <w:snapToGrid/>
        <w:spacing w:line="348" w:lineRule="auto"/>
        <w:ind w:right="0" w:firstLine="525" w:firstLineChars="250"/>
        <w:jc w:val="left"/>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无</w:t>
      </w:r>
    </w:p>
    <w:p w14:paraId="2C1B4CE5">
      <w:pPr>
        <w:keepNext w:val="0"/>
        <w:keepLines w:val="0"/>
        <w:pageBreakBefore w:val="0"/>
        <w:widowControl w:val="0"/>
        <w:kinsoku/>
        <w:overflowPunct/>
        <w:topLinePunct w:val="0"/>
        <w:autoSpaceDE/>
        <w:autoSpaceDN/>
        <w:bidi w:val="0"/>
        <w:adjustRightInd/>
        <w:snapToGrid/>
        <w:spacing w:line="348" w:lineRule="auto"/>
        <w:ind w:right="0"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2E61B2F3">
      <w:pPr>
        <w:keepNext w:val="0"/>
        <w:keepLines w:val="0"/>
        <w:pageBreakBefore w:val="0"/>
        <w:widowControl w:val="0"/>
        <w:kinsoku/>
        <w:overflowPunct/>
        <w:topLinePunct w:val="0"/>
        <w:autoSpaceDE/>
        <w:autoSpaceDN/>
        <w:bidi w:val="0"/>
        <w:adjustRightInd/>
        <w:snapToGrid/>
        <w:spacing w:line="348" w:lineRule="auto"/>
        <w:ind w:right="0" w:firstLine="525" w:firstLineChars="250"/>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w:t>
      </w:r>
      <w:r>
        <w:rPr>
          <w:rFonts w:hint="eastAsia" w:ascii="宋体" w:hAnsi="宋体" w:eastAsia="宋体" w:cs="Times New Roman"/>
          <w:color w:val="auto"/>
          <w:szCs w:val="21"/>
        </w:rPr>
        <w:t>惠中</w:t>
      </w:r>
      <w:r>
        <w:rPr>
          <w:rFonts w:ascii="宋体" w:hAnsi="宋体" w:eastAsia="宋体" w:cs="Times New Roman"/>
          <w:color w:val="auto"/>
          <w:szCs w:val="21"/>
        </w:rPr>
        <w:t>.教师教育新视野: 本科学历小学教师培养模式初探.上海：上海科技教育出版社,最新版.</w:t>
      </w:r>
    </w:p>
    <w:p w14:paraId="751AF23C">
      <w:pPr>
        <w:keepNext w:val="0"/>
        <w:keepLines w:val="0"/>
        <w:pageBreakBefore w:val="0"/>
        <w:widowControl w:val="0"/>
        <w:kinsoku/>
        <w:overflowPunct/>
        <w:topLinePunct w:val="0"/>
        <w:autoSpaceDE/>
        <w:autoSpaceDN/>
        <w:bidi w:val="0"/>
        <w:adjustRightInd/>
        <w:snapToGrid/>
        <w:spacing w:line="348" w:lineRule="auto"/>
        <w:ind w:right="0" w:firstLine="525" w:firstLineChars="250"/>
        <w:jc w:val="left"/>
        <w:textAlignment w:val="auto"/>
        <w:rPr>
          <w:rFonts w:hint="eastAsia" w:ascii="宋体" w:hAnsi="宋体" w:eastAsia="宋体" w:cs="Times New Roman"/>
          <w:color w:val="auto"/>
          <w:szCs w:val="21"/>
        </w:rPr>
      </w:pPr>
      <w:r>
        <w:rPr>
          <w:rFonts w:ascii="宋体" w:hAnsi="宋体" w:eastAsia="宋体" w:cs="Times New Roman"/>
          <w:color w:val="auto"/>
          <w:szCs w:val="21"/>
        </w:rPr>
        <w:t>2.[美]帕梅拉·格罗斯曼.专业化的教师是看样炼油成的.李广平，等译.北京：人民教育出版社，2012.</w:t>
      </w:r>
    </w:p>
    <w:p w14:paraId="25CBDF76">
      <w:pPr>
        <w:keepNext w:val="0"/>
        <w:keepLines w:val="0"/>
        <w:pageBreakBefore w:val="0"/>
        <w:widowControl w:val="0"/>
        <w:kinsoku/>
        <w:overflowPunct/>
        <w:topLinePunct w:val="0"/>
        <w:autoSpaceDE/>
        <w:autoSpaceDN/>
        <w:bidi w:val="0"/>
        <w:adjustRightInd/>
        <w:snapToGrid/>
        <w:spacing w:line="348" w:lineRule="auto"/>
        <w:ind w:right="0" w:firstLine="525" w:firstLineChars="250"/>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w:t>
      </w:r>
      <w:r>
        <w:rPr>
          <w:rFonts w:hint="eastAsia" w:ascii="宋体" w:hAnsi="宋体" w:eastAsia="宋体" w:cs="Times New Roman"/>
          <w:color w:val="auto"/>
          <w:szCs w:val="21"/>
        </w:rPr>
        <w:t>中华人民共和国教育部文件</w:t>
      </w:r>
      <w:r>
        <w:rPr>
          <w:rFonts w:ascii="宋体" w:hAnsi="宋体" w:eastAsia="宋体" w:cs="Times New Roman"/>
          <w:color w:val="auto"/>
          <w:szCs w:val="21"/>
        </w:rPr>
        <w:t>.小学教师专业标准（试行）.</w:t>
      </w:r>
    </w:p>
    <w:p w14:paraId="1948687E">
      <w:pPr>
        <w:keepNext w:val="0"/>
        <w:keepLines w:val="0"/>
        <w:pageBreakBefore w:val="0"/>
        <w:widowControl w:val="0"/>
        <w:kinsoku/>
        <w:overflowPunct/>
        <w:topLinePunct w:val="0"/>
        <w:autoSpaceDE/>
        <w:autoSpaceDN/>
        <w:bidi w:val="0"/>
        <w:adjustRightInd/>
        <w:snapToGrid/>
        <w:spacing w:line="348" w:lineRule="auto"/>
        <w:ind w:right="0" w:firstLine="525" w:firstLineChars="250"/>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ascii="宋体" w:hAnsi="宋体" w:eastAsia="宋体" w:cs="Times New Roman"/>
          <w:color w:val="auto"/>
          <w:szCs w:val="21"/>
        </w:rPr>
        <w:t>中华人民共和国教育部文件</w:t>
      </w:r>
      <w:r>
        <w:rPr>
          <w:rFonts w:ascii="宋体" w:hAnsi="宋体" w:eastAsia="宋体" w:cs="Times New Roman"/>
          <w:color w:val="auto"/>
          <w:szCs w:val="21"/>
        </w:rPr>
        <w:t>.教师资格条例.</w:t>
      </w:r>
    </w:p>
    <w:p w14:paraId="15D11ED7">
      <w:pPr>
        <w:keepNext w:val="0"/>
        <w:keepLines w:val="0"/>
        <w:pageBreakBefore w:val="0"/>
        <w:widowControl w:val="0"/>
        <w:kinsoku/>
        <w:overflowPunct/>
        <w:topLinePunct w:val="0"/>
        <w:autoSpaceDE/>
        <w:autoSpaceDN/>
        <w:bidi w:val="0"/>
        <w:adjustRightInd/>
        <w:snapToGrid/>
        <w:spacing w:line="348" w:lineRule="auto"/>
        <w:ind w:right="0" w:firstLine="6720" w:firstLineChars="32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执 笔 人：谢国忠</w:t>
      </w:r>
    </w:p>
    <w:p w14:paraId="1298C90B">
      <w:pPr>
        <w:keepNext w:val="0"/>
        <w:keepLines w:val="0"/>
        <w:pageBreakBefore w:val="0"/>
        <w:widowControl w:val="0"/>
        <w:kinsoku/>
        <w:wordWrap w:val="0"/>
        <w:overflowPunct/>
        <w:topLinePunct w:val="0"/>
        <w:autoSpaceDE/>
        <w:autoSpaceDN/>
        <w:bidi w:val="0"/>
        <w:adjustRightInd/>
        <w:snapToGrid/>
        <w:spacing w:line="348" w:lineRule="auto"/>
        <w:ind w:right="0" w:firstLine="6720" w:firstLineChars="32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定 人：王 健</w:t>
      </w:r>
    </w:p>
    <w:p w14:paraId="0A65618C">
      <w:pPr>
        <w:keepNext w:val="0"/>
        <w:keepLines w:val="0"/>
        <w:pageBreakBefore w:val="0"/>
        <w:widowControl w:val="0"/>
        <w:kinsoku/>
        <w:overflowPunct/>
        <w:topLinePunct w:val="0"/>
        <w:autoSpaceDE/>
        <w:autoSpaceDN/>
        <w:bidi w:val="0"/>
        <w:adjustRightInd/>
        <w:snapToGrid/>
        <w:spacing w:line="348" w:lineRule="auto"/>
        <w:ind w:right="0" w:firstLine="6510" w:firstLineChars="31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批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张志欣</w:t>
      </w:r>
    </w:p>
    <w:p w14:paraId="6E5BF453">
      <w:pPr>
        <w:keepNext w:val="0"/>
        <w:keepLines w:val="0"/>
        <w:pageBreakBefore w:val="0"/>
        <w:widowControl w:val="0"/>
        <w:kinsoku/>
        <w:overflowPunct/>
        <w:topLinePunct w:val="0"/>
        <w:autoSpaceDE/>
        <w:autoSpaceDN/>
        <w:bidi w:val="0"/>
        <w:adjustRightInd/>
        <w:snapToGrid/>
        <w:spacing w:line="348" w:lineRule="auto"/>
        <w:ind w:right="0" w:firstLine="5670" w:firstLineChars="2700"/>
        <w:textAlignment w:val="auto"/>
        <w:rPr>
          <w:rFonts w:ascii="Times New Roman" w:hAnsi="Times New Roman" w:eastAsia="宋体" w:cs="Times New Roman"/>
          <w:color w:val="auto"/>
          <w:sz w:val="24"/>
        </w:rPr>
      </w:pPr>
      <w:r>
        <w:rPr>
          <w:rFonts w:hint="eastAsia" w:ascii="Times New Roman" w:hAnsi="Times New Roman" w:eastAsia="宋体" w:cs="Times New Roman"/>
          <w:color w:val="auto"/>
          <w:szCs w:val="21"/>
          <w:lang w:eastAsia="zh-CN"/>
        </w:rPr>
        <w:t>批准时间：2025年7月1日</w:t>
      </w:r>
      <w:r>
        <w:rPr>
          <w:rFonts w:ascii="Times New Roman" w:hAnsi="Times New Roman" w:eastAsia="宋体" w:cs="Times New Roman"/>
          <w:color w:val="auto"/>
          <w:sz w:val="24"/>
        </w:rPr>
        <w:br w:type="page"/>
      </w:r>
    </w:p>
    <w:p w14:paraId="58B90465">
      <w:pPr>
        <w:pStyle w:val="3"/>
        <w:rPr>
          <w:rFonts w:ascii="Times New Roman" w:hAnsi="Times New Roman"/>
          <w:color w:val="auto"/>
        </w:rPr>
      </w:pPr>
      <w:bookmarkStart w:id="37" w:name="_Toc25423"/>
      <w:r>
        <w:rPr>
          <w:rFonts w:hint="eastAsia"/>
          <w:color w:val="auto"/>
        </w:rPr>
        <w:t>《大学生职业生涯规划》课程教学大纲</w:t>
      </w:r>
      <w:bookmarkEnd w:id="37"/>
    </w:p>
    <w:p w14:paraId="4CEA746D">
      <w:pPr>
        <w:spacing w:line="360" w:lineRule="auto"/>
        <w:jc w:val="center"/>
        <w:rPr>
          <w:rFonts w:ascii="Times New Roman" w:hAnsi="Times New Roman" w:eastAsia="宋体" w:cs="Times New Roman"/>
          <w:b/>
          <w:bCs/>
          <w:color w:val="auto"/>
          <w:sz w:val="28"/>
          <w:szCs w:val="28"/>
        </w:rPr>
      </w:pPr>
      <w:r>
        <w:rPr>
          <w:rFonts w:hint="eastAsia" w:ascii="宋体" w:hAnsi="宋体" w:eastAsia="宋体" w:cs="Times New Roman"/>
          <w:b/>
          <w:bCs/>
          <w:color w:val="auto"/>
          <w:sz w:val="28"/>
          <w:szCs w:val="28"/>
        </w:rPr>
        <w:t>（Introduction to Professional Career Development）</w:t>
      </w:r>
    </w:p>
    <w:p w14:paraId="59815C5A">
      <w:pPr>
        <w:spacing w:line="360" w:lineRule="auto"/>
        <w:jc w:val="center"/>
        <w:rPr>
          <w:rFonts w:ascii="Times New Roman" w:hAnsi="Times New Roman" w:eastAsia="宋体" w:cs="Times New Roman"/>
          <w:bCs/>
          <w:color w:val="auto"/>
          <w:sz w:val="30"/>
          <w:szCs w:val="30"/>
        </w:rPr>
      </w:pPr>
      <w:r>
        <w:rPr>
          <w:rFonts w:ascii="Times New Roman" w:hAnsi="Times New Roman" w:eastAsia="宋体" w:cs="Times New Roman"/>
          <w:bCs/>
          <w:color w:val="auto"/>
          <w:sz w:val="30"/>
          <w:szCs w:val="30"/>
        </w:rPr>
        <w:t xml:space="preserve"> </w:t>
      </w:r>
    </w:p>
    <w:p w14:paraId="48BBAF9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课程名称：大学生职业生涯规划</w:t>
      </w:r>
    </w:p>
    <w:p w14:paraId="634D549B">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课程代码：0000006</w:t>
      </w:r>
    </w:p>
    <w:p w14:paraId="28B3A317">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分：</w:t>
      </w:r>
      <w:r>
        <w:rPr>
          <w:rFonts w:hint="eastAsia" w:ascii="Times New Roman" w:hAnsi="Times New Roman" w:eastAsia="宋体" w:cs="Times New Roman"/>
          <w:b/>
          <w:sz w:val="24"/>
        </w:rPr>
        <w:t>1</w:t>
      </w:r>
    </w:p>
    <w:p w14:paraId="0E84689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时：</w:t>
      </w:r>
      <w:r>
        <w:rPr>
          <w:rFonts w:hint="eastAsia" w:ascii="Times New Roman" w:hAnsi="Times New Roman" w:eastAsia="宋体" w:cs="Times New Roman"/>
          <w:b/>
          <w:sz w:val="24"/>
        </w:rPr>
        <w:t>16</w:t>
      </w:r>
      <w:r>
        <w:rPr>
          <w:rFonts w:ascii="Times New Roman" w:hAnsi="Times New Roman" w:eastAsia="宋体" w:cs="Times New Roman"/>
          <w:b/>
          <w:sz w:val="24"/>
        </w:rPr>
        <w:t xml:space="preserve"> （其中：讲授学时</w:t>
      </w:r>
      <w:r>
        <w:rPr>
          <w:rFonts w:hint="eastAsia" w:ascii="Times New Roman" w:hAnsi="Times New Roman" w:eastAsia="宋体" w:cs="Times New Roman"/>
          <w:b/>
          <w:sz w:val="24"/>
        </w:rPr>
        <w:t>16</w:t>
      </w:r>
      <w:r>
        <w:rPr>
          <w:rFonts w:ascii="Times New Roman" w:hAnsi="Times New Roman" w:eastAsia="宋体" w:cs="Times New Roman"/>
          <w:b/>
          <w:sz w:val="24"/>
        </w:rPr>
        <w:t>）</w:t>
      </w:r>
    </w:p>
    <w:p w14:paraId="08AD74C0">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先修课程：无</w:t>
      </w:r>
    </w:p>
    <w:p w14:paraId="0164A1F3">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适用专业：所有本科专业</w:t>
      </w:r>
    </w:p>
    <w:p w14:paraId="4981E087">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168F660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面向全体本科专业开设的通识必修课。通过本课程的学习，唤醒学生的生涯规划意识，并通过理论知识的讲解、生涯工具的使用，帮助学生明确性格类型，并进行初步的职业探索，对本专业今后的就业做出合理的职业发展规划，为后续专业课程及专业实践环节奠定基础。</w:t>
      </w:r>
    </w:p>
    <w:p w14:paraId="16493D7C">
      <w:pPr>
        <w:numPr>
          <w:ilvl w:val="0"/>
          <w:numId w:val="9"/>
        </w:numPr>
        <w:spacing w:before="62" w:beforeLines="20" w:after="62" w:afterLines="20" w:line="360" w:lineRule="auto"/>
        <w:ind w:left="0" w:leftChars="0" w:firstLine="482" w:firstLineChars="200"/>
        <w:jc w:val="left"/>
        <w:rPr>
          <w:rFonts w:ascii="Times New Roman" w:hAnsi="Times New Roman" w:eastAsia="宋体" w:cs="Times New Roman"/>
          <w:b/>
          <w:sz w:val="24"/>
        </w:rPr>
      </w:pPr>
      <w:r>
        <w:rPr>
          <w:rFonts w:ascii="Times New Roman" w:hAnsi="Times New Roman" w:eastAsia="宋体" w:cs="Times New Roman"/>
          <w:b/>
          <w:sz w:val="24"/>
        </w:rPr>
        <w:t>课程目标</w:t>
      </w:r>
    </w:p>
    <w:p w14:paraId="3D1DF988">
      <w:pPr>
        <w:widowControl w:val="0"/>
        <w:numPr>
          <w:ilvl w:val="0"/>
          <w:numId w:val="0"/>
        </w:numPr>
        <w:spacing w:before="62" w:beforeLines="20" w:after="62" w:afterLines="20" w:line="360" w:lineRule="auto"/>
        <w:ind w:firstLine="420" w:firstLineChars="200"/>
        <w:jc w:val="left"/>
        <w:rPr>
          <w:rFonts w:hint="eastAsia" w:ascii="Times New Roman" w:hAnsi="Times New Roman" w:eastAsia="宋体" w:cs="Times New Roman"/>
          <w:b/>
          <w:sz w:val="24"/>
          <w:lang w:val="en-US" w:eastAsia="zh-CN"/>
        </w:rPr>
      </w:pPr>
      <w:r>
        <w:rPr>
          <w:rFonts w:hint="eastAsia" w:ascii="Times New Roman" w:hAnsi="Times New Roman" w:eastAsia="宋体" w:cs="Times New Roman"/>
          <w:b w:val="0"/>
          <w:bCs/>
          <w:sz w:val="21"/>
          <w:szCs w:val="21"/>
          <w:lang w:val="en-US" w:eastAsia="zh-CN"/>
        </w:rPr>
        <w:t>目标1：构建大学生职业生涯发展的基础理论体系，使学生掌握职业生涯规划的基础知识和常用方法，树立正确的职业理想和职业观、择业观、创业观以及成才观。帮助学生从职业的角度了解所学专业、了解个人特点、了解社会需要，树立正确的成才观，立足本人实际，把个人发展和经济社会发展结合起来，热爱专业，增强职业生涯成功的自信心</w:t>
      </w:r>
      <w:r>
        <w:rPr>
          <w:rFonts w:hint="eastAsia" w:ascii="Times New Roman" w:hAnsi="Times New Roman" w:eastAsia="宋体" w:cs="Times New Roman"/>
          <w:b/>
          <w:sz w:val="24"/>
          <w:lang w:val="en-US" w:eastAsia="zh-CN"/>
        </w:rPr>
        <w:t>。</w:t>
      </w:r>
    </w:p>
    <w:p w14:paraId="24AA930F">
      <w:pPr>
        <w:widowControl w:val="0"/>
        <w:numPr>
          <w:ilvl w:val="0"/>
          <w:numId w:val="0"/>
        </w:numPr>
        <w:spacing w:before="62" w:beforeLines="20" w:after="62" w:afterLines="20" w:line="360" w:lineRule="auto"/>
        <w:ind w:firstLine="420" w:firstLineChars="200"/>
        <w:jc w:val="left"/>
        <w:rPr>
          <w:rFonts w:hint="default" w:ascii="Times New Roman" w:hAnsi="Times New Roman" w:eastAsia="宋体" w:cs="Times New Roman"/>
          <w:b/>
          <w:sz w:val="24"/>
          <w:lang w:val="en-US" w:eastAsia="zh-CN"/>
        </w:rPr>
      </w:pPr>
      <w:r>
        <w:rPr>
          <w:rFonts w:hint="eastAsia" w:ascii="宋体" w:hAnsi="宋体" w:eastAsia="宋体" w:cs="宋体"/>
          <w:b w:val="0"/>
          <w:bCs w:val="0"/>
          <w:kern w:val="0"/>
          <w:sz w:val="21"/>
          <w:szCs w:val="21"/>
          <w:lang w:val="zh-CN" w:bidi="zh-CN"/>
        </w:rPr>
        <w:t>目标2</w:t>
      </w:r>
      <w:r>
        <w:rPr>
          <w:rFonts w:hint="eastAsia" w:ascii="宋体" w:hAnsi="宋体" w:eastAsia="宋体" w:cs="宋体"/>
          <w:kern w:val="0"/>
          <w:sz w:val="21"/>
          <w:szCs w:val="21"/>
          <w:lang w:val="zh-CN" w:bidi="zh-CN"/>
        </w:rPr>
        <w:t>：通过职业生涯教育校内外导师的分别授课及生涯基地（企业）的参观体验，打造理论教学与实践教学相结合的双课堂模式。形成职业生涯规划的能力，增强提高职业素质和职业能力的自觉性，使学生理解职业生涯规划管理和调整对实现职业理想的重要性，明确在校学习与终身学习、职业生涯发展的关系，引导学生根据经济社会发展和自身条件变化，对职业生涯规划进行科学管理与适时调整。</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6237"/>
        <w:gridCol w:w="1327"/>
      </w:tblGrid>
      <w:tr w14:paraId="5F0D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4BF08A77">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237" w:type="dxa"/>
            <w:vAlign w:val="center"/>
          </w:tcPr>
          <w:p w14:paraId="52454A6D">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327" w:type="dxa"/>
            <w:vAlign w:val="center"/>
          </w:tcPr>
          <w:p w14:paraId="1C1FB53B">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016C6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34B17A21">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毕业要求</w:t>
            </w:r>
            <w:r>
              <w:rPr>
                <w:rFonts w:ascii="Times New Roman" w:hAnsi="Times New Roman" w:eastAsia="宋体" w:cs="Times New Roman"/>
                <w:color w:val="auto"/>
                <w:szCs w:val="21"/>
              </w:rPr>
              <w:t>1：师德规范</w:t>
            </w:r>
          </w:p>
        </w:tc>
        <w:tc>
          <w:tcPr>
            <w:tcW w:w="6237" w:type="dxa"/>
            <w:vAlign w:val="center"/>
          </w:tcPr>
          <w:p w14:paraId="7B0A8CBE">
            <w:pPr>
              <w:widowControl/>
              <w:autoSpaceDE w:val="0"/>
              <w:autoSpaceDN w:val="0"/>
              <w:rPr>
                <w:rFonts w:hint="eastAsia" w:eastAsiaTheme="minorEastAsia"/>
                <w:color w:val="auto"/>
                <w:kern w:val="0"/>
                <w:szCs w:val="21"/>
                <w:lang w:eastAsia="zh-CN"/>
              </w:rPr>
            </w:pPr>
            <w:r>
              <w:rPr>
                <w:rFonts w:hint="eastAsia" w:ascii="宋体" w:hAnsi="宋体" w:cs="宋体"/>
                <w:color w:val="auto"/>
                <w:kern w:val="0"/>
                <w:szCs w:val="21"/>
                <w:lang w:eastAsia="zh-CN"/>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327" w:type="dxa"/>
            <w:vAlign w:val="center"/>
          </w:tcPr>
          <w:p w14:paraId="5062BA4A">
            <w:pPr>
              <w:spacing w:line="276"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p>
          <w:p w14:paraId="5CFAC5C3">
            <w:pPr>
              <w:spacing w:line="276" w:lineRule="auto"/>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1</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2</w:t>
            </w:r>
          </w:p>
        </w:tc>
      </w:tr>
      <w:tr w14:paraId="23A9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3D55CC3A">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毕业要求</w:t>
            </w:r>
            <w:r>
              <w:rPr>
                <w:rFonts w:ascii="Times New Roman" w:hAnsi="Times New Roman" w:eastAsia="宋体" w:cs="Times New Roman"/>
                <w:color w:val="auto"/>
                <w:szCs w:val="21"/>
              </w:rPr>
              <w:t>2：教育情怀</w:t>
            </w:r>
          </w:p>
        </w:tc>
        <w:tc>
          <w:tcPr>
            <w:tcW w:w="6237" w:type="dxa"/>
            <w:vAlign w:val="center"/>
          </w:tcPr>
          <w:p w14:paraId="033713DF">
            <w:pPr>
              <w:spacing w:line="276" w:lineRule="auto"/>
              <w:jc w:val="left"/>
              <w:rPr>
                <w:rFonts w:hint="eastAsia" w:ascii="Times New Roman" w:hAnsi="Times New Roman" w:eastAsia="宋体" w:cs="Times New Roman"/>
                <w:color w:val="auto"/>
                <w:szCs w:val="21"/>
                <w:lang w:eastAsia="zh-CN"/>
              </w:rPr>
            </w:pPr>
            <w:r>
              <w:rPr>
                <w:rFonts w:hint="eastAsia" w:ascii="宋体" w:hAnsi="宋体" w:eastAsia="宋体" w:cs="宋体"/>
                <w:color w:val="auto"/>
                <w:kern w:val="0"/>
                <w:szCs w:val="21"/>
                <w:lang w:eastAsia="zh-CN"/>
              </w:rPr>
              <w:t>指标点2-1：【职业认同感强】具有家国情怀，热爱教育事业，秉持“坚忍诚勇，立己达人”的师范精神，践行教育家精神，乐于从教，热爱教育事业，具有较高的教师职业认同感，认同教师职业的意义、价值与专业性。</w:t>
            </w:r>
          </w:p>
        </w:tc>
        <w:tc>
          <w:tcPr>
            <w:tcW w:w="1327" w:type="dxa"/>
            <w:vAlign w:val="center"/>
          </w:tcPr>
          <w:p w14:paraId="56E21FAB">
            <w:pPr>
              <w:spacing w:line="276"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p>
          <w:p w14:paraId="0066298F">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w:t>
            </w:r>
            <w:r>
              <w:rPr>
                <w:rFonts w:ascii="Times New Roman" w:hAnsi="Times New Roman" w:eastAsia="宋体" w:cs="Times New Roman"/>
                <w:color w:val="auto"/>
                <w:szCs w:val="21"/>
              </w:rPr>
              <w:t>2</w:t>
            </w:r>
          </w:p>
        </w:tc>
      </w:tr>
      <w:tr w14:paraId="62E5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65943D3A">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毕业要求</w:t>
            </w:r>
            <w:r>
              <w:rPr>
                <w:rFonts w:ascii="Times New Roman" w:hAnsi="Times New Roman" w:eastAsia="宋体" w:cs="Times New Roman"/>
                <w:color w:val="auto"/>
                <w:szCs w:val="21"/>
              </w:rPr>
              <w:t>7</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学会反思</w:t>
            </w:r>
          </w:p>
        </w:tc>
        <w:tc>
          <w:tcPr>
            <w:tcW w:w="6237" w:type="dxa"/>
            <w:vAlign w:val="center"/>
          </w:tcPr>
          <w:p w14:paraId="5EDF161B">
            <w:pPr>
              <w:spacing w:line="276" w:lineRule="auto"/>
              <w:jc w:val="left"/>
              <w:rPr>
                <w:rFonts w:ascii="Times New Roman" w:hAnsi="Times New Roman" w:eastAsia="宋体" w:cs="Times New Roman"/>
                <w:color w:val="auto"/>
                <w:szCs w:val="21"/>
              </w:rPr>
            </w:pPr>
            <w:r>
              <w:rPr>
                <w:rFonts w:hint="eastAsia" w:ascii="宋体" w:hAnsi="宋体" w:eastAsia="宋体" w:cs="Times New Roman"/>
                <w:color w:val="auto"/>
                <w:spacing w:val="2"/>
                <w:kern w:val="0"/>
                <w:szCs w:val="21"/>
              </w:rPr>
              <w:t>指标点</w:t>
            </w:r>
            <w:r>
              <w:rPr>
                <w:rFonts w:ascii="宋体" w:hAnsi="宋体" w:eastAsia="宋体" w:cs="Times New Roman"/>
                <w:color w:val="auto"/>
                <w:spacing w:val="2"/>
                <w:kern w:val="0"/>
                <w:szCs w:val="21"/>
              </w:rPr>
              <w:t>7-2：【职业规划合理】了解教师专业发展的要求，形成终身学习的意识和习惯，注重自身的专业发展，根据基础教育课程改革的动态和发展情况，进行职业生涯规划和自主学习。</w:t>
            </w:r>
          </w:p>
        </w:tc>
        <w:tc>
          <w:tcPr>
            <w:tcW w:w="1327" w:type="dxa"/>
            <w:vAlign w:val="center"/>
          </w:tcPr>
          <w:p w14:paraId="2CAADF77">
            <w:pPr>
              <w:spacing w:line="276"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p>
          <w:p w14:paraId="1BB27FCF">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w:t>
            </w:r>
          </w:p>
        </w:tc>
      </w:tr>
    </w:tbl>
    <w:p w14:paraId="45891C69">
      <w:pPr>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outlineLvl w:val="1"/>
        <w:rPr>
          <w:rFonts w:hint="eastAsia" w:ascii="宋体" w:hAnsi="宋体" w:eastAsia="宋体" w:cs="宋体"/>
          <w:b/>
          <w:bCs/>
          <w:kern w:val="0"/>
          <w:sz w:val="24"/>
          <w:szCs w:val="24"/>
          <w:lang w:val="zh-CN" w:eastAsia="zh-CN" w:bidi="zh-CN"/>
        </w:rPr>
      </w:pPr>
      <w:bookmarkStart w:id="38" w:name="_Toc11322"/>
      <w:r>
        <w:rPr>
          <w:rFonts w:hint="eastAsia" w:ascii="宋体" w:hAnsi="宋体" w:eastAsia="宋体" w:cs="宋体"/>
          <w:b/>
          <w:bCs/>
          <w:kern w:val="0"/>
          <w:sz w:val="24"/>
          <w:szCs w:val="24"/>
          <w:lang w:val="zh-CN" w:eastAsia="zh-CN" w:bidi="zh-CN"/>
        </w:rPr>
        <w:t>三、课程内容及要求</w:t>
      </w:r>
      <w:bookmarkEnd w:id="38"/>
    </w:p>
    <w:p w14:paraId="0FB91065">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2" w:firstLineChars="200"/>
        <w:jc w:val="both"/>
        <w:textAlignment w:val="auto"/>
        <w:rPr>
          <w:rFonts w:hint="eastAsia" w:ascii="宋体" w:hAnsi="宋体" w:eastAsia="宋体" w:cs="宋体"/>
          <w:b/>
          <w:kern w:val="0"/>
          <w:sz w:val="21"/>
          <w:szCs w:val="21"/>
          <w:lang w:val="en-US" w:eastAsia="zh-CN" w:bidi="zh-CN"/>
        </w:rPr>
      </w:pPr>
      <w:r>
        <w:rPr>
          <w:rFonts w:hint="eastAsia" w:ascii="宋体" w:hAnsi="宋体" w:eastAsia="宋体" w:cs="宋体"/>
          <w:b/>
          <w:kern w:val="0"/>
          <w:sz w:val="21"/>
          <w:szCs w:val="21"/>
          <w:lang w:val="en-US" w:eastAsia="zh-CN" w:bidi="zh-CN"/>
        </w:rPr>
        <w:t>（一）觉知与承诺</w:t>
      </w:r>
    </w:p>
    <w:p w14:paraId="32A7E643">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0" w:firstLineChars="200"/>
        <w:jc w:val="both"/>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1.基本内容：什么是职业生涯规划（What）、职业生涯规划对人生的意义（Why）、系统职业生涯规划的方法（How）。</w:t>
      </w:r>
    </w:p>
    <w:p w14:paraId="77320E4C">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0" w:firstLineChars="200"/>
        <w:jc w:val="both"/>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2.基本要求: 讲解生涯规划的基本理念、明确学生生涯规划任务。</w:t>
      </w:r>
    </w:p>
    <w:p w14:paraId="07E0A4DD">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0" w:firstLineChars="200"/>
        <w:jc w:val="both"/>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3.重点：帮助引起学生的自我规划意识。</w:t>
      </w:r>
    </w:p>
    <w:p w14:paraId="66AFB205">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2" w:firstLineChars="200"/>
        <w:jc w:val="both"/>
        <w:textAlignment w:val="auto"/>
        <w:rPr>
          <w:rFonts w:hint="eastAsia" w:ascii="宋体" w:hAnsi="宋体" w:eastAsia="宋体" w:cs="宋体"/>
          <w:b/>
          <w:kern w:val="0"/>
          <w:sz w:val="21"/>
          <w:szCs w:val="21"/>
          <w:lang w:val="en-US" w:eastAsia="zh-CN" w:bidi="zh-CN"/>
        </w:rPr>
      </w:pPr>
      <w:r>
        <w:rPr>
          <w:rFonts w:hint="eastAsia" w:ascii="宋体" w:hAnsi="宋体" w:eastAsia="宋体" w:cs="宋体"/>
          <w:b/>
          <w:kern w:val="0"/>
          <w:sz w:val="21"/>
          <w:szCs w:val="21"/>
          <w:lang w:val="en-US" w:eastAsia="zh-CN" w:bidi="zh-CN"/>
        </w:rPr>
        <w:t>（二）兴趣探索与性格探索</w:t>
      </w:r>
    </w:p>
    <w:p w14:paraId="05ACFBC1">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0" w:firstLineChars="200"/>
        <w:jc w:val="both"/>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1.基本内容：兴趣与技能、职业兴趣的分类、职业兴趣与职业匹配、职业兴趣的评估方式；性格的定义、性格的分类、性格与职业的匹配、性格的评估方式。</w:t>
      </w:r>
    </w:p>
    <w:p w14:paraId="1C0D8A1B">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0" w:firstLineChars="200"/>
        <w:jc w:val="both"/>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2.基本要求：掌握至少一种探索兴趣的方式和方法、分清兴趣与技能之间的关系；明确学习性格的意义、帮助学生明确性格探索和未来职业选择之间的关系、正确认识性格及进行性格评估。</w:t>
      </w:r>
    </w:p>
    <w:p w14:paraId="335ABCBE">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0" w:firstLineChars="200"/>
        <w:jc w:val="both"/>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3.重点：掌握霍兰德职业兴趣理论和职业指导价值；尝试进行MBTI职业性格测试及人格分析。</w:t>
      </w:r>
    </w:p>
    <w:p w14:paraId="50EF3474">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2" w:firstLineChars="200"/>
        <w:jc w:val="both"/>
        <w:textAlignment w:val="auto"/>
        <w:rPr>
          <w:rFonts w:hint="eastAsia" w:ascii="宋体" w:hAnsi="宋体" w:eastAsia="宋体" w:cs="宋体"/>
          <w:b/>
          <w:kern w:val="0"/>
          <w:sz w:val="21"/>
          <w:szCs w:val="21"/>
          <w:lang w:val="en-US" w:eastAsia="zh-CN" w:bidi="zh-CN"/>
        </w:rPr>
      </w:pPr>
      <w:r>
        <w:rPr>
          <w:rFonts w:hint="eastAsia" w:ascii="宋体" w:hAnsi="宋体" w:eastAsia="宋体" w:cs="宋体"/>
          <w:b/>
          <w:kern w:val="0"/>
          <w:sz w:val="21"/>
          <w:szCs w:val="21"/>
          <w:lang w:val="en-US" w:eastAsia="zh-CN" w:bidi="zh-CN"/>
        </w:rPr>
        <w:t>（三）技能探索、价值观探索与工作世界探索</w:t>
      </w:r>
    </w:p>
    <w:p w14:paraId="07C2EC22">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0" w:firstLineChars="200"/>
        <w:jc w:val="both"/>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1.基本内容：技能的概念、技能与职业匹配；什么是价值观、价值观与需要、价值观与职业匹配。明确收集职业信息的方法、学会指导学生利用生涯人物访谈来获取职业信息，指导职业选择。</w:t>
      </w:r>
    </w:p>
    <w:p w14:paraId="3292D0C1">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0" w:firstLineChars="200"/>
        <w:jc w:val="both"/>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2.基本要求：技能的评估方式、价值观的评估方式、帮助学生认识到价值观对个人职业选择和发展的影响、让学生认识价值观与个人需要及人生不同阶段目标之间的关系；掌握激发学生职业好奇，引导学生拓展职业视野的方法，调动学生探索职业世界的积极性、主动性。</w:t>
      </w:r>
    </w:p>
    <w:p w14:paraId="57959316">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0" w:firstLineChars="200"/>
        <w:jc w:val="both"/>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3.重点：能够帮助学生澄清自我技能和未来技能的发展方向、知道如何借助价值观交换等活动对价值观进行澄清和排序；帮助学生认识到学习实践的生涯价值，指导学生通过实习实践深化职业体验，验证职业偏好。</w:t>
      </w:r>
    </w:p>
    <w:p w14:paraId="7772BA6C">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2" w:firstLineChars="200"/>
        <w:jc w:val="both"/>
        <w:textAlignment w:val="auto"/>
        <w:rPr>
          <w:rFonts w:hint="eastAsia" w:ascii="宋体" w:hAnsi="宋体" w:eastAsia="宋体" w:cs="宋体"/>
          <w:b/>
          <w:kern w:val="0"/>
          <w:sz w:val="21"/>
          <w:szCs w:val="21"/>
          <w:lang w:val="en-US" w:eastAsia="zh-CN" w:bidi="zh-CN"/>
        </w:rPr>
      </w:pPr>
      <w:r>
        <w:rPr>
          <w:rFonts w:hint="eastAsia" w:ascii="宋体" w:hAnsi="宋体" w:eastAsia="宋体" w:cs="宋体"/>
          <w:b/>
          <w:kern w:val="0"/>
          <w:sz w:val="21"/>
          <w:szCs w:val="21"/>
          <w:lang w:val="en-US" w:eastAsia="zh-CN" w:bidi="zh-CN"/>
        </w:rPr>
        <w:t>（四）决策、行动与学业规划</w:t>
      </w:r>
    </w:p>
    <w:p w14:paraId="4365AE80">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0" w:firstLineChars="200"/>
        <w:jc w:val="both"/>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1.基本内容：理解决策内涵及影响决策的因素；指导学生全方位进行学业规划，掌握学业规划的维度、原则与步骤。指导学生撰写生涯规划书。</w:t>
      </w:r>
    </w:p>
    <w:p w14:paraId="35C3CE02">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0" w:firstLineChars="200"/>
        <w:jc w:val="both"/>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2.基本要求：帮助学生在前期探索的基础上，确立大学期间的学业目标，将客观信息与主管直觉、现实制约与未来可能、价值收获与风险责任结合起来做出决策，做出全面系统的学业规划安排。</w:t>
      </w:r>
    </w:p>
    <w:p w14:paraId="2A9F6994">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0" w:firstLineChars="200"/>
        <w:jc w:val="both"/>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3.重点：指导学生用SMART原则确立目标，并制定短、中、长期计划；撰写职业生涯规划书。</w:t>
      </w:r>
    </w:p>
    <w:p w14:paraId="0F2E034D">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2" w:firstLineChars="200"/>
        <w:jc w:val="both"/>
        <w:textAlignment w:val="auto"/>
        <w:rPr>
          <w:rFonts w:hint="eastAsia" w:ascii="宋体" w:hAnsi="宋体" w:eastAsia="宋体" w:cs="宋体"/>
          <w:b/>
          <w:kern w:val="0"/>
          <w:sz w:val="21"/>
          <w:szCs w:val="21"/>
          <w:lang w:val="en-US" w:eastAsia="zh-CN" w:bidi="zh-CN"/>
        </w:rPr>
      </w:pPr>
      <w:r>
        <w:rPr>
          <w:rFonts w:hint="eastAsia" w:ascii="宋体" w:hAnsi="宋体" w:eastAsia="宋体" w:cs="宋体"/>
          <w:b/>
          <w:kern w:val="0"/>
          <w:sz w:val="21"/>
          <w:szCs w:val="21"/>
          <w:lang w:val="en-US" w:eastAsia="zh-CN" w:bidi="zh-CN"/>
        </w:rPr>
        <w:t>（五）专家讲座</w:t>
      </w:r>
    </w:p>
    <w:p w14:paraId="74AC4B3E">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0" w:firstLineChars="200"/>
        <w:jc w:val="both"/>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可以邀请职业生涯校外导师、成功校友企业家、资深企业HR为学生开展讲座。</w:t>
      </w:r>
    </w:p>
    <w:p w14:paraId="29D334E7">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2" w:firstLineChars="200"/>
        <w:jc w:val="both"/>
        <w:textAlignment w:val="auto"/>
        <w:rPr>
          <w:rFonts w:hint="eastAsia" w:ascii="宋体" w:hAnsi="宋体" w:eastAsia="宋体" w:cs="宋体"/>
          <w:b/>
          <w:kern w:val="0"/>
          <w:sz w:val="21"/>
          <w:szCs w:val="21"/>
          <w:lang w:val="en-US" w:eastAsia="zh-CN" w:bidi="zh-CN"/>
        </w:rPr>
      </w:pPr>
      <w:r>
        <w:rPr>
          <w:rFonts w:hint="eastAsia" w:ascii="宋体" w:hAnsi="宋体" w:eastAsia="宋体" w:cs="宋体"/>
          <w:b/>
          <w:kern w:val="0"/>
          <w:sz w:val="21"/>
          <w:szCs w:val="21"/>
          <w:lang w:val="en-US" w:eastAsia="zh-CN" w:bidi="zh-CN"/>
        </w:rPr>
        <w:t>（六）实践教学</w:t>
      </w:r>
    </w:p>
    <w:p w14:paraId="068C37E7">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0" w:firstLineChars="200"/>
        <w:jc w:val="both"/>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参观职业生涯实践基地；观看符合教学内容及教学需求的视频、影片等。</w:t>
      </w:r>
    </w:p>
    <w:p w14:paraId="762379A8">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0" w:firstLineChars="200"/>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zh-CN" w:eastAsia="zh-CN" w:bidi="zh-CN"/>
        </w:rPr>
        <w:t>教学内容与课程目标的对应关系及学时分配如表所示</w:t>
      </w:r>
    </w:p>
    <w:tbl>
      <w:tblPr>
        <w:tblStyle w:val="15"/>
        <w:tblW w:w="0" w:type="auto"/>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6663"/>
        <w:gridCol w:w="1134"/>
      </w:tblGrid>
      <w:tr w14:paraId="06765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3" w:type="dxa"/>
            <w:vAlign w:val="center"/>
          </w:tcPr>
          <w:p w14:paraId="5D241F46">
            <w:pPr>
              <w:widowControl w:val="0"/>
              <w:autoSpaceDE w:val="0"/>
              <w:autoSpaceDN w:val="0"/>
              <w:spacing w:before="178" w:line="240" w:lineRule="auto"/>
              <w:ind w:left="139" w:right="130"/>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序号</w:t>
            </w:r>
          </w:p>
        </w:tc>
        <w:tc>
          <w:tcPr>
            <w:tcW w:w="6663" w:type="dxa"/>
            <w:vAlign w:val="center"/>
          </w:tcPr>
          <w:p w14:paraId="7A4B3152">
            <w:pPr>
              <w:widowControl w:val="0"/>
              <w:autoSpaceDE w:val="0"/>
              <w:autoSpaceDN w:val="0"/>
              <w:spacing w:before="43" w:line="240" w:lineRule="auto"/>
              <w:ind w:left="88" w:right="75"/>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教学内容</w:t>
            </w:r>
          </w:p>
        </w:tc>
        <w:tc>
          <w:tcPr>
            <w:tcW w:w="1134" w:type="dxa"/>
            <w:vAlign w:val="center"/>
          </w:tcPr>
          <w:p w14:paraId="58D4A375">
            <w:pPr>
              <w:widowControl w:val="0"/>
              <w:autoSpaceDE w:val="0"/>
              <w:autoSpaceDN w:val="0"/>
              <w:spacing w:before="22" w:line="240" w:lineRule="auto"/>
              <w:ind w:left="149"/>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讲授学时</w:t>
            </w:r>
          </w:p>
        </w:tc>
      </w:tr>
      <w:tr w14:paraId="68D68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003" w:type="dxa"/>
            <w:vAlign w:val="center"/>
          </w:tcPr>
          <w:p w14:paraId="48641E92">
            <w:pPr>
              <w:widowControl w:val="0"/>
              <w:autoSpaceDE w:val="0"/>
              <w:autoSpaceDN w:val="0"/>
              <w:spacing w:before="112" w:line="240" w:lineRule="auto"/>
              <w:ind w:left="11"/>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1</w:t>
            </w:r>
          </w:p>
        </w:tc>
        <w:tc>
          <w:tcPr>
            <w:tcW w:w="6663" w:type="dxa"/>
            <w:vAlign w:val="center"/>
          </w:tcPr>
          <w:p w14:paraId="722A1766">
            <w:pPr>
              <w:widowControl w:val="0"/>
              <w:autoSpaceDE w:val="0"/>
              <w:autoSpaceDN w:val="0"/>
              <w:spacing w:before="106" w:line="240" w:lineRule="auto"/>
              <w:ind w:left="87" w:right="75"/>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内容（一）认识职业生涯规划</w:t>
            </w:r>
          </w:p>
        </w:tc>
        <w:tc>
          <w:tcPr>
            <w:tcW w:w="1134" w:type="dxa"/>
            <w:vAlign w:val="center"/>
          </w:tcPr>
          <w:p w14:paraId="55EB5B3C">
            <w:pPr>
              <w:widowControl w:val="0"/>
              <w:autoSpaceDE w:val="0"/>
              <w:autoSpaceDN w:val="0"/>
              <w:spacing w:before="112" w:line="240" w:lineRule="auto"/>
              <w:ind w:right="291"/>
              <w:jc w:val="center"/>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 xml:space="preserve">  2</w:t>
            </w:r>
          </w:p>
        </w:tc>
      </w:tr>
      <w:tr w14:paraId="78CA1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1D9AD9BB">
            <w:pPr>
              <w:widowControl w:val="0"/>
              <w:autoSpaceDE w:val="0"/>
              <w:autoSpaceDN w:val="0"/>
              <w:spacing w:before="107" w:line="240" w:lineRule="auto"/>
              <w:ind w:left="11"/>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2</w:t>
            </w:r>
          </w:p>
        </w:tc>
        <w:tc>
          <w:tcPr>
            <w:tcW w:w="6663" w:type="dxa"/>
            <w:vAlign w:val="center"/>
          </w:tcPr>
          <w:p w14:paraId="7ACC60F4">
            <w:pPr>
              <w:widowControl w:val="0"/>
              <w:autoSpaceDE w:val="0"/>
              <w:autoSpaceDN w:val="0"/>
              <w:spacing w:before="107" w:line="240" w:lineRule="auto"/>
              <w:ind w:left="84" w:right="75"/>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内容（二）职业兴趣</w:t>
            </w:r>
          </w:p>
        </w:tc>
        <w:tc>
          <w:tcPr>
            <w:tcW w:w="1134" w:type="dxa"/>
            <w:vAlign w:val="center"/>
          </w:tcPr>
          <w:p w14:paraId="110D6DEB">
            <w:pPr>
              <w:widowControl w:val="0"/>
              <w:autoSpaceDE w:val="0"/>
              <w:autoSpaceDN w:val="0"/>
              <w:spacing w:before="107" w:line="240" w:lineRule="auto"/>
              <w:ind w:right="291"/>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en-US" w:eastAsia="zh-CN" w:bidi="zh-CN"/>
              </w:rPr>
              <w:t xml:space="preserve">  2</w:t>
            </w:r>
          </w:p>
        </w:tc>
      </w:tr>
      <w:tr w14:paraId="372F0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003" w:type="dxa"/>
            <w:vAlign w:val="center"/>
          </w:tcPr>
          <w:p w14:paraId="28CBA09E">
            <w:pPr>
              <w:widowControl w:val="0"/>
              <w:autoSpaceDE w:val="0"/>
              <w:autoSpaceDN w:val="0"/>
              <w:spacing w:before="107" w:line="240" w:lineRule="auto"/>
              <w:ind w:left="11"/>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3</w:t>
            </w:r>
          </w:p>
        </w:tc>
        <w:tc>
          <w:tcPr>
            <w:tcW w:w="6663" w:type="dxa"/>
            <w:vAlign w:val="center"/>
          </w:tcPr>
          <w:p w14:paraId="6BD83A06">
            <w:pPr>
              <w:widowControl w:val="0"/>
              <w:autoSpaceDE w:val="0"/>
              <w:autoSpaceDN w:val="0"/>
              <w:spacing w:before="25" w:line="240" w:lineRule="auto"/>
              <w:ind w:left="87" w:right="75"/>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内容（三）职业性格</w:t>
            </w:r>
          </w:p>
        </w:tc>
        <w:tc>
          <w:tcPr>
            <w:tcW w:w="1134" w:type="dxa"/>
            <w:vAlign w:val="center"/>
          </w:tcPr>
          <w:p w14:paraId="1FA2EC7A">
            <w:pPr>
              <w:widowControl w:val="0"/>
              <w:autoSpaceDE w:val="0"/>
              <w:autoSpaceDN w:val="0"/>
              <w:spacing w:before="107" w:line="240" w:lineRule="auto"/>
              <w:ind w:right="291"/>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en-US" w:eastAsia="zh-CN" w:bidi="zh-CN"/>
              </w:rPr>
              <w:t xml:space="preserve">  2</w:t>
            </w:r>
          </w:p>
        </w:tc>
      </w:tr>
      <w:tr w14:paraId="0B8AC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03" w:type="dxa"/>
            <w:vAlign w:val="center"/>
          </w:tcPr>
          <w:p w14:paraId="2093CAC7">
            <w:pPr>
              <w:widowControl w:val="0"/>
              <w:autoSpaceDE w:val="0"/>
              <w:autoSpaceDN w:val="0"/>
              <w:spacing w:before="112" w:line="240" w:lineRule="auto"/>
              <w:ind w:left="11"/>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4</w:t>
            </w:r>
          </w:p>
        </w:tc>
        <w:tc>
          <w:tcPr>
            <w:tcW w:w="6663" w:type="dxa"/>
            <w:vAlign w:val="center"/>
          </w:tcPr>
          <w:p w14:paraId="61C4898B">
            <w:pPr>
              <w:widowControl w:val="0"/>
              <w:autoSpaceDE w:val="0"/>
              <w:autoSpaceDN w:val="0"/>
              <w:spacing w:before="22" w:line="240" w:lineRule="auto"/>
              <w:ind w:left="87" w:right="75"/>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内容（四）职业技能</w:t>
            </w:r>
          </w:p>
        </w:tc>
        <w:tc>
          <w:tcPr>
            <w:tcW w:w="1134" w:type="dxa"/>
            <w:vAlign w:val="center"/>
          </w:tcPr>
          <w:p w14:paraId="11DF6938">
            <w:pPr>
              <w:widowControl w:val="0"/>
              <w:autoSpaceDE w:val="0"/>
              <w:autoSpaceDN w:val="0"/>
              <w:spacing w:before="112" w:line="240" w:lineRule="auto"/>
              <w:ind w:right="291"/>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en-US" w:eastAsia="zh-CN" w:bidi="zh-CN"/>
              </w:rPr>
              <w:t xml:space="preserve">  2</w:t>
            </w:r>
          </w:p>
        </w:tc>
      </w:tr>
      <w:tr w14:paraId="7223A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7164273E">
            <w:pPr>
              <w:widowControl w:val="0"/>
              <w:autoSpaceDE w:val="0"/>
              <w:autoSpaceDN w:val="0"/>
              <w:spacing w:before="104" w:line="240" w:lineRule="auto"/>
              <w:ind w:left="11"/>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5</w:t>
            </w:r>
          </w:p>
        </w:tc>
        <w:tc>
          <w:tcPr>
            <w:tcW w:w="6663" w:type="dxa"/>
            <w:vAlign w:val="center"/>
          </w:tcPr>
          <w:p w14:paraId="4BFB2138">
            <w:pPr>
              <w:widowControl w:val="0"/>
              <w:autoSpaceDE w:val="0"/>
              <w:autoSpaceDN w:val="0"/>
              <w:spacing w:before="22" w:line="240" w:lineRule="auto"/>
              <w:ind w:left="87" w:right="75"/>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内容（五）价值观</w:t>
            </w:r>
          </w:p>
        </w:tc>
        <w:tc>
          <w:tcPr>
            <w:tcW w:w="1134" w:type="dxa"/>
            <w:vAlign w:val="center"/>
          </w:tcPr>
          <w:p w14:paraId="60FDDA6C">
            <w:pPr>
              <w:widowControl w:val="0"/>
              <w:autoSpaceDE w:val="0"/>
              <w:autoSpaceDN w:val="0"/>
              <w:spacing w:before="104" w:line="240" w:lineRule="auto"/>
              <w:ind w:right="291"/>
              <w:jc w:val="center"/>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 xml:space="preserve">  2</w:t>
            </w:r>
          </w:p>
        </w:tc>
      </w:tr>
      <w:tr w14:paraId="3966C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057D78A3">
            <w:pPr>
              <w:widowControl w:val="0"/>
              <w:autoSpaceDE w:val="0"/>
              <w:autoSpaceDN w:val="0"/>
              <w:spacing w:before="104" w:line="240" w:lineRule="auto"/>
              <w:ind w:left="11"/>
              <w:jc w:val="center"/>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6</w:t>
            </w:r>
          </w:p>
        </w:tc>
        <w:tc>
          <w:tcPr>
            <w:tcW w:w="6663" w:type="dxa"/>
            <w:vAlign w:val="center"/>
          </w:tcPr>
          <w:p w14:paraId="112B6234">
            <w:pPr>
              <w:widowControl w:val="0"/>
              <w:autoSpaceDE w:val="0"/>
              <w:autoSpaceDN w:val="0"/>
              <w:spacing w:before="22" w:line="240" w:lineRule="auto"/>
              <w:ind w:left="87" w:right="75"/>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内容（六）探索外部世界</w:t>
            </w:r>
          </w:p>
        </w:tc>
        <w:tc>
          <w:tcPr>
            <w:tcW w:w="1134" w:type="dxa"/>
            <w:vAlign w:val="center"/>
          </w:tcPr>
          <w:p w14:paraId="6DA5637F">
            <w:pPr>
              <w:widowControl w:val="0"/>
              <w:autoSpaceDE w:val="0"/>
              <w:autoSpaceDN w:val="0"/>
              <w:spacing w:before="104" w:line="240" w:lineRule="auto"/>
              <w:ind w:right="291"/>
              <w:jc w:val="center"/>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 xml:space="preserve">  2</w:t>
            </w:r>
          </w:p>
        </w:tc>
      </w:tr>
      <w:tr w14:paraId="612EC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1F356F10">
            <w:pPr>
              <w:widowControl w:val="0"/>
              <w:autoSpaceDE w:val="0"/>
              <w:autoSpaceDN w:val="0"/>
              <w:spacing w:before="104" w:line="240" w:lineRule="auto"/>
              <w:ind w:left="11"/>
              <w:jc w:val="center"/>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7</w:t>
            </w:r>
          </w:p>
        </w:tc>
        <w:tc>
          <w:tcPr>
            <w:tcW w:w="6663" w:type="dxa"/>
            <w:vAlign w:val="center"/>
          </w:tcPr>
          <w:p w14:paraId="2D47A91B">
            <w:pPr>
              <w:widowControl w:val="0"/>
              <w:autoSpaceDE w:val="0"/>
              <w:autoSpaceDN w:val="0"/>
              <w:spacing w:before="22" w:line="240" w:lineRule="auto"/>
              <w:ind w:left="87" w:right="75"/>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内容（七）决策</w:t>
            </w:r>
          </w:p>
        </w:tc>
        <w:tc>
          <w:tcPr>
            <w:tcW w:w="1134" w:type="dxa"/>
            <w:vAlign w:val="center"/>
          </w:tcPr>
          <w:p w14:paraId="2E5D4B78">
            <w:pPr>
              <w:widowControl w:val="0"/>
              <w:autoSpaceDE w:val="0"/>
              <w:autoSpaceDN w:val="0"/>
              <w:spacing w:before="104" w:line="240" w:lineRule="auto"/>
              <w:ind w:right="291"/>
              <w:jc w:val="center"/>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 xml:space="preserve">  2</w:t>
            </w:r>
          </w:p>
        </w:tc>
      </w:tr>
      <w:tr w14:paraId="19F86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59303F0D">
            <w:pPr>
              <w:widowControl w:val="0"/>
              <w:autoSpaceDE w:val="0"/>
              <w:autoSpaceDN w:val="0"/>
              <w:spacing w:before="107" w:line="240" w:lineRule="auto"/>
              <w:ind w:left="11"/>
              <w:jc w:val="center"/>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8</w:t>
            </w:r>
          </w:p>
        </w:tc>
        <w:tc>
          <w:tcPr>
            <w:tcW w:w="6663" w:type="dxa"/>
            <w:vAlign w:val="center"/>
          </w:tcPr>
          <w:p w14:paraId="39339FF0">
            <w:pPr>
              <w:widowControl w:val="0"/>
              <w:autoSpaceDE w:val="0"/>
              <w:autoSpaceDN w:val="0"/>
              <w:spacing w:before="101" w:line="240" w:lineRule="auto"/>
              <w:ind w:left="87" w:right="75"/>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内容（八）求职行动</w:t>
            </w:r>
          </w:p>
        </w:tc>
        <w:tc>
          <w:tcPr>
            <w:tcW w:w="1134" w:type="dxa"/>
            <w:vAlign w:val="center"/>
          </w:tcPr>
          <w:p w14:paraId="58745D7B">
            <w:pPr>
              <w:widowControl w:val="0"/>
              <w:autoSpaceDE w:val="0"/>
              <w:autoSpaceDN w:val="0"/>
              <w:spacing w:before="107" w:line="240" w:lineRule="auto"/>
              <w:ind w:right="291"/>
              <w:jc w:val="center"/>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 xml:space="preserve">  2</w:t>
            </w:r>
          </w:p>
        </w:tc>
      </w:tr>
      <w:tr w14:paraId="34A27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271501AC">
            <w:pPr>
              <w:widowControl w:val="0"/>
              <w:autoSpaceDE w:val="0"/>
              <w:autoSpaceDN w:val="0"/>
              <w:spacing w:before="107" w:line="240" w:lineRule="auto"/>
              <w:ind w:left="11"/>
              <w:jc w:val="center"/>
              <w:rPr>
                <w:rFonts w:hint="eastAsia" w:ascii="宋体" w:hAnsi="宋体" w:eastAsia="宋体" w:cs="宋体"/>
                <w:kern w:val="0"/>
                <w:sz w:val="21"/>
                <w:szCs w:val="21"/>
                <w:lang w:val="en-US" w:eastAsia="zh-CN" w:bidi="zh-CN"/>
              </w:rPr>
            </w:pPr>
          </w:p>
        </w:tc>
        <w:tc>
          <w:tcPr>
            <w:tcW w:w="6663" w:type="dxa"/>
            <w:vAlign w:val="center"/>
          </w:tcPr>
          <w:p w14:paraId="1A5286C3">
            <w:pPr>
              <w:widowControl w:val="0"/>
              <w:autoSpaceDE w:val="0"/>
              <w:autoSpaceDN w:val="0"/>
              <w:spacing w:before="101" w:line="240" w:lineRule="auto"/>
              <w:ind w:left="87" w:right="75"/>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考查：生涯发展报告</w:t>
            </w:r>
          </w:p>
        </w:tc>
        <w:tc>
          <w:tcPr>
            <w:tcW w:w="1134" w:type="dxa"/>
            <w:vAlign w:val="center"/>
          </w:tcPr>
          <w:p w14:paraId="51196191">
            <w:pPr>
              <w:widowControl w:val="0"/>
              <w:autoSpaceDE w:val="0"/>
              <w:autoSpaceDN w:val="0"/>
              <w:spacing w:before="107" w:line="240" w:lineRule="auto"/>
              <w:ind w:right="291"/>
              <w:jc w:val="center"/>
              <w:rPr>
                <w:rFonts w:hint="eastAsia" w:ascii="宋体" w:hAnsi="宋体" w:eastAsia="宋体" w:cs="宋体"/>
                <w:kern w:val="0"/>
                <w:sz w:val="21"/>
                <w:szCs w:val="21"/>
                <w:lang w:val="en-US" w:eastAsia="zh-CN" w:bidi="zh-CN"/>
              </w:rPr>
            </w:pPr>
          </w:p>
        </w:tc>
      </w:tr>
      <w:tr w14:paraId="0B146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66" w:type="dxa"/>
            <w:gridSpan w:val="2"/>
            <w:vAlign w:val="center"/>
          </w:tcPr>
          <w:p w14:paraId="3D0F1419">
            <w:pPr>
              <w:widowControl w:val="0"/>
              <w:autoSpaceDE w:val="0"/>
              <w:autoSpaceDN w:val="0"/>
              <w:spacing w:before="22" w:line="240" w:lineRule="auto"/>
              <w:ind w:right="3682"/>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合计</w:t>
            </w:r>
          </w:p>
        </w:tc>
        <w:tc>
          <w:tcPr>
            <w:tcW w:w="1134" w:type="dxa"/>
            <w:vAlign w:val="center"/>
          </w:tcPr>
          <w:p w14:paraId="5DAB268F">
            <w:pPr>
              <w:widowControl w:val="0"/>
              <w:autoSpaceDE w:val="0"/>
              <w:autoSpaceDN w:val="0"/>
              <w:spacing w:before="28" w:line="240" w:lineRule="auto"/>
              <w:ind w:right="238"/>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 xml:space="preserve">  16</w:t>
            </w:r>
          </w:p>
        </w:tc>
      </w:tr>
    </w:tbl>
    <w:p w14:paraId="3BBB0CC2">
      <w:pPr>
        <w:widowControl w:val="0"/>
        <w:autoSpaceDE w:val="0"/>
        <w:autoSpaceDN w:val="0"/>
        <w:spacing w:line="360" w:lineRule="auto"/>
        <w:ind w:left="590" w:leftChars="281" w:right="1157" w:firstLine="420" w:firstLineChars="200"/>
        <w:jc w:val="both"/>
        <w:rPr>
          <w:rFonts w:hint="eastAsia" w:ascii="宋体" w:hAnsi="宋体" w:eastAsia="宋体" w:cs="宋体"/>
          <w:kern w:val="0"/>
          <w:sz w:val="21"/>
          <w:szCs w:val="21"/>
          <w:lang w:val="en-US" w:eastAsia="zh-CN" w:bidi="zh-CN"/>
        </w:rPr>
      </w:pPr>
    </w:p>
    <w:p w14:paraId="4AE048E1">
      <w:pPr>
        <w:spacing w:before="62" w:beforeLines="20" w:after="62" w:afterLines="20" w:line="360" w:lineRule="auto"/>
        <w:jc w:val="left"/>
        <w:rPr>
          <w:rFonts w:hint="eastAsia" w:ascii="Times New Roman" w:hAnsi="Times New Roman" w:eastAsia="宋体" w:cs="Times New Roman"/>
          <w:b/>
          <w:sz w:val="24"/>
          <w:lang w:val="zh-CN" w:eastAsia="zh-CN"/>
        </w:rPr>
      </w:pPr>
      <w:r>
        <w:rPr>
          <w:rFonts w:hint="eastAsia" w:ascii="Times New Roman" w:hAnsi="Times New Roman" w:eastAsia="宋体" w:cs="Times New Roman"/>
          <w:b/>
          <w:sz w:val="24"/>
          <w:lang w:val="zh-CN" w:eastAsia="zh-CN"/>
        </w:rPr>
        <w:t>四、课程实施</w:t>
      </w:r>
    </w:p>
    <w:p w14:paraId="4852781B">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2" w:firstLineChars="200"/>
        <w:textAlignment w:val="auto"/>
        <w:outlineLvl w:val="2"/>
        <w:rPr>
          <w:rFonts w:hint="eastAsia" w:ascii="宋体" w:hAnsi="宋体" w:eastAsia="宋体" w:cs="宋体"/>
          <w:b/>
          <w:bCs/>
          <w:kern w:val="0"/>
          <w:sz w:val="21"/>
          <w:szCs w:val="21"/>
          <w:lang w:val="en-US" w:eastAsia="zh-CN" w:bidi="zh-CN"/>
        </w:rPr>
      </w:pPr>
      <w:bookmarkStart w:id="39" w:name="_Toc14197"/>
      <w:r>
        <w:rPr>
          <w:rFonts w:hint="eastAsia" w:ascii="宋体" w:hAnsi="宋体" w:eastAsia="宋体" w:cs="宋体"/>
          <w:b/>
          <w:bCs/>
          <w:kern w:val="0"/>
          <w:sz w:val="21"/>
          <w:szCs w:val="21"/>
          <w:lang w:val="zh-CN" w:eastAsia="zh-CN" w:bidi="zh-CN"/>
        </w:rPr>
        <w:t>（一）教学方法与教学手段</w:t>
      </w:r>
      <w:bookmarkEnd w:id="39"/>
    </w:p>
    <w:p w14:paraId="2B326C8F">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1.教师授课、课堂研讨与基地实践相结合。建立师生互动的课堂学习方法，通过理论讲述与实践体验相结合，唤醒学生生涯意识，在明确自己性格类型前提下，结合自身专业，进行初步的职业探索，对今后的职业发展方向做出合理的规划。</w:t>
      </w:r>
    </w:p>
    <w:p w14:paraId="7C1A2465">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2.采取生动活泼、灵活多样的教学方式进行教学。教学的方式采取灵活多样的形式，如将符合教学内容要求的视频、电影、课件、软件融入到教学过程，多举一些相关教学案例，让学生有直观的认识，增加学生学习的兴趣，引导、激发学生学习的积极性和自主性等。</w:t>
      </w:r>
    </w:p>
    <w:p w14:paraId="7531BF8E">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3.合理安排和组织教学进程：帮助学生建立大学生学习观点，使学生在大学一年级熟悉本专业的学习内容，尽快适应高校的学习。</w:t>
      </w:r>
    </w:p>
    <w:p w14:paraId="4365CA97">
      <w:pPr>
        <w:widowControl w:val="0"/>
        <w:autoSpaceDE w:val="0"/>
        <w:autoSpaceDN w:val="0"/>
        <w:spacing w:before="0" w:line="360" w:lineRule="auto"/>
        <w:ind w:left="0" w:leftChars="0" w:firstLine="422" w:firstLineChars="200"/>
        <w:outlineLvl w:val="2"/>
        <w:rPr>
          <w:rFonts w:hint="eastAsia" w:ascii="宋体" w:hAnsi="宋体" w:eastAsia="宋体" w:cs="宋体"/>
          <w:b/>
          <w:bCs/>
          <w:kern w:val="0"/>
          <w:sz w:val="21"/>
          <w:szCs w:val="21"/>
          <w:lang w:val="en-US" w:eastAsia="zh-CN" w:bidi="zh-CN"/>
        </w:rPr>
      </w:pPr>
      <w:bookmarkStart w:id="40" w:name="_Toc4037"/>
      <w:r>
        <w:rPr>
          <w:rFonts w:hint="eastAsia" w:ascii="宋体" w:hAnsi="宋体" w:eastAsia="宋体" w:cs="宋体"/>
          <w:b/>
          <w:bCs/>
          <w:kern w:val="0"/>
          <w:sz w:val="21"/>
          <w:szCs w:val="21"/>
          <w:lang w:val="zh-CN" w:eastAsia="zh-CN" w:bidi="zh-CN"/>
        </w:rPr>
        <w:t>（二）课程实施与保障</w:t>
      </w:r>
      <w:bookmarkEnd w:id="40"/>
    </w:p>
    <w:tbl>
      <w:tblPr>
        <w:tblStyle w:val="15"/>
        <w:tblW w:w="0" w:type="auto"/>
        <w:tblInd w:w="2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3"/>
        <w:gridCol w:w="1171"/>
        <w:gridCol w:w="7522"/>
      </w:tblGrid>
      <w:tr w14:paraId="6BF541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754" w:type="dxa"/>
            <w:gridSpan w:val="2"/>
            <w:tcBorders>
              <w:bottom w:val="single" w:color="000000" w:sz="4" w:space="0"/>
            </w:tcBorders>
            <w:vAlign w:val="center"/>
          </w:tcPr>
          <w:p w14:paraId="0A49ECAD">
            <w:pPr>
              <w:widowControl w:val="0"/>
              <w:autoSpaceDE w:val="0"/>
              <w:autoSpaceDN w:val="0"/>
              <w:spacing w:line="240" w:lineRule="auto"/>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主要教学环节</w:t>
            </w:r>
          </w:p>
        </w:tc>
        <w:tc>
          <w:tcPr>
            <w:tcW w:w="7522" w:type="dxa"/>
            <w:tcBorders>
              <w:bottom w:val="single" w:color="000000" w:sz="4" w:space="0"/>
            </w:tcBorders>
            <w:vAlign w:val="center"/>
          </w:tcPr>
          <w:p w14:paraId="01786990">
            <w:pPr>
              <w:widowControl w:val="0"/>
              <w:autoSpaceDE w:val="0"/>
              <w:autoSpaceDN w:val="0"/>
              <w:spacing w:line="240" w:lineRule="auto"/>
              <w:ind w:left="2971" w:right="2949"/>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质量要求</w:t>
            </w:r>
          </w:p>
        </w:tc>
      </w:tr>
      <w:tr w14:paraId="1B3281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98" w:hRule="atLeast"/>
        </w:trPr>
        <w:tc>
          <w:tcPr>
            <w:tcW w:w="583" w:type="dxa"/>
            <w:tcBorders>
              <w:top w:val="single" w:color="000000" w:sz="4" w:space="0"/>
              <w:bottom w:val="single" w:color="000000" w:sz="4" w:space="0"/>
              <w:right w:val="single" w:color="000000" w:sz="4" w:space="0"/>
            </w:tcBorders>
            <w:vAlign w:val="center"/>
          </w:tcPr>
          <w:p w14:paraId="6968C7F7">
            <w:pPr>
              <w:widowControl w:val="0"/>
              <w:autoSpaceDE w:val="0"/>
              <w:autoSpaceDN w:val="0"/>
              <w:spacing w:line="240" w:lineRule="auto"/>
              <w:ind w:left="18"/>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1</w:t>
            </w:r>
          </w:p>
        </w:tc>
        <w:tc>
          <w:tcPr>
            <w:tcW w:w="1171" w:type="dxa"/>
            <w:tcBorders>
              <w:top w:val="single" w:color="000000" w:sz="4" w:space="0"/>
              <w:left w:val="single" w:color="000000" w:sz="4" w:space="0"/>
              <w:bottom w:val="single" w:color="000000" w:sz="4" w:space="0"/>
              <w:right w:val="single" w:color="000000" w:sz="4" w:space="0"/>
            </w:tcBorders>
            <w:vAlign w:val="center"/>
          </w:tcPr>
          <w:p w14:paraId="117E9BAC">
            <w:pPr>
              <w:widowControl w:val="0"/>
              <w:autoSpaceDE w:val="0"/>
              <w:autoSpaceDN w:val="0"/>
              <w:spacing w:line="240" w:lineRule="auto"/>
              <w:ind w:left="101" w:right="77"/>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备课</w:t>
            </w:r>
          </w:p>
        </w:tc>
        <w:tc>
          <w:tcPr>
            <w:tcW w:w="7522" w:type="dxa"/>
            <w:tcBorders>
              <w:top w:val="single" w:color="000000" w:sz="4" w:space="0"/>
              <w:left w:val="single" w:color="000000" w:sz="4" w:space="0"/>
              <w:bottom w:val="single" w:color="000000" w:sz="4" w:space="0"/>
            </w:tcBorders>
          </w:tcPr>
          <w:p w14:paraId="3FE5F47C">
            <w:pPr>
              <w:widowControl w:val="0"/>
              <w:tabs>
                <w:tab w:val="left" w:pos="645"/>
              </w:tabs>
              <w:autoSpaceDE w:val="0"/>
              <w:autoSpaceDN w:val="0"/>
              <w:spacing w:line="240" w:lineRule="auto"/>
              <w:ind w:left="115" w:right="81"/>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（1）掌握本课程教学大纲内容，严格按照教学大纲要求进行课程教学内容的组织。</w:t>
            </w:r>
          </w:p>
          <w:p w14:paraId="26EE35E8">
            <w:pPr>
              <w:widowControl w:val="0"/>
              <w:tabs>
                <w:tab w:val="left" w:pos="645"/>
              </w:tabs>
              <w:autoSpaceDE w:val="0"/>
              <w:autoSpaceDN w:val="0"/>
              <w:spacing w:line="240" w:lineRule="auto"/>
              <w:ind w:left="115" w:right="-29"/>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2）熟悉教材各章节，借助专业书籍资料，并依据教学大纲编写授课计划，编写每次授课的教案。教案内容包括章节标题、教学目的、教法设计、课堂类型、时间分配、授课内容、课后作业、教学效果分析等方面。</w:t>
            </w:r>
          </w:p>
          <w:p w14:paraId="0BA80291">
            <w:pPr>
              <w:widowControl w:val="0"/>
              <w:tabs>
                <w:tab w:val="left" w:pos="648"/>
              </w:tabs>
              <w:autoSpaceDE w:val="0"/>
              <w:autoSpaceDN w:val="0"/>
              <w:spacing w:line="240" w:lineRule="auto"/>
              <w:ind w:right="-29" w:firstLine="105" w:firstLineChars="50"/>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（3）根据各部分教学内容，构思授课思路、技巧，选择合适的教学方法 。</w:t>
            </w:r>
          </w:p>
        </w:tc>
      </w:tr>
      <w:tr w14:paraId="7A57C6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583" w:type="dxa"/>
            <w:tcBorders>
              <w:top w:val="single" w:color="000000" w:sz="4" w:space="0"/>
              <w:bottom w:val="single" w:color="000000" w:sz="4" w:space="0"/>
              <w:right w:val="single" w:color="000000" w:sz="4" w:space="0"/>
            </w:tcBorders>
            <w:vAlign w:val="center"/>
          </w:tcPr>
          <w:p w14:paraId="734EB30B">
            <w:pPr>
              <w:widowControl w:val="0"/>
              <w:autoSpaceDE w:val="0"/>
              <w:autoSpaceDN w:val="0"/>
              <w:spacing w:line="240" w:lineRule="auto"/>
              <w:ind w:left="18"/>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2</w:t>
            </w:r>
          </w:p>
        </w:tc>
        <w:tc>
          <w:tcPr>
            <w:tcW w:w="1171" w:type="dxa"/>
            <w:tcBorders>
              <w:top w:val="single" w:color="000000" w:sz="4" w:space="0"/>
              <w:left w:val="single" w:color="000000" w:sz="4" w:space="0"/>
              <w:bottom w:val="single" w:color="000000" w:sz="4" w:space="0"/>
              <w:right w:val="single" w:color="000000" w:sz="4" w:space="0"/>
            </w:tcBorders>
            <w:vAlign w:val="center"/>
          </w:tcPr>
          <w:p w14:paraId="742EA2D3">
            <w:pPr>
              <w:widowControl w:val="0"/>
              <w:autoSpaceDE w:val="0"/>
              <w:autoSpaceDN w:val="0"/>
              <w:spacing w:line="240" w:lineRule="auto"/>
              <w:ind w:left="101" w:right="77"/>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讲授</w:t>
            </w:r>
          </w:p>
        </w:tc>
        <w:tc>
          <w:tcPr>
            <w:tcW w:w="7522" w:type="dxa"/>
            <w:tcBorders>
              <w:top w:val="single" w:color="000000" w:sz="4" w:space="0"/>
              <w:left w:val="single" w:color="000000" w:sz="4" w:space="0"/>
              <w:bottom w:val="single" w:color="000000" w:sz="4" w:space="0"/>
            </w:tcBorders>
          </w:tcPr>
          <w:p w14:paraId="3D525467">
            <w:pPr>
              <w:widowControl w:val="0"/>
              <w:tabs>
                <w:tab w:val="left" w:pos="645"/>
              </w:tabs>
              <w:autoSpaceDE w:val="0"/>
              <w:autoSpaceDN w:val="0"/>
              <w:spacing w:line="240" w:lineRule="auto"/>
              <w:ind w:left="115" w:right="66"/>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（1）要点准确、推理正确、条理清晰、重点突出，能够理论联系实际， 熟练地解答和讲解例题。</w:t>
            </w:r>
          </w:p>
          <w:p w14:paraId="78DD8DAF">
            <w:pPr>
              <w:widowControl w:val="0"/>
              <w:tabs>
                <w:tab w:val="left" w:pos="645"/>
              </w:tabs>
              <w:autoSpaceDE w:val="0"/>
              <w:autoSpaceDN w:val="0"/>
              <w:spacing w:line="240" w:lineRule="auto"/>
              <w:ind w:left="115" w:right="66"/>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（2）采用多种教学方式（如启发式教学、案例分析教学、讨论式教学、多媒体示范教学等），注重培养学生发现、分析和解决问题的能力。</w:t>
            </w:r>
          </w:p>
          <w:p w14:paraId="0344DAA7">
            <w:pPr>
              <w:widowControl w:val="0"/>
              <w:tabs>
                <w:tab w:val="left" w:pos="645"/>
              </w:tabs>
              <w:autoSpaceDE w:val="0"/>
              <w:autoSpaceDN w:val="0"/>
              <w:spacing w:line="240" w:lineRule="auto"/>
              <w:ind w:firstLine="105" w:firstLineChars="50"/>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（3）能够采用现代信息技术辅助教学。</w:t>
            </w:r>
          </w:p>
          <w:p w14:paraId="4FE9C8D2">
            <w:pPr>
              <w:widowControl w:val="0"/>
              <w:tabs>
                <w:tab w:val="left" w:pos="648"/>
              </w:tabs>
              <w:autoSpaceDE w:val="0"/>
              <w:autoSpaceDN w:val="0"/>
              <w:spacing w:line="240" w:lineRule="auto"/>
              <w:ind w:left="115" w:right="84"/>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（4）表达方式应能便于学生理解、接受，力求形象生动，使学生在掌握知识的过程中，保持较为浓厚的学习兴趣。</w:t>
            </w:r>
          </w:p>
        </w:tc>
      </w:tr>
      <w:tr w14:paraId="1238A5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9" w:hRule="atLeast"/>
        </w:trPr>
        <w:tc>
          <w:tcPr>
            <w:tcW w:w="583" w:type="dxa"/>
            <w:tcBorders>
              <w:top w:val="single" w:color="000000" w:sz="4" w:space="0"/>
              <w:bottom w:val="single" w:color="000000" w:sz="4" w:space="0"/>
              <w:right w:val="single" w:color="000000" w:sz="4" w:space="0"/>
            </w:tcBorders>
            <w:vAlign w:val="center"/>
          </w:tcPr>
          <w:p w14:paraId="70CACC5E">
            <w:pPr>
              <w:widowControl w:val="0"/>
              <w:autoSpaceDE w:val="0"/>
              <w:autoSpaceDN w:val="0"/>
              <w:spacing w:line="240" w:lineRule="auto"/>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3</w:t>
            </w:r>
          </w:p>
        </w:tc>
        <w:tc>
          <w:tcPr>
            <w:tcW w:w="1171" w:type="dxa"/>
            <w:tcBorders>
              <w:top w:val="single" w:color="000000" w:sz="4" w:space="0"/>
              <w:left w:val="single" w:color="000000" w:sz="4" w:space="0"/>
              <w:bottom w:val="single" w:color="000000" w:sz="4" w:space="0"/>
              <w:right w:val="single" w:color="000000" w:sz="4" w:space="0"/>
            </w:tcBorders>
            <w:vAlign w:val="center"/>
          </w:tcPr>
          <w:p w14:paraId="733C8AB6">
            <w:pPr>
              <w:widowControl w:val="0"/>
              <w:autoSpaceDE w:val="0"/>
              <w:autoSpaceDN w:val="0"/>
              <w:spacing w:line="240" w:lineRule="auto"/>
              <w:ind w:right="77"/>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作业布置与批改</w:t>
            </w:r>
          </w:p>
        </w:tc>
        <w:tc>
          <w:tcPr>
            <w:tcW w:w="7522" w:type="dxa"/>
            <w:tcBorders>
              <w:top w:val="single" w:color="000000" w:sz="4" w:space="0"/>
              <w:left w:val="single" w:color="000000" w:sz="4" w:space="0"/>
              <w:bottom w:val="single" w:color="000000" w:sz="4" w:space="0"/>
            </w:tcBorders>
          </w:tcPr>
          <w:p w14:paraId="380C3FC9">
            <w:pPr>
              <w:widowControl w:val="0"/>
              <w:autoSpaceDE w:val="0"/>
              <w:autoSpaceDN w:val="0"/>
              <w:spacing w:line="240" w:lineRule="auto"/>
              <w:ind w:left="115"/>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学生必须完成规定数量的作业，作业必须达到以下基本要求：</w:t>
            </w:r>
          </w:p>
          <w:p w14:paraId="57D6A824">
            <w:pPr>
              <w:widowControl w:val="0"/>
              <w:tabs>
                <w:tab w:val="left" w:pos="645"/>
              </w:tabs>
              <w:autoSpaceDE w:val="0"/>
              <w:autoSpaceDN w:val="0"/>
              <w:spacing w:line="240" w:lineRule="auto"/>
              <w:ind w:firstLine="105" w:firstLineChars="50"/>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（1）按时按量完成作业，不缺交，不抄袭。</w:t>
            </w:r>
          </w:p>
          <w:p w14:paraId="20595993">
            <w:pPr>
              <w:widowControl w:val="0"/>
              <w:tabs>
                <w:tab w:val="left" w:pos="645"/>
              </w:tabs>
              <w:autoSpaceDE w:val="0"/>
              <w:autoSpaceDN w:val="0"/>
              <w:spacing w:line="240" w:lineRule="auto"/>
              <w:ind w:firstLine="105" w:firstLineChars="50"/>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（2）书写规范、清晰。</w:t>
            </w:r>
          </w:p>
          <w:p w14:paraId="2E0FAAC4">
            <w:pPr>
              <w:widowControl w:val="0"/>
              <w:tabs>
                <w:tab w:val="left" w:pos="645"/>
              </w:tabs>
              <w:autoSpaceDE w:val="0"/>
              <w:autoSpaceDN w:val="0"/>
              <w:spacing w:line="240" w:lineRule="auto"/>
              <w:ind w:left="115" w:right="3742"/>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教师批改作业要求如下：</w:t>
            </w:r>
          </w:p>
          <w:p w14:paraId="28F937AC">
            <w:pPr>
              <w:widowControl w:val="0"/>
              <w:tabs>
                <w:tab w:val="left" w:pos="645"/>
              </w:tabs>
              <w:autoSpaceDE w:val="0"/>
              <w:autoSpaceDN w:val="0"/>
              <w:spacing w:line="240" w:lineRule="auto"/>
              <w:ind w:firstLine="105" w:firstLineChars="50"/>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（3）学生的作业要按时全部批改，并及时进行讲评。</w:t>
            </w:r>
          </w:p>
          <w:p w14:paraId="191121F9">
            <w:pPr>
              <w:widowControl w:val="0"/>
              <w:tabs>
                <w:tab w:val="left" w:pos="648"/>
              </w:tabs>
              <w:autoSpaceDE w:val="0"/>
              <w:autoSpaceDN w:val="0"/>
              <w:spacing w:line="240" w:lineRule="auto"/>
              <w:ind w:right="-29" w:firstLine="105" w:firstLineChars="50"/>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（4）教师批改和讲评作业要认真、细致，按百分制评定成绩并写明日期 。</w:t>
            </w:r>
          </w:p>
          <w:p w14:paraId="349D54D8">
            <w:pPr>
              <w:widowControl w:val="0"/>
              <w:tabs>
                <w:tab w:val="left" w:pos="645"/>
              </w:tabs>
              <w:autoSpaceDE w:val="0"/>
              <w:autoSpaceDN w:val="0"/>
              <w:spacing w:line="240" w:lineRule="auto"/>
              <w:ind w:left="115" w:right="81"/>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（5）学生作业的平均成绩应作为本课程总评成绩中平时成绩的重要组 成部分。</w:t>
            </w:r>
          </w:p>
        </w:tc>
      </w:tr>
      <w:tr w14:paraId="409340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583" w:type="dxa"/>
            <w:tcBorders>
              <w:top w:val="single" w:color="000000" w:sz="4" w:space="0"/>
              <w:bottom w:val="single" w:color="000000" w:sz="4" w:space="0"/>
              <w:right w:val="single" w:color="000000" w:sz="4" w:space="0"/>
            </w:tcBorders>
            <w:vAlign w:val="center"/>
          </w:tcPr>
          <w:p w14:paraId="7DE2F524">
            <w:pPr>
              <w:widowControl w:val="0"/>
              <w:autoSpaceDE w:val="0"/>
              <w:autoSpaceDN w:val="0"/>
              <w:spacing w:line="240" w:lineRule="auto"/>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4</w:t>
            </w:r>
          </w:p>
        </w:tc>
        <w:tc>
          <w:tcPr>
            <w:tcW w:w="1171" w:type="dxa"/>
            <w:tcBorders>
              <w:top w:val="single" w:color="000000" w:sz="4" w:space="0"/>
              <w:left w:val="single" w:color="000000" w:sz="4" w:space="0"/>
              <w:bottom w:val="single" w:color="000000" w:sz="4" w:space="0"/>
              <w:right w:val="single" w:color="000000" w:sz="4" w:space="0"/>
            </w:tcBorders>
            <w:vAlign w:val="center"/>
          </w:tcPr>
          <w:p w14:paraId="67A3E3E8">
            <w:pPr>
              <w:widowControl w:val="0"/>
              <w:autoSpaceDE w:val="0"/>
              <w:autoSpaceDN w:val="0"/>
              <w:spacing w:line="240" w:lineRule="auto"/>
              <w:ind w:right="77"/>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课外答疑</w:t>
            </w:r>
          </w:p>
        </w:tc>
        <w:tc>
          <w:tcPr>
            <w:tcW w:w="7522" w:type="dxa"/>
            <w:tcBorders>
              <w:top w:val="single" w:color="000000" w:sz="4" w:space="0"/>
              <w:left w:val="single" w:color="000000" w:sz="4" w:space="0"/>
              <w:bottom w:val="single" w:color="000000" w:sz="4" w:space="0"/>
            </w:tcBorders>
          </w:tcPr>
          <w:p w14:paraId="7F71A948">
            <w:pPr>
              <w:widowControl w:val="0"/>
              <w:autoSpaceDE w:val="0"/>
              <w:autoSpaceDN w:val="0"/>
              <w:spacing w:line="240" w:lineRule="auto"/>
              <w:ind w:left="115" w:right="81"/>
              <w:jc w:val="both"/>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为了解学生的学习情况，帮助学生更好地理解和消化所学知识、改进学习方法和思维方式，培养其独立思考问题的能力，任课教师需每周安排一定时间进行课外答疑与辅导。</w:t>
            </w:r>
          </w:p>
        </w:tc>
      </w:tr>
      <w:tr w14:paraId="024E52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583" w:type="dxa"/>
            <w:tcBorders>
              <w:top w:val="single" w:color="000000" w:sz="4" w:space="0"/>
              <w:bottom w:val="single" w:color="000000" w:sz="4" w:space="0"/>
              <w:right w:val="single" w:color="000000" w:sz="4" w:space="0"/>
            </w:tcBorders>
            <w:vAlign w:val="center"/>
          </w:tcPr>
          <w:p w14:paraId="1EA8FCD9">
            <w:pPr>
              <w:widowControl w:val="0"/>
              <w:autoSpaceDE w:val="0"/>
              <w:autoSpaceDN w:val="0"/>
              <w:spacing w:line="240" w:lineRule="auto"/>
              <w:jc w:val="center"/>
              <w:rPr>
                <w:rFonts w:hint="eastAsia" w:ascii="宋体" w:hAnsi="宋体" w:eastAsia="宋体" w:cs="宋体"/>
                <w:b/>
                <w:kern w:val="0"/>
                <w:sz w:val="21"/>
                <w:szCs w:val="21"/>
                <w:lang w:val="zh-CN" w:eastAsia="zh-CN" w:bidi="zh-CN"/>
              </w:rPr>
            </w:pPr>
          </w:p>
          <w:p w14:paraId="0066FA4D">
            <w:pPr>
              <w:widowControl w:val="0"/>
              <w:autoSpaceDE w:val="0"/>
              <w:autoSpaceDN w:val="0"/>
              <w:spacing w:line="240" w:lineRule="auto"/>
              <w:ind w:left="18"/>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5</w:t>
            </w:r>
          </w:p>
        </w:tc>
        <w:tc>
          <w:tcPr>
            <w:tcW w:w="1171" w:type="dxa"/>
            <w:tcBorders>
              <w:top w:val="single" w:color="000000" w:sz="4" w:space="0"/>
              <w:left w:val="single" w:color="000000" w:sz="4" w:space="0"/>
              <w:bottom w:val="single" w:color="000000" w:sz="4" w:space="0"/>
              <w:right w:val="single" w:color="000000" w:sz="4" w:space="0"/>
            </w:tcBorders>
            <w:vAlign w:val="center"/>
          </w:tcPr>
          <w:p w14:paraId="121D5433">
            <w:pPr>
              <w:widowControl w:val="0"/>
              <w:autoSpaceDE w:val="0"/>
              <w:autoSpaceDN w:val="0"/>
              <w:spacing w:line="240" w:lineRule="auto"/>
              <w:jc w:val="center"/>
              <w:rPr>
                <w:rFonts w:hint="eastAsia" w:ascii="宋体" w:hAnsi="宋体" w:eastAsia="宋体" w:cs="宋体"/>
                <w:b/>
                <w:kern w:val="0"/>
                <w:sz w:val="21"/>
                <w:szCs w:val="21"/>
                <w:lang w:val="zh-CN" w:eastAsia="zh-CN" w:bidi="zh-CN"/>
              </w:rPr>
            </w:pPr>
          </w:p>
          <w:p w14:paraId="4C5AC7DC">
            <w:pPr>
              <w:widowControl w:val="0"/>
              <w:autoSpaceDE w:val="0"/>
              <w:autoSpaceDN w:val="0"/>
              <w:spacing w:line="240" w:lineRule="auto"/>
              <w:ind w:left="99" w:right="77"/>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成绩考核</w:t>
            </w:r>
          </w:p>
        </w:tc>
        <w:tc>
          <w:tcPr>
            <w:tcW w:w="7522" w:type="dxa"/>
            <w:tcBorders>
              <w:top w:val="single" w:color="000000" w:sz="4" w:space="0"/>
              <w:left w:val="single" w:color="000000" w:sz="4" w:space="0"/>
              <w:bottom w:val="single" w:color="000000" w:sz="4" w:space="0"/>
            </w:tcBorders>
          </w:tcPr>
          <w:p w14:paraId="2D791BB9">
            <w:pPr>
              <w:widowControl w:val="0"/>
              <w:autoSpaceDE w:val="0"/>
              <w:autoSpaceDN w:val="0"/>
              <w:spacing w:line="240" w:lineRule="auto"/>
              <w:ind w:left="115" w:right="81"/>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本课程为考查课目，考试内容为</w:t>
            </w:r>
            <w:r>
              <w:rPr>
                <w:rFonts w:hint="eastAsia" w:ascii="宋体" w:hAnsi="宋体" w:eastAsia="宋体" w:cs="宋体"/>
                <w:kern w:val="0"/>
                <w:sz w:val="21"/>
                <w:szCs w:val="21"/>
                <w:lang w:val="en-US" w:eastAsia="zh-CN" w:bidi="zh-CN"/>
              </w:rPr>
              <w:t>生涯发展</w:t>
            </w:r>
            <w:r>
              <w:rPr>
                <w:rFonts w:hint="eastAsia" w:ascii="宋体" w:hAnsi="宋体" w:eastAsia="宋体" w:cs="宋体"/>
                <w:kern w:val="0"/>
                <w:sz w:val="21"/>
                <w:szCs w:val="21"/>
                <w:lang w:val="zh-CN" w:eastAsia="zh-CN" w:bidi="zh-CN"/>
              </w:rPr>
              <w:t>报告的撰写。有下列情况之一者，总评成绩为不及格：</w:t>
            </w:r>
          </w:p>
          <w:p w14:paraId="56647649">
            <w:pPr>
              <w:widowControl w:val="0"/>
              <w:tabs>
                <w:tab w:val="left" w:pos="645"/>
              </w:tabs>
              <w:autoSpaceDE w:val="0"/>
              <w:autoSpaceDN w:val="0"/>
              <w:spacing w:line="240" w:lineRule="auto"/>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（1）缺交作业次数达 1 次以上者。</w:t>
            </w:r>
          </w:p>
          <w:p w14:paraId="1A4A7258">
            <w:pPr>
              <w:widowControl w:val="0"/>
              <w:tabs>
                <w:tab w:val="left" w:pos="645"/>
              </w:tabs>
              <w:autoSpaceDE w:val="0"/>
              <w:autoSpaceDN w:val="0"/>
              <w:spacing w:line="240" w:lineRule="auto"/>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（2）缺课次数达本学期总授课学时的 1/3 以上者。</w:t>
            </w:r>
          </w:p>
        </w:tc>
      </w:tr>
    </w:tbl>
    <w:p w14:paraId="5AD3E35A">
      <w:pPr>
        <w:widowControl w:val="0"/>
        <w:autoSpaceDE w:val="0"/>
        <w:autoSpaceDN w:val="0"/>
        <w:spacing w:line="360" w:lineRule="auto"/>
        <w:ind w:right="1156"/>
        <w:jc w:val="both"/>
        <w:rPr>
          <w:rFonts w:hint="eastAsia" w:ascii="宋体" w:hAnsi="宋体" w:eastAsia="宋体" w:cs="宋体"/>
          <w:kern w:val="0"/>
          <w:sz w:val="21"/>
          <w:szCs w:val="21"/>
          <w:lang w:val="en-US" w:eastAsia="zh-CN" w:bidi="zh-CN"/>
        </w:rPr>
      </w:pPr>
    </w:p>
    <w:p w14:paraId="276A0CAC">
      <w:pPr>
        <w:spacing w:before="62" w:beforeLines="20" w:after="62" w:afterLines="20" w:line="360" w:lineRule="auto"/>
        <w:jc w:val="left"/>
        <w:rPr>
          <w:rFonts w:hint="eastAsia" w:ascii="Times New Roman" w:hAnsi="Times New Roman" w:eastAsia="宋体" w:cs="Times New Roman"/>
          <w:b/>
          <w:sz w:val="24"/>
          <w:lang w:val="zh-CN"/>
        </w:rPr>
      </w:pPr>
      <w:r>
        <w:rPr>
          <w:rFonts w:hint="eastAsia" w:ascii="Times New Roman" w:hAnsi="Times New Roman" w:eastAsia="宋体" w:cs="Times New Roman"/>
          <w:b/>
          <w:sz w:val="24"/>
          <w:lang w:val="zh-CN"/>
        </w:rPr>
        <w:t>五、课程考核</w:t>
      </w:r>
    </w:p>
    <w:p w14:paraId="755B946E">
      <w:pPr>
        <w:keepNext w:val="0"/>
        <w:keepLines w:val="0"/>
        <w:pageBreakBefore w:val="0"/>
        <w:widowControl w:val="0"/>
        <w:kinsoku/>
        <w:wordWrap/>
        <w:overflowPunct/>
        <w:topLinePunct w:val="0"/>
        <w:autoSpaceDE w:val="0"/>
        <w:autoSpaceDN w:val="0"/>
        <w:bidi w:val="0"/>
        <w:adjustRightInd/>
        <w:snapToGrid/>
        <w:spacing w:line="360" w:lineRule="auto"/>
        <w:ind w:right="0" w:firstLine="420" w:firstLineChars="200"/>
        <w:textAlignment w:val="auto"/>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（一）课程考核包括平时情况考核、期末大作业或者课程报告考核等。</w:t>
      </w:r>
    </w:p>
    <w:p w14:paraId="04BA608F">
      <w:pPr>
        <w:keepNext w:val="0"/>
        <w:keepLines w:val="0"/>
        <w:pageBreakBefore w:val="0"/>
        <w:widowControl w:val="0"/>
        <w:kinsoku/>
        <w:wordWrap/>
        <w:overflowPunct/>
        <w:topLinePunct w:val="0"/>
        <w:autoSpaceDE w:val="0"/>
        <w:autoSpaceDN w:val="0"/>
        <w:bidi w:val="0"/>
        <w:adjustRightInd/>
        <w:snapToGrid/>
        <w:spacing w:line="360" w:lineRule="auto"/>
        <w:ind w:right="0" w:firstLine="420" w:firstLineChars="200"/>
        <w:textAlignment w:val="auto"/>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（二）课程总评成绩=平时成绩×40% +期末考试成绩×60%。具体内容和比例如表所示。</w:t>
      </w:r>
    </w:p>
    <w:tbl>
      <w:tblPr>
        <w:tblStyle w:val="15"/>
        <w:tblW w:w="8800"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5"/>
        <w:gridCol w:w="1612"/>
        <w:gridCol w:w="619"/>
        <w:gridCol w:w="5444"/>
      </w:tblGrid>
      <w:tr w14:paraId="7F4A5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5" w:type="dxa"/>
            <w:vAlign w:val="center"/>
          </w:tcPr>
          <w:p w14:paraId="1A7E060B">
            <w:pPr>
              <w:widowControl w:val="0"/>
              <w:autoSpaceDE w:val="0"/>
              <w:autoSpaceDN w:val="0"/>
              <w:spacing w:before="178" w:line="240" w:lineRule="auto"/>
              <w:ind w:right="130" w:firstLine="105" w:firstLineChars="50"/>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成绩组成</w:t>
            </w:r>
          </w:p>
        </w:tc>
        <w:tc>
          <w:tcPr>
            <w:tcW w:w="1612" w:type="dxa"/>
            <w:tcBorders>
              <w:right w:val="single" w:color="auto" w:sz="4" w:space="0"/>
            </w:tcBorders>
            <w:vAlign w:val="center"/>
          </w:tcPr>
          <w:p w14:paraId="1C623B67">
            <w:pPr>
              <w:widowControl w:val="0"/>
              <w:autoSpaceDE w:val="0"/>
              <w:autoSpaceDN w:val="0"/>
              <w:spacing w:before="43" w:line="240" w:lineRule="auto"/>
              <w:ind w:left="88" w:right="75"/>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考核/评价环节</w:t>
            </w:r>
          </w:p>
        </w:tc>
        <w:tc>
          <w:tcPr>
            <w:tcW w:w="619" w:type="dxa"/>
            <w:tcBorders>
              <w:left w:val="single" w:color="auto" w:sz="4" w:space="0"/>
              <w:right w:val="single" w:color="auto" w:sz="4" w:space="0"/>
            </w:tcBorders>
            <w:vAlign w:val="center"/>
          </w:tcPr>
          <w:p w14:paraId="0B1A3C43">
            <w:pPr>
              <w:widowControl w:val="0"/>
              <w:autoSpaceDE w:val="0"/>
              <w:autoSpaceDN w:val="0"/>
              <w:spacing w:before="43" w:line="240" w:lineRule="auto"/>
              <w:ind w:left="88" w:right="75"/>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权重</w:t>
            </w:r>
          </w:p>
        </w:tc>
        <w:tc>
          <w:tcPr>
            <w:tcW w:w="5444" w:type="dxa"/>
            <w:tcBorders>
              <w:left w:val="single" w:color="auto" w:sz="4" w:space="0"/>
              <w:right w:val="single" w:color="auto" w:sz="4" w:space="0"/>
            </w:tcBorders>
            <w:vAlign w:val="center"/>
          </w:tcPr>
          <w:p w14:paraId="01C1CB84">
            <w:pPr>
              <w:widowControl w:val="0"/>
              <w:autoSpaceDE w:val="0"/>
              <w:autoSpaceDN w:val="0"/>
              <w:spacing w:before="43" w:line="240" w:lineRule="auto"/>
              <w:ind w:left="88" w:right="75"/>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考核/评价细则</w:t>
            </w:r>
          </w:p>
        </w:tc>
      </w:tr>
      <w:tr w14:paraId="3E8DE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1125" w:type="dxa"/>
            <w:vMerge w:val="restart"/>
            <w:vAlign w:val="center"/>
          </w:tcPr>
          <w:p w14:paraId="70F056A7">
            <w:pPr>
              <w:widowControl w:val="0"/>
              <w:autoSpaceDE w:val="0"/>
              <w:autoSpaceDN w:val="0"/>
              <w:spacing w:before="112" w:line="240" w:lineRule="auto"/>
              <w:ind w:left="11"/>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平时成绩</w:t>
            </w:r>
          </w:p>
        </w:tc>
        <w:tc>
          <w:tcPr>
            <w:tcW w:w="1612" w:type="dxa"/>
            <w:tcBorders>
              <w:right w:val="single" w:color="auto" w:sz="4" w:space="0"/>
            </w:tcBorders>
            <w:vAlign w:val="center"/>
          </w:tcPr>
          <w:p w14:paraId="381A3777">
            <w:pPr>
              <w:widowControl w:val="0"/>
              <w:autoSpaceDE w:val="0"/>
              <w:autoSpaceDN w:val="0"/>
              <w:spacing w:before="106" w:line="240" w:lineRule="auto"/>
              <w:ind w:left="87" w:right="75"/>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出勤情况</w:t>
            </w:r>
          </w:p>
        </w:tc>
        <w:tc>
          <w:tcPr>
            <w:tcW w:w="619" w:type="dxa"/>
            <w:tcBorders>
              <w:left w:val="single" w:color="auto" w:sz="4" w:space="0"/>
              <w:right w:val="single" w:color="auto" w:sz="4" w:space="0"/>
            </w:tcBorders>
            <w:vAlign w:val="center"/>
          </w:tcPr>
          <w:p w14:paraId="040BA9DE">
            <w:pPr>
              <w:widowControl w:val="0"/>
              <w:autoSpaceDE w:val="0"/>
              <w:autoSpaceDN w:val="0"/>
              <w:spacing w:before="106" w:line="240" w:lineRule="auto"/>
              <w:ind w:left="87" w:right="75"/>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10%</w:t>
            </w:r>
          </w:p>
        </w:tc>
        <w:tc>
          <w:tcPr>
            <w:tcW w:w="5444" w:type="dxa"/>
            <w:tcBorders>
              <w:left w:val="single" w:color="auto" w:sz="4" w:space="0"/>
              <w:right w:val="single" w:color="auto" w:sz="4" w:space="0"/>
            </w:tcBorders>
            <w:vAlign w:val="center"/>
          </w:tcPr>
          <w:p w14:paraId="3B340FDE">
            <w:pPr>
              <w:widowControl w:val="0"/>
              <w:autoSpaceDE w:val="0"/>
              <w:autoSpaceDN w:val="0"/>
              <w:spacing w:before="106" w:line="240" w:lineRule="auto"/>
              <w:ind w:left="87" w:right="75"/>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课堂不定期点名，考核能否按时到勤，旷课一次扣 20 分，迟到与早退一次扣 10 分。</w:t>
            </w:r>
          </w:p>
        </w:tc>
      </w:tr>
      <w:tr w14:paraId="2ACEE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9" w:hRule="atLeast"/>
        </w:trPr>
        <w:tc>
          <w:tcPr>
            <w:tcW w:w="1125" w:type="dxa"/>
            <w:vMerge w:val="continue"/>
            <w:vAlign w:val="center"/>
          </w:tcPr>
          <w:p w14:paraId="4041E5F4">
            <w:pPr>
              <w:widowControl w:val="0"/>
              <w:autoSpaceDE w:val="0"/>
              <w:autoSpaceDN w:val="0"/>
              <w:spacing w:before="107" w:line="240" w:lineRule="auto"/>
              <w:ind w:left="11"/>
              <w:jc w:val="center"/>
              <w:rPr>
                <w:rFonts w:hint="eastAsia" w:ascii="宋体" w:hAnsi="宋体" w:eastAsia="宋体" w:cs="宋体"/>
                <w:kern w:val="0"/>
                <w:sz w:val="21"/>
                <w:szCs w:val="21"/>
                <w:lang w:val="zh-CN" w:eastAsia="zh-CN" w:bidi="zh-CN"/>
              </w:rPr>
            </w:pPr>
          </w:p>
        </w:tc>
        <w:tc>
          <w:tcPr>
            <w:tcW w:w="1612" w:type="dxa"/>
            <w:tcBorders>
              <w:right w:val="single" w:color="auto" w:sz="4" w:space="0"/>
            </w:tcBorders>
            <w:vAlign w:val="center"/>
          </w:tcPr>
          <w:p w14:paraId="0C3BC0CC">
            <w:pPr>
              <w:widowControl w:val="0"/>
              <w:autoSpaceDE w:val="0"/>
              <w:autoSpaceDN w:val="0"/>
              <w:spacing w:before="107" w:line="240" w:lineRule="auto"/>
              <w:ind w:left="84" w:right="75"/>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课堂讨论</w:t>
            </w:r>
          </w:p>
          <w:p w14:paraId="4451A412">
            <w:pPr>
              <w:widowControl w:val="0"/>
              <w:autoSpaceDE w:val="0"/>
              <w:autoSpaceDN w:val="0"/>
              <w:spacing w:before="107" w:line="240" w:lineRule="auto"/>
              <w:ind w:left="84" w:right="75"/>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与作业</w:t>
            </w:r>
          </w:p>
        </w:tc>
        <w:tc>
          <w:tcPr>
            <w:tcW w:w="619" w:type="dxa"/>
            <w:tcBorders>
              <w:left w:val="single" w:color="auto" w:sz="4" w:space="0"/>
              <w:right w:val="single" w:color="auto" w:sz="4" w:space="0"/>
            </w:tcBorders>
            <w:vAlign w:val="center"/>
          </w:tcPr>
          <w:p w14:paraId="3BB75E8C">
            <w:pPr>
              <w:widowControl w:val="0"/>
              <w:autoSpaceDE w:val="0"/>
              <w:autoSpaceDN w:val="0"/>
              <w:spacing w:before="107" w:line="240" w:lineRule="auto"/>
              <w:ind w:left="84" w:right="75"/>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30%</w:t>
            </w:r>
          </w:p>
        </w:tc>
        <w:tc>
          <w:tcPr>
            <w:tcW w:w="5444" w:type="dxa"/>
            <w:tcBorders>
              <w:left w:val="single" w:color="auto" w:sz="4" w:space="0"/>
              <w:right w:val="single" w:color="auto" w:sz="4" w:space="0"/>
            </w:tcBorders>
            <w:vAlign w:val="center"/>
          </w:tcPr>
          <w:p w14:paraId="366F4274">
            <w:pPr>
              <w:widowControl w:val="0"/>
              <w:autoSpaceDE w:val="0"/>
              <w:autoSpaceDN w:val="0"/>
              <w:spacing w:before="107" w:line="240" w:lineRule="auto"/>
              <w:ind w:left="84" w:right="75"/>
              <w:rPr>
                <w:rFonts w:hint="eastAsia" w:ascii="宋体" w:hAnsi="宋体" w:eastAsia="宋体" w:cs="宋体"/>
                <w:kern w:val="0"/>
                <w:sz w:val="21"/>
                <w:szCs w:val="21"/>
                <w:lang w:val="zh-CN" w:eastAsia="zh-CN" w:bidi="zh-CN"/>
              </w:rPr>
            </w:pPr>
            <w:r>
              <w:rPr>
                <w:rFonts w:hint="eastAsia" w:ascii="宋体" w:hAnsi="宋体" w:eastAsia="宋体" w:cs="宋体"/>
                <w:spacing w:val="-4"/>
                <w:kern w:val="0"/>
                <w:sz w:val="21"/>
                <w:szCs w:val="21"/>
                <w:lang w:val="zh-CN" w:eastAsia="zh-CN" w:bidi="zh-CN"/>
              </w:rPr>
              <w:t>听课情况，关注学生听课的精神状态，随时做</w:t>
            </w:r>
            <w:r>
              <w:rPr>
                <w:rFonts w:hint="eastAsia" w:ascii="宋体" w:hAnsi="宋体" w:eastAsia="宋体" w:cs="宋体"/>
                <w:spacing w:val="-5"/>
                <w:kern w:val="0"/>
                <w:sz w:val="21"/>
                <w:szCs w:val="21"/>
                <w:lang w:val="zh-CN" w:eastAsia="zh-CN" w:bidi="zh-CN"/>
              </w:rPr>
              <w:t>记录，以督促学生按时上课，认真听讲；课堂专题讨论，提高学生上课精神的集中度，并考</w:t>
            </w:r>
            <w:r>
              <w:rPr>
                <w:rFonts w:hint="eastAsia" w:ascii="宋体" w:hAnsi="宋体" w:eastAsia="宋体" w:cs="宋体"/>
                <w:spacing w:val="-9"/>
                <w:kern w:val="0"/>
                <w:sz w:val="21"/>
                <w:szCs w:val="21"/>
                <w:lang w:val="zh-CN" w:eastAsia="zh-CN" w:bidi="zh-CN"/>
              </w:rPr>
              <w:t>察学生当堂课程的掌握情况</w:t>
            </w:r>
            <w:r>
              <w:rPr>
                <w:rFonts w:hint="eastAsia" w:ascii="宋体" w:hAnsi="宋体" w:eastAsia="宋体" w:cs="宋体"/>
                <w:spacing w:val="-3"/>
                <w:kern w:val="0"/>
                <w:sz w:val="21"/>
                <w:szCs w:val="21"/>
                <w:lang w:val="zh-CN" w:eastAsia="zh-CN" w:bidi="zh-CN"/>
              </w:rPr>
              <w:t>（</w:t>
            </w:r>
            <w:r>
              <w:rPr>
                <w:rFonts w:hint="eastAsia" w:ascii="宋体" w:hAnsi="宋体" w:eastAsia="宋体" w:cs="宋体"/>
                <w:kern w:val="0"/>
                <w:sz w:val="21"/>
                <w:szCs w:val="21"/>
                <w:lang w:val="zh-CN" w:eastAsia="zh-CN" w:bidi="zh-CN"/>
              </w:rPr>
              <w:t>占</w:t>
            </w:r>
            <w:r>
              <w:rPr>
                <w:rFonts w:hint="eastAsia" w:ascii="宋体" w:hAnsi="宋体" w:eastAsia="宋体" w:cs="宋体"/>
                <w:spacing w:val="-53"/>
                <w:kern w:val="0"/>
                <w:sz w:val="21"/>
                <w:szCs w:val="21"/>
                <w:lang w:val="zh-CN" w:eastAsia="zh-CN" w:bidi="zh-CN"/>
              </w:rPr>
              <w:t xml:space="preserve"> </w:t>
            </w:r>
            <w:r>
              <w:rPr>
                <w:rFonts w:hint="eastAsia" w:ascii="宋体" w:hAnsi="宋体" w:eastAsia="宋体" w:cs="宋体"/>
                <w:spacing w:val="-2"/>
                <w:kern w:val="0"/>
                <w:sz w:val="21"/>
                <w:szCs w:val="21"/>
                <w:lang w:val="zh-CN" w:eastAsia="zh-CN" w:bidi="zh-CN"/>
              </w:rPr>
              <w:t>30</w:t>
            </w:r>
            <w:r>
              <w:rPr>
                <w:rFonts w:hint="eastAsia" w:ascii="宋体" w:hAnsi="宋体" w:eastAsia="宋体" w:cs="宋体"/>
                <w:kern w:val="0"/>
                <w:sz w:val="21"/>
                <w:szCs w:val="21"/>
                <w:lang w:val="zh-CN" w:eastAsia="zh-CN" w:bidi="zh-CN"/>
              </w:rPr>
              <w:t>%</w:t>
            </w:r>
            <w:r>
              <w:rPr>
                <w:rFonts w:hint="eastAsia" w:ascii="宋体" w:hAnsi="宋体" w:eastAsia="宋体" w:cs="宋体"/>
                <w:spacing w:val="-106"/>
                <w:kern w:val="0"/>
                <w:sz w:val="21"/>
                <w:szCs w:val="21"/>
                <w:lang w:val="zh-CN" w:eastAsia="zh-CN" w:bidi="zh-CN"/>
              </w:rPr>
              <w:t>）</w:t>
            </w:r>
            <w:r>
              <w:rPr>
                <w:rFonts w:hint="eastAsia" w:ascii="宋体" w:hAnsi="宋体" w:eastAsia="宋体" w:cs="宋体"/>
                <w:spacing w:val="-15"/>
                <w:kern w:val="0"/>
                <w:sz w:val="21"/>
                <w:szCs w:val="21"/>
                <w:lang w:val="zh-CN" w:eastAsia="zh-CN" w:bidi="zh-CN"/>
              </w:rPr>
              <w:t>；课堂提</w:t>
            </w:r>
            <w:r>
              <w:rPr>
                <w:rFonts w:hint="eastAsia" w:ascii="宋体" w:hAnsi="宋体" w:eastAsia="宋体" w:cs="宋体"/>
                <w:spacing w:val="-8"/>
                <w:kern w:val="0"/>
                <w:sz w:val="21"/>
                <w:szCs w:val="21"/>
                <w:lang w:val="zh-CN" w:eastAsia="zh-CN" w:bidi="zh-CN"/>
              </w:rPr>
              <w:t xml:space="preserve">问，以目标为话题，课堂给出 </w:t>
            </w:r>
            <w:r>
              <w:rPr>
                <w:rFonts w:hint="eastAsia" w:ascii="宋体" w:hAnsi="宋体" w:eastAsia="宋体" w:cs="宋体"/>
                <w:kern w:val="0"/>
                <w:sz w:val="21"/>
                <w:szCs w:val="21"/>
                <w:lang w:val="zh-CN" w:eastAsia="zh-CN" w:bidi="zh-CN"/>
              </w:rPr>
              <w:t xml:space="preserve">3~5 </w:t>
            </w:r>
            <w:r>
              <w:rPr>
                <w:rFonts w:hint="eastAsia" w:ascii="宋体" w:hAnsi="宋体" w:eastAsia="宋体" w:cs="宋体"/>
                <w:spacing w:val="-4"/>
                <w:kern w:val="0"/>
                <w:sz w:val="21"/>
                <w:szCs w:val="21"/>
                <w:lang w:val="zh-CN" w:eastAsia="zh-CN" w:bidi="zh-CN"/>
              </w:rPr>
              <w:t>个题目，以测试学生的掌握情况；作业根据课堂记录与理</w:t>
            </w:r>
            <w:r>
              <w:rPr>
                <w:rFonts w:hint="eastAsia" w:ascii="宋体" w:hAnsi="宋体" w:eastAsia="宋体" w:cs="宋体"/>
                <w:spacing w:val="9"/>
                <w:kern w:val="0"/>
                <w:sz w:val="21"/>
                <w:szCs w:val="21"/>
                <w:lang w:val="zh-CN" w:eastAsia="zh-CN" w:bidi="zh-CN"/>
              </w:rPr>
              <w:t>解请概述老师每次讲课的核心内容概要（占</w:t>
            </w:r>
            <w:r>
              <w:rPr>
                <w:rFonts w:hint="eastAsia" w:ascii="宋体" w:hAnsi="宋体" w:eastAsia="宋体" w:cs="宋体"/>
                <w:kern w:val="0"/>
                <w:sz w:val="21"/>
                <w:szCs w:val="21"/>
                <w:lang w:val="zh-CN" w:eastAsia="zh-CN" w:bidi="zh-CN"/>
              </w:rPr>
              <w:t>7</w:t>
            </w:r>
            <w:r>
              <w:rPr>
                <w:rFonts w:hint="eastAsia" w:ascii="宋体" w:hAnsi="宋体" w:eastAsia="宋体" w:cs="宋体"/>
                <w:spacing w:val="-2"/>
                <w:kern w:val="0"/>
                <w:sz w:val="21"/>
                <w:szCs w:val="21"/>
                <w:lang w:val="zh-CN" w:eastAsia="zh-CN" w:bidi="zh-CN"/>
              </w:rPr>
              <w:t>0</w:t>
            </w:r>
            <w:r>
              <w:rPr>
                <w:rFonts w:hint="eastAsia" w:ascii="宋体" w:hAnsi="宋体" w:eastAsia="宋体" w:cs="宋体"/>
                <w:kern w:val="0"/>
                <w:sz w:val="21"/>
                <w:szCs w:val="21"/>
                <w:lang w:val="zh-CN" w:eastAsia="zh-CN" w:bidi="zh-CN"/>
              </w:rPr>
              <w:t>%</w:t>
            </w:r>
            <w:r>
              <w:rPr>
                <w:rFonts w:hint="eastAsia" w:ascii="宋体" w:hAnsi="宋体" w:eastAsia="宋体" w:cs="宋体"/>
                <w:spacing w:val="-106"/>
                <w:kern w:val="0"/>
                <w:sz w:val="21"/>
                <w:szCs w:val="21"/>
                <w:lang w:val="zh-CN" w:eastAsia="zh-CN" w:bidi="zh-CN"/>
              </w:rPr>
              <w:t>）</w:t>
            </w:r>
            <w:r>
              <w:rPr>
                <w:rFonts w:hint="eastAsia" w:ascii="宋体" w:hAnsi="宋体" w:eastAsia="宋体" w:cs="宋体"/>
                <w:kern w:val="0"/>
                <w:sz w:val="21"/>
                <w:szCs w:val="21"/>
                <w:lang w:val="zh-CN" w:eastAsia="zh-CN" w:bidi="zh-CN"/>
              </w:rPr>
              <w:t>。</w:t>
            </w:r>
          </w:p>
        </w:tc>
      </w:tr>
      <w:tr w14:paraId="39948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6" w:hRule="atLeast"/>
        </w:trPr>
        <w:tc>
          <w:tcPr>
            <w:tcW w:w="1125" w:type="dxa"/>
            <w:vAlign w:val="center"/>
          </w:tcPr>
          <w:p w14:paraId="7A459599">
            <w:pPr>
              <w:widowControl w:val="0"/>
              <w:autoSpaceDE w:val="0"/>
              <w:autoSpaceDN w:val="0"/>
              <w:spacing w:before="107" w:line="240" w:lineRule="auto"/>
              <w:ind w:left="11"/>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期末考核</w:t>
            </w:r>
          </w:p>
        </w:tc>
        <w:tc>
          <w:tcPr>
            <w:tcW w:w="1612" w:type="dxa"/>
            <w:tcBorders>
              <w:right w:val="single" w:color="auto" w:sz="4" w:space="0"/>
            </w:tcBorders>
            <w:vAlign w:val="center"/>
          </w:tcPr>
          <w:p w14:paraId="4F43D2F3">
            <w:pPr>
              <w:widowControl w:val="0"/>
              <w:autoSpaceDE w:val="0"/>
              <w:autoSpaceDN w:val="0"/>
              <w:spacing w:before="25" w:line="240" w:lineRule="auto"/>
              <w:ind w:left="87" w:right="75"/>
              <w:jc w:val="center"/>
              <w:rPr>
                <w:rFonts w:hint="eastAsia" w:ascii="宋体" w:hAnsi="宋体" w:eastAsia="宋体" w:cs="宋体"/>
                <w:kern w:val="0"/>
                <w:sz w:val="21"/>
                <w:szCs w:val="21"/>
                <w:lang w:val="zh-CN" w:eastAsia="zh-CN" w:bidi="zh-CN"/>
              </w:rPr>
            </w:pPr>
            <w:r>
              <w:rPr>
                <w:rFonts w:hint="eastAsia" w:ascii="宋体" w:hAnsi="宋体" w:eastAsia="宋体" w:cs="宋体"/>
                <w:spacing w:val="-2"/>
                <w:kern w:val="0"/>
                <w:sz w:val="21"/>
                <w:szCs w:val="21"/>
                <w:lang w:val="zh-CN" w:eastAsia="zh-CN" w:bidi="zh-CN"/>
              </w:rPr>
              <w:t>生涯发展报告</w:t>
            </w:r>
          </w:p>
        </w:tc>
        <w:tc>
          <w:tcPr>
            <w:tcW w:w="619" w:type="dxa"/>
            <w:tcBorders>
              <w:left w:val="single" w:color="auto" w:sz="4" w:space="0"/>
              <w:right w:val="single" w:color="auto" w:sz="4" w:space="0"/>
            </w:tcBorders>
            <w:vAlign w:val="center"/>
          </w:tcPr>
          <w:p w14:paraId="56C46270">
            <w:pPr>
              <w:widowControl w:val="0"/>
              <w:autoSpaceDE w:val="0"/>
              <w:autoSpaceDN w:val="0"/>
              <w:spacing w:before="25" w:line="240" w:lineRule="auto"/>
              <w:ind w:left="87" w:right="75"/>
              <w:jc w:val="center"/>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60%</w:t>
            </w:r>
          </w:p>
        </w:tc>
        <w:tc>
          <w:tcPr>
            <w:tcW w:w="5444" w:type="dxa"/>
            <w:tcBorders>
              <w:left w:val="single" w:color="auto" w:sz="4" w:space="0"/>
              <w:right w:val="single" w:color="auto" w:sz="4" w:space="0"/>
            </w:tcBorders>
            <w:vAlign w:val="center"/>
          </w:tcPr>
          <w:p w14:paraId="2276C9A8">
            <w:pPr>
              <w:widowControl w:val="0"/>
              <w:autoSpaceDE w:val="0"/>
              <w:autoSpaceDN w:val="0"/>
              <w:spacing w:before="25" w:line="240" w:lineRule="auto"/>
              <w:ind w:right="75"/>
              <w:rPr>
                <w:rFonts w:hint="eastAsia" w:ascii="宋体" w:hAnsi="宋体" w:eastAsia="宋体" w:cs="宋体"/>
                <w:kern w:val="0"/>
                <w:sz w:val="21"/>
                <w:szCs w:val="21"/>
                <w:lang w:val="zh-CN" w:eastAsia="zh-CN" w:bidi="zh-CN"/>
              </w:rPr>
            </w:pPr>
            <w:r>
              <w:rPr>
                <w:rFonts w:hint="eastAsia" w:ascii="宋体" w:hAnsi="宋体" w:eastAsia="宋体" w:cs="宋体"/>
                <w:spacing w:val="-2"/>
                <w:kern w:val="0"/>
                <w:sz w:val="21"/>
                <w:szCs w:val="21"/>
                <w:lang w:val="zh-CN" w:eastAsia="zh-CN" w:bidi="zh-CN"/>
              </w:rPr>
              <w:t>生涯发展报告</w:t>
            </w:r>
            <w:r>
              <w:rPr>
                <w:rFonts w:hint="eastAsia" w:ascii="宋体" w:hAnsi="宋体" w:eastAsia="宋体" w:cs="宋体"/>
                <w:spacing w:val="-3"/>
                <w:kern w:val="0"/>
                <w:sz w:val="21"/>
                <w:szCs w:val="21"/>
                <w:lang w:val="zh-CN" w:eastAsia="zh-CN" w:bidi="zh-CN"/>
              </w:rPr>
              <w:t>全面考核学生对课程目标</w:t>
            </w:r>
            <w:r>
              <w:rPr>
                <w:rFonts w:hint="eastAsia" w:ascii="宋体" w:hAnsi="宋体" w:eastAsia="宋体" w:cs="宋体"/>
                <w:spacing w:val="-5"/>
                <w:kern w:val="0"/>
                <w:sz w:val="21"/>
                <w:szCs w:val="21"/>
                <w:lang w:val="zh-CN" w:eastAsia="zh-CN" w:bidi="zh-CN"/>
              </w:rPr>
              <w:t>的达成情况。</w:t>
            </w:r>
            <w:r>
              <w:rPr>
                <w:rFonts w:hint="eastAsia" w:ascii="宋体" w:hAnsi="宋体" w:eastAsia="宋体" w:cs="宋体"/>
                <w:spacing w:val="-2"/>
                <w:kern w:val="0"/>
                <w:sz w:val="21"/>
                <w:szCs w:val="21"/>
                <w:lang w:val="zh-CN" w:eastAsia="zh-CN" w:bidi="zh-CN"/>
              </w:rPr>
              <w:t>介绍职业发展规划、实现职业目标的具体行动和成果（PDF 格式，文字不超过 1500 字，</w:t>
            </w:r>
            <w:r>
              <w:rPr>
                <w:rFonts w:hint="eastAsia" w:ascii="宋体" w:hAnsi="宋体" w:eastAsia="宋体" w:cs="宋体"/>
                <w:spacing w:val="-3"/>
                <w:kern w:val="0"/>
                <w:sz w:val="21"/>
                <w:szCs w:val="21"/>
                <w:lang w:val="zh-CN" w:eastAsia="zh-CN" w:bidi="zh-CN"/>
              </w:rPr>
              <w:t xml:space="preserve">如有图表不超过 5 </w:t>
            </w:r>
            <w:r>
              <w:rPr>
                <w:rFonts w:hint="eastAsia" w:ascii="宋体" w:hAnsi="宋体" w:eastAsia="宋体" w:cs="宋体"/>
                <w:spacing w:val="-5"/>
                <w:kern w:val="0"/>
                <w:sz w:val="21"/>
                <w:szCs w:val="21"/>
                <w:lang w:val="zh-CN" w:eastAsia="zh-CN" w:bidi="zh-CN"/>
              </w:rPr>
              <w:t>张）。</w:t>
            </w:r>
          </w:p>
        </w:tc>
      </w:tr>
    </w:tbl>
    <w:p w14:paraId="79D3C263">
      <w:pPr>
        <w:spacing w:before="62" w:beforeLines="20" w:after="62" w:afterLines="20" w:line="360" w:lineRule="auto"/>
        <w:jc w:val="left"/>
        <w:rPr>
          <w:rFonts w:hint="eastAsia" w:ascii="Times New Roman" w:hAnsi="Times New Roman" w:eastAsia="宋体" w:cs="Times New Roman"/>
          <w:b/>
          <w:sz w:val="24"/>
          <w:lang w:val="zh-CN" w:eastAsia="zh-CN"/>
        </w:rPr>
      </w:pPr>
      <w:r>
        <w:rPr>
          <w:rFonts w:hint="eastAsia" w:ascii="Times New Roman" w:hAnsi="Times New Roman" w:eastAsia="宋体" w:cs="Times New Roman"/>
          <w:b/>
          <w:sz w:val="24"/>
          <w:lang w:val="zh-CN" w:eastAsia="zh-CN"/>
        </w:rPr>
        <w:t>六、有关说明</w:t>
      </w:r>
    </w:p>
    <w:p w14:paraId="0D1269A3">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jc w:val="left"/>
        <w:textAlignment w:val="auto"/>
        <w:rPr>
          <w:rFonts w:hint="eastAsia" w:ascii="宋体" w:hAnsi="宋体" w:eastAsia="宋体" w:cs="宋体"/>
          <w:kern w:val="0"/>
          <w:sz w:val="21"/>
          <w:szCs w:val="21"/>
          <w:lang w:val="zh-CN" w:eastAsia="zh-CN" w:bidi="zh-CN"/>
        </w:rPr>
      </w:pPr>
      <w:r>
        <w:rPr>
          <w:rFonts w:hint="eastAsia" w:ascii="宋体" w:hAnsi="宋体" w:eastAsia="宋体" w:cs="宋体"/>
          <w:kern w:val="0"/>
          <w:sz w:val="21"/>
          <w:szCs w:val="21"/>
          <w:lang w:val="zh-CN" w:eastAsia="zh-CN" w:bidi="zh-CN"/>
        </w:rPr>
        <w:t>本课程根据学生课堂讨论、平时考核情况和学生、教学督导等反馈，及时对教学中不足之处进行改进，并在下一轮课程教学中改进提高，确保相应毕业要求指标点达成。</w:t>
      </w:r>
    </w:p>
    <w:p w14:paraId="5F59F1F2">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right"/>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 xml:space="preserve">                                           执笔人：庄燕青</w:t>
      </w:r>
    </w:p>
    <w:p w14:paraId="3620E275">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right"/>
        <w:textAlignment w:val="auto"/>
        <w:rPr>
          <w:rFonts w:hint="eastAsia" w:ascii="宋体" w:hAnsi="宋体" w:eastAsia="宋体" w:cs="宋体"/>
          <w:kern w:val="0"/>
          <w:sz w:val="21"/>
          <w:szCs w:val="21"/>
          <w:lang w:val="en-US" w:eastAsia="zh-CN" w:bidi="zh-CN"/>
        </w:rPr>
      </w:pPr>
      <w:r>
        <w:rPr>
          <w:rFonts w:hint="eastAsia" w:ascii="宋体" w:hAnsi="宋体" w:eastAsia="宋体" w:cs="宋体"/>
          <w:kern w:val="0"/>
          <w:sz w:val="21"/>
          <w:szCs w:val="21"/>
          <w:lang w:val="en-US" w:eastAsia="zh-CN" w:bidi="zh-CN"/>
        </w:rPr>
        <w:t xml:space="preserve">                             审定人：高  静</w:t>
      </w:r>
    </w:p>
    <w:p w14:paraId="6BB83D62">
      <w:pPr>
        <w:spacing w:line="360" w:lineRule="auto"/>
        <w:jc w:val="right"/>
        <w:rPr>
          <w:rFonts w:hint="eastAsia" w:ascii="等线" w:hAnsi="等线" w:eastAsia="等线" w:cs="Times New Roman"/>
          <w:color w:val="auto"/>
          <w:szCs w:val="21"/>
        </w:rPr>
      </w:pPr>
      <w:r>
        <w:rPr>
          <w:rFonts w:hint="eastAsia" w:ascii="宋体" w:hAnsi="宋体" w:eastAsia="宋体" w:cs="宋体"/>
          <w:kern w:val="0"/>
          <w:sz w:val="21"/>
          <w:szCs w:val="21"/>
          <w:lang w:val="en-US" w:eastAsia="zh-CN" w:bidi="zh-CN"/>
        </w:rPr>
        <w:t xml:space="preserve">                                                           审批人：周嘉禾 </w:t>
      </w:r>
      <w:r>
        <w:rPr>
          <w:rFonts w:hint="eastAsia" w:ascii="等线" w:hAnsi="等线" w:eastAsia="等线" w:cs="Times New Roman"/>
          <w:color w:val="auto"/>
          <w:szCs w:val="21"/>
        </w:rPr>
        <w:t xml:space="preserve"> </w:t>
      </w:r>
    </w:p>
    <w:p w14:paraId="1617CA92">
      <w:pPr>
        <w:spacing w:line="360" w:lineRule="auto"/>
        <w:ind w:firstLine="6090" w:firstLineChars="2900"/>
        <w:jc w:val="right"/>
        <w:rPr>
          <w:rFonts w:hint="default" w:ascii="等线" w:hAnsi="等线" w:eastAsia="等线" w:cs="Times New Roman"/>
          <w:color w:val="auto"/>
          <w:szCs w:val="21"/>
          <w:lang w:val="en-US" w:eastAsia="zh-CN"/>
        </w:rPr>
      </w:pPr>
      <w:r>
        <w:rPr>
          <w:rFonts w:hint="eastAsia" w:ascii="等线" w:hAnsi="等线" w:eastAsia="等线" w:cs="Times New Roman"/>
          <w:color w:val="auto"/>
          <w:szCs w:val="21"/>
        </w:rPr>
        <w:t xml:space="preserve"> </w:t>
      </w:r>
      <w:r>
        <w:rPr>
          <w:rFonts w:hint="eastAsia" w:asciiTheme="minorEastAsia" w:hAnsiTheme="minorEastAsia" w:eastAsiaTheme="minorEastAsia" w:cstheme="minorEastAsia"/>
          <w:color w:val="auto"/>
          <w:szCs w:val="21"/>
          <w:lang w:val="en-US" w:eastAsia="zh-CN"/>
        </w:rPr>
        <w:t xml:space="preserve">审批时间：2025年8月 </w:t>
      </w:r>
    </w:p>
    <w:p w14:paraId="29C30128">
      <w:pPr>
        <w:pStyle w:val="14"/>
        <w:rPr>
          <w:rFonts w:hint="eastAsia"/>
          <w:color w:val="auto"/>
        </w:rPr>
      </w:pPr>
      <w:r>
        <w:rPr>
          <w:color w:val="auto"/>
        </w:rPr>
        <w:br w:type="page"/>
      </w:r>
    </w:p>
    <w:p w14:paraId="39102543">
      <w:pPr>
        <w:pStyle w:val="3"/>
        <w:rPr>
          <w:color w:val="auto"/>
        </w:rPr>
      </w:pPr>
      <w:bookmarkStart w:id="41" w:name="_Toc21761"/>
      <w:r>
        <w:rPr>
          <w:rFonts w:hint="eastAsia"/>
          <w:color w:val="auto"/>
        </w:rPr>
        <w:t>《大学生就业指导》课程教学大纲</w:t>
      </w:r>
      <w:bookmarkEnd w:id="41"/>
    </w:p>
    <w:p w14:paraId="3B724AFD">
      <w:pPr>
        <w:spacing w:line="360" w:lineRule="auto"/>
        <w:jc w:val="center"/>
        <w:rPr>
          <w:rFonts w:ascii="Times New Roman" w:hAnsi="Times New Roman" w:eastAsia="宋体" w:cs="Times New Roman"/>
          <w:b/>
          <w:bCs/>
          <w:color w:val="auto"/>
          <w:sz w:val="28"/>
          <w:szCs w:val="28"/>
        </w:rPr>
      </w:pPr>
      <w:r>
        <w:rPr>
          <w:rFonts w:ascii="宋体" w:hAnsi="宋体" w:eastAsia="宋体" w:cs="Times New Roman"/>
          <w:b/>
          <w:bCs/>
          <w:color w:val="auto"/>
          <w:sz w:val="28"/>
          <w:szCs w:val="28"/>
        </w:rPr>
        <w:t>（</w:t>
      </w:r>
      <w:r>
        <w:rPr>
          <w:rFonts w:hint="eastAsia" w:ascii="Times New Roman" w:hAnsi="Times New Roman" w:eastAsia="宋体" w:cs="Times New Roman"/>
          <w:b/>
          <w:bCs/>
          <w:color w:val="auto"/>
          <w:sz w:val="28"/>
          <w:szCs w:val="28"/>
        </w:rPr>
        <w:t>College Students Career Guidance</w:t>
      </w:r>
      <w:r>
        <w:rPr>
          <w:rFonts w:ascii="宋体" w:hAnsi="宋体" w:eastAsia="宋体" w:cs="Times New Roman"/>
          <w:b/>
          <w:bCs/>
          <w:color w:val="auto"/>
          <w:sz w:val="28"/>
          <w:szCs w:val="28"/>
        </w:rPr>
        <w:t>）</w:t>
      </w:r>
    </w:p>
    <w:p w14:paraId="2AB3A8F9">
      <w:pPr>
        <w:spacing w:line="360" w:lineRule="auto"/>
        <w:jc w:val="center"/>
        <w:rPr>
          <w:rFonts w:ascii="Times New Roman" w:hAnsi="Times New Roman" w:eastAsia="宋体" w:cs="Times New Roman"/>
          <w:bCs/>
          <w:color w:val="auto"/>
          <w:sz w:val="30"/>
          <w:szCs w:val="30"/>
        </w:rPr>
      </w:pPr>
      <w:r>
        <w:rPr>
          <w:rFonts w:ascii="Times New Roman" w:hAnsi="Times New Roman" w:eastAsia="宋体" w:cs="Times New Roman"/>
          <w:bCs/>
          <w:color w:val="auto"/>
          <w:sz w:val="30"/>
          <w:szCs w:val="30"/>
        </w:rPr>
        <w:t xml:space="preserve"> </w:t>
      </w:r>
    </w:p>
    <w:p w14:paraId="16E76E7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课程名称：大学生就业指导</w:t>
      </w:r>
    </w:p>
    <w:p w14:paraId="4784B0E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课程代码：0000007</w:t>
      </w:r>
    </w:p>
    <w:p w14:paraId="48827AAF">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分：0.5</w:t>
      </w:r>
    </w:p>
    <w:p w14:paraId="50A9685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时：8</w:t>
      </w:r>
    </w:p>
    <w:p w14:paraId="0E148024">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先修课程：大学生职业生涯规划</w:t>
      </w:r>
    </w:p>
    <w:p w14:paraId="438490D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适用专业：所有专业</w:t>
      </w:r>
    </w:p>
    <w:p w14:paraId="772E8FA0">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5048E17D">
      <w:pPr>
        <w:spacing w:line="360" w:lineRule="auto"/>
        <w:ind w:firstLine="420" w:firstLineChars="200"/>
        <w:jc w:val="left"/>
        <w:rPr>
          <w:rFonts w:hint="eastAsia" w:ascii="宋体" w:hAnsi="宋体" w:eastAsia="宋体" w:cs="Times New Roman"/>
          <w:b/>
          <w:szCs w:val="21"/>
        </w:rPr>
      </w:pPr>
      <w:r>
        <w:rPr>
          <w:rFonts w:hint="eastAsia" w:ascii="Times New Roman" w:hAnsi="Times New Roman" w:eastAsia="宋体" w:cs="Times New Roman"/>
          <w:szCs w:val="21"/>
        </w:rPr>
        <w:t>本课程是针对所有在校全日制本科学生开设的公共必修课程。该课程是帮助大学生了解国家就业形势和政策，引导大学生充分认知自我，合理调整职业预期，树立正确的择业观，增强就业竞争意识，掌握求职择业的基本常识和技巧，把握大学生就业市场的特点和功能，提高大学生的择业、就业能力。通过该课程的学习，让学生对社会、职业和自己有更好的认知，积极适应职业角色和社会环境，培养学生尽快适应社会的能力，做好从“学校人”到“社会人”转变的准备。</w:t>
      </w:r>
    </w:p>
    <w:p w14:paraId="149C1982">
      <w:pPr>
        <w:spacing w:before="62" w:beforeLines="20" w:after="62" w:afterLines="20" w:line="360" w:lineRule="auto"/>
        <w:jc w:val="left"/>
        <w:rPr>
          <w:rFonts w:hint="eastAsia" w:ascii="宋体" w:hAnsi="宋体" w:eastAsia="宋体" w:cs="宋体"/>
          <w:color w:val="000000"/>
          <w:kern w:val="2"/>
          <w:sz w:val="21"/>
          <w:szCs w:val="21"/>
          <w:lang w:val="en-US" w:eastAsia="zh-CN" w:bidi="ar-SA"/>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30A3641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目标1：了解国家就业形势与政策，树立正确的就业观和择业观。</w:t>
      </w:r>
      <w:r>
        <w:rPr>
          <w:rFonts w:hint="eastAsia" w:ascii="宋体" w:hAnsi="宋体" w:eastAsia="宋体" w:cs="宋体"/>
          <w:i w:val="0"/>
          <w:iCs w:val="0"/>
          <w:caps w:val="0"/>
          <w:color w:val="000000"/>
          <w:spacing w:val="0"/>
          <w:kern w:val="2"/>
          <w:sz w:val="21"/>
          <w:szCs w:val="21"/>
          <w:shd w:val="clear" w:fill="FFFFFF"/>
          <w:lang w:val="en-US" w:eastAsia="zh-CN" w:bidi="ar-SA"/>
        </w:rPr>
        <w:br w:type="textWrapping"/>
      </w:r>
      <w:r>
        <w:rPr>
          <w:rFonts w:hint="eastAsia" w:ascii="宋体" w:hAnsi="宋体" w:eastAsia="宋体" w:cs="宋体"/>
          <w:i w:val="0"/>
          <w:iCs w:val="0"/>
          <w:caps w:val="0"/>
          <w:color w:val="000000"/>
          <w:spacing w:val="0"/>
          <w:kern w:val="2"/>
          <w:sz w:val="21"/>
          <w:szCs w:val="21"/>
          <w:shd w:val="clear" w:fill="FFFFFF"/>
          <w:lang w:val="en-US" w:eastAsia="zh-CN" w:bidi="ar-SA"/>
        </w:rPr>
        <w:t xml:space="preserve">    目标2：掌握求职基本技能，包括简历制作、面试技巧、信息获取与利用。</w:t>
      </w:r>
      <w:r>
        <w:rPr>
          <w:rFonts w:hint="eastAsia" w:ascii="宋体" w:hAnsi="宋体" w:eastAsia="宋体" w:cs="宋体"/>
          <w:i w:val="0"/>
          <w:iCs w:val="0"/>
          <w:caps w:val="0"/>
          <w:color w:val="000000"/>
          <w:spacing w:val="0"/>
          <w:kern w:val="2"/>
          <w:sz w:val="21"/>
          <w:szCs w:val="21"/>
          <w:shd w:val="clear" w:fill="FFFFFF"/>
          <w:lang w:val="en-US" w:eastAsia="zh-CN" w:bidi="ar-SA"/>
        </w:rPr>
        <w:br w:type="textWrapping"/>
      </w:r>
      <w:r>
        <w:rPr>
          <w:rFonts w:hint="eastAsia" w:ascii="宋体" w:hAnsi="宋体" w:eastAsia="宋体" w:cs="宋体"/>
          <w:i w:val="0"/>
          <w:iCs w:val="0"/>
          <w:caps w:val="0"/>
          <w:color w:val="000000"/>
          <w:spacing w:val="0"/>
          <w:kern w:val="2"/>
          <w:sz w:val="21"/>
          <w:szCs w:val="21"/>
          <w:shd w:val="clear" w:fill="FFFFFF"/>
          <w:lang w:val="en-US" w:eastAsia="zh-CN" w:bidi="ar-SA"/>
        </w:rPr>
        <w:t xml:space="preserve">    目标3：增强就业竞争意识和职场适应能力，提高就业竞争力。</w:t>
      </w:r>
      <w:r>
        <w:rPr>
          <w:rFonts w:hint="eastAsia" w:ascii="宋体" w:hAnsi="宋体" w:eastAsia="宋体" w:cs="宋体"/>
          <w:i w:val="0"/>
          <w:iCs w:val="0"/>
          <w:caps w:val="0"/>
          <w:color w:val="000000"/>
          <w:spacing w:val="0"/>
          <w:kern w:val="2"/>
          <w:sz w:val="21"/>
          <w:szCs w:val="21"/>
          <w:shd w:val="clear" w:fill="FFFFFF"/>
          <w:lang w:val="en-US" w:eastAsia="zh-CN" w:bidi="ar-SA"/>
        </w:rPr>
        <w:br w:type="textWrapping"/>
      </w:r>
      <w:r>
        <w:rPr>
          <w:rFonts w:hint="eastAsia" w:ascii="宋体" w:hAnsi="宋体" w:eastAsia="宋体" w:cs="宋体"/>
          <w:i w:val="0"/>
          <w:iCs w:val="0"/>
          <w:caps w:val="0"/>
          <w:color w:val="000000"/>
          <w:spacing w:val="0"/>
          <w:kern w:val="2"/>
          <w:sz w:val="21"/>
          <w:szCs w:val="21"/>
          <w:shd w:val="clear" w:fill="FFFFFF"/>
          <w:lang w:val="en-US" w:eastAsia="zh-CN" w:bidi="ar-SA"/>
        </w:rPr>
        <w:t xml:space="preserve">    目标4：熟悉就业相关法律法规，掌握就业权益保护的基本方法。</w:t>
      </w:r>
      <w:r>
        <w:rPr>
          <w:rFonts w:hint="eastAsia" w:ascii="宋体" w:hAnsi="宋体" w:eastAsia="宋体" w:cs="宋体"/>
          <w:i w:val="0"/>
          <w:iCs w:val="0"/>
          <w:caps w:val="0"/>
          <w:color w:val="000000"/>
          <w:spacing w:val="0"/>
          <w:kern w:val="2"/>
          <w:sz w:val="21"/>
          <w:szCs w:val="21"/>
          <w:shd w:val="clear" w:fill="FFFFFF"/>
          <w:lang w:val="en-US" w:eastAsia="zh-CN" w:bidi="ar-SA"/>
        </w:rPr>
        <w:br w:type="textWrapping"/>
      </w:r>
      <w:r>
        <w:rPr>
          <w:rFonts w:hint="eastAsia" w:ascii="宋体" w:hAnsi="宋体" w:eastAsia="宋体" w:cs="宋体"/>
          <w:i w:val="0"/>
          <w:iCs w:val="0"/>
          <w:caps w:val="0"/>
          <w:color w:val="000000"/>
          <w:spacing w:val="0"/>
          <w:kern w:val="2"/>
          <w:sz w:val="21"/>
          <w:szCs w:val="21"/>
          <w:shd w:val="clear" w:fill="FFFFFF"/>
          <w:lang w:val="en-US" w:eastAsia="zh-CN" w:bidi="ar-SA"/>
        </w:rPr>
        <w:t xml:space="preserve">    目标5：引导学生开展初步创业探索，培养创业意识与基本素养。</w:t>
      </w:r>
    </w:p>
    <w:p w14:paraId="3755528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2" w:firstLineChars="200"/>
        <w:jc w:val="both"/>
        <w:rPr>
          <w:rFonts w:hint="eastAsia" w:ascii="宋体" w:hAnsi="宋体" w:eastAsia="宋体" w:cs="宋体"/>
          <w:b/>
          <w:bCs/>
          <w:i w:val="0"/>
          <w:iCs w:val="0"/>
          <w:caps w:val="0"/>
          <w:color w:val="000000"/>
          <w:spacing w:val="0"/>
          <w:kern w:val="2"/>
          <w:sz w:val="21"/>
          <w:szCs w:val="21"/>
          <w:shd w:val="clear" w:fill="FFFFFF"/>
          <w:lang w:val="en-US" w:eastAsia="zh-CN" w:bidi="ar-SA"/>
        </w:rPr>
      </w:pPr>
      <w:r>
        <w:rPr>
          <w:rFonts w:hint="eastAsia" w:ascii="宋体" w:hAnsi="宋体" w:eastAsia="宋体" w:cs="宋体"/>
          <w:b/>
          <w:bCs/>
          <w:i w:val="0"/>
          <w:iCs w:val="0"/>
          <w:caps w:val="0"/>
          <w:color w:val="000000"/>
          <w:spacing w:val="0"/>
          <w:kern w:val="2"/>
          <w:sz w:val="21"/>
          <w:szCs w:val="21"/>
          <w:shd w:val="clear" w:fill="FFFFFF"/>
          <w:lang w:val="en-US" w:eastAsia="zh-CN" w:bidi="ar-SA"/>
        </w:rPr>
        <w:t>课程思政育人目标：</w:t>
      </w:r>
    </w:p>
    <w:p w14:paraId="09FCE697">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528" w:rightChars="0" w:firstLine="420" w:firstLineChars="200"/>
        <w:jc w:val="both"/>
        <w:rPr>
          <w:rFonts w:hint="eastAsia" w:ascii="宋体" w:hAnsi="宋体" w:eastAsia="宋体" w:cs="宋体"/>
          <w:i w:val="0"/>
          <w:iCs w:val="0"/>
          <w:caps w:val="0"/>
          <w:color w:val="000000"/>
          <w:spacing w:val="0"/>
          <w:kern w:val="2"/>
          <w:sz w:val="21"/>
          <w:szCs w:val="21"/>
          <w:shd w:val="clear" w:fill="FFFFFF"/>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1.弘扬社会主义核心价值观，引导学生树立服务国家、奉献社会的职业理想。</w:t>
      </w:r>
      <w:r>
        <w:rPr>
          <w:rFonts w:hint="eastAsia" w:ascii="宋体" w:hAnsi="宋体" w:eastAsia="宋体" w:cs="宋体"/>
          <w:i w:val="0"/>
          <w:iCs w:val="0"/>
          <w:caps w:val="0"/>
          <w:color w:val="000000"/>
          <w:spacing w:val="0"/>
          <w:kern w:val="2"/>
          <w:sz w:val="21"/>
          <w:szCs w:val="21"/>
          <w:shd w:val="clear" w:fill="FFFFFF"/>
          <w:lang w:val="en-US" w:eastAsia="zh-CN" w:bidi="ar-SA"/>
        </w:rPr>
        <w:br w:type="textWrapping"/>
      </w:r>
      <w:r>
        <w:rPr>
          <w:rFonts w:hint="eastAsia" w:ascii="宋体" w:hAnsi="宋体" w:eastAsia="宋体" w:cs="宋体"/>
          <w:i w:val="0"/>
          <w:iCs w:val="0"/>
          <w:caps w:val="0"/>
          <w:color w:val="000000"/>
          <w:spacing w:val="0"/>
          <w:kern w:val="2"/>
          <w:sz w:val="21"/>
          <w:szCs w:val="21"/>
          <w:shd w:val="clear" w:fill="FFFFFF"/>
          <w:lang w:val="en-US" w:eastAsia="zh-CN" w:bidi="ar-SA"/>
        </w:rPr>
        <w:t xml:space="preserve">    2.强化诚信意识、法治意识和契约精神，培养社会责任感和职业道德。</w:t>
      </w:r>
    </w:p>
    <w:p w14:paraId="2F41901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528" w:rightChars="0"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3.鼓励学生立足专业、扎根基层，在奋斗中实现人生价值。</w:t>
      </w:r>
    </w:p>
    <w:p w14:paraId="3ED2BC6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课程目标与毕业要求观测点的对应关系如表1所示。</w:t>
      </w:r>
    </w:p>
    <w:p w14:paraId="1351C02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28" w:right="528" w:firstLine="420" w:firstLineChars="200"/>
        <w:jc w:val="center"/>
        <w:rPr>
          <w:rFonts w:hint="eastAsia" w:ascii="宋体" w:hAnsi="宋体" w:eastAsia="宋体" w:cs="宋体"/>
          <w:i w:val="0"/>
          <w:iCs w:val="0"/>
          <w:caps w:val="0"/>
          <w:color w:val="000000"/>
          <w:spacing w:val="0"/>
          <w:kern w:val="2"/>
          <w:sz w:val="21"/>
          <w:szCs w:val="21"/>
          <w:shd w:val="clear" w:fill="FFFFFF"/>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表1 课程目标与毕业要求观测点的对应关系</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6020"/>
        <w:gridCol w:w="1538"/>
      </w:tblGrid>
      <w:tr w14:paraId="26EA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072E3A1C">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w:t>
            </w:r>
          </w:p>
        </w:tc>
        <w:tc>
          <w:tcPr>
            <w:tcW w:w="6020" w:type="dxa"/>
            <w:vAlign w:val="center"/>
          </w:tcPr>
          <w:p w14:paraId="44C414F5">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毕业要求指标点</w:t>
            </w:r>
          </w:p>
        </w:tc>
        <w:tc>
          <w:tcPr>
            <w:tcW w:w="1538" w:type="dxa"/>
            <w:vAlign w:val="center"/>
          </w:tcPr>
          <w:p w14:paraId="56C0393E">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课程目标</w:t>
            </w:r>
          </w:p>
        </w:tc>
      </w:tr>
      <w:tr w14:paraId="1E81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7EB8459C">
            <w:pPr>
              <w:jc w:val="center"/>
              <w:rPr>
                <w:rFonts w:ascii="宋体" w:hAnsi="宋体" w:eastAsia="宋体" w:cs="Times New Roman"/>
                <w:b w:val="0"/>
                <w:bCs w:val="0"/>
                <w:szCs w:val="23"/>
              </w:rPr>
            </w:pPr>
            <w:r>
              <w:rPr>
                <w:rFonts w:ascii="宋体" w:hAnsi="宋体" w:eastAsia="宋体" w:cs="Times New Roman"/>
                <w:b w:val="0"/>
                <w:bCs w:val="0"/>
                <w:szCs w:val="23"/>
              </w:rPr>
              <w:t>毕业要求1</w:t>
            </w:r>
          </w:p>
          <w:p w14:paraId="57C5F5E1">
            <w:pPr>
              <w:jc w:val="center"/>
              <w:rPr>
                <w:rFonts w:hint="eastAsia" w:ascii="宋体" w:hAnsi="宋体" w:eastAsia="宋体" w:cs="Times New Roman"/>
                <w:b w:val="0"/>
                <w:bCs w:val="0"/>
                <w:szCs w:val="23"/>
              </w:rPr>
            </w:pPr>
            <w:r>
              <w:rPr>
                <w:rFonts w:ascii="宋体" w:hAnsi="宋体" w:eastAsia="宋体" w:cs="Times New Roman"/>
                <w:b w:val="0"/>
                <w:bCs w:val="0"/>
                <w:szCs w:val="23"/>
              </w:rPr>
              <w:t>师德规范</w:t>
            </w:r>
          </w:p>
        </w:tc>
        <w:tc>
          <w:tcPr>
            <w:tcW w:w="6020" w:type="dxa"/>
            <w:vAlign w:val="center"/>
          </w:tcPr>
          <w:p w14:paraId="7410EF68">
            <w:pPr>
              <w:spacing w:line="276" w:lineRule="auto"/>
              <w:jc w:val="left"/>
              <w:rPr>
                <w:rFonts w:hint="eastAsia" w:ascii="宋体" w:hAnsi="宋体" w:eastAsia="宋体" w:cs="Times New Roman"/>
                <w:b w:val="0"/>
                <w:bCs/>
                <w:szCs w:val="21"/>
              </w:rPr>
            </w:pPr>
            <w:r>
              <w:rPr>
                <w:rFonts w:hint="eastAsia" w:ascii="宋体" w:hAnsi="宋体" w:eastAsia="宋体" w:cs="Times New Roman"/>
                <w:b w:val="0"/>
                <w:bCs/>
                <w:kern w:val="0"/>
                <w:szCs w:val="21"/>
                <w:lang w:eastAsia="zh-CN"/>
              </w:rPr>
              <w:t>指标点1-2</w:t>
            </w:r>
            <w:r>
              <w:rPr>
                <w:rFonts w:ascii="宋体" w:hAnsi="宋体" w:eastAsia="宋体" w:cs="Times New Roman"/>
                <w:b w:val="0"/>
                <w:bCs/>
                <w:szCs w:val="21"/>
              </w:rPr>
              <w:t>：</w:t>
            </w:r>
            <w:r>
              <w:rPr>
                <w:rFonts w:hint="eastAsia" w:ascii="宋体" w:hAnsi="宋体" w:eastAsia="宋体" w:cs="宋体"/>
                <w:b w:val="0"/>
                <w:bCs/>
                <w:szCs w:val="21"/>
              </w:rPr>
              <w:t>【职业修养良好】以立德树人为己任，掌握立德树人的途径和方法，着眼于学生的全面发展，实施素质教育，培养学生的核心素养；理解教师职业道德规范内涵与要求，遵守《新时代中小学教师职业行为十项准则》，依法执教，教育实践中能履行应尽义务，自觉维护学生和自身的合法权益。</w:t>
            </w:r>
          </w:p>
        </w:tc>
        <w:tc>
          <w:tcPr>
            <w:tcW w:w="1538" w:type="dxa"/>
            <w:vAlign w:val="center"/>
          </w:tcPr>
          <w:p w14:paraId="7B6C0B2F">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w:t>
            </w:r>
          </w:p>
          <w:p w14:paraId="4EA150BE">
            <w:pPr>
              <w:spacing w:line="276" w:lineRule="auto"/>
              <w:jc w:val="left"/>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w:t>
            </w:r>
            <w:r>
              <w:rPr>
                <w:rFonts w:hint="eastAsia" w:ascii="宋体" w:hAnsi="宋体" w:eastAsia="宋体" w:cs="Times New Roman"/>
                <w:szCs w:val="21"/>
              </w:rPr>
              <w:t>2</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3、4、5</w:t>
            </w:r>
          </w:p>
        </w:tc>
      </w:tr>
      <w:tr w14:paraId="251C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689C3AE2">
            <w:pPr>
              <w:widowControl/>
              <w:jc w:val="center"/>
              <w:rPr>
                <w:rFonts w:ascii="宋体" w:hAnsi="宋体" w:eastAsia="宋体" w:cs="Times New Roman"/>
                <w:b w:val="0"/>
                <w:bCs w:val="0"/>
                <w:kern w:val="0"/>
                <w:szCs w:val="21"/>
              </w:rPr>
            </w:pPr>
            <w:r>
              <w:rPr>
                <w:rFonts w:ascii="宋体" w:hAnsi="宋体" w:eastAsia="宋体" w:cs="Times New Roman"/>
                <w:b w:val="0"/>
                <w:bCs w:val="0"/>
                <w:kern w:val="0"/>
                <w:szCs w:val="21"/>
              </w:rPr>
              <w:t>毕业要求2</w:t>
            </w:r>
          </w:p>
          <w:p w14:paraId="27FCC8E9">
            <w:pPr>
              <w:widowControl/>
              <w:jc w:val="center"/>
              <w:rPr>
                <w:rFonts w:hint="eastAsia" w:ascii="宋体" w:hAnsi="宋体" w:eastAsia="宋体" w:cs="Times New Roman"/>
                <w:b w:val="0"/>
                <w:bCs w:val="0"/>
                <w:szCs w:val="23"/>
              </w:rPr>
            </w:pPr>
            <w:r>
              <w:rPr>
                <w:rFonts w:ascii="宋体" w:hAnsi="宋体" w:eastAsia="宋体" w:cs="Times New Roman"/>
                <w:b w:val="0"/>
                <w:bCs w:val="0"/>
                <w:szCs w:val="23"/>
              </w:rPr>
              <w:t>教育情怀</w:t>
            </w:r>
          </w:p>
        </w:tc>
        <w:tc>
          <w:tcPr>
            <w:tcW w:w="6020" w:type="dxa"/>
            <w:vAlign w:val="center"/>
          </w:tcPr>
          <w:p w14:paraId="1681EE1E">
            <w:pPr>
              <w:spacing w:line="276" w:lineRule="auto"/>
              <w:jc w:val="left"/>
              <w:rPr>
                <w:rFonts w:hint="eastAsia" w:ascii="宋体" w:hAnsi="宋体" w:eastAsia="宋体" w:cs="Times New Roman"/>
                <w:b w:val="0"/>
                <w:bCs/>
                <w:szCs w:val="21"/>
              </w:rPr>
            </w:pPr>
            <w:r>
              <w:rPr>
                <w:rFonts w:hint="eastAsia" w:ascii="宋体" w:hAnsi="宋体" w:eastAsia="宋体" w:cs="Times New Roman"/>
                <w:b w:val="0"/>
                <w:bCs/>
                <w:kern w:val="0"/>
                <w:szCs w:val="21"/>
                <w:lang w:eastAsia="zh-CN"/>
              </w:rPr>
              <w:t>指标点2-3</w:t>
            </w:r>
            <w:r>
              <w:rPr>
                <w:rFonts w:ascii="宋体" w:hAnsi="宋体" w:eastAsia="宋体" w:cs="Times New Roman"/>
                <w:b w:val="0"/>
                <w:bCs/>
                <w:szCs w:val="21"/>
              </w:rPr>
              <w:t>：</w:t>
            </w:r>
            <w:r>
              <w:rPr>
                <w:rFonts w:hint="eastAsia" w:ascii="宋体" w:hAnsi="宋体" w:eastAsia="宋体" w:cs="宋体"/>
                <w:b w:val="0"/>
                <w:bCs/>
                <w:szCs w:val="21"/>
              </w:rPr>
              <w:t>【自身修养良好】具有较好的人文艺术底蕴与科学精神，言行举止符合教师职业标准，情感积极，人格健全，身心健康。</w:t>
            </w:r>
          </w:p>
        </w:tc>
        <w:tc>
          <w:tcPr>
            <w:tcW w:w="1538" w:type="dxa"/>
            <w:vAlign w:val="center"/>
          </w:tcPr>
          <w:p w14:paraId="14526D54">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w:t>
            </w:r>
          </w:p>
          <w:p w14:paraId="4CFF885D">
            <w:pPr>
              <w:spacing w:line="276" w:lineRule="auto"/>
              <w:jc w:val="left"/>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1、2、3、4、5</w:t>
            </w:r>
          </w:p>
        </w:tc>
      </w:tr>
      <w:tr w14:paraId="3BA7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2D91D58A">
            <w:pPr>
              <w:jc w:val="center"/>
              <w:rPr>
                <w:rFonts w:hint="eastAsia" w:ascii="宋体" w:hAnsi="宋体" w:eastAsia="宋体" w:cs="Times New Roman"/>
                <w:b w:val="0"/>
                <w:bCs w:val="0"/>
                <w:kern w:val="0"/>
                <w:szCs w:val="21"/>
                <w:lang w:val="en-US" w:eastAsia="zh-CN"/>
              </w:rPr>
            </w:pPr>
            <w:r>
              <w:rPr>
                <w:rFonts w:ascii="宋体" w:hAnsi="宋体" w:eastAsia="宋体" w:cs="Times New Roman"/>
                <w:b w:val="0"/>
                <w:bCs w:val="0"/>
                <w:kern w:val="0"/>
                <w:szCs w:val="21"/>
              </w:rPr>
              <w:t>毕业要求</w:t>
            </w:r>
            <w:r>
              <w:rPr>
                <w:rFonts w:hint="eastAsia" w:ascii="宋体" w:hAnsi="宋体" w:eastAsia="宋体" w:cs="Times New Roman"/>
                <w:b w:val="0"/>
                <w:bCs w:val="0"/>
                <w:kern w:val="0"/>
                <w:szCs w:val="21"/>
                <w:lang w:val="en-US" w:eastAsia="zh-CN"/>
              </w:rPr>
              <w:t>7</w:t>
            </w:r>
          </w:p>
          <w:p w14:paraId="2BB5B9A5">
            <w:pPr>
              <w:jc w:val="center"/>
              <w:rPr>
                <w:rFonts w:hint="eastAsia" w:ascii="宋体" w:hAnsi="宋体" w:eastAsia="宋体" w:cs="Times New Roman"/>
                <w:b w:val="0"/>
                <w:bCs w:val="0"/>
                <w:szCs w:val="23"/>
                <w:lang w:val="en-US" w:eastAsia="zh-CN"/>
              </w:rPr>
            </w:pPr>
            <w:r>
              <w:rPr>
                <w:rFonts w:hint="eastAsia" w:ascii="宋体" w:hAnsi="宋体" w:eastAsia="宋体" w:cs="Times New Roman"/>
                <w:b w:val="0"/>
                <w:bCs w:val="0"/>
                <w:szCs w:val="23"/>
                <w:lang w:val="en-US" w:eastAsia="zh-CN"/>
              </w:rPr>
              <w:t>学会反思</w:t>
            </w:r>
          </w:p>
        </w:tc>
        <w:tc>
          <w:tcPr>
            <w:tcW w:w="6020" w:type="dxa"/>
            <w:vAlign w:val="center"/>
          </w:tcPr>
          <w:p w14:paraId="73D3C4DA">
            <w:pPr>
              <w:spacing w:line="276" w:lineRule="auto"/>
              <w:jc w:val="left"/>
              <w:rPr>
                <w:rFonts w:hint="eastAsia" w:ascii="宋体" w:hAnsi="宋体" w:eastAsia="宋体" w:cs="Times New Roman"/>
                <w:b w:val="0"/>
                <w:bCs/>
                <w:szCs w:val="21"/>
              </w:rPr>
            </w:pPr>
            <w:r>
              <w:rPr>
                <w:rFonts w:hint="eastAsia" w:ascii="宋体" w:hAnsi="宋体" w:cs="宋体"/>
                <w:b w:val="0"/>
                <w:bCs/>
                <w:kern w:val="0"/>
                <w:sz w:val="20"/>
                <w:szCs w:val="20"/>
              </w:rPr>
              <w:t>指标点</w:t>
            </w:r>
            <w:r>
              <w:rPr>
                <w:rFonts w:hint="eastAsia" w:ascii="宋体" w:hAnsi="宋体" w:cs="宋体"/>
                <w:b w:val="0"/>
                <w:bCs/>
                <w:sz w:val="20"/>
                <w:szCs w:val="20"/>
              </w:rPr>
              <w:t>7-2：【职业规划合理】了解教师专业发展的要求，形成终身学习的意识和习惯，注重自身的专业发展，根据基础教育课程改革的动态和发展情况，进行职业生涯规划和自主学习。</w:t>
            </w:r>
          </w:p>
        </w:tc>
        <w:tc>
          <w:tcPr>
            <w:tcW w:w="1538" w:type="dxa"/>
            <w:vAlign w:val="center"/>
          </w:tcPr>
          <w:p w14:paraId="005F6DEB">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w:t>
            </w:r>
          </w:p>
          <w:p w14:paraId="66FC4186">
            <w:pPr>
              <w:spacing w:line="276" w:lineRule="auto"/>
              <w:jc w:val="left"/>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w:t>
            </w:r>
            <w:r>
              <w:rPr>
                <w:rFonts w:hint="eastAsia" w:ascii="宋体" w:hAnsi="宋体" w:eastAsia="宋体" w:cs="Times New Roman"/>
                <w:szCs w:val="21"/>
              </w:rPr>
              <w:t>2</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3、4、5</w:t>
            </w:r>
          </w:p>
        </w:tc>
      </w:tr>
    </w:tbl>
    <w:p w14:paraId="73281978">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528" w:rightChars="0" w:firstLine="422" w:firstLineChars="200"/>
        <w:jc w:val="both"/>
        <w:rPr>
          <w:rFonts w:hint="eastAsia" w:ascii="宋体" w:hAnsi="宋体" w:eastAsia="宋体" w:cs="宋体"/>
          <w:b/>
          <w:bCs/>
          <w:i w:val="0"/>
          <w:iCs w:val="0"/>
          <w:caps w:val="0"/>
          <w:color w:val="000000"/>
          <w:spacing w:val="0"/>
          <w:kern w:val="2"/>
          <w:sz w:val="21"/>
          <w:szCs w:val="21"/>
          <w:shd w:val="clear" w:fill="FFFFFF"/>
          <w:lang w:val="en-US" w:eastAsia="zh-CN" w:bidi="ar-SA"/>
        </w:rPr>
      </w:pPr>
      <w:r>
        <w:rPr>
          <w:rFonts w:hint="eastAsia" w:ascii="宋体" w:hAnsi="宋体" w:eastAsia="宋体" w:cs="宋体"/>
          <w:b/>
          <w:bCs/>
          <w:i w:val="0"/>
          <w:iCs w:val="0"/>
          <w:caps w:val="0"/>
          <w:color w:val="000000"/>
          <w:spacing w:val="0"/>
          <w:kern w:val="2"/>
          <w:sz w:val="21"/>
          <w:szCs w:val="21"/>
          <w:shd w:val="clear" w:fill="FFFFFF"/>
          <w:lang w:val="en-US" w:eastAsia="zh-CN" w:bidi="ar-SA"/>
        </w:rPr>
        <w:t>三、课程内容及要求</w:t>
      </w:r>
    </w:p>
    <w:tbl>
      <w:tblPr>
        <w:tblStyle w:val="15"/>
        <w:tblW w:w="9010" w:type="dxa"/>
        <w:tblInd w:w="98" w:type="dxa"/>
        <w:tblLayout w:type="fixed"/>
        <w:tblCellMar>
          <w:top w:w="0" w:type="dxa"/>
          <w:left w:w="108" w:type="dxa"/>
          <w:bottom w:w="0" w:type="dxa"/>
          <w:right w:w="108" w:type="dxa"/>
        </w:tblCellMar>
      </w:tblPr>
      <w:tblGrid>
        <w:gridCol w:w="1533"/>
        <w:gridCol w:w="1003"/>
        <w:gridCol w:w="6474"/>
      </w:tblGrid>
      <w:tr w14:paraId="67B3947C">
        <w:tblPrEx>
          <w:tblCellMar>
            <w:top w:w="0" w:type="dxa"/>
            <w:left w:w="108" w:type="dxa"/>
            <w:bottom w:w="0" w:type="dxa"/>
            <w:right w:w="108" w:type="dxa"/>
          </w:tblCellMar>
        </w:tblPrEx>
        <w:trPr>
          <w:trHeight w:val="360" w:hRule="atLeast"/>
        </w:trPr>
        <w:tc>
          <w:tcPr>
            <w:tcW w:w="2536"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882C13E">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第一章</w:t>
            </w:r>
          </w:p>
        </w:tc>
        <w:tc>
          <w:tcPr>
            <w:tcW w:w="647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2FE0DE9D">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发现美丽就业机会</w:t>
            </w:r>
          </w:p>
        </w:tc>
      </w:tr>
      <w:tr w14:paraId="105D6CCE">
        <w:tblPrEx>
          <w:tblCellMar>
            <w:top w:w="0" w:type="dxa"/>
            <w:left w:w="108" w:type="dxa"/>
            <w:bottom w:w="0" w:type="dxa"/>
            <w:right w:w="108" w:type="dxa"/>
          </w:tblCellMar>
        </w:tblPrEx>
        <w:trPr>
          <w:trHeight w:val="150" w:hRule="atLeast"/>
        </w:trPr>
        <w:tc>
          <w:tcPr>
            <w:tcW w:w="2536" w:type="dxa"/>
            <w:gridSpan w:val="2"/>
            <w:tcBorders>
              <w:top w:val="single" w:color="000000" w:sz="4" w:space="0"/>
              <w:left w:val="single" w:color="000000" w:sz="4" w:space="0"/>
              <w:bottom w:val="single" w:color="000000" w:sz="4" w:space="0"/>
              <w:right w:val="single" w:color="000000" w:sz="4" w:space="0"/>
            </w:tcBorders>
            <w:noWrap w:val="0"/>
            <w:vAlign w:val="center"/>
          </w:tcPr>
          <w:p w14:paraId="666AB64F">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基本要求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733B0725">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color w:val="000000"/>
                <w:kern w:val="0"/>
                <w:sz w:val="21"/>
                <w:szCs w:val="21"/>
                <w:lang w:bidi="ar"/>
              </w:rPr>
              <w:t>本</w:t>
            </w:r>
            <w:r>
              <w:rPr>
                <w:rFonts w:hint="eastAsia" w:ascii="宋体" w:hAnsi="宋体" w:eastAsia="宋体" w:cs="宋体"/>
                <w:color w:val="000000"/>
                <w:kern w:val="0"/>
                <w:sz w:val="21"/>
                <w:szCs w:val="21"/>
                <w:lang w:eastAsia="zh-CN" w:bidi="ar"/>
              </w:rPr>
              <w:t>章</w:t>
            </w:r>
            <w:r>
              <w:rPr>
                <w:rFonts w:hint="eastAsia" w:ascii="宋体" w:hAnsi="宋体" w:eastAsia="宋体" w:cs="宋体"/>
                <w:color w:val="000000"/>
                <w:kern w:val="0"/>
                <w:sz w:val="21"/>
                <w:szCs w:val="21"/>
                <w:lang w:bidi="ar"/>
              </w:rPr>
              <w:t>应使学生</w:t>
            </w:r>
            <w:r>
              <w:rPr>
                <w:rFonts w:hint="eastAsia" w:ascii="宋体" w:hAnsi="宋体" w:eastAsia="宋体" w:cs="宋体"/>
                <w:color w:val="000000"/>
                <w:kern w:val="0"/>
                <w:sz w:val="21"/>
                <w:szCs w:val="21"/>
                <w:lang w:val="en-US" w:eastAsia="zh-CN" w:bidi="ar"/>
              </w:rPr>
              <w:t>了解当前大学生就业的环境，熟悉大学生就业的有利条件和不利因素，掌握自我探索和职业探索的方法。</w:t>
            </w:r>
          </w:p>
        </w:tc>
      </w:tr>
      <w:tr w14:paraId="2C539D05">
        <w:tblPrEx>
          <w:tblCellMar>
            <w:top w:w="0" w:type="dxa"/>
            <w:left w:w="108" w:type="dxa"/>
            <w:bottom w:w="0" w:type="dxa"/>
            <w:right w:w="108" w:type="dxa"/>
          </w:tblCellMar>
        </w:tblPrEx>
        <w:trPr>
          <w:trHeight w:val="90" w:hRule="atLeast"/>
        </w:trPr>
        <w:tc>
          <w:tcPr>
            <w:tcW w:w="2536" w:type="dxa"/>
            <w:gridSpan w:val="2"/>
            <w:tcBorders>
              <w:top w:val="single" w:color="000000" w:sz="4" w:space="0"/>
              <w:left w:val="single" w:color="000000" w:sz="4" w:space="0"/>
              <w:bottom w:val="single" w:color="000000" w:sz="4" w:space="0"/>
              <w:right w:val="single" w:color="000000" w:sz="4" w:space="0"/>
            </w:tcBorders>
            <w:noWrap w:val="0"/>
            <w:vAlign w:val="center"/>
          </w:tcPr>
          <w:p w14:paraId="5FFF151F">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重点、难点</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63497C5E">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重点：积极应对就业严峻形势、中央部门组织实施的基层就业政策、自我探索</w:t>
            </w:r>
          </w:p>
          <w:p w14:paraId="0271D381">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难点：大学毕业生就业难的原因、职业探索</w:t>
            </w:r>
          </w:p>
        </w:tc>
      </w:tr>
      <w:tr w14:paraId="0E6FDB73">
        <w:tblPrEx>
          <w:tblCellMar>
            <w:top w:w="0" w:type="dxa"/>
            <w:left w:w="108" w:type="dxa"/>
            <w:bottom w:w="0" w:type="dxa"/>
            <w:right w:w="108" w:type="dxa"/>
          </w:tblCellMar>
        </w:tblPrEx>
        <w:trPr>
          <w:trHeight w:val="360" w:hRule="atLeast"/>
        </w:trPr>
        <w:tc>
          <w:tcPr>
            <w:tcW w:w="1533" w:type="dxa"/>
            <w:vMerge w:val="restart"/>
            <w:tcBorders>
              <w:top w:val="single" w:color="000000" w:sz="4" w:space="0"/>
              <w:left w:val="single" w:color="000000" w:sz="4" w:space="0"/>
              <w:right w:val="single" w:color="000000" w:sz="4" w:space="0"/>
            </w:tcBorders>
            <w:noWrap w:val="0"/>
            <w:vAlign w:val="center"/>
          </w:tcPr>
          <w:p w14:paraId="259AC363">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教学内容</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26C94D3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第一节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7AA5A4D5">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就业形势分析</w:t>
            </w:r>
          </w:p>
        </w:tc>
      </w:tr>
      <w:tr w14:paraId="16A6193C">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6F3CFC04">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651FA1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0AE9FB0">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大学生就业的基本情况</w:t>
            </w:r>
          </w:p>
        </w:tc>
      </w:tr>
      <w:tr w14:paraId="4F18314C">
        <w:tblPrEx>
          <w:tblCellMar>
            <w:top w:w="0" w:type="dxa"/>
            <w:left w:w="108" w:type="dxa"/>
            <w:bottom w:w="0" w:type="dxa"/>
            <w:right w:w="108" w:type="dxa"/>
          </w:tblCellMar>
        </w:tblPrEx>
        <w:trPr>
          <w:trHeight w:val="90" w:hRule="atLeast"/>
        </w:trPr>
        <w:tc>
          <w:tcPr>
            <w:tcW w:w="1533" w:type="dxa"/>
            <w:vMerge w:val="continue"/>
            <w:tcBorders>
              <w:left w:val="single" w:color="000000" w:sz="4" w:space="0"/>
              <w:right w:val="single" w:color="000000" w:sz="4" w:space="0"/>
            </w:tcBorders>
            <w:noWrap w:val="0"/>
            <w:vAlign w:val="center"/>
          </w:tcPr>
          <w:p w14:paraId="3B8235FF">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6AE945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7D7AF1BF">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大学生就业的严峻形势</w:t>
            </w:r>
          </w:p>
        </w:tc>
      </w:tr>
      <w:tr w14:paraId="6F861683">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013C6E39">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646710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6099E0CA">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大学毕业生就业难的原因</w:t>
            </w:r>
          </w:p>
        </w:tc>
      </w:tr>
      <w:tr w14:paraId="4BF9D198">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6314D0DF">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172EE3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6AABDB2B">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积极应对就业严峻形势</w:t>
            </w:r>
          </w:p>
        </w:tc>
      </w:tr>
      <w:tr w14:paraId="231E4222">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472763DB">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160FF6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第二节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5CC4471">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高校毕业生就业政策</w:t>
            </w:r>
          </w:p>
        </w:tc>
      </w:tr>
      <w:tr w14:paraId="26186B87">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47811091">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5F46E5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65C31118">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中央部门组织实施的基层就业政策</w:t>
            </w:r>
          </w:p>
        </w:tc>
      </w:tr>
      <w:tr w14:paraId="541B2AA3">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44C9960B">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CEB79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7F36FDE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大学生应征入伍的相关政策</w:t>
            </w:r>
          </w:p>
        </w:tc>
      </w:tr>
      <w:tr w14:paraId="66EFF1E2">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0A0278F9">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74F276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7E4D40EA">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特殊群体就业政策</w:t>
            </w:r>
          </w:p>
        </w:tc>
      </w:tr>
      <w:tr w14:paraId="2EAA6877">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364AFCAA">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22F34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C29912A">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高校毕业生自主创业政策</w:t>
            </w:r>
          </w:p>
        </w:tc>
      </w:tr>
      <w:tr w14:paraId="4F1E36C6">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6E4EFC24">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7EF0F7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1536E15A">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大学生就业政策与制度的总体特征评析</w:t>
            </w:r>
          </w:p>
        </w:tc>
      </w:tr>
      <w:tr w14:paraId="5CB1C248">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7041927E">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2549F6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第三节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99C4477">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就业选择</w:t>
            </w:r>
          </w:p>
        </w:tc>
      </w:tr>
      <w:tr w14:paraId="19ED1C42">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1C0C92E2">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8F59A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13B521EC">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就业选择中常见的问题</w:t>
            </w:r>
          </w:p>
        </w:tc>
      </w:tr>
      <w:tr w14:paraId="3CEB0289">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35D3FEF9">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2A0B2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7EB8B91C">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自我探索</w:t>
            </w:r>
          </w:p>
        </w:tc>
      </w:tr>
      <w:tr w14:paraId="5F391E5A">
        <w:tblPrEx>
          <w:tblCellMar>
            <w:top w:w="0" w:type="dxa"/>
            <w:left w:w="108" w:type="dxa"/>
            <w:bottom w:w="0" w:type="dxa"/>
            <w:right w:w="108" w:type="dxa"/>
          </w:tblCellMar>
        </w:tblPrEx>
        <w:trPr>
          <w:trHeight w:val="360" w:hRule="atLeast"/>
        </w:trPr>
        <w:tc>
          <w:tcPr>
            <w:tcW w:w="1533" w:type="dxa"/>
            <w:vMerge w:val="continue"/>
            <w:tcBorders>
              <w:left w:val="single" w:color="000000" w:sz="4" w:space="0"/>
              <w:bottom w:val="single" w:color="000000" w:sz="4" w:space="0"/>
              <w:right w:val="single" w:color="000000" w:sz="4" w:space="0"/>
            </w:tcBorders>
            <w:noWrap w:val="0"/>
            <w:vAlign w:val="center"/>
          </w:tcPr>
          <w:p w14:paraId="3FCC64F0">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191295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020A208A">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职业探索</w:t>
            </w:r>
          </w:p>
        </w:tc>
      </w:tr>
      <w:tr w14:paraId="7BDE4216">
        <w:tblPrEx>
          <w:tblCellMar>
            <w:top w:w="0" w:type="dxa"/>
            <w:left w:w="108" w:type="dxa"/>
            <w:bottom w:w="0" w:type="dxa"/>
            <w:right w:w="108" w:type="dxa"/>
          </w:tblCellMar>
        </w:tblPrEx>
        <w:trPr>
          <w:trHeight w:val="360" w:hRule="atLeast"/>
        </w:trPr>
        <w:tc>
          <w:tcPr>
            <w:tcW w:w="2536"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9179A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第二章</w:t>
            </w:r>
          </w:p>
        </w:tc>
        <w:tc>
          <w:tcPr>
            <w:tcW w:w="647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E1E7F8B">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求职能力的提升</w:t>
            </w:r>
          </w:p>
        </w:tc>
      </w:tr>
      <w:tr w14:paraId="63F19A82">
        <w:tblPrEx>
          <w:tblCellMar>
            <w:top w:w="0" w:type="dxa"/>
            <w:left w:w="108" w:type="dxa"/>
            <w:bottom w:w="0" w:type="dxa"/>
            <w:right w:w="108" w:type="dxa"/>
          </w:tblCellMar>
        </w:tblPrEx>
        <w:trPr>
          <w:trHeight w:val="310" w:hRule="atLeast"/>
        </w:trPr>
        <w:tc>
          <w:tcPr>
            <w:tcW w:w="2536" w:type="dxa"/>
            <w:gridSpan w:val="2"/>
            <w:tcBorders>
              <w:top w:val="single" w:color="000000" w:sz="4" w:space="0"/>
              <w:left w:val="single" w:color="000000" w:sz="4" w:space="0"/>
              <w:bottom w:val="single" w:color="000000" w:sz="4" w:space="0"/>
              <w:right w:val="single" w:color="000000" w:sz="4" w:space="0"/>
            </w:tcBorders>
            <w:noWrap w:val="0"/>
            <w:vAlign w:val="center"/>
          </w:tcPr>
          <w:p w14:paraId="166319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基本要求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0870F5F5">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本章应使学生了解基本的逻辑思维和沟通表达的方法，通过学习时间管理，有效规划求职进程以及日常安排。</w:t>
            </w:r>
          </w:p>
        </w:tc>
      </w:tr>
      <w:tr w14:paraId="33EC2FDB">
        <w:tblPrEx>
          <w:tblCellMar>
            <w:top w:w="0" w:type="dxa"/>
            <w:left w:w="108" w:type="dxa"/>
            <w:bottom w:w="0" w:type="dxa"/>
            <w:right w:w="108" w:type="dxa"/>
          </w:tblCellMar>
        </w:tblPrEx>
        <w:trPr>
          <w:trHeight w:val="938" w:hRule="atLeast"/>
        </w:trPr>
        <w:tc>
          <w:tcPr>
            <w:tcW w:w="2536" w:type="dxa"/>
            <w:gridSpan w:val="2"/>
            <w:tcBorders>
              <w:top w:val="single" w:color="000000" w:sz="4" w:space="0"/>
              <w:left w:val="single" w:color="000000" w:sz="4" w:space="0"/>
              <w:bottom w:val="single" w:color="000000" w:sz="4" w:space="0"/>
              <w:right w:val="single" w:color="000000" w:sz="4" w:space="0"/>
            </w:tcBorders>
            <w:noWrap w:val="0"/>
            <w:vAlign w:val="center"/>
          </w:tcPr>
          <w:p w14:paraId="081BD3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重点、难点</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22AF2983">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重点：求职过程中的有效沟通、大学生休闲角色的定位与平衡、运用认知信息加工理论开展职业生涯规划</w:t>
            </w:r>
          </w:p>
          <w:p w14:paraId="0BDE9F0D">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难点：邂逅逻辑思维、解锁分析法宝</w:t>
            </w:r>
          </w:p>
        </w:tc>
      </w:tr>
      <w:tr w14:paraId="1229F5E8">
        <w:tblPrEx>
          <w:tblCellMar>
            <w:top w:w="0" w:type="dxa"/>
            <w:left w:w="108" w:type="dxa"/>
            <w:bottom w:w="0" w:type="dxa"/>
            <w:right w:w="108" w:type="dxa"/>
          </w:tblCellMar>
        </w:tblPrEx>
        <w:trPr>
          <w:trHeight w:val="360" w:hRule="atLeast"/>
        </w:trPr>
        <w:tc>
          <w:tcPr>
            <w:tcW w:w="1533" w:type="dxa"/>
            <w:vMerge w:val="restart"/>
            <w:tcBorders>
              <w:top w:val="single" w:color="000000" w:sz="4" w:space="0"/>
              <w:left w:val="single" w:color="000000" w:sz="4" w:space="0"/>
              <w:right w:val="single" w:color="000000" w:sz="4" w:space="0"/>
            </w:tcBorders>
            <w:noWrap w:val="0"/>
            <w:vAlign w:val="center"/>
          </w:tcPr>
          <w:p w14:paraId="6F8FE7BA">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教学内容</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63B3C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第一节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FCB4E3D">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就业思维能力</w:t>
            </w:r>
          </w:p>
        </w:tc>
      </w:tr>
      <w:tr w14:paraId="5D022851">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55D6332E">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B9DD6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252FEE57">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邂逅逻辑思维</w:t>
            </w:r>
          </w:p>
        </w:tc>
      </w:tr>
      <w:tr w14:paraId="09D9F4CC">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01B9A454">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3F5CA8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6037C1F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解锁分析法宝</w:t>
            </w:r>
          </w:p>
        </w:tc>
      </w:tr>
      <w:tr w14:paraId="6A3C9C50">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523D1D6A">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6F80DF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第二节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8BD01C1">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沟通与表达能力</w:t>
            </w:r>
          </w:p>
        </w:tc>
      </w:tr>
      <w:tr w14:paraId="66F2EC97">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6D9FD0F9">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F1BD5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255AB25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沟通与表达的三要素</w:t>
            </w:r>
          </w:p>
        </w:tc>
      </w:tr>
      <w:tr w14:paraId="434F0416">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7DECA064">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2E2ABE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F9E0033">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沟通与表达的态度</w:t>
            </w:r>
          </w:p>
        </w:tc>
      </w:tr>
      <w:tr w14:paraId="753E17B1">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06DDBDFC">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93B2C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7D1E2AD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有效信息</w:t>
            </w:r>
          </w:p>
        </w:tc>
      </w:tr>
      <w:tr w14:paraId="3CA50E3A">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6D9E10AD">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608CF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0E7505BA">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求职过程中的有效沟通</w:t>
            </w:r>
          </w:p>
        </w:tc>
      </w:tr>
      <w:tr w14:paraId="788F109B">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63756C5E">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CDCDE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第三节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71B7183">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自我管理能力</w:t>
            </w:r>
          </w:p>
        </w:tc>
      </w:tr>
      <w:tr w14:paraId="4DF8EE19">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0A66C0BD">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5F890D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A6BE646">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时间管理能力</w:t>
            </w:r>
          </w:p>
        </w:tc>
      </w:tr>
      <w:tr w14:paraId="78C9F7FF">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155714E7">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auto" w:sz="4" w:space="0"/>
              <w:right w:val="single" w:color="000000" w:sz="4" w:space="0"/>
            </w:tcBorders>
            <w:noWrap w:val="0"/>
            <w:vAlign w:val="center"/>
          </w:tcPr>
          <w:p w14:paraId="10F613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0AB029BB">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求职进程管理</w:t>
            </w:r>
          </w:p>
        </w:tc>
      </w:tr>
      <w:tr w14:paraId="4260B5BA">
        <w:tblPrEx>
          <w:tblCellMar>
            <w:top w:w="0" w:type="dxa"/>
            <w:left w:w="108" w:type="dxa"/>
            <w:bottom w:w="0" w:type="dxa"/>
            <w:right w:w="108" w:type="dxa"/>
          </w:tblCellMar>
        </w:tblPrEx>
        <w:trPr>
          <w:trHeight w:val="360" w:hRule="atLeast"/>
        </w:trPr>
        <w:tc>
          <w:tcPr>
            <w:tcW w:w="1533" w:type="dxa"/>
            <w:vMerge w:val="continue"/>
            <w:tcBorders>
              <w:left w:val="single" w:color="000000" w:sz="4" w:space="0"/>
              <w:bottom w:val="single" w:color="000000" w:sz="4" w:space="0"/>
              <w:right w:val="single" w:color="000000" w:sz="4" w:space="0"/>
            </w:tcBorders>
            <w:noWrap w:val="0"/>
            <w:vAlign w:val="center"/>
          </w:tcPr>
          <w:p w14:paraId="358EA235">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auto" w:sz="4" w:space="0"/>
              <w:right w:val="single" w:color="000000" w:sz="4" w:space="0"/>
            </w:tcBorders>
            <w:noWrap w:val="0"/>
            <w:vAlign w:val="center"/>
          </w:tcPr>
          <w:p w14:paraId="7E0D92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610B438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心态与行动管理能力</w:t>
            </w:r>
          </w:p>
        </w:tc>
      </w:tr>
      <w:tr w14:paraId="6E116F1F">
        <w:tblPrEx>
          <w:tblCellMar>
            <w:top w:w="0" w:type="dxa"/>
            <w:left w:w="108" w:type="dxa"/>
            <w:bottom w:w="0" w:type="dxa"/>
            <w:right w:w="108" w:type="dxa"/>
          </w:tblCellMar>
        </w:tblPrEx>
        <w:trPr>
          <w:trHeight w:val="360" w:hRule="atLeast"/>
        </w:trPr>
        <w:tc>
          <w:tcPr>
            <w:tcW w:w="2536"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50AFC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第三章</w:t>
            </w:r>
          </w:p>
        </w:tc>
        <w:tc>
          <w:tcPr>
            <w:tcW w:w="647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0286D47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求职信息的获取与利用</w:t>
            </w:r>
          </w:p>
        </w:tc>
      </w:tr>
      <w:tr w14:paraId="45729C24">
        <w:tblPrEx>
          <w:tblCellMar>
            <w:top w:w="0" w:type="dxa"/>
            <w:left w:w="108" w:type="dxa"/>
            <w:bottom w:w="0" w:type="dxa"/>
            <w:right w:w="108" w:type="dxa"/>
          </w:tblCellMar>
        </w:tblPrEx>
        <w:trPr>
          <w:trHeight w:val="548" w:hRule="atLeast"/>
        </w:trPr>
        <w:tc>
          <w:tcPr>
            <w:tcW w:w="2536" w:type="dxa"/>
            <w:gridSpan w:val="2"/>
            <w:tcBorders>
              <w:top w:val="single" w:color="000000" w:sz="4" w:space="0"/>
              <w:left w:val="single" w:color="000000" w:sz="4" w:space="0"/>
              <w:bottom w:val="single" w:color="000000" w:sz="4" w:space="0"/>
              <w:right w:val="single" w:color="000000" w:sz="4" w:space="0"/>
            </w:tcBorders>
            <w:noWrap w:val="0"/>
            <w:vAlign w:val="center"/>
          </w:tcPr>
          <w:p w14:paraId="456549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基本要求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7EE0E021">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color w:val="000000"/>
                <w:kern w:val="0"/>
                <w:sz w:val="21"/>
                <w:szCs w:val="21"/>
                <w:lang w:val="en-US" w:bidi="ar"/>
              </w:rPr>
            </w:pPr>
            <w:r>
              <w:rPr>
                <w:rFonts w:hint="eastAsia" w:ascii="宋体" w:hAnsi="宋体" w:eastAsia="宋体" w:cs="宋体"/>
                <w:color w:val="000000"/>
                <w:kern w:val="0"/>
                <w:sz w:val="21"/>
                <w:szCs w:val="21"/>
                <w:lang w:eastAsia="zh-CN" w:bidi="ar"/>
              </w:rPr>
              <w:t>熟悉就业信息的获取途径和筛选处理方法，</w:t>
            </w:r>
            <w:r>
              <w:rPr>
                <w:rFonts w:hint="eastAsia" w:ascii="宋体" w:hAnsi="宋体" w:eastAsia="宋体" w:cs="宋体"/>
                <w:color w:val="000000"/>
                <w:kern w:val="0"/>
                <w:sz w:val="21"/>
                <w:szCs w:val="21"/>
                <w:lang w:val="en-US" w:eastAsia="zh-CN" w:bidi="ar"/>
              </w:rPr>
              <w:t>学会求职计划的制订与进程管理，提前为就业做好准备。</w:t>
            </w:r>
          </w:p>
        </w:tc>
      </w:tr>
      <w:tr w14:paraId="14398444">
        <w:tblPrEx>
          <w:tblCellMar>
            <w:top w:w="0" w:type="dxa"/>
            <w:left w:w="108" w:type="dxa"/>
            <w:bottom w:w="0" w:type="dxa"/>
            <w:right w:w="108" w:type="dxa"/>
          </w:tblCellMar>
        </w:tblPrEx>
        <w:trPr>
          <w:trHeight w:val="556" w:hRule="atLeast"/>
        </w:trPr>
        <w:tc>
          <w:tcPr>
            <w:tcW w:w="2536" w:type="dxa"/>
            <w:gridSpan w:val="2"/>
            <w:tcBorders>
              <w:top w:val="single" w:color="000000" w:sz="4" w:space="0"/>
              <w:left w:val="single" w:color="000000" w:sz="4" w:space="0"/>
              <w:bottom w:val="single" w:color="000000" w:sz="4" w:space="0"/>
              <w:right w:val="single" w:color="000000" w:sz="4" w:space="0"/>
            </w:tcBorders>
            <w:noWrap w:val="0"/>
            <w:vAlign w:val="center"/>
          </w:tcPr>
          <w:p w14:paraId="7CB70F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重点、难点</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11F82453">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重点：求职信息的获取途径、求职信息的分析利用</w:t>
            </w:r>
          </w:p>
          <w:p w14:paraId="450AA086">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难点：求职信息获取原则、求职进程管理</w:t>
            </w:r>
          </w:p>
        </w:tc>
      </w:tr>
      <w:tr w14:paraId="3B6B24C6">
        <w:tblPrEx>
          <w:tblCellMar>
            <w:top w:w="0" w:type="dxa"/>
            <w:left w:w="108" w:type="dxa"/>
            <w:bottom w:w="0" w:type="dxa"/>
            <w:right w:w="108" w:type="dxa"/>
          </w:tblCellMar>
        </w:tblPrEx>
        <w:trPr>
          <w:trHeight w:val="360" w:hRule="atLeast"/>
        </w:trPr>
        <w:tc>
          <w:tcPr>
            <w:tcW w:w="1533" w:type="dxa"/>
            <w:vMerge w:val="restart"/>
            <w:tcBorders>
              <w:top w:val="single" w:color="000000" w:sz="4" w:space="0"/>
              <w:left w:val="single" w:color="000000" w:sz="4" w:space="0"/>
              <w:bottom w:val="single" w:color="000000" w:sz="4" w:space="0"/>
              <w:right w:val="single" w:color="000000" w:sz="4" w:space="0"/>
            </w:tcBorders>
            <w:noWrap w:val="0"/>
            <w:vAlign w:val="center"/>
          </w:tcPr>
          <w:p w14:paraId="5AFEB76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教学内容</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7CA857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第一节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23B6BE2F">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求职信息的获取途径</w:t>
            </w:r>
          </w:p>
        </w:tc>
      </w:tr>
      <w:tr w14:paraId="0FF4336A">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46F1EA">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314B51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0D47181E">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求职信息概述</w:t>
            </w:r>
          </w:p>
        </w:tc>
      </w:tr>
      <w:tr w14:paraId="6B5385AA">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F66A1D">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F640F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1BEF20D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求职信息的获取途径</w:t>
            </w:r>
          </w:p>
        </w:tc>
      </w:tr>
      <w:tr w14:paraId="5D16B7FA">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F9F2D">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5FFFB4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786E108C">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求职信息获取原则</w:t>
            </w:r>
          </w:p>
        </w:tc>
      </w:tr>
      <w:tr w14:paraId="09608E34">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118368">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7FC7F4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第二节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1106749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求职信息的分析与利用</w:t>
            </w:r>
          </w:p>
        </w:tc>
      </w:tr>
      <w:tr w14:paraId="4F7D7999">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004026">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746A9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0411F86">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求职信息的归纳整理</w:t>
            </w:r>
          </w:p>
        </w:tc>
      </w:tr>
      <w:tr w14:paraId="0DB53D0F">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E0C318">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269ED8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04DB4C3B">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求职信息的鉴别</w:t>
            </w:r>
          </w:p>
        </w:tc>
      </w:tr>
      <w:tr w14:paraId="7D3F04AB">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D3FF0C">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A65D9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164FDC1F">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求职信息的分析利用</w:t>
            </w:r>
          </w:p>
        </w:tc>
      </w:tr>
      <w:tr w14:paraId="02C21801">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13941B">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1EE46A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215D78F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发现机遇，把握机遇</w:t>
            </w:r>
          </w:p>
        </w:tc>
      </w:tr>
      <w:tr w14:paraId="3D4B8B64">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A40FAD">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2F93CB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第三节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C5F2838">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求职计划的制订与进程管理</w:t>
            </w:r>
          </w:p>
        </w:tc>
      </w:tr>
      <w:tr w14:paraId="3832E0C2">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D6473C">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3C0E9B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2BF96E57">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目标的确定</w:t>
            </w:r>
          </w:p>
        </w:tc>
      </w:tr>
      <w:tr w14:paraId="4090EEE5">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AAF656">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12B32C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0B4A1E13">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选定目标、未雨绸缪</w:t>
            </w:r>
          </w:p>
        </w:tc>
      </w:tr>
      <w:tr w14:paraId="09828A05">
        <w:tblPrEx>
          <w:tblCellMar>
            <w:top w:w="0" w:type="dxa"/>
            <w:left w:w="108" w:type="dxa"/>
            <w:bottom w:w="0" w:type="dxa"/>
            <w:right w:w="108" w:type="dxa"/>
          </w:tblCellMar>
        </w:tblPrEx>
        <w:trPr>
          <w:trHeight w:val="360" w:hRule="atLeast"/>
        </w:trPr>
        <w:tc>
          <w:tcPr>
            <w:tcW w:w="1533" w:type="dxa"/>
            <w:tcBorders>
              <w:top w:val="single" w:color="000000" w:sz="4" w:space="0"/>
              <w:left w:val="single" w:color="000000" w:sz="4" w:space="0"/>
              <w:bottom w:val="single" w:color="000000" w:sz="4" w:space="0"/>
              <w:right w:val="single" w:color="000000" w:sz="4" w:space="0"/>
            </w:tcBorders>
            <w:noWrap w:val="0"/>
            <w:vAlign w:val="center"/>
          </w:tcPr>
          <w:p w14:paraId="5189CC59">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567475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2E0DC73F">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求职进程管理</w:t>
            </w:r>
          </w:p>
        </w:tc>
      </w:tr>
      <w:tr w14:paraId="39446783">
        <w:tblPrEx>
          <w:tblCellMar>
            <w:top w:w="0" w:type="dxa"/>
            <w:left w:w="108" w:type="dxa"/>
            <w:bottom w:w="0" w:type="dxa"/>
            <w:right w:w="108" w:type="dxa"/>
          </w:tblCellMar>
        </w:tblPrEx>
        <w:trPr>
          <w:trHeight w:val="392" w:hRule="atLeast"/>
        </w:trPr>
        <w:tc>
          <w:tcPr>
            <w:tcW w:w="2536"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7241B7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第四章</w:t>
            </w:r>
          </w:p>
        </w:tc>
        <w:tc>
          <w:tcPr>
            <w:tcW w:w="647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C01B1AC">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求职材料的准备</w:t>
            </w:r>
          </w:p>
        </w:tc>
      </w:tr>
      <w:tr w14:paraId="004F6AE6">
        <w:tblPrEx>
          <w:tblCellMar>
            <w:top w:w="0" w:type="dxa"/>
            <w:left w:w="108" w:type="dxa"/>
            <w:bottom w:w="0" w:type="dxa"/>
            <w:right w:w="108" w:type="dxa"/>
          </w:tblCellMar>
        </w:tblPrEx>
        <w:trPr>
          <w:trHeight w:val="301" w:hRule="atLeast"/>
        </w:trPr>
        <w:tc>
          <w:tcPr>
            <w:tcW w:w="2536" w:type="dxa"/>
            <w:gridSpan w:val="2"/>
            <w:tcBorders>
              <w:top w:val="single" w:color="000000" w:sz="4" w:space="0"/>
              <w:left w:val="single" w:color="000000" w:sz="4" w:space="0"/>
              <w:bottom w:val="single" w:color="000000" w:sz="4" w:space="0"/>
              <w:right w:val="single" w:color="000000" w:sz="4" w:space="0"/>
            </w:tcBorders>
            <w:noWrap w:val="0"/>
            <w:vAlign w:val="center"/>
          </w:tcPr>
          <w:p w14:paraId="0C42F7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基本要求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1EA6F72B">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eastAsia="zh-CN" w:bidi="ar"/>
              </w:rPr>
              <w:t>明确求职材料准备的内容，理解书写自荐信的原则，掌握个人简历的写法，掌握自荐书的内容和写法，掌握电子简历投递的方法。</w:t>
            </w:r>
          </w:p>
        </w:tc>
      </w:tr>
      <w:tr w14:paraId="3C8087A4">
        <w:tblPrEx>
          <w:tblCellMar>
            <w:top w:w="0" w:type="dxa"/>
            <w:left w:w="108" w:type="dxa"/>
            <w:bottom w:w="0" w:type="dxa"/>
            <w:right w:w="108" w:type="dxa"/>
          </w:tblCellMar>
        </w:tblPrEx>
        <w:trPr>
          <w:trHeight w:val="326" w:hRule="atLeast"/>
        </w:trPr>
        <w:tc>
          <w:tcPr>
            <w:tcW w:w="2536" w:type="dxa"/>
            <w:gridSpan w:val="2"/>
            <w:tcBorders>
              <w:top w:val="single" w:color="000000" w:sz="4" w:space="0"/>
              <w:left w:val="single" w:color="000000" w:sz="4" w:space="0"/>
              <w:bottom w:val="single" w:color="000000" w:sz="4" w:space="0"/>
              <w:right w:val="single" w:color="000000" w:sz="4" w:space="0"/>
            </w:tcBorders>
            <w:noWrap w:val="0"/>
            <w:vAlign w:val="center"/>
          </w:tcPr>
          <w:p w14:paraId="480452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重点、难点</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108B2437">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重点：简历制作的原则、打造优秀简历、简历投递。</w:t>
            </w:r>
          </w:p>
          <w:p w14:paraId="2CBFBDE0">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难点：创意简历</w:t>
            </w:r>
          </w:p>
        </w:tc>
      </w:tr>
      <w:tr w14:paraId="76D751A5">
        <w:tblPrEx>
          <w:tblCellMar>
            <w:top w:w="0" w:type="dxa"/>
            <w:left w:w="108" w:type="dxa"/>
            <w:bottom w:w="0" w:type="dxa"/>
            <w:right w:w="108" w:type="dxa"/>
          </w:tblCellMar>
        </w:tblPrEx>
        <w:trPr>
          <w:trHeight w:val="360" w:hRule="atLeast"/>
        </w:trPr>
        <w:tc>
          <w:tcPr>
            <w:tcW w:w="1533" w:type="dxa"/>
            <w:vMerge w:val="restart"/>
            <w:tcBorders>
              <w:top w:val="single" w:color="000000" w:sz="4" w:space="0"/>
              <w:left w:val="single" w:color="000000" w:sz="4" w:space="0"/>
              <w:right w:val="single" w:color="000000" w:sz="4" w:space="0"/>
            </w:tcBorders>
            <w:noWrap w:val="0"/>
            <w:vAlign w:val="center"/>
          </w:tcPr>
          <w:p w14:paraId="0D751C8C">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教学内容</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2EE9F3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第一节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E75BFC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简历的提炼与整合</w:t>
            </w:r>
          </w:p>
        </w:tc>
      </w:tr>
      <w:tr w14:paraId="3AE8192E">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598ED6A3">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26657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389AF2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认识简历</w:t>
            </w:r>
          </w:p>
        </w:tc>
      </w:tr>
      <w:tr w14:paraId="16D0F7A3">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46ED84A8">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543FA8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8B90B9A">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简历的要素</w:t>
            </w:r>
          </w:p>
        </w:tc>
      </w:tr>
      <w:tr w14:paraId="1548AD0C">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613AEDF5">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37713E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044A960E">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简历制作的原则</w:t>
            </w:r>
          </w:p>
        </w:tc>
      </w:tr>
      <w:tr w14:paraId="2A5A88AF">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7D7B8260">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2F5E2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第二节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568D440">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如何打造优秀简历</w:t>
            </w:r>
          </w:p>
        </w:tc>
      </w:tr>
      <w:tr w14:paraId="564167FB">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162E4C6F">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564D3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C28A11A">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求职简历的筛选标准</w:t>
            </w:r>
          </w:p>
        </w:tc>
      </w:tr>
      <w:tr w14:paraId="50F0766F">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405F13D2">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7D007F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D916E9C">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简历的规格和版式</w:t>
            </w:r>
          </w:p>
        </w:tc>
      </w:tr>
      <w:tr w14:paraId="58A76FEC">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7BCB8774">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22DE6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EFA1E1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打造优秀简历</w:t>
            </w:r>
          </w:p>
        </w:tc>
      </w:tr>
      <w:tr w14:paraId="63BDEAB4">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44062E3B">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260DF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769EF6AB">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简历范例及修改点评</w:t>
            </w:r>
          </w:p>
        </w:tc>
      </w:tr>
      <w:tr w14:paraId="5A0D8065">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76356A0B">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605335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第三节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75FC416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其他求职材料的准备</w:t>
            </w:r>
          </w:p>
        </w:tc>
      </w:tr>
      <w:tr w14:paraId="17299FAB">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1C4BA3C3">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1D4072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FB3DA3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求职信</w:t>
            </w:r>
          </w:p>
        </w:tc>
      </w:tr>
      <w:tr w14:paraId="0C7B2254">
        <w:tblPrEx>
          <w:tblCellMar>
            <w:top w:w="0" w:type="dxa"/>
            <w:left w:w="108" w:type="dxa"/>
            <w:bottom w:w="0" w:type="dxa"/>
            <w:right w:w="108" w:type="dxa"/>
          </w:tblCellMar>
        </w:tblPrEx>
        <w:trPr>
          <w:trHeight w:val="358" w:hRule="atLeast"/>
        </w:trPr>
        <w:tc>
          <w:tcPr>
            <w:tcW w:w="1533" w:type="dxa"/>
            <w:vMerge w:val="continue"/>
            <w:tcBorders>
              <w:left w:val="single" w:color="000000" w:sz="4" w:space="0"/>
              <w:right w:val="single" w:color="000000" w:sz="4" w:space="0"/>
            </w:tcBorders>
            <w:noWrap w:val="0"/>
            <w:vAlign w:val="center"/>
          </w:tcPr>
          <w:p w14:paraId="743F94ED">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17CFBE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230B888">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简历补充材料</w:t>
            </w:r>
          </w:p>
        </w:tc>
      </w:tr>
      <w:tr w14:paraId="3EB5CDAF">
        <w:tblPrEx>
          <w:tblCellMar>
            <w:top w:w="0" w:type="dxa"/>
            <w:left w:w="108" w:type="dxa"/>
            <w:bottom w:w="0" w:type="dxa"/>
            <w:right w:w="108" w:type="dxa"/>
          </w:tblCellMar>
        </w:tblPrEx>
        <w:trPr>
          <w:trHeight w:val="358" w:hRule="atLeast"/>
        </w:trPr>
        <w:tc>
          <w:tcPr>
            <w:tcW w:w="1533" w:type="dxa"/>
            <w:vMerge w:val="continue"/>
            <w:tcBorders>
              <w:left w:val="single" w:color="000000" w:sz="4" w:space="0"/>
              <w:right w:val="single" w:color="000000" w:sz="4" w:space="0"/>
            </w:tcBorders>
            <w:noWrap w:val="0"/>
            <w:vAlign w:val="center"/>
          </w:tcPr>
          <w:p w14:paraId="45095FE4">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3C843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66DB547C">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创意简历</w:t>
            </w:r>
          </w:p>
        </w:tc>
      </w:tr>
      <w:tr w14:paraId="2EF238B1">
        <w:tblPrEx>
          <w:tblCellMar>
            <w:top w:w="0" w:type="dxa"/>
            <w:left w:w="108" w:type="dxa"/>
            <w:bottom w:w="0" w:type="dxa"/>
            <w:right w:w="108" w:type="dxa"/>
          </w:tblCellMar>
        </w:tblPrEx>
        <w:trPr>
          <w:trHeight w:val="358" w:hRule="atLeast"/>
        </w:trPr>
        <w:tc>
          <w:tcPr>
            <w:tcW w:w="1533" w:type="dxa"/>
            <w:vMerge w:val="continue"/>
            <w:tcBorders>
              <w:left w:val="single" w:color="000000" w:sz="4" w:space="0"/>
              <w:right w:val="single" w:color="000000" w:sz="4" w:space="0"/>
            </w:tcBorders>
            <w:noWrap w:val="0"/>
            <w:vAlign w:val="center"/>
          </w:tcPr>
          <w:p w14:paraId="4E833C86">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F8A09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第四节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122BD3A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简历投递</w:t>
            </w:r>
          </w:p>
        </w:tc>
      </w:tr>
      <w:tr w14:paraId="7EE944B7">
        <w:tblPrEx>
          <w:tblCellMar>
            <w:top w:w="0" w:type="dxa"/>
            <w:left w:w="108" w:type="dxa"/>
            <w:bottom w:w="0" w:type="dxa"/>
            <w:right w:w="108" w:type="dxa"/>
          </w:tblCellMar>
        </w:tblPrEx>
        <w:trPr>
          <w:trHeight w:val="358" w:hRule="atLeast"/>
        </w:trPr>
        <w:tc>
          <w:tcPr>
            <w:tcW w:w="1533" w:type="dxa"/>
            <w:vMerge w:val="continue"/>
            <w:tcBorders>
              <w:left w:val="single" w:color="000000" w:sz="4" w:space="0"/>
              <w:right w:val="single" w:color="000000" w:sz="4" w:space="0"/>
            </w:tcBorders>
            <w:noWrap w:val="0"/>
            <w:vAlign w:val="center"/>
          </w:tcPr>
          <w:p w14:paraId="3010F2DF">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1F993B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1B6204F">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简历投递的渠道</w:t>
            </w:r>
          </w:p>
        </w:tc>
      </w:tr>
      <w:tr w14:paraId="2CCEFB3E">
        <w:tblPrEx>
          <w:tblCellMar>
            <w:top w:w="0" w:type="dxa"/>
            <w:left w:w="108" w:type="dxa"/>
            <w:bottom w:w="0" w:type="dxa"/>
            <w:right w:w="108" w:type="dxa"/>
          </w:tblCellMar>
        </w:tblPrEx>
        <w:trPr>
          <w:trHeight w:val="358" w:hRule="atLeast"/>
        </w:trPr>
        <w:tc>
          <w:tcPr>
            <w:tcW w:w="1533" w:type="dxa"/>
            <w:vMerge w:val="continue"/>
            <w:tcBorders>
              <w:left w:val="single" w:color="000000" w:sz="4" w:space="0"/>
              <w:right w:val="single" w:color="000000" w:sz="4" w:space="0"/>
            </w:tcBorders>
            <w:noWrap w:val="0"/>
            <w:vAlign w:val="center"/>
          </w:tcPr>
          <w:p w14:paraId="0F84E9FF">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73F823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2D9DE6B">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电子邮件投递简历的注意事项</w:t>
            </w:r>
          </w:p>
        </w:tc>
      </w:tr>
      <w:tr w14:paraId="19957F0B">
        <w:tblPrEx>
          <w:tblCellMar>
            <w:top w:w="0" w:type="dxa"/>
            <w:left w:w="108" w:type="dxa"/>
            <w:bottom w:w="0" w:type="dxa"/>
            <w:right w:w="108" w:type="dxa"/>
          </w:tblCellMar>
        </w:tblPrEx>
        <w:trPr>
          <w:trHeight w:val="358" w:hRule="atLeast"/>
        </w:trPr>
        <w:tc>
          <w:tcPr>
            <w:tcW w:w="1533" w:type="dxa"/>
            <w:vMerge w:val="continue"/>
            <w:tcBorders>
              <w:left w:val="single" w:color="000000" w:sz="4" w:space="0"/>
              <w:bottom w:val="single" w:color="000000" w:sz="4" w:space="0"/>
              <w:right w:val="single" w:color="000000" w:sz="4" w:space="0"/>
            </w:tcBorders>
            <w:noWrap w:val="0"/>
            <w:vAlign w:val="center"/>
          </w:tcPr>
          <w:p w14:paraId="4A42F350">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6DB95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743B6D5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网申的注意事项</w:t>
            </w:r>
          </w:p>
        </w:tc>
      </w:tr>
      <w:tr w14:paraId="082F34B9">
        <w:tblPrEx>
          <w:tblCellMar>
            <w:top w:w="0" w:type="dxa"/>
            <w:left w:w="108" w:type="dxa"/>
            <w:bottom w:w="0" w:type="dxa"/>
            <w:right w:w="108" w:type="dxa"/>
          </w:tblCellMar>
        </w:tblPrEx>
        <w:trPr>
          <w:trHeight w:val="358" w:hRule="atLeast"/>
        </w:trPr>
        <w:tc>
          <w:tcPr>
            <w:tcW w:w="1533" w:type="dxa"/>
            <w:tcBorders>
              <w:left w:val="single" w:color="000000" w:sz="4" w:space="0"/>
              <w:bottom w:val="single" w:color="000000" w:sz="4" w:space="0"/>
              <w:right w:val="single" w:color="000000" w:sz="4" w:space="0"/>
            </w:tcBorders>
            <w:noWrap w:val="0"/>
            <w:vAlign w:val="center"/>
          </w:tcPr>
          <w:p w14:paraId="62AB4B9E">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588B40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88EDFDF">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现场招聘活动投递简历的注意事项</w:t>
            </w:r>
          </w:p>
        </w:tc>
      </w:tr>
      <w:tr w14:paraId="079C8D36">
        <w:tblPrEx>
          <w:tblCellMar>
            <w:top w:w="0" w:type="dxa"/>
            <w:left w:w="108" w:type="dxa"/>
            <w:bottom w:w="0" w:type="dxa"/>
            <w:right w:w="108" w:type="dxa"/>
          </w:tblCellMar>
        </w:tblPrEx>
        <w:trPr>
          <w:trHeight w:val="360" w:hRule="atLeast"/>
        </w:trPr>
        <w:tc>
          <w:tcPr>
            <w:tcW w:w="2536"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2E4FBC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第五章</w:t>
            </w:r>
          </w:p>
        </w:tc>
        <w:tc>
          <w:tcPr>
            <w:tcW w:w="647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7F04424">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成功应聘的秘诀</w:t>
            </w:r>
          </w:p>
        </w:tc>
      </w:tr>
      <w:tr w14:paraId="2A47D1DB">
        <w:tblPrEx>
          <w:tblCellMar>
            <w:top w:w="0" w:type="dxa"/>
            <w:left w:w="108" w:type="dxa"/>
            <w:bottom w:w="0" w:type="dxa"/>
            <w:right w:w="108" w:type="dxa"/>
          </w:tblCellMar>
        </w:tblPrEx>
        <w:trPr>
          <w:trHeight w:val="1360" w:hRule="atLeast"/>
        </w:trPr>
        <w:tc>
          <w:tcPr>
            <w:tcW w:w="2536" w:type="dxa"/>
            <w:gridSpan w:val="2"/>
            <w:tcBorders>
              <w:top w:val="single" w:color="000000" w:sz="4" w:space="0"/>
              <w:left w:val="single" w:color="000000" w:sz="4" w:space="0"/>
              <w:bottom w:val="single" w:color="000000" w:sz="4" w:space="0"/>
              <w:right w:val="single" w:color="000000" w:sz="4" w:space="0"/>
            </w:tcBorders>
            <w:noWrap w:val="0"/>
            <w:vAlign w:val="center"/>
          </w:tcPr>
          <w:p w14:paraId="753CC9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基本要求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289A26CA">
            <w:pPr>
              <w:keepNext w:val="0"/>
              <w:keepLines w:val="0"/>
              <w:pageBreakBefore w:val="0"/>
              <w:widowControl/>
              <w:suppressLineNumbers w:val="0"/>
              <w:kinsoku/>
              <w:wordWrap/>
              <w:overflowPunct/>
              <w:topLinePunct w:val="0"/>
              <w:autoSpaceDE/>
              <w:autoSpaceDN/>
              <w:bidi w:val="0"/>
              <w:adjustRightInd/>
              <w:snapToGrid/>
              <w:spacing w:line="240" w:lineRule="auto"/>
              <w:ind w:firstLine="396" w:firstLineChars="200"/>
              <w:jc w:val="left"/>
              <w:textAlignment w:val="center"/>
              <w:rPr>
                <w:rFonts w:hint="eastAsia" w:ascii="宋体" w:hAnsi="宋体" w:eastAsia="宋体" w:cs="宋体"/>
                <w:color w:val="000000"/>
                <w:spacing w:val="-6"/>
                <w:kern w:val="0"/>
                <w:sz w:val="21"/>
                <w:szCs w:val="21"/>
                <w:lang w:val="en-US" w:eastAsia="zh-CN" w:bidi="ar"/>
              </w:rPr>
            </w:pPr>
            <w:r>
              <w:rPr>
                <w:rFonts w:hint="eastAsia" w:ascii="宋体" w:hAnsi="宋体" w:eastAsia="宋体" w:cs="宋体"/>
                <w:color w:val="000000"/>
                <w:spacing w:val="-6"/>
                <w:kern w:val="0"/>
                <w:sz w:val="21"/>
                <w:szCs w:val="21"/>
                <w:lang w:bidi="ar"/>
              </w:rPr>
              <w:t>熟练掌握参加招聘会的注意事项、笔试及面试的方法与技巧</w:t>
            </w:r>
            <w:r>
              <w:rPr>
                <w:rFonts w:hint="eastAsia" w:ascii="宋体" w:hAnsi="宋体" w:eastAsia="宋体" w:cs="宋体"/>
                <w:color w:val="000000"/>
                <w:spacing w:val="-6"/>
                <w:kern w:val="0"/>
                <w:sz w:val="21"/>
                <w:szCs w:val="21"/>
                <w:lang w:eastAsia="zh-CN" w:bidi="ar"/>
              </w:rPr>
              <w:t>。包括了解如何准备面试的各个环节，例如面试前的资料搜集、形象准备、心态调整等，以及面试过程中的应答技巧。</w:t>
            </w:r>
          </w:p>
        </w:tc>
      </w:tr>
      <w:tr w14:paraId="47ABA086">
        <w:tblPrEx>
          <w:tblCellMar>
            <w:top w:w="0" w:type="dxa"/>
            <w:left w:w="108" w:type="dxa"/>
            <w:bottom w:w="0" w:type="dxa"/>
            <w:right w:w="108" w:type="dxa"/>
          </w:tblCellMar>
        </w:tblPrEx>
        <w:trPr>
          <w:trHeight w:val="558" w:hRule="atLeast"/>
        </w:trPr>
        <w:tc>
          <w:tcPr>
            <w:tcW w:w="2536" w:type="dxa"/>
            <w:gridSpan w:val="2"/>
            <w:tcBorders>
              <w:top w:val="single" w:color="000000" w:sz="4" w:space="0"/>
              <w:left w:val="single" w:color="000000" w:sz="4" w:space="0"/>
              <w:bottom w:val="single" w:color="000000" w:sz="4" w:space="0"/>
              <w:right w:val="single" w:color="000000" w:sz="4" w:space="0"/>
            </w:tcBorders>
            <w:noWrap w:val="0"/>
            <w:vAlign w:val="center"/>
          </w:tcPr>
          <w:p w14:paraId="2502F7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重点、难点</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664DF6DF">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重点：参加笔试应注意的细节问题、个体面试问题准备、个体面试表达能力提升、群体面试能力的提高</w:t>
            </w:r>
          </w:p>
          <w:p w14:paraId="7A363433">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难点：笔试的准备、总结复盘</w:t>
            </w:r>
          </w:p>
        </w:tc>
      </w:tr>
      <w:tr w14:paraId="0E3E2DB4">
        <w:tblPrEx>
          <w:tblCellMar>
            <w:top w:w="0" w:type="dxa"/>
            <w:left w:w="108" w:type="dxa"/>
            <w:bottom w:w="0" w:type="dxa"/>
            <w:right w:w="108" w:type="dxa"/>
          </w:tblCellMar>
        </w:tblPrEx>
        <w:trPr>
          <w:trHeight w:val="360" w:hRule="atLeast"/>
        </w:trPr>
        <w:tc>
          <w:tcPr>
            <w:tcW w:w="1533" w:type="dxa"/>
            <w:vMerge w:val="restart"/>
            <w:tcBorders>
              <w:top w:val="single" w:color="000000" w:sz="4" w:space="0"/>
              <w:left w:val="single" w:color="000000" w:sz="4" w:space="0"/>
              <w:right w:val="single" w:color="000000" w:sz="4" w:space="0"/>
            </w:tcBorders>
            <w:noWrap w:val="0"/>
            <w:vAlign w:val="center"/>
          </w:tcPr>
          <w:p w14:paraId="368281B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教学内容</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2A61DE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第一节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7AE9DC6">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笔    试</w:t>
            </w:r>
          </w:p>
        </w:tc>
      </w:tr>
      <w:tr w14:paraId="5F6442BF">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109CBD50">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16E571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78E686AC">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笔试的内涵</w:t>
            </w:r>
          </w:p>
        </w:tc>
      </w:tr>
      <w:tr w14:paraId="200D3E5C">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58BBC431">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7A015D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B697C5A">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笔试的分类</w:t>
            </w:r>
          </w:p>
        </w:tc>
      </w:tr>
      <w:tr w14:paraId="09E6314A">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772394D7">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761A8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863F8F5">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笔试的准备</w:t>
            </w:r>
          </w:p>
        </w:tc>
      </w:tr>
      <w:tr w14:paraId="6DC441D0">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43083CFC">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1249CF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66C5D23">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参加笔试应注意的细节问题</w:t>
            </w:r>
          </w:p>
        </w:tc>
      </w:tr>
      <w:tr w14:paraId="33D20DA2">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5F63FF64">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F7CD1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第二节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0C657ACA">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 试 准 备</w:t>
            </w:r>
          </w:p>
        </w:tc>
      </w:tr>
      <w:tr w14:paraId="50806A4E">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4006B932">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72189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644290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面试的雇主视角</w:t>
            </w:r>
          </w:p>
        </w:tc>
      </w:tr>
      <w:tr w14:paraId="219012ED">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317FFAFD">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5A0301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754CAB2B">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搜集报考单位和目标岗位的资料与信息</w:t>
            </w:r>
          </w:p>
        </w:tc>
      </w:tr>
      <w:tr w14:paraId="15DB2313">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4CC2B37A">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325B8B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08B6F841">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具备积极的心态</w:t>
            </w:r>
          </w:p>
        </w:tc>
      </w:tr>
      <w:tr w14:paraId="7E1C0BB2">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15AD5243">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6FDFD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0F3D5E24">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面试礼仪准备</w:t>
            </w:r>
          </w:p>
        </w:tc>
      </w:tr>
      <w:tr w14:paraId="411E700F">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4F0F5A88">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3BB3DE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第三节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4D8ED57">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 体 面 试</w:t>
            </w:r>
          </w:p>
        </w:tc>
      </w:tr>
      <w:tr w14:paraId="5B674F03">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6DAE5B45">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DAC55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6BDF93E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个体面试的形式与种类</w:t>
            </w:r>
          </w:p>
        </w:tc>
      </w:tr>
      <w:tr w14:paraId="7273505C">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1E1BD2EE">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0F0E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022683E">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个体面试问题准备</w:t>
            </w:r>
          </w:p>
        </w:tc>
      </w:tr>
      <w:tr w14:paraId="37B12DF1">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08DC2885">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5D4285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6C1827A7">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个体面试表达能力提升</w:t>
            </w:r>
          </w:p>
        </w:tc>
      </w:tr>
      <w:tr w14:paraId="4B43171B">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6BCB0954">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20E52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第四节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86513F6">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 体 面 试</w:t>
            </w:r>
          </w:p>
        </w:tc>
      </w:tr>
      <w:tr w14:paraId="0D683DBF">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4C93EC00">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32BFDA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603B70A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群体面试的形式与种类</w:t>
            </w:r>
          </w:p>
        </w:tc>
      </w:tr>
      <w:tr w14:paraId="5466B930">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68C86AB6">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23D00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0D1BF557">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群体面试要点</w:t>
            </w:r>
          </w:p>
        </w:tc>
      </w:tr>
      <w:tr w14:paraId="2D1BF968">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47E43AA8">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5CE469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AB280CC">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群体面试能力的提高</w:t>
            </w:r>
          </w:p>
        </w:tc>
      </w:tr>
      <w:tr w14:paraId="07538A4C">
        <w:tblPrEx>
          <w:tblCellMar>
            <w:top w:w="0" w:type="dxa"/>
            <w:left w:w="108" w:type="dxa"/>
            <w:bottom w:w="0" w:type="dxa"/>
            <w:right w:w="108" w:type="dxa"/>
          </w:tblCellMar>
        </w:tblPrEx>
        <w:trPr>
          <w:trHeight w:val="345" w:hRule="atLeast"/>
        </w:trPr>
        <w:tc>
          <w:tcPr>
            <w:tcW w:w="1533" w:type="dxa"/>
            <w:vMerge w:val="continue"/>
            <w:tcBorders>
              <w:left w:val="single" w:color="000000" w:sz="4" w:space="0"/>
              <w:right w:val="single" w:color="000000" w:sz="4" w:space="0"/>
            </w:tcBorders>
            <w:noWrap w:val="0"/>
            <w:vAlign w:val="center"/>
          </w:tcPr>
          <w:p w14:paraId="36410991">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6D179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第五节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BC00A87">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面试总结与行动促进</w:t>
            </w:r>
          </w:p>
        </w:tc>
      </w:tr>
      <w:tr w14:paraId="1EA044DE">
        <w:tblPrEx>
          <w:tblCellMar>
            <w:top w:w="0" w:type="dxa"/>
            <w:left w:w="108" w:type="dxa"/>
            <w:bottom w:w="0" w:type="dxa"/>
            <w:right w:w="108" w:type="dxa"/>
          </w:tblCellMar>
        </w:tblPrEx>
        <w:trPr>
          <w:trHeight w:val="345" w:hRule="atLeast"/>
        </w:trPr>
        <w:tc>
          <w:tcPr>
            <w:tcW w:w="1533" w:type="dxa"/>
            <w:vMerge w:val="continue"/>
            <w:tcBorders>
              <w:left w:val="single" w:color="000000" w:sz="4" w:space="0"/>
              <w:right w:val="single" w:color="000000" w:sz="4" w:space="0"/>
            </w:tcBorders>
            <w:noWrap w:val="0"/>
            <w:vAlign w:val="center"/>
          </w:tcPr>
          <w:p w14:paraId="63856673">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DD3E0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6636CAFF">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查询结果</w:t>
            </w:r>
          </w:p>
        </w:tc>
      </w:tr>
      <w:tr w14:paraId="569183CA">
        <w:tblPrEx>
          <w:tblCellMar>
            <w:top w:w="0" w:type="dxa"/>
            <w:left w:w="108" w:type="dxa"/>
            <w:bottom w:w="0" w:type="dxa"/>
            <w:right w:w="108" w:type="dxa"/>
          </w:tblCellMar>
        </w:tblPrEx>
        <w:trPr>
          <w:trHeight w:val="345" w:hRule="atLeast"/>
        </w:trPr>
        <w:tc>
          <w:tcPr>
            <w:tcW w:w="1533" w:type="dxa"/>
            <w:vMerge w:val="continue"/>
            <w:tcBorders>
              <w:left w:val="single" w:color="000000" w:sz="4" w:space="0"/>
              <w:right w:val="single" w:color="000000" w:sz="4" w:space="0"/>
            </w:tcBorders>
            <w:noWrap w:val="0"/>
            <w:vAlign w:val="center"/>
          </w:tcPr>
          <w:p w14:paraId="23768F58">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6A8FAD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405BE7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总结复盘</w:t>
            </w:r>
          </w:p>
        </w:tc>
      </w:tr>
      <w:tr w14:paraId="4F7E073B">
        <w:tblPrEx>
          <w:tblCellMar>
            <w:top w:w="0" w:type="dxa"/>
            <w:left w:w="108" w:type="dxa"/>
            <w:bottom w:w="0" w:type="dxa"/>
            <w:right w:w="108" w:type="dxa"/>
          </w:tblCellMar>
        </w:tblPrEx>
        <w:trPr>
          <w:trHeight w:val="345" w:hRule="atLeast"/>
        </w:trPr>
        <w:tc>
          <w:tcPr>
            <w:tcW w:w="1533" w:type="dxa"/>
            <w:vMerge w:val="continue"/>
            <w:tcBorders>
              <w:left w:val="single" w:color="000000" w:sz="4" w:space="0"/>
              <w:bottom w:val="single" w:color="000000" w:sz="4" w:space="0"/>
              <w:right w:val="single" w:color="000000" w:sz="4" w:space="0"/>
            </w:tcBorders>
            <w:noWrap w:val="0"/>
            <w:vAlign w:val="center"/>
          </w:tcPr>
          <w:p w14:paraId="6A0EBEB6">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739D1A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F1EF4C6">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心态调节</w:t>
            </w:r>
          </w:p>
        </w:tc>
      </w:tr>
      <w:tr w14:paraId="597BE101">
        <w:tblPrEx>
          <w:tblCellMar>
            <w:top w:w="0" w:type="dxa"/>
            <w:left w:w="108" w:type="dxa"/>
            <w:bottom w:w="0" w:type="dxa"/>
            <w:right w:w="108" w:type="dxa"/>
          </w:tblCellMar>
        </w:tblPrEx>
        <w:trPr>
          <w:trHeight w:val="360" w:hRule="atLeast"/>
        </w:trPr>
        <w:tc>
          <w:tcPr>
            <w:tcW w:w="2536"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C035A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第六章</w:t>
            </w:r>
          </w:p>
        </w:tc>
        <w:tc>
          <w:tcPr>
            <w:tcW w:w="647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05F1CEDD">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择己所长，理性做好选择</w:t>
            </w:r>
          </w:p>
        </w:tc>
      </w:tr>
      <w:tr w14:paraId="43899768">
        <w:tblPrEx>
          <w:tblCellMar>
            <w:top w:w="0" w:type="dxa"/>
            <w:left w:w="108" w:type="dxa"/>
            <w:bottom w:w="0" w:type="dxa"/>
            <w:right w:w="108" w:type="dxa"/>
          </w:tblCellMar>
        </w:tblPrEx>
        <w:trPr>
          <w:trHeight w:val="90" w:hRule="atLeast"/>
        </w:trPr>
        <w:tc>
          <w:tcPr>
            <w:tcW w:w="2536" w:type="dxa"/>
            <w:gridSpan w:val="2"/>
            <w:tcBorders>
              <w:top w:val="single" w:color="000000" w:sz="4" w:space="0"/>
              <w:left w:val="single" w:color="000000" w:sz="4" w:space="0"/>
              <w:bottom w:val="single" w:color="000000" w:sz="4" w:space="0"/>
              <w:right w:val="single" w:color="000000" w:sz="4" w:space="0"/>
            </w:tcBorders>
            <w:noWrap w:val="0"/>
            <w:vAlign w:val="center"/>
          </w:tcPr>
          <w:p w14:paraId="0D17B8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基本要求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59C310E">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color w:val="000000"/>
                <w:kern w:val="0"/>
                <w:sz w:val="21"/>
                <w:szCs w:val="21"/>
                <w:lang w:bidi="ar"/>
              </w:rPr>
              <w:t>了解当前大学生就业观的特点和“误区”</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val="en-US" w:eastAsia="zh-CN" w:bidi="ar"/>
              </w:rPr>
              <w:t>了解各就业选择的利弊，做出符合自身的就业选择，提前做好准备。</w:t>
            </w:r>
          </w:p>
        </w:tc>
      </w:tr>
      <w:tr w14:paraId="4E36FE1F">
        <w:tblPrEx>
          <w:tblCellMar>
            <w:top w:w="0" w:type="dxa"/>
            <w:left w:w="108" w:type="dxa"/>
            <w:bottom w:w="0" w:type="dxa"/>
            <w:right w:w="108" w:type="dxa"/>
          </w:tblCellMar>
        </w:tblPrEx>
        <w:trPr>
          <w:trHeight w:val="380" w:hRule="atLeast"/>
        </w:trPr>
        <w:tc>
          <w:tcPr>
            <w:tcW w:w="2536" w:type="dxa"/>
            <w:gridSpan w:val="2"/>
            <w:tcBorders>
              <w:top w:val="single" w:color="000000" w:sz="4" w:space="0"/>
              <w:left w:val="single" w:color="000000" w:sz="4" w:space="0"/>
              <w:bottom w:val="single" w:color="000000" w:sz="4" w:space="0"/>
              <w:right w:val="single" w:color="000000" w:sz="4" w:space="0"/>
            </w:tcBorders>
            <w:noWrap w:val="0"/>
            <w:vAlign w:val="center"/>
          </w:tcPr>
          <w:p w14:paraId="0AA8DB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重点、难点</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685E2D06">
            <w:pPr>
              <w:keepNext w:val="0"/>
              <w:keepLines w:val="0"/>
              <w:pageBreakBefore w:val="0"/>
              <w:widowControl/>
              <w:suppressLineNumbers w:val="0"/>
              <w:tabs>
                <w:tab w:val="left" w:pos="912"/>
              </w:tabs>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重点：基于社会担当的职业选择、毕业生就业方向分析</w:t>
            </w:r>
          </w:p>
          <w:p w14:paraId="4FD13FF8">
            <w:pPr>
              <w:keepNext w:val="0"/>
              <w:keepLines w:val="0"/>
              <w:pageBreakBefore w:val="0"/>
              <w:widowControl/>
              <w:suppressLineNumbers w:val="0"/>
              <w:tabs>
                <w:tab w:val="left" w:pos="912"/>
              </w:tabs>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难点：如何做出职业决策</w:t>
            </w:r>
          </w:p>
        </w:tc>
      </w:tr>
      <w:tr w14:paraId="4C807EE6">
        <w:tblPrEx>
          <w:tblCellMar>
            <w:top w:w="0" w:type="dxa"/>
            <w:left w:w="108" w:type="dxa"/>
            <w:bottom w:w="0" w:type="dxa"/>
            <w:right w:w="108" w:type="dxa"/>
          </w:tblCellMar>
        </w:tblPrEx>
        <w:trPr>
          <w:trHeight w:val="360" w:hRule="atLeast"/>
        </w:trPr>
        <w:tc>
          <w:tcPr>
            <w:tcW w:w="1533" w:type="dxa"/>
            <w:vMerge w:val="restart"/>
            <w:tcBorders>
              <w:top w:val="single" w:color="000000" w:sz="4" w:space="0"/>
              <w:left w:val="single" w:color="000000" w:sz="4" w:space="0"/>
              <w:bottom w:val="single" w:color="000000" w:sz="4" w:space="0"/>
              <w:right w:val="single" w:color="000000" w:sz="4" w:space="0"/>
            </w:tcBorders>
            <w:noWrap w:val="0"/>
            <w:vAlign w:val="center"/>
          </w:tcPr>
          <w:p w14:paraId="1B40D1EE">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教学内容</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E06CE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第一节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6DAFBEA0">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职业选择类型</w:t>
            </w:r>
          </w:p>
        </w:tc>
      </w:tr>
      <w:tr w14:paraId="330F8DCB">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877052">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8F33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19C9060D">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基于专业的职业选择</w:t>
            </w:r>
          </w:p>
        </w:tc>
      </w:tr>
      <w:tr w14:paraId="29D04D95">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C0A873">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1BBF5B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0751348">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基于社会担当的职业选择</w:t>
            </w:r>
          </w:p>
        </w:tc>
      </w:tr>
      <w:tr w14:paraId="58D4FA96">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965AAD">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3B1580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第二节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3DD472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毕业生就业方向分析</w:t>
            </w:r>
          </w:p>
        </w:tc>
      </w:tr>
      <w:tr w14:paraId="117A3167">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773177">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3F067E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0D84E64">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政策性就业分析</w:t>
            </w:r>
          </w:p>
        </w:tc>
      </w:tr>
      <w:tr w14:paraId="558E5A77">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B49180">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E7B4D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2873567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市场性就业分析</w:t>
            </w:r>
          </w:p>
        </w:tc>
      </w:tr>
      <w:tr w14:paraId="58656BFE">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ECB370">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5252E6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229E2160">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升学分析</w:t>
            </w:r>
          </w:p>
        </w:tc>
      </w:tr>
      <w:tr w14:paraId="7FC61886">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49F522">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78BC88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第三节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39CD1BA">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 业 决 策</w:t>
            </w:r>
          </w:p>
        </w:tc>
      </w:tr>
      <w:tr w14:paraId="2CF6520B">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1F7082">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6C49B2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C1C14F8">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t>影响职业决策的因素</w:t>
            </w:r>
          </w:p>
        </w:tc>
      </w:tr>
      <w:tr w14:paraId="3C5D5DEF">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47AFFA">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5A3D41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7B2B85C4">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如何做出职业决策</w:t>
            </w:r>
          </w:p>
        </w:tc>
      </w:tr>
      <w:tr w14:paraId="0599D6D2">
        <w:tblPrEx>
          <w:tblCellMar>
            <w:top w:w="0" w:type="dxa"/>
            <w:left w:w="108" w:type="dxa"/>
            <w:bottom w:w="0" w:type="dxa"/>
            <w:right w:w="108" w:type="dxa"/>
          </w:tblCellMar>
        </w:tblPrEx>
        <w:trPr>
          <w:trHeight w:val="360" w:hRule="atLeast"/>
        </w:trPr>
        <w:tc>
          <w:tcPr>
            <w:tcW w:w="2536"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765118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第七章</w:t>
            </w:r>
          </w:p>
        </w:tc>
        <w:tc>
          <w:tcPr>
            <w:tcW w:w="647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B8826CE">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毕业生就业管理与权益保护</w:t>
            </w:r>
          </w:p>
        </w:tc>
      </w:tr>
      <w:tr w14:paraId="4C14D63F">
        <w:tblPrEx>
          <w:tblCellMar>
            <w:top w:w="0" w:type="dxa"/>
            <w:left w:w="108" w:type="dxa"/>
            <w:bottom w:w="0" w:type="dxa"/>
            <w:right w:w="108" w:type="dxa"/>
          </w:tblCellMar>
        </w:tblPrEx>
        <w:trPr>
          <w:trHeight w:val="608" w:hRule="atLeast"/>
        </w:trPr>
        <w:tc>
          <w:tcPr>
            <w:tcW w:w="2536" w:type="dxa"/>
            <w:gridSpan w:val="2"/>
            <w:tcBorders>
              <w:top w:val="single" w:color="000000" w:sz="4" w:space="0"/>
              <w:left w:val="single" w:color="000000" w:sz="4" w:space="0"/>
              <w:bottom w:val="single" w:color="000000" w:sz="4" w:space="0"/>
              <w:right w:val="single" w:color="000000" w:sz="4" w:space="0"/>
            </w:tcBorders>
            <w:noWrap w:val="0"/>
            <w:vAlign w:val="center"/>
          </w:tcPr>
          <w:p w14:paraId="7C97F0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基本要求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0F9E403">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000000"/>
                <w:kern w:val="0"/>
                <w:sz w:val="21"/>
                <w:szCs w:val="21"/>
                <w:lang w:bidi="ar"/>
              </w:rPr>
              <w:t>了解毕业生就业的一般流程及就业陷阱的类型及防范措施</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2. 熟悉《劳动法》、《劳动合同法》的主要内容及就业权益保护内容和方法</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3. 掌握就业协议和劳动合同的内容及签订</w:t>
            </w:r>
          </w:p>
        </w:tc>
      </w:tr>
      <w:tr w14:paraId="1F9306E8">
        <w:tblPrEx>
          <w:tblCellMar>
            <w:top w:w="0" w:type="dxa"/>
            <w:left w:w="108" w:type="dxa"/>
            <w:bottom w:w="0" w:type="dxa"/>
            <w:right w:w="108" w:type="dxa"/>
          </w:tblCellMar>
        </w:tblPrEx>
        <w:trPr>
          <w:trHeight w:val="90" w:hRule="atLeast"/>
        </w:trPr>
        <w:tc>
          <w:tcPr>
            <w:tcW w:w="2536" w:type="dxa"/>
            <w:gridSpan w:val="2"/>
            <w:tcBorders>
              <w:top w:val="single" w:color="000000" w:sz="4" w:space="0"/>
              <w:left w:val="single" w:color="000000" w:sz="4" w:space="0"/>
              <w:bottom w:val="single" w:color="000000" w:sz="4" w:space="0"/>
              <w:right w:val="single" w:color="000000" w:sz="4" w:space="0"/>
            </w:tcBorders>
            <w:noWrap w:val="0"/>
            <w:vAlign w:val="center"/>
          </w:tcPr>
          <w:p w14:paraId="650F6A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重点、难点</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20768F3A">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重点：常见就业手续办理、毕业生档案与户口迁移、就业协议书与推荐表、劳动合同</w:t>
            </w:r>
          </w:p>
          <w:p w14:paraId="0AC54D8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难点：解除就业协议、劳动争议、常见就业陷阱及规避方法</w:t>
            </w:r>
          </w:p>
        </w:tc>
      </w:tr>
      <w:tr w14:paraId="148D9D74">
        <w:tblPrEx>
          <w:tblCellMar>
            <w:top w:w="0" w:type="dxa"/>
            <w:left w:w="108" w:type="dxa"/>
            <w:bottom w:w="0" w:type="dxa"/>
            <w:right w:w="108" w:type="dxa"/>
          </w:tblCellMar>
        </w:tblPrEx>
        <w:trPr>
          <w:trHeight w:val="360" w:hRule="atLeast"/>
        </w:trPr>
        <w:tc>
          <w:tcPr>
            <w:tcW w:w="1533" w:type="dxa"/>
            <w:vMerge w:val="restart"/>
            <w:tcBorders>
              <w:top w:val="single" w:color="000000" w:sz="4" w:space="0"/>
              <w:left w:val="single" w:color="000000" w:sz="4" w:space="0"/>
              <w:right w:val="single" w:color="000000" w:sz="4" w:space="0"/>
            </w:tcBorders>
            <w:noWrap w:val="0"/>
            <w:vAlign w:val="center"/>
          </w:tcPr>
          <w:p w14:paraId="7920B24B">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教学内容</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33F18A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第一节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31F81A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关于就业管理</w:t>
            </w:r>
          </w:p>
        </w:tc>
      </w:tr>
      <w:tr w14:paraId="5CFDEABC">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6CE60FA8">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7231B7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6BDBCA4">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报到证已成为历史</w:t>
            </w:r>
          </w:p>
        </w:tc>
      </w:tr>
      <w:tr w14:paraId="712316B0">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34C63843">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541BF4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754B3C6">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毕业生去向登记制度</w:t>
            </w:r>
          </w:p>
        </w:tc>
      </w:tr>
      <w:tr w14:paraId="2703F0C0">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16C48808">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1A2813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ign w:val="center"/>
          </w:tcPr>
          <w:p w14:paraId="4D93432E">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常见就业手续办理</w:t>
            </w:r>
          </w:p>
        </w:tc>
      </w:tr>
      <w:tr w14:paraId="20B7DDC4">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58C23900">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199E11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6474" w:type="dxa"/>
            <w:tcBorders>
              <w:top w:val="single" w:color="000000" w:sz="4" w:space="0"/>
              <w:left w:val="single" w:color="000000" w:sz="4" w:space="0"/>
              <w:bottom w:val="single" w:color="000000" w:sz="4" w:space="0"/>
              <w:right w:val="single" w:color="000000" w:sz="4" w:space="0"/>
            </w:tcBorders>
            <w:noWrap/>
            <w:vAlign w:val="center"/>
          </w:tcPr>
          <w:p w14:paraId="066D578B">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毕业生档案与户口迁移</w:t>
            </w:r>
          </w:p>
        </w:tc>
      </w:tr>
      <w:tr w14:paraId="44591F67">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092D9445">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2140BD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第二节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AFE1F96">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就业协议书与推荐表</w:t>
            </w:r>
          </w:p>
        </w:tc>
      </w:tr>
      <w:tr w14:paraId="03386362">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274017F8">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6FAD91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777D837">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就业协议书</w:t>
            </w:r>
          </w:p>
        </w:tc>
      </w:tr>
      <w:tr w14:paraId="4BB1C969">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4AF94005">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64CF68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1915A1DF">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毕业生就业推荐表</w:t>
            </w:r>
          </w:p>
        </w:tc>
      </w:tr>
      <w:tr w14:paraId="4E0AACEF">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2D301288">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75739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第三节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B5926A3">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劳 动 合 同</w:t>
            </w:r>
          </w:p>
        </w:tc>
      </w:tr>
      <w:tr w14:paraId="427C7459">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39CCCF14">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505970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B07CA6D">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何为劳动合同</w:t>
            </w:r>
          </w:p>
        </w:tc>
      </w:tr>
      <w:tr w14:paraId="7239BC6C">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7A41AB65">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5418C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44D4C30">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劳动合同的订立原则</w:t>
            </w:r>
          </w:p>
        </w:tc>
      </w:tr>
      <w:tr w14:paraId="522C6581">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72625350">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92C85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A2B924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订立劳动合同的程序</w:t>
            </w:r>
          </w:p>
        </w:tc>
      </w:tr>
      <w:tr w14:paraId="1D01D425">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7844EB36">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3CB3AD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16D2F724">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劳动合同的基本内容</w:t>
            </w:r>
          </w:p>
        </w:tc>
      </w:tr>
      <w:tr w14:paraId="179FDE42">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6BF3809F">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588CBE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137F2D1">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就业协议与劳动合同的异同</w:t>
            </w:r>
          </w:p>
        </w:tc>
      </w:tr>
      <w:tr w14:paraId="3967676C">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1A345D06">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2F37B5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第四节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0A0D404">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违约与劳动争议</w:t>
            </w:r>
          </w:p>
        </w:tc>
      </w:tr>
      <w:tr w14:paraId="3A30C5A7">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11F263DD">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5F1FC6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B10091D">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违约及其影响</w:t>
            </w:r>
          </w:p>
        </w:tc>
      </w:tr>
      <w:tr w14:paraId="031CD38E">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25357179">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6030DC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0975144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解除就业协议</w:t>
            </w:r>
          </w:p>
        </w:tc>
      </w:tr>
      <w:tr w14:paraId="4F6E6465">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5D2C3626">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5D68B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1F4E1A0">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劳动争议</w:t>
            </w:r>
          </w:p>
        </w:tc>
      </w:tr>
      <w:tr w14:paraId="3749519D">
        <w:tblPrEx>
          <w:tblCellMar>
            <w:top w:w="0" w:type="dxa"/>
            <w:left w:w="108" w:type="dxa"/>
            <w:bottom w:w="0" w:type="dxa"/>
            <w:right w:w="108" w:type="dxa"/>
          </w:tblCellMar>
        </w:tblPrEx>
        <w:trPr>
          <w:trHeight w:val="360" w:hRule="atLeast"/>
        </w:trPr>
        <w:tc>
          <w:tcPr>
            <w:tcW w:w="1533" w:type="dxa"/>
            <w:vMerge w:val="continue"/>
            <w:tcBorders>
              <w:left w:val="single" w:color="000000" w:sz="4" w:space="0"/>
              <w:bottom w:val="single" w:color="000000" w:sz="4" w:space="0"/>
              <w:right w:val="single" w:color="000000" w:sz="4" w:space="0"/>
            </w:tcBorders>
            <w:noWrap w:val="0"/>
            <w:vAlign w:val="center"/>
          </w:tcPr>
          <w:p w14:paraId="10707703">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2579C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03B9C3F">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常见就业陷阱及规避方法</w:t>
            </w:r>
          </w:p>
        </w:tc>
      </w:tr>
      <w:tr w14:paraId="07DBA65F">
        <w:tblPrEx>
          <w:tblCellMar>
            <w:top w:w="0" w:type="dxa"/>
            <w:left w:w="108" w:type="dxa"/>
            <w:bottom w:w="0" w:type="dxa"/>
            <w:right w:w="108" w:type="dxa"/>
          </w:tblCellMar>
        </w:tblPrEx>
        <w:trPr>
          <w:trHeight w:val="430" w:hRule="atLeast"/>
        </w:trPr>
        <w:tc>
          <w:tcPr>
            <w:tcW w:w="2536"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790AB5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第八章</w:t>
            </w:r>
          </w:p>
        </w:tc>
        <w:tc>
          <w:tcPr>
            <w:tcW w:w="647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A0D974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胜任职场，创造精彩人生</w:t>
            </w:r>
          </w:p>
        </w:tc>
      </w:tr>
      <w:tr w14:paraId="10A2A7EC">
        <w:tblPrEx>
          <w:tblCellMar>
            <w:top w:w="0" w:type="dxa"/>
            <w:left w:w="108" w:type="dxa"/>
            <w:bottom w:w="0" w:type="dxa"/>
            <w:right w:w="108" w:type="dxa"/>
          </w:tblCellMar>
        </w:tblPrEx>
        <w:trPr>
          <w:trHeight w:val="1046" w:hRule="atLeast"/>
        </w:trPr>
        <w:tc>
          <w:tcPr>
            <w:tcW w:w="2536" w:type="dxa"/>
            <w:gridSpan w:val="2"/>
            <w:tcBorders>
              <w:top w:val="single" w:color="000000" w:sz="4" w:space="0"/>
              <w:left w:val="single" w:color="000000" w:sz="4" w:space="0"/>
              <w:bottom w:val="single" w:color="000000" w:sz="4" w:space="0"/>
              <w:right w:val="single" w:color="000000" w:sz="4" w:space="0"/>
            </w:tcBorders>
            <w:noWrap w:val="0"/>
            <w:vAlign w:val="center"/>
          </w:tcPr>
          <w:p w14:paraId="72A3DE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基本要求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0C19C9A5">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要求学生了解职场文化和规则，培养自己的职业技能和素养，树立正确的职业观念和态度，学会处理人际关系，以及自我管理和自我发展，从而更好地适应职场环境和工作要求，实现个人职业发展和成长。</w:t>
            </w:r>
          </w:p>
        </w:tc>
      </w:tr>
      <w:tr w14:paraId="2BCB9DBA">
        <w:tblPrEx>
          <w:tblCellMar>
            <w:top w:w="0" w:type="dxa"/>
            <w:left w:w="108" w:type="dxa"/>
            <w:bottom w:w="0" w:type="dxa"/>
            <w:right w:w="108" w:type="dxa"/>
          </w:tblCellMar>
        </w:tblPrEx>
        <w:trPr>
          <w:trHeight w:val="1508" w:hRule="atLeast"/>
        </w:trPr>
        <w:tc>
          <w:tcPr>
            <w:tcW w:w="2536" w:type="dxa"/>
            <w:gridSpan w:val="2"/>
            <w:tcBorders>
              <w:top w:val="single" w:color="000000" w:sz="4" w:space="0"/>
              <w:left w:val="single" w:color="000000" w:sz="4" w:space="0"/>
              <w:bottom w:val="single" w:color="000000" w:sz="4" w:space="0"/>
              <w:right w:val="single" w:color="000000" w:sz="4" w:space="0"/>
            </w:tcBorders>
            <w:noWrap w:val="0"/>
            <w:vAlign w:val="center"/>
          </w:tcPr>
          <w:p w14:paraId="500FF8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重点、难点</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1591F71E">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重点：见变知微、“潜”字为先、含蓄勤勉、大人之风</w:t>
            </w:r>
          </w:p>
          <w:p w14:paraId="6957EFE8">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难点：注重自我分析，把握职场定位</w:t>
            </w:r>
          </w:p>
        </w:tc>
      </w:tr>
      <w:tr w14:paraId="612C0BA8">
        <w:tblPrEx>
          <w:tblCellMar>
            <w:top w:w="0" w:type="dxa"/>
            <w:left w:w="108" w:type="dxa"/>
            <w:bottom w:w="0" w:type="dxa"/>
            <w:right w:w="108" w:type="dxa"/>
          </w:tblCellMar>
        </w:tblPrEx>
        <w:trPr>
          <w:trHeight w:val="360" w:hRule="atLeast"/>
        </w:trPr>
        <w:tc>
          <w:tcPr>
            <w:tcW w:w="1533" w:type="dxa"/>
            <w:vMerge w:val="restart"/>
            <w:tcBorders>
              <w:top w:val="single" w:color="000000" w:sz="4" w:space="0"/>
              <w:left w:val="single" w:color="000000" w:sz="4" w:space="0"/>
              <w:right w:val="single" w:color="000000" w:sz="4" w:space="0"/>
            </w:tcBorders>
            <w:noWrap w:val="0"/>
            <w:vAlign w:val="center"/>
          </w:tcPr>
          <w:p w14:paraId="5D5CC3E4">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教学内容</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323496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第一节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76E94DA8">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见变知微，潜字为先——从学生到职场人</w:t>
            </w:r>
          </w:p>
        </w:tc>
      </w:tr>
      <w:tr w14:paraId="35EDB6AB">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2B25A5AD">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72B8A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45C926D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见变知微</w:t>
            </w:r>
          </w:p>
        </w:tc>
      </w:tr>
      <w:tr w14:paraId="4CD9CD83">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4D569BA3">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12E9E1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1EFB138A">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“潜”字为先</w:t>
            </w:r>
          </w:p>
        </w:tc>
      </w:tr>
      <w:tr w14:paraId="55E8E88F">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3BD3A108">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6EE743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第二节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4CD4D63">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含蓄勤勉，大人之风——职业发展要点</w:t>
            </w:r>
          </w:p>
        </w:tc>
      </w:tr>
      <w:tr w14:paraId="7B485382">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20FA7585">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1F83F1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6AE22C04">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含蓄勤勉</w:t>
            </w:r>
          </w:p>
        </w:tc>
      </w:tr>
      <w:tr w14:paraId="0E507D6A">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43693650">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347CE5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29891B0B">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大人之风</w:t>
            </w:r>
          </w:p>
        </w:tc>
      </w:tr>
      <w:tr w14:paraId="4C249AC4">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16D9D235">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204A58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第三节</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53A5D9EE">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找准定位，重视过程——职业发展智慧</w:t>
            </w:r>
          </w:p>
        </w:tc>
      </w:tr>
      <w:tr w14:paraId="39E0FF1E">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4D789058">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E6CC8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0315C55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注重自我分析，把握职场定位</w:t>
            </w:r>
          </w:p>
        </w:tc>
      </w:tr>
      <w:tr w14:paraId="527C9EB4">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noWrap w:val="0"/>
            <w:vAlign w:val="center"/>
          </w:tcPr>
          <w:p w14:paraId="2CAC1B64">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olor w:val="000000"/>
                <w:sz w:val="21"/>
                <w:szCs w:val="21"/>
                <w:u w:val="none"/>
              </w:rPr>
            </w:pP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32821C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6474" w:type="dxa"/>
            <w:tcBorders>
              <w:top w:val="single" w:color="000000" w:sz="4" w:space="0"/>
              <w:left w:val="single" w:color="000000" w:sz="4" w:space="0"/>
              <w:bottom w:val="single" w:color="000000" w:sz="4" w:space="0"/>
              <w:right w:val="single" w:color="000000" w:sz="4" w:space="0"/>
            </w:tcBorders>
            <w:noWrap w:val="0"/>
            <w:vAlign w:val="center"/>
          </w:tcPr>
          <w:p w14:paraId="3D50020C">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致力职业发展，感悟生涯过程</w:t>
            </w:r>
          </w:p>
        </w:tc>
      </w:tr>
    </w:tbl>
    <w:p w14:paraId="6D0912BD">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528" w:rightChars="0" w:firstLine="420" w:firstLineChars="200"/>
        <w:jc w:val="both"/>
        <w:rPr>
          <w:rFonts w:hint="eastAsia" w:ascii="宋体" w:hAnsi="宋体" w:eastAsia="宋体" w:cs="宋体"/>
          <w:i w:val="0"/>
          <w:iCs w:val="0"/>
          <w:caps w:val="0"/>
          <w:color w:val="000000"/>
          <w:spacing w:val="0"/>
          <w:kern w:val="2"/>
          <w:sz w:val="21"/>
          <w:szCs w:val="21"/>
          <w:shd w:val="clear" w:fill="FFFFFF"/>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1.弘扬社会主义核心价值观，引导学生树立服务国家、奉献社会的职业理想。</w:t>
      </w:r>
      <w:r>
        <w:rPr>
          <w:rFonts w:hint="eastAsia" w:ascii="宋体" w:hAnsi="宋体" w:eastAsia="宋体" w:cs="宋体"/>
          <w:i w:val="0"/>
          <w:iCs w:val="0"/>
          <w:caps w:val="0"/>
          <w:color w:val="000000"/>
          <w:spacing w:val="0"/>
          <w:kern w:val="2"/>
          <w:sz w:val="21"/>
          <w:szCs w:val="21"/>
          <w:shd w:val="clear" w:fill="FFFFFF"/>
          <w:lang w:val="en-US" w:eastAsia="zh-CN" w:bidi="ar-SA"/>
        </w:rPr>
        <w:br w:type="textWrapping"/>
      </w:r>
      <w:r>
        <w:rPr>
          <w:rFonts w:hint="eastAsia" w:ascii="宋体" w:hAnsi="宋体" w:eastAsia="宋体" w:cs="宋体"/>
          <w:i w:val="0"/>
          <w:iCs w:val="0"/>
          <w:caps w:val="0"/>
          <w:color w:val="000000"/>
          <w:spacing w:val="0"/>
          <w:kern w:val="2"/>
          <w:sz w:val="21"/>
          <w:szCs w:val="21"/>
          <w:shd w:val="clear" w:fill="FFFFFF"/>
          <w:lang w:val="en-US" w:eastAsia="zh-CN" w:bidi="ar-SA"/>
        </w:rPr>
        <w:t xml:space="preserve">    2.强化诚信意识、法治意识和契约精神，培养社会责任感和职业道德。</w:t>
      </w:r>
    </w:p>
    <w:p w14:paraId="037D9030">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528" w:rightChars="0"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3.鼓励学生立足专业、扎根基层，在奋斗中实现人生价值。</w:t>
      </w:r>
    </w:p>
    <w:p w14:paraId="3ED3624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28" w:right="528" w:firstLine="420" w:firstLineChars="200"/>
        <w:jc w:val="both"/>
        <w:rPr>
          <w:rFonts w:hint="eastAsia" w:ascii="宋体" w:hAnsi="宋体" w:eastAsia="宋体" w:cs="宋体"/>
          <w:i w:val="0"/>
          <w:iCs w:val="0"/>
          <w:caps w:val="0"/>
          <w:color w:val="000000"/>
          <w:spacing w:val="0"/>
          <w:kern w:val="2"/>
          <w:sz w:val="21"/>
          <w:szCs w:val="21"/>
          <w:shd w:val="clear" w:fill="FFFFFF"/>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表2 教学内容与课程目标的对应关系及学时分配表</w:t>
      </w:r>
    </w:p>
    <w:tbl>
      <w:tblPr>
        <w:tblStyle w:val="15"/>
        <w:tblW w:w="9240"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2019"/>
        <w:gridCol w:w="1157"/>
        <w:gridCol w:w="1715"/>
        <w:gridCol w:w="753"/>
        <w:gridCol w:w="2806"/>
      </w:tblGrid>
      <w:tr w14:paraId="0369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790" w:type="dxa"/>
            <w:shd w:val="clear" w:color="auto" w:fill="auto"/>
            <w:vAlign w:val="center"/>
          </w:tcPr>
          <w:p w14:paraId="7F4C858B">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序号</w:t>
            </w:r>
          </w:p>
        </w:tc>
        <w:tc>
          <w:tcPr>
            <w:tcW w:w="2019" w:type="dxa"/>
            <w:shd w:val="clear" w:color="auto" w:fill="auto"/>
            <w:vAlign w:val="center"/>
          </w:tcPr>
          <w:p w14:paraId="1CE42ED3">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教学内容</w:t>
            </w:r>
          </w:p>
        </w:tc>
        <w:tc>
          <w:tcPr>
            <w:tcW w:w="1157" w:type="dxa"/>
            <w:shd w:val="clear" w:color="auto" w:fill="auto"/>
            <w:vAlign w:val="center"/>
          </w:tcPr>
          <w:p w14:paraId="19F50897">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支撑</w:t>
            </w:r>
          </w:p>
          <w:p w14:paraId="1FE2AA0F">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课程目标</w:t>
            </w:r>
          </w:p>
        </w:tc>
        <w:tc>
          <w:tcPr>
            <w:tcW w:w="1715" w:type="dxa"/>
            <w:shd w:val="clear" w:color="auto" w:fill="auto"/>
            <w:vAlign w:val="center"/>
          </w:tcPr>
          <w:p w14:paraId="694C7E54">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毕业要求</w:t>
            </w:r>
          </w:p>
          <w:p w14:paraId="087268B3">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观测点</w:t>
            </w:r>
          </w:p>
        </w:tc>
        <w:tc>
          <w:tcPr>
            <w:tcW w:w="753" w:type="dxa"/>
            <w:shd w:val="clear" w:color="auto" w:fill="auto"/>
            <w:vAlign w:val="center"/>
          </w:tcPr>
          <w:p w14:paraId="368C851F">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讲授</w:t>
            </w:r>
          </w:p>
          <w:p w14:paraId="3BD2734F">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学时</w:t>
            </w:r>
          </w:p>
        </w:tc>
        <w:tc>
          <w:tcPr>
            <w:tcW w:w="2806" w:type="dxa"/>
            <w:shd w:val="clear" w:color="auto" w:fill="auto"/>
            <w:vAlign w:val="center"/>
          </w:tcPr>
          <w:p w14:paraId="4565CB09">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课程思政融入点</w:t>
            </w:r>
          </w:p>
        </w:tc>
      </w:tr>
      <w:tr w14:paraId="420A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790" w:type="dxa"/>
            <w:shd w:val="clear" w:color="auto" w:fill="auto"/>
            <w:vAlign w:val="center"/>
          </w:tcPr>
          <w:p w14:paraId="51EEE1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1</w:t>
            </w:r>
          </w:p>
        </w:tc>
        <w:tc>
          <w:tcPr>
            <w:tcW w:w="2019" w:type="dxa"/>
            <w:shd w:val="clear" w:color="auto" w:fill="auto"/>
            <w:vAlign w:val="center"/>
          </w:tcPr>
          <w:p w14:paraId="085BFE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发现美丽就业机会</w:t>
            </w:r>
          </w:p>
        </w:tc>
        <w:tc>
          <w:tcPr>
            <w:tcW w:w="1157" w:type="dxa"/>
            <w:shd w:val="clear" w:color="auto" w:fill="auto"/>
            <w:vAlign w:val="center"/>
          </w:tcPr>
          <w:p w14:paraId="787D7F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目标1</w:t>
            </w:r>
          </w:p>
        </w:tc>
        <w:tc>
          <w:tcPr>
            <w:tcW w:w="1715" w:type="dxa"/>
            <w:shd w:val="clear" w:color="auto" w:fill="auto"/>
            <w:vAlign w:val="center"/>
          </w:tcPr>
          <w:p w14:paraId="32ED58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知识理解与运用</w:t>
            </w:r>
          </w:p>
        </w:tc>
        <w:tc>
          <w:tcPr>
            <w:tcW w:w="753" w:type="dxa"/>
            <w:shd w:val="clear" w:color="auto" w:fill="auto"/>
            <w:vAlign w:val="center"/>
          </w:tcPr>
          <w:p w14:paraId="699DCE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1</w:t>
            </w:r>
          </w:p>
        </w:tc>
        <w:tc>
          <w:tcPr>
            <w:tcW w:w="2806" w:type="dxa"/>
            <w:shd w:val="clear" w:color="auto" w:fill="auto"/>
            <w:vAlign w:val="center"/>
          </w:tcPr>
          <w:p w14:paraId="22E70F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国家意识、社会责任（服务国家战略需求）</w:t>
            </w:r>
          </w:p>
        </w:tc>
      </w:tr>
      <w:tr w14:paraId="7519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90" w:type="dxa"/>
            <w:shd w:val="clear" w:color="auto" w:fill="auto"/>
            <w:vAlign w:val="center"/>
          </w:tcPr>
          <w:p w14:paraId="658EF5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2</w:t>
            </w:r>
          </w:p>
        </w:tc>
        <w:tc>
          <w:tcPr>
            <w:tcW w:w="2019" w:type="dxa"/>
            <w:shd w:val="clear" w:color="auto" w:fill="auto"/>
            <w:vAlign w:val="center"/>
          </w:tcPr>
          <w:p w14:paraId="1F7BD7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求职能力的提升</w:t>
            </w:r>
          </w:p>
        </w:tc>
        <w:tc>
          <w:tcPr>
            <w:tcW w:w="1157" w:type="dxa"/>
            <w:shd w:val="clear" w:color="auto" w:fill="auto"/>
            <w:vAlign w:val="center"/>
          </w:tcPr>
          <w:p w14:paraId="6F8AF5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目标2</w:t>
            </w:r>
          </w:p>
        </w:tc>
        <w:tc>
          <w:tcPr>
            <w:tcW w:w="1715" w:type="dxa"/>
            <w:shd w:val="clear" w:color="auto" w:fill="auto"/>
            <w:vAlign w:val="center"/>
          </w:tcPr>
          <w:p w14:paraId="17619B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沟通与表达能力</w:t>
            </w:r>
          </w:p>
        </w:tc>
        <w:tc>
          <w:tcPr>
            <w:tcW w:w="753" w:type="dxa"/>
            <w:shd w:val="clear" w:color="auto" w:fill="auto"/>
            <w:vAlign w:val="center"/>
          </w:tcPr>
          <w:p w14:paraId="572B37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1</w:t>
            </w:r>
          </w:p>
        </w:tc>
        <w:tc>
          <w:tcPr>
            <w:tcW w:w="2806" w:type="dxa"/>
            <w:shd w:val="clear" w:color="auto" w:fill="auto"/>
            <w:vAlign w:val="center"/>
          </w:tcPr>
          <w:p w14:paraId="518BD3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诚信意识、职业规范</w:t>
            </w:r>
          </w:p>
        </w:tc>
      </w:tr>
      <w:tr w14:paraId="3B75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90" w:type="dxa"/>
            <w:shd w:val="clear" w:color="auto" w:fill="auto"/>
            <w:vAlign w:val="center"/>
          </w:tcPr>
          <w:p w14:paraId="15B977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3</w:t>
            </w:r>
          </w:p>
        </w:tc>
        <w:tc>
          <w:tcPr>
            <w:tcW w:w="2019" w:type="dxa"/>
            <w:shd w:val="clear" w:color="auto" w:fill="auto"/>
            <w:vAlign w:val="center"/>
          </w:tcPr>
          <w:p w14:paraId="230515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求职信息的获取</w:t>
            </w:r>
          </w:p>
          <w:p w14:paraId="45C6D2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与利用</w:t>
            </w:r>
          </w:p>
        </w:tc>
        <w:tc>
          <w:tcPr>
            <w:tcW w:w="1157" w:type="dxa"/>
            <w:shd w:val="clear" w:color="auto" w:fill="auto"/>
            <w:vAlign w:val="center"/>
          </w:tcPr>
          <w:p w14:paraId="2E85DC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目标2</w:t>
            </w:r>
          </w:p>
        </w:tc>
        <w:tc>
          <w:tcPr>
            <w:tcW w:w="1715" w:type="dxa"/>
            <w:shd w:val="clear" w:color="auto" w:fill="auto"/>
            <w:vAlign w:val="center"/>
          </w:tcPr>
          <w:p w14:paraId="585668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知识理解与运用</w:t>
            </w:r>
          </w:p>
        </w:tc>
        <w:tc>
          <w:tcPr>
            <w:tcW w:w="753" w:type="dxa"/>
            <w:shd w:val="clear" w:color="auto" w:fill="auto"/>
            <w:vAlign w:val="center"/>
          </w:tcPr>
          <w:p w14:paraId="62949E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1</w:t>
            </w:r>
          </w:p>
        </w:tc>
        <w:tc>
          <w:tcPr>
            <w:tcW w:w="2806" w:type="dxa"/>
            <w:shd w:val="clear" w:color="auto" w:fill="auto"/>
            <w:vAlign w:val="center"/>
          </w:tcPr>
          <w:p w14:paraId="3B2B6D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信息安全意识、辨别网络虚假信息（诚信教育）</w:t>
            </w:r>
          </w:p>
        </w:tc>
      </w:tr>
      <w:tr w14:paraId="0B58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90" w:type="dxa"/>
            <w:shd w:val="clear" w:color="auto" w:fill="auto"/>
            <w:vAlign w:val="center"/>
          </w:tcPr>
          <w:p w14:paraId="03A729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4</w:t>
            </w:r>
          </w:p>
        </w:tc>
        <w:tc>
          <w:tcPr>
            <w:tcW w:w="2019" w:type="dxa"/>
            <w:shd w:val="clear" w:color="auto" w:fill="auto"/>
            <w:vAlign w:val="center"/>
          </w:tcPr>
          <w:p w14:paraId="2038EA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求职材料的准备</w:t>
            </w:r>
          </w:p>
        </w:tc>
        <w:tc>
          <w:tcPr>
            <w:tcW w:w="1157" w:type="dxa"/>
            <w:shd w:val="clear" w:color="auto" w:fill="auto"/>
            <w:vAlign w:val="center"/>
          </w:tcPr>
          <w:p w14:paraId="226D54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目标2</w:t>
            </w:r>
          </w:p>
        </w:tc>
        <w:tc>
          <w:tcPr>
            <w:tcW w:w="1715" w:type="dxa"/>
            <w:shd w:val="clear" w:color="auto" w:fill="auto"/>
            <w:vAlign w:val="center"/>
          </w:tcPr>
          <w:p w14:paraId="73CE1F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知识理解与运用</w:t>
            </w:r>
          </w:p>
        </w:tc>
        <w:tc>
          <w:tcPr>
            <w:tcW w:w="753" w:type="dxa"/>
            <w:shd w:val="clear" w:color="auto" w:fill="auto"/>
            <w:vAlign w:val="center"/>
          </w:tcPr>
          <w:p w14:paraId="6E6C36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p>
        </w:tc>
        <w:tc>
          <w:tcPr>
            <w:tcW w:w="2806" w:type="dxa"/>
            <w:shd w:val="clear" w:color="auto" w:fill="auto"/>
            <w:vAlign w:val="center"/>
          </w:tcPr>
          <w:p w14:paraId="3D6116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i w:val="0"/>
                <w:iCs w:val="0"/>
                <w:caps w:val="0"/>
                <w:color w:val="000000"/>
                <w:spacing w:val="0"/>
                <w:sz w:val="21"/>
                <w:szCs w:val="21"/>
                <w:shd w:val="clear" w:fill="FFFFFF"/>
              </w:rPr>
              <w:t>诚信意识、法治意识和契约精神</w:t>
            </w:r>
          </w:p>
        </w:tc>
      </w:tr>
      <w:tr w14:paraId="2999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90" w:type="dxa"/>
            <w:shd w:val="clear" w:color="auto" w:fill="auto"/>
            <w:vAlign w:val="center"/>
          </w:tcPr>
          <w:p w14:paraId="22136F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5</w:t>
            </w:r>
          </w:p>
        </w:tc>
        <w:tc>
          <w:tcPr>
            <w:tcW w:w="2019" w:type="dxa"/>
            <w:shd w:val="clear" w:color="auto" w:fill="auto"/>
            <w:vAlign w:val="center"/>
          </w:tcPr>
          <w:p w14:paraId="4AAFBC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成功应聘的秘诀</w:t>
            </w:r>
          </w:p>
        </w:tc>
        <w:tc>
          <w:tcPr>
            <w:tcW w:w="1157" w:type="dxa"/>
            <w:shd w:val="clear" w:color="auto" w:fill="auto"/>
            <w:vAlign w:val="center"/>
          </w:tcPr>
          <w:p w14:paraId="36D2AD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目标2</w:t>
            </w:r>
          </w:p>
        </w:tc>
        <w:tc>
          <w:tcPr>
            <w:tcW w:w="1715" w:type="dxa"/>
            <w:shd w:val="clear" w:color="auto" w:fill="auto"/>
            <w:vAlign w:val="center"/>
          </w:tcPr>
          <w:p w14:paraId="3E4CF5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沟通与表达能力</w:t>
            </w:r>
          </w:p>
        </w:tc>
        <w:tc>
          <w:tcPr>
            <w:tcW w:w="753" w:type="dxa"/>
            <w:shd w:val="clear" w:color="auto" w:fill="auto"/>
            <w:vAlign w:val="center"/>
          </w:tcPr>
          <w:p w14:paraId="26B008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p>
        </w:tc>
        <w:tc>
          <w:tcPr>
            <w:tcW w:w="2806" w:type="dxa"/>
            <w:shd w:val="clear" w:color="auto" w:fill="auto"/>
            <w:vAlign w:val="center"/>
          </w:tcPr>
          <w:p w14:paraId="0AE7B8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树立正确的择业观、将个人理想融入国家发展</w:t>
            </w:r>
          </w:p>
        </w:tc>
      </w:tr>
      <w:tr w14:paraId="76CE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90" w:type="dxa"/>
            <w:shd w:val="clear" w:color="auto" w:fill="auto"/>
            <w:vAlign w:val="center"/>
          </w:tcPr>
          <w:p w14:paraId="2039FD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6</w:t>
            </w:r>
          </w:p>
        </w:tc>
        <w:tc>
          <w:tcPr>
            <w:tcW w:w="2019" w:type="dxa"/>
            <w:shd w:val="clear" w:color="auto" w:fill="auto"/>
            <w:vAlign w:val="center"/>
          </w:tcPr>
          <w:p w14:paraId="3B3EBB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择己所长，</w:t>
            </w:r>
          </w:p>
          <w:p w14:paraId="3EB224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理性做好选择</w:t>
            </w:r>
          </w:p>
        </w:tc>
        <w:tc>
          <w:tcPr>
            <w:tcW w:w="1157" w:type="dxa"/>
            <w:shd w:val="clear" w:color="auto" w:fill="auto"/>
            <w:vAlign w:val="center"/>
          </w:tcPr>
          <w:p w14:paraId="1DC475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目标3</w:t>
            </w:r>
          </w:p>
        </w:tc>
        <w:tc>
          <w:tcPr>
            <w:tcW w:w="1715" w:type="dxa"/>
            <w:shd w:val="clear" w:color="auto" w:fill="auto"/>
            <w:vAlign w:val="center"/>
          </w:tcPr>
          <w:p w14:paraId="1F5A03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color w:val="000000"/>
                <w:kern w:val="0"/>
                <w:sz w:val="21"/>
                <w:szCs w:val="21"/>
                <w:lang w:val="en-US" w:eastAsia="zh-CN" w:bidi="ar"/>
              </w:rPr>
              <w:t>创新与创业能力</w:t>
            </w:r>
          </w:p>
        </w:tc>
        <w:tc>
          <w:tcPr>
            <w:tcW w:w="753" w:type="dxa"/>
            <w:shd w:val="clear" w:color="auto" w:fill="auto"/>
            <w:vAlign w:val="center"/>
          </w:tcPr>
          <w:p w14:paraId="79C572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1</w:t>
            </w:r>
          </w:p>
        </w:tc>
        <w:tc>
          <w:tcPr>
            <w:tcW w:w="2806" w:type="dxa"/>
            <w:shd w:val="clear" w:color="auto" w:fill="auto"/>
            <w:vAlign w:val="center"/>
          </w:tcPr>
          <w:p w14:paraId="323792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树立正确的择业观、将个人理想融入国家发展</w:t>
            </w:r>
          </w:p>
        </w:tc>
      </w:tr>
      <w:tr w14:paraId="2E6A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90" w:type="dxa"/>
            <w:shd w:val="clear" w:color="auto" w:fill="auto"/>
            <w:vAlign w:val="center"/>
          </w:tcPr>
          <w:p w14:paraId="4C11F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7</w:t>
            </w:r>
          </w:p>
        </w:tc>
        <w:tc>
          <w:tcPr>
            <w:tcW w:w="2019" w:type="dxa"/>
            <w:shd w:val="clear" w:color="auto" w:fill="auto"/>
            <w:vAlign w:val="center"/>
          </w:tcPr>
          <w:p w14:paraId="449C08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毕业生就业管理</w:t>
            </w:r>
          </w:p>
          <w:p w14:paraId="76770D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与权益保护</w:t>
            </w:r>
          </w:p>
        </w:tc>
        <w:tc>
          <w:tcPr>
            <w:tcW w:w="1157" w:type="dxa"/>
            <w:shd w:val="clear" w:color="auto" w:fill="auto"/>
            <w:vAlign w:val="center"/>
          </w:tcPr>
          <w:p w14:paraId="1DC978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目标4</w:t>
            </w:r>
          </w:p>
        </w:tc>
        <w:tc>
          <w:tcPr>
            <w:tcW w:w="1715" w:type="dxa"/>
            <w:shd w:val="clear" w:color="auto" w:fill="auto"/>
            <w:vAlign w:val="center"/>
          </w:tcPr>
          <w:p w14:paraId="4393F4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color w:val="000000"/>
                <w:kern w:val="0"/>
                <w:sz w:val="21"/>
                <w:szCs w:val="21"/>
                <w:lang w:val="en-US" w:eastAsia="zh-CN" w:bidi="ar"/>
              </w:rPr>
              <w:t>职业规范与法律素养</w:t>
            </w:r>
          </w:p>
        </w:tc>
        <w:tc>
          <w:tcPr>
            <w:tcW w:w="753" w:type="dxa"/>
            <w:shd w:val="clear" w:color="auto" w:fill="auto"/>
            <w:vAlign w:val="center"/>
          </w:tcPr>
          <w:p w14:paraId="6EBC37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1</w:t>
            </w:r>
          </w:p>
        </w:tc>
        <w:tc>
          <w:tcPr>
            <w:tcW w:w="2806" w:type="dxa"/>
            <w:shd w:val="clear" w:color="auto" w:fill="auto"/>
            <w:vAlign w:val="center"/>
          </w:tcPr>
          <w:p w14:paraId="01CC7C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法治观念、契约精神（社会主义核心价值观）</w:t>
            </w:r>
          </w:p>
        </w:tc>
      </w:tr>
      <w:tr w14:paraId="1FD9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90" w:type="dxa"/>
            <w:shd w:val="clear" w:color="auto" w:fill="auto"/>
            <w:vAlign w:val="center"/>
          </w:tcPr>
          <w:p w14:paraId="738218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8</w:t>
            </w:r>
          </w:p>
        </w:tc>
        <w:tc>
          <w:tcPr>
            <w:tcW w:w="2019" w:type="dxa"/>
            <w:shd w:val="clear" w:color="auto" w:fill="auto"/>
            <w:vAlign w:val="center"/>
          </w:tcPr>
          <w:p w14:paraId="3CAE7F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胜任职场，</w:t>
            </w:r>
          </w:p>
          <w:p w14:paraId="746A6A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创造精彩人生</w:t>
            </w:r>
          </w:p>
        </w:tc>
        <w:tc>
          <w:tcPr>
            <w:tcW w:w="1157" w:type="dxa"/>
            <w:shd w:val="clear" w:color="auto" w:fill="auto"/>
            <w:vAlign w:val="center"/>
          </w:tcPr>
          <w:p w14:paraId="1B339B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目标5</w:t>
            </w:r>
          </w:p>
        </w:tc>
        <w:tc>
          <w:tcPr>
            <w:tcW w:w="1715" w:type="dxa"/>
            <w:shd w:val="clear" w:color="auto" w:fill="auto"/>
            <w:vAlign w:val="center"/>
          </w:tcPr>
          <w:p w14:paraId="3360B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color w:val="000000"/>
                <w:kern w:val="0"/>
                <w:sz w:val="21"/>
                <w:szCs w:val="21"/>
                <w:lang w:val="en-US" w:eastAsia="zh-CN" w:bidi="ar"/>
              </w:rPr>
              <w:t>终身学习与发展能力</w:t>
            </w:r>
          </w:p>
        </w:tc>
        <w:tc>
          <w:tcPr>
            <w:tcW w:w="753" w:type="dxa"/>
            <w:shd w:val="clear" w:color="auto" w:fill="auto"/>
            <w:vAlign w:val="center"/>
          </w:tcPr>
          <w:p w14:paraId="143155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p>
        </w:tc>
        <w:tc>
          <w:tcPr>
            <w:tcW w:w="2806" w:type="dxa"/>
            <w:shd w:val="clear" w:color="auto" w:fill="auto"/>
            <w:vAlign w:val="center"/>
          </w:tcPr>
          <w:p w14:paraId="3A2548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劳模精神、工匠精神、奋斗精神（职业理想与信念教育）</w:t>
            </w:r>
          </w:p>
        </w:tc>
      </w:tr>
    </w:tbl>
    <w:p w14:paraId="4E3AE46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2"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b/>
          <w:bCs/>
          <w:i w:val="0"/>
          <w:iCs w:val="0"/>
          <w:caps w:val="0"/>
          <w:color w:val="000000"/>
          <w:spacing w:val="0"/>
          <w:kern w:val="2"/>
          <w:sz w:val="21"/>
          <w:szCs w:val="21"/>
          <w:shd w:val="clear" w:fill="FFFFFF"/>
          <w:lang w:val="en-US" w:eastAsia="zh-CN" w:bidi="ar-SA"/>
        </w:rPr>
        <w:t>四、课程实施</w:t>
      </w:r>
    </w:p>
    <w:p w14:paraId="6855858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2"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b/>
          <w:bCs/>
          <w:i w:val="0"/>
          <w:iCs w:val="0"/>
          <w:caps w:val="0"/>
          <w:color w:val="000000"/>
          <w:spacing w:val="0"/>
          <w:kern w:val="2"/>
          <w:sz w:val="21"/>
          <w:szCs w:val="21"/>
          <w:shd w:val="clear" w:fill="FFFFFF"/>
          <w:lang w:val="en-US" w:eastAsia="zh-CN" w:bidi="ar-SA"/>
        </w:rPr>
        <w:t>（一）教学方法与教学手段</w:t>
      </w:r>
    </w:p>
    <w:p w14:paraId="3B39A65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1.课堂讲授与案例教学相结合</w:t>
      </w:r>
    </w:p>
    <w:p w14:paraId="3BF4367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2.小组讨论与情境模拟</w:t>
      </w:r>
    </w:p>
    <w:p w14:paraId="02A8326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课程思政融入方法：通过政策解读、榜样故事、价值观引导等方式融入教学全过程。</w:t>
      </w:r>
    </w:p>
    <w:p w14:paraId="19EE0C6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2"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b/>
          <w:bCs/>
          <w:i w:val="0"/>
          <w:iCs w:val="0"/>
          <w:caps w:val="0"/>
          <w:color w:val="000000"/>
          <w:spacing w:val="0"/>
          <w:kern w:val="2"/>
          <w:sz w:val="21"/>
          <w:szCs w:val="21"/>
          <w:shd w:val="clear" w:fill="FFFFFF"/>
          <w:lang w:val="en-US" w:eastAsia="zh-CN" w:bidi="ar-SA"/>
        </w:rPr>
        <w:t>（二）教学质量要求</w:t>
      </w:r>
    </w:p>
    <w:p w14:paraId="1D810F9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28" w:right="528" w:firstLine="420" w:firstLineChars="20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表4 课程主要教学环节和质量要求表</w:t>
      </w:r>
    </w:p>
    <w:tbl>
      <w:tblPr>
        <w:tblStyle w:val="15"/>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075"/>
        <w:gridCol w:w="7140"/>
      </w:tblGrid>
      <w:tr w14:paraId="683C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57" w:type="dxa"/>
            <w:gridSpan w:val="2"/>
            <w:tcMar>
              <w:left w:w="28" w:type="dxa"/>
              <w:right w:w="28" w:type="dxa"/>
            </w:tcMar>
            <w:vAlign w:val="center"/>
          </w:tcPr>
          <w:p w14:paraId="6BB969BC">
            <w:pPr>
              <w:spacing w:line="276" w:lineRule="auto"/>
              <w:jc w:val="center"/>
              <w:rPr>
                <w:rFonts w:ascii="Calibri" w:hAnsi="Calibri" w:eastAsia="宋体" w:cs="Times New Roman"/>
                <w:sz w:val="21"/>
                <w:szCs w:val="21"/>
              </w:rPr>
            </w:pPr>
            <w:r>
              <w:rPr>
                <w:rFonts w:ascii="Calibri" w:hAnsi="Calibri" w:eastAsia="宋体" w:cs="Times New Roman"/>
                <w:bCs/>
                <w:sz w:val="21"/>
                <w:szCs w:val="21"/>
              </w:rPr>
              <w:t>主要教学环节</w:t>
            </w:r>
          </w:p>
        </w:tc>
        <w:tc>
          <w:tcPr>
            <w:tcW w:w="7140" w:type="dxa"/>
            <w:vAlign w:val="center"/>
          </w:tcPr>
          <w:p w14:paraId="67072483">
            <w:pPr>
              <w:spacing w:line="276" w:lineRule="auto"/>
              <w:jc w:val="center"/>
              <w:rPr>
                <w:rFonts w:ascii="Calibri" w:hAnsi="Calibri" w:eastAsia="宋体" w:cs="Times New Roman"/>
                <w:sz w:val="21"/>
                <w:szCs w:val="21"/>
              </w:rPr>
            </w:pPr>
            <w:r>
              <w:rPr>
                <w:rFonts w:ascii="Calibri" w:hAnsi="Calibri" w:eastAsia="宋体" w:cs="Times New Roman"/>
                <w:bCs/>
                <w:sz w:val="21"/>
                <w:szCs w:val="21"/>
              </w:rPr>
              <w:t>质量</w:t>
            </w:r>
            <w:r>
              <w:rPr>
                <w:rFonts w:hint="eastAsia" w:ascii="Calibri" w:hAnsi="Calibri" w:eastAsia="宋体" w:cs="Times New Roman"/>
                <w:bCs/>
                <w:sz w:val="21"/>
                <w:szCs w:val="21"/>
              </w:rPr>
              <w:t>要求</w:t>
            </w:r>
          </w:p>
        </w:tc>
      </w:tr>
      <w:tr w14:paraId="3AB7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82" w:type="dxa"/>
            <w:vAlign w:val="center"/>
          </w:tcPr>
          <w:p w14:paraId="61D40667">
            <w:pPr>
              <w:spacing w:line="276" w:lineRule="auto"/>
              <w:jc w:val="center"/>
              <w:rPr>
                <w:rFonts w:ascii="Calibri" w:hAnsi="Calibri" w:eastAsia="宋体" w:cs="Times New Roman"/>
                <w:sz w:val="21"/>
                <w:szCs w:val="21"/>
              </w:rPr>
            </w:pPr>
            <w:r>
              <w:rPr>
                <w:rFonts w:ascii="Calibri" w:hAnsi="Calibri" w:eastAsia="宋体" w:cs="Times New Roman"/>
                <w:sz w:val="21"/>
                <w:szCs w:val="21"/>
              </w:rPr>
              <w:t>1</w:t>
            </w:r>
          </w:p>
        </w:tc>
        <w:tc>
          <w:tcPr>
            <w:tcW w:w="1075" w:type="dxa"/>
            <w:tcMar>
              <w:left w:w="28" w:type="dxa"/>
              <w:right w:w="28" w:type="dxa"/>
            </w:tcMar>
            <w:vAlign w:val="center"/>
          </w:tcPr>
          <w:p w14:paraId="7B248D09">
            <w:pPr>
              <w:spacing w:line="276" w:lineRule="auto"/>
              <w:jc w:val="center"/>
              <w:rPr>
                <w:rFonts w:ascii="Calibri" w:hAnsi="Calibri" w:eastAsia="宋体" w:cs="Times New Roman"/>
                <w:sz w:val="21"/>
                <w:szCs w:val="21"/>
              </w:rPr>
            </w:pPr>
            <w:r>
              <w:rPr>
                <w:rFonts w:ascii="Calibri" w:hAnsi="Calibri" w:eastAsia="宋体" w:cs="Times New Roman"/>
                <w:sz w:val="21"/>
                <w:szCs w:val="21"/>
              </w:rPr>
              <w:t>备课</w:t>
            </w:r>
          </w:p>
        </w:tc>
        <w:tc>
          <w:tcPr>
            <w:tcW w:w="7140" w:type="dxa"/>
            <w:vAlign w:val="center"/>
          </w:tcPr>
          <w:p w14:paraId="3A739B34">
            <w:pPr>
              <w:spacing w:line="276" w:lineRule="auto"/>
              <w:rPr>
                <w:rFonts w:ascii="Calibri" w:hAnsi="Calibri" w:eastAsia="宋体" w:cs="Times New Roman"/>
                <w:sz w:val="21"/>
                <w:szCs w:val="21"/>
              </w:rPr>
            </w:pPr>
            <w:r>
              <w:rPr>
                <w:rFonts w:hint="eastAsia" w:ascii="Calibri" w:hAnsi="Calibri" w:eastAsia="宋体" w:cs="Times New Roman"/>
                <w:sz w:val="21"/>
                <w:szCs w:val="21"/>
              </w:rPr>
              <w:t>1.</w:t>
            </w:r>
            <w:r>
              <w:rPr>
                <w:rFonts w:ascii="Calibri" w:hAnsi="Calibri" w:eastAsia="宋体" w:cs="Times New Roman"/>
                <w:sz w:val="21"/>
                <w:szCs w:val="21"/>
              </w:rPr>
              <w:t>掌握本课程教学大纲内容，严格按照教学大纲要求进行课程教学内容的组织。</w:t>
            </w:r>
          </w:p>
          <w:p w14:paraId="440B1C66">
            <w:pPr>
              <w:spacing w:line="276" w:lineRule="auto"/>
              <w:rPr>
                <w:rFonts w:ascii="Calibri" w:hAnsi="Calibri" w:eastAsia="宋体" w:cs="Times New Roman"/>
                <w:sz w:val="21"/>
                <w:szCs w:val="21"/>
              </w:rPr>
            </w:pPr>
            <w:r>
              <w:rPr>
                <w:rFonts w:hint="eastAsia" w:ascii="Calibri" w:hAnsi="Calibri" w:eastAsia="宋体" w:cs="Times New Roman"/>
                <w:sz w:val="21"/>
                <w:szCs w:val="21"/>
              </w:rPr>
              <w:t>2.</w:t>
            </w:r>
            <w:r>
              <w:rPr>
                <w:rFonts w:ascii="Calibri" w:hAnsi="Calibri" w:eastAsia="宋体" w:cs="Times New Roman"/>
                <w:sz w:val="21"/>
                <w:szCs w:val="21"/>
              </w:rPr>
              <w:t>熟悉教材各章节，借助专业书籍资料，并依据教学大纲编写授课计划</w:t>
            </w:r>
            <w:r>
              <w:rPr>
                <w:rFonts w:hint="eastAsia" w:ascii="Calibri" w:hAnsi="Calibri" w:eastAsia="宋体" w:cs="Times New Roman"/>
                <w:sz w:val="21"/>
                <w:szCs w:val="21"/>
              </w:rPr>
              <w:t>进度表</w:t>
            </w:r>
          </w:p>
          <w:p w14:paraId="55C04C05">
            <w:pPr>
              <w:spacing w:line="276" w:lineRule="auto"/>
              <w:rPr>
                <w:rFonts w:ascii="Calibri" w:hAnsi="Calibri" w:eastAsia="宋体" w:cs="Times New Roman"/>
                <w:sz w:val="21"/>
                <w:szCs w:val="21"/>
              </w:rPr>
            </w:pPr>
            <w:r>
              <w:rPr>
                <w:rFonts w:hint="eastAsia" w:ascii="Calibri" w:hAnsi="Calibri" w:eastAsia="宋体" w:cs="Times New Roman"/>
                <w:sz w:val="21"/>
                <w:szCs w:val="21"/>
              </w:rPr>
              <w:t>3.根据</w:t>
            </w:r>
            <w:r>
              <w:rPr>
                <w:rFonts w:ascii="Calibri" w:hAnsi="Calibri" w:eastAsia="宋体" w:cs="Times New Roman"/>
                <w:sz w:val="21"/>
                <w:szCs w:val="21"/>
              </w:rPr>
              <w:t>各部分</w:t>
            </w:r>
            <w:r>
              <w:rPr>
                <w:rFonts w:hint="eastAsia" w:ascii="Calibri" w:hAnsi="Calibri" w:eastAsia="宋体" w:cs="Times New Roman"/>
                <w:sz w:val="21"/>
                <w:szCs w:val="21"/>
              </w:rPr>
              <w:t>教学</w:t>
            </w:r>
            <w:r>
              <w:rPr>
                <w:rFonts w:ascii="Calibri" w:hAnsi="Calibri" w:eastAsia="宋体" w:cs="Times New Roman"/>
                <w:sz w:val="21"/>
                <w:szCs w:val="21"/>
              </w:rPr>
              <w:t>内容</w:t>
            </w:r>
            <w:r>
              <w:rPr>
                <w:rFonts w:hint="eastAsia" w:ascii="Calibri" w:hAnsi="Calibri" w:eastAsia="宋体" w:cs="Times New Roman"/>
                <w:sz w:val="21"/>
                <w:szCs w:val="21"/>
              </w:rPr>
              <w:t>，</w:t>
            </w:r>
            <w:r>
              <w:rPr>
                <w:rFonts w:ascii="Calibri" w:hAnsi="Calibri" w:eastAsia="宋体" w:cs="Times New Roman"/>
                <w:sz w:val="21"/>
                <w:szCs w:val="21"/>
              </w:rPr>
              <w:t>构思授课思路、技巧</w:t>
            </w:r>
            <w:r>
              <w:rPr>
                <w:rFonts w:hint="eastAsia" w:ascii="Calibri" w:hAnsi="Calibri" w:eastAsia="宋体" w:cs="Times New Roman"/>
                <w:sz w:val="21"/>
                <w:szCs w:val="21"/>
              </w:rPr>
              <w:t>，选择合适的</w:t>
            </w:r>
            <w:r>
              <w:rPr>
                <w:rFonts w:ascii="Calibri" w:hAnsi="Calibri" w:eastAsia="宋体" w:cs="Times New Roman"/>
                <w:sz w:val="21"/>
                <w:szCs w:val="21"/>
              </w:rPr>
              <w:t>教学方法。</w:t>
            </w:r>
          </w:p>
        </w:tc>
      </w:tr>
      <w:tr w14:paraId="3C5C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01577DE6">
            <w:pPr>
              <w:spacing w:line="276" w:lineRule="auto"/>
              <w:jc w:val="center"/>
              <w:rPr>
                <w:rFonts w:ascii="Calibri" w:hAnsi="Calibri" w:eastAsia="宋体" w:cs="Times New Roman"/>
                <w:sz w:val="21"/>
                <w:szCs w:val="21"/>
              </w:rPr>
            </w:pPr>
            <w:r>
              <w:rPr>
                <w:rFonts w:ascii="Calibri" w:hAnsi="Calibri" w:eastAsia="宋体" w:cs="Times New Roman"/>
                <w:sz w:val="21"/>
                <w:szCs w:val="21"/>
              </w:rPr>
              <w:t>2</w:t>
            </w:r>
          </w:p>
        </w:tc>
        <w:tc>
          <w:tcPr>
            <w:tcW w:w="1075" w:type="dxa"/>
            <w:tcMar>
              <w:left w:w="28" w:type="dxa"/>
              <w:right w:w="28" w:type="dxa"/>
            </w:tcMar>
            <w:vAlign w:val="center"/>
          </w:tcPr>
          <w:p w14:paraId="0080822A">
            <w:pPr>
              <w:spacing w:line="276" w:lineRule="auto"/>
              <w:jc w:val="center"/>
              <w:rPr>
                <w:rFonts w:ascii="Calibri" w:hAnsi="Calibri" w:eastAsia="宋体" w:cs="Times New Roman"/>
                <w:sz w:val="21"/>
                <w:szCs w:val="21"/>
              </w:rPr>
            </w:pPr>
            <w:r>
              <w:rPr>
                <w:rFonts w:ascii="Calibri" w:hAnsi="Calibri" w:eastAsia="宋体" w:cs="Times New Roman"/>
                <w:sz w:val="21"/>
                <w:szCs w:val="21"/>
              </w:rPr>
              <w:t>讲授</w:t>
            </w:r>
          </w:p>
        </w:tc>
        <w:tc>
          <w:tcPr>
            <w:tcW w:w="7140" w:type="dxa"/>
            <w:vAlign w:val="center"/>
          </w:tcPr>
          <w:p w14:paraId="317FD600">
            <w:pPr>
              <w:spacing w:line="276" w:lineRule="auto"/>
              <w:rPr>
                <w:rFonts w:ascii="Calibri" w:hAnsi="Calibri" w:eastAsia="宋体" w:cs="Times New Roman"/>
                <w:sz w:val="21"/>
                <w:szCs w:val="21"/>
              </w:rPr>
            </w:pPr>
            <w:r>
              <w:rPr>
                <w:rFonts w:hint="eastAsia" w:ascii="Calibri" w:hAnsi="Calibri" w:eastAsia="宋体" w:cs="Times New Roman"/>
                <w:sz w:val="21"/>
                <w:szCs w:val="21"/>
              </w:rPr>
              <w:t>1.</w:t>
            </w:r>
            <w:r>
              <w:rPr>
                <w:rFonts w:ascii="Calibri" w:hAnsi="Calibri" w:eastAsia="宋体" w:cs="Times New Roman"/>
                <w:sz w:val="21"/>
                <w:szCs w:val="21"/>
              </w:rPr>
              <w:t>要点准确</w:t>
            </w:r>
            <w:r>
              <w:rPr>
                <w:rFonts w:hint="eastAsia" w:ascii="Calibri" w:hAnsi="Calibri" w:eastAsia="宋体" w:cs="Times New Roman"/>
                <w:sz w:val="21"/>
                <w:szCs w:val="21"/>
              </w:rPr>
              <w:t>、</w:t>
            </w:r>
            <w:r>
              <w:rPr>
                <w:rFonts w:ascii="Calibri" w:hAnsi="Calibri" w:eastAsia="宋体" w:cs="Times New Roman"/>
                <w:sz w:val="21"/>
                <w:szCs w:val="21"/>
              </w:rPr>
              <w:t>条理清晰</w:t>
            </w:r>
            <w:r>
              <w:rPr>
                <w:rFonts w:hint="eastAsia" w:ascii="Calibri" w:hAnsi="Calibri" w:eastAsia="宋体" w:cs="Times New Roman"/>
                <w:sz w:val="21"/>
                <w:szCs w:val="21"/>
              </w:rPr>
              <w:t>、</w:t>
            </w:r>
            <w:r>
              <w:rPr>
                <w:rFonts w:ascii="Calibri" w:hAnsi="Calibri" w:eastAsia="宋体" w:cs="Times New Roman"/>
                <w:sz w:val="21"/>
                <w:szCs w:val="21"/>
              </w:rPr>
              <w:t>重点突出，</w:t>
            </w:r>
            <w:r>
              <w:rPr>
                <w:rFonts w:hint="eastAsia" w:ascii="Calibri" w:hAnsi="Calibri" w:eastAsia="宋体" w:cs="Times New Roman"/>
                <w:sz w:val="21"/>
                <w:szCs w:val="21"/>
              </w:rPr>
              <w:t>能够</w:t>
            </w:r>
            <w:r>
              <w:rPr>
                <w:rFonts w:ascii="Calibri" w:hAnsi="Calibri" w:eastAsia="宋体" w:cs="Times New Roman"/>
                <w:sz w:val="21"/>
                <w:szCs w:val="21"/>
              </w:rPr>
              <w:t>理论联系实际，熟练地解答和讲解例题。</w:t>
            </w:r>
          </w:p>
          <w:p w14:paraId="12AC43AD">
            <w:pPr>
              <w:spacing w:line="276" w:lineRule="auto"/>
              <w:rPr>
                <w:rFonts w:ascii="Calibri" w:hAnsi="Calibri" w:eastAsia="宋体" w:cs="Times New Roman"/>
                <w:sz w:val="21"/>
                <w:szCs w:val="21"/>
              </w:rPr>
            </w:pPr>
            <w:r>
              <w:rPr>
                <w:rFonts w:hint="eastAsia" w:ascii="Calibri" w:hAnsi="Calibri" w:eastAsia="宋体" w:cs="Times New Roman"/>
                <w:sz w:val="21"/>
                <w:szCs w:val="21"/>
              </w:rPr>
              <w:t>2.</w:t>
            </w:r>
            <w:r>
              <w:rPr>
                <w:rFonts w:ascii="Calibri" w:hAnsi="Calibri" w:eastAsia="宋体" w:cs="Times New Roman"/>
                <w:sz w:val="21"/>
                <w:szCs w:val="21"/>
              </w:rPr>
              <w:t>采用多种教学方式（如启发式教学、案例分析教学、讨论式教学、多媒体示范教学等），注重培养学生发现、分析和解决问题的能力。</w:t>
            </w:r>
          </w:p>
          <w:p w14:paraId="39EEDBC9">
            <w:pPr>
              <w:spacing w:line="276" w:lineRule="auto"/>
              <w:rPr>
                <w:rFonts w:ascii="Calibri" w:hAnsi="Calibri" w:eastAsia="宋体" w:cs="Times New Roman"/>
                <w:sz w:val="21"/>
                <w:szCs w:val="21"/>
              </w:rPr>
            </w:pPr>
            <w:r>
              <w:rPr>
                <w:rFonts w:hint="eastAsia" w:ascii="Calibri" w:hAnsi="Calibri" w:eastAsia="宋体" w:cs="Times New Roman"/>
                <w:sz w:val="21"/>
                <w:szCs w:val="21"/>
              </w:rPr>
              <w:t>3.能够采用现代信息技术辅助</w:t>
            </w:r>
            <w:r>
              <w:rPr>
                <w:rFonts w:ascii="Calibri" w:hAnsi="Calibri" w:eastAsia="宋体" w:cs="Times New Roman"/>
                <w:sz w:val="21"/>
                <w:szCs w:val="21"/>
              </w:rPr>
              <w:t>教学。</w:t>
            </w:r>
          </w:p>
          <w:p w14:paraId="3ECF1776">
            <w:pPr>
              <w:spacing w:line="276" w:lineRule="auto"/>
              <w:rPr>
                <w:rFonts w:ascii="Calibri" w:hAnsi="Calibri" w:eastAsia="宋体" w:cs="Times New Roman"/>
                <w:sz w:val="21"/>
                <w:szCs w:val="21"/>
              </w:rPr>
            </w:pPr>
            <w:r>
              <w:rPr>
                <w:rFonts w:hint="eastAsia" w:ascii="Calibri" w:hAnsi="Calibri" w:eastAsia="宋体" w:cs="Times New Roman"/>
                <w:sz w:val="21"/>
                <w:szCs w:val="21"/>
              </w:rPr>
              <w:t>4.</w:t>
            </w:r>
            <w:r>
              <w:rPr>
                <w:rFonts w:ascii="Calibri" w:hAnsi="Calibri" w:eastAsia="宋体" w:cs="Times New Roman"/>
                <w:sz w:val="21"/>
                <w:szCs w:val="21"/>
              </w:rPr>
              <w:t>表达方式</w:t>
            </w:r>
            <w:r>
              <w:rPr>
                <w:rFonts w:hint="eastAsia" w:ascii="Calibri" w:hAnsi="Calibri" w:eastAsia="宋体" w:cs="Times New Roman"/>
                <w:sz w:val="21"/>
                <w:szCs w:val="21"/>
              </w:rPr>
              <w:t>应能</w:t>
            </w:r>
            <w:r>
              <w:rPr>
                <w:rFonts w:ascii="Calibri" w:hAnsi="Calibri" w:eastAsia="宋体" w:cs="Times New Roman"/>
                <w:sz w:val="21"/>
                <w:szCs w:val="21"/>
              </w:rPr>
              <w:t>便于学生理解、接受，力求形象生动，使学生在掌握知识的过程中，保持较为浓厚的</w:t>
            </w:r>
            <w:r>
              <w:rPr>
                <w:rFonts w:hint="eastAsia" w:ascii="Calibri" w:hAnsi="Calibri" w:eastAsia="宋体" w:cs="Times New Roman"/>
                <w:sz w:val="21"/>
                <w:szCs w:val="21"/>
              </w:rPr>
              <w:t>学习</w:t>
            </w:r>
            <w:r>
              <w:rPr>
                <w:rFonts w:ascii="Calibri" w:hAnsi="Calibri" w:eastAsia="宋体" w:cs="Times New Roman"/>
                <w:sz w:val="21"/>
                <w:szCs w:val="21"/>
              </w:rPr>
              <w:t>兴趣。</w:t>
            </w:r>
          </w:p>
        </w:tc>
      </w:tr>
      <w:tr w14:paraId="0BD3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82" w:type="dxa"/>
            <w:vAlign w:val="center"/>
          </w:tcPr>
          <w:p w14:paraId="4610D259">
            <w:pPr>
              <w:spacing w:line="276" w:lineRule="auto"/>
              <w:jc w:val="center"/>
              <w:rPr>
                <w:rFonts w:ascii="Calibri" w:hAnsi="Calibri" w:eastAsia="宋体" w:cs="Times New Roman"/>
                <w:sz w:val="21"/>
                <w:szCs w:val="21"/>
              </w:rPr>
            </w:pPr>
            <w:r>
              <w:rPr>
                <w:rFonts w:hint="eastAsia" w:ascii="Calibri" w:hAnsi="Calibri" w:eastAsia="宋体" w:cs="Times New Roman"/>
                <w:sz w:val="21"/>
                <w:szCs w:val="21"/>
              </w:rPr>
              <w:t>3</w:t>
            </w:r>
          </w:p>
        </w:tc>
        <w:tc>
          <w:tcPr>
            <w:tcW w:w="1075" w:type="dxa"/>
            <w:tcMar>
              <w:left w:w="28" w:type="dxa"/>
              <w:right w:w="28" w:type="dxa"/>
            </w:tcMar>
            <w:vAlign w:val="center"/>
          </w:tcPr>
          <w:p w14:paraId="3B4D61DE">
            <w:pPr>
              <w:spacing w:line="276" w:lineRule="auto"/>
              <w:jc w:val="center"/>
              <w:rPr>
                <w:rFonts w:ascii="Calibri" w:hAnsi="Calibri" w:eastAsia="宋体" w:cs="Times New Roman"/>
                <w:sz w:val="21"/>
                <w:szCs w:val="21"/>
              </w:rPr>
            </w:pPr>
            <w:r>
              <w:rPr>
                <w:rFonts w:ascii="Calibri" w:hAnsi="Calibri" w:eastAsia="宋体" w:cs="Times New Roman"/>
                <w:sz w:val="21"/>
                <w:szCs w:val="21"/>
              </w:rPr>
              <w:t>课外答疑</w:t>
            </w:r>
          </w:p>
        </w:tc>
        <w:tc>
          <w:tcPr>
            <w:tcW w:w="7140" w:type="dxa"/>
            <w:vAlign w:val="center"/>
          </w:tcPr>
          <w:p w14:paraId="6C229468">
            <w:pPr>
              <w:spacing w:line="276" w:lineRule="auto"/>
              <w:rPr>
                <w:rFonts w:ascii="Calibri" w:hAnsi="Calibri" w:eastAsia="宋体" w:cs="Times New Roman"/>
                <w:sz w:val="21"/>
                <w:szCs w:val="21"/>
              </w:rPr>
            </w:pPr>
            <w:r>
              <w:rPr>
                <w:rFonts w:ascii="Calibri" w:hAnsi="Calibri" w:eastAsia="宋体" w:cs="Times New Roman"/>
                <w:sz w:val="21"/>
                <w:szCs w:val="21"/>
              </w:rPr>
              <w:t>为了解学生的学习情况，帮助学生</w:t>
            </w:r>
            <w:r>
              <w:rPr>
                <w:rFonts w:hint="eastAsia" w:ascii="Calibri" w:hAnsi="Calibri" w:eastAsia="宋体" w:cs="Times New Roman"/>
                <w:sz w:val="21"/>
                <w:szCs w:val="21"/>
              </w:rPr>
              <w:t>更好地</w:t>
            </w:r>
            <w:r>
              <w:rPr>
                <w:rFonts w:ascii="Calibri" w:hAnsi="Calibri" w:eastAsia="宋体" w:cs="Times New Roman"/>
                <w:sz w:val="21"/>
                <w:szCs w:val="21"/>
              </w:rPr>
              <w:t>理解和消化所学知识、改进学习方法和思维方式，培养其独立思考问题的能力，</w:t>
            </w:r>
            <w:r>
              <w:rPr>
                <w:rFonts w:hint="eastAsia" w:ascii="Calibri" w:hAnsi="Calibri" w:eastAsia="宋体" w:cs="Times New Roman"/>
                <w:sz w:val="21"/>
                <w:szCs w:val="21"/>
              </w:rPr>
              <w:t>课外答疑方式、时间、地点要跟学生商量共同确定，灵活安排。</w:t>
            </w:r>
          </w:p>
        </w:tc>
      </w:tr>
      <w:tr w14:paraId="5B56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582" w:type="dxa"/>
            <w:vAlign w:val="center"/>
          </w:tcPr>
          <w:p w14:paraId="0F6B001A">
            <w:pPr>
              <w:spacing w:line="276" w:lineRule="auto"/>
              <w:jc w:val="center"/>
              <w:rPr>
                <w:rFonts w:ascii="Calibri" w:hAnsi="Calibri" w:eastAsia="宋体" w:cs="Times New Roman"/>
                <w:sz w:val="21"/>
                <w:szCs w:val="21"/>
              </w:rPr>
            </w:pPr>
            <w:r>
              <w:rPr>
                <w:rFonts w:ascii="Calibri" w:hAnsi="Calibri" w:eastAsia="宋体" w:cs="Times New Roman"/>
                <w:sz w:val="21"/>
                <w:szCs w:val="21"/>
              </w:rPr>
              <w:t>4</w:t>
            </w:r>
          </w:p>
        </w:tc>
        <w:tc>
          <w:tcPr>
            <w:tcW w:w="1075" w:type="dxa"/>
            <w:tcMar>
              <w:left w:w="28" w:type="dxa"/>
              <w:right w:w="28" w:type="dxa"/>
            </w:tcMar>
            <w:vAlign w:val="center"/>
          </w:tcPr>
          <w:p w14:paraId="4746775A">
            <w:pPr>
              <w:spacing w:line="276" w:lineRule="auto"/>
              <w:jc w:val="center"/>
              <w:rPr>
                <w:rFonts w:ascii="Calibri" w:hAnsi="Calibri" w:eastAsia="宋体" w:cs="Times New Roman"/>
                <w:sz w:val="21"/>
                <w:szCs w:val="21"/>
              </w:rPr>
            </w:pPr>
            <w:r>
              <w:rPr>
                <w:rFonts w:ascii="Calibri" w:hAnsi="Calibri" w:eastAsia="宋体" w:cs="Times New Roman"/>
                <w:sz w:val="21"/>
                <w:szCs w:val="21"/>
              </w:rPr>
              <w:t>成绩考核</w:t>
            </w:r>
          </w:p>
        </w:tc>
        <w:tc>
          <w:tcPr>
            <w:tcW w:w="7140" w:type="dxa"/>
            <w:vAlign w:val="center"/>
          </w:tcPr>
          <w:p w14:paraId="1B66DDCB">
            <w:pPr>
              <w:spacing w:line="276" w:lineRule="auto"/>
              <w:rPr>
                <w:rFonts w:ascii="Calibri" w:hAnsi="Calibri" w:eastAsia="宋体" w:cs="Times New Roman"/>
                <w:sz w:val="21"/>
                <w:szCs w:val="21"/>
              </w:rPr>
            </w:pPr>
            <w:r>
              <w:rPr>
                <w:rFonts w:ascii="Calibri" w:hAnsi="Calibri" w:eastAsia="宋体" w:cs="Times New Roman"/>
                <w:sz w:val="21"/>
                <w:szCs w:val="21"/>
              </w:rPr>
              <w:t>本课程考核的方式为</w:t>
            </w:r>
            <w:r>
              <w:rPr>
                <w:rFonts w:hint="eastAsia" w:ascii="Calibri" w:hAnsi="Calibri" w:eastAsia="宋体" w:cs="Times New Roman"/>
                <w:sz w:val="21"/>
                <w:szCs w:val="21"/>
                <w:lang w:val="en-US" w:eastAsia="zh-CN"/>
              </w:rPr>
              <w:t>求职简历和就业能力展示（PPT）</w:t>
            </w:r>
            <w:r>
              <w:rPr>
                <w:rFonts w:ascii="Calibri" w:hAnsi="Calibri" w:eastAsia="宋体" w:cs="Times New Roman"/>
                <w:sz w:val="21"/>
                <w:szCs w:val="21"/>
              </w:rPr>
              <w:t>。</w:t>
            </w:r>
          </w:p>
        </w:tc>
      </w:tr>
    </w:tbl>
    <w:p w14:paraId="4BB6523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jc w:val="both"/>
        <w:rPr>
          <w:rFonts w:hint="eastAsia" w:ascii="宋体" w:hAnsi="宋体" w:eastAsia="宋体" w:cs="宋体"/>
          <w:color w:val="000000"/>
          <w:kern w:val="2"/>
          <w:sz w:val="21"/>
          <w:szCs w:val="21"/>
          <w:lang w:val="en-US" w:eastAsia="zh-CN" w:bidi="ar-SA"/>
        </w:rPr>
      </w:pPr>
      <w:r>
        <w:rPr>
          <w:rFonts w:hint="eastAsia" w:ascii="宋体" w:hAnsi="宋体" w:eastAsia="宋体" w:cs="宋体"/>
          <w:b/>
          <w:bCs/>
          <w:i w:val="0"/>
          <w:iCs w:val="0"/>
          <w:caps w:val="0"/>
          <w:color w:val="000000"/>
          <w:spacing w:val="0"/>
          <w:kern w:val="2"/>
          <w:sz w:val="21"/>
          <w:szCs w:val="21"/>
          <w:shd w:val="clear" w:fill="FFFFFF"/>
          <w:lang w:val="en-US" w:eastAsia="zh-CN" w:bidi="ar-SA"/>
        </w:rPr>
        <w:t>六、课程考核</w:t>
      </w:r>
    </w:p>
    <w:p w14:paraId="5B36CCC5">
      <w:pPr>
        <w:keepNext w:val="0"/>
        <w:keepLines w:val="0"/>
        <w:pageBreakBefore w:val="0"/>
        <w:widowControl/>
        <w:suppressLineNumbers w:val="0"/>
        <w:kinsoku/>
        <w:wordWrap/>
        <w:overflowPunct/>
        <w:topLinePunct w:val="0"/>
        <w:autoSpaceDE/>
        <w:autoSpaceDN/>
        <w:bidi w:val="0"/>
        <w:adjustRightInd/>
        <w:snapToGrid/>
        <w:spacing w:beforeAutospacing="0" w:afterAutospacing="0" w:line="348" w:lineRule="auto"/>
        <w:ind w:left="559" w:leftChars="266" w:right="528" w:firstLine="0" w:firstLineChars="0"/>
        <w:jc w:val="both"/>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b/>
          <w:bCs/>
          <w:i w:val="0"/>
          <w:iCs w:val="0"/>
          <w:caps w:val="0"/>
          <w:color w:val="000000"/>
          <w:spacing w:val="0"/>
          <w:kern w:val="2"/>
          <w:sz w:val="21"/>
          <w:szCs w:val="21"/>
          <w:shd w:val="clear" w:fill="FFFFFF"/>
          <w:lang w:val="en-US" w:eastAsia="zh-CN" w:bidi="ar-SA"/>
        </w:rPr>
        <w:t>（一）考核方式</w:t>
      </w:r>
      <w:r>
        <w:rPr>
          <w:rFonts w:hint="eastAsia" w:ascii="宋体" w:hAnsi="宋体" w:eastAsia="宋体" w:cs="宋体"/>
          <w:i w:val="0"/>
          <w:iCs w:val="0"/>
          <w:caps w:val="0"/>
          <w:color w:val="000000"/>
          <w:spacing w:val="0"/>
          <w:kern w:val="2"/>
          <w:sz w:val="21"/>
          <w:szCs w:val="21"/>
          <w:shd w:val="clear" w:fill="FFFFFF"/>
          <w:lang w:val="en-US" w:eastAsia="zh-CN" w:bidi="ar-SA"/>
        </w:rPr>
        <w:br w:type="textWrapping"/>
      </w:r>
      <w:r>
        <w:rPr>
          <w:rFonts w:hint="eastAsia" w:ascii="宋体" w:hAnsi="宋体" w:eastAsia="宋体" w:cs="宋体"/>
          <w:i w:val="0"/>
          <w:iCs w:val="0"/>
          <w:caps w:val="0"/>
          <w:color w:val="000000"/>
          <w:spacing w:val="0"/>
          <w:kern w:val="2"/>
          <w:sz w:val="21"/>
          <w:szCs w:val="21"/>
          <w:shd w:val="clear" w:fill="FFFFFF"/>
          <w:lang w:val="en-US" w:eastAsia="zh-CN" w:bidi="ar-SA"/>
        </w:rPr>
        <w:t>考查。</w:t>
      </w:r>
    </w:p>
    <w:p w14:paraId="78634AA7">
      <w:pPr>
        <w:keepNext w:val="0"/>
        <w:keepLines w:val="0"/>
        <w:pageBreakBefore w:val="0"/>
        <w:widowControl/>
        <w:suppressLineNumbers w:val="0"/>
        <w:kinsoku/>
        <w:wordWrap/>
        <w:overflowPunct/>
        <w:topLinePunct w:val="0"/>
        <w:autoSpaceDE/>
        <w:autoSpaceDN/>
        <w:bidi w:val="0"/>
        <w:adjustRightInd/>
        <w:snapToGrid/>
        <w:spacing w:beforeAutospacing="0" w:afterAutospacing="0" w:line="348" w:lineRule="auto"/>
        <w:ind w:left="559" w:leftChars="266" w:right="528" w:firstLine="0" w:firstLineChars="0"/>
        <w:jc w:val="both"/>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b/>
          <w:bCs/>
          <w:i w:val="0"/>
          <w:iCs w:val="0"/>
          <w:caps w:val="0"/>
          <w:color w:val="000000"/>
          <w:spacing w:val="0"/>
          <w:kern w:val="2"/>
          <w:sz w:val="21"/>
          <w:szCs w:val="21"/>
          <w:shd w:val="clear" w:fill="FFFFFF"/>
          <w:lang w:val="en-US" w:eastAsia="zh-CN" w:bidi="ar-SA"/>
        </w:rPr>
        <w:t>（二）总评成绩评定方法</w:t>
      </w:r>
      <w:r>
        <w:rPr>
          <w:rFonts w:hint="eastAsia" w:ascii="宋体" w:hAnsi="宋体" w:eastAsia="宋体" w:cs="宋体"/>
          <w:i w:val="0"/>
          <w:iCs w:val="0"/>
          <w:caps w:val="0"/>
          <w:color w:val="000000"/>
          <w:spacing w:val="0"/>
          <w:kern w:val="2"/>
          <w:sz w:val="21"/>
          <w:szCs w:val="21"/>
          <w:shd w:val="clear" w:fill="FFFFFF"/>
          <w:lang w:val="en-US" w:eastAsia="zh-CN" w:bidi="ar-SA"/>
        </w:rPr>
        <w:br w:type="textWrapping"/>
      </w:r>
      <w:r>
        <w:rPr>
          <w:rFonts w:hint="eastAsia" w:ascii="宋体" w:hAnsi="宋体" w:eastAsia="宋体" w:cs="宋体"/>
          <w:i w:val="0"/>
          <w:iCs w:val="0"/>
          <w:caps w:val="0"/>
          <w:color w:val="000000"/>
          <w:spacing w:val="0"/>
          <w:kern w:val="2"/>
          <w:sz w:val="21"/>
          <w:szCs w:val="21"/>
          <w:shd w:val="clear" w:fill="FFFFFF"/>
          <w:lang w:val="en-US" w:eastAsia="zh-CN" w:bidi="ar-SA"/>
        </w:rPr>
        <w:t>总成绩 = 平时成绩（40%）+ 考查成绩（60%）</w:t>
      </w:r>
    </w:p>
    <w:p w14:paraId="2EF72A0C">
      <w:pPr>
        <w:keepNext w:val="0"/>
        <w:keepLines w:val="0"/>
        <w:pageBreakBefore w:val="0"/>
        <w:widowControl/>
        <w:suppressLineNumbers w:val="0"/>
        <w:kinsoku/>
        <w:wordWrap/>
        <w:overflowPunct/>
        <w:topLinePunct w:val="0"/>
        <w:autoSpaceDE/>
        <w:autoSpaceDN/>
        <w:bidi w:val="0"/>
        <w:adjustRightInd/>
        <w:snapToGrid/>
        <w:spacing w:beforeAutospacing="0" w:afterAutospacing="0" w:line="348" w:lineRule="auto"/>
        <w:ind w:right="528" w:firstLine="420" w:firstLineChars="200"/>
        <w:jc w:val="both"/>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平时成绩：课堂表现、参与度、作业完成情况</w:t>
      </w:r>
    </w:p>
    <w:p w14:paraId="54BA777E">
      <w:pPr>
        <w:keepNext w:val="0"/>
        <w:keepLines w:val="0"/>
        <w:pageBreakBefore w:val="0"/>
        <w:widowControl/>
        <w:suppressLineNumbers w:val="0"/>
        <w:kinsoku/>
        <w:wordWrap/>
        <w:overflowPunct/>
        <w:topLinePunct w:val="0"/>
        <w:autoSpaceDE/>
        <w:autoSpaceDN/>
        <w:bidi w:val="0"/>
        <w:adjustRightInd/>
        <w:snapToGrid/>
        <w:spacing w:beforeAutospacing="0" w:afterAutospacing="0" w:line="348" w:lineRule="auto"/>
        <w:ind w:right="528" w:firstLine="420" w:firstLineChars="200"/>
        <w:jc w:val="both"/>
        <w:textAlignment w:val="auto"/>
        <w:rPr>
          <w:rFonts w:hint="eastAsia" w:ascii="宋体" w:hAnsi="宋体" w:eastAsia="宋体" w:cs="宋体"/>
          <w:i w:val="0"/>
          <w:iCs w:val="0"/>
          <w:caps w:val="0"/>
          <w:color w:val="000000"/>
          <w:spacing w:val="0"/>
          <w:kern w:val="2"/>
          <w:sz w:val="21"/>
          <w:szCs w:val="21"/>
          <w:shd w:val="clear" w:fill="FFFFFF"/>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考查成绩：</w:t>
      </w:r>
    </w:p>
    <w:p w14:paraId="40D223D5">
      <w:pPr>
        <w:keepNext w:val="0"/>
        <w:keepLines w:val="0"/>
        <w:pageBreakBefore w:val="0"/>
        <w:kinsoku/>
        <w:wordWrap/>
        <w:overflowPunct/>
        <w:topLinePunct w:val="0"/>
        <w:autoSpaceDE/>
        <w:autoSpaceDN/>
        <w:bidi w:val="0"/>
        <w:adjustRightInd/>
        <w:snapToGrid/>
        <w:spacing w:line="348" w:lineRule="auto"/>
        <w:ind w:firstLine="420" w:firstLineChars="200"/>
        <w:textAlignment w:val="auto"/>
        <w:rPr>
          <w:rFonts w:hint="eastAsia" w:ascii="宋体" w:hAnsi="宋体" w:eastAsia="宋体" w:cs="宋体"/>
          <w:i w:val="0"/>
          <w:iCs w:val="0"/>
          <w:caps w:val="0"/>
          <w:color w:val="000000"/>
          <w:spacing w:val="0"/>
          <w:kern w:val="2"/>
          <w:sz w:val="21"/>
          <w:szCs w:val="21"/>
          <w:shd w:val="clear" w:fill="FFFFFF"/>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1.求职简历（PDF格式）。</w:t>
      </w:r>
    </w:p>
    <w:p w14:paraId="607EC83F">
      <w:pPr>
        <w:keepNext w:val="0"/>
        <w:keepLines w:val="0"/>
        <w:pageBreakBefore w:val="0"/>
        <w:kinsoku/>
        <w:wordWrap/>
        <w:overflowPunct/>
        <w:topLinePunct w:val="0"/>
        <w:autoSpaceDE/>
        <w:autoSpaceDN/>
        <w:bidi w:val="0"/>
        <w:adjustRightInd/>
        <w:snapToGrid/>
        <w:spacing w:line="348" w:lineRule="auto"/>
        <w:ind w:firstLine="420" w:firstLineChars="200"/>
        <w:textAlignment w:val="auto"/>
        <w:rPr>
          <w:rFonts w:hint="eastAsia" w:ascii="宋体" w:hAnsi="宋体" w:eastAsia="宋体" w:cs="宋体"/>
          <w:i w:val="0"/>
          <w:iCs w:val="0"/>
          <w:caps w:val="0"/>
          <w:color w:val="000000"/>
          <w:spacing w:val="0"/>
          <w:kern w:val="2"/>
          <w:sz w:val="21"/>
          <w:szCs w:val="21"/>
          <w:shd w:val="clear" w:fill="FFFFFF"/>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2.就业能力展示（PPT格式，不超过50MB；可加入视频）。</w:t>
      </w:r>
    </w:p>
    <w:p w14:paraId="21312967">
      <w:pPr>
        <w:keepNext w:val="0"/>
        <w:keepLines w:val="0"/>
        <w:pageBreakBefore w:val="0"/>
        <w:kinsoku/>
        <w:wordWrap/>
        <w:overflowPunct/>
        <w:topLinePunct w:val="0"/>
        <w:autoSpaceDE/>
        <w:autoSpaceDN/>
        <w:bidi w:val="0"/>
        <w:adjustRightInd/>
        <w:snapToGrid/>
        <w:spacing w:line="348" w:lineRule="auto"/>
        <w:ind w:firstLine="420" w:firstLineChars="200"/>
        <w:textAlignment w:val="auto"/>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kern w:val="2"/>
          <w:sz w:val="21"/>
          <w:szCs w:val="21"/>
          <w:shd w:val="clear" w:fill="FFFFFF"/>
          <w:lang w:val="en-US" w:eastAsia="zh-CN" w:bidi="ar-SA"/>
        </w:rPr>
        <w:t>3.辅助证明材料，包括实践、实习、获奖等证明材料（采用PDF 格式，不超过 50MB），整合为单个文件。</w:t>
      </w:r>
    </w:p>
    <w:p w14:paraId="4B56302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28" w:right="528" w:firstLine="420" w:firstLineChars="20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表5 考核总评成绩组成及评价细则表</w:t>
      </w:r>
    </w:p>
    <w:tbl>
      <w:tblPr>
        <w:tblStyle w:val="15"/>
        <w:tblW w:w="9552" w:type="dxa"/>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317"/>
        <w:gridCol w:w="2316"/>
        <w:gridCol w:w="1066"/>
        <w:gridCol w:w="4853"/>
      </w:tblGrid>
      <w:tr w14:paraId="538E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25" w:hRule="atLeast"/>
          <w:tblHeader/>
        </w:trPr>
        <w:tc>
          <w:tcPr>
            <w:tcW w:w="1317" w:type="dxa"/>
            <w:tcBorders>
              <w:tl2br w:val="nil"/>
              <w:tr2bl w:val="nil"/>
            </w:tcBorders>
            <w:shd w:val="clear" w:color="auto" w:fill="auto"/>
            <w:tcMar>
              <w:top w:w="120" w:type="dxa"/>
              <w:left w:w="0" w:type="dxa"/>
              <w:bottom w:w="120" w:type="dxa"/>
              <w:right w:w="192" w:type="dxa"/>
            </w:tcMar>
            <w:vAlign w:val="center"/>
          </w:tcPr>
          <w:p w14:paraId="2D2D0169">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成绩组成</w:t>
            </w:r>
          </w:p>
        </w:tc>
        <w:tc>
          <w:tcPr>
            <w:tcW w:w="2316" w:type="dxa"/>
            <w:tcBorders>
              <w:tl2br w:val="nil"/>
              <w:tr2bl w:val="nil"/>
            </w:tcBorders>
            <w:shd w:val="clear" w:color="auto" w:fill="auto"/>
            <w:tcMar>
              <w:top w:w="120" w:type="dxa"/>
              <w:left w:w="192" w:type="dxa"/>
              <w:bottom w:w="120" w:type="dxa"/>
              <w:right w:w="192" w:type="dxa"/>
            </w:tcMar>
            <w:vAlign w:val="center"/>
          </w:tcPr>
          <w:p w14:paraId="02637595">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考核环节</w:t>
            </w:r>
          </w:p>
        </w:tc>
        <w:tc>
          <w:tcPr>
            <w:tcW w:w="1066" w:type="dxa"/>
            <w:tcBorders>
              <w:tl2br w:val="nil"/>
              <w:tr2bl w:val="nil"/>
            </w:tcBorders>
            <w:shd w:val="clear" w:color="auto" w:fill="auto"/>
            <w:tcMar>
              <w:top w:w="120" w:type="dxa"/>
              <w:left w:w="192" w:type="dxa"/>
              <w:bottom w:w="120" w:type="dxa"/>
              <w:right w:w="192" w:type="dxa"/>
            </w:tcMar>
            <w:vAlign w:val="center"/>
          </w:tcPr>
          <w:p w14:paraId="3185BDDC">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权重</w:t>
            </w:r>
          </w:p>
        </w:tc>
        <w:tc>
          <w:tcPr>
            <w:tcW w:w="4853" w:type="dxa"/>
            <w:tcBorders>
              <w:tl2br w:val="nil"/>
              <w:tr2bl w:val="nil"/>
            </w:tcBorders>
            <w:shd w:val="clear" w:color="auto" w:fill="auto"/>
            <w:tcMar>
              <w:top w:w="120" w:type="dxa"/>
              <w:left w:w="192" w:type="dxa"/>
              <w:bottom w:w="120" w:type="dxa"/>
              <w:right w:w="192" w:type="dxa"/>
            </w:tcMar>
            <w:vAlign w:val="center"/>
          </w:tcPr>
          <w:p w14:paraId="09412D83">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评价细则</w:t>
            </w:r>
          </w:p>
        </w:tc>
      </w:tr>
      <w:tr w14:paraId="725E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317" w:type="dxa"/>
            <w:tcBorders>
              <w:tl2br w:val="nil"/>
              <w:tr2bl w:val="nil"/>
            </w:tcBorders>
            <w:shd w:val="clear" w:color="auto" w:fill="auto"/>
            <w:tcMar>
              <w:top w:w="120" w:type="dxa"/>
              <w:left w:w="0" w:type="dxa"/>
              <w:bottom w:w="120" w:type="dxa"/>
              <w:right w:w="192" w:type="dxa"/>
            </w:tcMar>
            <w:vAlign w:val="center"/>
          </w:tcPr>
          <w:p w14:paraId="7807A36D">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平时成绩</w:t>
            </w:r>
          </w:p>
        </w:tc>
        <w:tc>
          <w:tcPr>
            <w:tcW w:w="2316" w:type="dxa"/>
            <w:tcBorders>
              <w:tl2br w:val="nil"/>
              <w:tr2bl w:val="nil"/>
            </w:tcBorders>
            <w:shd w:val="clear" w:color="auto" w:fill="auto"/>
            <w:tcMar>
              <w:top w:w="120" w:type="dxa"/>
              <w:left w:w="192" w:type="dxa"/>
              <w:bottom w:w="120" w:type="dxa"/>
              <w:right w:w="192" w:type="dxa"/>
            </w:tcMar>
            <w:vAlign w:val="center"/>
          </w:tcPr>
          <w:p w14:paraId="30B9CDAE">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课堂表现与作业</w:t>
            </w:r>
          </w:p>
        </w:tc>
        <w:tc>
          <w:tcPr>
            <w:tcW w:w="1066" w:type="dxa"/>
            <w:tcBorders>
              <w:tl2br w:val="nil"/>
              <w:tr2bl w:val="nil"/>
            </w:tcBorders>
            <w:shd w:val="clear" w:color="auto" w:fill="auto"/>
            <w:tcMar>
              <w:top w:w="120" w:type="dxa"/>
              <w:left w:w="192" w:type="dxa"/>
              <w:bottom w:w="120" w:type="dxa"/>
              <w:right w:w="192" w:type="dxa"/>
            </w:tcMar>
            <w:vAlign w:val="center"/>
          </w:tcPr>
          <w:p w14:paraId="0CAE6331">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40%</w:t>
            </w:r>
          </w:p>
        </w:tc>
        <w:tc>
          <w:tcPr>
            <w:tcW w:w="4853" w:type="dxa"/>
            <w:tcBorders>
              <w:tl2br w:val="nil"/>
              <w:tr2bl w:val="nil"/>
            </w:tcBorders>
            <w:shd w:val="clear" w:color="auto" w:fill="auto"/>
            <w:tcMar>
              <w:top w:w="120" w:type="dxa"/>
              <w:left w:w="192" w:type="dxa"/>
              <w:bottom w:w="120" w:type="dxa"/>
              <w:right w:w="192" w:type="dxa"/>
            </w:tcMar>
            <w:vAlign w:val="center"/>
          </w:tcPr>
          <w:p w14:paraId="23FB47A1">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出勤、互动、作业完成质量</w:t>
            </w:r>
          </w:p>
        </w:tc>
      </w:tr>
      <w:tr w14:paraId="6223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946" w:hRule="atLeast"/>
        </w:trPr>
        <w:tc>
          <w:tcPr>
            <w:tcW w:w="1317" w:type="dxa"/>
            <w:tcBorders>
              <w:tl2br w:val="nil"/>
              <w:tr2bl w:val="nil"/>
            </w:tcBorders>
            <w:shd w:val="clear" w:color="auto" w:fill="auto"/>
            <w:tcMar>
              <w:top w:w="120" w:type="dxa"/>
              <w:left w:w="0" w:type="dxa"/>
              <w:bottom w:w="120" w:type="dxa"/>
              <w:right w:w="192" w:type="dxa"/>
            </w:tcMar>
            <w:vAlign w:val="center"/>
          </w:tcPr>
          <w:p w14:paraId="0DA93189">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考查成绩</w:t>
            </w:r>
          </w:p>
        </w:tc>
        <w:tc>
          <w:tcPr>
            <w:tcW w:w="2316" w:type="dxa"/>
            <w:tcBorders>
              <w:tl2br w:val="nil"/>
              <w:tr2bl w:val="nil"/>
            </w:tcBorders>
            <w:shd w:val="clear" w:color="auto" w:fill="auto"/>
            <w:tcMar>
              <w:top w:w="120" w:type="dxa"/>
              <w:left w:w="192" w:type="dxa"/>
              <w:bottom w:w="120" w:type="dxa"/>
              <w:right w:w="192" w:type="dxa"/>
            </w:tcMar>
            <w:vAlign w:val="center"/>
          </w:tcPr>
          <w:p w14:paraId="1BBB2E58">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1"/>
                <w:szCs w:val="21"/>
              </w:rPr>
            </w:pPr>
            <w:r>
              <w:rPr>
                <w:rFonts w:hint="eastAsia" w:ascii="Calibri" w:hAnsi="Calibri" w:eastAsia="宋体" w:cs="Times New Roman"/>
                <w:sz w:val="21"/>
                <w:szCs w:val="21"/>
                <w:lang w:val="en-US" w:eastAsia="zh-CN"/>
              </w:rPr>
              <w:t>求职简历（PDF）就业能力展示（PPT）</w:t>
            </w:r>
            <w:r>
              <w:rPr>
                <w:rFonts w:ascii="Calibri" w:hAnsi="Calibri" w:eastAsia="宋体" w:cs="Times New Roman"/>
                <w:sz w:val="21"/>
                <w:szCs w:val="21"/>
              </w:rPr>
              <w:t>。</w:t>
            </w:r>
          </w:p>
        </w:tc>
        <w:tc>
          <w:tcPr>
            <w:tcW w:w="1066" w:type="dxa"/>
            <w:tcBorders>
              <w:tl2br w:val="nil"/>
              <w:tr2bl w:val="nil"/>
            </w:tcBorders>
            <w:shd w:val="clear" w:color="auto" w:fill="auto"/>
            <w:tcMar>
              <w:top w:w="120" w:type="dxa"/>
              <w:left w:w="192" w:type="dxa"/>
              <w:bottom w:w="120" w:type="dxa"/>
              <w:right w:w="192" w:type="dxa"/>
            </w:tcMar>
            <w:vAlign w:val="center"/>
          </w:tcPr>
          <w:p w14:paraId="08325265">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60%</w:t>
            </w:r>
          </w:p>
        </w:tc>
        <w:tc>
          <w:tcPr>
            <w:tcW w:w="4853" w:type="dxa"/>
            <w:tcBorders>
              <w:tl2br w:val="nil"/>
              <w:tr2bl w:val="nil"/>
            </w:tcBorders>
            <w:shd w:val="clear" w:color="auto" w:fill="auto"/>
            <w:tcMar>
              <w:top w:w="120" w:type="dxa"/>
              <w:left w:w="192" w:type="dxa"/>
              <w:bottom w:w="120" w:type="dxa"/>
              <w:right w:w="192" w:type="dxa"/>
            </w:tcMar>
            <w:vAlign w:val="center"/>
          </w:tcPr>
          <w:p w14:paraId="3080AAAD">
            <w:pPr>
              <w:spacing w:line="240" w:lineRule="auto"/>
              <w:rPr>
                <w:rFonts w:hint="eastAsia" w:ascii="宋体" w:hAnsi="宋体" w:eastAsia="宋体" w:cs="宋体"/>
                <w:color w:val="000000"/>
                <w:sz w:val="21"/>
                <w:szCs w:val="21"/>
              </w:rPr>
            </w:pPr>
            <w:r>
              <w:rPr>
                <w:rFonts w:hint="eastAsia" w:ascii="Calibri" w:hAnsi="Calibri" w:eastAsia="宋体" w:cs="Times New Roman"/>
                <w:sz w:val="21"/>
                <w:szCs w:val="21"/>
                <w:lang w:val="en-US" w:eastAsia="zh-CN"/>
              </w:rPr>
              <w:t>体现个人求职意向和职业准备情况，对照目标职业及岗位要求展示个人综合素质、专业能力及发展潜力。求职简历和就业能力展示各占50%。</w:t>
            </w:r>
          </w:p>
        </w:tc>
      </w:tr>
    </w:tbl>
    <w:p w14:paraId="487D3E1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2"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b/>
          <w:bCs/>
          <w:i w:val="0"/>
          <w:iCs w:val="0"/>
          <w:caps w:val="0"/>
          <w:color w:val="000000"/>
          <w:spacing w:val="0"/>
          <w:kern w:val="2"/>
          <w:sz w:val="21"/>
          <w:szCs w:val="21"/>
          <w:shd w:val="clear" w:fill="FFFFFF"/>
          <w:lang w:val="en-US" w:eastAsia="zh-CN" w:bidi="ar-SA"/>
        </w:rPr>
        <w:t>七、有关说明</w:t>
      </w:r>
    </w:p>
    <w:p w14:paraId="6FECBD5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2"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b/>
          <w:bCs/>
          <w:i w:val="0"/>
          <w:iCs w:val="0"/>
          <w:caps w:val="0"/>
          <w:color w:val="000000"/>
          <w:spacing w:val="0"/>
          <w:kern w:val="2"/>
          <w:sz w:val="21"/>
          <w:szCs w:val="21"/>
          <w:shd w:val="clear" w:fill="FFFFFF"/>
          <w:lang w:val="en-US" w:eastAsia="zh-CN" w:bidi="ar-SA"/>
        </w:rPr>
        <w:t>（一）持续改进</w:t>
      </w:r>
    </w:p>
    <w:p w14:paraId="57D3D7E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1.定期收集学生反馈，优化教学案例与内容设计</w:t>
      </w:r>
    </w:p>
    <w:p w14:paraId="0CD1BBD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2.跟踪就业市场变化，及时更新政策与求职工具内容</w:t>
      </w:r>
    </w:p>
    <w:p w14:paraId="2AD15D8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2"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b/>
          <w:bCs/>
          <w:i w:val="0"/>
          <w:iCs w:val="0"/>
          <w:caps w:val="0"/>
          <w:color w:val="000000"/>
          <w:spacing w:val="0"/>
          <w:kern w:val="2"/>
          <w:sz w:val="21"/>
          <w:szCs w:val="21"/>
          <w:shd w:val="clear" w:fill="FFFFFF"/>
          <w:lang w:val="en-US" w:eastAsia="zh-CN" w:bidi="ar-SA"/>
        </w:rPr>
        <w:t>（二）参考书目及学习资料</w:t>
      </w:r>
    </w:p>
    <w:p w14:paraId="0596C42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1.《大学生职业生涯规划与就业指导》</w:t>
      </w:r>
    </w:p>
    <w:p w14:paraId="29C7E50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aps w:val="0"/>
          <w:color w:val="000000"/>
          <w:spacing w:val="0"/>
          <w:kern w:val="2"/>
          <w:sz w:val="21"/>
          <w:szCs w:val="21"/>
          <w:shd w:val="clear" w:fill="FFFFFF"/>
          <w:lang w:val="en-US" w:eastAsia="zh-CN" w:bidi="ar-SA"/>
        </w:rPr>
        <w:t>2.《劳动法》《劳动合同法》相关解读材料</w:t>
      </w:r>
    </w:p>
    <w:p w14:paraId="50430EC3">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0" w:firstLineChars="0"/>
        <w:jc w:val="righ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拟定人：庄燕青</w:t>
      </w:r>
    </w:p>
    <w:p w14:paraId="699495D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0" w:firstLineChars="0"/>
        <w:jc w:val="righ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审定人：高  静</w:t>
      </w:r>
    </w:p>
    <w:p w14:paraId="4EC46FB2">
      <w:pPr>
        <w:keepNext w:val="0"/>
        <w:keepLines w:val="0"/>
        <w:pageBreakBefore w:val="0"/>
        <w:kinsoku/>
        <w:wordWrap/>
        <w:overflowPunct/>
        <w:topLinePunct w:val="0"/>
        <w:autoSpaceDE/>
        <w:autoSpaceDN/>
        <w:bidi w:val="0"/>
        <w:adjustRightInd/>
        <w:snapToGrid/>
        <w:ind w:right="0" w:firstLine="0" w:firstLineChars="0"/>
        <w:jc w:val="righ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批准人：周嘉禾</w:t>
      </w:r>
    </w:p>
    <w:p w14:paraId="60FDE38B">
      <w:pPr>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070F2A36">
      <w:pPr>
        <w:spacing w:line="360" w:lineRule="auto"/>
        <w:jc w:val="center"/>
        <w:outlineLvl w:val="0"/>
        <w:rPr>
          <w:rFonts w:hint="eastAsia" w:ascii="Times New Roman" w:hAnsi="Times New Roman" w:eastAsia="宋体" w:cs="Times New Roman"/>
          <w:b/>
          <w:sz w:val="44"/>
          <w:szCs w:val="44"/>
        </w:rPr>
      </w:pPr>
      <w:bookmarkStart w:id="42" w:name="_Toc9784"/>
      <w:bookmarkStart w:id="43" w:name="_Toc1405"/>
      <w:r>
        <w:rPr>
          <w:rFonts w:hint="eastAsia" w:ascii="Times New Roman" w:hAnsi="Times New Roman" w:eastAsia="宋体" w:cs="Times New Roman"/>
          <w:b/>
          <w:sz w:val="44"/>
          <w:szCs w:val="44"/>
        </w:rPr>
        <w:t>《大学生劳动教育》课程教学大纲</w:t>
      </w:r>
      <w:bookmarkEnd w:id="42"/>
      <w:bookmarkEnd w:id="43"/>
    </w:p>
    <w:p w14:paraId="6BD2FD81">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（Labor studies for College Students）</w:t>
      </w:r>
    </w:p>
    <w:p w14:paraId="267906E1">
      <w:pPr>
        <w:jc w:val="left"/>
        <w:rPr>
          <w:color w:val="auto"/>
        </w:rPr>
      </w:pPr>
    </w:p>
    <w:p w14:paraId="71FFDA91">
      <w:pPr>
        <w:spacing w:line="360" w:lineRule="auto"/>
        <w:ind w:firstLine="482" w:firstLineChars="200"/>
        <w:jc w:val="left"/>
        <w:rPr>
          <w:rFonts w:ascii="Times New Roman" w:hAnsi="Times New Roman" w:eastAsia="宋体" w:cs="Times New Roman"/>
          <w:b/>
          <w:sz w:val="24"/>
        </w:rPr>
      </w:pPr>
      <w:bookmarkStart w:id="44" w:name="_Toc26482"/>
      <w:bookmarkStart w:id="45" w:name="_Toc3808"/>
      <w:bookmarkStart w:id="46" w:name="_Toc29293"/>
      <w:bookmarkStart w:id="47" w:name="_Toc23327"/>
      <w:bookmarkStart w:id="48" w:name="_Toc2118"/>
      <w:r>
        <w:rPr>
          <w:rFonts w:hint="eastAsia" w:ascii="Times New Roman" w:hAnsi="Times New Roman" w:eastAsia="宋体" w:cs="Times New Roman"/>
          <w:b/>
          <w:sz w:val="24"/>
        </w:rPr>
        <w:t>课程名称：大学生劳动教育</w:t>
      </w:r>
      <w:bookmarkEnd w:id="44"/>
      <w:bookmarkEnd w:id="45"/>
      <w:bookmarkEnd w:id="46"/>
      <w:bookmarkEnd w:id="47"/>
      <w:bookmarkEnd w:id="48"/>
    </w:p>
    <w:p w14:paraId="7F70E934">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2400001</w:t>
      </w:r>
    </w:p>
    <w:p w14:paraId="29AF774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4B800E0D">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0AA7DD1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先修课程：小学心理学、教育原理、大学生职业生涯规划</w:t>
      </w:r>
    </w:p>
    <w:p w14:paraId="64D9A96C">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4062499C">
      <w:pPr>
        <w:spacing w:before="62" w:beforeLines="20" w:after="62" w:afterLines="20" w:line="360" w:lineRule="auto"/>
        <w:jc w:val="left"/>
        <w:rPr>
          <w:rFonts w:ascii="Times New Roman" w:hAnsi="Times New Roman" w:eastAsia="宋体" w:cs="Times New Roman"/>
          <w:b/>
          <w:sz w:val="24"/>
        </w:rPr>
      </w:pPr>
      <w:bookmarkStart w:id="49" w:name="_Toc12034"/>
      <w:bookmarkStart w:id="50" w:name="_Toc1567"/>
      <w:bookmarkStart w:id="51" w:name="_Toc16133"/>
      <w:bookmarkStart w:id="52" w:name="_Toc16268"/>
      <w:bookmarkStart w:id="53" w:name="_Toc29107"/>
      <w:bookmarkStart w:id="54" w:name="_Toc22084"/>
      <w:bookmarkStart w:id="55" w:name="_Toc15352"/>
      <w:r>
        <w:rPr>
          <w:rFonts w:hint="eastAsia" w:ascii="Times New Roman" w:hAnsi="Times New Roman" w:eastAsia="宋体" w:cs="Times New Roman"/>
          <w:b/>
          <w:sz w:val="24"/>
        </w:rPr>
        <w:t>一、课程简介</w:t>
      </w:r>
      <w:bookmarkEnd w:id="49"/>
      <w:bookmarkEnd w:id="50"/>
      <w:bookmarkEnd w:id="51"/>
      <w:bookmarkEnd w:id="52"/>
      <w:bookmarkEnd w:id="53"/>
      <w:bookmarkEnd w:id="54"/>
      <w:bookmarkEnd w:id="55"/>
    </w:p>
    <w:p w14:paraId="15AECC54">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本课程是</w:t>
      </w:r>
      <w:r>
        <w:rPr>
          <w:rFonts w:hint="eastAsia" w:ascii="Times New Roman" w:hAnsi="Times New Roman" w:eastAsia="宋体" w:cs="Times New Roman"/>
          <w:szCs w:val="21"/>
        </w:rPr>
        <w:t>小学教</w:t>
      </w:r>
      <w:r>
        <w:rPr>
          <w:rFonts w:ascii="Times New Roman" w:hAnsi="Times New Roman" w:eastAsia="宋体" w:cs="Times New Roman"/>
          <w:szCs w:val="21"/>
        </w:rPr>
        <w:t>育专业的一门通识必修课程。本课程旨在使学生树立正确的劳动观念，具有必备的劳动能力，培育积极的劳动精神，养成良好的劳动习惯和品质。</w:t>
      </w:r>
    </w:p>
    <w:p w14:paraId="6DE16025">
      <w:pPr>
        <w:spacing w:before="62" w:beforeLines="20" w:after="62" w:afterLines="20" w:line="360" w:lineRule="auto"/>
        <w:jc w:val="left"/>
        <w:rPr>
          <w:rFonts w:ascii="Times New Roman" w:hAnsi="Times New Roman" w:eastAsia="宋体" w:cs="Times New Roman"/>
          <w:b/>
          <w:sz w:val="24"/>
        </w:rPr>
      </w:pPr>
      <w:bookmarkStart w:id="56" w:name="_Toc5642"/>
      <w:bookmarkStart w:id="57" w:name="_Toc9769"/>
      <w:bookmarkStart w:id="58" w:name="_Toc11145"/>
      <w:bookmarkStart w:id="59" w:name="_Toc23540"/>
      <w:bookmarkStart w:id="60" w:name="_Toc10372"/>
      <w:bookmarkStart w:id="61" w:name="_Toc5998"/>
      <w:bookmarkStart w:id="62" w:name="_Toc14762"/>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56"/>
      <w:bookmarkEnd w:id="57"/>
      <w:bookmarkEnd w:id="58"/>
      <w:bookmarkEnd w:id="59"/>
      <w:bookmarkEnd w:id="60"/>
      <w:bookmarkEnd w:id="61"/>
      <w:bookmarkEnd w:id="62"/>
    </w:p>
    <w:p w14:paraId="7A325D08">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1"/>
        <w:rPr>
          <w:rFonts w:hint="eastAsia" w:ascii="宋体" w:hAnsi="宋体" w:eastAsia="宋体" w:cs="Times New Roman"/>
          <w:b/>
          <w:szCs w:val="21"/>
        </w:rPr>
      </w:pPr>
      <w:bookmarkStart w:id="63" w:name="_Toc4402"/>
      <w:bookmarkStart w:id="64" w:name="_Toc28031"/>
      <w:r>
        <w:rPr>
          <w:rFonts w:hint="eastAsia" w:ascii="宋体" w:hAnsi="宋体" w:eastAsia="宋体" w:cs="Times New Roman"/>
          <w:b/>
          <w:szCs w:val="21"/>
        </w:rPr>
        <w:t>（一）课程具体目标</w:t>
      </w:r>
      <w:bookmarkEnd w:id="63"/>
      <w:bookmarkEnd w:id="64"/>
    </w:p>
    <w:p w14:paraId="7927E3D4">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ascii="Times New Roman" w:hAnsi="Times New Roman" w:eastAsia="宋体" w:cs="Times New Roman"/>
          <w:bCs/>
          <w:szCs w:val="21"/>
        </w:rPr>
        <w:t>深刻理解劳动内涵，树立正确的新时代大学生劳动价值观。</w:t>
      </w:r>
    </w:p>
    <w:p w14:paraId="0A5C39D3">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ascii="Times New Roman" w:hAnsi="Times New Roman" w:eastAsia="宋体" w:cs="Times New Roman"/>
          <w:szCs w:val="21"/>
        </w:rPr>
        <w:t xml:space="preserve"> </w:t>
      </w:r>
      <w:r>
        <w:rPr>
          <w:rFonts w:ascii="Times New Roman" w:hAnsi="Times New Roman" w:eastAsia="宋体" w:cs="Times New Roman"/>
          <w:bCs/>
          <w:szCs w:val="21"/>
        </w:rPr>
        <w:t>积极参与劳动实践，在劳动过程中掌握劳动本领，培育劳动热情，形成良好的劳动习惯。</w:t>
      </w:r>
    </w:p>
    <w:p w14:paraId="0F23063B">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outlineLvl w:val="1"/>
        <w:rPr>
          <w:rFonts w:ascii="Times New Roman" w:hAnsi="Times New Roman" w:eastAsia="宋体" w:cs="Times New Roman"/>
          <w:b/>
          <w:bCs/>
          <w:szCs w:val="21"/>
        </w:rPr>
      </w:pPr>
      <w:bookmarkStart w:id="65" w:name="_Toc24347"/>
      <w:bookmarkStart w:id="66" w:name="_Toc19924"/>
      <w:r>
        <w:rPr>
          <w:rFonts w:hint="eastAsia" w:ascii="Times New Roman" w:hAnsi="Times New Roman" w:eastAsia="宋体" w:cs="Times New Roman"/>
          <w:b/>
          <w:bCs/>
          <w:szCs w:val="21"/>
        </w:rPr>
        <w:t>（二）课程目标及其对毕业要求指标点的支撑</w:t>
      </w:r>
      <w:bookmarkEnd w:id="65"/>
      <w:bookmarkEnd w:id="66"/>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6367"/>
        <w:gridCol w:w="1191"/>
      </w:tblGrid>
      <w:tr w14:paraId="50E1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4DB2D036">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w:t>
            </w:r>
          </w:p>
        </w:tc>
        <w:tc>
          <w:tcPr>
            <w:tcW w:w="6367" w:type="dxa"/>
            <w:vAlign w:val="center"/>
          </w:tcPr>
          <w:p w14:paraId="5FEA8C18">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毕业要求指标点</w:t>
            </w:r>
          </w:p>
        </w:tc>
        <w:tc>
          <w:tcPr>
            <w:tcW w:w="1191" w:type="dxa"/>
            <w:vAlign w:val="center"/>
          </w:tcPr>
          <w:p w14:paraId="440D64D0">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课程目标</w:t>
            </w:r>
          </w:p>
        </w:tc>
      </w:tr>
      <w:tr w14:paraId="5637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4374DBD1">
            <w:pPr>
              <w:jc w:val="center"/>
              <w:rPr>
                <w:rFonts w:ascii="宋体" w:hAnsi="宋体" w:eastAsia="宋体" w:cs="Times New Roman"/>
                <w:b/>
                <w:bCs/>
                <w:szCs w:val="23"/>
              </w:rPr>
            </w:pPr>
            <w:r>
              <w:rPr>
                <w:rFonts w:ascii="宋体" w:hAnsi="宋体" w:eastAsia="宋体" w:cs="Times New Roman"/>
                <w:b/>
                <w:bCs/>
                <w:szCs w:val="23"/>
              </w:rPr>
              <w:t>毕业要求1</w:t>
            </w:r>
          </w:p>
          <w:p w14:paraId="6EA8A7AD">
            <w:pPr>
              <w:jc w:val="center"/>
              <w:rPr>
                <w:rFonts w:hint="eastAsia" w:ascii="宋体" w:hAnsi="宋体" w:eastAsia="宋体" w:cs="Times New Roman"/>
                <w:b/>
                <w:bCs/>
                <w:szCs w:val="23"/>
              </w:rPr>
            </w:pPr>
            <w:r>
              <w:rPr>
                <w:rFonts w:ascii="宋体" w:hAnsi="宋体" w:eastAsia="宋体" w:cs="Times New Roman"/>
                <w:b/>
                <w:bCs/>
                <w:szCs w:val="23"/>
              </w:rPr>
              <w:t>师德规范</w:t>
            </w:r>
          </w:p>
        </w:tc>
        <w:tc>
          <w:tcPr>
            <w:tcW w:w="6367" w:type="dxa"/>
            <w:vAlign w:val="center"/>
          </w:tcPr>
          <w:p w14:paraId="5735889D">
            <w:pPr>
              <w:spacing w:line="276" w:lineRule="auto"/>
              <w:jc w:val="left"/>
              <w:rPr>
                <w:rFonts w:hint="eastAsia" w:ascii="宋体" w:hAnsi="宋体" w:eastAsia="宋体" w:cs="Times New Roman"/>
                <w:szCs w:val="21"/>
              </w:rPr>
            </w:pPr>
            <w:r>
              <w:rPr>
                <w:rFonts w:hint="eastAsia" w:ascii="宋体" w:hAnsi="宋体" w:eastAsia="宋体" w:cs="Times New Roman"/>
                <w:b/>
                <w:kern w:val="0"/>
                <w:szCs w:val="21"/>
                <w:lang w:eastAsia="zh-CN"/>
              </w:rPr>
              <w:t>指标点1-2</w:t>
            </w:r>
            <w:r>
              <w:rPr>
                <w:rFonts w:ascii="宋体" w:hAnsi="宋体" w:eastAsia="宋体" w:cs="Times New Roman"/>
                <w:szCs w:val="21"/>
              </w:rPr>
              <w:t>：</w:t>
            </w:r>
            <w:r>
              <w:rPr>
                <w:rFonts w:hint="eastAsia" w:ascii="宋体" w:hAnsi="宋体" w:eastAsia="宋体" w:cs="宋体"/>
                <w:szCs w:val="21"/>
              </w:rPr>
              <w:t>【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191" w:type="dxa"/>
            <w:vAlign w:val="center"/>
          </w:tcPr>
          <w:p w14:paraId="3BC6D71C">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课程目标1</w:t>
            </w:r>
          </w:p>
        </w:tc>
      </w:tr>
      <w:tr w14:paraId="540E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78D1693D">
            <w:pPr>
              <w:widowControl/>
              <w:jc w:val="center"/>
              <w:rPr>
                <w:rFonts w:ascii="宋体" w:hAnsi="宋体" w:eastAsia="宋体" w:cs="Times New Roman"/>
                <w:b/>
                <w:bCs/>
                <w:kern w:val="0"/>
                <w:szCs w:val="21"/>
              </w:rPr>
            </w:pPr>
            <w:r>
              <w:rPr>
                <w:rFonts w:ascii="宋体" w:hAnsi="宋体" w:eastAsia="宋体" w:cs="Times New Roman"/>
                <w:b/>
                <w:bCs/>
                <w:kern w:val="0"/>
                <w:szCs w:val="21"/>
              </w:rPr>
              <w:t>毕业要求2</w:t>
            </w:r>
          </w:p>
          <w:p w14:paraId="1E983BFA">
            <w:pPr>
              <w:widowControl/>
              <w:jc w:val="center"/>
              <w:rPr>
                <w:rFonts w:hint="eastAsia" w:ascii="宋体" w:hAnsi="宋体" w:eastAsia="宋体" w:cs="Times New Roman"/>
                <w:b/>
                <w:bCs/>
                <w:szCs w:val="23"/>
              </w:rPr>
            </w:pPr>
            <w:r>
              <w:rPr>
                <w:rFonts w:ascii="宋体" w:hAnsi="宋体" w:eastAsia="宋体" w:cs="Times New Roman"/>
                <w:b/>
                <w:bCs/>
                <w:szCs w:val="23"/>
              </w:rPr>
              <w:t>教育情怀</w:t>
            </w:r>
          </w:p>
        </w:tc>
        <w:tc>
          <w:tcPr>
            <w:tcW w:w="6367" w:type="dxa"/>
            <w:vAlign w:val="center"/>
          </w:tcPr>
          <w:p w14:paraId="5141AE80">
            <w:pPr>
              <w:spacing w:line="276" w:lineRule="auto"/>
              <w:jc w:val="left"/>
              <w:rPr>
                <w:rFonts w:hint="eastAsia" w:ascii="宋体" w:hAnsi="宋体" w:eastAsia="宋体" w:cs="Times New Roman"/>
                <w:szCs w:val="21"/>
              </w:rPr>
            </w:pPr>
            <w:r>
              <w:rPr>
                <w:rFonts w:hint="eastAsia" w:ascii="宋体" w:hAnsi="宋体" w:eastAsia="宋体" w:cs="Times New Roman"/>
                <w:b/>
                <w:kern w:val="0"/>
                <w:szCs w:val="21"/>
                <w:lang w:eastAsia="zh-CN"/>
              </w:rPr>
              <w:t>指标点2-3</w:t>
            </w:r>
            <w:r>
              <w:rPr>
                <w:rFonts w:ascii="宋体" w:hAnsi="宋体" w:eastAsia="宋体" w:cs="Times New Roman"/>
                <w:szCs w:val="21"/>
              </w:rPr>
              <w:t>：</w:t>
            </w:r>
            <w:r>
              <w:rPr>
                <w:rFonts w:hint="eastAsia" w:ascii="宋体" w:hAnsi="宋体" w:eastAsia="宋体" w:cs="宋体"/>
                <w:szCs w:val="21"/>
              </w:rPr>
              <w:t>【自身修养良好】具有较好的人文艺术底蕴与科学精神，言行举止符合教师职业标准，情感积极，人格健全，身心健康。</w:t>
            </w:r>
          </w:p>
        </w:tc>
        <w:tc>
          <w:tcPr>
            <w:tcW w:w="1191" w:type="dxa"/>
            <w:vAlign w:val="center"/>
          </w:tcPr>
          <w:p w14:paraId="5FD045AE">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课程目标2</w:t>
            </w:r>
          </w:p>
        </w:tc>
      </w:tr>
      <w:tr w14:paraId="2C35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625177D3">
            <w:pPr>
              <w:jc w:val="center"/>
              <w:rPr>
                <w:rFonts w:hint="eastAsia" w:ascii="宋体" w:hAnsi="宋体" w:eastAsia="宋体" w:cs="Times New Roman"/>
                <w:b/>
                <w:bCs/>
                <w:kern w:val="0"/>
                <w:szCs w:val="21"/>
              </w:rPr>
            </w:pPr>
            <w:r>
              <w:rPr>
                <w:rFonts w:ascii="宋体" w:hAnsi="宋体" w:eastAsia="宋体" w:cs="Times New Roman"/>
                <w:b/>
                <w:bCs/>
                <w:kern w:val="0"/>
                <w:szCs w:val="21"/>
              </w:rPr>
              <w:t>毕业要求</w:t>
            </w:r>
            <w:r>
              <w:rPr>
                <w:rFonts w:hint="eastAsia" w:ascii="宋体" w:hAnsi="宋体" w:eastAsia="宋体" w:cs="Times New Roman"/>
                <w:b/>
                <w:bCs/>
                <w:kern w:val="0"/>
                <w:szCs w:val="21"/>
              </w:rPr>
              <w:t>3</w:t>
            </w:r>
          </w:p>
          <w:p w14:paraId="3B394378">
            <w:pPr>
              <w:jc w:val="center"/>
              <w:rPr>
                <w:rFonts w:hint="eastAsia" w:ascii="宋体" w:hAnsi="宋体" w:eastAsia="宋体" w:cs="Times New Roman"/>
                <w:b/>
                <w:bCs/>
                <w:szCs w:val="23"/>
              </w:rPr>
            </w:pPr>
            <w:r>
              <w:rPr>
                <w:rFonts w:ascii="宋体" w:hAnsi="宋体" w:eastAsia="宋体" w:cs="Times New Roman"/>
                <w:b/>
                <w:bCs/>
                <w:szCs w:val="23"/>
              </w:rPr>
              <w:t>综合育人</w:t>
            </w:r>
          </w:p>
        </w:tc>
        <w:tc>
          <w:tcPr>
            <w:tcW w:w="6367" w:type="dxa"/>
            <w:vAlign w:val="center"/>
          </w:tcPr>
          <w:p w14:paraId="1EDE1F2C">
            <w:pPr>
              <w:spacing w:line="276" w:lineRule="auto"/>
              <w:jc w:val="left"/>
              <w:rPr>
                <w:rFonts w:hint="eastAsia" w:ascii="宋体" w:hAnsi="宋体" w:eastAsia="宋体" w:cs="Times New Roman"/>
                <w:szCs w:val="21"/>
              </w:rPr>
            </w:pPr>
            <w:r>
              <w:rPr>
                <w:rFonts w:hint="eastAsia" w:ascii="宋体" w:hAnsi="宋体" w:eastAsia="宋体" w:cs="宋体"/>
                <w:b/>
                <w:kern w:val="0"/>
                <w:sz w:val="20"/>
                <w:szCs w:val="20"/>
                <w:lang w:eastAsia="zh-CN"/>
              </w:rPr>
              <w:t>指标点3-3</w:t>
            </w:r>
            <w:r>
              <w:rPr>
                <w:rFonts w:hint="eastAsia" w:ascii="宋体" w:hAnsi="宋体" w:eastAsia="宋体" w:cs="宋体"/>
                <w:sz w:val="20"/>
                <w:szCs w:val="20"/>
              </w:rPr>
              <w:t>：【注重知识整合】了解所教学科与小学其他学科及与社会实践、小学生生活实践之间的联系，了解学科整合在小学教育中的价值，具有跨学科解决问题的意识和能力，能指导综合性学科教学活动。</w:t>
            </w:r>
          </w:p>
        </w:tc>
        <w:tc>
          <w:tcPr>
            <w:tcW w:w="1191" w:type="dxa"/>
            <w:vAlign w:val="center"/>
          </w:tcPr>
          <w:p w14:paraId="4A5EA6E3">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课程目标2</w:t>
            </w:r>
          </w:p>
        </w:tc>
      </w:tr>
      <w:tr w14:paraId="0A89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0EF45DE2">
            <w:pPr>
              <w:jc w:val="center"/>
              <w:rPr>
                <w:rFonts w:hint="eastAsia" w:ascii="宋体" w:hAnsi="宋体" w:eastAsia="宋体" w:cs="Times New Roman"/>
                <w:b/>
                <w:bCs/>
                <w:szCs w:val="23"/>
              </w:rPr>
            </w:pPr>
            <w:r>
              <w:rPr>
                <w:rFonts w:ascii="宋体" w:hAnsi="宋体" w:eastAsia="宋体" w:cs="Times New Roman"/>
                <w:b/>
                <w:bCs/>
                <w:kern w:val="0"/>
                <w:szCs w:val="21"/>
              </w:rPr>
              <w:t>毕业要求</w:t>
            </w:r>
            <w:r>
              <w:rPr>
                <w:rFonts w:hint="eastAsia" w:ascii="宋体" w:hAnsi="宋体" w:eastAsia="宋体" w:cs="Times New Roman"/>
                <w:b/>
                <w:bCs/>
                <w:kern w:val="0"/>
                <w:szCs w:val="21"/>
              </w:rPr>
              <w:t>6</w:t>
            </w:r>
            <w:r>
              <w:rPr>
                <w:rFonts w:ascii="宋体" w:hAnsi="宋体" w:eastAsia="宋体" w:cs="Times New Roman"/>
                <w:b/>
                <w:bCs/>
                <w:szCs w:val="23"/>
              </w:rPr>
              <w:t>综合育人</w:t>
            </w:r>
          </w:p>
        </w:tc>
        <w:tc>
          <w:tcPr>
            <w:tcW w:w="6367" w:type="dxa"/>
            <w:vAlign w:val="center"/>
          </w:tcPr>
          <w:p w14:paraId="4FC25602">
            <w:pPr>
              <w:spacing w:line="276" w:lineRule="auto"/>
              <w:jc w:val="left"/>
              <w:rPr>
                <w:rFonts w:hint="eastAsia" w:ascii="宋体" w:hAnsi="宋体" w:eastAsia="宋体" w:cs="Times New Roman"/>
                <w:kern w:val="0"/>
                <w:szCs w:val="21"/>
              </w:rPr>
            </w:pPr>
            <w:r>
              <w:rPr>
                <w:rFonts w:hint="eastAsia" w:ascii="宋体" w:hAnsi="宋体" w:eastAsia="宋体" w:cs="Times New Roman"/>
                <w:b/>
                <w:kern w:val="0"/>
                <w:szCs w:val="21"/>
                <w:lang w:eastAsia="zh-CN"/>
              </w:rPr>
              <w:t>指标点6-3</w:t>
            </w:r>
            <w:r>
              <w:rPr>
                <w:rFonts w:ascii="宋体" w:hAnsi="宋体" w:eastAsia="宋体" w:cs="Times New Roman"/>
                <w:szCs w:val="21"/>
              </w:rPr>
              <w:t>：</w:t>
            </w:r>
            <w:r>
              <w:rPr>
                <w:rFonts w:hint="eastAsia" w:ascii="宋体" w:hAnsi="宋体" w:eastAsia="宋体" w:cs="宋体"/>
                <w:szCs w:val="21"/>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6D6A5953">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课程目标1</w:t>
            </w:r>
          </w:p>
          <w:p w14:paraId="23F1B3C0">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课程目标2</w:t>
            </w:r>
          </w:p>
        </w:tc>
      </w:tr>
    </w:tbl>
    <w:p w14:paraId="589E7C04">
      <w:pPr>
        <w:spacing w:before="156" w:beforeLines="50" w:line="360" w:lineRule="auto"/>
        <w:ind w:firstLine="422" w:firstLineChars="200"/>
        <w:jc w:val="left"/>
        <w:outlineLvl w:val="1"/>
        <w:rPr>
          <w:rFonts w:hint="eastAsia" w:ascii="宋体" w:hAnsi="宋体" w:eastAsia="宋体" w:cs="Times New Roman"/>
          <w:b/>
          <w:szCs w:val="21"/>
        </w:rPr>
      </w:pPr>
      <w:bookmarkStart w:id="67" w:name="_Toc17779"/>
      <w:bookmarkStart w:id="68" w:name="_Toc5512"/>
      <w:r>
        <w:rPr>
          <w:rFonts w:hint="eastAsia" w:ascii="宋体" w:hAnsi="宋体" w:eastAsia="宋体" w:cs="Times New Roman"/>
          <w:b/>
          <w:szCs w:val="21"/>
        </w:rPr>
        <w:t>（三）课程思政目标</w:t>
      </w:r>
      <w:bookmarkEnd w:id="67"/>
      <w:bookmarkEnd w:id="68"/>
    </w:p>
    <w:p w14:paraId="53088EBA">
      <w:pPr>
        <w:spacing w:line="360" w:lineRule="auto"/>
        <w:ind w:firstLine="420" w:firstLineChars="200"/>
        <w:jc w:val="left"/>
        <w:rPr>
          <w:rFonts w:hint="eastAsia" w:ascii="宋体" w:hAnsi="宋体" w:eastAsia="宋体" w:cs="Times New Roman"/>
          <w:szCs w:val="21"/>
        </w:rPr>
      </w:pPr>
      <w:r>
        <w:rPr>
          <w:rFonts w:ascii="宋体" w:hAnsi="宋体" w:eastAsia="宋体" w:cs="Times New Roman"/>
          <w:szCs w:val="21"/>
        </w:rPr>
        <w:t>师范专业劳动教育课程思政目标应立足培养未来教师的劳动价值观与社会责任感，通过支教、教育帮扶等实践锤炼教育情怀，以</w:t>
      </w:r>
      <w:r>
        <w:rPr>
          <w:rFonts w:hint="eastAsia" w:ascii="宋体" w:hAnsi="宋体" w:eastAsia="宋体" w:cs="Times New Roman"/>
          <w:szCs w:val="21"/>
        </w:rPr>
        <w:t>教具制作</w:t>
      </w:r>
      <w:r>
        <w:rPr>
          <w:rFonts w:ascii="宋体" w:hAnsi="宋体" w:eastAsia="宋体" w:cs="Times New Roman"/>
          <w:szCs w:val="21"/>
        </w:rPr>
        <w:t>、课件设计等技能训培育工匠精神，引导师范生参与教育服务以理解教育使命，并融合劳动创新与教学方案设计提升实践育人能力，最终塑造兼具师德修养、专业技能和文化担当的新时代教育传承者。</w:t>
      </w:r>
    </w:p>
    <w:p w14:paraId="0A585748">
      <w:pPr>
        <w:spacing w:before="62" w:beforeLines="20" w:after="62" w:afterLines="20" w:line="360" w:lineRule="auto"/>
        <w:jc w:val="left"/>
        <w:rPr>
          <w:rFonts w:ascii="Times New Roman" w:hAnsi="Times New Roman" w:eastAsia="宋体" w:cs="Times New Roman"/>
          <w:b/>
          <w:sz w:val="24"/>
        </w:rPr>
      </w:pPr>
      <w:bookmarkStart w:id="69" w:name="_Toc308"/>
      <w:bookmarkStart w:id="70" w:name="_Toc6166"/>
      <w:bookmarkStart w:id="71" w:name="_Toc9686"/>
      <w:bookmarkStart w:id="72" w:name="_Toc23844"/>
      <w:bookmarkStart w:id="73" w:name="_Toc26890"/>
      <w:bookmarkStart w:id="74" w:name="_Toc21715"/>
      <w:bookmarkStart w:id="75" w:name="_Toc16091"/>
      <w:r>
        <w:rPr>
          <w:rFonts w:hint="eastAsia" w:ascii="Times New Roman" w:hAnsi="Times New Roman" w:eastAsia="宋体" w:cs="Times New Roman"/>
          <w:b/>
          <w:sz w:val="24"/>
        </w:rPr>
        <w:t>三、教学内容与预期学习成效</w:t>
      </w:r>
      <w:bookmarkEnd w:id="69"/>
      <w:bookmarkEnd w:id="70"/>
      <w:bookmarkEnd w:id="71"/>
      <w:bookmarkEnd w:id="72"/>
      <w:bookmarkEnd w:id="73"/>
      <w:bookmarkEnd w:id="74"/>
      <w:bookmarkEnd w:id="75"/>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2593"/>
        <w:gridCol w:w="1153"/>
        <w:gridCol w:w="2065"/>
        <w:gridCol w:w="1560"/>
        <w:gridCol w:w="438"/>
      </w:tblGrid>
      <w:tr w14:paraId="2EF6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Align w:val="center"/>
          </w:tcPr>
          <w:p w14:paraId="7A19133C">
            <w:pPr>
              <w:jc w:val="center"/>
              <w:rPr>
                <w:rFonts w:hint="eastAsia" w:ascii="宋体" w:hAnsi="宋体" w:eastAsia="宋体" w:cs="Times New Roman"/>
                <w:b/>
                <w:szCs w:val="21"/>
              </w:rPr>
            </w:pPr>
            <w:r>
              <w:rPr>
                <w:rFonts w:hint="eastAsia" w:ascii="宋体" w:hAnsi="宋体" w:eastAsia="宋体" w:cs="Times New Roman"/>
                <w:b/>
                <w:szCs w:val="21"/>
              </w:rPr>
              <w:t>知识</w:t>
            </w:r>
          </w:p>
          <w:p w14:paraId="2F03D9D6">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593" w:type="dxa"/>
            <w:vAlign w:val="center"/>
          </w:tcPr>
          <w:p w14:paraId="41C8B617">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53" w:type="dxa"/>
            <w:vAlign w:val="center"/>
          </w:tcPr>
          <w:p w14:paraId="4BFE77E8">
            <w:pPr>
              <w:jc w:val="center"/>
              <w:rPr>
                <w:rFonts w:hint="eastAsia" w:ascii="宋体" w:hAnsi="宋体" w:eastAsia="宋体" w:cs="Times New Roman"/>
                <w:b/>
                <w:szCs w:val="21"/>
              </w:rPr>
            </w:pPr>
            <w:r>
              <w:rPr>
                <w:rFonts w:hint="eastAsia" w:ascii="宋体" w:hAnsi="宋体" w:eastAsia="宋体" w:cs="Times New Roman"/>
                <w:b/>
                <w:szCs w:val="21"/>
              </w:rPr>
              <w:t>对应</w:t>
            </w:r>
          </w:p>
          <w:p w14:paraId="7C4ADA2A">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065" w:type="dxa"/>
            <w:vAlign w:val="center"/>
          </w:tcPr>
          <w:p w14:paraId="5EA08A1F">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4FDFB3AF">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53FD140B">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0069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4DC36365">
            <w:pPr>
              <w:jc w:val="center"/>
              <w:rPr>
                <w:rFonts w:hint="eastAsia" w:ascii="宋体" w:hAnsi="宋体" w:eastAsia="宋体" w:cs="Times New Roman"/>
                <w:szCs w:val="21"/>
              </w:rPr>
            </w:pPr>
            <w:r>
              <w:rPr>
                <w:rFonts w:hint="eastAsia" w:ascii="宋体" w:hAnsi="宋体" w:eastAsia="宋体" w:cs="Times New Roman"/>
                <w:szCs w:val="21"/>
              </w:rPr>
              <w:t>劳动实践1：</w:t>
            </w:r>
          </w:p>
          <w:p w14:paraId="5BC8EE6F">
            <w:pPr>
              <w:spacing w:line="264" w:lineRule="auto"/>
              <w:jc w:val="center"/>
              <w:rPr>
                <w:rFonts w:hint="eastAsia" w:ascii="宋体" w:hAnsi="宋体" w:eastAsia="宋体" w:cs="Times New Roman"/>
                <w:szCs w:val="21"/>
              </w:rPr>
            </w:pPr>
            <w:r>
              <w:rPr>
                <w:rFonts w:hint="eastAsia" w:ascii="宋体" w:hAnsi="宋体" w:eastAsia="宋体" w:cs="Times New Roman"/>
                <w:szCs w:val="21"/>
              </w:rPr>
              <w:t>教室大扫除</w:t>
            </w:r>
          </w:p>
        </w:tc>
        <w:tc>
          <w:tcPr>
            <w:tcW w:w="2593" w:type="dxa"/>
            <w:vAlign w:val="center"/>
          </w:tcPr>
          <w:p w14:paraId="467002DF">
            <w:pPr>
              <w:spacing w:line="269" w:lineRule="auto"/>
              <w:jc w:val="both"/>
              <w:rPr>
                <w:rFonts w:hint="eastAsia" w:ascii="宋体" w:hAnsi="宋体" w:eastAsia="宋体" w:cs="Times New Roman"/>
                <w:szCs w:val="21"/>
              </w:rPr>
            </w:pPr>
            <w:r>
              <w:rPr>
                <w:rFonts w:hint="eastAsia" w:ascii="宋体" w:hAnsi="宋体" w:eastAsia="宋体" w:cs="Times New Roman"/>
                <w:szCs w:val="21"/>
              </w:rPr>
              <w:t>学生分组打扫教室卫生，视频记录打扫过程并进行剪辑，最后展示各组劳动成果。</w:t>
            </w:r>
          </w:p>
        </w:tc>
        <w:tc>
          <w:tcPr>
            <w:tcW w:w="1153" w:type="dxa"/>
            <w:vAlign w:val="center"/>
          </w:tcPr>
          <w:p w14:paraId="522B0A17">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065" w:type="dxa"/>
            <w:vAlign w:val="center"/>
          </w:tcPr>
          <w:p w14:paraId="582EEF78">
            <w:pPr>
              <w:widowControl/>
              <w:jc w:val="left"/>
              <w:rPr>
                <w:rFonts w:hint="eastAsia" w:ascii="宋体" w:hAnsi="宋体" w:eastAsia="宋体" w:cs="Segoe UI"/>
                <w:szCs w:val="21"/>
              </w:rPr>
            </w:pPr>
            <w:r>
              <w:rPr>
                <w:rFonts w:hint="eastAsia" w:ascii="宋体" w:hAnsi="宋体" w:eastAsia="宋体" w:cs="Segoe UI"/>
                <w:szCs w:val="21"/>
              </w:rPr>
              <w:t>学生了解教室清洁的重要性和基本清洁方法。通过实际操作，培养学生团队协作和动手能力。</w:t>
            </w:r>
          </w:p>
        </w:tc>
        <w:tc>
          <w:tcPr>
            <w:tcW w:w="1560" w:type="dxa"/>
            <w:vAlign w:val="center"/>
          </w:tcPr>
          <w:p w14:paraId="1BA5A3A4">
            <w:pPr>
              <w:spacing w:line="269" w:lineRule="auto"/>
              <w:rPr>
                <w:rFonts w:hint="eastAsia" w:ascii="宋体" w:hAnsi="宋体" w:eastAsia="宋体" w:cs="Times New Roman"/>
                <w:szCs w:val="21"/>
              </w:rPr>
            </w:pPr>
            <w:r>
              <w:rPr>
                <w:rFonts w:hint="eastAsia" w:ascii="宋体" w:hAnsi="宋体" w:eastAsia="宋体" w:cs="Times New Roman"/>
                <w:szCs w:val="21"/>
              </w:rPr>
              <w:t>1.课堂实践</w:t>
            </w:r>
          </w:p>
          <w:p w14:paraId="3C838446">
            <w:pPr>
              <w:spacing w:line="269" w:lineRule="auto"/>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1C764607">
            <w:pPr>
              <w:spacing w:line="269"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2855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5E81A2B4">
            <w:pPr>
              <w:spacing w:line="264" w:lineRule="auto"/>
              <w:jc w:val="center"/>
              <w:rPr>
                <w:rFonts w:hint="eastAsia" w:ascii="宋体" w:hAnsi="宋体" w:eastAsia="宋体" w:cs="Times New Roman"/>
                <w:szCs w:val="21"/>
              </w:rPr>
            </w:pPr>
          </w:p>
        </w:tc>
        <w:tc>
          <w:tcPr>
            <w:tcW w:w="7809" w:type="dxa"/>
            <w:gridSpan w:val="5"/>
            <w:vAlign w:val="center"/>
          </w:tcPr>
          <w:p w14:paraId="2E4BADC2">
            <w:pPr>
              <w:spacing w:line="269" w:lineRule="auto"/>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bookmarkStart w:id="76" w:name="_Toc17795"/>
            <w:r>
              <w:rPr>
                <w:rFonts w:hint="eastAsia" w:ascii="宋体" w:hAnsi="宋体" w:eastAsia="宋体" w:cs="Times New Roman"/>
                <w:szCs w:val="21"/>
              </w:rPr>
              <w:t>理解新时代大学生劳动教育的重要意义。</w:t>
            </w:r>
            <w:bookmarkEnd w:id="76"/>
            <w:r>
              <w:rPr>
                <w:rFonts w:hint="eastAsia" w:ascii="宋体" w:hAnsi="宋体" w:eastAsia="宋体" w:cs="Segoe UI"/>
                <w:szCs w:val="21"/>
              </w:rPr>
              <w:t>引导学生树立尊重劳动、热爱劳动的观念，培养责任感。</w:t>
            </w:r>
          </w:p>
        </w:tc>
      </w:tr>
      <w:tr w14:paraId="2CC6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7A3DEB99">
            <w:pPr>
              <w:jc w:val="center"/>
              <w:rPr>
                <w:rFonts w:hint="eastAsia" w:ascii="宋体" w:hAnsi="宋体" w:eastAsia="宋体" w:cs="Times New Roman"/>
                <w:szCs w:val="21"/>
              </w:rPr>
            </w:pPr>
            <w:r>
              <w:rPr>
                <w:rFonts w:hint="eastAsia" w:ascii="宋体" w:hAnsi="宋体" w:eastAsia="宋体" w:cs="Times New Roman"/>
                <w:szCs w:val="21"/>
              </w:rPr>
              <w:t>技能实操1：</w:t>
            </w:r>
          </w:p>
          <w:p w14:paraId="3484522E">
            <w:pPr>
              <w:spacing w:line="264" w:lineRule="auto"/>
              <w:jc w:val="center"/>
              <w:rPr>
                <w:rFonts w:hint="eastAsia" w:ascii="宋体" w:hAnsi="宋体" w:eastAsia="宋体" w:cs="Times New Roman"/>
                <w:szCs w:val="21"/>
              </w:rPr>
            </w:pPr>
            <w:r>
              <w:rPr>
                <w:rFonts w:hint="eastAsia" w:ascii="宋体" w:hAnsi="宋体" w:eastAsia="宋体" w:cs="宋体"/>
                <w:szCs w:val="21"/>
              </w:rPr>
              <w:t>变废为宝制作</w:t>
            </w:r>
          </w:p>
        </w:tc>
        <w:tc>
          <w:tcPr>
            <w:tcW w:w="2593" w:type="dxa"/>
            <w:vAlign w:val="center"/>
          </w:tcPr>
          <w:p w14:paraId="53518374">
            <w:pPr>
              <w:spacing w:line="269" w:lineRule="auto"/>
              <w:jc w:val="both"/>
              <w:rPr>
                <w:rFonts w:hint="eastAsia" w:ascii="宋体" w:hAnsi="宋体" w:eastAsia="宋体" w:cs="Times New Roman"/>
                <w:szCs w:val="21"/>
              </w:rPr>
            </w:pPr>
            <w:r>
              <w:rPr>
                <w:rFonts w:hint="eastAsia" w:ascii="宋体" w:hAnsi="宋体" w:eastAsia="宋体" w:cs="Times New Roman"/>
                <w:szCs w:val="21"/>
              </w:rPr>
              <w:t>每组围绕两个主题进行废物利用和创意制作  （1）常工院师范学院元素为主题创作</w:t>
            </w:r>
            <w:r>
              <w:rPr>
                <w:rFonts w:ascii="宋体" w:hAnsi="宋体" w:eastAsia="宋体" w:cs="Times New Roman"/>
                <w:szCs w:val="21"/>
              </w:rPr>
              <w:t>（2</w:t>
            </w:r>
            <w:r>
              <w:rPr>
                <w:rFonts w:hint="eastAsia" w:ascii="宋体" w:hAnsi="宋体" w:eastAsia="宋体" w:cs="Times New Roman"/>
                <w:szCs w:val="21"/>
              </w:rPr>
              <w:t>）以节日为主题自由创作。课堂实物展示（创意来源、制作过程、所用材料、分工安排情况等）</w:t>
            </w:r>
          </w:p>
        </w:tc>
        <w:tc>
          <w:tcPr>
            <w:tcW w:w="1153" w:type="dxa"/>
            <w:vAlign w:val="center"/>
          </w:tcPr>
          <w:p w14:paraId="792CE3AF">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065" w:type="dxa"/>
            <w:vAlign w:val="center"/>
          </w:tcPr>
          <w:p w14:paraId="4A27BC04">
            <w:pPr>
              <w:widowControl/>
              <w:jc w:val="left"/>
              <w:rPr>
                <w:rFonts w:hint="eastAsia" w:ascii="宋体" w:hAnsi="宋体" w:eastAsia="宋体" w:cs="Segoe UI"/>
                <w:szCs w:val="21"/>
              </w:rPr>
            </w:pPr>
            <w:r>
              <w:rPr>
                <w:rFonts w:hint="eastAsia" w:ascii="宋体" w:hAnsi="宋体" w:eastAsia="宋体" w:cs="Segoe UI"/>
                <w:szCs w:val="21"/>
              </w:rPr>
              <w:t>了解废物利用和创意制作的基本方法。通过实际操作，提高废物利用能力和创意表达能力。培养学生的创新意识和环保意识。</w:t>
            </w:r>
          </w:p>
        </w:tc>
        <w:tc>
          <w:tcPr>
            <w:tcW w:w="1560" w:type="dxa"/>
            <w:vAlign w:val="center"/>
          </w:tcPr>
          <w:p w14:paraId="7164C0A3">
            <w:pPr>
              <w:spacing w:line="269" w:lineRule="auto"/>
              <w:rPr>
                <w:rFonts w:hint="eastAsia" w:ascii="宋体" w:hAnsi="宋体" w:eastAsia="宋体" w:cs="Times New Roman"/>
                <w:szCs w:val="21"/>
              </w:rPr>
            </w:pPr>
            <w:r>
              <w:rPr>
                <w:rFonts w:hint="eastAsia" w:ascii="宋体" w:hAnsi="宋体" w:eastAsia="宋体" w:cs="Times New Roman"/>
                <w:szCs w:val="21"/>
              </w:rPr>
              <w:t>1.课堂实践</w:t>
            </w:r>
          </w:p>
          <w:p w14:paraId="413F2F97">
            <w:pPr>
              <w:spacing w:line="269" w:lineRule="auto"/>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30118FCB">
            <w:pPr>
              <w:spacing w:line="269"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6783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4ABACC92">
            <w:pPr>
              <w:spacing w:line="264" w:lineRule="auto"/>
              <w:jc w:val="center"/>
              <w:rPr>
                <w:rFonts w:hint="eastAsia" w:ascii="宋体" w:hAnsi="宋体" w:eastAsia="宋体" w:cs="Times New Roman"/>
                <w:szCs w:val="21"/>
              </w:rPr>
            </w:pPr>
          </w:p>
        </w:tc>
        <w:tc>
          <w:tcPr>
            <w:tcW w:w="7809" w:type="dxa"/>
            <w:gridSpan w:val="5"/>
            <w:vAlign w:val="center"/>
          </w:tcPr>
          <w:p w14:paraId="7B46D5C0">
            <w:pPr>
              <w:spacing w:line="360" w:lineRule="auto"/>
              <w:jc w:val="left"/>
              <w:rPr>
                <w:rFonts w:hint="eastAsia" w:ascii="宋体" w:hAnsi="宋体" w:eastAsia="宋体" w:cs="宋体"/>
                <w:szCs w:val="21"/>
              </w:rPr>
            </w:pPr>
            <w:r>
              <w:rPr>
                <w:rFonts w:hint="eastAsia" w:ascii="宋体" w:hAnsi="宋体" w:eastAsia="宋体" w:cs="Times New Roman"/>
                <w:b/>
                <w:szCs w:val="21"/>
              </w:rPr>
              <w:t>课程思政目标：</w:t>
            </w:r>
            <w:r>
              <w:rPr>
                <w:rFonts w:hint="eastAsia" w:ascii="宋体" w:hAnsi="宋体" w:eastAsia="宋体" w:cs="Times New Roman"/>
                <w:szCs w:val="21"/>
              </w:rPr>
              <w:t>深刻领会“劳动创造美好生活”的真谛，进一步强化劳动观念、弘扬劳动精神、厚植劳动情怀、激发创新创造。</w:t>
            </w:r>
          </w:p>
        </w:tc>
      </w:tr>
      <w:tr w14:paraId="66E7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2DD62C40">
            <w:pPr>
              <w:jc w:val="center"/>
              <w:rPr>
                <w:rFonts w:hint="eastAsia" w:ascii="宋体" w:hAnsi="宋体" w:eastAsia="宋体" w:cs="Times New Roman"/>
                <w:szCs w:val="21"/>
              </w:rPr>
            </w:pPr>
            <w:r>
              <w:rPr>
                <w:rFonts w:hint="eastAsia" w:ascii="宋体" w:hAnsi="宋体" w:eastAsia="宋体" w:cs="Times New Roman"/>
                <w:szCs w:val="21"/>
              </w:rPr>
              <w:t>劳动实践2：</w:t>
            </w:r>
          </w:p>
          <w:p w14:paraId="0C6C62D4">
            <w:pPr>
              <w:spacing w:line="264" w:lineRule="auto"/>
              <w:jc w:val="center"/>
              <w:rPr>
                <w:rFonts w:hint="eastAsia" w:ascii="宋体" w:hAnsi="宋体" w:eastAsia="宋体" w:cs="Times New Roman"/>
                <w:szCs w:val="21"/>
              </w:rPr>
            </w:pPr>
            <w:r>
              <w:rPr>
                <w:rFonts w:hint="eastAsia" w:ascii="宋体" w:hAnsi="宋体" w:eastAsia="宋体" w:cs="宋体"/>
                <w:szCs w:val="21"/>
              </w:rPr>
              <w:t>儿童照护与急救知识汇报</w:t>
            </w:r>
          </w:p>
        </w:tc>
        <w:tc>
          <w:tcPr>
            <w:tcW w:w="2593" w:type="dxa"/>
            <w:vAlign w:val="center"/>
          </w:tcPr>
          <w:p w14:paraId="35180EBF">
            <w:pPr>
              <w:spacing w:line="269" w:lineRule="auto"/>
              <w:jc w:val="both"/>
              <w:rPr>
                <w:rFonts w:hint="eastAsia" w:ascii="宋体" w:hAnsi="宋体" w:eastAsia="宋体" w:cs="Times New Roman"/>
                <w:szCs w:val="21"/>
              </w:rPr>
            </w:pPr>
            <w:r>
              <w:rPr>
                <w:rFonts w:hint="eastAsia" w:ascii="宋体" w:hAnsi="宋体" w:eastAsia="宋体" w:cs="Times New Roman"/>
                <w:szCs w:val="21"/>
              </w:rPr>
              <w:t>每组选择儿童照护和儿童急救两个主题制作PPT，儿童照护PPT展示（分工安排情况、内容讲解、现场演绎具体情境），儿童急救展示形式，小剧场式演绎（3分钟）（可以运用道具）。</w:t>
            </w:r>
          </w:p>
        </w:tc>
        <w:tc>
          <w:tcPr>
            <w:tcW w:w="1153" w:type="dxa"/>
            <w:vAlign w:val="center"/>
          </w:tcPr>
          <w:p w14:paraId="76FA83E9">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065" w:type="dxa"/>
            <w:vAlign w:val="center"/>
          </w:tcPr>
          <w:p w14:paraId="03A36946">
            <w:pPr>
              <w:widowControl/>
              <w:jc w:val="left"/>
              <w:rPr>
                <w:rFonts w:hint="eastAsia" w:ascii="宋体" w:hAnsi="宋体" w:eastAsia="宋体" w:cs="Segoe UI"/>
                <w:szCs w:val="21"/>
              </w:rPr>
            </w:pPr>
            <w:r>
              <w:rPr>
                <w:rFonts w:hint="eastAsia" w:ascii="宋体" w:hAnsi="宋体" w:eastAsia="宋体" w:cs="Segoe UI"/>
                <w:szCs w:val="21"/>
              </w:rPr>
              <w:t>掌握儿童照护和急救的基本知识。能够运用所学知识解决实际问题。</w:t>
            </w:r>
          </w:p>
        </w:tc>
        <w:tc>
          <w:tcPr>
            <w:tcW w:w="1560" w:type="dxa"/>
            <w:vAlign w:val="center"/>
          </w:tcPr>
          <w:p w14:paraId="2F0A5E00">
            <w:pPr>
              <w:spacing w:line="269" w:lineRule="auto"/>
              <w:rPr>
                <w:rFonts w:hint="eastAsia" w:ascii="宋体" w:hAnsi="宋体" w:eastAsia="宋体" w:cs="Times New Roman"/>
                <w:szCs w:val="21"/>
              </w:rPr>
            </w:pPr>
            <w:r>
              <w:rPr>
                <w:rFonts w:hint="eastAsia" w:ascii="宋体" w:hAnsi="宋体" w:eastAsia="宋体" w:cs="Times New Roman"/>
                <w:szCs w:val="21"/>
              </w:rPr>
              <w:t>1.课堂实践</w:t>
            </w:r>
          </w:p>
          <w:p w14:paraId="3BC4E8FD">
            <w:pPr>
              <w:spacing w:line="269" w:lineRule="auto"/>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0C2AF43A">
            <w:pPr>
              <w:spacing w:line="269"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17EA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6D2FA4F4">
            <w:pPr>
              <w:spacing w:line="264" w:lineRule="auto"/>
              <w:jc w:val="center"/>
              <w:rPr>
                <w:rFonts w:hint="eastAsia" w:ascii="宋体" w:hAnsi="宋体" w:eastAsia="宋体" w:cs="Times New Roman"/>
                <w:szCs w:val="21"/>
              </w:rPr>
            </w:pPr>
          </w:p>
        </w:tc>
        <w:tc>
          <w:tcPr>
            <w:tcW w:w="7809" w:type="dxa"/>
            <w:gridSpan w:val="5"/>
            <w:vAlign w:val="center"/>
          </w:tcPr>
          <w:p w14:paraId="57D816AE">
            <w:pPr>
              <w:spacing w:line="360" w:lineRule="auto"/>
              <w:rPr>
                <w:rFonts w:hint="eastAsia" w:ascii="宋体" w:hAnsi="宋体" w:eastAsia="宋体" w:cs="宋体"/>
                <w:szCs w:val="21"/>
              </w:rPr>
            </w:pPr>
            <w:bookmarkStart w:id="77" w:name="_Toc19099"/>
            <w:bookmarkStart w:id="78" w:name="_Toc20927"/>
            <w:bookmarkStart w:id="79" w:name="_Toc1098"/>
            <w:bookmarkStart w:id="80" w:name="_Toc17684"/>
            <w:bookmarkStart w:id="81" w:name="_Toc20050"/>
            <w:bookmarkStart w:id="82" w:name="_Toc12375"/>
            <w:bookmarkStart w:id="83" w:name="_Toc31126"/>
            <w:bookmarkStart w:id="84" w:name="_Toc25059"/>
            <w:r>
              <w:rPr>
                <w:rFonts w:hint="eastAsia" w:ascii="宋体" w:hAnsi="宋体" w:eastAsia="宋体" w:cs="Times New Roman"/>
                <w:b/>
                <w:szCs w:val="21"/>
              </w:rPr>
              <w:t>课程思政目标：</w:t>
            </w:r>
            <w:bookmarkStart w:id="85" w:name="_Toc1066"/>
            <w:r>
              <w:rPr>
                <w:rFonts w:hint="eastAsia" w:ascii="宋体" w:hAnsi="宋体" w:eastAsia="宋体" w:cs="Times New Roman"/>
                <w:szCs w:val="21"/>
              </w:rPr>
              <w:t>具有新时代大学生劳动知识和能力。</w:t>
            </w:r>
            <w:bookmarkEnd w:id="85"/>
            <w:r>
              <w:rPr>
                <w:rFonts w:hint="eastAsia" w:ascii="宋体" w:hAnsi="宋体" w:eastAsia="宋体" w:cs="Segoe UI"/>
                <w:szCs w:val="21"/>
              </w:rPr>
              <w:t>培养学生的社会责任感和爱心。</w:t>
            </w:r>
            <w:bookmarkEnd w:id="77"/>
            <w:bookmarkEnd w:id="78"/>
            <w:bookmarkEnd w:id="79"/>
            <w:bookmarkEnd w:id="80"/>
            <w:bookmarkEnd w:id="81"/>
            <w:bookmarkEnd w:id="82"/>
            <w:bookmarkEnd w:id="83"/>
            <w:bookmarkEnd w:id="84"/>
          </w:p>
        </w:tc>
      </w:tr>
      <w:tr w14:paraId="2729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2CEE84E0">
            <w:pPr>
              <w:jc w:val="center"/>
              <w:rPr>
                <w:rFonts w:hint="eastAsia" w:ascii="宋体" w:hAnsi="宋体" w:eastAsia="宋体" w:cs="Times New Roman"/>
                <w:szCs w:val="21"/>
              </w:rPr>
            </w:pPr>
            <w:r>
              <w:rPr>
                <w:rFonts w:hint="eastAsia" w:ascii="宋体" w:hAnsi="宋体" w:eastAsia="宋体" w:cs="Times New Roman"/>
                <w:szCs w:val="21"/>
              </w:rPr>
              <w:t>劳动实践3：</w:t>
            </w:r>
          </w:p>
          <w:p w14:paraId="3776EAB5">
            <w:pPr>
              <w:jc w:val="center"/>
              <w:rPr>
                <w:rFonts w:hint="eastAsia" w:ascii="宋体" w:hAnsi="宋体" w:eastAsia="宋体" w:cs="Times New Roman"/>
                <w:szCs w:val="21"/>
              </w:rPr>
            </w:pPr>
            <w:r>
              <w:rPr>
                <w:rFonts w:hint="eastAsia" w:ascii="宋体" w:hAnsi="宋体" w:eastAsia="宋体" w:cs="宋体"/>
                <w:szCs w:val="21"/>
              </w:rPr>
              <w:t>劳模故事情景剧创作与演绎</w:t>
            </w:r>
          </w:p>
        </w:tc>
        <w:tc>
          <w:tcPr>
            <w:tcW w:w="2593" w:type="dxa"/>
            <w:vAlign w:val="center"/>
          </w:tcPr>
          <w:p w14:paraId="6816FA64">
            <w:pPr>
              <w:spacing w:line="276" w:lineRule="auto"/>
              <w:jc w:val="both"/>
              <w:rPr>
                <w:rFonts w:hint="eastAsia" w:ascii="宋体" w:hAnsi="宋体" w:eastAsia="宋体" w:cs="Times New Roman"/>
                <w:szCs w:val="21"/>
              </w:rPr>
            </w:pPr>
            <w:r>
              <w:rPr>
                <w:rFonts w:hint="eastAsia" w:ascii="宋体" w:hAnsi="宋体" w:eastAsia="宋体" w:cs="Times New Roman"/>
                <w:szCs w:val="21"/>
              </w:rPr>
              <w:t>以小组单位，以“劳动精神”为主题，根据某位真实存在的劳动者事迹为原型而改编，进行情景剧视频创作。</w:t>
            </w:r>
          </w:p>
        </w:tc>
        <w:tc>
          <w:tcPr>
            <w:tcW w:w="1153" w:type="dxa"/>
            <w:vAlign w:val="center"/>
          </w:tcPr>
          <w:p w14:paraId="5490C9F5">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065" w:type="dxa"/>
            <w:vAlign w:val="center"/>
          </w:tcPr>
          <w:p w14:paraId="51A0B0F7">
            <w:pPr>
              <w:widowControl/>
              <w:jc w:val="left"/>
              <w:rPr>
                <w:rFonts w:hint="eastAsia" w:ascii="宋体" w:hAnsi="宋体" w:eastAsia="宋体" w:cs="Segoe UI"/>
                <w:szCs w:val="21"/>
              </w:rPr>
            </w:pPr>
            <w:r>
              <w:rPr>
                <w:rFonts w:hint="eastAsia" w:ascii="宋体" w:hAnsi="宋体" w:eastAsia="宋体" w:cs="Segoe UI"/>
                <w:szCs w:val="21"/>
              </w:rPr>
              <w:t>了解劳模事迹和劳动精神。掌握情景剧创作和演绎的基本技巧。弘扬劳动精神，培养学生的敬业精神。</w:t>
            </w:r>
          </w:p>
        </w:tc>
        <w:tc>
          <w:tcPr>
            <w:tcW w:w="1560" w:type="dxa"/>
            <w:vAlign w:val="center"/>
          </w:tcPr>
          <w:p w14:paraId="1CB1E254">
            <w:pPr>
              <w:spacing w:line="269" w:lineRule="auto"/>
              <w:rPr>
                <w:rFonts w:hint="eastAsia" w:ascii="宋体" w:hAnsi="宋体" w:eastAsia="宋体" w:cs="Times New Roman"/>
                <w:szCs w:val="21"/>
              </w:rPr>
            </w:pPr>
            <w:r>
              <w:rPr>
                <w:rFonts w:hint="eastAsia" w:ascii="宋体" w:hAnsi="宋体" w:eastAsia="宋体" w:cs="Times New Roman"/>
                <w:szCs w:val="21"/>
              </w:rPr>
              <w:t>1.课堂实践</w:t>
            </w:r>
          </w:p>
          <w:p w14:paraId="6F4467E3">
            <w:pPr>
              <w:spacing w:line="276" w:lineRule="auto"/>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2E525239">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491D4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6E81A9D8">
            <w:pPr>
              <w:spacing w:line="276" w:lineRule="auto"/>
              <w:jc w:val="center"/>
              <w:rPr>
                <w:rFonts w:hint="eastAsia" w:ascii="宋体" w:hAnsi="宋体" w:eastAsia="宋体" w:cs="Times New Roman"/>
                <w:szCs w:val="21"/>
              </w:rPr>
            </w:pPr>
          </w:p>
        </w:tc>
        <w:tc>
          <w:tcPr>
            <w:tcW w:w="7809" w:type="dxa"/>
            <w:gridSpan w:val="5"/>
            <w:vAlign w:val="center"/>
          </w:tcPr>
          <w:p w14:paraId="7F5DB608">
            <w:pPr>
              <w:spacing w:line="360" w:lineRule="auto"/>
              <w:rPr>
                <w:rFonts w:hint="eastAsia" w:ascii="宋体" w:hAnsi="宋体" w:eastAsia="宋体" w:cs="宋体"/>
                <w:szCs w:val="21"/>
              </w:rPr>
            </w:pPr>
            <w:r>
              <w:rPr>
                <w:rFonts w:hint="eastAsia" w:ascii="宋体" w:hAnsi="宋体" w:eastAsia="宋体" w:cs="Times New Roman"/>
                <w:b/>
                <w:szCs w:val="21"/>
              </w:rPr>
              <w:t>课程思政目标：</w:t>
            </w:r>
            <w:r>
              <w:rPr>
                <w:rFonts w:hint="eastAsia" w:ascii="宋体" w:hAnsi="宋体" w:eastAsia="宋体" w:cs="宋体"/>
                <w:szCs w:val="21"/>
              </w:rPr>
              <w:t>树立科学的就业观和职业观，感受劳动创造价值，增强产品质量意识，体会平凡劳动中的伟大。</w:t>
            </w:r>
          </w:p>
        </w:tc>
      </w:tr>
      <w:tr w14:paraId="1169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0330C2C5">
            <w:pPr>
              <w:jc w:val="center"/>
              <w:rPr>
                <w:rFonts w:hint="eastAsia" w:ascii="宋体" w:hAnsi="宋体" w:eastAsia="宋体" w:cs="Times New Roman"/>
                <w:szCs w:val="21"/>
              </w:rPr>
            </w:pPr>
            <w:r>
              <w:rPr>
                <w:rFonts w:hint="eastAsia" w:ascii="宋体" w:hAnsi="宋体" w:eastAsia="宋体" w:cs="Times New Roman"/>
                <w:szCs w:val="21"/>
              </w:rPr>
              <w:t>技能实操2：</w:t>
            </w:r>
          </w:p>
          <w:p w14:paraId="08A9EEA1">
            <w:pPr>
              <w:spacing w:line="276" w:lineRule="auto"/>
              <w:jc w:val="center"/>
              <w:rPr>
                <w:rFonts w:hint="eastAsia" w:ascii="宋体" w:hAnsi="宋体" w:eastAsia="宋体" w:cs="宋体"/>
                <w:szCs w:val="21"/>
              </w:rPr>
            </w:pPr>
            <w:r>
              <w:rPr>
                <w:rFonts w:hint="eastAsia" w:ascii="宋体" w:hAnsi="宋体" w:eastAsia="宋体" w:cs="宋体"/>
                <w:szCs w:val="21"/>
              </w:rPr>
              <w:t>小学学科</w:t>
            </w:r>
          </w:p>
          <w:p w14:paraId="00ACB2D2">
            <w:pPr>
              <w:spacing w:line="276" w:lineRule="auto"/>
              <w:jc w:val="center"/>
              <w:rPr>
                <w:rFonts w:hint="eastAsia" w:ascii="宋体" w:hAnsi="宋体" w:eastAsia="宋体" w:cs="Times New Roman"/>
                <w:szCs w:val="21"/>
              </w:rPr>
            </w:pPr>
            <w:r>
              <w:rPr>
                <w:rFonts w:hint="eastAsia" w:ascii="宋体" w:hAnsi="宋体" w:eastAsia="宋体" w:cs="宋体"/>
                <w:szCs w:val="21"/>
              </w:rPr>
              <w:t>教具制作</w:t>
            </w:r>
          </w:p>
        </w:tc>
        <w:tc>
          <w:tcPr>
            <w:tcW w:w="2593" w:type="dxa"/>
            <w:vAlign w:val="center"/>
          </w:tcPr>
          <w:p w14:paraId="7C54DF0E">
            <w:pPr>
              <w:jc w:val="both"/>
              <w:rPr>
                <w:rFonts w:hint="eastAsia" w:ascii="宋体" w:hAnsi="宋体" w:eastAsia="宋体" w:cs="Times New Roman"/>
                <w:szCs w:val="21"/>
              </w:rPr>
            </w:pPr>
            <w:r>
              <w:rPr>
                <w:rFonts w:hint="eastAsia" w:ascii="宋体" w:hAnsi="宋体" w:eastAsia="宋体" w:cs="Times New Roman"/>
                <w:szCs w:val="21"/>
              </w:rPr>
              <w:t>提前准备材料，现场制作小学教具，并进行展示实物展示（设计意图、制作过程、所用材料和玩法、具体课堂使用情境、分工安排情况）。记录制作过程，课后把制作过程形成总结报告形式。</w:t>
            </w:r>
          </w:p>
        </w:tc>
        <w:tc>
          <w:tcPr>
            <w:tcW w:w="1153" w:type="dxa"/>
            <w:vAlign w:val="center"/>
          </w:tcPr>
          <w:p w14:paraId="5EFE18D6">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065" w:type="dxa"/>
            <w:vAlign w:val="center"/>
          </w:tcPr>
          <w:p w14:paraId="550BA108">
            <w:pPr>
              <w:widowControl/>
              <w:jc w:val="left"/>
              <w:rPr>
                <w:rFonts w:hint="eastAsia" w:ascii="宋体" w:hAnsi="宋体" w:eastAsia="宋体" w:cs="Segoe UI"/>
                <w:szCs w:val="21"/>
              </w:rPr>
            </w:pPr>
            <w:r>
              <w:rPr>
                <w:rFonts w:hint="eastAsia" w:ascii="宋体" w:hAnsi="宋体" w:eastAsia="宋体" w:cs="Segoe UI"/>
                <w:szCs w:val="21"/>
              </w:rPr>
              <w:t>了解小学学科教具的基本类型和制作原理。掌握教具制作的基本技巧和方法。培养学生的创新意识和实践能力。</w:t>
            </w:r>
          </w:p>
        </w:tc>
        <w:tc>
          <w:tcPr>
            <w:tcW w:w="1560" w:type="dxa"/>
            <w:vAlign w:val="center"/>
          </w:tcPr>
          <w:p w14:paraId="3A2DA133">
            <w:pPr>
              <w:spacing w:line="269" w:lineRule="auto"/>
              <w:rPr>
                <w:rFonts w:hint="eastAsia" w:ascii="宋体" w:hAnsi="宋体" w:eastAsia="宋体" w:cs="Times New Roman"/>
                <w:szCs w:val="21"/>
              </w:rPr>
            </w:pPr>
            <w:r>
              <w:rPr>
                <w:rFonts w:hint="eastAsia" w:ascii="宋体" w:hAnsi="宋体" w:eastAsia="宋体" w:cs="Times New Roman"/>
                <w:szCs w:val="21"/>
              </w:rPr>
              <w:t>1.课堂实践</w:t>
            </w:r>
          </w:p>
          <w:p w14:paraId="038DED95">
            <w:pPr>
              <w:spacing w:line="276" w:lineRule="auto"/>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76E02E9D">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0911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489" w:type="dxa"/>
            <w:vMerge w:val="continue"/>
            <w:vAlign w:val="center"/>
          </w:tcPr>
          <w:p w14:paraId="0BF4EF35">
            <w:pPr>
              <w:spacing w:line="276" w:lineRule="auto"/>
              <w:jc w:val="center"/>
              <w:rPr>
                <w:rFonts w:hint="eastAsia" w:ascii="宋体" w:hAnsi="宋体" w:eastAsia="宋体" w:cs="Times New Roman"/>
                <w:szCs w:val="21"/>
              </w:rPr>
            </w:pPr>
          </w:p>
        </w:tc>
        <w:tc>
          <w:tcPr>
            <w:tcW w:w="7809" w:type="dxa"/>
            <w:gridSpan w:val="5"/>
            <w:vAlign w:val="center"/>
          </w:tcPr>
          <w:p w14:paraId="4E896C6A">
            <w:pPr>
              <w:spacing w:line="360" w:lineRule="auto"/>
              <w:rPr>
                <w:rFonts w:hint="eastAsia" w:ascii="宋体" w:hAnsi="宋体" w:eastAsia="宋体" w:cs="宋体"/>
                <w:szCs w:val="21"/>
              </w:rPr>
            </w:pPr>
            <w:r>
              <w:rPr>
                <w:rFonts w:hint="eastAsia" w:ascii="宋体" w:hAnsi="宋体" w:eastAsia="宋体" w:cs="Times New Roman"/>
                <w:b/>
                <w:szCs w:val="21"/>
              </w:rPr>
              <w:t>课程思政目标：</w:t>
            </w:r>
            <w:r>
              <w:rPr>
                <w:rFonts w:hint="eastAsia" w:ascii="宋体" w:hAnsi="宋体" w:eastAsia="宋体" w:cs="Times New Roman"/>
                <w:szCs w:val="21"/>
              </w:rPr>
              <w:t>增强对劳动创造性价值的认同，深刻领会“劳动创造美好生活”的真谛。</w:t>
            </w:r>
          </w:p>
        </w:tc>
      </w:tr>
      <w:tr w14:paraId="2F07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6D252835">
            <w:pPr>
              <w:jc w:val="center"/>
              <w:rPr>
                <w:rFonts w:hint="eastAsia" w:ascii="宋体" w:hAnsi="宋体" w:eastAsia="宋体" w:cs="Times New Roman"/>
                <w:szCs w:val="21"/>
              </w:rPr>
            </w:pPr>
            <w:r>
              <w:rPr>
                <w:rFonts w:hint="eastAsia" w:ascii="宋体" w:hAnsi="宋体" w:eastAsia="宋体" w:cs="Times New Roman"/>
                <w:szCs w:val="21"/>
              </w:rPr>
              <w:t>劳动实践4:</w:t>
            </w:r>
          </w:p>
          <w:p w14:paraId="4D53FE24">
            <w:pPr>
              <w:spacing w:line="276" w:lineRule="auto"/>
              <w:jc w:val="center"/>
              <w:rPr>
                <w:rFonts w:hint="eastAsia" w:ascii="宋体" w:hAnsi="宋体" w:eastAsia="宋体" w:cs="Times New Roman"/>
                <w:szCs w:val="21"/>
              </w:rPr>
            </w:pPr>
            <w:r>
              <w:rPr>
                <w:rFonts w:hint="eastAsia" w:ascii="宋体" w:hAnsi="宋体" w:eastAsia="宋体" w:cs="Times New Roman"/>
                <w:szCs w:val="21"/>
              </w:rPr>
              <w:t>劳动教育</w:t>
            </w:r>
          </w:p>
          <w:p w14:paraId="45845BA2">
            <w:pPr>
              <w:spacing w:line="276" w:lineRule="auto"/>
              <w:jc w:val="center"/>
              <w:rPr>
                <w:rFonts w:hint="eastAsia" w:ascii="宋体" w:hAnsi="宋体" w:eastAsia="宋体" w:cs="Times New Roman"/>
                <w:szCs w:val="21"/>
              </w:rPr>
            </w:pPr>
            <w:r>
              <w:rPr>
                <w:rFonts w:hint="eastAsia" w:ascii="宋体" w:hAnsi="宋体" w:eastAsia="宋体" w:cs="Times New Roman"/>
                <w:szCs w:val="21"/>
              </w:rPr>
              <w:t>大讨论</w:t>
            </w:r>
          </w:p>
        </w:tc>
        <w:tc>
          <w:tcPr>
            <w:tcW w:w="2593" w:type="dxa"/>
            <w:vAlign w:val="center"/>
          </w:tcPr>
          <w:p w14:paraId="01BC42BA">
            <w:pPr>
              <w:spacing w:line="276" w:lineRule="auto"/>
              <w:jc w:val="both"/>
              <w:rPr>
                <w:rFonts w:hint="eastAsia" w:ascii="宋体" w:hAnsi="宋体" w:eastAsia="宋体" w:cs="Times New Roman"/>
                <w:szCs w:val="21"/>
              </w:rPr>
            </w:pPr>
            <w:r>
              <w:rPr>
                <w:rFonts w:hint="eastAsia" w:ascii="宋体" w:hAnsi="宋体" w:eastAsia="宋体" w:cs="Times New Roman"/>
                <w:szCs w:val="21"/>
              </w:rPr>
              <w:t>学生分组抽取劳动相关的辩论题，进行辩论与点评。</w:t>
            </w:r>
          </w:p>
        </w:tc>
        <w:tc>
          <w:tcPr>
            <w:tcW w:w="1153" w:type="dxa"/>
            <w:vAlign w:val="center"/>
          </w:tcPr>
          <w:p w14:paraId="2E588A20">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065" w:type="dxa"/>
            <w:vAlign w:val="center"/>
          </w:tcPr>
          <w:p w14:paraId="15B7BC15">
            <w:pPr>
              <w:widowControl/>
              <w:jc w:val="left"/>
              <w:rPr>
                <w:rFonts w:hint="eastAsia" w:ascii="宋体" w:hAnsi="宋体" w:eastAsia="宋体" w:cs="Segoe UI"/>
                <w:szCs w:val="21"/>
              </w:rPr>
            </w:pPr>
            <w:r>
              <w:rPr>
                <w:rFonts w:hint="eastAsia" w:ascii="宋体" w:hAnsi="宋体" w:eastAsia="宋体" w:cs="Segoe UI"/>
                <w:szCs w:val="21"/>
              </w:rPr>
              <w:t>了解劳动教育的相关理论和实践案例。培养学生的批判性思维和辩论能力。</w:t>
            </w:r>
          </w:p>
        </w:tc>
        <w:tc>
          <w:tcPr>
            <w:tcW w:w="1560" w:type="dxa"/>
            <w:vAlign w:val="center"/>
          </w:tcPr>
          <w:p w14:paraId="44B71C90">
            <w:pPr>
              <w:spacing w:line="269" w:lineRule="auto"/>
              <w:rPr>
                <w:rFonts w:hint="eastAsia" w:ascii="宋体" w:hAnsi="宋体" w:eastAsia="宋体" w:cs="Times New Roman"/>
                <w:szCs w:val="21"/>
              </w:rPr>
            </w:pPr>
            <w:r>
              <w:rPr>
                <w:rFonts w:hint="eastAsia" w:ascii="宋体" w:hAnsi="宋体" w:eastAsia="宋体" w:cs="Times New Roman"/>
                <w:szCs w:val="21"/>
              </w:rPr>
              <w:t>1.课堂实践</w:t>
            </w:r>
          </w:p>
          <w:p w14:paraId="3FCF9D39">
            <w:pPr>
              <w:spacing w:line="276" w:lineRule="auto"/>
              <w:rPr>
                <w:rFonts w:hint="eastAsia" w:ascii="宋体" w:hAnsi="宋体" w:eastAsia="宋体" w:cs="Times New Roman"/>
                <w:szCs w:val="21"/>
              </w:rPr>
            </w:pPr>
            <w:r>
              <w:rPr>
                <w:rFonts w:hint="eastAsia" w:ascii="宋体" w:hAnsi="宋体" w:eastAsia="宋体" w:cs="Times New Roman"/>
                <w:szCs w:val="21"/>
              </w:rPr>
              <w:t>2.多媒体教学</w:t>
            </w:r>
          </w:p>
          <w:p w14:paraId="1ACF768A">
            <w:pPr>
              <w:spacing w:line="276" w:lineRule="auto"/>
              <w:rPr>
                <w:rFonts w:hint="eastAsia" w:ascii="宋体" w:hAnsi="宋体" w:eastAsia="宋体" w:cs="Times New Roman"/>
                <w:szCs w:val="21"/>
              </w:rPr>
            </w:pPr>
            <w:r>
              <w:rPr>
                <w:rFonts w:hint="eastAsia" w:ascii="宋体" w:hAnsi="宋体" w:eastAsia="宋体" w:cs="Times New Roman"/>
                <w:szCs w:val="21"/>
              </w:rPr>
              <w:t>3.课堂讨论</w:t>
            </w:r>
          </w:p>
        </w:tc>
        <w:tc>
          <w:tcPr>
            <w:tcW w:w="438" w:type="dxa"/>
            <w:vAlign w:val="center"/>
          </w:tcPr>
          <w:p w14:paraId="24035604">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74EE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4FF957AA">
            <w:pPr>
              <w:spacing w:line="276" w:lineRule="auto"/>
              <w:jc w:val="center"/>
              <w:rPr>
                <w:rFonts w:hint="eastAsia" w:ascii="宋体" w:hAnsi="宋体" w:eastAsia="宋体" w:cs="Times New Roman"/>
                <w:szCs w:val="21"/>
              </w:rPr>
            </w:pPr>
          </w:p>
        </w:tc>
        <w:tc>
          <w:tcPr>
            <w:tcW w:w="7809" w:type="dxa"/>
            <w:gridSpan w:val="5"/>
            <w:vAlign w:val="center"/>
          </w:tcPr>
          <w:p w14:paraId="2BA50647">
            <w:pPr>
              <w:spacing w:line="276" w:lineRule="auto"/>
              <w:rPr>
                <w:rFonts w:hint="eastAsia" w:ascii="宋体" w:hAnsi="宋体" w:eastAsia="宋体" w:cs="Times New Roman"/>
                <w:szCs w:val="21"/>
              </w:rPr>
            </w:pPr>
            <w:r>
              <w:rPr>
                <w:rFonts w:hint="eastAsia" w:ascii="宋体" w:hAnsi="宋体" w:eastAsia="宋体" w:cs="Times New Roman"/>
                <w:b/>
                <w:szCs w:val="21"/>
              </w:rPr>
              <w:t>课程思政目标：</w:t>
            </w:r>
            <w:bookmarkStart w:id="86" w:name="_Toc32680"/>
            <w:r>
              <w:rPr>
                <w:rFonts w:hint="eastAsia" w:ascii="宋体" w:hAnsi="宋体" w:eastAsia="宋体" w:cs="Times New Roman"/>
                <w:szCs w:val="21"/>
              </w:rPr>
              <w:t>培育新时代大学生劳动情怀。</w:t>
            </w:r>
            <w:bookmarkEnd w:id="86"/>
            <w:r>
              <w:rPr>
                <w:rFonts w:hint="eastAsia" w:ascii="宋体" w:hAnsi="宋体" w:eastAsia="宋体" w:cs="Segoe UI"/>
                <w:szCs w:val="21"/>
              </w:rPr>
              <w:t>引导学生树立正确的劳动观念，增强劳动意识。</w:t>
            </w:r>
          </w:p>
        </w:tc>
      </w:tr>
      <w:tr w14:paraId="4D88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7E8C8D73">
            <w:pPr>
              <w:jc w:val="center"/>
              <w:rPr>
                <w:rFonts w:hint="eastAsia" w:ascii="宋体" w:hAnsi="宋体" w:eastAsia="宋体" w:cs="Times New Roman"/>
                <w:szCs w:val="21"/>
              </w:rPr>
            </w:pPr>
            <w:r>
              <w:rPr>
                <w:rFonts w:hint="eastAsia" w:ascii="宋体" w:hAnsi="宋体" w:eastAsia="宋体" w:cs="Times New Roman"/>
                <w:szCs w:val="21"/>
              </w:rPr>
              <w:t>劳动实践5:</w:t>
            </w:r>
          </w:p>
          <w:p w14:paraId="711B6CBC">
            <w:pPr>
              <w:spacing w:line="276" w:lineRule="auto"/>
              <w:jc w:val="center"/>
              <w:rPr>
                <w:rFonts w:hint="eastAsia" w:ascii="宋体" w:hAnsi="宋体" w:eastAsia="宋体" w:cs="Times New Roman"/>
                <w:szCs w:val="21"/>
              </w:rPr>
            </w:pPr>
            <w:r>
              <w:rPr>
                <w:rFonts w:hint="eastAsia" w:ascii="宋体" w:hAnsi="宋体" w:eastAsia="宋体" w:cs="宋体"/>
                <w:szCs w:val="21"/>
              </w:rPr>
              <w:t>点心食品制作与记录</w:t>
            </w:r>
          </w:p>
        </w:tc>
        <w:tc>
          <w:tcPr>
            <w:tcW w:w="2593" w:type="dxa"/>
            <w:vAlign w:val="center"/>
          </w:tcPr>
          <w:p w14:paraId="44276128">
            <w:pPr>
              <w:spacing w:line="276" w:lineRule="auto"/>
              <w:jc w:val="center"/>
              <w:rPr>
                <w:rFonts w:hint="eastAsia" w:ascii="宋体" w:hAnsi="宋体" w:eastAsia="宋体" w:cs="Times New Roman"/>
                <w:szCs w:val="21"/>
              </w:rPr>
            </w:pPr>
            <w:r>
              <w:rPr>
                <w:rFonts w:hint="eastAsia" w:ascii="宋体" w:hAnsi="宋体" w:eastAsia="宋体" w:cs="Times New Roman"/>
                <w:szCs w:val="21"/>
              </w:rPr>
              <w:t>每组进行面点创意制作，在制作品尝面点结束后，以小组为单位制作食物宣传海报。（内容包括分工安排情况、制作过程和成果讲解、劳动心得等）。</w:t>
            </w:r>
          </w:p>
        </w:tc>
        <w:tc>
          <w:tcPr>
            <w:tcW w:w="1153" w:type="dxa"/>
            <w:vAlign w:val="center"/>
          </w:tcPr>
          <w:p w14:paraId="35C714EC">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065" w:type="dxa"/>
            <w:vAlign w:val="center"/>
          </w:tcPr>
          <w:p w14:paraId="317A6FF6">
            <w:pPr>
              <w:widowControl/>
              <w:jc w:val="left"/>
              <w:rPr>
                <w:rFonts w:hint="eastAsia" w:ascii="宋体" w:hAnsi="宋体" w:eastAsia="宋体" w:cs="Segoe UI"/>
                <w:szCs w:val="21"/>
              </w:rPr>
            </w:pPr>
            <w:r>
              <w:rPr>
                <w:rFonts w:hint="eastAsia" w:ascii="宋体" w:hAnsi="宋体" w:eastAsia="宋体" w:cs="Segoe UI"/>
                <w:szCs w:val="21"/>
              </w:rPr>
              <w:t>了解点心食品的基本制作方法和营养搭配。掌握点心食品制作的基本技巧。培养学生的动手能力和团队协作精神。</w:t>
            </w:r>
          </w:p>
        </w:tc>
        <w:tc>
          <w:tcPr>
            <w:tcW w:w="1560" w:type="dxa"/>
            <w:vAlign w:val="center"/>
          </w:tcPr>
          <w:p w14:paraId="4125FC1F">
            <w:pPr>
              <w:spacing w:line="269" w:lineRule="auto"/>
              <w:rPr>
                <w:rFonts w:hint="eastAsia" w:ascii="宋体" w:hAnsi="宋体" w:eastAsia="宋体" w:cs="Times New Roman"/>
                <w:szCs w:val="21"/>
              </w:rPr>
            </w:pPr>
            <w:r>
              <w:rPr>
                <w:rFonts w:hint="eastAsia" w:ascii="宋体" w:hAnsi="宋体" w:eastAsia="宋体" w:cs="Times New Roman"/>
                <w:szCs w:val="21"/>
              </w:rPr>
              <w:t>1.课堂实践</w:t>
            </w:r>
          </w:p>
          <w:p w14:paraId="6945FD3D">
            <w:pPr>
              <w:spacing w:line="276" w:lineRule="auto"/>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3D10EE0B">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1720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197FCD99">
            <w:pPr>
              <w:spacing w:line="276" w:lineRule="auto"/>
              <w:jc w:val="center"/>
              <w:rPr>
                <w:rFonts w:hint="eastAsia" w:ascii="宋体" w:hAnsi="宋体" w:eastAsia="宋体" w:cs="Times New Roman"/>
                <w:szCs w:val="21"/>
              </w:rPr>
            </w:pPr>
          </w:p>
        </w:tc>
        <w:tc>
          <w:tcPr>
            <w:tcW w:w="7809" w:type="dxa"/>
            <w:gridSpan w:val="5"/>
            <w:vAlign w:val="center"/>
          </w:tcPr>
          <w:p w14:paraId="56FF31A9">
            <w:pPr>
              <w:spacing w:line="276" w:lineRule="auto"/>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rPr>
              <w:t>热爱劳动、尊重劳动，养成良好的劳动习惯。</w:t>
            </w:r>
          </w:p>
        </w:tc>
      </w:tr>
      <w:tr w14:paraId="1F17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546EB916">
            <w:pPr>
              <w:spacing w:line="264" w:lineRule="auto"/>
              <w:jc w:val="center"/>
              <w:rPr>
                <w:rFonts w:ascii="宋体" w:hAnsi="宋体" w:eastAsia="宋体" w:cs="Segoe UI"/>
                <w:szCs w:val="21"/>
              </w:rPr>
            </w:pPr>
            <w:r>
              <w:rPr>
                <w:rFonts w:ascii="宋体" w:hAnsi="宋体" w:eastAsia="宋体" w:cs="Segoe UI"/>
                <w:szCs w:val="21"/>
              </w:rPr>
              <w:t>劳动实践6：植物种植与</w:t>
            </w:r>
          </w:p>
          <w:p w14:paraId="67326135">
            <w:pPr>
              <w:spacing w:line="264" w:lineRule="auto"/>
              <w:jc w:val="center"/>
              <w:rPr>
                <w:rFonts w:hint="eastAsia" w:ascii="宋体" w:hAnsi="宋体" w:eastAsia="宋体" w:cs="Times New Roman"/>
                <w:szCs w:val="21"/>
              </w:rPr>
            </w:pPr>
            <w:r>
              <w:rPr>
                <w:rFonts w:ascii="宋体" w:hAnsi="宋体" w:eastAsia="宋体" w:cs="Segoe UI"/>
                <w:szCs w:val="21"/>
              </w:rPr>
              <w:t>观察</w:t>
            </w:r>
          </w:p>
        </w:tc>
        <w:tc>
          <w:tcPr>
            <w:tcW w:w="2593" w:type="dxa"/>
            <w:vAlign w:val="center"/>
          </w:tcPr>
          <w:p w14:paraId="12C825C5">
            <w:pPr>
              <w:spacing w:line="264" w:lineRule="auto"/>
              <w:jc w:val="both"/>
              <w:rPr>
                <w:rFonts w:hint="eastAsia" w:ascii="宋体" w:hAnsi="宋体" w:eastAsia="宋体" w:cs="Times New Roman"/>
                <w:szCs w:val="21"/>
              </w:rPr>
            </w:pPr>
            <w:r>
              <w:rPr>
                <w:rFonts w:hint="eastAsia" w:ascii="宋体" w:hAnsi="宋体" w:eastAsia="宋体" w:cs="Times New Roman"/>
                <w:szCs w:val="21"/>
              </w:rPr>
              <w:t>教师讲解种植大蒜相关知识，各组完成一份大蒜调查报告和植物种植报告。</w:t>
            </w:r>
          </w:p>
        </w:tc>
        <w:tc>
          <w:tcPr>
            <w:tcW w:w="1153" w:type="dxa"/>
            <w:vAlign w:val="center"/>
          </w:tcPr>
          <w:p w14:paraId="235D9F2E">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065" w:type="dxa"/>
            <w:vAlign w:val="center"/>
          </w:tcPr>
          <w:p w14:paraId="59B06C6B">
            <w:pPr>
              <w:widowControl/>
              <w:jc w:val="left"/>
              <w:rPr>
                <w:rFonts w:hint="eastAsia" w:ascii="宋体" w:hAnsi="宋体" w:eastAsia="宋体" w:cs="Segoe UI"/>
                <w:szCs w:val="21"/>
              </w:rPr>
            </w:pPr>
            <w:r>
              <w:rPr>
                <w:rFonts w:hint="eastAsia" w:ascii="宋体" w:hAnsi="宋体" w:eastAsia="宋体" w:cs="Segoe UI"/>
                <w:szCs w:val="21"/>
              </w:rPr>
              <w:t>了解植物种植的基本知识和观察方法。掌握植物种植和观察的基本技巧。</w:t>
            </w:r>
          </w:p>
        </w:tc>
        <w:tc>
          <w:tcPr>
            <w:tcW w:w="1560" w:type="dxa"/>
            <w:vAlign w:val="center"/>
          </w:tcPr>
          <w:p w14:paraId="603C345D">
            <w:pPr>
              <w:spacing w:line="269" w:lineRule="auto"/>
              <w:rPr>
                <w:rFonts w:hint="eastAsia" w:ascii="宋体" w:hAnsi="宋体" w:eastAsia="宋体" w:cs="Times New Roman"/>
                <w:szCs w:val="21"/>
              </w:rPr>
            </w:pPr>
            <w:r>
              <w:rPr>
                <w:rFonts w:hint="eastAsia" w:ascii="宋体" w:hAnsi="宋体" w:eastAsia="宋体" w:cs="Times New Roman"/>
                <w:szCs w:val="21"/>
              </w:rPr>
              <w:t>1.课堂实践</w:t>
            </w:r>
          </w:p>
          <w:p w14:paraId="00B1B86B">
            <w:pPr>
              <w:spacing w:line="264" w:lineRule="auto"/>
              <w:rPr>
                <w:rFonts w:hint="eastAsia" w:ascii="宋体" w:hAnsi="宋体" w:eastAsia="宋体" w:cs="Times New Roman"/>
                <w:szCs w:val="21"/>
              </w:rPr>
            </w:pPr>
            <w:r>
              <w:rPr>
                <w:rFonts w:hint="eastAsia" w:ascii="宋体" w:hAnsi="宋体" w:eastAsia="宋体" w:cs="Times New Roman"/>
                <w:szCs w:val="21"/>
              </w:rPr>
              <w:t>2.多媒体教学</w:t>
            </w:r>
          </w:p>
          <w:p w14:paraId="3CFC922D">
            <w:pPr>
              <w:spacing w:line="264" w:lineRule="auto"/>
              <w:rPr>
                <w:rFonts w:hint="eastAsia" w:ascii="宋体" w:hAnsi="宋体" w:eastAsia="宋体" w:cs="Times New Roman"/>
                <w:szCs w:val="21"/>
              </w:rPr>
            </w:pPr>
            <w:r>
              <w:rPr>
                <w:rFonts w:hint="eastAsia" w:ascii="宋体" w:hAnsi="宋体" w:eastAsia="宋体" w:cs="Times New Roman"/>
                <w:szCs w:val="21"/>
              </w:rPr>
              <w:t>3.课堂讨论</w:t>
            </w:r>
          </w:p>
        </w:tc>
        <w:tc>
          <w:tcPr>
            <w:tcW w:w="438" w:type="dxa"/>
            <w:vAlign w:val="center"/>
          </w:tcPr>
          <w:p w14:paraId="40808FC1">
            <w:pPr>
              <w:spacing w:line="264"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02A70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6E6F5FAB">
            <w:pPr>
              <w:spacing w:line="264" w:lineRule="auto"/>
              <w:jc w:val="center"/>
              <w:rPr>
                <w:rFonts w:hint="eastAsia" w:ascii="宋体" w:hAnsi="宋体" w:eastAsia="宋体" w:cs="Times New Roman"/>
                <w:szCs w:val="21"/>
              </w:rPr>
            </w:pPr>
          </w:p>
        </w:tc>
        <w:tc>
          <w:tcPr>
            <w:tcW w:w="7809" w:type="dxa"/>
            <w:gridSpan w:val="5"/>
            <w:vAlign w:val="center"/>
          </w:tcPr>
          <w:p w14:paraId="41B61DEE">
            <w:pPr>
              <w:spacing w:line="264" w:lineRule="auto"/>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Segoe UI"/>
                <w:szCs w:val="21"/>
              </w:rPr>
              <w:t>培养学生的耐心和观察力，增强环保意识。</w:t>
            </w:r>
          </w:p>
        </w:tc>
      </w:tr>
    </w:tbl>
    <w:p w14:paraId="5C0CA7C9">
      <w:pPr>
        <w:spacing w:before="62" w:beforeLines="20" w:after="62" w:afterLines="20" w:line="360" w:lineRule="auto"/>
        <w:jc w:val="left"/>
        <w:rPr>
          <w:rFonts w:ascii="Times New Roman" w:hAnsi="Times New Roman" w:eastAsia="宋体" w:cs="Times New Roman"/>
          <w:b/>
          <w:sz w:val="24"/>
        </w:rPr>
      </w:pPr>
      <w:bookmarkStart w:id="87" w:name="_Toc3680"/>
      <w:bookmarkStart w:id="88" w:name="_Toc4783"/>
      <w:bookmarkStart w:id="89" w:name="_Toc9393"/>
      <w:bookmarkStart w:id="90" w:name="_Toc21349"/>
      <w:bookmarkStart w:id="91" w:name="_Toc21554"/>
      <w:bookmarkStart w:id="92" w:name="_Toc15656"/>
      <w:bookmarkStart w:id="93" w:name="_Toc26506"/>
      <w:r>
        <w:rPr>
          <w:rFonts w:hint="eastAsia" w:ascii="Times New Roman" w:hAnsi="Times New Roman" w:eastAsia="宋体" w:cs="Times New Roman"/>
          <w:b/>
          <w:sz w:val="24"/>
        </w:rPr>
        <w:t>四、目标评价与成绩评定</w:t>
      </w:r>
      <w:bookmarkEnd w:id="87"/>
      <w:bookmarkEnd w:id="88"/>
      <w:bookmarkEnd w:id="89"/>
      <w:bookmarkEnd w:id="90"/>
      <w:bookmarkEnd w:id="91"/>
      <w:bookmarkEnd w:id="92"/>
      <w:bookmarkEnd w:id="93"/>
    </w:p>
    <w:p w14:paraId="6C8D9F83">
      <w:pPr>
        <w:spacing w:line="360" w:lineRule="auto"/>
        <w:ind w:firstLine="422" w:firstLineChars="200"/>
        <w:jc w:val="left"/>
        <w:outlineLvl w:val="1"/>
        <w:rPr>
          <w:rFonts w:ascii="Times New Roman" w:hAnsi="Times New Roman" w:eastAsia="宋体" w:cs="Times New Roman"/>
          <w:b/>
          <w:szCs w:val="21"/>
        </w:rPr>
      </w:pPr>
      <w:bookmarkStart w:id="94" w:name="_Toc8781"/>
      <w:bookmarkStart w:id="95" w:name="_Toc8893"/>
      <w:r>
        <w:rPr>
          <w:rFonts w:hint="eastAsia" w:ascii="Times New Roman" w:hAnsi="Times New Roman" w:eastAsia="宋体" w:cs="Times New Roman"/>
          <w:b/>
          <w:szCs w:val="21"/>
        </w:rPr>
        <w:t>（一）课程目标评价方式</w:t>
      </w:r>
      <w:bookmarkEnd w:id="94"/>
      <w:bookmarkEnd w:id="95"/>
    </w:p>
    <w:p w14:paraId="102D5F1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871"/>
        <w:gridCol w:w="2126"/>
        <w:gridCol w:w="1843"/>
        <w:gridCol w:w="1559"/>
      </w:tblGrid>
      <w:tr w14:paraId="2B5DA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37A61B5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840" w:type="dxa"/>
            <w:gridSpan w:val="3"/>
            <w:vAlign w:val="center"/>
          </w:tcPr>
          <w:p w14:paraId="7A72FF70">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559" w:type="dxa"/>
            <w:vMerge w:val="restart"/>
            <w:vAlign w:val="center"/>
          </w:tcPr>
          <w:p w14:paraId="28BE660C">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3B5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42A9334A">
            <w:pPr>
              <w:spacing w:line="360" w:lineRule="auto"/>
              <w:jc w:val="center"/>
              <w:rPr>
                <w:rFonts w:hint="eastAsia" w:ascii="宋体" w:hAnsi="宋体" w:eastAsia="宋体" w:cs="Times New Roman"/>
                <w:szCs w:val="21"/>
              </w:rPr>
            </w:pPr>
          </w:p>
        </w:tc>
        <w:tc>
          <w:tcPr>
            <w:tcW w:w="1871" w:type="dxa"/>
            <w:vAlign w:val="center"/>
          </w:tcPr>
          <w:p w14:paraId="70217120">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平时成绩</w:t>
            </w:r>
          </w:p>
        </w:tc>
        <w:tc>
          <w:tcPr>
            <w:tcW w:w="2126" w:type="dxa"/>
            <w:vAlign w:val="center"/>
          </w:tcPr>
          <w:p w14:paraId="4DFDD142">
            <w:pPr>
              <w:spacing w:line="360" w:lineRule="auto"/>
              <w:jc w:val="center"/>
              <w:rPr>
                <w:rFonts w:hint="eastAsia" w:ascii="宋体" w:hAnsi="宋体" w:eastAsia="宋体" w:cs="Times New Roman"/>
                <w:szCs w:val="21"/>
              </w:rPr>
            </w:pPr>
            <w:r>
              <w:rPr>
                <w:rFonts w:hint="eastAsia" w:ascii="宋体" w:hAnsi="宋体" w:eastAsia="宋体" w:cs="Times New Roman"/>
                <w:szCs w:val="21"/>
              </w:rPr>
              <w:t>实践活动</w:t>
            </w:r>
          </w:p>
        </w:tc>
        <w:tc>
          <w:tcPr>
            <w:tcW w:w="1843" w:type="dxa"/>
            <w:vAlign w:val="center"/>
          </w:tcPr>
          <w:p w14:paraId="1D51BBE7">
            <w:pPr>
              <w:spacing w:line="360" w:lineRule="auto"/>
              <w:jc w:val="center"/>
              <w:rPr>
                <w:rFonts w:hint="eastAsia" w:ascii="宋体" w:hAnsi="宋体" w:eastAsia="宋体" w:cs="Times New Roman"/>
                <w:szCs w:val="21"/>
              </w:rPr>
            </w:pPr>
            <w:r>
              <w:rPr>
                <w:rFonts w:hint="eastAsia" w:ascii="宋体" w:hAnsi="宋体" w:eastAsia="宋体" w:cs="Times New Roman"/>
                <w:szCs w:val="21"/>
              </w:rPr>
              <w:t>技能实操</w:t>
            </w:r>
          </w:p>
        </w:tc>
        <w:tc>
          <w:tcPr>
            <w:tcW w:w="1559" w:type="dxa"/>
            <w:vMerge w:val="continue"/>
            <w:vAlign w:val="center"/>
          </w:tcPr>
          <w:p w14:paraId="63A2481C">
            <w:pPr>
              <w:spacing w:line="360" w:lineRule="auto"/>
              <w:jc w:val="center"/>
              <w:rPr>
                <w:rFonts w:hint="eastAsia" w:ascii="宋体" w:hAnsi="宋体" w:eastAsia="宋体" w:cs="Times New Roman"/>
                <w:szCs w:val="21"/>
              </w:rPr>
            </w:pPr>
          </w:p>
        </w:tc>
      </w:tr>
      <w:tr w14:paraId="2AED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C7347E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871" w:type="dxa"/>
            <w:vAlign w:val="center"/>
          </w:tcPr>
          <w:p w14:paraId="2D9AAA76">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p>
        </w:tc>
        <w:tc>
          <w:tcPr>
            <w:tcW w:w="2126" w:type="dxa"/>
            <w:vAlign w:val="center"/>
          </w:tcPr>
          <w:p w14:paraId="218A2B2A">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1843" w:type="dxa"/>
            <w:vAlign w:val="center"/>
          </w:tcPr>
          <w:p w14:paraId="4CA6A9DF">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c>
          <w:tcPr>
            <w:tcW w:w="1559" w:type="dxa"/>
            <w:vAlign w:val="center"/>
          </w:tcPr>
          <w:p w14:paraId="30CFB205">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3D12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8E7F11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871" w:type="dxa"/>
            <w:vAlign w:val="center"/>
          </w:tcPr>
          <w:p w14:paraId="251A02F6">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p>
        </w:tc>
        <w:tc>
          <w:tcPr>
            <w:tcW w:w="2126" w:type="dxa"/>
            <w:vAlign w:val="center"/>
          </w:tcPr>
          <w:p w14:paraId="71F062E4">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c>
          <w:tcPr>
            <w:tcW w:w="1843" w:type="dxa"/>
            <w:vAlign w:val="center"/>
          </w:tcPr>
          <w:p w14:paraId="2E0EC8A1">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c>
          <w:tcPr>
            <w:tcW w:w="1559" w:type="dxa"/>
            <w:vAlign w:val="center"/>
          </w:tcPr>
          <w:p w14:paraId="08338F73">
            <w:pPr>
              <w:spacing w:line="360" w:lineRule="auto"/>
              <w:jc w:val="center"/>
              <w:rPr>
                <w:rFonts w:hint="eastAsia" w:ascii="宋体" w:hAnsi="宋体" w:eastAsia="宋体" w:cs="Times New Roman"/>
                <w:szCs w:val="21"/>
              </w:rPr>
            </w:pPr>
            <w:r>
              <w:rPr>
                <w:rFonts w:hint="eastAsia" w:ascii="宋体" w:hAnsi="宋体" w:eastAsia="宋体" w:cs="Times New Roman"/>
                <w:szCs w:val="21"/>
              </w:rPr>
              <w:t>60</w:t>
            </w:r>
          </w:p>
        </w:tc>
      </w:tr>
      <w:tr w14:paraId="2FD6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892C862">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871" w:type="dxa"/>
            <w:vAlign w:val="center"/>
          </w:tcPr>
          <w:p w14:paraId="521E1425">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2126" w:type="dxa"/>
            <w:vAlign w:val="center"/>
          </w:tcPr>
          <w:p w14:paraId="66F7A049">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c>
          <w:tcPr>
            <w:tcW w:w="1843" w:type="dxa"/>
            <w:vAlign w:val="center"/>
          </w:tcPr>
          <w:p w14:paraId="44CD1059">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c>
          <w:tcPr>
            <w:tcW w:w="1559" w:type="dxa"/>
            <w:vAlign w:val="center"/>
          </w:tcPr>
          <w:p w14:paraId="09F8FB87">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473C8633">
      <w:pPr>
        <w:spacing w:before="156" w:beforeLines="50" w:line="360" w:lineRule="auto"/>
        <w:ind w:firstLine="422" w:firstLineChars="200"/>
        <w:jc w:val="left"/>
        <w:outlineLvl w:val="1"/>
        <w:rPr>
          <w:rFonts w:ascii="Times New Roman" w:hAnsi="Times New Roman" w:eastAsia="宋体" w:cs="Times New Roman"/>
          <w:b/>
          <w:szCs w:val="21"/>
        </w:rPr>
      </w:pPr>
      <w:bookmarkStart w:id="96" w:name="_Toc12305"/>
      <w:bookmarkStart w:id="97" w:name="_Toc13018"/>
      <w:r>
        <w:rPr>
          <w:rFonts w:hint="eastAsia" w:ascii="Times New Roman" w:hAnsi="Times New Roman" w:eastAsia="宋体" w:cs="Times New Roman"/>
          <w:b/>
          <w:szCs w:val="21"/>
        </w:rPr>
        <w:t>（二）成绩评定细则</w:t>
      </w:r>
      <w:bookmarkEnd w:id="96"/>
      <w:bookmarkEnd w:id="97"/>
    </w:p>
    <w:p w14:paraId="77F52FE3">
      <w:pPr>
        <w:spacing w:line="360" w:lineRule="auto"/>
        <w:ind w:firstLine="420" w:firstLineChars="200"/>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rPr>
        <w:t>各部分的评价方式和成绩评定的细则</w:t>
      </w:r>
      <w:r>
        <w:rPr>
          <w:rFonts w:hint="eastAsia" w:ascii="Times New Roman" w:hAnsi="Times New Roman" w:eastAsia="宋体" w:cs="Times New Roman"/>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6715"/>
        <w:gridCol w:w="638"/>
      </w:tblGrid>
      <w:tr w14:paraId="64E5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14:paraId="143AFDBF">
            <w:pPr>
              <w:jc w:val="center"/>
              <w:rPr>
                <w:rFonts w:hint="eastAsia" w:ascii="宋体" w:hAnsi="宋体" w:eastAsia="宋体" w:cs="Times New Roman"/>
                <w:b/>
                <w:bCs/>
                <w:szCs w:val="21"/>
              </w:rPr>
            </w:pPr>
            <w:r>
              <w:rPr>
                <w:rFonts w:hint="eastAsia" w:ascii="宋体" w:hAnsi="宋体" w:eastAsia="宋体" w:cs="Times New Roman"/>
                <w:b/>
                <w:bCs/>
                <w:szCs w:val="21"/>
              </w:rPr>
              <w:t>评价方式</w:t>
            </w:r>
          </w:p>
        </w:tc>
        <w:tc>
          <w:tcPr>
            <w:tcW w:w="6715" w:type="dxa"/>
            <w:vAlign w:val="center"/>
          </w:tcPr>
          <w:p w14:paraId="3625399E">
            <w:pPr>
              <w:jc w:val="center"/>
              <w:rPr>
                <w:rFonts w:hint="eastAsia" w:ascii="宋体" w:hAnsi="宋体" w:eastAsia="宋体" w:cs="Times New Roman"/>
                <w:b/>
                <w:bCs/>
                <w:szCs w:val="21"/>
              </w:rPr>
            </w:pPr>
            <w:r>
              <w:rPr>
                <w:rFonts w:hint="eastAsia" w:ascii="宋体" w:hAnsi="宋体" w:eastAsia="宋体" w:cs="Times New Roman"/>
                <w:b/>
                <w:bCs/>
                <w:szCs w:val="21"/>
              </w:rPr>
              <w:t>评定细则</w:t>
            </w:r>
          </w:p>
        </w:tc>
        <w:tc>
          <w:tcPr>
            <w:tcW w:w="0" w:type="auto"/>
            <w:vAlign w:val="center"/>
          </w:tcPr>
          <w:p w14:paraId="4D2022D6">
            <w:pPr>
              <w:jc w:val="center"/>
              <w:rPr>
                <w:rFonts w:hint="eastAsia" w:ascii="宋体" w:hAnsi="宋体" w:eastAsia="宋体" w:cs="Times New Roman"/>
                <w:b/>
                <w:bCs/>
                <w:szCs w:val="21"/>
              </w:rPr>
            </w:pPr>
            <w:r>
              <w:rPr>
                <w:rFonts w:hint="eastAsia" w:ascii="宋体" w:hAnsi="宋体" w:eastAsia="宋体" w:cs="Times New Roman"/>
                <w:b/>
                <w:bCs/>
                <w:szCs w:val="21"/>
              </w:rPr>
              <w:t>占比</w:t>
            </w:r>
          </w:p>
        </w:tc>
      </w:tr>
      <w:tr w14:paraId="5021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14:paraId="4BE1A8D5">
            <w:pPr>
              <w:rPr>
                <w:rFonts w:hint="eastAsia" w:ascii="宋体" w:hAnsi="宋体" w:eastAsia="宋体" w:cs="Times New Roman"/>
                <w:szCs w:val="21"/>
              </w:rPr>
            </w:pPr>
            <w:r>
              <w:rPr>
                <w:rFonts w:hint="eastAsia" w:ascii="宋体" w:hAnsi="宋体" w:eastAsia="宋体" w:cs="宋体"/>
                <w:szCs w:val="21"/>
              </w:rPr>
              <w:t>考勤记录</w:t>
            </w:r>
          </w:p>
        </w:tc>
        <w:tc>
          <w:tcPr>
            <w:tcW w:w="6715" w:type="dxa"/>
            <w:vAlign w:val="center"/>
          </w:tcPr>
          <w:p w14:paraId="2B16DC0E">
            <w:pPr>
              <w:spacing w:line="264" w:lineRule="auto"/>
              <w:jc w:val="left"/>
              <w:rPr>
                <w:rFonts w:hint="eastAsia" w:ascii="宋体" w:hAnsi="宋体" w:eastAsia="宋体" w:cs="宋体"/>
                <w:szCs w:val="21"/>
              </w:rPr>
            </w:pPr>
            <w:r>
              <w:rPr>
                <w:rFonts w:ascii="宋体" w:hAnsi="宋体" w:eastAsia="宋体" w:cs="宋体"/>
                <w:szCs w:val="21"/>
              </w:rPr>
              <w:t>1.考勤在平时成绩基础上扣分，旷课5分/次（旷课达2次，本课程考核不合格），病假事假提前报批任课教师或班主任不扣分，迟到、早退分别扣3分/次。</w:t>
            </w:r>
          </w:p>
          <w:p w14:paraId="2704D569">
            <w:pPr>
              <w:spacing w:line="264" w:lineRule="auto"/>
              <w:jc w:val="left"/>
              <w:rPr>
                <w:rFonts w:hint="eastAsia" w:ascii="宋体" w:hAnsi="宋体" w:eastAsia="宋体" w:cs="Times New Roman"/>
                <w:szCs w:val="21"/>
              </w:rPr>
            </w:pPr>
            <w:r>
              <w:rPr>
                <w:rFonts w:ascii="宋体" w:hAnsi="宋体" w:eastAsia="宋体" w:cs="宋体"/>
                <w:szCs w:val="21"/>
              </w:rPr>
              <w:t>2.平时成绩=课堂表现-考勤扣分。</w:t>
            </w:r>
          </w:p>
        </w:tc>
        <w:tc>
          <w:tcPr>
            <w:tcW w:w="0" w:type="auto"/>
            <w:vAlign w:val="center"/>
          </w:tcPr>
          <w:p w14:paraId="7F7BEC31">
            <w:pPr>
              <w:jc w:val="center"/>
              <w:rPr>
                <w:rFonts w:hint="eastAsia" w:ascii="宋体" w:hAnsi="宋体" w:eastAsia="宋体" w:cs="Times New Roman"/>
                <w:szCs w:val="21"/>
              </w:rPr>
            </w:pPr>
            <w:r>
              <w:rPr>
                <w:rFonts w:hint="eastAsia" w:ascii="宋体" w:hAnsi="宋体" w:eastAsia="宋体" w:cs="宋体"/>
                <w:szCs w:val="21"/>
              </w:rPr>
              <w:t>1</w:t>
            </w:r>
            <w:r>
              <w:rPr>
                <w:rFonts w:ascii="宋体" w:hAnsi="宋体" w:eastAsia="宋体" w:cs="宋体"/>
                <w:szCs w:val="21"/>
              </w:rPr>
              <w:t>0</w:t>
            </w:r>
            <w:r>
              <w:rPr>
                <w:rFonts w:hint="eastAsia" w:ascii="宋体" w:hAnsi="宋体" w:eastAsia="宋体" w:cs="宋体"/>
                <w:szCs w:val="21"/>
              </w:rPr>
              <w:t>%</w:t>
            </w:r>
          </w:p>
        </w:tc>
      </w:tr>
      <w:tr w14:paraId="0503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101" w:type="dxa"/>
            <w:vAlign w:val="center"/>
          </w:tcPr>
          <w:p w14:paraId="1DE9F4A1">
            <w:pPr>
              <w:rPr>
                <w:rFonts w:hint="eastAsia" w:ascii="宋体" w:hAnsi="宋体" w:eastAsia="宋体" w:cs="Times New Roman"/>
                <w:szCs w:val="21"/>
              </w:rPr>
            </w:pPr>
            <w:r>
              <w:rPr>
                <w:rFonts w:hint="eastAsia" w:ascii="宋体" w:hAnsi="宋体" w:eastAsia="宋体" w:cs="宋体"/>
                <w:szCs w:val="21"/>
              </w:rPr>
              <w:t>实践活动</w:t>
            </w:r>
          </w:p>
        </w:tc>
        <w:tc>
          <w:tcPr>
            <w:tcW w:w="6715" w:type="dxa"/>
            <w:vAlign w:val="center"/>
          </w:tcPr>
          <w:p w14:paraId="335A9111">
            <w:pPr>
              <w:rPr>
                <w:rFonts w:hint="eastAsia" w:ascii="宋体" w:hAnsi="宋体" w:eastAsia="宋体" w:cs="Times New Roman"/>
                <w:szCs w:val="21"/>
              </w:rPr>
            </w:pPr>
            <w:r>
              <w:rPr>
                <w:rFonts w:hint="eastAsia" w:ascii="宋体" w:hAnsi="宋体" w:eastAsia="宋体" w:cs="Times New Roman"/>
                <w:szCs w:val="21"/>
              </w:rPr>
              <w:t>1.主题鲜明且符合要求，能明确介绍成果的制作过程、展示使用情境（20分）</w:t>
            </w:r>
          </w:p>
          <w:p w14:paraId="347C0514">
            <w:pPr>
              <w:rPr>
                <w:rFonts w:hint="eastAsia" w:ascii="宋体" w:hAnsi="宋体" w:eastAsia="宋体" w:cs="Times New Roman"/>
                <w:szCs w:val="21"/>
              </w:rPr>
            </w:pPr>
            <w:r>
              <w:rPr>
                <w:rFonts w:hint="eastAsia" w:ascii="宋体" w:hAnsi="宋体" w:eastAsia="宋体" w:cs="Times New Roman"/>
                <w:szCs w:val="21"/>
              </w:rPr>
              <w:t>2.现场表达完整、流畅、得体、大方，能够自信且富有感染力（10分）</w:t>
            </w:r>
          </w:p>
          <w:p w14:paraId="14DBAA2F">
            <w:pPr>
              <w:widowControl/>
              <w:spacing w:line="264" w:lineRule="auto"/>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熟悉实践成果的制作与表达意图，具有一定现场应对能力（10分）</w:t>
            </w:r>
          </w:p>
          <w:p w14:paraId="4A1C7F5A">
            <w:pPr>
              <w:tabs>
                <w:tab w:val="left" w:pos="312"/>
              </w:tabs>
              <w:rPr>
                <w:rFonts w:hint="eastAsia" w:ascii="宋体" w:hAnsi="宋体" w:eastAsia="宋体" w:cs="Times New Roman"/>
                <w:szCs w:val="21"/>
              </w:rPr>
            </w:pPr>
            <w:r>
              <w:rPr>
                <w:rFonts w:hint="eastAsia" w:ascii="宋体" w:hAnsi="宋体" w:eastAsia="宋体" w:cs="Times New Roman"/>
                <w:szCs w:val="21"/>
              </w:rPr>
              <w:t>4.能客观地评价其他组作品，提出合理性建议（10分）</w:t>
            </w:r>
          </w:p>
          <w:p w14:paraId="424E74F7">
            <w:pPr>
              <w:spacing w:line="264" w:lineRule="auto"/>
              <w:jc w:val="left"/>
              <w:rPr>
                <w:rFonts w:hint="eastAsia" w:ascii="宋体" w:hAnsi="宋体" w:eastAsia="宋体" w:cs="Times New Roman"/>
                <w:szCs w:val="21"/>
              </w:rPr>
            </w:pPr>
            <w:r>
              <w:rPr>
                <w:rFonts w:hint="eastAsia" w:ascii="宋体" w:hAnsi="宋体" w:eastAsia="宋体" w:cs="Times New Roman"/>
                <w:szCs w:val="21"/>
              </w:rPr>
              <w:t>5.能对自己组的作品有客观的评价与反思（10分）</w:t>
            </w:r>
          </w:p>
          <w:p w14:paraId="56E9F654">
            <w:pPr>
              <w:tabs>
                <w:tab w:val="left" w:pos="312"/>
              </w:tabs>
              <w:rPr>
                <w:rFonts w:hint="eastAsia" w:ascii="宋体" w:hAnsi="宋体" w:eastAsia="宋体" w:cs="Times New Roman"/>
                <w:szCs w:val="21"/>
              </w:rPr>
            </w:pPr>
            <w:r>
              <w:rPr>
                <w:rFonts w:hint="eastAsia" w:ascii="宋体" w:hAnsi="宋体" w:eastAsia="宋体" w:cs="Times New Roman"/>
                <w:szCs w:val="21"/>
              </w:rPr>
              <w:t>6.按要求呈现成果制作过程与展示的各环节内容 (20分)</w:t>
            </w:r>
          </w:p>
          <w:p w14:paraId="689BE31C">
            <w:pPr>
              <w:spacing w:line="264" w:lineRule="auto"/>
              <w:jc w:val="left"/>
              <w:rPr>
                <w:rFonts w:hint="eastAsia" w:ascii="宋体" w:hAnsi="宋体" w:eastAsia="宋体" w:cs="Times New Roman"/>
                <w:szCs w:val="21"/>
              </w:rPr>
            </w:pPr>
            <w:r>
              <w:rPr>
                <w:rFonts w:hint="eastAsia" w:ascii="宋体" w:hAnsi="宋体" w:eastAsia="宋体" w:cs="Times New Roman"/>
                <w:szCs w:val="21"/>
              </w:rPr>
              <w:t>7.文本内容完整详略得当、形式多样、图片清晰、裁剪得当有一定逻辑性与得体性 (10分)</w:t>
            </w:r>
          </w:p>
          <w:p w14:paraId="3F6486E8">
            <w:pPr>
              <w:spacing w:line="264" w:lineRule="auto"/>
              <w:jc w:val="left"/>
              <w:rPr>
                <w:rFonts w:hint="eastAsia" w:ascii="宋体" w:hAnsi="宋体" w:eastAsia="宋体" w:cs="Times New Roman"/>
                <w:szCs w:val="21"/>
              </w:rPr>
            </w:pPr>
            <w:r>
              <w:rPr>
                <w:rFonts w:hint="eastAsia" w:ascii="宋体" w:hAnsi="宋体" w:eastAsia="宋体" w:cs="Times New Roman"/>
                <w:szCs w:val="21"/>
              </w:rPr>
              <w:t>8. 全员投入，分工合理，协作性高 (10 分)</w:t>
            </w:r>
          </w:p>
        </w:tc>
        <w:tc>
          <w:tcPr>
            <w:tcW w:w="0" w:type="auto"/>
            <w:vAlign w:val="center"/>
          </w:tcPr>
          <w:p w14:paraId="0E98550A">
            <w:pPr>
              <w:jc w:val="center"/>
              <w:rPr>
                <w:rFonts w:hint="eastAsia" w:ascii="宋体" w:hAnsi="宋体" w:eastAsia="宋体" w:cs="Times New Roman"/>
                <w:szCs w:val="21"/>
              </w:rPr>
            </w:pPr>
            <w:r>
              <w:rPr>
                <w:rFonts w:hint="eastAsia" w:ascii="宋体" w:hAnsi="宋体" w:eastAsia="宋体" w:cs="宋体"/>
                <w:szCs w:val="21"/>
              </w:rPr>
              <w:t>5</w:t>
            </w:r>
            <w:r>
              <w:rPr>
                <w:rFonts w:ascii="宋体" w:hAnsi="宋体" w:eastAsia="宋体" w:cs="宋体"/>
                <w:szCs w:val="21"/>
              </w:rPr>
              <w:t>0</w:t>
            </w:r>
            <w:r>
              <w:rPr>
                <w:rFonts w:hint="eastAsia" w:ascii="宋体" w:hAnsi="宋体" w:eastAsia="宋体" w:cs="宋体"/>
                <w:szCs w:val="21"/>
              </w:rPr>
              <w:t>%</w:t>
            </w:r>
          </w:p>
        </w:tc>
      </w:tr>
      <w:tr w14:paraId="79DE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101" w:type="dxa"/>
            <w:vAlign w:val="center"/>
          </w:tcPr>
          <w:p w14:paraId="64776D33">
            <w:pPr>
              <w:rPr>
                <w:rFonts w:hint="eastAsia" w:ascii="宋体" w:hAnsi="宋体" w:eastAsia="宋体" w:cs="Times New Roman"/>
                <w:szCs w:val="21"/>
              </w:rPr>
            </w:pPr>
            <w:r>
              <w:rPr>
                <w:rFonts w:hint="eastAsia" w:ascii="宋体" w:hAnsi="宋体" w:eastAsia="宋体" w:cs="宋体"/>
                <w:szCs w:val="21"/>
              </w:rPr>
              <w:t>技能实操</w:t>
            </w:r>
          </w:p>
        </w:tc>
        <w:tc>
          <w:tcPr>
            <w:tcW w:w="6715" w:type="dxa"/>
            <w:vAlign w:val="center"/>
          </w:tcPr>
          <w:p w14:paraId="54A53855">
            <w:pPr>
              <w:widowControl/>
              <w:spacing w:line="276" w:lineRule="auto"/>
              <w:ind w:firstLine="25" w:firstLineChars="12"/>
              <w:jc w:val="left"/>
              <w:rPr>
                <w:rFonts w:hint="eastAsia" w:ascii="宋体" w:hAnsi="宋体" w:eastAsia="宋体" w:cs="Segoe UI"/>
                <w:kern w:val="0"/>
                <w:szCs w:val="21"/>
              </w:rPr>
            </w:pPr>
            <w:r>
              <w:rPr>
                <w:rFonts w:ascii="宋体" w:hAnsi="宋体" w:eastAsia="宋体" w:cs="Segoe UI"/>
                <w:kern w:val="0"/>
                <w:szCs w:val="21"/>
              </w:rPr>
              <w:t>一、主题与制作过程（20分）</w:t>
            </w:r>
          </w:p>
          <w:p w14:paraId="616F09EA">
            <w:pPr>
              <w:widowControl/>
              <w:spacing w:line="276" w:lineRule="auto"/>
              <w:ind w:firstLine="420" w:firstLineChars="200"/>
              <w:jc w:val="left"/>
              <w:rPr>
                <w:rFonts w:hint="eastAsia" w:ascii="宋体" w:hAnsi="宋体" w:eastAsia="宋体" w:cs="微软雅黑"/>
                <w:b/>
                <w:bCs/>
                <w:kern w:val="0"/>
                <w:szCs w:val="21"/>
              </w:rPr>
            </w:pPr>
            <w:r>
              <w:rPr>
                <w:rFonts w:hint="eastAsia" w:ascii="宋体" w:hAnsi="宋体" w:eastAsia="宋体" w:cs="Segoe UI"/>
                <w:kern w:val="0"/>
                <w:szCs w:val="21"/>
              </w:rPr>
              <w:t>实操项目应紧密围绕大学生劳动教育的核心目标，如生活技能、生产实践、志愿服务等，主题明确，具有教育意义。能够详细阐述从项目策划、准备材料、实施步骤到成果完成的整个过程，步骤清晰，逻辑性强。能够结合实际生活或工作场景，展示实操成果的应用价值，说明其在提升个人劳动能力、团队协作等方面的作用。</w:t>
            </w:r>
          </w:p>
          <w:p w14:paraId="7BDC4B91">
            <w:pPr>
              <w:widowControl/>
              <w:numPr>
                <w:ilvl w:val="0"/>
                <w:numId w:val="11"/>
              </w:numPr>
              <w:spacing w:line="276" w:lineRule="auto"/>
              <w:ind w:left="-2" w:leftChars="-1" w:firstLine="0"/>
              <w:jc w:val="left"/>
              <w:rPr>
                <w:rFonts w:hint="eastAsia" w:ascii="宋体" w:hAnsi="宋体" w:eastAsia="宋体" w:cs="Segoe UI"/>
                <w:kern w:val="0"/>
                <w:szCs w:val="21"/>
              </w:rPr>
            </w:pPr>
            <w:r>
              <w:rPr>
                <w:rFonts w:ascii="宋体" w:hAnsi="宋体" w:eastAsia="宋体" w:cs="Segoe UI"/>
                <w:kern w:val="0"/>
                <w:szCs w:val="21"/>
              </w:rPr>
              <w:t>现场表达与应对能力（20分）</w:t>
            </w:r>
          </w:p>
          <w:p w14:paraId="4D4BF9A7">
            <w:pPr>
              <w:widowControl/>
              <w:spacing w:line="276" w:lineRule="auto"/>
              <w:ind w:firstLine="420" w:firstLineChars="200"/>
              <w:jc w:val="left"/>
              <w:rPr>
                <w:rFonts w:hint="eastAsia" w:ascii="宋体" w:hAnsi="宋体" w:eastAsia="宋体" w:cs="Segoe UI"/>
                <w:kern w:val="0"/>
                <w:szCs w:val="21"/>
              </w:rPr>
            </w:pPr>
            <w:r>
              <w:rPr>
                <w:rFonts w:hint="eastAsia" w:ascii="宋体" w:hAnsi="宋体" w:eastAsia="宋体" w:cs="Segoe UI"/>
                <w:kern w:val="0"/>
                <w:szCs w:val="21"/>
              </w:rPr>
              <w:t>现场讲解时，语言清晰、条理分明，能够完整表达实操项目的核心内容和亮点。表达时自信大方，能够吸引听众注意力，通过生动的语言和实例，增强表达的感染力。对项目内容有深入了解，能够自如回答评委或观众提出的问题，展现出良好的应变能力和专业素养。</w:t>
            </w:r>
          </w:p>
          <w:p w14:paraId="76B55ECC">
            <w:pPr>
              <w:widowControl/>
              <w:spacing w:line="276" w:lineRule="auto"/>
              <w:ind w:left="-2" w:leftChars="-1"/>
              <w:jc w:val="left"/>
              <w:rPr>
                <w:rFonts w:hint="eastAsia" w:ascii="宋体" w:hAnsi="宋体" w:eastAsia="宋体" w:cs="Segoe UI"/>
                <w:kern w:val="0"/>
                <w:szCs w:val="21"/>
              </w:rPr>
            </w:pPr>
            <w:r>
              <w:rPr>
                <w:rFonts w:ascii="宋体" w:hAnsi="宋体" w:eastAsia="宋体" w:cs="Segoe UI"/>
                <w:kern w:val="0"/>
                <w:szCs w:val="21"/>
              </w:rPr>
              <w:t>三、评价与建议（20分）</w:t>
            </w:r>
          </w:p>
          <w:p w14:paraId="27029DDD">
            <w:pPr>
              <w:widowControl/>
              <w:spacing w:line="276" w:lineRule="auto"/>
              <w:ind w:firstLine="420" w:firstLineChars="200"/>
              <w:jc w:val="left"/>
              <w:rPr>
                <w:rFonts w:hint="eastAsia" w:ascii="宋体" w:hAnsi="宋体" w:eastAsia="宋体" w:cs="Segoe UI"/>
                <w:kern w:val="0"/>
                <w:szCs w:val="21"/>
              </w:rPr>
            </w:pPr>
            <w:r>
              <w:rPr>
                <w:rFonts w:hint="eastAsia" w:ascii="宋体" w:hAnsi="宋体" w:eastAsia="宋体" w:cs="Segoe UI"/>
                <w:kern w:val="0"/>
                <w:szCs w:val="21"/>
              </w:rPr>
              <w:t>能够客观、公正地评价其他组的实操项目，指出其优点和不足，提出具有建设性的意见。</w:t>
            </w:r>
            <w:r>
              <w:rPr>
                <w:rFonts w:hint="eastAsia" w:ascii="等线" w:hAnsi="等线" w:eastAsia="等线" w:cs="微软雅黑"/>
                <w:kern w:val="0"/>
                <w:szCs w:val="21"/>
              </w:rPr>
              <w:t>自我反思与评价</w:t>
            </w:r>
            <w:r>
              <w:rPr>
                <w:rFonts w:hint="eastAsia" w:ascii="宋体" w:hAnsi="宋体" w:eastAsia="宋体" w:cs="Segoe UI"/>
                <w:kern w:val="0"/>
                <w:szCs w:val="21"/>
              </w:rPr>
              <w:t>：对本组的实操项目进行客观评价，总结成功经验，反思不足之处，提出改进措施。</w:t>
            </w:r>
          </w:p>
          <w:p w14:paraId="2A6EF48A">
            <w:pPr>
              <w:widowControl/>
              <w:spacing w:line="276" w:lineRule="auto"/>
              <w:jc w:val="left"/>
              <w:rPr>
                <w:rFonts w:hint="eastAsia" w:ascii="宋体" w:hAnsi="宋体" w:eastAsia="宋体" w:cs="Segoe UI"/>
                <w:kern w:val="0"/>
                <w:szCs w:val="21"/>
              </w:rPr>
            </w:pPr>
            <w:r>
              <w:rPr>
                <w:rFonts w:ascii="宋体" w:hAnsi="宋体" w:eastAsia="宋体" w:cs="Segoe UI"/>
                <w:kern w:val="0"/>
                <w:szCs w:val="21"/>
              </w:rPr>
              <w:t>四、成果展示与文本内容（20分）</w:t>
            </w:r>
          </w:p>
          <w:p w14:paraId="7DA81005">
            <w:pPr>
              <w:widowControl/>
              <w:spacing w:line="276" w:lineRule="auto"/>
              <w:ind w:firstLine="420" w:firstLineChars="200"/>
              <w:jc w:val="left"/>
              <w:rPr>
                <w:rFonts w:hint="eastAsia" w:ascii="宋体" w:hAnsi="宋体" w:eastAsia="宋体" w:cs="Segoe UI"/>
                <w:kern w:val="0"/>
                <w:szCs w:val="21"/>
              </w:rPr>
            </w:pPr>
            <w:r>
              <w:rPr>
                <w:rFonts w:hint="eastAsia" w:ascii="宋体" w:hAnsi="宋体" w:eastAsia="宋体" w:cs="Segoe UI"/>
                <w:kern w:val="0"/>
                <w:szCs w:val="21"/>
              </w:rPr>
              <w:t>按照课程要求，全面展示实操项目的策划、实施、成果及反思等各环节内容。文本内容应涵盖项目背景、目标、过程、成果、反思等方面，详略得当，重点突出。采用多种展示形式，如PPT、视频、实物等，图片清晰、裁剪得当，增强展示效果。</w:t>
            </w:r>
          </w:p>
          <w:p w14:paraId="337B915E">
            <w:pPr>
              <w:widowControl/>
              <w:spacing w:line="276" w:lineRule="auto"/>
              <w:ind w:left="-2" w:leftChars="-1"/>
              <w:jc w:val="left"/>
              <w:rPr>
                <w:rFonts w:hint="eastAsia" w:ascii="宋体" w:hAnsi="宋体" w:eastAsia="宋体" w:cs="Segoe UI"/>
                <w:kern w:val="0"/>
                <w:szCs w:val="21"/>
              </w:rPr>
            </w:pPr>
            <w:r>
              <w:rPr>
                <w:rFonts w:ascii="宋体" w:hAnsi="宋体" w:eastAsia="宋体" w:cs="Segoe UI"/>
                <w:kern w:val="0"/>
                <w:szCs w:val="21"/>
              </w:rPr>
              <w:t>五、团队协作与分工（10分）</w:t>
            </w:r>
          </w:p>
          <w:p w14:paraId="26849F3D">
            <w:pPr>
              <w:widowControl/>
              <w:spacing w:line="276" w:lineRule="auto"/>
              <w:ind w:firstLine="420" w:firstLineChars="200"/>
              <w:jc w:val="left"/>
              <w:rPr>
                <w:rFonts w:hint="eastAsia" w:ascii="宋体" w:hAnsi="宋体" w:eastAsia="宋体" w:cs="Segoe UI"/>
                <w:kern w:val="0"/>
                <w:szCs w:val="21"/>
              </w:rPr>
            </w:pPr>
            <w:r>
              <w:rPr>
                <w:rFonts w:hint="eastAsia" w:ascii="宋体" w:hAnsi="宋体" w:eastAsia="宋体" w:cs="Segoe UI"/>
                <w:kern w:val="0"/>
                <w:szCs w:val="21"/>
              </w:rPr>
              <w:t>团队成员均积极参与实操项目，展现出高度的责任心和团队协作精神。根据成员特长进行合理分工，确保每个环节都有专人负责，提高工作效率和质量。团队成员之间沟通顺畅，相互支持，共同解决问题，形成强大的团队合力。</w:t>
            </w:r>
          </w:p>
        </w:tc>
        <w:tc>
          <w:tcPr>
            <w:tcW w:w="0" w:type="auto"/>
            <w:vAlign w:val="center"/>
          </w:tcPr>
          <w:p w14:paraId="48DDA3B4">
            <w:pPr>
              <w:jc w:val="center"/>
              <w:rPr>
                <w:rFonts w:hint="eastAsia" w:ascii="宋体" w:hAnsi="宋体" w:eastAsia="宋体" w:cs="Times New Roman"/>
                <w:szCs w:val="21"/>
              </w:rPr>
            </w:pPr>
            <w:r>
              <w:rPr>
                <w:rFonts w:hint="eastAsia" w:ascii="宋体" w:hAnsi="宋体" w:eastAsia="宋体" w:cs="宋体"/>
                <w:szCs w:val="21"/>
              </w:rPr>
              <w:t>40%</w:t>
            </w:r>
          </w:p>
        </w:tc>
      </w:tr>
      <w:tr w14:paraId="22C0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01" w:type="dxa"/>
            <w:vAlign w:val="center"/>
          </w:tcPr>
          <w:p w14:paraId="54E25AA0">
            <w:pPr>
              <w:jc w:val="center"/>
              <w:rPr>
                <w:rFonts w:hint="eastAsia" w:ascii="宋体" w:hAnsi="宋体" w:eastAsia="宋体" w:cs="Times New Roman"/>
                <w:b/>
                <w:bCs/>
                <w:szCs w:val="21"/>
              </w:rPr>
            </w:pPr>
            <w:r>
              <w:rPr>
                <w:rFonts w:hint="eastAsia" w:ascii="宋体" w:hAnsi="宋体" w:eastAsia="宋体" w:cs="Times New Roman"/>
                <w:b/>
                <w:bCs/>
                <w:szCs w:val="21"/>
              </w:rPr>
              <w:t>合计</w:t>
            </w:r>
          </w:p>
        </w:tc>
        <w:tc>
          <w:tcPr>
            <w:tcW w:w="6715" w:type="dxa"/>
            <w:vAlign w:val="center"/>
          </w:tcPr>
          <w:p w14:paraId="0ABB8179">
            <w:pPr>
              <w:jc w:val="left"/>
              <w:rPr>
                <w:rFonts w:hint="eastAsia" w:ascii="宋体" w:hAnsi="宋体" w:eastAsia="宋体" w:cs="Times New Roman"/>
                <w:szCs w:val="21"/>
              </w:rPr>
            </w:pPr>
          </w:p>
        </w:tc>
        <w:tc>
          <w:tcPr>
            <w:tcW w:w="0" w:type="auto"/>
            <w:vAlign w:val="center"/>
          </w:tcPr>
          <w:p w14:paraId="5662AE29">
            <w:pPr>
              <w:jc w:val="center"/>
              <w:rPr>
                <w:rFonts w:hint="eastAsia" w:ascii="宋体" w:hAnsi="宋体" w:eastAsia="宋体" w:cs="Times New Roman"/>
                <w:szCs w:val="21"/>
              </w:rPr>
            </w:pPr>
            <w:r>
              <w:rPr>
                <w:rFonts w:hint="eastAsia" w:ascii="宋体" w:hAnsi="宋体" w:eastAsia="宋体" w:cs="Times New Roman"/>
                <w:szCs w:val="21"/>
              </w:rPr>
              <w:t>100%</w:t>
            </w:r>
          </w:p>
        </w:tc>
      </w:tr>
    </w:tbl>
    <w:p w14:paraId="45320542">
      <w:pPr>
        <w:spacing w:line="360" w:lineRule="auto"/>
        <w:ind w:firstLine="422" w:firstLineChars="200"/>
        <w:jc w:val="left"/>
        <w:outlineLvl w:val="1"/>
        <w:rPr>
          <w:rFonts w:hint="eastAsia" w:ascii="宋体" w:hAnsi="宋体" w:eastAsia="宋体" w:cs="Times New Roman"/>
          <w:b/>
          <w:szCs w:val="21"/>
        </w:rPr>
      </w:pPr>
      <w:bookmarkStart w:id="98" w:name="_Toc7965"/>
      <w:bookmarkStart w:id="99" w:name="_Toc27968"/>
      <w:r>
        <w:rPr>
          <w:rFonts w:hint="eastAsia" w:ascii="宋体" w:hAnsi="宋体" w:eastAsia="宋体" w:cs="Times New Roman"/>
          <w:b/>
          <w:szCs w:val="21"/>
        </w:rPr>
        <w:t>（三）课程目标达成度计算方法</w:t>
      </w:r>
      <w:bookmarkEnd w:id="98"/>
      <w:bookmarkEnd w:id="99"/>
    </w:p>
    <w:p w14:paraId="2B009436">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2971C41A">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color w:val="000000"/>
          <w:szCs w:val="21"/>
        </w:rPr>
        <w:object>
          <v:shape id="_x0000_i1033" o:spt="75" type="#_x0000_t75" style="height:25.05pt;width:404.45pt;" o:ole="t" filled="f" o:preferrelative="t" stroked="f" coordsize="21600,21600">
            <v:path/>
            <v:fill on="f" focussize="0,0"/>
            <v:stroke on="f" joinstyle="miter"/>
            <v:imagedata r:id="rId10" o:title=""/>
            <o:lock v:ext="edit" aspectratio="t"/>
            <w10:wrap type="none"/>
            <w10:anchorlock/>
          </v:shape>
          <o:OLEObject Type="Embed" ProgID="Equation.3" ShapeID="_x0000_i1033" DrawAspect="Content" ObjectID="_1468075732" r:id="rId17">
            <o:LockedField>false</o:LockedField>
          </o:OLEObject>
        </w:object>
      </w:r>
      <w:bookmarkStart w:id="100" w:name="_Toc21378"/>
      <w:bookmarkStart w:id="101" w:name="_Toc14585"/>
      <w:bookmarkStart w:id="102" w:name="_Toc16082"/>
      <w:bookmarkStart w:id="103" w:name="_Toc24165"/>
      <w:bookmarkStart w:id="104" w:name="_Toc1429"/>
      <w:bookmarkStart w:id="105" w:name="_Toc9280"/>
      <w:bookmarkStart w:id="106" w:name="_Toc26802"/>
      <w:r>
        <w:rPr>
          <w:rFonts w:hint="eastAsia" w:ascii="Times New Roman" w:hAnsi="Times New Roman" w:eastAsia="宋体" w:cs="Times New Roman"/>
          <w:b/>
          <w:sz w:val="24"/>
        </w:rPr>
        <w:t>五、课程实践（利用第二课堂，不占总学时）</w:t>
      </w:r>
      <w:bookmarkEnd w:id="100"/>
      <w:bookmarkEnd w:id="101"/>
      <w:bookmarkEnd w:id="102"/>
      <w:bookmarkEnd w:id="103"/>
      <w:bookmarkEnd w:id="104"/>
      <w:bookmarkEnd w:id="105"/>
      <w:bookmarkEnd w:id="106"/>
    </w:p>
    <w:p w14:paraId="0C7CDC49">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299"/>
        <w:gridCol w:w="1087"/>
        <w:gridCol w:w="2032"/>
      </w:tblGrid>
      <w:tr w14:paraId="60BC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101" w:type="dxa"/>
            <w:vAlign w:val="center"/>
          </w:tcPr>
          <w:p w14:paraId="159279C2">
            <w:pPr>
              <w:jc w:val="center"/>
              <w:rPr>
                <w:rFonts w:hint="eastAsia" w:ascii="宋体" w:hAnsi="宋体" w:eastAsia="宋体" w:cs="宋体"/>
                <w:b/>
                <w:bCs/>
                <w:szCs w:val="21"/>
              </w:rPr>
            </w:pPr>
            <w:r>
              <w:rPr>
                <w:rFonts w:hint="eastAsia" w:ascii="宋体" w:hAnsi="宋体" w:eastAsia="宋体" w:cs="宋体"/>
                <w:b/>
                <w:bCs/>
                <w:szCs w:val="21"/>
              </w:rPr>
              <w:t>活动主题</w:t>
            </w:r>
          </w:p>
        </w:tc>
        <w:tc>
          <w:tcPr>
            <w:tcW w:w="4299" w:type="dxa"/>
            <w:vAlign w:val="center"/>
          </w:tcPr>
          <w:p w14:paraId="2F55D5C7">
            <w:pPr>
              <w:jc w:val="center"/>
              <w:rPr>
                <w:rFonts w:hint="eastAsia" w:ascii="宋体" w:hAnsi="宋体" w:eastAsia="宋体" w:cs="宋体"/>
                <w:b/>
                <w:bCs/>
                <w:szCs w:val="21"/>
              </w:rPr>
            </w:pPr>
            <w:r>
              <w:rPr>
                <w:rFonts w:hint="eastAsia" w:ascii="宋体" w:hAnsi="宋体" w:eastAsia="宋体" w:cs="宋体"/>
                <w:b/>
                <w:bCs/>
                <w:szCs w:val="21"/>
              </w:rPr>
              <w:t>活动内容</w:t>
            </w:r>
          </w:p>
        </w:tc>
        <w:tc>
          <w:tcPr>
            <w:tcW w:w="1087" w:type="dxa"/>
            <w:vAlign w:val="center"/>
          </w:tcPr>
          <w:p w14:paraId="0AF70604">
            <w:pPr>
              <w:jc w:val="center"/>
              <w:rPr>
                <w:rFonts w:hint="eastAsia" w:ascii="宋体" w:hAnsi="宋体" w:eastAsia="宋体" w:cs="宋体"/>
                <w:b/>
                <w:bCs/>
                <w:szCs w:val="21"/>
              </w:rPr>
            </w:pPr>
            <w:r>
              <w:rPr>
                <w:rFonts w:hint="eastAsia" w:ascii="宋体" w:hAnsi="宋体" w:eastAsia="宋体" w:cs="宋体"/>
                <w:b/>
                <w:bCs/>
                <w:szCs w:val="21"/>
              </w:rPr>
              <w:t>活动方式</w:t>
            </w:r>
          </w:p>
        </w:tc>
        <w:tc>
          <w:tcPr>
            <w:tcW w:w="2032" w:type="dxa"/>
            <w:vAlign w:val="center"/>
          </w:tcPr>
          <w:p w14:paraId="41AE8F4F">
            <w:pPr>
              <w:jc w:val="center"/>
              <w:rPr>
                <w:rFonts w:hint="eastAsia" w:ascii="宋体" w:hAnsi="宋体" w:eastAsia="宋体" w:cs="宋体"/>
                <w:b/>
                <w:bCs/>
                <w:szCs w:val="21"/>
              </w:rPr>
            </w:pPr>
            <w:r>
              <w:rPr>
                <w:rFonts w:hint="eastAsia" w:ascii="宋体" w:hAnsi="宋体" w:eastAsia="宋体" w:cs="宋体"/>
                <w:b/>
                <w:bCs/>
                <w:szCs w:val="21"/>
              </w:rPr>
              <w:t>思政目标</w:t>
            </w:r>
          </w:p>
        </w:tc>
      </w:tr>
      <w:tr w14:paraId="31C5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101" w:type="dxa"/>
            <w:vAlign w:val="center"/>
          </w:tcPr>
          <w:p w14:paraId="40F74A00">
            <w:pPr>
              <w:jc w:val="left"/>
              <w:rPr>
                <w:rFonts w:hint="eastAsia" w:ascii="宋体" w:hAnsi="宋体" w:eastAsia="宋体" w:cs="宋体"/>
                <w:szCs w:val="21"/>
              </w:rPr>
            </w:pPr>
            <w:r>
              <w:rPr>
                <w:rFonts w:ascii="宋体" w:hAnsi="宋体" w:eastAsia="宋体" w:cs="Segoe UI"/>
                <w:szCs w:val="21"/>
              </w:rPr>
              <w:t>小学学科教具制作</w:t>
            </w:r>
          </w:p>
        </w:tc>
        <w:tc>
          <w:tcPr>
            <w:tcW w:w="4299" w:type="dxa"/>
            <w:vAlign w:val="center"/>
          </w:tcPr>
          <w:p w14:paraId="69DEC966">
            <w:pPr>
              <w:widowControl/>
              <w:rPr>
                <w:rFonts w:hint="eastAsia" w:ascii="宋体" w:hAnsi="宋体" w:eastAsia="宋体" w:cs="Segoe UI"/>
                <w:szCs w:val="21"/>
              </w:rPr>
            </w:pPr>
            <w:r>
              <w:rPr>
                <w:rFonts w:hint="eastAsia" w:ascii="宋体" w:hAnsi="宋体" w:eastAsia="宋体" w:cs="Segoe UI"/>
                <w:szCs w:val="21"/>
              </w:rPr>
              <w:t>1.引入话题，讲解教具制作的重要性和意义。</w:t>
            </w:r>
          </w:p>
          <w:p w14:paraId="22E1415F">
            <w:pPr>
              <w:widowControl/>
              <w:spacing w:before="90"/>
              <w:rPr>
                <w:rFonts w:hint="eastAsia" w:ascii="宋体" w:hAnsi="宋体" w:eastAsia="宋体" w:cs="Segoe UI"/>
                <w:szCs w:val="21"/>
              </w:rPr>
            </w:pPr>
            <w:r>
              <w:rPr>
                <w:rFonts w:hint="eastAsia" w:ascii="宋体" w:hAnsi="宋体" w:eastAsia="宋体" w:cs="Segoe UI"/>
                <w:szCs w:val="21"/>
              </w:rPr>
              <w:t>2.分组分工，明确制作任务。</w:t>
            </w:r>
          </w:p>
          <w:p w14:paraId="3695A1E5">
            <w:pPr>
              <w:widowControl/>
              <w:spacing w:before="90"/>
              <w:rPr>
                <w:rFonts w:hint="eastAsia" w:ascii="宋体" w:hAnsi="宋体" w:eastAsia="宋体" w:cs="Segoe UI"/>
                <w:szCs w:val="21"/>
              </w:rPr>
            </w:pPr>
            <w:r>
              <w:rPr>
                <w:rFonts w:hint="eastAsia" w:ascii="宋体" w:hAnsi="宋体" w:eastAsia="宋体" w:cs="Segoe UI"/>
                <w:szCs w:val="21"/>
              </w:rPr>
              <w:t>3.学生进行实际操作，教师巡回指导。</w:t>
            </w:r>
          </w:p>
          <w:p w14:paraId="25709381">
            <w:pPr>
              <w:widowControl/>
              <w:spacing w:before="90"/>
              <w:rPr>
                <w:rFonts w:hint="eastAsia" w:ascii="宋体" w:hAnsi="宋体" w:eastAsia="宋体" w:cs="Segoe UI"/>
                <w:szCs w:val="21"/>
              </w:rPr>
            </w:pPr>
            <w:r>
              <w:rPr>
                <w:rFonts w:hint="eastAsia" w:ascii="宋体" w:hAnsi="宋体" w:eastAsia="宋体" w:cs="Segoe UI"/>
                <w:szCs w:val="21"/>
              </w:rPr>
              <w:t>4.实物展示，讲解设计意图和制作过程。</w:t>
            </w:r>
          </w:p>
          <w:p w14:paraId="6AD77003">
            <w:pPr>
              <w:widowControl/>
              <w:spacing w:before="90"/>
              <w:rPr>
                <w:rFonts w:hint="eastAsia" w:ascii="宋体" w:hAnsi="宋体" w:eastAsia="宋体" w:cs="Segoe UI"/>
                <w:szCs w:val="21"/>
              </w:rPr>
            </w:pPr>
            <w:r>
              <w:rPr>
                <w:rFonts w:hint="eastAsia" w:ascii="宋体" w:hAnsi="宋体" w:eastAsia="宋体" w:cs="Segoe UI"/>
                <w:szCs w:val="21"/>
              </w:rPr>
              <w:t>5.互评作品，分享心得，总结经验。</w:t>
            </w:r>
          </w:p>
        </w:tc>
        <w:tc>
          <w:tcPr>
            <w:tcW w:w="1087" w:type="dxa"/>
            <w:vAlign w:val="center"/>
          </w:tcPr>
          <w:p w14:paraId="65F10D1D">
            <w:pPr>
              <w:jc w:val="center"/>
              <w:rPr>
                <w:rFonts w:hint="eastAsia" w:ascii="宋体" w:hAnsi="宋体" w:eastAsia="宋体" w:cs="宋体"/>
                <w:szCs w:val="21"/>
              </w:rPr>
            </w:pPr>
            <w:r>
              <w:rPr>
                <w:rFonts w:hint="eastAsia" w:ascii="宋体" w:hAnsi="宋体" w:eastAsia="宋体" w:cs="宋体"/>
                <w:szCs w:val="21"/>
              </w:rPr>
              <w:t>手工制作</w:t>
            </w:r>
          </w:p>
        </w:tc>
        <w:tc>
          <w:tcPr>
            <w:tcW w:w="2032" w:type="dxa"/>
            <w:vAlign w:val="center"/>
          </w:tcPr>
          <w:p w14:paraId="6B90EC45">
            <w:pPr>
              <w:widowControl/>
              <w:spacing w:before="90"/>
              <w:jc w:val="left"/>
              <w:rPr>
                <w:rFonts w:hint="eastAsia" w:ascii="宋体" w:hAnsi="宋体" w:eastAsia="宋体" w:cs="Segoe UI"/>
                <w:szCs w:val="21"/>
              </w:rPr>
            </w:pPr>
            <w:r>
              <w:rPr>
                <w:rFonts w:hint="eastAsia" w:ascii="宋体" w:hAnsi="宋体" w:eastAsia="宋体" w:cs="Segoe UI"/>
                <w:szCs w:val="21"/>
              </w:rPr>
              <w:t>通过实际操作，掌握教具制作的基本技巧和方法，提高废物利用能力和创意表达能力。培养学生的创新意识和环保意识。</w:t>
            </w:r>
          </w:p>
        </w:tc>
      </w:tr>
      <w:tr w14:paraId="68CB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101" w:type="dxa"/>
            <w:vAlign w:val="center"/>
          </w:tcPr>
          <w:p w14:paraId="70503216">
            <w:pPr>
              <w:jc w:val="left"/>
              <w:rPr>
                <w:rFonts w:hint="eastAsia" w:ascii="宋体" w:hAnsi="宋体" w:eastAsia="宋体" w:cs="宋体"/>
                <w:szCs w:val="21"/>
              </w:rPr>
            </w:pPr>
            <w:r>
              <w:rPr>
                <w:rFonts w:ascii="宋体" w:hAnsi="宋体" w:eastAsia="宋体" w:cs="Segoe UI"/>
                <w:szCs w:val="21"/>
              </w:rPr>
              <w:t>儿童照护与急救知识汇报</w:t>
            </w:r>
          </w:p>
        </w:tc>
        <w:tc>
          <w:tcPr>
            <w:tcW w:w="4299" w:type="dxa"/>
            <w:vAlign w:val="center"/>
          </w:tcPr>
          <w:p w14:paraId="4F9E56A6">
            <w:pPr>
              <w:widowControl/>
              <w:rPr>
                <w:rFonts w:hint="eastAsia" w:ascii="宋体" w:hAnsi="宋体" w:eastAsia="宋体" w:cs="Segoe UI"/>
                <w:szCs w:val="21"/>
              </w:rPr>
            </w:pPr>
            <w:r>
              <w:rPr>
                <w:rFonts w:hint="eastAsia" w:ascii="宋体" w:hAnsi="宋体" w:eastAsia="宋体" w:cs="Segoe UI"/>
                <w:szCs w:val="21"/>
              </w:rPr>
              <w:t>1.引入话题，讲解儿童照护和急救的重要性。</w:t>
            </w:r>
          </w:p>
          <w:p w14:paraId="086F0470">
            <w:pPr>
              <w:widowControl/>
              <w:spacing w:before="90"/>
              <w:rPr>
                <w:rFonts w:hint="eastAsia" w:ascii="宋体" w:hAnsi="宋体" w:eastAsia="宋体" w:cs="Segoe UI"/>
                <w:szCs w:val="21"/>
              </w:rPr>
            </w:pPr>
            <w:r>
              <w:rPr>
                <w:rFonts w:hint="eastAsia" w:ascii="宋体" w:hAnsi="宋体" w:eastAsia="宋体" w:cs="Segoe UI"/>
                <w:szCs w:val="21"/>
              </w:rPr>
              <w:t>2.分组分工，明确汇报和演练任务。</w:t>
            </w:r>
          </w:p>
          <w:p w14:paraId="2609DFE8">
            <w:pPr>
              <w:widowControl/>
              <w:spacing w:before="90"/>
              <w:rPr>
                <w:rFonts w:hint="eastAsia" w:ascii="宋体" w:hAnsi="宋体" w:eastAsia="宋体" w:cs="Segoe UI"/>
                <w:szCs w:val="21"/>
              </w:rPr>
            </w:pPr>
            <w:r>
              <w:rPr>
                <w:rFonts w:hint="eastAsia" w:ascii="宋体" w:hAnsi="宋体" w:eastAsia="宋体" w:cs="Segoe UI"/>
                <w:szCs w:val="21"/>
              </w:rPr>
              <w:t>3.学生制作PPT并进行汇报，教师点评。</w:t>
            </w:r>
          </w:p>
          <w:p w14:paraId="63DF88FE">
            <w:pPr>
              <w:widowControl/>
              <w:spacing w:before="90"/>
              <w:rPr>
                <w:rFonts w:hint="eastAsia" w:ascii="宋体" w:hAnsi="宋体" w:eastAsia="宋体" w:cs="Segoe UI"/>
                <w:szCs w:val="21"/>
              </w:rPr>
            </w:pPr>
            <w:r>
              <w:rPr>
                <w:rFonts w:hint="eastAsia" w:ascii="宋体" w:hAnsi="宋体" w:eastAsia="宋体" w:cs="Segoe UI"/>
                <w:szCs w:val="21"/>
              </w:rPr>
              <w:t>4.小剧场式演绎儿童急救情境，模拟实际操作。</w:t>
            </w:r>
          </w:p>
          <w:p w14:paraId="11975D94">
            <w:pPr>
              <w:widowControl/>
              <w:spacing w:before="90"/>
              <w:rPr>
                <w:rFonts w:hint="eastAsia" w:ascii="宋体" w:hAnsi="宋体" w:eastAsia="宋体" w:cs="Segoe UI"/>
                <w:szCs w:val="21"/>
              </w:rPr>
            </w:pPr>
            <w:r>
              <w:rPr>
                <w:rFonts w:hint="eastAsia" w:ascii="宋体" w:hAnsi="宋体" w:eastAsia="宋体" w:cs="Segoe UI"/>
                <w:szCs w:val="21"/>
              </w:rPr>
              <w:t>5.分享心得，总结经验。</w:t>
            </w:r>
          </w:p>
        </w:tc>
        <w:tc>
          <w:tcPr>
            <w:tcW w:w="1087" w:type="dxa"/>
            <w:vAlign w:val="center"/>
          </w:tcPr>
          <w:p w14:paraId="76EDC06B">
            <w:pPr>
              <w:jc w:val="center"/>
              <w:rPr>
                <w:rFonts w:hint="eastAsia" w:ascii="宋体" w:hAnsi="宋体" w:eastAsia="宋体" w:cs="宋体"/>
                <w:szCs w:val="21"/>
              </w:rPr>
            </w:pPr>
            <w:r>
              <w:rPr>
                <w:rFonts w:hint="eastAsia" w:ascii="宋体" w:hAnsi="宋体" w:eastAsia="宋体" w:cs="宋体"/>
                <w:szCs w:val="21"/>
              </w:rPr>
              <w:t>主题汇报及演绎</w:t>
            </w:r>
          </w:p>
        </w:tc>
        <w:tc>
          <w:tcPr>
            <w:tcW w:w="2032" w:type="dxa"/>
            <w:vAlign w:val="center"/>
          </w:tcPr>
          <w:p w14:paraId="19FBB7EB">
            <w:pPr>
              <w:widowControl/>
              <w:spacing w:before="90"/>
              <w:jc w:val="left"/>
              <w:rPr>
                <w:rFonts w:hint="eastAsia" w:ascii="宋体" w:hAnsi="宋体" w:eastAsia="宋体" w:cs="Segoe UI"/>
                <w:szCs w:val="21"/>
              </w:rPr>
            </w:pPr>
            <w:r>
              <w:rPr>
                <w:rFonts w:hint="eastAsia" w:ascii="宋体" w:hAnsi="宋体" w:eastAsia="宋体" w:cs="Segoe UI"/>
                <w:szCs w:val="21"/>
              </w:rPr>
              <w:t>能够运用所学知识解决实际问题。培养学生的社会责任感和爱心。</w:t>
            </w:r>
          </w:p>
        </w:tc>
      </w:tr>
      <w:tr w14:paraId="33D6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101" w:type="dxa"/>
            <w:vAlign w:val="center"/>
          </w:tcPr>
          <w:p w14:paraId="5F2E7A92">
            <w:pPr>
              <w:jc w:val="left"/>
              <w:rPr>
                <w:rFonts w:hint="eastAsia" w:ascii="宋体" w:hAnsi="宋体" w:eastAsia="宋体" w:cs="宋体"/>
                <w:szCs w:val="21"/>
              </w:rPr>
            </w:pPr>
            <w:r>
              <w:rPr>
                <w:rFonts w:ascii="宋体" w:hAnsi="宋体" w:eastAsia="宋体" w:cs="Segoe UI"/>
                <w:szCs w:val="21"/>
              </w:rPr>
              <w:t>点心食品制作与记录</w:t>
            </w:r>
          </w:p>
        </w:tc>
        <w:tc>
          <w:tcPr>
            <w:tcW w:w="4299" w:type="dxa"/>
            <w:vAlign w:val="center"/>
          </w:tcPr>
          <w:p w14:paraId="15211652">
            <w:pPr>
              <w:widowControl/>
              <w:rPr>
                <w:rFonts w:hint="eastAsia" w:ascii="宋体" w:hAnsi="宋体" w:eastAsia="宋体" w:cs="Segoe UI"/>
                <w:szCs w:val="21"/>
              </w:rPr>
            </w:pPr>
            <w:r>
              <w:rPr>
                <w:rFonts w:hint="eastAsia" w:ascii="宋体" w:hAnsi="宋体" w:eastAsia="宋体" w:cs="Segoe UI"/>
                <w:szCs w:val="21"/>
              </w:rPr>
              <w:t>1.引入话题，讲解点心食品制作的重要性和意义。</w:t>
            </w:r>
          </w:p>
          <w:p w14:paraId="3162151E">
            <w:pPr>
              <w:widowControl/>
              <w:spacing w:before="90"/>
              <w:rPr>
                <w:rFonts w:hint="eastAsia" w:ascii="宋体" w:hAnsi="宋体" w:eastAsia="宋体" w:cs="Segoe UI"/>
                <w:szCs w:val="21"/>
              </w:rPr>
            </w:pPr>
            <w:r>
              <w:rPr>
                <w:rFonts w:hint="eastAsia" w:ascii="宋体" w:hAnsi="宋体" w:eastAsia="宋体" w:cs="Segoe UI"/>
                <w:szCs w:val="21"/>
              </w:rPr>
              <w:t>2.分组分工，明确制作任务。</w:t>
            </w:r>
          </w:p>
          <w:p w14:paraId="1AD0E4C3">
            <w:pPr>
              <w:widowControl/>
              <w:spacing w:before="90"/>
              <w:rPr>
                <w:rFonts w:hint="eastAsia" w:ascii="宋体" w:hAnsi="宋体" w:eastAsia="宋体" w:cs="Segoe UI"/>
                <w:szCs w:val="21"/>
              </w:rPr>
            </w:pPr>
            <w:r>
              <w:rPr>
                <w:rFonts w:hint="eastAsia" w:ascii="宋体" w:hAnsi="宋体" w:eastAsia="宋体" w:cs="Segoe UI"/>
                <w:szCs w:val="21"/>
              </w:rPr>
              <w:t>3.学生进行实际操作，教师巡回指导，确保卫生和安全。</w:t>
            </w:r>
          </w:p>
          <w:p w14:paraId="5AE4BD8B">
            <w:pPr>
              <w:widowControl/>
              <w:spacing w:before="90"/>
              <w:rPr>
                <w:rFonts w:hint="eastAsia" w:ascii="宋体" w:hAnsi="宋体" w:eastAsia="宋体" w:cs="Segoe UI"/>
                <w:szCs w:val="21"/>
              </w:rPr>
            </w:pPr>
            <w:r>
              <w:rPr>
                <w:rFonts w:hint="eastAsia" w:ascii="宋体" w:hAnsi="宋体" w:eastAsia="宋体" w:cs="Segoe UI"/>
                <w:szCs w:val="21"/>
              </w:rPr>
              <w:t>4.实物展示和记录，讲解制作过程和心得。</w:t>
            </w:r>
          </w:p>
          <w:p w14:paraId="144859E3">
            <w:pPr>
              <w:widowControl/>
              <w:spacing w:before="90"/>
              <w:rPr>
                <w:rFonts w:hint="eastAsia" w:ascii="宋体" w:hAnsi="宋体" w:eastAsia="宋体" w:cs="Segoe UI"/>
                <w:szCs w:val="21"/>
              </w:rPr>
            </w:pPr>
            <w:r>
              <w:rPr>
                <w:rFonts w:hint="eastAsia" w:ascii="宋体" w:hAnsi="宋体" w:eastAsia="宋体" w:cs="Segoe UI"/>
                <w:szCs w:val="21"/>
              </w:rPr>
              <w:t>5.分享作品，总结经验。</w:t>
            </w:r>
          </w:p>
        </w:tc>
        <w:tc>
          <w:tcPr>
            <w:tcW w:w="1087" w:type="dxa"/>
            <w:vAlign w:val="center"/>
          </w:tcPr>
          <w:p w14:paraId="36AD0B85">
            <w:pPr>
              <w:jc w:val="center"/>
              <w:rPr>
                <w:rFonts w:hint="eastAsia" w:ascii="宋体" w:hAnsi="宋体" w:eastAsia="宋体" w:cs="宋体"/>
                <w:szCs w:val="21"/>
              </w:rPr>
            </w:pPr>
            <w:r>
              <w:rPr>
                <w:rFonts w:hint="eastAsia" w:ascii="宋体" w:hAnsi="宋体" w:eastAsia="宋体" w:cs="宋体"/>
                <w:szCs w:val="21"/>
              </w:rPr>
              <w:t>食品制作</w:t>
            </w:r>
          </w:p>
        </w:tc>
        <w:tc>
          <w:tcPr>
            <w:tcW w:w="2032" w:type="dxa"/>
            <w:vAlign w:val="center"/>
          </w:tcPr>
          <w:p w14:paraId="279FADAE">
            <w:pPr>
              <w:widowControl/>
              <w:spacing w:before="90"/>
              <w:jc w:val="left"/>
              <w:rPr>
                <w:rFonts w:hint="eastAsia" w:ascii="宋体" w:hAnsi="宋体" w:eastAsia="宋体" w:cs="Segoe UI"/>
                <w:szCs w:val="21"/>
              </w:rPr>
            </w:pPr>
            <w:r>
              <w:rPr>
                <w:rFonts w:hint="eastAsia" w:ascii="宋体" w:hAnsi="宋体" w:eastAsia="宋体" w:cs="Segoe UI"/>
                <w:szCs w:val="21"/>
              </w:rPr>
              <w:t>掌握点心食品制作的基本技巧。培养学生的动手能力和团队协作精神。</w:t>
            </w:r>
          </w:p>
        </w:tc>
      </w:tr>
    </w:tbl>
    <w:p w14:paraId="51A3D074">
      <w:pPr>
        <w:spacing w:before="62" w:beforeLines="20" w:after="62" w:afterLines="20" w:line="360" w:lineRule="auto"/>
        <w:jc w:val="left"/>
        <w:rPr>
          <w:rFonts w:ascii="Times New Roman" w:hAnsi="Times New Roman" w:eastAsia="宋体" w:cs="Times New Roman"/>
          <w:b/>
          <w:sz w:val="24"/>
        </w:rPr>
      </w:pPr>
      <w:bookmarkStart w:id="107" w:name="_Toc15252"/>
      <w:bookmarkStart w:id="108" w:name="_Toc15096"/>
      <w:bookmarkStart w:id="109" w:name="_Toc13973"/>
      <w:bookmarkStart w:id="110" w:name="_Toc26523"/>
      <w:bookmarkStart w:id="111" w:name="_Toc4986"/>
      <w:bookmarkStart w:id="112" w:name="_Toc16191"/>
      <w:bookmarkStart w:id="113" w:name="_Toc8959"/>
      <w:r>
        <w:rPr>
          <w:rFonts w:hint="eastAsia" w:ascii="Times New Roman" w:hAnsi="Times New Roman" w:eastAsia="宋体" w:cs="Times New Roman"/>
          <w:b/>
          <w:sz w:val="24"/>
        </w:rPr>
        <w:t>六、有关说明</w:t>
      </w:r>
      <w:bookmarkEnd w:id="107"/>
      <w:bookmarkEnd w:id="108"/>
      <w:bookmarkEnd w:id="109"/>
      <w:bookmarkEnd w:id="110"/>
      <w:bookmarkEnd w:id="111"/>
      <w:bookmarkEnd w:id="112"/>
      <w:bookmarkEnd w:id="113"/>
    </w:p>
    <w:p w14:paraId="1480DA72">
      <w:pPr>
        <w:spacing w:line="360" w:lineRule="auto"/>
        <w:ind w:firstLine="422" w:firstLineChars="200"/>
        <w:jc w:val="left"/>
        <w:outlineLvl w:val="1"/>
        <w:rPr>
          <w:rFonts w:ascii="Times New Roman" w:hAnsi="Times New Roman" w:eastAsia="宋体" w:cs="Times New Roman"/>
          <w:b/>
          <w:szCs w:val="21"/>
        </w:rPr>
      </w:pPr>
      <w:bookmarkStart w:id="114" w:name="_Toc22253"/>
      <w:bookmarkStart w:id="115" w:name="_Toc2057"/>
      <w:r>
        <w:rPr>
          <w:rFonts w:hint="eastAsia" w:ascii="Times New Roman" w:hAnsi="Times New Roman" w:eastAsia="宋体" w:cs="Times New Roman"/>
          <w:b/>
          <w:szCs w:val="21"/>
        </w:rPr>
        <w:t>（一）持续改进</w:t>
      </w:r>
      <w:bookmarkEnd w:id="114"/>
      <w:bookmarkEnd w:id="115"/>
    </w:p>
    <w:p w14:paraId="2E48F4E6">
      <w:pPr>
        <w:spacing w:line="360" w:lineRule="auto"/>
        <w:ind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第一，劳动教育部分活动无法开展，如社会活动类，学生实践受到一定的限制，在今后的教学中要更多的为师范生提供多维度劳动的机会，以提高师范生的感性认识。后期将尝试增加课外实践环节，提升课程教学质量。新时代加强大学生劳动教育要丰富劳动教育形式，顺应时代发展潮流，积极探索劳动教育与德育、智育、体育、美育相融合的劳动教育实践活动。</w:t>
      </w:r>
    </w:p>
    <w:p w14:paraId="3FE7D8D9">
      <w:pPr>
        <w:spacing w:line="360" w:lineRule="auto"/>
        <w:ind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第二，丰富课程考核方式，完善评价方式。思考如何在个人自评、同伴互评、小组互评、以及教师评价相结合的方式中保证课程评价结果的客观性。</w:t>
      </w:r>
    </w:p>
    <w:p w14:paraId="3C76C6A3">
      <w:pPr>
        <w:spacing w:line="360" w:lineRule="auto"/>
        <w:ind w:firstLine="422" w:firstLineChars="200"/>
        <w:jc w:val="left"/>
        <w:outlineLvl w:val="1"/>
        <w:rPr>
          <w:rFonts w:ascii="Times New Roman" w:hAnsi="Times New Roman" w:eastAsia="宋体" w:cs="Times New Roman"/>
          <w:b/>
          <w:szCs w:val="21"/>
        </w:rPr>
      </w:pPr>
      <w:bookmarkStart w:id="116" w:name="_Toc31538"/>
      <w:bookmarkStart w:id="117" w:name="_Toc11059"/>
      <w:r>
        <w:rPr>
          <w:rFonts w:hint="eastAsia" w:ascii="Times New Roman" w:hAnsi="Times New Roman" w:eastAsia="宋体" w:cs="Times New Roman"/>
          <w:b/>
          <w:szCs w:val="21"/>
        </w:rPr>
        <w:t>（二）建议教材</w:t>
      </w:r>
      <w:bookmarkEnd w:id="116"/>
      <w:bookmarkEnd w:id="117"/>
    </w:p>
    <w:p w14:paraId="33AF31D5">
      <w:pPr>
        <w:widowControl/>
        <w:spacing w:line="400" w:lineRule="exact"/>
        <w:ind w:firstLine="369" w:firstLineChars="176"/>
        <w:jc w:val="left"/>
        <w:rPr>
          <w:rFonts w:hint="eastAsia" w:ascii="宋体" w:hAnsi="宋体" w:eastAsia="宋体" w:cs="宋体"/>
          <w:kern w:val="0"/>
          <w:szCs w:val="21"/>
        </w:rPr>
      </w:pPr>
      <w:r>
        <w:rPr>
          <w:rFonts w:hint="eastAsia" w:ascii="宋体" w:hAnsi="宋体" w:eastAsia="宋体" w:cs="宋体"/>
          <w:kern w:val="0"/>
          <w:szCs w:val="21"/>
        </w:rPr>
        <w:t>《新时代大学生劳动教育》，丁晓昌、顾建军主编，上海交通大学出版社，2021年5月。</w:t>
      </w:r>
    </w:p>
    <w:p w14:paraId="63179151">
      <w:pPr>
        <w:spacing w:line="360" w:lineRule="auto"/>
        <w:ind w:firstLine="422" w:firstLineChars="200"/>
        <w:jc w:val="left"/>
        <w:outlineLvl w:val="1"/>
        <w:rPr>
          <w:rFonts w:ascii="Times New Roman" w:hAnsi="Times New Roman" w:eastAsia="宋体" w:cs="Times New Roman"/>
          <w:b/>
          <w:szCs w:val="21"/>
        </w:rPr>
      </w:pPr>
      <w:bookmarkStart w:id="118" w:name="_Toc13022"/>
      <w:bookmarkStart w:id="119" w:name="_Toc15963"/>
      <w:r>
        <w:rPr>
          <w:rFonts w:hint="eastAsia" w:ascii="Times New Roman" w:hAnsi="Times New Roman" w:eastAsia="宋体" w:cs="Times New Roman"/>
          <w:b/>
          <w:szCs w:val="21"/>
        </w:rPr>
        <w:t>（三）参考书目</w:t>
      </w:r>
      <w:bookmarkEnd w:id="118"/>
      <w:bookmarkEnd w:id="119"/>
    </w:p>
    <w:p w14:paraId="1A2EC192">
      <w:pPr>
        <w:widowControl/>
        <w:spacing w:line="400" w:lineRule="exact"/>
        <w:ind w:firstLine="369" w:firstLineChars="176"/>
        <w:jc w:val="left"/>
        <w:rPr>
          <w:rFonts w:hint="eastAsia" w:ascii="宋体" w:hAnsi="宋体" w:eastAsia="宋体" w:cs="宋体"/>
          <w:bCs/>
          <w:kern w:val="0"/>
          <w:szCs w:val="21"/>
        </w:rPr>
      </w:pPr>
      <w:r>
        <w:rPr>
          <w:rFonts w:hint="eastAsia" w:ascii="宋体" w:hAnsi="宋体" w:eastAsia="宋体" w:cs="宋体"/>
          <w:bCs/>
          <w:kern w:val="0"/>
          <w:szCs w:val="21"/>
        </w:rPr>
        <w:t>（1）《大学生劳动教育》，陈国维主编，高等教育出版社，2020年8月。</w:t>
      </w:r>
    </w:p>
    <w:p w14:paraId="0EC4BC28">
      <w:pPr>
        <w:widowControl/>
        <w:spacing w:line="400" w:lineRule="exact"/>
        <w:ind w:firstLine="369" w:firstLineChars="176"/>
        <w:jc w:val="left"/>
        <w:rPr>
          <w:rFonts w:hint="eastAsia" w:ascii="宋体" w:hAnsi="宋体" w:eastAsia="宋体" w:cs="宋体"/>
          <w:bCs/>
          <w:kern w:val="0"/>
          <w:szCs w:val="21"/>
        </w:rPr>
      </w:pPr>
      <w:r>
        <w:rPr>
          <w:rFonts w:hint="eastAsia" w:ascii="宋体" w:hAnsi="宋体" w:eastAsia="宋体" w:cs="宋体"/>
          <w:bCs/>
          <w:kern w:val="0"/>
          <w:szCs w:val="21"/>
        </w:rPr>
        <w:t>（2）《新时代大学生劳动教育》，柳友荣等编著，高等教育出版社，2</w:t>
      </w:r>
      <w:r>
        <w:rPr>
          <w:rFonts w:ascii="宋体" w:hAnsi="宋体" w:eastAsia="宋体" w:cs="宋体"/>
          <w:bCs/>
          <w:kern w:val="0"/>
          <w:szCs w:val="21"/>
        </w:rPr>
        <w:t>021</w:t>
      </w:r>
      <w:r>
        <w:rPr>
          <w:rFonts w:hint="eastAsia" w:ascii="宋体" w:hAnsi="宋体" w:eastAsia="宋体" w:cs="宋体"/>
          <w:bCs/>
          <w:kern w:val="0"/>
          <w:szCs w:val="21"/>
        </w:rPr>
        <w:t>年8月。</w:t>
      </w:r>
    </w:p>
    <w:p w14:paraId="2C731443">
      <w:pPr>
        <w:rPr>
          <w:rFonts w:hint="eastAsia" w:ascii="等线" w:hAnsi="等线" w:eastAsia="等线" w:cs="Times New Roman"/>
          <w:szCs w:val="22"/>
        </w:rPr>
      </w:pPr>
    </w:p>
    <w:p w14:paraId="1C5A3412">
      <w:pPr>
        <w:spacing w:line="360" w:lineRule="auto"/>
        <w:ind w:right="1440"/>
        <w:jc w:val="right"/>
        <w:rPr>
          <w:rFonts w:ascii="Times New Roman" w:hAnsi="Times New Roman" w:eastAsia="宋体" w:cs="Times New Roman"/>
          <w:sz w:val="21"/>
          <w:szCs w:val="21"/>
        </w:rPr>
      </w:pPr>
      <w:r>
        <w:rPr>
          <w:rFonts w:hint="eastAsia" w:ascii="Times New Roman" w:hAnsi="Times New Roman" w:eastAsia="宋体" w:cs="Times New Roman"/>
          <w:sz w:val="21"/>
          <w:szCs w:val="21"/>
        </w:rPr>
        <w:t>执 笔 人：</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周</w:t>
      </w:r>
      <w:r>
        <w:rPr>
          <w:rFonts w:hint="eastAsia"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rPr>
        <w:t>晗</w:t>
      </w:r>
    </w:p>
    <w:p w14:paraId="4B8C6450">
      <w:pPr>
        <w:wordWrap w:val="0"/>
        <w:spacing w:line="360" w:lineRule="auto"/>
        <w:ind w:right="1440"/>
        <w:jc w:val="right"/>
        <w:rPr>
          <w:rFonts w:ascii="Times New Roman" w:hAnsi="Times New Roman" w:eastAsia="宋体" w:cs="Times New Roman"/>
          <w:sz w:val="21"/>
          <w:szCs w:val="21"/>
        </w:rPr>
      </w:pPr>
      <w:r>
        <w:rPr>
          <w:rFonts w:hint="eastAsia" w:ascii="Times New Roman" w:hAnsi="Times New Roman" w:eastAsia="宋体" w:cs="Times New Roman"/>
          <w:sz w:val="21"/>
          <w:szCs w:val="21"/>
        </w:rPr>
        <w:t>审 定 人：</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王</w:t>
      </w:r>
      <w:r>
        <w:rPr>
          <w:rFonts w:hint="eastAsia"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rPr>
        <w:t>健</w:t>
      </w:r>
    </w:p>
    <w:p w14:paraId="63F13FBB">
      <w:pPr>
        <w:spacing w:line="360" w:lineRule="auto"/>
        <w:ind w:right="120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rPr>
        <w:t>审 批 人：</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张志欣</w:t>
      </w:r>
    </w:p>
    <w:p w14:paraId="3926CDA3">
      <w:pPr>
        <w:spacing w:line="36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eastAsia="zh-CN"/>
        </w:rPr>
        <w:t>批准时间：2025年7月1日</w:t>
      </w:r>
    </w:p>
    <w:p w14:paraId="6C08F8A3">
      <w:pPr>
        <w:jc w:val="left"/>
        <w:rPr>
          <w:color w:val="auto"/>
        </w:rPr>
      </w:pPr>
    </w:p>
    <w:p w14:paraId="759D5446">
      <w:pPr>
        <w:ind w:firstLine="5670" w:firstLineChars="2700"/>
        <w:jc w:val="left"/>
        <w:rPr>
          <w:color w:val="auto"/>
        </w:rPr>
      </w:pPr>
      <w:r>
        <w:rPr>
          <w:color w:val="auto"/>
        </w:rPr>
        <w:br w:type="page"/>
      </w:r>
    </w:p>
    <w:p w14:paraId="2FB6ECCE">
      <w:pPr>
        <w:spacing w:line="360" w:lineRule="auto"/>
        <w:jc w:val="center"/>
        <w:outlineLvl w:val="0"/>
        <w:rPr>
          <w:rFonts w:hint="eastAsia" w:ascii="Times New Roman" w:hAnsi="Times New Roman" w:eastAsia="宋体" w:cs="Times New Roman"/>
          <w:b/>
          <w:color w:val="auto"/>
          <w:sz w:val="44"/>
          <w:szCs w:val="44"/>
        </w:rPr>
      </w:pPr>
      <w:bookmarkStart w:id="120" w:name="_Toc1366"/>
      <w:r>
        <w:rPr>
          <w:rFonts w:hint="eastAsia" w:ascii="Times New Roman" w:hAnsi="Times New Roman" w:eastAsia="宋体" w:cs="Times New Roman"/>
          <w:b/>
          <w:color w:val="auto"/>
          <w:sz w:val="44"/>
          <w:szCs w:val="44"/>
        </w:rPr>
        <w:t>《大学生创新创业基础》课程教学大纲</w:t>
      </w:r>
      <w:bookmarkEnd w:id="120"/>
    </w:p>
    <w:p w14:paraId="17A7598E">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 xml:space="preserve">（Foundations of Innovation and Entrepreneurship </w:t>
      </w:r>
    </w:p>
    <w:p w14:paraId="0A235157">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for College Students）</w:t>
      </w:r>
    </w:p>
    <w:p w14:paraId="07F4254A">
      <w:pPr>
        <w:spacing w:line="360" w:lineRule="auto"/>
        <w:jc w:val="center"/>
        <w:rPr>
          <w:rFonts w:ascii="Times New Roman" w:hAnsi="Times New Roman" w:eastAsia="宋体" w:cs="Times New Roman"/>
          <w:bCs/>
          <w:color w:val="auto"/>
          <w:sz w:val="21"/>
          <w:szCs w:val="21"/>
        </w:rPr>
      </w:pPr>
    </w:p>
    <w:p w14:paraId="3C474194">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课程名称：大学生创新创业基础</w:t>
      </w:r>
    </w:p>
    <w:p w14:paraId="14AB9F5D">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课程代码：0000008</w:t>
      </w:r>
    </w:p>
    <w:p w14:paraId="170D6909">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分：2</w:t>
      </w:r>
    </w:p>
    <w:p w14:paraId="78834539">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时：32</w:t>
      </w:r>
    </w:p>
    <w:p w14:paraId="5F039C6F">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先修课程：大学生劳动教育、</w:t>
      </w:r>
      <w:r>
        <w:rPr>
          <w:rFonts w:hint="eastAsia" w:ascii="Times New Roman" w:hAnsi="Times New Roman" w:eastAsia="宋体" w:cs="Times New Roman"/>
          <w:b/>
          <w:color w:val="auto"/>
          <w:sz w:val="24"/>
          <w:lang w:val="en-US" w:eastAsia="zh-CN"/>
        </w:rPr>
        <w:t>大学生</w:t>
      </w:r>
      <w:r>
        <w:rPr>
          <w:rFonts w:hint="eastAsia" w:ascii="Times New Roman" w:hAnsi="Times New Roman" w:eastAsia="宋体" w:cs="Times New Roman"/>
          <w:b/>
          <w:color w:val="auto"/>
          <w:sz w:val="24"/>
        </w:rPr>
        <w:t>职业生涯规划</w:t>
      </w:r>
    </w:p>
    <w:p w14:paraId="28952A90">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适用专业：小学教育</w:t>
      </w:r>
    </w:p>
    <w:p w14:paraId="7D8EA0CA">
      <w:pPr>
        <w:spacing w:line="360" w:lineRule="auto"/>
        <w:jc w:val="left"/>
        <w:rPr>
          <w:rFonts w:ascii="Times New Roman" w:hAnsi="Times New Roman" w:eastAsia="宋体" w:cs="Times New Roman"/>
          <w:b/>
          <w:color w:val="auto"/>
          <w:sz w:val="21"/>
          <w:szCs w:val="21"/>
        </w:rPr>
      </w:pPr>
    </w:p>
    <w:p w14:paraId="63BB545A">
      <w:pPr>
        <w:spacing w:line="360" w:lineRule="auto"/>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一、课程简介</w:t>
      </w:r>
    </w:p>
    <w:p w14:paraId="249FDAFC">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本课程是根据国家和地方政府关于深化高等学校创新创业教育改革实施意见等系列文件精神而开设的一门理论性、政策性和实践性较强的通识教育必修课程，主要针对大一学生开展创新创业的普及型启蒙教育。</w:t>
      </w:r>
    </w:p>
    <w:p w14:paraId="23A0CAAB">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课程以传授创新创业知识为基础，以锻炼创新创业能力为关键，以培养创新创业精神为  核心，让学生了解创新创业教育的发展历程与时代背景，理解创新、创业、专业、产业以及  与职业生涯发展的逻辑关系。课程将中国共产党百年创业史和中国国际大学生创新大赛、“挑  战杯”中国大学生创业计划竞赛、“挑战杯”全国大学生课外学术科技作品竞赛等高水平赛  事贯穿其中，通过项目挖掘、头脑风暴、角色扮演、案例分析、小组合作、路演汇报等高度  参与的项目制教学方法，帮助当代大学生在新时代背景下运用创新思维方法与工具激发、梳  理和筛选各种创新创业的灵感、想法和构思，分析创新创业的资源、财务和风险，了解商业  模式的设计与运行，加强创新创业团队建设，撰写可行的项目计划书或社会调查报告，让学  生初步体会作业-作品-产品-商品的转变过程，形成创新创业的行动路线，学会从“0到1” 做项目，一方面激发学生创新创业热情和家国情怀，树立正确的人生观、价值观、创业观及民族自豪感，另一方面，为后续的专创融合进阶课程和产教融合实战课程打下基础，不断完善基于产教融合的创新创业人才培养体系，实现应用型地方高校人才培养供给侧和产业发展  需求侧的有机衔接。</w:t>
      </w:r>
    </w:p>
    <w:p w14:paraId="6A8BC2C8">
      <w:pPr>
        <w:spacing w:line="360" w:lineRule="auto"/>
        <w:jc w:val="left"/>
        <w:rPr>
          <w:rFonts w:ascii="Times New Roman" w:hAnsi="Times New Roman" w:eastAsia="宋体" w:cs="Times New Roman"/>
          <w:color w:val="auto"/>
          <w:sz w:val="24"/>
        </w:rPr>
      </w:pPr>
      <w:r>
        <w:rPr>
          <w:rFonts w:hint="eastAsia" w:ascii="宋体" w:hAnsi="宋体" w:eastAsia="宋体" w:cs="Times New Roman"/>
          <w:b/>
          <w:color w:val="auto"/>
          <w:sz w:val="24"/>
        </w:rPr>
        <w:t>二</w:t>
      </w:r>
      <w:r>
        <w:rPr>
          <w:rFonts w:ascii="宋体" w:hAnsi="宋体" w:eastAsia="宋体" w:cs="Times New Roman"/>
          <w:b/>
          <w:color w:val="auto"/>
          <w:sz w:val="24"/>
        </w:rPr>
        <w:t>、课程目标</w:t>
      </w:r>
    </w:p>
    <w:p w14:paraId="0EBC697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6D27E3C2">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1.</w:t>
      </w:r>
      <w:r>
        <w:rPr>
          <w:rFonts w:hint="eastAsia" w:ascii="Times New Roman" w:hAnsi="Times New Roman" w:eastAsia="宋体" w:cs="Times New Roman"/>
          <w:b/>
          <w:color w:val="auto"/>
          <w:szCs w:val="21"/>
        </w:rPr>
        <w:t xml:space="preserve"> </w:t>
      </w:r>
      <w:r>
        <w:rPr>
          <w:rFonts w:ascii="Times New Roman" w:hAnsi="Times New Roman" w:eastAsia="宋体" w:cs="Times New Roman"/>
          <w:bCs/>
          <w:color w:val="auto"/>
          <w:szCs w:val="21"/>
        </w:rPr>
        <w:t>以项目申报书、专利申请书、社会调查报告或商业计划书为标准，分析中国国际大学生创新大赛、“挑战杯”中国大学生创业计划竞赛、"挑战杯"全国大学生课外学术科技作品竞赛等高水平赛事的发展历史与赛事规则，为后续进一步提升和打磨项目，开设专创融合进阶课程和产教融合实战课程打下基础。</w:t>
      </w:r>
    </w:p>
    <w:p w14:paraId="2E597347">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目标2</w:t>
      </w:r>
      <w:r>
        <w:rPr>
          <w:rFonts w:ascii="Times New Roman" w:hAnsi="Times New Roman" w:eastAsia="宋体" w:cs="Times New Roman"/>
          <w:b/>
          <w:color w:val="auto"/>
          <w:szCs w:val="21"/>
        </w:rPr>
        <w:t>.</w:t>
      </w:r>
      <w:r>
        <w:rPr>
          <w:rFonts w:ascii="Times New Roman" w:hAnsi="Times New Roman" w:eastAsia="宋体" w:cs="Times New Roman"/>
          <w:color w:val="auto"/>
          <w:szCs w:val="21"/>
        </w:rPr>
        <w:t xml:space="preserve"> 以立德树人为根本，培养爱国情操和家国情怀，能够挖掘创新创业项目并对其理解、分析和归纳总结，培养解决实际问题的能力。</w:t>
      </w:r>
    </w:p>
    <w:p w14:paraId="38A8308D">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6145"/>
        <w:gridCol w:w="1304"/>
      </w:tblGrid>
      <w:tr w14:paraId="3A30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275B6F2F">
            <w:pPr>
              <w:spacing w:line="360"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毕业要求</w:t>
            </w:r>
          </w:p>
        </w:tc>
        <w:tc>
          <w:tcPr>
            <w:tcW w:w="6502" w:type="dxa"/>
            <w:vAlign w:val="center"/>
          </w:tcPr>
          <w:p w14:paraId="79C52F5E">
            <w:pPr>
              <w:spacing w:line="360"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毕业要求指标点</w:t>
            </w:r>
          </w:p>
        </w:tc>
        <w:tc>
          <w:tcPr>
            <w:tcW w:w="1362" w:type="dxa"/>
            <w:vAlign w:val="center"/>
          </w:tcPr>
          <w:p w14:paraId="1CB72C6D">
            <w:pPr>
              <w:spacing w:line="360"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课程目标</w:t>
            </w:r>
          </w:p>
        </w:tc>
      </w:tr>
      <w:tr w14:paraId="573C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69887533">
            <w:pPr>
              <w:autoSpaceDE w:val="0"/>
              <w:autoSpaceDN w:val="0"/>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毕业要求7</w:t>
            </w:r>
          </w:p>
          <w:p w14:paraId="60986C0E">
            <w:pPr>
              <w:autoSpaceDE w:val="0"/>
              <w:autoSpaceDN w:val="0"/>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学会反思</w:t>
            </w:r>
          </w:p>
        </w:tc>
        <w:tc>
          <w:tcPr>
            <w:tcW w:w="6502" w:type="dxa"/>
            <w:vAlign w:val="center"/>
          </w:tcPr>
          <w:p w14:paraId="527632AC">
            <w:pPr>
              <w:spacing w:line="276" w:lineRule="auto"/>
              <w:jc w:val="left"/>
              <w:rPr>
                <w:rFonts w:hint="eastAsia" w:ascii="宋体" w:hAnsi="宋体" w:eastAsia="宋体" w:cs="宋体"/>
                <w:b w:val="0"/>
                <w:bCs w:val="0"/>
                <w:color w:val="auto"/>
                <w:szCs w:val="21"/>
              </w:rPr>
            </w:pPr>
            <w:r>
              <w:rPr>
                <w:rFonts w:hint="eastAsia" w:ascii="宋体" w:hAnsi="宋体" w:eastAsia="宋体" w:cs="宋体"/>
                <w:b w:val="0"/>
                <w:bCs w:val="0"/>
                <w:color w:val="auto"/>
                <w:kern w:val="0"/>
                <w:szCs w:val="21"/>
              </w:rPr>
              <w:t>指标点</w:t>
            </w:r>
            <w:r>
              <w:rPr>
                <w:rFonts w:hint="eastAsia" w:ascii="宋体" w:hAnsi="宋体" w:eastAsia="宋体" w:cs="宋体"/>
                <w:b w:val="0"/>
                <w:bCs w:val="0"/>
                <w:color w:val="auto"/>
                <w:szCs w:val="21"/>
              </w:rPr>
              <w:t>7-2：【职业规划合理】了解教师专业发展的要求，形成终身学习的意识和习惯，注重自身的专业发展，根据基础教育课程改革的动态和发展情况，进行职业生涯规划和自主学习。</w:t>
            </w:r>
          </w:p>
          <w:p w14:paraId="1B82C54E">
            <w:pPr>
              <w:spacing w:line="276" w:lineRule="auto"/>
              <w:jc w:val="left"/>
              <w:rPr>
                <w:rFonts w:hint="eastAsia" w:ascii="宋体" w:hAnsi="宋体" w:eastAsia="宋体" w:cs="Times New Roman"/>
                <w:b w:val="0"/>
                <w:bCs w:val="0"/>
                <w:color w:val="auto"/>
                <w:szCs w:val="21"/>
                <w:lang w:eastAsia="zh-CN"/>
              </w:rPr>
            </w:pPr>
            <w:r>
              <w:rPr>
                <w:rFonts w:hint="eastAsia" w:ascii="宋体" w:hAnsi="宋体" w:eastAsia="宋体" w:cs="宋体"/>
                <w:b w:val="0"/>
                <w:bCs w:val="0"/>
                <w:color w:val="auto"/>
                <w:kern w:val="0"/>
                <w:szCs w:val="21"/>
                <w:lang w:eastAsia="zh-CN"/>
              </w:rPr>
              <w:t>指标点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62" w:type="dxa"/>
            <w:vAlign w:val="center"/>
          </w:tcPr>
          <w:p w14:paraId="02D80C7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课程目标1</w:t>
            </w:r>
          </w:p>
          <w:p w14:paraId="3563F85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r>
      <w:tr w14:paraId="3C04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306ADE40">
            <w:pPr>
              <w:autoSpaceDE w:val="0"/>
              <w:autoSpaceDN w:val="0"/>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毕业要求8</w:t>
            </w:r>
          </w:p>
          <w:p w14:paraId="354A9ABE">
            <w:pPr>
              <w:autoSpaceDE w:val="0"/>
              <w:autoSpaceDN w:val="0"/>
              <w:jc w:val="center"/>
              <w:rPr>
                <w:rFonts w:hint="eastAsia" w:ascii="宋体" w:hAnsi="宋体" w:eastAsia="宋体" w:cs="宋体"/>
                <w:b/>
                <w:bCs/>
                <w:color w:val="auto"/>
                <w:szCs w:val="21"/>
              </w:rPr>
            </w:pPr>
            <w:r>
              <w:rPr>
                <w:rFonts w:hint="eastAsia" w:ascii="宋体" w:hAnsi="宋体" w:eastAsia="宋体" w:cs="宋体"/>
                <w:b/>
                <w:bCs/>
                <w:color w:val="auto"/>
                <w:szCs w:val="21"/>
              </w:rPr>
              <w:t>沟通合作</w:t>
            </w:r>
          </w:p>
        </w:tc>
        <w:tc>
          <w:tcPr>
            <w:tcW w:w="6502" w:type="dxa"/>
            <w:vAlign w:val="center"/>
          </w:tcPr>
          <w:p w14:paraId="0A1F2D6A">
            <w:pPr>
              <w:spacing w:line="276" w:lineRule="auto"/>
              <w:jc w:val="left"/>
              <w:rPr>
                <w:rFonts w:hint="eastAsia" w:ascii="宋体" w:hAnsi="宋体" w:eastAsia="宋体" w:cs="Times New Roman"/>
                <w:b w:val="0"/>
                <w:bCs w:val="0"/>
                <w:color w:val="auto"/>
                <w:szCs w:val="21"/>
                <w:lang w:eastAsia="zh-CN"/>
              </w:rPr>
            </w:pPr>
            <w:r>
              <w:rPr>
                <w:rFonts w:hint="eastAsia" w:ascii="宋体" w:hAnsi="宋体" w:eastAsia="宋体" w:cs="宋体"/>
                <w:b w:val="0"/>
                <w:bCs w:val="0"/>
                <w:color w:val="auto"/>
                <w:kern w:val="0"/>
                <w:szCs w:val="21"/>
                <w:lang w:eastAsia="zh-CN"/>
              </w:rPr>
              <w:t>指标点8-1：【善于团队合作】理解学习共同体的本质和价值，掌握团队协作的基本策略，在课堂学习与教育实践中获得合作学习体验，形成团队协作精神。</w:t>
            </w:r>
          </w:p>
        </w:tc>
        <w:tc>
          <w:tcPr>
            <w:tcW w:w="1362" w:type="dxa"/>
            <w:vAlign w:val="center"/>
          </w:tcPr>
          <w:p w14:paraId="691DEC6F">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r>
    </w:tbl>
    <w:p w14:paraId="0C6F2C74">
      <w:pPr>
        <w:spacing w:before="156" w:beforeLines="50" w:line="360" w:lineRule="auto"/>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20091FA1">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一方面激发学生创新创业热情和家国情怀，树立正确的人生观、价值观、创业观及民族自豪感，另一方面，为后续的专创融合进阶课程和产教融合实战课程打下基础，不断完善基于产教融合的创新创业人才培养体系，实现应用型地方高校人才培养供给侧和产业发展  需求侧的有机衔接。</w:t>
      </w:r>
    </w:p>
    <w:p w14:paraId="190F33E4">
      <w:pPr>
        <w:spacing w:line="360" w:lineRule="auto"/>
        <w:jc w:val="left"/>
        <w:rPr>
          <w:rFonts w:hint="eastAsia" w:ascii="宋体" w:hAnsi="宋体" w:eastAsia="宋体" w:cs="Times New Roman"/>
          <w:b/>
          <w:color w:val="auto"/>
          <w:sz w:val="24"/>
        </w:rPr>
      </w:pPr>
      <w:r>
        <w:rPr>
          <w:rFonts w:hint="eastAsia" w:ascii="宋体" w:hAnsi="宋体" w:eastAsia="宋体" w:cs="Times New Roman"/>
          <w:b/>
          <w:color w:val="auto"/>
          <w:sz w:val="24"/>
        </w:rPr>
        <w:t>三、教学内容与预期学习成效</w:t>
      </w:r>
    </w:p>
    <w:tbl>
      <w:tblPr>
        <w:tblStyle w:val="16"/>
        <w:tblW w:w="9512"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800"/>
        <w:gridCol w:w="1264"/>
        <w:gridCol w:w="2246"/>
        <w:gridCol w:w="1560"/>
        <w:gridCol w:w="439"/>
      </w:tblGrid>
      <w:tr w14:paraId="217B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Align w:val="center"/>
          </w:tcPr>
          <w:p w14:paraId="7746617B">
            <w:pPr>
              <w:keepNext w:val="0"/>
              <w:keepLines w:val="0"/>
              <w:pageBreakBefore w:val="0"/>
              <w:wordWrap/>
              <w:overflowPunct/>
              <w:topLinePunct w:val="0"/>
              <w:bidi w:val="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知识</w:t>
            </w:r>
          </w:p>
          <w:p w14:paraId="6216999A">
            <w:pPr>
              <w:keepNext w:val="0"/>
              <w:keepLines w:val="0"/>
              <w:pageBreakBefore w:val="0"/>
              <w:wordWrap/>
              <w:overflowPunct/>
              <w:topLinePunct w:val="0"/>
              <w:bidi w:val="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单元</w:t>
            </w:r>
          </w:p>
        </w:tc>
        <w:tc>
          <w:tcPr>
            <w:tcW w:w="2800" w:type="dxa"/>
            <w:vAlign w:val="center"/>
          </w:tcPr>
          <w:p w14:paraId="180F94C5">
            <w:pPr>
              <w:keepNext w:val="0"/>
              <w:keepLines w:val="0"/>
              <w:pageBreakBefore w:val="0"/>
              <w:wordWrap/>
              <w:overflowPunct/>
              <w:topLinePunct w:val="0"/>
              <w:bidi w:val="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知识点</w:t>
            </w:r>
          </w:p>
        </w:tc>
        <w:tc>
          <w:tcPr>
            <w:tcW w:w="1264" w:type="dxa"/>
            <w:vAlign w:val="center"/>
          </w:tcPr>
          <w:p w14:paraId="28CB0BA8">
            <w:pPr>
              <w:keepNext w:val="0"/>
              <w:keepLines w:val="0"/>
              <w:pageBreakBefore w:val="0"/>
              <w:wordWrap/>
              <w:overflowPunct/>
              <w:topLinePunct w:val="0"/>
              <w:bidi w:val="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对应</w:t>
            </w:r>
          </w:p>
          <w:p w14:paraId="108AE774">
            <w:pPr>
              <w:keepNext w:val="0"/>
              <w:keepLines w:val="0"/>
              <w:pageBreakBefore w:val="0"/>
              <w:wordWrap/>
              <w:overflowPunct/>
              <w:topLinePunct w:val="0"/>
              <w:bidi w:val="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课程目标</w:t>
            </w:r>
          </w:p>
        </w:tc>
        <w:tc>
          <w:tcPr>
            <w:tcW w:w="2246" w:type="dxa"/>
            <w:vAlign w:val="center"/>
          </w:tcPr>
          <w:p w14:paraId="3BDE0231">
            <w:pPr>
              <w:keepNext w:val="0"/>
              <w:keepLines w:val="0"/>
              <w:pageBreakBefore w:val="0"/>
              <w:wordWrap/>
              <w:overflowPunct/>
              <w:topLinePunct w:val="0"/>
              <w:bidi w:val="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预期学习成效</w:t>
            </w:r>
          </w:p>
        </w:tc>
        <w:tc>
          <w:tcPr>
            <w:tcW w:w="1560" w:type="dxa"/>
            <w:vAlign w:val="center"/>
          </w:tcPr>
          <w:p w14:paraId="4F06DC5B">
            <w:pPr>
              <w:keepNext w:val="0"/>
              <w:keepLines w:val="0"/>
              <w:pageBreakBefore w:val="0"/>
              <w:wordWrap/>
              <w:overflowPunct/>
              <w:topLinePunct w:val="0"/>
              <w:bidi w:val="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实现环节</w:t>
            </w:r>
          </w:p>
        </w:tc>
        <w:tc>
          <w:tcPr>
            <w:tcW w:w="439" w:type="dxa"/>
            <w:vAlign w:val="center"/>
          </w:tcPr>
          <w:p w14:paraId="55405EA2">
            <w:pPr>
              <w:keepNext w:val="0"/>
              <w:keepLines w:val="0"/>
              <w:pageBreakBefore w:val="0"/>
              <w:wordWrap/>
              <w:overflowPunct/>
              <w:topLinePunct w:val="0"/>
              <w:bidi w:val="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学时</w:t>
            </w:r>
          </w:p>
        </w:tc>
      </w:tr>
      <w:tr w14:paraId="2FB6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10C40C71">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b/>
                <w:bCs/>
                <w:color w:val="auto"/>
                <w:spacing w:val="-16"/>
                <w:sz w:val="21"/>
                <w:szCs w:val="21"/>
              </w:rPr>
              <w:t xml:space="preserve"> 导</w:t>
            </w:r>
            <w:r>
              <w:rPr>
                <w:rFonts w:hint="eastAsia" w:ascii="宋体" w:hAnsi="宋体" w:eastAsia="宋体" w:cs="宋体"/>
                <w:color w:val="auto"/>
                <w:spacing w:val="-16"/>
                <w:sz w:val="21"/>
                <w:szCs w:val="21"/>
              </w:rPr>
              <w:t xml:space="preserve"> </w:t>
            </w:r>
            <w:r>
              <w:rPr>
                <w:rFonts w:hint="eastAsia" w:ascii="宋体" w:hAnsi="宋体" w:eastAsia="宋体" w:cs="宋体"/>
                <w:b/>
                <w:bCs/>
                <w:color w:val="auto"/>
                <w:spacing w:val="-16"/>
                <w:sz w:val="21"/>
                <w:szCs w:val="21"/>
              </w:rPr>
              <w:t>论</w:t>
            </w:r>
          </w:p>
        </w:tc>
        <w:tc>
          <w:tcPr>
            <w:tcW w:w="2800" w:type="dxa"/>
            <w:vAlign w:val="center"/>
          </w:tcPr>
          <w:p w14:paraId="4C1E0C50">
            <w:pPr>
              <w:pStyle w:val="33"/>
              <w:keepNext w:val="0"/>
              <w:keepLines w:val="0"/>
              <w:pageBreakBefore w:val="0"/>
              <w:wordWrap/>
              <w:overflowPunct/>
              <w:topLinePunct w:val="0"/>
              <w:bidi w:val="0"/>
              <w:ind w:left="13" w:leftChars="5" w:right="-38" w:rightChars="-18" w:hanging="3" w:hangingChars="2"/>
              <w:jc w:val="both"/>
              <w:rPr>
                <w:rFonts w:hint="eastAsia" w:ascii="宋体" w:hAnsi="宋体" w:eastAsia="宋体" w:cs="宋体"/>
                <w:color w:val="auto"/>
                <w:sz w:val="21"/>
                <w:szCs w:val="21"/>
                <w:lang w:eastAsia="zh-CN"/>
              </w:rPr>
            </w:pPr>
            <w:r>
              <w:rPr>
                <w:rFonts w:hint="eastAsia" w:ascii="宋体" w:hAnsi="宋体" w:eastAsia="宋体" w:cs="宋体"/>
                <w:color w:val="auto"/>
                <w:spacing w:val="-16"/>
                <w:sz w:val="21"/>
                <w:szCs w:val="21"/>
                <w:lang w:eastAsia="zh-CN"/>
              </w:rPr>
              <w:t>新时代背景对大学</w:t>
            </w:r>
            <w:r>
              <w:rPr>
                <w:rFonts w:hint="eastAsia" w:ascii="宋体" w:hAnsi="宋体" w:eastAsia="宋体" w:cs="宋体"/>
                <w:color w:val="auto"/>
                <w:spacing w:val="1"/>
                <w:sz w:val="21"/>
                <w:szCs w:val="21"/>
                <w:lang w:eastAsia="zh-CN"/>
              </w:rPr>
              <w:t>生创新创业的要求；大学</w:t>
            </w:r>
            <w:r>
              <w:rPr>
                <w:rFonts w:hint="eastAsia" w:ascii="宋体" w:hAnsi="宋体" w:eastAsia="宋体" w:cs="宋体"/>
                <w:color w:val="auto"/>
                <w:spacing w:val="10"/>
                <w:sz w:val="21"/>
                <w:szCs w:val="21"/>
                <w:lang w:eastAsia="zh-CN"/>
              </w:rPr>
              <w:t>生创新和创业的类型；</w:t>
            </w:r>
            <w:r>
              <w:rPr>
                <w:rFonts w:hint="eastAsia" w:ascii="宋体" w:hAnsi="宋体" w:eastAsia="宋体" w:cs="宋体"/>
                <w:color w:val="auto"/>
                <w:spacing w:val="9"/>
                <w:sz w:val="21"/>
                <w:szCs w:val="21"/>
                <w:lang w:eastAsia="zh-CN"/>
              </w:rPr>
              <w:t>“四新”建设和大学生创</w:t>
            </w:r>
            <w:r>
              <w:rPr>
                <w:rFonts w:hint="eastAsia" w:ascii="宋体" w:hAnsi="宋体" w:eastAsia="宋体" w:cs="宋体"/>
                <w:color w:val="auto"/>
                <w:spacing w:val="-1"/>
                <w:sz w:val="21"/>
                <w:szCs w:val="21"/>
                <w:lang w:eastAsia="zh-CN"/>
              </w:rPr>
              <w:t>新创业教育；中国国际大</w:t>
            </w:r>
            <w:r>
              <w:rPr>
                <w:rFonts w:hint="eastAsia" w:ascii="宋体" w:hAnsi="宋体" w:eastAsia="宋体" w:cs="宋体"/>
                <w:color w:val="auto"/>
                <w:spacing w:val="1"/>
                <w:sz w:val="21"/>
                <w:szCs w:val="21"/>
                <w:lang w:eastAsia="zh-CN"/>
              </w:rPr>
              <w:t>学生创新大赛与高校创</w:t>
            </w:r>
            <w:r>
              <w:rPr>
                <w:rFonts w:hint="eastAsia" w:ascii="宋体" w:hAnsi="宋体" w:eastAsia="宋体" w:cs="宋体"/>
                <w:color w:val="auto"/>
                <w:spacing w:val="4"/>
                <w:sz w:val="21"/>
                <w:szCs w:val="21"/>
                <w:lang w:eastAsia="zh-CN"/>
              </w:rPr>
              <w:t xml:space="preserve"> </w:t>
            </w:r>
            <w:r>
              <w:rPr>
                <w:rFonts w:hint="eastAsia" w:ascii="宋体" w:hAnsi="宋体" w:eastAsia="宋体" w:cs="宋体"/>
                <w:color w:val="auto"/>
                <w:spacing w:val="-1"/>
                <w:sz w:val="21"/>
                <w:szCs w:val="21"/>
                <w:lang w:eastAsia="zh-CN"/>
              </w:rPr>
              <w:t>新创业人才培养。</w:t>
            </w:r>
          </w:p>
        </w:tc>
        <w:tc>
          <w:tcPr>
            <w:tcW w:w="1264" w:type="dxa"/>
            <w:vAlign w:val="center"/>
          </w:tcPr>
          <w:p w14:paraId="37CB3AEB">
            <w:pPr>
              <w:pStyle w:val="33"/>
              <w:keepNext w:val="0"/>
              <w:keepLines w:val="0"/>
              <w:pageBreakBefore w:val="0"/>
              <w:wordWrap/>
              <w:overflowPunct/>
              <w:topLinePunct w:val="0"/>
              <w:bidi w:val="0"/>
              <w:ind w:left="159"/>
              <w:rPr>
                <w:rFonts w:hint="eastAsia" w:ascii="宋体" w:hAnsi="宋体" w:eastAsia="宋体" w:cs="宋体"/>
                <w:color w:val="auto"/>
                <w:sz w:val="21"/>
                <w:szCs w:val="21"/>
              </w:rPr>
            </w:pPr>
            <w:r>
              <w:rPr>
                <w:rFonts w:hint="eastAsia" w:ascii="宋体" w:hAnsi="宋体" w:eastAsia="宋体" w:cs="宋体"/>
                <w:color w:val="auto"/>
                <w:spacing w:val="8"/>
                <w:sz w:val="21"/>
                <w:szCs w:val="21"/>
                <w:lang w:eastAsia="zh-CN"/>
              </w:rPr>
              <w:t>课程</w:t>
            </w:r>
            <w:r>
              <w:rPr>
                <w:rFonts w:hint="eastAsia" w:ascii="宋体" w:hAnsi="宋体" w:eastAsia="宋体" w:cs="宋体"/>
                <w:color w:val="auto"/>
                <w:spacing w:val="8"/>
                <w:sz w:val="21"/>
                <w:szCs w:val="21"/>
              </w:rPr>
              <w:t>目标</w:t>
            </w:r>
            <w:r>
              <w:rPr>
                <w:rFonts w:hint="eastAsia" w:ascii="宋体" w:hAnsi="宋体" w:eastAsia="宋体" w:cs="宋体"/>
                <w:color w:val="auto"/>
                <w:spacing w:val="-5"/>
                <w:sz w:val="21"/>
                <w:szCs w:val="21"/>
              </w:rPr>
              <w:t>1、2</w:t>
            </w:r>
          </w:p>
        </w:tc>
        <w:tc>
          <w:tcPr>
            <w:tcW w:w="2246" w:type="dxa"/>
            <w:vAlign w:val="center"/>
          </w:tcPr>
          <w:p w14:paraId="0AA02BC1">
            <w:pPr>
              <w:keepNext w:val="0"/>
              <w:keepLines w:val="0"/>
              <w:pageBreakBefore w:val="0"/>
              <w:wordWrap/>
              <w:overflowPunct/>
              <w:topLinePunct w:val="0"/>
              <w:bidi w:val="0"/>
              <w:rPr>
                <w:rFonts w:hint="eastAsia" w:ascii="宋体" w:hAnsi="宋体" w:eastAsia="宋体" w:cs="宋体"/>
                <w:color w:val="auto"/>
                <w:sz w:val="21"/>
                <w:szCs w:val="21"/>
              </w:rPr>
            </w:pPr>
            <w:r>
              <w:rPr>
                <w:rFonts w:hint="eastAsia" w:ascii="宋体" w:hAnsi="宋体" w:eastAsia="宋体" w:cs="宋体"/>
                <w:color w:val="auto"/>
                <w:spacing w:val="1"/>
                <w:sz w:val="21"/>
                <w:szCs w:val="21"/>
              </w:rPr>
              <w:t>理解大学生创新和</w:t>
            </w:r>
            <w:r>
              <w:rPr>
                <w:rFonts w:hint="eastAsia" w:ascii="宋体" w:hAnsi="宋体" w:eastAsia="宋体" w:cs="宋体"/>
                <w:color w:val="auto"/>
                <w:spacing w:val="16"/>
                <w:sz w:val="21"/>
                <w:szCs w:val="21"/>
              </w:rPr>
              <w:t>创业的类型和创</w:t>
            </w:r>
            <w:r>
              <w:rPr>
                <w:rFonts w:hint="eastAsia" w:ascii="宋体" w:hAnsi="宋体" w:eastAsia="宋体" w:cs="宋体"/>
                <w:color w:val="auto"/>
                <w:spacing w:val="12"/>
                <w:sz w:val="21"/>
                <w:szCs w:val="21"/>
              </w:rPr>
              <w:t>新、创业、专业、</w:t>
            </w:r>
            <w:r>
              <w:rPr>
                <w:rFonts w:hint="eastAsia" w:ascii="宋体" w:hAnsi="宋体" w:eastAsia="宋体" w:cs="宋体"/>
                <w:color w:val="auto"/>
                <w:spacing w:val="-2"/>
                <w:sz w:val="21"/>
                <w:szCs w:val="21"/>
              </w:rPr>
              <w:t>产业以及与职业生</w:t>
            </w:r>
            <w:r>
              <w:rPr>
                <w:rFonts w:hint="eastAsia" w:ascii="宋体" w:hAnsi="宋体" w:eastAsia="宋体" w:cs="宋体"/>
                <w:color w:val="auto"/>
                <w:spacing w:val="15"/>
                <w:sz w:val="21"/>
                <w:szCs w:val="21"/>
              </w:rPr>
              <w:t>涯发展的逻辑关</w:t>
            </w:r>
            <w:r>
              <w:rPr>
                <w:rFonts w:hint="eastAsia" w:ascii="宋体" w:hAnsi="宋体" w:eastAsia="宋体" w:cs="宋体"/>
                <w:color w:val="auto"/>
                <w:sz w:val="21"/>
                <w:szCs w:val="21"/>
              </w:rPr>
              <w:t>系；熟悉中国国际</w:t>
            </w:r>
            <w:r>
              <w:rPr>
                <w:rFonts w:hint="eastAsia" w:ascii="宋体" w:hAnsi="宋体" w:eastAsia="宋体" w:cs="宋体"/>
                <w:color w:val="auto"/>
                <w:spacing w:val="1"/>
                <w:sz w:val="21"/>
                <w:szCs w:val="21"/>
              </w:rPr>
              <w:t>大学生创新大赛与</w:t>
            </w:r>
            <w:r>
              <w:rPr>
                <w:rFonts w:hint="eastAsia" w:ascii="宋体" w:hAnsi="宋体" w:eastAsia="宋体" w:cs="宋体"/>
                <w:color w:val="auto"/>
                <w:sz w:val="21"/>
                <w:szCs w:val="21"/>
              </w:rPr>
              <w:t>高校创新创业人才</w:t>
            </w:r>
            <w:r>
              <w:rPr>
                <w:rFonts w:hint="eastAsia" w:ascii="宋体" w:hAnsi="宋体" w:eastAsia="宋体" w:cs="宋体"/>
                <w:color w:val="auto"/>
                <w:spacing w:val="-2"/>
                <w:sz w:val="21"/>
                <w:szCs w:val="21"/>
              </w:rPr>
              <w:t>培养。</w:t>
            </w:r>
          </w:p>
        </w:tc>
        <w:tc>
          <w:tcPr>
            <w:tcW w:w="1560" w:type="dxa"/>
            <w:vAlign w:val="center"/>
          </w:tcPr>
          <w:p w14:paraId="3DBB518C">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1.线下学习</w:t>
            </w:r>
          </w:p>
          <w:p w14:paraId="563437CF">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2.多媒体教学</w:t>
            </w:r>
          </w:p>
          <w:p w14:paraId="2C4DD2C6">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3.课堂讨论</w:t>
            </w:r>
          </w:p>
        </w:tc>
        <w:tc>
          <w:tcPr>
            <w:tcW w:w="439" w:type="dxa"/>
            <w:vAlign w:val="center"/>
          </w:tcPr>
          <w:p w14:paraId="409BAFD9">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14:paraId="5B9A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14:paraId="745DEA20">
            <w:pPr>
              <w:keepNext w:val="0"/>
              <w:keepLines w:val="0"/>
              <w:pageBreakBefore w:val="0"/>
              <w:wordWrap/>
              <w:overflowPunct/>
              <w:topLinePunct w:val="0"/>
              <w:bidi w:val="0"/>
              <w:jc w:val="center"/>
              <w:rPr>
                <w:rFonts w:hint="eastAsia" w:ascii="宋体" w:hAnsi="宋体" w:eastAsia="宋体" w:cs="宋体"/>
                <w:color w:val="auto"/>
                <w:sz w:val="21"/>
                <w:szCs w:val="21"/>
              </w:rPr>
            </w:pPr>
          </w:p>
        </w:tc>
        <w:tc>
          <w:tcPr>
            <w:tcW w:w="8309" w:type="dxa"/>
            <w:gridSpan w:val="5"/>
            <w:vAlign w:val="center"/>
          </w:tcPr>
          <w:p w14:paraId="51EBBC12">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pacing w:val="-1"/>
                <w:sz w:val="21"/>
                <w:szCs w:val="21"/>
              </w:rPr>
              <w:t>跟党学双创，深入理解党的二十大和二十届二中、三中全会</w:t>
            </w:r>
            <w:r>
              <w:rPr>
                <w:rFonts w:hint="eastAsia" w:ascii="宋体" w:hAnsi="宋体" w:eastAsia="宋体" w:cs="宋体"/>
                <w:color w:val="auto"/>
                <w:sz w:val="21"/>
                <w:szCs w:val="21"/>
              </w:rPr>
              <w:t>以及全国教育大会精神，从教育、科技、人才一体推进的战</w:t>
            </w:r>
            <w:r>
              <w:rPr>
                <w:rFonts w:hint="eastAsia" w:ascii="宋体" w:hAnsi="宋体" w:eastAsia="宋体" w:cs="宋体"/>
                <w:color w:val="auto"/>
                <w:spacing w:val="8"/>
                <w:sz w:val="21"/>
                <w:szCs w:val="21"/>
              </w:rPr>
              <w:t>略上深化创新创业教育改革；</w:t>
            </w:r>
            <w:r>
              <w:rPr>
                <w:rFonts w:hint="eastAsia" w:ascii="宋体" w:hAnsi="宋体" w:eastAsia="宋体" w:cs="宋体"/>
                <w:color w:val="auto"/>
                <w:spacing w:val="-1"/>
                <w:sz w:val="21"/>
                <w:szCs w:val="21"/>
              </w:rPr>
              <w:t>深刻领会中共中央总书记习近平给中国国际大学生创新大赛</w:t>
            </w:r>
            <w:r>
              <w:rPr>
                <w:rFonts w:hint="eastAsia" w:ascii="宋体" w:hAnsi="宋体" w:eastAsia="宋体" w:cs="宋体"/>
                <w:color w:val="auto"/>
                <w:sz w:val="21"/>
                <w:szCs w:val="21"/>
              </w:rPr>
              <w:t>参赛学生代表的回信内涵，为</w:t>
            </w:r>
            <w:r>
              <w:rPr>
                <w:rFonts w:hint="eastAsia" w:ascii="宋体" w:hAnsi="宋体" w:eastAsia="宋体" w:cs="宋体"/>
                <w:color w:val="auto"/>
                <w:spacing w:val="-1"/>
                <w:sz w:val="21"/>
                <w:szCs w:val="21"/>
              </w:rPr>
              <w:t>建设教育强国和新质生产力发</w:t>
            </w:r>
            <w:r>
              <w:rPr>
                <w:rFonts w:hint="eastAsia" w:ascii="宋体" w:hAnsi="宋体" w:eastAsia="宋体" w:cs="宋体"/>
                <w:color w:val="auto"/>
                <w:sz w:val="21"/>
                <w:szCs w:val="21"/>
              </w:rPr>
              <w:t>展提供坚实人才支撑。</w:t>
            </w:r>
          </w:p>
        </w:tc>
      </w:tr>
      <w:tr w14:paraId="09C9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5CF063FB">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b/>
                <w:bCs/>
                <w:color w:val="auto"/>
                <w:spacing w:val="-3"/>
                <w:sz w:val="21"/>
                <w:szCs w:val="21"/>
              </w:rPr>
              <w:t xml:space="preserve"> 创新思维基础</w:t>
            </w:r>
          </w:p>
        </w:tc>
        <w:tc>
          <w:tcPr>
            <w:tcW w:w="2800" w:type="dxa"/>
            <w:vAlign w:val="center"/>
          </w:tcPr>
          <w:p w14:paraId="0D387478">
            <w:pPr>
              <w:pStyle w:val="33"/>
              <w:keepNext w:val="0"/>
              <w:keepLines w:val="0"/>
              <w:pageBreakBefore w:val="0"/>
              <w:wordWrap/>
              <w:overflowPunct/>
              <w:topLinePunct w:val="0"/>
              <w:bidi w:val="0"/>
              <w:jc w:val="both"/>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创新思维</w:t>
            </w:r>
            <w:r>
              <w:rPr>
                <w:rFonts w:hint="eastAsia" w:ascii="宋体" w:hAnsi="宋体" w:eastAsia="宋体" w:cs="宋体"/>
                <w:color w:val="auto"/>
                <w:spacing w:val="1"/>
                <w:sz w:val="21"/>
                <w:szCs w:val="21"/>
                <w:lang w:eastAsia="zh-CN"/>
              </w:rPr>
              <w:t>的概念、类型和过程以及</w:t>
            </w:r>
            <w:r>
              <w:rPr>
                <w:rFonts w:hint="eastAsia" w:ascii="宋体" w:hAnsi="宋体" w:eastAsia="宋体" w:cs="宋体"/>
                <w:color w:val="auto"/>
                <w:spacing w:val="-1"/>
                <w:sz w:val="21"/>
                <w:szCs w:val="21"/>
                <w:lang w:eastAsia="zh-CN"/>
              </w:rPr>
              <w:t>培养方法；应用案例分析</w:t>
            </w:r>
            <w:r>
              <w:rPr>
                <w:rFonts w:hint="eastAsia" w:ascii="宋体" w:hAnsi="宋体" w:eastAsia="宋体" w:cs="宋体"/>
                <w:color w:val="auto"/>
                <w:spacing w:val="2"/>
                <w:sz w:val="21"/>
                <w:szCs w:val="21"/>
                <w:lang w:eastAsia="zh-CN"/>
              </w:rPr>
              <w:t>大学生创新创业项目中</w:t>
            </w:r>
            <w:r>
              <w:rPr>
                <w:rFonts w:hint="eastAsia" w:ascii="宋体" w:hAnsi="宋体" w:eastAsia="宋体" w:cs="宋体"/>
                <w:color w:val="auto"/>
                <w:spacing w:val="-1"/>
                <w:sz w:val="21"/>
                <w:szCs w:val="21"/>
                <w:lang w:eastAsia="zh-CN"/>
              </w:rPr>
              <w:t>包含的创新思维策略。</w:t>
            </w:r>
          </w:p>
        </w:tc>
        <w:tc>
          <w:tcPr>
            <w:tcW w:w="1264" w:type="dxa"/>
            <w:vAlign w:val="center"/>
          </w:tcPr>
          <w:p w14:paraId="49D8E2BB">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课程目标1</w:t>
            </w:r>
          </w:p>
        </w:tc>
        <w:tc>
          <w:tcPr>
            <w:tcW w:w="2246" w:type="dxa"/>
            <w:vAlign w:val="center"/>
          </w:tcPr>
          <w:p w14:paraId="207EF02F">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pacing w:val="1"/>
                <w:sz w:val="21"/>
                <w:szCs w:val="21"/>
              </w:rPr>
              <w:t>掌握创新思维的培</w:t>
            </w:r>
            <w:r>
              <w:rPr>
                <w:rFonts w:hint="eastAsia" w:ascii="宋体" w:hAnsi="宋体" w:eastAsia="宋体" w:cs="宋体"/>
                <w:color w:val="auto"/>
                <w:spacing w:val="-2"/>
                <w:sz w:val="21"/>
                <w:szCs w:val="21"/>
              </w:rPr>
              <w:t>养方法以及大学生创新创业项目中包</w:t>
            </w:r>
            <w:r>
              <w:rPr>
                <w:rFonts w:hint="eastAsia" w:ascii="宋体" w:hAnsi="宋体" w:eastAsia="宋体" w:cs="宋体"/>
                <w:color w:val="auto"/>
                <w:spacing w:val="13"/>
                <w:sz w:val="21"/>
                <w:szCs w:val="21"/>
              </w:rPr>
              <w:t>含的创新思维策</w:t>
            </w:r>
            <w:r>
              <w:rPr>
                <w:rFonts w:hint="eastAsia" w:ascii="宋体" w:hAnsi="宋体" w:eastAsia="宋体" w:cs="宋体"/>
                <w:color w:val="auto"/>
                <w:spacing w:val="-2"/>
                <w:sz w:val="21"/>
                <w:szCs w:val="21"/>
              </w:rPr>
              <w:t>略。</w:t>
            </w:r>
          </w:p>
        </w:tc>
        <w:tc>
          <w:tcPr>
            <w:tcW w:w="1560" w:type="dxa"/>
            <w:vAlign w:val="center"/>
          </w:tcPr>
          <w:p w14:paraId="40D10328">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1.线下学习</w:t>
            </w:r>
          </w:p>
          <w:p w14:paraId="2D72E555">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2.多媒体教学</w:t>
            </w:r>
          </w:p>
          <w:p w14:paraId="2BD4B284">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3.课堂讨论</w:t>
            </w:r>
          </w:p>
        </w:tc>
        <w:tc>
          <w:tcPr>
            <w:tcW w:w="439" w:type="dxa"/>
            <w:vAlign w:val="center"/>
          </w:tcPr>
          <w:p w14:paraId="19D1341E">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14:paraId="2208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14:paraId="04A838D1">
            <w:pPr>
              <w:keepNext w:val="0"/>
              <w:keepLines w:val="0"/>
              <w:pageBreakBefore w:val="0"/>
              <w:wordWrap/>
              <w:overflowPunct/>
              <w:topLinePunct w:val="0"/>
              <w:bidi w:val="0"/>
              <w:jc w:val="center"/>
              <w:rPr>
                <w:rFonts w:hint="eastAsia" w:ascii="宋体" w:hAnsi="宋体" w:eastAsia="宋体" w:cs="宋体"/>
                <w:color w:val="auto"/>
                <w:sz w:val="21"/>
                <w:szCs w:val="21"/>
              </w:rPr>
            </w:pPr>
          </w:p>
        </w:tc>
        <w:tc>
          <w:tcPr>
            <w:tcW w:w="8309" w:type="dxa"/>
            <w:gridSpan w:val="5"/>
            <w:vAlign w:val="center"/>
          </w:tcPr>
          <w:p w14:paraId="44984E7E">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pacing w:val="-1"/>
                <w:sz w:val="21"/>
                <w:szCs w:val="21"/>
              </w:rPr>
              <w:t>培养创新思维，引导学生树立</w:t>
            </w:r>
            <w:r>
              <w:rPr>
                <w:rFonts w:hint="eastAsia" w:ascii="宋体" w:hAnsi="宋体" w:eastAsia="宋体" w:cs="宋体"/>
                <w:color w:val="auto"/>
                <w:spacing w:val="2"/>
                <w:sz w:val="21"/>
                <w:szCs w:val="21"/>
              </w:rPr>
              <w:t xml:space="preserve"> </w:t>
            </w:r>
            <w:r>
              <w:rPr>
                <w:rFonts w:hint="eastAsia" w:ascii="宋体" w:hAnsi="宋体" w:eastAsia="宋体" w:cs="宋体"/>
                <w:color w:val="auto"/>
                <w:sz w:val="21"/>
                <w:szCs w:val="21"/>
              </w:rPr>
              <w:t>正确人生观和价值观，激发爱</w:t>
            </w:r>
            <w:r>
              <w:rPr>
                <w:rFonts w:hint="eastAsia" w:ascii="宋体" w:hAnsi="宋体" w:eastAsia="宋体" w:cs="宋体"/>
                <w:color w:val="auto"/>
                <w:spacing w:val="9"/>
                <w:sz w:val="21"/>
                <w:szCs w:val="21"/>
              </w:rPr>
              <w:t xml:space="preserve"> </w:t>
            </w:r>
            <w:r>
              <w:rPr>
                <w:rFonts w:hint="eastAsia" w:ascii="宋体" w:hAnsi="宋体" w:eastAsia="宋体" w:cs="宋体"/>
                <w:color w:val="auto"/>
                <w:sz w:val="21"/>
                <w:szCs w:val="21"/>
              </w:rPr>
              <w:t>国主义情怀，践行社会主义核</w:t>
            </w:r>
            <w:r>
              <w:rPr>
                <w:rFonts w:hint="eastAsia" w:ascii="宋体" w:hAnsi="宋体" w:eastAsia="宋体" w:cs="宋体"/>
                <w:color w:val="auto"/>
                <w:spacing w:val="11"/>
                <w:sz w:val="21"/>
                <w:szCs w:val="21"/>
              </w:rPr>
              <w:t xml:space="preserve"> </w:t>
            </w:r>
            <w:r>
              <w:rPr>
                <w:rFonts w:hint="eastAsia" w:ascii="宋体" w:hAnsi="宋体" w:eastAsia="宋体" w:cs="宋体"/>
                <w:color w:val="auto"/>
                <w:sz w:val="21"/>
                <w:szCs w:val="21"/>
              </w:rPr>
              <w:t>心价值观，成为德才兼备、全面发展的创新型人才。</w:t>
            </w:r>
          </w:p>
        </w:tc>
      </w:tr>
      <w:tr w14:paraId="7DFA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28879D81">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r>
              <w:rPr>
                <w:rFonts w:hint="eastAsia" w:ascii="宋体" w:hAnsi="宋体" w:eastAsia="宋体" w:cs="宋体"/>
                <w:b/>
                <w:bCs/>
                <w:color w:val="auto"/>
                <w:spacing w:val="-3"/>
                <w:sz w:val="21"/>
                <w:szCs w:val="21"/>
              </w:rPr>
              <w:t xml:space="preserve"> 创新思维方法与工具</w:t>
            </w:r>
          </w:p>
        </w:tc>
        <w:tc>
          <w:tcPr>
            <w:tcW w:w="2800" w:type="dxa"/>
            <w:vAlign w:val="center"/>
          </w:tcPr>
          <w:p w14:paraId="75B22E42">
            <w:pPr>
              <w:pStyle w:val="33"/>
              <w:keepNext w:val="0"/>
              <w:keepLines w:val="0"/>
              <w:pageBreakBefore w:val="0"/>
              <w:wordWrap/>
              <w:overflowPunct/>
              <w:topLinePunct w:val="0"/>
              <w:bidi w:val="0"/>
              <w:ind w:left="-34" w:leftChars="-16" w:right="-38" w:rightChars="-18"/>
              <w:jc w:val="both"/>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常</w:t>
            </w:r>
            <w:r>
              <w:rPr>
                <w:rFonts w:hint="eastAsia" w:ascii="宋体" w:hAnsi="宋体" w:eastAsia="宋体" w:cs="宋体"/>
                <w:color w:val="auto"/>
                <w:spacing w:val="1"/>
                <w:sz w:val="21"/>
                <w:szCs w:val="21"/>
                <w:lang w:eastAsia="zh-CN"/>
              </w:rPr>
              <w:t>见的创新思维方法和思</w:t>
            </w:r>
            <w:r>
              <w:rPr>
                <w:rFonts w:hint="eastAsia" w:ascii="宋体" w:hAnsi="宋体" w:eastAsia="宋体" w:cs="宋体"/>
                <w:color w:val="auto"/>
                <w:sz w:val="21"/>
                <w:szCs w:val="21"/>
                <w:lang w:eastAsia="zh-CN"/>
              </w:rPr>
              <w:t>维分析工具；社会调查报</w:t>
            </w:r>
            <w:r>
              <w:rPr>
                <w:rFonts w:hint="eastAsia" w:ascii="宋体" w:hAnsi="宋体" w:eastAsia="宋体" w:cs="宋体"/>
                <w:color w:val="auto"/>
                <w:spacing w:val="1"/>
                <w:sz w:val="21"/>
                <w:szCs w:val="21"/>
                <w:lang w:eastAsia="zh-CN"/>
              </w:rPr>
              <w:t>告和专利撰写的基本结构；“挑战杯”全国大学</w:t>
            </w:r>
            <w:r>
              <w:rPr>
                <w:rFonts w:hint="eastAsia" w:ascii="宋体" w:hAnsi="宋体" w:eastAsia="宋体" w:cs="宋体"/>
                <w:color w:val="auto"/>
                <w:spacing w:val="-1"/>
                <w:sz w:val="21"/>
                <w:szCs w:val="21"/>
                <w:lang w:eastAsia="zh-CN"/>
              </w:rPr>
              <w:t>生课外学术作品竞赛获</w:t>
            </w:r>
            <w:r>
              <w:rPr>
                <w:rFonts w:hint="eastAsia" w:ascii="宋体" w:hAnsi="宋体" w:eastAsia="宋体" w:cs="宋体"/>
                <w:color w:val="auto"/>
                <w:spacing w:val="-2"/>
                <w:sz w:val="21"/>
                <w:szCs w:val="21"/>
                <w:lang w:eastAsia="zh-CN"/>
              </w:rPr>
              <w:t>奖案例分析。</w:t>
            </w:r>
          </w:p>
        </w:tc>
        <w:tc>
          <w:tcPr>
            <w:tcW w:w="1264" w:type="dxa"/>
            <w:vAlign w:val="center"/>
          </w:tcPr>
          <w:p w14:paraId="4FA5965B">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pacing w:val="8"/>
                <w:sz w:val="21"/>
                <w:szCs w:val="21"/>
              </w:rPr>
              <w:t>课程目标</w:t>
            </w:r>
            <w:r>
              <w:rPr>
                <w:rFonts w:hint="eastAsia" w:ascii="宋体" w:hAnsi="宋体" w:eastAsia="宋体" w:cs="宋体"/>
                <w:color w:val="auto"/>
                <w:spacing w:val="-5"/>
                <w:sz w:val="21"/>
                <w:szCs w:val="21"/>
              </w:rPr>
              <w:t>1、2</w:t>
            </w:r>
          </w:p>
        </w:tc>
        <w:tc>
          <w:tcPr>
            <w:tcW w:w="2246" w:type="dxa"/>
            <w:vAlign w:val="center"/>
          </w:tcPr>
          <w:p w14:paraId="1E860EFB">
            <w:pPr>
              <w:pStyle w:val="33"/>
              <w:keepNext w:val="0"/>
              <w:keepLines w:val="0"/>
              <w:pageBreakBefore w:val="0"/>
              <w:wordWrap/>
              <w:overflowPunct/>
              <w:topLinePunct w:val="0"/>
              <w:bidi w:val="0"/>
              <w:ind w:right="-105" w:rightChars="-50"/>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能够应用“挑战杯”全国大学生课外学</w:t>
            </w:r>
            <w:r>
              <w:rPr>
                <w:rFonts w:hint="eastAsia" w:ascii="宋体" w:hAnsi="宋体" w:eastAsia="宋体" w:cs="宋体"/>
                <w:color w:val="auto"/>
                <w:spacing w:val="1"/>
                <w:sz w:val="21"/>
                <w:szCs w:val="21"/>
                <w:lang w:eastAsia="zh-CN"/>
              </w:rPr>
              <w:t>术作品竞赛获奖案</w:t>
            </w:r>
            <w:r>
              <w:rPr>
                <w:rFonts w:hint="eastAsia" w:ascii="宋体" w:hAnsi="宋体" w:eastAsia="宋体" w:cs="宋体"/>
                <w:color w:val="auto"/>
                <w:spacing w:val="-2"/>
                <w:sz w:val="21"/>
                <w:szCs w:val="21"/>
                <w:lang w:eastAsia="zh-CN"/>
              </w:rPr>
              <w:t>例分析创新思维方</w:t>
            </w:r>
            <w:r>
              <w:rPr>
                <w:rFonts w:hint="eastAsia" w:ascii="宋体" w:hAnsi="宋体" w:eastAsia="宋体" w:cs="宋体"/>
                <w:color w:val="auto"/>
                <w:spacing w:val="6"/>
                <w:sz w:val="21"/>
                <w:szCs w:val="21"/>
                <w:lang w:eastAsia="zh-CN"/>
              </w:rPr>
              <w:t xml:space="preserve"> </w:t>
            </w:r>
            <w:r>
              <w:rPr>
                <w:rFonts w:hint="eastAsia" w:ascii="宋体" w:hAnsi="宋体" w:eastAsia="宋体" w:cs="宋体"/>
                <w:color w:val="auto"/>
                <w:spacing w:val="2"/>
                <w:sz w:val="21"/>
                <w:szCs w:val="21"/>
                <w:lang w:eastAsia="zh-CN"/>
              </w:rPr>
              <w:t>法的使用。</w:t>
            </w:r>
          </w:p>
        </w:tc>
        <w:tc>
          <w:tcPr>
            <w:tcW w:w="1560" w:type="dxa"/>
            <w:vAlign w:val="center"/>
          </w:tcPr>
          <w:p w14:paraId="17F97892">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1.线下学习</w:t>
            </w:r>
          </w:p>
          <w:p w14:paraId="58933428">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2.多媒体教学</w:t>
            </w:r>
          </w:p>
          <w:p w14:paraId="2244C870">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3.课堂讨论</w:t>
            </w:r>
          </w:p>
          <w:p w14:paraId="43CA255D">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4.课堂汇报</w:t>
            </w:r>
          </w:p>
        </w:tc>
        <w:tc>
          <w:tcPr>
            <w:tcW w:w="439" w:type="dxa"/>
            <w:vAlign w:val="center"/>
          </w:tcPr>
          <w:p w14:paraId="3D082EDC">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r>
      <w:tr w14:paraId="56FE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14:paraId="10C3C3AB">
            <w:pPr>
              <w:keepNext w:val="0"/>
              <w:keepLines w:val="0"/>
              <w:pageBreakBefore w:val="0"/>
              <w:wordWrap/>
              <w:overflowPunct/>
              <w:topLinePunct w:val="0"/>
              <w:bidi w:val="0"/>
              <w:jc w:val="center"/>
              <w:rPr>
                <w:rFonts w:hint="eastAsia" w:ascii="宋体" w:hAnsi="宋体" w:eastAsia="宋体" w:cs="宋体"/>
                <w:color w:val="auto"/>
                <w:sz w:val="21"/>
                <w:szCs w:val="21"/>
              </w:rPr>
            </w:pPr>
          </w:p>
        </w:tc>
        <w:tc>
          <w:tcPr>
            <w:tcW w:w="8309" w:type="dxa"/>
            <w:gridSpan w:val="5"/>
            <w:vAlign w:val="center"/>
          </w:tcPr>
          <w:p w14:paraId="413630E4">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pacing w:val="-1"/>
                <w:sz w:val="21"/>
                <w:szCs w:val="21"/>
              </w:rPr>
              <w:t>将创新思维方法与工具，灵活</w:t>
            </w:r>
            <w:r>
              <w:rPr>
                <w:rFonts w:hint="eastAsia" w:ascii="宋体" w:hAnsi="宋体" w:eastAsia="宋体" w:cs="宋体"/>
                <w:color w:val="auto"/>
                <w:spacing w:val="5"/>
                <w:sz w:val="21"/>
                <w:szCs w:val="21"/>
              </w:rPr>
              <w:t xml:space="preserve"> </w:t>
            </w:r>
            <w:r>
              <w:rPr>
                <w:rFonts w:hint="eastAsia" w:ascii="宋体" w:hAnsi="宋体" w:eastAsia="宋体" w:cs="宋体"/>
                <w:color w:val="auto"/>
                <w:spacing w:val="-1"/>
                <w:sz w:val="21"/>
                <w:szCs w:val="21"/>
              </w:rPr>
              <w:t>应用到生活实践当中，提高学</w:t>
            </w:r>
            <w:r>
              <w:rPr>
                <w:rFonts w:hint="eastAsia" w:ascii="宋体" w:hAnsi="宋体" w:eastAsia="宋体" w:cs="宋体"/>
                <w:color w:val="auto"/>
                <w:spacing w:val="3"/>
                <w:sz w:val="21"/>
                <w:szCs w:val="21"/>
              </w:rPr>
              <w:t xml:space="preserve"> </w:t>
            </w:r>
            <w:r>
              <w:rPr>
                <w:rFonts w:hint="eastAsia" w:ascii="宋体" w:hAnsi="宋体" w:eastAsia="宋体" w:cs="宋体"/>
                <w:color w:val="auto"/>
                <w:spacing w:val="1"/>
                <w:sz w:val="21"/>
                <w:szCs w:val="21"/>
              </w:rPr>
              <w:t>生对创新创业活动的积极性和</w:t>
            </w:r>
            <w:r>
              <w:rPr>
                <w:rFonts w:hint="eastAsia" w:ascii="宋体" w:hAnsi="宋体" w:eastAsia="宋体" w:cs="宋体"/>
                <w:color w:val="auto"/>
                <w:spacing w:val="-1"/>
                <w:sz w:val="21"/>
                <w:szCs w:val="21"/>
              </w:rPr>
              <w:t>参与度，培养良好的思维习惯</w:t>
            </w:r>
            <w:r>
              <w:rPr>
                <w:rFonts w:hint="eastAsia" w:ascii="宋体" w:hAnsi="宋体" w:eastAsia="宋体" w:cs="宋体"/>
                <w:color w:val="auto"/>
                <w:spacing w:val="2"/>
                <w:sz w:val="21"/>
                <w:szCs w:val="21"/>
              </w:rPr>
              <w:t xml:space="preserve"> </w:t>
            </w:r>
            <w:r>
              <w:rPr>
                <w:rFonts w:hint="eastAsia" w:ascii="宋体" w:hAnsi="宋体" w:eastAsia="宋体" w:cs="宋体"/>
                <w:color w:val="auto"/>
                <w:spacing w:val="-1"/>
                <w:sz w:val="21"/>
                <w:szCs w:val="21"/>
              </w:rPr>
              <w:t>与创新人格。</w:t>
            </w:r>
          </w:p>
        </w:tc>
      </w:tr>
      <w:tr w14:paraId="0CFB3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7B10B2D1">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r>
              <w:rPr>
                <w:rFonts w:hint="eastAsia" w:ascii="宋体" w:hAnsi="宋体" w:eastAsia="宋体" w:cs="宋体"/>
                <w:b/>
                <w:bCs/>
                <w:color w:val="auto"/>
                <w:sz w:val="21"/>
                <w:szCs w:val="21"/>
              </w:rPr>
              <w:t xml:space="preserve"> 创业基础</w:t>
            </w:r>
          </w:p>
        </w:tc>
        <w:tc>
          <w:tcPr>
            <w:tcW w:w="2800" w:type="dxa"/>
            <w:vAlign w:val="center"/>
          </w:tcPr>
          <w:p w14:paraId="4AA8E99F">
            <w:pPr>
              <w:keepNext w:val="0"/>
              <w:keepLines w:val="0"/>
              <w:pageBreakBefore w:val="0"/>
              <w:wordWrap/>
              <w:overflowPunct/>
              <w:topLinePunct w:val="0"/>
              <w:bidi w:val="0"/>
              <w:ind w:right="-181" w:rightChars="-86"/>
              <w:jc w:val="left"/>
              <w:rPr>
                <w:rFonts w:hint="eastAsia" w:ascii="宋体" w:hAnsi="宋体" w:eastAsia="宋体" w:cs="宋体"/>
                <w:color w:val="auto"/>
                <w:sz w:val="21"/>
                <w:szCs w:val="21"/>
              </w:rPr>
            </w:pPr>
            <w:r>
              <w:rPr>
                <w:rFonts w:hint="eastAsia" w:ascii="宋体" w:hAnsi="宋体" w:eastAsia="宋体" w:cs="宋体"/>
                <w:color w:val="auto"/>
                <w:sz w:val="21"/>
                <w:szCs w:val="21"/>
              </w:rPr>
              <w:t>大学生创业的市场机会与评估；挖掘大</w:t>
            </w:r>
            <w:r>
              <w:rPr>
                <w:rFonts w:hint="eastAsia" w:ascii="宋体" w:hAnsi="宋体" w:eastAsia="宋体" w:cs="宋体"/>
                <w:color w:val="auto"/>
                <w:spacing w:val="10"/>
                <w:sz w:val="21"/>
                <w:szCs w:val="21"/>
              </w:rPr>
              <w:t>学生创业项目的常用方</w:t>
            </w:r>
            <w:r>
              <w:rPr>
                <w:rFonts w:hint="eastAsia" w:ascii="宋体" w:hAnsi="宋体" w:eastAsia="宋体" w:cs="宋体"/>
                <w:color w:val="auto"/>
                <w:spacing w:val="-1"/>
                <w:sz w:val="21"/>
                <w:szCs w:val="21"/>
              </w:rPr>
              <w:t>法；大学生创业的风险类</w:t>
            </w:r>
            <w:r>
              <w:rPr>
                <w:rFonts w:hint="eastAsia" w:ascii="宋体" w:hAnsi="宋体" w:eastAsia="宋体" w:cs="宋体"/>
                <w:color w:val="auto"/>
                <w:sz w:val="21"/>
                <w:szCs w:val="21"/>
              </w:rPr>
              <w:t xml:space="preserve"> </w:t>
            </w:r>
            <w:r>
              <w:rPr>
                <w:rFonts w:hint="eastAsia" w:ascii="宋体" w:hAnsi="宋体" w:eastAsia="宋体" w:cs="宋体"/>
                <w:color w:val="auto"/>
                <w:spacing w:val="2"/>
                <w:sz w:val="21"/>
                <w:szCs w:val="21"/>
              </w:rPr>
              <w:t>型和应对策略。</w:t>
            </w:r>
          </w:p>
        </w:tc>
        <w:tc>
          <w:tcPr>
            <w:tcW w:w="1264" w:type="dxa"/>
            <w:vAlign w:val="center"/>
          </w:tcPr>
          <w:p w14:paraId="4D174F9A">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pacing w:val="8"/>
                <w:sz w:val="21"/>
                <w:szCs w:val="21"/>
              </w:rPr>
              <w:t>课程目标</w:t>
            </w:r>
            <w:r>
              <w:rPr>
                <w:rFonts w:hint="eastAsia" w:ascii="宋体" w:hAnsi="宋体" w:eastAsia="宋体" w:cs="宋体"/>
                <w:color w:val="auto"/>
                <w:spacing w:val="-5"/>
                <w:sz w:val="21"/>
                <w:szCs w:val="21"/>
              </w:rPr>
              <w:t>1、2</w:t>
            </w:r>
          </w:p>
        </w:tc>
        <w:tc>
          <w:tcPr>
            <w:tcW w:w="2246" w:type="dxa"/>
            <w:vAlign w:val="center"/>
          </w:tcPr>
          <w:p w14:paraId="1255B4CB">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pacing w:val="1"/>
                <w:sz w:val="21"/>
                <w:szCs w:val="21"/>
              </w:rPr>
              <w:t>掌握挖掘大学生创</w:t>
            </w:r>
            <w:r>
              <w:rPr>
                <w:rFonts w:hint="eastAsia" w:ascii="宋体" w:hAnsi="宋体" w:eastAsia="宋体" w:cs="宋体"/>
                <w:color w:val="auto"/>
                <w:spacing w:val="13"/>
                <w:sz w:val="21"/>
                <w:szCs w:val="21"/>
              </w:rPr>
              <w:t>业项目的常用方</w:t>
            </w:r>
            <w:r>
              <w:rPr>
                <w:rFonts w:hint="eastAsia" w:ascii="宋体" w:hAnsi="宋体" w:eastAsia="宋体" w:cs="宋体"/>
                <w:color w:val="auto"/>
                <w:spacing w:val="-2"/>
                <w:sz w:val="21"/>
                <w:szCs w:val="21"/>
              </w:rPr>
              <w:t>法；应用案例评估与分析大学生创业</w:t>
            </w:r>
            <w:r>
              <w:rPr>
                <w:rFonts w:hint="eastAsia" w:ascii="宋体" w:hAnsi="宋体" w:eastAsia="宋体" w:cs="宋体"/>
                <w:color w:val="auto"/>
                <w:spacing w:val="2"/>
                <w:sz w:val="21"/>
                <w:szCs w:val="21"/>
              </w:rPr>
              <w:t xml:space="preserve"> </w:t>
            </w:r>
            <w:r>
              <w:rPr>
                <w:rFonts w:hint="eastAsia" w:ascii="宋体" w:hAnsi="宋体" w:eastAsia="宋体" w:cs="宋体"/>
                <w:color w:val="auto"/>
                <w:spacing w:val="1"/>
                <w:sz w:val="21"/>
                <w:szCs w:val="21"/>
              </w:rPr>
              <w:t>项目的可行性</w:t>
            </w:r>
          </w:p>
        </w:tc>
        <w:tc>
          <w:tcPr>
            <w:tcW w:w="1560" w:type="dxa"/>
            <w:vAlign w:val="center"/>
          </w:tcPr>
          <w:p w14:paraId="7D058E28">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1.线下学习</w:t>
            </w:r>
          </w:p>
          <w:p w14:paraId="592BA07F">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2.多媒体教学</w:t>
            </w:r>
          </w:p>
          <w:p w14:paraId="79B90DA9">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3.课堂讨论</w:t>
            </w:r>
          </w:p>
        </w:tc>
        <w:tc>
          <w:tcPr>
            <w:tcW w:w="439" w:type="dxa"/>
            <w:vAlign w:val="center"/>
          </w:tcPr>
          <w:p w14:paraId="4B4E1151">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r>
      <w:tr w14:paraId="61EB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14:paraId="1BEA34DC">
            <w:pPr>
              <w:keepNext w:val="0"/>
              <w:keepLines w:val="0"/>
              <w:pageBreakBefore w:val="0"/>
              <w:wordWrap/>
              <w:overflowPunct/>
              <w:topLinePunct w:val="0"/>
              <w:bidi w:val="0"/>
              <w:jc w:val="center"/>
              <w:rPr>
                <w:rFonts w:hint="eastAsia" w:ascii="宋体" w:hAnsi="宋体" w:eastAsia="宋体" w:cs="宋体"/>
                <w:color w:val="auto"/>
                <w:sz w:val="21"/>
                <w:szCs w:val="21"/>
              </w:rPr>
            </w:pPr>
          </w:p>
        </w:tc>
        <w:tc>
          <w:tcPr>
            <w:tcW w:w="8309" w:type="dxa"/>
            <w:gridSpan w:val="5"/>
            <w:vAlign w:val="center"/>
          </w:tcPr>
          <w:p w14:paraId="02FA9326">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pacing w:val="8"/>
                <w:sz w:val="21"/>
                <w:szCs w:val="21"/>
              </w:rPr>
              <w:t>引导学生树立正确的创业观、</w:t>
            </w:r>
            <w:r>
              <w:rPr>
                <w:rFonts w:hint="eastAsia" w:ascii="宋体" w:hAnsi="宋体" w:eastAsia="宋体" w:cs="宋体"/>
                <w:color w:val="auto"/>
                <w:spacing w:val="-1"/>
                <w:sz w:val="21"/>
                <w:szCs w:val="21"/>
              </w:rPr>
              <w:t>纯正的创业动机、良好的创业操守和远大的职业理想，让大</w:t>
            </w:r>
            <w:r>
              <w:rPr>
                <w:rFonts w:hint="eastAsia" w:ascii="宋体" w:hAnsi="宋体" w:eastAsia="宋体" w:cs="宋体"/>
                <w:color w:val="auto"/>
                <w:sz w:val="21"/>
                <w:szCs w:val="21"/>
              </w:rPr>
              <w:t>学生明白创业初期应该脚踏实</w:t>
            </w:r>
            <w:r>
              <w:rPr>
                <w:rFonts w:hint="eastAsia" w:ascii="宋体" w:hAnsi="宋体" w:eastAsia="宋体" w:cs="宋体"/>
                <w:color w:val="auto"/>
                <w:spacing w:val="1"/>
                <w:sz w:val="21"/>
                <w:szCs w:val="21"/>
              </w:rPr>
              <w:t>地、精打细算、量力而行，以创新来驱动创业激发潜能，同</w:t>
            </w:r>
            <w:r>
              <w:rPr>
                <w:rFonts w:hint="eastAsia" w:ascii="宋体" w:hAnsi="宋体" w:eastAsia="宋体" w:cs="宋体"/>
                <w:color w:val="auto"/>
                <w:spacing w:val="4"/>
                <w:sz w:val="21"/>
                <w:szCs w:val="21"/>
              </w:rPr>
              <w:t>时做好风险管控和应对措施，</w:t>
            </w:r>
            <w:r>
              <w:rPr>
                <w:rFonts w:hint="eastAsia" w:ascii="宋体" w:hAnsi="宋体" w:eastAsia="宋体" w:cs="宋体"/>
                <w:color w:val="auto"/>
                <w:spacing w:val="1"/>
                <w:sz w:val="21"/>
                <w:szCs w:val="21"/>
              </w:rPr>
              <w:t>切不可做一夜暴富的美梦。</w:t>
            </w:r>
          </w:p>
        </w:tc>
      </w:tr>
      <w:tr w14:paraId="10FC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2D48207F">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r>
              <w:rPr>
                <w:rFonts w:hint="eastAsia" w:ascii="宋体" w:hAnsi="宋体" w:eastAsia="宋体" w:cs="宋体"/>
                <w:b/>
                <w:bCs/>
                <w:color w:val="auto"/>
                <w:spacing w:val="-2"/>
                <w:sz w:val="21"/>
                <w:szCs w:val="21"/>
              </w:rPr>
              <w:t xml:space="preserve"> 创业计划</w:t>
            </w:r>
          </w:p>
        </w:tc>
        <w:tc>
          <w:tcPr>
            <w:tcW w:w="2800" w:type="dxa"/>
            <w:vAlign w:val="center"/>
          </w:tcPr>
          <w:p w14:paraId="431379BC">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pacing w:val="-2"/>
                <w:sz w:val="21"/>
                <w:szCs w:val="21"/>
              </w:rPr>
              <w:t>顾客需求和市</w:t>
            </w:r>
            <w:r>
              <w:rPr>
                <w:rFonts w:hint="eastAsia" w:ascii="宋体" w:hAnsi="宋体" w:eastAsia="宋体" w:cs="宋体"/>
                <w:color w:val="auto"/>
                <w:spacing w:val="-1"/>
                <w:sz w:val="21"/>
                <w:szCs w:val="21"/>
              </w:rPr>
              <w:t>场调研；市场营销、分销</w:t>
            </w:r>
            <w:r>
              <w:rPr>
                <w:rFonts w:hint="eastAsia" w:ascii="宋体" w:hAnsi="宋体" w:eastAsia="宋体" w:cs="宋体"/>
                <w:color w:val="auto"/>
                <w:spacing w:val="9"/>
                <w:sz w:val="21"/>
                <w:szCs w:val="21"/>
              </w:rPr>
              <w:t>渠道的选择和营业推广</w:t>
            </w:r>
            <w:r>
              <w:rPr>
                <w:rFonts w:hint="eastAsia" w:ascii="宋体" w:hAnsi="宋体" w:eastAsia="宋体" w:cs="宋体"/>
                <w:color w:val="auto"/>
                <w:spacing w:val="-1"/>
                <w:sz w:val="21"/>
                <w:szCs w:val="21"/>
              </w:rPr>
              <w:t>的形式；大学生创业初期的启动资金；财务规划与</w:t>
            </w:r>
            <w:r>
              <w:rPr>
                <w:rFonts w:hint="eastAsia" w:ascii="宋体" w:hAnsi="宋体" w:eastAsia="宋体" w:cs="宋体"/>
                <w:color w:val="auto"/>
                <w:spacing w:val="4"/>
                <w:sz w:val="21"/>
                <w:szCs w:val="21"/>
              </w:rPr>
              <w:t xml:space="preserve">  </w:t>
            </w:r>
            <w:r>
              <w:rPr>
                <w:rFonts w:hint="eastAsia" w:ascii="宋体" w:hAnsi="宋体" w:eastAsia="宋体" w:cs="宋体"/>
                <w:color w:val="auto"/>
                <w:spacing w:val="-3"/>
                <w:sz w:val="21"/>
                <w:szCs w:val="21"/>
              </w:rPr>
              <w:t>分析；企业的注册登记流</w:t>
            </w:r>
            <w:r>
              <w:rPr>
                <w:rFonts w:hint="eastAsia" w:ascii="宋体" w:hAnsi="宋体" w:eastAsia="宋体" w:cs="宋体"/>
                <w:color w:val="auto"/>
                <w:spacing w:val="7"/>
                <w:sz w:val="21"/>
                <w:szCs w:val="21"/>
              </w:rPr>
              <w:t>程；常见企业法律形态；</w:t>
            </w:r>
            <w:r>
              <w:rPr>
                <w:rFonts w:hint="eastAsia" w:ascii="宋体" w:hAnsi="宋体" w:eastAsia="宋体" w:cs="宋体"/>
                <w:color w:val="auto"/>
                <w:spacing w:val="9"/>
                <w:sz w:val="21"/>
                <w:szCs w:val="21"/>
              </w:rPr>
              <w:t xml:space="preserve"> </w:t>
            </w:r>
            <w:r>
              <w:rPr>
                <w:rFonts w:hint="eastAsia" w:ascii="宋体" w:hAnsi="宋体" w:eastAsia="宋体" w:cs="宋体"/>
                <w:color w:val="auto"/>
                <w:spacing w:val="12"/>
                <w:sz w:val="21"/>
                <w:szCs w:val="21"/>
              </w:rPr>
              <w:t>商业计划书和创新项目</w:t>
            </w:r>
            <w:r>
              <w:rPr>
                <w:rFonts w:hint="eastAsia" w:ascii="宋体" w:hAnsi="宋体" w:eastAsia="宋体" w:cs="宋体"/>
                <w:color w:val="auto"/>
                <w:spacing w:val="2"/>
                <w:sz w:val="21"/>
                <w:szCs w:val="21"/>
              </w:rPr>
              <w:t>申报书的基本构成要素，</w:t>
            </w:r>
            <w:r>
              <w:rPr>
                <w:rFonts w:hint="eastAsia" w:ascii="宋体" w:hAnsi="宋体" w:eastAsia="宋体" w:cs="宋体"/>
                <w:color w:val="auto"/>
                <w:spacing w:val="9"/>
                <w:sz w:val="21"/>
                <w:szCs w:val="21"/>
              </w:rPr>
              <w:t>中国国际大学生创新大</w:t>
            </w:r>
            <w:r>
              <w:rPr>
                <w:rFonts w:hint="eastAsia" w:ascii="宋体" w:hAnsi="宋体" w:eastAsia="宋体" w:cs="宋体"/>
                <w:color w:val="auto"/>
                <w:spacing w:val="2"/>
                <w:sz w:val="21"/>
                <w:szCs w:val="21"/>
              </w:rPr>
              <w:t>赛的四部曲。</w:t>
            </w:r>
          </w:p>
        </w:tc>
        <w:tc>
          <w:tcPr>
            <w:tcW w:w="1264" w:type="dxa"/>
            <w:vAlign w:val="center"/>
          </w:tcPr>
          <w:p w14:paraId="5D31F3B7">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pacing w:val="8"/>
                <w:sz w:val="21"/>
                <w:szCs w:val="21"/>
              </w:rPr>
              <w:t>课程目标</w:t>
            </w:r>
            <w:r>
              <w:rPr>
                <w:rFonts w:hint="eastAsia" w:ascii="宋体" w:hAnsi="宋体" w:eastAsia="宋体" w:cs="宋体"/>
                <w:color w:val="auto"/>
                <w:spacing w:val="-5"/>
                <w:sz w:val="21"/>
                <w:szCs w:val="21"/>
              </w:rPr>
              <w:t>1、2</w:t>
            </w:r>
          </w:p>
        </w:tc>
        <w:tc>
          <w:tcPr>
            <w:tcW w:w="2246" w:type="dxa"/>
            <w:vAlign w:val="center"/>
          </w:tcPr>
          <w:p w14:paraId="605FAC30">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pacing w:val="1"/>
                <w:sz w:val="21"/>
                <w:szCs w:val="21"/>
              </w:rPr>
              <w:t>了解市场调研的基</w:t>
            </w:r>
            <w:r>
              <w:rPr>
                <w:rFonts w:hint="eastAsia" w:ascii="宋体" w:hAnsi="宋体" w:eastAsia="宋体" w:cs="宋体"/>
                <w:color w:val="auto"/>
                <w:spacing w:val="18"/>
                <w:sz w:val="21"/>
                <w:szCs w:val="21"/>
              </w:rPr>
              <w:t>本方法与基本内</w:t>
            </w:r>
            <w:r>
              <w:rPr>
                <w:rFonts w:hint="eastAsia" w:ascii="宋体" w:hAnsi="宋体" w:eastAsia="宋体" w:cs="宋体"/>
                <w:color w:val="auto"/>
                <w:spacing w:val="1"/>
                <w:sz w:val="21"/>
                <w:szCs w:val="21"/>
              </w:rPr>
              <w:t>容；学会预测大学</w:t>
            </w:r>
            <w:r>
              <w:rPr>
                <w:rFonts w:hint="eastAsia" w:ascii="宋体" w:hAnsi="宋体" w:eastAsia="宋体" w:cs="宋体"/>
                <w:color w:val="auto"/>
                <w:spacing w:val="3"/>
                <w:sz w:val="21"/>
                <w:szCs w:val="21"/>
              </w:rPr>
              <w:t>生创业初期所需启</w:t>
            </w:r>
            <w:r>
              <w:rPr>
                <w:rFonts w:hint="eastAsia" w:ascii="宋体" w:hAnsi="宋体" w:eastAsia="宋体" w:cs="宋体"/>
                <w:color w:val="auto"/>
                <w:spacing w:val="1"/>
                <w:sz w:val="21"/>
                <w:szCs w:val="21"/>
              </w:rPr>
              <w:t>动资金；商业计划书和创新项目申报</w:t>
            </w:r>
            <w:r>
              <w:rPr>
                <w:rFonts w:hint="eastAsia" w:ascii="宋体" w:hAnsi="宋体" w:eastAsia="宋体" w:cs="宋体"/>
                <w:color w:val="auto"/>
                <w:spacing w:val="15"/>
                <w:sz w:val="21"/>
                <w:szCs w:val="21"/>
              </w:rPr>
              <w:t>书的基本构成要</w:t>
            </w:r>
            <w:r>
              <w:rPr>
                <w:rFonts w:hint="eastAsia" w:ascii="宋体" w:hAnsi="宋体" w:eastAsia="宋体" w:cs="宋体"/>
                <w:color w:val="auto"/>
                <w:spacing w:val="-2"/>
                <w:sz w:val="21"/>
                <w:szCs w:val="21"/>
              </w:rPr>
              <w:t>素；熟悉中国国际</w:t>
            </w:r>
            <w:r>
              <w:rPr>
                <w:rFonts w:hint="eastAsia" w:ascii="宋体" w:hAnsi="宋体" w:eastAsia="宋体" w:cs="宋体"/>
                <w:color w:val="auto"/>
                <w:spacing w:val="2"/>
                <w:sz w:val="21"/>
                <w:szCs w:val="21"/>
              </w:rPr>
              <w:t>大学生创新大赛的</w:t>
            </w:r>
            <w:r>
              <w:rPr>
                <w:rFonts w:hint="eastAsia" w:ascii="宋体" w:hAnsi="宋体" w:eastAsia="宋体" w:cs="宋体"/>
                <w:color w:val="auto"/>
                <w:spacing w:val="3"/>
                <w:sz w:val="21"/>
                <w:szCs w:val="21"/>
              </w:rPr>
              <w:t>四部曲。</w:t>
            </w:r>
          </w:p>
        </w:tc>
        <w:tc>
          <w:tcPr>
            <w:tcW w:w="1560" w:type="dxa"/>
            <w:vAlign w:val="center"/>
          </w:tcPr>
          <w:p w14:paraId="515D9F2E">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1.线下学习</w:t>
            </w:r>
          </w:p>
          <w:p w14:paraId="0FB07737">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2.多媒体教学</w:t>
            </w:r>
          </w:p>
          <w:p w14:paraId="7FDA21BD">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3.课堂讨论</w:t>
            </w:r>
          </w:p>
          <w:p w14:paraId="6E4D48AB">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4.课堂汇报</w:t>
            </w:r>
          </w:p>
        </w:tc>
        <w:tc>
          <w:tcPr>
            <w:tcW w:w="439" w:type="dxa"/>
            <w:vAlign w:val="center"/>
          </w:tcPr>
          <w:p w14:paraId="25E9AF73">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r>
      <w:tr w14:paraId="0A5F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14:paraId="44E6A936">
            <w:pPr>
              <w:keepNext w:val="0"/>
              <w:keepLines w:val="0"/>
              <w:pageBreakBefore w:val="0"/>
              <w:wordWrap/>
              <w:overflowPunct/>
              <w:topLinePunct w:val="0"/>
              <w:bidi w:val="0"/>
              <w:jc w:val="center"/>
              <w:rPr>
                <w:rFonts w:hint="eastAsia" w:ascii="宋体" w:hAnsi="宋体" w:eastAsia="宋体" w:cs="宋体"/>
                <w:color w:val="auto"/>
                <w:sz w:val="21"/>
                <w:szCs w:val="21"/>
              </w:rPr>
            </w:pPr>
          </w:p>
        </w:tc>
        <w:tc>
          <w:tcPr>
            <w:tcW w:w="8309" w:type="dxa"/>
            <w:gridSpan w:val="5"/>
            <w:vAlign w:val="center"/>
          </w:tcPr>
          <w:p w14:paraId="5FF663CB">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pacing w:val="-1"/>
                <w:sz w:val="21"/>
                <w:szCs w:val="21"/>
              </w:rPr>
              <w:t>跟党学双创，领会中国共产党</w:t>
            </w:r>
            <w:r>
              <w:rPr>
                <w:rFonts w:hint="eastAsia" w:ascii="宋体" w:hAnsi="宋体" w:eastAsia="宋体" w:cs="宋体"/>
                <w:color w:val="auto"/>
                <w:spacing w:val="5"/>
                <w:sz w:val="21"/>
                <w:szCs w:val="21"/>
              </w:rPr>
              <w:t xml:space="preserve"> </w:t>
            </w:r>
            <w:r>
              <w:rPr>
                <w:rFonts w:hint="eastAsia" w:ascii="宋体" w:hAnsi="宋体" w:eastAsia="宋体" w:cs="宋体"/>
                <w:color w:val="auto"/>
                <w:sz w:val="21"/>
                <w:szCs w:val="21"/>
              </w:rPr>
              <w:t>一经诞生，就把“为中国人民</w:t>
            </w:r>
            <w:r>
              <w:rPr>
                <w:rFonts w:hint="eastAsia" w:ascii="宋体" w:hAnsi="宋体" w:eastAsia="宋体" w:cs="宋体"/>
                <w:color w:val="auto"/>
                <w:spacing w:val="5"/>
                <w:sz w:val="21"/>
                <w:szCs w:val="21"/>
              </w:rPr>
              <w:t>谋幸福、为中华民族谋复兴"</w:t>
            </w:r>
            <w:r>
              <w:rPr>
                <w:rFonts w:hint="eastAsia" w:ascii="宋体" w:hAnsi="宋体" w:eastAsia="宋体" w:cs="宋体"/>
                <w:color w:val="auto"/>
                <w:spacing w:val="3"/>
                <w:sz w:val="21"/>
                <w:szCs w:val="21"/>
              </w:rPr>
              <w:t xml:space="preserve">  </w:t>
            </w:r>
            <w:r>
              <w:rPr>
                <w:rFonts w:hint="eastAsia" w:ascii="宋体" w:hAnsi="宋体" w:eastAsia="宋体" w:cs="宋体"/>
                <w:color w:val="auto"/>
                <w:spacing w:val="-1"/>
                <w:sz w:val="21"/>
                <w:szCs w:val="21"/>
              </w:rPr>
              <w:t>确立为创业初心和使命，践行</w:t>
            </w:r>
            <w:r>
              <w:rPr>
                <w:rFonts w:hint="eastAsia" w:ascii="宋体" w:hAnsi="宋体" w:eastAsia="宋体" w:cs="宋体"/>
                <w:color w:val="auto"/>
                <w:spacing w:val="3"/>
                <w:sz w:val="21"/>
                <w:szCs w:val="21"/>
              </w:rPr>
              <w:t xml:space="preserve"> </w:t>
            </w:r>
            <w:r>
              <w:rPr>
                <w:rFonts w:hint="eastAsia" w:ascii="宋体" w:hAnsi="宋体" w:eastAsia="宋体" w:cs="宋体"/>
                <w:color w:val="auto"/>
                <w:spacing w:val="4"/>
                <w:sz w:val="21"/>
                <w:szCs w:val="21"/>
              </w:rPr>
              <w:t>"江山就是人民、人民就是江</w:t>
            </w:r>
            <w:r>
              <w:rPr>
                <w:rFonts w:hint="eastAsia" w:ascii="宋体" w:hAnsi="宋体" w:eastAsia="宋体" w:cs="宋体"/>
                <w:color w:val="auto"/>
                <w:spacing w:val="5"/>
                <w:sz w:val="21"/>
                <w:szCs w:val="21"/>
              </w:rPr>
              <w:t>山"的用户思想，分析古今中</w:t>
            </w:r>
            <w:r>
              <w:rPr>
                <w:rFonts w:hint="eastAsia" w:ascii="宋体" w:hAnsi="宋体" w:eastAsia="宋体" w:cs="宋体"/>
                <w:color w:val="auto"/>
                <w:spacing w:val="4"/>
                <w:sz w:val="21"/>
                <w:szCs w:val="21"/>
              </w:rPr>
              <w:t>外掣肘我国发展的竞争对手，在创新创业道路上击鼓催征，</w:t>
            </w:r>
            <w:r>
              <w:rPr>
                <w:rFonts w:hint="eastAsia" w:ascii="宋体" w:hAnsi="宋体" w:eastAsia="宋体" w:cs="宋体"/>
                <w:color w:val="auto"/>
                <w:spacing w:val="2"/>
                <w:sz w:val="21"/>
                <w:szCs w:val="21"/>
              </w:rPr>
              <w:t xml:space="preserve"> </w:t>
            </w:r>
            <w:r>
              <w:rPr>
                <w:rFonts w:hint="eastAsia" w:ascii="宋体" w:hAnsi="宋体" w:eastAsia="宋体" w:cs="宋体"/>
                <w:color w:val="auto"/>
                <w:spacing w:val="-1"/>
                <w:sz w:val="21"/>
                <w:szCs w:val="21"/>
              </w:rPr>
              <w:t>踔厉奋发，敢闯会创，实现人</w:t>
            </w:r>
            <w:r>
              <w:rPr>
                <w:rFonts w:hint="eastAsia" w:ascii="宋体" w:hAnsi="宋体" w:eastAsia="宋体" w:cs="宋体"/>
                <w:color w:val="auto"/>
                <w:spacing w:val="2"/>
                <w:sz w:val="21"/>
                <w:szCs w:val="21"/>
              </w:rPr>
              <w:t xml:space="preserve"> </w:t>
            </w:r>
            <w:r>
              <w:rPr>
                <w:rFonts w:hint="eastAsia" w:ascii="宋体" w:hAnsi="宋体" w:eastAsia="宋体" w:cs="宋体"/>
                <w:color w:val="auto"/>
                <w:spacing w:val="1"/>
                <w:sz w:val="21"/>
                <w:szCs w:val="21"/>
              </w:rPr>
              <w:t>类命运共同体的伟大构想。</w:t>
            </w:r>
            <w:r>
              <w:rPr>
                <w:rFonts w:hint="eastAsia" w:ascii="宋体" w:hAnsi="宋体" w:eastAsia="宋体" w:cs="宋体"/>
                <w:color w:val="auto"/>
                <w:sz w:val="21"/>
                <w:szCs w:val="21"/>
              </w:rPr>
              <w:t xml:space="preserve"> </w:t>
            </w:r>
          </w:p>
        </w:tc>
      </w:tr>
      <w:tr w14:paraId="0E6A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03537047">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r>
              <w:rPr>
                <w:rFonts w:hint="eastAsia" w:ascii="宋体" w:hAnsi="宋体" w:eastAsia="宋体" w:cs="宋体"/>
                <w:b/>
                <w:bCs/>
                <w:color w:val="auto"/>
                <w:spacing w:val="1"/>
                <w:sz w:val="21"/>
                <w:szCs w:val="21"/>
              </w:rPr>
              <w:t xml:space="preserve"> 商业模式</w:t>
            </w:r>
          </w:p>
        </w:tc>
        <w:tc>
          <w:tcPr>
            <w:tcW w:w="2800" w:type="dxa"/>
            <w:vAlign w:val="center"/>
          </w:tcPr>
          <w:p w14:paraId="330717FB">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pacing w:val="1"/>
                <w:sz w:val="21"/>
                <w:szCs w:val="21"/>
              </w:rPr>
              <w:t>商业模式的内</w:t>
            </w:r>
            <w:r>
              <w:rPr>
                <w:rFonts w:hint="eastAsia" w:ascii="宋体" w:hAnsi="宋体" w:eastAsia="宋体" w:cs="宋体"/>
                <w:color w:val="auto"/>
                <w:spacing w:val="2"/>
                <w:sz w:val="21"/>
                <w:szCs w:val="21"/>
              </w:rPr>
              <w:t xml:space="preserve"> </w:t>
            </w:r>
            <w:r>
              <w:rPr>
                <w:rFonts w:hint="eastAsia" w:ascii="宋体" w:hAnsi="宋体" w:eastAsia="宋体" w:cs="宋体"/>
                <w:color w:val="auto"/>
                <w:spacing w:val="-1"/>
                <w:sz w:val="21"/>
                <w:szCs w:val="21"/>
              </w:rPr>
              <w:t>涵和构成要素；商业模式</w:t>
            </w:r>
            <w:r>
              <w:rPr>
                <w:rFonts w:hint="eastAsia" w:ascii="宋体" w:hAnsi="宋体" w:eastAsia="宋体" w:cs="宋体"/>
                <w:color w:val="auto"/>
                <w:sz w:val="21"/>
                <w:szCs w:val="21"/>
              </w:rPr>
              <w:t xml:space="preserve"> </w:t>
            </w:r>
            <w:r>
              <w:rPr>
                <w:rFonts w:hint="eastAsia" w:ascii="宋体" w:hAnsi="宋体" w:eastAsia="宋体" w:cs="宋体"/>
                <w:color w:val="auto"/>
                <w:spacing w:val="2"/>
                <w:sz w:val="21"/>
                <w:szCs w:val="21"/>
              </w:rPr>
              <w:t xml:space="preserve">的设计与分析工具；应用 </w:t>
            </w:r>
            <w:r>
              <w:rPr>
                <w:rFonts w:hint="eastAsia" w:ascii="宋体" w:hAnsi="宋体" w:eastAsia="宋体" w:cs="宋体"/>
                <w:color w:val="auto"/>
                <w:spacing w:val="10"/>
                <w:sz w:val="21"/>
                <w:szCs w:val="21"/>
              </w:rPr>
              <w:t>中国国际大学生创新大</w:t>
            </w:r>
            <w:r>
              <w:rPr>
                <w:rFonts w:hint="eastAsia" w:ascii="宋体" w:hAnsi="宋体" w:eastAsia="宋体" w:cs="宋体"/>
                <w:color w:val="auto"/>
                <w:spacing w:val="9"/>
                <w:sz w:val="21"/>
                <w:szCs w:val="21"/>
              </w:rPr>
              <w:t>赛的获奖案例分析商业</w:t>
            </w:r>
            <w:r>
              <w:rPr>
                <w:rFonts w:hint="eastAsia" w:ascii="宋体" w:hAnsi="宋体" w:eastAsia="宋体" w:cs="宋体"/>
                <w:color w:val="auto"/>
                <w:sz w:val="21"/>
                <w:szCs w:val="21"/>
              </w:rPr>
              <w:t xml:space="preserve">  </w:t>
            </w:r>
            <w:r>
              <w:rPr>
                <w:rFonts w:hint="eastAsia" w:ascii="宋体" w:hAnsi="宋体" w:eastAsia="宋体" w:cs="宋体"/>
                <w:color w:val="auto"/>
                <w:spacing w:val="5"/>
                <w:sz w:val="21"/>
                <w:szCs w:val="21"/>
              </w:rPr>
              <w:t>模式的创新。</w:t>
            </w:r>
          </w:p>
        </w:tc>
        <w:tc>
          <w:tcPr>
            <w:tcW w:w="1264" w:type="dxa"/>
            <w:vAlign w:val="center"/>
          </w:tcPr>
          <w:p w14:paraId="322FB6E7">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pacing w:val="8"/>
                <w:sz w:val="21"/>
                <w:szCs w:val="21"/>
              </w:rPr>
              <w:t>课程目标</w:t>
            </w:r>
            <w:r>
              <w:rPr>
                <w:rFonts w:hint="eastAsia" w:ascii="宋体" w:hAnsi="宋体" w:eastAsia="宋体" w:cs="宋体"/>
                <w:color w:val="auto"/>
                <w:spacing w:val="-5"/>
                <w:sz w:val="21"/>
                <w:szCs w:val="21"/>
              </w:rPr>
              <w:t>1、2</w:t>
            </w:r>
          </w:p>
        </w:tc>
        <w:tc>
          <w:tcPr>
            <w:tcW w:w="2246" w:type="dxa"/>
            <w:vAlign w:val="center"/>
          </w:tcPr>
          <w:p w14:paraId="6B8887AB">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pacing w:val="3"/>
                <w:sz w:val="21"/>
                <w:szCs w:val="21"/>
              </w:rPr>
              <w:t>理解商业模式的内</w:t>
            </w:r>
            <w:r>
              <w:rPr>
                <w:rFonts w:hint="eastAsia" w:ascii="宋体" w:hAnsi="宋体" w:eastAsia="宋体" w:cs="宋体"/>
                <w:color w:val="auto"/>
                <w:spacing w:val="-2"/>
                <w:sz w:val="21"/>
                <w:szCs w:val="21"/>
              </w:rPr>
              <w:t>涵与构成要素；能应用案例分析商业</w:t>
            </w:r>
            <w:r>
              <w:rPr>
                <w:rFonts w:hint="eastAsia" w:ascii="宋体" w:hAnsi="宋体" w:eastAsia="宋体" w:cs="宋体"/>
                <w:color w:val="auto"/>
                <w:spacing w:val="4"/>
                <w:sz w:val="21"/>
                <w:szCs w:val="21"/>
              </w:rPr>
              <w:t>模式的创新。</w:t>
            </w:r>
          </w:p>
        </w:tc>
        <w:tc>
          <w:tcPr>
            <w:tcW w:w="1560" w:type="dxa"/>
            <w:vAlign w:val="center"/>
          </w:tcPr>
          <w:p w14:paraId="6FC99D76">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1.线下学习</w:t>
            </w:r>
          </w:p>
          <w:p w14:paraId="24AA98E7">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2.多媒体教学</w:t>
            </w:r>
          </w:p>
          <w:p w14:paraId="3FB89216">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3.课堂讨论</w:t>
            </w:r>
          </w:p>
        </w:tc>
        <w:tc>
          <w:tcPr>
            <w:tcW w:w="439" w:type="dxa"/>
            <w:vAlign w:val="center"/>
          </w:tcPr>
          <w:p w14:paraId="26C92A5D">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r>
      <w:tr w14:paraId="3615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14:paraId="38F22A18">
            <w:pPr>
              <w:keepNext w:val="0"/>
              <w:keepLines w:val="0"/>
              <w:pageBreakBefore w:val="0"/>
              <w:wordWrap/>
              <w:overflowPunct/>
              <w:topLinePunct w:val="0"/>
              <w:bidi w:val="0"/>
              <w:jc w:val="center"/>
              <w:rPr>
                <w:rFonts w:hint="eastAsia" w:ascii="宋体" w:hAnsi="宋体" w:eastAsia="宋体" w:cs="宋体"/>
                <w:color w:val="auto"/>
                <w:sz w:val="21"/>
                <w:szCs w:val="21"/>
              </w:rPr>
            </w:pPr>
          </w:p>
        </w:tc>
        <w:tc>
          <w:tcPr>
            <w:tcW w:w="8309" w:type="dxa"/>
            <w:gridSpan w:val="5"/>
            <w:vAlign w:val="center"/>
          </w:tcPr>
          <w:p w14:paraId="3D45B3F5">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pacing w:val="1"/>
                <w:sz w:val="21"/>
                <w:szCs w:val="21"/>
              </w:rPr>
              <w:t>强化社会责任感与诚信经营意</w:t>
            </w:r>
            <w:r>
              <w:rPr>
                <w:rFonts w:hint="eastAsia" w:ascii="宋体" w:hAnsi="宋体" w:eastAsia="宋体" w:cs="宋体"/>
                <w:color w:val="auto"/>
                <w:spacing w:val="-1"/>
                <w:sz w:val="21"/>
                <w:szCs w:val="21"/>
              </w:rPr>
              <w:t>识，倡导可持续发展的商业理</w:t>
            </w:r>
            <w:r>
              <w:rPr>
                <w:rFonts w:hint="eastAsia" w:ascii="宋体" w:hAnsi="宋体" w:eastAsia="宋体" w:cs="宋体"/>
                <w:color w:val="auto"/>
                <w:spacing w:val="2"/>
                <w:sz w:val="21"/>
                <w:szCs w:val="21"/>
              </w:rPr>
              <w:t xml:space="preserve"> </w:t>
            </w:r>
            <w:r>
              <w:rPr>
                <w:rFonts w:hint="eastAsia" w:ascii="宋体" w:hAnsi="宋体" w:eastAsia="宋体" w:cs="宋体"/>
                <w:color w:val="auto"/>
                <w:spacing w:val="-1"/>
                <w:sz w:val="21"/>
                <w:szCs w:val="21"/>
              </w:rPr>
              <w:t>念，培养在商业模式创新中兼</w:t>
            </w:r>
            <w:r>
              <w:rPr>
                <w:rFonts w:hint="eastAsia" w:ascii="宋体" w:hAnsi="宋体" w:eastAsia="宋体" w:cs="宋体"/>
                <w:color w:val="auto"/>
                <w:spacing w:val="4"/>
                <w:sz w:val="21"/>
                <w:szCs w:val="21"/>
              </w:rPr>
              <w:t xml:space="preserve"> </w:t>
            </w:r>
            <w:r>
              <w:rPr>
                <w:rFonts w:hint="eastAsia" w:ascii="宋体" w:hAnsi="宋体" w:eastAsia="宋体" w:cs="宋体"/>
                <w:color w:val="auto"/>
                <w:spacing w:val="-1"/>
                <w:sz w:val="21"/>
                <w:szCs w:val="21"/>
              </w:rPr>
              <w:t>顾经济效益与社会效益的价值</w:t>
            </w:r>
            <w:r>
              <w:rPr>
                <w:rFonts w:hint="eastAsia" w:ascii="宋体" w:hAnsi="宋体" w:eastAsia="宋体" w:cs="宋体"/>
                <w:color w:val="auto"/>
                <w:spacing w:val="3"/>
                <w:sz w:val="21"/>
                <w:szCs w:val="21"/>
              </w:rPr>
              <w:t xml:space="preserve"> </w:t>
            </w:r>
            <w:r>
              <w:rPr>
                <w:rFonts w:hint="eastAsia" w:ascii="宋体" w:hAnsi="宋体" w:eastAsia="宋体" w:cs="宋体"/>
                <w:color w:val="auto"/>
                <w:spacing w:val="1"/>
                <w:sz w:val="21"/>
                <w:szCs w:val="21"/>
              </w:rPr>
              <w:t>观，培育良好的职业道德和团</w:t>
            </w:r>
            <w:r>
              <w:rPr>
                <w:rFonts w:hint="eastAsia" w:ascii="宋体" w:hAnsi="宋体" w:eastAsia="宋体" w:cs="宋体"/>
                <w:color w:val="auto"/>
                <w:spacing w:val="4"/>
                <w:sz w:val="21"/>
                <w:szCs w:val="21"/>
              </w:rPr>
              <w:t xml:space="preserve"> </w:t>
            </w:r>
            <w:r>
              <w:rPr>
                <w:rFonts w:hint="eastAsia" w:ascii="宋体" w:hAnsi="宋体" w:eastAsia="宋体" w:cs="宋体"/>
                <w:color w:val="auto"/>
                <w:sz w:val="21"/>
                <w:szCs w:val="21"/>
              </w:rPr>
              <w:t>队协作精神。</w:t>
            </w:r>
          </w:p>
        </w:tc>
      </w:tr>
      <w:tr w14:paraId="5CEB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775A9506">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r>
              <w:rPr>
                <w:rFonts w:hint="eastAsia" w:ascii="宋体" w:hAnsi="宋体" w:eastAsia="宋体" w:cs="宋体"/>
                <w:b/>
                <w:bCs/>
                <w:color w:val="auto"/>
                <w:spacing w:val="-4"/>
                <w:sz w:val="21"/>
                <w:szCs w:val="21"/>
              </w:rPr>
              <w:t xml:space="preserve"> 创新创业资源</w:t>
            </w:r>
          </w:p>
        </w:tc>
        <w:tc>
          <w:tcPr>
            <w:tcW w:w="2800" w:type="dxa"/>
            <w:vAlign w:val="center"/>
          </w:tcPr>
          <w:p w14:paraId="6913F8C5">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pacing w:val="-4"/>
                <w:sz w:val="21"/>
                <w:szCs w:val="21"/>
              </w:rPr>
              <w:t>创新创业</w:t>
            </w:r>
            <w:r>
              <w:rPr>
                <w:rFonts w:hint="eastAsia" w:ascii="宋体" w:hAnsi="宋体" w:eastAsia="宋体" w:cs="宋体"/>
                <w:color w:val="auto"/>
                <w:spacing w:val="7"/>
                <w:sz w:val="21"/>
                <w:szCs w:val="21"/>
              </w:rPr>
              <w:t>的政策资源、法律资源、</w:t>
            </w:r>
            <w:r>
              <w:rPr>
                <w:rFonts w:hint="eastAsia" w:ascii="宋体" w:hAnsi="宋体" w:eastAsia="宋体" w:cs="宋体"/>
                <w:color w:val="auto"/>
                <w:spacing w:val="9"/>
                <w:sz w:val="21"/>
                <w:szCs w:val="21"/>
              </w:rPr>
              <w:t xml:space="preserve"> </w:t>
            </w:r>
            <w:r>
              <w:rPr>
                <w:rFonts w:hint="eastAsia" w:ascii="宋体" w:hAnsi="宋体" w:eastAsia="宋体" w:cs="宋体"/>
                <w:color w:val="auto"/>
                <w:spacing w:val="-1"/>
                <w:sz w:val="21"/>
                <w:szCs w:val="21"/>
              </w:rPr>
              <w:t>资金资源、赛事资源和平</w:t>
            </w:r>
            <w:r>
              <w:rPr>
                <w:rFonts w:hint="eastAsia" w:ascii="宋体" w:hAnsi="宋体" w:eastAsia="宋体" w:cs="宋体"/>
                <w:color w:val="auto"/>
                <w:spacing w:val="1"/>
                <w:sz w:val="21"/>
                <w:szCs w:val="21"/>
              </w:rPr>
              <w:t xml:space="preserve">  </w:t>
            </w:r>
            <w:r>
              <w:rPr>
                <w:rFonts w:hint="eastAsia" w:ascii="宋体" w:hAnsi="宋体" w:eastAsia="宋体" w:cs="宋体"/>
                <w:color w:val="auto"/>
                <w:spacing w:val="2"/>
                <w:sz w:val="21"/>
                <w:szCs w:val="21"/>
              </w:rPr>
              <w:t>台资源。</w:t>
            </w:r>
          </w:p>
        </w:tc>
        <w:tc>
          <w:tcPr>
            <w:tcW w:w="1264" w:type="dxa"/>
            <w:vAlign w:val="center"/>
          </w:tcPr>
          <w:p w14:paraId="3E3B857E">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pacing w:val="8"/>
                <w:sz w:val="21"/>
                <w:szCs w:val="21"/>
              </w:rPr>
              <w:t>课程目标</w:t>
            </w:r>
            <w:r>
              <w:rPr>
                <w:rFonts w:hint="eastAsia" w:ascii="宋体" w:hAnsi="宋体" w:eastAsia="宋体" w:cs="宋体"/>
                <w:color w:val="auto"/>
                <w:spacing w:val="-5"/>
                <w:sz w:val="21"/>
                <w:szCs w:val="21"/>
              </w:rPr>
              <w:t>1</w:t>
            </w:r>
          </w:p>
        </w:tc>
        <w:tc>
          <w:tcPr>
            <w:tcW w:w="2246" w:type="dxa"/>
            <w:vAlign w:val="center"/>
          </w:tcPr>
          <w:p w14:paraId="0C7D0A25">
            <w:pPr>
              <w:keepNext w:val="0"/>
              <w:keepLines w:val="0"/>
              <w:pageBreakBefore w:val="0"/>
              <w:wordWrap/>
              <w:overflowPunct/>
              <w:topLinePunct w:val="0"/>
              <w:bidi w:val="0"/>
              <w:rPr>
                <w:rFonts w:hint="eastAsia" w:ascii="宋体" w:hAnsi="宋体" w:eastAsia="宋体" w:cs="宋体"/>
                <w:color w:val="auto"/>
                <w:sz w:val="21"/>
                <w:szCs w:val="21"/>
              </w:rPr>
            </w:pPr>
            <w:r>
              <w:rPr>
                <w:rFonts w:hint="eastAsia" w:ascii="宋体" w:hAnsi="宋体" w:eastAsia="宋体" w:cs="宋体"/>
                <w:color w:val="auto"/>
                <w:spacing w:val="-10"/>
                <w:sz w:val="21"/>
                <w:szCs w:val="21"/>
              </w:rPr>
              <w:t>了解大学生创新创</w:t>
            </w:r>
            <w:r>
              <w:rPr>
                <w:rFonts w:hint="eastAsia" w:ascii="宋体" w:hAnsi="宋体" w:eastAsia="宋体" w:cs="宋体"/>
                <w:color w:val="auto"/>
                <w:spacing w:val="-13"/>
                <w:sz w:val="21"/>
                <w:szCs w:val="21"/>
              </w:rPr>
              <w:t>业的政策资源、法</w:t>
            </w:r>
            <w:r>
              <w:rPr>
                <w:rFonts w:hint="eastAsia" w:ascii="宋体" w:hAnsi="宋体" w:eastAsia="宋体" w:cs="宋体"/>
                <w:color w:val="auto"/>
                <w:spacing w:val="1"/>
                <w:sz w:val="21"/>
                <w:szCs w:val="21"/>
              </w:rPr>
              <w:t xml:space="preserve">   </w:t>
            </w:r>
            <w:r>
              <w:rPr>
                <w:rFonts w:hint="eastAsia" w:ascii="宋体" w:hAnsi="宋体" w:eastAsia="宋体" w:cs="宋体"/>
                <w:color w:val="auto"/>
                <w:spacing w:val="-13"/>
                <w:sz w:val="21"/>
                <w:szCs w:val="21"/>
              </w:rPr>
              <w:t>律资源、资金资源、</w:t>
            </w:r>
            <w:r>
              <w:rPr>
                <w:rFonts w:hint="eastAsia" w:ascii="宋体" w:hAnsi="宋体" w:eastAsia="宋体" w:cs="宋体"/>
                <w:color w:val="auto"/>
                <w:spacing w:val="-10"/>
                <w:sz w:val="21"/>
                <w:szCs w:val="21"/>
              </w:rPr>
              <w:t>赛事资源和平台资</w:t>
            </w:r>
            <w:r>
              <w:rPr>
                <w:rFonts w:hint="eastAsia" w:ascii="宋体" w:hAnsi="宋体" w:eastAsia="宋体" w:cs="宋体"/>
                <w:color w:val="auto"/>
                <w:spacing w:val="-13"/>
                <w:sz w:val="21"/>
                <w:szCs w:val="21"/>
              </w:rPr>
              <w:t>源；能应用“挑战</w:t>
            </w:r>
            <w:r>
              <w:rPr>
                <w:rFonts w:hint="eastAsia" w:ascii="宋体" w:hAnsi="宋体" w:eastAsia="宋体" w:cs="宋体"/>
                <w:color w:val="auto"/>
                <w:spacing w:val="-10"/>
                <w:sz w:val="21"/>
                <w:szCs w:val="21"/>
              </w:rPr>
              <w:t>杯”中国大学生创</w:t>
            </w:r>
            <w:r>
              <w:rPr>
                <w:rFonts w:hint="eastAsia" w:ascii="宋体" w:hAnsi="宋体" w:eastAsia="宋体" w:cs="宋体"/>
                <w:color w:val="auto"/>
                <w:spacing w:val="-13"/>
                <w:sz w:val="21"/>
                <w:szCs w:val="21"/>
              </w:rPr>
              <w:t>业计划竞赛金奖案</w:t>
            </w:r>
            <w:r>
              <w:rPr>
                <w:rFonts w:hint="eastAsia" w:ascii="宋体" w:hAnsi="宋体" w:eastAsia="宋体" w:cs="宋体"/>
                <w:color w:val="auto"/>
                <w:spacing w:val="-10"/>
                <w:sz w:val="21"/>
                <w:szCs w:val="21"/>
              </w:rPr>
              <w:t>例分析创新创业资</w:t>
            </w:r>
            <w:r>
              <w:rPr>
                <w:rFonts w:hint="eastAsia" w:ascii="宋体" w:hAnsi="宋体" w:eastAsia="宋体" w:cs="宋体"/>
                <w:color w:val="auto"/>
                <w:spacing w:val="-9"/>
                <w:sz w:val="21"/>
                <w:szCs w:val="21"/>
              </w:rPr>
              <w:t>源的获取渠道。</w:t>
            </w:r>
          </w:p>
        </w:tc>
        <w:tc>
          <w:tcPr>
            <w:tcW w:w="1560" w:type="dxa"/>
            <w:vAlign w:val="center"/>
          </w:tcPr>
          <w:p w14:paraId="33FAD8FA">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1.线下学习</w:t>
            </w:r>
          </w:p>
          <w:p w14:paraId="3962B6C1">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2.多媒体教学</w:t>
            </w:r>
          </w:p>
          <w:p w14:paraId="1B09CBFA">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3.课堂讨论</w:t>
            </w:r>
          </w:p>
        </w:tc>
        <w:tc>
          <w:tcPr>
            <w:tcW w:w="439" w:type="dxa"/>
            <w:vAlign w:val="center"/>
          </w:tcPr>
          <w:p w14:paraId="61E302B2">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14:paraId="0CEF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14:paraId="4A2D0E7B">
            <w:pPr>
              <w:keepNext w:val="0"/>
              <w:keepLines w:val="0"/>
              <w:pageBreakBefore w:val="0"/>
              <w:wordWrap/>
              <w:overflowPunct/>
              <w:topLinePunct w:val="0"/>
              <w:bidi w:val="0"/>
              <w:jc w:val="center"/>
              <w:rPr>
                <w:rFonts w:hint="eastAsia" w:ascii="宋体" w:hAnsi="宋体" w:eastAsia="宋体" w:cs="宋体"/>
                <w:color w:val="auto"/>
                <w:sz w:val="21"/>
                <w:szCs w:val="21"/>
              </w:rPr>
            </w:pPr>
          </w:p>
        </w:tc>
        <w:tc>
          <w:tcPr>
            <w:tcW w:w="8309" w:type="dxa"/>
            <w:gridSpan w:val="5"/>
            <w:vAlign w:val="center"/>
          </w:tcPr>
          <w:p w14:paraId="3D915ED3">
            <w:pPr>
              <w:pStyle w:val="33"/>
              <w:keepNext w:val="0"/>
              <w:keepLines w:val="0"/>
              <w:pageBreakBefore w:val="0"/>
              <w:wordWrap/>
              <w:overflowPunct/>
              <w:topLinePunct w:val="0"/>
              <w:bidi w:val="0"/>
              <w:ind w:left="123" w:right="79"/>
              <w:jc w:val="both"/>
              <w:rPr>
                <w:rFonts w:hint="eastAsia" w:ascii="宋体" w:hAnsi="宋体" w:eastAsia="宋体" w:cs="宋体"/>
                <w:color w:val="auto"/>
                <w:sz w:val="21"/>
                <w:szCs w:val="21"/>
                <w:lang w:eastAsia="zh-CN"/>
              </w:rPr>
            </w:pPr>
            <w:r>
              <w:rPr>
                <w:rFonts w:hint="eastAsia" w:ascii="宋体" w:hAnsi="宋体" w:eastAsia="宋体" w:cs="宋体"/>
                <w:b/>
                <w:color w:val="auto"/>
                <w:sz w:val="21"/>
                <w:szCs w:val="21"/>
                <w:lang w:eastAsia="zh-CN"/>
              </w:rPr>
              <w:t>课程思政目标：</w:t>
            </w:r>
            <w:r>
              <w:rPr>
                <w:rFonts w:hint="eastAsia" w:ascii="宋体" w:hAnsi="宋体" w:eastAsia="宋体" w:cs="宋体"/>
                <w:color w:val="auto"/>
                <w:spacing w:val="-1"/>
                <w:sz w:val="21"/>
                <w:szCs w:val="21"/>
                <w:lang w:eastAsia="zh-CN"/>
              </w:rPr>
              <w:t>激发学生创新创业热情，树立敢于尝试、不屈不挠、坚持奋</w:t>
            </w:r>
            <w:r>
              <w:rPr>
                <w:rFonts w:hint="eastAsia" w:ascii="宋体" w:hAnsi="宋体" w:eastAsia="宋体" w:cs="宋体"/>
                <w:color w:val="auto"/>
                <w:spacing w:val="2"/>
                <w:sz w:val="21"/>
                <w:szCs w:val="21"/>
                <w:lang w:eastAsia="zh-CN"/>
              </w:rPr>
              <w:t>斗、勇于创新的精神风貌，引</w:t>
            </w:r>
            <w:r>
              <w:rPr>
                <w:rFonts w:hint="eastAsia" w:ascii="宋体" w:hAnsi="宋体" w:eastAsia="宋体" w:cs="宋体"/>
                <w:color w:val="auto"/>
                <w:sz w:val="21"/>
                <w:szCs w:val="21"/>
                <w:lang w:eastAsia="zh-CN"/>
              </w:rPr>
              <w:t>导学生在创新创业过程中关注</w:t>
            </w:r>
            <w:r>
              <w:rPr>
                <w:rFonts w:hint="eastAsia" w:ascii="宋体" w:hAnsi="宋体" w:eastAsia="宋体" w:cs="宋体"/>
                <w:color w:val="auto"/>
                <w:spacing w:val="9"/>
                <w:sz w:val="21"/>
                <w:szCs w:val="21"/>
                <w:lang w:eastAsia="zh-CN"/>
              </w:rPr>
              <w:t xml:space="preserve"> </w:t>
            </w:r>
            <w:r>
              <w:rPr>
                <w:rFonts w:hint="eastAsia" w:ascii="宋体" w:hAnsi="宋体" w:eastAsia="宋体" w:cs="宋体"/>
                <w:color w:val="auto"/>
                <w:spacing w:val="-1"/>
                <w:sz w:val="21"/>
                <w:szCs w:val="21"/>
                <w:lang w:eastAsia="zh-CN"/>
              </w:rPr>
              <w:t>社会需求和公共利益，将个人</w:t>
            </w:r>
            <w:r>
              <w:rPr>
                <w:rFonts w:hint="eastAsia" w:ascii="宋体" w:hAnsi="宋体" w:eastAsia="宋体" w:cs="宋体"/>
                <w:color w:val="auto"/>
                <w:spacing w:val="2"/>
                <w:sz w:val="21"/>
                <w:szCs w:val="21"/>
                <w:lang w:eastAsia="zh-CN"/>
              </w:rPr>
              <w:t xml:space="preserve"> </w:t>
            </w:r>
            <w:r>
              <w:rPr>
                <w:rFonts w:hint="eastAsia" w:ascii="宋体" w:hAnsi="宋体" w:eastAsia="宋体" w:cs="宋体"/>
                <w:color w:val="auto"/>
                <w:spacing w:val="4"/>
                <w:sz w:val="21"/>
                <w:szCs w:val="21"/>
                <w:lang w:eastAsia="zh-CN"/>
              </w:rPr>
              <w:t>创业梦想与社会发展相结合，</w:t>
            </w:r>
            <w:r>
              <w:rPr>
                <w:rFonts w:hint="eastAsia" w:ascii="宋体" w:hAnsi="宋体" w:eastAsia="宋体" w:cs="宋体"/>
                <w:color w:val="auto"/>
                <w:sz w:val="21"/>
                <w:szCs w:val="21"/>
                <w:lang w:eastAsia="zh-CN"/>
              </w:rPr>
              <w:t>实现个人价值与社会价值的统</w:t>
            </w:r>
            <w:r>
              <w:rPr>
                <w:rFonts w:hint="eastAsia" w:ascii="宋体" w:hAnsi="宋体" w:eastAsia="宋体" w:cs="宋体"/>
                <w:color w:val="auto"/>
                <w:spacing w:val="8"/>
                <w:sz w:val="21"/>
                <w:szCs w:val="21"/>
                <w:lang w:eastAsia="zh-CN"/>
              </w:rPr>
              <w:t xml:space="preserve"> </w:t>
            </w:r>
            <w:r>
              <w:rPr>
                <w:rFonts w:hint="eastAsia" w:ascii="宋体" w:hAnsi="宋体" w:eastAsia="宋体" w:cs="宋体"/>
                <w:color w:val="auto"/>
                <w:spacing w:val="12"/>
                <w:sz w:val="21"/>
                <w:szCs w:val="21"/>
                <w:lang w:eastAsia="zh-CN"/>
              </w:rPr>
              <w:t>一。</w:t>
            </w:r>
          </w:p>
        </w:tc>
      </w:tr>
      <w:tr w14:paraId="2A3B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5CD459A5">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r>
              <w:rPr>
                <w:rFonts w:hint="eastAsia" w:ascii="宋体" w:hAnsi="宋体" w:eastAsia="宋体" w:cs="宋体"/>
                <w:b/>
                <w:bCs/>
                <w:color w:val="auto"/>
                <w:spacing w:val="-3"/>
                <w:sz w:val="21"/>
                <w:szCs w:val="21"/>
              </w:rPr>
              <w:t xml:space="preserve"> 创新创业团队</w:t>
            </w:r>
          </w:p>
        </w:tc>
        <w:tc>
          <w:tcPr>
            <w:tcW w:w="2800" w:type="dxa"/>
            <w:vAlign w:val="center"/>
          </w:tcPr>
          <w:p w14:paraId="59800507">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pacing w:val="-3"/>
                <w:sz w:val="21"/>
                <w:szCs w:val="21"/>
              </w:rPr>
              <w:t>创新创业</w:t>
            </w:r>
            <w:r>
              <w:rPr>
                <w:rFonts w:hint="eastAsia" w:ascii="宋体" w:hAnsi="宋体" w:eastAsia="宋体" w:cs="宋体"/>
                <w:color w:val="auto"/>
                <w:sz w:val="21"/>
                <w:szCs w:val="21"/>
              </w:rPr>
              <w:t>团队的概念、要素及价值</w:t>
            </w:r>
            <w:r>
              <w:rPr>
                <w:rFonts w:hint="eastAsia" w:ascii="宋体" w:hAnsi="宋体" w:eastAsia="宋体" w:cs="宋体"/>
                <w:color w:val="auto"/>
                <w:spacing w:val="9"/>
                <w:sz w:val="21"/>
                <w:szCs w:val="21"/>
              </w:rPr>
              <w:t>创新创业团队的人员组</w:t>
            </w:r>
            <w:r>
              <w:rPr>
                <w:rFonts w:hint="eastAsia" w:ascii="宋体" w:hAnsi="宋体" w:eastAsia="宋体" w:cs="宋体"/>
                <w:color w:val="auto"/>
                <w:spacing w:val="11"/>
                <w:sz w:val="21"/>
                <w:szCs w:val="21"/>
              </w:rPr>
              <w:t>成、角色分工和组织架</w:t>
            </w:r>
            <w:r>
              <w:rPr>
                <w:rFonts w:hint="eastAsia" w:ascii="宋体" w:hAnsi="宋体" w:eastAsia="宋体" w:cs="宋体"/>
                <w:color w:val="auto"/>
                <w:spacing w:val="-2"/>
                <w:sz w:val="21"/>
                <w:szCs w:val="21"/>
              </w:rPr>
              <w:t>构。</w:t>
            </w:r>
          </w:p>
        </w:tc>
        <w:tc>
          <w:tcPr>
            <w:tcW w:w="1264" w:type="dxa"/>
            <w:vAlign w:val="center"/>
          </w:tcPr>
          <w:p w14:paraId="1F4DC193">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pacing w:val="8"/>
                <w:sz w:val="21"/>
                <w:szCs w:val="21"/>
              </w:rPr>
              <w:t>课程目标</w:t>
            </w:r>
            <w:r>
              <w:rPr>
                <w:rFonts w:hint="eastAsia" w:ascii="宋体" w:hAnsi="宋体" w:eastAsia="宋体" w:cs="宋体"/>
                <w:color w:val="auto"/>
                <w:spacing w:val="-5"/>
                <w:sz w:val="21"/>
                <w:szCs w:val="21"/>
              </w:rPr>
              <w:t>1、2</w:t>
            </w:r>
          </w:p>
        </w:tc>
        <w:tc>
          <w:tcPr>
            <w:tcW w:w="2246" w:type="dxa"/>
            <w:vAlign w:val="center"/>
          </w:tcPr>
          <w:p w14:paraId="0507EAB0">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pacing w:val="-2"/>
                <w:sz w:val="21"/>
                <w:szCs w:val="21"/>
              </w:rPr>
              <w:t>应用案例学会设计创新创业团队的组</w:t>
            </w:r>
            <w:r>
              <w:rPr>
                <w:rFonts w:hint="eastAsia" w:ascii="宋体" w:hAnsi="宋体" w:eastAsia="宋体" w:cs="宋体"/>
                <w:color w:val="auto"/>
                <w:spacing w:val="1"/>
                <w:sz w:val="21"/>
                <w:szCs w:val="21"/>
              </w:rPr>
              <w:t>织架构。</w:t>
            </w:r>
          </w:p>
        </w:tc>
        <w:tc>
          <w:tcPr>
            <w:tcW w:w="1560" w:type="dxa"/>
            <w:vAlign w:val="center"/>
          </w:tcPr>
          <w:p w14:paraId="1BC323F4">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1.线下学习</w:t>
            </w:r>
          </w:p>
          <w:p w14:paraId="2846FC18">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2.多媒体教学</w:t>
            </w:r>
          </w:p>
          <w:p w14:paraId="4641DDE4">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3.课堂讨论</w:t>
            </w:r>
          </w:p>
          <w:p w14:paraId="67EA3E01">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4.课堂汇报</w:t>
            </w:r>
          </w:p>
        </w:tc>
        <w:tc>
          <w:tcPr>
            <w:tcW w:w="439" w:type="dxa"/>
            <w:vAlign w:val="center"/>
          </w:tcPr>
          <w:p w14:paraId="2059A5D3">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r>
      <w:tr w14:paraId="3C0C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14:paraId="4111DD90">
            <w:pPr>
              <w:keepNext w:val="0"/>
              <w:keepLines w:val="0"/>
              <w:pageBreakBefore w:val="0"/>
              <w:wordWrap/>
              <w:overflowPunct/>
              <w:topLinePunct w:val="0"/>
              <w:bidi w:val="0"/>
              <w:jc w:val="center"/>
              <w:rPr>
                <w:rFonts w:hint="eastAsia" w:ascii="宋体" w:hAnsi="宋体" w:eastAsia="宋体" w:cs="宋体"/>
                <w:color w:val="auto"/>
                <w:sz w:val="21"/>
                <w:szCs w:val="21"/>
              </w:rPr>
            </w:pPr>
          </w:p>
        </w:tc>
        <w:tc>
          <w:tcPr>
            <w:tcW w:w="8309" w:type="dxa"/>
            <w:gridSpan w:val="5"/>
            <w:vAlign w:val="center"/>
          </w:tcPr>
          <w:p w14:paraId="656DB02E">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pacing w:val="-1"/>
                <w:sz w:val="21"/>
                <w:szCs w:val="21"/>
              </w:rPr>
              <w:t>跟党学双创，能领会中国共产党是世界上最强大的创新创业</w:t>
            </w:r>
            <w:r>
              <w:rPr>
                <w:rFonts w:hint="eastAsia" w:ascii="宋体" w:hAnsi="宋体" w:eastAsia="宋体" w:cs="宋体"/>
                <w:color w:val="auto"/>
                <w:sz w:val="21"/>
                <w:szCs w:val="21"/>
              </w:rPr>
              <w:t>团队，始终坚持理想信念和初心使命，带领各族人民，历经</w:t>
            </w:r>
            <w:r>
              <w:rPr>
                <w:rFonts w:hint="eastAsia" w:ascii="宋体" w:hAnsi="宋体" w:eastAsia="宋体" w:cs="宋体"/>
                <w:color w:val="auto"/>
                <w:spacing w:val="4"/>
                <w:sz w:val="21"/>
                <w:szCs w:val="21"/>
              </w:rPr>
              <w:t>风雨，不屈不挠，改革创新，</w:t>
            </w:r>
            <w:r>
              <w:rPr>
                <w:rFonts w:hint="eastAsia" w:ascii="宋体" w:hAnsi="宋体" w:eastAsia="宋体" w:cs="宋体"/>
                <w:color w:val="auto"/>
                <w:sz w:val="21"/>
                <w:szCs w:val="21"/>
              </w:rPr>
              <w:t>以中国式现代化全面推进中华</w:t>
            </w:r>
            <w:r>
              <w:rPr>
                <w:rFonts w:hint="eastAsia" w:ascii="宋体" w:hAnsi="宋体" w:eastAsia="宋体" w:cs="宋体"/>
                <w:color w:val="auto"/>
                <w:spacing w:val="4"/>
                <w:sz w:val="21"/>
                <w:szCs w:val="21"/>
              </w:rPr>
              <w:t>民族的伟大复兴。跟党学习，</w:t>
            </w:r>
            <w:r>
              <w:rPr>
                <w:rFonts w:hint="eastAsia" w:ascii="宋体" w:hAnsi="宋体" w:eastAsia="宋体" w:cs="宋体"/>
                <w:color w:val="auto"/>
                <w:sz w:val="21"/>
                <w:szCs w:val="21"/>
              </w:rPr>
              <w:t>团队在创新创业的过程中，通</w:t>
            </w:r>
            <w:r>
              <w:rPr>
                <w:rFonts w:hint="eastAsia" w:ascii="宋体" w:hAnsi="宋体" w:eastAsia="宋体" w:cs="宋体"/>
                <w:color w:val="auto"/>
                <w:spacing w:val="4"/>
                <w:sz w:val="21"/>
                <w:szCs w:val="21"/>
              </w:rPr>
              <w:t>过沟通、分享、互补、协作，</w:t>
            </w:r>
            <w:r>
              <w:rPr>
                <w:rFonts w:hint="eastAsia" w:ascii="宋体" w:hAnsi="宋体" w:eastAsia="宋体" w:cs="宋体"/>
                <w:color w:val="auto"/>
                <w:spacing w:val="-1"/>
                <w:sz w:val="21"/>
                <w:szCs w:val="21"/>
              </w:rPr>
              <w:t>解决创新创业道路上的一个又一个困难，实现最终目标。</w:t>
            </w:r>
          </w:p>
        </w:tc>
      </w:tr>
      <w:tr w14:paraId="181B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52B5ADAA">
            <w:pPr>
              <w:keepNext w:val="0"/>
              <w:keepLines w:val="0"/>
              <w:pageBreakBefore w:val="0"/>
              <w:wordWrap/>
              <w:overflowPunct/>
              <w:topLinePunct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r>
              <w:rPr>
                <w:rFonts w:hint="eastAsia" w:ascii="宋体" w:hAnsi="宋体" w:eastAsia="宋体" w:cs="宋体"/>
                <w:b/>
                <w:bCs/>
                <w:color w:val="auto"/>
                <w:spacing w:val="-1"/>
                <w:sz w:val="21"/>
                <w:szCs w:val="21"/>
              </w:rPr>
              <w:t xml:space="preserve"> 互联网创业指南</w:t>
            </w:r>
          </w:p>
        </w:tc>
        <w:tc>
          <w:tcPr>
            <w:tcW w:w="2800" w:type="dxa"/>
            <w:vAlign w:val="center"/>
          </w:tcPr>
          <w:p w14:paraId="1ED42482">
            <w:pPr>
              <w:keepNext w:val="0"/>
              <w:keepLines w:val="0"/>
              <w:pageBreakBefore w:val="0"/>
              <w:wordWrap/>
              <w:overflowPunct/>
              <w:topLinePunct w:val="0"/>
              <w:bidi w:val="0"/>
              <w:ind w:right="-82" w:rightChars="-39"/>
              <w:jc w:val="left"/>
              <w:rPr>
                <w:rFonts w:hint="eastAsia" w:ascii="宋体" w:hAnsi="宋体" w:eastAsia="宋体" w:cs="宋体"/>
                <w:b/>
                <w:color w:val="auto"/>
                <w:sz w:val="21"/>
                <w:szCs w:val="21"/>
              </w:rPr>
            </w:pPr>
            <w:r>
              <w:rPr>
                <w:rFonts w:hint="eastAsia" w:ascii="宋体" w:hAnsi="宋体" w:eastAsia="宋体" w:cs="宋体"/>
                <w:color w:val="auto"/>
                <w:spacing w:val="-1"/>
                <w:sz w:val="21"/>
                <w:szCs w:val="21"/>
              </w:rPr>
              <w:t>互联网</w:t>
            </w:r>
            <w:r>
              <w:rPr>
                <w:rFonts w:hint="eastAsia" w:ascii="宋体" w:hAnsi="宋体" w:eastAsia="宋体" w:cs="宋体"/>
                <w:color w:val="auto"/>
                <w:spacing w:val="11"/>
                <w:sz w:val="21"/>
                <w:szCs w:val="21"/>
              </w:rPr>
              <w:t>的发展历程和未来趋势及互联网创业的概念和</w:t>
            </w:r>
            <w:r>
              <w:rPr>
                <w:rFonts w:hint="eastAsia" w:ascii="宋体" w:hAnsi="宋体" w:eastAsia="宋体" w:cs="宋体"/>
                <w:color w:val="auto"/>
                <w:spacing w:val="3"/>
                <w:sz w:val="21"/>
                <w:szCs w:val="21"/>
              </w:rPr>
              <w:t xml:space="preserve">  </w:t>
            </w:r>
            <w:r>
              <w:rPr>
                <w:rFonts w:hint="eastAsia" w:ascii="宋体" w:hAnsi="宋体" w:eastAsia="宋体" w:cs="宋体"/>
                <w:color w:val="auto"/>
                <w:spacing w:val="-1"/>
                <w:sz w:val="21"/>
                <w:szCs w:val="21"/>
              </w:rPr>
              <w:t>特点；不同互联网创业平</w:t>
            </w:r>
            <w:r>
              <w:rPr>
                <w:rFonts w:hint="eastAsia" w:ascii="宋体" w:hAnsi="宋体" w:eastAsia="宋体" w:cs="宋体"/>
                <w:color w:val="auto"/>
                <w:spacing w:val="1"/>
                <w:sz w:val="21"/>
                <w:szCs w:val="21"/>
              </w:rPr>
              <w:t>台的特点及选择策略；网</w:t>
            </w:r>
            <w:r>
              <w:rPr>
                <w:rFonts w:hint="eastAsia" w:ascii="宋体" w:hAnsi="宋体" w:eastAsia="宋体" w:cs="宋体"/>
                <w:color w:val="auto"/>
                <w:spacing w:val="11"/>
                <w:sz w:val="21"/>
                <w:szCs w:val="21"/>
              </w:rPr>
              <w:t>上开店的流程与运营管</w:t>
            </w:r>
            <w:r>
              <w:rPr>
                <w:rFonts w:hint="eastAsia" w:ascii="宋体" w:hAnsi="宋体" w:eastAsia="宋体" w:cs="宋体"/>
                <w:color w:val="auto"/>
                <w:spacing w:val="1"/>
                <w:sz w:val="21"/>
                <w:szCs w:val="21"/>
              </w:rPr>
              <w:t>理技巧；共享经济模式的</w:t>
            </w:r>
            <w:r>
              <w:rPr>
                <w:rFonts w:hint="eastAsia" w:ascii="宋体" w:hAnsi="宋体" w:eastAsia="宋体" w:cs="宋体"/>
                <w:color w:val="auto"/>
                <w:spacing w:val="2"/>
                <w:sz w:val="21"/>
                <w:szCs w:val="21"/>
              </w:rPr>
              <w:t>运作机制和发展前景。</w:t>
            </w:r>
          </w:p>
        </w:tc>
        <w:tc>
          <w:tcPr>
            <w:tcW w:w="1264" w:type="dxa"/>
            <w:vAlign w:val="center"/>
          </w:tcPr>
          <w:p w14:paraId="4B894938">
            <w:pPr>
              <w:keepNext w:val="0"/>
              <w:keepLines w:val="0"/>
              <w:pageBreakBefore w:val="0"/>
              <w:wordWrap/>
              <w:overflowPunct/>
              <w:topLinePunct w:val="0"/>
              <w:bidi w:val="0"/>
              <w:jc w:val="left"/>
              <w:rPr>
                <w:rFonts w:hint="eastAsia" w:ascii="宋体" w:hAnsi="宋体" w:eastAsia="宋体" w:cs="宋体"/>
                <w:b/>
                <w:color w:val="auto"/>
                <w:sz w:val="21"/>
                <w:szCs w:val="21"/>
              </w:rPr>
            </w:pPr>
            <w:r>
              <w:rPr>
                <w:rFonts w:hint="eastAsia" w:ascii="宋体" w:hAnsi="宋体" w:eastAsia="宋体" w:cs="宋体"/>
                <w:color w:val="auto"/>
                <w:spacing w:val="8"/>
                <w:sz w:val="21"/>
                <w:szCs w:val="21"/>
              </w:rPr>
              <w:t>课程目标</w:t>
            </w:r>
            <w:r>
              <w:rPr>
                <w:rFonts w:hint="eastAsia" w:ascii="宋体" w:hAnsi="宋体" w:eastAsia="宋体" w:cs="宋体"/>
                <w:color w:val="auto"/>
                <w:spacing w:val="-5"/>
                <w:sz w:val="21"/>
                <w:szCs w:val="21"/>
              </w:rPr>
              <w:t>2</w:t>
            </w:r>
          </w:p>
        </w:tc>
        <w:tc>
          <w:tcPr>
            <w:tcW w:w="2246" w:type="dxa"/>
            <w:vAlign w:val="center"/>
          </w:tcPr>
          <w:p w14:paraId="6CCAD9CF">
            <w:pPr>
              <w:keepNext w:val="0"/>
              <w:keepLines w:val="0"/>
              <w:pageBreakBefore w:val="0"/>
              <w:wordWrap/>
              <w:overflowPunct/>
              <w:topLinePunct w:val="0"/>
              <w:bidi w:val="0"/>
              <w:rPr>
                <w:rFonts w:hint="eastAsia" w:ascii="宋体" w:hAnsi="宋体" w:eastAsia="宋体" w:cs="宋体"/>
                <w:b/>
                <w:color w:val="auto"/>
                <w:sz w:val="21"/>
                <w:szCs w:val="21"/>
              </w:rPr>
            </w:pPr>
            <w:r>
              <w:rPr>
                <w:rFonts w:hint="eastAsia" w:ascii="宋体" w:hAnsi="宋体" w:eastAsia="宋体" w:cs="宋体"/>
                <w:color w:val="auto"/>
                <w:spacing w:val="1"/>
                <w:sz w:val="21"/>
                <w:szCs w:val="21"/>
              </w:rPr>
              <w:t>能应用全国大学</w:t>
            </w:r>
            <w:r>
              <w:rPr>
                <w:rFonts w:hint="eastAsia" w:ascii="宋体" w:hAnsi="宋体" w:eastAsia="宋体" w:cs="宋体"/>
                <w:color w:val="auto"/>
                <w:spacing w:val="13"/>
                <w:sz w:val="21"/>
                <w:szCs w:val="21"/>
              </w:rPr>
              <w:t>电子商务“创新、</w:t>
            </w:r>
            <w:r>
              <w:rPr>
                <w:rFonts w:hint="eastAsia" w:ascii="宋体" w:hAnsi="宋体" w:eastAsia="宋体" w:cs="宋体"/>
                <w:color w:val="auto"/>
                <w:spacing w:val="5"/>
                <w:sz w:val="21"/>
                <w:szCs w:val="21"/>
              </w:rPr>
              <w:t>创意及创业"挑战</w:t>
            </w:r>
            <w:r>
              <w:rPr>
                <w:rFonts w:hint="eastAsia" w:ascii="宋体" w:hAnsi="宋体" w:eastAsia="宋体" w:cs="宋体"/>
                <w:color w:val="auto"/>
                <w:spacing w:val="-2"/>
                <w:sz w:val="21"/>
                <w:szCs w:val="21"/>
              </w:rPr>
              <w:t>赛获奖案例分析互联网创业的发展现</w:t>
            </w:r>
            <w:r>
              <w:rPr>
                <w:rFonts w:hint="eastAsia" w:ascii="宋体" w:hAnsi="宋体" w:eastAsia="宋体" w:cs="宋体"/>
                <w:color w:val="auto"/>
                <w:spacing w:val="-1"/>
                <w:sz w:val="21"/>
                <w:szCs w:val="21"/>
              </w:rPr>
              <w:t>状与未来趋势。</w:t>
            </w:r>
          </w:p>
        </w:tc>
        <w:tc>
          <w:tcPr>
            <w:tcW w:w="1560" w:type="dxa"/>
            <w:vAlign w:val="center"/>
          </w:tcPr>
          <w:p w14:paraId="3D12CCB1">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1.线下学习</w:t>
            </w:r>
          </w:p>
          <w:p w14:paraId="15436AC2">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2.多媒体教学</w:t>
            </w:r>
          </w:p>
          <w:p w14:paraId="566360C1">
            <w:pPr>
              <w:keepNext w:val="0"/>
              <w:keepLines w:val="0"/>
              <w:pageBreakBefore w:val="0"/>
              <w:wordWrap/>
              <w:overflowPunct/>
              <w:topLinePunct w:val="0"/>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3.课堂讨论</w:t>
            </w:r>
          </w:p>
          <w:p w14:paraId="3D83A282">
            <w:pPr>
              <w:keepNext w:val="0"/>
              <w:keepLines w:val="0"/>
              <w:pageBreakBefore w:val="0"/>
              <w:wordWrap/>
              <w:overflowPunct/>
              <w:topLinePunct w:val="0"/>
              <w:bidi w:val="0"/>
              <w:jc w:val="left"/>
              <w:rPr>
                <w:rFonts w:hint="eastAsia" w:ascii="宋体" w:hAnsi="宋体" w:eastAsia="宋体" w:cs="宋体"/>
                <w:b/>
                <w:color w:val="auto"/>
                <w:sz w:val="21"/>
                <w:szCs w:val="21"/>
              </w:rPr>
            </w:pPr>
            <w:r>
              <w:rPr>
                <w:rFonts w:hint="eastAsia" w:ascii="宋体" w:hAnsi="宋体" w:eastAsia="宋体" w:cs="宋体"/>
                <w:color w:val="auto"/>
                <w:sz w:val="21"/>
                <w:szCs w:val="21"/>
              </w:rPr>
              <w:t>4.课堂汇报</w:t>
            </w:r>
          </w:p>
        </w:tc>
        <w:tc>
          <w:tcPr>
            <w:tcW w:w="439" w:type="dxa"/>
            <w:vAlign w:val="center"/>
          </w:tcPr>
          <w:p w14:paraId="7DFE1942">
            <w:pPr>
              <w:keepNext w:val="0"/>
              <w:keepLines w:val="0"/>
              <w:pageBreakBefore w:val="0"/>
              <w:wordWrap/>
              <w:overflowPunct/>
              <w:topLinePunct w:val="0"/>
              <w:bidi w:val="0"/>
              <w:jc w:val="left"/>
              <w:rPr>
                <w:rFonts w:hint="eastAsia" w:ascii="宋体" w:hAnsi="宋体" w:eastAsia="宋体" w:cs="宋体"/>
                <w:b/>
                <w:color w:val="auto"/>
                <w:sz w:val="21"/>
                <w:szCs w:val="21"/>
              </w:rPr>
            </w:pPr>
            <w:r>
              <w:rPr>
                <w:rFonts w:hint="eastAsia" w:ascii="宋体" w:hAnsi="宋体" w:eastAsia="宋体" w:cs="宋体"/>
                <w:color w:val="auto"/>
                <w:sz w:val="21"/>
                <w:szCs w:val="21"/>
              </w:rPr>
              <w:t>4</w:t>
            </w:r>
          </w:p>
        </w:tc>
      </w:tr>
      <w:tr w14:paraId="29DA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14:paraId="03CBB01E">
            <w:pPr>
              <w:keepNext w:val="0"/>
              <w:keepLines w:val="0"/>
              <w:pageBreakBefore w:val="0"/>
              <w:wordWrap/>
              <w:overflowPunct/>
              <w:topLinePunct w:val="0"/>
              <w:bidi w:val="0"/>
              <w:jc w:val="center"/>
              <w:rPr>
                <w:rFonts w:hint="eastAsia" w:ascii="宋体" w:hAnsi="宋体" w:eastAsia="宋体" w:cs="宋体"/>
                <w:color w:val="auto"/>
                <w:sz w:val="21"/>
                <w:szCs w:val="21"/>
              </w:rPr>
            </w:pPr>
          </w:p>
        </w:tc>
        <w:tc>
          <w:tcPr>
            <w:tcW w:w="8309" w:type="dxa"/>
            <w:gridSpan w:val="5"/>
            <w:vAlign w:val="center"/>
          </w:tcPr>
          <w:p w14:paraId="383023CC">
            <w:pPr>
              <w:keepNext w:val="0"/>
              <w:keepLines w:val="0"/>
              <w:pageBreakBefore w:val="0"/>
              <w:wordWrap/>
              <w:overflowPunct/>
              <w:topLinePunct w:val="0"/>
              <w:bidi w:val="0"/>
              <w:jc w:val="left"/>
              <w:rPr>
                <w:rFonts w:hint="eastAsia" w:ascii="宋体" w:hAnsi="宋体" w:eastAsia="宋体" w:cs="宋体"/>
                <w:b/>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pacing w:val="-1"/>
                <w:sz w:val="21"/>
                <w:szCs w:val="21"/>
              </w:rPr>
              <w:t>培养学生在互联网领域探索未</w:t>
            </w:r>
            <w:r>
              <w:rPr>
                <w:rFonts w:hint="eastAsia" w:ascii="宋体" w:hAnsi="宋体" w:eastAsia="宋体" w:cs="宋体"/>
                <w:color w:val="auto"/>
                <w:sz w:val="21"/>
                <w:szCs w:val="21"/>
              </w:rPr>
              <w:t>知、挑战自我以及面对失败不屈不挠、勇于担当的精神。强调互联网创业中涉及的知识产</w:t>
            </w:r>
            <w:r>
              <w:rPr>
                <w:rFonts w:hint="eastAsia" w:ascii="宋体" w:hAnsi="宋体" w:eastAsia="宋体" w:cs="宋体"/>
                <w:color w:val="auto"/>
                <w:spacing w:val="-1"/>
                <w:sz w:val="21"/>
                <w:szCs w:val="21"/>
              </w:rPr>
              <w:t>权和公平竞争的重要性，实现个人价值的同时，为社会创造</w:t>
            </w:r>
            <w:r>
              <w:rPr>
                <w:rFonts w:hint="eastAsia" w:ascii="宋体" w:hAnsi="宋体" w:eastAsia="宋体" w:cs="宋体"/>
                <w:color w:val="auto"/>
                <w:sz w:val="21"/>
                <w:szCs w:val="21"/>
              </w:rPr>
              <w:t>更多价值。</w:t>
            </w:r>
          </w:p>
        </w:tc>
      </w:tr>
    </w:tbl>
    <w:p w14:paraId="1DC2DB55">
      <w:pPr>
        <w:spacing w:line="360" w:lineRule="auto"/>
        <w:jc w:val="left"/>
        <w:rPr>
          <w:rFonts w:ascii="Times New Roman" w:hAnsi="Times New Roman" w:eastAsia="宋体" w:cs="Times New Roman"/>
          <w:color w:val="auto"/>
          <w:sz w:val="24"/>
        </w:rPr>
      </w:pPr>
      <w:r>
        <w:rPr>
          <w:rFonts w:hint="eastAsia" w:ascii="宋体" w:hAnsi="宋体" w:eastAsia="宋体" w:cs="Times New Roman"/>
          <w:b/>
          <w:color w:val="auto"/>
          <w:sz w:val="24"/>
        </w:rPr>
        <w:t>四、目标评价与成绩评定</w:t>
      </w:r>
    </w:p>
    <w:p w14:paraId="5764FB15">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58013F1A">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601"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193"/>
        <w:gridCol w:w="1134"/>
        <w:gridCol w:w="1701"/>
        <w:gridCol w:w="2304"/>
        <w:gridCol w:w="993"/>
      </w:tblGrid>
      <w:tr w14:paraId="1695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14:paraId="439670F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6332" w:type="dxa"/>
            <w:gridSpan w:val="4"/>
            <w:vAlign w:val="center"/>
          </w:tcPr>
          <w:p w14:paraId="7D784AB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993" w:type="dxa"/>
            <w:vAlign w:val="center"/>
          </w:tcPr>
          <w:p w14:paraId="0AD7DF1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68DF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14:paraId="01965A54">
            <w:pPr>
              <w:spacing w:line="360" w:lineRule="auto"/>
              <w:jc w:val="center"/>
              <w:rPr>
                <w:rFonts w:hint="eastAsia" w:ascii="宋体" w:hAnsi="宋体" w:eastAsia="宋体" w:cs="Times New Roman"/>
                <w:color w:val="auto"/>
                <w:szCs w:val="21"/>
              </w:rPr>
            </w:pPr>
          </w:p>
        </w:tc>
        <w:tc>
          <w:tcPr>
            <w:tcW w:w="1193" w:type="dxa"/>
            <w:vAlign w:val="center"/>
          </w:tcPr>
          <w:p w14:paraId="00140789">
            <w:pPr>
              <w:spacing w:line="360" w:lineRule="auto"/>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rPr>
              <w:t>平时</w:t>
            </w:r>
            <w:r>
              <w:rPr>
                <w:rFonts w:hint="eastAsia" w:ascii="宋体" w:hAnsi="宋体" w:eastAsia="宋体" w:cs="Times New Roman"/>
                <w:color w:val="auto"/>
                <w:szCs w:val="21"/>
                <w:lang w:val="en-US" w:eastAsia="zh-CN"/>
              </w:rPr>
              <w:t>表现</w:t>
            </w:r>
          </w:p>
        </w:tc>
        <w:tc>
          <w:tcPr>
            <w:tcW w:w="1134" w:type="dxa"/>
            <w:vAlign w:val="center"/>
          </w:tcPr>
          <w:p w14:paraId="1B71BD0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作业</w:t>
            </w:r>
          </w:p>
        </w:tc>
        <w:tc>
          <w:tcPr>
            <w:tcW w:w="1701" w:type="dxa"/>
            <w:vAlign w:val="center"/>
          </w:tcPr>
          <w:p w14:paraId="756DABF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项目汇报</w:t>
            </w:r>
          </w:p>
        </w:tc>
        <w:tc>
          <w:tcPr>
            <w:tcW w:w="2304" w:type="dxa"/>
            <w:vAlign w:val="center"/>
          </w:tcPr>
          <w:p w14:paraId="0B6AFE1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课程考核大作业</w:t>
            </w:r>
          </w:p>
        </w:tc>
        <w:tc>
          <w:tcPr>
            <w:tcW w:w="993" w:type="dxa"/>
            <w:vAlign w:val="center"/>
          </w:tcPr>
          <w:p w14:paraId="22A32C19">
            <w:pPr>
              <w:spacing w:line="360" w:lineRule="auto"/>
              <w:jc w:val="center"/>
              <w:rPr>
                <w:rFonts w:hint="eastAsia" w:ascii="宋体" w:hAnsi="宋体" w:eastAsia="宋体" w:cs="Times New Roman"/>
                <w:color w:val="auto"/>
                <w:szCs w:val="21"/>
              </w:rPr>
            </w:pPr>
          </w:p>
        </w:tc>
      </w:tr>
      <w:tr w14:paraId="3C60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63ABDB8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193" w:type="dxa"/>
            <w:vAlign w:val="center"/>
          </w:tcPr>
          <w:p w14:paraId="5312A70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w:t>
            </w:r>
          </w:p>
        </w:tc>
        <w:tc>
          <w:tcPr>
            <w:tcW w:w="1134" w:type="dxa"/>
            <w:vAlign w:val="center"/>
          </w:tcPr>
          <w:p w14:paraId="0D9FC77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c>
          <w:tcPr>
            <w:tcW w:w="1701" w:type="dxa"/>
            <w:vAlign w:val="center"/>
          </w:tcPr>
          <w:p w14:paraId="45B2D71F">
            <w:pPr>
              <w:spacing w:line="360" w:lineRule="auto"/>
              <w:jc w:val="center"/>
              <w:rPr>
                <w:rFonts w:hint="eastAsia" w:ascii="宋体" w:hAnsi="宋体" w:eastAsia="宋体" w:cs="Times New Roman"/>
                <w:color w:val="auto"/>
                <w:szCs w:val="21"/>
              </w:rPr>
            </w:pPr>
          </w:p>
        </w:tc>
        <w:tc>
          <w:tcPr>
            <w:tcW w:w="2304" w:type="dxa"/>
            <w:vAlign w:val="center"/>
          </w:tcPr>
          <w:p w14:paraId="78F3AC6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c>
          <w:tcPr>
            <w:tcW w:w="993" w:type="dxa"/>
            <w:vAlign w:val="center"/>
          </w:tcPr>
          <w:p w14:paraId="3729099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50</w:t>
            </w:r>
          </w:p>
        </w:tc>
      </w:tr>
      <w:tr w14:paraId="20CC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6383BF5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193" w:type="dxa"/>
            <w:vAlign w:val="center"/>
          </w:tcPr>
          <w:p w14:paraId="504FADBD">
            <w:pPr>
              <w:spacing w:line="360" w:lineRule="auto"/>
              <w:jc w:val="center"/>
              <w:rPr>
                <w:rFonts w:hint="eastAsia" w:ascii="宋体" w:hAnsi="宋体" w:eastAsia="宋体" w:cs="Times New Roman"/>
                <w:color w:val="auto"/>
                <w:szCs w:val="21"/>
              </w:rPr>
            </w:pPr>
          </w:p>
        </w:tc>
        <w:tc>
          <w:tcPr>
            <w:tcW w:w="1134" w:type="dxa"/>
            <w:vAlign w:val="center"/>
          </w:tcPr>
          <w:p w14:paraId="1BC91CA8">
            <w:pPr>
              <w:spacing w:line="360" w:lineRule="auto"/>
              <w:jc w:val="center"/>
              <w:rPr>
                <w:rFonts w:hint="eastAsia" w:ascii="宋体" w:hAnsi="宋体" w:eastAsia="宋体" w:cs="Times New Roman"/>
                <w:color w:val="auto"/>
                <w:szCs w:val="21"/>
              </w:rPr>
            </w:pPr>
          </w:p>
        </w:tc>
        <w:tc>
          <w:tcPr>
            <w:tcW w:w="1701" w:type="dxa"/>
            <w:vAlign w:val="center"/>
          </w:tcPr>
          <w:p w14:paraId="0D5D093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c>
          <w:tcPr>
            <w:tcW w:w="2304" w:type="dxa"/>
            <w:vAlign w:val="center"/>
          </w:tcPr>
          <w:p w14:paraId="45372E9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c>
          <w:tcPr>
            <w:tcW w:w="993" w:type="dxa"/>
            <w:vAlign w:val="center"/>
          </w:tcPr>
          <w:p w14:paraId="710325C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50</w:t>
            </w:r>
          </w:p>
        </w:tc>
      </w:tr>
      <w:tr w14:paraId="4909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56EECE9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193" w:type="dxa"/>
            <w:vAlign w:val="center"/>
          </w:tcPr>
          <w:p w14:paraId="2278817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w:t>
            </w:r>
          </w:p>
        </w:tc>
        <w:tc>
          <w:tcPr>
            <w:tcW w:w="1134" w:type="dxa"/>
            <w:vAlign w:val="center"/>
          </w:tcPr>
          <w:p w14:paraId="040BDA2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c>
          <w:tcPr>
            <w:tcW w:w="1701" w:type="dxa"/>
            <w:vAlign w:val="center"/>
          </w:tcPr>
          <w:p w14:paraId="55BC997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c>
          <w:tcPr>
            <w:tcW w:w="2304" w:type="dxa"/>
            <w:vAlign w:val="center"/>
          </w:tcPr>
          <w:p w14:paraId="3F57D31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50</w:t>
            </w:r>
          </w:p>
        </w:tc>
        <w:tc>
          <w:tcPr>
            <w:tcW w:w="993" w:type="dxa"/>
            <w:vAlign w:val="center"/>
          </w:tcPr>
          <w:p w14:paraId="27497B3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0D622E2F">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0A9276F4">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6923"/>
        <w:gridCol w:w="706"/>
      </w:tblGrid>
      <w:tr w14:paraId="4627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1DE6515">
            <w:pPr>
              <w:rPr>
                <w:rFonts w:hint="eastAsia" w:ascii="宋体" w:hAnsi="宋体" w:eastAsia="宋体" w:cs="Times New Roman"/>
                <w:b/>
                <w:bCs/>
                <w:color w:val="auto"/>
                <w:szCs w:val="21"/>
              </w:rPr>
            </w:pPr>
            <w:r>
              <w:rPr>
                <w:rFonts w:hint="eastAsia" w:ascii="宋体" w:hAnsi="宋体" w:eastAsia="宋体" w:cs="Times New Roman"/>
                <w:b/>
                <w:bCs/>
                <w:color w:val="auto"/>
                <w:szCs w:val="21"/>
              </w:rPr>
              <w:t>评价方式</w:t>
            </w:r>
          </w:p>
        </w:tc>
        <w:tc>
          <w:tcPr>
            <w:tcW w:w="6923" w:type="dxa"/>
            <w:vAlign w:val="center"/>
          </w:tcPr>
          <w:p w14:paraId="0BD8B0D9">
            <w:pPr>
              <w:rPr>
                <w:rFonts w:hint="eastAsia" w:ascii="宋体" w:hAnsi="宋体" w:eastAsia="宋体" w:cs="Times New Roman"/>
                <w:b/>
                <w:bCs/>
                <w:color w:val="auto"/>
                <w:szCs w:val="21"/>
              </w:rPr>
            </w:pPr>
            <w:r>
              <w:rPr>
                <w:rFonts w:hint="eastAsia" w:ascii="宋体" w:hAnsi="宋体" w:eastAsia="宋体" w:cs="Times New Roman"/>
                <w:b/>
                <w:bCs/>
                <w:color w:val="auto"/>
                <w:szCs w:val="21"/>
              </w:rPr>
              <w:t>评定细则</w:t>
            </w:r>
          </w:p>
        </w:tc>
        <w:tc>
          <w:tcPr>
            <w:tcW w:w="0" w:type="auto"/>
            <w:vAlign w:val="center"/>
          </w:tcPr>
          <w:p w14:paraId="13051C9F">
            <w:pPr>
              <w:rPr>
                <w:rFonts w:hint="eastAsia" w:ascii="宋体" w:hAnsi="宋体" w:eastAsia="宋体" w:cs="Times New Roman"/>
                <w:b/>
                <w:bCs/>
                <w:color w:val="auto"/>
                <w:szCs w:val="21"/>
              </w:rPr>
            </w:pPr>
            <w:r>
              <w:rPr>
                <w:rFonts w:hint="eastAsia" w:ascii="宋体" w:hAnsi="宋体" w:eastAsia="宋体" w:cs="Times New Roman"/>
                <w:b/>
                <w:bCs/>
                <w:color w:val="auto"/>
                <w:szCs w:val="21"/>
              </w:rPr>
              <w:t>占比</w:t>
            </w:r>
          </w:p>
        </w:tc>
      </w:tr>
      <w:tr w14:paraId="191D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EABFEF4">
            <w:pPr>
              <w:rPr>
                <w:rFonts w:hint="eastAsia" w:ascii="宋体" w:hAnsi="宋体" w:eastAsia="宋体" w:cs="Times New Roman"/>
                <w:color w:val="auto"/>
                <w:szCs w:val="21"/>
              </w:rPr>
            </w:pPr>
            <w:r>
              <w:rPr>
                <w:rFonts w:hint="eastAsia" w:ascii="宋体" w:hAnsi="宋体" w:eastAsia="宋体" w:cs="Times New Roman"/>
                <w:color w:val="auto"/>
                <w:szCs w:val="21"/>
              </w:rPr>
              <w:t>平时表现</w:t>
            </w:r>
          </w:p>
        </w:tc>
        <w:tc>
          <w:tcPr>
            <w:tcW w:w="6923" w:type="dxa"/>
            <w:vAlign w:val="center"/>
          </w:tcPr>
          <w:p w14:paraId="2760DD83">
            <w:pPr>
              <w:spacing w:line="264" w:lineRule="auto"/>
              <w:rPr>
                <w:rFonts w:hint="eastAsia" w:ascii="宋体" w:hAnsi="宋体" w:eastAsia="宋体" w:cs="Times New Roman"/>
                <w:color w:val="auto"/>
                <w:szCs w:val="21"/>
              </w:rPr>
            </w:pPr>
            <w:r>
              <w:rPr>
                <w:rFonts w:ascii="宋体" w:hAnsi="宋体" w:eastAsia="宋体"/>
                <w:color w:val="auto"/>
                <w:spacing w:val="-1"/>
              </w:rPr>
              <w:t>学生出勤、课堂提问和互动情况。</w:t>
            </w:r>
          </w:p>
        </w:tc>
        <w:tc>
          <w:tcPr>
            <w:tcW w:w="0" w:type="auto"/>
            <w:vAlign w:val="center"/>
          </w:tcPr>
          <w:p w14:paraId="4A1EC2A1">
            <w:pPr>
              <w:rPr>
                <w:rFonts w:hint="eastAsia" w:ascii="宋体" w:hAnsi="宋体" w:eastAsia="宋体" w:cs="Times New Roman"/>
                <w:color w:val="auto"/>
                <w:szCs w:val="21"/>
              </w:rPr>
            </w:pPr>
            <w:r>
              <w:rPr>
                <w:rFonts w:ascii="宋体" w:hAnsi="宋体" w:eastAsia="宋体"/>
                <w:color w:val="auto"/>
                <w:spacing w:val="-6"/>
              </w:rPr>
              <w:t>10%</w:t>
            </w:r>
          </w:p>
        </w:tc>
      </w:tr>
      <w:tr w14:paraId="3B46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C7A0FDE">
            <w:pPr>
              <w:rPr>
                <w:rFonts w:hint="eastAsia" w:ascii="宋体" w:hAnsi="宋体" w:eastAsia="宋体" w:cs="Times New Roman"/>
                <w:color w:val="auto"/>
                <w:szCs w:val="21"/>
              </w:rPr>
            </w:pPr>
            <w:r>
              <w:rPr>
                <w:rFonts w:hint="eastAsia" w:ascii="宋体" w:hAnsi="宋体" w:eastAsia="宋体" w:cs="Times New Roman"/>
                <w:color w:val="auto"/>
                <w:szCs w:val="21"/>
              </w:rPr>
              <w:t>作业</w:t>
            </w:r>
          </w:p>
        </w:tc>
        <w:tc>
          <w:tcPr>
            <w:tcW w:w="6923" w:type="dxa"/>
            <w:vAlign w:val="center"/>
          </w:tcPr>
          <w:p w14:paraId="11BF7CE3">
            <w:pPr>
              <w:widowControl/>
              <w:spacing w:line="264" w:lineRule="auto"/>
              <w:rPr>
                <w:rFonts w:hint="eastAsia" w:ascii="宋体" w:hAnsi="宋体" w:eastAsia="宋体" w:cs="Times New Roman"/>
                <w:color w:val="auto"/>
                <w:szCs w:val="21"/>
              </w:rPr>
            </w:pPr>
            <w:r>
              <w:rPr>
                <w:rFonts w:ascii="宋体" w:hAnsi="宋体" w:eastAsia="宋体"/>
                <w:color w:val="auto"/>
              </w:rPr>
              <w:t>课后作业布置不少于3次，完成项目申报书、专</w:t>
            </w:r>
            <w:r>
              <w:rPr>
                <w:rFonts w:ascii="宋体" w:hAnsi="宋体" w:eastAsia="宋体"/>
                <w:color w:val="auto"/>
                <w:spacing w:val="1"/>
              </w:rPr>
              <w:t>利申请书、社会调查报告或商业计划书的阶段性</w:t>
            </w:r>
            <w:r>
              <w:rPr>
                <w:rFonts w:ascii="宋体" w:hAnsi="宋体" w:eastAsia="宋体"/>
                <w:color w:val="auto"/>
                <w:spacing w:val="3"/>
              </w:rPr>
              <w:t>资料或教材的章节练习，主要考核学生对项目的</w:t>
            </w:r>
            <w:r>
              <w:rPr>
                <w:rFonts w:ascii="宋体" w:hAnsi="宋体" w:eastAsia="宋体"/>
                <w:color w:val="auto"/>
                <w:spacing w:val="-1"/>
              </w:rPr>
              <w:t>资料搜集和知识的理解程度。作业按百分制计分。</w:t>
            </w:r>
          </w:p>
        </w:tc>
        <w:tc>
          <w:tcPr>
            <w:tcW w:w="0" w:type="auto"/>
            <w:vAlign w:val="center"/>
          </w:tcPr>
          <w:p w14:paraId="7A26BDA5">
            <w:pPr>
              <w:rPr>
                <w:rFonts w:hint="eastAsia" w:ascii="宋体" w:hAnsi="宋体" w:eastAsia="宋体" w:cs="Times New Roman"/>
                <w:color w:val="auto"/>
                <w:szCs w:val="21"/>
              </w:rPr>
            </w:pPr>
            <w:r>
              <w:rPr>
                <w:rFonts w:ascii="宋体" w:hAnsi="宋体" w:eastAsia="宋体"/>
                <w:color w:val="auto"/>
                <w:spacing w:val="-3"/>
              </w:rPr>
              <w:t>20%</w:t>
            </w:r>
          </w:p>
        </w:tc>
      </w:tr>
      <w:tr w14:paraId="0EFD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3A1936F">
            <w:pPr>
              <w:rPr>
                <w:rFonts w:hint="eastAsia" w:ascii="宋体" w:hAnsi="宋体" w:eastAsia="宋体" w:cs="Times New Roman"/>
                <w:color w:val="auto"/>
                <w:szCs w:val="21"/>
              </w:rPr>
            </w:pPr>
            <w:r>
              <w:rPr>
                <w:rFonts w:hint="eastAsia" w:ascii="宋体" w:hAnsi="宋体" w:eastAsia="宋体" w:cs="Times New Roman"/>
                <w:color w:val="auto"/>
                <w:szCs w:val="21"/>
              </w:rPr>
              <w:t>项目汇报</w:t>
            </w:r>
          </w:p>
        </w:tc>
        <w:tc>
          <w:tcPr>
            <w:tcW w:w="6923" w:type="dxa"/>
            <w:vAlign w:val="center"/>
          </w:tcPr>
          <w:p w14:paraId="38A1C604">
            <w:pPr>
              <w:widowControl/>
              <w:spacing w:line="264" w:lineRule="auto"/>
              <w:rPr>
                <w:rFonts w:hint="eastAsia" w:ascii="宋体" w:hAnsi="宋体" w:eastAsia="宋体" w:cs="宋体"/>
                <w:color w:val="auto"/>
                <w:kern w:val="0"/>
                <w:szCs w:val="21"/>
                <w:lang w:bidi="ar"/>
              </w:rPr>
            </w:pPr>
            <w:r>
              <w:rPr>
                <w:rFonts w:ascii="宋体" w:hAnsi="宋体" w:eastAsia="宋体"/>
                <w:color w:val="auto"/>
                <w:spacing w:val="-1"/>
              </w:rPr>
              <w:t>采用团队汇报形式，主要考核学生对于创新创业</w:t>
            </w:r>
            <w:r>
              <w:rPr>
                <w:rFonts w:ascii="宋体" w:hAnsi="宋体" w:eastAsia="宋体"/>
                <w:color w:val="auto"/>
              </w:rPr>
              <w:t>项目的检索归纳和理解程度以及表达展示与沟通</w:t>
            </w:r>
            <w:r>
              <w:rPr>
                <w:rFonts w:ascii="宋体" w:hAnsi="宋体" w:eastAsia="宋体"/>
                <w:color w:val="auto"/>
                <w:spacing w:val="-1"/>
              </w:rPr>
              <w:t>交流的能力。</w:t>
            </w:r>
          </w:p>
        </w:tc>
        <w:tc>
          <w:tcPr>
            <w:tcW w:w="0" w:type="auto"/>
            <w:vAlign w:val="center"/>
          </w:tcPr>
          <w:p w14:paraId="3136663D">
            <w:pPr>
              <w:rPr>
                <w:rFonts w:hint="eastAsia" w:ascii="宋体" w:hAnsi="宋体" w:eastAsia="宋体" w:cs="Times New Roman"/>
                <w:color w:val="auto"/>
                <w:szCs w:val="21"/>
              </w:rPr>
            </w:pPr>
            <w:r>
              <w:rPr>
                <w:rFonts w:ascii="宋体" w:hAnsi="宋体" w:eastAsia="宋体"/>
                <w:color w:val="auto"/>
                <w:spacing w:val="-3"/>
              </w:rPr>
              <w:t>20%</w:t>
            </w:r>
          </w:p>
        </w:tc>
      </w:tr>
      <w:tr w14:paraId="327E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B779C8C">
            <w:pPr>
              <w:rPr>
                <w:rFonts w:hint="eastAsia" w:ascii="宋体" w:hAnsi="宋体" w:eastAsia="宋体" w:cs="Times New Roman"/>
                <w:color w:val="auto"/>
                <w:szCs w:val="21"/>
              </w:rPr>
            </w:pPr>
            <w:r>
              <w:rPr>
                <w:rFonts w:hint="eastAsia" w:ascii="宋体" w:hAnsi="宋体" w:eastAsia="宋体" w:cs="Times New Roman"/>
                <w:color w:val="auto"/>
                <w:szCs w:val="21"/>
              </w:rPr>
              <w:t>课程考察大作业</w:t>
            </w:r>
          </w:p>
        </w:tc>
        <w:tc>
          <w:tcPr>
            <w:tcW w:w="6923" w:type="dxa"/>
            <w:vAlign w:val="center"/>
          </w:tcPr>
          <w:p w14:paraId="56BD6772">
            <w:pPr>
              <w:widowControl/>
              <w:spacing w:line="264" w:lineRule="auto"/>
              <w:rPr>
                <w:rFonts w:hint="eastAsia" w:ascii="宋体" w:hAnsi="宋体" w:eastAsia="宋体" w:cs="宋体"/>
                <w:color w:val="auto"/>
                <w:kern w:val="0"/>
                <w:szCs w:val="21"/>
                <w:lang w:bidi="ar"/>
              </w:rPr>
            </w:pPr>
            <w:r>
              <w:rPr>
                <w:rFonts w:ascii="宋体" w:hAnsi="宋体" w:eastAsia="宋体"/>
                <w:color w:val="auto"/>
              </w:rPr>
              <w:t>强调项目申报书、专利申请书、社会调查报告或</w:t>
            </w:r>
            <w:r>
              <w:rPr>
                <w:rFonts w:ascii="宋体" w:hAnsi="宋体" w:eastAsia="宋体"/>
                <w:color w:val="auto"/>
                <w:spacing w:val="2"/>
              </w:rPr>
              <w:t>商业计划书的内容完整性、方案创新性、项目可</w:t>
            </w:r>
            <w:r>
              <w:rPr>
                <w:rFonts w:ascii="宋体" w:hAnsi="宋体" w:eastAsia="宋体"/>
                <w:color w:val="auto"/>
                <w:spacing w:val="6"/>
              </w:rPr>
              <w:t>行性、语言流畅性、个人参与性、团队合作性、</w:t>
            </w:r>
            <w:r>
              <w:rPr>
                <w:rFonts w:ascii="宋体" w:hAnsi="宋体" w:eastAsia="宋体"/>
                <w:color w:val="auto"/>
                <w:spacing w:val="-1"/>
              </w:rPr>
              <w:t>格式规范性。</w:t>
            </w:r>
          </w:p>
        </w:tc>
        <w:tc>
          <w:tcPr>
            <w:tcW w:w="0" w:type="auto"/>
            <w:vAlign w:val="center"/>
          </w:tcPr>
          <w:p w14:paraId="3B367048">
            <w:pPr>
              <w:rPr>
                <w:rFonts w:hint="eastAsia" w:ascii="宋体" w:hAnsi="宋体" w:eastAsia="宋体" w:cs="Times New Roman"/>
                <w:color w:val="auto"/>
                <w:szCs w:val="21"/>
              </w:rPr>
            </w:pPr>
            <w:r>
              <w:rPr>
                <w:rFonts w:ascii="宋体" w:hAnsi="宋体" w:eastAsia="宋体"/>
                <w:color w:val="auto"/>
                <w:spacing w:val="-3"/>
              </w:rPr>
              <w:t>50%</w:t>
            </w:r>
          </w:p>
        </w:tc>
      </w:tr>
      <w:tr w14:paraId="1794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29" w:type="dxa"/>
            <w:vAlign w:val="center"/>
          </w:tcPr>
          <w:p w14:paraId="348002C4">
            <w:pPr>
              <w:rPr>
                <w:rFonts w:hint="eastAsia" w:ascii="宋体" w:hAnsi="宋体" w:eastAsia="宋体" w:cs="Times New Roman"/>
                <w:b/>
                <w:bCs/>
                <w:color w:val="auto"/>
                <w:szCs w:val="21"/>
              </w:rPr>
            </w:pPr>
            <w:r>
              <w:rPr>
                <w:rFonts w:hint="eastAsia" w:ascii="宋体" w:hAnsi="宋体" w:eastAsia="宋体" w:cs="Times New Roman"/>
                <w:b/>
                <w:bCs/>
                <w:color w:val="auto"/>
                <w:szCs w:val="21"/>
              </w:rPr>
              <w:t>合计</w:t>
            </w:r>
          </w:p>
        </w:tc>
        <w:tc>
          <w:tcPr>
            <w:tcW w:w="0" w:type="auto"/>
            <w:vAlign w:val="center"/>
          </w:tcPr>
          <w:p w14:paraId="2DF6E27C">
            <w:pPr>
              <w:rPr>
                <w:rFonts w:hint="eastAsia" w:ascii="宋体" w:hAnsi="宋体" w:eastAsia="宋体" w:cs="Times New Roman"/>
                <w:color w:val="auto"/>
                <w:szCs w:val="21"/>
              </w:rPr>
            </w:pPr>
          </w:p>
        </w:tc>
        <w:tc>
          <w:tcPr>
            <w:tcW w:w="0" w:type="auto"/>
            <w:vAlign w:val="center"/>
          </w:tcPr>
          <w:p w14:paraId="735B7B3F">
            <w:pP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27105601">
      <w:pPr>
        <w:spacing w:line="360" w:lineRule="auto"/>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38C03B22">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41A947DD">
      <w:pPr>
        <w:spacing w:before="156" w:beforeLines="50" w:line="360" w:lineRule="auto"/>
        <w:ind w:firstLine="420" w:firstLineChars="200"/>
        <w:jc w:val="left"/>
        <w:rPr>
          <w:rFonts w:hint="eastAsia" w:ascii="宋体" w:hAnsi="宋体" w:eastAsia="宋体" w:cs="Times New Roman"/>
          <w:color w:val="auto"/>
          <w:szCs w:val="21"/>
        </w:rPr>
      </w:pPr>
      <w:r>
        <w:rPr>
          <w:color w:val="auto"/>
        </w:rPr>
        <w:drawing>
          <wp:inline distT="0" distB="0" distL="0" distR="0">
            <wp:extent cx="3934460" cy="772160"/>
            <wp:effectExtent l="0" t="0" r="8890" b="8890"/>
            <wp:docPr id="1633433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33752" name="图片 1"/>
                    <pic:cNvPicPr>
                      <a:picLocks noChangeAspect="1"/>
                    </pic:cNvPicPr>
                  </pic:nvPicPr>
                  <pic:blipFill>
                    <a:blip r:embed="rId18"/>
                    <a:stretch>
                      <a:fillRect/>
                    </a:stretch>
                  </pic:blipFill>
                  <pic:spPr>
                    <a:xfrm>
                      <a:off x="0" y="0"/>
                      <a:ext cx="3955415" cy="776524"/>
                    </a:xfrm>
                    <a:prstGeom prst="rect">
                      <a:avLst/>
                    </a:prstGeom>
                  </pic:spPr>
                </pic:pic>
              </a:graphicData>
            </a:graphic>
          </wp:inline>
        </w:drawing>
      </w:r>
    </w:p>
    <w:p w14:paraId="1636D230">
      <w:pPr>
        <w:spacing w:before="156" w:beforeLines="50" w:line="360" w:lineRule="auto"/>
        <w:jc w:val="left"/>
        <w:rPr>
          <w:rFonts w:ascii="Times New Roman" w:hAnsi="Times New Roman" w:eastAsia="宋体" w:cs="Times New Roman"/>
          <w:b/>
          <w:color w:val="auto"/>
          <w:sz w:val="24"/>
        </w:rPr>
      </w:pPr>
      <w:r>
        <w:rPr>
          <w:rFonts w:hint="eastAsia" w:ascii="宋体" w:hAnsi="宋体" w:eastAsia="宋体" w:cs="Times New Roman"/>
          <w:b/>
          <w:color w:val="auto"/>
          <w:sz w:val="24"/>
        </w:rPr>
        <w:t>五、</w:t>
      </w:r>
      <w:r>
        <w:rPr>
          <w:rFonts w:hint="eastAsia" w:ascii="Times New Roman" w:hAnsi="Times New Roman" w:eastAsia="宋体" w:cs="Times New Roman"/>
          <w:b/>
          <w:color w:val="auto"/>
          <w:sz w:val="24"/>
        </w:rPr>
        <w:t>课程实践</w:t>
      </w:r>
      <w:r>
        <w:rPr>
          <w:rFonts w:hint="eastAsia" w:ascii="Times New Roman" w:hAnsi="Times New Roman" w:eastAsia="宋体" w:cs="Times New Roman"/>
          <w:bCs/>
          <w:color w:val="auto"/>
          <w:sz w:val="24"/>
        </w:rPr>
        <w:t>（利用第二课堂，不占总学时）</w:t>
      </w:r>
    </w:p>
    <w:p w14:paraId="502A3A4D">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本课程在系统教学的基础上，以学生为主题，整合各类教育资源，科学设计实践活动，丰富教育教学形式，提升教育教学效果，从而实现思政育人。</w:t>
      </w:r>
    </w:p>
    <w:tbl>
      <w:tblPr>
        <w:tblStyle w:val="3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894"/>
        <w:gridCol w:w="2126"/>
        <w:gridCol w:w="2287"/>
      </w:tblGrid>
      <w:tr w14:paraId="2389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77FB03FA">
            <w:pPr>
              <w:jc w:val="center"/>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2894" w:type="dxa"/>
            <w:vAlign w:val="center"/>
          </w:tcPr>
          <w:p w14:paraId="73D49510">
            <w:pPr>
              <w:jc w:val="center"/>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2126" w:type="dxa"/>
            <w:vAlign w:val="center"/>
          </w:tcPr>
          <w:p w14:paraId="3D6781C5">
            <w:pPr>
              <w:jc w:val="center"/>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2287" w:type="dxa"/>
            <w:vAlign w:val="center"/>
          </w:tcPr>
          <w:p w14:paraId="46EA3F41">
            <w:pPr>
              <w:jc w:val="center"/>
              <w:rPr>
                <w:rFonts w:hint="eastAsia" w:ascii="宋体" w:hAnsi="宋体" w:eastAsia="宋体" w:cs="宋体"/>
                <w:b/>
                <w:bCs/>
                <w:color w:val="auto"/>
                <w:szCs w:val="21"/>
              </w:rPr>
            </w:pPr>
            <w:r>
              <w:rPr>
                <w:rFonts w:hint="eastAsia" w:ascii="宋体" w:hAnsi="宋体" w:eastAsia="宋体" w:cs="宋体"/>
                <w:b/>
                <w:bCs/>
                <w:color w:val="auto"/>
                <w:szCs w:val="21"/>
              </w:rPr>
              <w:t>思政目标</w:t>
            </w:r>
          </w:p>
        </w:tc>
      </w:tr>
      <w:tr w14:paraId="2C1D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6A627A5F">
            <w:pPr>
              <w:jc w:val="left"/>
              <w:rPr>
                <w:rFonts w:hint="eastAsia" w:ascii="宋体" w:hAnsi="宋体" w:eastAsia="宋体" w:cs="宋体"/>
                <w:color w:val="auto"/>
                <w:szCs w:val="21"/>
              </w:rPr>
            </w:pPr>
            <w:r>
              <w:rPr>
                <w:rFonts w:hint="eastAsia" w:ascii="宋体" w:hAnsi="宋体" w:eastAsia="宋体" w:cs="Times New Roman"/>
                <w:color w:val="auto"/>
                <w:szCs w:val="21"/>
                <w:shd w:val="clear" w:color="auto" w:fill="FDFDFE"/>
              </w:rPr>
              <w:t>用“逆向头脑风暴”挖掘社会痛点中的创业机遇</w:t>
            </w:r>
          </w:p>
        </w:tc>
        <w:tc>
          <w:tcPr>
            <w:tcW w:w="2894" w:type="dxa"/>
            <w:vAlign w:val="center"/>
          </w:tcPr>
          <w:p w14:paraId="5EFD9156">
            <w:pPr>
              <w:widowControl/>
              <w:jc w:val="left"/>
              <w:rPr>
                <w:rFonts w:hint="eastAsia" w:ascii="宋体" w:hAnsi="宋体" w:eastAsia="宋体" w:cs="宋体"/>
                <w:color w:val="auto"/>
                <w:kern w:val="0"/>
                <w:szCs w:val="21"/>
              </w:rPr>
            </w:pPr>
            <w:r>
              <w:rPr>
                <w:rStyle w:val="18"/>
                <w:rFonts w:hint="eastAsia" w:ascii="宋体" w:hAnsi="宋体" w:eastAsia="宋体" w:cs="微软雅黑"/>
                <w:b w:val="0"/>
                <w:bCs w:val="0"/>
                <w:color w:val="auto"/>
                <w:szCs w:val="21"/>
              </w:rPr>
              <w:t>角色扮演</w:t>
            </w:r>
            <w:r>
              <w:rPr>
                <w:rFonts w:hint="eastAsia" w:ascii="宋体" w:hAnsi="宋体" w:eastAsia="宋体" w:cs="Times New Roman"/>
                <w:color w:val="auto"/>
                <w:szCs w:val="21"/>
              </w:rPr>
              <w:t>：分组扮演“社区工作者”“大学生”“银发族”等角色，通过情景模拟发现未被满足的需求。</w:t>
            </w:r>
          </w:p>
          <w:p w14:paraId="40BD6FA0">
            <w:pPr>
              <w:widowControl/>
              <w:jc w:val="left"/>
              <w:rPr>
                <w:rFonts w:hint="eastAsia" w:ascii="宋体" w:hAnsi="宋体" w:eastAsia="宋体" w:cs="Times New Roman"/>
                <w:color w:val="auto"/>
                <w:szCs w:val="21"/>
              </w:rPr>
            </w:pPr>
            <w:r>
              <w:rPr>
                <w:rStyle w:val="18"/>
                <w:rFonts w:hint="eastAsia" w:ascii="宋体" w:hAnsi="宋体" w:eastAsia="宋体" w:cs="微软雅黑"/>
                <w:b w:val="0"/>
                <w:bCs w:val="0"/>
                <w:color w:val="auto"/>
                <w:szCs w:val="21"/>
              </w:rPr>
              <w:t>案例分析</w:t>
            </w:r>
            <w:r>
              <w:rPr>
                <w:rFonts w:hint="eastAsia" w:ascii="宋体" w:hAnsi="宋体" w:eastAsia="宋体" w:cs="Times New Roman"/>
                <w:color w:val="auto"/>
                <w:szCs w:val="21"/>
              </w:rPr>
              <w:t>：拆解“乡村快递最后一公里”等社会痛点型创业案例，提炼价值主张设计逻辑。</w:t>
            </w:r>
          </w:p>
          <w:p w14:paraId="3E702FBB">
            <w:pPr>
              <w:widowControl/>
              <w:jc w:val="left"/>
              <w:rPr>
                <w:rFonts w:hint="eastAsia" w:ascii="宋体" w:hAnsi="宋体" w:eastAsia="宋体" w:cs="Times New Roman"/>
                <w:color w:val="auto"/>
                <w:szCs w:val="21"/>
              </w:rPr>
            </w:pPr>
            <w:r>
              <w:rPr>
                <w:rStyle w:val="18"/>
                <w:rFonts w:hint="eastAsia" w:ascii="宋体" w:hAnsi="宋体" w:eastAsia="宋体" w:cs="微软雅黑"/>
                <w:b w:val="0"/>
                <w:bCs w:val="0"/>
                <w:color w:val="auto"/>
                <w:szCs w:val="21"/>
              </w:rPr>
              <w:t>思政融合</w:t>
            </w:r>
            <w:r>
              <w:rPr>
                <w:rFonts w:hint="eastAsia" w:ascii="宋体" w:hAnsi="宋体" w:eastAsia="宋体" w:cs="Times New Roman"/>
                <w:color w:val="auto"/>
                <w:szCs w:val="21"/>
              </w:rPr>
              <w:t>：结合“共同富裕”政策，讨论创业如何助力弱势群体赋能。</w:t>
            </w:r>
          </w:p>
        </w:tc>
        <w:tc>
          <w:tcPr>
            <w:tcW w:w="2126" w:type="dxa"/>
            <w:vAlign w:val="center"/>
          </w:tcPr>
          <w:p w14:paraId="70E3F445">
            <w:pPr>
              <w:widowControl/>
              <w:jc w:val="left"/>
              <w:rPr>
                <w:rFonts w:hint="eastAsia" w:ascii="宋体" w:hAnsi="宋体" w:eastAsia="宋体" w:cs="宋体"/>
                <w:color w:val="auto"/>
                <w:kern w:val="0"/>
                <w:szCs w:val="21"/>
              </w:rPr>
            </w:pPr>
            <w:r>
              <w:rPr>
                <w:rStyle w:val="18"/>
                <w:rFonts w:hint="eastAsia" w:ascii="宋体" w:hAnsi="宋体" w:eastAsia="宋体" w:cs="微软雅黑"/>
                <w:b w:val="0"/>
                <w:bCs w:val="0"/>
                <w:color w:val="auto"/>
                <w:szCs w:val="21"/>
              </w:rPr>
              <w:t>工具</w:t>
            </w:r>
            <w:r>
              <w:rPr>
                <w:rFonts w:hint="eastAsia" w:ascii="宋体" w:hAnsi="宋体" w:eastAsia="宋体" w:cs="Times New Roman"/>
                <w:color w:val="auto"/>
                <w:szCs w:val="21"/>
              </w:rPr>
              <w:t>：使用“问题树”工具梳理社会痛点，开展逆向头脑风暴（如“如何让老年人更难买到药？”）反向推导解决方案。</w:t>
            </w:r>
          </w:p>
          <w:p w14:paraId="741EE503">
            <w:pPr>
              <w:widowControl/>
              <w:jc w:val="left"/>
              <w:rPr>
                <w:rFonts w:hint="eastAsia" w:ascii="宋体" w:hAnsi="宋体" w:eastAsia="宋体" w:cs="Times New Roman"/>
                <w:color w:val="auto"/>
                <w:szCs w:val="21"/>
              </w:rPr>
            </w:pPr>
            <w:r>
              <w:rPr>
                <w:rStyle w:val="18"/>
                <w:rFonts w:hint="eastAsia" w:ascii="宋体" w:hAnsi="宋体" w:eastAsia="宋体" w:cs="微软雅黑"/>
                <w:b w:val="0"/>
                <w:bCs w:val="0"/>
                <w:color w:val="auto"/>
                <w:szCs w:val="21"/>
              </w:rPr>
              <w:t>产出</w:t>
            </w:r>
            <w:r>
              <w:rPr>
                <w:rFonts w:hint="eastAsia" w:ascii="宋体" w:hAnsi="宋体" w:eastAsia="宋体" w:cs="Times New Roman"/>
                <w:color w:val="auto"/>
                <w:szCs w:val="21"/>
              </w:rPr>
              <w:t>：每组提交《社会痛点创业机会分析报告》，需包含至少3个思政价值锚点（如“乡村振兴”“代际公平”）。</w:t>
            </w:r>
          </w:p>
        </w:tc>
        <w:tc>
          <w:tcPr>
            <w:tcW w:w="2287" w:type="dxa"/>
            <w:vAlign w:val="center"/>
          </w:tcPr>
          <w:p w14:paraId="60449E4C">
            <w:pPr>
              <w:widowControl/>
              <w:jc w:val="left"/>
              <w:rPr>
                <w:rFonts w:hint="eastAsia" w:ascii="宋体" w:hAnsi="宋体" w:eastAsia="宋体" w:cs="宋体"/>
                <w:color w:val="auto"/>
                <w:kern w:val="0"/>
                <w:szCs w:val="21"/>
              </w:rPr>
            </w:pPr>
            <w:r>
              <w:rPr>
                <w:rStyle w:val="18"/>
                <w:rFonts w:hint="eastAsia" w:ascii="宋体" w:hAnsi="宋体" w:eastAsia="宋体" w:cs="微软雅黑"/>
                <w:b w:val="0"/>
                <w:bCs w:val="0"/>
                <w:color w:val="auto"/>
                <w:szCs w:val="21"/>
              </w:rPr>
              <w:t>树立</w:t>
            </w:r>
            <w:r>
              <w:rPr>
                <w:rStyle w:val="18"/>
                <w:rFonts w:ascii="宋体" w:hAnsi="宋体" w:eastAsia="宋体" w:cs="Segoe UI"/>
                <w:b w:val="0"/>
                <w:bCs w:val="0"/>
                <w:color w:val="auto"/>
                <w:szCs w:val="21"/>
              </w:rPr>
              <w:t>“</w:t>
            </w:r>
            <w:r>
              <w:rPr>
                <w:rStyle w:val="18"/>
                <w:rFonts w:hint="eastAsia" w:ascii="宋体" w:hAnsi="宋体" w:eastAsia="宋体" w:cs="微软雅黑"/>
                <w:b w:val="0"/>
                <w:bCs w:val="0"/>
                <w:color w:val="auto"/>
                <w:szCs w:val="21"/>
              </w:rPr>
              <w:t>以人民为中心</w:t>
            </w:r>
            <w:r>
              <w:rPr>
                <w:rStyle w:val="18"/>
                <w:rFonts w:ascii="宋体" w:hAnsi="宋体" w:eastAsia="宋体" w:cs="Segoe UI"/>
                <w:b w:val="0"/>
                <w:bCs w:val="0"/>
                <w:color w:val="auto"/>
                <w:szCs w:val="21"/>
              </w:rPr>
              <w:t>”</w:t>
            </w:r>
            <w:r>
              <w:rPr>
                <w:rStyle w:val="18"/>
                <w:rFonts w:hint="eastAsia" w:ascii="宋体" w:hAnsi="宋体" w:eastAsia="宋体" w:cs="微软雅黑"/>
                <w:b w:val="0"/>
                <w:bCs w:val="0"/>
                <w:color w:val="auto"/>
                <w:szCs w:val="21"/>
              </w:rPr>
              <w:t>的创业观</w:t>
            </w:r>
            <w:r>
              <w:rPr>
                <w:rFonts w:hint="eastAsia" w:ascii="宋体" w:hAnsi="宋体" w:eastAsia="宋体" w:cs="Times New Roman"/>
                <w:color w:val="auto"/>
                <w:szCs w:val="21"/>
              </w:rPr>
              <w:t>，理解社会痛点与国家政策（如共同富裕、老龄化社会需求）的关联性。</w:t>
            </w:r>
          </w:p>
          <w:p w14:paraId="4379AD57">
            <w:pPr>
              <w:widowControl/>
              <w:jc w:val="left"/>
              <w:rPr>
                <w:rFonts w:hint="eastAsia" w:ascii="宋体" w:hAnsi="宋体" w:eastAsia="宋体" w:cs="Times New Roman"/>
                <w:color w:val="auto"/>
                <w:szCs w:val="21"/>
              </w:rPr>
            </w:pPr>
            <w:r>
              <w:rPr>
                <w:rStyle w:val="18"/>
                <w:rFonts w:hint="eastAsia" w:ascii="宋体" w:hAnsi="宋体" w:eastAsia="宋体" w:cs="微软雅黑"/>
                <w:b w:val="0"/>
                <w:bCs w:val="0"/>
                <w:color w:val="auto"/>
                <w:szCs w:val="21"/>
              </w:rPr>
              <w:t>培养</w:t>
            </w:r>
            <w:r>
              <w:rPr>
                <w:rStyle w:val="18"/>
                <w:rFonts w:ascii="宋体" w:hAnsi="宋体" w:eastAsia="宋体" w:cs="Segoe UI"/>
                <w:b w:val="0"/>
                <w:bCs w:val="0"/>
                <w:color w:val="auto"/>
                <w:szCs w:val="21"/>
              </w:rPr>
              <w:t>“</w:t>
            </w:r>
            <w:r>
              <w:rPr>
                <w:rStyle w:val="18"/>
                <w:rFonts w:hint="eastAsia" w:ascii="宋体" w:hAnsi="宋体" w:eastAsia="宋体" w:cs="微软雅黑"/>
                <w:b w:val="0"/>
                <w:bCs w:val="0"/>
                <w:color w:val="auto"/>
                <w:szCs w:val="21"/>
              </w:rPr>
              <w:t>问题导向</w:t>
            </w:r>
            <w:r>
              <w:rPr>
                <w:rStyle w:val="18"/>
                <w:rFonts w:ascii="宋体" w:hAnsi="宋体" w:eastAsia="宋体" w:cs="Segoe UI"/>
                <w:b w:val="0"/>
                <w:bCs w:val="0"/>
                <w:color w:val="auto"/>
                <w:szCs w:val="21"/>
              </w:rPr>
              <w:t>”</w:t>
            </w:r>
            <w:r>
              <w:rPr>
                <w:rStyle w:val="18"/>
                <w:rFonts w:hint="eastAsia" w:ascii="宋体" w:hAnsi="宋体" w:eastAsia="宋体" w:cs="微软雅黑"/>
                <w:b w:val="0"/>
                <w:bCs w:val="0"/>
                <w:color w:val="auto"/>
                <w:szCs w:val="21"/>
              </w:rPr>
              <w:t>思维</w:t>
            </w:r>
            <w:r>
              <w:rPr>
                <w:rFonts w:hint="eastAsia" w:ascii="宋体" w:hAnsi="宋体" w:eastAsia="宋体" w:cs="Times New Roman"/>
                <w:color w:val="auto"/>
                <w:szCs w:val="21"/>
              </w:rPr>
              <w:t>，将社会痛点转化为创业机会。</w:t>
            </w:r>
          </w:p>
          <w:p w14:paraId="2DFBB361">
            <w:pPr>
              <w:jc w:val="left"/>
              <w:rPr>
                <w:rFonts w:hint="eastAsia" w:ascii="宋体" w:hAnsi="宋体" w:eastAsia="宋体" w:cs="宋体"/>
                <w:color w:val="auto"/>
                <w:szCs w:val="21"/>
              </w:rPr>
            </w:pPr>
          </w:p>
        </w:tc>
      </w:tr>
      <w:tr w14:paraId="7525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E619F9C">
            <w:pPr>
              <w:pStyle w:val="5"/>
              <w:spacing w:before="0" w:beforeAutospacing="0" w:after="0" w:afterAutospacing="0"/>
              <w:rPr>
                <w:rFonts w:hint="eastAsia"/>
                <w:b w:val="0"/>
                <w:bCs w:val="0"/>
                <w:color w:val="auto"/>
                <w:sz w:val="21"/>
                <w:szCs w:val="21"/>
              </w:rPr>
            </w:pPr>
            <w:r>
              <w:rPr>
                <w:rStyle w:val="18"/>
                <w:rFonts w:cs="Segoe UI"/>
                <w:b w:val="0"/>
                <w:bCs w:val="0"/>
                <w:color w:val="auto"/>
                <w:sz w:val="21"/>
                <w:szCs w:val="21"/>
              </w:rPr>
              <w:t>团队熔炼——从“冲突”到“共创”</w:t>
            </w:r>
          </w:p>
        </w:tc>
        <w:tc>
          <w:tcPr>
            <w:tcW w:w="2894" w:type="dxa"/>
            <w:vAlign w:val="center"/>
          </w:tcPr>
          <w:p w14:paraId="0235114C">
            <w:pPr>
              <w:widowControl/>
              <w:jc w:val="left"/>
              <w:rPr>
                <w:rFonts w:hint="eastAsia" w:ascii="宋体" w:hAnsi="宋体" w:eastAsia="宋体" w:cs="宋体"/>
                <w:color w:val="auto"/>
                <w:kern w:val="0"/>
                <w:szCs w:val="21"/>
              </w:rPr>
            </w:pPr>
            <w:r>
              <w:rPr>
                <w:rStyle w:val="18"/>
                <w:rFonts w:hint="eastAsia" w:ascii="宋体" w:hAnsi="宋体" w:eastAsia="宋体" w:cs="微软雅黑"/>
                <w:b w:val="0"/>
                <w:bCs w:val="0"/>
                <w:color w:val="auto"/>
                <w:szCs w:val="21"/>
              </w:rPr>
              <w:t>角色扮演</w:t>
            </w:r>
            <w:r>
              <w:rPr>
                <w:rFonts w:hint="eastAsia" w:ascii="宋体" w:hAnsi="宋体" w:eastAsia="宋体" w:cs="Times New Roman"/>
                <w:color w:val="auto"/>
                <w:szCs w:val="21"/>
              </w:rPr>
              <w:t>：分组模拟“技术大牛+营销达人+资金方”团队，围绕股权分配、品牌价值观冲突展开辩论。</w:t>
            </w:r>
          </w:p>
          <w:p w14:paraId="48E53A32">
            <w:pPr>
              <w:widowControl/>
              <w:jc w:val="left"/>
              <w:rPr>
                <w:rFonts w:hint="eastAsia" w:ascii="宋体" w:hAnsi="宋体" w:eastAsia="宋体" w:cs="Times New Roman"/>
                <w:color w:val="auto"/>
                <w:szCs w:val="21"/>
              </w:rPr>
            </w:pPr>
            <w:r>
              <w:rPr>
                <w:rStyle w:val="18"/>
                <w:rFonts w:hint="eastAsia" w:ascii="宋体" w:hAnsi="宋体" w:eastAsia="宋体" w:cs="微软雅黑"/>
                <w:b w:val="0"/>
                <w:bCs w:val="0"/>
                <w:color w:val="auto"/>
                <w:szCs w:val="21"/>
              </w:rPr>
              <w:t>小组合作</w:t>
            </w:r>
            <w:r>
              <w:rPr>
                <w:rFonts w:hint="eastAsia" w:ascii="宋体" w:hAnsi="宋体" w:eastAsia="宋体" w:cs="Times New Roman"/>
                <w:color w:val="auto"/>
                <w:szCs w:val="21"/>
              </w:rPr>
              <w:t>：设计《团队冲突解决机制手册》，需包含沟通协议、伦理准则条款。</w:t>
            </w:r>
          </w:p>
          <w:p w14:paraId="1CF662BD">
            <w:pPr>
              <w:widowControl/>
              <w:jc w:val="left"/>
              <w:rPr>
                <w:rFonts w:hint="eastAsia" w:ascii="宋体" w:hAnsi="宋体" w:eastAsia="宋体" w:cs="Times New Roman"/>
                <w:color w:val="auto"/>
                <w:szCs w:val="21"/>
              </w:rPr>
            </w:pPr>
            <w:r>
              <w:rPr>
                <w:rStyle w:val="18"/>
                <w:rFonts w:hint="eastAsia" w:ascii="宋体" w:hAnsi="宋体" w:eastAsia="宋体" w:cs="微软雅黑"/>
                <w:b w:val="0"/>
                <w:bCs w:val="0"/>
                <w:color w:val="auto"/>
                <w:szCs w:val="21"/>
              </w:rPr>
              <w:t>思政融合</w:t>
            </w:r>
            <w:r>
              <w:rPr>
                <w:rFonts w:hint="eastAsia" w:ascii="宋体" w:hAnsi="宋体" w:eastAsia="宋体" w:cs="Times New Roman"/>
                <w:color w:val="auto"/>
                <w:szCs w:val="21"/>
              </w:rPr>
              <w:t>：引入“红船精神”中的团队协作案例，讨论利益与使命的平衡。</w:t>
            </w:r>
          </w:p>
        </w:tc>
        <w:tc>
          <w:tcPr>
            <w:tcW w:w="2126" w:type="dxa"/>
            <w:vAlign w:val="center"/>
          </w:tcPr>
          <w:p w14:paraId="3336BD95">
            <w:pPr>
              <w:widowControl/>
              <w:jc w:val="left"/>
              <w:rPr>
                <w:rFonts w:hint="eastAsia" w:ascii="宋体" w:hAnsi="宋体" w:eastAsia="宋体" w:cs="宋体"/>
                <w:color w:val="auto"/>
                <w:kern w:val="0"/>
                <w:szCs w:val="21"/>
              </w:rPr>
            </w:pPr>
            <w:r>
              <w:rPr>
                <w:rStyle w:val="18"/>
                <w:rFonts w:hint="eastAsia" w:ascii="宋体" w:hAnsi="宋体" w:eastAsia="宋体" w:cs="微软雅黑"/>
                <w:b w:val="0"/>
                <w:bCs w:val="0"/>
                <w:color w:val="auto"/>
                <w:szCs w:val="21"/>
              </w:rPr>
              <w:t>工具</w:t>
            </w:r>
            <w:r>
              <w:rPr>
                <w:rFonts w:hint="eastAsia" w:ascii="宋体" w:hAnsi="宋体" w:eastAsia="宋体" w:cs="Times New Roman"/>
                <w:color w:val="auto"/>
                <w:szCs w:val="21"/>
              </w:rPr>
              <w:t>：使用“SWOT分析”评估团队组合，通过“世界咖啡”模式轮换角色视角。</w:t>
            </w:r>
          </w:p>
          <w:p w14:paraId="5613DD90">
            <w:pPr>
              <w:widowControl/>
              <w:jc w:val="left"/>
              <w:rPr>
                <w:rFonts w:hint="eastAsia" w:ascii="宋体" w:hAnsi="宋体" w:eastAsia="宋体" w:cs="Times New Roman"/>
                <w:color w:val="auto"/>
                <w:szCs w:val="21"/>
              </w:rPr>
            </w:pPr>
            <w:r>
              <w:rPr>
                <w:rStyle w:val="18"/>
                <w:rFonts w:hint="eastAsia" w:ascii="宋体" w:hAnsi="宋体" w:eastAsia="宋体" w:cs="微软雅黑"/>
                <w:b w:val="0"/>
                <w:bCs w:val="0"/>
                <w:color w:val="auto"/>
                <w:szCs w:val="21"/>
              </w:rPr>
              <w:t>产出</w:t>
            </w:r>
            <w:r>
              <w:rPr>
                <w:rFonts w:hint="eastAsia" w:ascii="宋体" w:hAnsi="宋体" w:eastAsia="宋体" w:cs="Times New Roman"/>
                <w:color w:val="auto"/>
                <w:szCs w:val="21"/>
              </w:rPr>
              <w:t>：角色扮演视频记录+《团队伦理决策案例集》。</w:t>
            </w:r>
          </w:p>
        </w:tc>
        <w:tc>
          <w:tcPr>
            <w:tcW w:w="2287" w:type="dxa"/>
            <w:vAlign w:val="center"/>
          </w:tcPr>
          <w:p w14:paraId="5327AE62">
            <w:pPr>
              <w:widowControl/>
              <w:jc w:val="left"/>
              <w:rPr>
                <w:rFonts w:hint="eastAsia" w:ascii="宋体" w:hAnsi="宋体" w:eastAsia="宋体" w:cs="宋体"/>
                <w:color w:val="auto"/>
                <w:kern w:val="0"/>
                <w:szCs w:val="21"/>
              </w:rPr>
            </w:pPr>
            <w:r>
              <w:rPr>
                <w:rStyle w:val="18"/>
                <w:rFonts w:hint="eastAsia" w:ascii="宋体" w:hAnsi="宋体" w:eastAsia="宋体" w:cs="微软雅黑"/>
                <w:b w:val="0"/>
                <w:bCs w:val="0"/>
                <w:color w:val="auto"/>
                <w:szCs w:val="21"/>
              </w:rPr>
              <w:t>强化</w:t>
            </w:r>
            <w:r>
              <w:rPr>
                <w:rStyle w:val="18"/>
                <w:rFonts w:ascii="宋体" w:hAnsi="宋体" w:eastAsia="宋体" w:cs="Segoe UI"/>
                <w:b w:val="0"/>
                <w:bCs w:val="0"/>
                <w:color w:val="auto"/>
                <w:szCs w:val="21"/>
              </w:rPr>
              <w:t>“</w:t>
            </w:r>
            <w:r>
              <w:rPr>
                <w:rStyle w:val="18"/>
                <w:rFonts w:hint="eastAsia" w:ascii="宋体" w:hAnsi="宋体" w:eastAsia="宋体" w:cs="微软雅黑"/>
                <w:b w:val="0"/>
                <w:bCs w:val="0"/>
                <w:color w:val="auto"/>
                <w:szCs w:val="21"/>
              </w:rPr>
              <w:t>集体主义</w:t>
            </w:r>
            <w:r>
              <w:rPr>
                <w:rStyle w:val="18"/>
                <w:rFonts w:ascii="宋体" w:hAnsi="宋体" w:eastAsia="宋体" w:cs="Segoe UI"/>
                <w:b w:val="0"/>
                <w:bCs w:val="0"/>
                <w:color w:val="auto"/>
                <w:szCs w:val="21"/>
              </w:rPr>
              <w:t>”</w:t>
            </w:r>
            <w:r>
              <w:rPr>
                <w:rStyle w:val="18"/>
                <w:rFonts w:hint="eastAsia" w:ascii="宋体" w:hAnsi="宋体" w:eastAsia="宋体" w:cs="微软雅黑"/>
                <w:b w:val="0"/>
                <w:bCs w:val="0"/>
                <w:color w:val="auto"/>
                <w:szCs w:val="21"/>
              </w:rPr>
              <w:t>精神</w:t>
            </w:r>
            <w:r>
              <w:rPr>
                <w:rFonts w:hint="eastAsia" w:ascii="宋体" w:hAnsi="宋体" w:eastAsia="宋体" w:cs="Times New Roman"/>
                <w:color w:val="auto"/>
                <w:szCs w:val="21"/>
              </w:rPr>
              <w:t>，理解创业中个人利益与团队目标的辩证关系。</w:t>
            </w:r>
          </w:p>
          <w:p w14:paraId="3459D3F9">
            <w:pPr>
              <w:widowControl/>
              <w:jc w:val="left"/>
              <w:rPr>
                <w:rFonts w:hint="eastAsia" w:ascii="宋体" w:hAnsi="宋体" w:eastAsia="宋体" w:cs="Times New Roman"/>
                <w:color w:val="auto"/>
                <w:szCs w:val="21"/>
              </w:rPr>
            </w:pPr>
            <w:r>
              <w:rPr>
                <w:rStyle w:val="18"/>
                <w:rFonts w:hint="eastAsia" w:ascii="宋体" w:hAnsi="宋体" w:eastAsia="宋体" w:cs="微软雅黑"/>
                <w:b w:val="0"/>
                <w:bCs w:val="0"/>
                <w:color w:val="auto"/>
                <w:szCs w:val="21"/>
              </w:rPr>
              <w:t>建立</w:t>
            </w:r>
            <w:r>
              <w:rPr>
                <w:rStyle w:val="18"/>
                <w:rFonts w:ascii="宋体" w:hAnsi="宋体" w:eastAsia="宋体" w:cs="Segoe UI"/>
                <w:b w:val="0"/>
                <w:bCs w:val="0"/>
                <w:color w:val="auto"/>
                <w:szCs w:val="21"/>
              </w:rPr>
              <w:t>“</w:t>
            </w:r>
            <w:r>
              <w:rPr>
                <w:rStyle w:val="18"/>
                <w:rFonts w:hint="eastAsia" w:ascii="宋体" w:hAnsi="宋体" w:eastAsia="宋体" w:cs="微软雅黑"/>
                <w:b w:val="0"/>
                <w:bCs w:val="0"/>
                <w:color w:val="auto"/>
                <w:szCs w:val="21"/>
              </w:rPr>
              <w:t>诚信、共赢</w:t>
            </w:r>
            <w:r>
              <w:rPr>
                <w:rStyle w:val="18"/>
                <w:rFonts w:ascii="宋体" w:hAnsi="宋体" w:eastAsia="宋体" w:cs="Segoe UI"/>
                <w:b w:val="0"/>
                <w:bCs w:val="0"/>
                <w:color w:val="auto"/>
                <w:szCs w:val="21"/>
              </w:rPr>
              <w:t>”</w:t>
            </w:r>
            <w:r>
              <w:rPr>
                <w:rStyle w:val="18"/>
                <w:rFonts w:hint="eastAsia" w:ascii="宋体" w:hAnsi="宋体" w:eastAsia="宋体" w:cs="微软雅黑"/>
                <w:b w:val="0"/>
                <w:bCs w:val="0"/>
                <w:color w:val="auto"/>
                <w:szCs w:val="21"/>
              </w:rPr>
              <w:t>的团队伦理观</w:t>
            </w:r>
            <w:r>
              <w:rPr>
                <w:rFonts w:hint="eastAsia" w:ascii="宋体" w:hAnsi="宋体" w:eastAsia="宋体" w:cs="Times New Roman"/>
                <w:color w:val="auto"/>
                <w:szCs w:val="21"/>
              </w:rPr>
              <w:t>，在冲突中寻求价值共识。</w:t>
            </w:r>
          </w:p>
        </w:tc>
      </w:tr>
      <w:tr w14:paraId="268E6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44E9FA3">
            <w:pPr>
              <w:jc w:val="left"/>
              <w:rPr>
                <w:rFonts w:hint="eastAsia" w:ascii="宋体" w:hAnsi="宋体" w:eastAsia="宋体" w:cs="宋体"/>
                <w:color w:val="auto"/>
                <w:szCs w:val="21"/>
              </w:rPr>
            </w:pPr>
            <w:r>
              <w:rPr>
                <w:rFonts w:hint="eastAsia" w:ascii="宋体" w:hAnsi="宋体" w:eastAsia="宋体" w:cs="Times New Roman"/>
                <w:color w:val="auto"/>
                <w:szCs w:val="21"/>
                <w:shd w:val="clear" w:color="auto" w:fill="FDFDFE"/>
              </w:rPr>
              <w:t>路演实战：用“家国情怀”打动投资人</w:t>
            </w:r>
          </w:p>
        </w:tc>
        <w:tc>
          <w:tcPr>
            <w:tcW w:w="2894" w:type="dxa"/>
            <w:vAlign w:val="center"/>
          </w:tcPr>
          <w:p w14:paraId="174F1871">
            <w:pPr>
              <w:widowControl/>
              <w:jc w:val="left"/>
              <w:rPr>
                <w:rFonts w:hint="eastAsia" w:ascii="宋体" w:hAnsi="宋体" w:eastAsia="宋体" w:cs="宋体"/>
                <w:color w:val="auto"/>
                <w:kern w:val="0"/>
                <w:szCs w:val="21"/>
              </w:rPr>
            </w:pPr>
            <w:r>
              <w:rPr>
                <w:rStyle w:val="18"/>
                <w:rFonts w:hint="eastAsia" w:ascii="宋体" w:hAnsi="宋体" w:eastAsia="宋体" w:cs="微软雅黑"/>
                <w:b w:val="0"/>
                <w:bCs w:val="0"/>
                <w:color w:val="auto"/>
                <w:szCs w:val="21"/>
              </w:rPr>
              <w:t>头脑风暴</w:t>
            </w:r>
            <w:r>
              <w:rPr>
                <w:rFonts w:hint="eastAsia" w:ascii="宋体" w:hAnsi="宋体" w:eastAsia="宋体" w:cs="Times New Roman"/>
                <w:color w:val="auto"/>
                <w:szCs w:val="21"/>
              </w:rPr>
              <w:t>：设计“乡村振兴+科技赋能”主题项目，如AI农业监测系统。</w:t>
            </w:r>
          </w:p>
          <w:p w14:paraId="506973ED">
            <w:pPr>
              <w:widowControl/>
              <w:jc w:val="left"/>
              <w:rPr>
                <w:rFonts w:hint="eastAsia" w:ascii="宋体" w:hAnsi="宋体" w:eastAsia="宋体" w:cs="Times New Roman"/>
                <w:color w:val="auto"/>
                <w:szCs w:val="21"/>
              </w:rPr>
            </w:pPr>
            <w:r>
              <w:rPr>
                <w:rStyle w:val="18"/>
                <w:rFonts w:hint="eastAsia" w:ascii="宋体" w:hAnsi="宋体" w:eastAsia="宋体" w:cs="微软雅黑"/>
                <w:b w:val="0"/>
                <w:bCs w:val="0"/>
                <w:color w:val="auto"/>
                <w:szCs w:val="21"/>
              </w:rPr>
              <w:t>路演汇报</w:t>
            </w:r>
            <w:r>
              <w:rPr>
                <w:rFonts w:hint="eastAsia" w:ascii="宋体" w:hAnsi="宋体" w:eastAsia="宋体" w:cs="Times New Roman"/>
                <w:color w:val="auto"/>
                <w:szCs w:val="21"/>
              </w:rPr>
              <w:t>：模拟投资人提问环节，重点考核社会价值表达（如“项目如何助力碳中和？”）。</w:t>
            </w:r>
          </w:p>
          <w:p w14:paraId="789132DF">
            <w:pPr>
              <w:widowControl/>
              <w:jc w:val="left"/>
              <w:rPr>
                <w:rFonts w:hint="eastAsia" w:ascii="宋体" w:hAnsi="宋体" w:eastAsia="宋体" w:cs="Times New Roman"/>
                <w:color w:val="auto"/>
                <w:szCs w:val="21"/>
              </w:rPr>
            </w:pPr>
            <w:r>
              <w:rPr>
                <w:rStyle w:val="18"/>
                <w:rFonts w:hint="eastAsia" w:ascii="宋体" w:hAnsi="宋体" w:eastAsia="宋体" w:cs="微软雅黑"/>
                <w:b w:val="0"/>
                <w:bCs w:val="0"/>
                <w:color w:val="auto"/>
                <w:szCs w:val="21"/>
              </w:rPr>
              <w:t>思政融合</w:t>
            </w:r>
            <w:r>
              <w:rPr>
                <w:rFonts w:hint="eastAsia" w:ascii="宋体" w:hAnsi="宋体" w:eastAsia="宋体" w:cs="Times New Roman"/>
                <w:color w:val="auto"/>
                <w:szCs w:val="21"/>
              </w:rPr>
              <w:t>：分析“华为芯片突围”等案例，讨论技术创业的国产替代使命。</w:t>
            </w:r>
          </w:p>
        </w:tc>
        <w:tc>
          <w:tcPr>
            <w:tcW w:w="2126" w:type="dxa"/>
            <w:vAlign w:val="center"/>
          </w:tcPr>
          <w:p w14:paraId="755984CD">
            <w:pPr>
              <w:widowControl/>
              <w:jc w:val="left"/>
              <w:rPr>
                <w:rFonts w:hint="eastAsia" w:ascii="宋体" w:hAnsi="宋体" w:eastAsia="宋体" w:cs="宋体"/>
                <w:color w:val="auto"/>
                <w:kern w:val="0"/>
                <w:szCs w:val="21"/>
              </w:rPr>
            </w:pPr>
            <w:r>
              <w:rPr>
                <w:rStyle w:val="18"/>
                <w:rFonts w:hint="eastAsia" w:ascii="宋体" w:hAnsi="宋体" w:eastAsia="宋体" w:cs="微软雅黑"/>
                <w:b w:val="0"/>
                <w:bCs w:val="0"/>
                <w:color w:val="auto"/>
                <w:szCs w:val="21"/>
              </w:rPr>
              <w:t>工具</w:t>
            </w:r>
            <w:r>
              <w:rPr>
                <w:rFonts w:hint="eastAsia" w:ascii="宋体" w:hAnsi="宋体" w:eastAsia="宋体" w:cs="Times New Roman"/>
                <w:color w:val="auto"/>
                <w:szCs w:val="21"/>
              </w:rPr>
              <w:t>：使用“商业模式画布”搭建项目框架，融入ESG（环境、社会、治理）指标。</w:t>
            </w:r>
          </w:p>
          <w:p w14:paraId="0648ACFB">
            <w:pPr>
              <w:widowControl/>
              <w:jc w:val="left"/>
              <w:rPr>
                <w:rFonts w:hint="eastAsia" w:ascii="宋体" w:hAnsi="宋体" w:eastAsia="宋体" w:cs="Times New Roman"/>
                <w:color w:val="auto"/>
                <w:szCs w:val="21"/>
              </w:rPr>
            </w:pPr>
            <w:r>
              <w:rPr>
                <w:rStyle w:val="18"/>
                <w:rFonts w:hint="eastAsia" w:ascii="宋体" w:hAnsi="宋体" w:eastAsia="宋体" w:cs="微软雅黑"/>
                <w:b w:val="0"/>
                <w:bCs w:val="0"/>
                <w:color w:val="auto"/>
                <w:szCs w:val="21"/>
              </w:rPr>
              <w:t>产出</w:t>
            </w:r>
            <w:r>
              <w:rPr>
                <w:rFonts w:hint="eastAsia" w:ascii="宋体" w:hAnsi="宋体" w:eastAsia="宋体" w:cs="Times New Roman"/>
                <w:color w:val="auto"/>
                <w:szCs w:val="21"/>
              </w:rPr>
              <w:t>：8分钟路演视频+《项目社会影响力评估报告》。</w:t>
            </w:r>
          </w:p>
        </w:tc>
        <w:tc>
          <w:tcPr>
            <w:tcW w:w="2287" w:type="dxa"/>
            <w:vAlign w:val="center"/>
          </w:tcPr>
          <w:p w14:paraId="2D20BA14">
            <w:pPr>
              <w:widowControl/>
              <w:jc w:val="left"/>
              <w:rPr>
                <w:rFonts w:hint="eastAsia" w:ascii="宋体" w:hAnsi="宋体" w:eastAsia="宋体" w:cs="宋体"/>
                <w:color w:val="auto"/>
                <w:kern w:val="0"/>
                <w:szCs w:val="21"/>
              </w:rPr>
            </w:pPr>
            <w:r>
              <w:rPr>
                <w:rStyle w:val="18"/>
                <w:rFonts w:hint="eastAsia" w:ascii="宋体" w:hAnsi="宋体" w:eastAsia="宋体" w:cs="微软雅黑"/>
                <w:b w:val="0"/>
                <w:bCs w:val="0"/>
                <w:color w:val="auto"/>
                <w:szCs w:val="21"/>
              </w:rPr>
              <w:t>践行</w:t>
            </w:r>
            <w:r>
              <w:rPr>
                <w:rStyle w:val="18"/>
                <w:rFonts w:ascii="宋体" w:hAnsi="宋体" w:eastAsia="宋体" w:cs="Segoe UI"/>
                <w:b w:val="0"/>
                <w:bCs w:val="0"/>
                <w:color w:val="auto"/>
                <w:szCs w:val="21"/>
              </w:rPr>
              <w:t>“</w:t>
            </w:r>
            <w:r>
              <w:rPr>
                <w:rStyle w:val="18"/>
                <w:rFonts w:hint="eastAsia" w:ascii="宋体" w:hAnsi="宋体" w:eastAsia="宋体" w:cs="微软雅黑"/>
                <w:b w:val="0"/>
                <w:bCs w:val="0"/>
                <w:color w:val="auto"/>
                <w:szCs w:val="21"/>
              </w:rPr>
              <w:t>科技报国</w:t>
            </w:r>
            <w:r>
              <w:rPr>
                <w:rStyle w:val="18"/>
                <w:rFonts w:ascii="宋体" w:hAnsi="宋体" w:eastAsia="宋体" w:cs="Segoe UI"/>
                <w:b w:val="0"/>
                <w:bCs w:val="0"/>
                <w:color w:val="auto"/>
                <w:szCs w:val="21"/>
              </w:rPr>
              <w:t>”</w:t>
            </w:r>
            <w:r>
              <w:rPr>
                <w:rStyle w:val="18"/>
                <w:rFonts w:hint="eastAsia" w:ascii="宋体" w:hAnsi="宋体" w:eastAsia="宋体" w:cs="微软雅黑"/>
                <w:b w:val="0"/>
                <w:bCs w:val="0"/>
                <w:color w:val="auto"/>
                <w:szCs w:val="21"/>
              </w:rPr>
              <w:t>使命</w:t>
            </w:r>
            <w:r>
              <w:rPr>
                <w:rFonts w:hint="eastAsia" w:ascii="宋体" w:hAnsi="宋体" w:eastAsia="宋体" w:cs="Times New Roman"/>
                <w:color w:val="auto"/>
                <w:szCs w:val="21"/>
              </w:rPr>
              <w:t>，将技术创业与国家战略需求结合。</w:t>
            </w:r>
          </w:p>
          <w:p w14:paraId="5B8F6123">
            <w:pPr>
              <w:widowControl/>
              <w:jc w:val="left"/>
              <w:rPr>
                <w:rFonts w:hint="eastAsia" w:ascii="宋体" w:hAnsi="宋体" w:eastAsia="宋体" w:cs="Times New Roman"/>
                <w:color w:val="auto"/>
                <w:szCs w:val="21"/>
              </w:rPr>
            </w:pPr>
            <w:r>
              <w:rPr>
                <w:rStyle w:val="18"/>
                <w:rFonts w:hint="eastAsia" w:ascii="宋体" w:hAnsi="宋体" w:eastAsia="宋体" w:cs="微软雅黑"/>
                <w:b w:val="0"/>
                <w:bCs w:val="0"/>
                <w:color w:val="auto"/>
                <w:szCs w:val="21"/>
              </w:rPr>
              <w:t>理解</w:t>
            </w:r>
            <w:r>
              <w:rPr>
                <w:rStyle w:val="18"/>
                <w:rFonts w:ascii="宋体" w:hAnsi="宋体" w:eastAsia="宋体" w:cs="Segoe UI"/>
                <w:b w:val="0"/>
                <w:bCs w:val="0"/>
                <w:color w:val="auto"/>
                <w:szCs w:val="21"/>
              </w:rPr>
              <w:t>“</w:t>
            </w:r>
            <w:r>
              <w:rPr>
                <w:rStyle w:val="18"/>
                <w:rFonts w:hint="eastAsia" w:ascii="宋体" w:hAnsi="宋体" w:eastAsia="宋体" w:cs="微软雅黑"/>
                <w:b w:val="0"/>
                <w:bCs w:val="0"/>
                <w:color w:val="auto"/>
                <w:szCs w:val="21"/>
              </w:rPr>
              <w:t>创新驱动发展</w:t>
            </w:r>
            <w:r>
              <w:rPr>
                <w:rStyle w:val="18"/>
                <w:rFonts w:ascii="宋体" w:hAnsi="宋体" w:eastAsia="宋体" w:cs="Segoe UI"/>
                <w:b w:val="0"/>
                <w:bCs w:val="0"/>
                <w:color w:val="auto"/>
                <w:szCs w:val="21"/>
              </w:rPr>
              <w:t>”</w:t>
            </w:r>
            <w:r>
              <w:rPr>
                <w:rStyle w:val="18"/>
                <w:rFonts w:hint="eastAsia" w:ascii="宋体" w:hAnsi="宋体" w:eastAsia="宋体" w:cs="微软雅黑"/>
                <w:b w:val="0"/>
                <w:bCs w:val="0"/>
                <w:color w:val="auto"/>
                <w:szCs w:val="21"/>
              </w:rPr>
              <w:t>的创业逻辑</w:t>
            </w:r>
            <w:r>
              <w:rPr>
                <w:rFonts w:hint="eastAsia" w:ascii="宋体" w:hAnsi="宋体" w:eastAsia="宋体" w:cs="Times New Roman"/>
                <w:color w:val="auto"/>
                <w:szCs w:val="21"/>
              </w:rPr>
              <w:t>，在硬科技中注入家国情怀。</w:t>
            </w:r>
          </w:p>
        </w:tc>
      </w:tr>
    </w:tbl>
    <w:p w14:paraId="4112909D">
      <w:pPr>
        <w:spacing w:line="360" w:lineRule="auto"/>
        <w:ind w:firstLine="551" w:firstLineChars="196"/>
        <w:jc w:val="left"/>
        <w:rPr>
          <w:rFonts w:hint="eastAsia" w:ascii="宋体" w:hAnsi="宋体" w:eastAsia="宋体" w:cs="Times New Roman"/>
          <w:b/>
          <w:color w:val="auto"/>
          <w:sz w:val="28"/>
          <w:szCs w:val="28"/>
        </w:rPr>
      </w:pPr>
    </w:p>
    <w:p w14:paraId="0042C02A">
      <w:pPr>
        <w:spacing w:line="360" w:lineRule="auto"/>
        <w:jc w:val="left"/>
        <w:rPr>
          <w:rFonts w:ascii="Times New Roman" w:hAnsi="Times New Roman" w:eastAsia="宋体" w:cs="Times New Roman"/>
          <w:b/>
          <w:bCs/>
          <w:color w:val="auto"/>
          <w:sz w:val="24"/>
        </w:rPr>
      </w:pPr>
      <w:r>
        <w:rPr>
          <w:rFonts w:hint="eastAsia" w:ascii="宋体" w:hAnsi="宋体" w:eastAsia="宋体" w:cs="Times New Roman"/>
          <w:b/>
          <w:color w:val="auto"/>
          <w:sz w:val="24"/>
        </w:rPr>
        <w:t>六、有关说明</w:t>
      </w:r>
    </w:p>
    <w:p w14:paraId="1BD2B8AB">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7E032E71">
      <w:pPr>
        <w:spacing w:line="360" w:lineRule="auto"/>
        <w:ind w:firstLine="420" w:firstLineChars="200"/>
        <w:rPr>
          <w:rFonts w:ascii="Times New Roman" w:hAnsi="Times New Roman" w:eastAsia="宋体" w:cs="Times New Roman"/>
          <w:bCs/>
          <w:color w:val="auto"/>
          <w:szCs w:val="21"/>
        </w:rPr>
      </w:pPr>
      <w:r>
        <w:rPr>
          <w:rFonts w:ascii="Times New Roman" w:hAnsi="Times New Roman" w:eastAsia="宋体" w:cs="Times New Roman"/>
          <w:bCs/>
          <w:color w:val="auto"/>
          <w:szCs w:val="21"/>
        </w:rPr>
        <w:t>1.开课前组织任课教师开展师资培训，邀请校外专家分享创新创业教育领域最新的研究热 点，分学科选择教师代表分组讨论与交流教学经验，不断提高教学质量。另外，根据学生平 时的形成性考核和期末课程考核大作业以及学生、教学督导的反馈，及时改进教学中的不足 之处，并在下一轮课程教学中完善，确保达成相应毕业要求指标点。</w:t>
      </w:r>
    </w:p>
    <w:p w14:paraId="5B19A7B9">
      <w:pPr>
        <w:spacing w:line="360" w:lineRule="auto"/>
        <w:ind w:firstLine="420" w:firstLineChars="200"/>
        <w:rPr>
          <w:rFonts w:ascii="Times New Roman" w:hAnsi="Times New Roman" w:eastAsia="宋体" w:cs="Times New Roman"/>
          <w:bCs/>
          <w:color w:val="auto"/>
          <w:szCs w:val="21"/>
        </w:rPr>
      </w:pPr>
      <w:r>
        <w:rPr>
          <w:rFonts w:ascii="Times New Roman" w:hAnsi="Times New Roman" w:eastAsia="宋体" w:cs="Times New Roman"/>
          <w:bCs/>
          <w:color w:val="auto"/>
          <w:szCs w:val="21"/>
        </w:rPr>
        <w:t>2.引用的项目案例紧贴应用型地方高校特别是本校学生创新创业的亲身经历，使创新创业 更鲜活、更典型、更接地气，更有浓郁的地方特色。</w:t>
      </w:r>
    </w:p>
    <w:p w14:paraId="02445C05">
      <w:pPr>
        <w:spacing w:line="360" w:lineRule="auto"/>
        <w:ind w:firstLine="420" w:firstLineChars="200"/>
        <w:rPr>
          <w:rFonts w:ascii="Times New Roman" w:hAnsi="Times New Roman" w:eastAsia="宋体" w:cs="Times New Roman"/>
          <w:bCs/>
          <w:color w:val="auto"/>
          <w:szCs w:val="21"/>
        </w:rPr>
      </w:pPr>
      <w:r>
        <w:rPr>
          <w:rFonts w:ascii="Times New Roman" w:hAnsi="Times New Roman" w:eastAsia="宋体" w:cs="Times New Roman"/>
          <w:bCs/>
          <w:color w:val="auto"/>
          <w:szCs w:val="21"/>
        </w:rPr>
        <w:t>3.进一步丰富课程资源，形成以中国国际大学生创新大赛、“挑战杯”竞赛等重大赛事为 标志的“课-学-教-赛-创-产”多层次一体化的课程资源。</w:t>
      </w:r>
    </w:p>
    <w:p w14:paraId="138AF04E">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54319490">
      <w:pPr>
        <w:spacing w:line="360" w:lineRule="auto"/>
        <w:ind w:firstLine="420" w:firstLineChars="200"/>
        <w:jc w:val="left"/>
        <w:rPr>
          <w:rFonts w:ascii="Times New Roman" w:hAnsi="Times New Roman" w:eastAsia="宋体" w:cs="Times New Roman"/>
          <w:bCs/>
          <w:color w:val="auto"/>
          <w:szCs w:val="21"/>
        </w:rPr>
      </w:pPr>
      <w:r>
        <w:rPr>
          <w:rFonts w:ascii="Times New Roman" w:hAnsi="Times New Roman" w:eastAsia="宋体" w:cs="Times New Roman"/>
          <w:bCs/>
          <w:color w:val="auto"/>
          <w:szCs w:val="21"/>
        </w:rPr>
        <w:t>创新思维与创业实践，吕敏、张弘、赵军主编，上海交通大学出版社，2025 年 1 月</w:t>
      </w:r>
    </w:p>
    <w:p w14:paraId="0D1D39F3">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3544C664">
      <w:pPr>
        <w:spacing w:line="360" w:lineRule="auto"/>
        <w:ind w:firstLine="420" w:firstLineChars="200"/>
        <w:rPr>
          <w:rFonts w:hint="eastAsia" w:ascii="宋体" w:hAnsi="宋体" w:eastAsia="宋体"/>
          <w:color w:val="auto"/>
        </w:rPr>
      </w:pPr>
      <w:r>
        <w:rPr>
          <w:rFonts w:ascii="宋体" w:hAnsi="宋体" w:eastAsia="宋体"/>
          <w:color w:val="auto"/>
        </w:rPr>
        <w:t>(1)倪志伟. 自下而上的变革：中国的市场化转型[M].北京：北京大学出版社，2019.</w:t>
      </w:r>
    </w:p>
    <w:p w14:paraId="2A7BBD20">
      <w:pPr>
        <w:spacing w:line="360" w:lineRule="auto"/>
        <w:ind w:firstLine="420" w:firstLineChars="200"/>
        <w:rPr>
          <w:rFonts w:hint="eastAsia" w:ascii="宋体" w:hAnsi="宋体" w:eastAsia="宋体"/>
          <w:color w:val="auto"/>
        </w:rPr>
      </w:pPr>
      <w:r>
        <w:rPr>
          <w:rFonts w:ascii="宋体" w:hAnsi="宋体" w:eastAsia="宋体"/>
          <w:color w:val="auto"/>
        </w:rPr>
        <w:t>(2)王艳茹，金镭.新时代大学生创新与创业教程[M].北京：中国传媒大学出版社，2023.</w:t>
      </w:r>
    </w:p>
    <w:p w14:paraId="68134373">
      <w:pPr>
        <w:spacing w:line="360" w:lineRule="auto"/>
        <w:ind w:firstLine="420" w:firstLineChars="200"/>
        <w:rPr>
          <w:rFonts w:hint="eastAsia" w:ascii="宋体" w:hAnsi="宋体" w:eastAsia="宋体"/>
          <w:color w:val="auto"/>
        </w:rPr>
      </w:pPr>
      <w:r>
        <w:rPr>
          <w:rFonts w:ascii="宋体" w:hAnsi="宋体" w:eastAsia="宋体"/>
          <w:color w:val="auto"/>
        </w:rPr>
        <w:t>(3)李宝斌.大学生创新创业实务教程[M]. 上海：上海科学技术出版社，2024.</w:t>
      </w:r>
    </w:p>
    <w:p w14:paraId="460F6FEA">
      <w:pPr>
        <w:spacing w:line="360" w:lineRule="auto"/>
        <w:ind w:firstLine="420" w:firstLineChars="200"/>
        <w:rPr>
          <w:rFonts w:hint="eastAsia" w:ascii="宋体" w:hAnsi="宋体" w:eastAsia="宋体"/>
          <w:color w:val="auto"/>
        </w:rPr>
      </w:pPr>
      <w:r>
        <w:rPr>
          <w:rFonts w:ascii="宋体" w:hAnsi="宋体" w:eastAsia="宋体"/>
          <w:color w:val="auto"/>
        </w:rPr>
        <w:t>(4)李家华，林洪冰.大学生创新创业创造教程[M].湖南：湖南科学技术出版社，2022.</w:t>
      </w:r>
    </w:p>
    <w:p w14:paraId="59453561">
      <w:pPr>
        <w:spacing w:line="360" w:lineRule="auto"/>
        <w:ind w:firstLine="420" w:firstLineChars="200"/>
        <w:rPr>
          <w:rFonts w:hint="eastAsia" w:ascii="宋体" w:hAnsi="宋体" w:eastAsia="宋体"/>
          <w:color w:val="auto"/>
        </w:rPr>
      </w:pPr>
      <w:r>
        <w:rPr>
          <w:rFonts w:ascii="宋体" w:hAnsi="宋体" w:eastAsia="宋体"/>
          <w:color w:val="auto"/>
        </w:rPr>
        <w:t>(5)黄萧萧.创新创业创未来[M].四川：电子科技大学出版社，2020.</w:t>
      </w:r>
    </w:p>
    <w:p w14:paraId="4F1DAE1E">
      <w:pPr>
        <w:spacing w:line="360" w:lineRule="auto"/>
        <w:ind w:firstLine="420" w:firstLineChars="200"/>
        <w:rPr>
          <w:rFonts w:hint="eastAsia" w:ascii="宋体" w:hAnsi="宋体" w:eastAsia="宋体"/>
          <w:color w:val="auto"/>
        </w:rPr>
      </w:pPr>
      <w:r>
        <w:rPr>
          <w:rFonts w:ascii="宋体" w:hAnsi="宋体" w:eastAsia="宋体"/>
          <w:color w:val="auto"/>
        </w:rPr>
        <w:t>(6)吕敏，李荧，金卫东.大学生创业基础教程[M].南京：南京大学出版社，2021.</w:t>
      </w:r>
    </w:p>
    <w:p w14:paraId="40AD939C">
      <w:pPr>
        <w:spacing w:line="360" w:lineRule="auto"/>
        <w:ind w:firstLine="420" w:firstLineChars="200"/>
        <w:rPr>
          <w:rFonts w:hint="eastAsia" w:ascii="宋体" w:hAnsi="宋体" w:eastAsia="宋体"/>
          <w:color w:val="auto"/>
        </w:rPr>
      </w:pPr>
      <w:r>
        <w:rPr>
          <w:rFonts w:ascii="宋体" w:hAnsi="宋体" w:eastAsia="宋体"/>
          <w:color w:val="auto"/>
        </w:rPr>
        <w:t>(7)陈功，郭杰，刘芝怡，赵麟. 电类专业大学生创新实践培训教程[M].南京：东南大学 出版社，2021.</w:t>
      </w:r>
    </w:p>
    <w:p w14:paraId="5E0491ED">
      <w:pPr>
        <w:spacing w:line="360" w:lineRule="auto"/>
        <w:ind w:firstLine="420" w:firstLineChars="200"/>
        <w:rPr>
          <w:rFonts w:hint="eastAsia" w:ascii="宋体" w:hAnsi="宋体" w:eastAsia="宋体"/>
          <w:color w:val="auto"/>
        </w:rPr>
      </w:pPr>
      <w:r>
        <w:rPr>
          <w:rFonts w:ascii="宋体" w:hAnsi="宋体" w:eastAsia="宋体"/>
          <w:color w:val="auto"/>
        </w:rPr>
        <w:t>(8)韩炜，杨俊，叶竹馨.数字经济时代的创业前沿系列-商业模式创新实践的网络基础 与理论挑战[M].北京：科学出版社，2024.</w:t>
      </w:r>
    </w:p>
    <w:p w14:paraId="705F0B29">
      <w:pPr>
        <w:spacing w:line="360" w:lineRule="auto"/>
        <w:ind w:firstLine="420" w:firstLineChars="200"/>
        <w:rPr>
          <w:rFonts w:hint="eastAsia" w:ascii="宋体" w:hAnsi="宋体" w:eastAsia="宋体"/>
          <w:color w:val="auto"/>
        </w:rPr>
      </w:pPr>
      <w:r>
        <w:rPr>
          <w:rFonts w:ascii="宋体" w:hAnsi="宋体" w:eastAsia="宋体"/>
          <w:color w:val="auto"/>
        </w:rPr>
        <w:t>(9)宫春艳.大学生创新创业能力提升实践教程[M]. 北京：清华大学出版社，2023.</w:t>
      </w:r>
    </w:p>
    <w:p w14:paraId="093C0A7A">
      <w:pPr>
        <w:spacing w:line="360" w:lineRule="auto"/>
        <w:ind w:firstLine="420" w:firstLineChars="200"/>
        <w:rPr>
          <w:rFonts w:hint="eastAsia" w:ascii="宋体" w:hAnsi="宋体" w:eastAsia="宋体"/>
          <w:color w:val="auto"/>
        </w:rPr>
      </w:pPr>
      <w:r>
        <w:rPr>
          <w:rFonts w:ascii="宋体" w:hAnsi="宋体" w:eastAsia="宋体"/>
          <w:color w:val="auto"/>
        </w:rPr>
        <w:t>(10)陈建校.创新创业典型案例分析[M].北京：机械工业出版社，2022.</w:t>
      </w:r>
    </w:p>
    <w:p w14:paraId="5F6A910F">
      <w:pPr>
        <w:spacing w:line="360" w:lineRule="auto"/>
        <w:ind w:firstLine="420" w:firstLineChars="200"/>
        <w:rPr>
          <w:rFonts w:hint="eastAsia" w:ascii="宋体" w:hAnsi="宋体" w:eastAsia="宋体"/>
          <w:color w:val="auto"/>
        </w:rPr>
      </w:pPr>
      <w:r>
        <w:rPr>
          <w:rFonts w:ascii="宋体" w:hAnsi="宋体" w:eastAsia="宋体"/>
          <w:color w:val="auto"/>
        </w:rPr>
        <w:t>(11)(美)蒂莫西·克拉克 (TIM CLARK),  (美)布鲁斯 · 黑曾 (BRUCE HAZEN), (瑞士)亚历山大 · 奥斯特瓦德 (ALEXANDER OSTERWALDER), (比利时)伊夫 · 皮尼 厄 (YVES       PIGNEUR),  (加拿大)艾伦 · 史密斯 (ALAN  SMITH)著;  贺芳芳，杜军译.商业模式新生代个人篇-一张画布重塑你的职业生涯第2版[M].北京：人民邮电出版社，2023.</w:t>
      </w:r>
    </w:p>
    <w:p w14:paraId="164BC2C5">
      <w:pPr>
        <w:spacing w:line="360" w:lineRule="auto"/>
        <w:ind w:firstLine="420" w:firstLineChars="200"/>
        <w:rPr>
          <w:color w:val="auto"/>
        </w:rPr>
      </w:pPr>
      <w:r>
        <w:rPr>
          <w:rFonts w:ascii="宋体" w:hAnsi="宋体" w:eastAsia="宋体"/>
          <w:color w:val="auto"/>
        </w:rPr>
        <w:t>(12)方奇凤，向永胜.商业模式创新的动因、路径与类型：理论回顾与整合分析框架[J]</w:t>
      </w:r>
      <w:r>
        <w:rPr>
          <w:rFonts w:hint="eastAsia"/>
          <w:color w:val="auto"/>
        </w:rPr>
        <w:t>，</w:t>
      </w:r>
      <w:r>
        <w:rPr>
          <w:rFonts w:ascii="宋体" w:hAnsi="宋体" w:eastAsia="宋体"/>
          <w:color w:val="auto"/>
        </w:rPr>
        <w:t>企业经济，2022,(10):76</w:t>
      </w:r>
    </w:p>
    <w:p w14:paraId="737BBCA1">
      <w:pPr>
        <w:rPr>
          <w:color w:val="auto"/>
        </w:rPr>
      </w:pPr>
    </w:p>
    <w:p w14:paraId="6D006E1D">
      <w:pPr>
        <w:keepNext w:val="0"/>
        <w:keepLines w:val="0"/>
        <w:pageBreakBefore w:val="0"/>
        <w:widowControl w:val="0"/>
        <w:kinsoku/>
        <w:overflowPunct/>
        <w:topLinePunct w:val="0"/>
        <w:autoSpaceDE/>
        <w:autoSpaceDN/>
        <w:bidi w:val="0"/>
        <w:adjustRightInd/>
        <w:snapToGrid/>
        <w:spacing w:line="360" w:lineRule="auto"/>
        <w:ind w:right="0" w:right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执 笔 人：</w:t>
      </w:r>
      <w:r>
        <w:rPr>
          <w:rFonts w:hint="eastAsia" w:ascii="Times New Roman" w:hAnsi="Times New Roman" w:eastAsia="宋体" w:cs="Times New Roman"/>
          <w:color w:val="auto"/>
          <w:sz w:val="21"/>
          <w:szCs w:val="21"/>
          <w:lang w:val="en-US" w:eastAsia="zh-CN"/>
        </w:rPr>
        <w:t xml:space="preserve"> </w:t>
      </w:r>
      <w:r>
        <w:rPr>
          <w:rFonts w:ascii="Times New Roman" w:hAnsi="Times New Roman" w:eastAsia="宋体" w:cs="Times New Roman"/>
          <w:color w:val="auto"/>
          <w:sz w:val="21"/>
          <w:szCs w:val="21"/>
        </w:rPr>
        <w:t xml:space="preserve">吕 </w:t>
      </w:r>
      <w:r>
        <w:rPr>
          <w:rFonts w:hint="eastAsia" w:ascii="Times New Roman" w:hAnsi="Times New Roman" w:eastAsia="宋体" w:cs="Times New Roman"/>
          <w:color w:val="auto"/>
          <w:sz w:val="21"/>
          <w:szCs w:val="21"/>
          <w:lang w:val="en-US" w:eastAsia="zh-CN"/>
        </w:rPr>
        <w:t xml:space="preserve"> </w:t>
      </w:r>
      <w:r>
        <w:rPr>
          <w:rFonts w:ascii="Times New Roman" w:hAnsi="Times New Roman" w:eastAsia="宋体" w:cs="Times New Roman"/>
          <w:color w:val="auto"/>
          <w:sz w:val="21"/>
          <w:szCs w:val="21"/>
        </w:rPr>
        <w:t>敏</w:t>
      </w:r>
    </w:p>
    <w:p w14:paraId="448D31AA">
      <w:pPr>
        <w:keepNext w:val="0"/>
        <w:keepLines w:val="0"/>
        <w:pageBreakBefore w:val="0"/>
        <w:widowControl w:val="0"/>
        <w:kinsoku/>
        <w:wordWrap w:val="0"/>
        <w:overflowPunct/>
        <w:topLinePunct w:val="0"/>
        <w:autoSpaceDE/>
        <w:autoSpaceDN/>
        <w:bidi w:val="0"/>
        <w:adjustRightInd/>
        <w:snapToGrid/>
        <w:spacing w:line="360" w:lineRule="auto"/>
        <w:ind w:right="0" w:right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审 定 人：</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 xml:space="preserve">王 </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 xml:space="preserve">健 </w:t>
      </w:r>
    </w:p>
    <w:p w14:paraId="77B72C95">
      <w:pPr>
        <w:keepNext w:val="0"/>
        <w:keepLines w:val="0"/>
        <w:pageBreakBefore w:val="0"/>
        <w:widowControl w:val="0"/>
        <w:kinsoku/>
        <w:overflowPunct/>
        <w:topLinePunct w:val="0"/>
        <w:autoSpaceDE/>
        <w:autoSpaceDN/>
        <w:bidi w:val="0"/>
        <w:adjustRightInd/>
        <w:snapToGrid/>
        <w:spacing w:line="360" w:lineRule="auto"/>
        <w:ind w:right="0" w:right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审 批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张志欣</w:t>
      </w:r>
    </w:p>
    <w:p w14:paraId="49364A90">
      <w:pPr>
        <w:keepNext w:val="0"/>
        <w:keepLines w:val="0"/>
        <w:pageBreakBefore w:val="0"/>
        <w:widowControl w:val="0"/>
        <w:kinsoku/>
        <w:overflowPunct/>
        <w:topLinePunct w:val="0"/>
        <w:autoSpaceDE/>
        <w:autoSpaceDN/>
        <w:bidi w:val="0"/>
        <w:adjustRightInd/>
        <w:snapToGrid/>
        <w:spacing w:line="360" w:lineRule="auto"/>
        <w:ind w:right="0" w:right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eastAsia="zh-CN"/>
        </w:rPr>
        <w:t>批准时间：2025年7月1日</w:t>
      </w:r>
    </w:p>
    <w:p w14:paraId="42D748A9">
      <w:pPr>
        <w:rPr>
          <w:color w:val="auto"/>
        </w:rPr>
      </w:pPr>
      <w:r>
        <w:rPr>
          <w:rFonts w:hint="eastAsia"/>
          <w:color w:val="auto"/>
        </w:rPr>
        <w:br w:type="page"/>
      </w:r>
    </w:p>
    <w:p w14:paraId="580B46C5">
      <w:pPr>
        <w:spacing w:line="360" w:lineRule="auto"/>
        <w:jc w:val="center"/>
        <w:outlineLvl w:val="0"/>
        <w:rPr>
          <w:rFonts w:hint="eastAsia" w:ascii="Times New Roman" w:hAnsi="Times New Roman" w:eastAsia="宋体" w:cs="Times New Roman"/>
          <w:b/>
          <w:sz w:val="44"/>
          <w:szCs w:val="44"/>
        </w:rPr>
      </w:pPr>
      <w:bookmarkStart w:id="121" w:name="_Toc24366"/>
      <w:bookmarkStart w:id="122" w:name="_Toc4812"/>
      <w:bookmarkStart w:id="123" w:name="_Toc23316"/>
      <w:bookmarkStart w:id="124" w:name="_Toc23209"/>
      <w:bookmarkStart w:id="125" w:name="_Toc28679"/>
      <w:r>
        <w:rPr>
          <w:rFonts w:hint="eastAsia" w:ascii="Times New Roman" w:hAnsi="Times New Roman" w:eastAsia="宋体" w:cs="Times New Roman"/>
          <w:b/>
          <w:sz w:val="44"/>
          <w:szCs w:val="44"/>
        </w:rPr>
        <w:t>《军事理论》课程教学大纲</w:t>
      </w:r>
      <w:bookmarkEnd w:id="121"/>
      <w:bookmarkEnd w:id="122"/>
      <w:bookmarkEnd w:id="123"/>
      <w:bookmarkEnd w:id="124"/>
      <w:bookmarkEnd w:id="125"/>
    </w:p>
    <w:p w14:paraId="43A6E96E">
      <w:pPr>
        <w:widowControl/>
        <w:spacing w:line="360" w:lineRule="auto"/>
        <w:jc w:val="center"/>
        <w:rPr>
          <w:rFonts w:hint="default" w:ascii="Times New Roman" w:hAnsi="Times New Roman" w:eastAsia="宋体" w:cs="Times New Roman"/>
          <w:b/>
          <w:bCs/>
          <w:color w:val="auto"/>
          <w:kern w:val="0"/>
          <w:sz w:val="28"/>
          <w:szCs w:val="28"/>
          <w:lang w:bidi="ar"/>
        </w:rPr>
      </w:pPr>
      <w:r>
        <w:rPr>
          <w:rFonts w:hint="default" w:ascii="Times New Roman" w:hAnsi="Times New Roman" w:eastAsia="宋体" w:cs="Times New Roman"/>
          <w:b/>
          <w:bCs/>
          <w:color w:val="auto"/>
          <w:kern w:val="0"/>
          <w:sz w:val="28"/>
          <w:szCs w:val="28"/>
          <w:lang w:bidi="ar"/>
        </w:rPr>
        <w:t>（Military theory）</w:t>
      </w:r>
    </w:p>
    <w:p w14:paraId="7555F015">
      <w:pPr>
        <w:widowControl/>
        <w:spacing w:line="360" w:lineRule="auto"/>
        <w:jc w:val="center"/>
        <w:rPr>
          <w:rFonts w:hint="eastAsia" w:ascii="宋体" w:hAnsi="宋体" w:eastAsia="宋体" w:cs="宋体"/>
          <w:b/>
          <w:bCs/>
          <w:color w:val="auto"/>
          <w:kern w:val="0"/>
          <w:sz w:val="21"/>
          <w:szCs w:val="21"/>
          <w:lang w:bidi="ar"/>
        </w:rPr>
      </w:pPr>
    </w:p>
    <w:p w14:paraId="727E287E">
      <w:pPr>
        <w:spacing w:line="360" w:lineRule="auto"/>
        <w:ind w:firstLine="482" w:firstLineChars="200"/>
        <w:rPr>
          <w:rFonts w:hint="default" w:ascii="宋体" w:hAnsi="宋体" w:eastAsia="宋体" w:cs="Times New Roman"/>
          <w:b/>
          <w:bCs/>
          <w:kern w:val="0"/>
          <w:sz w:val="24"/>
          <w:lang w:val="en-US" w:eastAsia="zh-CN"/>
        </w:rPr>
      </w:pPr>
      <w:r>
        <w:rPr>
          <w:rFonts w:hint="eastAsia" w:ascii="宋体" w:hAnsi="宋体" w:eastAsia="宋体" w:cs="Times New Roman"/>
          <w:b/>
          <w:bCs/>
          <w:kern w:val="0"/>
          <w:sz w:val="24"/>
          <w:lang w:val="en-US" w:eastAsia="zh-CN"/>
        </w:rPr>
        <w:t>课程名称：军事理论</w:t>
      </w:r>
    </w:p>
    <w:p w14:paraId="67CA73B0">
      <w:pPr>
        <w:spacing w:line="360" w:lineRule="auto"/>
        <w:ind w:firstLine="482" w:firstLineChars="200"/>
        <w:rPr>
          <w:rFonts w:hint="eastAsia" w:ascii="宋体" w:hAnsi="宋体" w:eastAsia="宋体" w:cs="Times New Roman"/>
          <w:b/>
          <w:bCs/>
          <w:kern w:val="0"/>
          <w:sz w:val="24"/>
          <w:szCs w:val="22"/>
        </w:rPr>
      </w:pPr>
      <w:r>
        <w:rPr>
          <w:rFonts w:ascii="宋体" w:hAnsi="宋体" w:eastAsia="宋体" w:cs="Times New Roman"/>
          <w:b/>
          <w:bCs/>
          <w:kern w:val="0"/>
          <w:sz w:val="24"/>
        </w:rPr>
        <w:t>课程代码：</w:t>
      </w:r>
      <w:r>
        <w:rPr>
          <w:rFonts w:hint="eastAsia" w:ascii="宋体" w:hAnsi="宋体" w:eastAsia="宋体" w:cs="Times New Roman"/>
          <w:b/>
          <w:bCs/>
          <w:kern w:val="0"/>
          <w:sz w:val="24"/>
          <w:szCs w:val="22"/>
        </w:rPr>
        <w:t>0000002</w:t>
      </w:r>
    </w:p>
    <w:p w14:paraId="5CC50DD0">
      <w:pPr>
        <w:spacing w:line="360" w:lineRule="auto"/>
        <w:ind w:firstLine="482" w:firstLineChars="200"/>
        <w:rPr>
          <w:rFonts w:hint="eastAsia" w:ascii="宋体" w:hAnsi="宋体" w:eastAsia="宋体" w:cs="Times New Roman"/>
          <w:b/>
          <w:bCs/>
          <w:kern w:val="0"/>
          <w:sz w:val="24"/>
        </w:rPr>
      </w:pPr>
      <w:r>
        <w:rPr>
          <w:rFonts w:ascii="宋体" w:hAnsi="宋体" w:eastAsia="宋体" w:cs="Times New Roman"/>
          <w:b/>
          <w:bCs/>
          <w:kern w:val="0"/>
          <w:sz w:val="24"/>
        </w:rPr>
        <w:t>学    分：</w:t>
      </w:r>
      <w:r>
        <w:rPr>
          <w:rFonts w:hint="eastAsia" w:ascii="宋体" w:hAnsi="宋体" w:eastAsia="宋体" w:cs="Times New Roman"/>
          <w:b/>
          <w:bCs/>
          <w:kern w:val="0"/>
          <w:sz w:val="24"/>
          <w:szCs w:val="22"/>
        </w:rPr>
        <w:t>2</w:t>
      </w:r>
    </w:p>
    <w:p w14:paraId="0EAFCD77">
      <w:pPr>
        <w:spacing w:line="360" w:lineRule="auto"/>
        <w:ind w:firstLine="482" w:firstLineChars="200"/>
        <w:rPr>
          <w:rFonts w:hint="eastAsia" w:ascii="宋体" w:hAnsi="宋体" w:eastAsia="宋体" w:cs="Times New Roman"/>
          <w:b/>
          <w:bCs/>
          <w:kern w:val="0"/>
          <w:sz w:val="24"/>
        </w:rPr>
      </w:pPr>
      <w:r>
        <w:rPr>
          <w:rFonts w:ascii="宋体" w:hAnsi="宋体" w:eastAsia="宋体" w:cs="Times New Roman"/>
          <w:b/>
          <w:bCs/>
          <w:kern w:val="0"/>
          <w:sz w:val="24"/>
        </w:rPr>
        <w:t>学    时：</w:t>
      </w:r>
      <w:r>
        <w:rPr>
          <w:rFonts w:hint="eastAsia" w:ascii="宋体" w:hAnsi="宋体" w:eastAsia="宋体" w:cs="Times New Roman"/>
          <w:b/>
          <w:bCs/>
          <w:kern w:val="0"/>
          <w:sz w:val="24"/>
        </w:rPr>
        <w:t>32</w:t>
      </w:r>
      <w:r>
        <w:rPr>
          <w:rFonts w:ascii="宋体" w:hAnsi="宋体" w:eastAsia="宋体" w:cs="Times New Roman"/>
          <w:b/>
          <w:bCs/>
          <w:kern w:val="0"/>
          <w:sz w:val="24"/>
        </w:rPr>
        <w:t xml:space="preserve"> </w:t>
      </w:r>
      <w:r>
        <w:rPr>
          <w:rFonts w:hint="eastAsia" w:ascii="宋体" w:hAnsi="宋体" w:eastAsia="宋体" w:cs="宋体"/>
          <w:b/>
          <w:bCs/>
          <w:kern w:val="0"/>
          <w:sz w:val="24"/>
        </w:rPr>
        <w:t>（其中：讲授学时32， 实践学时0）</w:t>
      </w:r>
    </w:p>
    <w:p w14:paraId="096A0D19">
      <w:pPr>
        <w:spacing w:line="360" w:lineRule="auto"/>
        <w:ind w:firstLine="482" w:firstLineChars="200"/>
        <w:jc w:val="left"/>
        <w:rPr>
          <w:rFonts w:hint="eastAsia" w:ascii="宋体" w:hAnsi="宋体" w:eastAsia="宋体" w:cs="Times New Roman"/>
          <w:b/>
          <w:bCs/>
          <w:sz w:val="24"/>
          <w:szCs w:val="22"/>
        </w:rPr>
      </w:pPr>
      <w:r>
        <w:rPr>
          <w:rFonts w:ascii="宋体" w:hAnsi="宋体" w:eastAsia="宋体" w:cs="Times New Roman"/>
          <w:b/>
          <w:bCs/>
          <w:kern w:val="0"/>
          <w:sz w:val="24"/>
          <w:lang w:val="zh-CN"/>
        </w:rPr>
        <w:t>先修课程：</w:t>
      </w:r>
      <w:r>
        <w:rPr>
          <w:rFonts w:hint="eastAsia" w:ascii="宋体" w:hAnsi="宋体" w:eastAsia="宋体" w:cs="Times New Roman"/>
          <w:b/>
          <w:bCs/>
          <w:kern w:val="0"/>
          <w:sz w:val="24"/>
        </w:rPr>
        <w:t>无</w:t>
      </w:r>
    </w:p>
    <w:p w14:paraId="44853AC5">
      <w:pPr>
        <w:spacing w:line="360" w:lineRule="auto"/>
        <w:ind w:firstLine="482" w:firstLineChars="200"/>
        <w:rPr>
          <w:rFonts w:hint="eastAsia" w:ascii="宋体" w:hAnsi="宋体" w:eastAsia="宋体" w:cs="Times New Roman"/>
          <w:kern w:val="0"/>
          <w:sz w:val="24"/>
        </w:rPr>
      </w:pPr>
      <w:r>
        <w:rPr>
          <w:rFonts w:ascii="宋体" w:hAnsi="宋体" w:eastAsia="宋体" w:cs="Times New Roman"/>
          <w:b/>
          <w:bCs/>
          <w:kern w:val="0"/>
          <w:sz w:val="24"/>
        </w:rPr>
        <w:t>适用专业：</w:t>
      </w:r>
      <w:r>
        <w:rPr>
          <w:rFonts w:hint="eastAsia" w:ascii="宋体" w:hAnsi="宋体" w:eastAsia="宋体" w:cs="Times New Roman"/>
          <w:b/>
          <w:bCs/>
          <w:kern w:val="0"/>
          <w:sz w:val="24"/>
        </w:rPr>
        <w:t>学校全部专业</w:t>
      </w:r>
      <w:r>
        <w:rPr>
          <w:rFonts w:hint="eastAsia" w:ascii="宋体" w:hAnsi="宋体" w:eastAsia="宋体" w:cs="Times New Roman"/>
          <w:kern w:val="0"/>
          <w:sz w:val="24"/>
        </w:rPr>
        <w:t>。</w:t>
      </w:r>
    </w:p>
    <w:p w14:paraId="2024A385">
      <w:pPr>
        <w:spacing w:line="360" w:lineRule="auto"/>
        <w:ind w:firstLine="482" w:firstLineChars="200"/>
        <w:rPr>
          <w:rFonts w:hint="default" w:ascii="宋体" w:hAnsi="宋体" w:eastAsia="宋体" w:cs="Times New Roman"/>
          <w:b/>
          <w:bCs/>
          <w:kern w:val="0"/>
          <w:sz w:val="24"/>
          <w:lang w:val="en-US" w:eastAsia="zh-CN"/>
        </w:rPr>
      </w:pPr>
      <w:r>
        <w:rPr>
          <w:rFonts w:hint="eastAsia" w:ascii="宋体" w:hAnsi="宋体" w:eastAsia="宋体" w:cs="Times New Roman"/>
          <w:b/>
          <w:bCs/>
          <w:kern w:val="0"/>
          <w:sz w:val="24"/>
          <w:lang w:val="en-US" w:eastAsia="zh-CN"/>
        </w:rPr>
        <w:t>课程名称：军事理论</w:t>
      </w:r>
    </w:p>
    <w:p w14:paraId="07BF83FF">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279F6BBA">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本课程是所有专业的通识必修课。通过本课程的学习，要求学生以马克思列宁主义、毛泽东思想、邓小平理论、“三个代表”重要思想、科学发展观和习近平新时代中国特色社会主义思想为指导，贯彻和落实科学发展观，按照教育要面向现代化、面向世界、面向未来的要求，适应我国人才培养战略目标和加强国防后备力量建设的需要，为培养高素质的社会主义事业的建设者和保卫者服务。</w:t>
      </w:r>
    </w:p>
    <w:p w14:paraId="3100B187">
      <w:pPr>
        <w:spacing w:before="62" w:beforeLines="20" w:after="62" w:afterLines="20" w:line="360" w:lineRule="auto"/>
        <w:jc w:val="left"/>
        <w:rPr>
          <w:rFonts w:ascii="Calibri" w:hAnsi="Calibri" w:eastAsia="宋体" w:cs="Times New Roman"/>
          <w:b/>
          <w:sz w:val="21"/>
          <w:szCs w:val="21"/>
        </w:rPr>
      </w:pPr>
      <w:r>
        <w:rPr>
          <w:rFonts w:hint="eastAsia" w:ascii="Times New Roman" w:hAnsi="Times New Roman" w:eastAsia="宋体" w:cs="Times New Roman"/>
          <w:b/>
          <w:sz w:val="24"/>
        </w:rPr>
        <w:t>二、课程目标</w:t>
      </w:r>
    </w:p>
    <w:p w14:paraId="4E63E4EF">
      <w:pPr>
        <w:keepNext w:val="0"/>
        <w:keepLines w:val="0"/>
        <w:pageBreakBefore w:val="0"/>
        <w:widowControl w:val="0"/>
        <w:kinsoku/>
        <w:wordWrap/>
        <w:overflowPunct/>
        <w:topLinePunct w:val="0"/>
        <w:bidi w:val="0"/>
        <w:spacing w:line="360" w:lineRule="auto"/>
        <w:ind w:firstLine="482"/>
        <w:jc w:val="left"/>
        <w:textAlignment w:val="auto"/>
        <w:rPr>
          <w:rFonts w:ascii="Calibri" w:hAnsi="Calibri" w:eastAsia="宋体" w:cs="Times New Roman"/>
          <w:sz w:val="21"/>
          <w:szCs w:val="21"/>
        </w:rPr>
      </w:pPr>
      <w:r>
        <w:rPr>
          <w:rFonts w:hint="eastAsia" w:ascii="Calibri" w:hAnsi="Calibri" w:eastAsia="宋体" w:cs="Times New Roman"/>
          <w:sz w:val="21"/>
          <w:szCs w:val="21"/>
        </w:rPr>
        <w:t>目标</w:t>
      </w:r>
      <w:r>
        <w:rPr>
          <w:rFonts w:ascii="Calibri" w:hAnsi="Calibri" w:eastAsia="宋体" w:cs="Times New Roman"/>
          <w:sz w:val="21"/>
          <w:szCs w:val="21"/>
        </w:rPr>
        <w:t>1.</w:t>
      </w:r>
      <w:r>
        <w:rPr>
          <w:rFonts w:hint="eastAsia" w:ascii="宋体" w:hAnsi="宋体" w:eastAsia="宋体" w:cs="宋体"/>
          <w:sz w:val="21"/>
          <w:szCs w:val="21"/>
        </w:rPr>
        <w:t>使学生掌握基本军事理论</w:t>
      </w:r>
      <w:r>
        <w:rPr>
          <w:rFonts w:hint="eastAsia" w:ascii="Calibri" w:hAnsi="Calibri" w:eastAsia="宋体" w:cs="Times New Roman"/>
          <w:sz w:val="21"/>
          <w:szCs w:val="21"/>
        </w:rPr>
        <w:t>。</w:t>
      </w:r>
    </w:p>
    <w:p w14:paraId="6D21EF45">
      <w:pPr>
        <w:keepNext w:val="0"/>
        <w:keepLines w:val="0"/>
        <w:pageBreakBefore w:val="0"/>
        <w:widowControl w:val="0"/>
        <w:kinsoku/>
        <w:wordWrap/>
        <w:overflowPunct/>
        <w:topLinePunct w:val="0"/>
        <w:bidi w:val="0"/>
        <w:spacing w:line="360" w:lineRule="auto"/>
        <w:ind w:firstLine="482"/>
        <w:jc w:val="left"/>
        <w:textAlignment w:val="auto"/>
        <w:rPr>
          <w:rFonts w:ascii="Calibri" w:hAnsi="Calibri" w:eastAsia="宋体" w:cs="Times New Roman"/>
          <w:sz w:val="21"/>
          <w:szCs w:val="21"/>
        </w:rPr>
      </w:pPr>
      <w:r>
        <w:rPr>
          <w:rFonts w:hint="eastAsia" w:ascii="Calibri" w:hAnsi="Calibri" w:eastAsia="宋体" w:cs="Times New Roman"/>
          <w:sz w:val="21"/>
          <w:szCs w:val="21"/>
        </w:rPr>
        <w:t>目标</w:t>
      </w:r>
      <w:r>
        <w:rPr>
          <w:rFonts w:ascii="Calibri" w:hAnsi="Calibri" w:eastAsia="宋体" w:cs="Times New Roman"/>
          <w:sz w:val="21"/>
          <w:szCs w:val="21"/>
        </w:rPr>
        <w:t>2.</w:t>
      </w:r>
      <w:r>
        <w:rPr>
          <w:rFonts w:hint="eastAsia" w:ascii="宋体" w:hAnsi="宋体" w:eastAsia="宋体" w:cs="宋体"/>
          <w:sz w:val="21"/>
          <w:szCs w:val="21"/>
        </w:rPr>
        <w:t>增强学生国防观念和国家安全意识</w:t>
      </w:r>
      <w:r>
        <w:rPr>
          <w:rFonts w:ascii="Calibri" w:hAnsi="Calibri" w:eastAsia="宋体" w:cs="Times New Roman"/>
          <w:sz w:val="21"/>
          <w:szCs w:val="21"/>
        </w:rPr>
        <w:t xml:space="preserve"> </w:t>
      </w:r>
      <w:r>
        <w:rPr>
          <w:rFonts w:hint="eastAsia" w:ascii="Calibri" w:hAnsi="Calibri" w:eastAsia="宋体" w:cs="Times New Roman"/>
          <w:sz w:val="21"/>
          <w:szCs w:val="21"/>
        </w:rPr>
        <w:t>。</w:t>
      </w:r>
    </w:p>
    <w:p w14:paraId="5DB96538">
      <w:pPr>
        <w:keepNext w:val="0"/>
        <w:keepLines w:val="0"/>
        <w:pageBreakBefore w:val="0"/>
        <w:widowControl w:val="0"/>
        <w:kinsoku/>
        <w:wordWrap/>
        <w:overflowPunct/>
        <w:topLinePunct w:val="0"/>
        <w:bidi w:val="0"/>
        <w:spacing w:line="360" w:lineRule="auto"/>
        <w:ind w:firstLine="482"/>
        <w:jc w:val="left"/>
        <w:textAlignment w:val="auto"/>
        <w:rPr>
          <w:rFonts w:ascii="Calibri" w:hAnsi="Calibri" w:eastAsia="宋体" w:cs="Times New Roman"/>
          <w:sz w:val="21"/>
          <w:szCs w:val="21"/>
        </w:rPr>
      </w:pPr>
      <w:r>
        <w:rPr>
          <w:rFonts w:hint="eastAsia" w:ascii="Calibri" w:hAnsi="Calibri" w:eastAsia="宋体" w:cs="Times New Roman"/>
          <w:sz w:val="21"/>
          <w:szCs w:val="21"/>
        </w:rPr>
        <w:t>目标</w:t>
      </w:r>
      <w:r>
        <w:rPr>
          <w:rFonts w:ascii="Calibri" w:hAnsi="Calibri" w:eastAsia="宋体" w:cs="Times New Roman"/>
          <w:sz w:val="21"/>
          <w:szCs w:val="21"/>
        </w:rPr>
        <w:t>3.</w:t>
      </w:r>
      <w:r>
        <w:rPr>
          <w:rFonts w:hint="eastAsia" w:ascii="宋体" w:hAnsi="宋体" w:eastAsia="宋体" w:cs="宋体"/>
          <w:sz w:val="21"/>
          <w:szCs w:val="21"/>
        </w:rPr>
        <w:t>强化学生爱国主义、集体主义观念 。</w:t>
      </w:r>
    </w:p>
    <w:p w14:paraId="4A13683D">
      <w:pPr>
        <w:keepNext w:val="0"/>
        <w:keepLines w:val="0"/>
        <w:pageBreakBefore w:val="0"/>
        <w:widowControl w:val="0"/>
        <w:kinsoku/>
        <w:wordWrap/>
        <w:overflowPunct/>
        <w:topLinePunct w:val="0"/>
        <w:bidi w:val="0"/>
        <w:spacing w:line="360" w:lineRule="auto"/>
        <w:ind w:firstLine="482"/>
        <w:jc w:val="left"/>
        <w:textAlignment w:val="auto"/>
        <w:rPr>
          <w:rFonts w:ascii="Calibri" w:hAnsi="Calibri" w:eastAsia="宋体" w:cs="Times New Roman"/>
          <w:sz w:val="21"/>
          <w:szCs w:val="21"/>
          <w:highlight w:val="none"/>
        </w:rPr>
      </w:pPr>
      <w:r>
        <w:rPr>
          <w:rFonts w:hint="eastAsia" w:ascii="Calibri" w:hAnsi="Calibri" w:eastAsia="宋体" w:cs="Times New Roman"/>
          <w:sz w:val="21"/>
          <w:szCs w:val="21"/>
          <w:highlight w:val="none"/>
        </w:rPr>
        <w:t>目标4</w:t>
      </w:r>
      <w:r>
        <w:rPr>
          <w:rFonts w:ascii="Calibri" w:hAnsi="Calibri" w:eastAsia="宋体" w:cs="Times New Roman"/>
          <w:sz w:val="21"/>
          <w:szCs w:val="21"/>
          <w:highlight w:val="none"/>
        </w:rPr>
        <w:t>.</w:t>
      </w:r>
      <w:r>
        <w:rPr>
          <w:rFonts w:hint="eastAsia" w:ascii="宋体" w:hAnsi="宋体" w:eastAsia="宋体" w:cs="宋体"/>
          <w:sz w:val="21"/>
          <w:szCs w:val="21"/>
          <w:highlight w:val="none"/>
        </w:rPr>
        <w:t>加强学生组织纪律性，促进综合素质的提高。</w:t>
      </w:r>
    </w:p>
    <w:p w14:paraId="3A73D2D4">
      <w:pPr>
        <w:keepNext w:val="0"/>
        <w:keepLines w:val="0"/>
        <w:pageBreakBefore w:val="0"/>
        <w:widowControl w:val="0"/>
        <w:kinsoku/>
        <w:wordWrap/>
        <w:overflowPunct/>
        <w:topLinePunct w:val="0"/>
        <w:bidi w:val="0"/>
        <w:spacing w:line="360" w:lineRule="auto"/>
        <w:ind w:firstLine="482"/>
        <w:jc w:val="left"/>
        <w:textAlignment w:val="auto"/>
        <w:rPr>
          <w:rFonts w:hint="eastAsia" w:ascii="宋体" w:hAnsi="宋体" w:eastAsia="宋体" w:cs="宋体"/>
          <w:sz w:val="21"/>
          <w:szCs w:val="21"/>
          <w:highlight w:val="yellow"/>
        </w:rPr>
      </w:pPr>
      <w:r>
        <w:rPr>
          <w:rFonts w:hint="eastAsia" w:ascii="Calibri" w:hAnsi="Calibri" w:eastAsia="宋体" w:cs="Times New Roman"/>
          <w:sz w:val="21"/>
          <w:szCs w:val="21"/>
          <w:highlight w:val="none"/>
        </w:rPr>
        <w:t>目标5</w:t>
      </w:r>
      <w:r>
        <w:rPr>
          <w:rFonts w:ascii="Calibri" w:hAnsi="Calibri" w:eastAsia="宋体" w:cs="Times New Roman"/>
          <w:sz w:val="21"/>
          <w:szCs w:val="21"/>
          <w:highlight w:val="none"/>
        </w:rPr>
        <w:t>.</w:t>
      </w:r>
      <w:r>
        <w:rPr>
          <w:rFonts w:hint="eastAsia" w:ascii="宋体" w:hAnsi="宋体" w:eastAsia="宋体" w:cs="宋体"/>
          <w:sz w:val="21"/>
          <w:szCs w:val="21"/>
          <w:highlight w:val="none"/>
        </w:rPr>
        <w:t>为中国人民解放军训练储备合格后备兵员和培养预备役军官打下坚实基础 。</w:t>
      </w:r>
    </w:p>
    <w:p w14:paraId="57BF2E29">
      <w:pPr>
        <w:keepNext w:val="0"/>
        <w:keepLines w:val="0"/>
        <w:pageBreakBefore w:val="0"/>
        <w:widowControl w:val="0"/>
        <w:kinsoku/>
        <w:wordWrap/>
        <w:overflowPunct/>
        <w:topLinePunct w:val="0"/>
        <w:bidi w:val="0"/>
        <w:spacing w:line="360" w:lineRule="auto"/>
        <w:ind w:firstLine="482"/>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rPr>
        <w:t>课程目标与毕业要求观测点的对应关系</w:t>
      </w:r>
      <w:r>
        <w:rPr>
          <w:rFonts w:hint="eastAsia" w:ascii="宋体" w:hAnsi="宋体" w:eastAsia="宋体" w:cs="宋体"/>
          <w:sz w:val="21"/>
          <w:szCs w:val="21"/>
          <w:lang w:eastAsia="zh-CN"/>
        </w:rPr>
        <w:t>如表</w:t>
      </w:r>
      <w:r>
        <w:rPr>
          <w:rFonts w:hint="eastAsia" w:ascii="宋体" w:hAnsi="宋体" w:eastAsia="宋体" w:cs="宋体"/>
          <w:sz w:val="21"/>
          <w:szCs w:val="21"/>
          <w:lang w:val="en-US" w:eastAsia="zh-CN"/>
        </w:rPr>
        <w:t>所示。</w:t>
      </w:r>
    </w:p>
    <w:tbl>
      <w:tblPr>
        <w:tblStyle w:val="15"/>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5971"/>
        <w:gridCol w:w="1330"/>
      </w:tblGrid>
      <w:tr w14:paraId="76C48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2" w:type="dxa"/>
          </w:tcPr>
          <w:p w14:paraId="74DB44BE">
            <w:pPr>
              <w:widowControl w:val="0"/>
              <w:autoSpaceDE w:val="0"/>
              <w:autoSpaceDN w:val="0"/>
              <w:adjustRightInd w:val="0"/>
              <w:spacing w:line="360" w:lineRule="auto"/>
              <w:jc w:val="center"/>
              <w:rPr>
                <w:rFonts w:hint="eastAsia" w:ascii="宋体" w:hAnsi="宋体" w:eastAsia="宋体" w:cs="宋体"/>
                <w:b/>
                <w:color w:val="000000"/>
                <w:sz w:val="21"/>
                <w:szCs w:val="21"/>
                <w:lang w:val="en-US" w:eastAsia="zh-CN" w:bidi="ar-SA"/>
              </w:rPr>
            </w:pPr>
            <w:r>
              <w:rPr>
                <w:rFonts w:hint="eastAsia" w:ascii="宋体" w:hAnsi="宋体" w:eastAsia="宋体" w:cs="宋体"/>
                <w:b/>
                <w:color w:val="000000"/>
                <w:sz w:val="21"/>
                <w:szCs w:val="21"/>
                <w:lang w:val="en-US" w:eastAsia="zh-CN" w:bidi="ar-SA"/>
              </w:rPr>
              <w:t>毕业要求</w:t>
            </w:r>
          </w:p>
        </w:tc>
        <w:tc>
          <w:tcPr>
            <w:tcW w:w="5971" w:type="dxa"/>
          </w:tcPr>
          <w:p w14:paraId="2C3D7910">
            <w:pPr>
              <w:widowControl w:val="0"/>
              <w:autoSpaceDE w:val="0"/>
              <w:autoSpaceDN w:val="0"/>
              <w:adjustRightInd w:val="0"/>
              <w:spacing w:line="360" w:lineRule="auto"/>
              <w:jc w:val="center"/>
              <w:rPr>
                <w:rFonts w:hint="eastAsia" w:ascii="宋体" w:hAnsi="宋体" w:eastAsia="宋体" w:cs="宋体"/>
                <w:b/>
                <w:color w:val="000000"/>
                <w:sz w:val="21"/>
                <w:szCs w:val="21"/>
                <w:lang w:val="en-US" w:eastAsia="zh-CN" w:bidi="ar-SA"/>
              </w:rPr>
            </w:pPr>
            <w:r>
              <w:rPr>
                <w:rFonts w:hint="eastAsia" w:ascii="宋体" w:hAnsi="宋体" w:eastAsia="宋体" w:cs="宋体"/>
                <w:b/>
                <w:bCs/>
                <w:color w:val="000000"/>
                <w:sz w:val="21"/>
                <w:szCs w:val="21"/>
                <w:lang w:val="en-US" w:eastAsia="zh-CN" w:bidi="ar-SA"/>
              </w:rPr>
              <w:t>毕业要求指标点</w:t>
            </w:r>
          </w:p>
        </w:tc>
        <w:tc>
          <w:tcPr>
            <w:tcW w:w="1330" w:type="dxa"/>
          </w:tcPr>
          <w:p w14:paraId="448B4092">
            <w:pPr>
              <w:widowControl w:val="0"/>
              <w:autoSpaceDE w:val="0"/>
              <w:autoSpaceDN w:val="0"/>
              <w:adjustRightInd w:val="0"/>
              <w:spacing w:line="360" w:lineRule="auto"/>
              <w:jc w:val="center"/>
              <w:rPr>
                <w:rFonts w:hint="eastAsia" w:ascii="宋体" w:hAnsi="宋体" w:eastAsia="宋体" w:cs="宋体"/>
                <w:b/>
                <w:color w:val="000000"/>
                <w:sz w:val="21"/>
                <w:szCs w:val="21"/>
                <w:lang w:val="en-US" w:eastAsia="zh-CN" w:bidi="ar-SA"/>
              </w:rPr>
            </w:pPr>
            <w:r>
              <w:rPr>
                <w:rFonts w:hint="eastAsia" w:ascii="宋体" w:hAnsi="宋体" w:eastAsia="宋体" w:cs="宋体"/>
                <w:b/>
                <w:color w:val="000000"/>
                <w:sz w:val="21"/>
                <w:szCs w:val="21"/>
                <w:lang w:val="en-US" w:eastAsia="zh-CN" w:bidi="ar-SA"/>
              </w:rPr>
              <w:t>课程目标</w:t>
            </w:r>
          </w:p>
        </w:tc>
      </w:tr>
      <w:tr w14:paraId="0AF4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2" w:type="dxa"/>
            <w:vAlign w:val="center"/>
          </w:tcPr>
          <w:p w14:paraId="7BE3CEAC">
            <w:pPr>
              <w:widowControl w:val="0"/>
              <w:autoSpaceDE w:val="0"/>
              <w:autoSpaceDN w:val="0"/>
              <w:adjustRightInd/>
              <w:spacing w:line="360" w:lineRule="auto"/>
              <w:jc w:val="center"/>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毕业要求1：</w:t>
            </w:r>
          </w:p>
          <w:p w14:paraId="61D759E8">
            <w:pPr>
              <w:widowControl w:val="0"/>
              <w:autoSpaceDE w:val="0"/>
              <w:autoSpaceDN w:val="0"/>
              <w:adjustRightInd/>
              <w:spacing w:line="360" w:lineRule="auto"/>
              <w:jc w:val="center"/>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师德规范</w:t>
            </w:r>
          </w:p>
        </w:tc>
        <w:tc>
          <w:tcPr>
            <w:tcW w:w="5971" w:type="dxa"/>
            <w:vAlign w:val="center"/>
          </w:tcPr>
          <w:p w14:paraId="001E20E6">
            <w:pPr>
              <w:widowControl w:val="0"/>
              <w:autoSpaceDE w:val="0"/>
              <w:autoSpaceDN w:val="0"/>
              <w:adjustRightInd/>
              <w:spacing w:line="360" w:lineRule="auto"/>
              <w:jc w:val="both"/>
              <w:rPr>
                <w:rFonts w:hint="eastAsia" w:ascii="宋体" w:hAnsi="宋体" w:eastAsia="宋体" w:cs="宋体"/>
                <w:color w:val="000000"/>
                <w:sz w:val="21"/>
                <w:szCs w:val="21"/>
                <w:lang w:val="en-US" w:eastAsia="zh-CN" w:bidi="ar-SA"/>
              </w:rPr>
            </w:pPr>
            <w:r>
              <w:rPr>
                <w:rFonts w:hint="eastAsia" w:ascii="宋体" w:hAnsi="宋体" w:eastAsia="宋体" w:cs="宋体"/>
                <w:color w:val="000000"/>
                <w:kern w:val="0"/>
                <w:sz w:val="21"/>
                <w:szCs w:val="21"/>
                <w:lang w:val="en-US" w:eastAsia="zh-CN" w:bidi="ar-SA"/>
              </w:rPr>
              <w:t>指标点</w:t>
            </w:r>
            <w:r>
              <w:rPr>
                <w:rFonts w:hint="eastAsia" w:ascii="宋体" w:hAnsi="宋体" w:eastAsia="宋体" w:cs="宋体"/>
                <w:color w:val="000000"/>
                <w:sz w:val="21"/>
                <w:szCs w:val="21"/>
                <w:lang w:val="en-US" w:eastAsia="zh-CN" w:bidi="ar-SA"/>
              </w:rPr>
              <w:t>1-1：【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330" w:type="dxa"/>
            <w:vAlign w:val="center"/>
          </w:tcPr>
          <w:p w14:paraId="63D04E6A">
            <w:pPr>
              <w:widowControl w:val="0"/>
              <w:autoSpaceDE w:val="0"/>
              <w:autoSpaceDN w:val="0"/>
              <w:adjustRightInd w:val="0"/>
              <w:spacing w:line="240" w:lineRule="auto"/>
              <w:jc w:val="center"/>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课程目标1</w:t>
            </w:r>
          </w:p>
          <w:p w14:paraId="5048C7C6">
            <w:pPr>
              <w:widowControl w:val="0"/>
              <w:autoSpaceDE w:val="0"/>
              <w:autoSpaceDN w:val="0"/>
              <w:adjustRightInd w:val="0"/>
              <w:spacing w:line="240" w:lineRule="auto"/>
              <w:jc w:val="center"/>
              <w:rPr>
                <w:rFonts w:hint="default"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课程目标2</w:t>
            </w:r>
          </w:p>
          <w:p w14:paraId="471A39C0">
            <w:pPr>
              <w:widowControl w:val="0"/>
              <w:autoSpaceDE w:val="0"/>
              <w:autoSpaceDN w:val="0"/>
              <w:adjustRightInd w:val="0"/>
              <w:spacing w:line="240" w:lineRule="auto"/>
              <w:jc w:val="center"/>
              <w:rPr>
                <w:rFonts w:hint="default"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课程目标3</w:t>
            </w:r>
          </w:p>
          <w:p w14:paraId="37AB4DB5">
            <w:pPr>
              <w:widowControl w:val="0"/>
              <w:autoSpaceDE w:val="0"/>
              <w:autoSpaceDN w:val="0"/>
              <w:adjustRightInd w:val="0"/>
              <w:spacing w:line="240" w:lineRule="auto"/>
              <w:jc w:val="center"/>
              <w:rPr>
                <w:rFonts w:hint="default"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课程目标4</w:t>
            </w:r>
          </w:p>
        </w:tc>
      </w:tr>
      <w:tr w14:paraId="5C65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2" w:type="dxa"/>
            <w:vAlign w:val="center"/>
          </w:tcPr>
          <w:p w14:paraId="6B4CDF03">
            <w:pPr>
              <w:widowControl w:val="0"/>
              <w:autoSpaceDE w:val="0"/>
              <w:autoSpaceDN w:val="0"/>
              <w:adjustRightInd/>
              <w:spacing w:line="360" w:lineRule="auto"/>
              <w:jc w:val="center"/>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毕业要求3：</w:t>
            </w:r>
          </w:p>
          <w:p w14:paraId="5875752C">
            <w:pPr>
              <w:widowControl w:val="0"/>
              <w:autoSpaceDE w:val="0"/>
              <w:autoSpaceDN w:val="0"/>
              <w:adjustRightInd/>
              <w:spacing w:line="360" w:lineRule="auto"/>
              <w:jc w:val="center"/>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学科素养</w:t>
            </w:r>
          </w:p>
        </w:tc>
        <w:tc>
          <w:tcPr>
            <w:tcW w:w="5971" w:type="dxa"/>
            <w:vAlign w:val="center"/>
          </w:tcPr>
          <w:p w14:paraId="14C5F41B">
            <w:pPr>
              <w:adjustRightInd w:val="0"/>
              <w:snapToGrid w:val="0"/>
              <w:spacing w:line="360" w:lineRule="auto"/>
              <w:rPr>
                <w:rFonts w:hint="eastAsia" w:ascii="宋体" w:hAnsi="宋体" w:eastAsia="宋体" w:cs="宋体"/>
                <w:color w:val="000000"/>
                <w:kern w:val="0"/>
                <w:sz w:val="21"/>
                <w:szCs w:val="21"/>
                <w:lang w:val="en-US" w:eastAsia="zh-CN" w:bidi="ar-SA"/>
              </w:rPr>
            </w:pPr>
            <w:r>
              <w:rPr>
                <w:rFonts w:hint="eastAsia" w:ascii="宋体" w:hAnsi="宋体" w:eastAsia="宋体" w:cs="宋体"/>
                <w:kern w:val="0"/>
                <w:sz w:val="20"/>
                <w:szCs w:val="20"/>
              </w:rPr>
              <w:t>指标点</w:t>
            </w:r>
            <w:r>
              <w:rPr>
                <w:rFonts w:hint="eastAsia" w:ascii="宋体" w:hAnsi="宋体" w:eastAsia="宋体" w:cs="宋体"/>
                <w:sz w:val="20"/>
                <w:szCs w:val="20"/>
              </w:rPr>
              <w:t>3-1：【通识知识广博】具有小学教育本科专业相应的自然科学和人文社会科学知识素养。</w:t>
            </w:r>
          </w:p>
        </w:tc>
        <w:tc>
          <w:tcPr>
            <w:tcW w:w="1330" w:type="dxa"/>
            <w:vAlign w:val="center"/>
          </w:tcPr>
          <w:p w14:paraId="1FFF7F50">
            <w:pPr>
              <w:widowControl w:val="0"/>
              <w:autoSpaceDE w:val="0"/>
              <w:autoSpaceDN w:val="0"/>
              <w:adjustRightInd w:val="0"/>
              <w:spacing w:line="240" w:lineRule="auto"/>
              <w:jc w:val="center"/>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课程目标1</w:t>
            </w:r>
          </w:p>
          <w:p w14:paraId="6B70CA35">
            <w:pPr>
              <w:widowControl w:val="0"/>
              <w:autoSpaceDE w:val="0"/>
              <w:autoSpaceDN w:val="0"/>
              <w:adjustRightInd w:val="0"/>
              <w:spacing w:line="240" w:lineRule="auto"/>
              <w:jc w:val="center"/>
              <w:rPr>
                <w:rFonts w:hint="default"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课程目标2</w:t>
            </w:r>
          </w:p>
          <w:p w14:paraId="33309780">
            <w:pPr>
              <w:widowControl w:val="0"/>
              <w:autoSpaceDE w:val="0"/>
              <w:autoSpaceDN w:val="0"/>
              <w:adjustRightInd w:val="0"/>
              <w:spacing w:line="240" w:lineRule="auto"/>
              <w:jc w:val="center"/>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课程目标5</w:t>
            </w:r>
          </w:p>
        </w:tc>
      </w:tr>
    </w:tbl>
    <w:p w14:paraId="15CF7BC7">
      <w:pPr>
        <w:spacing w:before="62" w:beforeLines="20" w:after="62" w:afterLines="20" w:line="360" w:lineRule="auto"/>
        <w:jc w:val="left"/>
        <w:rPr>
          <w:rFonts w:hint="eastAsia" w:ascii="Times New Roman" w:hAnsi="Times New Roman" w:eastAsia="宋体" w:cs="Times New Roman"/>
          <w:b/>
          <w:sz w:val="24"/>
        </w:rPr>
      </w:pPr>
    </w:p>
    <w:p w14:paraId="73AA22F6">
      <w:pPr>
        <w:spacing w:before="62" w:beforeLines="20" w:after="62" w:afterLines="20" w:line="360" w:lineRule="auto"/>
        <w:jc w:val="left"/>
        <w:rPr>
          <w:rFonts w:hint="eastAsia" w:ascii="Times New Roman" w:hAnsi="Times New Roman" w:eastAsia="宋体" w:cs="Times New Roman"/>
          <w:b/>
          <w:sz w:val="24"/>
        </w:rPr>
      </w:pPr>
      <w:r>
        <w:rPr>
          <w:rFonts w:hint="eastAsia" w:ascii="Times New Roman" w:hAnsi="Times New Roman" w:eastAsia="宋体" w:cs="Times New Roman"/>
          <w:b/>
          <w:sz w:val="24"/>
        </w:rPr>
        <w:t>三、课程内容及要求</w:t>
      </w:r>
    </w:p>
    <w:p w14:paraId="485D5961">
      <w:pPr>
        <w:keepNext w:val="0"/>
        <w:keepLines w:val="0"/>
        <w:pageBreakBefore w:val="0"/>
        <w:widowControl w:val="0"/>
        <w:kinsoku/>
        <w:wordWrap/>
        <w:overflowPunct/>
        <w:topLinePunct w:val="0"/>
        <w:bidi w:val="0"/>
        <w:spacing w:line="360" w:lineRule="auto"/>
        <w:ind w:firstLine="413" w:firstLineChars="196"/>
        <w:textAlignment w:val="auto"/>
        <w:rPr>
          <w:rFonts w:ascii="Calibri" w:hAnsi="Calibri" w:eastAsia="宋体" w:cs="Times New Roman"/>
          <w:b/>
          <w:sz w:val="21"/>
          <w:szCs w:val="21"/>
        </w:rPr>
      </w:pPr>
      <w:r>
        <w:rPr>
          <w:rFonts w:hint="eastAsia" w:ascii="Calibri" w:hAnsi="Calibri" w:eastAsia="宋体" w:cs="Times New Roman"/>
          <w:b/>
          <w:sz w:val="21"/>
          <w:szCs w:val="21"/>
        </w:rPr>
        <w:t>（一）中国国防</w:t>
      </w:r>
    </w:p>
    <w:p w14:paraId="571B260A">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ascii="Calibri" w:hAnsi="Calibri" w:eastAsia="宋体" w:cs="Times New Roman"/>
          <w:sz w:val="21"/>
          <w:szCs w:val="21"/>
        </w:rPr>
        <w:t>1.教学内容</w:t>
      </w:r>
    </w:p>
    <w:p w14:paraId="618BC86C">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ascii="Calibri" w:hAnsi="Calibri" w:eastAsia="宋体" w:cs="Times New Roman"/>
          <w:sz w:val="21"/>
          <w:szCs w:val="21"/>
        </w:rPr>
        <w:t>（1）</w:t>
      </w:r>
      <w:r>
        <w:rPr>
          <w:rFonts w:hint="eastAsia" w:ascii="Calibri" w:hAnsi="Calibri" w:eastAsia="宋体" w:cs="Times New Roman"/>
          <w:sz w:val="21"/>
          <w:szCs w:val="21"/>
        </w:rPr>
        <w:t>国防概述</w:t>
      </w:r>
    </w:p>
    <w:p w14:paraId="25F55239">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ascii="Calibri" w:hAnsi="Calibri" w:eastAsia="宋体" w:cs="Times New Roman"/>
          <w:sz w:val="21"/>
          <w:szCs w:val="21"/>
        </w:rPr>
        <w:t>（2）</w:t>
      </w:r>
      <w:r>
        <w:rPr>
          <w:rFonts w:hint="eastAsia" w:ascii="Calibri" w:hAnsi="Calibri" w:eastAsia="宋体" w:cs="Times New Roman"/>
          <w:sz w:val="21"/>
          <w:szCs w:val="21"/>
        </w:rPr>
        <w:t>国防法规</w:t>
      </w:r>
    </w:p>
    <w:p w14:paraId="7317E334">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hint="eastAsia" w:ascii="Calibri" w:hAnsi="Calibri" w:eastAsia="宋体" w:cs="Times New Roman"/>
          <w:sz w:val="21"/>
          <w:szCs w:val="21"/>
        </w:rPr>
        <w:t>（3）国防建设</w:t>
      </w:r>
    </w:p>
    <w:p w14:paraId="3F8FC48D">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hint="eastAsia" w:ascii="Calibri" w:hAnsi="Calibri" w:eastAsia="宋体" w:cs="Times New Roman"/>
          <w:sz w:val="21"/>
          <w:szCs w:val="21"/>
        </w:rPr>
        <w:t>（4）武装力量</w:t>
      </w:r>
    </w:p>
    <w:p w14:paraId="27E933C6">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hint="eastAsia" w:ascii="Calibri" w:hAnsi="Calibri" w:eastAsia="宋体" w:cs="Times New Roman"/>
          <w:sz w:val="21"/>
          <w:szCs w:val="21"/>
        </w:rPr>
        <w:t>（5）国防动员</w:t>
      </w:r>
    </w:p>
    <w:p w14:paraId="598B610A">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color w:val="000000"/>
          <w:sz w:val="21"/>
          <w:szCs w:val="21"/>
        </w:rPr>
      </w:pPr>
      <w:r>
        <w:rPr>
          <w:rFonts w:ascii="Calibri" w:hAnsi="Calibri" w:eastAsia="宋体" w:cs="Times New Roman"/>
          <w:color w:val="000000"/>
          <w:sz w:val="21"/>
          <w:szCs w:val="21"/>
        </w:rPr>
        <w:t>2.基本要求</w:t>
      </w:r>
    </w:p>
    <w:p w14:paraId="024F38D8">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sz w:val="21"/>
          <w:szCs w:val="21"/>
        </w:rPr>
      </w:pPr>
      <w:r>
        <w:rPr>
          <w:rFonts w:hint="eastAsia" w:ascii="宋体" w:hAnsi="宋体" w:eastAsia="宋体" w:cs="宋体"/>
          <w:sz w:val="21"/>
          <w:szCs w:val="21"/>
        </w:rPr>
        <w:t>（1）了解我国国防历史和国防建设的现状及其发展趋势</w:t>
      </w:r>
    </w:p>
    <w:p w14:paraId="0F07C39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sz w:val="21"/>
          <w:szCs w:val="21"/>
        </w:rPr>
      </w:pPr>
      <w:r>
        <w:rPr>
          <w:rFonts w:hint="eastAsia" w:ascii="宋体" w:hAnsi="宋体" w:eastAsia="宋体" w:cs="宋体"/>
          <w:sz w:val="21"/>
          <w:szCs w:val="21"/>
        </w:rPr>
        <w:t>（2）熟悉国防法规和国防政策的基本内容</w:t>
      </w:r>
    </w:p>
    <w:p w14:paraId="0AD09330">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sz w:val="21"/>
          <w:szCs w:val="21"/>
        </w:rPr>
      </w:pPr>
      <w:r>
        <w:rPr>
          <w:rFonts w:hint="eastAsia" w:ascii="宋体" w:hAnsi="宋体" w:eastAsia="宋体" w:cs="宋体"/>
          <w:sz w:val="21"/>
          <w:szCs w:val="21"/>
        </w:rPr>
        <w:t>（3）明确我国武装力量的构成、性质、任务和军队建设指导思想</w:t>
      </w:r>
    </w:p>
    <w:p w14:paraId="4572F2DF">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sz w:val="21"/>
          <w:szCs w:val="21"/>
        </w:rPr>
      </w:pPr>
      <w:r>
        <w:rPr>
          <w:rFonts w:hint="eastAsia" w:ascii="宋体" w:hAnsi="宋体" w:eastAsia="宋体" w:cs="宋体"/>
          <w:sz w:val="21"/>
          <w:szCs w:val="21"/>
        </w:rPr>
        <w:t>（4）掌握国防建设和国防动员的主要内容，增强依法建设国防的观念</w:t>
      </w:r>
    </w:p>
    <w:p w14:paraId="29CFC2B5">
      <w:pPr>
        <w:keepNext w:val="0"/>
        <w:keepLines w:val="0"/>
        <w:pageBreakBefore w:val="0"/>
        <w:widowControl w:val="0"/>
        <w:kinsoku/>
        <w:wordWrap/>
        <w:overflowPunct/>
        <w:topLinePunct w:val="0"/>
        <w:bidi w:val="0"/>
        <w:spacing w:line="360" w:lineRule="auto"/>
        <w:ind w:firstLine="413" w:firstLineChars="196"/>
        <w:textAlignment w:val="auto"/>
        <w:rPr>
          <w:rFonts w:ascii="Calibri" w:hAnsi="Calibri" w:eastAsia="宋体" w:cs="Times New Roman"/>
          <w:b/>
          <w:sz w:val="21"/>
          <w:szCs w:val="21"/>
        </w:rPr>
      </w:pPr>
      <w:r>
        <w:rPr>
          <w:rFonts w:hint="eastAsia" w:ascii="Calibri" w:hAnsi="Calibri" w:eastAsia="宋体" w:cs="Times New Roman"/>
          <w:b/>
          <w:sz w:val="21"/>
          <w:szCs w:val="21"/>
        </w:rPr>
        <w:t>（二）国家安全</w:t>
      </w:r>
    </w:p>
    <w:p w14:paraId="3F248F35">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ascii="Calibri" w:hAnsi="Calibri" w:eastAsia="宋体" w:cs="Times New Roman"/>
          <w:sz w:val="21"/>
          <w:szCs w:val="21"/>
        </w:rPr>
        <w:t>1.教学内容</w:t>
      </w:r>
    </w:p>
    <w:p w14:paraId="2CF5E146">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ascii="Calibri" w:hAnsi="Calibri" w:eastAsia="宋体" w:cs="Times New Roman"/>
          <w:sz w:val="21"/>
          <w:szCs w:val="21"/>
        </w:rPr>
        <w:t>（1）</w:t>
      </w:r>
      <w:r>
        <w:rPr>
          <w:rFonts w:hint="eastAsia" w:ascii="Calibri" w:hAnsi="Calibri" w:eastAsia="宋体" w:cs="Times New Roman"/>
          <w:sz w:val="21"/>
          <w:szCs w:val="21"/>
        </w:rPr>
        <w:t>国家安全概述</w:t>
      </w:r>
    </w:p>
    <w:p w14:paraId="7EA6B93E">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ascii="Calibri" w:hAnsi="Calibri" w:eastAsia="宋体" w:cs="Times New Roman"/>
          <w:sz w:val="21"/>
          <w:szCs w:val="21"/>
        </w:rPr>
        <w:t>（2）</w:t>
      </w:r>
      <w:r>
        <w:rPr>
          <w:rFonts w:hint="eastAsia" w:ascii="Calibri" w:hAnsi="Calibri" w:eastAsia="宋体" w:cs="Times New Roman"/>
          <w:sz w:val="21"/>
          <w:szCs w:val="21"/>
        </w:rPr>
        <w:t>国家安全形势</w:t>
      </w:r>
    </w:p>
    <w:p w14:paraId="6DEE1278">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hint="eastAsia" w:ascii="Calibri" w:hAnsi="Calibri" w:eastAsia="宋体" w:cs="Times New Roman"/>
          <w:sz w:val="21"/>
          <w:szCs w:val="21"/>
        </w:rPr>
        <w:t>（3）国际战略形势</w:t>
      </w:r>
    </w:p>
    <w:p w14:paraId="312B6D1D">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color w:val="000000"/>
          <w:sz w:val="21"/>
          <w:szCs w:val="21"/>
        </w:rPr>
      </w:pPr>
      <w:r>
        <w:rPr>
          <w:rFonts w:ascii="Calibri" w:hAnsi="Calibri" w:eastAsia="宋体" w:cs="Times New Roman"/>
          <w:color w:val="000000"/>
          <w:sz w:val="21"/>
          <w:szCs w:val="21"/>
        </w:rPr>
        <w:t>2.基本要求</w:t>
      </w:r>
    </w:p>
    <w:p w14:paraId="0CEE163B">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color w:val="4B4B4B"/>
          <w:kern w:val="0"/>
          <w:sz w:val="21"/>
          <w:szCs w:val="21"/>
        </w:rPr>
      </w:pPr>
      <w:r>
        <w:rPr>
          <w:rFonts w:hint="eastAsia" w:ascii="宋体" w:hAnsi="宋体" w:eastAsia="宋体" w:cs="宋体"/>
          <w:sz w:val="21"/>
          <w:szCs w:val="21"/>
        </w:rPr>
        <w:t>（1）了解</w:t>
      </w:r>
      <w:r>
        <w:rPr>
          <w:rFonts w:hint="eastAsia" w:ascii="宋体" w:hAnsi="宋体" w:eastAsia="宋体" w:cs="宋体"/>
          <w:color w:val="4B4B4B"/>
          <w:kern w:val="0"/>
          <w:sz w:val="21"/>
          <w:szCs w:val="21"/>
        </w:rPr>
        <w:t>国家安全的内涵、原则、总体安全观</w:t>
      </w:r>
    </w:p>
    <w:p w14:paraId="5E11210F">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color w:val="4B4B4B"/>
          <w:kern w:val="0"/>
          <w:sz w:val="21"/>
          <w:szCs w:val="21"/>
        </w:rPr>
      </w:pPr>
      <w:r>
        <w:rPr>
          <w:rFonts w:hint="eastAsia" w:ascii="宋体" w:hAnsi="宋体" w:eastAsia="宋体" w:cs="宋体"/>
          <w:sz w:val="21"/>
          <w:szCs w:val="21"/>
        </w:rPr>
        <w:t>（2）</w:t>
      </w:r>
      <w:r>
        <w:rPr>
          <w:rFonts w:hint="eastAsia" w:ascii="宋体" w:hAnsi="宋体" w:eastAsia="宋体" w:cs="宋体"/>
          <w:color w:val="4B4B4B"/>
          <w:kern w:val="0"/>
          <w:sz w:val="21"/>
          <w:szCs w:val="21"/>
        </w:rPr>
        <w:t>我国地缘环境基本概况、地缘安全、新形势下的国家安全、新兴领域的国家安全</w:t>
      </w:r>
    </w:p>
    <w:p w14:paraId="4BA2319D">
      <w:pPr>
        <w:keepNext w:val="0"/>
        <w:keepLines w:val="0"/>
        <w:pageBreakBefore w:val="0"/>
        <w:widowControl w:val="0"/>
        <w:kinsoku/>
        <w:wordWrap/>
        <w:overflowPunct/>
        <w:topLinePunct w:val="0"/>
        <w:bidi w:val="0"/>
        <w:spacing w:line="360" w:lineRule="auto"/>
        <w:ind w:firstLine="411" w:firstLineChars="196"/>
        <w:textAlignment w:val="auto"/>
        <w:rPr>
          <w:rFonts w:ascii="宋体" w:hAnsi="宋体" w:eastAsia="宋体" w:cs="宋体"/>
          <w:color w:val="4B4B4B"/>
          <w:kern w:val="0"/>
          <w:sz w:val="21"/>
          <w:szCs w:val="21"/>
        </w:rPr>
      </w:pPr>
      <w:r>
        <w:rPr>
          <w:rFonts w:hint="eastAsia" w:ascii="宋体" w:hAnsi="宋体" w:eastAsia="宋体" w:cs="宋体"/>
          <w:sz w:val="21"/>
          <w:szCs w:val="21"/>
        </w:rPr>
        <w:t>（3）</w:t>
      </w:r>
      <w:r>
        <w:rPr>
          <w:rFonts w:hint="eastAsia" w:ascii="宋体" w:hAnsi="宋体" w:eastAsia="宋体" w:cs="宋体"/>
          <w:color w:val="4B4B4B"/>
          <w:kern w:val="0"/>
          <w:sz w:val="21"/>
          <w:szCs w:val="21"/>
        </w:rPr>
        <w:t>国际战略形势现状与发展趋势、世界主要国家军事力量及战略动向</w:t>
      </w:r>
    </w:p>
    <w:p w14:paraId="0F06F1E0">
      <w:pPr>
        <w:keepNext w:val="0"/>
        <w:keepLines w:val="0"/>
        <w:pageBreakBefore w:val="0"/>
        <w:widowControl w:val="0"/>
        <w:kinsoku/>
        <w:wordWrap/>
        <w:overflowPunct/>
        <w:topLinePunct w:val="0"/>
        <w:bidi w:val="0"/>
        <w:spacing w:line="360" w:lineRule="auto"/>
        <w:ind w:firstLine="413" w:firstLineChars="196"/>
        <w:textAlignment w:val="auto"/>
        <w:rPr>
          <w:rFonts w:ascii="Calibri" w:hAnsi="Calibri" w:eastAsia="宋体" w:cs="Times New Roman"/>
          <w:b/>
          <w:sz w:val="21"/>
          <w:szCs w:val="21"/>
        </w:rPr>
      </w:pPr>
      <w:r>
        <w:rPr>
          <w:rFonts w:hint="eastAsia" w:ascii="Calibri" w:hAnsi="Calibri" w:eastAsia="宋体" w:cs="Times New Roman"/>
          <w:b/>
          <w:sz w:val="21"/>
          <w:szCs w:val="21"/>
        </w:rPr>
        <w:t>（三）</w:t>
      </w:r>
      <w:r>
        <w:rPr>
          <w:rFonts w:ascii="Calibri" w:hAnsi="Calibri" w:eastAsia="宋体" w:cs="Times New Roman"/>
          <w:b/>
          <w:sz w:val="21"/>
          <w:szCs w:val="21"/>
        </w:rPr>
        <w:t xml:space="preserve"> </w:t>
      </w:r>
      <w:r>
        <w:rPr>
          <w:rFonts w:hint="eastAsia" w:ascii="Calibri" w:hAnsi="Calibri" w:eastAsia="宋体" w:cs="Times New Roman"/>
          <w:b/>
          <w:sz w:val="21"/>
          <w:szCs w:val="21"/>
        </w:rPr>
        <w:t>军事思想</w:t>
      </w:r>
    </w:p>
    <w:p w14:paraId="6064FE7A">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ascii="Calibri" w:hAnsi="Calibri" w:eastAsia="宋体" w:cs="Times New Roman"/>
          <w:sz w:val="21"/>
          <w:szCs w:val="21"/>
        </w:rPr>
        <w:t>1.教学内容</w:t>
      </w:r>
    </w:p>
    <w:p w14:paraId="000CB447">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ascii="Calibri" w:hAnsi="Calibri" w:eastAsia="宋体" w:cs="Times New Roman"/>
          <w:sz w:val="21"/>
          <w:szCs w:val="21"/>
        </w:rPr>
        <w:t>（1）</w:t>
      </w:r>
      <w:r>
        <w:rPr>
          <w:rFonts w:hint="eastAsia" w:ascii="Calibri" w:hAnsi="Calibri" w:eastAsia="宋体" w:cs="Times New Roman"/>
          <w:sz w:val="21"/>
          <w:szCs w:val="21"/>
        </w:rPr>
        <w:t>军事思想概述</w:t>
      </w:r>
    </w:p>
    <w:p w14:paraId="6511D47F">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ascii="Calibri" w:hAnsi="Calibri" w:eastAsia="宋体" w:cs="Times New Roman"/>
          <w:sz w:val="21"/>
          <w:szCs w:val="21"/>
        </w:rPr>
        <w:t>（2）</w:t>
      </w:r>
      <w:r>
        <w:rPr>
          <w:rFonts w:hint="eastAsia" w:ascii="Calibri" w:hAnsi="Calibri" w:eastAsia="宋体" w:cs="Times New Roman"/>
          <w:sz w:val="21"/>
          <w:szCs w:val="21"/>
        </w:rPr>
        <w:t>外国军事思想</w:t>
      </w:r>
    </w:p>
    <w:p w14:paraId="0585809A">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hint="eastAsia" w:ascii="Calibri" w:hAnsi="Calibri" w:eastAsia="宋体" w:cs="Times New Roman"/>
          <w:sz w:val="21"/>
          <w:szCs w:val="21"/>
        </w:rPr>
        <w:t>（3）中国古代军事思想</w:t>
      </w:r>
    </w:p>
    <w:p w14:paraId="02F6CF8E">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hint="eastAsia" w:ascii="Calibri" w:hAnsi="Calibri" w:eastAsia="宋体" w:cs="Times New Roman"/>
          <w:sz w:val="21"/>
          <w:szCs w:val="21"/>
        </w:rPr>
        <w:t>（4）中国现当代军事思想</w:t>
      </w:r>
    </w:p>
    <w:p w14:paraId="34E2B43C">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color w:val="000000"/>
          <w:sz w:val="21"/>
          <w:szCs w:val="21"/>
        </w:rPr>
      </w:pPr>
      <w:r>
        <w:rPr>
          <w:rFonts w:ascii="Calibri" w:hAnsi="Calibri" w:eastAsia="宋体" w:cs="Times New Roman"/>
          <w:color w:val="000000"/>
          <w:sz w:val="21"/>
          <w:szCs w:val="21"/>
        </w:rPr>
        <w:t>2.基本要求</w:t>
      </w:r>
    </w:p>
    <w:p w14:paraId="68E2AA1F">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color w:val="4B4B4B"/>
          <w:kern w:val="0"/>
          <w:sz w:val="21"/>
          <w:szCs w:val="21"/>
        </w:rPr>
      </w:pPr>
      <w:r>
        <w:rPr>
          <w:rFonts w:ascii="Calibri" w:hAnsi="Calibri" w:eastAsia="宋体" w:cs="Times New Roman"/>
          <w:sz w:val="21"/>
          <w:szCs w:val="21"/>
        </w:rPr>
        <w:t>（1）</w:t>
      </w:r>
      <w:r>
        <w:rPr>
          <w:rFonts w:hint="eastAsia" w:ascii="宋体" w:hAnsi="宋体" w:eastAsia="宋体" w:cs="宋体"/>
          <w:sz w:val="21"/>
          <w:szCs w:val="21"/>
        </w:rPr>
        <w:t>了解</w:t>
      </w:r>
      <w:r>
        <w:rPr>
          <w:rFonts w:hint="eastAsia" w:ascii="宋体" w:hAnsi="宋体" w:eastAsia="宋体" w:cs="宋体"/>
          <w:color w:val="4B4B4B"/>
          <w:kern w:val="0"/>
          <w:sz w:val="21"/>
          <w:szCs w:val="21"/>
        </w:rPr>
        <w:t>军事思想的内涵、发展历程以及地位作用</w:t>
      </w:r>
    </w:p>
    <w:p w14:paraId="071BD974">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sz w:val="21"/>
          <w:szCs w:val="21"/>
        </w:rPr>
      </w:pPr>
      <w:r>
        <w:rPr>
          <w:rFonts w:hint="eastAsia" w:ascii="宋体" w:hAnsi="宋体" w:eastAsia="宋体" w:cs="宋体"/>
          <w:sz w:val="21"/>
          <w:szCs w:val="21"/>
        </w:rPr>
        <w:t>（2）熟悉</w:t>
      </w:r>
      <w:r>
        <w:rPr>
          <w:rFonts w:hint="eastAsia" w:ascii="宋体" w:hAnsi="宋体" w:eastAsia="宋体" w:cs="宋体"/>
          <w:color w:val="4B4B4B"/>
          <w:kern w:val="0"/>
          <w:sz w:val="21"/>
          <w:szCs w:val="21"/>
        </w:rPr>
        <w:t>外国军事思想的主要内容、特点以及代表性著作</w:t>
      </w:r>
    </w:p>
    <w:p w14:paraId="777F4363">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color w:val="4B4B4B"/>
          <w:kern w:val="0"/>
          <w:sz w:val="21"/>
          <w:szCs w:val="21"/>
        </w:rPr>
      </w:pPr>
      <w:r>
        <w:rPr>
          <w:rFonts w:hint="eastAsia" w:ascii="宋体" w:hAnsi="宋体" w:eastAsia="宋体" w:cs="宋体"/>
          <w:sz w:val="21"/>
          <w:szCs w:val="21"/>
        </w:rPr>
        <w:t>（3）了解</w:t>
      </w:r>
      <w:r>
        <w:rPr>
          <w:rFonts w:hint="eastAsia" w:ascii="宋体" w:hAnsi="宋体" w:eastAsia="宋体" w:cs="宋体"/>
          <w:color w:val="4B4B4B"/>
          <w:kern w:val="0"/>
          <w:sz w:val="21"/>
          <w:szCs w:val="21"/>
        </w:rPr>
        <w:t>中国古代军事思想的主要内容、特点以及代表性著作</w:t>
      </w:r>
    </w:p>
    <w:p w14:paraId="165D5892">
      <w:pPr>
        <w:keepNext w:val="0"/>
        <w:keepLines w:val="0"/>
        <w:pageBreakBefore w:val="0"/>
        <w:widowControl w:val="0"/>
        <w:kinsoku/>
        <w:wordWrap/>
        <w:overflowPunct/>
        <w:topLinePunct w:val="0"/>
        <w:bidi w:val="0"/>
        <w:spacing w:line="360" w:lineRule="auto"/>
        <w:ind w:firstLine="411" w:firstLineChars="196"/>
        <w:textAlignment w:val="auto"/>
        <w:rPr>
          <w:rFonts w:ascii="宋体" w:hAnsi="宋体" w:eastAsia="宋体" w:cs="宋体"/>
          <w:color w:val="4B4B4B"/>
          <w:kern w:val="0"/>
          <w:sz w:val="21"/>
          <w:szCs w:val="21"/>
        </w:rPr>
      </w:pPr>
      <w:r>
        <w:rPr>
          <w:rFonts w:hint="eastAsia" w:ascii="宋体" w:hAnsi="宋体" w:eastAsia="宋体" w:cs="宋体"/>
          <w:color w:val="4B4B4B"/>
          <w:kern w:val="0"/>
          <w:sz w:val="21"/>
          <w:szCs w:val="21"/>
        </w:rPr>
        <w:t>（4）了解毛泽东军事思想、邓小平新时期军队建设思想、江泽民国防和军队建设思想、胡锦涛国防和军队建设思想、习近平强军思想。</w:t>
      </w:r>
    </w:p>
    <w:p w14:paraId="37D5671B">
      <w:pPr>
        <w:keepNext w:val="0"/>
        <w:keepLines w:val="0"/>
        <w:pageBreakBefore w:val="0"/>
        <w:widowControl w:val="0"/>
        <w:kinsoku/>
        <w:wordWrap/>
        <w:overflowPunct/>
        <w:topLinePunct w:val="0"/>
        <w:bidi w:val="0"/>
        <w:spacing w:line="360" w:lineRule="auto"/>
        <w:ind w:firstLine="413" w:firstLineChars="196"/>
        <w:textAlignment w:val="auto"/>
        <w:rPr>
          <w:rFonts w:ascii="Calibri" w:hAnsi="Calibri" w:eastAsia="宋体" w:cs="Times New Roman"/>
          <w:b/>
          <w:sz w:val="21"/>
          <w:szCs w:val="21"/>
        </w:rPr>
      </w:pPr>
      <w:r>
        <w:rPr>
          <w:rFonts w:hint="eastAsia" w:ascii="Calibri" w:hAnsi="Calibri" w:eastAsia="宋体" w:cs="Times New Roman"/>
          <w:b/>
          <w:sz w:val="21"/>
          <w:szCs w:val="21"/>
        </w:rPr>
        <w:t>（四）现代战争</w:t>
      </w:r>
    </w:p>
    <w:p w14:paraId="2BF344FB">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ascii="Calibri" w:hAnsi="Calibri" w:eastAsia="宋体" w:cs="Times New Roman"/>
          <w:sz w:val="21"/>
          <w:szCs w:val="21"/>
        </w:rPr>
        <w:t>1.教学内容</w:t>
      </w:r>
    </w:p>
    <w:p w14:paraId="42E8D349">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ascii="Calibri" w:hAnsi="Calibri" w:eastAsia="宋体" w:cs="Times New Roman"/>
          <w:sz w:val="21"/>
          <w:szCs w:val="21"/>
        </w:rPr>
        <w:t>（1）</w:t>
      </w:r>
      <w:r>
        <w:rPr>
          <w:rFonts w:hint="eastAsia" w:ascii="Calibri" w:hAnsi="Calibri" w:eastAsia="宋体" w:cs="Times New Roman"/>
          <w:sz w:val="21"/>
          <w:szCs w:val="21"/>
        </w:rPr>
        <w:t>战争概述</w:t>
      </w:r>
    </w:p>
    <w:p w14:paraId="0046018E">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ascii="Calibri" w:hAnsi="Calibri" w:eastAsia="宋体" w:cs="Times New Roman"/>
          <w:sz w:val="21"/>
          <w:szCs w:val="21"/>
        </w:rPr>
        <w:t>（2）</w:t>
      </w:r>
      <w:r>
        <w:rPr>
          <w:rFonts w:hint="eastAsia" w:ascii="Calibri" w:hAnsi="Calibri" w:eastAsia="宋体" w:cs="Times New Roman"/>
          <w:sz w:val="21"/>
          <w:szCs w:val="21"/>
        </w:rPr>
        <w:t>新军事革命</w:t>
      </w:r>
    </w:p>
    <w:p w14:paraId="39A396F3">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hint="eastAsia" w:ascii="Calibri" w:hAnsi="Calibri" w:eastAsia="宋体" w:cs="Times New Roman"/>
          <w:sz w:val="21"/>
          <w:szCs w:val="21"/>
        </w:rPr>
        <w:t>（3）机械化战争</w:t>
      </w:r>
    </w:p>
    <w:p w14:paraId="28290D00">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hint="eastAsia" w:ascii="Calibri" w:hAnsi="Calibri" w:eastAsia="宋体" w:cs="Times New Roman"/>
          <w:sz w:val="21"/>
          <w:szCs w:val="21"/>
        </w:rPr>
        <w:t>（4）信息化战争</w:t>
      </w:r>
    </w:p>
    <w:p w14:paraId="61F4F1DB">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color w:val="000000"/>
          <w:sz w:val="21"/>
          <w:szCs w:val="21"/>
        </w:rPr>
      </w:pPr>
      <w:r>
        <w:rPr>
          <w:rFonts w:ascii="Calibri" w:hAnsi="Calibri" w:eastAsia="宋体" w:cs="Times New Roman"/>
          <w:color w:val="000000"/>
          <w:sz w:val="21"/>
          <w:szCs w:val="21"/>
        </w:rPr>
        <w:t>2.基本要求</w:t>
      </w:r>
    </w:p>
    <w:p w14:paraId="37175F76">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sz w:val="21"/>
          <w:szCs w:val="21"/>
        </w:rPr>
      </w:pPr>
      <w:r>
        <w:rPr>
          <w:rFonts w:hint="eastAsia" w:ascii="宋体" w:hAnsi="宋体" w:eastAsia="宋体" w:cs="宋体"/>
          <w:sz w:val="21"/>
          <w:szCs w:val="21"/>
        </w:rPr>
        <w:t>（1）了解</w:t>
      </w:r>
      <w:r>
        <w:rPr>
          <w:rFonts w:hint="eastAsia" w:ascii="宋体" w:hAnsi="宋体" w:eastAsia="宋体" w:cs="宋体"/>
          <w:color w:val="4B4B4B"/>
          <w:kern w:val="0"/>
          <w:sz w:val="21"/>
          <w:szCs w:val="21"/>
        </w:rPr>
        <w:t>战争的内涵、特点、发展的历程</w:t>
      </w:r>
    </w:p>
    <w:p w14:paraId="673B7816">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color w:val="4B4B4B"/>
          <w:kern w:val="0"/>
          <w:sz w:val="21"/>
          <w:szCs w:val="21"/>
        </w:rPr>
      </w:pPr>
      <w:r>
        <w:rPr>
          <w:rFonts w:hint="eastAsia" w:ascii="宋体" w:hAnsi="宋体" w:eastAsia="宋体" w:cs="宋体"/>
          <w:sz w:val="21"/>
          <w:szCs w:val="21"/>
        </w:rPr>
        <w:t>（2）熟悉</w:t>
      </w:r>
      <w:r>
        <w:rPr>
          <w:rFonts w:hint="eastAsia" w:ascii="宋体" w:hAnsi="宋体" w:eastAsia="宋体" w:cs="宋体"/>
          <w:color w:val="4B4B4B"/>
          <w:kern w:val="0"/>
          <w:sz w:val="21"/>
          <w:szCs w:val="21"/>
        </w:rPr>
        <w:t>新军事革命的内涵、发展演变、主要内容</w:t>
      </w:r>
    </w:p>
    <w:p w14:paraId="731305DC">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sz w:val="21"/>
          <w:szCs w:val="21"/>
        </w:rPr>
      </w:pPr>
      <w:r>
        <w:rPr>
          <w:rFonts w:hint="eastAsia" w:ascii="宋体" w:hAnsi="宋体" w:eastAsia="宋体" w:cs="宋体"/>
          <w:sz w:val="21"/>
          <w:szCs w:val="21"/>
        </w:rPr>
        <w:t>（3）了解</w:t>
      </w:r>
      <w:r>
        <w:rPr>
          <w:rFonts w:hint="eastAsia" w:ascii="宋体" w:hAnsi="宋体" w:eastAsia="宋体" w:cs="宋体"/>
          <w:color w:val="4B4B4B"/>
          <w:kern w:val="0"/>
          <w:sz w:val="21"/>
          <w:szCs w:val="21"/>
        </w:rPr>
        <w:t>机械化战争的基本内涵、主要形态、特征和代表性战例</w:t>
      </w:r>
    </w:p>
    <w:p w14:paraId="4AC14A64">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sz w:val="21"/>
          <w:szCs w:val="21"/>
        </w:rPr>
      </w:pPr>
      <w:r>
        <w:rPr>
          <w:rFonts w:hint="eastAsia" w:ascii="宋体" w:hAnsi="宋体" w:eastAsia="宋体" w:cs="宋体"/>
          <w:sz w:val="21"/>
          <w:szCs w:val="21"/>
        </w:rPr>
        <w:t>（4）了解</w:t>
      </w:r>
      <w:r>
        <w:rPr>
          <w:rFonts w:hint="eastAsia" w:ascii="宋体" w:hAnsi="宋体" w:eastAsia="宋体" w:cs="宋体"/>
          <w:color w:val="4B4B4B"/>
          <w:kern w:val="0"/>
          <w:sz w:val="21"/>
          <w:szCs w:val="21"/>
        </w:rPr>
        <w:t>信息化战争的基本内涵、主要形态、特征、代表性战例，战争形态发展趋势</w:t>
      </w:r>
    </w:p>
    <w:p w14:paraId="5D0113EE">
      <w:pPr>
        <w:keepNext w:val="0"/>
        <w:keepLines w:val="0"/>
        <w:pageBreakBefore w:val="0"/>
        <w:widowControl w:val="0"/>
        <w:kinsoku/>
        <w:wordWrap/>
        <w:overflowPunct/>
        <w:topLinePunct w:val="0"/>
        <w:bidi w:val="0"/>
        <w:spacing w:line="360" w:lineRule="auto"/>
        <w:ind w:firstLine="413" w:firstLineChars="196"/>
        <w:textAlignment w:val="auto"/>
        <w:rPr>
          <w:rFonts w:ascii="Calibri" w:hAnsi="Calibri" w:eastAsia="宋体" w:cs="Times New Roman"/>
          <w:b/>
          <w:sz w:val="21"/>
          <w:szCs w:val="21"/>
        </w:rPr>
      </w:pPr>
      <w:r>
        <w:rPr>
          <w:rFonts w:hint="eastAsia" w:ascii="Calibri" w:hAnsi="Calibri" w:eastAsia="宋体" w:cs="Times New Roman"/>
          <w:b/>
          <w:sz w:val="21"/>
          <w:szCs w:val="21"/>
        </w:rPr>
        <w:t>（五）信息化装备</w:t>
      </w:r>
    </w:p>
    <w:p w14:paraId="6FB65BAC">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ascii="Calibri" w:hAnsi="Calibri" w:eastAsia="宋体" w:cs="Times New Roman"/>
          <w:sz w:val="21"/>
          <w:szCs w:val="21"/>
        </w:rPr>
        <w:t>1.教学内容</w:t>
      </w:r>
    </w:p>
    <w:p w14:paraId="63680625">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ascii="Calibri" w:hAnsi="Calibri" w:eastAsia="宋体" w:cs="Times New Roman"/>
          <w:sz w:val="21"/>
          <w:szCs w:val="21"/>
        </w:rPr>
        <w:t>（1）</w:t>
      </w:r>
      <w:r>
        <w:rPr>
          <w:rFonts w:hint="eastAsia" w:ascii="Calibri" w:hAnsi="Calibri" w:eastAsia="宋体" w:cs="Times New Roman"/>
          <w:sz w:val="21"/>
          <w:szCs w:val="21"/>
        </w:rPr>
        <w:t>信息化装备概述</w:t>
      </w:r>
    </w:p>
    <w:p w14:paraId="481B3310">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ascii="Calibri" w:hAnsi="Calibri" w:eastAsia="宋体" w:cs="Times New Roman"/>
          <w:sz w:val="21"/>
          <w:szCs w:val="21"/>
        </w:rPr>
        <w:t>（2）</w:t>
      </w:r>
      <w:r>
        <w:rPr>
          <w:rFonts w:hint="eastAsia" w:ascii="宋体" w:hAnsi="宋体" w:eastAsia="宋体" w:cs="宋体"/>
          <w:color w:val="4B4B4B"/>
          <w:kern w:val="0"/>
          <w:sz w:val="21"/>
          <w:szCs w:val="21"/>
        </w:rPr>
        <w:t>信息化作战平台</w:t>
      </w:r>
    </w:p>
    <w:p w14:paraId="2789F2C3">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color w:val="4B4B4B"/>
          <w:kern w:val="0"/>
          <w:sz w:val="21"/>
          <w:szCs w:val="21"/>
        </w:rPr>
      </w:pPr>
      <w:r>
        <w:rPr>
          <w:rFonts w:hint="eastAsia" w:ascii="Calibri" w:hAnsi="Calibri" w:eastAsia="宋体" w:cs="Times New Roman"/>
          <w:sz w:val="21"/>
          <w:szCs w:val="21"/>
        </w:rPr>
        <w:t>（3）</w:t>
      </w:r>
      <w:r>
        <w:rPr>
          <w:rFonts w:hint="eastAsia" w:ascii="宋体" w:hAnsi="宋体" w:eastAsia="宋体" w:cs="宋体"/>
          <w:color w:val="4B4B4B"/>
          <w:kern w:val="0"/>
          <w:sz w:val="21"/>
          <w:szCs w:val="21"/>
        </w:rPr>
        <w:t>综合电子信息系统</w:t>
      </w:r>
    </w:p>
    <w:p w14:paraId="1DEF8DA7">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color w:val="4B4B4B"/>
          <w:kern w:val="0"/>
          <w:sz w:val="21"/>
          <w:szCs w:val="21"/>
        </w:rPr>
      </w:pPr>
      <w:r>
        <w:rPr>
          <w:rFonts w:hint="eastAsia" w:ascii="宋体" w:hAnsi="宋体" w:eastAsia="宋体" w:cs="宋体"/>
          <w:color w:val="4B4B4B"/>
          <w:kern w:val="0"/>
          <w:sz w:val="21"/>
          <w:szCs w:val="21"/>
        </w:rPr>
        <w:t>（4）信息化杀伤武器</w:t>
      </w:r>
    </w:p>
    <w:p w14:paraId="6889F770">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color w:val="000000"/>
          <w:sz w:val="21"/>
          <w:szCs w:val="21"/>
        </w:rPr>
      </w:pPr>
      <w:r>
        <w:rPr>
          <w:rFonts w:ascii="Calibri" w:hAnsi="Calibri" w:eastAsia="宋体" w:cs="Times New Roman"/>
          <w:color w:val="000000"/>
          <w:sz w:val="21"/>
          <w:szCs w:val="21"/>
        </w:rPr>
        <w:t>2.基本要求</w:t>
      </w:r>
    </w:p>
    <w:p w14:paraId="0896CECC">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sz w:val="21"/>
          <w:szCs w:val="21"/>
        </w:rPr>
      </w:pPr>
      <w:r>
        <w:rPr>
          <w:rFonts w:hint="eastAsia" w:ascii="宋体" w:hAnsi="宋体" w:eastAsia="宋体" w:cs="宋体"/>
          <w:sz w:val="21"/>
          <w:szCs w:val="21"/>
        </w:rPr>
        <w:t>（1）了解</w:t>
      </w:r>
      <w:r>
        <w:rPr>
          <w:rFonts w:hint="eastAsia" w:ascii="宋体" w:hAnsi="宋体" w:eastAsia="宋体" w:cs="宋体"/>
          <w:color w:val="4B4B4B"/>
          <w:kern w:val="0"/>
          <w:sz w:val="21"/>
          <w:szCs w:val="21"/>
        </w:rPr>
        <w:t>信息化装备的内涵、分类、对现代作战的影响以及发展趋势</w:t>
      </w:r>
    </w:p>
    <w:p w14:paraId="3B34AE5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color w:val="4B4B4B"/>
          <w:kern w:val="0"/>
          <w:sz w:val="21"/>
          <w:szCs w:val="21"/>
        </w:rPr>
      </w:pPr>
      <w:r>
        <w:rPr>
          <w:rFonts w:hint="eastAsia" w:ascii="宋体" w:hAnsi="宋体" w:eastAsia="宋体" w:cs="宋体"/>
          <w:sz w:val="21"/>
          <w:szCs w:val="21"/>
        </w:rPr>
        <w:t>（2）熟悉</w:t>
      </w:r>
      <w:r>
        <w:rPr>
          <w:rFonts w:hint="eastAsia" w:ascii="宋体" w:hAnsi="宋体" w:eastAsia="宋体" w:cs="宋体"/>
          <w:color w:val="4B4B4B"/>
          <w:kern w:val="0"/>
          <w:sz w:val="21"/>
          <w:szCs w:val="21"/>
        </w:rPr>
        <w:t>各国主战飞机、坦克、军舰等信息武器装备发展趋势、战例应用</w:t>
      </w:r>
    </w:p>
    <w:p w14:paraId="0DCB1D8F">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color w:val="4B4B4B"/>
          <w:kern w:val="0"/>
          <w:sz w:val="21"/>
          <w:szCs w:val="21"/>
        </w:rPr>
      </w:pPr>
      <w:r>
        <w:rPr>
          <w:rFonts w:hint="eastAsia" w:ascii="宋体" w:hAnsi="宋体" w:eastAsia="宋体" w:cs="宋体"/>
          <w:sz w:val="21"/>
          <w:szCs w:val="21"/>
        </w:rPr>
        <w:t>（3）了解</w:t>
      </w:r>
      <w:r>
        <w:rPr>
          <w:rFonts w:hint="eastAsia" w:ascii="宋体" w:hAnsi="宋体" w:eastAsia="宋体" w:cs="宋体"/>
          <w:color w:val="4B4B4B"/>
          <w:kern w:val="0"/>
          <w:sz w:val="21"/>
          <w:szCs w:val="21"/>
        </w:rPr>
        <w:t>指挥控制系统、预警系统、导航系统等装备电子信息系统发展趋势、战例应用</w:t>
      </w:r>
    </w:p>
    <w:p w14:paraId="04474D98">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eastAsia="宋体" w:cs="宋体"/>
          <w:sz w:val="21"/>
          <w:szCs w:val="21"/>
        </w:rPr>
      </w:pPr>
      <w:r>
        <w:rPr>
          <w:rFonts w:hint="eastAsia" w:ascii="宋体" w:hAnsi="宋体" w:eastAsia="宋体" w:cs="宋体"/>
          <w:color w:val="4B4B4B"/>
          <w:kern w:val="0"/>
          <w:sz w:val="21"/>
          <w:szCs w:val="21"/>
        </w:rPr>
        <w:t>（4）了解新概念、精确制导、核生化武器装备等武器装备发展趋势、战例应用</w:t>
      </w:r>
    </w:p>
    <w:p w14:paraId="04EF3733">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color w:val="000000"/>
          <w:sz w:val="21"/>
          <w:szCs w:val="21"/>
          <w:highlight w:val="yellow"/>
        </w:rPr>
      </w:pPr>
      <w:r>
        <w:rPr>
          <w:rFonts w:hint="eastAsia" w:ascii="Calibri" w:hAnsi="Calibri" w:eastAsia="宋体" w:cs="Times New Roman"/>
          <w:color w:val="000000"/>
          <w:sz w:val="21"/>
          <w:szCs w:val="21"/>
          <w:highlight w:val="none"/>
        </w:rPr>
        <w:t>教学内容与</w:t>
      </w:r>
      <w:r>
        <w:rPr>
          <w:rFonts w:ascii="Calibri" w:hAnsi="Calibri" w:eastAsia="宋体" w:cs="Times New Roman"/>
          <w:color w:val="000000"/>
          <w:sz w:val="21"/>
          <w:szCs w:val="21"/>
          <w:highlight w:val="none"/>
        </w:rPr>
        <w:t>课程目标的</w:t>
      </w:r>
      <w:r>
        <w:rPr>
          <w:rFonts w:hint="eastAsia" w:ascii="Calibri" w:hAnsi="Calibri" w:eastAsia="宋体" w:cs="Times New Roman"/>
          <w:color w:val="000000"/>
          <w:sz w:val="21"/>
          <w:szCs w:val="21"/>
          <w:highlight w:val="none"/>
        </w:rPr>
        <w:t>对应关系及</w:t>
      </w:r>
      <w:r>
        <w:rPr>
          <w:rFonts w:ascii="Calibri" w:hAnsi="Calibri" w:eastAsia="宋体" w:cs="Times New Roman"/>
          <w:color w:val="000000"/>
          <w:sz w:val="21"/>
          <w:szCs w:val="21"/>
          <w:highlight w:val="none"/>
        </w:rPr>
        <w:t>学时分配</w:t>
      </w:r>
      <w:r>
        <w:rPr>
          <w:rFonts w:hint="eastAsia" w:ascii="Calibri" w:hAnsi="Calibri" w:eastAsia="宋体" w:cs="Times New Roman"/>
          <w:color w:val="000000"/>
          <w:sz w:val="21"/>
          <w:szCs w:val="21"/>
          <w:highlight w:val="none"/>
        </w:rPr>
        <w:t>如表所示。</w:t>
      </w:r>
    </w:p>
    <w:tbl>
      <w:tblPr>
        <w:tblStyle w:val="1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890"/>
        <w:gridCol w:w="2340"/>
        <w:gridCol w:w="1830"/>
        <w:gridCol w:w="1230"/>
        <w:gridCol w:w="1080"/>
      </w:tblGrid>
      <w:tr w14:paraId="4C2C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870" w:type="dxa"/>
            <w:shd w:val="clear" w:color="auto" w:fill="FFFFFF"/>
            <w:vAlign w:val="center"/>
          </w:tcPr>
          <w:p w14:paraId="51F32AD0">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1890" w:type="dxa"/>
            <w:shd w:val="clear" w:color="auto" w:fill="FFFFFF"/>
            <w:vAlign w:val="center"/>
          </w:tcPr>
          <w:p w14:paraId="6AA1CC94">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教学内容</w:t>
            </w:r>
          </w:p>
        </w:tc>
        <w:tc>
          <w:tcPr>
            <w:tcW w:w="2340" w:type="dxa"/>
            <w:shd w:val="clear" w:color="auto" w:fill="FFFFFF"/>
            <w:vAlign w:val="center"/>
          </w:tcPr>
          <w:p w14:paraId="26290A4D">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支撑的课程目标</w:t>
            </w:r>
          </w:p>
        </w:tc>
        <w:tc>
          <w:tcPr>
            <w:tcW w:w="1830" w:type="dxa"/>
            <w:shd w:val="clear" w:color="auto" w:fill="FFFFFF"/>
            <w:vAlign w:val="center"/>
          </w:tcPr>
          <w:p w14:paraId="2AB0CAA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支撑的毕业</w:t>
            </w:r>
          </w:p>
          <w:p w14:paraId="1BC9AEA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要求指标点</w:t>
            </w:r>
          </w:p>
        </w:tc>
        <w:tc>
          <w:tcPr>
            <w:tcW w:w="1230" w:type="dxa"/>
            <w:shd w:val="clear" w:color="auto" w:fill="FFFFFF"/>
            <w:vAlign w:val="center"/>
          </w:tcPr>
          <w:p w14:paraId="7B4370B6">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讲授学时</w:t>
            </w:r>
          </w:p>
        </w:tc>
        <w:tc>
          <w:tcPr>
            <w:tcW w:w="1080" w:type="dxa"/>
            <w:shd w:val="clear" w:color="auto" w:fill="FFFFFF"/>
            <w:vAlign w:val="center"/>
          </w:tcPr>
          <w:p w14:paraId="1DD8B390">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highlight w:val="none"/>
                <w:lang w:val="en-US" w:eastAsia="zh-CN"/>
              </w:rPr>
              <w:t>实践</w:t>
            </w:r>
            <w:r>
              <w:rPr>
                <w:rFonts w:hint="eastAsia" w:ascii="宋体" w:hAnsi="宋体" w:eastAsia="宋体" w:cs="宋体"/>
                <w:b/>
                <w:bCs/>
                <w:color w:val="000000"/>
                <w:sz w:val="21"/>
                <w:szCs w:val="21"/>
                <w:highlight w:val="none"/>
              </w:rPr>
              <w:t>学时</w:t>
            </w:r>
          </w:p>
        </w:tc>
      </w:tr>
      <w:tr w14:paraId="6CA8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70" w:type="dxa"/>
            <w:vAlign w:val="center"/>
          </w:tcPr>
          <w:p w14:paraId="6DC21530">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890" w:type="dxa"/>
            <w:vAlign w:val="center"/>
          </w:tcPr>
          <w:p w14:paraId="1123F3D0">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000000"/>
                <w:sz w:val="21"/>
                <w:szCs w:val="21"/>
              </w:rPr>
            </w:pPr>
            <w:r>
              <w:rPr>
                <w:rFonts w:hint="eastAsia" w:ascii="宋体" w:hAnsi="宋体" w:eastAsia="宋体" w:cs="宋体"/>
                <w:bCs/>
                <w:sz w:val="21"/>
                <w:szCs w:val="21"/>
              </w:rPr>
              <w:t>中国国防</w:t>
            </w:r>
          </w:p>
        </w:tc>
        <w:tc>
          <w:tcPr>
            <w:tcW w:w="2340" w:type="dxa"/>
            <w:vAlign w:val="center"/>
          </w:tcPr>
          <w:p w14:paraId="64C34415">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目标1、2、3</w:t>
            </w:r>
          </w:p>
        </w:tc>
        <w:tc>
          <w:tcPr>
            <w:tcW w:w="1830" w:type="dxa"/>
            <w:vAlign w:val="center"/>
          </w:tcPr>
          <w:p w14:paraId="0DC072A3">
            <w:pPr>
              <w:keepNext w:val="0"/>
              <w:keepLines w:val="0"/>
              <w:pageBreakBefore w:val="0"/>
              <w:widowControl w:val="0"/>
              <w:kinsoku/>
              <w:wordWrap/>
              <w:overflowPunct/>
              <w:topLinePunct w:val="0"/>
              <w:bidi w:val="0"/>
              <w:spacing w:line="360" w:lineRule="auto"/>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1-1、3-1</w:t>
            </w:r>
          </w:p>
        </w:tc>
        <w:tc>
          <w:tcPr>
            <w:tcW w:w="1230" w:type="dxa"/>
            <w:vAlign w:val="center"/>
          </w:tcPr>
          <w:p w14:paraId="1FC01A11">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080" w:type="dxa"/>
            <w:vAlign w:val="center"/>
          </w:tcPr>
          <w:p w14:paraId="3362E63C">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05F8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70" w:type="dxa"/>
            <w:vAlign w:val="center"/>
          </w:tcPr>
          <w:p w14:paraId="68827A20">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890" w:type="dxa"/>
            <w:vAlign w:val="center"/>
          </w:tcPr>
          <w:p w14:paraId="1944FB3A">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000000"/>
                <w:sz w:val="21"/>
                <w:szCs w:val="21"/>
              </w:rPr>
            </w:pPr>
            <w:r>
              <w:rPr>
                <w:rFonts w:hint="eastAsia" w:ascii="宋体" w:hAnsi="宋体" w:eastAsia="宋体" w:cs="宋体"/>
                <w:bCs/>
                <w:sz w:val="21"/>
                <w:szCs w:val="21"/>
              </w:rPr>
              <w:t>国家安全</w:t>
            </w:r>
          </w:p>
        </w:tc>
        <w:tc>
          <w:tcPr>
            <w:tcW w:w="2340" w:type="dxa"/>
            <w:vAlign w:val="center"/>
          </w:tcPr>
          <w:p w14:paraId="40FE1358">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目标1、4、5</w:t>
            </w:r>
          </w:p>
        </w:tc>
        <w:tc>
          <w:tcPr>
            <w:tcW w:w="1830" w:type="dxa"/>
            <w:shd w:val="clear" w:color="auto" w:fill="auto"/>
            <w:vAlign w:val="center"/>
          </w:tcPr>
          <w:p w14:paraId="09F081DB">
            <w:pPr>
              <w:keepNext w:val="0"/>
              <w:keepLines w:val="0"/>
              <w:pageBreakBefore w:val="0"/>
              <w:widowControl w:val="0"/>
              <w:kinsoku/>
              <w:wordWrap/>
              <w:overflowPunct/>
              <w:topLinePunct w:val="0"/>
              <w:bidi w:val="0"/>
              <w:spacing w:line="360" w:lineRule="auto"/>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1-1、3-1</w:t>
            </w:r>
          </w:p>
        </w:tc>
        <w:tc>
          <w:tcPr>
            <w:tcW w:w="1230" w:type="dxa"/>
            <w:vAlign w:val="center"/>
          </w:tcPr>
          <w:p w14:paraId="7DC2690A">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080" w:type="dxa"/>
            <w:vAlign w:val="center"/>
          </w:tcPr>
          <w:p w14:paraId="6A0E9183">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287A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70" w:type="dxa"/>
            <w:vAlign w:val="center"/>
          </w:tcPr>
          <w:p w14:paraId="48ABF89C">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890" w:type="dxa"/>
            <w:vAlign w:val="center"/>
          </w:tcPr>
          <w:p w14:paraId="62AD004A">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000000"/>
                <w:sz w:val="21"/>
                <w:szCs w:val="21"/>
              </w:rPr>
            </w:pPr>
            <w:r>
              <w:rPr>
                <w:rFonts w:hint="eastAsia" w:ascii="宋体" w:hAnsi="宋体" w:eastAsia="宋体" w:cs="宋体"/>
                <w:bCs/>
                <w:sz w:val="21"/>
                <w:szCs w:val="21"/>
              </w:rPr>
              <w:t>军事思想</w:t>
            </w:r>
          </w:p>
        </w:tc>
        <w:tc>
          <w:tcPr>
            <w:tcW w:w="2340" w:type="dxa"/>
            <w:vAlign w:val="center"/>
          </w:tcPr>
          <w:p w14:paraId="45E198AF">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目标2、3、4</w:t>
            </w:r>
          </w:p>
        </w:tc>
        <w:tc>
          <w:tcPr>
            <w:tcW w:w="1830" w:type="dxa"/>
            <w:shd w:val="clear" w:color="auto" w:fill="auto"/>
            <w:vAlign w:val="center"/>
          </w:tcPr>
          <w:p w14:paraId="0FBC3851">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1-1、3-1</w:t>
            </w:r>
          </w:p>
        </w:tc>
        <w:tc>
          <w:tcPr>
            <w:tcW w:w="1230" w:type="dxa"/>
            <w:vAlign w:val="center"/>
          </w:tcPr>
          <w:p w14:paraId="491158EE">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080" w:type="dxa"/>
            <w:vAlign w:val="center"/>
          </w:tcPr>
          <w:p w14:paraId="6210F52C">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7D4C0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70" w:type="dxa"/>
            <w:vAlign w:val="center"/>
          </w:tcPr>
          <w:p w14:paraId="4654C320">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890" w:type="dxa"/>
            <w:vAlign w:val="center"/>
          </w:tcPr>
          <w:p w14:paraId="5E0AE9D3">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现代战争</w:t>
            </w:r>
          </w:p>
        </w:tc>
        <w:tc>
          <w:tcPr>
            <w:tcW w:w="2340" w:type="dxa"/>
            <w:vAlign w:val="center"/>
          </w:tcPr>
          <w:p w14:paraId="1FEF50CB">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目标2、3、4</w:t>
            </w:r>
          </w:p>
        </w:tc>
        <w:tc>
          <w:tcPr>
            <w:tcW w:w="1830" w:type="dxa"/>
            <w:shd w:val="clear" w:color="auto" w:fill="auto"/>
            <w:vAlign w:val="center"/>
          </w:tcPr>
          <w:p w14:paraId="6E816AEC">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1-1、3-1</w:t>
            </w:r>
          </w:p>
        </w:tc>
        <w:tc>
          <w:tcPr>
            <w:tcW w:w="1230" w:type="dxa"/>
            <w:vAlign w:val="center"/>
          </w:tcPr>
          <w:p w14:paraId="3D93E046">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080" w:type="dxa"/>
            <w:vAlign w:val="center"/>
          </w:tcPr>
          <w:p w14:paraId="50841BB1">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r>
      <w:tr w14:paraId="668D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70" w:type="dxa"/>
            <w:vAlign w:val="center"/>
          </w:tcPr>
          <w:p w14:paraId="6B859988">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1890" w:type="dxa"/>
            <w:vAlign w:val="center"/>
          </w:tcPr>
          <w:p w14:paraId="79E17BD2">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信息化装备</w:t>
            </w:r>
          </w:p>
        </w:tc>
        <w:tc>
          <w:tcPr>
            <w:tcW w:w="2340" w:type="dxa"/>
            <w:vAlign w:val="center"/>
          </w:tcPr>
          <w:p w14:paraId="78B453CD">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目标1、2、5</w:t>
            </w:r>
          </w:p>
        </w:tc>
        <w:tc>
          <w:tcPr>
            <w:tcW w:w="1830" w:type="dxa"/>
            <w:shd w:val="clear" w:color="auto" w:fill="auto"/>
            <w:vAlign w:val="center"/>
          </w:tcPr>
          <w:p w14:paraId="56DE00A8">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1-1、3-1</w:t>
            </w:r>
          </w:p>
        </w:tc>
        <w:tc>
          <w:tcPr>
            <w:tcW w:w="1230" w:type="dxa"/>
            <w:vAlign w:val="center"/>
          </w:tcPr>
          <w:p w14:paraId="54FEE4DE">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080" w:type="dxa"/>
            <w:vAlign w:val="center"/>
          </w:tcPr>
          <w:p w14:paraId="490A9CDB">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00E6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30" w:type="dxa"/>
            <w:gridSpan w:val="4"/>
            <w:vAlign w:val="center"/>
          </w:tcPr>
          <w:p w14:paraId="0C4FB450">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合计</w:t>
            </w:r>
          </w:p>
        </w:tc>
        <w:tc>
          <w:tcPr>
            <w:tcW w:w="1230" w:type="dxa"/>
            <w:vAlign w:val="center"/>
          </w:tcPr>
          <w:p w14:paraId="761BF155">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1080" w:type="dxa"/>
            <w:vAlign w:val="center"/>
          </w:tcPr>
          <w:p w14:paraId="6F92D6AF">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bl>
    <w:p w14:paraId="39EB0ADD">
      <w:pPr>
        <w:spacing w:before="62" w:beforeLines="20" w:after="62" w:afterLines="20" w:line="360" w:lineRule="auto"/>
        <w:jc w:val="left"/>
        <w:rPr>
          <w:rFonts w:hint="eastAsia" w:ascii="Times New Roman" w:hAnsi="Times New Roman" w:eastAsia="宋体" w:cs="Times New Roman"/>
          <w:b/>
          <w:sz w:val="24"/>
        </w:rPr>
      </w:pPr>
      <w:r>
        <w:rPr>
          <w:rFonts w:hint="eastAsia" w:ascii="Times New Roman" w:hAnsi="Times New Roman" w:eastAsia="宋体" w:cs="Times New Roman"/>
          <w:b/>
          <w:sz w:val="24"/>
          <w:lang w:eastAsia="zh-CN"/>
        </w:rPr>
        <w:t>四</w:t>
      </w:r>
      <w:r>
        <w:rPr>
          <w:rFonts w:hint="eastAsia" w:ascii="Times New Roman" w:hAnsi="Times New Roman" w:eastAsia="宋体" w:cs="Times New Roman"/>
          <w:b/>
          <w:sz w:val="24"/>
        </w:rPr>
        <w:t>、课程实施</w:t>
      </w:r>
    </w:p>
    <w:p w14:paraId="431EC3A1">
      <w:pPr>
        <w:snapToGrid w:val="0"/>
        <w:spacing w:line="360" w:lineRule="auto"/>
        <w:ind w:firstLine="420" w:firstLineChars="200"/>
        <w:rPr>
          <w:rFonts w:hint="eastAsia" w:ascii="Calibri" w:hAnsi="Calibri" w:eastAsia="宋体" w:cs="Times New Roman"/>
          <w:sz w:val="21"/>
          <w:szCs w:val="21"/>
        </w:rPr>
      </w:pPr>
      <w:r>
        <w:rPr>
          <w:rFonts w:hint="eastAsia" w:ascii="Calibri" w:hAnsi="Calibri" w:eastAsia="宋体" w:cs="Times New Roman"/>
          <w:sz w:val="21"/>
          <w:szCs w:val="21"/>
        </w:rPr>
        <w:t>（一）教学方法与教学手段</w:t>
      </w:r>
    </w:p>
    <w:p w14:paraId="2FB050F0">
      <w:pPr>
        <w:keepNext w:val="0"/>
        <w:keepLines w:val="0"/>
        <w:pageBreakBefore w:val="0"/>
        <w:widowControl w:val="0"/>
        <w:kinsoku/>
        <w:wordWrap/>
        <w:overflowPunct/>
        <w:topLinePunct w:val="0"/>
        <w:bidi w:val="0"/>
        <w:spacing w:line="360" w:lineRule="auto"/>
        <w:ind w:firstLine="420" w:firstLineChars="200"/>
        <w:textAlignment w:val="auto"/>
        <w:rPr>
          <w:rFonts w:hint="eastAsia" w:ascii="Calibri" w:hAnsi="Calibri" w:eastAsia="宋体" w:cs="Times New Roman"/>
          <w:sz w:val="21"/>
          <w:szCs w:val="21"/>
          <w:highlight w:val="none"/>
          <w:lang w:eastAsia="zh-CN"/>
        </w:rPr>
      </w:pPr>
      <w:r>
        <w:rPr>
          <w:rFonts w:hint="eastAsia" w:ascii="Calibri" w:hAnsi="Calibri" w:eastAsia="宋体" w:cs="Times New Roman"/>
          <w:sz w:val="21"/>
          <w:szCs w:val="21"/>
          <w:highlight w:val="none"/>
        </w:rPr>
        <w:t>1.通过采用启发式、讨论式、案例式以及专题式等多种教学方法，深刻认识国防的基本概念、历史背景与现实意义</w:t>
      </w:r>
      <w:r>
        <w:rPr>
          <w:rFonts w:hint="eastAsia" w:ascii="Calibri" w:hAnsi="Calibri" w:eastAsia="宋体" w:cs="Times New Roman"/>
          <w:sz w:val="21"/>
          <w:szCs w:val="21"/>
          <w:highlight w:val="none"/>
          <w:lang w:eastAsia="zh-CN"/>
        </w:rPr>
        <w:t>；学会运用军事理论的基本框架，对国际安全形势、军事冲突案例等进行初步分析和判断的能力，重点掌握学习军事科学的意义和方法，提高其逻辑思维和批判性思维能力。树立总体国家安全观，提高识别和防范各种安全风险的能力。</w:t>
      </w:r>
    </w:p>
    <w:p w14:paraId="0E44D2B6">
      <w:pPr>
        <w:keepNext w:val="0"/>
        <w:keepLines w:val="0"/>
        <w:pageBreakBefore w:val="0"/>
        <w:widowControl w:val="0"/>
        <w:kinsoku/>
        <w:wordWrap/>
        <w:overflowPunct/>
        <w:topLinePunct w:val="0"/>
        <w:bidi w:val="0"/>
        <w:spacing w:line="360" w:lineRule="auto"/>
        <w:ind w:firstLine="420" w:firstLineChars="200"/>
        <w:textAlignment w:val="auto"/>
        <w:rPr>
          <w:rFonts w:hint="eastAsia" w:ascii="Calibri" w:hAnsi="Calibri" w:eastAsia="宋体" w:cs="Times New Roman"/>
          <w:sz w:val="21"/>
          <w:szCs w:val="21"/>
          <w:highlight w:val="none"/>
        </w:rPr>
      </w:pPr>
      <w:r>
        <w:rPr>
          <w:rFonts w:hint="eastAsia" w:ascii="Calibri" w:hAnsi="Calibri" w:eastAsia="宋体" w:cs="Times New Roman"/>
          <w:sz w:val="21"/>
          <w:szCs w:val="21"/>
          <w:highlight w:val="none"/>
        </w:rPr>
        <w:t>2.通过采用多媒体教学手段，</w:t>
      </w:r>
      <w:r>
        <w:rPr>
          <w:rFonts w:hint="eastAsia" w:ascii="Calibri" w:hAnsi="Calibri" w:eastAsia="宋体" w:cs="Times New Roman"/>
          <w:sz w:val="21"/>
          <w:szCs w:val="21"/>
          <w:highlight w:val="none"/>
          <w:lang w:eastAsia="zh-CN"/>
        </w:rPr>
        <w:t>创新现代化教学模式</w:t>
      </w:r>
      <w:r>
        <w:rPr>
          <w:rFonts w:hint="eastAsia" w:ascii="Calibri" w:hAnsi="Calibri" w:eastAsia="宋体" w:cs="Times New Roman"/>
          <w:sz w:val="21"/>
          <w:szCs w:val="21"/>
          <w:highlight w:val="none"/>
        </w:rPr>
        <w:t>，不断提高</w:t>
      </w:r>
      <w:r>
        <w:rPr>
          <w:rFonts w:hint="eastAsia" w:ascii="Calibri" w:hAnsi="Calibri" w:eastAsia="宋体" w:cs="Times New Roman"/>
          <w:sz w:val="21"/>
          <w:szCs w:val="21"/>
          <w:highlight w:val="none"/>
          <w:lang w:eastAsia="zh-CN"/>
        </w:rPr>
        <w:t>军事理论</w:t>
      </w:r>
      <w:r>
        <w:rPr>
          <w:rFonts w:hint="eastAsia" w:ascii="Calibri" w:hAnsi="Calibri" w:eastAsia="宋体" w:cs="Times New Roman"/>
          <w:sz w:val="21"/>
          <w:szCs w:val="21"/>
          <w:highlight w:val="none"/>
        </w:rPr>
        <w:t>课的针对性和吸引力。</w:t>
      </w:r>
    </w:p>
    <w:p w14:paraId="46A43308">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highlight w:val="none"/>
        </w:rPr>
      </w:pPr>
      <w:r>
        <w:rPr>
          <w:rFonts w:hint="eastAsia" w:ascii="Calibri" w:hAnsi="Calibri" w:eastAsia="宋体" w:cs="Times New Roman"/>
          <w:sz w:val="21"/>
          <w:szCs w:val="21"/>
          <w:highlight w:val="none"/>
        </w:rPr>
        <w:t>（二）教学质量要求</w:t>
      </w:r>
    </w:p>
    <w:p w14:paraId="2D049337">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hint="eastAsia" w:ascii="Calibri" w:hAnsi="Calibri" w:eastAsia="宋体" w:cs="Times New Roman"/>
          <w:sz w:val="21"/>
          <w:szCs w:val="21"/>
        </w:rPr>
        <w:t>主要教学环节质量要求如表所示。</w:t>
      </w:r>
    </w:p>
    <w:tbl>
      <w:tblPr>
        <w:tblStyle w:val="15"/>
        <w:tblW w:w="8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210"/>
        <w:gridCol w:w="6436"/>
      </w:tblGrid>
      <w:tr w14:paraId="595F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39" w:type="dxa"/>
            <w:gridSpan w:val="2"/>
            <w:tcBorders>
              <w:top w:val="single" w:color="auto" w:sz="8" w:space="0"/>
              <w:left w:val="single" w:color="auto" w:sz="8" w:space="0"/>
              <w:right w:val="single" w:color="auto" w:sz="8" w:space="0"/>
            </w:tcBorders>
            <w:tcMar>
              <w:left w:w="28" w:type="dxa"/>
              <w:right w:w="28" w:type="dxa"/>
            </w:tcMar>
            <w:vAlign w:val="center"/>
          </w:tcPr>
          <w:p w14:paraId="5CCC2D0A">
            <w:pPr>
              <w:keepNext w:val="0"/>
              <w:keepLines w:val="0"/>
              <w:pageBreakBefore w:val="0"/>
              <w:widowControl w:val="0"/>
              <w:kinsoku/>
              <w:wordWrap/>
              <w:overflowPunct/>
              <w:topLinePunct w:val="0"/>
              <w:bidi w:val="0"/>
              <w:spacing w:line="240" w:lineRule="auto"/>
              <w:jc w:val="center"/>
              <w:textAlignment w:val="auto"/>
              <w:rPr>
                <w:rFonts w:ascii="Calibri" w:hAnsi="Calibri" w:eastAsia="宋体" w:cs="Times New Roman"/>
                <w:b/>
                <w:bCs w:val="0"/>
                <w:sz w:val="21"/>
                <w:szCs w:val="21"/>
              </w:rPr>
            </w:pPr>
            <w:r>
              <w:rPr>
                <w:rFonts w:ascii="Calibri" w:hAnsi="Calibri" w:eastAsia="宋体" w:cs="Times New Roman"/>
                <w:b/>
                <w:bCs w:val="0"/>
                <w:sz w:val="21"/>
                <w:szCs w:val="21"/>
              </w:rPr>
              <w:t>主要教学环节</w:t>
            </w:r>
          </w:p>
        </w:tc>
        <w:tc>
          <w:tcPr>
            <w:tcW w:w="6436" w:type="dxa"/>
            <w:tcBorders>
              <w:top w:val="single" w:color="auto" w:sz="8" w:space="0"/>
              <w:left w:val="single" w:color="auto" w:sz="8" w:space="0"/>
              <w:right w:val="single" w:color="auto" w:sz="8" w:space="0"/>
            </w:tcBorders>
            <w:vAlign w:val="center"/>
          </w:tcPr>
          <w:p w14:paraId="78D35E61">
            <w:pPr>
              <w:keepNext w:val="0"/>
              <w:keepLines w:val="0"/>
              <w:pageBreakBefore w:val="0"/>
              <w:widowControl w:val="0"/>
              <w:kinsoku/>
              <w:wordWrap/>
              <w:overflowPunct/>
              <w:topLinePunct w:val="0"/>
              <w:bidi w:val="0"/>
              <w:spacing w:line="240" w:lineRule="auto"/>
              <w:jc w:val="center"/>
              <w:textAlignment w:val="auto"/>
              <w:rPr>
                <w:rFonts w:ascii="Calibri" w:hAnsi="Calibri" w:eastAsia="宋体" w:cs="Times New Roman"/>
                <w:b/>
                <w:bCs w:val="0"/>
                <w:sz w:val="21"/>
                <w:szCs w:val="21"/>
              </w:rPr>
            </w:pPr>
            <w:r>
              <w:rPr>
                <w:rFonts w:ascii="Calibri" w:hAnsi="Calibri" w:eastAsia="宋体" w:cs="Times New Roman"/>
                <w:b/>
                <w:bCs w:val="0"/>
                <w:sz w:val="21"/>
                <w:szCs w:val="21"/>
              </w:rPr>
              <w:t>质量</w:t>
            </w:r>
            <w:r>
              <w:rPr>
                <w:rFonts w:hint="eastAsia" w:ascii="Calibri" w:hAnsi="Calibri" w:eastAsia="宋体" w:cs="Times New Roman"/>
                <w:b/>
                <w:bCs w:val="0"/>
                <w:sz w:val="21"/>
                <w:szCs w:val="21"/>
              </w:rPr>
              <w:t>要求</w:t>
            </w:r>
          </w:p>
        </w:tc>
      </w:tr>
      <w:tr w14:paraId="6550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829" w:type="dxa"/>
            <w:tcBorders>
              <w:left w:val="single" w:color="auto" w:sz="8" w:space="0"/>
            </w:tcBorders>
            <w:vAlign w:val="center"/>
          </w:tcPr>
          <w:p w14:paraId="363C73C1">
            <w:pPr>
              <w:keepNext w:val="0"/>
              <w:keepLines w:val="0"/>
              <w:pageBreakBefore w:val="0"/>
              <w:widowControl w:val="0"/>
              <w:kinsoku/>
              <w:wordWrap/>
              <w:overflowPunct/>
              <w:topLinePunct w:val="0"/>
              <w:bidi w:val="0"/>
              <w:spacing w:line="240" w:lineRule="auto"/>
              <w:jc w:val="center"/>
              <w:textAlignment w:val="auto"/>
              <w:rPr>
                <w:rFonts w:ascii="Calibri" w:hAnsi="Calibri" w:eastAsia="宋体" w:cs="Times New Roman"/>
                <w:sz w:val="21"/>
                <w:szCs w:val="21"/>
              </w:rPr>
            </w:pPr>
            <w:r>
              <w:rPr>
                <w:rFonts w:ascii="Calibri" w:hAnsi="Calibri" w:eastAsia="宋体" w:cs="Times New Roman"/>
                <w:sz w:val="21"/>
                <w:szCs w:val="21"/>
              </w:rPr>
              <w:t>1</w:t>
            </w:r>
          </w:p>
        </w:tc>
        <w:tc>
          <w:tcPr>
            <w:tcW w:w="1210" w:type="dxa"/>
            <w:tcMar>
              <w:left w:w="28" w:type="dxa"/>
              <w:right w:w="28" w:type="dxa"/>
            </w:tcMar>
            <w:vAlign w:val="center"/>
          </w:tcPr>
          <w:p w14:paraId="76A01EF9">
            <w:pPr>
              <w:keepNext w:val="0"/>
              <w:keepLines w:val="0"/>
              <w:pageBreakBefore w:val="0"/>
              <w:widowControl w:val="0"/>
              <w:kinsoku/>
              <w:wordWrap/>
              <w:overflowPunct/>
              <w:topLinePunct w:val="0"/>
              <w:bidi w:val="0"/>
              <w:spacing w:line="240" w:lineRule="auto"/>
              <w:jc w:val="center"/>
              <w:textAlignment w:val="auto"/>
              <w:rPr>
                <w:rFonts w:ascii="Calibri" w:hAnsi="Calibri" w:eastAsia="宋体" w:cs="Times New Roman"/>
                <w:sz w:val="21"/>
                <w:szCs w:val="21"/>
              </w:rPr>
            </w:pPr>
            <w:r>
              <w:rPr>
                <w:rFonts w:ascii="Calibri" w:hAnsi="Calibri" w:eastAsia="宋体" w:cs="Times New Roman"/>
                <w:sz w:val="21"/>
                <w:szCs w:val="21"/>
              </w:rPr>
              <w:t>备课</w:t>
            </w:r>
          </w:p>
        </w:tc>
        <w:tc>
          <w:tcPr>
            <w:tcW w:w="6436" w:type="dxa"/>
            <w:tcBorders>
              <w:right w:val="single" w:color="auto" w:sz="8" w:space="0"/>
            </w:tcBorders>
            <w:vAlign w:val="center"/>
          </w:tcPr>
          <w:p w14:paraId="7EEB8617">
            <w:pPr>
              <w:snapToGrid w:val="0"/>
              <w:spacing w:line="24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（1）掌握本课程教学大纲内容，严格按照教学大纲要求进行课程教学内容的组织。</w:t>
            </w:r>
          </w:p>
          <w:p w14:paraId="2C8413E5">
            <w:pPr>
              <w:snapToGrid w:val="0"/>
              <w:spacing w:line="24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（2）熟悉教材各章节，借助相关专业书籍资料，并依据教学大纲编写授课计划，编写每次授课的教案。</w:t>
            </w:r>
          </w:p>
          <w:p w14:paraId="1F6FCE98">
            <w:pPr>
              <w:keepNext w:val="0"/>
              <w:keepLines w:val="0"/>
              <w:pageBreakBefore w:val="0"/>
              <w:widowControl w:val="0"/>
              <w:kinsoku/>
              <w:wordWrap/>
              <w:overflowPunct/>
              <w:topLinePunct w:val="0"/>
              <w:bidi w:val="0"/>
              <w:spacing w:line="240" w:lineRule="auto"/>
              <w:textAlignment w:val="auto"/>
              <w:rPr>
                <w:rFonts w:ascii="Calibri" w:hAnsi="Calibri" w:eastAsia="宋体" w:cs="Times New Roman"/>
                <w:sz w:val="21"/>
                <w:szCs w:val="21"/>
              </w:rPr>
            </w:pPr>
            <w:r>
              <w:rPr>
                <w:rFonts w:hint="eastAsia" w:ascii="宋体" w:hAnsi="宋体" w:eastAsia="宋体" w:cs="Times New Roman"/>
                <w:sz w:val="21"/>
                <w:szCs w:val="21"/>
              </w:rPr>
              <w:t>（3）使用统一课件授课，根据各部分教学内容，构思授课思路、技巧，选择合适的教学方法。</w:t>
            </w:r>
          </w:p>
        </w:tc>
      </w:tr>
      <w:tr w14:paraId="3B93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29" w:type="dxa"/>
            <w:tcBorders>
              <w:left w:val="single" w:color="auto" w:sz="8" w:space="0"/>
            </w:tcBorders>
            <w:vAlign w:val="center"/>
          </w:tcPr>
          <w:p w14:paraId="25C68CD2">
            <w:pPr>
              <w:keepNext w:val="0"/>
              <w:keepLines w:val="0"/>
              <w:pageBreakBefore w:val="0"/>
              <w:widowControl w:val="0"/>
              <w:kinsoku/>
              <w:wordWrap/>
              <w:overflowPunct/>
              <w:topLinePunct w:val="0"/>
              <w:bidi w:val="0"/>
              <w:spacing w:line="240" w:lineRule="auto"/>
              <w:jc w:val="center"/>
              <w:textAlignment w:val="auto"/>
              <w:rPr>
                <w:rFonts w:ascii="Calibri" w:hAnsi="Calibri" w:eastAsia="宋体" w:cs="Times New Roman"/>
                <w:sz w:val="21"/>
                <w:szCs w:val="21"/>
              </w:rPr>
            </w:pPr>
            <w:r>
              <w:rPr>
                <w:rFonts w:ascii="Calibri" w:hAnsi="Calibri" w:eastAsia="宋体" w:cs="Times New Roman"/>
                <w:sz w:val="21"/>
                <w:szCs w:val="21"/>
              </w:rPr>
              <w:t>2</w:t>
            </w:r>
          </w:p>
        </w:tc>
        <w:tc>
          <w:tcPr>
            <w:tcW w:w="1210" w:type="dxa"/>
            <w:tcMar>
              <w:left w:w="28" w:type="dxa"/>
              <w:right w:w="28" w:type="dxa"/>
            </w:tcMar>
            <w:vAlign w:val="center"/>
          </w:tcPr>
          <w:p w14:paraId="652AFCD4">
            <w:pPr>
              <w:keepNext w:val="0"/>
              <w:keepLines w:val="0"/>
              <w:pageBreakBefore w:val="0"/>
              <w:widowControl w:val="0"/>
              <w:kinsoku/>
              <w:wordWrap/>
              <w:overflowPunct/>
              <w:topLinePunct w:val="0"/>
              <w:bidi w:val="0"/>
              <w:spacing w:line="240" w:lineRule="auto"/>
              <w:jc w:val="center"/>
              <w:textAlignment w:val="auto"/>
              <w:rPr>
                <w:rFonts w:ascii="Calibri" w:hAnsi="Calibri" w:eastAsia="宋体" w:cs="Times New Roman"/>
                <w:sz w:val="21"/>
                <w:szCs w:val="21"/>
              </w:rPr>
            </w:pPr>
            <w:r>
              <w:rPr>
                <w:rFonts w:ascii="Calibri" w:hAnsi="Calibri" w:eastAsia="宋体" w:cs="Times New Roman"/>
                <w:sz w:val="21"/>
                <w:szCs w:val="21"/>
              </w:rPr>
              <w:t>讲授</w:t>
            </w:r>
          </w:p>
        </w:tc>
        <w:tc>
          <w:tcPr>
            <w:tcW w:w="6436" w:type="dxa"/>
            <w:tcBorders>
              <w:right w:val="single" w:color="auto" w:sz="8" w:space="0"/>
            </w:tcBorders>
            <w:vAlign w:val="center"/>
          </w:tcPr>
          <w:p w14:paraId="4D88A0F1">
            <w:pPr>
              <w:snapToGrid w:val="0"/>
              <w:spacing w:line="24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（1）要点准确、推理正确、条理清晰、重点突出，能够理论联系实际。</w:t>
            </w:r>
          </w:p>
          <w:p w14:paraId="0D9311EC">
            <w:pPr>
              <w:snapToGrid w:val="0"/>
              <w:spacing w:line="24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（2）采用多种教学方式（如启发式教学、讨论式教学、案例分析教学等），培养学生的思想政治素质，注重培养学生发现、分析和解决问题的能力。</w:t>
            </w:r>
          </w:p>
          <w:p w14:paraId="5E235270">
            <w:pPr>
              <w:snapToGrid w:val="0"/>
              <w:spacing w:line="24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（3）能够采用现代信息技术辅助教学。</w:t>
            </w:r>
          </w:p>
          <w:p w14:paraId="724DA08E">
            <w:pPr>
              <w:keepNext w:val="0"/>
              <w:keepLines w:val="0"/>
              <w:pageBreakBefore w:val="0"/>
              <w:widowControl w:val="0"/>
              <w:kinsoku/>
              <w:wordWrap/>
              <w:overflowPunct/>
              <w:topLinePunct w:val="0"/>
              <w:bidi w:val="0"/>
              <w:spacing w:line="240" w:lineRule="auto"/>
              <w:textAlignment w:val="auto"/>
              <w:rPr>
                <w:rFonts w:ascii="Calibri" w:hAnsi="Calibri" w:eastAsia="宋体" w:cs="Times New Roman"/>
                <w:sz w:val="21"/>
                <w:szCs w:val="21"/>
              </w:rPr>
            </w:pPr>
            <w:r>
              <w:rPr>
                <w:rFonts w:hint="eastAsia" w:ascii="宋体" w:hAnsi="宋体" w:eastAsia="宋体" w:cs="Times New Roman"/>
                <w:sz w:val="21"/>
                <w:szCs w:val="21"/>
              </w:rPr>
              <w:t>（4）表达方式应能便于学生理解、接受，力求形象生动，使学生在掌握知识的过程中，保持较为浓厚的兴趣。</w:t>
            </w:r>
          </w:p>
        </w:tc>
      </w:tr>
      <w:tr w14:paraId="55C7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29" w:type="dxa"/>
            <w:tcBorders>
              <w:left w:val="single" w:color="auto" w:sz="8" w:space="0"/>
            </w:tcBorders>
            <w:vAlign w:val="center"/>
          </w:tcPr>
          <w:p w14:paraId="713C7DB4">
            <w:pPr>
              <w:keepNext w:val="0"/>
              <w:keepLines w:val="0"/>
              <w:pageBreakBefore w:val="0"/>
              <w:widowControl w:val="0"/>
              <w:kinsoku/>
              <w:wordWrap/>
              <w:overflowPunct/>
              <w:topLinePunct w:val="0"/>
              <w:bidi w:val="0"/>
              <w:spacing w:line="240" w:lineRule="auto"/>
              <w:jc w:val="center"/>
              <w:textAlignment w:val="auto"/>
              <w:rPr>
                <w:rFonts w:ascii="Calibri" w:hAnsi="Calibri" w:eastAsia="宋体" w:cs="Times New Roman"/>
                <w:sz w:val="21"/>
                <w:szCs w:val="21"/>
              </w:rPr>
            </w:pPr>
            <w:r>
              <w:rPr>
                <w:rFonts w:ascii="Calibri" w:hAnsi="Calibri" w:eastAsia="宋体" w:cs="Times New Roman"/>
                <w:sz w:val="21"/>
                <w:szCs w:val="21"/>
              </w:rPr>
              <w:t>3</w:t>
            </w:r>
          </w:p>
        </w:tc>
        <w:tc>
          <w:tcPr>
            <w:tcW w:w="1210" w:type="dxa"/>
            <w:tcMar>
              <w:left w:w="28" w:type="dxa"/>
              <w:right w:w="28" w:type="dxa"/>
            </w:tcMar>
            <w:vAlign w:val="center"/>
          </w:tcPr>
          <w:p w14:paraId="32FB34AE">
            <w:pPr>
              <w:keepNext w:val="0"/>
              <w:keepLines w:val="0"/>
              <w:pageBreakBefore w:val="0"/>
              <w:widowControl w:val="0"/>
              <w:kinsoku/>
              <w:wordWrap/>
              <w:overflowPunct/>
              <w:topLinePunct w:val="0"/>
              <w:bidi w:val="0"/>
              <w:spacing w:line="240" w:lineRule="auto"/>
              <w:jc w:val="center"/>
              <w:textAlignment w:val="auto"/>
              <w:rPr>
                <w:rFonts w:ascii="Calibri" w:hAnsi="Calibri" w:eastAsia="宋体" w:cs="Times New Roman"/>
                <w:sz w:val="21"/>
                <w:szCs w:val="21"/>
                <w:highlight w:val="yellow"/>
              </w:rPr>
            </w:pPr>
            <w:r>
              <w:rPr>
                <w:rFonts w:ascii="Calibri" w:hAnsi="Calibri" w:eastAsia="宋体" w:cs="Times New Roman"/>
                <w:sz w:val="21"/>
                <w:szCs w:val="21"/>
                <w:highlight w:val="none"/>
              </w:rPr>
              <w:t>作业布置与批改</w:t>
            </w:r>
          </w:p>
        </w:tc>
        <w:tc>
          <w:tcPr>
            <w:tcW w:w="6436" w:type="dxa"/>
            <w:tcBorders>
              <w:right w:val="single" w:color="auto" w:sz="8" w:space="0"/>
            </w:tcBorders>
            <w:vAlign w:val="center"/>
          </w:tcPr>
          <w:p w14:paraId="0CD8AB9E">
            <w:pPr>
              <w:keepNext w:val="0"/>
              <w:keepLines w:val="0"/>
              <w:pageBreakBefore w:val="0"/>
              <w:widowControl w:val="0"/>
              <w:kinsoku/>
              <w:wordWrap/>
              <w:overflowPunct/>
              <w:topLinePunct w:val="0"/>
              <w:bidi w:val="0"/>
              <w:spacing w:line="240" w:lineRule="auto"/>
              <w:ind w:firstLine="210" w:firstLineChars="100"/>
              <w:textAlignment w:val="auto"/>
              <w:rPr>
                <w:rFonts w:hint="eastAsia" w:ascii="Calibri" w:hAnsi="Calibri" w:eastAsia="宋体" w:cs="Times New Roman"/>
                <w:sz w:val="21"/>
                <w:szCs w:val="21"/>
                <w:highlight w:val="none"/>
              </w:rPr>
            </w:pPr>
            <w:r>
              <w:rPr>
                <w:rFonts w:hint="eastAsia" w:ascii="Calibri" w:hAnsi="Calibri" w:eastAsia="宋体" w:cs="Times New Roman"/>
                <w:sz w:val="21"/>
                <w:szCs w:val="21"/>
                <w:highlight w:val="none"/>
              </w:rPr>
              <w:t>学生必须完成规定数量的作业，作业必须达到以下基本要求：</w:t>
            </w:r>
          </w:p>
          <w:p w14:paraId="1C6EB5BB">
            <w:pPr>
              <w:keepNext w:val="0"/>
              <w:keepLines w:val="0"/>
              <w:pageBreakBefore w:val="0"/>
              <w:widowControl w:val="0"/>
              <w:kinsoku/>
              <w:wordWrap/>
              <w:overflowPunct/>
              <w:topLinePunct w:val="0"/>
              <w:bidi w:val="0"/>
              <w:spacing w:line="240" w:lineRule="auto"/>
              <w:ind w:firstLine="210" w:firstLineChars="100"/>
              <w:textAlignment w:val="auto"/>
              <w:rPr>
                <w:rFonts w:hint="eastAsia" w:ascii="Calibri" w:hAnsi="Calibri" w:eastAsia="宋体" w:cs="Times New Roman"/>
                <w:sz w:val="21"/>
                <w:szCs w:val="21"/>
                <w:highlight w:val="none"/>
              </w:rPr>
            </w:pPr>
            <w:r>
              <w:rPr>
                <w:rFonts w:hint="eastAsia" w:ascii="Calibri" w:hAnsi="Calibri" w:eastAsia="宋体" w:cs="Times New Roman"/>
                <w:sz w:val="21"/>
                <w:szCs w:val="21"/>
                <w:highlight w:val="none"/>
              </w:rPr>
              <w:t>（1）按时按量完成作业，不缺交，不抄袭。</w:t>
            </w:r>
          </w:p>
          <w:p w14:paraId="0643685A">
            <w:pPr>
              <w:keepNext w:val="0"/>
              <w:keepLines w:val="0"/>
              <w:pageBreakBefore w:val="0"/>
              <w:widowControl w:val="0"/>
              <w:kinsoku/>
              <w:wordWrap/>
              <w:overflowPunct/>
              <w:topLinePunct w:val="0"/>
              <w:bidi w:val="0"/>
              <w:spacing w:line="240" w:lineRule="auto"/>
              <w:ind w:firstLine="210" w:firstLineChars="100"/>
              <w:textAlignment w:val="auto"/>
              <w:rPr>
                <w:rFonts w:hint="eastAsia" w:ascii="Calibri" w:hAnsi="Calibri" w:eastAsia="宋体" w:cs="Times New Roman"/>
                <w:sz w:val="21"/>
                <w:szCs w:val="21"/>
                <w:highlight w:val="none"/>
              </w:rPr>
            </w:pPr>
            <w:r>
              <w:rPr>
                <w:rFonts w:hint="eastAsia" w:ascii="Calibri" w:hAnsi="Calibri" w:eastAsia="宋体" w:cs="Times New Roman"/>
                <w:sz w:val="21"/>
                <w:szCs w:val="21"/>
                <w:highlight w:val="none"/>
              </w:rPr>
              <w:t>（2）书写规范、清晰。</w:t>
            </w:r>
          </w:p>
          <w:p w14:paraId="0912B50A">
            <w:pPr>
              <w:keepNext w:val="0"/>
              <w:keepLines w:val="0"/>
              <w:pageBreakBefore w:val="0"/>
              <w:widowControl w:val="0"/>
              <w:kinsoku/>
              <w:wordWrap/>
              <w:overflowPunct/>
              <w:topLinePunct w:val="0"/>
              <w:bidi w:val="0"/>
              <w:spacing w:line="240" w:lineRule="auto"/>
              <w:ind w:firstLine="210" w:firstLineChars="100"/>
              <w:textAlignment w:val="auto"/>
              <w:rPr>
                <w:rFonts w:hint="eastAsia" w:ascii="Calibri" w:hAnsi="Calibri" w:eastAsia="宋体" w:cs="Times New Roman"/>
                <w:sz w:val="21"/>
                <w:szCs w:val="21"/>
                <w:highlight w:val="none"/>
              </w:rPr>
            </w:pPr>
            <w:r>
              <w:rPr>
                <w:rFonts w:hint="eastAsia" w:ascii="Calibri" w:hAnsi="Calibri" w:eastAsia="宋体" w:cs="Times New Roman"/>
                <w:sz w:val="21"/>
                <w:szCs w:val="21"/>
                <w:highlight w:val="none"/>
              </w:rPr>
              <w:t>教师批改作业要求如下：</w:t>
            </w:r>
          </w:p>
          <w:p w14:paraId="0044AF82">
            <w:pPr>
              <w:keepNext w:val="0"/>
              <w:keepLines w:val="0"/>
              <w:pageBreakBefore w:val="0"/>
              <w:widowControl w:val="0"/>
              <w:kinsoku/>
              <w:wordWrap/>
              <w:overflowPunct/>
              <w:topLinePunct w:val="0"/>
              <w:bidi w:val="0"/>
              <w:spacing w:line="240" w:lineRule="auto"/>
              <w:ind w:firstLine="210" w:firstLineChars="100"/>
              <w:textAlignment w:val="auto"/>
              <w:rPr>
                <w:rFonts w:hint="eastAsia" w:ascii="Calibri" w:hAnsi="Calibri" w:eastAsia="宋体" w:cs="Times New Roman"/>
                <w:sz w:val="21"/>
                <w:szCs w:val="21"/>
                <w:highlight w:val="none"/>
              </w:rPr>
            </w:pPr>
            <w:r>
              <w:rPr>
                <w:rFonts w:hint="eastAsia" w:ascii="Calibri" w:hAnsi="Calibri" w:eastAsia="宋体" w:cs="Times New Roman"/>
                <w:sz w:val="21"/>
                <w:szCs w:val="21"/>
                <w:highlight w:val="none"/>
              </w:rPr>
              <w:t>（3）学生的作业要按时全部批改，并及时进行讲评。</w:t>
            </w:r>
          </w:p>
          <w:p w14:paraId="4E2F9E0E">
            <w:pPr>
              <w:keepNext w:val="0"/>
              <w:keepLines w:val="0"/>
              <w:pageBreakBefore w:val="0"/>
              <w:widowControl w:val="0"/>
              <w:kinsoku/>
              <w:wordWrap/>
              <w:overflowPunct/>
              <w:topLinePunct w:val="0"/>
              <w:bidi w:val="0"/>
              <w:spacing w:line="240" w:lineRule="auto"/>
              <w:ind w:firstLine="210" w:firstLineChars="100"/>
              <w:textAlignment w:val="auto"/>
              <w:rPr>
                <w:rFonts w:hint="eastAsia" w:ascii="Calibri" w:hAnsi="Calibri" w:eastAsia="宋体" w:cs="Times New Roman"/>
                <w:sz w:val="21"/>
                <w:szCs w:val="21"/>
                <w:highlight w:val="none"/>
              </w:rPr>
            </w:pPr>
            <w:r>
              <w:rPr>
                <w:rFonts w:hint="eastAsia" w:ascii="Calibri" w:hAnsi="Calibri" w:eastAsia="宋体" w:cs="Times New Roman"/>
                <w:sz w:val="21"/>
                <w:szCs w:val="21"/>
                <w:highlight w:val="none"/>
              </w:rPr>
              <w:t>（4）教师批改和讲评作业要认真、细致，按百分制评定成绩并写明日期 。</w:t>
            </w:r>
          </w:p>
          <w:p w14:paraId="38B54ECB">
            <w:pPr>
              <w:keepNext w:val="0"/>
              <w:keepLines w:val="0"/>
              <w:pageBreakBefore w:val="0"/>
              <w:widowControl w:val="0"/>
              <w:kinsoku/>
              <w:wordWrap/>
              <w:overflowPunct/>
              <w:topLinePunct w:val="0"/>
              <w:bidi w:val="0"/>
              <w:spacing w:line="240" w:lineRule="auto"/>
              <w:ind w:firstLine="210" w:firstLineChars="100"/>
              <w:textAlignment w:val="auto"/>
              <w:rPr>
                <w:rFonts w:ascii="Calibri" w:hAnsi="Calibri" w:eastAsia="宋体" w:cs="Times New Roman"/>
                <w:sz w:val="21"/>
                <w:szCs w:val="21"/>
                <w:highlight w:val="yellow"/>
              </w:rPr>
            </w:pPr>
            <w:r>
              <w:rPr>
                <w:rFonts w:hint="eastAsia" w:ascii="Calibri" w:hAnsi="Calibri" w:eastAsia="宋体" w:cs="Times New Roman"/>
                <w:sz w:val="21"/>
                <w:szCs w:val="21"/>
                <w:highlight w:val="none"/>
              </w:rPr>
              <w:t>（5）学生作业的平均成绩应作为本课程总评成绩中平时成绩的重要组 成部分。</w:t>
            </w:r>
          </w:p>
        </w:tc>
      </w:tr>
      <w:tr w14:paraId="14A6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9" w:type="dxa"/>
            <w:tcBorders>
              <w:left w:val="single" w:color="auto" w:sz="8" w:space="0"/>
            </w:tcBorders>
            <w:vAlign w:val="center"/>
          </w:tcPr>
          <w:p w14:paraId="1D42DE55">
            <w:pPr>
              <w:keepNext w:val="0"/>
              <w:keepLines w:val="0"/>
              <w:pageBreakBefore w:val="0"/>
              <w:widowControl w:val="0"/>
              <w:kinsoku/>
              <w:wordWrap/>
              <w:overflowPunct/>
              <w:topLinePunct w:val="0"/>
              <w:bidi w:val="0"/>
              <w:spacing w:line="240" w:lineRule="auto"/>
              <w:jc w:val="center"/>
              <w:textAlignment w:val="auto"/>
              <w:rPr>
                <w:rFonts w:ascii="Calibri" w:hAnsi="Calibri" w:eastAsia="宋体" w:cs="Times New Roman"/>
                <w:sz w:val="21"/>
                <w:szCs w:val="21"/>
              </w:rPr>
            </w:pPr>
            <w:r>
              <w:rPr>
                <w:rFonts w:hint="eastAsia" w:ascii="Calibri" w:hAnsi="Calibri" w:eastAsia="宋体" w:cs="Times New Roman"/>
                <w:sz w:val="21"/>
                <w:szCs w:val="21"/>
              </w:rPr>
              <w:t>4</w:t>
            </w:r>
          </w:p>
        </w:tc>
        <w:tc>
          <w:tcPr>
            <w:tcW w:w="1210" w:type="dxa"/>
            <w:tcMar>
              <w:left w:w="28" w:type="dxa"/>
              <w:right w:w="28" w:type="dxa"/>
            </w:tcMar>
            <w:vAlign w:val="center"/>
          </w:tcPr>
          <w:p w14:paraId="28B17A35">
            <w:pPr>
              <w:keepNext w:val="0"/>
              <w:keepLines w:val="0"/>
              <w:pageBreakBefore w:val="0"/>
              <w:widowControl w:val="0"/>
              <w:kinsoku/>
              <w:wordWrap/>
              <w:overflowPunct/>
              <w:topLinePunct w:val="0"/>
              <w:bidi w:val="0"/>
              <w:spacing w:line="240" w:lineRule="auto"/>
              <w:jc w:val="center"/>
              <w:textAlignment w:val="auto"/>
              <w:rPr>
                <w:rFonts w:ascii="Calibri" w:hAnsi="Calibri" w:eastAsia="宋体" w:cs="Times New Roman"/>
                <w:sz w:val="21"/>
                <w:szCs w:val="21"/>
                <w:highlight w:val="none"/>
              </w:rPr>
            </w:pPr>
            <w:r>
              <w:rPr>
                <w:rFonts w:ascii="Calibri" w:hAnsi="Calibri" w:eastAsia="宋体" w:cs="Times New Roman"/>
                <w:sz w:val="21"/>
                <w:szCs w:val="21"/>
                <w:highlight w:val="none"/>
              </w:rPr>
              <w:t>课外答疑</w:t>
            </w:r>
          </w:p>
        </w:tc>
        <w:tc>
          <w:tcPr>
            <w:tcW w:w="6436" w:type="dxa"/>
            <w:tcBorders>
              <w:right w:val="single" w:color="auto" w:sz="8" w:space="0"/>
            </w:tcBorders>
            <w:vAlign w:val="center"/>
          </w:tcPr>
          <w:p w14:paraId="2D440BFE">
            <w:pPr>
              <w:keepNext w:val="0"/>
              <w:keepLines w:val="0"/>
              <w:pageBreakBefore w:val="0"/>
              <w:widowControl w:val="0"/>
              <w:kinsoku/>
              <w:wordWrap/>
              <w:overflowPunct/>
              <w:topLinePunct w:val="0"/>
              <w:bidi w:val="0"/>
              <w:spacing w:line="240" w:lineRule="auto"/>
              <w:ind w:firstLine="210" w:firstLineChars="100"/>
              <w:textAlignment w:val="auto"/>
              <w:rPr>
                <w:rFonts w:ascii="Calibri" w:hAnsi="Calibri" w:eastAsia="宋体" w:cs="Times New Roman"/>
                <w:sz w:val="21"/>
                <w:szCs w:val="21"/>
                <w:highlight w:val="none"/>
              </w:rPr>
            </w:pPr>
            <w:r>
              <w:rPr>
                <w:rFonts w:hint="eastAsia" w:ascii="Calibri" w:hAnsi="Calibri" w:eastAsia="宋体" w:cs="Times New Roman"/>
                <w:sz w:val="21"/>
                <w:szCs w:val="21"/>
                <w:highlight w:val="none"/>
              </w:rPr>
              <w:t>为了解学生的学习情况，帮助学生更好地理解和消化所学知识、改进学习方法和思维方式，培养其独立思考问题的能力，任课教师需每周安排一定时间进行课外答疑与辅导。</w:t>
            </w:r>
          </w:p>
        </w:tc>
      </w:tr>
      <w:tr w14:paraId="68F4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29" w:type="dxa"/>
            <w:tcBorders>
              <w:left w:val="single" w:color="auto" w:sz="8" w:space="0"/>
            </w:tcBorders>
            <w:vAlign w:val="center"/>
          </w:tcPr>
          <w:p w14:paraId="3160A385">
            <w:pPr>
              <w:keepNext w:val="0"/>
              <w:keepLines w:val="0"/>
              <w:pageBreakBefore w:val="0"/>
              <w:widowControl w:val="0"/>
              <w:kinsoku/>
              <w:wordWrap/>
              <w:overflowPunct/>
              <w:topLinePunct w:val="0"/>
              <w:bidi w:val="0"/>
              <w:spacing w:line="240" w:lineRule="auto"/>
              <w:jc w:val="center"/>
              <w:textAlignment w:val="auto"/>
              <w:rPr>
                <w:rFonts w:ascii="Calibri" w:hAnsi="Calibri" w:eastAsia="宋体" w:cs="Times New Roman"/>
                <w:sz w:val="21"/>
                <w:szCs w:val="21"/>
              </w:rPr>
            </w:pPr>
            <w:r>
              <w:rPr>
                <w:rFonts w:hint="eastAsia" w:ascii="Calibri" w:hAnsi="Calibri" w:eastAsia="宋体" w:cs="Times New Roman"/>
                <w:sz w:val="21"/>
                <w:szCs w:val="21"/>
              </w:rPr>
              <w:t>5</w:t>
            </w:r>
          </w:p>
        </w:tc>
        <w:tc>
          <w:tcPr>
            <w:tcW w:w="1210" w:type="dxa"/>
            <w:tcMar>
              <w:left w:w="28" w:type="dxa"/>
              <w:right w:w="28" w:type="dxa"/>
            </w:tcMar>
            <w:vAlign w:val="center"/>
          </w:tcPr>
          <w:p w14:paraId="4ECFAD6F">
            <w:pPr>
              <w:keepNext w:val="0"/>
              <w:keepLines w:val="0"/>
              <w:pageBreakBefore w:val="0"/>
              <w:widowControl w:val="0"/>
              <w:kinsoku/>
              <w:wordWrap/>
              <w:overflowPunct/>
              <w:topLinePunct w:val="0"/>
              <w:bidi w:val="0"/>
              <w:spacing w:line="240" w:lineRule="auto"/>
              <w:jc w:val="center"/>
              <w:textAlignment w:val="auto"/>
              <w:rPr>
                <w:rFonts w:ascii="Calibri" w:hAnsi="Calibri" w:eastAsia="宋体" w:cs="Times New Roman"/>
                <w:sz w:val="21"/>
                <w:szCs w:val="21"/>
              </w:rPr>
            </w:pPr>
            <w:r>
              <w:rPr>
                <w:rFonts w:ascii="Calibri" w:hAnsi="Calibri" w:eastAsia="宋体" w:cs="Times New Roman"/>
                <w:sz w:val="21"/>
                <w:szCs w:val="21"/>
              </w:rPr>
              <w:t>成绩考核</w:t>
            </w:r>
          </w:p>
        </w:tc>
        <w:tc>
          <w:tcPr>
            <w:tcW w:w="6436" w:type="dxa"/>
            <w:tcBorders>
              <w:right w:val="single" w:color="auto" w:sz="8" w:space="0"/>
            </w:tcBorders>
            <w:vAlign w:val="center"/>
          </w:tcPr>
          <w:p w14:paraId="5CBDA33D">
            <w:pPr>
              <w:keepNext w:val="0"/>
              <w:keepLines w:val="0"/>
              <w:pageBreakBefore w:val="0"/>
              <w:widowControl w:val="0"/>
              <w:kinsoku/>
              <w:wordWrap/>
              <w:overflowPunct/>
              <w:topLinePunct w:val="0"/>
              <w:bidi w:val="0"/>
              <w:spacing w:line="240" w:lineRule="auto"/>
              <w:ind w:firstLine="210" w:firstLineChars="100"/>
              <w:textAlignment w:val="auto"/>
              <w:rPr>
                <w:rFonts w:ascii="Calibri" w:hAnsi="Calibri" w:eastAsia="宋体" w:cs="Times New Roman"/>
                <w:sz w:val="21"/>
                <w:szCs w:val="21"/>
              </w:rPr>
            </w:pPr>
            <w:r>
              <w:rPr>
                <w:rFonts w:hint="eastAsia" w:ascii="Calibri" w:hAnsi="Calibri" w:eastAsia="宋体" w:cs="Times New Roman"/>
                <w:sz w:val="21"/>
                <w:szCs w:val="21"/>
              </w:rPr>
              <w:t>根据平时成绩和考试成绩确定</w:t>
            </w:r>
          </w:p>
        </w:tc>
      </w:tr>
    </w:tbl>
    <w:p w14:paraId="46958961">
      <w:pPr>
        <w:spacing w:before="62" w:beforeLines="20" w:after="62" w:afterLines="20" w:line="360" w:lineRule="auto"/>
        <w:jc w:val="left"/>
        <w:rPr>
          <w:rFonts w:hint="eastAsia" w:ascii="Times New Roman" w:hAnsi="Times New Roman" w:eastAsia="宋体" w:cs="Times New Roman"/>
          <w:b/>
          <w:sz w:val="24"/>
        </w:rPr>
      </w:pPr>
      <w:r>
        <w:rPr>
          <w:rFonts w:hint="eastAsia" w:ascii="Times New Roman" w:hAnsi="Times New Roman" w:eastAsia="宋体" w:cs="Times New Roman"/>
          <w:b/>
          <w:sz w:val="24"/>
          <w:lang w:eastAsia="zh-CN"/>
        </w:rPr>
        <w:t>五</w:t>
      </w:r>
      <w:r>
        <w:rPr>
          <w:rFonts w:hint="eastAsia" w:ascii="Times New Roman" w:hAnsi="Times New Roman" w:eastAsia="宋体" w:cs="Times New Roman"/>
          <w:b/>
          <w:sz w:val="24"/>
        </w:rPr>
        <w:t>、课程考核</w:t>
      </w:r>
    </w:p>
    <w:p w14:paraId="7DE2E2C4">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hint="eastAsia" w:ascii="Calibri" w:hAnsi="Calibri" w:eastAsia="宋体" w:cs="Times New Roman"/>
          <w:sz w:val="21"/>
          <w:szCs w:val="21"/>
        </w:rPr>
        <w:t>（一）</w:t>
      </w:r>
      <w:r>
        <w:rPr>
          <w:rFonts w:ascii="Calibri" w:hAnsi="Calibri" w:eastAsia="宋体" w:cs="Times New Roman"/>
          <w:sz w:val="21"/>
          <w:szCs w:val="21"/>
        </w:rPr>
        <w:t>课程考核包括期末考试、平时考核</w:t>
      </w:r>
      <w:r>
        <w:rPr>
          <w:rFonts w:hint="eastAsia" w:ascii="Calibri" w:hAnsi="Calibri" w:eastAsia="宋体" w:cs="Times New Roman"/>
          <w:sz w:val="21"/>
          <w:szCs w:val="21"/>
        </w:rPr>
        <w:t>等</w:t>
      </w:r>
      <w:r>
        <w:rPr>
          <w:rFonts w:ascii="Calibri" w:hAnsi="Calibri" w:eastAsia="宋体" w:cs="Times New Roman"/>
          <w:sz w:val="21"/>
          <w:szCs w:val="21"/>
        </w:rPr>
        <w:t>，期</w:t>
      </w:r>
      <w:r>
        <w:rPr>
          <w:rFonts w:hint="eastAsia" w:ascii="Calibri" w:hAnsi="Calibri" w:eastAsia="宋体" w:cs="Times New Roman"/>
          <w:sz w:val="21"/>
          <w:szCs w:val="21"/>
        </w:rPr>
        <w:t>末</w:t>
      </w:r>
      <w:r>
        <w:rPr>
          <w:rFonts w:ascii="Calibri" w:hAnsi="Calibri" w:eastAsia="宋体" w:cs="Times New Roman"/>
          <w:sz w:val="21"/>
          <w:szCs w:val="21"/>
        </w:rPr>
        <w:t>考试采用</w:t>
      </w:r>
      <w:r>
        <w:rPr>
          <w:rFonts w:hint="eastAsia" w:ascii="Calibri" w:hAnsi="Calibri" w:eastAsia="宋体" w:cs="Times New Roman"/>
          <w:sz w:val="21"/>
          <w:szCs w:val="21"/>
        </w:rPr>
        <w:t>开卷方式</w:t>
      </w:r>
      <w:r>
        <w:rPr>
          <w:rFonts w:ascii="Calibri" w:hAnsi="Calibri" w:eastAsia="宋体" w:cs="Times New Roman"/>
          <w:sz w:val="21"/>
          <w:szCs w:val="21"/>
        </w:rPr>
        <w:t>。</w:t>
      </w:r>
    </w:p>
    <w:p w14:paraId="2AB7D33D">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hint="eastAsia" w:ascii="Calibri" w:hAnsi="Calibri" w:eastAsia="宋体" w:cs="Times New Roman"/>
          <w:sz w:val="21"/>
          <w:szCs w:val="21"/>
        </w:rPr>
        <w:t>（二）</w:t>
      </w:r>
      <w:r>
        <w:rPr>
          <w:rFonts w:ascii="Calibri" w:hAnsi="Calibri" w:eastAsia="宋体" w:cs="Times New Roman"/>
          <w:sz w:val="21"/>
          <w:szCs w:val="21"/>
        </w:rPr>
        <w:t>课程</w:t>
      </w:r>
      <w:r>
        <w:rPr>
          <w:rFonts w:hint="eastAsia" w:ascii="Calibri" w:hAnsi="Calibri" w:eastAsia="宋体" w:cs="Times New Roman"/>
          <w:sz w:val="21"/>
          <w:szCs w:val="21"/>
        </w:rPr>
        <w:t>总评</w:t>
      </w:r>
      <w:r>
        <w:rPr>
          <w:rFonts w:ascii="Calibri" w:hAnsi="Calibri" w:eastAsia="宋体" w:cs="Times New Roman"/>
          <w:sz w:val="21"/>
          <w:szCs w:val="21"/>
        </w:rPr>
        <w:t>成绩=平时成绩×</w:t>
      </w:r>
      <w:r>
        <w:rPr>
          <w:rFonts w:hint="eastAsia" w:ascii="Calibri" w:hAnsi="Calibri" w:eastAsia="宋体" w:cs="Times New Roman"/>
          <w:sz w:val="21"/>
          <w:szCs w:val="21"/>
        </w:rPr>
        <w:t xml:space="preserve"> </w:t>
      </w:r>
      <w:r>
        <w:rPr>
          <w:rFonts w:hint="eastAsia" w:ascii="Calibri" w:hAnsi="Calibri" w:eastAsia="宋体" w:cs="Times New Roman"/>
          <w:sz w:val="21"/>
          <w:szCs w:val="21"/>
          <w:lang w:val="en-US" w:eastAsia="zh-CN"/>
        </w:rPr>
        <w:t>40</w:t>
      </w:r>
      <w:r>
        <w:rPr>
          <w:rFonts w:hint="eastAsia" w:ascii="Calibri" w:hAnsi="Calibri" w:eastAsia="宋体" w:cs="Times New Roman"/>
          <w:sz w:val="21"/>
          <w:szCs w:val="21"/>
        </w:rPr>
        <w:t xml:space="preserve"> </w:t>
      </w:r>
      <w:r>
        <w:rPr>
          <w:rFonts w:ascii="Calibri" w:hAnsi="Calibri" w:eastAsia="宋体" w:cs="Times New Roman"/>
          <w:sz w:val="21"/>
          <w:szCs w:val="21"/>
        </w:rPr>
        <w:t xml:space="preserve">% +期末考试成绩× </w:t>
      </w:r>
      <w:r>
        <w:rPr>
          <w:rFonts w:hint="eastAsia" w:ascii="Calibri" w:hAnsi="Calibri" w:eastAsia="宋体" w:cs="Times New Roman"/>
          <w:sz w:val="21"/>
          <w:szCs w:val="21"/>
          <w:lang w:val="en-US" w:eastAsia="zh-CN"/>
        </w:rPr>
        <w:t>60</w:t>
      </w:r>
      <w:r>
        <w:rPr>
          <w:rFonts w:ascii="Calibri" w:hAnsi="Calibri" w:eastAsia="宋体" w:cs="Times New Roman"/>
          <w:sz w:val="21"/>
          <w:szCs w:val="21"/>
        </w:rPr>
        <w:t>%。</w:t>
      </w:r>
    </w:p>
    <w:p w14:paraId="60A6599B">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rPr>
      </w:pPr>
      <w:r>
        <w:rPr>
          <w:rFonts w:ascii="Calibri" w:hAnsi="Calibri" w:eastAsia="宋体" w:cs="Times New Roman"/>
          <w:sz w:val="21"/>
          <w:szCs w:val="21"/>
        </w:rPr>
        <w:t>具体内容和比例</w:t>
      </w:r>
      <w:r>
        <w:rPr>
          <w:rFonts w:hint="eastAsia" w:ascii="Calibri" w:hAnsi="Calibri" w:eastAsia="宋体" w:cs="Times New Roman"/>
          <w:sz w:val="21"/>
          <w:szCs w:val="21"/>
        </w:rPr>
        <w:t>如表所示。</w:t>
      </w:r>
    </w:p>
    <w:tbl>
      <w:tblPr>
        <w:tblStyle w:val="15"/>
        <w:tblW w:w="8079" w:type="dxa"/>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1753"/>
        <w:gridCol w:w="1116"/>
        <w:gridCol w:w="3722"/>
      </w:tblGrid>
      <w:tr w14:paraId="2C74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shd w:val="clear" w:color="auto" w:fill="FFFFFF"/>
            <w:tcMar>
              <w:left w:w="57" w:type="dxa"/>
              <w:right w:w="57" w:type="dxa"/>
            </w:tcMar>
            <w:vAlign w:val="center"/>
          </w:tcPr>
          <w:p w14:paraId="5C5B4684">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kern w:val="2"/>
                <w:sz w:val="21"/>
                <w:szCs w:val="21"/>
                <w:lang w:val="en-US" w:eastAsia="zh-CN" w:bidi="ar-SA"/>
              </w:rPr>
            </w:pPr>
            <w:r>
              <w:rPr>
                <w:rFonts w:ascii="Calibri" w:hAnsi="Calibri" w:eastAsia="宋体" w:cs="Times New Roman"/>
                <w:kern w:val="2"/>
                <w:sz w:val="21"/>
                <w:szCs w:val="21"/>
                <w:lang w:val="en-US" w:eastAsia="zh-CN" w:bidi="ar-SA"/>
              </w:rPr>
              <w:t>成绩组成</w:t>
            </w:r>
          </w:p>
        </w:tc>
        <w:tc>
          <w:tcPr>
            <w:tcW w:w="1753" w:type="dxa"/>
            <w:shd w:val="clear" w:color="auto" w:fill="FFFFFF"/>
            <w:vAlign w:val="center"/>
          </w:tcPr>
          <w:p w14:paraId="00F7AA29">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kern w:val="2"/>
                <w:sz w:val="21"/>
                <w:szCs w:val="21"/>
                <w:lang w:val="en-US" w:eastAsia="zh-CN" w:bidi="ar-SA"/>
              </w:rPr>
            </w:pPr>
            <w:r>
              <w:rPr>
                <w:rFonts w:ascii="Calibri" w:hAnsi="Calibri" w:eastAsia="宋体" w:cs="Times New Roman"/>
                <w:kern w:val="2"/>
                <w:sz w:val="21"/>
                <w:szCs w:val="21"/>
                <w:lang w:val="en-US" w:eastAsia="zh-CN" w:bidi="ar-SA"/>
              </w:rPr>
              <w:t>考核/评价环节</w:t>
            </w:r>
          </w:p>
        </w:tc>
        <w:tc>
          <w:tcPr>
            <w:tcW w:w="1116" w:type="dxa"/>
            <w:shd w:val="clear" w:color="auto" w:fill="FFFFFF"/>
            <w:vAlign w:val="center"/>
          </w:tcPr>
          <w:p w14:paraId="3255662A">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权重</w:t>
            </w:r>
          </w:p>
        </w:tc>
        <w:tc>
          <w:tcPr>
            <w:tcW w:w="3722" w:type="dxa"/>
            <w:shd w:val="clear" w:color="auto" w:fill="FFFFFF"/>
            <w:vAlign w:val="center"/>
          </w:tcPr>
          <w:p w14:paraId="638DD5AA">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kern w:val="2"/>
                <w:sz w:val="21"/>
                <w:szCs w:val="21"/>
                <w:lang w:val="en-US" w:eastAsia="zh-CN" w:bidi="ar-SA"/>
              </w:rPr>
            </w:pPr>
            <w:r>
              <w:rPr>
                <w:rFonts w:ascii="Calibri" w:hAnsi="Calibri" w:eastAsia="宋体" w:cs="Times New Roman"/>
                <w:kern w:val="2"/>
                <w:sz w:val="21"/>
                <w:szCs w:val="21"/>
                <w:lang w:val="en-US" w:eastAsia="zh-CN" w:bidi="ar-SA"/>
              </w:rPr>
              <w:t>考核/评价细则</w:t>
            </w:r>
          </w:p>
        </w:tc>
      </w:tr>
      <w:tr w14:paraId="0207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488" w:type="dxa"/>
            <w:tcMar>
              <w:left w:w="57" w:type="dxa"/>
              <w:right w:w="57" w:type="dxa"/>
            </w:tcMar>
            <w:vAlign w:val="center"/>
          </w:tcPr>
          <w:p w14:paraId="46D9754C">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kern w:val="2"/>
                <w:sz w:val="21"/>
                <w:szCs w:val="21"/>
                <w:lang w:val="en-US" w:eastAsia="zh-CN" w:bidi="ar-SA"/>
              </w:rPr>
            </w:pPr>
            <w:r>
              <w:rPr>
                <w:rFonts w:ascii="Calibri" w:hAnsi="Calibri" w:eastAsia="宋体" w:cs="Times New Roman"/>
                <w:kern w:val="2"/>
                <w:sz w:val="21"/>
                <w:szCs w:val="21"/>
                <w:lang w:val="en-US" w:eastAsia="zh-CN" w:bidi="ar-SA"/>
              </w:rPr>
              <w:t>平时成绩</w:t>
            </w:r>
          </w:p>
        </w:tc>
        <w:tc>
          <w:tcPr>
            <w:tcW w:w="1753" w:type="dxa"/>
            <w:vAlign w:val="center"/>
          </w:tcPr>
          <w:p w14:paraId="0A89F257">
            <w:pPr>
              <w:keepNext w:val="0"/>
              <w:keepLines w:val="0"/>
              <w:pageBreakBefore w:val="0"/>
              <w:widowControl w:val="0"/>
              <w:kinsoku/>
              <w:wordWrap/>
              <w:overflowPunct/>
              <w:topLinePunct w:val="0"/>
              <w:bidi w:val="0"/>
              <w:spacing w:line="360" w:lineRule="auto"/>
              <w:jc w:val="both"/>
              <w:textAlignment w:val="auto"/>
              <w:rPr>
                <w:rFonts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出勤、听讲情况</w:t>
            </w:r>
          </w:p>
        </w:tc>
        <w:tc>
          <w:tcPr>
            <w:tcW w:w="1116" w:type="dxa"/>
            <w:vAlign w:val="center"/>
          </w:tcPr>
          <w:p w14:paraId="6DA7EA11">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 xml:space="preserve">40 </w:t>
            </w:r>
            <w:r>
              <w:rPr>
                <w:rFonts w:ascii="Calibri" w:hAnsi="Calibri" w:eastAsia="宋体" w:cs="Times New Roman"/>
                <w:kern w:val="2"/>
                <w:sz w:val="21"/>
                <w:szCs w:val="21"/>
                <w:lang w:val="en-US" w:eastAsia="zh-CN" w:bidi="ar-SA"/>
              </w:rPr>
              <w:t>%</w:t>
            </w:r>
          </w:p>
        </w:tc>
        <w:tc>
          <w:tcPr>
            <w:tcW w:w="3722" w:type="dxa"/>
            <w:vAlign w:val="center"/>
          </w:tcPr>
          <w:p w14:paraId="2CBF7D68">
            <w:pPr>
              <w:keepNext w:val="0"/>
              <w:keepLines w:val="0"/>
              <w:pageBreakBefore w:val="0"/>
              <w:widowControl w:val="0"/>
              <w:kinsoku/>
              <w:wordWrap/>
              <w:overflowPunct/>
              <w:topLinePunct w:val="0"/>
              <w:bidi w:val="0"/>
              <w:spacing w:line="360" w:lineRule="auto"/>
              <w:jc w:val="both"/>
              <w:textAlignment w:val="auto"/>
              <w:rPr>
                <w:rFonts w:ascii="Calibri" w:hAnsi="Calibri" w:eastAsia="宋体" w:cs="Times New Roman"/>
                <w:kern w:val="2"/>
                <w:sz w:val="21"/>
                <w:szCs w:val="21"/>
                <w:lang w:val="en-US" w:eastAsia="zh-CN" w:bidi="ar-SA"/>
              </w:rPr>
            </w:pPr>
            <w:r>
              <w:rPr>
                <w:rFonts w:hint="eastAsia" w:ascii="Calibri" w:hAnsi="Calibri" w:eastAsia="宋体" w:cs="Times New Roman"/>
                <w:color w:val="000000"/>
                <w:kern w:val="2"/>
                <w:sz w:val="21"/>
                <w:szCs w:val="21"/>
                <w:lang w:val="en-US" w:eastAsia="zh-CN" w:bidi="ar-SA"/>
              </w:rPr>
              <w:t>检查出勤情况，观察听讲情况</w:t>
            </w:r>
          </w:p>
        </w:tc>
      </w:tr>
      <w:tr w14:paraId="580F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488" w:type="dxa"/>
            <w:tcMar>
              <w:left w:w="57" w:type="dxa"/>
              <w:right w:w="57" w:type="dxa"/>
            </w:tcMar>
            <w:vAlign w:val="center"/>
          </w:tcPr>
          <w:p w14:paraId="22C450C1">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color w:val="FF0000"/>
                <w:kern w:val="2"/>
                <w:sz w:val="21"/>
                <w:szCs w:val="21"/>
                <w:lang w:val="en-US" w:eastAsia="zh-CN" w:bidi="ar-SA"/>
              </w:rPr>
            </w:pPr>
            <w:r>
              <w:rPr>
                <w:rFonts w:ascii="Calibri" w:hAnsi="Calibri" w:eastAsia="宋体" w:cs="Times New Roman"/>
                <w:kern w:val="2"/>
                <w:sz w:val="21"/>
                <w:szCs w:val="21"/>
                <w:lang w:val="en-US" w:eastAsia="zh-CN" w:bidi="ar-SA"/>
              </w:rPr>
              <w:t>期末考试</w:t>
            </w:r>
            <w:r>
              <w:rPr>
                <w:rFonts w:hint="eastAsia" w:ascii="Calibri" w:hAnsi="Calibri" w:eastAsia="宋体" w:cs="Times New Roman"/>
                <w:kern w:val="2"/>
                <w:sz w:val="21"/>
                <w:szCs w:val="21"/>
                <w:lang w:val="en-US" w:eastAsia="zh-CN" w:bidi="ar-SA"/>
              </w:rPr>
              <w:t>成绩</w:t>
            </w:r>
          </w:p>
        </w:tc>
        <w:tc>
          <w:tcPr>
            <w:tcW w:w="1753" w:type="dxa"/>
            <w:vAlign w:val="center"/>
          </w:tcPr>
          <w:p w14:paraId="061B3992">
            <w:pPr>
              <w:keepNext w:val="0"/>
              <w:keepLines w:val="0"/>
              <w:pageBreakBefore w:val="0"/>
              <w:widowControl w:val="0"/>
              <w:kinsoku/>
              <w:wordWrap/>
              <w:overflowPunct/>
              <w:topLinePunct w:val="0"/>
              <w:bidi w:val="0"/>
              <w:spacing w:line="360" w:lineRule="auto"/>
              <w:jc w:val="both"/>
              <w:textAlignment w:val="auto"/>
              <w:rPr>
                <w:rFonts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 xml:space="preserve"> 根据答题情况</w:t>
            </w:r>
          </w:p>
        </w:tc>
        <w:tc>
          <w:tcPr>
            <w:tcW w:w="1116" w:type="dxa"/>
            <w:vAlign w:val="center"/>
          </w:tcPr>
          <w:p w14:paraId="4AF29C72">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60</w:t>
            </w:r>
            <w:r>
              <w:rPr>
                <w:rFonts w:ascii="Calibri" w:hAnsi="Calibri" w:eastAsia="宋体" w:cs="Times New Roman"/>
                <w:kern w:val="2"/>
                <w:sz w:val="21"/>
                <w:szCs w:val="21"/>
                <w:lang w:val="en-US" w:eastAsia="zh-CN" w:bidi="ar-SA"/>
              </w:rPr>
              <w:t>%</w:t>
            </w:r>
          </w:p>
        </w:tc>
        <w:tc>
          <w:tcPr>
            <w:tcW w:w="3722" w:type="dxa"/>
            <w:vAlign w:val="center"/>
          </w:tcPr>
          <w:p w14:paraId="006C9747">
            <w:pPr>
              <w:keepNext w:val="0"/>
              <w:keepLines w:val="0"/>
              <w:pageBreakBefore w:val="0"/>
              <w:widowControl w:val="0"/>
              <w:kinsoku/>
              <w:wordWrap/>
              <w:overflowPunct/>
              <w:topLinePunct w:val="0"/>
              <w:bidi w:val="0"/>
              <w:spacing w:line="360" w:lineRule="auto"/>
              <w:jc w:val="both"/>
              <w:textAlignment w:val="auto"/>
              <w:rPr>
                <w:rFonts w:ascii="Calibri" w:hAnsi="Calibri" w:eastAsia="宋体" w:cs="Times New Roman"/>
                <w:color w:val="000000"/>
                <w:kern w:val="2"/>
                <w:sz w:val="21"/>
                <w:szCs w:val="21"/>
                <w:lang w:val="en-US" w:eastAsia="zh-CN" w:bidi="ar-SA"/>
              </w:rPr>
            </w:pPr>
            <w:r>
              <w:rPr>
                <w:rFonts w:hint="eastAsia" w:ascii="Calibri" w:hAnsi="Calibri" w:eastAsia="宋体" w:cs="Times New Roman"/>
                <w:color w:val="000000"/>
                <w:kern w:val="2"/>
                <w:sz w:val="21"/>
                <w:szCs w:val="21"/>
                <w:lang w:val="en-US" w:eastAsia="zh-CN" w:bidi="ar-SA"/>
              </w:rPr>
              <w:t>根据答题的正确度和完整度评分</w:t>
            </w:r>
          </w:p>
        </w:tc>
      </w:tr>
    </w:tbl>
    <w:p w14:paraId="799B595E">
      <w:pPr>
        <w:spacing w:before="62" w:beforeLines="20" w:after="62" w:afterLines="20" w:line="360" w:lineRule="auto"/>
        <w:jc w:val="left"/>
        <w:rPr>
          <w:rFonts w:hint="eastAsia" w:ascii="Times New Roman" w:hAnsi="Times New Roman" w:eastAsia="宋体" w:cs="Times New Roman"/>
          <w:b/>
          <w:sz w:val="24"/>
          <w:lang w:eastAsia="zh-CN"/>
        </w:rPr>
      </w:pPr>
      <w:r>
        <w:rPr>
          <w:rFonts w:hint="eastAsia" w:ascii="Times New Roman" w:hAnsi="Times New Roman" w:eastAsia="宋体" w:cs="Times New Roman"/>
          <w:b/>
          <w:sz w:val="24"/>
          <w:lang w:val="en-US" w:eastAsia="zh-CN"/>
        </w:rPr>
        <w:t>六</w:t>
      </w:r>
      <w:r>
        <w:rPr>
          <w:rFonts w:hint="eastAsia" w:ascii="Times New Roman" w:hAnsi="Times New Roman" w:eastAsia="宋体" w:cs="Times New Roman"/>
          <w:b/>
          <w:sz w:val="24"/>
          <w:lang w:eastAsia="zh-CN"/>
        </w:rPr>
        <w:t>、有关说明</w:t>
      </w:r>
    </w:p>
    <w:p w14:paraId="475F2D0B">
      <w:pPr>
        <w:keepNext w:val="0"/>
        <w:keepLines w:val="0"/>
        <w:pageBreakBefore w:val="0"/>
        <w:widowControl w:val="0"/>
        <w:kinsoku/>
        <w:wordWrap/>
        <w:overflowPunct/>
        <w:topLinePunct w:val="0"/>
        <w:autoSpaceDE w:val="0"/>
        <w:autoSpaceDN w:val="0"/>
        <w:bidi w:val="0"/>
        <w:adjustRightInd w:val="0"/>
        <w:spacing w:line="360" w:lineRule="auto"/>
        <w:ind w:firstLine="422" w:firstLineChars="200"/>
        <w:jc w:val="left"/>
        <w:textAlignment w:val="auto"/>
        <w:rPr>
          <w:rFonts w:hint="eastAsia" w:ascii="Calibri" w:hAnsi="Calibri" w:eastAsia="宋体" w:cs="Times New Roman"/>
          <w:b/>
          <w:bCs/>
          <w:kern w:val="0"/>
          <w:sz w:val="21"/>
          <w:szCs w:val="21"/>
          <w:lang w:eastAsia="zh-CN"/>
        </w:rPr>
      </w:pPr>
      <w:r>
        <w:rPr>
          <w:rFonts w:hint="eastAsia" w:ascii="Calibri" w:hAnsi="Calibri" w:eastAsia="宋体" w:cs="Times New Roman"/>
          <w:b/>
          <w:bCs/>
          <w:kern w:val="0"/>
          <w:sz w:val="21"/>
          <w:szCs w:val="21"/>
          <w:lang w:eastAsia="zh-CN"/>
        </w:rPr>
        <w:t>（一）持续改进</w:t>
      </w:r>
    </w:p>
    <w:p w14:paraId="7C3209FF">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1.随时更新教材和教案，丰富授课内容。</w:t>
      </w:r>
    </w:p>
    <w:p w14:paraId="2643818B">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2.创新教学方法与手段，提高教学质量。</w:t>
      </w:r>
    </w:p>
    <w:p w14:paraId="3E864095">
      <w:pPr>
        <w:keepNext w:val="0"/>
        <w:keepLines w:val="0"/>
        <w:pageBreakBefore w:val="0"/>
        <w:widowControl w:val="0"/>
        <w:kinsoku/>
        <w:wordWrap/>
        <w:overflowPunct/>
        <w:topLinePunct w:val="0"/>
        <w:autoSpaceDE w:val="0"/>
        <w:autoSpaceDN w:val="0"/>
        <w:bidi w:val="0"/>
        <w:adjustRightInd w:val="0"/>
        <w:spacing w:line="360" w:lineRule="auto"/>
        <w:ind w:firstLine="422" w:firstLineChars="200"/>
        <w:jc w:val="left"/>
        <w:textAlignment w:val="auto"/>
        <w:rPr>
          <w:rFonts w:hint="eastAsia" w:ascii="Calibri" w:hAnsi="Calibri" w:eastAsia="宋体" w:cs="Times New Roman"/>
          <w:b/>
          <w:bCs/>
          <w:kern w:val="0"/>
          <w:sz w:val="21"/>
          <w:szCs w:val="21"/>
          <w:lang w:val="en-US" w:eastAsia="zh-CN"/>
        </w:rPr>
      </w:pPr>
      <w:r>
        <w:rPr>
          <w:rFonts w:hint="eastAsia" w:ascii="Calibri" w:hAnsi="Calibri" w:eastAsia="宋体" w:cs="Times New Roman"/>
          <w:b/>
          <w:bCs/>
          <w:kern w:val="0"/>
          <w:sz w:val="21"/>
          <w:szCs w:val="21"/>
          <w:lang w:val="en-US" w:eastAsia="zh-CN"/>
        </w:rPr>
        <w:t>（二）参与书目及学习资料</w:t>
      </w:r>
    </w:p>
    <w:p w14:paraId="6C0E1ED1">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1.林高松.新时代中国特色兵役法律制度研究[M].北京：军事科学出版社,2024.</w:t>
      </w:r>
    </w:p>
    <w:p w14:paraId="50A03FF5">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2.[德]鲁登道夫.总体战[M].魏止戈译,武汉：华中科技大学出版社,2016.</w:t>
      </w:r>
    </w:p>
    <w:p w14:paraId="35F31054">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3.[美]马汉.海权论[M].宋毅译,武汉：华中科技大学出版社,2016.</w:t>
      </w:r>
    </w:p>
    <w:p w14:paraId="183AF256">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4.[德]克劳塞维茨.战争论[M].孙永彧译,北京：中国华侨出版社,2012.</w:t>
      </w:r>
    </w:p>
    <w:p w14:paraId="5AA3A06B">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5.廖永东.二战时期中国战场国际战略通道研究[M].北京：军事科学出版社,1912.</w:t>
      </w:r>
    </w:p>
    <w:p w14:paraId="5E0BCC7C">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6.金一南.苦难辉煌[M].北京：华艺出版社,2009.</w:t>
      </w:r>
    </w:p>
    <w:p w14:paraId="7FF70982">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7.中共中央党史研究室第一研究部编著.红军长征史[M].北京：中共党史出版社,2006.</w:t>
      </w:r>
    </w:p>
    <w:p w14:paraId="0DD735B0">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8.[美]斯塔夫里阿诺斯.全球通史：从史前史到21世纪[M].吴象婴等译,北京：国防大学出版社,2006.</w:t>
      </w:r>
    </w:p>
    <w:p w14:paraId="6B8BBD47">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9.[意]杜黑.制空权论[M].曹毅风、华人杰译,北京：解放军出版社,2005.</w:t>
      </w:r>
    </w:p>
    <w:p w14:paraId="2D23F5A3">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10.[美]迈克尔·奥汉隆.</w:t>
      </w:r>
      <w:r>
        <w:rPr>
          <w:rFonts w:hint="eastAsia" w:ascii="Calibri" w:hAnsi="Calibri" w:eastAsia="宋体" w:cs="Times New Roman"/>
          <w:kern w:val="0"/>
          <w:sz w:val="21"/>
          <w:szCs w:val="21"/>
          <w:lang w:val="en-US" w:eastAsia="zh-CN"/>
        </w:rPr>
        <w:fldChar w:fldCharType="begin"/>
      </w:r>
      <w:r>
        <w:rPr>
          <w:rFonts w:hint="eastAsia" w:ascii="Calibri" w:hAnsi="Calibri" w:eastAsia="宋体" w:cs="Times New Roman"/>
          <w:kern w:val="0"/>
          <w:sz w:val="21"/>
          <w:szCs w:val="21"/>
          <w:lang w:val="en-US" w:eastAsia="zh-CN"/>
        </w:rPr>
        <w:instrText xml:space="preserve"> HYPERLINK "https://book.kongfz.com/6713/7205781253" \t "_blank" \o "高科技与新军事革命" </w:instrText>
      </w:r>
      <w:r>
        <w:rPr>
          <w:rFonts w:hint="eastAsia" w:ascii="Calibri" w:hAnsi="Calibri" w:eastAsia="宋体" w:cs="Times New Roman"/>
          <w:kern w:val="0"/>
          <w:sz w:val="21"/>
          <w:szCs w:val="21"/>
          <w:lang w:val="en-US" w:eastAsia="zh-CN"/>
        </w:rPr>
        <w:fldChar w:fldCharType="separate"/>
      </w:r>
      <w:r>
        <w:rPr>
          <w:rFonts w:hint="eastAsia" w:ascii="Calibri" w:hAnsi="Calibri" w:eastAsia="宋体" w:cs="Times New Roman"/>
          <w:kern w:val="0"/>
          <w:sz w:val="21"/>
          <w:szCs w:val="21"/>
          <w:lang w:val="en-US" w:eastAsia="zh-CN"/>
        </w:rPr>
        <w:t>高科技与新军事革命</w:t>
      </w:r>
      <w:r>
        <w:rPr>
          <w:rFonts w:hint="eastAsia" w:ascii="Calibri" w:hAnsi="Calibri" w:eastAsia="宋体" w:cs="Times New Roman"/>
          <w:kern w:val="0"/>
          <w:sz w:val="21"/>
          <w:szCs w:val="21"/>
          <w:lang w:val="en-US" w:eastAsia="zh-CN"/>
        </w:rPr>
        <w:fldChar w:fldCharType="end"/>
      </w:r>
      <w:r>
        <w:rPr>
          <w:rFonts w:hint="eastAsia" w:ascii="Calibri" w:hAnsi="Calibri" w:eastAsia="宋体" w:cs="Times New Roman"/>
          <w:kern w:val="0"/>
          <w:sz w:val="21"/>
          <w:szCs w:val="21"/>
          <w:lang w:val="en-US" w:eastAsia="zh-CN"/>
        </w:rPr>
        <w:t>[M].王振西译，北京新华出版社,2001.</w:t>
      </w:r>
    </w:p>
    <w:p w14:paraId="282B7671">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11.吴九龙.孙子校释[M].北京：军事科学出版社,1991.</w:t>
      </w:r>
    </w:p>
    <w:p w14:paraId="10DD9582">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12.[法]福煦.作战原则[M].军事科学院外国军事研究部译,北京：军事科学出版社,1991.</w:t>
      </w:r>
    </w:p>
    <w:p w14:paraId="45352CEE">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13.[美]詹姆斯·邓尼根.现代战争指[M].军事科学院外国军事研究部译,北京：军事科学出版社,1986.</w:t>
      </w:r>
    </w:p>
    <w:p w14:paraId="4ECD38C1">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8"/>
          <w:szCs w:val="28"/>
          <w:lang w:val="en-US" w:eastAsia="zh-CN"/>
        </w:rPr>
      </w:pPr>
      <w:r>
        <w:rPr>
          <w:rFonts w:hint="eastAsia" w:ascii="Calibri" w:hAnsi="Calibri" w:eastAsia="宋体" w:cs="Times New Roman"/>
          <w:kern w:val="0"/>
          <w:sz w:val="21"/>
          <w:szCs w:val="21"/>
          <w:lang w:val="en-US" w:eastAsia="zh-CN"/>
        </w:rPr>
        <w:t>14.军事学院战史简编编写组.</w:t>
      </w:r>
      <w:r>
        <w:rPr>
          <w:rFonts w:hint="eastAsia" w:ascii="Calibri" w:hAnsi="Calibri" w:eastAsia="宋体" w:cs="Times New Roman"/>
          <w:kern w:val="0"/>
          <w:sz w:val="21"/>
          <w:szCs w:val="21"/>
          <w:lang w:val="en-US" w:eastAsia="zh-CN"/>
        </w:rPr>
        <w:fldChar w:fldCharType="begin"/>
      </w:r>
      <w:r>
        <w:rPr>
          <w:rFonts w:hint="eastAsia" w:ascii="Calibri" w:hAnsi="Calibri" w:eastAsia="宋体" w:cs="Times New Roman"/>
          <w:kern w:val="0"/>
          <w:sz w:val="21"/>
          <w:szCs w:val="21"/>
          <w:lang w:val="en-US" w:eastAsia="zh-CN"/>
        </w:rPr>
        <w:instrText xml:space="preserve"> HYPERLINK "https://book.kongfz.com/4736/7279941359" \t "_blank" \o "中国人民解放军战史简编" </w:instrText>
      </w:r>
      <w:r>
        <w:rPr>
          <w:rFonts w:hint="eastAsia" w:ascii="Calibri" w:hAnsi="Calibri" w:eastAsia="宋体" w:cs="Times New Roman"/>
          <w:kern w:val="0"/>
          <w:sz w:val="21"/>
          <w:szCs w:val="21"/>
          <w:lang w:val="en-US" w:eastAsia="zh-CN"/>
        </w:rPr>
        <w:fldChar w:fldCharType="separate"/>
      </w:r>
      <w:r>
        <w:rPr>
          <w:rFonts w:hint="eastAsia" w:ascii="Calibri" w:hAnsi="Calibri" w:eastAsia="宋体" w:cs="Times New Roman"/>
          <w:kern w:val="0"/>
          <w:sz w:val="21"/>
          <w:szCs w:val="21"/>
          <w:lang w:val="en-US" w:eastAsia="zh-CN"/>
        </w:rPr>
        <w:t>中国人民解放军战史简编</w:t>
      </w:r>
      <w:r>
        <w:rPr>
          <w:rFonts w:hint="eastAsia" w:ascii="Calibri" w:hAnsi="Calibri" w:eastAsia="宋体" w:cs="Times New Roman"/>
          <w:kern w:val="0"/>
          <w:sz w:val="21"/>
          <w:szCs w:val="21"/>
          <w:lang w:val="en-US" w:eastAsia="zh-CN"/>
        </w:rPr>
        <w:fldChar w:fldCharType="end"/>
      </w:r>
      <w:r>
        <w:rPr>
          <w:rFonts w:hint="eastAsia" w:ascii="Calibri" w:hAnsi="Calibri" w:eastAsia="宋体" w:cs="Times New Roman"/>
          <w:kern w:val="0"/>
          <w:sz w:val="21"/>
          <w:szCs w:val="21"/>
          <w:lang w:val="en-US" w:eastAsia="zh-CN"/>
        </w:rPr>
        <w:t>[M].北京：解放军出版社,1983.</w:t>
      </w:r>
    </w:p>
    <w:p w14:paraId="3F35C341">
      <w:pPr>
        <w:keepNext w:val="0"/>
        <w:keepLines w:val="0"/>
        <w:pageBreakBefore w:val="0"/>
        <w:widowControl w:val="0"/>
        <w:kinsoku/>
        <w:wordWrap/>
        <w:overflowPunct/>
        <w:topLinePunct w:val="0"/>
        <w:autoSpaceDE w:val="0"/>
        <w:autoSpaceDN w:val="0"/>
        <w:bidi w:val="0"/>
        <w:adjustRightInd w:val="0"/>
        <w:spacing w:line="360" w:lineRule="auto"/>
        <w:ind w:firstLine="3360" w:firstLineChars="1200"/>
        <w:jc w:val="center"/>
        <w:textAlignment w:val="auto"/>
        <w:rPr>
          <w:rFonts w:hint="eastAsia" w:ascii="Calibri" w:hAnsi="Calibri" w:eastAsia="宋体" w:cs="Times New Roman"/>
          <w:kern w:val="0"/>
          <w:sz w:val="21"/>
          <w:szCs w:val="21"/>
          <w:lang w:eastAsia="zh-CN"/>
        </w:rPr>
      </w:pPr>
      <w:r>
        <w:rPr>
          <w:rFonts w:hint="eastAsia" w:ascii="Calibri" w:hAnsi="Calibri" w:eastAsia="宋体" w:cs="Times New Roman"/>
          <w:kern w:val="0"/>
          <w:sz w:val="28"/>
          <w:szCs w:val="28"/>
          <w:lang w:val="en-US" w:eastAsia="zh-CN"/>
        </w:rPr>
        <w:t xml:space="preserve">     </w:t>
      </w:r>
      <w:r>
        <w:rPr>
          <w:rFonts w:hint="eastAsia" w:ascii="Calibri" w:hAnsi="Calibri" w:eastAsia="宋体" w:cs="Times New Roman"/>
          <w:kern w:val="0"/>
          <w:sz w:val="21"/>
          <w:szCs w:val="21"/>
          <w:lang w:val="en-US" w:eastAsia="zh-CN"/>
        </w:rPr>
        <w:t xml:space="preserve"> </w:t>
      </w:r>
      <w:r>
        <w:rPr>
          <w:rFonts w:hint="eastAsia" w:ascii="Calibri" w:hAnsi="Calibri" w:eastAsia="宋体" w:cs="Times New Roman"/>
          <w:kern w:val="0"/>
          <w:sz w:val="21"/>
          <w:szCs w:val="21"/>
          <w:lang w:eastAsia="zh-CN"/>
        </w:rPr>
        <w:t>执笔人：陶辉俊</w:t>
      </w:r>
    </w:p>
    <w:p w14:paraId="48C163BE">
      <w:pPr>
        <w:keepNext w:val="0"/>
        <w:keepLines w:val="0"/>
        <w:pageBreakBefore w:val="0"/>
        <w:widowControl w:val="0"/>
        <w:kinsoku/>
        <w:wordWrap/>
        <w:overflowPunct/>
        <w:topLinePunct w:val="0"/>
        <w:autoSpaceDE w:val="0"/>
        <w:autoSpaceDN w:val="0"/>
        <w:bidi w:val="0"/>
        <w:adjustRightInd w:val="0"/>
        <w:spacing w:line="360" w:lineRule="auto"/>
        <w:jc w:val="center"/>
        <w:textAlignment w:val="auto"/>
        <w:rPr>
          <w:rFonts w:hint="eastAsia" w:ascii="Calibri" w:hAnsi="Calibri" w:eastAsia="宋体" w:cs="Times New Roman"/>
          <w:kern w:val="0"/>
          <w:sz w:val="21"/>
          <w:szCs w:val="21"/>
          <w:lang w:eastAsia="zh-CN"/>
        </w:rPr>
      </w:pPr>
      <w:r>
        <w:rPr>
          <w:rFonts w:hint="eastAsia" w:ascii="Calibri" w:hAnsi="Calibri" w:eastAsia="宋体" w:cs="Times New Roman"/>
          <w:kern w:val="0"/>
          <w:sz w:val="21"/>
          <w:szCs w:val="21"/>
          <w:lang w:val="en-US" w:eastAsia="zh-CN"/>
        </w:rPr>
        <w:t xml:space="preserve">                                       </w:t>
      </w:r>
      <w:r>
        <w:rPr>
          <w:rFonts w:ascii="Calibri" w:hAnsi="Calibri" w:eastAsia="宋体" w:cs="Times New Roman"/>
          <w:kern w:val="0"/>
          <w:sz w:val="21"/>
          <w:szCs w:val="21"/>
        </w:rPr>
        <w:t>审定人：</w:t>
      </w:r>
      <w:r>
        <w:rPr>
          <w:rFonts w:hint="eastAsia" w:ascii="Calibri" w:hAnsi="Calibri" w:eastAsia="宋体" w:cs="Times New Roman"/>
          <w:kern w:val="0"/>
          <w:sz w:val="21"/>
          <w:szCs w:val="21"/>
          <w:lang w:eastAsia="zh-CN"/>
        </w:rPr>
        <w:t>高</w:t>
      </w:r>
      <w:r>
        <w:rPr>
          <w:rFonts w:hint="eastAsia" w:ascii="Calibri" w:hAnsi="Calibri" w:eastAsia="宋体" w:cs="Times New Roman"/>
          <w:kern w:val="0"/>
          <w:sz w:val="21"/>
          <w:szCs w:val="21"/>
          <w:lang w:val="en-US" w:eastAsia="zh-CN"/>
        </w:rPr>
        <w:t xml:space="preserve">  </w:t>
      </w:r>
      <w:r>
        <w:rPr>
          <w:rFonts w:hint="eastAsia" w:ascii="Calibri" w:hAnsi="Calibri" w:eastAsia="宋体" w:cs="Times New Roman"/>
          <w:kern w:val="0"/>
          <w:sz w:val="21"/>
          <w:szCs w:val="21"/>
          <w:lang w:eastAsia="zh-CN"/>
        </w:rPr>
        <w:t>静</w:t>
      </w:r>
    </w:p>
    <w:p w14:paraId="6C2F1BD6">
      <w:pPr>
        <w:keepNext w:val="0"/>
        <w:keepLines w:val="0"/>
        <w:pageBreakBefore w:val="0"/>
        <w:widowControl w:val="0"/>
        <w:kinsoku/>
        <w:wordWrap/>
        <w:overflowPunct/>
        <w:topLinePunct w:val="0"/>
        <w:autoSpaceDE w:val="0"/>
        <w:autoSpaceDN w:val="0"/>
        <w:bidi w:val="0"/>
        <w:adjustRightInd w:val="0"/>
        <w:spacing w:line="360" w:lineRule="auto"/>
        <w:jc w:val="center"/>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 xml:space="preserve">                                       </w:t>
      </w:r>
      <w:r>
        <w:rPr>
          <w:rFonts w:hint="eastAsia" w:ascii="Calibri" w:hAnsi="Calibri" w:eastAsia="宋体" w:cs="Times New Roman"/>
          <w:kern w:val="0"/>
          <w:sz w:val="21"/>
          <w:szCs w:val="21"/>
        </w:rPr>
        <w:t>审批</w:t>
      </w:r>
      <w:r>
        <w:rPr>
          <w:rFonts w:ascii="Calibri" w:hAnsi="Calibri" w:eastAsia="宋体" w:cs="Times New Roman"/>
          <w:kern w:val="0"/>
          <w:sz w:val="21"/>
          <w:szCs w:val="21"/>
        </w:rPr>
        <w:t>人：</w:t>
      </w:r>
      <w:r>
        <w:rPr>
          <w:rFonts w:hint="eastAsia" w:ascii="Calibri" w:hAnsi="Calibri" w:eastAsia="宋体" w:cs="Times New Roman"/>
          <w:kern w:val="0"/>
          <w:sz w:val="21"/>
          <w:szCs w:val="21"/>
          <w:lang w:eastAsia="zh-CN"/>
        </w:rPr>
        <w:t>周嘉</w:t>
      </w:r>
      <w:r>
        <w:rPr>
          <w:rFonts w:hint="eastAsia" w:ascii="Calibri" w:hAnsi="Calibri" w:eastAsia="宋体" w:cs="Times New Roman"/>
          <w:kern w:val="0"/>
          <w:sz w:val="21"/>
          <w:szCs w:val="21"/>
          <w:lang w:val="en-US" w:eastAsia="zh-CN"/>
        </w:rPr>
        <w:t>禾</w:t>
      </w:r>
    </w:p>
    <w:p w14:paraId="60640398">
      <w:pPr>
        <w:keepNext w:val="0"/>
        <w:keepLines w:val="0"/>
        <w:pageBreakBefore w:val="0"/>
        <w:widowControl w:val="0"/>
        <w:kinsoku/>
        <w:wordWrap/>
        <w:overflowPunct/>
        <w:topLinePunct w:val="0"/>
        <w:autoSpaceDE w:val="0"/>
        <w:autoSpaceDN w:val="0"/>
        <w:bidi w:val="0"/>
        <w:adjustRightInd w:val="0"/>
        <w:spacing w:line="360" w:lineRule="auto"/>
        <w:jc w:val="center"/>
        <w:textAlignment w:val="auto"/>
        <w:rPr>
          <w:rFonts w:hint="default"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 xml:space="preserve">                                            审批时间：2025年8月</w:t>
      </w:r>
    </w:p>
    <w:p w14:paraId="3BD6D16A">
      <w:pPr>
        <w:spacing w:line="360" w:lineRule="auto"/>
        <w:rPr>
          <w:rFonts w:hint="eastAsia" w:ascii="宋体" w:hAnsi="宋体" w:eastAsia="宋体" w:cs="宋体"/>
          <w:color w:val="auto"/>
          <w:sz w:val="24"/>
        </w:rPr>
      </w:pPr>
    </w:p>
    <w:p w14:paraId="604C1B52">
      <w:pPr>
        <w:rPr>
          <w:color w:val="auto"/>
        </w:rPr>
      </w:pPr>
    </w:p>
    <w:p w14:paraId="62C10908">
      <w:pPr>
        <w:rPr>
          <w:color w:val="auto"/>
        </w:rPr>
      </w:pPr>
    </w:p>
    <w:p w14:paraId="2284557E">
      <w:pPr>
        <w:rPr>
          <w:color w:val="auto"/>
        </w:rPr>
      </w:pPr>
      <w:r>
        <w:rPr>
          <w:rFonts w:hint="eastAsia"/>
          <w:color w:val="auto"/>
        </w:rPr>
        <w:br w:type="page"/>
      </w:r>
    </w:p>
    <w:p w14:paraId="49D09798">
      <w:pPr>
        <w:pStyle w:val="3"/>
        <w:spacing w:line="360" w:lineRule="auto"/>
        <w:rPr>
          <w:rFonts w:ascii="Times New Roman" w:hAnsi="Times New Roman"/>
          <w:color w:val="auto"/>
          <w:sz w:val="44"/>
          <w:szCs w:val="44"/>
        </w:rPr>
      </w:pPr>
      <w:bookmarkStart w:id="126" w:name="_Toc2289"/>
      <w:r>
        <w:rPr>
          <w:rFonts w:hint="eastAsia"/>
          <w:color w:val="auto"/>
          <w:sz w:val="44"/>
          <w:szCs w:val="44"/>
        </w:rPr>
        <w:t>《大学生心理健康教育》课程教学大纲</w:t>
      </w:r>
      <w:bookmarkEnd w:id="126"/>
    </w:p>
    <w:p w14:paraId="62546D5F">
      <w:pPr>
        <w:spacing w:line="360" w:lineRule="auto"/>
        <w:jc w:val="center"/>
        <w:rPr>
          <w:rFonts w:ascii="Times New Roman" w:hAnsi="Times New Roman" w:eastAsia="宋体" w:cs="Times New Roman"/>
          <w:b/>
          <w:bCs/>
          <w:color w:val="auto"/>
          <w:sz w:val="28"/>
          <w:szCs w:val="28"/>
        </w:rPr>
      </w:pPr>
      <w:r>
        <w:rPr>
          <w:rFonts w:ascii="宋体" w:hAnsi="宋体" w:eastAsia="宋体" w:cs="Times New Roman"/>
          <w:b/>
          <w:bCs/>
          <w:color w:val="auto"/>
          <w:sz w:val="28"/>
          <w:szCs w:val="28"/>
        </w:rPr>
        <w:t>（</w:t>
      </w:r>
      <w:r>
        <w:rPr>
          <w:rFonts w:hint="eastAsia" w:ascii="Times New Roman" w:hAnsi="Times New Roman" w:eastAsia="宋体" w:cs="Times New Roman"/>
          <w:b/>
          <w:bCs/>
          <w:color w:val="auto"/>
          <w:sz w:val="28"/>
          <w:szCs w:val="28"/>
        </w:rPr>
        <w:t>（Mental Health Education for University Students）</w:t>
      </w:r>
      <w:r>
        <w:rPr>
          <w:rFonts w:ascii="宋体" w:hAnsi="宋体" w:eastAsia="宋体" w:cs="Times New Roman"/>
          <w:b/>
          <w:bCs/>
          <w:color w:val="auto"/>
          <w:sz w:val="28"/>
          <w:szCs w:val="28"/>
        </w:rPr>
        <w:t>）</w:t>
      </w:r>
    </w:p>
    <w:p w14:paraId="5BF4B678">
      <w:pPr>
        <w:spacing w:line="360" w:lineRule="auto"/>
        <w:jc w:val="left"/>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w:t>
      </w:r>
    </w:p>
    <w:p w14:paraId="7F2D118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课程名称：大学生心理健康教育</w:t>
      </w:r>
    </w:p>
    <w:p w14:paraId="4AC12B7E">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课程代码：0000012</w:t>
      </w:r>
    </w:p>
    <w:p w14:paraId="4AD4592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54AFDEA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5FFC2DC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先修课程：无</w:t>
      </w:r>
    </w:p>
    <w:p w14:paraId="0DEEBF2F">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适用专业：所有专业</w:t>
      </w:r>
    </w:p>
    <w:p w14:paraId="385D5FC7">
      <w:pPr>
        <w:spacing w:before="62" w:beforeLines="20" w:after="62" w:afterLines="20"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0B2F3B53">
      <w:pPr>
        <w:spacing w:line="360" w:lineRule="auto"/>
        <w:ind w:firstLine="420" w:firstLineChars="200"/>
        <w:jc w:val="left"/>
        <w:rPr>
          <w:rFonts w:ascii="Times New Roman" w:hAnsi="Times New Roman" w:eastAsia="宋体" w:cs="Times New Roman"/>
          <w:b/>
          <w:sz w:val="24"/>
        </w:rPr>
      </w:pPr>
      <w:r>
        <w:rPr>
          <w:rFonts w:hint="eastAsia" w:ascii="Times New Roman" w:hAnsi="Times New Roman" w:eastAsia="宋体" w:cs="Times New Roman"/>
          <w:szCs w:val="21"/>
        </w:rPr>
        <w:t>《大学生心理健康教育》是面向全校各专业一年级学生开设的一门通识必修课程。课程集知识传授、心理体验与行为训练为一体；旨在使学生明确心理健康的标准及意义，增强自我心理保健意识和心理危机预防意识，掌握并应用心理健康知识，培养自我认知能力、人际沟通能力、自我调节能力，切实提高心理素质，促进学生全面发展。</w:t>
      </w:r>
    </w:p>
    <w:p w14:paraId="4EB7D831">
      <w:pPr>
        <w:spacing w:before="62" w:beforeLines="20" w:after="62" w:afterLines="20" w:line="360" w:lineRule="auto"/>
        <w:ind w:firstLine="482" w:firstLineChars="200"/>
        <w:jc w:val="left"/>
        <w:rPr>
          <w:rFonts w:hint="eastAsia" w:ascii="Times New Roman" w:hAnsi="Times New Roman" w:eastAsia="宋体" w:cs="Times New Roman"/>
          <w:b/>
          <w:sz w:val="24"/>
        </w:rPr>
      </w:pPr>
      <w:r>
        <w:rPr>
          <w:rFonts w:hint="eastAsia" w:ascii="Times New Roman" w:hAnsi="Times New Roman" w:eastAsia="宋体" w:cs="Times New Roman"/>
          <w:b/>
          <w:sz w:val="24"/>
        </w:rPr>
        <w:t>二、课程目标</w:t>
      </w:r>
    </w:p>
    <w:p w14:paraId="4EB2A07D">
      <w:pPr>
        <w:widowControl/>
        <w:spacing w:line="360" w:lineRule="auto"/>
        <w:ind w:firstLine="420" w:firstLineChars="200"/>
        <w:jc w:val="left"/>
        <w:rPr>
          <w:rFonts w:hint="eastAsia" w:ascii="Times New Roman" w:hAnsi="宋体" w:eastAsia="宋体" w:cs="Times New Roman"/>
          <w:sz w:val="21"/>
          <w:szCs w:val="21"/>
        </w:rPr>
      </w:pPr>
      <w:r>
        <w:rPr>
          <w:rFonts w:hint="eastAsia" w:ascii="Times New Roman" w:hAnsi="Times New Roman" w:eastAsia="宋体" w:cs="Times New Roman"/>
          <w:kern w:val="0"/>
          <w:sz w:val="21"/>
          <w:szCs w:val="21"/>
        </w:rPr>
        <w:t>目标1：</w:t>
      </w:r>
      <w:r>
        <w:rPr>
          <w:rFonts w:hint="eastAsia" w:ascii="Times New Roman" w:hAnsi="宋体" w:eastAsia="宋体" w:cs="Times New Roman"/>
          <w:sz w:val="21"/>
          <w:szCs w:val="21"/>
        </w:rPr>
        <w:t>知识与认知目标。旨在使学生系统了解心理健康的基础知识，清晰认知心理健康的标准与重要性；能够准确识别大学阶段常见的适应、学习、情绪、人际及生涯发展等心理问题及其典型表现；科学理解生物、心理、社会与文化因素对心理健康的影响机制，从而破除对心理问题的误解与污名，建立起科学、理性的心理健康观。</w:t>
      </w:r>
    </w:p>
    <w:p w14:paraId="52C7431C">
      <w:pPr>
        <w:widowControl/>
        <w:spacing w:line="360" w:lineRule="auto"/>
        <w:ind w:firstLine="420" w:firstLineChars="200"/>
        <w:jc w:val="left"/>
        <w:rPr>
          <w:rFonts w:ascii="Times New Roman" w:hAnsi="宋体" w:eastAsia="宋体" w:cs="Times New Roman"/>
          <w:sz w:val="21"/>
          <w:szCs w:val="21"/>
        </w:rPr>
      </w:pPr>
      <w:r>
        <w:rPr>
          <w:rFonts w:hint="eastAsia" w:ascii="Times New Roman" w:hAnsi="Times New Roman" w:eastAsia="宋体" w:cs="Times New Roman"/>
          <w:kern w:val="0"/>
          <w:sz w:val="21"/>
          <w:szCs w:val="21"/>
        </w:rPr>
        <w:t>目标2：</w:t>
      </w:r>
      <w:r>
        <w:rPr>
          <w:rFonts w:hint="eastAsia" w:ascii="Times New Roman" w:hAnsi="宋体" w:eastAsia="宋体" w:cs="Times New Roman"/>
          <w:sz w:val="21"/>
          <w:szCs w:val="21"/>
        </w:rPr>
        <w:t>技能与方法目标。培养学生应对现实挑战的实践能力，使其能够掌握并运用压力管理、情绪调节、时间规划及有效沟通等核心心理调适技能；发展自我觉察与客观自我评价的能力，学会识别并调整不合理认知；提升在面临心理困扰时的自助与求助能力，知晓如何有效利用专业资源，并初步具备识别心理危机信号、支持他人的能力。</w:t>
      </w:r>
    </w:p>
    <w:p w14:paraId="7512338C">
      <w:pPr>
        <w:snapToGrid w:val="0"/>
        <w:spacing w:line="360" w:lineRule="auto"/>
        <w:ind w:firstLine="420" w:firstLineChars="20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课程思政育人目标：</w:t>
      </w:r>
    </w:p>
    <w:p w14:paraId="2504139C">
      <w:pPr>
        <w:snapToGrid w:val="0"/>
        <w:spacing w:line="360" w:lineRule="auto"/>
        <w:ind w:firstLine="420" w:firstLineChars="200"/>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1）价值引领与精神塑造。将价值引领贯穿心理健康教育全过程，引导学生树立积极向上、理性平和的人生态度，深刻理解个人成长与国家发展的统一性。着力培育学生自强不息、坚韧不拔的意志品质，使其能正确看待并勇于克服成长过程中的困难与挫折，将实现个人理想融入国家和民族的事业中，成为有理想、有担当的时代新人。</w:t>
      </w:r>
    </w:p>
    <w:p w14:paraId="1F1CB8B8">
      <w:pPr>
        <w:snapToGrid w:val="0"/>
        <w:spacing w:line="360" w:lineRule="auto"/>
        <w:ind w:firstLine="420" w:firstLineChars="200"/>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2）文化自信与社会责任。挖掘中华优秀传统文化中的心性修养智慧，增强学生的文化自信与民族认同感。积极培育学生的集体主义精神和社会责任感，懂得在集体中实现个人价值，养成团结协作、互助友爱的良好品格，自觉践行社会主义核心价值观，最终成长为德才兼备、全面发展的中国特色社会主义事业合格建设者和可靠接班人。</w:t>
      </w:r>
    </w:p>
    <w:p w14:paraId="77CEF95B">
      <w:pPr>
        <w:snapToGrid w:val="0"/>
        <w:spacing w:line="360" w:lineRule="auto"/>
        <w:ind w:firstLine="420" w:firstLineChars="20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课程目标与毕业要求观测点的对应关系如表1所示。</w:t>
      </w:r>
    </w:p>
    <w:p w14:paraId="48D50F1D">
      <w:pPr>
        <w:snapToGrid w:val="0"/>
        <w:spacing w:line="360" w:lineRule="auto"/>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表1  课程目标与毕业要求</w:t>
      </w:r>
      <w:r>
        <w:rPr>
          <w:rFonts w:hint="eastAsia" w:ascii="Times New Roman" w:hAnsi="Times New Roman" w:eastAsia="宋体" w:cs="Times New Roman"/>
          <w:kern w:val="0"/>
          <w:sz w:val="21"/>
          <w:szCs w:val="21"/>
        </w:rPr>
        <w:t>观测</w:t>
      </w:r>
      <w:r>
        <w:rPr>
          <w:rFonts w:ascii="Times New Roman" w:hAnsi="Times New Roman" w:eastAsia="宋体" w:cs="Times New Roman"/>
          <w:kern w:val="0"/>
          <w:sz w:val="21"/>
          <w:szCs w:val="21"/>
        </w:rPr>
        <w:t>点的对应关系</w:t>
      </w:r>
    </w:p>
    <w:tbl>
      <w:tblPr>
        <w:tblStyle w:val="15"/>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6203"/>
        <w:gridCol w:w="1374"/>
      </w:tblGrid>
      <w:tr w14:paraId="6D22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tcPr>
          <w:p w14:paraId="78AFB482">
            <w:pPr>
              <w:pStyle w:val="49"/>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毕业要求</w:t>
            </w:r>
          </w:p>
        </w:tc>
        <w:tc>
          <w:tcPr>
            <w:tcW w:w="6203" w:type="dxa"/>
          </w:tcPr>
          <w:p w14:paraId="244F789E">
            <w:pPr>
              <w:pStyle w:val="49"/>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bCs/>
                <w:sz w:val="21"/>
                <w:szCs w:val="21"/>
              </w:rPr>
              <w:t>毕业要求指标点</w:t>
            </w:r>
          </w:p>
        </w:tc>
        <w:tc>
          <w:tcPr>
            <w:tcW w:w="1374" w:type="dxa"/>
          </w:tcPr>
          <w:p w14:paraId="6B81DD16">
            <w:pPr>
              <w:pStyle w:val="49"/>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课程目标</w:t>
            </w:r>
          </w:p>
        </w:tc>
      </w:tr>
      <w:tr w14:paraId="3C09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Align w:val="center"/>
          </w:tcPr>
          <w:p w14:paraId="33615F1D">
            <w:pPr>
              <w:pStyle w:val="49"/>
              <w:adjustRightInd/>
              <w:spacing w:line="24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rPr>
              <w:t>毕业要求</w:t>
            </w:r>
            <w:r>
              <w:rPr>
                <w:rFonts w:hint="eastAsia" w:asciiTheme="minorEastAsia" w:hAnsiTheme="minorEastAsia" w:eastAsiaTheme="minorEastAsia" w:cstheme="minorEastAsia"/>
                <w:b w:val="0"/>
                <w:bCs w:val="0"/>
                <w:sz w:val="21"/>
                <w:szCs w:val="21"/>
                <w:lang w:val="en-US" w:eastAsia="zh-CN"/>
              </w:rPr>
              <w:t>2</w:t>
            </w:r>
          </w:p>
          <w:p w14:paraId="0132A2FC">
            <w:pPr>
              <w:pStyle w:val="49"/>
              <w:adjustRightInd/>
              <w:spacing w:line="24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0"/>
                <w:szCs w:val="20"/>
              </w:rPr>
              <w:t>教育情怀</w:t>
            </w:r>
          </w:p>
        </w:tc>
        <w:tc>
          <w:tcPr>
            <w:tcW w:w="6203" w:type="dxa"/>
            <w:vAlign w:val="center"/>
          </w:tcPr>
          <w:p w14:paraId="51CEED57">
            <w:pPr>
              <w:pStyle w:val="49"/>
              <w:adjustRightInd/>
              <w:spacing w:line="240" w:lineRule="auto"/>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0"/>
                <w:szCs w:val="20"/>
              </w:rPr>
              <w:t>指标点</w:t>
            </w:r>
            <w:r>
              <w:rPr>
                <w:rFonts w:hint="eastAsia" w:asciiTheme="minorEastAsia" w:hAnsiTheme="minorEastAsia" w:eastAsiaTheme="minorEastAsia" w:cstheme="minorEastAsia"/>
                <w:sz w:val="20"/>
                <w:szCs w:val="20"/>
              </w:rPr>
              <w:t>2-3：【自身修养良好】具有较好的人文艺术底蕴与科学精神，言行举止符合教师职业标准，情感积极，人格健全，身心健康。</w:t>
            </w:r>
          </w:p>
        </w:tc>
        <w:tc>
          <w:tcPr>
            <w:tcW w:w="1374" w:type="dxa"/>
            <w:vAlign w:val="center"/>
          </w:tcPr>
          <w:p w14:paraId="56228583">
            <w:pPr>
              <w:pStyle w:val="49"/>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课程目标1</w:t>
            </w:r>
          </w:p>
          <w:p w14:paraId="2C26D142">
            <w:pPr>
              <w:pStyle w:val="49"/>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课程目标2</w:t>
            </w:r>
          </w:p>
        </w:tc>
      </w:tr>
      <w:tr w14:paraId="6283C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shd w:val="clear" w:color="auto" w:fill="auto"/>
            <w:vAlign w:val="center"/>
          </w:tcPr>
          <w:p w14:paraId="7ED0ECD3">
            <w:pPr>
              <w:pStyle w:val="49"/>
              <w:adjustRightInd/>
              <w:spacing w:line="24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rPr>
              <w:t>毕业要求</w:t>
            </w:r>
            <w:r>
              <w:rPr>
                <w:rFonts w:hint="eastAsia" w:asciiTheme="minorEastAsia" w:hAnsiTheme="minorEastAsia" w:eastAsiaTheme="minorEastAsia" w:cstheme="minorEastAsia"/>
                <w:b w:val="0"/>
                <w:bCs w:val="0"/>
                <w:sz w:val="21"/>
                <w:szCs w:val="21"/>
                <w:lang w:val="en-US" w:eastAsia="zh-CN"/>
              </w:rPr>
              <w:t>5</w:t>
            </w:r>
          </w:p>
          <w:p w14:paraId="133E65D5">
            <w:pPr>
              <w:pStyle w:val="49"/>
              <w:adjustRightInd/>
              <w:spacing w:line="24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0"/>
                <w:szCs w:val="20"/>
              </w:rPr>
              <w:t>班级管理</w:t>
            </w:r>
          </w:p>
        </w:tc>
        <w:tc>
          <w:tcPr>
            <w:tcW w:w="6203" w:type="dxa"/>
            <w:shd w:val="clear" w:color="auto" w:fill="auto"/>
            <w:vAlign w:val="center"/>
          </w:tcPr>
          <w:p w14:paraId="5B8AD6ED">
            <w:pPr>
              <w:spacing w:line="240" w:lineRule="auto"/>
              <w:rPr>
                <w:rFonts w:hint="eastAsia" w:asciiTheme="minorEastAsia" w:hAnsiTheme="minorEastAsia" w:eastAsiaTheme="minorEastAsia" w:cstheme="minorEastAsia"/>
                <w:color w:val="000000"/>
                <w:kern w:val="0"/>
                <w:sz w:val="21"/>
                <w:szCs w:val="21"/>
                <w:lang w:val="en-US" w:eastAsia="zh-CN" w:bidi="ar-SA"/>
              </w:rPr>
            </w:pPr>
            <w:r>
              <w:rPr>
                <w:rFonts w:hint="eastAsia" w:asciiTheme="minorEastAsia" w:hAnsiTheme="minorEastAsia" w:eastAsiaTheme="minorEastAsia" w:cstheme="minorEastAsia"/>
                <w:kern w:val="0"/>
                <w:sz w:val="20"/>
                <w:szCs w:val="20"/>
              </w:rPr>
              <w:t>指标点</w:t>
            </w:r>
            <w:r>
              <w:rPr>
                <w:rFonts w:hint="eastAsia" w:asciiTheme="minorEastAsia" w:hAnsiTheme="minorEastAsia" w:eastAsiaTheme="minorEastAsia" w:cstheme="minorEastAsia"/>
                <w:sz w:val="20"/>
                <w:szCs w:val="20"/>
              </w:rPr>
              <w:t>5-2：【重视身心健康教育】了解小学生身体、情感发展的特性和差异性，包括小学生日常卫生保健、传染病预防、意外伤害事故处理等相关知识，掌握面临特殊事件发生时保护学生的基本方法。获得小学心理健康教育指导体验，在教育教学实践中，参与组织与指导对小学生心理健康教育的科普宣传及心理辅导，掌握小学心理健康教育的基本方法。</w:t>
            </w:r>
          </w:p>
        </w:tc>
        <w:tc>
          <w:tcPr>
            <w:tcW w:w="1374" w:type="dxa"/>
            <w:shd w:val="clear" w:color="auto" w:fill="auto"/>
            <w:vAlign w:val="center"/>
          </w:tcPr>
          <w:p w14:paraId="44FC7BB8">
            <w:pPr>
              <w:pStyle w:val="49"/>
              <w:spacing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课程目标</w:t>
            </w:r>
            <w:r>
              <w:rPr>
                <w:rFonts w:hint="eastAsia" w:asciiTheme="minorEastAsia" w:hAnsiTheme="minorEastAsia" w:eastAsiaTheme="minorEastAsia" w:cstheme="minorEastAsia"/>
                <w:sz w:val="21"/>
                <w:szCs w:val="21"/>
                <w:lang w:val="en-US" w:eastAsia="zh-CN"/>
              </w:rPr>
              <w:t>1</w:t>
            </w:r>
          </w:p>
          <w:p w14:paraId="15CB60D8">
            <w:pPr>
              <w:pStyle w:val="49"/>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课程目标</w:t>
            </w:r>
            <w:r>
              <w:rPr>
                <w:rFonts w:hint="eastAsia" w:asciiTheme="minorEastAsia" w:hAnsiTheme="minorEastAsia" w:eastAsiaTheme="minorEastAsia" w:cstheme="minorEastAsia"/>
                <w:sz w:val="21"/>
                <w:szCs w:val="21"/>
                <w:lang w:val="en-US" w:eastAsia="zh-CN"/>
              </w:rPr>
              <w:t>2</w:t>
            </w:r>
          </w:p>
        </w:tc>
      </w:tr>
      <w:tr w14:paraId="7B1A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Align w:val="center"/>
          </w:tcPr>
          <w:p w14:paraId="7F9A0511">
            <w:pPr>
              <w:pStyle w:val="49"/>
              <w:adjustRightInd/>
              <w:spacing w:line="24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rPr>
              <w:t>毕业要求</w:t>
            </w:r>
            <w:r>
              <w:rPr>
                <w:rFonts w:hint="eastAsia" w:asciiTheme="minorEastAsia" w:hAnsiTheme="minorEastAsia" w:eastAsiaTheme="minorEastAsia" w:cstheme="minorEastAsia"/>
                <w:b w:val="0"/>
                <w:bCs w:val="0"/>
                <w:sz w:val="21"/>
                <w:szCs w:val="21"/>
                <w:lang w:val="en-US" w:eastAsia="zh-CN"/>
              </w:rPr>
              <w:t>8</w:t>
            </w:r>
          </w:p>
          <w:p w14:paraId="51912110">
            <w:pPr>
              <w:pStyle w:val="49"/>
              <w:adjustRightInd/>
              <w:spacing w:line="24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0"/>
                <w:szCs w:val="20"/>
              </w:rPr>
              <w:t>沟通合作</w:t>
            </w:r>
          </w:p>
        </w:tc>
        <w:tc>
          <w:tcPr>
            <w:tcW w:w="6203" w:type="dxa"/>
            <w:vAlign w:val="center"/>
          </w:tcPr>
          <w:p w14:paraId="76A415D0">
            <w:pPr>
              <w:adjustRightInd w:val="0"/>
              <w:snapToGrid w:val="0"/>
              <w:spacing w:line="240" w:lineRule="auto"/>
              <w:rPr>
                <w:rFonts w:hint="eastAsia" w:asciiTheme="minorEastAsia" w:hAnsiTheme="minorEastAsia" w:eastAsiaTheme="minorEastAsia" w:cstheme="minorEastAsia"/>
                <w:color w:val="000000"/>
                <w:kern w:val="0"/>
                <w:sz w:val="21"/>
                <w:szCs w:val="21"/>
                <w:lang w:val="en-US" w:eastAsia="zh-CN" w:bidi="ar-SA"/>
              </w:rPr>
            </w:pPr>
            <w:r>
              <w:rPr>
                <w:rFonts w:hint="eastAsia" w:asciiTheme="minorEastAsia" w:hAnsiTheme="minorEastAsia" w:eastAsiaTheme="minorEastAsia" w:cstheme="minorEastAsia"/>
                <w:kern w:val="0"/>
                <w:sz w:val="20"/>
                <w:szCs w:val="20"/>
              </w:rPr>
              <w:t>指标点</w:t>
            </w:r>
            <w:r>
              <w:rPr>
                <w:rFonts w:hint="eastAsia" w:asciiTheme="minorEastAsia" w:hAnsiTheme="minorEastAsia" w:eastAsiaTheme="minorEastAsia" w:cstheme="minorEastAsia"/>
                <w:sz w:val="20"/>
                <w:szCs w:val="20"/>
              </w:rPr>
              <w:t>8-2：【学会沟通交流】掌握人际沟通合作技能与方法，在教育教学实践中，能与学生和家长以及同行、同事、专家进行有效沟通与合作，实现共同发展。</w:t>
            </w:r>
          </w:p>
        </w:tc>
        <w:tc>
          <w:tcPr>
            <w:tcW w:w="1374" w:type="dxa"/>
            <w:vAlign w:val="center"/>
          </w:tcPr>
          <w:p w14:paraId="51A7E8A8">
            <w:pPr>
              <w:pStyle w:val="49"/>
              <w:spacing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课程目标</w:t>
            </w:r>
            <w:r>
              <w:rPr>
                <w:rFonts w:hint="eastAsia" w:asciiTheme="minorEastAsia" w:hAnsiTheme="minorEastAsia" w:eastAsiaTheme="minorEastAsia" w:cstheme="minorEastAsia"/>
                <w:sz w:val="21"/>
                <w:szCs w:val="21"/>
                <w:lang w:val="en-US" w:eastAsia="zh-CN"/>
              </w:rPr>
              <w:t>1</w:t>
            </w:r>
          </w:p>
          <w:p w14:paraId="2FD3D876">
            <w:pPr>
              <w:pStyle w:val="49"/>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课程目标</w:t>
            </w:r>
            <w:r>
              <w:rPr>
                <w:rFonts w:hint="eastAsia" w:asciiTheme="minorEastAsia" w:hAnsiTheme="minorEastAsia" w:eastAsiaTheme="minorEastAsia" w:cstheme="minorEastAsia"/>
                <w:sz w:val="21"/>
                <w:szCs w:val="21"/>
                <w:lang w:val="en-US" w:eastAsia="zh-CN"/>
              </w:rPr>
              <w:t>2</w:t>
            </w:r>
          </w:p>
        </w:tc>
      </w:tr>
    </w:tbl>
    <w:p w14:paraId="10DB7A2B">
      <w:pPr>
        <w:snapToGrid w:val="0"/>
        <w:spacing w:line="360" w:lineRule="auto"/>
        <w:ind w:firstLine="420" w:firstLineChars="200"/>
        <w:rPr>
          <w:rFonts w:hint="eastAsia" w:ascii="Times New Roman" w:hAnsi="Times New Roman" w:eastAsia="宋体" w:cs="Times New Roman"/>
          <w:b/>
          <w:sz w:val="21"/>
          <w:szCs w:val="21"/>
        </w:rPr>
      </w:pPr>
      <w:r>
        <w:rPr>
          <w:rFonts w:hint="eastAsia" w:ascii="Times New Roman" w:hAnsi="Times New Roman" w:eastAsia="宋体" w:cs="Times New Roman"/>
          <w:kern w:val="0"/>
          <w:sz w:val="21"/>
          <w:szCs w:val="21"/>
        </w:rPr>
        <w:t>说明：专业版课程教学大纲依据具体的毕业要求观测点完善“课程目标与毕业要求观测点的对应关系”。</w:t>
      </w:r>
    </w:p>
    <w:p w14:paraId="02D9E260">
      <w:pPr>
        <w:snapToGrid w:val="0"/>
        <w:spacing w:before="156" w:beforeLines="50"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sz w:val="24"/>
          <w:szCs w:val="24"/>
        </w:rPr>
        <w:t>三</w:t>
      </w:r>
      <w:r>
        <w:rPr>
          <w:rFonts w:ascii="Times New Roman" w:hAnsi="Times New Roman" w:eastAsia="宋体" w:cs="Times New Roman"/>
          <w:b/>
          <w:sz w:val="24"/>
          <w:szCs w:val="24"/>
        </w:rPr>
        <w:t>、课程内容及要求</w:t>
      </w:r>
    </w:p>
    <w:p w14:paraId="1F7C3364">
      <w:pPr>
        <w:snapToGrid w:val="0"/>
        <w:spacing w:line="360" w:lineRule="auto"/>
        <w:ind w:firstLine="413" w:firstLineChars="196"/>
        <w:rPr>
          <w:rFonts w:ascii="Times New Roman" w:hAnsi="Times New Roman" w:eastAsia="宋体" w:cs="Times New Roman"/>
          <w:b/>
          <w:sz w:val="21"/>
          <w:szCs w:val="21"/>
        </w:rPr>
      </w:pPr>
      <w:r>
        <w:rPr>
          <w:rFonts w:ascii="Times New Roman" w:hAnsi="Times New Roman" w:eastAsia="宋体" w:cs="Times New Roman"/>
          <w:b/>
          <w:sz w:val="21"/>
          <w:szCs w:val="21"/>
        </w:rPr>
        <w:t>（一）</w:t>
      </w:r>
      <w:r>
        <w:rPr>
          <w:rFonts w:hint="eastAsia" w:ascii="Times New Roman" w:hAnsi="Times New Roman" w:eastAsia="宋体" w:cs="Times New Roman"/>
          <w:b/>
          <w:sz w:val="21"/>
          <w:szCs w:val="21"/>
        </w:rPr>
        <w:t>心理健康导论</w:t>
      </w:r>
    </w:p>
    <w:p w14:paraId="2141B99F">
      <w:pPr>
        <w:snapToGrid w:val="0"/>
        <w:spacing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1.教学内容</w:t>
      </w:r>
    </w:p>
    <w:p w14:paraId="47CA20FB">
      <w:pPr>
        <w:snapToGrid w:val="0"/>
        <w:spacing w:line="360" w:lineRule="auto"/>
        <w:ind w:firstLine="420" w:firstLineChars="20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（1）心理健康概述</w:t>
      </w:r>
    </w:p>
    <w:p w14:paraId="375BBB06">
      <w:pPr>
        <w:snapToGrid w:val="0"/>
        <w:spacing w:line="360" w:lineRule="auto"/>
        <w:ind w:firstLine="420" w:firstLineChars="20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（2）大学生心理健康现状</w:t>
      </w:r>
    </w:p>
    <w:p w14:paraId="5BB0EFC4">
      <w:pPr>
        <w:snapToGrid w:val="0"/>
        <w:spacing w:line="360" w:lineRule="auto"/>
        <w:ind w:firstLine="420" w:firstLineChars="20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（3）大学阶段的心理发展任务</w:t>
      </w:r>
    </w:p>
    <w:p w14:paraId="356FFBEF">
      <w:pPr>
        <w:snapToGrid w:val="0"/>
        <w:spacing w:line="36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（4）了解心理咨询</w:t>
      </w:r>
    </w:p>
    <w:p w14:paraId="168A7EBF">
      <w:pPr>
        <w:spacing w:line="360" w:lineRule="auto"/>
        <w:ind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2.基本要求</w:t>
      </w:r>
    </w:p>
    <w:p w14:paraId="55273894">
      <w:pPr>
        <w:spacing w:line="360" w:lineRule="auto"/>
        <w:ind w:firstLine="420" w:firstLineChars="20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（1）能够认识心理健康的意义，正确理解心理健康的标准</w:t>
      </w:r>
    </w:p>
    <w:p w14:paraId="35995502">
      <w:pPr>
        <w:spacing w:line="360" w:lineRule="auto"/>
        <w:ind w:firstLine="420" w:firstLineChars="20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（2）能够了解常见的心理困扰，提高对新环境适应的自觉性</w:t>
      </w:r>
    </w:p>
    <w:p w14:paraId="627E2C01">
      <w:pPr>
        <w:spacing w:line="360" w:lineRule="auto"/>
        <w:ind w:firstLine="420" w:firstLineChars="20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（3）能够了解心理咨询的常见误区、任务和设置，普及心理咨询的正确观念</w:t>
      </w:r>
    </w:p>
    <w:p w14:paraId="50F70249">
      <w:pPr>
        <w:spacing w:line="360" w:lineRule="auto"/>
        <w:ind w:firstLine="413" w:firstLineChars="196"/>
        <w:rPr>
          <w:rFonts w:ascii="Times New Roman" w:hAnsi="Times New Roman" w:eastAsia="宋体" w:cs="Times New Roman"/>
          <w:b/>
          <w:sz w:val="21"/>
          <w:szCs w:val="21"/>
        </w:rPr>
      </w:pPr>
      <w:r>
        <w:rPr>
          <w:rFonts w:hint="eastAsia" w:ascii="Times New Roman" w:hAnsi="Times New Roman" w:eastAsia="宋体" w:cs="Times New Roman"/>
          <w:b/>
          <w:sz w:val="21"/>
          <w:szCs w:val="21"/>
        </w:rPr>
        <w:t>（二）探索自我奥秘</w:t>
      </w:r>
    </w:p>
    <w:p w14:paraId="0D5DCA9F">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1.教学内容</w:t>
      </w:r>
    </w:p>
    <w:p w14:paraId="0B127FE5">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（1）遇见未知的我</w:t>
      </w:r>
    </w:p>
    <w:p w14:paraId="3AE7A29F">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（2）拥抱独特的我</w:t>
      </w:r>
    </w:p>
    <w:p w14:paraId="29C095CC">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（3）雕琢出色的我</w:t>
      </w:r>
    </w:p>
    <w:p w14:paraId="6ED34024">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2.基本要求</w:t>
      </w:r>
    </w:p>
    <w:p w14:paraId="2A769850">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（1）能够了解自我意识的基本概念、分类，认识大学生自我意识的基本特点</w:t>
      </w:r>
    </w:p>
    <w:p w14:paraId="463C8A56">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（2）能够培养健全的自我意识，掌握提升自我的途径和策略</w:t>
      </w:r>
    </w:p>
    <w:p w14:paraId="0615BF37">
      <w:pPr>
        <w:spacing w:line="360" w:lineRule="auto"/>
        <w:ind w:firstLine="413" w:firstLineChars="196"/>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（三）揭示人格面具</w:t>
      </w:r>
    </w:p>
    <w:p w14:paraId="7D073005">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1.教学内容</w:t>
      </w:r>
    </w:p>
    <w:p w14:paraId="7B838A9F">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（1）人格概述</w:t>
      </w:r>
    </w:p>
    <w:p w14:paraId="5A5251CE">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（2）人格探索</w:t>
      </w:r>
    </w:p>
    <w:p w14:paraId="2B0AE488">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（3）人格塑造</w:t>
      </w:r>
    </w:p>
    <w:p w14:paraId="4AF795A6">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2.基本要求</w:t>
      </w:r>
    </w:p>
    <w:p w14:paraId="79D372B7">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（1）能够掌握人格的概念、特征及结构，了解主要的人格理论</w:t>
      </w:r>
    </w:p>
    <w:p w14:paraId="29595721">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（2）能够了解人格塑造的常见挑战，学习积极人格塑造的基本原则和行动策略</w:t>
      </w:r>
    </w:p>
    <w:p w14:paraId="1907BD34">
      <w:pPr>
        <w:spacing w:line="360" w:lineRule="auto"/>
        <w:ind w:firstLine="413" w:firstLineChars="196"/>
        <w:rPr>
          <w:rFonts w:ascii="Times New Roman" w:hAnsi="Times New Roman" w:eastAsia="宋体" w:cs="Times New Roman"/>
          <w:b/>
          <w:sz w:val="21"/>
          <w:szCs w:val="21"/>
        </w:rPr>
      </w:pPr>
      <w:r>
        <w:rPr>
          <w:rFonts w:hint="eastAsia" w:ascii="Times New Roman" w:hAnsi="Times New Roman" w:eastAsia="宋体" w:cs="Times New Roman"/>
          <w:b/>
          <w:sz w:val="21"/>
          <w:szCs w:val="21"/>
        </w:rPr>
        <w:t>（四）赋能学习</w:t>
      </w:r>
    </w:p>
    <w:p w14:paraId="0796CC83">
      <w:pPr>
        <w:spacing w:line="360" w:lineRule="auto"/>
        <w:ind w:firstLine="411" w:firstLineChars="196"/>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教学内容</w:t>
      </w:r>
    </w:p>
    <w:p w14:paraId="3FBB08F1">
      <w:pPr>
        <w:spacing w:line="360" w:lineRule="auto"/>
        <w:ind w:firstLine="411" w:firstLineChars="196"/>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1</w:t>
      </w:r>
      <w:r>
        <w:rPr>
          <w:rFonts w:hint="eastAsia" w:ascii="Times New Roman" w:hAnsi="Times New Roman" w:eastAsia="宋体" w:cs="Times New Roman"/>
          <w:sz w:val="21"/>
          <w:szCs w:val="21"/>
        </w:rPr>
        <w:t>）大学生常见学习问题</w:t>
      </w:r>
    </w:p>
    <w:p w14:paraId="3C1C2518">
      <w:pPr>
        <w:spacing w:line="360" w:lineRule="auto"/>
        <w:ind w:firstLine="411" w:firstLineChars="196"/>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2</w:t>
      </w:r>
      <w:r>
        <w:rPr>
          <w:rFonts w:hint="eastAsia" w:ascii="Times New Roman" w:hAnsi="Times New Roman" w:eastAsia="宋体" w:cs="Times New Roman"/>
          <w:sz w:val="21"/>
          <w:szCs w:val="21"/>
        </w:rPr>
        <w:t>）学会思考和学习</w:t>
      </w:r>
    </w:p>
    <w:p w14:paraId="7EF51BAC">
      <w:pPr>
        <w:spacing w:line="360" w:lineRule="auto"/>
        <w:ind w:firstLine="411" w:firstLineChars="196"/>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3</w:t>
      </w:r>
      <w:r>
        <w:rPr>
          <w:rFonts w:hint="eastAsia" w:ascii="Times New Roman" w:hAnsi="Times New Roman" w:eastAsia="宋体" w:cs="Times New Roman"/>
          <w:sz w:val="21"/>
          <w:szCs w:val="21"/>
        </w:rPr>
        <w:t>）高效学习方法与策略</w:t>
      </w:r>
    </w:p>
    <w:p w14:paraId="511220FE">
      <w:pPr>
        <w:spacing w:line="360" w:lineRule="auto"/>
        <w:ind w:firstLine="411" w:firstLineChars="196"/>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rPr>
        <w:t>基本要求</w:t>
      </w:r>
    </w:p>
    <w:p w14:paraId="0B848FEF">
      <w:pPr>
        <w:spacing w:line="360" w:lineRule="auto"/>
        <w:ind w:firstLine="411" w:firstLineChars="196"/>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1</w:t>
      </w:r>
      <w:r>
        <w:rPr>
          <w:rFonts w:hint="eastAsia" w:ascii="Times New Roman" w:hAnsi="Times New Roman" w:eastAsia="宋体" w:cs="Times New Roman"/>
          <w:sz w:val="21"/>
          <w:szCs w:val="21"/>
        </w:rPr>
        <w:t>）能够了解学习过程中的心理学问题，内化学习动机</w:t>
      </w:r>
    </w:p>
    <w:p w14:paraId="45264D0E">
      <w:pPr>
        <w:spacing w:line="360" w:lineRule="auto"/>
        <w:ind w:firstLine="411" w:firstLineChars="196"/>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2</w:t>
      </w:r>
      <w:r>
        <w:rPr>
          <w:rFonts w:hint="eastAsia" w:ascii="Times New Roman" w:hAnsi="Times New Roman" w:eastAsia="宋体" w:cs="Times New Roman"/>
          <w:sz w:val="21"/>
          <w:szCs w:val="21"/>
        </w:rPr>
        <w:t>）能够了解并掌握学习方法，学会自我诊断和调整学习策略，激发学习动力</w:t>
      </w:r>
    </w:p>
    <w:p w14:paraId="446C7752">
      <w:pPr>
        <w:spacing w:line="360" w:lineRule="auto"/>
        <w:ind w:firstLine="413" w:firstLineChars="196"/>
        <w:rPr>
          <w:rFonts w:ascii="Times New Roman" w:hAnsi="Times New Roman" w:eastAsia="宋体" w:cs="Times New Roman"/>
          <w:b/>
          <w:sz w:val="21"/>
          <w:szCs w:val="21"/>
        </w:rPr>
      </w:pPr>
      <w:r>
        <w:rPr>
          <w:rFonts w:hint="eastAsia" w:ascii="Times New Roman" w:hAnsi="Times New Roman" w:eastAsia="宋体" w:cs="Times New Roman"/>
          <w:b/>
          <w:sz w:val="21"/>
          <w:szCs w:val="21"/>
        </w:rPr>
        <w:t>（五）情绪管理</w:t>
      </w:r>
    </w:p>
    <w:p w14:paraId="357315FD">
      <w:pPr>
        <w:spacing w:line="360" w:lineRule="auto"/>
        <w:ind w:firstLine="411" w:firstLineChars="196"/>
        <w:rPr>
          <w:rFonts w:hint="eastAsia"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教学内容</w:t>
      </w:r>
    </w:p>
    <w:p w14:paraId="0843CB78">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（1）全面认识情绪</w:t>
      </w:r>
    </w:p>
    <w:p w14:paraId="554F6BF2">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（2）正确看待情绪</w:t>
      </w:r>
    </w:p>
    <w:p w14:paraId="562AC480">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（3）有效管理情绪</w:t>
      </w:r>
    </w:p>
    <w:p w14:paraId="557B9BF0">
      <w:pPr>
        <w:spacing w:line="360" w:lineRule="auto"/>
        <w:ind w:firstLine="411" w:firstLineChars="196"/>
        <w:rPr>
          <w:rFonts w:hint="eastAsia"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rPr>
        <w:t>基本要求</w:t>
      </w:r>
    </w:p>
    <w:p w14:paraId="6E1042B9">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（1）能够</w:t>
      </w:r>
      <w:r>
        <w:rPr>
          <w:rFonts w:ascii="Times New Roman" w:hAnsi="Times New Roman" w:eastAsia="宋体" w:cs="Times New Roman"/>
          <w:sz w:val="21"/>
          <w:szCs w:val="21"/>
        </w:rPr>
        <w:t>了解情绪的基本概念</w:t>
      </w:r>
    </w:p>
    <w:p w14:paraId="6ABA499D">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（2）能够掌握情绪调控的主要方法</w:t>
      </w:r>
    </w:p>
    <w:p w14:paraId="11F95200">
      <w:pPr>
        <w:spacing w:line="360" w:lineRule="auto"/>
        <w:ind w:firstLine="413" w:firstLineChars="196"/>
        <w:rPr>
          <w:rFonts w:ascii="Times New Roman" w:hAnsi="Times New Roman" w:eastAsia="宋体" w:cs="Times New Roman"/>
          <w:b/>
          <w:sz w:val="21"/>
          <w:szCs w:val="21"/>
        </w:rPr>
      </w:pPr>
      <w:r>
        <w:rPr>
          <w:rFonts w:hint="eastAsia" w:ascii="Times New Roman" w:hAnsi="Times New Roman" w:eastAsia="宋体" w:cs="Times New Roman"/>
          <w:b/>
          <w:sz w:val="21"/>
          <w:szCs w:val="21"/>
        </w:rPr>
        <w:t>（六）人际交往</w:t>
      </w:r>
    </w:p>
    <w:p w14:paraId="550947A8">
      <w:pPr>
        <w:spacing w:line="360" w:lineRule="auto"/>
        <w:ind w:firstLine="411" w:firstLineChars="196"/>
        <w:rPr>
          <w:rFonts w:hint="eastAsia"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教学内容</w:t>
      </w:r>
    </w:p>
    <w:p w14:paraId="5AD56712">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（1）建立和谐的人际关系</w:t>
      </w:r>
    </w:p>
    <w:p w14:paraId="7E851271">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（2）提升人际沟通能力</w:t>
      </w:r>
    </w:p>
    <w:p w14:paraId="63FD2965">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（3）人际交往的挑战与应对</w:t>
      </w:r>
    </w:p>
    <w:p w14:paraId="777474D1">
      <w:pPr>
        <w:spacing w:line="360" w:lineRule="auto"/>
        <w:ind w:firstLine="411" w:firstLineChars="196"/>
        <w:rPr>
          <w:rFonts w:hint="eastAsia"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rPr>
        <w:t>基本要求</w:t>
      </w:r>
    </w:p>
    <w:p w14:paraId="06ACB930">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（1）能够了解人际交往的概念，理解影响大学生人际交往的因素</w:t>
      </w:r>
    </w:p>
    <w:p w14:paraId="47EDE8F8">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（2）能够掌握人际交往的基本原则和应对技巧，提升人际交往能力</w:t>
      </w:r>
    </w:p>
    <w:p w14:paraId="382B1E62">
      <w:pPr>
        <w:spacing w:line="360" w:lineRule="auto"/>
        <w:ind w:firstLine="413" w:firstLineChars="196"/>
        <w:rPr>
          <w:rFonts w:ascii="Times New Roman" w:hAnsi="Times New Roman" w:eastAsia="宋体" w:cs="Times New Roman"/>
          <w:b/>
          <w:sz w:val="21"/>
          <w:szCs w:val="21"/>
        </w:rPr>
      </w:pPr>
      <w:r>
        <w:rPr>
          <w:rFonts w:hint="eastAsia" w:ascii="Times New Roman" w:hAnsi="Times New Roman" w:eastAsia="宋体" w:cs="Times New Roman"/>
          <w:b/>
          <w:sz w:val="21"/>
          <w:szCs w:val="21"/>
        </w:rPr>
        <w:t>（七）遇见爱情</w:t>
      </w:r>
    </w:p>
    <w:p w14:paraId="7F5ADAA1">
      <w:pPr>
        <w:spacing w:line="360" w:lineRule="auto"/>
        <w:ind w:firstLine="411" w:firstLineChars="196"/>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教学内容</w:t>
      </w:r>
    </w:p>
    <w:p w14:paraId="2577BDF6">
      <w:pPr>
        <w:spacing w:line="360" w:lineRule="auto"/>
        <w:ind w:firstLine="411" w:firstLineChars="196"/>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1</w:t>
      </w:r>
      <w:r>
        <w:rPr>
          <w:rFonts w:hint="eastAsia" w:ascii="Times New Roman" w:hAnsi="Times New Roman" w:eastAsia="宋体" w:cs="Times New Roman"/>
          <w:sz w:val="21"/>
          <w:szCs w:val="21"/>
        </w:rPr>
        <w:t>）爱为何物</w:t>
      </w:r>
    </w:p>
    <w:p w14:paraId="13A32212">
      <w:pPr>
        <w:spacing w:line="360" w:lineRule="auto"/>
        <w:ind w:firstLine="411" w:firstLineChars="196"/>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2</w:t>
      </w:r>
      <w:r>
        <w:rPr>
          <w:rFonts w:hint="eastAsia" w:ascii="Times New Roman" w:hAnsi="Times New Roman" w:eastAsia="宋体" w:cs="Times New Roman"/>
          <w:sz w:val="21"/>
          <w:szCs w:val="21"/>
        </w:rPr>
        <w:t>）爱的艺术</w:t>
      </w:r>
    </w:p>
    <w:p w14:paraId="3A6D11D4">
      <w:pPr>
        <w:spacing w:line="360" w:lineRule="auto"/>
        <w:ind w:firstLine="411" w:firstLineChars="196"/>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3</w:t>
      </w:r>
      <w:r>
        <w:rPr>
          <w:rFonts w:hint="eastAsia" w:ascii="Times New Roman" w:hAnsi="Times New Roman" w:eastAsia="宋体" w:cs="Times New Roman"/>
          <w:sz w:val="21"/>
          <w:szCs w:val="21"/>
        </w:rPr>
        <w:t>）爱与性的困扰与调适</w:t>
      </w:r>
    </w:p>
    <w:p w14:paraId="3124F079">
      <w:pPr>
        <w:spacing w:line="360" w:lineRule="auto"/>
        <w:ind w:firstLine="411" w:firstLineChars="196"/>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rPr>
        <w:t>基本要求</w:t>
      </w:r>
    </w:p>
    <w:p w14:paraId="1CC27BCE">
      <w:pPr>
        <w:spacing w:line="360" w:lineRule="auto"/>
        <w:ind w:firstLine="411" w:firstLineChars="196"/>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1</w:t>
      </w:r>
      <w:r>
        <w:rPr>
          <w:rFonts w:hint="eastAsia" w:ascii="Times New Roman" w:hAnsi="Times New Roman" w:eastAsia="宋体" w:cs="Times New Roman"/>
          <w:sz w:val="21"/>
          <w:szCs w:val="21"/>
        </w:rPr>
        <w:t>）能够全面正确认识爱情的本质及恋爱在大学生成长中的地位</w:t>
      </w:r>
    </w:p>
    <w:p w14:paraId="764BE979">
      <w:pPr>
        <w:spacing w:line="360" w:lineRule="auto"/>
        <w:ind w:firstLine="411" w:firstLineChars="196"/>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2</w:t>
      </w:r>
      <w:r>
        <w:rPr>
          <w:rFonts w:hint="eastAsia" w:ascii="Times New Roman" w:hAnsi="Times New Roman" w:eastAsia="宋体" w:cs="Times New Roman"/>
          <w:sz w:val="21"/>
          <w:szCs w:val="21"/>
        </w:rPr>
        <w:t>）能够正确处理恋爱中的心理困扰，树立健康的恋爱观</w:t>
      </w:r>
    </w:p>
    <w:p w14:paraId="117DF5C9">
      <w:pPr>
        <w:spacing w:line="360" w:lineRule="auto"/>
        <w:ind w:firstLine="413" w:firstLineChars="196"/>
        <w:rPr>
          <w:rFonts w:ascii="Times New Roman" w:hAnsi="Times New Roman" w:eastAsia="宋体" w:cs="Times New Roman"/>
          <w:b/>
          <w:sz w:val="21"/>
          <w:szCs w:val="21"/>
        </w:rPr>
      </w:pPr>
      <w:r>
        <w:rPr>
          <w:rFonts w:hint="eastAsia" w:ascii="Times New Roman" w:hAnsi="Times New Roman" w:eastAsia="宋体" w:cs="Times New Roman"/>
          <w:b/>
          <w:sz w:val="21"/>
          <w:szCs w:val="21"/>
        </w:rPr>
        <w:t>（八）生命教育与运动健心</w:t>
      </w:r>
    </w:p>
    <w:p w14:paraId="428498D5">
      <w:pPr>
        <w:spacing w:line="360" w:lineRule="auto"/>
        <w:ind w:firstLine="411" w:firstLineChars="196"/>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教学内容</w:t>
      </w:r>
    </w:p>
    <w:p w14:paraId="2AE6C021">
      <w:pPr>
        <w:spacing w:line="360" w:lineRule="auto"/>
        <w:ind w:firstLine="411" w:firstLineChars="196"/>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1</w:t>
      </w:r>
      <w:r>
        <w:rPr>
          <w:rFonts w:hint="eastAsia" w:ascii="Times New Roman" w:hAnsi="Times New Roman" w:eastAsia="宋体" w:cs="Times New Roman"/>
          <w:sz w:val="21"/>
          <w:szCs w:val="21"/>
        </w:rPr>
        <w:t>）生命意义和价值创造</w:t>
      </w:r>
      <w:r>
        <w:rPr>
          <w:rFonts w:ascii="Times New Roman" w:hAnsi="Times New Roman" w:eastAsia="宋体" w:cs="Times New Roman"/>
          <w:sz w:val="21"/>
          <w:szCs w:val="21"/>
        </w:rPr>
        <w:t xml:space="preserve"> </w:t>
      </w:r>
    </w:p>
    <w:p w14:paraId="4DF1E3FB">
      <w:pPr>
        <w:spacing w:line="360" w:lineRule="auto"/>
        <w:ind w:firstLine="411" w:firstLineChars="196"/>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2</w:t>
      </w:r>
      <w:r>
        <w:rPr>
          <w:rFonts w:hint="eastAsia" w:ascii="Times New Roman" w:hAnsi="Times New Roman" w:eastAsia="宋体" w:cs="Times New Roman"/>
          <w:sz w:val="21"/>
          <w:szCs w:val="21"/>
        </w:rPr>
        <w:t>）心理危机的觉察与干预</w:t>
      </w:r>
    </w:p>
    <w:p w14:paraId="4FB34D4D">
      <w:pPr>
        <w:spacing w:line="360" w:lineRule="auto"/>
        <w:ind w:firstLine="411" w:firstLineChars="196"/>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3</w:t>
      </w:r>
      <w:r>
        <w:rPr>
          <w:rFonts w:hint="eastAsia" w:ascii="Times New Roman" w:hAnsi="Times New Roman" w:eastAsia="宋体" w:cs="Times New Roman"/>
          <w:sz w:val="21"/>
          <w:szCs w:val="21"/>
        </w:rPr>
        <w:t>）运动育心</w:t>
      </w:r>
    </w:p>
    <w:p w14:paraId="44B05CAA">
      <w:pPr>
        <w:spacing w:line="360" w:lineRule="auto"/>
        <w:ind w:firstLine="411" w:firstLineChars="196"/>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rPr>
        <w:t>基本要求</w:t>
      </w:r>
    </w:p>
    <w:p w14:paraId="7E028784">
      <w:pPr>
        <w:spacing w:line="360" w:lineRule="auto"/>
        <w:ind w:firstLine="411" w:firstLineChars="196"/>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1</w:t>
      </w:r>
      <w:r>
        <w:rPr>
          <w:rFonts w:hint="eastAsia" w:ascii="Times New Roman" w:hAnsi="Times New Roman" w:eastAsia="宋体" w:cs="Times New Roman"/>
          <w:sz w:val="21"/>
          <w:szCs w:val="21"/>
        </w:rPr>
        <w:t>）能够了解生命的历程，理解生命的意义，体会生命的独特与可贵</w:t>
      </w:r>
    </w:p>
    <w:p w14:paraId="1C3BF8B5">
      <w:pPr>
        <w:spacing w:line="360" w:lineRule="auto"/>
        <w:ind w:firstLine="411" w:firstLineChars="196"/>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2</w:t>
      </w:r>
      <w:r>
        <w:rPr>
          <w:rFonts w:hint="eastAsia" w:ascii="Times New Roman" w:hAnsi="Times New Roman" w:eastAsia="宋体" w:cs="Times New Roman"/>
          <w:sz w:val="21"/>
          <w:szCs w:val="21"/>
        </w:rPr>
        <w:t>）能够学会热爱生命、尊重生命、珍惜生命、体心融合</w:t>
      </w:r>
    </w:p>
    <w:p w14:paraId="0A418840">
      <w:pPr>
        <w:spacing w:line="360" w:lineRule="auto"/>
        <w:ind w:firstLine="422" w:firstLineChars="200"/>
        <w:rPr>
          <w:rFonts w:hint="eastAsia" w:ascii="Times New Roman" w:hAnsi="Times New Roman" w:eastAsia="宋体" w:cs="Times New Roman"/>
          <w:b/>
          <w:sz w:val="21"/>
          <w:szCs w:val="21"/>
        </w:rPr>
      </w:pPr>
    </w:p>
    <w:p w14:paraId="6DF024C1">
      <w:pPr>
        <w:spacing w:line="36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教学内容与</w:t>
      </w:r>
      <w:r>
        <w:rPr>
          <w:rFonts w:ascii="Times New Roman" w:hAnsi="Times New Roman" w:eastAsia="宋体" w:cs="Times New Roman"/>
          <w:sz w:val="21"/>
          <w:szCs w:val="21"/>
        </w:rPr>
        <w:t>课程目标的</w:t>
      </w:r>
      <w:r>
        <w:rPr>
          <w:rFonts w:hint="eastAsia" w:ascii="Times New Roman" w:hAnsi="Times New Roman" w:eastAsia="宋体" w:cs="Times New Roman"/>
          <w:sz w:val="21"/>
          <w:szCs w:val="21"/>
        </w:rPr>
        <w:t>对应关系及</w:t>
      </w:r>
      <w:r>
        <w:rPr>
          <w:rFonts w:ascii="Times New Roman" w:hAnsi="Times New Roman" w:eastAsia="宋体" w:cs="Times New Roman"/>
          <w:sz w:val="21"/>
          <w:szCs w:val="21"/>
        </w:rPr>
        <w:t>学时分配</w:t>
      </w:r>
      <w:r>
        <w:rPr>
          <w:rFonts w:hint="eastAsia" w:ascii="Times New Roman" w:hAnsi="Times New Roman" w:eastAsia="宋体" w:cs="Times New Roman"/>
          <w:sz w:val="21"/>
          <w:szCs w:val="21"/>
        </w:rPr>
        <w:t>如表2所示。</w:t>
      </w:r>
    </w:p>
    <w:p w14:paraId="2EE3E50B">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表2  教学内容与课程目标的对应关系及学时分配表</w:t>
      </w:r>
    </w:p>
    <w:tbl>
      <w:tblPr>
        <w:tblStyle w:val="15"/>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492"/>
        <w:gridCol w:w="2053"/>
        <w:gridCol w:w="1875"/>
        <w:gridCol w:w="843"/>
        <w:gridCol w:w="685"/>
        <w:gridCol w:w="1321"/>
      </w:tblGrid>
      <w:tr w14:paraId="1810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A8AE70">
            <w:pPr>
              <w:widowControl/>
              <w:adjustRightInd w:val="0"/>
              <w:snapToGrid w:val="0"/>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C032EE">
            <w:pPr>
              <w:widowControl/>
              <w:adjustRightInd w:val="0"/>
              <w:snapToGrid w:val="0"/>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教学内容</w:t>
            </w:r>
          </w:p>
        </w:tc>
        <w:tc>
          <w:tcPr>
            <w:tcW w:w="205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9E59B6">
            <w:pPr>
              <w:widowControl/>
              <w:adjustRightInd w:val="0"/>
              <w:snapToGrid w:val="0"/>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支撑的课程目标</w:t>
            </w:r>
          </w:p>
        </w:tc>
        <w:tc>
          <w:tcPr>
            <w:tcW w:w="187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9D0FFD">
            <w:pPr>
              <w:widowControl/>
              <w:adjustRightInd w:val="0"/>
              <w:snapToGrid w:val="0"/>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支撑的毕业要求</w:t>
            </w:r>
          </w:p>
          <w:p w14:paraId="02A03A1E">
            <w:pPr>
              <w:widowControl/>
              <w:adjustRightInd w:val="0"/>
              <w:snapToGrid w:val="0"/>
              <w:spacing w:line="36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观测</w:t>
            </w:r>
            <w:r>
              <w:rPr>
                <w:rFonts w:ascii="Times New Roman" w:hAnsi="Times New Roman" w:eastAsia="宋体" w:cs="Times New Roman"/>
                <w:b/>
                <w:bCs/>
                <w:sz w:val="21"/>
                <w:szCs w:val="21"/>
              </w:rPr>
              <w:t>点</w:t>
            </w:r>
          </w:p>
        </w:tc>
        <w:tc>
          <w:tcPr>
            <w:tcW w:w="84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9E7CE8">
            <w:pPr>
              <w:widowControl/>
              <w:adjustRightInd w:val="0"/>
              <w:snapToGrid w:val="0"/>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讲授学时</w:t>
            </w:r>
          </w:p>
        </w:tc>
        <w:tc>
          <w:tcPr>
            <w:tcW w:w="68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5FA588">
            <w:pPr>
              <w:widowControl/>
              <w:adjustRightInd w:val="0"/>
              <w:snapToGrid w:val="0"/>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实验学时</w:t>
            </w:r>
          </w:p>
        </w:tc>
        <w:tc>
          <w:tcPr>
            <w:tcW w:w="1321"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75953BE1">
            <w:pPr>
              <w:widowControl/>
              <w:adjustRightInd w:val="0"/>
              <w:snapToGrid w:val="0"/>
              <w:spacing w:line="36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课程思政融入点</w:t>
            </w:r>
          </w:p>
        </w:tc>
      </w:tr>
      <w:tr w14:paraId="5D10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1F119355">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492" w:type="dxa"/>
            <w:tcBorders>
              <w:top w:val="single" w:color="auto" w:sz="4" w:space="0"/>
              <w:left w:val="single" w:color="auto" w:sz="4" w:space="0"/>
              <w:bottom w:val="single" w:color="auto" w:sz="4" w:space="0"/>
              <w:right w:val="single" w:color="auto" w:sz="4" w:space="0"/>
            </w:tcBorders>
            <w:noWrap w:val="0"/>
            <w:vAlign w:val="center"/>
          </w:tcPr>
          <w:p w14:paraId="209E7F89">
            <w:pPr>
              <w:widowControl/>
              <w:adjustRightInd w:val="0"/>
              <w:snapToGrid w:val="0"/>
              <w:spacing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心理健康导论</w:t>
            </w:r>
          </w:p>
        </w:tc>
        <w:tc>
          <w:tcPr>
            <w:tcW w:w="2053" w:type="dxa"/>
            <w:tcBorders>
              <w:top w:val="single" w:color="auto" w:sz="4" w:space="0"/>
              <w:left w:val="single" w:color="auto" w:sz="4" w:space="0"/>
              <w:bottom w:val="single" w:color="auto" w:sz="4" w:space="0"/>
              <w:right w:val="single" w:color="auto" w:sz="4" w:space="0"/>
            </w:tcBorders>
            <w:noWrap w:val="0"/>
            <w:vAlign w:val="center"/>
          </w:tcPr>
          <w:p w14:paraId="31D3B361">
            <w:pPr>
              <w:widowControl/>
              <w:adjustRightInd w:val="0"/>
              <w:snapToGrid w:val="0"/>
              <w:spacing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目标</w:t>
            </w:r>
            <w:r>
              <w:rPr>
                <w:rFonts w:hint="eastAsia" w:ascii="Times New Roman" w:hAnsi="Times New Roman" w:eastAsia="宋体" w:cs="Times New Roman"/>
                <w:color w:val="000000"/>
                <w:sz w:val="21"/>
                <w:szCs w:val="21"/>
              </w:rPr>
              <w:t>1、目标2</w:t>
            </w:r>
          </w:p>
        </w:tc>
        <w:tc>
          <w:tcPr>
            <w:tcW w:w="1875" w:type="dxa"/>
            <w:tcBorders>
              <w:top w:val="single" w:color="auto" w:sz="4" w:space="0"/>
              <w:left w:val="single" w:color="auto" w:sz="4" w:space="0"/>
              <w:bottom w:val="single" w:color="auto" w:sz="4" w:space="0"/>
              <w:right w:val="single" w:color="auto" w:sz="4" w:space="0"/>
            </w:tcBorders>
            <w:noWrap w:val="0"/>
            <w:vAlign w:val="center"/>
          </w:tcPr>
          <w:p w14:paraId="15A7C57D">
            <w:pPr>
              <w:widowControl/>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2-3、5-2</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6DD1184A">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685" w:type="dxa"/>
            <w:tcBorders>
              <w:top w:val="single" w:color="auto" w:sz="4" w:space="0"/>
              <w:left w:val="single" w:color="auto" w:sz="4" w:space="0"/>
              <w:bottom w:val="single" w:color="auto" w:sz="4" w:space="0"/>
              <w:right w:val="single" w:color="auto" w:sz="4" w:space="0"/>
            </w:tcBorders>
            <w:noWrap w:val="0"/>
            <w:vAlign w:val="center"/>
          </w:tcPr>
          <w:p w14:paraId="25EACC32">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C1AE493">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w:t>
            </w:r>
            <w:r>
              <w:rPr>
                <w:rFonts w:hint="eastAsia" w:ascii="Times New Roman" w:hAnsi="Times New Roman" w:eastAsia="宋体" w:cs="Times New Roman"/>
                <w:sz w:val="21"/>
                <w:szCs w:val="21"/>
              </w:rPr>
              <w:t>1）、（2）</w:t>
            </w:r>
          </w:p>
        </w:tc>
      </w:tr>
      <w:tr w14:paraId="05C3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323E72A9">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492" w:type="dxa"/>
            <w:tcBorders>
              <w:top w:val="single" w:color="auto" w:sz="4" w:space="0"/>
              <w:left w:val="single" w:color="auto" w:sz="4" w:space="0"/>
              <w:bottom w:val="single" w:color="auto" w:sz="4" w:space="0"/>
              <w:right w:val="single" w:color="auto" w:sz="4" w:space="0"/>
            </w:tcBorders>
            <w:noWrap w:val="0"/>
            <w:vAlign w:val="center"/>
          </w:tcPr>
          <w:p w14:paraId="3CF602AB">
            <w:pPr>
              <w:widowControl/>
              <w:adjustRightInd w:val="0"/>
              <w:snapToGrid w:val="0"/>
              <w:spacing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探索自我奥秘</w:t>
            </w:r>
          </w:p>
        </w:tc>
        <w:tc>
          <w:tcPr>
            <w:tcW w:w="2053" w:type="dxa"/>
            <w:tcBorders>
              <w:top w:val="single" w:color="auto" w:sz="4" w:space="0"/>
              <w:left w:val="single" w:color="auto" w:sz="4" w:space="0"/>
              <w:bottom w:val="single" w:color="auto" w:sz="4" w:space="0"/>
              <w:right w:val="single" w:color="auto" w:sz="4" w:space="0"/>
            </w:tcBorders>
            <w:noWrap w:val="0"/>
            <w:vAlign w:val="center"/>
          </w:tcPr>
          <w:p w14:paraId="37B7EAD8">
            <w:pPr>
              <w:widowControl/>
              <w:adjustRightInd w:val="0"/>
              <w:snapToGrid w:val="0"/>
              <w:spacing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目标</w:t>
            </w:r>
            <w:r>
              <w:rPr>
                <w:rFonts w:hint="eastAsia" w:ascii="Times New Roman" w:hAnsi="Times New Roman" w:eastAsia="宋体" w:cs="Times New Roman"/>
                <w:color w:val="000000"/>
                <w:sz w:val="21"/>
                <w:szCs w:val="21"/>
              </w:rPr>
              <w:t>1、目标2</w:t>
            </w:r>
          </w:p>
        </w:tc>
        <w:tc>
          <w:tcPr>
            <w:tcW w:w="1875" w:type="dxa"/>
            <w:tcBorders>
              <w:top w:val="single" w:color="auto" w:sz="4" w:space="0"/>
              <w:left w:val="single" w:color="auto" w:sz="4" w:space="0"/>
              <w:bottom w:val="single" w:color="auto" w:sz="4" w:space="0"/>
              <w:right w:val="single" w:color="auto" w:sz="4" w:space="0"/>
            </w:tcBorders>
            <w:noWrap w:val="0"/>
            <w:vAlign w:val="center"/>
          </w:tcPr>
          <w:p w14:paraId="1A63EA84">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2-3、5-2</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0E7524E1">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685" w:type="dxa"/>
            <w:tcBorders>
              <w:top w:val="single" w:color="auto" w:sz="4" w:space="0"/>
              <w:left w:val="single" w:color="auto" w:sz="4" w:space="0"/>
              <w:bottom w:val="single" w:color="auto" w:sz="4" w:space="0"/>
              <w:right w:val="single" w:color="auto" w:sz="4" w:space="0"/>
            </w:tcBorders>
            <w:noWrap w:val="0"/>
            <w:vAlign w:val="center"/>
          </w:tcPr>
          <w:p w14:paraId="4DF8251F">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5AE10CC8">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w:t>
            </w:r>
            <w:r>
              <w:rPr>
                <w:rFonts w:hint="eastAsia" w:ascii="Times New Roman" w:hAnsi="Times New Roman" w:eastAsia="宋体" w:cs="Times New Roman"/>
                <w:sz w:val="21"/>
                <w:szCs w:val="21"/>
              </w:rPr>
              <w:t>1）、（2）</w:t>
            </w:r>
          </w:p>
        </w:tc>
      </w:tr>
      <w:tr w14:paraId="6022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6537BC2F">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492" w:type="dxa"/>
            <w:tcBorders>
              <w:top w:val="single" w:color="auto" w:sz="4" w:space="0"/>
              <w:left w:val="single" w:color="auto" w:sz="4" w:space="0"/>
              <w:bottom w:val="single" w:color="auto" w:sz="4" w:space="0"/>
              <w:right w:val="single" w:color="auto" w:sz="4" w:space="0"/>
            </w:tcBorders>
            <w:noWrap w:val="0"/>
            <w:vAlign w:val="center"/>
          </w:tcPr>
          <w:p w14:paraId="3B9679C8">
            <w:pPr>
              <w:widowControl/>
              <w:adjustRightInd w:val="0"/>
              <w:snapToGrid w:val="0"/>
              <w:spacing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揭示人格面具</w:t>
            </w:r>
          </w:p>
        </w:tc>
        <w:tc>
          <w:tcPr>
            <w:tcW w:w="2053" w:type="dxa"/>
            <w:tcBorders>
              <w:top w:val="single" w:color="auto" w:sz="4" w:space="0"/>
              <w:left w:val="single" w:color="auto" w:sz="4" w:space="0"/>
              <w:bottom w:val="single" w:color="auto" w:sz="4" w:space="0"/>
              <w:right w:val="single" w:color="auto" w:sz="4" w:space="0"/>
            </w:tcBorders>
            <w:noWrap w:val="0"/>
            <w:vAlign w:val="center"/>
          </w:tcPr>
          <w:p w14:paraId="69280C8F">
            <w:pPr>
              <w:widowControl/>
              <w:adjustRightInd w:val="0"/>
              <w:snapToGrid w:val="0"/>
              <w:spacing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目标</w:t>
            </w:r>
            <w:r>
              <w:rPr>
                <w:rFonts w:hint="eastAsia" w:ascii="Times New Roman" w:hAnsi="Times New Roman" w:eastAsia="宋体" w:cs="Times New Roman"/>
                <w:color w:val="000000"/>
                <w:sz w:val="21"/>
                <w:szCs w:val="21"/>
              </w:rPr>
              <w:t>1、目标2</w:t>
            </w:r>
          </w:p>
        </w:tc>
        <w:tc>
          <w:tcPr>
            <w:tcW w:w="1875" w:type="dxa"/>
            <w:tcBorders>
              <w:top w:val="single" w:color="auto" w:sz="4" w:space="0"/>
              <w:left w:val="single" w:color="auto" w:sz="4" w:space="0"/>
              <w:bottom w:val="single" w:color="auto" w:sz="4" w:space="0"/>
              <w:right w:val="single" w:color="auto" w:sz="4" w:space="0"/>
            </w:tcBorders>
            <w:noWrap w:val="0"/>
            <w:vAlign w:val="center"/>
          </w:tcPr>
          <w:p w14:paraId="27B9CF71">
            <w:pPr>
              <w:widowControl/>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2-3、5-2</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5363E837">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685" w:type="dxa"/>
            <w:tcBorders>
              <w:top w:val="single" w:color="auto" w:sz="4" w:space="0"/>
              <w:left w:val="single" w:color="auto" w:sz="4" w:space="0"/>
              <w:bottom w:val="single" w:color="auto" w:sz="4" w:space="0"/>
              <w:right w:val="single" w:color="auto" w:sz="4" w:space="0"/>
            </w:tcBorders>
            <w:noWrap w:val="0"/>
            <w:vAlign w:val="center"/>
          </w:tcPr>
          <w:p w14:paraId="2A6BA9FE">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B6CA49A">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w:t>
            </w:r>
            <w:r>
              <w:rPr>
                <w:rFonts w:hint="eastAsia" w:ascii="Times New Roman" w:hAnsi="Times New Roman" w:eastAsia="宋体" w:cs="Times New Roman"/>
                <w:sz w:val="21"/>
                <w:szCs w:val="21"/>
              </w:rPr>
              <w:t>1）、（2）</w:t>
            </w:r>
          </w:p>
        </w:tc>
      </w:tr>
      <w:tr w14:paraId="3A67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50569DB1">
            <w:pPr>
              <w:widowControl/>
              <w:adjustRightInd w:val="0"/>
              <w:snapToGrid w:val="0"/>
              <w:spacing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4</w:t>
            </w:r>
          </w:p>
        </w:tc>
        <w:tc>
          <w:tcPr>
            <w:tcW w:w="1492" w:type="dxa"/>
            <w:tcBorders>
              <w:top w:val="single" w:color="auto" w:sz="4" w:space="0"/>
              <w:left w:val="single" w:color="auto" w:sz="4" w:space="0"/>
              <w:bottom w:val="single" w:color="auto" w:sz="4" w:space="0"/>
              <w:right w:val="single" w:color="auto" w:sz="4" w:space="0"/>
            </w:tcBorders>
            <w:noWrap w:val="0"/>
            <w:vAlign w:val="center"/>
          </w:tcPr>
          <w:p w14:paraId="3B22898C">
            <w:pPr>
              <w:widowControl/>
              <w:adjustRightInd w:val="0"/>
              <w:snapToGrid w:val="0"/>
              <w:spacing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赋能学习</w:t>
            </w:r>
          </w:p>
        </w:tc>
        <w:tc>
          <w:tcPr>
            <w:tcW w:w="2053" w:type="dxa"/>
            <w:tcBorders>
              <w:top w:val="single" w:color="auto" w:sz="4" w:space="0"/>
              <w:left w:val="single" w:color="auto" w:sz="4" w:space="0"/>
              <w:bottom w:val="single" w:color="auto" w:sz="4" w:space="0"/>
              <w:right w:val="single" w:color="auto" w:sz="4" w:space="0"/>
            </w:tcBorders>
            <w:noWrap w:val="0"/>
            <w:vAlign w:val="center"/>
          </w:tcPr>
          <w:p w14:paraId="2958651F">
            <w:pPr>
              <w:widowControl/>
              <w:adjustRightInd w:val="0"/>
              <w:snapToGrid w:val="0"/>
              <w:spacing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目标</w:t>
            </w:r>
            <w:r>
              <w:rPr>
                <w:rFonts w:hint="eastAsia" w:ascii="Times New Roman" w:hAnsi="Times New Roman" w:eastAsia="宋体" w:cs="Times New Roman"/>
                <w:color w:val="000000"/>
                <w:sz w:val="21"/>
                <w:szCs w:val="21"/>
              </w:rPr>
              <w:t>1、目标2</w:t>
            </w:r>
          </w:p>
        </w:tc>
        <w:tc>
          <w:tcPr>
            <w:tcW w:w="1875" w:type="dxa"/>
            <w:tcBorders>
              <w:top w:val="single" w:color="auto" w:sz="4" w:space="0"/>
              <w:left w:val="single" w:color="auto" w:sz="4" w:space="0"/>
              <w:bottom w:val="single" w:color="auto" w:sz="4" w:space="0"/>
              <w:right w:val="single" w:color="auto" w:sz="4" w:space="0"/>
            </w:tcBorders>
            <w:noWrap w:val="0"/>
            <w:vAlign w:val="center"/>
          </w:tcPr>
          <w:p w14:paraId="544AE9BE">
            <w:pPr>
              <w:widowControl/>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2-3、5-2</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77F14C5B">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685" w:type="dxa"/>
            <w:tcBorders>
              <w:top w:val="single" w:color="auto" w:sz="4" w:space="0"/>
              <w:left w:val="single" w:color="auto" w:sz="4" w:space="0"/>
              <w:bottom w:val="single" w:color="auto" w:sz="4" w:space="0"/>
              <w:right w:val="single" w:color="auto" w:sz="4" w:space="0"/>
            </w:tcBorders>
            <w:noWrap w:val="0"/>
            <w:vAlign w:val="center"/>
          </w:tcPr>
          <w:p w14:paraId="7575EA7B">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76DF1CB7">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w:t>
            </w:r>
            <w:r>
              <w:rPr>
                <w:rFonts w:hint="eastAsia" w:ascii="Times New Roman" w:hAnsi="Times New Roman" w:eastAsia="宋体" w:cs="Times New Roman"/>
                <w:sz w:val="21"/>
                <w:szCs w:val="21"/>
              </w:rPr>
              <w:t>1）、（2）</w:t>
            </w:r>
          </w:p>
        </w:tc>
      </w:tr>
      <w:tr w14:paraId="0D41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100D4E1F">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w:t>
            </w:r>
          </w:p>
        </w:tc>
        <w:tc>
          <w:tcPr>
            <w:tcW w:w="1492" w:type="dxa"/>
            <w:tcBorders>
              <w:top w:val="single" w:color="auto" w:sz="4" w:space="0"/>
              <w:left w:val="single" w:color="auto" w:sz="4" w:space="0"/>
              <w:bottom w:val="single" w:color="auto" w:sz="4" w:space="0"/>
              <w:right w:val="single" w:color="auto" w:sz="4" w:space="0"/>
            </w:tcBorders>
            <w:noWrap w:val="0"/>
            <w:vAlign w:val="center"/>
          </w:tcPr>
          <w:p w14:paraId="4E926F2B">
            <w:pPr>
              <w:widowControl/>
              <w:adjustRightInd w:val="0"/>
              <w:snapToGrid w:val="0"/>
              <w:spacing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情绪管理</w:t>
            </w:r>
          </w:p>
        </w:tc>
        <w:tc>
          <w:tcPr>
            <w:tcW w:w="2053" w:type="dxa"/>
            <w:tcBorders>
              <w:top w:val="single" w:color="auto" w:sz="4" w:space="0"/>
              <w:left w:val="single" w:color="auto" w:sz="4" w:space="0"/>
              <w:bottom w:val="single" w:color="auto" w:sz="4" w:space="0"/>
              <w:right w:val="single" w:color="auto" w:sz="4" w:space="0"/>
            </w:tcBorders>
            <w:noWrap w:val="0"/>
            <w:vAlign w:val="center"/>
          </w:tcPr>
          <w:p w14:paraId="7C1E34A1">
            <w:pPr>
              <w:widowControl/>
              <w:adjustRightInd w:val="0"/>
              <w:snapToGrid w:val="0"/>
              <w:spacing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目标</w:t>
            </w:r>
            <w:r>
              <w:rPr>
                <w:rFonts w:hint="eastAsia" w:ascii="Times New Roman" w:hAnsi="Times New Roman" w:eastAsia="宋体" w:cs="Times New Roman"/>
                <w:color w:val="000000"/>
                <w:sz w:val="21"/>
                <w:szCs w:val="21"/>
              </w:rPr>
              <w:t>1、目标2</w:t>
            </w:r>
          </w:p>
        </w:tc>
        <w:tc>
          <w:tcPr>
            <w:tcW w:w="1875" w:type="dxa"/>
            <w:tcBorders>
              <w:top w:val="single" w:color="auto" w:sz="4" w:space="0"/>
              <w:left w:val="single" w:color="auto" w:sz="4" w:space="0"/>
              <w:bottom w:val="single" w:color="auto" w:sz="4" w:space="0"/>
              <w:right w:val="single" w:color="auto" w:sz="4" w:space="0"/>
            </w:tcBorders>
            <w:noWrap w:val="0"/>
            <w:vAlign w:val="center"/>
          </w:tcPr>
          <w:p w14:paraId="1A63B9F0">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2-3、5-2</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606D7A63">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685" w:type="dxa"/>
            <w:tcBorders>
              <w:top w:val="single" w:color="auto" w:sz="4" w:space="0"/>
              <w:left w:val="single" w:color="auto" w:sz="4" w:space="0"/>
              <w:bottom w:val="single" w:color="auto" w:sz="4" w:space="0"/>
              <w:right w:val="single" w:color="auto" w:sz="4" w:space="0"/>
            </w:tcBorders>
            <w:noWrap w:val="0"/>
            <w:vAlign w:val="center"/>
          </w:tcPr>
          <w:p w14:paraId="02E76B3F">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27059E17">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w:t>
            </w:r>
            <w:r>
              <w:rPr>
                <w:rFonts w:hint="eastAsia" w:ascii="Times New Roman" w:hAnsi="Times New Roman" w:eastAsia="宋体" w:cs="Times New Roman"/>
                <w:sz w:val="21"/>
                <w:szCs w:val="21"/>
              </w:rPr>
              <w:t>1）、（2）</w:t>
            </w:r>
          </w:p>
        </w:tc>
      </w:tr>
      <w:tr w14:paraId="64F4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2F0F79AE">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1492" w:type="dxa"/>
            <w:tcBorders>
              <w:top w:val="single" w:color="auto" w:sz="4" w:space="0"/>
              <w:left w:val="single" w:color="auto" w:sz="4" w:space="0"/>
              <w:bottom w:val="single" w:color="auto" w:sz="4" w:space="0"/>
              <w:right w:val="single" w:color="auto" w:sz="4" w:space="0"/>
            </w:tcBorders>
            <w:noWrap w:val="0"/>
            <w:vAlign w:val="center"/>
          </w:tcPr>
          <w:p w14:paraId="32091932">
            <w:pPr>
              <w:widowControl/>
              <w:adjustRightInd w:val="0"/>
              <w:snapToGrid w:val="0"/>
              <w:spacing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人际交往</w:t>
            </w:r>
          </w:p>
        </w:tc>
        <w:tc>
          <w:tcPr>
            <w:tcW w:w="2053" w:type="dxa"/>
            <w:tcBorders>
              <w:top w:val="single" w:color="auto" w:sz="4" w:space="0"/>
              <w:left w:val="single" w:color="auto" w:sz="4" w:space="0"/>
              <w:bottom w:val="single" w:color="auto" w:sz="4" w:space="0"/>
              <w:right w:val="single" w:color="auto" w:sz="4" w:space="0"/>
            </w:tcBorders>
            <w:noWrap w:val="0"/>
            <w:vAlign w:val="center"/>
          </w:tcPr>
          <w:p w14:paraId="458BED31">
            <w:pPr>
              <w:widowControl/>
              <w:adjustRightInd w:val="0"/>
              <w:snapToGrid w:val="0"/>
              <w:spacing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目标</w:t>
            </w:r>
            <w:r>
              <w:rPr>
                <w:rFonts w:hint="eastAsia" w:ascii="Times New Roman" w:hAnsi="Times New Roman" w:eastAsia="宋体" w:cs="Times New Roman"/>
                <w:color w:val="000000"/>
                <w:sz w:val="21"/>
                <w:szCs w:val="21"/>
              </w:rPr>
              <w:t>1、目标2</w:t>
            </w:r>
          </w:p>
        </w:tc>
        <w:tc>
          <w:tcPr>
            <w:tcW w:w="1875" w:type="dxa"/>
            <w:tcBorders>
              <w:top w:val="single" w:color="auto" w:sz="4" w:space="0"/>
              <w:left w:val="single" w:color="auto" w:sz="4" w:space="0"/>
              <w:bottom w:val="single" w:color="auto" w:sz="4" w:space="0"/>
              <w:right w:val="single" w:color="auto" w:sz="4" w:space="0"/>
            </w:tcBorders>
            <w:noWrap w:val="0"/>
            <w:vAlign w:val="center"/>
          </w:tcPr>
          <w:p w14:paraId="6E40E0D5">
            <w:pPr>
              <w:widowControl/>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2-3、8-2</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337AEF2F">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685" w:type="dxa"/>
            <w:tcBorders>
              <w:top w:val="single" w:color="auto" w:sz="4" w:space="0"/>
              <w:left w:val="single" w:color="auto" w:sz="4" w:space="0"/>
              <w:bottom w:val="single" w:color="auto" w:sz="4" w:space="0"/>
              <w:right w:val="single" w:color="auto" w:sz="4" w:space="0"/>
            </w:tcBorders>
            <w:noWrap w:val="0"/>
            <w:vAlign w:val="center"/>
          </w:tcPr>
          <w:p w14:paraId="043BEEB0">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1334907">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w:t>
            </w:r>
            <w:r>
              <w:rPr>
                <w:rFonts w:hint="eastAsia" w:ascii="Times New Roman" w:hAnsi="Times New Roman" w:eastAsia="宋体" w:cs="Times New Roman"/>
                <w:sz w:val="21"/>
                <w:szCs w:val="21"/>
              </w:rPr>
              <w:t>1）、（2）</w:t>
            </w:r>
          </w:p>
        </w:tc>
      </w:tr>
      <w:tr w14:paraId="2DCE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754E0163">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w:t>
            </w:r>
          </w:p>
        </w:tc>
        <w:tc>
          <w:tcPr>
            <w:tcW w:w="1492" w:type="dxa"/>
            <w:tcBorders>
              <w:top w:val="single" w:color="auto" w:sz="4" w:space="0"/>
              <w:left w:val="single" w:color="auto" w:sz="4" w:space="0"/>
              <w:bottom w:val="single" w:color="auto" w:sz="4" w:space="0"/>
              <w:right w:val="single" w:color="auto" w:sz="4" w:space="0"/>
            </w:tcBorders>
            <w:noWrap w:val="0"/>
            <w:vAlign w:val="center"/>
          </w:tcPr>
          <w:p w14:paraId="354D9D86">
            <w:pPr>
              <w:widowControl/>
              <w:adjustRightInd w:val="0"/>
              <w:snapToGrid w:val="0"/>
              <w:spacing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遇见爱情</w:t>
            </w:r>
          </w:p>
        </w:tc>
        <w:tc>
          <w:tcPr>
            <w:tcW w:w="2053" w:type="dxa"/>
            <w:tcBorders>
              <w:top w:val="single" w:color="auto" w:sz="4" w:space="0"/>
              <w:left w:val="single" w:color="auto" w:sz="4" w:space="0"/>
              <w:bottom w:val="single" w:color="auto" w:sz="4" w:space="0"/>
              <w:right w:val="single" w:color="auto" w:sz="4" w:space="0"/>
            </w:tcBorders>
            <w:noWrap w:val="0"/>
            <w:vAlign w:val="center"/>
          </w:tcPr>
          <w:p w14:paraId="251484FE">
            <w:pPr>
              <w:widowControl/>
              <w:adjustRightInd w:val="0"/>
              <w:snapToGrid w:val="0"/>
              <w:spacing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目标</w:t>
            </w:r>
            <w:r>
              <w:rPr>
                <w:rFonts w:hint="eastAsia" w:ascii="Times New Roman" w:hAnsi="Times New Roman" w:eastAsia="宋体" w:cs="Times New Roman"/>
                <w:color w:val="000000"/>
                <w:sz w:val="21"/>
                <w:szCs w:val="21"/>
              </w:rPr>
              <w:t>1、目标2</w:t>
            </w:r>
          </w:p>
        </w:tc>
        <w:tc>
          <w:tcPr>
            <w:tcW w:w="1875" w:type="dxa"/>
            <w:tcBorders>
              <w:top w:val="single" w:color="auto" w:sz="4" w:space="0"/>
              <w:left w:val="single" w:color="auto" w:sz="4" w:space="0"/>
              <w:bottom w:val="single" w:color="auto" w:sz="4" w:space="0"/>
              <w:right w:val="single" w:color="auto" w:sz="4" w:space="0"/>
            </w:tcBorders>
            <w:noWrap w:val="0"/>
            <w:vAlign w:val="center"/>
          </w:tcPr>
          <w:p w14:paraId="59D6122C">
            <w:pPr>
              <w:widowControl/>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2-3、8-2</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4B75CE1B">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685" w:type="dxa"/>
            <w:tcBorders>
              <w:top w:val="single" w:color="auto" w:sz="4" w:space="0"/>
              <w:left w:val="single" w:color="auto" w:sz="4" w:space="0"/>
              <w:bottom w:val="single" w:color="auto" w:sz="4" w:space="0"/>
              <w:right w:val="single" w:color="auto" w:sz="4" w:space="0"/>
            </w:tcBorders>
            <w:noWrap w:val="0"/>
            <w:vAlign w:val="center"/>
          </w:tcPr>
          <w:p w14:paraId="3F28A538">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26F89DD">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w:t>
            </w:r>
            <w:r>
              <w:rPr>
                <w:rFonts w:hint="eastAsia" w:ascii="Times New Roman" w:hAnsi="Times New Roman" w:eastAsia="宋体" w:cs="Times New Roman"/>
                <w:sz w:val="21"/>
                <w:szCs w:val="21"/>
              </w:rPr>
              <w:t>1）、（2）</w:t>
            </w:r>
          </w:p>
        </w:tc>
      </w:tr>
      <w:tr w14:paraId="6BBA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282739E6">
            <w:pPr>
              <w:widowControl/>
              <w:adjustRightInd w:val="0"/>
              <w:snapToGrid w:val="0"/>
              <w:spacing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8</w:t>
            </w:r>
          </w:p>
        </w:tc>
        <w:tc>
          <w:tcPr>
            <w:tcW w:w="1492" w:type="dxa"/>
            <w:tcBorders>
              <w:top w:val="single" w:color="auto" w:sz="4" w:space="0"/>
              <w:left w:val="single" w:color="auto" w:sz="4" w:space="0"/>
              <w:bottom w:val="single" w:color="auto" w:sz="4" w:space="0"/>
              <w:right w:val="single" w:color="auto" w:sz="4" w:space="0"/>
            </w:tcBorders>
            <w:noWrap w:val="0"/>
            <w:vAlign w:val="center"/>
          </w:tcPr>
          <w:p w14:paraId="467A087B">
            <w:pPr>
              <w:widowControl/>
              <w:adjustRightInd w:val="0"/>
              <w:snapToGrid w:val="0"/>
              <w:spacing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生命教育与运动健心</w:t>
            </w:r>
          </w:p>
        </w:tc>
        <w:tc>
          <w:tcPr>
            <w:tcW w:w="2053" w:type="dxa"/>
            <w:tcBorders>
              <w:top w:val="single" w:color="auto" w:sz="4" w:space="0"/>
              <w:left w:val="single" w:color="auto" w:sz="4" w:space="0"/>
              <w:bottom w:val="single" w:color="auto" w:sz="4" w:space="0"/>
              <w:right w:val="single" w:color="auto" w:sz="4" w:space="0"/>
            </w:tcBorders>
            <w:noWrap w:val="0"/>
            <w:vAlign w:val="center"/>
          </w:tcPr>
          <w:p w14:paraId="3589E5BE">
            <w:pPr>
              <w:widowControl/>
              <w:adjustRightInd w:val="0"/>
              <w:snapToGrid w:val="0"/>
              <w:spacing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目标</w:t>
            </w:r>
            <w:r>
              <w:rPr>
                <w:rFonts w:hint="eastAsia" w:ascii="Times New Roman" w:hAnsi="Times New Roman" w:eastAsia="宋体" w:cs="Times New Roman"/>
                <w:color w:val="000000"/>
                <w:sz w:val="21"/>
                <w:szCs w:val="21"/>
              </w:rPr>
              <w:t>1、目标2</w:t>
            </w:r>
          </w:p>
        </w:tc>
        <w:tc>
          <w:tcPr>
            <w:tcW w:w="1875" w:type="dxa"/>
            <w:tcBorders>
              <w:top w:val="single" w:color="auto" w:sz="4" w:space="0"/>
              <w:left w:val="single" w:color="auto" w:sz="4" w:space="0"/>
              <w:bottom w:val="single" w:color="auto" w:sz="4" w:space="0"/>
              <w:right w:val="single" w:color="auto" w:sz="4" w:space="0"/>
            </w:tcBorders>
            <w:noWrap w:val="0"/>
            <w:vAlign w:val="center"/>
          </w:tcPr>
          <w:p w14:paraId="23394705">
            <w:pPr>
              <w:widowControl/>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2-3、8-2</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764A06EF">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685" w:type="dxa"/>
            <w:tcBorders>
              <w:top w:val="single" w:color="auto" w:sz="4" w:space="0"/>
              <w:left w:val="single" w:color="auto" w:sz="4" w:space="0"/>
              <w:bottom w:val="single" w:color="auto" w:sz="4" w:space="0"/>
              <w:right w:val="single" w:color="auto" w:sz="4" w:space="0"/>
            </w:tcBorders>
            <w:noWrap w:val="0"/>
            <w:vAlign w:val="center"/>
          </w:tcPr>
          <w:p w14:paraId="01A6B0D1">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475EEBAF">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w:t>
            </w:r>
            <w:r>
              <w:rPr>
                <w:rFonts w:hint="eastAsia" w:ascii="Times New Roman" w:hAnsi="Times New Roman" w:eastAsia="宋体" w:cs="Times New Roman"/>
                <w:sz w:val="21"/>
                <w:szCs w:val="21"/>
              </w:rPr>
              <w:t>1）、（2）</w:t>
            </w:r>
          </w:p>
        </w:tc>
      </w:tr>
      <w:tr w14:paraId="4AF7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065" w:type="dxa"/>
            <w:gridSpan w:val="4"/>
            <w:tcBorders>
              <w:top w:val="single" w:color="auto" w:sz="4" w:space="0"/>
              <w:left w:val="single" w:color="auto" w:sz="4" w:space="0"/>
              <w:bottom w:val="single" w:color="auto" w:sz="4" w:space="0"/>
              <w:right w:val="single" w:color="auto" w:sz="4" w:space="0"/>
            </w:tcBorders>
            <w:noWrap w:val="0"/>
            <w:vAlign w:val="center"/>
          </w:tcPr>
          <w:p w14:paraId="12DF7140">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合 计</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70A2FF7F">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w:t>
            </w:r>
          </w:p>
        </w:tc>
        <w:tc>
          <w:tcPr>
            <w:tcW w:w="685" w:type="dxa"/>
            <w:tcBorders>
              <w:top w:val="single" w:color="auto" w:sz="4" w:space="0"/>
              <w:left w:val="single" w:color="auto" w:sz="4" w:space="0"/>
              <w:bottom w:val="single" w:color="auto" w:sz="4" w:space="0"/>
              <w:right w:val="single" w:color="auto" w:sz="4" w:space="0"/>
            </w:tcBorders>
            <w:noWrap w:val="0"/>
            <w:vAlign w:val="center"/>
          </w:tcPr>
          <w:p w14:paraId="4D66877A">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w:t>
            </w:r>
          </w:p>
        </w:tc>
        <w:tc>
          <w:tcPr>
            <w:tcW w:w="1321" w:type="dxa"/>
            <w:tcBorders>
              <w:top w:val="single" w:color="auto" w:sz="4" w:space="0"/>
              <w:left w:val="single" w:color="auto" w:sz="4" w:space="0"/>
              <w:bottom w:val="single" w:color="auto" w:sz="4" w:space="0"/>
              <w:right w:val="single" w:color="auto" w:sz="4" w:space="0"/>
            </w:tcBorders>
            <w:noWrap w:val="0"/>
            <w:vAlign w:val="top"/>
          </w:tcPr>
          <w:p w14:paraId="524A2558">
            <w:pPr>
              <w:widowControl/>
              <w:adjustRightInd w:val="0"/>
              <w:snapToGrid w:val="0"/>
              <w:spacing w:line="360" w:lineRule="auto"/>
              <w:jc w:val="center"/>
              <w:rPr>
                <w:rFonts w:ascii="Times New Roman" w:hAnsi="Times New Roman" w:eastAsia="宋体" w:cs="Times New Roman"/>
                <w:sz w:val="21"/>
                <w:szCs w:val="21"/>
              </w:rPr>
            </w:pPr>
          </w:p>
        </w:tc>
      </w:tr>
    </w:tbl>
    <w:p w14:paraId="4D739423">
      <w:pPr>
        <w:snapToGrid w:val="0"/>
        <w:spacing w:line="360" w:lineRule="auto"/>
        <w:ind w:firstLine="420" w:firstLineChars="20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说明：专业版课程教学大纲依据具体的毕业要求观测点完善“教学内容与课程目标的对应关系及学时分配表”。</w:t>
      </w:r>
    </w:p>
    <w:p w14:paraId="5284E535">
      <w:pPr>
        <w:snapToGrid w:val="0"/>
        <w:spacing w:line="360" w:lineRule="auto"/>
        <w:ind w:firstLine="422" w:firstLineChars="200"/>
        <w:rPr>
          <w:rFonts w:ascii="Times New Roman" w:hAnsi="Times New Roman" w:eastAsia="宋体" w:cs="Times New Roman"/>
          <w:b/>
          <w:sz w:val="21"/>
          <w:szCs w:val="21"/>
        </w:rPr>
      </w:pPr>
      <w:r>
        <w:rPr>
          <w:rFonts w:hint="eastAsia" w:ascii="Times New Roman" w:hAnsi="Times New Roman" w:eastAsia="宋体" w:cs="Times New Roman"/>
          <w:b/>
          <w:sz w:val="21"/>
          <w:szCs w:val="21"/>
        </w:rPr>
        <w:t>四、课内实验（实践）</w:t>
      </w:r>
    </w:p>
    <w:p w14:paraId="505626F7">
      <w:pPr>
        <w:widowControl/>
        <w:adjustRightInd w:val="0"/>
        <w:snapToGrid w:val="0"/>
        <w:spacing w:line="360" w:lineRule="auto"/>
        <w:ind w:firstLine="420" w:firstLineChars="200"/>
        <w:jc w:val="left"/>
        <w:rPr>
          <w:rFonts w:ascii="Times New Roman" w:hAnsi="Times New Roman" w:eastAsia="宋体" w:cs="Times New Roman"/>
          <w:sz w:val="21"/>
          <w:szCs w:val="21"/>
        </w:rPr>
      </w:pPr>
      <w:r>
        <w:rPr>
          <w:rFonts w:ascii="Times New Roman" w:hAnsi="Times New Roman" w:eastAsia="宋体" w:cs="Times New Roman"/>
          <w:sz w:val="21"/>
          <w:szCs w:val="21"/>
        </w:rPr>
        <w:t>课内实验</w:t>
      </w:r>
      <w:r>
        <w:rPr>
          <w:rFonts w:hint="eastAsia" w:ascii="Times New Roman" w:hAnsi="Times New Roman" w:eastAsia="宋体" w:cs="Times New Roman"/>
          <w:sz w:val="21"/>
          <w:szCs w:val="21"/>
        </w:rPr>
        <w:t>（实践）项目名称、教学内容及教学目标、</w:t>
      </w:r>
      <w:r>
        <w:rPr>
          <w:rFonts w:ascii="Times New Roman" w:hAnsi="Times New Roman" w:eastAsia="宋体" w:cs="Times New Roman"/>
          <w:sz w:val="21"/>
          <w:szCs w:val="21"/>
        </w:rPr>
        <w:t>学时分配</w:t>
      </w:r>
      <w:r>
        <w:rPr>
          <w:rFonts w:hint="eastAsia" w:ascii="Times New Roman" w:hAnsi="Times New Roman" w:eastAsia="宋体" w:cs="Times New Roman"/>
          <w:sz w:val="21"/>
          <w:szCs w:val="21"/>
        </w:rPr>
        <w:t>以及</w:t>
      </w:r>
      <w:r>
        <w:rPr>
          <w:rFonts w:ascii="Times New Roman" w:hAnsi="Times New Roman" w:eastAsia="宋体" w:cs="Times New Roman"/>
          <w:sz w:val="21"/>
          <w:szCs w:val="21"/>
        </w:rPr>
        <w:t>与课程目标的对应关系如表3所示。</w:t>
      </w:r>
    </w:p>
    <w:p w14:paraId="7290B3A1">
      <w:pPr>
        <w:widowControl/>
        <w:adjustRightInd w:val="0"/>
        <w:snapToGrid w:val="0"/>
        <w:spacing w:line="360" w:lineRule="auto"/>
        <w:ind w:firstLine="420" w:firstLineChars="200"/>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 xml:space="preserve">表3  </w:t>
      </w:r>
      <w:r>
        <w:rPr>
          <w:rFonts w:hint="eastAsia" w:ascii="Times New Roman" w:hAnsi="Times New Roman" w:eastAsia="宋体" w:cs="Times New Roman"/>
          <w:sz w:val="21"/>
          <w:szCs w:val="21"/>
        </w:rPr>
        <w:t>实验（实践）</w:t>
      </w:r>
      <w:r>
        <w:rPr>
          <w:rFonts w:ascii="Times New Roman" w:hAnsi="Times New Roman" w:eastAsia="宋体" w:cs="Times New Roman"/>
          <w:sz w:val="21"/>
          <w:szCs w:val="21"/>
        </w:rPr>
        <w:t>教学内容与课程</w:t>
      </w:r>
      <w:r>
        <w:rPr>
          <w:rFonts w:hint="eastAsia" w:ascii="Times New Roman" w:hAnsi="Times New Roman" w:eastAsia="宋体" w:cs="Times New Roman"/>
          <w:sz w:val="21"/>
          <w:szCs w:val="21"/>
        </w:rPr>
        <w:t>教学</w:t>
      </w:r>
      <w:r>
        <w:rPr>
          <w:rFonts w:ascii="Times New Roman" w:hAnsi="Times New Roman" w:eastAsia="宋体" w:cs="Times New Roman"/>
          <w:sz w:val="21"/>
          <w:szCs w:val="21"/>
        </w:rPr>
        <w:t>目标的对应关系及学时分配表</w:t>
      </w:r>
    </w:p>
    <w:tbl>
      <w:tblPr>
        <w:tblStyle w:val="15"/>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173"/>
        <w:gridCol w:w="2268"/>
        <w:gridCol w:w="709"/>
        <w:gridCol w:w="1694"/>
        <w:gridCol w:w="1068"/>
        <w:gridCol w:w="1296"/>
      </w:tblGrid>
      <w:tr w14:paraId="1298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4DFF76">
            <w:pPr>
              <w:widowControl/>
              <w:adjustRightInd w:val="0"/>
              <w:snapToGrid w:val="0"/>
              <w:spacing w:line="360" w:lineRule="auto"/>
              <w:jc w:val="center"/>
              <w:rPr>
                <w:rFonts w:ascii="Times New Roman" w:hAnsi="Times New Roman" w:eastAsia="宋体" w:cs="Times New Roman"/>
                <w:b/>
                <w:spacing w:val="-20"/>
                <w:sz w:val="21"/>
                <w:szCs w:val="21"/>
              </w:rPr>
            </w:pPr>
            <w:r>
              <w:rPr>
                <w:rFonts w:ascii="Times New Roman" w:hAnsi="Times New Roman" w:eastAsia="宋体" w:cs="Times New Roman"/>
                <w:b/>
                <w:spacing w:val="-20"/>
                <w:sz w:val="21"/>
                <w:szCs w:val="21"/>
              </w:rPr>
              <w:t>序号</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16DA2F">
            <w:pPr>
              <w:widowControl/>
              <w:adjustRightInd w:val="0"/>
              <w:snapToGrid w:val="0"/>
              <w:spacing w:line="36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实验项目名称</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908E80">
            <w:pPr>
              <w:widowControl/>
              <w:adjustRightInd w:val="0"/>
              <w:snapToGrid w:val="0"/>
              <w:spacing w:line="36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实验内容及</w:t>
            </w:r>
            <w:r>
              <w:rPr>
                <w:rFonts w:hint="eastAsia" w:ascii="Times New Roman" w:hAnsi="Times New Roman" w:eastAsia="宋体" w:cs="Times New Roman"/>
                <w:b/>
                <w:sz w:val="21"/>
                <w:szCs w:val="21"/>
              </w:rPr>
              <w:t>教学目标</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5EDB27">
            <w:pPr>
              <w:widowControl/>
              <w:adjustRightInd w:val="0"/>
              <w:snapToGrid w:val="0"/>
              <w:spacing w:line="36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学时</w:t>
            </w:r>
          </w:p>
        </w:tc>
        <w:tc>
          <w:tcPr>
            <w:tcW w:w="169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D5B353">
            <w:pPr>
              <w:widowControl/>
              <w:adjustRightInd w:val="0"/>
              <w:snapToGrid w:val="0"/>
              <w:spacing w:line="36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支撑的课程目标</w:t>
            </w:r>
          </w:p>
        </w:tc>
        <w:tc>
          <w:tcPr>
            <w:tcW w:w="1068"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034CB894">
            <w:pPr>
              <w:widowControl/>
              <w:adjustRightInd w:val="0"/>
              <w:snapToGrid w:val="0"/>
              <w:spacing w:line="36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实践要求</w:t>
            </w:r>
          </w:p>
        </w:tc>
        <w:tc>
          <w:tcPr>
            <w:tcW w:w="1296"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0C692FDA">
            <w:pPr>
              <w:widowControl/>
              <w:adjustRightInd w:val="0"/>
              <w:snapToGrid w:val="0"/>
              <w:spacing w:line="36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课程思政融入点</w:t>
            </w:r>
          </w:p>
        </w:tc>
      </w:tr>
      <w:tr w14:paraId="76D3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DD1600">
            <w:pPr>
              <w:widowControl/>
              <w:adjustRightInd w:val="0"/>
              <w:snapToGrid w:val="0"/>
              <w:spacing w:line="360" w:lineRule="auto"/>
              <w:jc w:val="center"/>
              <w:rPr>
                <w:rFonts w:ascii="Times New Roman" w:hAnsi="Times New Roman" w:eastAsia="宋体" w:cs="Times New Roman"/>
                <w:bCs/>
                <w:spacing w:val="-20"/>
                <w:sz w:val="21"/>
                <w:szCs w:val="21"/>
              </w:rPr>
            </w:pPr>
            <w:r>
              <w:rPr>
                <w:rFonts w:ascii="Times New Roman" w:hAnsi="Times New Roman" w:eastAsia="宋体" w:cs="Times New Roman"/>
                <w:bCs/>
                <w:spacing w:val="-20"/>
                <w:sz w:val="21"/>
                <w:szCs w:val="21"/>
              </w:rPr>
              <w:t>1</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D3F655">
            <w:pPr>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班集体团队建设</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8EB351">
            <w:pPr>
              <w:spacing w:line="360" w:lineRule="auto"/>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在教师指导下完成班级心理团体辅导活动</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F2D988">
            <w:pPr>
              <w:widowControl/>
              <w:adjustRightInd w:val="0"/>
              <w:snapToGrid w:val="0"/>
              <w:spacing w:line="36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c>
          <w:tcPr>
            <w:tcW w:w="169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006A57">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目标</w:t>
            </w:r>
            <w:r>
              <w:rPr>
                <w:rFonts w:hint="eastAsia" w:ascii="Times New Roman" w:hAnsi="Times New Roman" w:eastAsia="宋体" w:cs="Times New Roman"/>
                <w:sz w:val="21"/>
                <w:szCs w:val="21"/>
              </w:rPr>
              <w:t>1、目标2</w:t>
            </w:r>
          </w:p>
        </w:tc>
        <w:tc>
          <w:tcPr>
            <w:tcW w:w="1068"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28C3DB31">
            <w:pPr>
              <w:widowControl/>
              <w:adjustRightInd w:val="0"/>
              <w:snapToGrid w:val="0"/>
              <w:spacing w:line="360" w:lineRule="auto"/>
              <w:jc w:val="center"/>
              <w:rPr>
                <w:rFonts w:ascii="Times New Roman" w:hAnsi="Times New Roman" w:eastAsia="宋体" w:cs="Times New Roman"/>
                <w:bCs/>
                <w:sz w:val="21"/>
                <w:szCs w:val="21"/>
              </w:rPr>
            </w:pPr>
          </w:p>
        </w:tc>
        <w:tc>
          <w:tcPr>
            <w:tcW w:w="12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4ACD34">
            <w:pPr>
              <w:widowControl/>
              <w:adjustRightInd w:val="0"/>
              <w:snapToGrid w:val="0"/>
              <w:spacing w:line="360" w:lineRule="auto"/>
              <w:jc w:val="center"/>
              <w:rPr>
                <w:rFonts w:hint="eastAsia" w:ascii="Times New Roman" w:hAnsi="Times New Roman" w:eastAsia="宋体" w:cs="Times New Roman"/>
                <w:bCs/>
                <w:sz w:val="21"/>
                <w:szCs w:val="21"/>
              </w:rPr>
            </w:pP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w:t>
            </w:r>
          </w:p>
          <w:p w14:paraId="0037FE8C">
            <w:pPr>
              <w:widowControl/>
              <w:adjustRightInd w:val="0"/>
              <w:snapToGrid w:val="0"/>
              <w:spacing w:line="36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r>
      <w:tr w14:paraId="3B48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9066CC">
            <w:pPr>
              <w:widowControl/>
              <w:adjustRightInd w:val="0"/>
              <w:snapToGrid w:val="0"/>
              <w:spacing w:line="360" w:lineRule="auto"/>
              <w:jc w:val="center"/>
              <w:rPr>
                <w:rFonts w:ascii="Times New Roman" w:hAnsi="Times New Roman" w:eastAsia="宋体" w:cs="Times New Roman"/>
                <w:bCs/>
                <w:spacing w:val="-20"/>
                <w:sz w:val="21"/>
                <w:szCs w:val="21"/>
              </w:rPr>
            </w:pPr>
            <w:r>
              <w:rPr>
                <w:rFonts w:ascii="Times New Roman" w:hAnsi="Times New Roman" w:eastAsia="宋体" w:cs="Times New Roman"/>
                <w:bCs/>
                <w:spacing w:val="-20"/>
                <w:sz w:val="21"/>
                <w:szCs w:val="21"/>
              </w:rPr>
              <w:t>2</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F0F4EA">
            <w:pPr>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探索自我奥秘</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DD0AED8">
            <w:pPr>
              <w:spacing w:line="360" w:lineRule="auto"/>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在教师指导下完成心理健康测评和个人成长经历档案</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BB37F0">
            <w:pPr>
              <w:widowControl/>
              <w:adjustRightInd w:val="0"/>
              <w:snapToGrid w:val="0"/>
              <w:spacing w:line="36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c>
          <w:tcPr>
            <w:tcW w:w="169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B01DE2">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目标</w:t>
            </w:r>
            <w:r>
              <w:rPr>
                <w:rFonts w:hint="eastAsia" w:ascii="Times New Roman" w:hAnsi="Times New Roman" w:eastAsia="宋体" w:cs="Times New Roman"/>
                <w:sz w:val="21"/>
                <w:szCs w:val="21"/>
              </w:rPr>
              <w:t>1、目标2</w:t>
            </w:r>
          </w:p>
        </w:tc>
        <w:tc>
          <w:tcPr>
            <w:tcW w:w="1068"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1FB5593C">
            <w:pPr>
              <w:widowControl/>
              <w:adjustRightInd w:val="0"/>
              <w:snapToGrid w:val="0"/>
              <w:spacing w:line="360" w:lineRule="auto"/>
              <w:jc w:val="center"/>
              <w:rPr>
                <w:rFonts w:ascii="Times New Roman" w:hAnsi="Times New Roman" w:eastAsia="宋体" w:cs="Times New Roman"/>
                <w:bCs/>
                <w:sz w:val="21"/>
                <w:szCs w:val="21"/>
              </w:rPr>
            </w:pPr>
          </w:p>
        </w:tc>
        <w:tc>
          <w:tcPr>
            <w:tcW w:w="12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AAD606">
            <w:pPr>
              <w:widowControl/>
              <w:adjustRightInd w:val="0"/>
              <w:snapToGrid w:val="0"/>
              <w:spacing w:line="360" w:lineRule="auto"/>
              <w:jc w:val="center"/>
              <w:rPr>
                <w:rFonts w:hint="eastAsia" w:ascii="Times New Roman" w:hAnsi="Times New Roman" w:eastAsia="宋体" w:cs="Times New Roman"/>
                <w:bCs/>
                <w:sz w:val="21"/>
                <w:szCs w:val="21"/>
              </w:rPr>
            </w:pP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w:t>
            </w:r>
          </w:p>
          <w:p w14:paraId="30F64197">
            <w:pPr>
              <w:widowControl/>
              <w:adjustRightInd w:val="0"/>
              <w:snapToGrid w:val="0"/>
              <w:spacing w:line="36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r>
      <w:tr w14:paraId="60B5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08AFA2">
            <w:pPr>
              <w:widowControl/>
              <w:adjustRightInd w:val="0"/>
              <w:snapToGrid w:val="0"/>
              <w:spacing w:line="360" w:lineRule="auto"/>
              <w:jc w:val="center"/>
              <w:rPr>
                <w:rFonts w:ascii="Times New Roman" w:hAnsi="Times New Roman" w:eastAsia="宋体" w:cs="Times New Roman"/>
                <w:bCs/>
                <w:spacing w:val="-20"/>
                <w:sz w:val="21"/>
                <w:szCs w:val="21"/>
              </w:rPr>
            </w:pPr>
            <w:r>
              <w:rPr>
                <w:rFonts w:ascii="Times New Roman" w:hAnsi="Times New Roman" w:eastAsia="宋体" w:cs="Times New Roman"/>
                <w:bCs/>
                <w:spacing w:val="-20"/>
                <w:sz w:val="21"/>
                <w:szCs w:val="21"/>
              </w:rPr>
              <w:t>3</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ACD4ED">
            <w:pPr>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揭示人格面具</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0D31F6">
            <w:pPr>
              <w:spacing w:line="360" w:lineRule="auto"/>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在教师指导下完成人格探索各项心理活动</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F98F93">
            <w:pPr>
              <w:widowControl/>
              <w:adjustRightInd w:val="0"/>
              <w:snapToGrid w:val="0"/>
              <w:spacing w:line="36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c>
          <w:tcPr>
            <w:tcW w:w="169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596EB1">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目标</w:t>
            </w:r>
            <w:r>
              <w:rPr>
                <w:rFonts w:hint="eastAsia" w:ascii="Times New Roman" w:hAnsi="Times New Roman" w:eastAsia="宋体" w:cs="Times New Roman"/>
                <w:sz w:val="21"/>
                <w:szCs w:val="21"/>
              </w:rPr>
              <w:t>1、目标2</w:t>
            </w:r>
          </w:p>
        </w:tc>
        <w:tc>
          <w:tcPr>
            <w:tcW w:w="1068"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53C11E40">
            <w:pPr>
              <w:widowControl/>
              <w:adjustRightInd w:val="0"/>
              <w:snapToGrid w:val="0"/>
              <w:spacing w:line="360" w:lineRule="auto"/>
              <w:jc w:val="center"/>
              <w:rPr>
                <w:rFonts w:ascii="Times New Roman" w:hAnsi="Times New Roman" w:eastAsia="宋体" w:cs="Times New Roman"/>
                <w:bCs/>
                <w:sz w:val="21"/>
                <w:szCs w:val="21"/>
              </w:rPr>
            </w:pPr>
          </w:p>
        </w:tc>
        <w:tc>
          <w:tcPr>
            <w:tcW w:w="12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0C15D69">
            <w:pPr>
              <w:widowControl/>
              <w:adjustRightInd w:val="0"/>
              <w:snapToGrid w:val="0"/>
              <w:spacing w:line="360" w:lineRule="auto"/>
              <w:jc w:val="center"/>
              <w:rPr>
                <w:rFonts w:hint="eastAsia" w:ascii="Times New Roman" w:hAnsi="Times New Roman" w:eastAsia="宋体" w:cs="Times New Roman"/>
                <w:bCs/>
                <w:sz w:val="21"/>
                <w:szCs w:val="21"/>
              </w:rPr>
            </w:pP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w:t>
            </w:r>
          </w:p>
          <w:p w14:paraId="58CD9602">
            <w:pPr>
              <w:widowControl/>
              <w:adjustRightInd w:val="0"/>
              <w:snapToGrid w:val="0"/>
              <w:spacing w:line="36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r>
      <w:tr w14:paraId="3328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31859E">
            <w:pPr>
              <w:widowControl/>
              <w:adjustRightInd w:val="0"/>
              <w:snapToGrid w:val="0"/>
              <w:spacing w:line="360" w:lineRule="auto"/>
              <w:jc w:val="center"/>
              <w:rPr>
                <w:rFonts w:hint="eastAsia" w:ascii="Times New Roman" w:hAnsi="Times New Roman" w:eastAsia="宋体" w:cs="Times New Roman"/>
                <w:bCs/>
                <w:spacing w:val="-20"/>
                <w:sz w:val="21"/>
                <w:szCs w:val="21"/>
              </w:rPr>
            </w:pPr>
            <w:r>
              <w:rPr>
                <w:rFonts w:hint="eastAsia" w:ascii="Times New Roman" w:hAnsi="Times New Roman" w:eastAsia="宋体" w:cs="Times New Roman"/>
                <w:bCs/>
                <w:spacing w:val="-20"/>
                <w:sz w:val="21"/>
                <w:szCs w:val="21"/>
              </w:rPr>
              <w:t>4</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1684DF">
            <w:pPr>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成为高效学习者</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CF96FA">
            <w:pPr>
              <w:spacing w:line="360" w:lineRule="auto"/>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在教师指导下完成学习方法探索活动和学习压力管理活动</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1D5694">
            <w:pPr>
              <w:widowControl/>
              <w:adjustRightInd w:val="0"/>
              <w:snapToGrid w:val="0"/>
              <w:spacing w:line="36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c>
          <w:tcPr>
            <w:tcW w:w="169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1FDA08">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目标</w:t>
            </w:r>
            <w:r>
              <w:rPr>
                <w:rFonts w:hint="eastAsia" w:ascii="Times New Roman" w:hAnsi="Times New Roman" w:eastAsia="宋体" w:cs="Times New Roman"/>
                <w:sz w:val="21"/>
                <w:szCs w:val="21"/>
              </w:rPr>
              <w:t>1、目标2</w:t>
            </w:r>
          </w:p>
        </w:tc>
        <w:tc>
          <w:tcPr>
            <w:tcW w:w="1068"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5DA5D305">
            <w:pPr>
              <w:widowControl/>
              <w:adjustRightInd w:val="0"/>
              <w:snapToGrid w:val="0"/>
              <w:spacing w:line="360" w:lineRule="auto"/>
              <w:jc w:val="center"/>
              <w:rPr>
                <w:rFonts w:ascii="Times New Roman" w:hAnsi="Times New Roman" w:eastAsia="宋体" w:cs="Times New Roman"/>
                <w:bCs/>
                <w:sz w:val="21"/>
                <w:szCs w:val="21"/>
              </w:rPr>
            </w:pPr>
          </w:p>
        </w:tc>
        <w:tc>
          <w:tcPr>
            <w:tcW w:w="12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EEC56B">
            <w:pPr>
              <w:widowControl/>
              <w:adjustRightInd w:val="0"/>
              <w:snapToGrid w:val="0"/>
              <w:spacing w:line="360" w:lineRule="auto"/>
              <w:jc w:val="center"/>
              <w:rPr>
                <w:rFonts w:hint="eastAsia" w:ascii="Times New Roman" w:hAnsi="Times New Roman" w:eastAsia="宋体" w:cs="Times New Roman"/>
                <w:bCs/>
                <w:sz w:val="21"/>
                <w:szCs w:val="21"/>
              </w:rPr>
            </w:pP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w:t>
            </w:r>
          </w:p>
          <w:p w14:paraId="6D2072F2">
            <w:pPr>
              <w:widowControl/>
              <w:adjustRightInd w:val="0"/>
              <w:snapToGrid w:val="0"/>
              <w:spacing w:line="36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r>
      <w:tr w14:paraId="20F6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FFDDB9">
            <w:pPr>
              <w:widowControl/>
              <w:adjustRightInd w:val="0"/>
              <w:snapToGrid w:val="0"/>
              <w:spacing w:line="360" w:lineRule="auto"/>
              <w:jc w:val="center"/>
              <w:rPr>
                <w:rFonts w:ascii="Times New Roman" w:hAnsi="Times New Roman" w:eastAsia="宋体" w:cs="Times New Roman"/>
                <w:bCs/>
                <w:spacing w:val="-20"/>
                <w:sz w:val="21"/>
                <w:szCs w:val="21"/>
              </w:rPr>
            </w:pPr>
            <w:r>
              <w:rPr>
                <w:rFonts w:hint="eastAsia" w:ascii="Times New Roman" w:hAnsi="Times New Roman" w:eastAsia="宋体" w:cs="Times New Roman"/>
                <w:bCs/>
                <w:spacing w:val="-20"/>
                <w:sz w:val="21"/>
                <w:szCs w:val="21"/>
              </w:rPr>
              <w:t>5</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14F30B">
            <w:pPr>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接纳多彩情绪</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793112">
            <w:pPr>
              <w:spacing w:line="360" w:lineRule="auto"/>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在教师指导下完成情绪主题心理电影赏析</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9F7705">
            <w:pPr>
              <w:widowControl/>
              <w:adjustRightInd w:val="0"/>
              <w:snapToGrid w:val="0"/>
              <w:spacing w:line="36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c>
          <w:tcPr>
            <w:tcW w:w="169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F719C6">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目标</w:t>
            </w:r>
            <w:r>
              <w:rPr>
                <w:rFonts w:hint="eastAsia" w:ascii="Times New Roman" w:hAnsi="Times New Roman" w:eastAsia="宋体" w:cs="Times New Roman"/>
                <w:sz w:val="21"/>
                <w:szCs w:val="21"/>
              </w:rPr>
              <w:t>1、目标2</w:t>
            </w:r>
          </w:p>
        </w:tc>
        <w:tc>
          <w:tcPr>
            <w:tcW w:w="1068"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1CE00229">
            <w:pPr>
              <w:widowControl/>
              <w:adjustRightInd w:val="0"/>
              <w:snapToGrid w:val="0"/>
              <w:spacing w:line="360" w:lineRule="auto"/>
              <w:jc w:val="center"/>
              <w:rPr>
                <w:rFonts w:ascii="Times New Roman" w:hAnsi="Times New Roman" w:eastAsia="宋体" w:cs="Times New Roman"/>
                <w:bCs/>
                <w:sz w:val="21"/>
                <w:szCs w:val="21"/>
              </w:rPr>
            </w:pPr>
          </w:p>
        </w:tc>
        <w:tc>
          <w:tcPr>
            <w:tcW w:w="12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CE81D6">
            <w:pPr>
              <w:widowControl/>
              <w:adjustRightInd w:val="0"/>
              <w:snapToGrid w:val="0"/>
              <w:spacing w:line="360" w:lineRule="auto"/>
              <w:jc w:val="center"/>
              <w:rPr>
                <w:rFonts w:hint="eastAsia" w:ascii="Times New Roman" w:hAnsi="Times New Roman" w:eastAsia="宋体" w:cs="Times New Roman"/>
                <w:bCs/>
                <w:sz w:val="21"/>
                <w:szCs w:val="21"/>
              </w:rPr>
            </w:pP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w:t>
            </w:r>
          </w:p>
          <w:p w14:paraId="0C4C4391">
            <w:pPr>
              <w:widowControl/>
              <w:adjustRightInd w:val="0"/>
              <w:snapToGrid w:val="0"/>
              <w:spacing w:line="36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r>
      <w:tr w14:paraId="043F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61BCD2">
            <w:pPr>
              <w:widowControl/>
              <w:adjustRightInd w:val="0"/>
              <w:snapToGrid w:val="0"/>
              <w:spacing w:line="360" w:lineRule="auto"/>
              <w:jc w:val="center"/>
              <w:rPr>
                <w:rFonts w:ascii="Times New Roman" w:hAnsi="Times New Roman" w:eastAsia="宋体" w:cs="Times New Roman"/>
                <w:bCs/>
                <w:spacing w:val="-20"/>
                <w:sz w:val="21"/>
                <w:szCs w:val="21"/>
              </w:rPr>
            </w:pPr>
            <w:r>
              <w:rPr>
                <w:rFonts w:hint="eastAsia" w:ascii="Times New Roman" w:hAnsi="Times New Roman" w:eastAsia="宋体" w:cs="Times New Roman"/>
                <w:bCs/>
                <w:spacing w:val="-20"/>
                <w:sz w:val="21"/>
                <w:szCs w:val="21"/>
              </w:rPr>
              <w:t>6</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D1DC0E">
            <w:pPr>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掌握沟通秘籍</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0DCB8EB">
            <w:pPr>
              <w:spacing w:line="360" w:lineRule="auto"/>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在教师指导下完成主题辩论活动</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F649AE">
            <w:pPr>
              <w:widowControl/>
              <w:adjustRightInd w:val="0"/>
              <w:snapToGrid w:val="0"/>
              <w:spacing w:line="36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c>
          <w:tcPr>
            <w:tcW w:w="169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16431C">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目标</w:t>
            </w:r>
            <w:r>
              <w:rPr>
                <w:rFonts w:hint="eastAsia" w:ascii="Times New Roman" w:hAnsi="Times New Roman" w:eastAsia="宋体" w:cs="Times New Roman"/>
                <w:sz w:val="21"/>
                <w:szCs w:val="21"/>
              </w:rPr>
              <w:t>1、目标2</w:t>
            </w:r>
          </w:p>
        </w:tc>
        <w:tc>
          <w:tcPr>
            <w:tcW w:w="1068"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57D3612A">
            <w:pPr>
              <w:widowControl/>
              <w:adjustRightInd w:val="0"/>
              <w:snapToGrid w:val="0"/>
              <w:spacing w:line="360" w:lineRule="auto"/>
              <w:jc w:val="center"/>
              <w:rPr>
                <w:rFonts w:ascii="Times New Roman" w:hAnsi="Times New Roman" w:eastAsia="宋体" w:cs="Times New Roman"/>
                <w:bCs/>
                <w:sz w:val="21"/>
                <w:szCs w:val="21"/>
              </w:rPr>
            </w:pPr>
          </w:p>
        </w:tc>
        <w:tc>
          <w:tcPr>
            <w:tcW w:w="12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E93BAD">
            <w:pPr>
              <w:widowControl/>
              <w:adjustRightInd w:val="0"/>
              <w:snapToGrid w:val="0"/>
              <w:spacing w:line="360" w:lineRule="auto"/>
              <w:jc w:val="center"/>
              <w:rPr>
                <w:rFonts w:hint="eastAsia" w:ascii="Times New Roman" w:hAnsi="Times New Roman" w:eastAsia="宋体" w:cs="Times New Roman"/>
                <w:bCs/>
                <w:sz w:val="21"/>
                <w:szCs w:val="21"/>
              </w:rPr>
            </w:pP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w:t>
            </w:r>
          </w:p>
          <w:p w14:paraId="74DD92D5">
            <w:pPr>
              <w:widowControl/>
              <w:adjustRightInd w:val="0"/>
              <w:snapToGrid w:val="0"/>
              <w:spacing w:line="36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r>
      <w:tr w14:paraId="7316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7F0B61">
            <w:pPr>
              <w:widowControl/>
              <w:adjustRightInd w:val="0"/>
              <w:snapToGrid w:val="0"/>
              <w:spacing w:line="360" w:lineRule="auto"/>
              <w:jc w:val="center"/>
              <w:rPr>
                <w:rFonts w:ascii="Times New Roman" w:hAnsi="Times New Roman" w:eastAsia="宋体" w:cs="Times New Roman"/>
                <w:bCs/>
                <w:spacing w:val="-20"/>
                <w:sz w:val="21"/>
                <w:szCs w:val="21"/>
              </w:rPr>
            </w:pPr>
            <w:r>
              <w:rPr>
                <w:rFonts w:hint="eastAsia" w:ascii="Times New Roman" w:hAnsi="Times New Roman" w:eastAsia="宋体" w:cs="Times New Roman"/>
                <w:bCs/>
                <w:spacing w:val="-20"/>
                <w:sz w:val="21"/>
                <w:szCs w:val="21"/>
              </w:rPr>
              <w:t>7</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7E61E0">
            <w:pPr>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开启亲密之旅</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E9D3F2">
            <w:pPr>
              <w:spacing w:line="360" w:lineRule="auto"/>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在教师组织下积极参与体心融合主题各项活动</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55B44C">
            <w:pPr>
              <w:widowControl/>
              <w:adjustRightInd w:val="0"/>
              <w:snapToGrid w:val="0"/>
              <w:spacing w:line="36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c>
          <w:tcPr>
            <w:tcW w:w="169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965D3C">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目标</w:t>
            </w:r>
            <w:r>
              <w:rPr>
                <w:rFonts w:hint="eastAsia" w:ascii="Times New Roman" w:hAnsi="Times New Roman" w:eastAsia="宋体" w:cs="Times New Roman"/>
                <w:sz w:val="21"/>
                <w:szCs w:val="21"/>
              </w:rPr>
              <w:t>1、目标2</w:t>
            </w:r>
          </w:p>
        </w:tc>
        <w:tc>
          <w:tcPr>
            <w:tcW w:w="1068"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0C185A5C">
            <w:pPr>
              <w:widowControl/>
              <w:adjustRightInd w:val="0"/>
              <w:snapToGrid w:val="0"/>
              <w:spacing w:line="360" w:lineRule="auto"/>
              <w:jc w:val="center"/>
              <w:rPr>
                <w:rFonts w:ascii="Times New Roman" w:hAnsi="Times New Roman" w:eastAsia="宋体" w:cs="Times New Roman"/>
                <w:bCs/>
                <w:sz w:val="21"/>
                <w:szCs w:val="21"/>
              </w:rPr>
            </w:pPr>
          </w:p>
        </w:tc>
        <w:tc>
          <w:tcPr>
            <w:tcW w:w="12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FB4E24">
            <w:pPr>
              <w:widowControl/>
              <w:adjustRightInd w:val="0"/>
              <w:snapToGrid w:val="0"/>
              <w:spacing w:line="360" w:lineRule="auto"/>
              <w:jc w:val="center"/>
              <w:rPr>
                <w:rFonts w:hint="eastAsia" w:ascii="Times New Roman" w:hAnsi="Times New Roman" w:eastAsia="宋体" w:cs="Times New Roman"/>
                <w:bCs/>
                <w:sz w:val="21"/>
                <w:szCs w:val="21"/>
              </w:rPr>
            </w:pP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w:t>
            </w:r>
          </w:p>
          <w:p w14:paraId="0A88FEF3">
            <w:pPr>
              <w:widowControl/>
              <w:adjustRightInd w:val="0"/>
              <w:snapToGrid w:val="0"/>
              <w:spacing w:line="36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r>
      <w:tr w14:paraId="2E60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35EB04">
            <w:pPr>
              <w:widowControl/>
              <w:adjustRightInd w:val="0"/>
              <w:snapToGrid w:val="0"/>
              <w:spacing w:line="360" w:lineRule="auto"/>
              <w:jc w:val="center"/>
              <w:rPr>
                <w:rFonts w:ascii="Times New Roman" w:hAnsi="Times New Roman" w:eastAsia="宋体" w:cs="Times New Roman"/>
                <w:bCs/>
                <w:spacing w:val="-20"/>
                <w:sz w:val="21"/>
                <w:szCs w:val="21"/>
              </w:rPr>
            </w:pPr>
            <w:r>
              <w:rPr>
                <w:rFonts w:hint="eastAsia" w:ascii="Times New Roman" w:hAnsi="Times New Roman" w:eastAsia="宋体" w:cs="Times New Roman"/>
                <w:bCs/>
                <w:spacing w:val="-20"/>
                <w:sz w:val="21"/>
                <w:szCs w:val="21"/>
              </w:rPr>
              <w:t>8</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CD52C5">
            <w:pPr>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自我成长</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6CF8ED">
            <w:pPr>
              <w:spacing w:line="360" w:lineRule="auto"/>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按照要求完成个人心理成长报告</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9E7E6D8">
            <w:pPr>
              <w:widowControl/>
              <w:adjustRightInd w:val="0"/>
              <w:snapToGrid w:val="0"/>
              <w:spacing w:line="36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c>
          <w:tcPr>
            <w:tcW w:w="169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70337D">
            <w:pPr>
              <w:widowControl/>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目标</w:t>
            </w:r>
            <w:r>
              <w:rPr>
                <w:rFonts w:hint="eastAsia" w:ascii="Times New Roman" w:hAnsi="Times New Roman" w:eastAsia="宋体" w:cs="Times New Roman"/>
                <w:sz w:val="21"/>
                <w:szCs w:val="21"/>
              </w:rPr>
              <w:t>1、目标2</w:t>
            </w:r>
          </w:p>
        </w:tc>
        <w:tc>
          <w:tcPr>
            <w:tcW w:w="1068"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4D780118">
            <w:pPr>
              <w:widowControl/>
              <w:adjustRightInd w:val="0"/>
              <w:snapToGrid w:val="0"/>
              <w:spacing w:line="360" w:lineRule="auto"/>
              <w:jc w:val="center"/>
              <w:rPr>
                <w:rFonts w:ascii="Times New Roman" w:hAnsi="Times New Roman" w:eastAsia="宋体" w:cs="Times New Roman"/>
                <w:bCs/>
                <w:sz w:val="21"/>
                <w:szCs w:val="21"/>
              </w:rPr>
            </w:pPr>
          </w:p>
        </w:tc>
        <w:tc>
          <w:tcPr>
            <w:tcW w:w="12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A3D298">
            <w:pPr>
              <w:widowControl/>
              <w:adjustRightInd w:val="0"/>
              <w:snapToGrid w:val="0"/>
              <w:spacing w:line="360" w:lineRule="auto"/>
              <w:jc w:val="center"/>
              <w:rPr>
                <w:rFonts w:hint="eastAsia" w:ascii="Times New Roman" w:hAnsi="Times New Roman" w:eastAsia="宋体" w:cs="Times New Roman"/>
                <w:bCs/>
                <w:sz w:val="21"/>
                <w:szCs w:val="21"/>
              </w:rPr>
            </w:pP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1）</w:t>
            </w:r>
          </w:p>
          <w:p w14:paraId="3339600C">
            <w:pPr>
              <w:widowControl/>
              <w:adjustRightInd w:val="0"/>
              <w:snapToGrid w:val="0"/>
              <w:spacing w:line="36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r>
    </w:tbl>
    <w:p w14:paraId="09A25D86">
      <w:pPr>
        <w:snapToGrid w:val="0"/>
        <w:spacing w:line="360" w:lineRule="auto"/>
        <w:ind w:firstLine="420" w:firstLineChars="20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说明：实践要求详见实践项目存档资料。</w:t>
      </w:r>
    </w:p>
    <w:p w14:paraId="1929D590">
      <w:pPr>
        <w:snapToGrid w:val="0"/>
        <w:spacing w:line="360" w:lineRule="auto"/>
        <w:ind w:firstLine="422" w:firstLineChars="200"/>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五、课程实施</w:t>
      </w:r>
    </w:p>
    <w:p w14:paraId="2DFC961F">
      <w:pPr>
        <w:snapToGrid w:val="0"/>
        <w:spacing w:line="360" w:lineRule="auto"/>
        <w:ind w:firstLine="422" w:firstLineChars="200"/>
        <w:rPr>
          <w:rFonts w:ascii="Times New Roman" w:hAnsi="Times New Roman" w:eastAsia="宋体" w:cs="Times New Roman"/>
          <w:b/>
          <w:sz w:val="21"/>
          <w:szCs w:val="21"/>
        </w:rPr>
      </w:pPr>
      <w:r>
        <w:rPr>
          <w:rFonts w:hint="eastAsia" w:ascii="Times New Roman" w:hAnsi="Times New Roman" w:eastAsia="宋体" w:cs="Times New Roman"/>
          <w:b/>
          <w:sz w:val="21"/>
          <w:szCs w:val="21"/>
        </w:rPr>
        <w:t>（一）教学方法与教学手段</w:t>
      </w:r>
    </w:p>
    <w:p w14:paraId="68955CC5">
      <w:pPr>
        <w:snapToGrid w:val="0"/>
        <w:spacing w:line="360" w:lineRule="auto"/>
        <w:ind w:firstLine="420" w:firstLineChars="200"/>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r>
        <w:rPr>
          <w:rFonts w:hint="eastAsia" w:ascii="Times New Roman" w:hAnsi="Times New Roman" w:eastAsia="宋体" w:cs="Times New Roman"/>
          <w:sz w:val="21"/>
          <w:szCs w:val="21"/>
        </w:rPr>
        <w:t xml:space="preserve"> </w:t>
      </w:r>
      <w:r>
        <w:rPr>
          <w:rFonts w:hint="eastAsia" w:ascii="Times New Roman" w:hAnsi="Times New Roman" w:eastAsia="宋体" w:cs="Times New Roman"/>
          <w:bCs/>
          <w:sz w:val="21"/>
          <w:szCs w:val="21"/>
        </w:rPr>
        <w:t>通过采用启发式、讨论式、案例式以及专题式等多种教学方法，系统讲授心理健康基础理论，引导学生主动思考、积极参与课堂互动，强化对自我认知、情绪调节与人际交往等核心知识的理解与运用。</w:t>
      </w:r>
    </w:p>
    <w:p w14:paraId="4281FE28">
      <w:pPr>
        <w:snapToGrid w:val="0"/>
        <w:spacing w:line="360" w:lineRule="auto"/>
        <w:ind w:firstLine="420" w:firstLineChars="200"/>
        <w:rPr>
          <w:rFonts w:ascii="Times New Roman" w:hAnsi="Times New Roman" w:eastAsia="宋体" w:cs="Times New Roman"/>
          <w:bCs/>
          <w:sz w:val="21"/>
          <w:szCs w:val="21"/>
        </w:rPr>
      </w:pPr>
      <w:r>
        <w:rPr>
          <w:rFonts w:hint="eastAsia" w:ascii="Times New Roman" w:hAnsi="Times New Roman" w:eastAsia="宋体" w:cs="Times New Roman"/>
          <w:bCs/>
          <w:sz w:val="21"/>
          <w:szCs w:val="21"/>
        </w:rPr>
        <w:t>2. 依托现代化教学手段，综合利用在线课程平台、多媒体课件、心理测评工具及影音素材开展教学活动，拓展教学时空，增强教学吸引力和实效性，促进学生心理健康素养在实际生活中的迁移与内化。</w:t>
      </w:r>
    </w:p>
    <w:p w14:paraId="7D238FBC">
      <w:pPr>
        <w:snapToGrid w:val="0"/>
        <w:spacing w:line="360" w:lineRule="auto"/>
        <w:ind w:firstLine="420" w:firstLineChars="200"/>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3.课程思政育人方法：以中华文化智慧解读心理现象，借助榜样故事和情境讨论激发学生情感认同，促使他们在解决实际心理问题的过程中自觉践行积极向上的价值理念；通过将自强不息、诚信友善等核心价值观自然融入心理知识教学与案例分析，并在小组实践与反思中引导学生体悟个人成长与社会责任的统一，实现润心育德的价值塑造。</w:t>
      </w:r>
    </w:p>
    <w:p w14:paraId="6A188529">
      <w:pPr>
        <w:spacing w:line="360" w:lineRule="auto"/>
        <w:ind w:firstLine="422" w:firstLineChars="200"/>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（二）教学质量要求</w:t>
      </w:r>
    </w:p>
    <w:p w14:paraId="68746932">
      <w:pPr>
        <w:tabs>
          <w:tab w:val="right" w:pos="9070"/>
        </w:tabs>
        <w:spacing w:line="36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课程主要教学环节及其质量要求如表</w:t>
      </w:r>
      <w:r>
        <w:rPr>
          <w:rFonts w:ascii="Times New Roman" w:hAnsi="Times New Roman" w:eastAsia="宋体" w:cs="Times New Roman"/>
          <w:sz w:val="21"/>
          <w:szCs w:val="21"/>
        </w:rPr>
        <w:t>4</w:t>
      </w:r>
      <w:r>
        <w:rPr>
          <w:rFonts w:hint="eastAsia" w:ascii="Times New Roman" w:hAnsi="Times New Roman" w:eastAsia="宋体" w:cs="Times New Roman"/>
          <w:sz w:val="21"/>
          <w:szCs w:val="21"/>
        </w:rPr>
        <w:t>所示。</w:t>
      </w:r>
      <w:r>
        <w:rPr>
          <w:rFonts w:ascii="Times New Roman" w:hAnsi="Times New Roman" w:eastAsia="宋体" w:cs="Times New Roman"/>
          <w:sz w:val="21"/>
          <w:szCs w:val="21"/>
        </w:rPr>
        <w:tab/>
      </w:r>
    </w:p>
    <w:p w14:paraId="6262041A">
      <w:pPr>
        <w:spacing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表</w:t>
      </w:r>
      <w:r>
        <w:rPr>
          <w:rFonts w:ascii="Times New Roman" w:hAnsi="Times New Roman" w:eastAsia="宋体" w:cs="Times New Roman"/>
          <w:sz w:val="21"/>
          <w:szCs w:val="21"/>
        </w:rPr>
        <w:t xml:space="preserve">4  </w:t>
      </w:r>
      <w:r>
        <w:rPr>
          <w:rFonts w:hint="eastAsia" w:ascii="Times New Roman" w:hAnsi="Times New Roman" w:eastAsia="宋体" w:cs="Times New Roman"/>
          <w:sz w:val="21"/>
          <w:szCs w:val="21"/>
        </w:rPr>
        <w:t>课程主要教学环节和质量要求表</w:t>
      </w:r>
    </w:p>
    <w:tbl>
      <w:tblPr>
        <w:tblStyle w:val="15"/>
        <w:tblW w:w="8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202"/>
        <w:gridCol w:w="6900"/>
      </w:tblGrid>
      <w:tr w14:paraId="1B11E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872" w:type="dxa"/>
            <w:gridSpan w:val="2"/>
            <w:tcBorders>
              <w:top w:val="single" w:color="auto" w:sz="4" w:space="0"/>
              <w:left w:val="single" w:color="auto" w:sz="4" w:space="0"/>
              <w:right w:val="single" w:color="auto" w:sz="4" w:space="0"/>
            </w:tcBorders>
            <w:noWrap w:val="0"/>
            <w:tcMar>
              <w:left w:w="28" w:type="dxa"/>
              <w:right w:w="28" w:type="dxa"/>
            </w:tcMar>
            <w:vAlign w:val="center"/>
          </w:tcPr>
          <w:p w14:paraId="5CC902A5">
            <w:pPr>
              <w:snapToGrid w:val="0"/>
              <w:spacing w:line="36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主要教学环节</w:t>
            </w:r>
          </w:p>
        </w:tc>
        <w:tc>
          <w:tcPr>
            <w:tcW w:w="6900" w:type="dxa"/>
            <w:tcBorders>
              <w:top w:val="single" w:color="auto" w:sz="4" w:space="0"/>
              <w:left w:val="single" w:color="auto" w:sz="4" w:space="0"/>
              <w:right w:val="single" w:color="auto" w:sz="4" w:space="0"/>
            </w:tcBorders>
            <w:noWrap w:val="0"/>
            <w:vAlign w:val="center"/>
          </w:tcPr>
          <w:p w14:paraId="5441357B">
            <w:pPr>
              <w:snapToGrid w:val="0"/>
              <w:spacing w:line="36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质量</w:t>
            </w:r>
            <w:r>
              <w:rPr>
                <w:rFonts w:hint="eastAsia" w:ascii="Times New Roman" w:hAnsi="Times New Roman" w:eastAsia="宋体" w:cs="Times New Roman"/>
                <w:b/>
                <w:sz w:val="21"/>
                <w:szCs w:val="21"/>
              </w:rPr>
              <w:t>要求</w:t>
            </w:r>
          </w:p>
        </w:tc>
      </w:tr>
      <w:tr w14:paraId="29AD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0" w:type="dxa"/>
            <w:tcBorders>
              <w:left w:val="single" w:color="auto" w:sz="4" w:space="0"/>
            </w:tcBorders>
            <w:noWrap w:val="0"/>
            <w:vAlign w:val="center"/>
          </w:tcPr>
          <w:p w14:paraId="3F442E92">
            <w:pPr>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202" w:type="dxa"/>
            <w:noWrap w:val="0"/>
            <w:tcMar>
              <w:left w:w="28" w:type="dxa"/>
              <w:right w:w="28" w:type="dxa"/>
            </w:tcMar>
            <w:vAlign w:val="center"/>
          </w:tcPr>
          <w:p w14:paraId="1BA4EED7">
            <w:pPr>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备课</w:t>
            </w:r>
          </w:p>
        </w:tc>
        <w:tc>
          <w:tcPr>
            <w:tcW w:w="6900" w:type="dxa"/>
            <w:tcBorders>
              <w:right w:val="single" w:color="auto" w:sz="4" w:space="0"/>
            </w:tcBorders>
            <w:noWrap w:val="0"/>
            <w:vAlign w:val="center"/>
          </w:tcPr>
          <w:p w14:paraId="5E36E1D6">
            <w:pPr>
              <w:snapToGrid w:val="0"/>
              <w:spacing w:line="360" w:lineRule="auto"/>
              <w:ind w:firstLine="420" w:firstLineChars="200"/>
              <w:rPr>
                <w:rFonts w:ascii="宋体" w:hAnsi="宋体" w:eastAsia="宋体" w:cs="Times New Roman"/>
                <w:sz w:val="21"/>
                <w:szCs w:val="21"/>
              </w:rPr>
            </w:pPr>
            <w:r>
              <w:rPr>
                <w:rFonts w:hint="eastAsia" w:ascii="宋体" w:hAnsi="宋体" w:eastAsia="宋体" w:cs="Times New Roman"/>
                <w:sz w:val="21"/>
                <w:szCs w:val="21"/>
              </w:rPr>
              <w:t>（1）掌握本课程教学大纲内容，按照教学大纲要求进行课程教学内容的组织。</w:t>
            </w:r>
          </w:p>
          <w:p w14:paraId="2190AF80">
            <w:pPr>
              <w:snapToGrid w:val="0"/>
              <w:spacing w:line="360" w:lineRule="auto"/>
              <w:ind w:firstLine="420" w:firstLineChars="200"/>
              <w:rPr>
                <w:rFonts w:ascii="宋体" w:hAnsi="宋体" w:eastAsia="宋体" w:cs="Times New Roman"/>
                <w:sz w:val="21"/>
                <w:szCs w:val="21"/>
              </w:rPr>
            </w:pPr>
            <w:r>
              <w:rPr>
                <w:rFonts w:hint="eastAsia" w:ascii="宋体" w:hAnsi="宋体" w:eastAsia="宋体" w:cs="Times New Roman"/>
                <w:sz w:val="21"/>
                <w:szCs w:val="21"/>
              </w:rPr>
              <w:t>（2）熟悉教材各章节，借助相关专业书籍资料，并依据教学大纲编写授课计划，编写每次授课的教案。</w:t>
            </w:r>
          </w:p>
          <w:p w14:paraId="61F2FE33">
            <w:pPr>
              <w:snapToGrid w:val="0"/>
              <w:spacing w:line="360" w:lineRule="auto"/>
              <w:ind w:firstLine="420" w:firstLineChars="200"/>
              <w:rPr>
                <w:rFonts w:ascii="宋体" w:hAnsi="宋体" w:eastAsia="宋体" w:cs="Times New Roman"/>
                <w:sz w:val="21"/>
                <w:szCs w:val="21"/>
              </w:rPr>
            </w:pPr>
            <w:r>
              <w:rPr>
                <w:rFonts w:hint="eastAsia" w:ascii="宋体" w:hAnsi="宋体" w:eastAsia="宋体" w:cs="Times New Roman"/>
                <w:sz w:val="21"/>
                <w:szCs w:val="21"/>
              </w:rPr>
              <w:t>（3）根据各部分教学内容，构思授课思路、技巧，选择合适的教学方法。</w:t>
            </w:r>
          </w:p>
        </w:tc>
      </w:tr>
      <w:tr w14:paraId="588A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0" w:type="dxa"/>
            <w:tcBorders>
              <w:left w:val="single" w:color="auto" w:sz="4" w:space="0"/>
            </w:tcBorders>
            <w:noWrap w:val="0"/>
            <w:vAlign w:val="center"/>
          </w:tcPr>
          <w:p w14:paraId="00E6316A">
            <w:pPr>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202" w:type="dxa"/>
            <w:noWrap w:val="0"/>
            <w:tcMar>
              <w:left w:w="28" w:type="dxa"/>
              <w:right w:w="28" w:type="dxa"/>
            </w:tcMar>
            <w:vAlign w:val="center"/>
          </w:tcPr>
          <w:p w14:paraId="1E1731C4">
            <w:pPr>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讲授</w:t>
            </w:r>
          </w:p>
        </w:tc>
        <w:tc>
          <w:tcPr>
            <w:tcW w:w="6900" w:type="dxa"/>
            <w:tcBorders>
              <w:right w:val="single" w:color="auto" w:sz="4" w:space="0"/>
            </w:tcBorders>
            <w:noWrap w:val="0"/>
            <w:vAlign w:val="center"/>
          </w:tcPr>
          <w:p w14:paraId="347A0842">
            <w:pPr>
              <w:snapToGrid w:val="0"/>
              <w:spacing w:line="360" w:lineRule="auto"/>
              <w:ind w:firstLine="420" w:firstLineChars="200"/>
              <w:rPr>
                <w:rFonts w:ascii="宋体" w:hAnsi="宋体" w:eastAsia="宋体" w:cs="Times New Roman"/>
                <w:sz w:val="21"/>
                <w:szCs w:val="21"/>
              </w:rPr>
            </w:pPr>
            <w:r>
              <w:rPr>
                <w:rFonts w:hint="eastAsia" w:ascii="宋体" w:hAnsi="宋体" w:eastAsia="宋体" w:cs="Times New Roman"/>
                <w:sz w:val="21"/>
                <w:szCs w:val="21"/>
              </w:rPr>
              <w:t>（1）要点准确、推理正确、条理清晰、重点突出，能够理论联系实际。</w:t>
            </w:r>
          </w:p>
          <w:p w14:paraId="180FCB87">
            <w:pPr>
              <w:snapToGrid w:val="0"/>
              <w:spacing w:line="360" w:lineRule="auto"/>
              <w:ind w:firstLine="420" w:firstLineChars="200"/>
              <w:rPr>
                <w:rFonts w:ascii="宋体" w:hAnsi="宋体" w:eastAsia="宋体" w:cs="Times New Roman"/>
                <w:sz w:val="21"/>
                <w:szCs w:val="21"/>
              </w:rPr>
            </w:pPr>
            <w:r>
              <w:rPr>
                <w:rFonts w:hint="eastAsia" w:ascii="宋体" w:hAnsi="宋体" w:eastAsia="宋体" w:cs="Times New Roman"/>
                <w:sz w:val="21"/>
                <w:szCs w:val="21"/>
              </w:rPr>
              <w:t>（2）采用多种教学方式（如启发式教学、讨论式教学、案例分析教学等），培养学生的思想政治素质，注重培养学生发现、分析和解决问题的能力。</w:t>
            </w:r>
          </w:p>
          <w:p w14:paraId="2DF6F85B">
            <w:pPr>
              <w:snapToGrid w:val="0"/>
              <w:spacing w:line="360" w:lineRule="auto"/>
              <w:ind w:firstLine="420" w:firstLineChars="200"/>
              <w:rPr>
                <w:rFonts w:ascii="宋体" w:hAnsi="宋体" w:eastAsia="宋体" w:cs="Times New Roman"/>
                <w:sz w:val="21"/>
                <w:szCs w:val="21"/>
              </w:rPr>
            </w:pPr>
            <w:r>
              <w:rPr>
                <w:rFonts w:hint="eastAsia" w:ascii="宋体" w:hAnsi="宋体" w:eastAsia="宋体" w:cs="Times New Roman"/>
                <w:sz w:val="21"/>
                <w:szCs w:val="21"/>
              </w:rPr>
              <w:t>（3）能够采用现代信息技术辅助教学。</w:t>
            </w:r>
          </w:p>
          <w:p w14:paraId="71706750">
            <w:pPr>
              <w:snapToGrid w:val="0"/>
              <w:spacing w:line="360" w:lineRule="auto"/>
              <w:ind w:firstLine="420" w:firstLineChars="200"/>
              <w:rPr>
                <w:rFonts w:ascii="宋体" w:hAnsi="宋体" w:eastAsia="宋体" w:cs="Times New Roman"/>
                <w:sz w:val="21"/>
                <w:szCs w:val="21"/>
              </w:rPr>
            </w:pPr>
            <w:r>
              <w:rPr>
                <w:rFonts w:hint="eastAsia" w:ascii="宋体" w:hAnsi="宋体" w:eastAsia="宋体" w:cs="Times New Roman"/>
                <w:sz w:val="21"/>
                <w:szCs w:val="21"/>
              </w:rPr>
              <w:t>（4）表达方式应能便于学生理解、接受，力求形象生动，使学生在掌握知识的过程中，保持较为浓厚的兴趣。</w:t>
            </w:r>
          </w:p>
        </w:tc>
      </w:tr>
      <w:tr w14:paraId="147D1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0" w:type="dxa"/>
            <w:tcBorders>
              <w:left w:val="single" w:color="auto" w:sz="4" w:space="0"/>
            </w:tcBorders>
            <w:noWrap w:val="0"/>
            <w:vAlign w:val="center"/>
          </w:tcPr>
          <w:p w14:paraId="7FDF70DD">
            <w:pPr>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202" w:type="dxa"/>
            <w:noWrap w:val="0"/>
            <w:tcMar>
              <w:left w:w="28" w:type="dxa"/>
              <w:right w:w="28" w:type="dxa"/>
            </w:tcMar>
            <w:vAlign w:val="center"/>
          </w:tcPr>
          <w:p w14:paraId="71F66F8E">
            <w:pPr>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过程性考核</w:t>
            </w:r>
          </w:p>
        </w:tc>
        <w:tc>
          <w:tcPr>
            <w:tcW w:w="6900" w:type="dxa"/>
            <w:tcBorders>
              <w:right w:val="single" w:color="auto" w:sz="4" w:space="0"/>
            </w:tcBorders>
            <w:noWrap w:val="0"/>
            <w:vAlign w:val="center"/>
          </w:tcPr>
          <w:p w14:paraId="3EB99EC4">
            <w:pPr>
              <w:snapToGrid w:val="0"/>
              <w:spacing w:line="360" w:lineRule="auto"/>
              <w:ind w:firstLine="420" w:firstLineChars="200"/>
              <w:rPr>
                <w:rFonts w:ascii="宋体" w:hAnsi="宋体" w:eastAsia="宋体" w:cs="Times New Roman"/>
                <w:sz w:val="21"/>
                <w:szCs w:val="21"/>
              </w:rPr>
            </w:pPr>
            <w:r>
              <w:rPr>
                <w:rFonts w:hint="eastAsia" w:ascii="宋体" w:hAnsi="宋体" w:eastAsia="宋体" w:cs="Times New Roman"/>
                <w:sz w:val="21"/>
                <w:szCs w:val="21"/>
              </w:rPr>
              <w:t>（1）平时表现：教师应当抽查学生的到课情况，通过提问、现场交流等方式随时关注学生的课堂学习状况，及时提醒并做好记录。</w:t>
            </w:r>
          </w:p>
          <w:p w14:paraId="0F61F59D">
            <w:pPr>
              <w:snapToGrid w:val="0"/>
              <w:spacing w:line="360" w:lineRule="auto"/>
              <w:ind w:firstLine="420" w:firstLineChars="200"/>
              <w:rPr>
                <w:rFonts w:ascii="宋体" w:hAnsi="宋体" w:eastAsia="宋体" w:cs="Times New Roman"/>
                <w:sz w:val="21"/>
                <w:szCs w:val="21"/>
              </w:rPr>
            </w:pPr>
            <w:r>
              <w:rPr>
                <w:rFonts w:hint="eastAsia" w:ascii="宋体" w:hAnsi="宋体" w:eastAsia="宋体" w:cs="Times New Roman"/>
                <w:sz w:val="21"/>
                <w:szCs w:val="21"/>
              </w:rPr>
              <w:t>（2）作业：学生必须完成2次理论作业和规定数量的实践记录，按时按量完成，不缺交，不抄袭；书写规范、清晰。教师要按时批改理论作业，并及时进行讲评；批改和讲评作业要认真、细致，按百分制评定成绩并写明日期。</w:t>
            </w:r>
          </w:p>
        </w:tc>
      </w:tr>
      <w:tr w14:paraId="14E0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0" w:type="dxa"/>
            <w:tcBorders>
              <w:left w:val="single" w:color="auto" w:sz="4" w:space="0"/>
            </w:tcBorders>
            <w:noWrap w:val="0"/>
            <w:vAlign w:val="center"/>
          </w:tcPr>
          <w:p w14:paraId="40479908">
            <w:pPr>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202" w:type="dxa"/>
            <w:noWrap w:val="0"/>
            <w:tcMar>
              <w:left w:w="28" w:type="dxa"/>
              <w:right w:w="28" w:type="dxa"/>
            </w:tcMar>
            <w:vAlign w:val="center"/>
          </w:tcPr>
          <w:p w14:paraId="625C5794">
            <w:pPr>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课外答疑</w:t>
            </w:r>
          </w:p>
        </w:tc>
        <w:tc>
          <w:tcPr>
            <w:tcW w:w="6900" w:type="dxa"/>
            <w:tcBorders>
              <w:right w:val="single" w:color="auto" w:sz="4" w:space="0"/>
            </w:tcBorders>
            <w:noWrap w:val="0"/>
            <w:vAlign w:val="center"/>
          </w:tcPr>
          <w:p w14:paraId="037AEB08">
            <w:pPr>
              <w:snapToGrid w:val="0"/>
              <w:spacing w:line="360" w:lineRule="auto"/>
              <w:ind w:firstLine="420" w:firstLineChars="200"/>
              <w:rPr>
                <w:rFonts w:ascii="宋体" w:hAnsi="宋体" w:eastAsia="宋体" w:cs="Times New Roman"/>
                <w:sz w:val="21"/>
                <w:szCs w:val="21"/>
              </w:rPr>
            </w:pPr>
            <w:r>
              <w:rPr>
                <w:rFonts w:hint="eastAsia" w:ascii="宋体" w:hAnsi="宋体" w:eastAsia="宋体" w:cs="Times New Roman"/>
                <w:sz w:val="21"/>
                <w:szCs w:val="21"/>
              </w:rPr>
              <w:t>为了解学生的学习情况，帮助学生更好地理解和消化所学知识，改进学习方法和思维，培养其独立思考问题的能力，任课教师应借助课外时间和课程网络教学平台，对学生进行答疑与辅导工作。</w:t>
            </w:r>
          </w:p>
        </w:tc>
      </w:tr>
      <w:tr w14:paraId="5704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0" w:type="dxa"/>
            <w:tcBorders>
              <w:left w:val="single" w:color="auto" w:sz="4" w:space="0"/>
            </w:tcBorders>
            <w:noWrap w:val="0"/>
            <w:vAlign w:val="center"/>
          </w:tcPr>
          <w:p w14:paraId="20D5B667">
            <w:pPr>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202" w:type="dxa"/>
            <w:noWrap w:val="0"/>
            <w:tcMar>
              <w:left w:w="28" w:type="dxa"/>
              <w:right w:w="28" w:type="dxa"/>
            </w:tcMar>
            <w:vAlign w:val="center"/>
          </w:tcPr>
          <w:p w14:paraId="64DC4997">
            <w:pPr>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期末考试</w:t>
            </w:r>
          </w:p>
        </w:tc>
        <w:tc>
          <w:tcPr>
            <w:tcW w:w="6900" w:type="dxa"/>
            <w:tcBorders>
              <w:right w:val="single" w:color="auto" w:sz="4" w:space="0"/>
            </w:tcBorders>
            <w:noWrap w:val="0"/>
            <w:vAlign w:val="center"/>
          </w:tcPr>
          <w:p w14:paraId="2341BA32">
            <w:pPr>
              <w:snapToGrid w:val="0"/>
              <w:spacing w:line="360" w:lineRule="auto"/>
              <w:ind w:firstLine="420" w:firstLineChars="200"/>
              <w:rPr>
                <w:rFonts w:ascii="宋体" w:hAnsi="宋体" w:eastAsia="宋体" w:cs="Times New Roman"/>
                <w:sz w:val="21"/>
                <w:szCs w:val="21"/>
              </w:rPr>
            </w:pPr>
            <w:r>
              <w:rPr>
                <w:rFonts w:hint="eastAsia" w:ascii="宋体" w:hAnsi="宋体" w:eastAsia="宋体" w:cs="Times New Roman"/>
                <w:sz w:val="21"/>
                <w:szCs w:val="21"/>
              </w:rPr>
              <w:t>本课程期末采取考查方式考核，总评成绩的评定见课程考核方案。期末考核成绩低于40分，总评成绩不及格。有下列情况之一，取消其考核资格，该课程期末成绩标记为“停考”，总评成绩以零分计算：</w:t>
            </w:r>
          </w:p>
          <w:p w14:paraId="39EA3D68">
            <w:pPr>
              <w:snapToGrid w:val="0"/>
              <w:spacing w:line="360" w:lineRule="auto"/>
              <w:ind w:firstLine="420" w:firstLineChars="200"/>
              <w:rPr>
                <w:rFonts w:ascii="宋体" w:hAnsi="宋体" w:eastAsia="宋体" w:cs="Times New Roman"/>
                <w:sz w:val="21"/>
                <w:szCs w:val="21"/>
              </w:rPr>
            </w:pPr>
            <w:r>
              <w:rPr>
                <w:rFonts w:hint="eastAsia" w:ascii="宋体" w:hAnsi="宋体" w:eastAsia="宋体" w:cs="Times New Roman"/>
                <w:sz w:val="21"/>
                <w:szCs w:val="21"/>
              </w:rPr>
              <w:t>（1）缺交作业达全学期总量的1/3及以上；</w:t>
            </w:r>
          </w:p>
          <w:p w14:paraId="3DDE6EE9">
            <w:pPr>
              <w:snapToGrid w:val="0"/>
              <w:spacing w:line="360" w:lineRule="auto"/>
              <w:ind w:firstLine="420" w:firstLineChars="200"/>
              <w:rPr>
                <w:rFonts w:ascii="宋体" w:hAnsi="宋体" w:eastAsia="宋体" w:cs="Times New Roman"/>
                <w:sz w:val="21"/>
                <w:szCs w:val="21"/>
              </w:rPr>
            </w:pPr>
            <w:r>
              <w:rPr>
                <w:rFonts w:hint="eastAsia" w:ascii="宋体" w:hAnsi="宋体" w:eastAsia="宋体" w:cs="Times New Roman"/>
                <w:sz w:val="21"/>
                <w:szCs w:val="21"/>
              </w:rPr>
              <w:t>（2）缺课达讲授总学时数的1/3及以上。</w:t>
            </w:r>
          </w:p>
          <w:p w14:paraId="0E47D34E">
            <w:pPr>
              <w:snapToGrid w:val="0"/>
              <w:spacing w:line="360" w:lineRule="auto"/>
              <w:ind w:firstLine="420" w:firstLineChars="200"/>
              <w:rPr>
                <w:rFonts w:ascii="宋体" w:hAnsi="宋体" w:eastAsia="宋体" w:cs="Times New Roman"/>
                <w:sz w:val="21"/>
                <w:szCs w:val="21"/>
              </w:rPr>
            </w:pPr>
            <w:r>
              <w:rPr>
                <w:rFonts w:hint="eastAsia" w:ascii="宋体" w:hAnsi="宋体" w:eastAsia="宋体" w:cs="Times New Roman"/>
                <w:sz w:val="21"/>
                <w:szCs w:val="21"/>
              </w:rPr>
              <w:t>教师应当及时认真批改作业，所有教学环节完成后，教师应当及时整理各类教学资料，经学院审核后按要求归档。</w:t>
            </w:r>
          </w:p>
        </w:tc>
      </w:tr>
    </w:tbl>
    <w:p w14:paraId="3A7E4D6D">
      <w:pPr>
        <w:spacing w:line="360" w:lineRule="auto"/>
        <w:ind w:firstLine="422" w:firstLineChars="200"/>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六、课程考核</w:t>
      </w:r>
    </w:p>
    <w:p w14:paraId="05F94406">
      <w:pPr>
        <w:spacing w:line="36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（一）</w:t>
      </w:r>
      <w:r>
        <w:rPr>
          <w:rFonts w:ascii="Times New Roman" w:hAnsi="Times New Roman" w:eastAsia="宋体" w:cs="Times New Roman"/>
          <w:sz w:val="21"/>
          <w:szCs w:val="21"/>
        </w:rPr>
        <w:t>课程考核</w:t>
      </w:r>
      <w:r>
        <w:rPr>
          <w:rFonts w:hint="eastAsia" w:ascii="Times New Roman" w:hAnsi="Times New Roman" w:eastAsia="宋体" w:cs="Times New Roman"/>
          <w:sz w:val="21"/>
          <w:szCs w:val="21"/>
        </w:rPr>
        <w:t>方式</w:t>
      </w:r>
    </w:p>
    <w:p w14:paraId="3453657A">
      <w:pPr>
        <w:spacing w:line="360" w:lineRule="auto"/>
        <w:ind w:firstLine="420" w:firstLineChars="20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课程考核包括课堂表现、实践作业、成长报告等环节，以考查方式给予综合评定。</w:t>
      </w:r>
    </w:p>
    <w:p w14:paraId="0D6310C9">
      <w:pPr>
        <w:spacing w:line="36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（二）总评成绩评定方法</w:t>
      </w:r>
    </w:p>
    <w:p w14:paraId="7A61CBAE">
      <w:pPr>
        <w:spacing w:line="360" w:lineRule="auto"/>
        <w:ind w:firstLine="420" w:firstLineChars="20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课程总评成绩=课堂表现成绩×30%+实践作业成绩×30%+成长报告成绩×40%。</w:t>
      </w:r>
    </w:p>
    <w:p w14:paraId="5A0B8C76">
      <w:pPr>
        <w:spacing w:line="36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具体内容、比例和评价参考标准如表</w:t>
      </w:r>
      <w:r>
        <w:rPr>
          <w:rFonts w:ascii="Times New Roman" w:hAnsi="Times New Roman" w:eastAsia="宋体" w:cs="Times New Roman"/>
          <w:sz w:val="21"/>
          <w:szCs w:val="21"/>
        </w:rPr>
        <w:t>5</w:t>
      </w:r>
      <w:r>
        <w:rPr>
          <w:rFonts w:hint="eastAsia" w:ascii="Times New Roman" w:hAnsi="Times New Roman" w:eastAsia="宋体" w:cs="Times New Roman"/>
          <w:sz w:val="21"/>
          <w:szCs w:val="21"/>
        </w:rPr>
        <w:t>所示。</w:t>
      </w:r>
    </w:p>
    <w:p w14:paraId="510DC82F">
      <w:pPr>
        <w:spacing w:line="360" w:lineRule="auto"/>
        <w:ind w:firstLine="420" w:firstLineChars="20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表</w:t>
      </w:r>
      <w:r>
        <w:rPr>
          <w:rFonts w:ascii="Times New Roman" w:hAnsi="Times New Roman" w:eastAsia="宋体" w:cs="Times New Roman"/>
          <w:sz w:val="21"/>
          <w:szCs w:val="21"/>
        </w:rPr>
        <w:t xml:space="preserve">5  </w:t>
      </w:r>
      <w:r>
        <w:rPr>
          <w:rFonts w:hint="eastAsia" w:ascii="Times New Roman" w:hAnsi="Times New Roman" w:eastAsia="宋体" w:cs="Times New Roman"/>
          <w:sz w:val="21"/>
          <w:szCs w:val="21"/>
        </w:rPr>
        <w:t>考核总评成绩组成及评价细则表</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763"/>
        <w:gridCol w:w="851"/>
        <w:gridCol w:w="5103"/>
      </w:tblGrid>
      <w:tr w14:paraId="750C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072" w:type="dxa"/>
            <w:shd w:val="clear" w:color="auto" w:fill="FFFFFF"/>
            <w:noWrap w:val="0"/>
            <w:tcMar>
              <w:left w:w="57" w:type="dxa"/>
              <w:right w:w="57" w:type="dxa"/>
            </w:tcMar>
            <w:vAlign w:val="center"/>
          </w:tcPr>
          <w:p w14:paraId="5F73DE6F">
            <w:pPr>
              <w:widowControl w:val="0"/>
              <w:snapToGrid w:val="0"/>
              <w:spacing w:line="360" w:lineRule="auto"/>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成绩组成</w:t>
            </w:r>
          </w:p>
        </w:tc>
        <w:tc>
          <w:tcPr>
            <w:tcW w:w="1763" w:type="dxa"/>
            <w:shd w:val="clear" w:color="auto" w:fill="FFFFFF"/>
            <w:noWrap w:val="0"/>
            <w:vAlign w:val="center"/>
          </w:tcPr>
          <w:p w14:paraId="70D41AB2">
            <w:pPr>
              <w:widowControl w:val="0"/>
              <w:snapToGrid w:val="0"/>
              <w:spacing w:line="360" w:lineRule="auto"/>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考核</w:t>
            </w:r>
            <w:r>
              <w:rPr>
                <w:rFonts w:ascii="Times New Roman" w:hAnsi="Times New Roman" w:eastAsia="宋体" w:cs="Times New Roman"/>
                <w:b/>
                <w:bCs/>
                <w:kern w:val="2"/>
                <w:sz w:val="21"/>
                <w:szCs w:val="21"/>
                <w:lang w:val="en-US" w:eastAsia="zh-CN" w:bidi="ar-SA"/>
              </w:rPr>
              <w:t>/</w:t>
            </w:r>
            <w:r>
              <w:rPr>
                <w:rFonts w:hint="eastAsia" w:ascii="Times New Roman" w:hAnsi="Times New Roman" w:eastAsia="宋体" w:cs="Times New Roman"/>
                <w:b/>
                <w:bCs/>
                <w:kern w:val="2"/>
                <w:sz w:val="21"/>
                <w:szCs w:val="21"/>
                <w:lang w:val="en-US" w:eastAsia="zh-CN" w:bidi="ar-SA"/>
              </w:rPr>
              <w:t>评价环节</w:t>
            </w:r>
          </w:p>
        </w:tc>
        <w:tc>
          <w:tcPr>
            <w:tcW w:w="851" w:type="dxa"/>
            <w:shd w:val="clear" w:color="auto" w:fill="FFFFFF"/>
            <w:noWrap w:val="0"/>
            <w:vAlign w:val="center"/>
          </w:tcPr>
          <w:p w14:paraId="08071DA8">
            <w:pPr>
              <w:widowControl w:val="0"/>
              <w:snapToGrid w:val="0"/>
              <w:spacing w:line="360" w:lineRule="auto"/>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权重</w:t>
            </w:r>
          </w:p>
        </w:tc>
        <w:tc>
          <w:tcPr>
            <w:tcW w:w="5103" w:type="dxa"/>
            <w:shd w:val="clear" w:color="auto" w:fill="FFFFFF"/>
            <w:noWrap w:val="0"/>
            <w:vAlign w:val="center"/>
          </w:tcPr>
          <w:p w14:paraId="34A0C377">
            <w:pPr>
              <w:widowControl w:val="0"/>
              <w:snapToGrid w:val="0"/>
              <w:spacing w:line="360" w:lineRule="auto"/>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考核</w:t>
            </w:r>
            <w:r>
              <w:rPr>
                <w:rFonts w:ascii="Times New Roman" w:hAnsi="Times New Roman" w:eastAsia="宋体" w:cs="Times New Roman"/>
                <w:b/>
                <w:bCs/>
                <w:kern w:val="2"/>
                <w:sz w:val="21"/>
                <w:szCs w:val="21"/>
                <w:lang w:val="en-US" w:eastAsia="zh-CN" w:bidi="ar-SA"/>
              </w:rPr>
              <w:t>/</w:t>
            </w:r>
            <w:r>
              <w:rPr>
                <w:rFonts w:hint="eastAsia" w:ascii="Times New Roman" w:hAnsi="Times New Roman" w:eastAsia="宋体" w:cs="Times New Roman"/>
                <w:b/>
                <w:bCs/>
                <w:kern w:val="2"/>
                <w:sz w:val="21"/>
                <w:szCs w:val="21"/>
                <w:lang w:val="en-US" w:eastAsia="zh-CN" w:bidi="ar-SA"/>
              </w:rPr>
              <w:t>评价细则</w:t>
            </w:r>
          </w:p>
        </w:tc>
      </w:tr>
      <w:tr w14:paraId="63D55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072" w:type="dxa"/>
            <w:vMerge w:val="restart"/>
            <w:noWrap w:val="0"/>
            <w:tcMar>
              <w:left w:w="57" w:type="dxa"/>
              <w:right w:w="57" w:type="dxa"/>
            </w:tcMar>
            <w:vAlign w:val="center"/>
          </w:tcPr>
          <w:p w14:paraId="3424B26A">
            <w:pPr>
              <w:spacing w:line="360" w:lineRule="auto"/>
              <w:jc w:val="center"/>
              <w:rPr>
                <w:rFonts w:ascii="宋体" w:hAnsi="宋体" w:eastAsia="宋体" w:cs="Times New Roman"/>
                <w:sz w:val="21"/>
                <w:szCs w:val="21"/>
              </w:rPr>
            </w:pPr>
            <w:r>
              <w:rPr>
                <w:rFonts w:ascii="宋体" w:hAnsi="宋体" w:eastAsia="宋体" w:cs="Times New Roman"/>
                <w:sz w:val="21"/>
                <w:szCs w:val="21"/>
              </w:rPr>
              <w:t>平时成绩</w:t>
            </w:r>
          </w:p>
        </w:tc>
        <w:tc>
          <w:tcPr>
            <w:tcW w:w="1763" w:type="dxa"/>
            <w:noWrap w:val="0"/>
            <w:vAlign w:val="center"/>
          </w:tcPr>
          <w:p w14:paraId="24C683A5">
            <w:pPr>
              <w:spacing w:line="360" w:lineRule="auto"/>
              <w:jc w:val="center"/>
              <w:rPr>
                <w:rFonts w:ascii="宋体" w:hAnsi="宋体" w:eastAsia="宋体" w:cs="Times New Roman"/>
                <w:sz w:val="21"/>
                <w:szCs w:val="21"/>
              </w:rPr>
            </w:pPr>
            <w:r>
              <w:rPr>
                <w:rFonts w:hint="eastAsia" w:ascii="宋体" w:hAnsi="宋体" w:eastAsia="宋体" w:cs="Times New Roman"/>
                <w:sz w:val="21"/>
                <w:szCs w:val="21"/>
              </w:rPr>
              <w:t>课堂表现</w:t>
            </w:r>
          </w:p>
        </w:tc>
        <w:tc>
          <w:tcPr>
            <w:tcW w:w="851" w:type="dxa"/>
            <w:noWrap w:val="0"/>
            <w:vAlign w:val="center"/>
          </w:tcPr>
          <w:p w14:paraId="04E10559">
            <w:pPr>
              <w:spacing w:line="360" w:lineRule="auto"/>
              <w:jc w:val="center"/>
              <w:rPr>
                <w:rFonts w:ascii="宋体" w:hAnsi="宋体" w:eastAsia="宋体" w:cs="Times New Roman"/>
                <w:sz w:val="21"/>
                <w:szCs w:val="21"/>
              </w:rPr>
            </w:pPr>
            <w:r>
              <w:rPr>
                <w:rFonts w:hint="eastAsia" w:ascii="宋体" w:hAnsi="宋体" w:eastAsia="宋体" w:cs="Times New Roman"/>
                <w:sz w:val="21"/>
                <w:szCs w:val="21"/>
              </w:rPr>
              <w:t>3</w:t>
            </w:r>
            <w:r>
              <w:rPr>
                <w:rFonts w:ascii="宋体" w:hAnsi="宋体" w:eastAsia="宋体" w:cs="Times New Roman"/>
                <w:sz w:val="21"/>
                <w:szCs w:val="21"/>
              </w:rPr>
              <w:t>0%</w:t>
            </w:r>
          </w:p>
        </w:tc>
        <w:tc>
          <w:tcPr>
            <w:tcW w:w="5103" w:type="dxa"/>
            <w:noWrap w:val="0"/>
            <w:vAlign w:val="center"/>
          </w:tcPr>
          <w:p w14:paraId="07F29258">
            <w:pPr>
              <w:spacing w:line="360" w:lineRule="auto"/>
              <w:jc w:val="left"/>
              <w:rPr>
                <w:rFonts w:ascii="宋体" w:hAnsi="宋体" w:eastAsia="宋体" w:cs="Times New Roman"/>
                <w:sz w:val="21"/>
                <w:szCs w:val="21"/>
              </w:rPr>
            </w:pPr>
            <w:r>
              <w:rPr>
                <w:rFonts w:hint="eastAsia" w:ascii="Times New Roman" w:hAnsi="Times New Roman" w:eastAsia="宋体" w:cs="Times New Roman"/>
                <w:color w:val="000000"/>
                <w:sz w:val="21"/>
                <w:szCs w:val="21"/>
              </w:rPr>
              <w:t>通过课堂互动和学习态度等方式，评价学生对课程理论的理解和运用能力。</w:t>
            </w:r>
          </w:p>
        </w:tc>
      </w:tr>
      <w:tr w14:paraId="4012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072" w:type="dxa"/>
            <w:vMerge w:val="continue"/>
            <w:noWrap w:val="0"/>
            <w:tcMar>
              <w:left w:w="57" w:type="dxa"/>
              <w:right w:w="57" w:type="dxa"/>
            </w:tcMar>
            <w:vAlign w:val="center"/>
          </w:tcPr>
          <w:p w14:paraId="649FC460">
            <w:pPr>
              <w:spacing w:line="360" w:lineRule="auto"/>
              <w:jc w:val="center"/>
              <w:rPr>
                <w:rFonts w:ascii="宋体" w:hAnsi="宋体" w:eastAsia="宋体" w:cs="Times New Roman"/>
                <w:sz w:val="21"/>
                <w:szCs w:val="21"/>
              </w:rPr>
            </w:pPr>
          </w:p>
        </w:tc>
        <w:tc>
          <w:tcPr>
            <w:tcW w:w="1763" w:type="dxa"/>
            <w:noWrap w:val="0"/>
            <w:vAlign w:val="center"/>
          </w:tcPr>
          <w:p w14:paraId="6AC1C104">
            <w:pPr>
              <w:spacing w:line="360" w:lineRule="auto"/>
              <w:jc w:val="center"/>
              <w:rPr>
                <w:rFonts w:ascii="宋体" w:hAnsi="宋体" w:eastAsia="宋体" w:cs="Times New Roman"/>
                <w:sz w:val="21"/>
                <w:szCs w:val="21"/>
              </w:rPr>
            </w:pPr>
            <w:r>
              <w:rPr>
                <w:rFonts w:hint="eastAsia" w:ascii="宋体" w:hAnsi="宋体" w:eastAsia="宋体" w:cs="Times New Roman"/>
                <w:sz w:val="21"/>
                <w:szCs w:val="21"/>
              </w:rPr>
              <w:t>实践作业</w:t>
            </w:r>
          </w:p>
        </w:tc>
        <w:tc>
          <w:tcPr>
            <w:tcW w:w="851" w:type="dxa"/>
            <w:noWrap w:val="0"/>
            <w:vAlign w:val="center"/>
          </w:tcPr>
          <w:p w14:paraId="7D4CDE84">
            <w:pPr>
              <w:spacing w:line="360" w:lineRule="auto"/>
              <w:jc w:val="center"/>
              <w:rPr>
                <w:rFonts w:ascii="宋体" w:hAnsi="宋体" w:eastAsia="宋体" w:cs="Times New Roman"/>
                <w:sz w:val="21"/>
                <w:szCs w:val="21"/>
              </w:rPr>
            </w:pPr>
            <w:r>
              <w:rPr>
                <w:rFonts w:hint="eastAsia" w:ascii="宋体" w:hAnsi="宋体" w:eastAsia="宋体" w:cs="Times New Roman"/>
                <w:sz w:val="21"/>
                <w:szCs w:val="21"/>
              </w:rPr>
              <w:t>3</w:t>
            </w:r>
            <w:r>
              <w:rPr>
                <w:rFonts w:ascii="宋体" w:hAnsi="宋体" w:eastAsia="宋体" w:cs="Times New Roman"/>
                <w:sz w:val="21"/>
                <w:szCs w:val="21"/>
              </w:rPr>
              <w:t>0%</w:t>
            </w:r>
          </w:p>
        </w:tc>
        <w:tc>
          <w:tcPr>
            <w:tcW w:w="5103" w:type="dxa"/>
            <w:noWrap w:val="0"/>
            <w:vAlign w:val="center"/>
          </w:tcPr>
          <w:p w14:paraId="38EADF13">
            <w:pPr>
              <w:spacing w:line="360" w:lineRule="auto"/>
              <w:jc w:val="left"/>
              <w:rPr>
                <w:rFonts w:ascii="宋体" w:hAnsi="宋体" w:eastAsia="宋体" w:cs="Times New Roman"/>
                <w:sz w:val="21"/>
                <w:szCs w:val="21"/>
              </w:rPr>
            </w:pPr>
            <w:r>
              <w:rPr>
                <w:rFonts w:hint="eastAsia" w:ascii="宋体" w:hAnsi="宋体" w:eastAsia="宋体" w:cs="Times New Roman"/>
                <w:bCs/>
                <w:kern w:val="24"/>
                <w:sz w:val="21"/>
                <w:szCs w:val="21"/>
              </w:rPr>
              <w:t>通过实践项目完成情况（参与投入度、完成及时度、完成数量及质量等），</w:t>
            </w:r>
            <w:r>
              <w:rPr>
                <w:rFonts w:hint="eastAsia" w:ascii="Times New Roman" w:hAnsi="Times New Roman" w:eastAsia="宋体" w:cs="Times New Roman"/>
                <w:color w:val="000000"/>
                <w:sz w:val="21"/>
                <w:szCs w:val="21"/>
              </w:rPr>
              <w:t>评价学生对课程理论的理解和运用能力。</w:t>
            </w:r>
          </w:p>
        </w:tc>
      </w:tr>
      <w:tr w14:paraId="549F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72" w:type="dxa"/>
            <w:noWrap w:val="0"/>
            <w:tcMar>
              <w:left w:w="57" w:type="dxa"/>
              <w:right w:w="57" w:type="dxa"/>
            </w:tcMar>
            <w:vAlign w:val="center"/>
          </w:tcPr>
          <w:p w14:paraId="3A8BE34D">
            <w:pPr>
              <w:spacing w:line="360" w:lineRule="auto"/>
              <w:jc w:val="center"/>
              <w:rPr>
                <w:rFonts w:ascii="宋体" w:hAnsi="宋体" w:eastAsia="宋体" w:cs="Times New Roman"/>
                <w:sz w:val="21"/>
                <w:szCs w:val="21"/>
              </w:rPr>
            </w:pPr>
            <w:r>
              <w:rPr>
                <w:rFonts w:ascii="宋体" w:hAnsi="宋体" w:eastAsia="宋体" w:cs="Times New Roman"/>
                <w:sz w:val="21"/>
                <w:szCs w:val="21"/>
              </w:rPr>
              <w:t>期末考查</w:t>
            </w:r>
          </w:p>
        </w:tc>
        <w:tc>
          <w:tcPr>
            <w:tcW w:w="1763" w:type="dxa"/>
            <w:noWrap w:val="0"/>
            <w:vAlign w:val="center"/>
          </w:tcPr>
          <w:p w14:paraId="5C8483E0">
            <w:pPr>
              <w:spacing w:line="360" w:lineRule="auto"/>
              <w:jc w:val="center"/>
              <w:rPr>
                <w:rFonts w:ascii="宋体" w:hAnsi="宋体" w:eastAsia="宋体" w:cs="Times New Roman"/>
                <w:sz w:val="21"/>
                <w:szCs w:val="21"/>
              </w:rPr>
            </w:pPr>
            <w:r>
              <w:rPr>
                <w:rFonts w:hint="eastAsia" w:ascii="宋体" w:hAnsi="宋体" w:eastAsia="宋体" w:cs="Times New Roman"/>
                <w:sz w:val="21"/>
                <w:szCs w:val="21"/>
              </w:rPr>
              <w:t>个人心理</w:t>
            </w:r>
          </w:p>
          <w:p w14:paraId="56ED8371">
            <w:pPr>
              <w:spacing w:line="360" w:lineRule="auto"/>
              <w:jc w:val="center"/>
              <w:rPr>
                <w:rFonts w:ascii="宋体" w:hAnsi="宋体" w:eastAsia="宋体" w:cs="Times New Roman"/>
                <w:sz w:val="21"/>
                <w:szCs w:val="21"/>
              </w:rPr>
            </w:pPr>
            <w:r>
              <w:rPr>
                <w:rFonts w:hint="eastAsia" w:ascii="宋体" w:hAnsi="宋体" w:eastAsia="宋体" w:cs="Times New Roman"/>
                <w:sz w:val="21"/>
                <w:szCs w:val="21"/>
              </w:rPr>
              <w:t>成长报告</w:t>
            </w:r>
          </w:p>
        </w:tc>
        <w:tc>
          <w:tcPr>
            <w:tcW w:w="851" w:type="dxa"/>
            <w:noWrap w:val="0"/>
            <w:vAlign w:val="center"/>
          </w:tcPr>
          <w:p w14:paraId="264EAA42">
            <w:pPr>
              <w:spacing w:line="360" w:lineRule="auto"/>
              <w:jc w:val="center"/>
              <w:rPr>
                <w:rFonts w:ascii="宋体" w:hAnsi="宋体" w:eastAsia="宋体" w:cs="Times New Roman"/>
                <w:sz w:val="21"/>
                <w:szCs w:val="21"/>
              </w:rPr>
            </w:pPr>
            <w:r>
              <w:rPr>
                <w:rFonts w:hint="eastAsia" w:ascii="宋体" w:hAnsi="宋体" w:eastAsia="宋体" w:cs="Times New Roman"/>
                <w:sz w:val="21"/>
                <w:szCs w:val="21"/>
              </w:rPr>
              <w:t>40</w:t>
            </w:r>
            <w:r>
              <w:rPr>
                <w:rFonts w:ascii="宋体" w:hAnsi="宋体" w:eastAsia="宋体" w:cs="Times New Roman"/>
                <w:sz w:val="21"/>
                <w:szCs w:val="21"/>
              </w:rPr>
              <w:t>%</w:t>
            </w:r>
          </w:p>
        </w:tc>
        <w:tc>
          <w:tcPr>
            <w:tcW w:w="5103" w:type="dxa"/>
            <w:noWrap w:val="0"/>
            <w:vAlign w:val="center"/>
          </w:tcPr>
          <w:p w14:paraId="74867560">
            <w:pPr>
              <w:spacing w:line="360"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通过个人心理成长报告完成情况（格式规范、结构完整、分析深度等综合评估），考查</w:t>
            </w:r>
            <w:r>
              <w:rPr>
                <w:rFonts w:hint="eastAsia" w:ascii="Times New Roman" w:hAnsi="Times New Roman" w:eastAsia="宋体" w:cs="Times New Roman"/>
                <w:color w:val="000000"/>
                <w:sz w:val="21"/>
                <w:szCs w:val="21"/>
              </w:rPr>
              <w:t>学生对课程理论的理解和运用能力。</w:t>
            </w:r>
          </w:p>
        </w:tc>
      </w:tr>
    </w:tbl>
    <w:p w14:paraId="2AC07BCE">
      <w:pPr>
        <w:spacing w:line="360" w:lineRule="auto"/>
        <w:ind w:firstLine="420" w:firstLineChars="200"/>
        <w:jc w:val="center"/>
        <w:rPr>
          <w:rFonts w:hint="eastAsia" w:ascii="Times New Roman" w:hAnsi="Times New Roman" w:eastAsia="宋体" w:cs="Times New Roman"/>
          <w:sz w:val="21"/>
          <w:szCs w:val="21"/>
        </w:rPr>
      </w:pPr>
    </w:p>
    <w:p w14:paraId="0B9D8885">
      <w:pPr>
        <w:snapToGrid w:val="0"/>
        <w:spacing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（三）</w:t>
      </w:r>
      <w:r>
        <w:rPr>
          <w:rFonts w:hint="eastAsia" w:ascii="Times New Roman" w:hAnsi="Times New Roman" w:eastAsia="宋体" w:cs="Times New Roman"/>
          <w:sz w:val="21"/>
          <w:szCs w:val="21"/>
        </w:rPr>
        <w:t>课程目标考核说明</w:t>
      </w:r>
    </w:p>
    <w:p w14:paraId="59453A8E">
      <w:pPr>
        <w:snapToGrid w:val="0"/>
        <w:spacing w:line="360" w:lineRule="auto"/>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为能够证明学生本课程考核成绩合格，即可达到课程教学目标的要求，制定《课程教学目标考核方案一览表》，如表</w:t>
      </w:r>
      <w:r>
        <w:rPr>
          <w:rFonts w:ascii="Times New Roman" w:hAnsi="Times New Roman" w:eastAsia="宋体" w:cs="Times New Roman"/>
          <w:sz w:val="21"/>
          <w:szCs w:val="21"/>
        </w:rPr>
        <w:t>6</w:t>
      </w:r>
      <w:r>
        <w:rPr>
          <w:rFonts w:hint="eastAsia" w:ascii="Times New Roman" w:hAnsi="Times New Roman" w:eastAsia="宋体" w:cs="Times New Roman"/>
          <w:sz w:val="21"/>
          <w:szCs w:val="21"/>
        </w:rPr>
        <w:t>所示。</w:t>
      </w:r>
    </w:p>
    <w:p w14:paraId="1F8173C9">
      <w:pPr>
        <w:adjustRightInd w:val="0"/>
        <w:snapToGrid w:val="0"/>
        <w:spacing w:line="360" w:lineRule="auto"/>
        <w:ind w:left="596" w:hanging="596"/>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表6  课程目标考核方案一览表</w:t>
      </w:r>
    </w:p>
    <w:tbl>
      <w:tblPr>
        <w:tblStyle w:val="15"/>
        <w:tblW w:w="8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819"/>
        <w:gridCol w:w="2930"/>
        <w:gridCol w:w="1321"/>
        <w:gridCol w:w="2766"/>
      </w:tblGrid>
      <w:tr w14:paraId="0671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EAC965">
            <w:pPr>
              <w:adjustRightInd w:val="0"/>
              <w:snapToGrid w:val="0"/>
              <w:spacing w:line="240" w:lineRule="auto"/>
              <w:jc w:val="center"/>
              <w:rPr>
                <w:rFonts w:hint="eastAsia"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课程支撑的毕业要求</w:t>
            </w:r>
          </w:p>
        </w:tc>
        <w:tc>
          <w:tcPr>
            <w:tcW w:w="8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AB4AEF">
            <w:pPr>
              <w:adjustRightInd w:val="0"/>
              <w:snapToGrid w:val="0"/>
              <w:spacing w:line="240" w:lineRule="auto"/>
              <w:jc w:val="center"/>
              <w:rPr>
                <w:rFonts w:hint="eastAsia"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课程</w:t>
            </w:r>
            <w:r>
              <w:rPr>
                <w:rFonts w:hint="eastAsia" w:ascii="Times New Roman" w:hAnsi="Times New Roman" w:eastAsia="宋体" w:cs="Times New Roman"/>
                <w:b/>
                <w:bCs/>
                <w:color w:val="000000"/>
                <w:sz w:val="21"/>
                <w:szCs w:val="21"/>
              </w:rPr>
              <w:t>教学</w:t>
            </w:r>
            <w:r>
              <w:rPr>
                <w:rFonts w:ascii="Times New Roman" w:hAnsi="Times New Roman" w:eastAsia="宋体" w:cs="Times New Roman"/>
                <w:b/>
                <w:bCs/>
                <w:color w:val="000000"/>
                <w:sz w:val="21"/>
                <w:szCs w:val="21"/>
              </w:rPr>
              <w:t>目标</w:t>
            </w:r>
          </w:p>
        </w:tc>
        <w:tc>
          <w:tcPr>
            <w:tcW w:w="29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ECBA36">
            <w:pPr>
              <w:adjustRightInd w:val="0"/>
              <w:snapToGrid w:val="0"/>
              <w:spacing w:line="240" w:lineRule="auto"/>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考核内容</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742BFB">
            <w:pPr>
              <w:adjustRightInd w:val="0"/>
              <w:snapToGrid w:val="0"/>
              <w:spacing w:line="240" w:lineRule="auto"/>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考核形式</w:t>
            </w:r>
          </w:p>
        </w:tc>
        <w:tc>
          <w:tcPr>
            <w:tcW w:w="276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F4FBBF">
            <w:pPr>
              <w:adjustRightInd w:val="0"/>
              <w:snapToGrid w:val="0"/>
              <w:spacing w:line="240" w:lineRule="auto"/>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考核原始材料（说明：试卷、作业、实验报告、技术报告、过程记录、实习总结等，纸质或电子稿）</w:t>
            </w:r>
          </w:p>
        </w:tc>
      </w:tr>
      <w:tr w14:paraId="1652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918" w:type="dxa"/>
            <w:tcBorders>
              <w:top w:val="single" w:color="auto" w:sz="4" w:space="0"/>
              <w:left w:val="single" w:color="auto" w:sz="4" w:space="0"/>
              <w:right w:val="single" w:color="auto" w:sz="4" w:space="0"/>
            </w:tcBorders>
            <w:noWrap w:val="0"/>
            <w:vAlign w:val="center"/>
          </w:tcPr>
          <w:p w14:paraId="26658186">
            <w:pPr>
              <w:adjustRightInd w:val="0"/>
              <w:snapToGrid w:val="0"/>
              <w:spacing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略</w:t>
            </w:r>
          </w:p>
        </w:tc>
        <w:tc>
          <w:tcPr>
            <w:tcW w:w="819" w:type="dxa"/>
            <w:tcBorders>
              <w:top w:val="single" w:color="auto" w:sz="4" w:space="0"/>
              <w:left w:val="single" w:color="auto" w:sz="4" w:space="0"/>
              <w:right w:val="single" w:color="auto" w:sz="4" w:space="0"/>
            </w:tcBorders>
            <w:noWrap w:val="0"/>
            <w:vAlign w:val="center"/>
          </w:tcPr>
          <w:p w14:paraId="0EF64AD7">
            <w:pPr>
              <w:adjustRightInd w:val="0"/>
              <w:snapToGrid w:val="0"/>
              <w:spacing w:line="36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目标</w:t>
            </w:r>
            <w:r>
              <w:rPr>
                <w:rFonts w:ascii="Times New Roman" w:hAnsi="Times New Roman" w:eastAsia="宋体" w:cs="Times New Roman"/>
                <w:color w:val="000000"/>
                <w:sz w:val="21"/>
                <w:szCs w:val="21"/>
              </w:rPr>
              <w:t>1</w:t>
            </w:r>
          </w:p>
        </w:tc>
        <w:tc>
          <w:tcPr>
            <w:tcW w:w="2930" w:type="dxa"/>
            <w:tcBorders>
              <w:top w:val="single" w:color="auto" w:sz="4" w:space="0"/>
              <w:left w:val="single" w:color="auto" w:sz="4" w:space="0"/>
              <w:right w:val="single" w:color="auto" w:sz="4" w:space="0"/>
            </w:tcBorders>
            <w:noWrap w:val="0"/>
            <w:vAlign w:val="center"/>
          </w:tcPr>
          <w:p w14:paraId="3A1FF2EC">
            <w:pPr>
              <w:adjustRightInd w:val="0"/>
              <w:snapToGrid w:val="0"/>
              <w:spacing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了解心理健康基础知识，认知心理健康标准，识别常见心理问题及典型表现，理解心理健康影响机制</w:t>
            </w:r>
          </w:p>
        </w:tc>
        <w:tc>
          <w:tcPr>
            <w:tcW w:w="0" w:type="auto"/>
            <w:tcBorders>
              <w:top w:val="single" w:color="auto" w:sz="4" w:space="0"/>
              <w:left w:val="single" w:color="auto" w:sz="4" w:space="0"/>
              <w:right w:val="single" w:color="auto" w:sz="4" w:space="0"/>
            </w:tcBorders>
            <w:noWrap w:val="0"/>
            <w:vAlign w:val="center"/>
          </w:tcPr>
          <w:p w14:paraId="3E1F3DF8">
            <w:pPr>
              <w:adjustRightInd w:val="0"/>
              <w:snapToGrid w:val="0"/>
              <w:spacing w:line="360" w:lineRule="auto"/>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课堂表现、实践作业、期末考查</w:t>
            </w:r>
          </w:p>
        </w:tc>
        <w:tc>
          <w:tcPr>
            <w:tcW w:w="2766" w:type="dxa"/>
            <w:tcBorders>
              <w:top w:val="single" w:color="auto" w:sz="4" w:space="0"/>
              <w:left w:val="single" w:color="auto" w:sz="4" w:space="0"/>
              <w:right w:val="single" w:color="auto" w:sz="4" w:space="0"/>
            </w:tcBorders>
            <w:noWrap w:val="0"/>
            <w:vAlign w:val="center"/>
          </w:tcPr>
          <w:p w14:paraId="16853FCA">
            <w:pPr>
              <w:adjustRightInd w:val="0"/>
              <w:snapToGrid w:val="0"/>
              <w:spacing w:line="360" w:lineRule="auto"/>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平时成绩登记表（纸质稿）、实践作业（纸质稿）、个人成长报告（纸质稿）等</w:t>
            </w:r>
          </w:p>
        </w:tc>
      </w:tr>
      <w:tr w14:paraId="4009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918" w:type="dxa"/>
            <w:tcBorders>
              <w:left w:val="single" w:color="auto" w:sz="4" w:space="0"/>
              <w:right w:val="single" w:color="auto" w:sz="4" w:space="0"/>
            </w:tcBorders>
            <w:noWrap w:val="0"/>
            <w:vAlign w:val="center"/>
          </w:tcPr>
          <w:p w14:paraId="7411715F">
            <w:pPr>
              <w:adjustRightInd w:val="0"/>
              <w:snapToGrid w:val="0"/>
              <w:spacing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略</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2814947C">
            <w:pPr>
              <w:adjustRightInd w:val="0"/>
              <w:snapToGrid w:val="0"/>
              <w:spacing w:line="36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目标</w:t>
            </w:r>
            <w:r>
              <w:rPr>
                <w:rFonts w:ascii="Times New Roman" w:hAnsi="Times New Roman" w:eastAsia="宋体" w:cs="Times New Roman"/>
                <w:color w:val="000000"/>
                <w:sz w:val="21"/>
                <w:szCs w:val="21"/>
              </w:rPr>
              <w:t>2</w:t>
            </w:r>
          </w:p>
        </w:tc>
        <w:tc>
          <w:tcPr>
            <w:tcW w:w="2930" w:type="dxa"/>
            <w:tcBorders>
              <w:top w:val="single" w:color="auto" w:sz="4" w:space="0"/>
              <w:left w:val="single" w:color="auto" w:sz="4" w:space="0"/>
              <w:bottom w:val="single" w:color="auto" w:sz="4" w:space="0"/>
              <w:right w:val="single" w:color="auto" w:sz="4" w:space="0"/>
            </w:tcBorders>
            <w:noWrap w:val="0"/>
            <w:vAlign w:val="center"/>
          </w:tcPr>
          <w:p w14:paraId="783B3282">
            <w:pPr>
              <w:adjustRightInd w:val="0"/>
              <w:snapToGrid w:val="0"/>
              <w:spacing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掌握心理调适技能，发展自我觉察与自我评价能力，学习识别危机信号，提升自助与助人能力。</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E1C2D5E">
            <w:pPr>
              <w:adjustRightInd w:val="0"/>
              <w:snapToGrid w:val="0"/>
              <w:spacing w:line="360" w:lineRule="auto"/>
              <w:jc w:val="left"/>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课堂表现、实践作业、期末考查</w:t>
            </w:r>
          </w:p>
        </w:tc>
        <w:tc>
          <w:tcPr>
            <w:tcW w:w="2766" w:type="dxa"/>
            <w:tcBorders>
              <w:top w:val="single" w:color="auto" w:sz="4" w:space="0"/>
              <w:left w:val="single" w:color="auto" w:sz="4" w:space="0"/>
              <w:bottom w:val="single" w:color="auto" w:sz="4" w:space="0"/>
              <w:right w:val="single" w:color="auto" w:sz="4" w:space="0"/>
            </w:tcBorders>
            <w:noWrap w:val="0"/>
            <w:vAlign w:val="center"/>
          </w:tcPr>
          <w:p w14:paraId="09724599">
            <w:pPr>
              <w:adjustRightInd w:val="0"/>
              <w:snapToGrid w:val="0"/>
              <w:spacing w:line="360" w:lineRule="auto"/>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平时成绩登记表（纸质稿）、实践作业（纸质稿）、个人成长报告（纸质稿）等</w:t>
            </w:r>
          </w:p>
        </w:tc>
      </w:tr>
    </w:tbl>
    <w:p w14:paraId="57D061C1">
      <w:pPr>
        <w:snapToGrid w:val="0"/>
        <w:spacing w:line="360" w:lineRule="auto"/>
        <w:ind w:firstLine="420" w:firstLineChars="20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说明：专业版课程教学大纲依据具体的毕业要求完善“课程目标考核方案一览表”。</w:t>
      </w:r>
    </w:p>
    <w:p w14:paraId="543B4A3D">
      <w:pPr>
        <w:snapToGrid w:val="0"/>
        <w:spacing w:line="360" w:lineRule="auto"/>
        <w:ind w:firstLine="422" w:firstLineChars="200"/>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七</w:t>
      </w:r>
      <w:r>
        <w:rPr>
          <w:rFonts w:ascii="Times New Roman" w:hAnsi="Times New Roman" w:eastAsia="宋体" w:cs="Times New Roman"/>
          <w:b/>
          <w:sz w:val="21"/>
          <w:szCs w:val="21"/>
        </w:rPr>
        <w:t>、</w:t>
      </w:r>
      <w:r>
        <w:rPr>
          <w:rFonts w:hint="eastAsia" w:ascii="Times New Roman" w:hAnsi="Times New Roman" w:eastAsia="宋体" w:cs="Times New Roman"/>
          <w:b/>
          <w:sz w:val="21"/>
          <w:szCs w:val="21"/>
        </w:rPr>
        <w:t>有关说明</w:t>
      </w:r>
    </w:p>
    <w:p w14:paraId="08A99686">
      <w:pPr>
        <w:adjustRightInd w:val="0"/>
        <w:snapToGrid w:val="0"/>
        <w:spacing w:line="360" w:lineRule="auto"/>
        <w:ind w:firstLine="422" w:firstLineChars="200"/>
        <w:rPr>
          <w:rFonts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（一）持续改进</w:t>
      </w:r>
    </w:p>
    <w:p w14:paraId="2CC21C90">
      <w:pPr>
        <w:snapToGrid w:val="0"/>
        <w:spacing w:line="360" w:lineRule="auto"/>
        <w:ind w:firstLine="420" w:firstLineChars="20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本课程通过综合评估学生的课堂表现、实践作业完成情况、成长报告撰写情况、活动参与投入程度等多方面因素，结合学生对课堂和活动的反馈，深入总结和反思教学中存在的不足。在此基础上，针对性地制定改进措施，并在下一轮课程教学中实施，以确保课程目标的达成。</w:t>
      </w:r>
    </w:p>
    <w:p w14:paraId="5FA35ABD">
      <w:pPr>
        <w:snapToGrid w:val="0"/>
        <w:spacing w:line="360" w:lineRule="auto"/>
        <w:ind w:firstLine="422" w:firstLineChars="200"/>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（二）</w:t>
      </w:r>
      <w:r>
        <w:rPr>
          <w:rFonts w:ascii="Times New Roman" w:hAnsi="Times New Roman" w:eastAsia="宋体" w:cs="Times New Roman"/>
          <w:b/>
          <w:color w:val="000000"/>
          <w:sz w:val="21"/>
          <w:szCs w:val="21"/>
        </w:rPr>
        <w:t>参考书目及学习资料</w:t>
      </w:r>
    </w:p>
    <w:p w14:paraId="47605821">
      <w:pPr>
        <w:adjustRightInd w:val="0"/>
        <w:snapToGrid w:val="0"/>
        <w:spacing w:line="360" w:lineRule="auto"/>
        <w:rPr>
          <w:rFonts w:ascii="Times New Roman" w:hAnsi="宋体" w:eastAsia="宋体" w:cs="Times New Roman"/>
          <w:sz w:val="21"/>
          <w:szCs w:val="21"/>
        </w:rPr>
      </w:pPr>
      <w:r>
        <w:rPr>
          <w:rFonts w:ascii="Times New Roman" w:hAnsi="宋体" w:eastAsia="宋体" w:cs="Times New Roman"/>
          <w:sz w:val="21"/>
          <w:szCs w:val="21"/>
        </w:rPr>
        <w:t>[1]</w:t>
      </w:r>
      <w:r>
        <w:rPr>
          <w:rFonts w:ascii="Times New Roman" w:hAnsi="宋体" w:eastAsia="宋体" w:cs="Times New Roman"/>
          <w:sz w:val="21"/>
          <w:szCs w:val="21"/>
        </w:rPr>
        <w:tab/>
      </w:r>
      <w:r>
        <w:rPr>
          <w:rFonts w:hint="eastAsia" w:ascii="Times New Roman" w:hAnsi="宋体" w:eastAsia="宋体" w:cs="Times New Roman"/>
          <w:sz w:val="21"/>
          <w:szCs w:val="21"/>
        </w:rPr>
        <w:t>崔景贵</w:t>
      </w:r>
      <w:r>
        <w:rPr>
          <w:rFonts w:ascii="Times New Roman" w:hAnsi="宋体" w:eastAsia="宋体" w:cs="Times New Roman"/>
          <w:sz w:val="21"/>
          <w:szCs w:val="21"/>
        </w:rPr>
        <w:t xml:space="preserve">. </w:t>
      </w:r>
      <w:r>
        <w:rPr>
          <w:rFonts w:hint="eastAsia" w:ascii="Times New Roman" w:hAnsi="宋体" w:eastAsia="宋体" w:cs="Times New Roman"/>
          <w:sz w:val="21"/>
          <w:szCs w:val="21"/>
        </w:rPr>
        <w:t>积极心理学：教育范式的行动研究</w:t>
      </w:r>
      <w:r>
        <w:rPr>
          <w:rFonts w:ascii="Times New Roman" w:hAnsi="宋体" w:eastAsia="宋体" w:cs="Times New Roman"/>
          <w:sz w:val="21"/>
          <w:szCs w:val="21"/>
        </w:rPr>
        <w:t xml:space="preserve">[M]. </w:t>
      </w:r>
      <w:r>
        <w:rPr>
          <w:rFonts w:hint="eastAsia" w:ascii="Times New Roman" w:hAnsi="宋体" w:eastAsia="宋体" w:cs="Times New Roman"/>
          <w:sz w:val="21"/>
          <w:szCs w:val="21"/>
        </w:rPr>
        <w:t>北京：知识产权出版社，</w:t>
      </w:r>
      <w:r>
        <w:rPr>
          <w:rFonts w:ascii="Times New Roman" w:hAnsi="宋体" w:eastAsia="宋体" w:cs="Times New Roman"/>
          <w:sz w:val="21"/>
          <w:szCs w:val="21"/>
        </w:rPr>
        <w:t>2021.</w:t>
      </w:r>
    </w:p>
    <w:p w14:paraId="5C2C36CC">
      <w:pPr>
        <w:adjustRightInd w:val="0"/>
        <w:snapToGrid w:val="0"/>
        <w:spacing w:line="360" w:lineRule="auto"/>
        <w:rPr>
          <w:rFonts w:ascii="Times New Roman" w:hAnsi="宋体" w:eastAsia="宋体" w:cs="Times New Roman"/>
          <w:sz w:val="21"/>
          <w:szCs w:val="21"/>
        </w:rPr>
      </w:pPr>
      <w:r>
        <w:rPr>
          <w:rFonts w:ascii="Times New Roman" w:hAnsi="宋体" w:eastAsia="宋体" w:cs="Times New Roman"/>
          <w:sz w:val="21"/>
          <w:szCs w:val="21"/>
        </w:rPr>
        <w:t>[2]</w:t>
      </w:r>
      <w:r>
        <w:rPr>
          <w:rFonts w:ascii="Times New Roman" w:hAnsi="宋体" w:eastAsia="宋体" w:cs="Times New Roman"/>
          <w:sz w:val="21"/>
          <w:szCs w:val="21"/>
        </w:rPr>
        <w:tab/>
      </w:r>
      <w:r>
        <w:rPr>
          <w:rFonts w:hint="eastAsia" w:ascii="Times New Roman" w:hAnsi="宋体" w:eastAsia="宋体" w:cs="Times New Roman"/>
          <w:sz w:val="21"/>
          <w:szCs w:val="21"/>
        </w:rPr>
        <w:t>费尔德曼，黄希庭</w:t>
      </w:r>
      <w:r>
        <w:rPr>
          <w:rFonts w:ascii="Times New Roman" w:hAnsi="宋体" w:eastAsia="宋体" w:cs="Times New Roman"/>
          <w:sz w:val="21"/>
          <w:szCs w:val="21"/>
        </w:rPr>
        <w:t xml:space="preserve">. </w:t>
      </w:r>
      <w:r>
        <w:rPr>
          <w:rFonts w:hint="eastAsia" w:ascii="Times New Roman" w:hAnsi="宋体" w:eastAsia="宋体" w:cs="Times New Roman"/>
          <w:sz w:val="21"/>
          <w:szCs w:val="21"/>
        </w:rPr>
        <w:t>心理学与我们</w:t>
      </w:r>
      <w:r>
        <w:rPr>
          <w:rFonts w:ascii="Times New Roman" w:hAnsi="宋体" w:eastAsia="宋体" w:cs="Times New Roman"/>
          <w:sz w:val="21"/>
          <w:szCs w:val="21"/>
        </w:rPr>
        <w:t>[M]. 2</w:t>
      </w:r>
      <w:r>
        <w:rPr>
          <w:rFonts w:hint="eastAsia" w:ascii="Times New Roman" w:hAnsi="宋体" w:eastAsia="宋体" w:cs="Times New Roman"/>
          <w:sz w:val="21"/>
          <w:szCs w:val="21"/>
        </w:rPr>
        <w:t>版</w:t>
      </w:r>
      <w:r>
        <w:rPr>
          <w:rFonts w:ascii="Times New Roman" w:hAnsi="宋体" w:eastAsia="宋体" w:cs="Times New Roman"/>
          <w:sz w:val="21"/>
          <w:szCs w:val="21"/>
        </w:rPr>
        <w:t xml:space="preserve">. </w:t>
      </w:r>
      <w:r>
        <w:rPr>
          <w:rFonts w:hint="eastAsia" w:ascii="Times New Roman" w:hAnsi="宋体" w:eastAsia="宋体" w:cs="Times New Roman"/>
          <w:sz w:val="21"/>
          <w:szCs w:val="21"/>
        </w:rPr>
        <w:t>黄希庭，等，译</w:t>
      </w:r>
      <w:r>
        <w:rPr>
          <w:rFonts w:ascii="Times New Roman" w:hAnsi="宋体" w:eastAsia="宋体" w:cs="Times New Roman"/>
          <w:sz w:val="21"/>
          <w:szCs w:val="21"/>
        </w:rPr>
        <w:t xml:space="preserve">. </w:t>
      </w:r>
      <w:r>
        <w:rPr>
          <w:rFonts w:hint="eastAsia" w:ascii="Times New Roman" w:hAnsi="宋体" w:eastAsia="宋体" w:cs="Times New Roman"/>
          <w:sz w:val="21"/>
          <w:szCs w:val="21"/>
        </w:rPr>
        <w:t>北京：人民邮电出版社，</w:t>
      </w:r>
      <w:r>
        <w:rPr>
          <w:rFonts w:ascii="Times New Roman" w:hAnsi="宋体" w:eastAsia="宋体" w:cs="Times New Roman"/>
          <w:sz w:val="21"/>
          <w:szCs w:val="21"/>
        </w:rPr>
        <w:t>2020.</w:t>
      </w:r>
    </w:p>
    <w:p w14:paraId="3800D27A">
      <w:pPr>
        <w:adjustRightInd w:val="0"/>
        <w:snapToGrid w:val="0"/>
        <w:spacing w:line="360" w:lineRule="auto"/>
        <w:rPr>
          <w:rFonts w:ascii="Times New Roman" w:hAnsi="宋体" w:eastAsia="宋体" w:cs="Times New Roman"/>
          <w:sz w:val="21"/>
          <w:szCs w:val="21"/>
        </w:rPr>
      </w:pPr>
      <w:r>
        <w:rPr>
          <w:rFonts w:ascii="Times New Roman" w:hAnsi="宋体" w:eastAsia="宋体" w:cs="Times New Roman"/>
          <w:sz w:val="21"/>
          <w:szCs w:val="21"/>
        </w:rPr>
        <w:t>[3]</w:t>
      </w:r>
      <w:r>
        <w:rPr>
          <w:rFonts w:ascii="Times New Roman" w:hAnsi="宋体" w:eastAsia="宋体" w:cs="Times New Roman"/>
          <w:sz w:val="21"/>
          <w:szCs w:val="21"/>
        </w:rPr>
        <w:tab/>
      </w:r>
      <w:r>
        <w:rPr>
          <w:rFonts w:hint="eastAsia" w:ascii="Times New Roman" w:hAnsi="宋体" w:eastAsia="宋体" w:cs="Times New Roman"/>
          <w:sz w:val="21"/>
          <w:szCs w:val="21"/>
        </w:rPr>
        <w:t>弗雷德里克森</w:t>
      </w:r>
      <w:r>
        <w:rPr>
          <w:rFonts w:ascii="Times New Roman" w:hAnsi="宋体" w:eastAsia="宋体" w:cs="Times New Roman"/>
          <w:sz w:val="21"/>
          <w:szCs w:val="21"/>
        </w:rPr>
        <w:t xml:space="preserve">. </w:t>
      </w:r>
      <w:r>
        <w:rPr>
          <w:rFonts w:hint="eastAsia" w:ascii="Times New Roman" w:hAnsi="宋体" w:eastAsia="宋体" w:cs="Times New Roman"/>
          <w:sz w:val="21"/>
          <w:szCs w:val="21"/>
        </w:rPr>
        <w:t>积极情绪的力量</w:t>
      </w:r>
      <w:r>
        <w:rPr>
          <w:rFonts w:ascii="Times New Roman" w:hAnsi="宋体" w:eastAsia="宋体" w:cs="Times New Roman"/>
          <w:sz w:val="21"/>
          <w:szCs w:val="21"/>
        </w:rPr>
        <w:t xml:space="preserve">[M]. </w:t>
      </w:r>
      <w:r>
        <w:rPr>
          <w:rFonts w:hint="eastAsia" w:ascii="Times New Roman" w:hAnsi="宋体" w:eastAsia="宋体" w:cs="Times New Roman"/>
          <w:sz w:val="21"/>
          <w:szCs w:val="21"/>
        </w:rPr>
        <w:t>王珺，译</w:t>
      </w:r>
      <w:r>
        <w:rPr>
          <w:rFonts w:ascii="Times New Roman" w:hAnsi="宋体" w:eastAsia="宋体" w:cs="Times New Roman"/>
          <w:sz w:val="21"/>
          <w:szCs w:val="21"/>
        </w:rPr>
        <w:t xml:space="preserve">. </w:t>
      </w:r>
      <w:r>
        <w:rPr>
          <w:rFonts w:hint="eastAsia" w:ascii="Times New Roman" w:hAnsi="宋体" w:eastAsia="宋体" w:cs="Times New Roman"/>
          <w:sz w:val="21"/>
          <w:szCs w:val="21"/>
        </w:rPr>
        <w:t>北京：中国纺织出版社，</w:t>
      </w:r>
      <w:r>
        <w:rPr>
          <w:rFonts w:ascii="Times New Roman" w:hAnsi="宋体" w:eastAsia="宋体" w:cs="Times New Roman"/>
          <w:sz w:val="21"/>
          <w:szCs w:val="21"/>
        </w:rPr>
        <w:t>2021.</w:t>
      </w:r>
    </w:p>
    <w:p w14:paraId="099FA031">
      <w:pPr>
        <w:adjustRightInd w:val="0"/>
        <w:snapToGrid w:val="0"/>
        <w:spacing w:line="360" w:lineRule="auto"/>
        <w:rPr>
          <w:rFonts w:ascii="Times New Roman" w:hAnsi="宋体" w:eastAsia="宋体" w:cs="Times New Roman"/>
          <w:sz w:val="21"/>
          <w:szCs w:val="21"/>
        </w:rPr>
      </w:pPr>
      <w:r>
        <w:rPr>
          <w:rFonts w:ascii="Times New Roman" w:hAnsi="宋体" w:eastAsia="宋体" w:cs="Times New Roman"/>
          <w:sz w:val="21"/>
          <w:szCs w:val="21"/>
        </w:rPr>
        <w:t>[4]</w:t>
      </w:r>
      <w:r>
        <w:rPr>
          <w:rFonts w:ascii="Times New Roman" w:hAnsi="宋体" w:eastAsia="宋体" w:cs="Times New Roman"/>
          <w:sz w:val="21"/>
          <w:szCs w:val="21"/>
        </w:rPr>
        <w:tab/>
      </w:r>
      <w:r>
        <w:rPr>
          <w:rFonts w:hint="eastAsia" w:ascii="Times New Roman" w:hAnsi="宋体" w:eastAsia="宋体" w:cs="Times New Roman"/>
          <w:sz w:val="21"/>
          <w:szCs w:val="21"/>
        </w:rPr>
        <w:t>格里格，津巴多</w:t>
      </w:r>
      <w:r>
        <w:rPr>
          <w:rFonts w:ascii="Times New Roman" w:hAnsi="宋体" w:eastAsia="宋体" w:cs="Times New Roman"/>
          <w:sz w:val="21"/>
          <w:szCs w:val="21"/>
        </w:rPr>
        <w:t xml:space="preserve">. </w:t>
      </w:r>
      <w:r>
        <w:rPr>
          <w:rFonts w:hint="eastAsia" w:ascii="Times New Roman" w:hAnsi="宋体" w:eastAsia="宋体" w:cs="Times New Roman"/>
          <w:sz w:val="21"/>
          <w:szCs w:val="21"/>
        </w:rPr>
        <w:t>心理学与生活</w:t>
      </w:r>
      <w:r>
        <w:rPr>
          <w:rFonts w:ascii="Times New Roman" w:hAnsi="宋体" w:eastAsia="宋体" w:cs="Times New Roman"/>
          <w:sz w:val="21"/>
          <w:szCs w:val="21"/>
        </w:rPr>
        <w:t>[M]. 16</w:t>
      </w:r>
      <w:r>
        <w:rPr>
          <w:rFonts w:hint="eastAsia" w:ascii="Times New Roman" w:hAnsi="宋体" w:eastAsia="宋体" w:cs="Times New Roman"/>
          <w:sz w:val="21"/>
          <w:szCs w:val="21"/>
        </w:rPr>
        <w:t>版</w:t>
      </w:r>
      <w:r>
        <w:rPr>
          <w:rFonts w:ascii="Times New Roman" w:hAnsi="宋体" w:eastAsia="宋体" w:cs="Times New Roman"/>
          <w:sz w:val="21"/>
          <w:szCs w:val="21"/>
        </w:rPr>
        <w:t xml:space="preserve">. </w:t>
      </w:r>
      <w:r>
        <w:rPr>
          <w:rFonts w:hint="eastAsia" w:ascii="Times New Roman" w:hAnsi="宋体" w:eastAsia="宋体" w:cs="Times New Roman"/>
          <w:sz w:val="21"/>
          <w:szCs w:val="21"/>
        </w:rPr>
        <w:t>北京：人民邮电出版社，</w:t>
      </w:r>
      <w:r>
        <w:rPr>
          <w:rFonts w:ascii="Times New Roman" w:hAnsi="宋体" w:eastAsia="宋体" w:cs="Times New Roman"/>
          <w:sz w:val="21"/>
          <w:szCs w:val="21"/>
        </w:rPr>
        <w:t>2003.</w:t>
      </w:r>
    </w:p>
    <w:p w14:paraId="63350024">
      <w:pPr>
        <w:adjustRightInd w:val="0"/>
        <w:snapToGrid w:val="0"/>
        <w:spacing w:line="360" w:lineRule="auto"/>
        <w:rPr>
          <w:rFonts w:ascii="Times New Roman" w:hAnsi="宋体" w:eastAsia="宋体" w:cs="Times New Roman"/>
          <w:sz w:val="21"/>
          <w:szCs w:val="21"/>
        </w:rPr>
      </w:pPr>
      <w:r>
        <w:rPr>
          <w:rFonts w:ascii="Times New Roman" w:hAnsi="宋体" w:eastAsia="宋体" w:cs="Times New Roman"/>
          <w:sz w:val="21"/>
          <w:szCs w:val="21"/>
        </w:rPr>
        <w:t>[5]</w:t>
      </w:r>
      <w:r>
        <w:rPr>
          <w:rFonts w:ascii="Times New Roman" w:hAnsi="宋体" w:eastAsia="宋体" w:cs="Times New Roman"/>
          <w:sz w:val="21"/>
          <w:szCs w:val="21"/>
        </w:rPr>
        <w:tab/>
      </w:r>
      <w:r>
        <w:rPr>
          <w:rFonts w:hint="eastAsia" w:ascii="Times New Roman" w:hAnsi="宋体" w:eastAsia="宋体" w:cs="Times New Roman"/>
          <w:sz w:val="21"/>
          <w:szCs w:val="21"/>
        </w:rPr>
        <w:t>黄希庭，郑涌</w:t>
      </w:r>
      <w:r>
        <w:rPr>
          <w:rFonts w:ascii="Times New Roman" w:hAnsi="宋体" w:eastAsia="宋体" w:cs="Times New Roman"/>
          <w:sz w:val="21"/>
          <w:szCs w:val="21"/>
        </w:rPr>
        <w:t xml:space="preserve">. </w:t>
      </w:r>
      <w:r>
        <w:rPr>
          <w:rFonts w:hint="eastAsia" w:ascii="Times New Roman" w:hAnsi="宋体" w:eastAsia="宋体" w:cs="Times New Roman"/>
          <w:sz w:val="21"/>
          <w:szCs w:val="21"/>
        </w:rPr>
        <w:t>大学生心理健康教育</w:t>
      </w:r>
      <w:r>
        <w:rPr>
          <w:rFonts w:ascii="Times New Roman" w:hAnsi="宋体" w:eastAsia="宋体" w:cs="Times New Roman"/>
          <w:sz w:val="21"/>
          <w:szCs w:val="21"/>
        </w:rPr>
        <w:t>[M]. 3</w:t>
      </w:r>
      <w:r>
        <w:rPr>
          <w:rFonts w:hint="eastAsia" w:ascii="Times New Roman" w:hAnsi="宋体" w:eastAsia="宋体" w:cs="Times New Roman"/>
          <w:sz w:val="21"/>
          <w:szCs w:val="21"/>
        </w:rPr>
        <w:t>版</w:t>
      </w:r>
      <w:r>
        <w:rPr>
          <w:rFonts w:ascii="Times New Roman" w:hAnsi="宋体" w:eastAsia="宋体" w:cs="Times New Roman"/>
          <w:sz w:val="21"/>
          <w:szCs w:val="21"/>
        </w:rPr>
        <w:t xml:space="preserve">. </w:t>
      </w:r>
      <w:r>
        <w:rPr>
          <w:rFonts w:hint="eastAsia" w:ascii="Times New Roman" w:hAnsi="宋体" w:eastAsia="宋体" w:cs="Times New Roman"/>
          <w:sz w:val="21"/>
          <w:szCs w:val="21"/>
        </w:rPr>
        <w:t>上海：华东师范大学出版社，</w:t>
      </w:r>
      <w:r>
        <w:rPr>
          <w:rFonts w:ascii="Times New Roman" w:hAnsi="宋体" w:eastAsia="宋体" w:cs="Times New Roman"/>
          <w:sz w:val="21"/>
          <w:szCs w:val="21"/>
        </w:rPr>
        <w:t>2020.</w:t>
      </w:r>
    </w:p>
    <w:p w14:paraId="2FB03BE1">
      <w:pPr>
        <w:adjustRightInd w:val="0"/>
        <w:snapToGrid w:val="0"/>
        <w:spacing w:line="360" w:lineRule="auto"/>
        <w:rPr>
          <w:rFonts w:ascii="Times New Roman" w:hAnsi="宋体" w:eastAsia="宋体" w:cs="Times New Roman"/>
          <w:sz w:val="21"/>
          <w:szCs w:val="21"/>
        </w:rPr>
      </w:pPr>
      <w:r>
        <w:rPr>
          <w:rFonts w:ascii="Times New Roman" w:hAnsi="宋体" w:eastAsia="宋体" w:cs="Times New Roman"/>
          <w:sz w:val="21"/>
          <w:szCs w:val="21"/>
        </w:rPr>
        <w:t>[6]</w:t>
      </w:r>
      <w:r>
        <w:rPr>
          <w:rFonts w:ascii="Times New Roman" w:hAnsi="宋体" w:eastAsia="宋体" w:cs="Times New Roman"/>
          <w:sz w:val="21"/>
          <w:szCs w:val="21"/>
        </w:rPr>
        <w:tab/>
      </w:r>
      <w:r>
        <w:rPr>
          <w:rFonts w:hint="eastAsia" w:ascii="Times New Roman" w:hAnsi="宋体" w:eastAsia="宋体" w:cs="Times New Roman"/>
          <w:sz w:val="21"/>
          <w:szCs w:val="21"/>
        </w:rPr>
        <w:t>拉希德，塞利格曼</w:t>
      </w:r>
      <w:r>
        <w:rPr>
          <w:rFonts w:ascii="Times New Roman" w:hAnsi="宋体" w:eastAsia="宋体" w:cs="Times New Roman"/>
          <w:sz w:val="21"/>
          <w:szCs w:val="21"/>
        </w:rPr>
        <w:t xml:space="preserve">. </w:t>
      </w:r>
      <w:r>
        <w:rPr>
          <w:rFonts w:hint="eastAsia" w:ascii="Times New Roman" w:hAnsi="宋体" w:eastAsia="宋体" w:cs="Times New Roman"/>
          <w:sz w:val="21"/>
          <w:szCs w:val="21"/>
        </w:rPr>
        <w:t>积极心理学治疗手册</w:t>
      </w:r>
      <w:r>
        <w:rPr>
          <w:rFonts w:ascii="Times New Roman" w:hAnsi="宋体" w:eastAsia="宋体" w:cs="Times New Roman"/>
          <w:sz w:val="21"/>
          <w:szCs w:val="21"/>
        </w:rPr>
        <w:t xml:space="preserve">[M]. </w:t>
      </w:r>
      <w:r>
        <w:rPr>
          <w:rFonts w:hint="eastAsia" w:ascii="Times New Roman" w:hAnsi="宋体" w:eastAsia="宋体" w:cs="Times New Roman"/>
          <w:sz w:val="21"/>
          <w:szCs w:val="21"/>
        </w:rPr>
        <w:t>邓之君，译</w:t>
      </w:r>
      <w:r>
        <w:rPr>
          <w:rFonts w:ascii="Times New Roman" w:hAnsi="宋体" w:eastAsia="宋体" w:cs="Times New Roman"/>
          <w:sz w:val="21"/>
          <w:szCs w:val="21"/>
        </w:rPr>
        <w:t xml:space="preserve">. </w:t>
      </w:r>
      <w:r>
        <w:rPr>
          <w:rFonts w:hint="eastAsia" w:ascii="Times New Roman" w:hAnsi="宋体" w:eastAsia="宋体" w:cs="Times New Roman"/>
          <w:sz w:val="21"/>
          <w:szCs w:val="21"/>
        </w:rPr>
        <w:t>北京：中信出版社，</w:t>
      </w:r>
      <w:r>
        <w:rPr>
          <w:rFonts w:ascii="Times New Roman" w:hAnsi="宋体" w:eastAsia="宋体" w:cs="Times New Roman"/>
          <w:sz w:val="21"/>
          <w:szCs w:val="21"/>
        </w:rPr>
        <w:t>2020.</w:t>
      </w:r>
    </w:p>
    <w:p w14:paraId="4667D691">
      <w:pPr>
        <w:adjustRightInd w:val="0"/>
        <w:snapToGrid w:val="0"/>
        <w:spacing w:line="360" w:lineRule="auto"/>
        <w:rPr>
          <w:rFonts w:ascii="Times New Roman" w:hAnsi="宋体" w:eastAsia="宋体" w:cs="Times New Roman"/>
          <w:sz w:val="21"/>
          <w:szCs w:val="21"/>
        </w:rPr>
      </w:pPr>
      <w:r>
        <w:rPr>
          <w:rFonts w:ascii="Times New Roman" w:hAnsi="宋体" w:eastAsia="宋体" w:cs="Times New Roman"/>
          <w:sz w:val="21"/>
          <w:szCs w:val="21"/>
        </w:rPr>
        <w:t>[7]</w:t>
      </w:r>
      <w:r>
        <w:rPr>
          <w:rFonts w:ascii="Times New Roman" w:hAnsi="宋体" w:eastAsia="宋体" w:cs="Times New Roman"/>
          <w:sz w:val="21"/>
          <w:szCs w:val="21"/>
        </w:rPr>
        <w:tab/>
      </w:r>
      <w:r>
        <w:rPr>
          <w:rFonts w:hint="eastAsia" w:ascii="Times New Roman" w:hAnsi="宋体" w:eastAsia="宋体" w:cs="Times New Roman"/>
          <w:sz w:val="21"/>
          <w:szCs w:val="21"/>
        </w:rPr>
        <w:t>刘翔平</w:t>
      </w:r>
      <w:r>
        <w:rPr>
          <w:rFonts w:ascii="Times New Roman" w:hAnsi="宋体" w:eastAsia="宋体" w:cs="Times New Roman"/>
          <w:sz w:val="21"/>
          <w:szCs w:val="21"/>
        </w:rPr>
        <w:t xml:space="preserve">. </w:t>
      </w:r>
      <w:r>
        <w:rPr>
          <w:rFonts w:hint="eastAsia" w:ascii="Times New Roman" w:hAnsi="宋体" w:eastAsia="宋体" w:cs="Times New Roman"/>
          <w:sz w:val="21"/>
          <w:szCs w:val="21"/>
        </w:rPr>
        <w:t>积极心理学</w:t>
      </w:r>
      <w:r>
        <w:rPr>
          <w:rFonts w:ascii="Times New Roman" w:hAnsi="宋体" w:eastAsia="宋体" w:cs="Times New Roman"/>
          <w:sz w:val="21"/>
          <w:szCs w:val="21"/>
        </w:rPr>
        <w:t>[M]. 2</w:t>
      </w:r>
      <w:r>
        <w:rPr>
          <w:rFonts w:hint="eastAsia" w:ascii="Times New Roman" w:hAnsi="宋体" w:eastAsia="宋体" w:cs="Times New Roman"/>
          <w:sz w:val="21"/>
          <w:szCs w:val="21"/>
        </w:rPr>
        <w:t>版</w:t>
      </w:r>
      <w:r>
        <w:rPr>
          <w:rFonts w:ascii="Times New Roman" w:hAnsi="宋体" w:eastAsia="宋体" w:cs="Times New Roman"/>
          <w:sz w:val="21"/>
          <w:szCs w:val="21"/>
        </w:rPr>
        <w:t xml:space="preserve">. </w:t>
      </w:r>
      <w:r>
        <w:rPr>
          <w:rFonts w:hint="eastAsia" w:ascii="Times New Roman" w:hAnsi="宋体" w:eastAsia="宋体" w:cs="Times New Roman"/>
          <w:sz w:val="21"/>
          <w:szCs w:val="21"/>
        </w:rPr>
        <w:t>北京：中国人民大学出版社，</w:t>
      </w:r>
      <w:r>
        <w:rPr>
          <w:rFonts w:ascii="Times New Roman" w:hAnsi="宋体" w:eastAsia="宋体" w:cs="Times New Roman"/>
          <w:sz w:val="21"/>
          <w:szCs w:val="21"/>
        </w:rPr>
        <w:t>2018.</w:t>
      </w:r>
    </w:p>
    <w:p w14:paraId="2E9A0F51">
      <w:pPr>
        <w:adjustRightInd w:val="0"/>
        <w:snapToGrid w:val="0"/>
        <w:spacing w:line="360" w:lineRule="auto"/>
        <w:rPr>
          <w:rFonts w:ascii="Times New Roman" w:hAnsi="宋体" w:eastAsia="宋体" w:cs="Times New Roman"/>
          <w:sz w:val="21"/>
          <w:szCs w:val="21"/>
        </w:rPr>
      </w:pPr>
      <w:r>
        <w:rPr>
          <w:rFonts w:ascii="Times New Roman" w:hAnsi="宋体" w:eastAsia="宋体" w:cs="Times New Roman"/>
          <w:sz w:val="21"/>
          <w:szCs w:val="21"/>
        </w:rPr>
        <w:t>[8]</w:t>
      </w:r>
      <w:r>
        <w:rPr>
          <w:rFonts w:ascii="Times New Roman" w:hAnsi="宋体" w:eastAsia="宋体" w:cs="Times New Roman"/>
          <w:sz w:val="21"/>
          <w:szCs w:val="21"/>
        </w:rPr>
        <w:tab/>
      </w:r>
      <w:r>
        <w:rPr>
          <w:rFonts w:hint="eastAsia" w:ascii="Times New Roman" w:hAnsi="宋体" w:eastAsia="宋体" w:cs="Times New Roman"/>
          <w:sz w:val="21"/>
          <w:szCs w:val="21"/>
        </w:rPr>
        <w:t>塞利格曼</w:t>
      </w:r>
      <w:r>
        <w:rPr>
          <w:rFonts w:ascii="Times New Roman" w:hAnsi="宋体" w:eastAsia="宋体" w:cs="Times New Roman"/>
          <w:sz w:val="21"/>
          <w:szCs w:val="21"/>
        </w:rPr>
        <w:t xml:space="preserve">. </w:t>
      </w:r>
      <w:r>
        <w:rPr>
          <w:rFonts w:hint="eastAsia" w:ascii="Times New Roman" w:hAnsi="宋体" w:eastAsia="宋体" w:cs="Times New Roman"/>
          <w:sz w:val="21"/>
          <w:szCs w:val="21"/>
        </w:rPr>
        <w:t>认识自己，接纳自己</w:t>
      </w:r>
      <w:r>
        <w:rPr>
          <w:rFonts w:ascii="Times New Roman" w:hAnsi="宋体" w:eastAsia="宋体" w:cs="Times New Roman"/>
          <w:sz w:val="21"/>
          <w:szCs w:val="21"/>
        </w:rPr>
        <w:t xml:space="preserve">[M]. </w:t>
      </w:r>
      <w:r>
        <w:rPr>
          <w:rFonts w:hint="eastAsia" w:ascii="Times New Roman" w:hAnsi="宋体" w:eastAsia="宋体" w:cs="Times New Roman"/>
          <w:sz w:val="21"/>
          <w:szCs w:val="21"/>
        </w:rPr>
        <w:t>沈阳：万卷出版公司，</w:t>
      </w:r>
      <w:r>
        <w:rPr>
          <w:rFonts w:ascii="Times New Roman" w:hAnsi="宋体" w:eastAsia="宋体" w:cs="Times New Roman"/>
          <w:sz w:val="21"/>
          <w:szCs w:val="21"/>
        </w:rPr>
        <w:t>2010.</w:t>
      </w:r>
    </w:p>
    <w:p w14:paraId="49018F31">
      <w:pPr>
        <w:adjustRightInd w:val="0"/>
        <w:snapToGrid w:val="0"/>
        <w:spacing w:line="360" w:lineRule="auto"/>
        <w:rPr>
          <w:rFonts w:ascii="Times New Roman" w:hAnsi="宋体" w:eastAsia="宋体" w:cs="Times New Roman"/>
          <w:sz w:val="21"/>
          <w:szCs w:val="21"/>
        </w:rPr>
      </w:pPr>
      <w:r>
        <w:rPr>
          <w:rFonts w:ascii="Times New Roman" w:hAnsi="宋体" w:eastAsia="宋体" w:cs="Times New Roman"/>
          <w:sz w:val="21"/>
          <w:szCs w:val="21"/>
        </w:rPr>
        <w:t>[9]</w:t>
      </w:r>
      <w:r>
        <w:rPr>
          <w:rFonts w:ascii="Times New Roman" w:hAnsi="宋体" w:eastAsia="宋体" w:cs="Times New Roman"/>
          <w:sz w:val="21"/>
          <w:szCs w:val="21"/>
        </w:rPr>
        <w:tab/>
      </w:r>
      <w:r>
        <w:rPr>
          <w:rFonts w:hint="eastAsia" w:ascii="Times New Roman" w:hAnsi="宋体" w:eastAsia="宋体" w:cs="Times New Roman"/>
          <w:sz w:val="21"/>
          <w:szCs w:val="21"/>
        </w:rPr>
        <w:t>俞国良</w:t>
      </w:r>
      <w:r>
        <w:rPr>
          <w:rFonts w:ascii="Times New Roman" w:hAnsi="宋体" w:eastAsia="宋体" w:cs="Times New Roman"/>
          <w:sz w:val="21"/>
          <w:szCs w:val="21"/>
        </w:rPr>
        <w:t xml:space="preserve">. </w:t>
      </w:r>
      <w:r>
        <w:rPr>
          <w:rFonts w:hint="eastAsia" w:ascii="Times New Roman" w:hAnsi="宋体" w:eastAsia="宋体" w:cs="Times New Roman"/>
          <w:sz w:val="21"/>
          <w:szCs w:val="21"/>
        </w:rPr>
        <w:t>大学生心理健康</w:t>
      </w:r>
      <w:r>
        <w:rPr>
          <w:rFonts w:ascii="Times New Roman" w:hAnsi="宋体" w:eastAsia="宋体" w:cs="Times New Roman"/>
          <w:sz w:val="21"/>
          <w:szCs w:val="21"/>
        </w:rPr>
        <w:t>[M]. 2</w:t>
      </w:r>
      <w:r>
        <w:rPr>
          <w:rFonts w:hint="eastAsia" w:ascii="Times New Roman" w:hAnsi="宋体" w:eastAsia="宋体" w:cs="Times New Roman"/>
          <w:sz w:val="21"/>
          <w:szCs w:val="21"/>
        </w:rPr>
        <w:t>版</w:t>
      </w:r>
      <w:r>
        <w:rPr>
          <w:rFonts w:ascii="Times New Roman" w:hAnsi="宋体" w:eastAsia="宋体" w:cs="Times New Roman"/>
          <w:sz w:val="21"/>
          <w:szCs w:val="21"/>
        </w:rPr>
        <w:t xml:space="preserve">. </w:t>
      </w:r>
      <w:r>
        <w:rPr>
          <w:rFonts w:hint="eastAsia" w:ascii="Times New Roman" w:hAnsi="宋体" w:eastAsia="宋体" w:cs="Times New Roman"/>
          <w:sz w:val="21"/>
          <w:szCs w:val="21"/>
        </w:rPr>
        <w:t>北京：北京师范大学出版社，</w:t>
      </w:r>
      <w:r>
        <w:rPr>
          <w:rFonts w:ascii="Times New Roman" w:hAnsi="宋体" w:eastAsia="宋体" w:cs="Times New Roman"/>
          <w:sz w:val="21"/>
          <w:szCs w:val="21"/>
        </w:rPr>
        <w:t>2022.</w:t>
      </w:r>
    </w:p>
    <w:p w14:paraId="6BD5FA16">
      <w:pPr>
        <w:adjustRightInd w:val="0"/>
        <w:snapToGrid w:val="0"/>
        <w:spacing w:line="360" w:lineRule="auto"/>
        <w:rPr>
          <w:rFonts w:ascii="Times New Roman" w:hAnsi="Times New Roman" w:eastAsia="宋体" w:cs="Times New Roman"/>
          <w:sz w:val="21"/>
          <w:szCs w:val="21"/>
        </w:rPr>
      </w:pPr>
      <w:r>
        <w:rPr>
          <w:rFonts w:ascii="Times New Roman" w:hAnsi="宋体" w:eastAsia="宋体" w:cs="Times New Roman"/>
          <w:sz w:val="21"/>
          <w:szCs w:val="21"/>
        </w:rPr>
        <w:t>[10]</w:t>
      </w:r>
      <w:r>
        <w:rPr>
          <w:rFonts w:ascii="Times New Roman" w:hAnsi="宋体" w:eastAsia="宋体" w:cs="Times New Roman"/>
          <w:sz w:val="21"/>
          <w:szCs w:val="21"/>
        </w:rPr>
        <w:tab/>
      </w:r>
      <w:r>
        <w:rPr>
          <w:rFonts w:hint="eastAsia" w:ascii="Times New Roman" w:hAnsi="宋体" w:eastAsia="宋体" w:cs="Times New Roman"/>
          <w:sz w:val="21"/>
          <w:szCs w:val="21"/>
        </w:rPr>
        <w:t>周宗奎，等</w:t>
      </w:r>
      <w:r>
        <w:rPr>
          <w:rFonts w:ascii="Times New Roman" w:hAnsi="宋体" w:eastAsia="宋体" w:cs="Times New Roman"/>
          <w:sz w:val="21"/>
          <w:szCs w:val="21"/>
        </w:rPr>
        <w:t xml:space="preserve">. </w:t>
      </w:r>
      <w:r>
        <w:rPr>
          <w:rFonts w:hint="eastAsia" w:ascii="Times New Roman" w:hAnsi="宋体" w:eastAsia="宋体" w:cs="Times New Roman"/>
          <w:sz w:val="21"/>
          <w:szCs w:val="21"/>
        </w:rPr>
        <w:t>网络心理学</w:t>
      </w:r>
      <w:r>
        <w:rPr>
          <w:rFonts w:ascii="Times New Roman" w:hAnsi="宋体" w:eastAsia="宋体" w:cs="Times New Roman"/>
          <w:sz w:val="21"/>
          <w:szCs w:val="21"/>
        </w:rPr>
        <w:t xml:space="preserve">[M]. </w:t>
      </w:r>
      <w:r>
        <w:rPr>
          <w:rFonts w:hint="eastAsia" w:ascii="Times New Roman" w:hAnsi="宋体" w:eastAsia="宋体" w:cs="Times New Roman"/>
          <w:sz w:val="21"/>
          <w:szCs w:val="21"/>
        </w:rPr>
        <w:t>上海：华东师范大学出版社，</w:t>
      </w:r>
      <w:r>
        <w:rPr>
          <w:rFonts w:ascii="Times New Roman" w:hAnsi="宋体" w:eastAsia="宋体" w:cs="Times New Roman"/>
          <w:sz w:val="21"/>
          <w:szCs w:val="21"/>
        </w:rPr>
        <w:t>2017.</w:t>
      </w:r>
    </w:p>
    <w:p w14:paraId="5B1728F1">
      <w:pPr>
        <w:adjustRightInd w:val="0"/>
        <w:snapToGrid w:val="0"/>
        <w:spacing w:line="360" w:lineRule="auto"/>
        <w:ind w:right="630"/>
        <w:jc w:val="right"/>
        <w:rPr>
          <w:rFonts w:ascii="Times New Roman" w:hAnsi="Times New Roman" w:eastAsia="宋体" w:cs="Times New Roman"/>
          <w:sz w:val="21"/>
          <w:szCs w:val="21"/>
        </w:rPr>
      </w:pPr>
      <w:r>
        <w:rPr>
          <w:rFonts w:hint="eastAsia" w:ascii="Times New Roman" w:hAnsi="宋体" w:eastAsia="宋体" w:cs="Times New Roman"/>
          <w:sz w:val="21"/>
          <w:szCs w:val="21"/>
        </w:rPr>
        <w:t>执笔人：</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薛</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香</w:t>
      </w:r>
    </w:p>
    <w:p w14:paraId="2202D159">
      <w:pPr>
        <w:adjustRightInd w:val="0"/>
        <w:snapToGrid w:val="0"/>
        <w:spacing w:line="360" w:lineRule="auto"/>
        <w:ind w:right="630"/>
        <w:jc w:val="right"/>
        <w:rPr>
          <w:rFonts w:ascii="Times New Roman" w:hAnsi="Times New Roman" w:eastAsia="宋体" w:cs="Times New Roman"/>
          <w:sz w:val="21"/>
          <w:szCs w:val="21"/>
        </w:rPr>
      </w:pPr>
      <w:r>
        <w:rPr>
          <w:rFonts w:hint="eastAsia" w:ascii="Times New Roman" w:hAnsi="宋体" w:eastAsia="宋体" w:cs="Times New Roman"/>
          <w:sz w:val="21"/>
          <w:szCs w:val="21"/>
        </w:rPr>
        <w:t>审定人：</w:t>
      </w:r>
      <w:r>
        <w:rPr>
          <w:rFonts w:ascii="Times New Roman" w:hAnsi="宋体" w:eastAsia="宋体" w:cs="Times New Roman"/>
          <w:sz w:val="21"/>
          <w:szCs w:val="21"/>
        </w:rPr>
        <w:t xml:space="preserve"> </w:t>
      </w:r>
      <w:r>
        <w:rPr>
          <w:rFonts w:hint="eastAsia" w:ascii="Times New Roman" w:hAnsi="宋体" w:eastAsia="宋体" w:cs="Times New Roman"/>
          <w:sz w:val="21"/>
          <w:szCs w:val="21"/>
        </w:rPr>
        <w:t>许飞菲</w:t>
      </w:r>
    </w:p>
    <w:p w14:paraId="45091F1E">
      <w:pPr>
        <w:adjustRightInd w:val="0"/>
        <w:snapToGrid w:val="0"/>
        <w:spacing w:line="360" w:lineRule="auto"/>
        <w:ind w:right="630"/>
        <w:jc w:val="right"/>
        <w:rPr>
          <w:rFonts w:hint="eastAsia" w:ascii="Times New Roman" w:hAnsi="宋体" w:eastAsia="宋体" w:cs="Times New Roman"/>
          <w:sz w:val="21"/>
          <w:szCs w:val="21"/>
        </w:rPr>
      </w:pPr>
      <w:r>
        <w:rPr>
          <w:rFonts w:hint="eastAsia" w:ascii="Times New Roman" w:hAnsi="宋体" w:eastAsia="宋体" w:cs="Times New Roman"/>
          <w:sz w:val="21"/>
          <w:szCs w:val="21"/>
        </w:rPr>
        <w:t>批准人：</w:t>
      </w:r>
      <w:r>
        <w:rPr>
          <w:rFonts w:ascii="Times New Roman" w:hAnsi="宋体" w:eastAsia="宋体" w:cs="Times New Roman"/>
          <w:sz w:val="21"/>
          <w:szCs w:val="21"/>
        </w:rPr>
        <w:t xml:space="preserve"> </w:t>
      </w:r>
      <w:r>
        <w:rPr>
          <w:rFonts w:hint="eastAsia" w:ascii="Times New Roman" w:hAnsi="宋体" w:eastAsia="宋体" w:cs="Times New Roman"/>
          <w:sz w:val="21"/>
          <w:szCs w:val="21"/>
        </w:rPr>
        <w:t>眭</w:t>
      </w:r>
      <w:r>
        <w:rPr>
          <w:rFonts w:ascii="Times New Roman" w:hAnsi="宋体" w:eastAsia="宋体" w:cs="Times New Roman"/>
          <w:sz w:val="21"/>
          <w:szCs w:val="21"/>
        </w:rPr>
        <w:t xml:space="preserve">  </w:t>
      </w:r>
      <w:r>
        <w:rPr>
          <w:rFonts w:hint="eastAsia" w:ascii="Times New Roman" w:hAnsi="宋体" w:eastAsia="宋体" w:cs="Times New Roman"/>
          <w:sz w:val="21"/>
          <w:szCs w:val="21"/>
        </w:rPr>
        <w:t>莉</w:t>
      </w:r>
    </w:p>
    <w:p w14:paraId="2E14EE47">
      <w:pPr>
        <w:widowControl w:val="0"/>
        <w:numPr>
          <w:ilvl w:val="0"/>
          <w:numId w:val="0"/>
        </w:numPr>
        <w:spacing w:before="62" w:beforeLines="20" w:after="62" w:afterLines="20" w:line="360" w:lineRule="auto"/>
        <w:jc w:val="left"/>
        <w:rPr>
          <w:rFonts w:ascii="Times New Roman" w:hAnsi="Times New Roman" w:eastAsia="宋体" w:cs="Times New Roman"/>
          <w:b/>
          <w:sz w:val="24"/>
        </w:rPr>
      </w:pPr>
    </w:p>
    <w:p w14:paraId="247D38F4">
      <w:pPr>
        <w:spacing w:line="360" w:lineRule="auto"/>
        <w:ind w:right="480"/>
        <w:jc w:val="right"/>
        <w:rPr>
          <w:rFonts w:hint="eastAsia" w:ascii="Times New Roman" w:hAnsi="Times New Roman" w:eastAsia="宋体" w:cs="Times New Roman"/>
          <w:sz w:val="21"/>
          <w:szCs w:val="21"/>
          <w:lang w:eastAsia="zh-CN"/>
        </w:rPr>
      </w:pPr>
    </w:p>
    <w:p w14:paraId="0FF52625">
      <w:pPr>
        <w:rPr>
          <w:rFonts w:hint="eastAsia" w:ascii="等线" w:hAnsi="等线" w:eastAsia="等线" w:cs="Times New Roman"/>
          <w:color w:val="auto"/>
          <w:szCs w:val="21"/>
        </w:rPr>
      </w:pPr>
    </w:p>
    <w:p w14:paraId="482C067B">
      <w:pPr>
        <w:rPr>
          <w:rFonts w:hint="eastAsia" w:ascii="等线" w:hAnsi="等线" w:eastAsia="等线" w:cs="Times New Roman"/>
          <w:color w:val="auto"/>
          <w:szCs w:val="21"/>
        </w:rPr>
      </w:pPr>
      <w:r>
        <w:rPr>
          <w:rFonts w:hint="eastAsia" w:ascii="等线" w:hAnsi="等线" w:eastAsia="等线" w:cs="Times New Roman"/>
          <w:color w:val="auto"/>
          <w:szCs w:val="21"/>
        </w:rPr>
        <w:t xml:space="preserve"> </w:t>
      </w:r>
    </w:p>
    <w:p w14:paraId="5C016BBB">
      <w:pPr>
        <w:ind w:firstLine="5670" w:firstLineChars="2700"/>
        <w:rPr>
          <w:color w:val="auto"/>
        </w:rPr>
      </w:pPr>
    </w:p>
    <w:p w14:paraId="3D8ED6FA">
      <w:pPr>
        <w:rPr>
          <w:color w:val="auto"/>
        </w:rPr>
      </w:pPr>
    </w:p>
    <w:p w14:paraId="2BD9F9D5">
      <w:pPr>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64521F04">
      <w:pPr>
        <w:spacing w:line="360" w:lineRule="auto"/>
        <w:jc w:val="center"/>
        <w:outlineLvl w:val="0"/>
        <w:rPr>
          <w:rFonts w:hint="eastAsia" w:ascii="Times New Roman" w:hAnsi="Times New Roman" w:eastAsia="宋体" w:cs="Times New Roman"/>
          <w:b/>
          <w:sz w:val="44"/>
          <w:szCs w:val="44"/>
        </w:rPr>
      </w:pPr>
      <w:bookmarkStart w:id="127" w:name="_Toc30213"/>
      <w:bookmarkStart w:id="128" w:name="_Toc29697"/>
      <w:bookmarkStart w:id="129" w:name="_Toc12753"/>
      <w:bookmarkStart w:id="130" w:name="_Toc5115"/>
      <w:bookmarkStart w:id="131" w:name="_Toc19522"/>
      <w:bookmarkStart w:id="132" w:name="_Toc18051"/>
      <w:r>
        <w:rPr>
          <w:rFonts w:hint="eastAsia" w:ascii="Times New Roman" w:hAnsi="Times New Roman" w:eastAsia="宋体" w:cs="Times New Roman"/>
          <w:b/>
          <w:sz w:val="44"/>
          <w:szCs w:val="44"/>
        </w:rPr>
        <w:t>《大学生安全教育》课程教学大纲</w:t>
      </w:r>
      <w:bookmarkEnd w:id="127"/>
      <w:bookmarkEnd w:id="128"/>
      <w:bookmarkEnd w:id="129"/>
      <w:bookmarkEnd w:id="130"/>
      <w:bookmarkEnd w:id="131"/>
    </w:p>
    <w:p w14:paraId="3D7CD6F6">
      <w:pPr>
        <w:spacing w:line="360" w:lineRule="auto"/>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（Campus Safety）</w:t>
      </w:r>
    </w:p>
    <w:p w14:paraId="387B7F0A">
      <w:pPr>
        <w:spacing w:line="360" w:lineRule="auto"/>
        <w:ind w:firstLine="482" w:firstLineChars="200"/>
        <w:jc w:val="left"/>
        <w:rPr>
          <w:rFonts w:hint="eastAsia" w:ascii="宋体" w:hAnsi="宋体" w:eastAsia="宋体" w:cs="Times New Roman"/>
          <w:b/>
          <w:sz w:val="28"/>
          <w:szCs w:val="28"/>
        </w:rPr>
      </w:pPr>
      <w:r>
        <w:rPr>
          <w:rFonts w:hint="eastAsia" w:ascii="Times New Roman" w:hAnsi="Times New Roman" w:eastAsia="宋体" w:cs="Times New Roman"/>
          <w:b/>
          <w:sz w:val="24"/>
        </w:rPr>
        <w:t>课程名称：大学生安全教育</w:t>
      </w:r>
    </w:p>
    <w:p w14:paraId="74C586CF">
      <w:pPr>
        <w:spacing w:line="360" w:lineRule="auto"/>
        <w:ind w:firstLine="482" w:firstLineChars="200"/>
        <w:rPr>
          <w:rFonts w:hint="eastAsia" w:ascii="宋体" w:hAnsi="宋体" w:eastAsia="宋体" w:cs="Times New Roman"/>
          <w:kern w:val="0"/>
          <w:sz w:val="24"/>
          <w:szCs w:val="22"/>
        </w:rPr>
      </w:pPr>
      <w:r>
        <w:rPr>
          <w:rFonts w:ascii="宋体" w:hAnsi="宋体" w:eastAsia="宋体" w:cs="Times New Roman"/>
          <w:b/>
          <w:bCs/>
          <w:kern w:val="0"/>
          <w:sz w:val="24"/>
        </w:rPr>
        <w:t>课程代码</w:t>
      </w:r>
      <w:r>
        <w:rPr>
          <w:rFonts w:ascii="宋体" w:hAnsi="宋体" w:eastAsia="宋体" w:cs="Times New Roman"/>
          <w:b/>
          <w:kern w:val="0"/>
          <w:sz w:val="24"/>
        </w:rPr>
        <w:t>：</w:t>
      </w:r>
      <w:r>
        <w:rPr>
          <w:rFonts w:hint="eastAsia" w:ascii="宋体" w:hAnsi="宋体" w:eastAsia="宋体" w:cs="Times New Roman"/>
          <w:b/>
          <w:bCs/>
          <w:kern w:val="0"/>
          <w:sz w:val="24"/>
          <w:szCs w:val="22"/>
        </w:rPr>
        <w:t>0000005</w:t>
      </w:r>
    </w:p>
    <w:p w14:paraId="58D1ADC8">
      <w:pPr>
        <w:spacing w:line="360" w:lineRule="auto"/>
        <w:ind w:firstLine="482" w:firstLineChars="200"/>
        <w:rPr>
          <w:rFonts w:hint="eastAsia" w:ascii="宋体" w:hAnsi="宋体" w:eastAsia="宋体" w:cs="Times New Roman"/>
          <w:b/>
          <w:kern w:val="0"/>
          <w:sz w:val="24"/>
        </w:rPr>
      </w:pPr>
      <w:r>
        <w:rPr>
          <w:rFonts w:ascii="宋体" w:hAnsi="宋体" w:eastAsia="宋体" w:cs="Times New Roman"/>
          <w:b/>
          <w:bCs/>
          <w:kern w:val="0"/>
          <w:sz w:val="24"/>
        </w:rPr>
        <w:t>学    分</w:t>
      </w:r>
      <w:r>
        <w:rPr>
          <w:rFonts w:ascii="宋体" w:hAnsi="宋体" w:eastAsia="宋体" w:cs="Times New Roman"/>
          <w:b/>
          <w:kern w:val="0"/>
          <w:sz w:val="24"/>
        </w:rPr>
        <w:t>：</w:t>
      </w:r>
      <w:r>
        <w:rPr>
          <w:rFonts w:hint="eastAsia" w:ascii="宋体" w:hAnsi="宋体" w:eastAsia="宋体" w:cs="Times New Roman"/>
          <w:b/>
          <w:bCs/>
          <w:kern w:val="0"/>
          <w:sz w:val="24"/>
          <w:szCs w:val="22"/>
        </w:rPr>
        <w:t>1</w:t>
      </w:r>
    </w:p>
    <w:p w14:paraId="7F04B1C9">
      <w:pPr>
        <w:spacing w:line="360" w:lineRule="auto"/>
        <w:ind w:firstLine="482" w:firstLineChars="200"/>
        <w:rPr>
          <w:rFonts w:hint="eastAsia" w:ascii="宋体" w:hAnsi="宋体" w:eastAsia="宋体" w:cs="Times New Roman"/>
          <w:kern w:val="0"/>
          <w:sz w:val="24"/>
        </w:rPr>
      </w:pPr>
      <w:r>
        <w:rPr>
          <w:rFonts w:ascii="宋体" w:hAnsi="宋体" w:eastAsia="宋体" w:cs="Times New Roman"/>
          <w:b/>
          <w:bCs/>
          <w:kern w:val="0"/>
          <w:sz w:val="24"/>
        </w:rPr>
        <w:t>学    时</w:t>
      </w:r>
      <w:r>
        <w:rPr>
          <w:rFonts w:ascii="宋体" w:hAnsi="宋体" w:eastAsia="宋体" w:cs="Times New Roman"/>
          <w:b/>
          <w:kern w:val="0"/>
          <w:sz w:val="24"/>
        </w:rPr>
        <w:t>：</w:t>
      </w:r>
      <w:r>
        <w:rPr>
          <w:rFonts w:hint="eastAsia" w:ascii="宋体" w:hAnsi="宋体" w:eastAsia="宋体" w:cs="Times New Roman"/>
          <w:b/>
          <w:kern w:val="0"/>
          <w:sz w:val="24"/>
        </w:rPr>
        <w:t>8</w:t>
      </w:r>
    </w:p>
    <w:p w14:paraId="72256DF1">
      <w:pPr>
        <w:spacing w:line="360" w:lineRule="auto"/>
        <w:ind w:firstLine="482" w:firstLineChars="200"/>
        <w:jc w:val="left"/>
        <w:rPr>
          <w:rFonts w:hint="eastAsia" w:ascii="宋体" w:hAnsi="宋体" w:eastAsia="宋体" w:cs="Times New Roman"/>
          <w:sz w:val="24"/>
          <w:szCs w:val="22"/>
        </w:rPr>
      </w:pPr>
      <w:r>
        <w:rPr>
          <w:rFonts w:ascii="宋体" w:hAnsi="宋体" w:eastAsia="宋体" w:cs="Times New Roman"/>
          <w:b/>
          <w:bCs/>
          <w:kern w:val="0"/>
          <w:sz w:val="24"/>
          <w:lang w:val="zh-CN"/>
        </w:rPr>
        <w:t>先修课程</w:t>
      </w:r>
      <w:r>
        <w:rPr>
          <w:rFonts w:ascii="宋体" w:hAnsi="宋体" w:eastAsia="宋体" w:cs="Times New Roman"/>
          <w:b/>
          <w:kern w:val="0"/>
          <w:sz w:val="24"/>
          <w:lang w:val="zh-CN"/>
        </w:rPr>
        <w:t>：</w:t>
      </w:r>
      <w:r>
        <w:rPr>
          <w:rFonts w:hint="eastAsia" w:ascii="宋体" w:hAnsi="宋体" w:eastAsia="宋体" w:cs="Times New Roman"/>
          <w:b/>
          <w:bCs/>
          <w:sz w:val="24"/>
          <w:szCs w:val="22"/>
        </w:rPr>
        <w:t>无</w:t>
      </w:r>
    </w:p>
    <w:p w14:paraId="20F7B58E">
      <w:pPr>
        <w:spacing w:line="360" w:lineRule="auto"/>
        <w:ind w:firstLine="482" w:firstLineChars="200"/>
        <w:rPr>
          <w:rFonts w:hint="eastAsia" w:ascii="宋体" w:hAnsi="宋体" w:eastAsia="宋体" w:cs="Times New Roman"/>
          <w:b/>
          <w:bCs/>
          <w:kern w:val="0"/>
          <w:sz w:val="24"/>
        </w:rPr>
      </w:pPr>
      <w:r>
        <w:rPr>
          <w:rFonts w:ascii="宋体" w:hAnsi="宋体" w:eastAsia="宋体" w:cs="Times New Roman"/>
          <w:b/>
          <w:bCs/>
          <w:kern w:val="0"/>
          <w:sz w:val="24"/>
        </w:rPr>
        <w:t>适用专业</w:t>
      </w:r>
      <w:r>
        <w:rPr>
          <w:rFonts w:ascii="宋体" w:hAnsi="宋体" w:eastAsia="宋体" w:cs="Times New Roman"/>
          <w:b/>
          <w:kern w:val="0"/>
          <w:sz w:val="24"/>
        </w:rPr>
        <w:t>：</w:t>
      </w:r>
      <w:r>
        <w:rPr>
          <w:rFonts w:hint="eastAsia" w:ascii="宋体" w:hAnsi="宋体" w:eastAsia="宋体" w:cs="Times New Roman"/>
          <w:b/>
          <w:bCs/>
          <w:kern w:val="0"/>
          <w:sz w:val="24"/>
        </w:rPr>
        <w:t>全校所有专业</w:t>
      </w:r>
    </w:p>
    <w:p w14:paraId="54DAC907">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685EFC04">
      <w:pPr>
        <w:pStyle w:val="7"/>
        <w:ind w:firstLine="480"/>
        <w:rPr>
          <w:sz w:val="21"/>
          <w:szCs w:val="24"/>
        </w:rPr>
      </w:pPr>
      <w:r>
        <w:rPr>
          <w:rFonts w:hint="eastAsia"/>
          <w:bCs/>
          <w:sz w:val="21"/>
          <w:szCs w:val="24"/>
        </w:rPr>
        <w:t>本课程</w:t>
      </w:r>
      <w:r>
        <w:rPr>
          <w:sz w:val="21"/>
          <w:szCs w:val="21"/>
        </w:rPr>
        <w:t>是</w:t>
      </w:r>
      <w:r>
        <w:rPr>
          <w:rFonts w:hint="eastAsia"/>
          <w:sz w:val="21"/>
          <w:szCs w:val="24"/>
        </w:rPr>
        <w:t>我校全体学生须学习并考试合格</w:t>
      </w:r>
      <w:r>
        <w:rPr>
          <w:sz w:val="21"/>
          <w:szCs w:val="24"/>
        </w:rPr>
        <w:t>的一门</w:t>
      </w:r>
      <w:r>
        <w:rPr>
          <w:rFonts w:hint="eastAsia"/>
          <w:sz w:val="21"/>
          <w:szCs w:val="24"/>
        </w:rPr>
        <w:t>必修课程</w:t>
      </w:r>
      <w:r>
        <w:rPr>
          <w:sz w:val="21"/>
          <w:szCs w:val="24"/>
        </w:rPr>
        <w:t>。</w:t>
      </w:r>
      <w:r>
        <w:rPr>
          <w:rFonts w:hint="eastAsia"/>
          <w:sz w:val="21"/>
          <w:szCs w:val="24"/>
        </w:rPr>
        <w:t>通过学习《大学生安全知识竞赛题库》，提高大学生安全意识和防范能力，避免</w:t>
      </w:r>
      <w:r>
        <w:rPr>
          <w:rFonts w:hint="eastAsia"/>
          <w:sz w:val="21"/>
          <w:szCs w:val="24"/>
          <w:lang w:val="en-US" w:eastAsia="zh-CN"/>
        </w:rPr>
        <w:t>或</w:t>
      </w:r>
      <w:r>
        <w:rPr>
          <w:rFonts w:hint="eastAsia"/>
          <w:sz w:val="21"/>
          <w:szCs w:val="24"/>
        </w:rPr>
        <w:t>减少安全事件的发生，确保平安、健康、快乐地度过美好的大学生活。通过学习《实验室安全教育》，了解实验过程中涉及具有一定危险因素的实验环境，如高温、高压、超低温、强磁、真空、辐射、高电压和高转速等基本知识；能够掌握安全、健康和环境方面的基本理论，培养其安全意识和安全素养，具有一定的系统安全风险分析的能力，安全操作技能和应急处置能力，以保障大学生在校学习、实验及生活的安全并满足今后职业发展的安全需要。</w:t>
      </w:r>
    </w:p>
    <w:p w14:paraId="1EF70391">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05508A8D">
      <w:pPr>
        <w:pStyle w:val="7"/>
        <w:keepNext w:val="0"/>
        <w:keepLines w:val="0"/>
        <w:pageBreakBefore w:val="0"/>
        <w:widowControl w:val="0"/>
        <w:kinsoku/>
        <w:wordWrap/>
        <w:overflowPunct/>
        <w:topLinePunct w:val="0"/>
        <w:autoSpaceDE/>
        <w:autoSpaceDN/>
        <w:bidi w:val="0"/>
        <w:adjustRightInd/>
        <w:snapToGrid/>
        <w:ind w:firstLine="422"/>
        <w:textAlignment w:val="auto"/>
        <w:rPr>
          <w:b/>
          <w:bCs/>
          <w:szCs w:val="21"/>
        </w:rPr>
      </w:pPr>
      <w:r>
        <w:rPr>
          <w:rFonts w:hint="eastAsia"/>
          <w:b/>
          <w:bCs/>
          <w:sz w:val="24"/>
          <w:szCs w:val="24"/>
        </w:rPr>
        <w:t>（一）课程具体目标</w:t>
      </w:r>
    </w:p>
    <w:p w14:paraId="7DDFF186">
      <w:pPr>
        <w:pStyle w:val="7"/>
        <w:keepNext w:val="0"/>
        <w:keepLines w:val="0"/>
        <w:pageBreakBefore w:val="0"/>
        <w:widowControl w:val="0"/>
        <w:kinsoku/>
        <w:wordWrap/>
        <w:overflowPunct/>
        <w:topLinePunct w:val="0"/>
        <w:autoSpaceDE/>
        <w:autoSpaceDN/>
        <w:bidi w:val="0"/>
        <w:adjustRightInd/>
        <w:snapToGrid/>
        <w:ind w:firstLine="422"/>
        <w:textAlignment w:val="auto"/>
        <w:rPr>
          <w:sz w:val="21"/>
          <w:szCs w:val="21"/>
        </w:rPr>
      </w:pPr>
      <w:r>
        <w:rPr>
          <w:rFonts w:hint="eastAsia"/>
          <w:b/>
          <w:bCs/>
          <w:szCs w:val="21"/>
        </w:rPr>
        <w:t>目标1</w:t>
      </w:r>
      <w:r>
        <w:rPr>
          <w:rFonts w:hint="eastAsia"/>
          <w:b/>
          <w:bCs/>
          <w:sz w:val="18"/>
          <w:szCs w:val="18"/>
        </w:rPr>
        <w:t>.</w:t>
      </w:r>
      <w:r>
        <w:rPr>
          <w:rFonts w:hint="eastAsia"/>
          <w:b/>
          <w:bCs/>
          <w:sz w:val="21"/>
          <w:szCs w:val="21"/>
        </w:rPr>
        <w:t xml:space="preserve"> </w:t>
      </w:r>
      <w:r>
        <w:rPr>
          <w:rFonts w:hint="eastAsia"/>
          <w:sz w:val="21"/>
          <w:szCs w:val="21"/>
        </w:rPr>
        <w:t>掌握安全教育核心知识体系。系统学习人身安全、财产安全、网络安全、心理健康、自然灾害应对等领域的核心概念与基础理论，了解国内外校园安全典型案例与政策法规，构建安全知识结构框架，初步具备识别校园及社会环境中的安全风险、制定安全防护策略的能力。</w:t>
      </w:r>
    </w:p>
    <w:p w14:paraId="1341ABA0">
      <w:pPr>
        <w:pStyle w:val="7"/>
        <w:keepNext w:val="0"/>
        <w:keepLines w:val="0"/>
        <w:pageBreakBefore w:val="0"/>
        <w:widowControl w:val="0"/>
        <w:kinsoku/>
        <w:wordWrap/>
        <w:overflowPunct/>
        <w:topLinePunct w:val="0"/>
        <w:autoSpaceDE/>
        <w:autoSpaceDN/>
        <w:bidi w:val="0"/>
        <w:adjustRightInd/>
        <w:snapToGrid/>
        <w:ind w:firstLine="422"/>
        <w:textAlignment w:val="auto"/>
        <w:rPr>
          <w:szCs w:val="21"/>
        </w:rPr>
      </w:pPr>
      <w:r>
        <w:rPr>
          <w:rFonts w:hint="eastAsia"/>
          <w:b/>
          <w:bCs/>
          <w:szCs w:val="21"/>
        </w:rPr>
        <w:t>目标2.</w:t>
      </w:r>
      <w:r>
        <w:rPr>
          <w:rFonts w:hint="eastAsia"/>
          <w:szCs w:val="21"/>
        </w:rPr>
        <w:t xml:space="preserve"> 提升安全实践与应急处置能力。通过情景模拟、实操演练（如火灾逃生、急救技能、防身术等），掌握应对突发安全事件的流程与技巧，能运用专业方法分析安全风险、制定应急预案，并具备在紧急情况下冷静应对、有效自救与互助的能力，为未来独立生活与社会实践奠定安全保障基础。</w:t>
      </w:r>
    </w:p>
    <w:p w14:paraId="5961DC09">
      <w:pPr>
        <w:pStyle w:val="7"/>
        <w:keepNext w:val="0"/>
        <w:keepLines w:val="0"/>
        <w:pageBreakBefore w:val="0"/>
        <w:widowControl w:val="0"/>
        <w:kinsoku/>
        <w:wordWrap/>
        <w:overflowPunct/>
        <w:topLinePunct w:val="0"/>
        <w:autoSpaceDE/>
        <w:autoSpaceDN/>
        <w:bidi w:val="0"/>
        <w:adjustRightInd/>
        <w:snapToGrid/>
        <w:ind w:firstLine="422"/>
        <w:textAlignment w:val="auto"/>
        <w:rPr>
          <w:szCs w:val="21"/>
        </w:rPr>
      </w:pPr>
      <w:r>
        <w:rPr>
          <w:rFonts w:hint="eastAsia"/>
          <w:b/>
          <w:bCs/>
          <w:szCs w:val="21"/>
        </w:rPr>
        <w:t>目标3.</w:t>
      </w:r>
      <w:r>
        <w:rPr>
          <w:rFonts w:hint="eastAsia"/>
          <w:szCs w:val="21"/>
        </w:rPr>
        <w:t xml:space="preserve"> 树立科学安全观与责任意识。形成正确的安全价值观，包括生命安全至上、风险防范优先、安全行为自律等理念；养成主动关注安全动态、定期更新安全知识的习惯；强化安全责任意识，自觉在日常生活与未来职业中践行安全规范，积极参与校园及社会安全文化建设，成为安全理念的传播者与实践者。</w:t>
      </w:r>
    </w:p>
    <w:p w14:paraId="1A4326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szCs w:val="21"/>
        </w:rPr>
      </w:pPr>
      <w:r>
        <w:rPr>
          <w:rFonts w:hint="eastAsia" w:ascii="Times New Roman" w:hAnsi="Times New Roman" w:eastAsia="宋体" w:cs="Times New Roman"/>
          <w:b/>
          <w:bCs/>
          <w:szCs w:val="21"/>
          <w:lang w:eastAsia="zh-CN"/>
        </w:rPr>
        <w:t>（</w:t>
      </w:r>
      <w:r>
        <w:rPr>
          <w:rFonts w:hint="eastAsia" w:ascii="Times New Roman" w:hAnsi="Times New Roman" w:eastAsia="宋体" w:cs="Times New Roman"/>
          <w:b/>
          <w:bCs/>
          <w:szCs w:val="21"/>
          <w:lang w:val="en-US" w:eastAsia="zh-CN"/>
        </w:rPr>
        <w:t>二</w:t>
      </w:r>
      <w:r>
        <w:rPr>
          <w:rFonts w:hint="eastAsia" w:ascii="Times New Roman" w:hAnsi="Times New Roman" w:eastAsia="宋体" w:cs="Times New Roman"/>
          <w:b/>
          <w:bCs/>
          <w:szCs w:val="21"/>
          <w:lang w:eastAsia="zh-CN"/>
        </w:rPr>
        <w:t>）</w:t>
      </w:r>
      <w:r>
        <w:rPr>
          <w:rFonts w:hint="eastAsia" w:ascii="Times New Roman" w:hAnsi="Times New Roman" w:eastAsia="宋体" w:cs="Times New Roman"/>
          <w:b/>
          <w:bCs/>
          <w:szCs w:val="21"/>
        </w:rPr>
        <w:t>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5C1D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D3B194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7F45146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182B9C7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DFA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B54A2F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28FD0C17">
            <w:pPr>
              <w:spacing w:line="276" w:lineRule="auto"/>
              <w:jc w:val="left"/>
              <w:rPr>
                <w:rFonts w:ascii="Times New Roman" w:hAnsi="Times New Roman" w:eastAsia="宋体" w:cs="Times New Roman"/>
                <w:szCs w:val="21"/>
              </w:rPr>
            </w:pPr>
            <w:r>
              <w:rPr>
                <w:rFonts w:hint="eastAsia" w:ascii="宋体" w:hAnsi="宋体" w:cs="宋体"/>
                <w:kern w:val="0"/>
                <w:sz w:val="20"/>
                <w:szCs w:val="20"/>
              </w:rPr>
              <w:t>指标点</w:t>
            </w:r>
            <w:r>
              <w:rPr>
                <w:rFonts w:hint="eastAsia" w:ascii="宋体" w:hAnsi="宋体" w:cs="宋体"/>
                <w:sz w:val="20"/>
                <w:szCs w:val="20"/>
              </w:rPr>
              <w:t>2-3：【自身修养良好】具有较好的人文</w:t>
            </w:r>
            <w:r>
              <w:rPr>
                <w:rFonts w:hint="eastAsia" w:cs="宋体"/>
                <w:sz w:val="20"/>
                <w:szCs w:val="20"/>
              </w:rPr>
              <w:t>艺术</w:t>
            </w:r>
            <w:r>
              <w:rPr>
                <w:rFonts w:hint="eastAsia" w:ascii="宋体" w:hAnsi="宋体" w:cs="宋体"/>
                <w:sz w:val="20"/>
                <w:szCs w:val="20"/>
              </w:rPr>
              <w:t>底蕴与科学精神，言行举止符合教师职业标准，情感积极，人格健全，身心健康</w:t>
            </w:r>
            <w:r>
              <w:rPr>
                <w:rFonts w:ascii="宋体" w:hAnsi="宋体" w:eastAsia="宋体" w:cs="Times New Roman"/>
                <w:spacing w:val="2"/>
                <w:kern w:val="0"/>
                <w:szCs w:val="21"/>
              </w:rPr>
              <w:t>。</w:t>
            </w:r>
          </w:p>
        </w:tc>
        <w:tc>
          <w:tcPr>
            <w:tcW w:w="1191" w:type="dxa"/>
            <w:vAlign w:val="center"/>
          </w:tcPr>
          <w:p w14:paraId="0EC59BE9">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课程目标1</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2、3</w:t>
            </w:r>
          </w:p>
        </w:tc>
      </w:tr>
    </w:tbl>
    <w:p w14:paraId="2E64B0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Times New Roman"/>
          <w:b/>
          <w:szCs w:val="21"/>
        </w:rPr>
      </w:pPr>
      <w:r>
        <w:rPr>
          <w:rFonts w:hint="eastAsia" w:ascii="宋体" w:hAnsi="宋体" w:eastAsia="宋体" w:cs="Times New Roman"/>
          <w:b/>
          <w:szCs w:val="21"/>
          <w:lang w:eastAsia="zh-CN"/>
        </w:rPr>
        <w:t>（</w:t>
      </w:r>
      <w:r>
        <w:rPr>
          <w:rFonts w:hint="eastAsia" w:ascii="宋体" w:hAnsi="宋体" w:eastAsia="宋体" w:cs="Times New Roman"/>
          <w:b/>
          <w:szCs w:val="21"/>
          <w:lang w:val="en-US" w:eastAsia="zh-CN"/>
        </w:rPr>
        <w:t>三</w:t>
      </w:r>
      <w:r>
        <w:rPr>
          <w:rFonts w:hint="eastAsia" w:ascii="宋体" w:hAnsi="宋体" w:eastAsia="宋体" w:cs="Times New Roman"/>
          <w:b/>
          <w:szCs w:val="21"/>
          <w:lang w:eastAsia="zh-CN"/>
        </w:rPr>
        <w:t>）</w:t>
      </w:r>
      <w:r>
        <w:rPr>
          <w:rFonts w:hint="eastAsia" w:ascii="宋体" w:hAnsi="宋体" w:eastAsia="宋体" w:cs="Times New Roman"/>
          <w:b/>
          <w:szCs w:val="21"/>
        </w:rPr>
        <w:t>课程思政目标</w:t>
      </w:r>
    </w:p>
    <w:p w14:paraId="67C3335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Times New Roman"/>
          <w:bCs/>
          <w:szCs w:val="21"/>
        </w:rPr>
      </w:pPr>
      <w:r>
        <w:rPr>
          <w:rFonts w:hint="eastAsia" w:ascii="宋体" w:hAnsi="宋体" w:eastAsia="宋体" w:cs="Times New Roman"/>
          <w:bCs/>
          <w:szCs w:val="21"/>
        </w:rPr>
        <w:t>促使学生在系统掌握安全知识体系与实践技能的基础上，深刻理解国家安全与社会稳定的重要意义，践行社会主义核心价值观；树立“生命至上、风险防范、责任为先”的科学安全观，自觉遵守法律法规与校园安全规范，强化公共安全意识；培养自律守则的行为习惯与人文关怀精神，主动参与校园及社会安全文化建设，积极传播安全理念；以高度的社会责任感与创新思维，分析安全挑战、优化防护策略，立志成为具备扎实安全素养、法治观念、仁爱之心和家国情怀的新时代青年，为构建平安校园、维护社会和谐稳定贡献力量。</w:t>
      </w:r>
    </w:p>
    <w:p w14:paraId="4694C501">
      <w:pPr>
        <w:spacing w:before="62" w:beforeLines="20" w:after="62" w:afterLines="20" w:line="360" w:lineRule="auto"/>
        <w:jc w:val="left"/>
        <w:rPr>
          <w:rFonts w:ascii="Times New Roman" w:hAnsi="Times New Roman" w:eastAsia="宋体" w:cs="Times New Roman"/>
          <w:b/>
          <w:sz w:val="24"/>
        </w:rPr>
      </w:pPr>
      <w:bookmarkStart w:id="133" w:name="_Toc10229"/>
      <w:r>
        <w:rPr>
          <w:rFonts w:hint="eastAsia" w:ascii="Times New Roman" w:hAnsi="Times New Roman" w:eastAsia="宋体" w:cs="Times New Roman"/>
          <w:b/>
          <w:sz w:val="24"/>
        </w:rPr>
        <w:t>三、教学内容与预期学习成效</w:t>
      </w:r>
      <w:bookmarkEnd w:id="133"/>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2887"/>
        <w:gridCol w:w="1200"/>
        <w:gridCol w:w="2480"/>
        <w:gridCol w:w="1292"/>
        <w:gridCol w:w="438"/>
      </w:tblGrid>
      <w:tr w14:paraId="5EE9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Align w:val="center"/>
          </w:tcPr>
          <w:p w14:paraId="545686A3">
            <w:pPr>
              <w:spacing w:line="240" w:lineRule="auto"/>
              <w:jc w:val="center"/>
              <w:rPr>
                <w:rFonts w:hint="eastAsia" w:ascii="宋体" w:hAnsi="宋体" w:eastAsia="宋体" w:cs="Times New Roman"/>
                <w:b/>
                <w:sz w:val="21"/>
                <w:szCs w:val="21"/>
              </w:rPr>
            </w:pPr>
            <w:r>
              <w:rPr>
                <w:rFonts w:hint="eastAsia" w:ascii="宋体" w:hAnsi="宋体" w:eastAsia="宋体" w:cs="Times New Roman"/>
                <w:b/>
                <w:sz w:val="21"/>
                <w:szCs w:val="21"/>
              </w:rPr>
              <w:t>知识</w:t>
            </w:r>
          </w:p>
          <w:p w14:paraId="1677FBCD">
            <w:pPr>
              <w:spacing w:line="240" w:lineRule="auto"/>
              <w:jc w:val="center"/>
              <w:rPr>
                <w:rFonts w:hint="eastAsia" w:ascii="宋体" w:hAnsi="宋体" w:eastAsia="宋体" w:cs="Times New Roman"/>
                <w:b/>
                <w:sz w:val="21"/>
                <w:szCs w:val="21"/>
              </w:rPr>
            </w:pPr>
            <w:r>
              <w:rPr>
                <w:rFonts w:hint="eastAsia" w:ascii="宋体" w:hAnsi="宋体" w:eastAsia="宋体" w:cs="Times New Roman"/>
                <w:b/>
                <w:sz w:val="21"/>
                <w:szCs w:val="21"/>
              </w:rPr>
              <w:t>单元</w:t>
            </w:r>
          </w:p>
        </w:tc>
        <w:tc>
          <w:tcPr>
            <w:tcW w:w="2887" w:type="dxa"/>
            <w:vAlign w:val="center"/>
          </w:tcPr>
          <w:p w14:paraId="1403A01F">
            <w:pPr>
              <w:spacing w:line="240" w:lineRule="auto"/>
              <w:jc w:val="center"/>
              <w:rPr>
                <w:rFonts w:hint="eastAsia" w:ascii="宋体" w:hAnsi="宋体" w:eastAsia="宋体" w:cs="Times New Roman"/>
                <w:b/>
                <w:sz w:val="21"/>
                <w:szCs w:val="21"/>
              </w:rPr>
            </w:pPr>
            <w:r>
              <w:rPr>
                <w:rFonts w:hint="eastAsia" w:ascii="宋体" w:hAnsi="宋体" w:eastAsia="宋体" w:cs="Times New Roman"/>
                <w:b/>
                <w:sz w:val="21"/>
                <w:szCs w:val="21"/>
              </w:rPr>
              <w:t>知识点</w:t>
            </w:r>
          </w:p>
        </w:tc>
        <w:tc>
          <w:tcPr>
            <w:tcW w:w="1200" w:type="dxa"/>
            <w:vAlign w:val="center"/>
          </w:tcPr>
          <w:p w14:paraId="6A228506">
            <w:pPr>
              <w:spacing w:line="240" w:lineRule="auto"/>
              <w:jc w:val="center"/>
              <w:rPr>
                <w:rFonts w:hint="eastAsia" w:ascii="宋体" w:hAnsi="宋体" w:eastAsia="宋体" w:cs="Times New Roman"/>
                <w:b/>
                <w:sz w:val="21"/>
                <w:szCs w:val="21"/>
              </w:rPr>
            </w:pPr>
            <w:r>
              <w:rPr>
                <w:rFonts w:hint="eastAsia" w:ascii="宋体" w:hAnsi="宋体" w:eastAsia="宋体" w:cs="Times New Roman"/>
                <w:b/>
                <w:sz w:val="21"/>
                <w:szCs w:val="21"/>
              </w:rPr>
              <w:t>对应</w:t>
            </w:r>
          </w:p>
          <w:p w14:paraId="4956271F">
            <w:pPr>
              <w:spacing w:line="240" w:lineRule="auto"/>
              <w:jc w:val="center"/>
              <w:rPr>
                <w:rFonts w:hint="eastAsia" w:ascii="宋体" w:hAnsi="宋体" w:eastAsia="宋体" w:cs="Times New Roman"/>
                <w:b/>
                <w:sz w:val="21"/>
                <w:szCs w:val="21"/>
              </w:rPr>
            </w:pPr>
            <w:r>
              <w:rPr>
                <w:rFonts w:hint="eastAsia" w:ascii="宋体" w:hAnsi="宋体" w:eastAsia="宋体" w:cs="Times New Roman"/>
                <w:b/>
                <w:sz w:val="21"/>
                <w:szCs w:val="21"/>
              </w:rPr>
              <w:t>课程目标</w:t>
            </w:r>
          </w:p>
        </w:tc>
        <w:tc>
          <w:tcPr>
            <w:tcW w:w="2480" w:type="dxa"/>
            <w:vAlign w:val="center"/>
          </w:tcPr>
          <w:p w14:paraId="0927B857">
            <w:pPr>
              <w:spacing w:line="240" w:lineRule="auto"/>
              <w:jc w:val="center"/>
              <w:rPr>
                <w:rFonts w:hint="eastAsia" w:ascii="宋体" w:hAnsi="宋体" w:eastAsia="宋体" w:cs="Times New Roman"/>
                <w:b/>
                <w:sz w:val="21"/>
                <w:szCs w:val="21"/>
              </w:rPr>
            </w:pPr>
            <w:r>
              <w:rPr>
                <w:rFonts w:hint="eastAsia" w:ascii="宋体" w:hAnsi="宋体" w:eastAsia="宋体" w:cs="Times New Roman"/>
                <w:b/>
                <w:sz w:val="21"/>
                <w:szCs w:val="21"/>
              </w:rPr>
              <w:t>预期学习成效</w:t>
            </w:r>
          </w:p>
        </w:tc>
        <w:tc>
          <w:tcPr>
            <w:tcW w:w="1292" w:type="dxa"/>
            <w:vAlign w:val="center"/>
          </w:tcPr>
          <w:p w14:paraId="53D7A08B">
            <w:pPr>
              <w:spacing w:line="240" w:lineRule="auto"/>
              <w:jc w:val="center"/>
              <w:rPr>
                <w:rFonts w:hint="eastAsia" w:ascii="宋体" w:hAnsi="宋体" w:eastAsia="宋体" w:cs="Times New Roman"/>
                <w:b/>
                <w:sz w:val="21"/>
                <w:szCs w:val="21"/>
              </w:rPr>
            </w:pPr>
            <w:r>
              <w:rPr>
                <w:rFonts w:hint="eastAsia" w:ascii="宋体" w:hAnsi="宋体" w:eastAsia="宋体" w:cs="Times New Roman"/>
                <w:b/>
                <w:sz w:val="21"/>
                <w:szCs w:val="21"/>
              </w:rPr>
              <w:t>实现环节</w:t>
            </w:r>
          </w:p>
        </w:tc>
        <w:tc>
          <w:tcPr>
            <w:tcW w:w="438" w:type="dxa"/>
            <w:vAlign w:val="center"/>
          </w:tcPr>
          <w:p w14:paraId="1236E484">
            <w:pPr>
              <w:spacing w:line="240" w:lineRule="auto"/>
              <w:jc w:val="center"/>
              <w:rPr>
                <w:rFonts w:hint="eastAsia" w:ascii="宋体" w:hAnsi="宋体" w:eastAsia="宋体" w:cs="Times New Roman"/>
                <w:b/>
                <w:sz w:val="21"/>
                <w:szCs w:val="21"/>
              </w:rPr>
            </w:pPr>
            <w:r>
              <w:rPr>
                <w:rFonts w:hint="eastAsia" w:ascii="宋体" w:hAnsi="宋体" w:eastAsia="宋体" w:cs="Times New Roman"/>
                <w:b/>
                <w:sz w:val="21"/>
                <w:szCs w:val="21"/>
              </w:rPr>
              <w:t>学时</w:t>
            </w:r>
          </w:p>
        </w:tc>
      </w:tr>
      <w:tr w14:paraId="530AE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3" w:hRule="atLeast"/>
          <w:jc w:val="center"/>
        </w:trPr>
        <w:tc>
          <w:tcPr>
            <w:tcW w:w="1001" w:type="dxa"/>
            <w:vMerge w:val="restart"/>
            <w:vAlign w:val="center"/>
          </w:tcPr>
          <w:p w14:paraId="3AC67C09">
            <w:pPr>
              <w:spacing w:line="240" w:lineRule="auto"/>
              <w:jc w:val="center"/>
              <w:rPr>
                <w:rFonts w:hint="eastAsia" w:ascii="宋体" w:hAnsi="宋体" w:eastAsia="宋体" w:cs="Times New Roman"/>
                <w:sz w:val="21"/>
                <w:szCs w:val="21"/>
              </w:rPr>
            </w:pPr>
            <w:r>
              <w:rPr>
                <w:rFonts w:hint="eastAsia" w:ascii="宋体" w:hAnsi="宋体" w:eastAsia="宋体" w:cs="宋体"/>
                <w:bCs/>
                <w:sz w:val="21"/>
                <w:szCs w:val="21"/>
              </w:rPr>
              <w:t>1.大学生安全知识</w:t>
            </w:r>
          </w:p>
        </w:tc>
        <w:tc>
          <w:tcPr>
            <w:tcW w:w="2887" w:type="dxa"/>
            <w:vAlign w:val="center"/>
          </w:tcPr>
          <w:p w14:paraId="6B912F4C">
            <w:pPr>
              <w:spacing w:line="240" w:lineRule="auto"/>
              <w:rPr>
                <w:rFonts w:hint="eastAsia" w:ascii="宋体" w:hAnsi="宋体" w:eastAsia="宋体" w:cs="宋体"/>
                <w:sz w:val="21"/>
                <w:szCs w:val="21"/>
              </w:rPr>
            </w:pPr>
            <w:r>
              <w:rPr>
                <w:rFonts w:hint="eastAsia" w:ascii="宋体" w:hAnsi="宋体" w:eastAsia="宋体" w:cs="宋体"/>
                <w:sz w:val="21"/>
                <w:szCs w:val="21"/>
              </w:rPr>
              <w:t>（1）维护国家安全。</w:t>
            </w:r>
          </w:p>
          <w:p w14:paraId="3BD06222">
            <w:pPr>
              <w:spacing w:line="240" w:lineRule="auto"/>
              <w:rPr>
                <w:rFonts w:hint="eastAsia" w:ascii="宋体" w:hAnsi="宋体" w:eastAsia="宋体" w:cs="宋体"/>
                <w:sz w:val="21"/>
                <w:szCs w:val="21"/>
              </w:rPr>
            </w:pPr>
            <w:r>
              <w:rPr>
                <w:rFonts w:hint="eastAsia" w:ascii="宋体" w:hAnsi="宋体" w:eastAsia="宋体" w:cs="宋体"/>
                <w:sz w:val="21"/>
                <w:szCs w:val="21"/>
              </w:rPr>
              <w:t>（2）不法侵害的预防与处置。</w:t>
            </w:r>
          </w:p>
          <w:p w14:paraId="44517F01">
            <w:pPr>
              <w:spacing w:line="240" w:lineRule="auto"/>
              <w:rPr>
                <w:rFonts w:hint="eastAsia" w:ascii="宋体" w:hAnsi="宋体" w:eastAsia="宋体" w:cs="宋体"/>
                <w:sz w:val="21"/>
                <w:szCs w:val="21"/>
              </w:rPr>
            </w:pPr>
            <w:r>
              <w:rPr>
                <w:rFonts w:hint="eastAsia" w:ascii="宋体" w:hAnsi="宋体" w:eastAsia="宋体" w:cs="宋体"/>
                <w:sz w:val="21"/>
                <w:szCs w:val="21"/>
              </w:rPr>
              <w:t>（3）诈骗的识别与防范。</w:t>
            </w:r>
          </w:p>
          <w:p w14:paraId="05821C3D">
            <w:pPr>
              <w:spacing w:line="240" w:lineRule="auto"/>
              <w:rPr>
                <w:rFonts w:hint="eastAsia" w:ascii="宋体" w:hAnsi="宋体" w:eastAsia="宋体" w:cs="宋体"/>
                <w:sz w:val="21"/>
                <w:szCs w:val="21"/>
              </w:rPr>
            </w:pPr>
            <w:r>
              <w:rPr>
                <w:rFonts w:hint="eastAsia" w:ascii="宋体" w:hAnsi="宋体" w:eastAsia="宋体" w:cs="宋体"/>
                <w:sz w:val="21"/>
                <w:szCs w:val="21"/>
              </w:rPr>
              <w:t>（4）心理障碍的预防与调适。</w:t>
            </w:r>
          </w:p>
          <w:p w14:paraId="6B81FF96">
            <w:pPr>
              <w:spacing w:line="240" w:lineRule="auto"/>
              <w:rPr>
                <w:rFonts w:hint="eastAsia" w:ascii="宋体" w:hAnsi="宋体" w:eastAsia="宋体" w:cs="宋体"/>
                <w:sz w:val="21"/>
                <w:szCs w:val="21"/>
              </w:rPr>
            </w:pPr>
            <w:r>
              <w:rPr>
                <w:rFonts w:hint="eastAsia" w:ascii="宋体" w:hAnsi="宋体" w:eastAsia="宋体" w:cs="宋体"/>
                <w:sz w:val="21"/>
                <w:szCs w:val="21"/>
              </w:rPr>
              <w:t>（5）火灾事故的预防与应对。</w:t>
            </w:r>
          </w:p>
          <w:p w14:paraId="75371CDE">
            <w:pPr>
              <w:spacing w:line="240" w:lineRule="auto"/>
              <w:rPr>
                <w:rFonts w:hint="eastAsia" w:ascii="宋体" w:hAnsi="宋体" w:eastAsia="宋体" w:cs="宋体"/>
                <w:sz w:val="21"/>
                <w:szCs w:val="21"/>
              </w:rPr>
            </w:pPr>
            <w:r>
              <w:rPr>
                <w:rFonts w:hint="eastAsia" w:ascii="宋体" w:hAnsi="宋体" w:eastAsia="宋体" w:cs="宋体"/>
                <w:sz w:val="21"/>
                <w:szCs w:val="21"/>
              </w:rPr>
              <w:t>（6）交通事故的预防与处置。</w:t>
            </w:r>
          </w:p>
          <w:p w14:paraId="5E5B68C2">
            <w:pPr>
              <w:spacing w:line="240" w:lineRule="auto"/>
              <w:rPr>
                <w:rFonts w:hint="eastAsia" w:ascii="宋体" w:hAnsi="宋体" w:eastAsia="宋体" w:cs="宋体"/>
                <w:sz w:val="21"/>
                <w:szCs w:val="21"/>
              </w:rPr>
            </w:pPr>
            <w:r>
              <w:rPr>
                <w:rFonts w:hint="eastAsia" w:ascii="宋体" w:hAnsi="宋体" w:eastAsia="宋体" w:cs="宋体"/>
                <w:sz w:val="21"/>
                <w:szCs w:val="21"/>
              </w:rPr>
              <w:t>（7）盗窃案件的预防与应对。</w:t>
            </w:r>
          </w:p>
          <w:p w14:paraId="73CEBAE8">
            <w:pPr>
              <w:spacing w:line="240" w:lineRule="auto"/>
              <w:rPr>
                <w:rFonts w:hint="eastAsia" w:ascii="宋体" w:hAnsi="宋体" w:eastAsia="宋体" w:cs="宋体"/>
                <w:sz w:val="21"/>
                <w:szCs w:val="21"/>
              </w:rPr>
            </w:pPr>
            <w:r>
              <w:rPr>
                <w:rFonts w:hint="eastAsia" w:ascii="宋体" w:hAnsi="宋体" w:eastAsia="宋体" w:cs="宋体"/>
                <w:sz w:val="21"/>
                <w:szCs w:val="21"/>
              </w:rPr>
              <w:t>（8）网络侵害的防范与处置。</w:t>
            </w:r>
          </w:p>
          <w:p w14:paraId="5CE54DB7">
            <w:pPr>
              <w:spacing w:line="240" w:lineRule="auto"/>
              <w:rPr>
                <w:rFonts w:hint="eastAsia" w:ascii="宋体" w:hAnsi="宋体" w:eastAsia="宋体" w:cs="宋体"/>
                <w:sz w:val="21"/>
                <w:szCs w:val="21"/>
              </w:rPr>
            </w:pPr>
            <w:r>
              <w:rPr>
                <w:rFonts w:hint="eastAsia" w:ascii="宋体" w:hAnsi="宋体" w:eastAsia="宋体" w:cs="宋体"/>
                <w:sz w:val="21"/>
                <w:szCs w:val="21"/>
              </w:rPr>
              <w:t>（9）灾害及意外伤害事故的防范与应对。</w:t>
            </w:r>
          </w:p>
          <w:p w14:paraId="63E353FF">
            <w:pPr>
              <w:spacing w:line="240" w:lineRule="auto"/>
              <w:rPr>
                <w:rFonts w:hint="eastAsia" w:ascii="宋体" w:hAnsi="宋体" w:eastAsia="宋体" w:cs="宋体"/>
                <w:sz w:val="21"/>
                <w:szCs w:val="21"/>
              </w:rPr>
            </w:pPr>
            <w:r>
              <w:rPr>
                <w:rFonts w:hint="eastAsia" w:ascii="宋体" w:hAnsi="宋体" w:eastAsia="宋体" w:cs="宋体"/>
                <w:sz w:val="21"/>
                <w:szCs w:val="21"/>
              </w:rPr>
              <w:t>（10）食物中毒、传染病及猝死的预防与处置。</w:t>
            </w:r>
          </w:p>
          <w:p w14:paraId="231A5AC5">
            <w:pPr>
              <w:spacing w:line="240" w:lineRule="auto"/>
              <w:rPr>
                <w:rFonts w:hint="eastAsia" w:ascii="宋体" w:hAnsi="宋体" w:eastAsia="宋体" w:cs="Times New Roman"/>
                <w:sz w:val="21"/>
                <w:szCs w:val="21"/>
              </w:rPr>
            </w:pPr>
            <w:r>
              <w:rPr>
                <w:rFonts w:hint="eastAsia" w:ascii="宋体" w:hAnsi="宋体" w:eastAsia="宋体" w:cs="宋体"/>
                <w:sz w:val="21"/>
                <w:szCs w:val="21"/>
              </w:rPr>
              <w:t>（11）学生人身伤害事故处理。</w:t>
            </w:r>
          </w:p>
        </w:tc>
        <w:tc>
          <w:tcPr>
            <w:tcW w:w="1200" w:type="dxa"/>
            <w:vAlign w:val="center"/>
          </w:tcPr>
          <w:p w14:paraId="4518F814">
            <w:pPr>
              <w:spacing w:line="240" w:lineRule="auto"/>
              <w:jc w:val="center"/>
              <w:rPr>
                <w:rFonts w:hint="eastAsia" w:ascii="宋体" w:hAnsi="宋体" w:eastAsia="宋体" w:cs="Times New Roman"/>
                <w:sz w:val="21"/>
                <w:szCs w:val="21"/>
              </w:rPr>
            </w:pPr>
            <w:r>
              <w:rPr>
                <w:rFonts w:hint="eastAsia" w:ascii="宋体" w:hAnsi="宋体" w:eastAsia="宋体" w:cs="Times New Roman"/>
                <w:sz w:val="21"/>
                <w:szCs w:val="21"/>
              </w:rPr>
              <w:t>课程目标1、2、3</w:t>
            </w:r>
          </w:p>
        </w:tc>
        <w:tc>
          <w:tcPr>
            <w:tcW w:w="2480" w:type="dxa"/>
            <w:vAlign w:val="center"/>
          </w:tcPr>
          <w:p w14:paraId="69F2002A">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1. 理解人身安全、财产安全、网络安全等领域的核心概念与基础理论；</w:t>
            </w:r>
          </w:p>
          <w:p w14:paraId="03FD307D">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2. 了解国内外校园安全典型案例与政策法规，构建安全知识结构框架；</w:t>
            </w:r>
          </w:p>
          <w:p w14:paraId="2339EE19">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3. 掌握识别校园及社会环境中安全风险的方法，能制定基础安全防护策略；</w:t>
            </w:r>
          </w:p>
          <w:p w14:paraId="007001E3">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4. 通过案例分析与情景模拟，形成应对突发安全事件的初步能力，具备冷静应对、有效自救与互助的意识。</w:t>
            </w:r>
          </w:p>
        </w:tc>
        <w:tc>
          <w:tcPr>
            <w:tcW w:w="1292" w:type="dxa"/>
            <w:vAlign w:val="center"/>
          </w:tcPr>
          <w:p w14:paraId="64051BE8">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1.课堂讲授</w:t>
            </w:r>
          </w:p>
          <w:p w14:paraId="330C8733">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2.案例分析</w:t>
            </w:r>
          </w:p>
          <w:p w14:paraId="02AB6E65">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3.情景模拟</w:t>
            </w:r>
          </w:p>
        </w:tc>
        <w:tc>
          <w:tcPr>
            <w:tcW w:w="438" w:type="dxa"/>
            <w:vAlign w:val="center"/>
          </w:tcPr>
          <w:p w14:paraId="05B6DB62">
            <w:pPr>
              <w:spacing w:line="240" w:lineRule="auto"/>
              <w:jc w:val="center"/>
              <w:rPr>
                <w:rFonts w:hint="eastAsia" w:ascii="宋体" w:hAnsi="宋体" w:eastAsia="宋体" w:cs="Times New Roman"/>
                <w:sz w:val="21"/>
                <w:szCs w:val="21"/>
              </w:rPr>
            </w:pPr>
            <w:r>
              <w:rPr>
                <w:rFonts w:hint="eastAsia" w:ascii="宋体" w:hAnsi="宋体" w:eastAsia="宋体" w:cs="Times New Roman"/>
                <w:sz w:val="21"/>
                <w:szCs w:val="21"/>
              </w:rPr>
              <w:t>2</w:t>
            </w:r>
          </w:p>
        </w:tc>
      </w:tr>
      <w:tr w14:paraId="6BC8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continue"/>
            <w:vAlign w:val="center"/>
          </w:tcPr>
          <w:p w14:paraId="6401A86F">
            <w:pPr>
              <w:spacing w:line="240" w:lineRule="auto"/>
              <w:jc w:val="center"/>
              <w:rPr>
                <w:rFonts w:hint="eastAsia" w:ascii="宋体" w:hAnsi="宋体" w:eastAsia="宋体" w:cs="Times New Roman"/>
                <w:sz w:val="21"/>
                <w:szCs w:val="21"/>
              </w:rPr>
            </w:pPr>
          </w:p>
        </w:tc>
        <w:tc>
          <w:tcPr>
            <w:tcW w:w="8297" w:type="dxa"/>
            <w:gridSpan w:val="5"/>
            <w:vAlign w:val="center"/>
          </w:tcPr>
          <w:p w14:paraId="2EA785E3">
            <w:pPr>
              <w:spacing w:line="240" w:lineRule="auto"/>
              <w:jc w:val="left"/>
              <w:rPr>
                <w:rFonts w:hint="eastAsia" w:ascii="宋体" w:hAnsi="宋体" w:eastAsia="宋体" w:cs="Times New Roman"/>
                <w:sz w:val="21"/>
                <w:szCs w:val="21"/>
              </w:rPr>
            </w:pPr>
            <w:r>
              <w:rPr>
                <w:rFonts w:hint="eastAsia" w:ascii="宋体" w:hAnsi="宋体" w:eastAsia="宋体" w:cs="Times New Roman"/>
                <w:b/>
                <w:sz w:val="21"/>
                <w:szCs w:val="21"/>
              </w:rPr>
              <w:t>课程思政目标：</w:t>
            </w:r>
            <w:r>
              <w:rPr>
                <w:rFonts w:hint="eastAsia" w:ascii="宋体" w:hAnsi="宋体" w:eastAsia="宋体" w:cs="Times New Roman"/>
                <w:bCs/>
                <w:sz w:val="21"/>
                <w:szCs w:val="21"/>
              </w:rPr>
              <w:t>使学生深刻理解国家安全与社会稳定的内在联系，树立 “生命至上、安全第一” 的价值理念；通过典型案例分析，强化社会主义核心价值观，增强法治意识与社会责任感，自觉维护公共安全秩序，立志成为校园安全与社会和谐的守护者。</w:t>
            </w:r>
          </w:p>
        </w:tc>
      </w:tr>
      <w:tr w14:paraId="27B8B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restart"/>
            <w:vAlign w:val="center"/>
          </w:tcPr>
          <w:p w14:paraId="7997D755">
            <w:pPr>
              <w:spacing w:line="240" w:lineRule="auto"/>
              <w:rPr>
                <w:rFonts w:hint="eastAsia" w:ascii="宋体" w:hAnsi="宋体" w:eastAsia="宋体" w:cs="宋体"/>
                <w:bCs/>
                <w:sz w:val="21"/>
                <w:szCs w:val="21"/>
              </w:rPr>
            </w:pPr>
            <w:r>
              <w:rPr>
                <w:rFonts w:hint="eastAsia" w:ascii="宋体" w:hAnsi="宋体" w:eastAsia="宋体" w:cs="宋体"/>
                <w:bCs/>
                <w:sz w:val="21"/>
                <w:szCs w:val="21"/>
              </w:rPr>
              <w:t>2.实验室消防安全教育及</w:t>
            </w:r>
            <w:r>
              <w:rPr>
                <w:rFonts w:hint="eastAsia" w:ascii="宋体" w:hAnsi="宋体" w:cs="宋体"/>
                <w:sz w:val="21"/>
                <w:szCs w:val="21"/>
              </w:rPr>
              <w:t>实验室用电安全</w:t>
            </w:r>
          </w:p>
          <w:p w14:paraId="512CD515">
            <w:pPr>
              <w:spacing w:line="240" w:lineRule="auto"/>
              <w:jc w:val="center"/>
              <w:rPr>
                <w:rFonts w:hint="eastAsia" w:ascii="宋体" w:hAnsi="宋体" w:eastAsia="宋体" w:cs="Times New Roman"/>
                <w:sz w:val="21"/>
                <w:szCs w:val="21"/>
              </w:rPr>
            </w:pPr>
          </w:p>
        </w:tc>
        <w:tc>
          <w:tcPr>
            <w:tcW w:w="2887" w:type="dxa"/>
            <w:vAlign w:val="center"/>
          </w:tcPr>
          <w:p w14:paraId="3FF7748D">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1</w:t>
            </w:r>
            <w:r>
              <w:rPr>
                <w:rFonts w:hint="eastAsia" w:ascii="宋体" w:hAnsi="宋体" w:cs="宋体"/>
                <w:sz w:val="21"/>
                <w:szCs w:val="21"/>
              </w:rPr>
              <w:t>）实验室消防常识。</w:t>
            </w:r>
          </w:p>
          <w:p w14:paraId="133F0A9C">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（2）实验室消防安全管理。</w:t>
            </w:r>
          </w:p>
          <w:p w14:paraId="7486BDCA">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（3）实验室消防设施。</w:t>
            </w:r>
          </w:p>
          <w:p w14:paraId="702BD448">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（4）火灾应急措施。</w:t>
            </w:r>
          </w:p>
          <w:p w14:paraId="5C7BCF8E">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5</w:t>
            </w:r>
            <w:r>
              <w:rPr>
                <w:rFonts w:hint="eastAsia" w:ascii="宋体" w:hAnsi="宋体" w:cs="宋体"/>
                <w:sz w:val="21"/>
                <w:szCs w:val="21"/>
              </w:rPr>
              <w:t>）实验室安全用电常识。</w:t>
            </w:r>
          </w:p>
          <w:p w14:paraId="14D66F1A">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6</w:t>
            </w:r>
            <w:r>
              <w:rPr>
                <w:rFonts w:hint="eastAsia" w:ascii="宋体" w:hAnsi="宋体" w:cs="宋体"/>
                <w:sz w:val="21"/>
                <w:szCs w:val="21"/>
              </w:rPr>
              <w:t>）实验室安全用电管理。</w:t>
            </w:r>
          </w:p>
          <w:p w14:paraId="0170FD3C">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7</w:t>
            </w:r>
            <w:r>
              <w:rPr>
                <w:rFonts w:hint="eastAsia" w:ascii="宋体" w:hAnsi="宋体" w:cs="宋体"/>
                <w:sz w:val="21"/>
                <w:szCs w:val="21"/>
              </w:rPr>
              <w:t>）实验室用电常见安全事故应急措施。</w:t>
            </w:r>
          </w:p>
          <w:p w14:paraId="66AF9088">
            <w:pPr>
              <w:spacing w:line="240" w:lineRule="auto"/>
              <w:jc w:val="left"/>
              <w:rPr>
                <w:rFonts w:hint="eastAsia" w:ascii="宋体" w:hAnsi="宋体" w:eastAsia="宋体" w:cs="Times New Roman"/>
                <w:sz w:val="21"/>
                <w:szCs w:val="21"/>
              </w:rPr>
            </w:pPr>
          </w:p>
        </w:tc>
        <w:tc>
          <w:tcPr>
            <w:tcW w:w="1200" w:type="dxa"/>
            <w:vAlign w:val="center"/>
          </w:tcPr>
          <w:p w14:paraId="784891E9">
            <w:pPr>
              <w:spacing w:line="240" w:lineRule="auto"/>
              <w:jc w:val="center"/>
              <w:rPr>
                <w:rFonts w:hint="eastAsia" w:ascii="宋体" w:hAnsi="宋体" w:eastAsia="宋体" w:cs="Times New Roman"/>
                <w:sz w:val="21"/>
                <w:szCs w:val="21"/>
              </w:rPr>
            </w:pPr>
            <w:r>
              <w:rPr>
                <w:rFonts w:hint="eastAsia" w:ascii="宋体" w:hAnsi="宋体" w:eastAsia="宋体" w:cs="Times New Roman"/>
                <w:sz w:val="21"/>
                <w:szCs w:val="21"/>
              </w:rPr>
              <w:t>课程目标2、3</w:t>
            </w:r>
          </w:p>
        </w:tc>
        <w:tc>
          <w:tcPr>
            <w:tcW w:w="2480" w:type="dxa"/>
            <w:vAlign w:val="center"/>
          </w:tcPr>
          <w:p w14:paraId="1312A184">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1. 掌握实验室消防与用电安全的核心知识，包括消防设施使用、安全用电规范等；</w:t>
            </w:r>
          </w:p>
          <w:p w14:paraId="4CCB00D2">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2. 理解实验室消防安全与用电安全管理的重要性，熟悉相关应急措施与操作流程；</w:t>
            </w:r>
          </w:p>
          <w:p w14:paraId="22EB5726">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3. 形成实验室安全风险防范意识，能在实践中自觉遵守安全规范，具备初步的事故应急处置能力。</w:t>
            </w:r>
          </w:p>
        </w:tc>
        <w:tc>
          <w:tcPr>
            <w:tcW w:w="1292" w:type="dxa"/>
            <w:vAlign w:val="center"/>
          </w:tcPr>
          <w:p w14:paraId="397B24FF">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1.理论教学</w:t>
            </w:r>
          </w:p>
          <w:p w14:paraId="44471C75">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2.实操演练</w:t>
            </w:r>
          </w:p>
          <w:p w14:paraId="771B9BD4">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3.安全讲座</w:t>
            </w:r>
          </w:p>
        </w:tc>
        <w:tc>
          <w:tcPr>
            <w:tcW w:w="438" w:type="dxa"/>
            <w:vAlign w:val="center"/>
          </w:tcPr>
          <w:p w14:paraId="7936005C">
            <w:pPr>
              <w:spacing w:line="240" w:lineRule="auto"/>
              <w:jc w:val="center"/>
              <w:rPr>
                <w:rFonts w:hint="eastAsia" w:ascii="宋体" w:hAnsi="宋体" w:eastAsia="宋体" w:cs="Times New Roman"/>
                <w:sz w:val="21"/>
                <w:szCs w:val="21"/>
              </w:rPr>
            </w:pPr>
            <w:r>
              <w:rPr>
                <w:rFonts w:hint="eastAsia" w:ascii="宋体" w:hAnsi="宋体" w:eastAsia="宋体" w:cs="Times New Roman"/>
                <w:sz w:val="21"/>
                <w:szCs w:val="21"/>
              </w:rPr>
              <w:t>2</w:t>
            </w:r>
          </w:p>
        </w:tc>
      </w:tr>
      <w:tr w14:paraId="52FD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continue"/>
            <w:vAlign w:val="center"/>
          </w:tcPr>
          <w:p w14:paraId="7521E7A1">
            <w:pPr>
              <w:spacing w:line="240" w:lineRule="auto"/>
              <w:jc w:val="center"/>
              <w:rPr>
                <w:rFonts w:hint="eastAsia" w:ascii="宋体" w:hAnsi="宋体" w:eastAsia="宋体" w:cs="Times New Roman"/>
                <w:sz w:val="21"/>
                <w:szCs w:val="21"/>
              </w:rPr>
            </w:pPr>
          </w:p>
        </w:tc>
        <w:tc>
          <w:tcPr>
            <w:tcW w:w="8297" w:type="dxa"/>
            <w:gridSpan w:val="5"/>
            <w:vAlign w:val="center"/>
          </w:tcPr>
          <w:p w14:paraId="30C00E9D">
            <w:pPr>
              <w:spacing w:line="240" w:lineRule="auto"/>
              <w:jc w:val="left"/>
              <w:rPr>
                <w:rFonts w:hint="eastAsia" w:ascii="宋体" w:hAnsi="宋体" w:eastAsia="宋体" w:cs="Times New Roman"/>
                <w:sz w:val="21"/>
                <w:szCs w:val="21"/>
              </w:rPr>
            </w:pPr>
            <w:r>
              <w:rPr>
                <w:rFonts w:hint="eastAsia" w:ascii="宋体" w:hAnsi="宋体" w:eastAsia="宋体" w:cs="Times New Roman"/>
                <w:b/>
                <w:sz w:val="21"/>
                <w:szCs w:val="21"/>
              </w:rPr>
              <w:t>课程思政目标：</w:t>
            </w:r>
            <w:r>
              <w:rPr>
                <w:rFonts w:hint="eastAsia" w:ascii="宋体" w:hAnsi="宋体" w:eastAsia="宋体" w:cs="Times New Roman"/>
                <w:bCs/>
                <w:sz w:val="21"/>
                <w:szCs w:val="21"/>
              </w:rPr>
              <w:t>引导学生树立 “责任为先、规范操作” 的实验室安全理念，理解安全生产与科研伦理的辩证关系；通过实操演练强化规则意识与团队协作精神，自觉将安全规范内化为科研实践的基本准则，培养严谨细致、精益求精的科学态度。</w:t>
            </w:r>
          </w:p>
        </w:tc>
      </w:tr>
      <w:tr w14:paraId="134A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restart"/>
            <w:vAlign w:val="center"/>
          </w:tcPr>
          <w:p w14:paraId="600E4952">
            <w:pPr>
              <w:pStyle w:val="7"/>
              <w:spacing w:line="240" w:lineRule="auto"/>
              <w:ind w:firstLine="0" w:firstLineChars="0"/>
              <w:rPr>
                <w:rFonts w:hint="eastAsia" w:ascii="宋体" w:hAnsi="宋体"/>
                <w:sz w:val="21"/>
                <w:szCs w:val="21"/>
                <w:lang w:val="en-US"/>
              </w:rPr>
            </w:pPr>
            <w:r>
              <w:rPr>
                <w:rFonts w:hint="eastAsia" w:ascii="宋体" w:hAnsi="宋体"/>
                <w:sz w:val="21"/>
                <w:szCs w:val="21"/>
                <w:lang w:val="en-US"/>
              </w:rPr>
              <w:t>3.</w:t>
            </w:r>
            <w:r>
              <w:rPr>
                <w:rFonts w:hint="eastAsia" w:ascii="宋体" w:hAnsi="宋体" w:cs="宋体"/>
                <w:sz w:val="21"/>
                <w:szCs w:val="21"/>
              </w:rPr>
              <w:t>实验室危险化学品使用安全</w:t>
            </w:r>
            <w:r>
              <w:rPr>
                <w:rFonts w:hint="eastAsia" w:ascii="宋体" w:hAnsi="宋体" w:cs="宋体"/>
                <w:sz w:val="21"/>
                <w:szCs w:val="21"/>
                <w:lang w:val="en-US"/>
              </w:rPr>
              <w:t>及</w:t>
            </w:r>
            <w:r>
              <w:rPr>
                <w:rFonts w:hint="eastAsia" w:ascii="宋体" w:hAnsi="宋体" w:cs="宋体"/>
                <w:sz w:val="21"/>
                <w:szCs w:val="21"/>
              </w:rPr>
              <w:t>实验室电离辐射安全</w:t>
            </w:r>
          </w:p>
        </w:tc>
        <w:tc>
          <w:tcPr>
            <w:tcW w:w="2887" w:type="dxa"/>
            <w:vAlign w:val="center"/>
          </w:tcPr>
          <w:p w14:paraId="1F1FC9C0">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1</w:t>
            </w:r>
            <w:r>
              <w:rPr>
                <w:rFonts w:hint="eastAsia" w:ascii="宋体" w:hAnsi="宋体" w:cs="宋体"/>
                <w:sz w:val="21"/>
                <w:szCs w:val="21"/>
              </w:rPr>
              <w:t>）危险化学品常识。</w:t>
            </w:r>
          </w:p>
          <w:p w14:paraId="218B8100">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2</w:t>
            </w:r>
            <w:r>
              <w:rPr>
                <w:rFonts w:hint="eastAsia" w:ascii="宋体" w:hAnsi="宋体" w:cs="宋体"/>
                <w:sz w:val="21"/>
                <w:szCs w:val="21"/>
              </w:rPr>
              <w:t>）危险化学品安全管理。</w:t>
            </w:r>
          </w:p>
          <w:p w14:paraId="7FE0A3F4">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3</w:t>
            </w:r>
            <w:r>
              <w:rPr>
                <w:rFonts w:hint="eastAsia" w:ascii="宋体" w:hAnsi="宋体" w:cs="宋体"/>
                <w:sz w:val="21"/>
                <w:szCs w:val="21"/>
              </w:rPr>
              <w:t>）危险化学品防护措施。</w:t>
            </w:r>
          </w:p>
          <w:p w14:paraId="67FEC85E">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4</w:t>
            </w:r>
            <w:r>
              <w:rPr>
                <w:rFonts w:hint="eastAsia" w:ascii="宋体" w:hAnsi="宋体" w:cs="宋体"/>
                <w:sz w:val="21"/>
                <w:szCs w:val="21"/>
              </w:rPr>
              <w:t>）危险化学品事故应急措施。</w:t>
            </w:r>
          </w:p>
          <w:p w14:paraId="34599A63">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5</w:t>
            </w:r>
            <w:r>
              <w:rPr>
                <w:rFonts w:hint="eastAsia" w:ascii="宋体" w:hAnsi="宋体" w:cs="宋体"/>
                <w:sz w:val="21"/>
                <w:szCs w:val="21"/>
              </w:rPr>
              <w:t>）电离辐射安全常识。</w:t>
            </w:r>
          </w:p>
          <w:p w14:paraId="6C849271">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6</w:t>
            </w:r>
            <w:r>
              <w:rPr>
                <w:rFonts w:hint="eastAsia" w:ascii="宋体" w:hAnsi="宋体" w:cs="宋体"/>
                <w:sz w:val="21"/>
                <w:szCs w:val="21"/>
              </w:rPr>
              <w:t>）实验室电离辐射防护措施。</w:t>
            </w:r>
          </w:p>
          <w:p w14:paraId="34F2E805">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7</w:t>
            </w:r>
            <w:r>
              <w:rPr>
                <w:rFonts w:hint="eastAsia" w:ascii="宋体" w:hAnsi="宋体" w:cs="宋体"/>
                <w:sz w:val="21"/>
                <w:szCs w:val="21"/>
              </w:rPr>
              <w:t>）电离辐射安全与防护管理。</w:t>
            </w:r>
          </w:p>
          <w:p w14:paraId="65BBE21A">
            <w:pPr>
              <w:spacing w:line="240" w:lineRule="auto"/>
              <w:jc w:val="left"/>
              <w:rPr>
                <w:rFonts w:hint="eastAsia" w:ascii="宋体" w:hAnsi="宋体" w:eastAsia="宋体" w:cs="Times New Roman"/>
                <w:sz w:val="21"/>
                <w:szCs w:val="21"/>
              </w:rPr>
            </w:pPr>
            <w:r>
              <w:rPr>
                <w:rFonts w:hint="eastAsia" w:ascii="宋体" w:hAnsi="宋体" w:cs="宋体"/>
                <w:sz w:val="21"/>
                <w:szCs w:val="21"/>
              </w:rPr>
              <w:t>（8）电离辐射事故应急措施。</w:t>
            </w:r>
          </w:p>
        </w:tc>
        <w:tc>
          <w:tcPr>
            <w:tcW w:w="1200" w:type="dxa"/>
            <w:vAlign w:val="center"/>
          </w:tcPr>
          <w:p w14:paraId="73DDFAED">
            <w:pPr>
              <w:spacing w:line="240" w:lineRule="auto"/>
              <w:jc w:val="center"/>
              <w:rPr>
                <w:rFonts w:hint="eastAsia" w:ascii="宋体" w:hAnsi="宋体" w:eastAsia="宋体" w:cs="Times New Roman"/>
                <w:sz w:val="21"/>
                <w:szCs w:val="21"/>
              </w:rPr>
            </w:pPr>
            <w:r>
              <w:rPr>
                <w:rFonts w:hint="eastAsia" w:ascii="宋体" w:hAnsi="宋体" w:eastAsia="宋体" w:cs="Times New Roman"/>
                <w:sz w:val="21"/>
                <w:szCs w:val="21"/>
              </w:rPr>
              <w:t>课程目标2、3</w:t>
            </w:r>
          </w:p>
        </w:tc>
        <w:tc>
          <w:tcPr>
            <w:tcW w:w="2480" w:type="dxa"/>
            <w:vAlign w:val="center"/>
          </w:tcPr>
          <w:p w14:paraId="25F03D20">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1. 了解危险化学品与电离辐射的基本特性及安全风险，掌握其安全管理与防护的核心知识；</w:t>
            </w:r>
          </w:p>
          <w:p w14:paraId="0C65C52D">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2. 熟悉危险化学品与电离辐射事故的应急处理流程与操作技能；</w:t>
            </w:r>
          </w:p>
          <w:p w14:paraId="374A0CF1">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3. 强化实验室安全责任意识，形成规范使用危险物品与防范辐射危害的行为习惯，具备风险预判与应急处理的能力。</w:t>
            </w:r>
          </w:p>
        </w:tc>
        <w:tc>
          <w:tcPr>
            <w:tcW w:w="1292" w:type="dxa"/>
            <w:vAlign w:val="center"/>
          </w:tcPr>
          <w:p w14:paraId="2EDF38DE">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1.专题讲解</w:t>
            </w:r>
          </w:p>
          <w:p w14:paraId="449562C8">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2.模拟演练</w:t>
            </w:r>
          </w:p>
          <w:p w14:paraId="31FB6D19">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3.安全实训</w:t>
            </w:r>
          </w:p>
        </w:tc>
        <w:tc>
          <w:tcPr>
            <w:tcW w:w="438" w:type="dxa"/>
            <w:vAlign w:val="center"/>
          </w:tcPr>
          <w:p w14:paraId="159514C7">
            <w:pPr>
              <w:spacing w:line="240" w:lineRule="auto"/>
              <w:jc w:val="center"/>
              <w:rPr>
                <w:rFonts w:hint="eastAsia" w:ascii="宋体" w:hAnsi="宋体" w:eastAsia="宋体" w:cs="Times New Roman"/>
                <w:sz w:val="21"/>
                <w:szCs w:val="21"/>
              </w:rPr>
            </w:pPr>
            <w:r>
              <w:rPr>
                <w:rFonts w:hint="eastAsia" w:ascii="宋体" w:hAnsi="宋体" w:eastAsia="宋体" w:cs="Times New Roman"/>
                <w:sz w:val="21"/>
                <w:szCs w:val="21"/>
              </w:rPr>
              <w:t>2</w:t>
            </w:r>
          </w:p>
        </w:tc>
      </w:tr>
      <w:tr w14:paraId="0750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continue"/>
            <w:vAlign w:val="center"/>
          </w:tcPr>
          <w:p w14:paraId="37E913B4">
            <w:pPr>
              <w:spacing w:line="240" w:lineRule="auto"/>
              <w:jc w:val="center"/>
              <w:rPr>
                <w:rFonts w:hint="eastAsia" w:ascii="宋体" w:hAnsi="宋体" w:eastAsia="宋体" w:cs="Times New Roman"/>
                <w:sz w:val="21"/>
                <w:szCs w:val="21"/>
              </w:rPr>
            </w:pPr>
          </w:p>
        </w:tc>
        <w:tc>
          <w:tcPr>
            <w:tcW w:w="8297" w:type="dxa"/>
            <w:gridSpan w:val="5"/>
            <w:vAlign w:val="center"/>
          </w:tcPr>
          <w:p w14:paraId="03A5B656">
            <w:pPr>
              <w:spacing w:line="240" w:lineRule="auto"/>
              <w:jc w:val="left"/>
              <w:rPr>
                <w:rFonts w:hint="eastAsia" w:ascii="宋体" w:hAnsi="宋体" w:eastAsia="宋体" w:cs="Times New Roman"/>
                <w:sz w:val="21"/>
                <w:szCs w:val="21"/>
              </w:rPr>
            </w:pPr>
            <w:r>
              <w:rPr>
                <w:rFonts w:hint="eastAsia" w:ascii="宋体" w:hAnsi="宋体" w:eastAsia="宋体" w:cs="Times New Roman"/>
                <w:b/>
                <w:sz w:val="21"/>
                <w:szCs w:val="21"/>
              </w:rPr>
              <w:t>课程思政目标：</w:t>
            </w:r>
            <w:r>
              <w:rPr>
                <w:rFonts w:hint="eastAsia" w:ascii="宋体" w:hAnsi="宋体" w:eastAsia="宋体" w:cs="Times New Roman"/>
                <w:bCs/>
                <w:sz w:val="21"/>
                <w:szCs w:val="21"/>
              </w:rPr>
              <w:t>使学生深刻认识危险化学品与电离辐射安全管理的法治内涵，树立 “科学防护、安全可控” 的风险治理理念；通过案例警示与安全实训，强化敬畏生命、遵守规范的职业素养，培养对自身、他人及社会负责的安全责任意识。</w:t>
            </w:r>
          </w:p>
        </w:tc>
      </w:tr>
      <w:tr w14:paraId="2950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restart"/>
            <w:vAlign w:val="center"/>
          </w:tcPr>
          <w:p w14:paraId="4028D1E2">
            <w:pPr>
              <w:pStyle w:val="7"/>
              <w:spacing w:line="240" w:lineRule="auto"/>
              <w:ind w:firstLine="0" w:firstLineChars="0"/>
              <w:rPr>
                <w:rFonts w:hint="eastAsia" w:ascii="宋体" w:hAnsi="宋体"/>
                <w:sz w:val="21"/>
                <w:szCs w:val="21"/>
                <w:lang w:val="en-US"/>
              </w:rPr>
            </w:pPr>
            <w:r>
              <w:rPr>
                <w:rFonts w:hint="eastAsia" w:ascii="宋体" w:hAnsi="宋体"/>
                <w:sz w:val="21"/>
                <w:szCs w:val="21"/>
                <w:lang w:val="en-US"/>
              </w:rPr>
              <w:t>4.</w:t>
            </w:r>
            <w:r>
              <w:rPr>
                <w:rFonts w:hint="eastAsia" w:ascii="宋体" w:hAnsi="宋体" w:cs="宋体"/>
                <w:sz w:val="21"/>
                <w:szCs w:val="21"/>
              </w:rPr>
              <w:t>实验室特殊仪器设备使用</w:t>
            </w:r>
            <w:r>
              <w:rPr>
                <w:rFonts w:hint="eastAsia" w:ascii="宋体" w:hAnsi="宋体" w:cs="宋体"/>
                <w:sz w:val="21"/>
                <w:szCs w:val="21"/>
                <w:lang w:val="en-US"/>
              </w:rPr>
              <w:t>安全及</w:t>
            </w:r>
            <w:r>
              <w:rPr>
                <w:rFonts w:hint="eastAsia" w:ascii="宋体" w:hAnsi="宋体" w:cs="宋体"/>
                <w:sz w:val="21"/>
                <w:szCs w:val="21"/>
              </w:rPr>
              <w:t>实验室事故人员急救</w:t>
            </w:r>
          </w:p>
        </w:tc>
        <w:tc>
          <w:tcPr>
            <w:tcW w:w="2887" w:type="dxa"/>
            <w:vAlign w:val="center"/>
          </w:tcPr>
          <w:p w14:paraId="7908AC35">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1</w:t>
            </w:r>
            <w:r>
              <w:rPr>
                <w:rFonts w:hint="eastAsia" w:ascii="宋体" w:hAnsi="宋体" w:cs="宋体"/>
                <w:sz w:val="21"/>
                <w:szCs w:val="21"/>
              </w:rPr>
              <w:t>）高温、高压类仪器设备使用安全。</w:t>
            </w:r>
          </w:p>
          <w:p w14:paraId="5CC356AD">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2</w:t>
            </w:r>
            <w:r>
              <w:rPr>
                <w:rFonts w:hint="eastAsia" w:ascii="宋体" w:hAnsi="宋体" w:cs="宋体"/>
                <w:sz w:val="21"/>
                <w:szCs w:val="21"/>
              </w:rPr>
              <w:t>）高速运转类设备使用安全。</w:t>
            </w:r>
          </w:p>
          <w:p w14:paraId="4CE11A91">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3</w:t>
            </w:r>
            <w:r>
              <w:rPr>
                <w:rFonts w:hint="eastAsia" w:ascii="宋体" w:hAnsi="宋体" w:cs="宋体"/>
                <w:sz w:val="21"/>
                <w:szCs w:val="21"/>
              </w:rPr>
              <w:t>）强场类仪器设备使用安全。</w:t>
            </w:r>
          </w:p>
          <w:p w14:paraId="72C4FFD8">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4</w:t>
            </w:r>
            <w:r>
              <w:rPr>
                <w:rFonts w:hint="eastAsia" w:ascii="宋体" w:hAnsi="宋体" w:cs="宋体"/>
                <w:sz w:val="21"/>
                <w:szCs w:val="21"/>
              </w:rPr>
              <w:t>）激光使用安全。</w:t>
            </w:r>
          </w:p>
          <w:p w14:paraId="0A97F323">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5</w:t>
            </w:r>
            <w:r>
              <w:rPr>
                <w:rFonts w:hint="eastAsia" w:ascii="宋体" w:hAnsi="宋体" w:cs="宋体"/>
                <w:sz w:val="21"/>
                <w:szCs w:val="21"/>
              </w:rPr>
              <w:t>）低温类实验安全。</w:t>
            </w:r>
          </w:p>
          <w:p w14:paraId="02574E53">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6</w:t>
            </w:r>
            <w:r>
              <w:rPr>
                <w:rFonts w:hint="eastAsia" w:ascii="宋体" w:hAnsi="宋体" w:cs="宋体"/>
                <w:sz w:val="21"/>
                <w:szCs w:val="21"/>
              </w:rPr>
              <w:t>）实验室急救箱简介。</w:t>
            </w:r>
          </w:p>
          <w:p w14:paraId="6A647A00">
            <w:pPr>
              <w:pStyle w:val="7"/>
              <w:spacing w:line="240" w:lineRule="auto"/>
              <w:ind w:firstLine="0" w:firstLineChars="0"/>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rPr>
              <w:t>7</w:t>
            </w:r>
            <w:r>
              <w:rPr>
                <w:rFonts w:hint="eastAsia" w:ascii="宋体" w:hAnsi="宋体" w:cs="宋体"/>
                <w:sz w:val="21"/>
                <w:szCs w:val="21"/>
              </w:rPr>
              <w:t>）常见急救措施。</w:t>
            </w:r>
          </w:p>
          <w:p w14:paraId="2BA94684">
            <w:pPr>
              <w:pStyle w:val="7"/>
              <w:spacing w:line="240" w:lineRule="auto"/>
              <w:ind w:firstLine="0" w:firstLineChars="0"/>
              <w:rPr>
                <w:rFonts w:hint="eastAsia" w:ascii="宋体" w:hAnsi="宋体"/>
                <w:sz w:val="21"/>
                <w:szCs w:val="21"/>
              </w:rPr>
            </w:pPr>
            <w:r>
              <w:rPr>
                <w:rFonts w:hint="eastAsia" w:ascii="宋体" w:hAnsi="宋体" w:cs="宋体"/>
                <w:sz w:val="21"/>
                <w:szCs w:val="21"/>
              </w:rPr>
              <w:t>（</w:t>
            </w:r>
            <w:r>
              <w:rPr>
                <w:rFonts w:hint="eastAsia" w:ascii="宋体" w:hAnsi="宋体" w:cs="宋体"/>
                <w:sz w:val="21"/>
                <w:szCs w:val="21"/>
                <w:lang w:val="en-US"/>
              </w:rPr>
              <w:t>8</w:t>
            </w:r>
            <w:r>
              <w:rPr>
                <w:rFonts w:hint="eastAsia" w:ascii="宋体" w:hAnsi="宋体" w:cs="宋体"/>
                <w:sz w:val="21"/>
                <w:szCs w:val="21"/>
              </w:rPr>
              <w:t>）其他实验室事故急救措施。</w:t>
            </w:r>
          </w:p>
        </w:tc>
        <w:tc>
          <w:tcPr>
            <w:tcW w:w="1200" w:type="dxa"/>
            <w:vAlign w:val="center"/>
          </w:tcPr>
          <w:p w14:paraId="180311BE">
            <w:pPr>
              <w:spacing w:line="240" w:lineRule="auto"/>
              <w:jc w:val="center"/>
              <w:rPr>
                <w:rFonts w:hint="eastAsia" w:ascii="宋体" w:hAnsi="宋体" w:eastAsia="宋体" w:cs="Times New Roman"/>
                <w:sz w:val="21"/>
                <w:szCs w:val="21"/>
              </w:rPr>
            </w:pPr>
            <w:r>
              <w:rPr>
                <w:rFonts w:hint="eastAsia" w:ascii="宋体" w:hAnsi="宋体" w:eastAsia="宋体" w:cs="Times New Roman"/>
                <w:sz w:val="21"/>
                <w:szCs w:val="21"/>
              </w:rPr>
              <w:t>课程目标2、3</w:t>
            </w:r>
          </w:p>
        </w:tc>
        <w:tc>
          <w:tcPr>
            <w:tcW w:w="2480" w:type="dxa"/>
            <w:vAlign w:val="center"/>
          </w:tcPr>
          <w:p w14:paraId="48CC6D0E">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1. 掌握高温、高压、激光等特殊仪器设备的安全使用规范与操作要点；</w:t>
            </w:r>
          </w:p>
          <w:p w14:paraId="6580936A">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2. 熟悉实验室常见事故的急救措施，能正确使用急救箱等设备进行初步应急处理；</w:t>
            </w:r>
          </w:p>
          <w:p w14:paraId="10A447D7">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3. 提升实验室安全操作技能与应急处置能力，培养严谨的安全态度与互助精神，形成科学应对设备安全事故的行为习惯。</w:t>
            </w:r>
          </w:p>
        </w:tc>
        <w:tc>
          <w:tcPr>
            <w:tcW w:w="1292" w:type="dxa"/>
            <w:vAlign w:val="center"/>
          </w:tcPr>
          <w:p w14:paraId="0964C007">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1.设备演示</w:t>
            </w:r>
          </w:p>
          <w:p w14:paraId="79277381">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2.急救演练</w:t>
            </w:r>
          </w:p>
          <w:p w14:paraId="79870715">
            <w:pPr>
              <w:spacing w:line="240" w:lineRule="auto"/>
              <w:jc w:val="left"/>
              <w:rPr>
                <w:rFonts w:hint="eastAsia" w:ascii="宋体" w:hAnsi="宋体" w:eastAsia="宋体" w:cs="Times New Roman"/>
                <w:sz w:val="21"/>
                <w:szCs w:val="21"/>
              </w:rPr>
            </w:pPr>
            <w:r>
              <w:rPr>
                <w:rFonts w:hint="eastAsia" w:ascii="宋体" w:hAnsi="宋体" w:eastAsia="宋体" w:cs="Times New Roman"/>
                <w:sz w:val="21"/>
                <w:szCs w:val="21"/>
              </w:rPr>
              <w:t>3</w:t>
            </w:r>
            <w:r>
              <w:rPr>
                <w:rFonts w:hint="eastAsia" w:ascii="宋体" w:hAnsi="宋体" w:eastAsia="宋体" w:cs="Times New Roman"/>
                <w:sz w:val="21"/>
                <w:szCs w:val="21"/>
                <w:lang w:eastAsia="zh-CN"/>
              </w:rPr>
              <w:t>.</w:t>
            </w:r>
            <w:r>
              <w:rPr>
                <w:rFonts w:hint="eastAsia" w:ascii="宋体" w:hAnsi="宋体" w:eastAsia="宋体" w:cs="Times New Roman"/>
                <w:sz w:val="21"/>
                <w:szCs w:val="21"/>
              </w:rPr>
              <w:t>分组实操</w:t>
            </w:r>
          </w:p>
        </w:tc>
        <w:tc>
          <w:tcPr>
            <w:tcW w:w="438" w:type="dxa"/>
            <w:vAlign w:val="center"/>
          </w:tcPr>
          <w:p w14:paraId="4C27AE22">
            <w:pPr>
              <w:spacing w:line="240" w:lineRule="auto"/>
              <w:jc w:val="center"/>
              <w:rPr>
                <w:rFonts w:hint="eastAsia" w:ascii="宋体" w:hAnsi="宋体" w:eastAsia="宋体" w:cs="Times New Roman"/>
                <w:sz w:val="21"/>
                <w:szCs w:val="21"/>
              </w:rPr>
            </w:pPr>
            <w:r>
              <w:rPr>
                <w:rFonts w:hint="eastAsia" w:ascii="宋体" w:hAnsi="宋体" w:eastAsia="宋体" w:cs="Times New Roman"/>
                <w:sz w:val="21"/>
                <w:szCs w:val="21"/>
              </w:rPr>
              <w:t>2</w:t>
            </w:r>
          </w:p>
        </w:tc>
      </w:tr>
      <w:tr w14:paraId="56AF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continue"/>
            <w:vAlign w:val="center"/>
          </w:tcPr>
          <w:p w14:paraId="0492A0EC">
            <w:pPr>
              <w:spacing w:line="240" w:lineRule="auto"/>
              <w:jc w:val="center"/>
              <w:rPr>
                <w:rFonts w:hint="eastAsia" w:ascii="宋体" w:hAnsi="宋体" w:eastAsia="宋体" w:cs="Times New Roman"/>
                <w:sz w:val="21"/>
                <w:szCs w:val="21"/>
              </w:rPr>
            </w:pPr>
          </w:p>
        </w:tc>
        <w:tc>
          <w:tcPr>
            <w:tcW w:w="8297" w:type="dxa"/>
            <w:gridSpan w:val="5"/>
            <w:vAlign w:val="center"/>
          </w:tcPr>
          <w:p w14:paraId="08343A5B">
            <w:pPr>
              <w:spacing w:line="240" w:lineRule="auto"/>
              <w:jc w:val="left"/>
              <w:rPr>
                <w:rFonts w:hint="eastAsia" w:ascii="宋体" w:hAnsi="宋体" w:eastAsia="宋体" w:cs="Times New Roman"/>
                <w:sz w:val="21"/>
                <w:szCs w:val="21"/>
              </w:rPr>
            </w:pPr>
            <w:r>
              <w:rPr>
                <w:rFonts w:hint="eastAsia" w:ascii="宋体" w:hAnsi="宋体" w:eastAsia="宋体" w:cs="Times New Roman"/>
                <w:b/>
                <w:sz w:val="21"/>
                <w:szCs w:val="21"/>
              </w:rPr>
              <w:t>课程思政目标：</w:t>
            </w:r>
            <w:r>
              <w:rPr>
                <w:rFonts w:hint="eastAsia" w:ascii="宋体" w:hAnsi="宋体" w:eastAsia="宋体" w:cs="Times New Roman"/>
                <w:bCs/>
                <w:sz w:val="21"/>
                <w:szCs w:val="21"/>
              </w:rPr>
              <w:t>引导学生理解特殊仪器设备安全操作背后的人文关怀与生命伦理，树立 “精准操作、安全互助” 的科研安全观；通过急救技能训练，强化关爱他人、守护生命的责任意识，培养在危急时刻挺身而出的担当精神。</w:t>
            </w:r>
          </w:p>
        </w:tc>
      </w:tr>
    </w:tbl>
    <w:p w14:paraId="21FC84EF">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t>四、</w:t>
      </w:r>
      <w:r>
        <w:rPr>
          <w:rFonts w:hint="eastAsia" w:ascii="Times New Roman" w:hAnsi="Times New Roman" w:eastAsia="宋体" w:cs="Times New Roman"/>
          <w:b/>
          <w:sz w:val="24"/>
        </w:rPr>
        <w:t>目标评价与成绩评定</w:t>
      </w:r>
    </w:p>
    <w:p w14:paraId="6F849A64">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D23D8C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6"/>
        <w:tblW w:w="8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1475"/>
        <w:gridCol w:w="1475"/>
        <w:gridCol w:w="1475"/>
        <w:gridCol w:w="1478"/>
        <w:gridCol w:w="1335"/>
      </w:tblGrid>
      <w:tr w14:paraId="65BB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0" w:type="auto"/>
            <w:vMerge w:val="restart"/>
            <w:vAlign w:val="center"/>
          </w:tcPr>
          <w:p w14:paraId="73410EA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903" w:type="dxa"/>
            <w:gridSpan w:val="4"/>
            <w:vAlign w:val="center"/>
          </w:tcPr>
          <w:p w14:paraId="21DC293C">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335" w:type="dxa"/>
            <w:vMerge w:val="restart"/>
            <w:vAlign w:val="center"/>
          </w:tcPr>
          <w:p w14:paraId="1626B359">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103C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0" w:type="auto"/>
            <w:vMerge w:val="continue"/>
            <w:vAlign w:val="center"/>
          </w:tcPr>
          <w:p w14:paraId="5604B569">
            <w:pPr>
              <w:spacing w:line="360" w:lineRule="auto"/>
              <w:jc w:val="center"/>
              <w:rPr>
                <w:rFonts w:hint="eastAsia" w:ascii="宋体" w:hAnsi="宋体" w:eastAsia="宋体" w:cs="Times New Roman"/>
                <w:szCs w:val="21"/>
              </w:rPr>
            </w:pPr>
          </w:p>
        </w:tc>
        <w:tc>
          <w:tcPr>
            <w:tcW w:w="1475" w:type="dxa"/>
            <w:vAlign w:val="center"/>
          </w:tcPr>
          <w:p w14:paraId="0DB069A5">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475" w:type="dxa"/>
            <w:vAlign w:val="center"/>
          </w:tcPr>
          <w:p w14:paraId="43D19304">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1475" w:type="dxa"/>
            <w:vAlign w:val="center"/>
          </w:tcPr>
          <w:p w14:paraId="5A01E382">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1478" w:type="dxa"/>
            <w:vAlign w:val="center"/>
          </w:tcPr>
          <w:p w14:paraId="1581D104">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335" w:type="dxa"/>
            <w:vMerge w:val="continue"/>
            <w:vAlign w:val="center"/>
          </w:tcPr>
          <w:p w14:paraId="303C3150">
            <w:pPr>
              <w:spacing w:line="360" w:lineRule="auto"/>
              <w:jc w:val="center"/>
              <w:rPr>
                <w:rFonts w:hint="eastAsia" w:ascii="宋体" w:hAnsi="宋体" w:eastAsia="宋体" w:cs="Times New Roman"/>
                <w:szCs w:val="21"/>
              </w:rPr>
            </w:pPr>
          </w:p>
        </w:tc>
      </w:tr>
      <w:tr w14:paraId="116A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Align w:val="center"/>
          </w:tcPr>
          <w:p w14:paraId="00D32D5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475" w:type="dxa"/>
            <w:vAlign w:val="center"/>
          </w:tcPr>
          <w:p w14:paraId="407E45E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75" w:type="dxa"/>
            <w:vAlign w:val="center"/>
          </w:tcPr>
          <w:p w14:paraId="474D9C9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75" w:type="dxa"/>
            <w:vAlign w:val="center"/>
          </w:tcPr>
          <w:p w14:paraId="077C5B9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78" w:type="dxa"/>
            <w:vAlign w:val="center"/>
          </w:tcPr>
          <w:p w14:paraId="48D18AF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35" w:type="dxa"/>
            <w:vAlign w:val="center"/>
          </w:tcPr>
          <w:p w14:paraId="29CBFB0C">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70D8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0" w:type="auto"/>
            <w:vAlign w:val="center"/>
          </w:tcPr>
          <w:p w14:paraId="4609CAA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475" w:type="dxa"/>
            <w:vAlign w:val="center"/>
          </w:tcPr>
          <w:p w14:paraId="00B0F87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75" w:type="dxa"/>
            <w:vAlign w:val="center"/>
          </w:tcPr>
          <w:p w14:paraId="20378CE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75" w:type="dxa"/>
            <w:vAlign w:val="center"/>
          </w:tcPr>
          <w:p w14:paraId="0E250D7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78" w:type="dxa"/>
            <w:vAlign w:val="center"/>
          </w:tcPr>
          <w:p w14:paraId="3E82CFF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35" w:type="dxa"/>
            <w:vAlign w:val="center"/>
          </w:tcPr>
          <w:p w14:paraId="3B70C8E7">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5451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0" w:type="auto"/>
            <w:vAlign w:val="center"/>
          </w:tcPr>
          <w:p w14:paraId="2BAF250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475" w:type="dxa"/>
            <w:vAlign w:val="center"/>
          </w:tcPr>
          <w:p w14:paraId="792C2986">
            <w:pPr>
              <w:spacing w:line="360" w:lineRule="auto"/>
              <w:jc w:val="center"/>
              <w:rPr>
                <w:rFonts w:hint="eastAsia" w:ascii="宋体" w:hAnsi="宋体" w:eastAsia="宋体" w:cs="Times New Roman"/>
                <w:szCs w:val="21"/>
              </w:rPr>
            </w:pPr>
          </w:p>
        </w:tc>
        <w:tc>
          <w:tcPr>
            <w:tcW w:w="1475" w:type="dxa"/>
            <w:vAlign w:val="center"/>
          </w:tcPr>
          <w:p w14:paraId="2E41EB6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75" w:type="dxa"/>
            <w:vAlign w:val="center"/>
          </w:tcPr>
          <w:p w14:paraId="31F15DE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78" w:type="dxa"/>
            <w:vAlign w:val="center"/>
          </w:tcPr>
          <w:p w14:paraId="13AB842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35" w:type="dxa"/>
            <w:vAlign w:val="center"/>
          </w:tcPr>
          <w:p w14:paraId="35FA09AA">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0EBE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0" w:type="auto"/>
            <w:vAlign w:val="center"/>
          </w:tcPr>
          <w:p w14:paraId="55B78106">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475" w:type="dxa"/>
            <w:vAlign w:val="center"/>
          </w:tcPr>
          <w:p w14:paraId="7BDDB751">
            <w:pPr>
              <w:spacing w:line="360" w:lineRule="auto"/>
              <w:jc w:val="center"/>
              <w:rPr>
                <w:rFonts w:hint="eastAsia" w:ascii="宋体" w:hAnsi="宋体" w:eastAsia="宋体" w:cs="Times New Roman"/>
                <w:szCs w:val="21"/>
              </w:rPr>
            </w:pPr>
          </w:p>
        </w:tc>
        <w:tc>
          <w:tcPr>
            <w:tcW w:w="1475" w:type="dxa"/>
            <w:vAlign w:val="center"/>
          </w:tcPr>
          <w:p w14:paraId="03CE8D19">
            <w:pPr>
              <w:spacing w:line="360" w:lineRule="auto"/>
              <w:jc w:val="center"/>
              <w:rPr>
                <w:rFonts w:hint="eastAsia" w:ascii="宋体" w:hAnsi="宋体" w:eastAsia="宋体" w:cs="Times New Roman"/>
                <w:szCs w:val="21"/>
              </w:rPr>
            </w:pPr>
          </w:p>
        </w:tc>
        <w:tc>
          <w:tcPr>
            <w:tcW w:w="1475" w:type="dxa"/>
            <w:vAlign w:val="center"/>
          </w:tcPr>
          <w:p w14:paraId="2607B680">
            <w:pPr>
              <w:spacing w:line="360" w:lineRule="auto"/>
              <w:jc w:val="center"/>
              <w:rPr>
                <w:rFonts w:hint="eastAsia" w:ascii="宋体" w:hAnsi="宋体" w:eastAsia="宋体" w:cs="Times New Roman"/>
                <w:szCs w:val="21"/>
              </w:rPr>
            </w:pPr>
          </w:p>
        </w:tc>
        <w:tc>
          <w:tcPr>
            <w:tcW w:w="1478" w:type="dxa"/>
            <w:vAlign w:val="center"/>
          </w:tcPr>
          <w:p w14:paraId="10F10BBE">
            <w:pPr>
              <w:spacing w:line="360" w:lineRule="auto"/>
              <w:jc w:val="center"/>
              <w:rPr>
                <w:rFonts w:hint="eastAsia" w:ascii="宋体" w:hAnsi="宋体" w:eastAsia="宋体" w:cs="Times New Roman"/>
                <w:szCs w:val="21"/>
              </w:rPr>
            </w:pPr>
          </w:p>
        </w:tc>
        <w:tc>
          <w:tcPr>
            <w:tcW w:w="1335" w:type="dxa"/>
            <w:vAlign w:val="center"/>
          </w:tcPr>
          <w:p w14:paraId="0A5C3731">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2BB8BB52">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68F6F4B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6"/>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7172"/>
        <w:gridCol w:w="709"/>
      </w:tblGrid>
      <w:tr w14:paraId="2279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678" w:type="dxa"/>
            <w:vAlign w:val="center"/>
          </w:tcPr>
          <w:p w14:paraId="65178FC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72" w:type="dxa"/>
            <w:vAlign w:val="center"/>
          </w:tcPr>
          <w:p w14:paraId="53F2FFE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2C505FD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CE9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678" w:type="dxa"/>
            <w:vAlign w:val="center"/>
          </w:tcPr>
          <w:p w14:paraId="2ED22863">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72" w:type="dxa"/>
            <w:vAlign w:val="center"/>
          </w:tcPr>
          <w:p w14:paraId="4F642C57">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val="en-US" w:eastAsia="zh-CN" w:bidi="ar"/>
              </w:rPr>
              <w:t>课程</w:t>
            </w:r>
            <w:r>
              <w:rPr>
                <w:rFonts w:hint="eastAsia" w:ascii="宋体" w:hAnsi="宋体" w:eastAsia="宋体" w:cs="宋体"/>
                <w:kern w:val="0"/>
                <w:szCs w:val="21"/>
                <w:lang w:bidi="ar"/>
              </w:rPr>
              <w:t>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5105DF4B">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69542A58">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5305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678" w:type="dxa"/>
            <w:vAlign w:val="center"/>
          </w:tcPr>
          <w:p w14:paraId="7E39086B">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72" w:type="dxa"/>
            <w:vAlign w:val="center"/>
          </w:tcPr>
          <w:p w14:paraId="6D04EA07">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每单元在线上进行测验，主要考查基础知识和基本理论的掌握，以题目的正确率为得分依据。</w:t>
            </w:r>
          </w:p>
        </w:tc>
        <w:tc>
          <w:tcPr>
            <w:tcW w:w="0" w:type="auto"/>
            <w:vAlign w:val="center"/>
          </w:tcPr>
          <w:p w14:paraId="709303CE">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58C1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678" w:type="dxa"/>
            <w:vAlign w:val="center"/>
          </w:tcPr>
          <w:p w14:paraId="22899FC0">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72" w:type="dxa"/>
            <w:vAlign w:val="center"/>
          </w:tcPr>
          <w:p w14:paraId="14C2497E">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7C8A17D9">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5CD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678" w:type="dxa"/>
            <w:vAlign w:val="center"/>
          </w:tcPr>
          <w:p w14:paraId="20972CC6">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72" w:type="dxa"/>
            <w:vAlign w:val="center"/>
          </w:tcPr>
          <w:p w14:paraId="629D781A">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试卷题型包括</w:t>
            </w:r>
            <w:r>
              <w:rPr>
                <w:rFonts w:hint="eastAsia" w:ascii="Times New Roman" w:hAnsi="Times New Roman" w:eastAsia="宋体" w:cs="Times New Roman"/>
                <w:szCs w:val="21"/>
              </w:rPr>
              <w:t>选择题</w:t>
            </w:r>
            <w:r>
              <w:rPr>
                <w:rFonts w:ascii="Times New Roman" w:hAnsi="Times New Roman" w:eastAsia="宋体" w:cs="Times New Roman"/>
                <w:szCs w:val="21"/>
              </w:rPr>
              <w:t>、</w:t>
            </w:r>
            <w:r>
              <w:rPr>
                <w:rFonts w:hint="eastAsia" w:ascii="Times New Roman" w:hAnsi="Times New Roman" w:eastAsia="宋体" w:cs="Times New Roman"/>
                <w:szCs w:val="21"/>
              </w:rPr>
              <w:t>辨析</w:t>
            </w:r>
            <w:r>
              <w:rPr>
                <w:rFonts w:ascii="Times New Roman" w:hAnsi="Times New Roman" w:eastAsia="宋体" w:cs="Times New Roman"/>
                <w:szCs w:val="21"/>
              </w:rPr>
              <w:t>、</w:t>
            </w:r>
            <w:r>
              <w:rPr>
                <w:rFonts w:hint="eastAsia" w:ascii="Times New Roman" w:hAnsi="Times New Roman" w:eastAsia="宋体" w:cs="Times New Roman"/>
                <w:szCs w:val="21"/>
              </w:rPr>
              <w:t>简答题、论述题</w:t>
            </w:r>
            <w:r>
              <w:rPr>
                <w:rFonts w:ascii="Times New Roman" w:hAnsi="Times New Roman" w:eastAsia="宋体" w:cs="Times New Roman"/>
                <w:szCs w:val="21"/>
              </w:rPr>
              <w:t>等，以卷面成绩的50%计入课程总成绩。其中考核</w:t>
            </w:r>
            <w:r>
              <w:rPr>
                <w:rFonts w:hint="eastAsia" w:ascii="Times New Roman" w:hAnsi="Times New Roman" w:eastAsia="宋体" w:cs="Times New Roman"/>
                <w:szCs w:val="21"/>
              </w:rPr>
              <w:t>教育基本理论和知识型题目占3</w:t>
            </w:r>
            <w:r>
              <w:rPr>
                <w:rFonts w:ascii="Times New Roman" w:hAnsi="Times New Roman" w:eastAsia="宋体" w:cs="Times New Roman"/>
                <w:szCs w:val="21"/>
              </w:rPr>
              <w:t>0</w:t>
            </w:r>
            <w:r>
              <w:rPr>
                <w:rFonts w:hint="eastAsia" w:ascii="Times New Roman" w:hAnsi="Times New Roman" w:eastAsia="宋体" w:cs="Times New Roman"/>
                <w:szCs w:val="21"/>
              </w:rPr>
              <w:t>%；考核学生运用基本理论知识进行分析能力的题型占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%；考核学生运用学与教的基本理论和知识进行教学设计的题型占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%；考核学生初步研究能力的题型占1</w:t>
            </w:r>
            <w:r>
              <w:rPr>
                <w:rFonts w:ascii="Times New Roman" w:hAnsi="Times New Roman" w:eastAsia="宋体" w:cs="Times New Roman"/>
                <w:szCs w:val="21"/>
              </w:rPr>
              <w:t>0</w:t>
            </w:r>
            <w:r>
              <w:rPr>
                <w:rFonts w:hint="eastAsia" w:ascii="Times New Roman" w:hAnsi="Times New Roman" w:eastAsia="宋体" w:cs="Times New Roman"/>
                <w:szCs w:val="21"/>
              </w:rPr>
              <w:t>%。</w:t>
            </w:r>
          </w:p>
        </w:tc>
        <w:tc>
          <w:tcPr>
            <w:tcW w:w="0" w:type="auto"/>
            <w:vAlign w:val="center"/>
          </w:tcPr>
          <w:p w14:paraId="4E1564EC">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2888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0" w:type="auto"/>
            <w:vAlign w:val="center"/>
          </w:tcPr>
          <w:p w14:paraId="588D424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3E34FCEE">
            <w:pPr>
              <w:jc w:val="left"/>
              <w:rPr>
                <w:rFonts w:ascii="Times New Roman" w:hAnsi="Times New Roman" w:eastAsia="宋体" w:cs="Times New Roman"/>
                <w:szCs w:val="21"/>
              </w:rPr>
            </w:pPr>
          </w:p>
        </w:tc>
        <w:tc>
          <w:tcPr>
            <w:tcW w:w="0" w:type="auto"/>
            <w:vAlign w:val="center"/>
          </w:tcPr>
          <w:p w14:paraId="11D80D75">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8817A7D">
      <w:pPr>
        <w:spacing w:line="360" w:lineRule="auto"/>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0A44CD67">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7083A9D8">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34" o:spt="75" type="#_x0000_t75" style="height:24.8pt;width:404.45pt;" o:ole="t" filled="f" o:preferrelative="t" stroked="f" coordsize="21600,21600">
            <v:path/>
            <v:fill on="f" focussize="0,0"/>
            <v:stroke on="f" joinstyle="miter"/>
            <v:imagedata r:id="rId10" o:title=""/>
            <o:lock v:ext="edit" aspectratio="t"/>
            <w10:wrap type="none"/>
            <w10:anchorlock/>
          </v:shape>
          <o:OLEObject Type="Embed" ProgID="Equation.3" ShapeID="_x0000_i1034" DrawAspect="Content" ObjectID="_1468075733" r:id="rId19">
            <o:LockedField>false</o:LockedField>
          </o:OLEObject>
        </w:object>
      </w:r>
      <w:r>
        <w:rPr>
          <w:rFonts w:hint="eastAsia" w:ascii="Times New Roman" w:hAnsi="Times New Roman" w:eastAsia="宋体" w:cs="Times New Roman"/>
          <w:b/>
          <w:sz w:val="24"/>
        </w:rPr>
        <w:t>五、有关说明</w:t>
      </w:r>
    </w:p>
    <w:p w14:paraId="0617A9E6">
      <w:pPr>
        <w:spacing w:line="360" w:lineRule="auto"/>
        <w:rPr>
          <w:rFonts w:hint="eastAsia" w:ascii="宋体" w:hAnsi="宋体" w:eastAsia="宋体" w:cs="宋体"/>
          <w:b/>
          <w:sz w:val="21"/>
          <w:szCs w:val="21"/>
        </w:rPr>
      </w:pPr>
      <w:r>
        <w:rPr>
          <w:rFonts w:hint="eastAsia" w:ascii="宋体" w:hAnsi="宋体" w:eastAsia="宋体" w:cs="宋体"/>
          <w:b/>
          <w:sz w:val="24"/>
        </w:rPr>
        <w:t xml:space="preserve">  </w:t>
      </w:r>
      <w:r>
        <w:rPr>
          <w:rFonts w:hint="eastAsia" w:ascii="宋体" w:hAnsi="宋体" w:eastAsia="宋体" w:cs="宋体"/>
          <w:b/>
          <w:sz w:val="21"/>
          <w:szCs w:val="21"/>
        </w:rPr>
        <w:t xml:space="preserve"> （一）参考书目</w:t>
      </w:r>
    </w:p>
    <w:p w14:paraId="54DD9BB8">
      <w:pPr>
        <w:pStyle w:val="7"/>
        <w:ind w:firstLine="630" w:firstLineChars="300"/>
        <w:rPr>
          <w:rFonts w:hint="eastAsia" w:ascii="宋体" w:hAnsi="宋体" w:cs="宋体"/>
          <w:sz w:val="21"/>
          <w:szCs w:val="21"/>
        </w:rPr>
      </w:pPr>
      <w:r>
        <w:rPr>
          <w:rFonts w:hint="eastAsia" w:ascii="宋体" w:hAnsi="宋体" w:cs="宋体"/>
          <w:sz w:val="21"/>
          <w:szCs w:val="21"/>
        </w:rPr>
        <w:t>1.江苏省教育厅编，《江苏省大学生安全知识竞赛题库》。</w:t>
      </w:r>
    </w:p>
    <w:p w14:paraId="54ABC067">
      <w:pPr>
        <w:pStyle w:val="7"/>
        <w:ind w:firstLine="630" w:firstLineChars="300"/>
        <w:rPr>
          <w:rFonts w:hint="eastAsia" w:ascii="宋体" w:hAnsi="宋体" w:cs="宋体"/>
          <w:sz w:val="21"/>
          <w:szCs w:val="21"/>
        </w:rPr>
      </w:pPr>
      <w:r>
        <w:rPr>
          <w:rFonts w:hint="eastAsia" w:ascii="宋体" w:hAnsi="宋体" w:cs="宋体"/>
          <w:sz w:val="21"/>
          <w:szCs w:val="21"/>
        </w:rPr>
        <w:t>2.王威、呼东燕、高巍、潘洪涛，《大学生安全教育》，清华大学出版社，2017年第一版。</w:t>
      </w:r>
    </w:p>
    <w:p w14:paraId="5C011219">
      <w:pPr>
        <w:pStyle w:val="7"/>
        <w:ind w:firstLine="630" w:firstLineChars="300"/>
        <w:rPr>
          <w:rFonts w:hint="eastAsia" w:ascii="宋体" w:hAnsi="宋体" w:cs="宋体"/>
          <w:sz w:val="21"/>
          <w:szCs w:val="21"/>
        </w:rPr>
      </w:pPr>
      <w:r>
        <w:rPr>
          <w:rFonts w:hint="eastAsia" w:ascii="宋体" w:hAnsi="宋体" w:cs="宋体"/>
          <w:sz w:val="21"/>
          <w:szCs w:val="21"/>
        </w:rPr>
        <w:t>3.王传虎，吕思斌，《实验室安全知识手册》，安徽大学出版社，2018年第一版。</w:t>
      </w:r>
    </w:p>
    <w:p w14:paraId="30202B64">
      <w:pPr>
        <w:pStyle w:val="7"/>
        <w:ind w:firstLine="630" w:firstLineChars="300"/>
        <w:rPr>
          <w:rFonts w:hint="eastAsia" w:ascii="宋体" w:hAnsi="宋体" w:cs="宋体"/>
          <w:sz w:val="21"/>
          <w:szCs w:val="21"/>
        </w:rPr>
      </w:pPr>
      <w:r>
        <w:rPr>
          <w:rFonts w:hint="eastAsia" w:ascii="宋体" w:hAnsi="宋体" w:cs="宋体"/>
          <w:sz w:val="21"/>
          <w:szCs w:val="21"/>
        </w:rPr>
        <w:t>4.张才，《高校实验室安全准入教育》，南京大学出版社黄凯，2019年第一版。</w:t>
      </w:r>
    </w:p>
    <w:p w14:paraId="5D2D5ACA">
      <w:pPr>
        <w:pStyle w:val="7"/>
        <w:ind w:firstLine="630" w:firstLineChars="300"/>
        <w:rPr>
          <w:rFonts w:hint="eastAsia" w:ascii="宋体" w:hAnsi="宋体" w:cs="宋体"/>
          <w:sz w:val="21"/>
          <w:szCs w:val="21"/>
        </w:rPr>
      </w:pPr>
      <w:r>
        <w:rPr>
          <w:rFonts w:hint="eastAsia" w:ascii="宋体" w:hAnsi="宋体" w:cs="宋体"/>
          <w:sz w:val="21"/>
          <w:szCs w:val="21"/>
        </w:rPr>
        <w:t>5.秦静，《</w:t>
      </w:r>
      <w:bookmarkStart w:id="134" w:name="itemlist-title"/>
      <w:r>
        <w:rPr>
          <w:rFonts w:hint="eastAsia" w:ascii="宋体" w:hAnsi="宋体" w:cs="宋体"/>
          <w:sz w:val="21"/>
          <w:szCs w:val="21"/>
        </w:rPr>
        <w:t>危险化学品和化学实验室安全教育读本</w:t>
      </w:r>
      <w:bookmarkEnd w:id="134"/>
      <w:r>
        <w:rPr>
          <w:rFonts w:hint="eastAsia" w:ascii="宋体" w:hAnsi="宋体" w:cs="宋体"/>
          <w:sz w:val="21"/>
          <w:szCs w:val="21"/>
        </w:rPr>
        <w:t>》，化学工业出版社，2018年第一版。</w:t>
      </w:r>
    </w:p>
    <w:p w14:paraId="3000F1D1">
      <w:pPr>
        <w:pStyle w:val="7"/>
        <w:ind w:firstLine="630" w:firstLineChars="300"/>
        <w:rPr>
          <w:rFonts w:hint="eastAsia" w:ascii="宋体" w:hAnsi="宋体" w:cs="宋体"/>
          <w:sz w:val="21"/>
          <w:szCs w:val="21"/>
        </w:rPr>
      </w:pPr>
      <w:r>
        <w:rPr>
          <w:rFonts w:hint="eastAsia" w:ascii="宋体" w:hAnsi="宋体" w:cs="宋体"/>
          <w:sz w:val="21"/>
          <w:szCs w:val="21"/>
        </w:rPr>
        <w:t>6.姜文凤、刘志广，《化学实验室安全基础》，高等教育出版社，2019年第一版。</w:t>
      </w:r>
    </w:p>
    <w:p w14:paraId="2F49B120">
      <w:pPr>
        <w:spacing w:line="360" w:lineRule="auto"/>
        <w:ind w:firstLine="420" w:firstLineChars="200"/>
        <w:rPr>
          <w:rFonts w:hint="eastAsia" w:ascii="宋体" w:hAnsi="宋体" w:eastAsia="宋体" w:cs="宋体"/>
          <w:bCs/>
          <w:sz w:val="21"/>
          <w:szCs w:val="21"/>
        </w:rPr>
      </w:pPr>
    </w:p>
    <w:p w14:paraId="391CD611">
      <w:pPr>
        <w:spacing w:line="360" w:lineRule="auto"/>
        <w:ind w:firstLine="480" w:firstLineChars="200"/>
        <w:rPr>
          <w:rFonts w:hint="eastAsia" w:ascii="宋体" w:hAnsi="宋体" w:eastAsia="宋体" w:cs="宋体"/>
          <w:bCs/>
          <w:sz w:val="24"/>
        </w:rPr>
      </w:pPr>
    </w:p>
    <w:p w14:paraId="224D21EB">
      <w:pPr>
        <w:autoSpaceDE w:val="0"/>
        <w:autoSpaceDN w:val="0"/>
        <w:adjustRightInd w:val="0"/>
        <w:spacing w:line="360" w:lineRule="auto"/>
        <w:ind w:firstLine="4620" w:firstLineChars="2200"/>
        <w:jc w:val="right"/>
        <w:rPr>
          <w:rFonts w:hint="eastAsia" w:ascii="宋体" w:hAnsi="宋体" w:eastAsia="宋体" w:cs="Times New Roman"/>
          <w:kern w:val="0"/>
          <w:sz w:val="21"/>
          <w:szCs w:val="18"/>
        </w:rPr>
      </w:pPr>
      <w:r>
        <w:rPr>
          <w:rFonts w:hint="eastAsia" w:ascii="宋体" w:hAnsi="宋体" w:eastAsia="宋体" w:cs="Times New Roman"/>
          <w:kern w:val="0"/>
          <w:sz w:val="21"/>
          <w:szCs w:val="18"/>
        </w:rPr>
        <w:t>执笔人：王鲲鹏 朱庆伟</w:t>
      </w:r>
    </w:p>
    <w:p w14:paraId="041B02C0">
      <w:pPr>
        <w:autoSpaceDE w:val="0"/>
        <w:autoSpaceDN w:val="0"/>
        <w:adjustRightInd w:val="0"/>
        <w:spacing w:line="360" w:lineRule="auto"/>
        <w:ind w:firstLine="4620" w:firstLineChars="2200"/>
        <w:jc w:val="right"/>
        <w:rPr>
          <w:rFonts w:hint="eastAsia" w:ascii="宋体" w:hAnsi="宋体" w:eastAsia="宋体" w:cs="Times New Roman"/>
          <w:kern w:val="0"/>
          <w:sz w:val="21"/>
          <w:szCs w:val="18"/>
        </w:rPr>
      </w:pPr>
      <w:r>
        <w:rPr>
          <w:rFonts w:hint="eastAsia" w:ascii="宋体" w:hAnsi="宋体" w:eastAsia="宋体" w:cs="Times New Roman"/>
          <w:kern w:val="0"/>
          <w:sz w:val="21"/>
          <w:szCs w:val="18"/>
        </w:rPr>
        <w:t>审定人：王  健</w:t>
      </w:r>
    </w:p>
    <w:p w14:paraId="1B453314">
      <w:pPr>
        <w:autoSpaceDE w:val="0"/>
        <w:autoSpaceDN w:val="0"/>
        <w:adjustRightInd w:val="0"/>
        <w:spacing w:line="360" w:lineRule="auto"/>
        <w:ind w:firstLine="4620" w:firstLineChars="2200"/>
        <w:jc w:val="right"/>
        <w:rPr>
          <w:rFonts w:hint="eastAsia" w:ascii="宋体" w:hAnsi="宋体" w:eastAsia="宋体" w:cs="Times New Roman"/>
          <w:kern w:val="0"/>
          <w:sz w:val="21"/>
          <w:szCs w:val="18"/>
        </w:rPr>
      </w:pPr>
      <w:r>
        <w:rPr>
          <w:rFonts w:hint="eastAsia" w:ascii="宋体" w:hAnsi="宋体" w:eastAsia="宋体" w:cs="Times New Roman"/>
          <w:kern w:val="0"/>
          <w:sz w:val="21"/>
          <w:szCs w:val="18"/>
        </w:rPr>
        <w:t>审批人：张志欣</w:t>
      </w:r>
    </w:p>
    <w:p w14:paraId="48C54A00">
      <w:pPr>
        <w:autoSpaceDE w:val="0"/>
        <w:autoSpaceDN w:val="0"/>
        <w:adjustRightInd w:val="0"/>
        <w:spacing w:line="360" w:lineRule="auto"/>
        <w:ind w:firstLine="4620" w:firstLineChars="2200"/>
        <w:jc w:val="right"/>
        <w:rPr>
          <w:rFonts w:hint="eastAsia" w:ascii="宋体" w:hAnsi="宋体" w:eastAsia="宋体" w:cs="Times New Roman"/>
          <w:kern w:val="0"/>
          <w:sz w:val="21"/>
          <w:szCs w:val="18"/>
          <w:lang w:eastAsia="zh-CN"/>
        </w:rPr>
      </w:pPr>
      <w:r>
        <w:rPr>
          <w:rFonts w:hint="eastAsia" w:ascii="宋体" w:hAnsi="宋体" w:eastAsia="宋体" w:cs="Times New Roman"/>
          <w:kern w:val="0"/>
          <w:sz w:val="21"/>
          <w:szCs w:val="18"/>
          <w:lang w:eastAsia="zh-CN"/>
        </w:rPr>
        <w:t>批准时间：2025年7月1日</w:t>
      </w:r>
    </w:p>
    <w:p w14:paraId="516D6F8A">
      <w:pPr>
        <w:rPr>
          <w:color w:val="auto"/>
        </w:rPr>
      </w:pPr>
    </w:p>
    <w:p w14:paraId="325C9895">
      <w:pPr>
        <w:rPr>
          <w:color w:val="auto"/>
        </w:rPr>
      </w:pPr>
    </w:p>
    <w:p w14:paraId="4AE4835F">
      <w:pPr>
        <w:rPr>
          <w:color w:val="auto"/>
        </w:rPr>
      </w:pPr>
    </w:p>
    <w:p w14:paraId="506DA5B3">
      <w:pPr>
        <w:rPr>
          <w:color w:val="auto"/>
        </w:rPr>
      </w:pPr>
    </w:p>
    <w:p w14:paraId="764AE566">
      <w:pPr>
        <w:rPr>
          <w:color w:val="auto"/>
        </w:rPr>
      </w:pPr>
      <w:r>
        <w:rPr>
          <w:rFonts w:hint="eastAsia"/>
          <w:color w:val="auto"/>
        </w:rPr>
        <w:br w:type="page"/>
      </w:r>
    </w:p>
    <w:p w14:paraId="1E478EFE">
      <w:pPr>
        <w:spacing w:line="360" w:lineRule="auto"/>
        <w:jc w:val="center"/>
        <w:outlineLvl w:val="0"/>
        <w:rPr>
          <w:rFonts w:hint="eastAsia" w:ascii="宋体" w:hAnsi="宋体" w:eastAsia="宋体" w:cs="宋体"/>
          <w:bCs/>
          <w:color w:val="auto"/>
          <w:sz w:val="44"/>
        </w:rPr>
      </w:pPr>
      <w:bookmarkStart w:id="135" w:name="_Toc32496"/>
      <w:r>
        <w:rPr>
          <w:rFonts w:hint="eastAsia" w:eastAsia="黑体"/>
          <w:b/>
          <w:bCs w:val="0"/>
          <w:color w:val="auto"/>
          <w:sz w:val="44"/>
          <w:lang w:eastAsia="zh-CN"/>
        </w:rPr>
        <w:t>《</w:t>
      </w:r>
      <w:r>
        <w:rPr>
          <w:rFonts w:hint="eastAsia" w:ascii="Times New Roman" w:hAnsi="Times New Roman" w:eastAsia="宋体" w:cs="Times New Roman"/>
          <w:b/>
          <w:bCs w:val="0"/>
          <w:color w:val="auto"/>
          <w:sz w:val="44"/>
          <w:szCs w:val="44"/>
        </w:rPr>
        <w:t>实验室</w:t>
      </w:r>
      <w:r>
        <w:rPr>
          <w:rFonts w:hint="eastAsia" w:ascii="宋体" w:hAnsi="宋体" w:eastAsia="宋体" w:cs="宋体"/>
          <w:b/>
          <w:bCs w:val="0"/>
          <w:color w:val="auto"/>
          <w:sz w:val="44"/>
        </w:rPr>
        <w:t>安全教育</w:t>
      </w:r>
      <w:r>
        <w:rPr>
          <w:rFonts w:hint="eastAsia" w:ascii="宋体" w:hAnsi="宋体" w:eastAsia="宋体" w:cs="宋体"/>
          <w:b/>
          <w:bCs w:val="0"/>
          <w:color w:val="auto"/>
          <w:sz w:val="44"/>
          <w:lang w:eastAsia="zh-CN"/>
        </w:rPr>
        <w:t>》</w:t>
      </w:r>
      <w:r>
        <w:rPr>
          <w:rFonts w:hint="eastAsia" w:ascii="宋体" w:hAnsi="宋体" w:eastAsia="宋体" w:cs="宋体"/>
          <w:b/>
          <w:bCs w:val="0"/>
          <w:color w:val="auto"/>
          <w:sz w:val="44"/>
        </w:rPr>
        <w:t>课程教学大纲</w:t>
      </w:r>
      <w:bookmarkEnd w:id="135"/>
    </w:p>
    <w:p w14:paraId="14C66EEC">
      <w:pPr>
        <w:spacing w:line="360" w:lineRule="auto"/>
        <w:ind w:firstLine="506" w:firstLineChars="180"/>
        <w:jc w:val="center"/>
        <w:rPr>
          <w:rFonts w:hint="default" w:ascii="Times New Roman" w:hAnsi="Times New Roman" w:eastAsia="宋体" w:cs="Times New Roman"/>
          <w:b/>
          <w:bCs w:val="0"/>
          <w:color w:val="auto"/>
          <w:sz w:val="28"/>
          <w:szCs w:val="28"/>
          <w:lang w:eastAsia="zh-CN"/>
        </w:rPr>
      </w:pPr>
      <w:r>
        <w:rPr>
          <w:rFonts w:hint="default" w:ascii="Times New Roman" w:hAnsi="Times New Roman" w:eastAsia="宋体" w:cs="Times New Roman"/>
          <w:b/>
          <w:bCs w:val="0"/>
          <w:color w:val="auto"/>
          <w:sz w:val="28"/>
          <w:szCs w:val="28"/>
          <w:lang w:eastAsia="zh-CN"/>
        </w:rPr>
        <w:t>（</w:t>
      </w:r>
      <w:r>
        <w:rPr>
          <w:rFonts w:hint="default" w:ascii="Times New Roman" w:hAnsi="Times New Roman" w:eastAsia="宋体" w:cs="Times New Roman"/>
          <w:b/>
          <w:bCs w:val="0"/>
          <w:color w:val="auto"/>
          <w:sz w:val="28"/>
          <w:szCs w:val="28"/>
          <w:lang w:val="en-US" w:eastAsia="zh-CN"/>
        </w:rPr>
        <w:t>Laboratory Safety education</w:t>
      </w:r>
      <w:r>
        <w:rPr>
          <w:rFonts w:hint="default" w:ascii="Times New Roman" w:hAnsi="Times New Roman" w:eastAsia="宋体" w:cs="Times New Roman"/>
          <w:b/>
          <w:bCs w:val="0"/>
          <w:color w:val="auto"/>
          <w:sz w:val="28"/>
          <w:szCs w:val="28"/>
          <w:lang w:eastAsia="zh-CN"/>
        </w:rPr>
        <w:t>）</w:t>
      </w:r>
    </w:p>
    <w:p w14:paraId="696876C0">
      <w:pPr>
        <w:spacing w:line="360" w:lineRule="auto"/>
        <w:ind w:firstLine="434" w:firstLineChars="180"/>
        <w:rPr>
          <w:rFonts w:hint="eastAsia" w:ascii="宋体" w:hAnsi="宋体" w:eastAsia="宋体" w:cs="宋体"/>
          <w:b/>
          <w:sz w:val="24"/>
        </w:rPr>
      </w:pPr>
      <w:r>
        <w:rPr>
          <w:rFonts w:hint="eastAsia" w:ascii="宋体" w:hAnsi="宋体" w:eastAsia="宋体" w:cs="宋体"/>
          <w:b/>
          <w:sz w:val="24"/>
        </w:rPr>
        <w:t>课程名称：实验室安全教育</w:t>
      </w:r>
    </w:p>
    <w:p w14:paraId="28DB4679">
      <w:pPr>
        <w:spacing w:line="360" w:lineRule="auto"/>
        <w:ind w:firstLine="434" w:firstLineChars="180"/>
        <w:rPr>
          <w:rFonts w:hint="eastAsia" w:ascii="宋体" w:hAnsi="宋体" w:eastAsia="宋体" w:cs="宋体"/>
          <w:b/>
          <w:sz w:val="24"/>
        </w:rPr>
      </w:pPr>
      <w:r>
        <w:rPr>
          <w:rFonts w:hint="eastAsia" w:ascii="宋体" w:hAnsi="宋体" w:eastAsia="宋体" w:cs="宋体"/>
          <w:b/>
          <w:sz w:val="24"/>
        </w:rPr>
        <w:t>课程代码：0000011</w:t>
      </w:r>
    </w:p>
    <w:p w14:paraId="50BA0EC3">
      <w:pPr>
        <w:spacing w:line="360" w:lineRule="auto"/>
        <w:ind w:firstLine="434" w:firstLineChars="180"/>
        <w:rPr>
          <w:rFonts w:hint="eastAsia" w:ascii="宋体" w:hAnsi="宋体" w:eastAsia="宋体" w:cs="宋体"/>
          <w:b/>
          <w:sz w:val="24"/>
        </w:rPr>
      </w:pPr>
      <w:r>
        <w:rPr>
          <w:rFonts w:hint="eastAsia" w:ascii="宋体" w:hAnsi="宋体" w:eastAsia="宋体" w:cs="宋体"/>
          <w:b/>
          <w:sz w:val="24"/>
        </w:rPr>
        <w:t>学    分：0.5</w:t>
      </w:r>
    </w:p>
    <w:p w14:paraId="037381AF">
      <w:pPr>
        <w:spacing w:line="360" w:lineRule="auto"/>
        <w:ind w:firstLine="434" w:firstLineChars="180"/>
        <w:rPr>
          <w:rFonts w:hint="eastAsia" w:ascii="宋体" w:hAnsi="宋体" w:eastAsia="宋体" w:cs="宋体"/>
          <w:b/>
          <w:sz w:val="24"/>
        </w:rPr>
      </w:pPr>
      <w:r>
        <w:rPr>
          <w:rFonts w:hint="eastAsia" w:ascii="宋体" w:hAnsi="宋体" w:eastAsia="宋体" w:cs="宋体"/>
          <w:b/>
          <w:sz w:val="24"/>
        </w:rPr>
        <w:t>学    时：8</w:t>
      </w:r>
      <w:r>
        <w:rPr>
          <w:rFonts w:hint="eastAsia" w:ascii="宋体" w:hAnsi="宋体" w:eastAsia="宋体" w:cs="宋体"/>
          <w:b/>
          <w:sz w:val="24"/>
          <w:lang w:eastAsia="zh-CN"/>
        </w:rPr>
        <w:t>（</w:t>
      </w:r>
      <w:r>
        <w:rPr>
          <w:rFonts w:hint="eastAsia" w:eastAsia="仿宋_GB2312"/>
          <w:bCs/>
          <w:sz w:val="24"/>
        </w:rPr>
        <w:t>自学不少于</w:t>
      </w:r>
      <w:r>
        <w:rPr>
          <w:rFonts w:eastAsia="仿宋_GB2312"/>
          <w:bCs/>
          <w:sz w:val="24"/>
        </w:rPr>
        <w:t>8</w:t>
      </w:r>
      <w:r>
        <w:rPr>
          <w:rFonts w:hint="eastAsia" w:eastAsia="仿宋_GB2312"/>
          <w:bCs/>
          <w:sz w:val="24"/>
        </w:rPr>
        <w:t>学时</w:t>
      </w:r>
      <w:r>
        <w:rPr>
          <w:rFonts w:hint="eastAsia" w:ascii="宋体" w:hAnsi="宋体" w:eastAsia="宋体" w:cs="宋体"/>
          <w:b/>
          <w:sz w:val="24"/>
          <w:lang w:eastAsia="zh-CN"/>
        </w:rPr>
        <w:t>）</w:t>
      </w:r>
    </w:p>
    <w:p w14:paraId="390A7B08">
      <w:pPr>
        <w:spacing w:line="360" w:lineRule="auto"/>
        <w:ind w:firstLine="434" w:firstLineChars="180"/>
        <w:rPr>
          <w:rFonts w:hint="eastAsia" w:ascii="宋体" w:hAnsi="宋体" w:eastAsia="宋体" w:cs="宋体"/>
          <w:b/>
          <w:sz w:val="24"/>
        </w:rPr>
      </w:pPr>
      <w:r>
        <w:rPr>
          <w:rFonts w:hint="eastAsia" w:ascii="宋体" w:hAnsi="宋体" w:eastAsia="宋体" w:cs="宋体"/>
          <w:b/>
          <w:sz w:val="24"/>
        </w:rPr>
        <w:t>先修课程：无</w:t>
      </w:r>
    </w:p>
    <w:p w14:paraId="4279EFE2">
      <w:pPr>
        <w:spacing w:line="360" w:lineRule="auto"/>
        <w:ind w:firstLine="434" w:firstLineChars="180"/>
        <w:rPr>
          <w:rFonts w:hint="eastAsia" w:ascii="宋体" w:hAnsi="宋体" w:eastAsia="宋体" w:cs="宋体"/>
          <w:b/>
          <w:sz w:val="24"/>
        </w:rPr>
      </w:pPr>
      <w:r>
        <w:rPr>
          <w:rFonts w:hint="eastAsia" w:ascii="宋体" w:hAnsi="宋体" w:eastAsia="宋体" w:cs="宋体"/>
          <w:b/>
          <w:sz w:val="24"/>
        </w:rPr>
        <w:t>适用专业：全校所有专业</w:t>
      </w:r>
    </w:p>
    <w:p w14:paraId="7DDFBA4A">
      <w:pPr>
        <w:spacing w:line="240" w:lineRule="auto"/>
        <w:ind w:firstLine="379" w:firstLineChars="180"/>
        <w:rPr>
          <w:rFonts w:hint="eastAsia" w:ascii="宋体" w:hAnsi="宋体" w:eastAsia="宋体" w:cs="宋体"/>
          <w:b/>
          <w:szCs w:val="21"/>
        </w:rPr>
      </w:pPr>
    </w:p>
    <w:p w14:paraId="36DF1D39">
      <w:pPr>
        <w:snapToGrid w:val="0"/>
        <w:spacing w:line="360" w:lineRule="auto"/>
        <w:ind w:firstLine="482" w:firstLineChars="200"/>
        <w:rPr>
          <w:rFonts w:hint="eastAsia" w:ascii="Calibri" w:hAnsi="Calibri" w:eastAsia="宋体" w:cs="Times New Roman"/>
          <w:b/>
          <w:sz w:val="24"/>
          <w:szCs w:val="24"/>
          <w:lang w:val="en-US" w:eastAsia="zh-CN"/>
        </w:rPr>
      </w:pPr>
      <w:r>
        <w:rPr>
          <w:rFonts w:hint="eastAsia" w:ascii="Calibri" w:hAnsi="Calibri" w:eastAsia="宋体" w:cs="Times New Roman"/>
          <w:b/>
          <w:sz w:val="24"/>
          <w:szCs w:val="24"/>
        </w:rPr>
        <w:t>一、课程</w:t>
      </w:r>
      <w:r>
        <w:rPr>
          <w:rFonts w:hint="eastAsia" w:ascii="Calibri" w:hAnsi="Calibri" w:eastAsia="宋体" w:cs="Times New Roman"/>
          <w:b/>
          <w:sz w:val="24"/>
          <w:szCs w:val="24"/>
          <w:lang w:val="en-US" w:eastAsia="zh-CN"/>
        </w:rPr>
        <w:t>简介</w:t>
      </w:r>
    </w:p>
    <w:p w14:paraId="4C8DBDAF">
      <w:pPr>
        <w:widowControl w:val="0"/>
        <w:spacing w:line="360" w:lineRule="auto"/>
        <w:ind w:firstLine="420" w:firstLineChars="200"/>
        <w:jc w:val="both"/>
        <w:rPr>
          <w:rFonts w:hint="eastAsia" w:ascii="Calibri" w:hAnsi="Calibri" w:eastAsia="宋体" w:cs="Times New Roman"/>
          <w:kern w:val="2"/>
          <w:sz w:val="21"/>
          <w:szCs w:val="21"/>
          <w:lang w:val="en-US" w:eastAsia="zh-CN" w:bidi="ar-SA"/>
        </w:rPr>
      </w:pPr>
      <w:r>
        <w:rPr>
          <w:rFonts w:hint="eastAsia" w:ascii="Calibri" w:hAnsi="Calibri" w:eastAsia="宋体" w:cs="Times New Roman"/>
          <w:bCs/>
          <w:kern w:val="2"/>
          <w:sz w:val="21"/>
          <w:szCs w:val="21"/>
          <w:lang w:val="en-US" w:eastAsia="zh-CN" w:bidi="ar-SA"/>
        </w:rPr>
        <w:t>《实验室安全教育》是我校面向全体大一学生开设的一门公共基础必修课程，是学生掌握实验室安全知识、获取实验室准入资格的必要途径。本课程具有强制性、基础性、全覆盖性和通识性的突出特点。其根本目标是树立学生“安全第一、预防为主”的责任意识，传授实验室安全基础知识与技能，培养学生识别风险、规避风险和应急处置的能力，为其后续的专业实验、毕业设计及未来从事科研工作奠定安全基础，同时对校园安全文化建设起到至关重要的作用</w:t>
      </w:r>
      <w:r>
        <w:rPr>
          <w:rFonts w:hint="eastAsia" w:ascii="Calibri" w:hAnsi="Calibri" w:eastAsia="宋体" w:cs="Times New Roman"/>
          <w:kern w:val="2"/>
          <w:sz w:val="21"/>
          <w:szCs w:val="21"/>
          <w:lang w:val="en-US" w:eastAsia="zh-CN" w:bidi="ar-SA"/>
        </w:rPr>
        <w:t>。</w:t>
      </w:r>
    </w:p>
    <w:p w14:paraId="4B0DA885">
      <w:pPr>
        <w:snapToGrid w:val="0"/>
        <w:spacing w:line="360" w:lineRule="auto"/>
        <w:ind w:firstLine="482" w:firstLineChars="200"/>
        <w:rPr>
          <w:rFonts w:ascii="Calibri" w:hAnsi="Calibri" w:eastAsia="宋体" w:cs="Times New Roman"/>
          <w:kern w:val="0"/>
          <w:sz w:val="24"/>
          <w:szCs w:val="24"/>
        </w:rPr>
      </w:pPr>
      <w:r>
        <w:rPr>
          <w:rFonts w:hint="eastAsia" w:ascii="Calibri" w:hAnsi="Calibri" w:eastAsia="宋体" w:cs="Times New Roman"/>
          <w:b/>
          <w:sz w:val="24"/>
          <w:szCs w:val="24"/>
        </w:rPr>
        <w:t>二</w:t>
      </w:r>
      <w:r>
        <w:rPr>
          <w:rFonts w:ascii="Calibri" w:hAnsi="Calibri" w:eastAsia="宋体" w:cs="Times New Roman"/>
          <w:b/>
          <w:sz w:val="24"/>
          <w:szCs w:val="24"/>
        </w:rPr>
        <w:t>、课程目标</w:t>
      </w:r>
    </w:p>
    <w:p w14:paraId="05E6110A">
      <w:pPr>
        <w:snapToGrid w:val="0"/>
        <w:spacing w:line="360" w:lineRule="auto"/>
        <w:ind w:firstLine="420" w:firstLineChars="200"/>
        <w:rPr>
          <w:rFonts w:hint="eastAsia" w:ascii="Calibri" w:hAnsi="Calibri" w:eastAsia="宋体" w:cs="Times New Roman"/>
          <w:kern w:val="0"/>
          <w:sz w:val="21"/>
          <w:szCs w:val="21"/>
        </w:rPr>
      </w:pPr>
      <w:r>
        <w:rPr>
          <w:rFonts w:hint="eastAsia" w:ascii="Calibri" w:hAnsi="Calibri" w:eastAsia="宋体" w:cs="Times New Roman"/>
          <w:kern w:val="0"/>
          <w:sz w:val="21"/>
          <w:szCs w:val="21"/>
        </w:rPr>
        <w:t>目标1：能够掌握实验过程中的安全、健康和环境的基本理论，培养安全意识和安全素养，能够进行安全操作，具备一定的应急处置能力。</w:t>
      </w:r>
    </w:p>
    <w:p w14:paraId="74122358">
      <w:pPr>
        <w:snapToGrid w:val="0"/>
        <w:spacing w:line="360" w:lineRule="auto"/>
        <w:ind w:firstLine="420" w:firstLineChars="200"/>
        <w:rPr>
          <w:rFonts w:ascii="Calibri" w:hAnsi="Calibri" w:eastAsia="宋体" w:cs="Times New Roman"/>
          <w:kern w:val="0"/>
          <w:sz w:val="21"/>
          <w:szCs w:val="21"/>
        </w:rPr>
      </w:pPr>
      <w:r>
        <w:rPr>
          <w:rFonts w:hint="eastAsia" w:ascii="Calibri" w:hAnsi="Calibri" w:eastAsia="宋体" w:cs="Times New Roman"/>
          <w:kern w:val="0"/>
          <w:sz w:val="21"/>
          <w:szCs w:val="21"/>
        </w:rPr>
        <w:t>课程思政育人目标：</w:t>
      </w:r>
    </w:p>
    <w:p w14:paraId="26C1176D">
      <w:pPr>
        <w:snapToGrid w:val="0"/>
        <w:spacing w:line="360" w:lineRule="auto"/>
        <w:ind w:firstLine="420" w:firstLineChars="200"/>
        <w:rPr>
          <w:rFonts w:ascii="Calibri" w:hAnsi="Calibri" w:eastAsia="宋体" w:cs="Times New Roman"/>
          <w:kern w:val="0"/>
          <w:sz w:val="21"/>
          <w:szCs w:val="21"/>
        </w:rPr>
      </w:pPr>
      <w:r>
        <w:rPr>
          <w:rFonts w:hint="eastAsia" w:ascii="Calibri" w:hAnsi="Calibri" w:eastAsia="宋体" w:cs="Times New Roman"/>
          <w:kern w:val="0"/>
          <w:sz w:val="21"/>
          <w:szCs w:val="21"/>
        </w:rPr>
        <w:t>（1）树立“生命至上，安全第一”的核心价值观。 引导学生深刻理解生命安全与健康的重要性，将保护生命安全视为最高的道德准则和科学工作的首要前提，培育敬畏生命、关爱他人的人文精神。</w:t>
      </w:r>
    </w:p>
    <w:p w14:paraId="1DA44EE1">
      <w:pPr>
        <w:snapToGrid w:val="0"/>
        <w:spacing w:line="360" w:lineRule="auto"/>
        <w:ind w:firstLine="420" w:firstLineChars="200"/>
        <w:rPr>
          <w:rFonts w:ascii="Calibri" w:hAnsi="Calibri" w:eastAsia="宋体" w:cs="Times New Roman"/>
          <w:kern w:val="0"/>
          <w:sz w:val="21"/>
          <w:szCs w:val="21"/>
        </w:rPr>
      </w:pPr>
      <w:r>
        <w:rPr>
          <w:rFonts w:hint="eastAsia" w:ascii="Calibri" w:hAnsi="Calibri" w:eastAsia="宋体" w:cs="Times New Roman"/>
          <w:kern w:val="0"/>
          <w:sz w:val="21"/>
          <w:szCs w:val="21"/>
        </w:rPr>
        <w:t>（2）将安全教育作为科研“第一课”，强调遵守规程是科学探索的“安全带”和“助推器”。培养学生尊重客观规律、反对经验主义、杜绝侥幸心理的严谨科研态度，为其未来职业生涯奠定坚实的作风基础。</w:t>
      </w:r>
    </w:p>
    <w:p w14:paraId="32D5E187">
      <w:pPr>
        <w:snapToGrid w:val="0"/>
        <w:spacing w:line="360" w:lineRule="auto"/>
        <w:ind w:firstLine="420" w:firstLineChars="200"/>
        <w:rPr>
          <w:rFonts w:ascii="Calibri" w:hAnsi="Calibri" w:eastAsia="宋体" w:cs="Times New Roman"/>
          <w:kern w:val="0"/>
          <w:sz w:val="21"/>
          <w:szCs w:val="21"/>
        </w:rPr>
      </w:pPr>
      <w:r>
        <w:rPr>
          <w:rFonts w:hint="eastAsia" w:ascii="Calibri" w:hAnsi="Calibri" w:eastAsia="宋体" w:cs="Times New Roman"/>
          <w:kern w:val="0"/>
          <w:sz w:val="21"/>
          <w:szCs w:val="21"/>
        </w:rPr>
        <w:t>课程目标与毕业要求观测点的对应关系如表1所示。</w:t>
      </w:r>
    </w:p>
    <w:p w14:paraId="1D8DA708">
      <w:pPr>
        <w:snapToGrid w:val="0"/>
        <w:spacing w:line="360" w:lineRule="auto"/>
        <w:jc w:val="center"/>
        <w:rPr>
          <w:rFonts w:ascii="Calibri" w:hAnsi="Calibri" w:eastAsia="宋体" w:cs="Times New Roman"/>
          <w:kern w:val="0"/>
          <w:sz w:val="21"/>
          <w:szCs w:val="21"/>
        </w:rPr>
      </w:pPr>
      <w:r>
        <w:rPr>
          <w:rFonts w:ascii="Calibri" w:hAnsi="Calibri" w:eastAsia="宋体" w:cs="Times New Roman"/>
          <w:kern w:val="0"/>
          <w:sz w:val="21"/>
          <w:szCs w:val="21"/>
        </w:rPr>
        <w:t>表1  课程目标与毕业要求</w:t>
      </w:r>
      <w:r>
        <w:rPr>
          <w:rFonts w:hint="eastAsia" w:ascii="Calibri" w:hAnsi="Calibri" w:eastAsia="宋体" w:cs="Times New Roman"/>
          <w:kern w:val="0"/>
          <w:sz w:val="21"/>
          <w:szCs w:val="21"/>
        </w:rPr>
        <w:t>观测</w:t>
      </w:r>
      <w:r>
        <w:rPr>
          <w:rFonts w:ascii="Calibri" w:hAnsi="Calibri" w:eastAsia="宋体" w:cs="Times New Roman"/>
          <w:kern w:val="0"/>
          <w:sz w:val="21"/>
          <w:szCs w:val="21"/>
        </w:rPr>
        <w:t>点的对应关系</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A34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F98963B">
            <w:pPr>
              <w:spacing w:line="36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毕业要求</w:t>
            </w:r>
          </w:p>
        </w:tc>
        <w:tc>
          <w:tcPr>
            <w:tcW w:w="5688" w:type="dxa"/>
            <w:vAlign w:val="center"/>
          </w:tcPr>
          <w:p w14:paraId="0FF470DE">
            <w:pPr>
              <w:spacing w:line="36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毕业要求指标点</w:t>
            </w:r>
          </w:p>
        </w:tc>
        <w:tc>
          <w:tcPr>
            <w:tcW w:w="1191" w:type="dxa"/>
            <w:vAlign w:val="center"/>
          </w:tcPr>
          <w:p w14:paraId="181B932D">
            <w:pPr>
              <w:spacing w:line="36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课程目标</w:t>
            </w:r>
          </w:p>
        </w:tc>
      </w:tr>
      <w:tr w14:paraId="4F8A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41D1EA8">
            <w:pPr>
              <w:spacing w:line="276" w:lineRule="auto"/>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毕业要求2教育情怀</w:t>
            </w:r>
          </w:p>
        </w:tc>
        <w:tc>
          <w:tcPr>
            <w:tcW w:w="5688" w:type="dxa"/>
            <w:vAlign w:val="center"/>
          </w:tcPr>
          <w:p w14:paraId="3724CA1E">
            <w:pPr>
              <w:spacing w:line="276" w:lineRule="auto"/>
              <w:jc w:val="left"/>
              <w:rPr>
                <w:rFonts w:ascii="Times New Roman" w:hAnsi="Times New Roman" w:eastAsia="宋体" w:cs="Times New Roman"/>
                <w:sz w:val="21"/>
                <w:szCs w:val="21"/>
              </w:rPr>
            </w:pPr>
            <w:r>
              <w:rPr>
                <w:rFonts w:hint="eastAsia" w:ascii="宋体" w:hAnsi="宋体" w:eastAsia="宋体" w:cs="宋体"/>
                <w:b/>
                <w:kern w:val="0"/>
                <w:sz w:val="21"/>
                <w:szCs w:val="21"/>
                <w:lang w:eastAsia="zh-CN"/>
              </w:rPr>
              <w:t>指标点2-3</w:t>
            </w:r>
            <w:r>
              <w:rPr>
                <w:rFonts w:hint="eastAsia" w:ascii="宋体" w:hAnsi="宋体" w:eastAsia="宋体" w:cs="宋体"/>
                <w:sz w:val="21"/>
                <w:szCs w:val="21"/>
              </w:rPr>
              <w:t>：【自身修养良好】具有较好的人文</w:t>
            </w:r>
            <w:r>
              <w:rPr>
                <w:rFonts w:hint="eastAsia" w:ascii="Calibri" w:hAnsi="Calibri" w:eastAsia="宋体" w:cs="宋体"/>
                <w:sz w:val="21"/>
                <w:szCs w:val="21"/>
              </w:rPr>
              <w:t>艺术</w:t>
            </w:r>
            <w:r>
              <w:rPr>
                <w:rFonts w:hint="eastAsia" w:ascii="宋体" w:hAnsi="宋体" w:eastAsia="宋体" w:cs="宋体"/>
                <w:sz w:val="21"/>
                <w:szCs w:val="21"/>
              </w:rPr>
              <w:t>底蕴与科学精神，言行举止符合教师职业标准，情感积极，人格健全，身心健康</w:t>
            </w:r>
            <w:r>
              <w:rPr>
                <w:rFonts w:ascii="宋体" w:hAnsi="宋体" w:eastAsia="宋体" w:cs="Times New Roman"/>
                <w:spacing w:val="2"/>
                <w:kern w:val="0"/>
                <w:sz w:val="21"/>
                <w:szCs w:val="21"/>
              </w:rPr>
              <w:t>。</w:t>
            </w:r>
          </w:p>
        </w:tc>
        <w:tc>
          <w:tcPr>
            <w:tcW w:w="1191" w:type="dxa"/>
            <w:vAlign w:val="center"/>
          </w:tcPr>
          <w:p w14:paraId="08207B7C">
            <w:pPr>
              <w:spacing w:line="276" w:lineRule="auto"/>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课程目标1</w:t>
            </w:r>
          </w:p>
        </w:tc>
      </w:tr>
    </w:tbl>
    <w:p w14:paraId="56DE0A51">
      <w:pPr>
        <w:snapToGrid w:val="0"/>
        <w:spacing w:line="360" w:lineRule="auto"/>
        <w:ind w:firstLine="482" w:firstLineChars="200"/>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三、课程内容及要求</w:t>
      </w:r>
    </w:p>
    <w:p w14:paraId="27D7FD6F">
      <w:pPr>
        <w:spacing w:line="360" w:lineRule="auto"/>
        <w:ind w:firstLine="420" w:firstLineChars="2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（一）实验室消防安全。</w:t>
      </w:r>
    </w:p>
    <w:p w14:paraId="01F02AA0">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1．实验室消防常识；</w:t>
      </w:r>
    </w:p>
    <w:p w14:paraId="0E6ED0DF">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2．实验室消防安全管理；</w:t>
      </w:r>
    </w:p>
    <w:p w14:paraId="5E053EDE">
      <w:pPr>
        <w:spacing w:line="360" w:lineRule="auto"/>
        <w:ind w:firstLine="840" w:firstLineChars="400"/>
        <w:rPr>
          <w:rFonts w:ascii="Calibri" w:hAnsi="Calibri" w:eastAsia="宋体" w:cs="Times New Roman"/>
          <w:color w:val="000000"/>
          <w:sz w:val="21"/>
          <w:szCs w:val="21"/>
        </w:rPr>
      </w:pPr>
      <w:r>
        <w:rPr>
          <w:rFonts w:hint="eastAsia" w:ascii="Calibri" w:hAnsi="Calibri" w:eastAsia="宋体" w:cs="Times New Roman"/>
          <w:color w:val="000000"/>
          <w:sz w:val="21"/>
          <w:szCs w:val="21"/>
        </w:rPr>
        <w:t>3．实验室消防设施；</w:t>
      </w:r>
    </w:p>
    <w:p w14:paraId="7C190535">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4．火灾应急措施。</w:t>
      </w:r>
    </w:p>
    <w:p w14:paraId="09720CC9">
      <w:pPr>
        <w:spacing w:line="360" w:lineRule="auto"/>
        <w:ind w:firstLine="420" w:firstLineChars="2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（二）实验室用电安全</w:t>
      </w:r>
    </w:p>
    <w:p w14:paraId="537D3541">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1．触电危害</w:t>
      </w:r>
    </w:p>
    <w:p w14:paraId="3EE82A0F">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2．触电事故防范知识</w:t>
      </w:r>
    </w:p>
    <w:p w14:paraId="3F8ADAA2">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3．触电急救</w:t>
      </w:r>
    </w:p>
    <w:p w14:paraId="3DCBAE0A">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4．电气类安全知识</w:t>
      </w:r>
    </w:p>
    <w:p w14:paraId="5DBB9BF9">
      <w:pPr>
        <w:spacing w:line="360" w:lineRule="auto"/>
        <w:ind w:firstLine="420" w:firstLineChars="2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（三）实验室危险化学品使用安全</w:t>
      </w:r>
    </w:p>
    <w:p w14:paraId="48BF3536">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1．危险化学品常识；</w:t>
      </w:r>
    </w:p>
    <w:p w14:paraId="0F6CE31F">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2．危险化学品安全管理；</w:t>
      </w:r>
    </w:p>
    <w:p w14:paraId="7DD53D57">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3．危险化学品防护措施；</w:t>
      </w:r>
    </w:p>
    <w:p w14:paraId="74F20EA9">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4．危险化学品事故应急措施。</w:t>
      </w:r>
    </w:p>
    <w:p w14:paraId="071F394D">
      <w:pPr>
        <w:spacing w:line="360" w:lineRule="auto"/>
        <w:ind w:firstLine="420" w:firstLineChars="2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（四）实验室电离辐射安全</w:t>
      </w:r>
    </w:p>
    <w:p w14:paraId="1FA54398">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1．电离辐射安全常识；</w:t>
      </w:r>
    </w:p>
    <w:p w14:paraId="45C39352">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2．实验室电离辐射防护措施；</w:t>
      </w:r>
    </w:p>
    <w:p w14:paraId="705C1BE1">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3．电离辐射安全与防护管理；</w:t>
      </w:r>
    </w:p>
    <w:p w14:paraId="6D0D06D0">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4．电离辐射事故应急措施。</w:t>
      </w:r>
    </w:p>
    <w:p w14:paraId="577AC858">
      <w:pPr>
        <w:spacing w:line="360" w:lineRule="auto"/>
        <w:ind w:firstLine="420" w:firstLineChars="2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（五）实验室特殊仪器设备使用安全</w:t>
      </w:r>
    </w:p>
    <w:p w14:paraId="27F0BC38">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1．高温、高压类仪器设备使用安全；</w:t>
      </w:r>
    </w:p>
    <w:p w14:paraId="4BEA2DD5">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2．高速运转类设备使用安全；</w:t>
      </w:r>
    </w:p>
    <w:p w14:paraId="684F4CCD">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3．强场类仪器设备使用安全；</w:t>
      </w:r>
    </w:p>
    <w:p w14:paraId="4F9E80D3">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4．激光使用安全；</w:t>
      </w:r>
    </w:p>
    <w:p w14:paraId="09BB0970">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5．低温类实验安全。</w:t>
      </w:r>
    </w:p>
    <w:p w14:paraId="412EBC0D">
      <w:pPr>
        <w:spacing w:line="360" w:lineRule="auto"/>
        <w:ind w:firstLine="420" w:firstLineChars="2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（六）实验室事故人员急救</w:t>
      </w:r>
    </w:p>
    <w:p w14:paraId="74093C51">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1．实验室急救箱简介；</w:t>
      </w:r>
    </w:p>
    <w:p w14:paraId="00F39DF1">
      <w:pPr>
        <w:spacing w:line="360" w:lineRule="auto"/>
        <w:ind w:firstLine="840" w:firstLineChars="400"/>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2．常见急救措施；</w:t>
      </w:r>
    </w:p>
    <w:p w14:paraId="70C28F42">
      <w:pPr>
        <w:spacing w:line="360" w:lineRule="auto"/>
        <w:ind w:firstLine="840" w:firstLineChars="400"/>
        <w:rPr>
          <w:rFonts w:hint="eastAsia" w:ascii="Calibri" w:hAnsi="Calibri" w:eastAsia="宋体" w:cs="Times New Roman"/>
          <w:b/>
          <w:sz w:val="21"/>
          <w:szCs w:val="21"/>
        </w:rPr>
      </w:pPr>
      <w:r>
        <w:rPr>
          <w:rFonts w:hint="eastAsia" w:ascii="Calibri" w:hAnsi="Calibri" w:eastAsia="宋体" w:cs="Times New Roman"/>
          <w:color w:val="000000"/>
          <w:sz w:val="21"/>
          <w:szCs w:val="21"/>
        </w:rPr>
        <w:t>3．其他实验室事故急救措施。</w:t>
      </w:r>
    </w:p>
    <w:p w14:paraId="2E7BD7C8">
      <w:pPr>
        <w:spacing w:line="360" w:lineRule="auto"/>
        <w:ind w:firstLine="420" w:firstLineChars="200"/>
        <w:rPr>
          <w:rFonts w:ascii="Calibri" w:hAnsi="Calibri" w:eastAsia="宋体" w:cs="Times New Roman"/>
          <w:sz w:val="21"/>
          <w:szCs w:val="21"/>
        </w:rPr>
      </w:pPr>
      <w:r>
        <w:rPr>
          <w:rFonts w:hint="eastAsia" w:ascii="Calibri" w:hAnsi="Calibri" w:eastAsia="宋体" w:cs="Times New Roman"/>
          <w:sz w:val="21"/>
          <w:szCs w:val="21"/>
        </w:rPr>
        <w:t>教学内容与</w:t>
      </w:r>
      <w:r>
        <w:rPr>
          <w:rFonts w:ascii="Calibri" w:hAnsi="Calibri" w:eastAsia="宋体" w:cs="Times New Roman"/>
          <w:sz w:val="21"/>
          <w:szCs w:val="21"/>
        </w:rPr>
        <w:t>课程目标的</w:t>
      </w:r>
      <w:r>
        <w:rPr>
          <w:rFonts w:hint="eastAsia" w:ascii="Calibri" w:hAnsi="Calibri" w:eastAsia="宋体" w:cs="Times New Roman"/>
          <w:sz w:val="21"/>
          <w:szCs w:val="21"/>
        </w:rPr>
        <w:t>对应关系及</w:t>
      </w:r>
      <w:r>
        <w:rPr>
          <w:rFonts w:ascii="Calibri" w:hAnsi="Calibri" w:eastAsia="宋体" w:cs="Times New Roman"/>
          <w:sz w:val="21"/>
          <w:szCs w:val="21"/>
        </w:rPr>
        <w:t>学时分配</w:t>
      </w:r>
      <w:r>
        <w:rPr>
          <w:rFonts w:hint="eastAsia" w:ascii="Calibri" w:hAnsi="Calibri" w:eastAsia="宋体" w:cs="Times New Roman"/>
          <w:sz w:val="21"/>
          <w:szCs w:val="21"/>
        </w:rPr>
        <w:t>如表2所示。</w:t>
      </w:r>
    </w:p>
    <w:p w14:paraId="4921C147">
      <w:pPr>
        <w:spacing w:line="360" w:lineRule="auto"/>
        <w:jc w:val="center"/>
        <w:rPr>
          <w:rFonts w:ascii="Calibri" w:hAnsi="Calibri" w:eastAsia="宋体" w:cs="Times New Roman"/>
          <w:sz w:val="21"/>
          <w:szCs w:val="21"/>
        </w:rPr>
      </w:pPr>
      <w:r>
        <w:rPr>
          <w:rFonts w:ascii="Calibri" w:hAnsi="Calibri" w:eastAsia="宋体" w:cs="Times New Roman"/>
          <w:sz w:val="21"/>
          <w:szCs w:val="21"/>
        </w:rPr>
        <w:t>表2  教学内容与课程目标的对应关系及学时分配表</w:t>
      </w:r>
    </w:p>
    <w:tbl>
      <w:tblPr>
        <w:tblStyle w:val="15"/>
        <w:tblW w:w="903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3077"/>
        <w:gridCol w:w="1061"/>
        <w:gridCol w:w="1703"/>
        <w:gridCol w:w="783"/>
        <w:gridCol w:w="707"/>
        <w:gridCol w:w="1060"/>
      </w:tblGrid>
      <w:tr w14:paraId="3795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4F2D4B">
            <w:pPr>
              <w:widowControl/>
              <w:adjustRightInd w:val="0"/>
              <w:snapToGrid w:val="0"/>
              <w:jc w:val="center"/>
              <w:rPr>
                <w:rFonts w:ascii="Calibri" w:hAnsi="Calibri" w:eastAsia="宋体" w:cs="Times New Roman"/>
                <w:b/>
                <w:bCs/>
                <w:sz w:val="21"/>
                <w:szCs w:val="21"/>
              </w:rPr>
            </w:pPr>
            <w:r>
              <w:rPr>
                <w:rFonts w:ascii="Calibri" w:hAnsi="Calibri" w:eastAsia="宋体" w:cs="Times New Roman"/>
                <w:b/>
                <w:bCs/>
                <w:sz w:val="21"/>
                <w:szCs w:val="21"/>
              </w:rPr>
              <w:t>序号</w:t>
            </w:r>
          </w:p>
        </w:tc>
        <w:tc>
          <w:tcPr>
            <w:tcW w:w="307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089CCB7">
            <w:pPr>
              <w:widowControl/>
              <w:adjustRightInd w:val="0"/>
              <w:snapToGrid w:val="0"/>
              <w:jc w:val="center"/>
              <w:rPr>
                <w:rFonts w:ascii="Calibri" w:hAnsi="Calibri" w:eastAsia="宋体" w:cs="Times New Roman"/>
                <w:b/>
                <w:bCs/>
                <w:sz w:val="21"/>
                <w:szCs w:val="21"/>
              </w:rPr>
            </w:pPr>
            <w:r>
              <w:rPr>
                <w:rFonts w:ascii="Calibri" w:hAnsi="Calibri" w:eastAsia="宋体" w:cs="Times New Roman"/>
                <w:b/>
                <w:bCs/>
                <w:sz w:val="21"/>
                <w:szCs w:val="21"/>
              </w:rPr>
              <w:t>教学内容</w:t>
            </w:r>
          </w:p>
        </w:tc>
        <w:tc>
          <w:tcPr>
            <w:tcW w:w="10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D8F631">
            <w:pPr>
              <w:widowControl/>
              <w:adjustRightInd w:val="0"/>
              <w:snapToGrid w:val="0"/>
              <w:jc w:val="center"/>
              <w:rPr>
                <w:rFonts w:ascii="Calibri" w:hAnsi="Calibri" w:eastAsia="宋体" w:cs="Times New Roman"/>
                <w:b/>
                <w:bCs/>
                <w:sz w:val="21"/>
                <w:szCs w:val="21"/>
              </w:rPr>
            </w:pPr>
            <w:r>
              <w:rPr>
                <w:rFonts w:ascii="Calibri" w:hAnsi="Calibri" w:eastAsia="宋体" w:cs="Times New Roman"/>
                <w:b/>
                <w:bCs/>
                <w:sz w:val="21"/>
                <w:szCs w:val="21"/>
              </w:rPr>
              <w:t>支撑的课程目标</w:t>
            </w:r>
          </w:p>
        </w:tc>
        <w:tc>
          <w:tcPr>
            <w:tcW w:w="17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9BB238">
            <w:pPr>
              <w:widowControl/>
              <w:adjustRightInd w:val="0"/>
              <w:snapToGrid w:val="0"/>
              <w:jc w:val="center"/>
              <w:rPr>
                <w:rFonts w:ascii="Calibri" w:hAnsi="Calibri" w:eastAsia="宋体" w:cs="Times New Roman"/>
                <w:b/>
                <w:bCs/>
                <w:sz w:val="21"/>
                <w:szCs w:val="21"/>
              </w:rPr>
            </w:pPr>
            <w:r>
              <w:rPr>
                <w:rFonts w:ascii="Calibri" w:hAnsi="Calibri" w:eastAsia="宋体" w:cs="Times New Roman"/>
                <w:b/>
                <w:bCs/>
                <w:sz w:val="21"/>
                <w:szCs w:val="21"/>
              </w:rPr>
              <w:t>支撑的毕业要求</w:t>
            </w:r>
          </w:p>
          <w:p w14:paraId="2E2DF3FD">
            <w:pPr>
              <w:widowControl/>
              <w:adjustRightInd w:val="0"/>
              <w:snapToGrid w:val="0"/>
              <w:jc w:val="center"/>
              <w:rPr>
                <w:rFonts w:ascii="Calibri" w:hAnsi="Calibri" w:eastAsia="宋体" w:cs="Times New Roman"/>
                <w:b/>
                <w:bCs/>
                <w:sz w:val="21"/>
                <w:szCs w:val="21"/>
              </w:rPr>
            </w:pPr>
            <w:r>
              <w:rPr>
                <w:rFonts w:hint="eastAsia" w:ascii="Calibri" w:hAnsi="Calibri" w:eastAsia="宋体" w:cs="Times New Roman"/>
                <w:b/>
                <w:bCs/>
                <w:sz w:val="21"/>
                <w:szCs w:val="21"/>
              </w:rPr>
              <w:t>观测</w:t>
            </w:r>
            <w:r>
              <w:rPr>
                <w:rFonts w:ascii="Calibri" w:hAnsi="Calibri" w:eastAsia="宋体" w:cs="Times New Roman"/>
                <w:b/>
                <w:bCs/>
                <w:sz w:val="21"/>
                <w:szCs w:val="21"/>
              </w:rPr>
              <w:t>点</w:t>
            </w:r>
          </w:p>
        </w:tc>
        <w:tc>
          <w:tcPr>
            <w:tcW w:w="78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534F27">
            <w:pPr>
              <w:widowControl/>
              <w:adjustRightInd w:val="0"/>
              <w:snapToGrid w:val="0"/>
              <w:jc w:val="center"/>
              <w:rPr>
                <w:rFonts w:ascii="Calibri" w:hAnsi="Calibri" w:eastAsia="宋体" w:cs="Times New Roman"/>
                <w:b/>
                <w:bCs/>
                <w:sz w:val="21"/>
                <w:szCs w:val="21"/>
              </w:rPr>
            </w:pPr>
            <w:r>
              <w:rPr>
                <w:rFonts w:ascii="Calibri" w:hAnsi="Calibri" w:eastAsia="宋体" w:cs="Times New Roman"/>
                <w:b/>
                <w:bCs/>
                <w:sz w:val="21"/>
                <w:szCs w:val="21"/>
              </w:rPr>
              <w:t>讲授学时</w:t>
            </w:r>
          </w:p>
        </w:tc>
        <w:tc>
          <w:tcPr>
            <w:tcW w:w="70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8971B9">
            <w:pPr>
              <w:widowControl/>
              <w:adjustRightInd w:val="0"/>
              <w:snapToGrid w:val="0"/>
              <w:jc w:val="center"/>
              <w:rPr>
                <w:rFonts w:ascii="Calibri" w:hAnsi="Calibri" w:eastAsia="宋体" w:cs="Times New Roman"/>
                <w:b/>
                <w:bCs/>
                <w:sz w:val="21"/>
                <w:szCs w:val="21"/>
              </w:rPr>
            </w:pPr>
            <w:r>
              <w:rPr>
                <w:rFonts w:ascii="Calibri" w:hAnsi="Calibri" w:eastAsia="宋体" w:cs="Times New Roman"/>
                <w:b/>
                <w:bCs/>
                <w:sz w:val="21"/>
                <w:szCs w:val="21"/>
              </w:rPr>
              <w:t>实验学时</w:t>
            </w:r>
          </w:p>
        </w:tc>
        <w:tc>
          <w:tcPr>
            <w:tcW w:w="1060"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792FD8D5">
            <w:pPr>
              <w:widowControl/>
              <w:adjustRightInd w:val="0"/>
              <w:snapToGrid w:val="0"/>
              <w:jc w:val="center"/>
              <w:rPr>
                <w:rFonts w:ascii="Calibri" w:hAnsi="Calibri" w:eastAsia="宋体" w:cs="Times New Roman"/>
                <w:b/>
                <w:bCs/>
                <w:sz w:val="21"/>
                <w:szCs w:val="21"/>
              </w:rPr>
            </w:pPr>
            <w:r>
              <w:rPr>
                <w:rFonts w:hint="eastAsia" w:ascii="Calibri" w:hAnsi="Calibri" w:eastAsia="宋体" w:cs="Times New Roman"/>
                <w:b/>
                <w:bCs/>
                <w:sz w:val="21"/>
                <w:szCs w:val="21"/>
              </w:rPr>
              <w:t>课程思政融入点</w:t>
            </w:r>
          </w:p>
        </w:tc>
      </w:tr>
      <w:tr w14:paraId="7816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645" w:type="dxa"/>
            <w:tcBorders>
              <w:top w:val="single" w:color="auto" w:sz="4" w:space="0"/>
              <w:left w:val="single" w:color="auto" w:sz="4" w:space="0"/>
              <w:bottom w:val="single" w:color="auto" w:sz="4" w:space="0"/>
              <w:right w:val="single" w:color="auto" w:sz="4" w:space="0"/>
            </w:tcBorders>
            <w:noWrap w:val="0"/>
            <w:vAlign w:val="center"/>
          </w:tcPr>
          <w:p w14:paraId="4A1A1A32">
            <w:pPr>
              <w:widowControl/>
              <w:adjustRightInd w:val="0"/>
              <w:snapToGrid w:val="0"/>
              <w:jc w:val="center"/>
              <w:rPr>
                <w:rFonts w:ascii="Calibri" w:hAnsi="Calibri" w:eastAsia="宋体" w:cs="Times New Roman"/>
                <w:sz w:val="21"/>
                <w:szCs w:val="21"/>
              </w:rPr>
            </w:pPr>
            <w:r>
              <w:rPr>
                <w:rFonts w:ascii="Calibri" w:hAnsi="Calibri" w:eastAsia="宋体" w:cs="Times New Roman"/>
                <w:sz w:val="21"/>
                <w:szCs w:val="21"/>
              </w:rPr>
              <w:t>1</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720FB35B">
            <w:pPr>
              <w:widowControl/>
              <w:adjustRightInd w:val="0"/>
              <w:snapToGrid w:val="0"/>
              <w:jc w:val="left"/>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学生登录“实验室安全教育与考试系统平台”，浏览“在线学习”栏目进行在线学习、练习。</w:t>
            </w:r>
          </w:p>
        </w:tc>
        <w:tc>
          <w:tcPr>
            <w:tcW w:w="1061" w:type="dxa"/>
            <w:tcBorders>
              <w:top w:val="single" w:color="auto" w:sz="4" w:space="0"/>
              <w:left w:val="single" w:color="auto" w:sz="4" w:space="0"/>
              <w:bottom w:val="single" w:color="auto" w:sz="4" w:space="0"/>
              <w:right w:val="single" w:color="auto" w:sz="4" w:space="0"/>
            </w:tcBorders>
            <w:noWrap w:val="0"/>
            <w:vAlign w:val="center"/>
          </w:tcPr>
          <w:p w14:paraId="5F407BEA">
            <w:pPr>
              <w:widowControl/>
              <w:adjustRightInd w:val="0"/>
              <w:snapToGrid w:val="0"/>
              <w:jc w:val="center"/>
              <w:rPr>
                <w:rFonts w:ascii="Calibri" w:hAnsi="Calibri" w:eastAsia="宋体" w:cs="Times New Roman"/>
                <w:color w:val="000000"/>
                <w:sz w:val="21"/>
                <w:szCs w:val="21"/>
              </w:rPr>
            </w:pPr>
            <w:r>
              <w:rPr>
                <w:rFonts w:hint="eastAsia" w:ascii="Calibri" w:hAnsi="Calibri" w:eastAsia="宋体" w:cs="Times New Roman"/>
                <w:color w:val="000000"/>
                <w:sz w:val="21"/>
                <w:szCs w:val="21"/>
              </w:rPr>
              <w:t>1</w:t>
            </w:r>
          </w:p>
        </w:tc>
        <w:tc>
          <w:tcPr>
            <w:tcW w:w="1703" w:type="dxa"/>
            <w:tcBorders>
              <w:top w:val="single" w:color="auto" w:sz="4" w:space="0"/>
              <w:left w:val="single" w:color="auto" w:sz="4" w:space="0"/>
              <w:bottom w:val="single" w:color="auto" w:sz="4" w:space="0"/>
              <w:right w:val="single" w:color="auto" w:sz="4" w:space="0"/>
            </w:tcBorders>
            <w:noWrap w:val="0"/>
            <w:vAlign w:val="center"/>
          </w:tcPr>
          <w:p w14:paraId="1EC83603">
            <w:pPr>
              <w:widowControl/>
              <w:adjustRightInd w:val="0"/>
              <w:snapToGrid w:val="0"/>
              <w:jc w:val="center"/>
              <w:rPr>
                <w:rFonts w:hint="default"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2-3</w:t>
            </w:r>
          </w:p>
        </w:tc>
        <w:tc>
          <w:tcPr>
            <w:tcW w:w="783" w:type="dxa"/>
            <w:tcBorders>
              <w:top w:val="single" w:color="auto" w:sz="4" w:space="0"/>
              <w:left w:val="single" w:color="auto" w:sz="4" w:space="0"/>
              <w:bottom w:val="single" w:color="auto" w:sz="4" w:space="0"/>
              <w:right w:val="single" w:color="auto" w:sz="4" w:space="0"/>
            </w:tcBorders>
            <w:noWrap w:val="0"/>
            <w:vAlign w:val="center"/>
          </w:tcPr>
          <w:p w14:paraId="52AB6838">
            <w:pPr>
              <w:widowControl/>
              <w:adjustRightInd w:val="0"/>
              <w:snapToGrid w:val="0"/>
              <w:jc w:val="center"/>
              <w:rPr>
                <w:rFonts w:ascii="Calibri" w:hAnsi="Calibri" w:eastAsia="宋体" w:cs="Times New Roman"/>
                <w:sz w:val="21"/>
                <w:szCs w:val="21"/>
              </w:rPr>
            </w:pPr>
            <w:r>
              <w:rPr>
                <w:rFonts w:hint="eastAsia" w:ascii="Calibri" w:hAnsi="Calibri" w:eastAsia="宋体" w:cs="Times New Roman"/>
                <w:sz w:val="21"/>
                <w:szCs w:val="21"/>
              </w:rPr>
              <w:t>8</w:t>
            </w:r>
          </w:p>
        </w:tc>
        <w:tc>
          <w:tcPr>
            <w:tcW w:w="707" w:type="dxa"/>
            <w:tcBorders>
              <w:top w:val="single" w:color="auto" w:sz="4" w:space="0"/>
              <w:left w:val="single" w:color="auto" w:sz="4" w:space="0"/>
              <w:bottom w:val="single" w:color="auto" w:sz="4" w:space="0"/>
              <w:right w:val="single" w:color="auto" w:sz="4" w:space="0"/>
            </w:tcBorders>
            <w:noWrap w:val="0"/>
            <w:vAlign w:val="center"/>
          </w:tcPr>
          <w:p w14:paraId="560CD07E">
            <w:pPr>
              <w:widowControl/>
              <w:adjustRightInd w:val="0"/>
              <w:snapToGrid w:val="0"/>
              <w:jc w:val="center"/>
              <w:rPr>
                <w:rFonts w:ascii="Calibri" w:hAnsi="Calibri" w:eastAsia="宋体" w:cs="Times New Roman"/>
                <w:sz w:val="21"/>
                <w:szCs w:val="21"/>
              </w:rPr>
            </w:pPr>
            <w:r>
              <w:rPr>
                <w:rFonts w:hint="eastAsia" w:ascii="Calibri" w:hAnsi="Calibri" w:eastAsia="宋体" w:cs="Times New Roman"/>
                <w:sz w:val="21"/>
                <w:szCs w:val="21"/>
              </w:rPr>
              <w:t>0</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7BC8818F">
            <w:pPr>
              <w:widowControl/>
              <w:adjustRightInd w:val="0"/>
              <w:snapToGrid w:val="0"/>
              <w:jc w:val="center"/>
              <w:rPr>
                <w:rFonts w:ascii="Calibri" w:hAnsi="Calibri" w:eastAsia="宋体" w:cs="Times New Roman"/>
                <w:sz w:val="21"/>
                <w:szCs w:val="21"/>
              </w:rPr>
            </w:pPr>
            <w:r>
              <w:rPr>
                <w:rFonts w:ascii="Calibri" w:hAnsi="Calibri" w:eastAsia="宋体" w:cs="Times New Roman"/>
                <w:sz w:val="21"/>
                <w:szCs w:val="21"/>
              </w:rPr>
              <w:t>（</w:t>
            </w:r>
            <w:r>
              <w:rPr>
                <w:rFonts w:hint="eastAsia" w:ascii="Calibri" w:hAnsi="Calibri" w:eastAsia="宋体" w:cs="Times New Roman"/>
                <w:sz w:val="21"/>
                <w:szCs w:val="21"/>
              </w:rPr>
              <w:t>1</w:t>
            </w:r>
            <w:r>
              <w:rPr>
                <w:rFonts w:ascii="Calibri" w:hAnsi="Calibri" w:eastAsia="宋体" w:cs="Times New Roman"/>
                <w:sz w:val="21"/>
                <w:szCs w:val="21"/>
              </w:rPr>
              <w:t>）（</w:t>
            </w:r>
            <w:r>
              <w:rPr>
                <w:rFonts w:hint="eastAsia" w:ascii="Calibri" w:hAnsi="Calibri" w:eastAsia="宋体" w:cs="Times New Roman"/>
                <w:sz w:val="21"/>
                <w:szCs w:val="21"/>
              </w:rPr>
              <w:t>2</w:t>
            </w:r>
            <w:r>
              <w:rPr>
                <w:rFonts w:ascii="Calibri" w:hAnsi="Calibri" w:eastAsia="宋体" w:cs="Times New Roman"/>
                <w:sz w:val="21"/>
                <w:szCs w:val="21"/>
              </w:rPr>
              <w:t>）</w:t>
            </w:r>
          </w:p>
        </w:tc>
      </w:tr>
      <w:tr w14:paraId="4FF2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645" w:type="dxa"/>
            <w:tcBorders>
              <w:top w:val="single" w:color="auto" w:sz="4" w:space="0"/>
              <w:left w:val="single" w:color="auto" w:sz="4" w:space="0"/>
              <w:bottom w:val="single" w:color="auto" w:sz="4" w:space="0"/>
              <w:right w:val="single" w:color="auto" w:sz="4" w:space="0"/>
            </w:tcBorders>
            <w:noWrap w:val="0"/>
            <w:vAlign w:val="center"/>
          </w:tcPr>
          <w:p w14:paraId="2E1FFAB2">
            <w:pPr>
              <w:widowControl/>
              <w:adjustRightInd w:val="0"/>
              <w:snapToGrid w:val="0"/>
              <w:jc w:val="center"/>
              <w:rPr>
                <w:rFonts w:ascii="Calibri" w:hAnsi="Calibri" w:eastAsia="宋体" w:cs="Times New Roman"/>
                <w:sz w:val="21"/>
                <w:szCs w:val="21"/>
              </w:rPr>
            </w:pPr>
            <w:r>
              <w:rPr>
                <w:rFonts w:ascii="Calibri" w:hAnsi="Calibri" w:eastAsia="宋体" w:cs="Times New Roman"/>
                <w:sz w:val="21"/>
                <w:szCs w:val="21"/>
              </w:rPr>
              <w:t>2</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2920C448">
            <w:pPr>
              <w:widowControl/>
              <w:adjustRightInd w:val="0"/>
              <w:snapToGrid w:val="0"/>
              <w:jc w:val="left"/>
              <w:rPr>
                <w:rFonts w:ascii="Calibri" w:hAnsi="Calibri" w:eastAsia="宋体" w:cs="Times New Roman"/>
                <w:color w:val="000000"/>
                <w:sz w:val="21"/>
                <w:szCs w:val="21"/>
              </w:rPr>
            </w:pPr>
            <w:r>
              <w:rPr>
                <w:rFonts w:ascii="Calibri" w:hAnsi="Calibri" w:eastAsia="宋体" w:cs="Times New Roman"/>
                <w:color w:val="000000"/>
                <w:sz w:val="21"/>
                <w:szCs w:val="21"/>
              </w:rPr>
              <w:t>在线考核</w:t>
            </w:r>
          </w:p>
        </w:tc>
        <w:tc>
          <w:tcPr>
            <w:tcW w:w="1061" w:type="dxa"/>
            <w:tcBorders>
              <w:top w:val="single" w:color="auto" w:sz="4" w:space="0"/>
              <w:left w:val="single" w:color="auto" w:sz="4" w:space="0"/>
              <w:bottom w:val="single" w:color="auto" w:sz="4" w:space="0"/>
              <w:right w:val="single" w:color="auto" w:sz="4" w:space="0"/>
            </w:tcBorders>
            <w:noWrap w:val="0"/>
            <w:vAlign w:val="center"/>
          </w:tcPr>
          <w:p w14:paraId="30C63058">
            <w:pPr>
              <w:widowControl/>
              <w:adjustRightInd w:val="0"/>
              <w:snapToGrid w:val="0"/>
              <w:jc w:val="center"/>
              <w:rPr>
                <w:rFonts w:ascii="Calibri" w:hAnsi="Calibri" w:eastAsia="宋体" w:cs="Times New Roman"/>
                <w:color w:val="000000"/>
                <w:sz w:val="21"/>
                <w:szCs w:val="21"/>
              </w:rPr>
            </w:pPr>
            <w:r>
              <w:rPr>
                <w:rFonts w:hint="eastAsia" w:ascii="Calibri" w:hAnsi="Calibri" w:eastAsia="宋体" w:cs="Times New Roman"/>
                <w:color w:val="000000"/>
                <w:sz w:val="21"/>
                <w:szCs w:val="21"/>
              </w:rPr>
              <w:t>1</w:t>
            </w:r>
          </w:p>
        </w:tc>
        <w:tc>
          <w:tcPr>
            <w:tcW w:w="1703" w:type="dxa"/>
            <w:tcBorders>
              <w:top w:val="single" w:color="auto" w:sz="4" w:space="0"/>
              <w:left w:val="single" w:color="auto" w:sz="4" w:space="0"/>
              <w:bottom w:val="single" w:color="auto" w:sz="4" w:space="0"/>
              <w:right w:val="single" w:color="auto" w:sz="4" w:space="0"/>
            </w:tcBorders>
            <w:noWrap w:val="0"/>
            <w:vAlign w:val="center"/>
          </w:tcPr>
          <w:p w14:paraId="0F6351B5">
            <w:pPr>
              <w:widowControl/>
              <w:adjustRightInd w:val="0"/>
              <w:snapToGrid w:val="0"/>
              <w:jc w:val="center"/>
              <w:rPr>
                <w:rFonts w:hint="default"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2-3</w:t>
            </w:r>
          </w:p>
        </w:tc>
        <w:tc>
          <w:tcPr>
            <w:tcW w:w="783" w:type="dxa"/>
            <w:tcBorders>
              <w:top w:val="single" w:color="auto" w:sz="4" w:space="0"/>
              <w:left w:val="single" w:color="auto" w:sz="4" w:space="0"/>
              <w:bottom w:val="single" w:color="auto" w:sz="4" w:space="0"/>
              <w:right w:val="single" w:color="auto" w:sz="4" w:space="0"/>
            </w:tcBorders>
            <w:noWrap w:val="0"/>
            <w:vAlign w:val="center"/>
          </w:tcPr>
          <w:p w14:paraId="47041F3D">
            <w:pPr>
              <w:widowControl/>
              <w:adjustRightInd w:val="0"/>
              <w:snapToGrid w:val="0"/>
              <w:jc w:val="center"/>
              <w:rPr>
                <w:rFonts w:ascii="Calibri" w:hAnsi="Calibri" w:eastAsia="宋体" w:cs="Times New Roman"/>
                <w:sz w:val="21"/>
                <w:szCs w:val="21"/>
              </w:rPr>
            </w:pPr>
            <w:r>
              <w:rPr>
                <w:rFonts w:hint="eastAsia" w:ascii="Calibri" w:hAnsi="Calibri" w:eastAsia="宋体" w:cs="Times New Roman"/>
                <w:sz w:val="21"/>
                <w:szCs w:val="21"/>
              </w:rPr>
              <w:t>0</w:t>
            </w:r>
          </w:p>
        </w:tc>
        <w:tc>
          <w:tcPr>
            <w:tcW w:w="707" w:type="dxa"/>
            <w:tcBorders>
              <w:top w:val="single" w:color="auto" w:sz="4" w:space="0"/>
              <w:left w:val="single" w:color="auto" w:sz="4" w:space="0"/>
              <w:bottom w:val="single" w:color="auto" w:sz="4" w:space="0"/>
              <w:right w:val="single" w:color="auto" w:sz="4" w:space="0"/>
            </w:tcBorders>
            <w:noWrap w:val="0"/>
            <w:vAlign w:val="center"/>
          </w:tcPr>
          <w:p w14:paraId="177131AC">
            <w:pPr>
              <w:widowControl/>
              <w:adjustRightInd w:val="0"/>
              <w:snapToGrid w:val="0"/>
              <w:jc w:val="center"/>
              <w:rPr>
                <w:rFonts w:ascii="Calibri" w:hAnsi="Calibri" w:eastAsia="宋体" w:cs="Times New Roman"/>
                <w:sz w:val="21"/>
                <w:szCs w:val="21"/>
              </w:rPr>
            </w:pPr>
            <w:r>
              <w:rPr>
                <w:rFonts w:hint="eastAsia" w:ascii="Calibri" w:hAnsi="Calibri" w:eastAsia="宋体" w:cs="Times New Roman"/>
                <w:sz w:val="21"/>
                <w:szCs w:val="21"/>
              </w:rPr>
              <w:t>0</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734316F5">
            <w:pPr>
              <w:widowControl/>
              <w:adjustRightInd w:val="0"/>
              <w:snapToGrid w:val="0"/>
              <w:jc w:val="center"/>
              <w:rPr>
                <w:rFonts w:ascii="Calibri" w:hAnsi="Calibri" w:eastAsia="宋体" w:cs="Times New Roman"/>
                <w:sz w:val="21"/>
                <w:szCs w:val="21"/>
              </w:rPr>
            </w:pPr>
            <w:r>
              <w:rPr>
                <w:rFonts w:ascii="Calibri" w:hAnsi="Calibri" w:eastAsia="宋体" w:cs="Times New Roman"/>
                <w:sz w:val="21"/>
                <w:szCs w:val="21"/>
              </w:rPr>
              <w:t>（</w:t>
            </w:r>
            <w:r>
              <w:rPr>
                <w:rFonts w:hint="eastAsia" w:ascii="Calibri" w:hAnsi="Calibri" w:eastAsia="宋体" w:cs="Times New Roman"/>
                <w:sz w:val="21"/>
                <w:szCs w:val="21"/>
              </w:rPr>
              <w:t>1</w:t>
            </w:r>
            <w:r>
              <w:rPr>
                <w:rFonts w:ascii="Calibri" w:hAnsi="Calibri" w:eastAsia="宋体" w:cs="Times New Roman"/>
                <w:sz w:val="21"/>
                <w:szCs w:val="21"/>
              </w:rPr>
              <w:t>）（</w:t>
            </w:r>
            <w:r>
              <w:rPr>
                <w:rFonts w:hint="eastAsia" w:ascii="Calibri" w:hAnsi="Calibri" w:eastAsia="宋体" w:cs="Times New Roman"/>
                <w:sz w:val="21"/>
                <w:szCs w:val="21"/>
              </w:rPr>
              <w:t>2</w:t>
            </w:r>
            <w:r>
              <w:rPr>
                <w:rFonts w:ascii="Calibri" w:hAnsi="Calibri" w:eastAsia="宋体" w:cs="Times New Roman"/>
                <w:sz w:val="21"/>
                <w:szCs w:val="21"/>
              </w:rPr>
              <w:t>）</w:t>
            </w:r>
          </w:p>
        </w:tc>
      </w:tr>
      <w:tr w14:paraId="53EA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486" w:type="dxa"/>
            <w:gridSpan w:val="4"/>
            <w:tcBorders>
              <w:top w:val="single" w:color="auto" w:sz="4" w:space="0"/>
              <w:left w:val="single" w:color="auto" w:sz="4" w:space="0"/>
              <w:bottom w:val="single" w:color="auto" w:sz="4" w:space="0"/>
              <w:right w:val="single" w:color="auto" w:sz="4" w:space="0"/>
            </w:tcBorders>
            <w:noWrap w:val="0"/>
            <w:vAlign w:val="center"/>
          </w:tcPr>
          <w:p w14:paraId="0D925A46">
            <w:pPr>
              <w:widowControl/>
              <w:adjustRightInd w:val="0"/>
              <w:snapToGrid w:val="0"/>
              <w:jc w:val="center"/>
              <w:rPr>
                <w:rFonts w:ascii="Calibri" w:hAnsi="Calibri" w:eastAsia="宋体" w:cs="Times New Roman"/>
                <w:sz w:val="21"/>
                <w:szCs w:val="21"/>
              </w:rPr>
            </w:pPr>
            <w:r>
              <w:rPr>
                <w:rFonts w:ascii="Calibri" w:hAnsi="Calibri" w:eastAsia="宋体" w:cs="Times New Roman"/>
                <w:sz w:val="21"/>
                <w:szCs w:val="21"/>
              </w:rPr>
              <w:t>合 计</w:t>
            </w:r>
          </w:p>
        </w:tc>
        <w:tc>
          <w:tcPr>
            <w:tcW w:w="783" w:type="dxa"/>
            <w:tcBorders>
              <w:top w:val="single" w:color="auto" w:sz="4" w:space="0"/>
              <w:left w:val="single" w:color="auto" w:sz="4" w:space="0"/>
              <w:bottom w:val="single" w:color="auto" w:sz="4" w:space="0"/>
              <w:right w:val="single" w:color="auto" w:sz="4" w:space="0"/>
            </w:tcBorders>
            <w:noWrap w:val="0"/>
            <w:vAlign w:val="center"/>
          </w:tcPr>
          <w:p w14:paraId="59CFD4A3">
            <w:pPr>
              <w:widowControl/>
              <w:adjustRightInd w:val="0"/>
              <w:snapToGrid w:val="0"/>
              <w:jc w:val="center"/>
              <w:rPr>
                <w:rFonts w:ascii="Calibri" w:hAnsi="Calibri" w:eastAsia="宋体" w:cs="Times New Roman"/>
                <w:sz w:val="21"/>
                <w:szCs w:val="21"/>
              </w:rPr>
            </w:pPr>
            <w:r>
              <w:rPr>
                <w:rFonts w:hint="eastAsia" w:ascii="Calibri" w:hAnsi="Calibri" w:eastAsia="宋体" w:cs="Times New Roman"/>
                <w:sz w:val="21"/>
                <w:szCs w:val="21"/>
              </w:rPr>
              <w:t>8</w:t>
            </w:r>
          </w:p>
        </w:tc>
        <w:tc>
          <w:tcPr>
            <w:tcW w:w="707" w:type="dxa"/>
            <w:tcBorders>
              <w:top w:val="single" w:color="auto" w:sz="4" w:space="0"/>
              <w:left w:val="single" w:color="auto" w:sz="4" w:space="0"/>
              <w:bottom w:val="single" w:color="auto" w:sz="4" w:space="0"/>
              <w:right w:val="single" w:color="auto" w:sz="4" w:space="0"/>
            </w:tcBorders>
            <w:noWrap w:val="0"/>
            <w:vAlign w:val="center"/>
          </w:tcPr>
          <w:p w14:paraId="63B7FBFA">
            <w:pPr>
              <w:widowControl/>
              <w:adjustRightInd w:val="0"/>
              <w:snapToGrid w:val="0"/>
              <w:jc w:val="center"/>
              <w:rPr>
                <w:rFonts w:ascii="Calibri" w:hAnsi="Calibri" w:eastAsia="宋体" w:cs="Times New Roman"/>
                <w:sz w:val="21"/>
                <w:szCs w:val="21"/>
              </w:rPr>
            </w:pPr>
            <w:r>
              <w:rPr>
                <w:rFonts w:hint="eastAsia" w:ascii="Calibri" w:hAnsi="Calibri" w:eastAsia="宋体" w:cs="Times New Roman"/>
                <w:sz w:val="21"/>
                <w:szCs w:val="21"/>
              </w:rPr>
              <w:t>0</w:t>
            </w:r>
          </w:p>
        </w:tc>
        <w:tc>
          <w:tcPr>
            <w:tcW w:w="1060" w:type="dxa"/>
            <w:tcBorders>
              <w:top w:val="single" w:color="auto" w:sz="4" w:space="0"/>
              <w:left w:val="single" w:color="auto" w:sz="4" w:space="0"/>
              <w:bottom w:val="single" w:color="auto" w:sz="4" w:space="0"/>
              <w:right w:val="single" w:color="auto" w:sz="4" w:space="0"/>
            </w:tcBorders>
            <w:noWrap w:val="0"/>
            <w:vAlign w:val="top"/>
          </w:tcPr>
          <w:p w14:paraId="6888B2BC">
            <w:pPr>
              <w:widowControl/>
              <w:adjustRightInd w:val="0"/>
              <w:snapToGrid w:val="0"/>
              <w:jc w:val="center"/>
              <w:rPr>
                <w:rFonts w:ascii="Calibri" w:hAnsi="Calibri" w:eastAsia="宋体" w:cs="Times New Roman"/>
                <w:sz w:val="21"/>
                <w:szCs w:val="21"/>
              </w:rPr>
            </w:pPr>
          </w:p>
        </w:tc>
      </w:tr>
    </w:tbl>
    <w:p w14:paraId="0EDC73AD">
      <w:pPr>
        <w:snapToGrid w:val="0"/>
        <w:spacing w:line="360" w:lineRule="auto"/>
        <w:ind w:firstLine="482" w:firstLineChars="200"/>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四</w:t>
      </w:r>
      <w:r>
        <w:rPr>
          <w:rFonts w:hint="eastAsia" w:ascii="Times New Roman" w:hAnsi="Times New Roman" w:eastAsia="宋体" w:cs="Times New Roman"/>
          <w:b/>
          <w:sz w:val="24"/>
          <w:szCs w:val="24"/>
        </w:rPr>
        <w:t>、课程实施</w:t>
      </w:r>
    </w:p>
    <w:p w14:paraId="74BC0853">
      <w:pPr>
        <w:snapToGrid w:val="0"/>
        <w:spacing w:line="360" w:lineRule="auto"/>
        <w:ind w:firstLine="422" w:firstLineChars="200"/>
        <w:rPr>
          <w:rFonts w:ascii="Calibri" w:hAnsi="Calibri" w:eastAsia="宋体" w:cs="Times New Roman"/>
          <w:b/>
          <w:sz w:val="21"/>
          <w:szCs w:val="21"/>
        </w:rPr>
      </w:pPr>
      <w:r>
        <w:rPr>
          <w:rFonts w:hint="eastAsia" w:ascii="Calibri" w:hAnsi="Calibri" w:eastAsia="宋体" w:cs="Times New Roman"/>
          <w:b/>
          <w:sz w:val="21"/>
          <w:szCs w:val="21"/>
        </w:rPr>
        <w:t>（一）教学方法与教学手段</w:t>
      </w:r>
    </w:p>
    <w:p w14:paraId="590187C7">
      <w:pPr>
        <w:snapToGrid w:val="0"/>
        <w:spacing w:line="360" w:lineRule="auto"/>
        <w:ind w:firstLine="420" w:firstLineChars="200"/>
        <w:rPr>
          <w:rFonts w:ascii="Calibri" w:hAnsi="Calibri" w:eastAsia="宋体" w:cs="Times New Roman"/>
          <w:bCs/>
          <w:sz w:val="21"/>
          <w:szCs w:val="21"/>
        </w:rPr>
      </w:pPr>
      <w:r>
        <w:rPr>
          <w:rFonts w:hint="eastAsia" w:ascii="Calibri" w:hAnsi="Calibri" w:eastAsia="宋体" w:cs="Times New Roman"/>
          <w:bCs/>
          <w:sz w:val="21"/>
          <w:szCs w:val="21"/>
        </w:rPr>
        <w:t>1</w:t>
      </w:r>
      <w:r>
        <w:rPr>
          <w:rFonts w:ascii="Calibri" w:hAnsi="Calibri" w:eastAsia="宋体" w:cs="Times New Roman"/>
          <w:bCs/>
          <w:sz w:val="21"/>
          <w:szCs w:val="21"/>
        </w:rPr>
        <w:t>.</w:t>
      </w:r>
      <w:r>
        <w:rPr>
          <w:rFonts w:hint="eastAsia" w:ascii="Calibri" w:hAnsi="Calibri" w:eastAsia="宋体" w:cs="Times New Roman"/>
          <w:bCs/>
          <w:sz w:val="21"/>
          <w:szCs w:val="21"/>
        </w:rPr>
        <w:t>学生通过在线自习相关内容完成课程的学习。学生登录“实验室安全教育与考试系统平台”，浏览“在线学习”栏目进行在线学习、练习。</w:t>
      </w:r>
    </w:p>
    <w:p w14:paraId="7031002F">
      <w:pPr>
        <w:snapToGrid w:val="0"/>
        <w:spacing w:line="360" w:lineRule="auto"/>
        <w:ind w:firstLine="420" w:firstLineChars="200"/>
        <w:rPr>
          <w:rFonts w:ascii="Calibri" w:hAnsi="Calibri" w:eastAsia="宋体" w:cs="Times New Roman"/>
          <w:bCs/>
          <w:sz w:val="21"/>
          <w:szCs w:val="21"/>
        </w:rPr>
      </w:pPr>
      <w:r>
        <w:rPr>
          <w:rFonts w:ascii="Calibri" w:hAnsi="Calibri" w:eastAsia="宋体" w:cs="Times New Roman"/>
          <w:bCs/>
          <w:sz w:val="21"/>
          <w:szCs w:val="21"/>
        </w:rPr>
        <w:t>2</w:t>
      </w:r>
      <w:r>
        <w:rPr>
          <w:rFonts w:hint="eastAsia" w:ascii="Calibri" w:hAnsi="Calibri" w:eastAsia="宋体" w:cs="Times New Roman"/>
          <w:bCs/>
          <w:sz w:val="21"/>
          <w:szCs w:val="21"/>
        </w:rPr>
        <w:t>课程思政育人方法：借助在线平台的技术优势，通过沉浸体验、案例分析等方式，将价值塑造自然融入知识传授与能力培养之中，实现“润物无声”的思政育人效果。</w:t>
      </w:r>
    </w:p>
    <w:p w14:paraId="0C6A76B2">
      <w:pPr>
        <w:spacing w:line="360" w:lineRule="auto"/>
        <w:ind w:firstLine="422" w:firstLineChars="200"/>
        <w:rPr>
          <w:rFonts w:hint="eastAsia" w:ascii="Calibri" w:hAnsi="Calibri" w:eastAsia="宋体" w:cs="Times New Roman"/>
          <w:b/>
          <w:sz w:val="21"/>
          <w:szCs w:val="21"/>
        </w:rPr>
      </w:pPr>
      <w:r>
        <w:rPr>
          <w:rFonts w:hint="eastAsia" w:ascii="Calibri" w:hAnsi="Calibri" w:eastAsia="宋体" w:cs="Times New Roman"/>
          <w:b/>
          <w:sz w:val="21"/>
          <w:szCs w:val="21"/>
        </w:rPr>
        <w:t>（二）教学质量要求</w:t>
      </w:r>
    </w:p>
    <w:p w14:paraId="7BB27412">
      <w:pPr>
        <w:tabs>
          <w:tab w:val="right" w:pos="9070"/>
        </w:tabs>
        <w:spacing w:line="360" w:lineRule="auto"/>
        <w:ind w:firstLine="420" w:firstLineChars="200"/>
        <w:rPr>
          <w:rFonts w:ascii="Calibri" w:hAnsi="Calibri" w:eastAsia="宋体" w:cs="Times New Roman"/>
          <w:sz w:val="21"/>
          <w:szCs w:val="21"/>
        </w:rPr>
      </w:pPr>
      <w:r>
        <w:rPr>
          <w:rFonts w:hint="eastAsia" w:ascii="Calibri" w:hAnsi="Calibri" w:eastAsia="宋体" w:cs="Times New Roman"/>
          <w:sz w:val="21"/>
          <w:szCs w:val="21"/>
        </w:rPr>
        <w:t>课程主要教学环节及其质量要求如表</w:t>
      </w:r>
      <w:r>
        <w:rPr>
          <w:rFonts w:ascii="Calibri" w:hAnsi="Calibri" w:eastAsia="宋体" w:cs="Times New Roman"/>
          <w:sz w:val="21"/>
          <w:szCs w:val="21"/>
        </w:rPr>
        <w:t>4</w:t>
      </w:r>
      <w:r>
        <w:rPr>
          <w:rFonts w:hint="eastAsia" w:ascii="Calibri" w:hAnsi="Calibri" w:eastAsia="宋体" w:cs="Times New Roman"/>
          <w:sz w:val="21"/>
          <w:szCs w:val="21"/>
        </w:rPr>
        <w:t>所示。</w:t>
      </w:r>
      <w:r>
        <w:rPr>
          <w:rFonts w:ascii="Calibri" w:hAnsi="Calibri" w:eastAsia="宋体" w:cs="Times New Roman"/>
          <w:sz w:val="21"/>
          <w:szCs w:val="21"/>
        </w:rPr>
        <w:tab/>
      </w:r>
    </w:p>
    <w:p w14:paraId="4033DBD9">
      <w:pPr>
        <w:spacing w:line="360" w:lineRule="auto"/>
        <w:jc w:val="center"/>
        <w:rPr>
          <w:rFonts w:hint="eastAsia" w:ascii="Calibri" w:hAnsi="Calibri" w:eastAsia="宋体" w:cs="Times New Roman"/>
          <w:sz w:val="21"/>
          <w:szCs w:val="21"/>
        </w:rPr>
      </w:pPr>
      <w:r>
        <w:rPr>
          <w:rFonts w:hint="eastAsia" w:ascii="Calibri" w:hAnsi="Calibri" w:eastAsia="宋体" w:cs="Times New Roman"/>
          <w:sz w:val="21"/>
          <w:szCs w:val="21"/>
        </w:rPr>
        <w:t>表</w:t>
      </w:r>
      <w:r>
        <w:rPr>
          <w:rFonts w:ascii="Calibri" w:hAnsi="Calibri" w:eastAsia="宋体" w:cs="Times New Roman"/>
          <w:sz w:val="21"/>
          <w:szCs w:val="21"/>
        </w:rPr>
        <w:t xml:space="preserve">4  </w:t>
      </w:r>
      <w:r>
        <w:rPr>
          <w:rFonts w:hint="eastAsia" w:ascii="Calibri" w:hAnsi="Calibri" w:eastAsia="宋体" w:cs="Times New Roman"/>
          <w:sz w:val="21"/>
          <w:szCs w:val="21"/>
        </w:rPr>
        <w:t>课程主要教学环节和质量要求表</w:t>
      </w:r>
    </w:p>
    <w:tbl>
      <w:tblPr>
        <w:tblStyle w:val="15"/>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683"/>
        <w:gridCol w:w="6740"/>
      </w:tblGrid>
      <w:tr w14:paraId="6207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319" w:type="dxa"/>
            <w:gridSpan w:val="2"/>
            <w:tcBorders>
              <w:top w:val="single" w:color="auto" w:sz="4" w:space="0"/>
              <w:left w:val="single" w:color="auto" w:sz="4" w:space="0"/>
              <w:right w:val="single" w:color="auto" w:sz="4" w:space="0"/>
            </w:tcBorders>
            <w:noWrap w:val="0"/>
            <w:tcMar>
              <w:left w:w="28" w:type="dxa"/>
              <w:right w:w="28" w:type="dxa"/>
            </w:tcMar>
            <w:vAlign w:val="center"/>
          </w:tcPr>
          <w:p w14:paraId="0CD9D7D5">
            <w:pPr>
              <w:snapToGrid w:val="0"/>
              <w:jc w:val="center"/>
              <w:rPr>
                <w:rFonts w:ascii="Calibri" w:hAnsi="Calibri" w:eastAsia="宋体" w:cs="Times New Roman"/>
                <w:b/>
                <w:sz w:val="21"/>
                <w:szCs w:val="21"/>
              </w:rPr>
            </w:pPr>
            <w:r>
              <w:rPr>
                <w:rFonts w:ascii="Calibri" w:hAnsi="Calibri" w:eastAsia="宋体" w:cs="Times New Roman"/>
                <w:b/>
                <w:sz w:val="21"/>
                <w:szCs w:val="21"/>
              </w:rPr>
              <w:t>主要教学环节</w:t>
            </w:r>
          </w:p>
        </w:tc>
        <w:tc>
          <w:tcPr>
            <w:tcW w:w="6740" w:type="dxa"/>
            <w:tcBorders>
              <w:top w:val="single" w:color="auto" w:sz="4" w:space="0"/>
              <w:left w:val="single" w:color="auto" w:sz="4" w:space="0"/>
              <w:right w:val="single" w:color="auto" w:sz="4" w:space="0"/>
            </w:tcBorders>
            <w:noWrap w:val="0"/>
            <w:vAlign w:val="center"/>
          </w:tcPr>
          <w:p w14:paraId="53BE0ADF">
            <w:pPr>
              <w:snapToGrid w:val="0"/>
              <w:jc w:val="center"/>
              <w:rPr>
                <w:rFonts w:ascii="Calibri" w:hAnsi="Calibri" w:eastAsia="宋体" w:cs="Times New Roman"/>
                <w:b/>
                <w:sz w:val="21"/>
                <w:szCs w:val="21"/>
              </w:rPr>
            </w:pPr>
            <w:r>
              <w:rPr>
                <w:rFonts w:ascii="Calibri" w:hAnsi="Calibri" w:eastAsia="宋体" w:cs="Times New Roman"/>
                <w:b/>
                <w:sz w:val="21"/>
                <w:szCs w:val="21"/>
              </w:rPr>
              <w:t>质量</w:t>
            </w:r>
            <w:r>
              <w:rPr>
                <w:rFonts w:hint="eastAsia" w:ascii="Calibri" w:hAnsi="Calibri" w:eastAsia="宋体" w:cs="Times New Roman"/>
                <w:b/>
                <w:sz w:val="21"/>
                <w:szCs w:val="21"/>
              </w:rPr>
              <w:t>要求</w:t>
            </w:r>
          </w:p>
        </w:tc>
      </w:tr>
      <w:tr w14:paraId="282D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noWrap w:val="0"/>
            <w:vAlign w:val="center"/>
          </w:tcPr>
          <w:p w14:paraId="7FCB0462">
            <w:pPr>
              <w:snapToGrid w:val="0"/>
              <w:jc w:val="center"/>
              <w:rPr>
                <w:rFonts w:ascii="Calibri" w:hAnsi="Calibri" w:eastAsia="宋体" w:cs="Times New Roman"/>
                <w:sz w:val="21"/>
                <w:szCs w:val="21"/>
              </w:rPr>
            </w:pPr>
            <w:r>
              <w:rPr>
                <w:rFonts w:ascii="Calibri" w:hAnsi="Calibri" w:eastAsia="宋体" w:cs="Times New Roman"/>
                <w:sz w:val="21"/>
                <w:szCs w:val="21"/>
              </w:rPr>
              <w:t>1</w:t>
            </w:r>
          </w:p>
        </w:tc>
        <w:tc>
          <w:tcPr>
            <w:tcW w:w="1683" w:type="dxa"/>
            <w:noWrap w:val="0"/>
            <w:tcMar>
              <w:left w:w="28" w:type="dxa"/>
              <w:right w:w="28" w:type="dxa"/>
            </w:tcMar>
            <w:vAlign w:val="center"/>
          </w:tcPr>
          <w:p w14:paraId="2C645777">
            <w:pPr>
              <w:snapToGrid w:val="0"/>
              <w:jc w:val="center"/>
              <w:rPr>
                <w:rFonts w:ascii="Calibri" w:hAnsi="Calibri" w:eastAsia="宋体" w:cs="Times New Roman"/>
                <w:sz w:val="21"/>
                <w:szCs w:val="21"/>
              </w:rPr>
            </w:pPr>
            <w:r>
              <w:rPr>
                <w:rFonts w:hint="eastAsia" w:ascii="Calibri" w:hAnsi="Calibri" w:eastAsia="宋体" w:cs="Times New Roman"/>
                <w:sz w:val="21"/>
                <w:szCs w:val="21"/>
              </w:rPr>
              <w:t>平台维护</w:t>
            </w:r>
          </w:p>
        </w:tc>
        <w:tc>
          <w:tcPr>
            <w:tcW w:w="6740" w:type="dxa"/>
            <w:tcBorders>
              <w:right w:val="single" w:color="auto" w:sz="4" w:space="0"/>
            </w:tcBorders>
            <w:noWrap w:val="0"/>
            <w:vAlign w:val="center"/>
          </w:tcPr>
          <w:p w14:paraId="51CD9E2D">
            <w:pPr>
              <w:snapToGrid w:val="0"/>
              <w:ind w:firstLine="420" w:firstLineChars="200"/>
              <w:rPr>
                <w:rFonts w:hint="eastAsia" w:ascii="Calibri" w:hAnsi="Calibri" w:eastAsia="宋体" w:cs="Times New Roman"/>
                <w:sz w:val="21"/>
                <w:szCs w:val="21"/>
              </w:rPr>
            </w:pPr>
            <w:r>
              <w:rPr>
                <w:rFonts w:hint="eastAsia" w:ascii="Calibri" w:hAnsi="Calibri" w:eastAsia="宋体" w:cs="Times New Roman"/>
                <w:sz w:val="21"/>
                <w:szCs w:val="21"/>
              </w:rPr>
              <w:t>定期修订课程内容，保障服务器稳定，及时回复学生提问，监控学习和考核完成情况，对异常数据进行预警与跟进。</w:t>
            </w:r>
          </w:p>
        </w:tc>
      </w:tr>
      <w:tr w14:paraId="252D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noWrap w:val="0"/>
            <w:vAlign w:val="center"/>
          </w:tcPr>
          <w:p w14:paraId="7C641B3A">
            <w:pPr>
              <w:snapToGrid w:val="0"/>
              <w:jc w:val="center"/>
              <w:rPr>
                <w:rFonts w:ascii="Calibri" w:hAnsi="Calibri" w:eastAsia="宋体" w:cs="Times New Roman"/>
                <w:sz w:val="21"/>
                <w:szCs w:val="21"/>
              </w:rPr>
            </w:pPr>
            <w:r>
              <w:rPr>
                <w:rFonts w:ascii="Calibri" w:hAnsi="Calibri" w:eastAsia="宋体" w:cs="Times New Roman"/>
                <w:sz w:val="21"/>
                <w:szCs w:val="21"/>
              </w:rPr>
              <w:t>2</w:t>
            </w:r>
          </w:p>
        </w:tc>
        <w:tc>
          <w:tcPr>
            <w:tcW w:w="1683" w:type="dxa"/>
            <w:noWrap w:val="0"/>
            <w:tcMar>
              <w:left w:w="28" w:type="dxa"/>
              <w:right w:w="28" w:type="dxa"/>
            </w:tcMar>
            <w:vAlign w:val="center"/>
          </w:tcPr>
          <w:p w14:paraId="6876BB8D">
            <w:pPr>
              <w:snapToGrid w:val="0"/>
              <w:jc w:val="center"/>
              <w:rPr>
                <w:rFonts w:ascii="Calibri" w:hAnsi="Calibri" w:eastAsia="宋体" w:cs="Times New Roman"/>
                <w:sz w:val="21"/>
                <w:szCs w:val="21"/>
              </w:rPr>
            </w:pPr>
            <w:r>
              <w:rPr>
                <w:rFonts w:hint="eastAsia" w:ascii="Calibri" w:hAnsi="Calibri" w:eastAsia="宋体" w:cs="Times New Roman"/>
                <w:sz w:val="21"/>
                <w:szCs w:val="21"/>
              </w:rPr>
              <w:t>考核</w:t>
            </w:r>
          </w:p>
        </w:tc>
        <w:tc>
          <w:tcPr>
            <w:tcW w:w="6740" w:type="dxa"/>
            <w:tcBorders>
              <w:right w:val="single" w:color="auto" w:sz="4" w:space="0"/>
            </w:tcBorders>
            <w:noWrap w:val="0"/>
            <w:vAlign w:val="center"/>
          </w:tcPr>
          <w:p w14:paraId="6E5445B4">
            <w:pPr>
              <w:snapToGrid w:val="0"/>
              <w:ind w:firstLine="420" w:firstLineChars="200"/>
              <w:rPr>
                <w:rFonts w:ascii="Calibri" w:hAnsi="Calibri" w:eastAsia="宋体" w:cs="Times New Roman"/>
                <w:sz w:val="21"/>
                <w:szCs w:val="21"/>
              </w:rPr>
            </w:pPr>
            <w:r>
              <w:rPr>
                <w:rFonts w:hint="eastAsia" w:ascii="Calibri" w:hAnsi="Calibri" w:eastAsia="宋体" w:cs="Times New Roman"/>
                <w:sz w:val="21"/>
                <w:szCs w:val="21"/>
              </w:rPr>
              <w:t xml:space="preserve"> 按照教学进度发布考核通知，及时收集考核成绩。按照有关规定登记成绩。</w:t>
            </w:r>
          </w:p>
        </w:tc>
      </w:tr>
    </w:tbl>
    <w:p w14:paraId="7C73339F">
      <w:pPr>
        <w:snapToGrid w:val="0"/>
        <w:spacing w:line="360" w:lineRule="auto"/>
        <w:ind w:firstLine="482" w:firstLineChars="200"/>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五</w:t>
      </w:r>
      <w:r>
        <w:rPr>
          <w:rFonts w:hint="eastAsia" w:ascii="Times New Roman" w:hAnsi="Times New Roman" w:eastAsia="宋体" w:cs="Times New Roman"/>
          <w:b/>
          <w:sz w:val="24"/>
          <w:szCs w:val="24"/>
        </w:rPr>
        <w:t>、课程考核</w:t>
      </w:r>
    </w:p>
    <w:p w14:paraId="4FFAA6CF">
      <w:pPr>
        <w:spacing w:line="360" w:lineRule="auto"/>
        <w:ind w:firstLine="420" w:firstLineChars="200"/>
        <w:rPr>
          <w:rFonts w:ascii="Calibri" w:hAnsi="Calibri" w:eastAsia="宋体" w:cs="Times New Roman"/>
          <w:sz w:val="21"/>
          <w:szCs w:val="21"/>
        </w:rPr>
      </w:pPr>
      <w:r>
        <w:rPr>
          <w:rFonts w:hint="eastAsia" w:ascii="Calibri" w:hAnsi="Calibri" w:eastAsia="宋体" w:cs="Times New Roman"/>
          <w:sz w:val="21"/>
          <w:szCs w:val="21"/>
        </w:rPr>
        <w:t>（一）</w:t>
      </w:r>
      <w:r>
        <w:rPr>
          <w:rFonts w:ascii="Calibri" w:hAnsi="Calibri" w:eastAsia="宋体" w:cs="Times New Roman"/>
          <w:sz w:val="21"/>
          <w:szCs w:val="21"/>
        </w:rPr>
        <w:t>课程考核</w:t>
      </w:r>
      <w:r>
        <w:rPr>
          <w:rFonts w:hint="eastAsia" w:ascii="Calibri" w:hAnsi="Calibri" w:eastAsia="宋体" w:cs="Times New Roman"/>
          <w:sz w:val="21"/>
          <w:szCs w:val="21"/>
        </w:rPr>
        <w:t>方式</w:t>
      </w:r>
    </w:p>
    <w:p w14:paraId="7D301095">
      <w:pPr>
        <w:spacing w:line="360" w:lineRule="auto"/>
        <w:ind w:firstLine="420" w:firstLineChars="200"/>
        <w:rPr>
          <w:rFonts w:hint="eastAsia" w:ascii="Calibri" w:hAnsi="Calibri" w:eastAsia="宋体" w:cs="Times New Roman"/>
          <w:sz w:val="21"/>
          <w:szCs w:val="21"/>
        </w:rPr>
      </w:pPr>
      <w:r>
        <w:rPr>
          <w:rFonts w:hint="eastAsia" w:ascii="Calibri" w:hAnsi="Calibri" w:eastAsia="宋体" w:cs="Times New Roman"/>
          <w:sz w:val="21"/>
          <w:szCs w:val="21"/>
        </w:rPr>
        <w:t>学生通过在线考试完成课程考核。教务处负责每年组织“实验室安全教育”课程的网络在线考试。</w:t>
      </w:r>
    </w:p>
    <w:p w14:paraId="23E0E1AC">
      <w:pPr>
        <w:spacing w:line="360" w:lineRule="auto"/>
        <w:ind w:firstLine="420" w:firstLineChars="200"/>
        <w:rPr>
          <w:rFonts w:ascii="Calibri" w:hAnsi="Calibri" w:eastAsia="宋体" w:cs="Times New Roman"/>
          <w:sz w:val="21"/>
          <w:szCs w:val="21"/>
        </w:rPr>
      </w:pPr>
      <w:r>
        <w:rPr>
          <w:rFonts w:hint="eastAsia" w:ascii="Calibri" w:hAnsi="Calibri" w:eastAsia="宋体" w:cs="Times New Roman"/>
          <w:sz w:val="21"/>
          <w:szCs w:val="21"/>
        </w:rPr>
        <w:t>（二）总评成绩评定方法</w:t>
      </w:r>
    </w:p>
    <w:p w14:paraId="171C0C92">
      <w:pPr>
        <w:spacing w:line="360" w:lineRule="auto"/>
        <w:ind w:firstLine="420" w:firstLineChars="200"/>
        <w:rPr>
          <w:rFonts w:ascii="Calibri" w:hAnsi="Calibri" w:eastAsia="宋体" w:cs="Times New Roman"/>
          <w:sz w:val="21"/>
          <w:szCs w:val="21"/>
        </w:rPr>
      </w:pPr>
      <w:r>
        <w:rPr>
          <w:rFonts w:hint="eastAsia" w:ascii="Calibri" w:hAnsi="Calibri" w:eastAsia="宋体" w:cs="Times New Roman"/>
          <w:sz w:val="21"/>
          <w:szCs w:val="21"/>
        </w:rPr>
        <w:t>试题库随机出题，满分1</w:t>
      </w:r>
      <w:r>
        <w:rPr>
          <w:rFonts w:ascii="Calibri" w:hAnsi="Calibri" w:eastAsia="宋体" w:cs="Times New Roman"/>
          <w:sz w:val="21"/>
          <w:szCs w:val="21"/>
        </w:rPr>
        <w:t>00。上机考试，</w:t>
      </w:r>
      <w:r>
        <w:rPr>
          <w:rFonts w:hint="eastAsia" w:ascii="Calibri" w:hAnsi="Calibri" w:eastAsia="宋体" w:cs="Times New Roman"/>
          <w:sz w:val="21"/>
          <w:szCs w:val="21"/>
        </w:rPr>
        <w:t>考试成绩达到80分为合格，获得0.5学分。</w:t>
      </w:r>
    </w:p>
    <w:p w14:paraId="4A71F32D">
      <w:pPr>
        <w:spacing w:line="360" w:lineRule="auto"/>
        <w:ind w:firstLine="420" w:firstLineChars="200"/>
        <w:rPr>
          <w:rFonts w:ascii="Calibri" w:hAnsi="Calibri" w:eastAsia="宋体" w:cs="Times New Roman"/>
          <w:sz w:val="21"/>
          <w:szCs w:val="21"/>
        </w:rPr>
      </w:pPr>
      <w:r>
        <w:rPr>
          <w:rFonts w:hint="eastAsia" w:ascii="Calibri" w:hAnsi="Calibri" w:eastAsia="宋体" w:cs="Times New Roman"/>
          <w:sz w:val="21"/>
          <w:szCs w:val="21"/>
        </w:rPr>
        <w:t>具体内容、比例和评价参考标准如表</w:t>
      </w:r>
      <w:r>
        <w:rPr>
          <w:rFonts w:ascii="Calibri" w:hAnsi="Calibri" w:eastAsia="宋体" w:cs="Times New Roman"/>
          <w:sz w:val="21"/>
          <w:szCs w:val="21"/>
        </w:rPr>
        <w:t>5</w:t>
      </w:r>
      <w:r>
        <w:rPr>
          <w:rFonts w:hint="eastAsia" w:ascii="Calibri" w:hAnsi="Calibri" w:eastAsia="宋体" w:cs="Times New Roman"/>
          <w:sz w:val="21"/>
          <w:szCs w:val="21"/>
        </w:rPr>
        <w:t>所示。</w:t>
      </w:r>
    </w:p>
    <w:p w14:paraId="415F64B8">
      <w:pPr>
        <w:spacing w:line="360" w:lineRule="auto"/>
        <w:ind w:firstLine="420" w:firstLineChars="200"/>
        <w:jc w:val="center"/>
        <w:rPr>
          <w:rFonts w:hint="eastAsia" w:ascii="Calibri" w:hAnsi="Calibri" w:eastAsia="宋体" w:cs="Times New Roman"/>
          <w:sz w:val="21"/>
          <w:szCs w:val="21"/>
        </w:rPr>
      </w:pPr>
      <w:r>
        <w:rPr>
          <w:rFonts w:hint="eastAsia" w:ascii="Calibri" w:hAnsi="Calibri" w:eastAsia="宋体" w:cs="Times New Roman"/>
          <w:sz w:val="21"/>
          <w:szCs w:val="21"/>
        </w:rPr>
        <w:t>表</w:t>
      </w:r>
      <w:r>
        <w:rPr>
          <w:rFonts w:ascii="Calibri" w:hAnsi="Calibri" w:eastAsia="宋体" w:cs="Times New Roman"/>
          <w:sz w:val="21"/>
          <w:szCs w:val="21"/>
        </w:rPr>
        <w:t xml:space="preserve">5  </w:t>
      </w:r>
      <w:r>
        <w:rPr>
          <w:rFonts w:hint="eastAsia" w:ascii="Calibri" w:hAnsi="Calibri" w:eastAsia="宋体" w:cs="Times New Roman"/>
          <w:sz w:val="21"/>
          <w:szCs w:val="21"/>
        </w:rPr>
        <w:t>考核总评成绩组成及评价细则表</w:t>
      </w:r>
    </w:p>
    <w:tbl>
      <w:tblPr>
        <w:tblStyle w:val="15"/>
        <w:tblW w:w="8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590"/>
        <w:gridCol w:w="1276"/>
        <w:gridCol w:w="5037"/>
      </w:tblGrid>
      <w:tr w14:paraId="4123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shd w:val="clear" w:color="auto" w:fill="FFFFFF"/>
            <w:noWrap w:val="0"/>
            <w:tcMar>
              <w:left w:w="57" w:type="dxa"/>
              <w:right w:w="57" w:type="dxa"/>
            </w:tcMar>
            <w:vAlign w:val="center"/>
          </w:tcPr>
          <w:p w14:paraId="71FC63E4">
            <w:pPr>
              <w:widowControl w:val="0"/>
              <w:snapToGrid w:val="0"/>
              <w:jc w:val="center"/>
              <w:rPr>
                <w:rFonts w:ascii="Calibri" w:hAnsi="Calibri" w:eastAsia="宋体" w:cs="Times New Roman"/>
                <w:b/>
                <w:bCs/>
                <w:kern w:val="2"/>
                <w:sz w:val="21"/>
                <w:szCs w:val="21"/>
                <w:lang w:val="en-US" w:eastAsia="zh-CN" w:bidi="ar-SA"/>
              </w:rPr>
            </w:pPr>
            <w:r>
              <w:rPr>
                <w:rFonts w:ascii="Calibri" w:hAnsi="Calibri" w:eastAsia="宋体" w:cs="Times New Roman"/>
                <w:b/>
                <w:bCs/>
                <w:kern w:val="2"/>
                <w:sz w:val="21"/>
                <w:szCs w:val="21"/>
                <w:lang w:val="en-US" w:eastAsia="zh-CN" w:bidi="ar-SA"/>
              </w:rPr>
              <w:t>成绩组成</w:t>
            </w:r>
          </w:p>
        </w:tc>
        <w:tc>
          <w:tcPr>
            <w:tcW w:w="1590" w:type="dxa"/>
            <w:shd w:val="clear" w:color="auto" w:fill="FFFFFF"/>
            <w:noWrap w:val="0"/>
            <w:vAlign w:val="center"/>
          </w:tcPr>
          <w:p w14:paraId="3BAA5DB6">
            <w:pPr>
              <w:widowControl w:val="0"/>
              <w:snapToGrid w:val="0"/>
              <w:jc w:val="center"/>
              <w:rPr>
                <w:rFonts w:ascii="Calibri" w:hAnsi="Calibri" w:eastAsia="宋体" w:cs="Times New Roman"/>
                <w:b/>
                <w:bCs/>
                <w:kern w:val="2"/>
                <w:sz w:val="21"/>
                <w:szCs w:val="21"/>
                <w:lang w:val="en-US" w:eastAsia="zh-CN" w:bidi="ar-SA"/>
              </w:rPr>
            </w:pPr>
            <w:r>
              <w:rPr>
                <w:rFonts w:ascii="Calibri" w:hAnsi="Calibri" w:eastAsia="宋体" w:cs="Times New Roman"/>
                <w:b/>
                <w:bCs/>
                <w:kern w:val="2"/>
                <w:sz w:val="21"/>
                <w:szCs w:val="21"/>
                <w:lang w:val="en-US" w:eastAsia="zh-CN" w:bidi="ar-SA"/>
              </w:rPr>
              <w:t>考核/评价环节</w:t>
            </w:r>
          </w:p>
        </w:tc>
        <w:tc>
          <w:tcPr>
            <w:tcW w:w="1276" w:type="dxa"/>
            <w:shd w:val="clear" w:color="auto" w:fill="FFFFFF"/>
            <w:noWrap w:val="0"/>
            <w:vAlign w:val="center"/>
          </w:tcPr>
          <w:p w14:paraId="5F389756">
            <w:pPr>
              <w:widowControl w:val="0"/>
              <w:snapToGrid w:val="0"/>
              <w:jc w:val="center"/>
              <w:rPr>
                <w:rFonts w:ascii="Calibri" w:hAnsi="Calibri" w:eastAsia="宋体" w:cs="Times New Roman"/>
                <w:b/>
                <w:bCs/>
                <w:kern w:val="2"/>
                <w:sz w:val="21"/>
                <w:szCs w:val="21"/>
                <w:lang w:val="en-US" w:eastAsia="zh-CN" w:bidi="ar-SA"/>
              </w:rPr>
            </w:pPr>
            <w:r>
              <w:rPr>
                <w:rFonts w:hint="eastAsia" w:ascii="Calibri" w:hAnsi="Calibri" w:eastAsia="宋体" w:cs="Times New Roman"/>
                <w:b/>
                <w:bCs/>
                <w:kern w:val="2"/>
                <w:sz w:val="21"/>
                <w:szCs w:val="21"/>
                <w:lang w:val="en-US" w:eastAsia="zh-CN" w:bidi="ar-SA"/>
              </w:rPr>
              <w:t>权重</w:t>
            </w:r>
          </w:p>
        </w:tc>
        <w:tc>
          <w:tcPr>
            <w:tcW w:w="5037" w:type="dxa"/>
            <w:shd w:val="clear" w:color="auto" w:fill="FFFFFF"/>
            <w:noWrap w:val="0"/>
            <w:vAlign w:val="center"/>
          </w:tcPr>
          <w:p w14:paraId="45FE6AD8">
            <w:pPr>
              <w:widowControl w:val="0"/>
              <w:snapToGrid w:val="0"/>
              <w:jc w:val="center"/>
              <w:rPr>
                <w:rFonts w:ascii="Calibri" w:hAnsi="Calibri" w:eastAsia="宋体" w:cs="Times New Roman"/>
                <w:b/>
                <w:bCs/>
                <w:kern w:val="2"/>
                <w:sz w:val="21"/>
                <w:szCs w:val="21"/>
                <w:lang w:val="en-US" w:eastAsia="zh-CN" w:bidi="ar-SA"/>
              </w:rPr>
            </w:pPr>
            <w:r>
              <w:rPr>
                <w:rFonts w:ascii="Calibri" w:hAnsi="Calibri" w:eastAsia="宋体" w:cs="Times New Roman"/>
                <w:b/>
                <w:bCs/>
                <w:kern w:val="2"/>
                <w:sz w:val="21"/>
                <w:szCs w:val="21"/>
                <w:lang w:val="en-US" w:eastAsia="zh-CN" w:bidi="ar-SA"/>
              </w:rPr>
              <w:t>考核/评价细则</w:t>
            </w:r>
          </w:p>
        </w:tc>
      </w:tr>
      <w:tr w14:paraId="71A4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noWrap w:val="0"/>
            <w:tcMar>
              <w:left w:w="57" w:type="dxa"/>
              <w:right w:w="57" w:type="dxa"/>
            </w:tcMar>
            <w:vAlign w:val="center"/>
          </w:tcPr>
          <w:p w14:paraId="1105E269">
            <w:pPr>
              <w:widowControl w:val="0"/>
              <w:snapToGrid w:val="0"/>
              <w:jc w:val="center"/>
              <w:rPr>
                <w:rFonts w:hint="eastAsia" w:ascii="Calibri" w:hAnsi="Calibri" w:eastAsia="宋体" w:cs="Times New Roman"/>
                <w:kern w:val="2"/>
                <w:sz w:val="21"/>
                <w:szCs w:val="21"/>
                <w:lang w:val="en-US" w:eastAsia="zh-CN" w:bidi="ar-SA"/>
              </w:rPr>
            </w:pPr>
            <w:r>
              <w:rPr>
                <w:rFonts w:ascii="Calibri" w:hAnsi="Calibri" w:eastAsia="宋体" w:cs="Times New Roman"/>
                <w:kern w:val="2"/>
                <w:sz w:val="21"/>
                <w:szCs w:val="21"/>
                <w:lang w:val="en-US" w:eastAsia="zh-CN" w:bidi="ar-SA"/>
              </w:rPr>
              <w:t>期末考试</w:t>
            </w:r>
          </w:p>
        </w:tc>
        <w:tc>
          <w:tcPr>
            <w:tcW w:w="1590" w:type="dxa"/>
            <w:noWrap w:val="0"/>
            <w:vAlign w:val="center"/>
          </w:tcPr>
          <w:p w14:paraId="53111BDA">
            <w:pPr>
              <w:widowControl w:val="0"/>
              <w:snapToGrid w:val="0"/>
              <w:jc w:val="center"/>
              <w:rPr>
                <w:rFonts w:hint="eastAsia" w:ascii="Calibri" w:hAnsi="Calibri" w:eastAsia="宋体" w:cs="Times New Roman"/>
                <w:kern w:val="2"/>
                <w:sz w:val="21"/>
                <w:szCs w:val="21"/>
                <w:lang w:val="en-US" w:eastAsia="zh-CN" w:bidi="ar-SA"/>
              </w:rPr>
            </w:pPr>
            <w:r>
              <w:rPr>
                <w:rFonts w:ascii="Calibri" w:hAnsi="Calibri" w:eastAsia="宋体" w:cs="Times New Roman"/>
                <w:kern w:val="2"/>
                <w:sz w:val="21"/>
                <w:szCs w:val="21"/>
                <w:lang w:val="en-US" w:eastAsia="zh-CN" w:bidi="ar-SA"/>
              </w:rPr>
              <w:t>期末考试</w:t>
            </w:r>
          </w:p>
          <w:p w14:paraId="4DD120D5">
            <w:pPr>
              <w:widowControl w:val="0"/>
              <w:snapToGrid w:val="0"/>
              <w:jc w:val="center"/>
              <w:rPr>
                <w:rFonts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卷面</w:t>
            </w:r>
            <w:r>
              <w:rPr>
                <w:rFonts w:ascii="Calibri" w:hAnsi="Calibri" w:eastAsia="宋体" w:cs="Times New Roman"/>
                <w:kern w:val="2"/>
                <w:sz w:val="21"/>
                <w:szCs w:val="21"/>
                <w:lang w:val="en-US" w:eastAsia="zh-CN" w:bidi="ar-SA"/>
              </w:rPr>
              <w:t>成绩</w:t>
            </w:r>
          </w:p>
        </w:tc>
        <w:tc>
          <w:tcPr>
            <w:tcW w:w="1276" w:type="dxa"/>
            <w:noWrap w:val="0"/>
            <w:vAlign w:val="center"/>
          </w:tcPr>
          <w:p w14:paraId="14E24C0F">
            <w:pPr>
              <w:widowControl w:val="0"/>
              <w:snapToGrid w:val="0"/>
              <w:jc w:val="center"/>
              <w:rPr>
                <w:rFonts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1</w:t>
            </w:r>
            <w:r>
              <w:rPr>
                <w:rFonts w:ascii="Calibri" w:hAnsi="Calibri" w:eastAsia="宋体" w:cs="Times New Roman"/>
                <w:kern w:val="2"/>
                <w:sz w:val="21"/>
                <w:szCs w:val="21"/>
                <w:lang w:val="en-US" w:eastAsia="zh-CN" w:bidi="ar-SA"/>
              </w:rPr>
              <w:t>00%</w:t>
            </w:r>
          </w:p>
        </w:tc>
        <w:tc>
          <w:tcPr>
            <w:tcW w:w="5037" w:type="dxa"/>
            <w:noWrap w:val="0"/>
            <w:vAlign w:val="center"/>
          </w:tcPr>
          <w:p w14:paraId="355A1CB0">
            <w:pPr>
              <w:widowControl w:val="0"/>
              <w:snapToGrid w:val="0"/>
              <w:ind w:firstLine="420" w:firstLineChars="200"/>
              <w:jc w:val="both"/>
              <w:rPr>
                <w:rFonts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通过规定考试时长、答题次数、试题类型（如单选、多选、判断）及随机组卷规则，确保考核的全面性与公平性。明确规定考试总分达到80分方为合格，并补充说明补考或重修的具体政策。旨在通过技术手段保障信度，以多元评价保障效度，最终确保学生真正掌握安全知识与技能。</w:t>
            </w:r>
          </w:p>
        </w:tc>
      </w:tr>
    </w:tbl>
    <w:p w14:paraId="7407D110">
      <w:pPr>
        <w:snapToGrid w:val="0"/>
        <w:spacing w:line="360" w:lineRule="auto"/>
        <w:ind w:firstLine="420" w:firstLineChars="200"/>
        <w:rPr>
          <w:rFonts w:ascii="Calibri" w:hAnsi="Calibri" w:eastAsia="宋体" w:cs="Times New Roman"/>
          <w:sz w:val="21"/>
          <w:szCs w:val="21"/>
        </w:rPr>
      </w:pPr>
      <w:r>
        <w:rPr>
          <w:rFonts w:ascii="Calibri" w:hAnsi="Calibri" w:eastAsia="宋体" w:cs="Times New Roman"/>
          <w:sz w:val="21"/>
          <w:szCs w:val="21"/>
        </w:rPr>
        <w:t>（三）</w:t>
      </w:r>
      <w:r>
        <w:rPr>
          <w:rFonts w:hint="eastAsia" w:ascii="Calibri" w:hAnsi="Calibri" w:eastAsia="宋体" w:cs="Times New Roman"/>
          <w:sz w:val="21"/>
          <w:szCs w:val="21"/>
        </w:rPr>
        <w:t>课程目标考核说明</w:t>
      </w:r>
    </w:p>
    <w:p w14:paraId="0BE5565F">
      <w:pPr>
        <w:snapToGrid w:val="0"/>
        <w:spacing w:line="360" w:lineRule="auto"/>
        <w:ind w:firstLine="420" w:firstLineChars="200"/>
        <w:rPr>
          <w:rFonts w:ascii="Calibri" w:hAnsi="Calibri" w:eastAsia="宋体" w:cs="Times New Roman"/>
          <w:sz w:val="21"/>
          <w:szCs w:val="21"/>
        </w:rPr>
      </w:pPr>
      <w:r>
        <w:rPr>
          <w:rFonts w:hint="eastAsia" w:ascii="Calibri" w:hAnsi="Calibri" w:eastAsia="宋体" w:cs="Times New Roman"/>
          <w:sz w:val="21"/>
          <w:szCs w:val="21"/>
        </w:rPr>
        <w:t>为能够证明学生本课程考核成绩合格，即可达到课程教学目标的要求，制定《课程教学目标考核方案一览表》，如表</w:t>
      </w:r>
      <w:r>
        <w:rPr>
          <w:rFonts w:ascii="Calibri" w:hAnsi="Calibri" w:eastAsia="宋体" w:cs="Times New Roman"/>
          <w:sz w:val="21"/>
          <w:szCs w:val="21"/>
        </w:rPr>
        <w:t>6</w:t>
      </w:r>
      <w:r>
        <w:rPr>
          <w:rFonts w:hint="eastAsia" w:ascii="Calibri" w:hAnsi="Calibri" w:eastAsia="宋体" w:cs="Times New Roman"/>
          <w:sz w:val="21"/>
          <w:szCs w:val="21"/>
        </w:rPr>
        <w:t>所示。</w:t>
      </w:r>
    </w:p>
    <w:p w14:paraId="480A9CED">
      <w:pPr>
        <w:adjustRightInd w:val="0"/>
        <w:snapToGrid w:val="0"/>
        <w:spacing w:line="360" w:lineRule="auto"/>
        <w:ind w:left="596" w:hanging="596"/>
        <w:jc w:val="center"/>
        <w:rPr>
          <w:rFonts w:ascii="Calibri" w:hAnsi="Calibri" w:eastAsia="宋体" w:cs="Times New Roman"/>
          <w:color w:val="000000"/>
          <w:sz w:val="21"/>
          <w:szCs w:val="21"/>
        </w:rPr>
      </w:pPr>
      <w:r>
        <w:rPr>
          <w:rFonts w:ascii="Calibri" w:hAnsi="Calibri" w:eastAsia="宋体" w:cs="Times New Roman"/>
          <w:color w:val="000000"/>
          <w:sz w:val="21"/>
          <w:szCs w:val="21"/>
        </w:rPr>
        <w:t>表6  课程目标考核方案一览表</w:t>
      </w:r>
    </w:p>
    <w:tbl>
      <w:tblPr>
        <w:tblStyle w:val="15"/>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937"/>
        <w:gridCol w:w="1240"/>
        <w:gridCol w:w="733"/>
        <w:gridCol w:w="4924"/>
      </w:tblGrid>
      <w:tr w14:paraId="3E58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3B4178">
            <w:pPr>
              <w:adjustRightInd w:val="0"/>
              <w:snapToGrid w:val="0"/>
              <w:jc w:val="center"/>
              <w:rPr>
                <w:rFonts w:hint="eastAsia" w:ascii="Calibri" w:hAnsi="Calibri" w:eastAsia="宋体" w:cs="Times New Roman"/>
                <w:b/>
                <w:bCs/>
                <w:color w:val="000000"/>
                <w:sz w:val="21"/>
                <w:szCs w:val="21"/>
              </w:rPr>
            </w:pPr>
            <w:r>
              <w:rPr>
                <w:rFonts w:ascii="Calibri" w:hAnsi="Calibri" w:eastAsia="宋体" w:cs="Times New Roman"/>
                <w:b/>
                <w:bCs/>
                <w:color w:val="000000"/>
                <w:sz w:val="21"/>
                <w:szCs w:val="21"/>
              </w:rPr>
              <w:t>课程支撑的毕业要求</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333498">
            <w:pPr>
              <w:adjustRightInd w:val="0"/>
              <w:snapToGrid w:val="0"/>
              <w:jc w:val="center"/>
              <w:rPr>
                <w:rFonts w:hint="eastAsia" w:ascii="Calibri" w:hAnsi="Calibri" w:eastAsia="宋体" w:cs="Times New Roman"/>
                <w:b/>
                <w:bCs/>
                <w:color w:val="000000"/>
                <w:sz w:val="21"/>
                <w:szCs w:val="21"/>
              </w:rPr>
            </w:pPr>
            <w:r>
              <w:rPr>
                <w:rFonts w:ascii="Calibri" w:hAnsi="Calibri" w:eastAsia="宋体" w:cs="Times New Roman"/>
                <w:b/>
                <w:bCs/>
                <w:color w:val="000000"/>
                <w:sz w:val="21"/>
                <w:szCs w:val="21"/>
              </w:rPr>
              <w:t>课程</w:t>
            </w:r>
            <w:r>
              <w:rPr>
                <w:rFonts w:hint="eastAsia" w:ascii="Calibri" w:hAnsi="Calibri" w:eastAsia="宋体" w:cs="Times New Roman"/>
                <w:b/>
                <w:bCs/>
                <w:color w:val="000000"/>
                <w:sz w:val="21"/>
                <w:szCs w:val="21"/>
              </w:rPr>
              <w:t>教学</w:t>
            </w:r>
            <w:r>
              <w:rPr>
                <w:rFonts w:ascii="Calibri" w:hAnsi="Calibri" w:eastAsia="宋体" w:cs="Times New Roman"/>
                <w:b/>
                <w:bCs/>
                <w:color w:val="000000"/>
                <w:sz w:val="21"/>
                <w:szCs w:val="21"/>
              </w:rPr>
              <w:t>目标</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F367C7">
            <w:pPr>
              <w:adjustRightInd w:val="0"/>
              <w:snapToGrid w:val="0"/>
              <w:jc w:val="center"/>
              <w:rPr>
                <w:rFonts w:ascii="Calibri" w:hAnsi="Calibri" w:eastAsia="宋体" w:cs="Times New Roman"/>
                <w:b/>
                <w:bCs/>
                <w:color w:val="000000"/>
                <w:sz w:val="21"/>
                <w:szCs w:val="21"/>
              </w:rPr>
            </w:pPr>
            <w:r>
              <w:rPr>
                <w:rFonts w:ascii="Calibri" w:hAnsi="Calibri" w:eastAsia="宋体" w:cs="Times New Roman"/>
                <w:b/>
                <w:bCs/>
                <w:color w:val="000000"/>
                <w:sz w:val="21"/>
                <w:szCs w:val="21"/>
              </w:rPr>
              <w:t>考核内容</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94DE1E">
            <w:pPr>
              <w:adjustRightInd w:val="0"/>
              <w:snapToGrid w:val="0"/>
              <w:jc w:val="center"/>
              <w:rPr>
                <w:rFonts w:ascii="Calibri" w:hAnsi="Calibri" w:eastAsia="宋体" w:cs="Times New Roman"/>
                <w:b/>
                <w:bCs/>
                <w:color w:val="000000"/>
                <w:sz w:val="21"/>
                <w:szCs w:val="21"/>
              </w:rPr>
            </w:pPr>
            <w:r>
              <w:rPr>
                <w:rFonts w:ascii="Calibri" w:hAnsi="Calibri" w:eastAsia="宋体" w:cs="Times New Roman"/>
                <w:b/>
                <w:bCs/>
                <w:color w:val="000000"/>
                <w:sz w:val="21"/>
                <w:szCs w:val="21"/>
              </w:rPr>
              <w:t>考核形式</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491157">
            <w:pPr>
              <w:adjustRightInd w:val="0"/>
              <w:snapToGrid w:val="0"/>
              <w:jc w:val="center"/>
              <w:rPr>
                <w:rFonts w:ascii="Calibri" w:hAnsi="Calibri" w:eastAsia="宋体" w:cs="Times New Roman"/>
                <w:b/>
                <w:bCs/>
                <w:color w:val="000000"/>
                <w:sz w:val="21"/>
                <w:szCs w:val="21"/>
              </w:rPr>
            </w:pPr>
            <w:r>
              <w:rPr>
                <w:rFonts w:ascii="Calibri" w:hAnsi="Calibri" w:eastAsia="宋体" w:cs="Times New Roman"/>
                <w:b/>
                <w:bCs/>
                <w:color w:val="000000"/>
                <w:sz w:val="21"/>
                <w:szCs w:val="21"/>
              </w:rPr>
              <w:t>考核原始材料（说明：试卷、作业、实验报告、技术报告、过程记录、实习总结等，纸质或电子稿）</w:t>
            </w:r>
          </w:p>
        </w:tc>
      </w:tr>
      <w:tr w14:paraId="6FEF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0" w:type="auto"/>
            <w:tcBorders>
              <w:left w:val="single" w:color="auto" w:sz="4" w:space="0"/>
              <w:right w:val="single" w:color="auto" w:sz="4" w:space="0"/>
            </w:tcBorders>
            <w:noWrap w:val="0"/>
            <w:vAlign w:val="center"/>
          </w:tcPr>
          <w:p w14:paraId="79C79F6F">
            <w:pPr>
              <w:adjustRightInd w:val="0"/>
              <w:snapToGrid w:val="0"/>
              <w:jc w:val="center"/>
              <w:rPr>
                <w:rFonts w:hint="eastAsia" w:ascii="Calibri" w:hAnsi="Calibri" w:eastAsia="宋体" w:cs="Times New Roman"/>
                <w:color w:val="000000"/>
                <w:sz w:val="21"/>
                <w:szCs w:val="21"/>
              </w:rPr>
            </w:pPr>
          </w:p>
        </w:tc>
        <w:tc>
          <w:tcPr>
            <w:tcW w:w="0" w:type="auto"/>
            <w:tcBorders>
              <w:top w:val="single" w:color="auto" w:sz="4" w:space="0"/>
              <w:left w:val="single" w:color="auto" w:sz="4" w:space="0"/>
              <w:right w:val="single" w:color="auto" w:sz="4" w:space="0"/>
            </w:tcBorders>
            <w:noWrap w:val="0"/>
            <w:vAlign w:val="center"/>
          </w:tcPr>
          <w:p w14:paraId="6D1F7097">
            <w:pPr>
              <w:adjustRightInd w:val="0"/>
              <w:snapToGrid w:val="0"/>
              <w:jc w:val="center"/>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目标1</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4A6560D">
            <w:pPr>
              <w:adjustRightInd w:val="0"/>
              <w:snapToGrid w:val="0"/>
              <w:jc w:val="center"/>
              <w:rPr>
                <w:rFonts w:hint="eastAsia" w:ascii="Calibri" w:hAnsi="Calibri" w:eastAsia="宋体" w:cs="Times New Roman"/>
                <w:sz w:val="21"/>
                <w:szCs w:val="21"/>
              </w:rPr>
            </w:pPr>
            <w:r>
              <w:rPr>
                <w:rFonts w:hint="eastAsia" w:ascii="Calibri" w:hAnsi="Calibri" w:eastAsia="宋体" w:cs="Times New Roman"/>
                <w:sz w:val="21"/>
                <w:szCs w:val="21"/>
              </w:rPr>
              <w:t>实验室安全相关内容</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5A5073E">
            <w:pPr>
              <w:adjustRightInd w:val="0"/>
              <w:snapToGrid w:val="0"/>
              <w:jc w:val="center"/>
              <w:rPr>
                <w:rFonts w:hint="eastAsia" w:ascii="Calibri" w:hAnsi="Calibri" w:eastAsia="宋体" w:cs="Times New Roman"/>
                <w:color w:val="000000"/>
                <w:sz w:val="21"/>
                <w:szCs w:val="21"/>
              </w:rPr>
            </w:pPr>
            <w:r>
              <w:rPr>
                <w:rFonts w:hint="eastAsia" w:ascii="Calibri" w:hAnsi="Calibri" w:eastAsia="宋体" w:cs="Times New Roman"/>
                <w:color w:val="000000"/>
                <w:sz w:val="21"/>
                <w:szCs w:val="21"/>
              </w:rPr>
              <w:t>在线答题</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0331465">
            <w:pPr>
              <w:adjustRightInd w:val="0"/>
              <w:snapToGrid w:val="0"/>
              <w:rPr>
                <w:rFonts w:hint="eastAsia" w:ascii="Calibri" w:hAnsi="Calibri" w:eastAsia="宋体" w:cs="Times New Roman"/>
                <w:color w:val="000000"/>
                <w:sz w:val="21"/>
                <w:szCs w:val="21"/>
              </w:rPr>
            </w:pPr>
            <w:r>
              <w:rPr>
                <w:rFonts w:ascii="Calibri" w:hAnsi="Calibri" w:eastAsia="宋体" w:cs="Times New Roman"/>
                <w:color w:val="000000"/>
                <w:sz w:val="21"/>
                <w:szCs w:val="21"/>
              </w:rPr>
              <w:t>平台保留随机组卷的答卷情况，实时生成考试成绩。</w:t>
            </w:r>
          </w:p>
        </w:tc>
      </w:tr>
    </w:tbl>
    <w:p w14:paraId="4B4CDCEF">
      <w:pPr>
        <w:snapToGrid w:val="0"/>
        <w:spacing w:line="360" w:lineRule="auto"/>
        <w:ind w:firstLine="482" w:firstLineChars="200"/>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六</w:t>
      </w:r>
      <w:r>
        <w:rPr>
          <w:rFonts w:hint="eastAsia" w:ascii="Times New Roman" w:hAnsi="Times New Roman" w:eastAsia="宋体" w:cs="Times New Roman"/>
          <w:b/>
          <w:sz w:val="24"/>
          <w:szCs w:val="24"/>
        </w:rPr>
        <w:t>、有关说明</w:t>
      </w:r>
    </w:p>
    <w:p w14:paraId="7AACD731">
      <w:pPr>
        <w:adjustRightInd w:val="0"/>
        <w:snapToGrid w:val="0"/>
        <w:spacing w:line="360" w:lineRule="auto"/>
        <w:ind w:firstLine="422" w:firstLineChars="200"/>
        <w:rPr>
          <w:rFonts w:ascii="Calibri" w:hAnsi="Calibri" w:eastAsia="宋体" w:cs="Times New Roman"/>
          <w:b/>
          <w:color w:val="000000"/>
          <w:sz w:val="21"/>
          <w:szCs w:val="21"/>
        </w:rPr>
      </w:pPr>
      <w:r>
        <w:rPr>
          <w:rFonts w:hint="eastAsia" w:ascii="Calibri" w:hAnsi="Calibri" w:eastAsia="宋体" w:cs="Times New Roman"/>
          <w:b/>
          <w:color w:val="000000"/>
          <w:sz w:val="21"/>
          <w:szCs w:val="21"/>
        </w:rPr>
        <w:t>（一）持续改进</w:t>
      </w:r>
    </w:p>
    <w:p w14:paraId="7EDF64A7">
      <w:pPr>
        <w:snapToGrid w:val="0"/>
        <w:spacing w:line="360" w:lineRule="auto"/>
        <w:ind w:firstLine="420" w:firstLineChars="200"/>
        <w:rPr>
          <w:rFonts w:ascii="Calibri" w:hAnsi="Calibri" w:eastAsia="宋体" w:cs="Times New Roman"/>
          <w:sz w:val="21"/>
          <w:szCs w:val="21"/>
        </w:rPr>
      </w:pPr>
      <w:r>
        <w:rPr>
          <w:rFonts w:hint="eastAsia" w:ascii="Calibri" w:hAnsi="Calibri" w:eastAsia="宋体" w:cs="Times New Roman"/>
          <w:sz w:val="21"/>
          <w:szCs w:val="21"/>
        </w:rPr>
        <w:t>加强网上资源建设，丰富习题库与案例库，注意激发学生的学习兴趣，加强对基础知识的掌握。</w:t>
      </w:r>
    </w:p>
    <w:p w14:paraId="21AACB7C">
      <w:pPr>
        <w:snapToGrid w:val="0"/>
        <w:spacing w:line="360" w:lineRule="auto"/>
        <w:ind w:firstLine="422" w:firstLineChars="200"/>
        <w:rPr>
          <w:rFonts w:hint="eastAsia" w:ascii="Calibri" w:hAnsi="Calibri" w:eastAsia="宋体" w:cs="Times New Roman"/>
          <w:b/>
          <w:color w:val="000000"/>
          <w:sz w:val="21"/>
          <w:szCs w:val="21"/>
        </w:rPr>
      </w:pPr>
      <w:r>
        <w:rPr>
          <w:rFonts w:hint="eastAsia" w:ascii="Calibri" w:hAnsi="Calibri" w:eastAsia="宋体" w:cs="Times New Roman"/>
          <w:b/>
          <w:color w:val="000000"/>
          <w:sz w:val="21"/>
          <w:szCs w:val="21"/>
        </w:rPr>
        <w:t>（二）</w:t>
      </w:r>
      <w:r>
        <w:rPr>
          <w:rFonts w:ascii="Calibri" w:hAnsi="Calibri" w:eastAsia="宋体" w:cs="Times New Roman"/>
          <w:b/>
          <w:color w:val="000000"/>
          <w:sz w:val="21"/>
          <w:szCs w:val="21"/>
        </w:rPr>
        <w:t>参考书目及学习资料</w:t>
      </w:r>
    </w:p>
    <w:p w14:paraId="36D878EE">
      <w:pPr>
        <w:autoSpaceDE w:val="0"/>
        <w:autoSpaceDN w:val="0"/>
        <w:adjustRightInd w:val="0"/>
        <w:snapToGrid w:val="0"/>
        <w:spacing w:line="360" w:lineRule="auto"/>
        <w:ind w:firstLine="420" w:firstLineChars="200"/>
        <w:jc w:val="left"/>
        <w:rPr>
          <w:rFonts w:hint="eastAsia" w:ascii="Calibri" w:hAnsi="Calibri" w:eastAsia="宋体" w:cs="Times New Roman"/>
          <w:kern w:val="0"/>
          <w:sz w:val="21"/>
          <w:szCs w:val="21"/>
        </w:rPr>
      </w:pPr>
      <w:r>
        <w:rPr>
          <w:rFonts w:hint="eastAsia" w:ascii="Calibri" w:hAnsi="Calibri" w:eastAsia="宋体" w:cs="Times New Roman"/>
          <w:kern w:val="0"/>
          <w:sz w:val="21"/>
          <w:szCs w:val="21"/>
        </w:rPr>
        <w:t>1</w:t>
      </w:r>
      <w:r>
        <w:rPr>
          <w:rFonts w:ascii="Calibri" w:hAnsi="Calibri" w:eastAsia="宋体" w:cs="Times New Roman"/>
          <w:kern w:val="0"/>
          <w:sz w:val="21"/>
          <w:szCs w:val="21"/>
        </w:rPr>
        <w:t>.</w:t>
      </w:r>
      <w:r>
        <w:rPr>
          <w:rFonts w:hint="eastAsia" w:ascii="Calibri" w:hAnsi="Calibri" w:eastAsia="宋体" w:cs="Times New Roman"/>
          <w:sz w:val="21"/>
          <w:szCs w:val="21"/>
        </w:rPr>
        <w:t xml:space="preserve"> </w:t>
      </w:r>
      <w:r>
        <w:rPr>
          <w:rFonts w:hint="eastAsia" w:ascii="Calibri" w:hAnsi="Calibri" w:eastAsia="宋体" w:cs="Times New Roman"/>
          <w:kern w:val="0"/>
          <w:sz w:val="21"/>
          <w:szCs w:val="21"/>
        </w:rPr>
        <w:t>《新时代大学生安全教育》，宋卓充、程星晶、顾英，清华大学出版社， 20</w:t>
      </w:r>
      <w:r>
        <w:rPr>
          <w:rFonts w:ascii="Calibri" w:hAnsi="Calibri" w:eastAsia="宋体" w:cs="Times New Roman"/>
          <w:kern w:val="0"/>
          <w:sz w:val="21"/>
          <w:szCs w:val="21"/>
        </w:rPr>
        <w:t>24</w:t>
      </w:r>
      <w:r>
        <w:rPr>
          <w:rFonts w:hint="eastAsia" w:ascii="Calibri" w:hAnsi="Calibri" w:eastAsia="宋体" w:cs="Times New Roman"/>
          <w:kern w:val="0"/>
          <w:sz w:val="21"/>
          <w:szCs w:val="21"/>
        </w:rPr>
        <w:t>年第一版；</w:t>
      </w:r>
    </w:p>
    <w:p w14:paraId="1706FD44">
      <w:pPr>
        <w:autoSpaceDE w:val="0"/>
        <w:autoSpaceDN w:val="0"/>
        <w:adjustRightInd w:val="0"/>
        <w:snapToGrid w:val="0"/>
        <w:spacing w:line="360" w:lineRule="auto"/>
        <w:ind w:firstLine="420" w:firstLineChars="200"/>
        <w:jc w:val="left"/>
        <w:rPr>
          <w:rFonts w:ascii="Calibri" w:hAnsi="Calibri" w:eastAsia="宋体" w:cs="Times New Roman"/>
          <w:kern w:val="0"/>
          <w:sz w:val="21"/>
          <w:szCs w:val="21"/>
        </w:rPr>
      </w:pPr>
      <w:r>
        <w:rPr>
          <w:rFonts w:hint="eastAsia" w:ascii="Calibri" w:hAnsi="Calibri" w:eastAsia="宋体" w:cs="Times New Roman"/>
          <w:kern w:val="0"/>
          <w:sz w:val="21"/>
          <w:szCs w:val="21"/>
        </w:rPr>
        <w:t>2．《实验室安全知识手册》，王传虎，吕思斌，安徽大学出版社，2018年第一版；</w:t>
      </w:r>
    </w:p>
    <w:p w14:paraId="68E0CC37">
      <w:pPr>
        <w:autoSpaceDE w:val="0"/>
        <w:autoSpaceDN w:val="0"/>
        <w:adjustRightInd w:val="0"/>
        <w:snapToGrid w:val="0"/>
        <w:spacing w:line="360" w:lineRule="auto"/>
        <w:ind w:firstLine="420" w:firstLineChars="200"/>
        <w:jc w:val="left"/>
        <w:rPr>
          <w:rFonts w:hint="eastAsia" w:ascii="Calibri" w:hAnsi="Calibri" w:eastAsia="宋体" w:cs="Times New Roman"/>
          <w:kern w:val="0"/>
          <w:sz w:val="21"/>
          <w:szCs w:val="21"/>
        </w:rPr>
      </w:pPr>
      <w:r>
        <w:rPr>
          <w:rFonts w:hint="eastAsia" w:ascii="Calibri" w:hAnsi="Calibri" w:eastAsia="宋体" w:cs="Times New Roman"/>
          <w:kern w:val="0"/>
          <w:sz w:val="21"/>
          <w:szCs w:val="21"/>
        </w:rPr>
        <w:t>3．</w:t>
      </w:r>
      <w:r>
        <w:rPr>
          <w:rFonts w:ascii="Calibri" w:hAnsi="Calibri" w:eastAsia="宋体" w:cs="Times New Roman"/>
          <w:kern w:val="0"/>
          <w:sz w:val="21"/>
          <w:szCs w:val="21"/>
        </w:rPr>
        <w:t>《高校实验室安全教育》，阳富强，化</w:t>
      </w:r>
      <w:r>
        <w:rPr>
          <w:rFonts w:hint="eastAsia" w:ascii="Calibri" w:hAnsi="Calibri" w:eastAsia="宋体" w:cs="Times New Roman"/>
          <w:kern w:val="0"/>
          <w:sz w:val="21"/>
          <w:szCs w:val="21"/>
        </w:rPr>
        <w:t>学</w:t>
      </w:r>
      <w:r>
        <w:rPr>
          <w:rFonts w:ascii="Calibri" w:hAnsi="Calibri" w:eastAsia="宋体" w:cs="Times New Roman"/>
          <w:kern w:val="0"/>
          <w:sz w:val="21"/>
          <w:szCs w:val="21"/>
        </w:rPr>
        <w:t>工业出版社，</w:t>
      </w:r>
      <w:r>
        <w:rPr>
          <w:rFonts w:hint="eastAsia" w:ascii="Calibri" w:hAnsi="Calibri" w:eastAsia="宋体" w:cs="Times New Roman"/>
          <w:kern w:val="0"/>
          <w:sz w:val="21"/>
          <w:szCs w:val="21"/>
        </w:rPr>
        <w:t>2</w:t>
      </w:r>
      <w:r>
        <w:rPr>
          <w:rFonts w:ascii="Calibri" w:hAnsi="Calibri" w:eastAsia="宋体" w:cs="Times New Roman"/>
          <w:kern w:val="0"/>
          <w:sz w:val="21"/>
          <w:szCs w:val="21"/>
        </w:rPr>
        <w:t>024年第一版</w:t>
      </w:r>
    </w:p>
    <w:p w14:paraId="2AB542CE">
      <w:pPr>
        <w:autoSpaceDE w:val="0"/>
        <w:autoSpaceDN w:val="0"/>
        <w:adjustRightInd w:val="0"/>
        <w:snapToGrid w:val="0"/>
        <w:spacing w:line="360" w:lineRule="auto"/>
        <w:ind w:firstLine="420" w:firstLineChars="200"/>
        <w:jc w:val="left"/>
        <w:rPr>
          <w:rFonts w:hint="eastAsia" w:ascii="Calibri" w:hAnsi="Calibri" w:eastAsia="宋体" w:cs="Times New Roman"/>
          <w:kern w:val="0"/>
          <w:sz w:val="21"/>
          <w:szCs w:val="21"/>
        </w:rPr>
      </w:pPr>
      <w:r>
        <w:rPr>
          <w:rFonts w:hint="eastAsia" w:ascii="Calibri" w:hAnsi="Calibri" w:eastAsia="宋体" w:cs="Times New Roman"/>
          <w:kern w:val="0"/>
          <w:sz w:val="21"/>
          <w:szCs w:val="21"/>
        </w:rPr>
        <w:t>4．《高校实验室安全基础教程》，李文杰、黄妙龄、王名宫，化学工业出版社，2</w:t>
      </w:r>
      <w:r>
        <w:rPr>
          <w:rFonts w:ascii="Calibri" w:hAnsi="Calibri" w:eastAsia="宋体" w:cs="Times New Roman"/>
          <w:kern w:val="0"/>
          <w:sz w:val="21"/>
          <w:szCs w:val="21"/>
        </w:rPr>
        <w:t>024年第一版</w:t>
      </w:r>
    </w:p>
    <w:p w14:paraId="68C509B5">
      <w:pPr>
        <w:autoSpaceDE w:val="0"/>
        <w:autoSpaceDN w:val="0"/>
        <w:adjustRightInd w:val="0"/>
        <w:snapToGrid w:val="0"/>
        <w:spacing w:line="360" w:lineRule="auto"/>
        <w:ind w:firstLine="420" w:firstLineChars="200"/>
        <w:jc w:val="left"/>
        <w:rPr>
          <w:rFonts w:ascii="Calibri" w:hAnsi="Calibri" w:eastAsia="宋体" w:cs="Times New Roman"/>
          <w:sz w:val="21"/>
          <w:szCs w:val="21"/>
        </w:rPr>
      </w:pPr>
      <w:r>
        <w:rPr>
          <w:rFonts w:ascii="Calibri" w:hAnsi="Calibri" w:eastAsia="宋体" w:cs="Times New Roman"/>
          <w:kern w:val="0"/>
          <w:sz w:val="21"/>
          <w:szCs w:val="21"/>
        </w:rPr>
        <w:t>3</w:t>
      </w:r>
      <w:r>
        <w:rPr>
          <w:rFonts w:hint="eastAsia" w:ascii="Calibri" w:hAnsi="Calibri" w:eastAsia="宋体" w:cs="Times New Roman"/>
          <w:kern w:val="0"/>
          <w:sz w:val="21"/>
          <w:szCs w:val="21"/>
        </w:rPr>
        <w:t xml:space="preserve">. </w:t>
      </w:r>
      <w:r>
        <w:rPr>
          <w:rFonts w:ascii="Calibri" w:hAnsi="Calibri" w:eastAsia="宋体" w:cs="Times New Roman"/>
          <w:sz w:val="21"/>
          <w:szCs w:val="21"/>
        </w:rPr>
        <w:t>数字化教学</w:t>
      </w:r>
      <w:r>
        <w:rPr>
          <w:rFonts w:hint="eastAsia" w:ascii="Calibri" w:hAnsi="Calibri" w:eastAsia="宋体" w:cs="Times New Roman"/>
          <w:sz w:val="21"/>
          <w:szCs w:val="21"/>
        </w:rPr>
        <w:t>资源</w:t>
      </w:r>
      <w:r>
        <w:rPr>
          <w:rFonts w:ascii="Calibri" w:hAnsi="Calibri" w:eastAsia="宋体" w:cs="Times New Roman"/>
          <w:sz w:val="21"/>
          <w:szCs w:val="21"/>
        </w:rPr>
        <w:t>链接</w:t>
      </w:r>
    </w:p>
    <w:p w14:paraId="36EBAC6F">
      <w:pPr>
        <w:autoSpaceDE w:val="0"/>
        <w:autoSpaceDN w:val="0"/>
        <w:adjustRightInd w:val="0"/>
        <w:snapToGrid w:val="0"/>
        <w:spacing w:line="360" w:lineRule="auto"/>
        <w:ind w:firstLine="420" w:firstLineChars="200"/>
        <w:jc w:val="left"/>
        <w:rPr>
          <w:rFonts w:ascii="Calibri" w:hAnsi="Calibri" w:eastAsia="宋体" w:cs="Times New Roman"/>
          <w:sz w:val="21"/>
          <w:szCs w:val="21"/>
        </w:rPr>
      </w:pPr>
      <w:r>
        <w:rPr>
          <w:rFonts w:hint="eastAsia" w:ascii="Calibri" w:hAnsi="Calibri" w:eastAsia="宋体" w:cs="Times New Roman"/>
          <w:sz w:val="21"/>
          <w:szCs w:val="21"/>
        </w:rPr>
        <w:t>电脑端登录：http://211.70.98.220/pc/，手机端登录：http://211.70. 98.220 / Mobile/</w:t>
      </w:r>
    </w:p>
    <w:p w14:paraId="4222D3C4">
      <w:pPr>
        <w:autoSpaceDE w:val="0"/>
        <w:autoSpaceDN w:val="0"/>
        <w:adjustRightInd w:val="0"/>
        <w:spacing w:line="360" w:lineRule="auto"/>
        <w:ind w:firstLine="5250" w:firstLineChars="2500"/>
        <w:jc w:val="right"/>
        <w:rPr>
          <w:rFonts w:hint="eastAsia" w:ascii="Calibri" w:hAnsi="Calibri" w:eastAsia="宋体" w:cs="Times New Roman"/>
          <w:kern w:val="0"/>
          <w:sz w:val="21"/>
          <w:szCs w:val="21"/>
        </w:rPr>
      </w:pPr>
      <w:r>
        <w:rPr>
          <w:rFonts w:hint="eastAsia" w:ascii="Calibri" w:hAnsi="Calibri" w:eastAsia="宋体" w:cs="Times New Roman"/>
          <w:kern w:val="0"/>
          <w:sz w:val="21"/>
          <w:szCs w:val="21"/>
        </w:rPr>
        <w:t xml:space="preserve">执笔人：王文娟 </w:t>
      </w:r>
    </w:p>
    <w:p w14:paraId="2471C92F">
      <w:pPr>
        <w:autoSpaceDE w:val="0"/>
        <w:autoSpaceDN w:val="0"/>
        <w:adjustRightInd w:val="0"/>
        <w:spacing w:line="360" w:lineRule="auto"/>
        <w:ind w:firstLine="5250" w:firstLineChars="2500"/>
        <w:jc w:val="right"/>
        <w:rPr>
          <w:rFonts w:hint="eastAsia" w:ascii="Calibri" w:hAnsi="Calibri" w:eastAsia="宋体" w:cs="Times New Roman"/>
          <w:kern w:val="0"/>
          <w:sz w:val="21"/>
          <w:szCs w:val="21"/>
        </w:rPr>
      </w:pPr>
      <w:r>
        <w:rPr>
          <w:rFonts w:hint="eastAsia" w:ascii="Calibri" w:hAnsi="Calibri" w:eastAsia="宋体" w:cs="Times New Roman"/>
          <w:kern w:val="0"/>
          <w:sz w:val="21"/>
          <w:szCs w:val="21"/>
        </w:rPr>
        <w:t xml:space="preserve">审定人：常 </w:t>
      </w:r>
      <w:r>
        <w:rPr>
          <w:rFonts w:ascii="Calibri" w:hAnsi="Calibri" w:eastAsia="宋体" w:cs="Times New Roman"/>
          <w:kern w:val="0"/>
          <w:sz w:val="21"/>
          <w:szCs w:val="21"/>
        </w:rPr>
        <w:t xml:space="preserve"> </w:t>
      </w:r>
      <w:r>
        <w:rPr>
          <w:rFonts w:hint="eastAsia" w:ascii="Calibri" w:hAnsi="Calibri" w:eastAsia="宋体" w:cs="Times New Roman"/>
          <w:kern w:val="0"/>
          <w:sz w:val="21"/>
          <w:szCs w:val="21"/>
        </w:rPr>
        <w:t xml:space="preserve">睿 </w:t>
      </w:r>
    </w:p>
    <w:p w14:paraId="2992A9AF">
      <w:pPr>
        <w:wordWrap w:val="0"/>
        <w:autoSpaceDE w:val="0"/>
        <w:autoSpaceDN w:val="0"/>
        <w:adjustRightInd w:val="0"/>
        <w:spacing w:line="360" w:lineRule="auto"/>
        <w:ind w:firstLine="5250" w:firstLineChars="2500"/>
        <w:jc w:val="right"/>
        <w:rPr>
          <w:rFonts w:hint="eastAsia" w:ascii="Calibri" w:hAnsi="Calibri" w:eastAsia="宋体" w:cs="Times New Roman"/>
          <w:kern w:val="0"/>
          <w:sz w:val="21"/>
          <w:szCs w:val="21"/>
        </w:rPr>
      </w:pPr>
      <w:r>
        <w:rPr>
          <w:rFonts w:hint="eastAsia" w:ascii="Calibri" w:hAnsi="Calibri" w:eastAsia="宋体" w:cs="Times New Roman"/>
          <w:kern w:val="0"/>
          <w:sz w:val="21"/>
          <w:szCs w:val="21"/>
        </w:rPr>
        <w:t>审批人：潘雪涛</w:t>
      </w:r>
    </w:p>
    <w:p w14:paraId="6EFE1A36">
      <w:pPr>
        <w:wordWrap/>
        <w:autoSpaceDE w:val="0"/>
        <w:autoSpaceDN w:val="0"/>
        <w:adjustRightInd w:val="0"/>
        <w:spacing w:line="360" w:lineRule="auto"/>
        <w:ind w:firstLine="5250" w:firstLineChars="2500"/>
        <w:jc w:val="right"/>
        <w:rPr>
          <w:rFonts w:hint="default"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审批时间：2025年8月</w:t>
      </w:r>
    </w:p>
    <w:p w14:paraId="32B5484D">
      <w:pPr>
        <w:keepNext w:val="0"/>
        <w:keepLines w:val="0"/>
        <w:pageBreakBefore w:val="0"/>
        <w:widowControl w:val="0"/>
        <w:kinsoku/>
        <w:wordWrap/>
        <w:overflowPunct/>
        <w:topLinePunct w:val="0"/>
        <w:autoSpaceDE/>
        <w:autoSpaceDN/>
        <w:bidi w:val="0"/>
        <w:adjustRightInd/>
        <w:snapToGrid/>
        <w:spacing w:line="312" w:lineRule="auto"/>
        <w:ind w:right="240"/>
        <w:jc w:val="both"/>
        <w:textAlignment w:val="auto"/>
        <w:rPr>
          <w:rFonts w:hint="default"/>
          <w:color w:val="auto"/>
          <w:sz w:val="21"/>
          <w:szCs w:val="21"/>
          <w:lang w:val="en-US" w:eastAsia="zh-CN"/>
        </w:rPr>
      </w:pPr>
      <w:r>
        <w:rPr>
          <w:rFonts w:hint="eastAsia"/>
          <w:color w:val="auto"/>
          <w:sz w:val="21"/>
          <w:szCs w:val="21"/>
          <w:lang w:val="en-US" w:eastAsia="zh-CN"/>
        </w:rPr>
        <w:br w:type="page"/>
      </w:r>
    </w:p>
    <w:p w14:paraId="6D16544B">
      <w:pPr>
        <w:spacing w:line="360" w:lineRule="auto"/>
        <w:jc w:val="center"/>
        <w:outlineLvl w:val="0"/>
        <w:rPr>
          <w:rFonts w:hint="eastAsia" w:ascii="Times New Roman" w:hAnsi="Times New Roman" w:eastAsia="宋体" w:cs="Times New Roman"/>
          <w:b/>
          <w:sz w:val="44"/>
          <w:szCs w:val="44"/>
        </w:rPr>
      </w:pPr>
      <w:bookmarkStart w:id="136" w:name="_Toc3047"/>
      <w:r>
        <w:rPr>
          <w:rFonts w:hint="eastAsia" w:ascii="Times New Roman" w:hAnsi="Times New Roman" w:eastAsia="宋体" w:cs="Times New Roman"/>
          <w:b/>
          <w:sz w:val="44"/>
          <w:szCs w:val="44"/>
        </w:rPr>
        <w:t>《经典阅读与学术素养》课程教学大纲</w:t>
      </w:r>
      <w:bookmarkEnd w:id="132"/>
      <w:bookmarkEnd w:id="136"/>
    </w:p>
    <w:p w14:paraId="0CACB1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（Classic Reading and Academic Literacy）</w:t>
      </w:r>
    </w:p>
    <w:p w14:paraId="58194675">
      <w:pPr>
        <w:spacing w:line="360" w:lineRule="auto"/>
        <w:jc w:val="left"/>
        <w:rPr>
          <w:rFonts w:ascii="Times New Roman" w:hAnsi="Times New Roman" w:eastAsia="宋体" w:cs="Times New Roman"/>
          <w:bCs/>
          <w:color w:val="auto"/>
          <w:sz w:val="21"/>
          <w:szCs w:val="21"/>
        </w:rPr>
      </w:pPr>
    </w:p>
    <w:p w14:paraId="422408B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w:t>
      </w:r>
      <w:r>
        <w:rPr>
          <w:rFonts w:ascii="Times New Roman" w:hAnsi="Times New Roman" w:eastAsia="宋体" w:cs="Times New Roman"/>
          <w:b/>
          <w:sz w:val="24"/>
        </w:rPr>
        <w:t>经典阅读与学术素养</w:t>
      </w:r>
    </w:p>
    <w:p w14:paraId="7B706F4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2400004</w:t>
      </w:r>
    </w:p>
    <w:p w14:paraId="236B276E">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60D4790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5233179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w:t>
      </w:r>
      <w:r>
        <w:rPr>
          <w:rFonts w:ascii="Times New Roman" w:hAnsi="Times New Roman" w:eastAsia="宋体" w:cs="Times New Roman"/>
          <w:b/>
          <w:sz w:val="24"/>
        </w:rPr>
        <w:t>小学心理学、教育原理、教育心理学、中国教育史、外国教育史、教育哲学</w:t>
      </w:r>
    </w:p>
    <w:p w14:paraId="0D1D0235">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346C72B0">
      <w:pPr>
        <w:spacing w:before="62" w:beforeLines="20" w:after="62" w:afterLines="20" w:line="360" w:lineRule="auto"/>
        <w:jc w:val="left"/>
        <w:rPr>
          <w:rFonts w:ascii="Times New Roman" w:hAnsi="Times New Roman" w:eastAsia="宋体" w:cs="Times New Roman"/>
          <w:b/>
          <w:sz w:val="24"/>
        </w:rPr>
      </w:pPr>
      <w:bookmarkStart w:id="137" w:name="_Toc19566"/>
      <w:bookmarkStart w:id="138" w:name="_Toc21360"/>
      <w:bookmarkStart w:id="139" w:name="_Toc26368"/>
      <w:bookmarkStart w:id="140" w:name="_Toc20528"/>
      <w:bookmarkStart w:id="141" w:name="_Toc3100"/>
      <w:bookmarkStart w:id="142" w:name="_Toc17459"/>
      <w:bookmarkStart w:id="143" w:name="_Toc26841"/>
      <w:r>
        <w:rPr>
          <w:rFonts w:hint="eastAsia" w:ascii="Times New Roman" w:hAnsi="Times New Roman" w:eastAsia="宋体" w:cs="Times New Roman"/>
          <w:b/>
          <w:sz w:val="24"/>
        </w:rPr>
        <w:t>一、课程简介</w:t>
      </w:r>
      <w:bookmarkEnd w:id="137"/>
      <w:bookmarkEnd w:id="138"/>
      <w:bookmarkEnd w:id="139"/>
      <w:bookmarkEnd w:id="140"/>
      <w:bookmarkEnd w:id="141"/>
      <w:bookmarkEnd w:id="142"/>
      <w:bookmarkEnd w:id="143"/>
    </w:p>
    <w:p w14:paraId="3F789085">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本课程旨在培养小学教育专业学生的经典阅读能力和学术素养。通过课程学习，学生将能够：掌握经典阅读的方法和技巧；提高独立思考和批判性思维能力；培养学术研究意识和学术规范意识；提升人文素养和综合素质。</w:t>
      </w:r>
    </w:p>
    <w:p w14:paraId="0F4D1C34">
      <w:pPr>
        <w:spacing w:before="62" w:beforeLines="20" w:after="62" w:afterLines="20" w:line="360" w:lineRule="auto"/>
        <w:jc w:val="left"/>
        <w:rPr>
          <w:rFonts w:ascii="Times New Roman" w:hAnsi="Times New Roman" w:eastAsia="宋体" w:cs="Times New Roman"/>
          <w:b/>
          <w:sz w:val="24"/>
        </w:rPr>
      </w:pPr>
      <w:bookmarkStart w:id="144" w:name="_Toc27624"/>
      <w:bookmarkStart w:id="145" w:name="_Toc26303"/>
      <w:bookmarkStart w:id="146" w:name="_Toc5697"/>
      <w:bookmarkStart w:id="147" w:name="_Toc28585"/>
      <w:bookmarkStart w:id="148" w:name="_Toc8802"/>
      <w:bookmarkStart w:id="149" w:name="_Toc5969"/>
      <w:bookmarkStart w:id="150" w:name="_Toc14794"/>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144"/>
      <w:bookmarkEnd w:id="145"/>
      <w:bookmarkEnd w:id="146"/>
      <w:bookmarkEnd w:id="147"/>
      <w:bookmarkEnd w:id="148"/>
      <w:bookmarkEnd w:id="149"/>
      <w:bookmarkEnd w:id="150"/>
    </w:p>
    <w:p w14:paraId="1C3FC139">
      <w:pPr>
        <w:spacing w:line="360" w:lineRule="auto"/>
        <w:ind w:firstLine="422" w:firstLineChars="200"/>
        <w:outlineLvl w:val="1"/>
        <w:rPr>
          <w:rFonts w:hint="eastAsia" w:ascii="宋体" w:hAnsi="宋体" w:eastAsia="宋体" w:cs="Times New Roman"/>
          <w:b/>
          <w:szCs w:val="21"/>
        </w:rPr>
      </w:pPr>
      <w:bookmarkStart w:id="151" w:name="_Toc25934"/>
      <w:bookmarkStart w:id="152" w:name="_Toc5030"/>
      <w:r>
        <w:rPr>
          <w:rFonts w:hint="eastAsia" w:ascii="宋体" w:hAnsi="宋体" w:eastAsia="宋体" w:cs="Times New Roman"/>
          <w:b/>
          <w:szCs w:val="21"/>
        </w:rPr>
        <w:t>（一）课程具体目标</w:t>
      </w:r>
      <w:bookmarkEnd w:id="151"/>
      <w:bookmarkEnd w:id="152"/>
    </w:p>
    <w:p w14:paraId="54E4626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Times New Roman" w:hAnsi="Times New Roman" w:eastAsia="宋体" w:cs="Times New Roman"/>
          <w:bCs/>
          <w:szCs w:val="21"/>
        </w:rPr>
      </w:pPr>
      <w:r>
        <w:rPr>
          <w:rFonts w:ascii="Times New Roman" w:hAnsi="Times New Roman" w:eastAsia="宋体" w:cs="Times New Roman"/>
          <w:b/>
          <w:szCs w:val="21"/>
        </w:rPr>
        <w:t>目标1：</w:t>
      </w:r>
      <w:r>
        <w:rPr>
          <w:rFonts w:ascii="Times New Roman" w:hAnsi="Times New Roman" w:eastAsia="宋体" w:cs="Times New Roman"/>
          <w:bCs/>
          <w:szCs w:val="21"/>
        </w:rPr>
        <w:t>熟练掌握经典文献的阅读方法与技巧，深化理解与鉴赏能力。致力于熟练掌握各类经典文献的阅读方法与技巧，通过细致入微的分析与解读，深化对文献内容的理解，同时提升对文学、历史、哲学等经典作品的鉴赏能力，形成独到的见解与感悟。</w:t>
      </w:r>
    </w:p>
    <w:p w14:paraId="589EDF5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Times New Roman" w:hAnsi="Times New Roman" w:eastAsia="宋体" w:cs="Times New Roman"/>
          <w:bCs/>
          <w:szCs w:val="21"/>
        </w:rPr>
      </w:pPr>
      <w:r>
        <w:rPr>
          <w:rFonts w:ascii="Times New Roman" w:hAnsi="Times New Roman" w:eastAsia="宋体" w:cs="Times New Roman"/>
          <w:b/>
          <w:szCs w:val="21"/>
        </w:rPr>
        <w:t>目标2：</w:t>
      </w:r>
      <w:r>
        <w:rPr>
          <w:rFonts w:ascii="Times New Roman" w:hAnsi="Times New Roman" w:eastAsia="宋体" w:cs="Times New Roman"/>
          <w:bCs/>
          <w:szCs w:val="21"/>
        </w:rPr>
        <w:t>强化独立思考与批判性思维，培养理性审视问题的能力</w:t>
      </w:r>
      <w:r>
        <w:rPr>
          <w:rFonts w:hint="eastAsia" w:ascii="Times New Roman" w:hAnsi="Times New Roman" w:eastAsia="宋体" w:cs="Times New Roman"/>
          <w:bCs/>
          <w:szCs w:val="21"/>
        </w:rPr>
        <w:t>。</w:t>
      </w:r>
      <w:r>
        <w:rPr>
          <w:rFonts w:ascii="Times New Roman" w:hAnsi="Times New Roman" w:eastAsia="宋体" w:cs="Times New Roman"/>
          <w:bCs/>
          <w:szCs w:val="21"/>
        </w:rPr>
        <w:t>着重增强个体的独立思考能力，通过系统的训练与实践，培养严谨的批判性思维模式。鼓励以理性、客观的态度审视问题，勇于质疑、善于分析，形成独立而深刻的见解。</w:t>
      </w:r>
    </w:p>
    <w:p w14:paraId="61EA8D47">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Times New Roman" w:hAnsi="Times New Roman" w:eastAsia="宋体" w:cs="Times New Roman"/>
          <w:bCs/>
          <w:szCs w:val="21"/>
        </w:rPr>
      </w:pPr>
      <w:r>
        <w:rPr>
          <w:rFonts w:ascii="Times New Roman" w:hAnsi="Times New Roman" w:eastAsia="宋体" w:cs="Times New Roman"/>
          <w:b/>
          <w:szCs w:val="21"/>
        </w:rPr>
        <w:t>目标3：</w:t>
      </w:r>
      <w:r>
        <w:rPr>
          <w:rFonts w:ascii="Times New Roman" w:hAnsi="Times New Roman" w:eastAsia="宋体" w:cs="Times New Roman"/>
          <w:bCs/>
          <w:szCs w:val="21"/>
        </w:rPr>
        <w:t>树立学术研究意识，恪守学术规范，提升科研素养与学术诚信。积极树立学术研究意识，深入理解学术研究的重要性与价值。在科研过程中，严格遵守学术规范，保持高度的学术诚信，不断提升自身的科研素养，为学术研究的深入与发展贡献力量。</w:t>
      </w:r>
    </w:p>
    <w:p w14:paraId="7E3ACEF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Times New Roman" w:hAnsi="Times New Roman" w:eastAsia="宋体" w:cs="Times New Roman"/>
          <w:bCs/>
          <w:szCs w:val="21"/>
        </w:rPr>
      </w:pPr>
      <w:r>
        <w:rPr>
          <w:rFonts w:ascii="Times New Roman" w:hAnsi="Times New Roman" w:eastAsia="宋体" w:cs="Times New Roman"/>
          <w:b/>
          <w:szCs w:val="21"/>
        </w:rPr>
        <w:t>目标4：</w:t>
      </w:r>
      <w:r>
        <w:rPr>
          <w:rFonts w:ascii="Times New Roman" w:hAnsi="Times New Roman" w:eastAsia="宋体" w:cs="Times New Roman"/>
          <w:bCs/>
          <w:szCs w:val="21"/>
        </w:rPr>
        <w:t>全面提升人文素养，拓宽知识视野，强化综合素质，促进个人全面发展。通过广泛阅读、深入学习，拓宽知识视野，增强对人文、社会、科学等多领域的了解与认识。同时，注重强化综合素质的培养，包括沟通能力、团队协作能力、创新能力等，以促进个人的全面发展与成长。</w:t>
      </w:r>
    </w:p>
    <w:p w14:paraId="31236C7E">
      <w:pPr>
        <w:keepNext w:val="0"/>
        <w:keepLines w:val="0"/>
        <w:pageBreakBefore w:val="0"/>
        <w:widowControl w:val="0"/>
        <w:kinsoku/>
        <w:wordWrap/>
        <w:overflowPunct/>
        <w:topLinePunct w:val="0"/>
        <w:autoSpaceDE/>
        <w:autoSpaceDN/>
        <w:bidi w:val="0"/>
        <w:adjustRightInd/>
        <w:snapToGrid/>
        <w:spacing w:line="360" w:lineRule="auto"/>
        <w:ind w:firstLine="198"/>
        <w:jc w:val="left"/>
        <w:textAlignment w:val="auto"/>
        <w:outlineLvl w:val="1"/>
        <w:rPr>
          <w:rFonts w:ascii="Times New Roman" w:hAnsi="Times New Roman" w:eastAsia="宋体" w:cs="Times New Roman"/>
          <w:b/>
          <w:bCs/>
          <w:szCs w:val="21"/>
        </w:rPr>
      </w:pPr>
      <w:bookmarkStart w:id="153" w:name="_Toc12775"/>
      <w:bookmarkStart w:id="154" w:name="_Toc20106"/>
      <w:r>
        <w:rPr>
          <w:rFonts w:hint="eastAsia" w:ascii="Times New Roman" w:hAnsi="Times New Roman" w:eastAsia="宋体" w:cs="Times New Roman"/>
          <w:b/>
          <w:bCs/>
          <w:szCs w:val="21"/>
        </w:rPr>
        <w:t>（二）课程目标及其对毕业要求指标点的支撑</w:t>
      </w:r>
      <w:bookmarkEnd w:id="153"/>
      <w:bookmarkEnd w:id="154"/>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552"/>
        <w:gridCol w:w="1327"/>
      </w:tblGrid>
      <w:tr w14:paraId="0911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705FA9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552" w:type="dxa"/>
            <w:vAlign w:val="center"/>
          </w:tcPr>
          <w:p w14:paraId="7B6C0E8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327" w:type="dxa"/>
            <w:vAlign w:val="center"/>
          </w:tcPr>
          <w:p w14:paraId="7B766BC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CB7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6182793">
            <w:pPr>
              <w:widowControl/>
              <w:rPr>
                <w:rFonts w:hint="eastAsia" w:ascii="宋体" w:hAnsi="宋体" w:eastAsia="宋体" w:cs="Times New Roman"/>
                <w:szCs w:val="23"/>
              </w:rPr>
            </w:pPr>
            <w:r>
              <w:rPr>
                <w:rFonts w:ascii="宋体" w:hAnsi="宋体" w:eastAsia="宋体" w:cs="Times New Roman"/>
                <w:kern w:val="0"/>
                <w:szCs w:val="21"/>
              </w:rPr>
              <w:t>毕业要求2</w:t>
            </w:r>
            <w:r>
              <w:rPr>
                <w:rFonts w:ascii="宋体" w:hAnsi="宋体" w:eastAsia="宋体" w:cs="Times New Roman"/>
                <w:szCs w:val="23"/>
              </w:rPr>
              <w:t>教育情怀</w:t>
            </w:r>
          </w:p>
        </w:tc>
        <w:tc>
          <w:tcPr>
            <w:tcW w:w="5552" w:type="dxa"/>
            <w:vAlign w:val="center"/>
          </w:tcPr>
          <w:p w14:paraId="17B33B60">
            <w:pPr>
              <w:spacing w:line="276" w:lineRule="auto"/>
              <w:jc w:val="left"/>
              <w:rPr>
                <w:rFonts w:hint="eastAsia" w:ascii="宋体" w:hAnsi="宋体" w:eastAsia="宋体" w:cs="Times New Roman"/>
                <w:szCs w:val="21"/>
              </w:rPr>
            </w:pPr>
            <w:r>
              <w:rPr>
                <w:rFonts w:hint="eastAsia" w:ascii="宋体" w:hAnsi="宋体" w:cs="宋体"/>
                <w:b/>
                <w:kern w:val="0"/>
                <w:sz w:val="20"/>
                <w:szCs w:val="20"/>
                <w:lang w:eastAsia="zh-CN"/>
              </w:rPr>
              <w:t>指标点2-3</w:t>
            </w:r>
            <w:r>
              <w:rPr>
                <w:rFonts w:hint="eastAsia" w:ascii="宋体" w:hAnsi="宋体" w:cs="宋体"/>
                <w:sz w:val="20"/>
                <w:szCs w:val="20"/>
              </w:rPr>
              <w:t>：【自身修养良好】具有较好的人文</w:t>
            </w:r>
            <w:r>
              <w:rPr>
                <w:rFonts w:hint="eastAsia" w:cs="宋体"/>
                <w:sz w:val="20"/>
                <w:szCs w:val="20"/>
              </w:rPr>
              <w:t>艺术</w:t>
            </w:r>
            <w:r>
              <w:rPr>
                <w:rFonts w:hint="eastAsia" w:ascii="宋体" w:hAnsi="宋体" w:cs="宋体"/>
                <w:sz w:val="20"/>
                <w:szCs w:val="20"/>
              </w:rPr>
              <w:t>底蕴与科学精神，言行举止符合教师职业标准，情感积极，人格健全，身心健康。</w:t>
            </w:r>
          </w:p>
        </w:tc>
        <w:tc>
          <w:tcPr>
            <w:tcW w:w="1327" w:type="dxa"/>
            <w:vAlign w:val="center"/>
          </w:tcPr>
          <w:p w14:paraId="51F986D9">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课程目标3</w:t>
            </w:r>
          </w:p>
        </w:tc>
      </w:tr>
      <w:tr w14:paraId="12BA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7D7F85A">
            <w:pPr>
              <w:rPr>
                <w:rFonts w:hint="eastAsia" w:ascii="宋体" w:hAnsi="宋体" w:eastAsia="宋体" w:cs="Times New Roman"/>
                <w:szCs w:val="23"/>
              </w:rPr>
            </w:pPr>
            <w:r>
              <w:rPr>
                <w:rFonts w:ascii="宋体" w:hAnsi="宋体" w:eastAsia="宋体" w:cs="Times New Roman"/>
                <w:kern w:val="0"/>
                <w:szCs w:val="21"/>
              </w:rPr>
              <w:t>毕业要求3学科</w:t>
            </w:r>
            <w:r>
              <w:rPr>
                <w:rFonts w:ascii="宋体" w:hAnsi="宋体" w:eastAsia="宋体" w:cs="Times New Roman"/>
                <w:szCs w:val="23"/>
              </w:rPr>
              <w:t>素养</w:t>
            </w:r>
          </w:p>
        </w:tc>
        <w:tc>
          <w:tcPr>
            <w:tcW w:w="5552" w:type="dxa"/>
            <w:vAlign w:val="center"/>
          </w:tcPr>
          <w:p w14:paraId="435F6A7D">
            <w:pPr>
              <w:spacing w:line="276" w:lineRule="auto"/>
              <w:jc w:val="left"/>
              <w:rPr>
                <w:rFonts w:hint="eastAsia" w:ascii="宋体" w:hAnsi="宋体" w:eastAsia="宋体" w:cs="Times New Roman"/>
                <w:szCs w:val="21"/>
              </w:rPr>
            </w:pPr>
            <w:r>
              <w:rPr>
                <w:rFonts w:hint="eastAsia" w:ascii="宋体" w:hAnsi="宋体" w:cs="宋体"/>
                <w:b/>
                <w:kern w:val="0"/>
                <w:sz w:val="20"/>
                <w:szCs w:val="20"/>
                <w:lang w:eastAsia="zh-CN"/>
              </w:rPr>
              <w:t>指标点3-1</w:t>
            </w:r>
            <w:r>
              <w:rPr>
                <w:rFonts w:hint="eastAsia" w:ascii="宋体" w:hAnsi="宋体" w:cs="宋体"/>
                <w:sz w:val="20"/>
                <w:szCs w:val="20"/>
              </w:rPr>
              <w:t>：【通识知识广博】具有小学教育本科专业相应的自然科学和人文社会科学知识素养。</w:t>
            </w:r>
          </w:p>
        </w:tc>
        <w:tc>
          <w:tcPr>
            <w:tcW w:w="1327" w:type="dxa"/>
            <w:vAlign w:val="center"/>
          </w:tcPr>
          <w:p w14:paraId="3E85166D">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课程目标1</w:t>
            </w:r>
          </w:p>
        </w:tc>
      </w:tr>
      <w:tr w14:paraId="3412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A378155">
            <w:pPr>
              <w:rPr>
                <w:rFonts w:hint="eastAsia" w:ascii="宋体" w:hAnsi="宋体" w:eastAsia="宋体" w:cs="Times New Roman"/>
                <w:kern w:val="0"/>
                <w:szCs w:val="21"/>
              </w:rPr>
            </w:pPr>
            <w:r>
              <w:rPr>
                <w:rFonts w:ascii="宋体" w:hAnsi="宋体" w:eastAsia="宋体" w:cs="Times New Roman"/>
                <w:kern w:val="0"/>
                <w:szCs w:val="21"/>
              </w:rPr>
              <w:t>毕业要求7学会反思</w:t>
            </w:r>
          </w:p>
        </w:tc>
        <w:tc>
          <w:tcPr>
            <w:tcW w:w="5552" w:type="dxa"/>
            <w:vAlign w:val="center"/>
          </w:tcPr>
          <w:p w14:paraId="0E693DA0">
            <w:pPr>
              <w:spacing w:line="276" w:lineRule="auto"/>
              <w:jc w:val="left"/>
              <w:rPr>
                <w:rFonts w:hint="eastAsia" w:ascii="宋体" w:hAnsi="宋体" w:eastAsia="宋体" w:cs="Times New Roman"/>
                <w:szCs w:val="21"/>
              </w:rPr>
            </w:pPr>
            <w:r>
              <w:rPr>
                <w:rFonts w:hint="eastAsia" w:ascii="宋体" w:hAnsi="宋体" w:eastAsia="宋体" w:cs="Times New Roman"/>
                <w:b/>
                <w:kern w:val="0"/>
                <w:szCs w:val="21"/>
                <w:lang w:eastAsia="zh-CN"/>
              </w:rPr>
              <w:t>指标点7-1</w:t>
            </w:r>
            <w:r>
              <w:rPr>
                <w:rFonts w:hint="eastAsia" w:ascii="宋体" w:hAnsi="宋体" w:eastAsia="宋体" w:cs="Times New Roman"/>
                <w:kern w:val="0"/>
                <w:szCs w:val="21"/>
              </w:rPr>
              <w:t>：【教育视野开阔】积极关注基础教育领域的国内外交流进展，了解国内外基础教育改革发展的动态，具有宽广的教育视野，能够主动适应新时代和教育发展需求。</w:t>
            </w:r>
          </w:p>
        </w:tc>
        <w:tc>
          <w:tcPr>
            <w:tcW w:w="1327" w:type="dxa"/>
            <w:vAlign w:val="center"/>
          </w:tcPr>
          <w:p w14:paraId="766DC8E3">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课程目标2</w:t>
            </w:r>
          </w:p>
          <w:p w14:paraId="6CC09B48">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课程目标4</w:t>
            </w:r>
          </w:p>
        </w:tc>
      </w:tr>
    </w:tbl>
    <w:p w14:paraId="335E4773">
      <w:pPr>
        <w:spacing w:before="156" w:beforeLines="50" w:line="360" w:lineRule="auto"/>
        <w:ind w:firstLine="420"/>
        <w:jc w:val="left"/>
        <w:outlineLvl w:val="1"/>
        <w:rPr>
          <w:rFonts w:hint="eastAsia" w:ascii="宋体" w:hAnsi="宋体" w:eastAsia="宋体" w:cs="Times New Roman"/>
          <w:b/>
          <w:szCs w:val="21"/>
        </w:rPr>
      </w:pPr>
      <w:bookmarkStart w:id="155" w:name="_Toc7017"/>
      <w:bookmarkStart w:id="156" w:name="_Toc29852"/>
      <w:r>
        <w:rPr>
          <w:rFonts w:hint="eastAsia" w:ascii="宋体" w:hAnsi="宋体" w:eastAsia="宋体" w:cs="Times New Roman"/>
          <w:b/>
          <w:szCs w:val="21"/>
        </w:rPr>
        <w:t>（三）课程思政目标</w:t>
      </w:r>
      <w:bookmarkEnd w:id="155"/>
      <w:bookmarkEnd w:id="156"/>
    </w:p>
    <w:p w14:paraId="42E7CDA9">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51C99FCA">
      <w:pPr>
        <w:spacing w:before="62" w:beforeLines="20" w:after="62" w:afterLines="20" w:line="360" w:lineRule="auto"/>
        <w:jc w:val="left"/>
        <w:rPr>
          <w:rFonts w:ascii="Times New Roman" w:hAnsi="Times New Roman" w:eastAsia="宋体" w:cs="Times New Roman"/>
          <w:b/>
          <w:sz w:val="24"/>
        </w:rPr>
      </w:pPr>
      <w:bookmarkStart w:id="157" w:name="_Toc2578"/>
      <w:bookmarkStart w:id="158" w:name="_Toc24838"/>
      <w:bookmarkStart w:id="159" w:name="_Toc22619"/>
      <w:bookmarkStart w:id="160" w:name="_Toc5099"/>
      <w:bookmarkStart w:id="161" w:name="_Toc31556"/>
      <w:bookmarkStart w:id="162" w:name="_Toc29841"/>
      <w:bookmarkStart w:id="163" w:name="_Toc21656"/>
      <w:r>
        <w:rPr>
          <w:rFonts w:hint="eastAsia" w:ascii="Times New Roman" w:hAnsi="Times New Roman" w:eastAsia="宋体" w:cs="Times New Roman"/>
          <w:b/>
          <w:sz w:val="24"/>
        </w:rPr>
        <w:t>三、教学内容与预期学习成效</w:t>
      </w:r>
      <w:bookmarkEnd w:id="157"/>
      <w:bookmarkEnd w:id="158"/>
      <w:bookmarkEnd w:id="159"/>
      <w:bookmarkEnd w:id="160"/>
      <w:bookmarkEnd w:id="161"/>
      <w:bookmarkEnd w:id="162"/>
      <w:bookmarkEnd w:id="163"/>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342"/>
        <w:gridCol w:w="3052"/>
        <w:gridCol w:w="1560"/>
        <w:gridCol w:w="438"/>
      </w:tblGrid>
      <w:tr w14:paraId="7A05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F03E897">
            <w:pPr>
              <w:jc w:val="center"/>
              <w:rPr>
                <w:rFonts w:hint="eastAsia" w:ascii="宋体" w:hAnsi="宋体" w:eastAsia="宋体" w:cs="Times New Roman"/>
                <w:b/>
                <w:szCs w:val="21"/>
              </w:rPr>
            </w:pPr>
            <w:r>
              <w:rPr>
                <w:rFonts w:hint="eastAsia" w:ascii="宋体" w:hAnsi="宋体" w:eastAsia="宋体" w:cs="Times New Roman"/>
                <w:b/>
                <w:szCs w:val="21"/>
              </w:rPr>
              <w:t>知识</w:t>
            </w:r>
          </w:p>
          <w:p w14:paraId="13FECB64">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701" w:type="dxa"/>
            <w:vAlign w:val="center"/>
          </w:tcPr>
          <w:p w14:paraId="30CD6956">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342" w:type="dxa"/>
            <w:vAlign w:val="center"/>
          </w:tcPr>
          <w:p w14:paraId="534ECFF3">
            <w:pPr>
              <w:jc w:val="center"/>
              <w:rPr>
                <w:rFonts w:hint="eastAsia" w:ascii="宋体" w:hAnsi="宋体" w:eastAsia="宋体" w:cs="Times New Roman"/>
                <w:b/>
                <w:szCs w:val="21"/>
              </w:rPr>
            </w:pPr>
            <w:r>
              <w:rPr>
                <w:rFonts w:hint="eastAsia" w:ascii="宋体" w:hAnsi="宋体" w:eastAsia="宋体" w:cs="Times New Roman"/>
                <w:b/>
                <w:szCs w:val="21"/>
              </w:rPr>
              <w:t>对应</w:t>
            </w:r>
          </w:p>
          <w:p w14:paraId="118C709A">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052" w:type="dxa"/>
            <w:vAlign w:val="center"/>
          </w:tcPr>
          <w:p w14:paraId="53C876D2">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4C833CF1">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61C5BD8B">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2AA8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D8386EB">
            <w:pPr>
              <w:spacing w:line="264" w:lineRule="auto"/>
              <w:rPr>
                <w:rFonts w:hint="eastAsia" w:ascii="宋体" w:hAnsi="宋体" w:eastAsia="宋体" w:cs="Times New Roman"/>
                <w:szCs w:val="21"/>
              </w:rPr>
            </w:pPr>
            <w:r>
              <w:rPr>
                <w:rFonts w:hint="eastAsia" w:ascii="宋体" w:hAnsi="宋体" w:eastAsia="宋体" w:cs="Times New Roman"/>
                <w:szCs w:val="21"/>
              </w:rPr>
              <w:t>1.阅读方法与技巧模块</w:t>
            </w:r>
          </w:p>
        </w:tc>
        <w:tc>
          <w:tcPr>
            <w:tcW w:w="1701" w:type="dxa"/>
            <w:vAlign w:val="center"/>
          </w:tcPr>
          <w:p w14:paraId="79DBBCCF">
            <w:pPr>
              <w:spacing w:line="269" w:lineRule="auto"/>
              <w:jc w:val="left"/>
              <w:rPr>
                <w:rFonts w:hint="eastAsia" w:ascii="宋体" w:hAnsi="宋体" w:eastAsia="宋体" w:cs="Times New Roman"/>
                <w:szCs w:val="21"/>
              </w:rPr>
            </w:pPr>
            <w:r>
              <w:rPr>
                <w:rFonts w:hint="eastAsia" w:ascii="宋体" w:hAnsi="宋体" w:eastAsia="宋体" w:cs="Times New Roman"/>
                <w:szCs w:val="21"/>
              </w:rPr>
              <w:t>介绍常用的阅读方法和技巧，如泛读、精读、略读等，帮助学生掌握如何高效地阅读不同类型的文献。</w:t>
            </w:r>
          </w:p>
        </w:tc>
        <w:tc>
          <w:tcPr>
            <w:tcW w:w="1342" w:type="dxa"/>
            <w:vAlign w:val="center"/>
          </w:tcPr>
          <w:p w14:paraId="7DE7506D">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课程目标1</w:t>
            </w:r>
          </w:p>
        </w:tc>
        <w:tc>
          <w:tcPr>
            <w:tcW w:w="3052" w:type="dxa"/>
            <w:vAlign w:val="center"/>
          </w:tcPr>
          <w:p w14:paraId="2E054FEC">
            <w:pPr>
              <w:spacing w:line="269" w:lineRule="auto"/>
              <w:rPr>
                <w:rFonts w:hint="eastAsia" w:ascii="宋体" w:hAnsi="宋体" w:eastAsia="宋体" w:cs="Times New Roman"/>
                <w:szCs w:val="21"/>
              </w:rPr>
            </w:pPr>
            <w:r>
              <w:rPr>
                <w:rFonts w:hint="eastAsia" w:ascii="宋体" w:hAnsi="宋体" w:eastAsia="宋体" w:cs="Times New Roman"/>
                <w:szCs w:val="21"/>
              </w:rPr>
              <w:t>理解课程的基本概念、理论和方法，为后续学习打下基础。利用网络资源进行自主学习和拓展阅读，提高学习效果和综合素质。</w:t>
            </w:r>
            <w:r>
              <w:rPr>
                <w:rFonts w:ascii="宋体" w:hAnsi="宋体" w:eastAsia="宋体" w:cs="Times New Roman"/>
                <w:szCs w:val="21"/>
              </w:rPr>
              <w:t>随着阅读经验的积累，学生的阅读速度将会提高，同时保持对文本内容的准确理解。这种能力的提升将使他们能够在有限的时间内阅读更多的材料，获取更多的信息。</w:t>
            </w:r>
          </w:p>
        </w:tc>
        <w:tc>
          <w:tcPr>
            <w:tcW w:w="1560" w:type="dxa"/>
            <w:vAlign w:val="center"/>
          </w:tcPr>
          <w:p w14:paraId="1CD7E0FC">
            <w:pPr>
              <w:spacing w:line="269" w:lineRule="auto"/>
              <w:jc w:val="left"/>
              <w:rPr>
                <w:rFonts w:hint="eastAsia" w:ascii="宋体" w:hAnsi="宋体" w:eastAsia="宋体" w:cs="Times New Roman"/>
                <w:szCs w:val="21"/>
              </w:rPr>
            </w:pPr>
            <w:r>
              <w:rPr>
                <w:rFonts w:hint="eastAsia" w:ascii="宋体" w:hAnsi="宋体" w:eastAsia="宋体" w:cs="Times New Roman"/>
                <w:szCs w:val="21"/>
              </w:rPr>
              <w:t>1.线上学习</w:t>
            </w:r>
          </w:p>
          <w:p w14:paraId="20DEEBA1">
            <w:pPr>
              <w:spacing w:line="269" w:lineRule="auto"/>
              <w:jc w:val="left"/>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23024F4A">
            <w:pPr>
              <w:spacing w:line="269" w:lineRule="auto"/>
              <w:jc w:val="center"/>
              <w:rPr>
                <w:rFonts w:hint="eastAsia" w:ascii="宋体" w:hAnsi="宋体" w:eastAsia="宋体" w:cs="Times New Roman"/>
                <w:szCs w:val="21"/>
              </w:rPr>
            </w:pPr>
            <w:r>
              <w:rPr>
                <w:rFonts w:hint="eastAsia" w:ascii="宋体" w:hAnsi="宋体" w:eastAsia="宋体" w:cs="Times New Roman"/>
                <w:szCs w:val="21"/>
              </w:rPr>
              <w:t>8</w:t>
            </w:r>
          </w:p>
        </w:tc>
      </w:tr>
      <w:tr w14:paraId="637F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F70467B">
            <w:pPr>
              <w:spacing w:line="264" w:lineRule="auto"/>
              <w:jc w:val="center"/>
              <w:rPr>
                <w:rFonts w:hint="eastAsia" w:ascii="宋体" w:hAnsi="宋体" w:eastAsia="宋体" w:cs="Times New Roman"/>
                <w:szCs w:val="21"/>
              </w:rPr>
            </w:pPr>
          </w:p>
        </w:tc>
        <w:tc>
          <w:tcPr>
            <w:tcW w:w="8093" w:type="dxa"/>
            <w:gridSpan w:val="5"/>
            <w:vAlign w:val="center"/>
          </w:tcPr>
          <w:p w14:paraId="314C9F12">
            <w:pPr>
              <w:spacing w:line="269" w:lineRule="auto"/>
              <w:rPr>
                <w:rFonts w:hint="eastAsia" w:ascii="宋体" w:hAnsi="宋体" w:eastAsia="宋体" w:cs="Times New Roman"/>
                <w:bCs/>
                <w:szCs w:val="21"/>
              </w:rPr>
            </w:pPr>
            <w:r>
              <w:rPr>
                <w:rFonts w:hint="eastAsia" w:ascii="宋体" w:hAnsi="宋体" w:eastAsia="宋体" w:cs="Times New Roman"/>
                <w:b/>
                <w:szCs w:val="21"/>
              </w:rPr>
              <w:t>课程思政目标：</w:t>
            </w:r>
            <w:r>
              <w:rPr>
                <w:rFonts w:hint="eastAsia" w:ascii="宋体" w:hAnsi="宋体" w:eastAsia="宋体" w:cs="Times New Roman"/>
                <w:bCs/>
                <w:szCs w:val="21"/>
              </w:rPr>
              <w:t>了解</w:t>
            </w:r>
            <w:r>
              <w:rPr>
                <w:rFonts w:ascii="宋体" w:hAnsi="宋体" w:eastAsia="宋体" w:cs="Times New Roman"/>
                <w:bCs/>
                <w:szCs w:val="21"/>
              </w:rPr>
              <w:t>阅读方法和技巧的重要性，养成自主学习的习惯</w:t>
            </w:r>
            <w:r>
              <w:rPr>
                <w:rFonts w:hint="eastAsia" w:ascii="宋体" w:hAnsi="宋体" w:eastAsia="宋体" w:cs="Times New Roman"/>
                <w:bCs/>
                <w:szCs w:val="21"/>
              </w:rPr>
              <w:t>，并</w:t>
            </w:r>
            <w:r>
              <w:rPr>
                <w:rFonts w:ascii="宋体" w:hAnsi="宋体" w:eastAsia="宋体" w:cs="Times New Roman"/>
                <w:bCs/>
                <w:szCs w:val="21"/>
              </w:rPr>
              <w:t>学会利用图书馆、网络资源等，提高信息检索和筛选能力。</w:t>
            </w:r>
          </w:p>
        </w:tc>
      </w:tr>
      <w:tr w14:paraId="14BC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5B3524F">
            <w:pPr>
              <w:spacing w:line="264" w:lineRule="auto"/>
              <w:rPr>
                <w:rFonts w:hint="eastAsia" w:ascii="宋体" w:hAnsi="宋体" w:eastAsia="宋体" w:cs="Times New Roman"/>
                <w:szCs w:val="21"/>
              </w:rPr>
            </w:pPr>
            <w:r>
              <w:rPr>
                <w:rFonts w:hint="eastAsia" w:ascii="宋体" w:hAnsi="宋体" w:eastAsia="宋体" w:cs="Times New Roman"/>
                <w:szCs w:val="21"/>
              </w:rPr>
              <w:t>2.批判性思维模块</w:t>
            </w:r>
          </w:p>
        </w:tc>
        <w:tc>
          <w:tcPr>
            <w:tcW w:w="1701" w:type="dxa"/>
            <w:vAlign w:val="center"/>
          </w:tcPr>
          <w:p w14:paraId="6B696CC0">
            <w:pPr>
              <w:spacing w:line="353" w:lineRule="auto"/>
              <w:rPr>
                <w:rFonts w:hint="eastAsia" w:ascii="宋体" w:hAnsi="宋体" w:eastAsia="宋体" w:cs="Times New Roman"/>
                <w:szCs w:val="21"/>
              </w:rPr>
            </w:pPr>
            <w:r>
              <w:rPr>
                <w:rFonts w:hint="eastAsia" w:ascii="宋体" w:hAnsi="宋体" w:eastAsia="宋体" w:cs="Times New Roman"/>
                <w:szCs w:val="21"/>
              </w:rPr>
              <w:t>通过案例分析、讨论等形式，培养学生的批判性思维能力，使其能够独立思考、分析问题并提出解决方案。</w:t>
            </w:r>
          </w:p>
        </w:tc>
        <w:tc>
          <w:tcPr>
            <w:tcW w:w="1342" w:type="dxa"/>
            <w:vAlign w:val="center"/>
          </w:tcPr>
          <w:p w14:paraId="467DE99A">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课程目标2</w:t>
            </w:r>
          </w:p>
        </w:tc>
        <w:tc>
          <w:tcPr>
            <w:tcW w:w="3052" w:type="dxa"/>
            <w:vAlign w:val="center"/>
          </w:tcPr>
          <w:p w14:paraId="6777897E">
            <w:pPr>
              <w:rPr>
                <w:rFonts w:hint="eastAsia" w:ascii="宋体" w:hAnsi="宋体" w:eastAsia="宋体" w:cs="Times New Roman"/>
                <w:szCs w:val="21"/>
              </w:rPr>
            </w:pPr>
            <w:r>
              <w:rPr>
                <w:rFonts w:hint="eastAsia" w:ascii="宋体" w:hAnsi="宋体" w:eastAsia="宋体" w:cs="Times New Roman"/>
                <w:szCs w:val="21"/>
              </w:rPr>
              <w:t>通过分析真实的经典阅读和学术研究案例，帮助学生将理论知识应用于实际情境。</w:t>
            </w:r>
          </w:p>
        </w:tc>
        <w:tc>
          <w:tcPr>
            <w:tcW w:w="1560" w:type="dxa"/>
            <w:vAlign w:val="center"/>
          </w:tcPr>
          <w:p w14:paraId="6FE28ABA">
            <w:pPr>
              <w:spacing w:line="269" w:lineRule="auto"/>
              <w:jc w:val="left"/>
              <w:rPr>
                <w:rFonts w:hint="eastAsia" w:ascii="宋体" w:hAnsi="宋体" w:eastAsia="宋体" w:cs="Times New Roman"/>
                <w:szCs w:val="21"/>
              </w:rPr>
            </w:pPr>
            <w:r>
              <w:rPr>
                <w:rFonts w:hint="eastAsia" w:ascii="宋体" w:hAnsi="宋体" w:eastAsia="宋体" w:cs="Times New Roman"/>
                <w:szCs w:val="21"/>
              </w:rPr>
              <w:t>1.线上学习</w:t>
            </w:r>
          </w:p>
          <w:p w14:paraId="60F0E73F">
            <w:pPr>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14E44876">
            <w:pPr>
              <w:spacing w:line="269" w:lineRule="auto"/>
              <w:jc w:val="center"/>
              <w:rPr>
                <w:rFonts w:hint="eastAsia" w:ascii="宋体" w:hAnsi="宋体" w:eastAsia="宋体" w:cs="Times New Roman"/>
                <w:szCs w:val="21"/>
              </w:rPr>
            </w:pPr>
            <w:r>
              <w:rPr>
                <w:rFonts w:hint="eastAsia" w:ascii="宋体" w:hAnsi="宋体" w:eastAsia="宋体" w:cs="Times New Roman"/>
                <w:szCs w:val="21"/>
              </w:rPr>
              <w:t>8</w:t>
            </w:r>
          </w:p>
        </w:tc>
      </w:tr>
      <w:tr w14:paraId="7D94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1367695">
            <w:pPr>
              <w:spacing w:line="264" w:lineRule="auto"/>
              <w:jc w:val="center"/>
              <w:rPr>
                <w:rFonts w:hint="eastAsia" w:ascii="宋体" w:hAnsi="宋体" w:eastAsia="宋体" w:cs="Times New Roman"/>
                <w:szCs w:val="21"/>
              </w:rPr>
            </w:pPr>
          </w:p>
        </w:tc>
        <w:tc>
          <w:tcPr>
            <w:tcW w:w="8093" w:type="dxa"/>
            <w:gridSpan w:val="5"/>
            <w:vAlign w:val="center"/>
          </w:tcPr>
          <w:p w14:paraId="416FEAED">
            <w:pPr>
              <w:spacing w:line="269" w:lineRule="auto"/>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通过阅读不同类型的文献，学会独立思考，对信息进行批判性分析，不盲目接受</w:t>
            </w:r>
            <w:r>
              <w:rPr>
                <w:rFonts w:hint="eastAsia" w:ascii="宋体" w:hAnsi="宋体" w:eastAsia="宋体" w:cs="Times New Roman"/>
                <w:szCs w:val="21"/>
              </w:rPr>
              <w:t>，善于</w:t>
            </w:r>
            <w:r>
              <w:rPr>
                <w:rFonts w:ascii="宋体" w:hAnsi="宋体" w:eastAsia="宋体" w:cs="Times New Roman"/>
                <w:szCs w:val="21"/>
              </w:rPr>
              <w:t>提出自己的见解，培养质疑精神和创新思维。</w:t>
            </w:r>
          </w:p>
        </w:tc>
      </w:tr>
      <w:tr w14:paraId="2982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E5FA0D0">
            <w:pPr>
              <w:spacing w:line="353" w:lineRule="auto"/>
              <w:rPr>
                <w:rFonts w:hint="eastAsia" w:ascii="宋体" w:hAnsi="宋体" w:eastAsia="宋体" w:cs="Times New Roman"/>
                <w:szCs w:val="21"/>
              </w:rPr>
            </w:pPr>
            <w:r>
              <w:rPr>
                <w:rFonts w:hint="eastAsia" w:ascii="宋体" w:hAnsi="宋体" w:eastAsia="宋体" w:cs="Times New Roman"/>
                <w:szCs w:val="21"/>
              </w:rPr>
              <w:t>3．学术研究规范模块</w:t>
            </w:r>
          </w:p>
        </w:tc>
        <w:tc>
          <w:tcPr>
            <w:tcW w:w="1701" w:type="dxa"/>
            <w:vAlign w:val="center"/>
          </w:tcPr>
          <w:p w14:paraId="75A90E05">
            <w:pPr>
              <w:spacing w:line="269" w:lineRule="auto"/>
              <w:jc w:val="left"/>
              <w:rPr>
                <w:rFonts w:hint="eastAsia" w:ascii="宋体" w:hAnsi="宋体" w:eastAsia="宋体" w:cs="Times New Roman"/>
                <w:szCs w:val="21"/>
              </w:rPr>
            </w:pPr>
            <w:r>
              <w:rPr>
                <w:rFonts w:hint="eastAsia" w:ascii="宋体" w:hAnsi="宋体" w:eastAsia="宋体" w:cs="Times New Roman"/>
                <w:szCs w:val="21"/>
              </w:rPr>
              <w:t>介绍学术研究的基本规范和要求，包括学术诚信、引用规范、论文撰写等，帮助学生树立良好的学术道德和规范意识。</w:t>
            </w:r>
          </w:p>
        </w:tc>
        <w:tc>
          <w:tcPr>
            <w:tcW w:w="1342" w:type="dxa"/>
            <w:vAlign w:val="center"/>
          </w:tcPr>
          <w:p w14:paraId="718BDA70">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课程目标3</w:t>
            </w:r>
          </w:p>
        </w:tc>
        <w:tc>
          <w:tcPr>
            <w:tcW w:w="3052" w:type="dxa"/>
            <w:vAlign w:val="center"/>
          </w:tcPr>
          <w:p w14:paraId="1D47E803">
            <w:pPr>
              <w:spacing w:line="269" w:lineRule="auto"/>
              <w:rPr>
                <w:rFonts w:hint="eastAsia" w:ascii="宋体" w:hAnsi="宋体" w:eastAsia="宋体" w:cs="Times New Roman"/>
                <w:szCs w:val="21"/>
              </w:rPr>
            </w:pPr>
            <w:r>
              <w:rPr>
                <w:rFonts w:hint="eastAsia" w:ascii="宋体" w:hAnsi="宋体" w:eastAsia="宋体" w:cs="Times New Roman"/>
                <w:szCs w:val="21"/>
              </w:rPr>
              <w:t>鼓励学生分组进行讨论，分享阅读体验和思考，培养学生的合作意识和沟通能力。组织学生进行经典阅读实践，撰写读书笔记、论文等，培养学生的实践能力和学术规范意识。</w:t>
            </w:r>
          </w:p>
        </w:tc>
        <w:tc>
          <w:tcPr>
            <w:tcW w:w="1560" w:type="dxa"/>
            <w:vAlign w:val="center"/>
          </w:tcPr>
          <w:p w14:paraId="6A9C6F2A">
            <w:pPr>
              <w:spacing w:line="269" w:lineRule="auto"/>
              <w:jc w:val="left"/>
              <w:rPr>
                <w:rFonts w:hint="eastAsia" w:ascii="宋体" w:hAnsi="宋体" w:eastAsia="宋体" w:cs="Times New Roman"/>
                <w:szCs w:val="21"/>
              </w:rPr>
            </w:pPr>
            <w:r>
              <w:rPr>
                <w:rFonts w:hint="eastAsia" w:ascii="宋体" w:hAnsi="宋体" w:eastAsia="宋体" w:cs="Times New Roman"/>
                <w:szCs w:val="21"/>
              </w:rPr>
              <w:t>1.线上学习</w:t>
            </w:r>
          </w:p>
          <w:p w14:paraId="0E618151">
            <w:pPr>
              <w:spacing w:line="269" w:lineRule="auto"/>
              <w:jc w:val="left"/>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4DAAB8D9">
            <w:pPr>
              <w:spacing w:line="269" w:lineRule="auto"/>
              <w:jc w:val="center"/>
              <w:rPr>
                <w:rFonts w:hint="eastAsia" w:ascii="宋体" w:hAnsi="宋体" w:eastAsia="宋体" w:cs="Times New Roman"/>
                <w:szCs w:val="21"/>
              </w:rPr>
            </w:pPr>
            <w:r>
              <w:rPr>
                <w:rFonts w:hint="eastAsia" w:ascii="宋体" w:hAnsi="宋体" w:eastAsia="宋体" w:cs="Times New Roman"/>
                <w:szCs w:val="21"/>
              </w:rPr>
              <w:t>8</w:t>
            </w:r>
          </w:p>
        </w:tc>
      </w:tr>
      <w:tr w14:paraId="04EA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22DA508">
            <w:pPr>
              <w:spacing w:line="264" w:lineRule="auto"/>
              <w:jc w:val="center"/>
              <w:rPr>
                <w:rFonts w:hint="eastAsia" w:ascii="宋体" w:hAnsi="宋体" w:eastAsia="宋体" w:cs="Times New Roman"/>
                <w:szCs w:val="21"/>
              </w:rPr>
            </w:pPr>
          </w:p>
        </w:tc>
        <w:tc>
          <w:tcPr>
            <w:tcW w:w="8093" w:type="dxa"/>
            <w:gridSpan w:val="5"/>
            <w:vAlign w:val="center"/>
          </w:tcPr>
          <w:p w14:paraId="2C20E47F">
            <w:pPr>
              <w:spacing w:line="269" w:lineRule="auto"/>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w:t>
            </w:r>
            <w:r>
              <w:rPr>
                <w:rFonts w:hint="eastAsia" w:ascii="宋体" w:hAnsi="宋体" w:eastAsia="宋体" w:cs="Times New Roman"/>
                <w:szCs w:val="21"/>
              </w:rPr>
              <w:t>撰写读书笔记和报告、论文等，从而培养自身的实践能力和学术规范意识。</w:t>
            </w:r>
          </w:p>
        </w:tc>
      </w:tr>
      <w:tr w14:paraId="0CF0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8E17CB0">
            <w:pPr>
              <w:spacing w:line="353" w:lineRule="auto"/>
              <w:rPr>
                <w:rFonts w:hint="eastAsia" w:ascii="宋体" w:hAnsi="宋体" w:eastAsia="宋体" w:cs="Times New Roman"/>
                <w:szCs w:val="21"/>
              </w:rPr>
            </w:pPr>
            <w:r>
              <w:rPr>
                <w:rFonts w:hint="eastAsia" w:ascii="宋体" w:hAnsi="宋体" w:eastAsia="宋体" w:cs="Times New Roman"/>
                <w:szCs w:val="21"/>
              </w:rPr>
              <w:t>4.经典阅读实践模块</w:t>
            </w:r>
          </w:p>
        </w:tc>
        <w:tc>
          <w:tcPr>
            <w:tcW w:w="1701" w:type="dxa"/>
            <w:vAlign w:val="center"/>
          </w:tcPr>
          <w:p w14:paraId="3D794C4C">
            <w:pPr>
              <w:spacing w:line="276" w:lineRule="auto"/>
              <w:jc w:val="left"/>
              <w:rPr>
                <w:rFonts w:hint="eastAsia" w:ascii="宋体" w:hAnsi="宋体" w:eastAsia="宋体" w:cs="Times New Roman"/>
                <w:szCs w:val="21"/>
              </w:rPr>
            </w:pPr>
            <w:r>
              <w:rPr>
                <w:rFonts w:hint="eastAsia" w:ascii="宋体" w:hAnsi="宋体" w:eastAsia="宋体" w:cs="Times New Roman"/>
                <w:szCs w:val="21"/>
              </w:rPr>
              <w:t>通过阅读经典文学作品、教育名著等，提高学生的阅读理解能力和文学鉴赏能力，同时拓展其人文视野和综合素质。</w:t>
            </w:r>
          </w:p>
        </w:tc>
        <w:tc>
          <w:tcPr>
            <w:tcW w:w="1342" w:type="dxa"/>
            <w:vAlign w:val="center"/>
          </w:tcPr>
          <w:p w14:paraId="7170C9B6">
            <w:pPr>
              <w:spacing w:line="276" w:lineRule="auto"/>
              <w:rPr>
                <w:rFonts w:hint="eastAsia" w:ascii="宋体" w:hAnsi="宋体" w:eastAsia="宋体" w:cs="Times New Roman"/>
                <w:szCs w:val="21"/>
              </w:rPr>
            </w:pPr>
            <w:r>
              <w:rPr>
                <w:rFonts w:hint="eastAsia" w:ascii="宋体" w:hAnsi="宋体" w:eastAsia="宋体" w:cs="Times New Roman"/>
                <w:szCs w:val="21"/>
              </w:rPr>
              <w:t>课程目标4</w:t>
            </w:r>
          </w:p>
        </w:tc>
        <w:tc>
          <w:tcPr>
            <w:tcW w:w="3052" w:type="dxa"/>
            <w:vAlign w:val="center"/>
          </w:tcPr>
          <w:p w14:paraId="0EF73D9C">
            <w:pPr>
              <w:spacing w:line="276" w:lineRule="auto"/>
              <w:rPr>
                <w:rFonts w:hint="eastAsia" w:ascii="宋体" w:hAnsi="宋体" w:eastAsia="宋体" w:cs="Times New Roman"/>
                <w:szCs w:val="21"/>
              </w:rPr>
            </w:pPr>
            <w:r>
              <w:rPr>
                <w:rFonts w:ascii="宋体" w:hAnsi="宋体" w:eastAsia="宋体" w:cs="Times New Roman"/>
                <w:szCs w:val="21"/>
              </w:rPr>
              <w:t>学生将能够更好地理解文本的深层含义和作者想要表达的主题思想。通过阅读，捕捉到文本中的关键信息和细节，从而更全面地理解文章的内容。</w:t>
            </w:r>
          </w:p>
          <w:p w14:paraId="3E035221">
            <w:pPr>
              <w:spacing w:line="276" w:lineRule="auto"/>
              <w:rPr>
                <w:rFonts w:hint="eastAsia" w:ascii="宋体" w:hAnsi="宋体" w:eastAsia="宋体" w:cs="Times New Roman"/>
                <w:szCs w:val="21"/>
              </w:rPr>
            </w:pPr>
            <w:r>
              <w:rPr>
                <w:rFonts w:ascii="宋体" w:hAnsi="宋体" w:eastAsia="宋体" w:cs="Times New Roman"/>
                <w:szCs w:val="21"/>
              </w:rPr>
              <w:t>经典文学作品往往蕴含着丰富的文化内涵和多元的文化视角。通过阅读这些作品，学生将能够更深入地了解不同文化背景下的社会、历史、人文等方面的知识，从而拓展自己的人文视野。</w:t>
            </w:r>
          </w:p>
          <w:p w14:paraId="20728844">
            <w:pPr>
              <w:spacing w:line="276" w:lineRule="auto"/>
              <w:rPr>
                <w:rFonts w:hint="eastAsia" w:ascii="宋体" w:hAnsi="宋体" w:eastAsia="宋体" w:cs="Times New Roman"/>
                <w:szCs w:val="21"/>
              </w:rPr>
            </w:pPr>
            <w:r>
              <w:rPr>
                <w:rFonts w:ascii="宋体" w:hAnsi="宋体" w:eastAsia="宋体" w:cs="Times New Roman"/>
                <w:szCs w:val="21"/>
              </w:rPr>
              <w:t>学生将能够更好地理解他人的情感和经历，培养自己的同理心和社会责任感。</w:t>
            </w:r>
          </w:p>
        </w:tc>
        <w:tc>
          <w:tcPr>
            <w:tcW w:w="1560" w:type="dxa"/>
            <w:vAlign w:val="center"/>
          </w:tcPr>
          <w:p w14:paraId="64E26F18">
            <w:pPr>
              <w:spacing w:line="269" w:lineRule="auto"/>
              <w:jc w:val="left"/>
              <w:rPr>
                <w:rFonts w:hint="eastAsia" w:ascii="宋体" w:hAnsi="宋体" w:eastAsia="宋体" w:cs="Times New Roman"/>
                <w:szCs w:val="21"/>
              </w:rPr>
            </w:pPr>
            <w:r>
              <w:rPr>
                <w:rFonts w:hint="eastAsia" w:ascii="宋体" w:hAnsi="宋体" w:eastAsia="宋体" w:cs="Times New Roman"/>
                <w:szCs w:val="21"/>
              </w:rPr>
              <w:t>1.线上学习</w:t>
            </w:r>
          </w:p>
          <w:p w14:paraId="5DCCD61E">
            <w:pPr>
              <w:spacing w:line="276" w:lineRule="auto"/>
              <w:jc w:val="left"/>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163F140B">
            <w:pPr>
              <w:spacing w:line="276" w:lineRule="auto"/>
              <w:jc w:val="center"/>
              <w:rPr>
                <w:rFonts w:hint="eastAsia" w:ascii="宋体" w:hAnsi="宋体" w:eastAsia="宋体" w:cs="Times New Roman"/>
                <w:szCs w:val="21"/>
              </w:rPr>
            </w:pPr>
            <w:r>
              <w:rPr>
                <w:rFonts w:hint="eastAsia" w:ascii="宋体" w:hAnsi="宋体" w:eastAsia="宋体" w:cs="Times New Roman"/>
                <w:szCs w:val="21"/>
              </w:rPr>
              <w:t>8</w:t>
            </w:r>
          </w:p>
        </w:tc>
      </w:tr>
      <w:tr w14:paraId="2B7D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7430C35">
            <w:pPr>
              <w:spacing w:line="276" w:lineRule="auto"/>
              <w:jc w:val="center"/>
              <w:rPr>
                <w:rFonts w:hint="eastAsia" w:ascii="宋体" w:hAnsi="宋体" w:eastAsia="宋体" w:cs="Times New Roman"/>
                <w:szCs w:val="21"/>
              </w:rPr>
            </w:pPr>
          </w:p>
        </w:tc>
        <w:tc>
          <w:tcPr>
            <w:tcW w:w="8093" w:type="dxa"/>
            <w:gridSpan w:val="5"/>
            <w:vAlign w:val="center"/>
          </w:tcPr>
          <w:p w14:paraId="32380DFE">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通过阅读经典文学作品和人文社科类文献，拓宽</w:t>
            </w:r>
            <w:r>
              <w:rPr>
                <w:rFonts w:hint="eastAsia" w:ascii="宋体" w:hAnsi="宋体" w:eastAsia="宋体" w:cs="Times New Roman"/>
                <w:szCs w:val="21"/>
              </w:rPr>
              <w:t>自身</w:t>
            </w:r>
            <w:r>
              <w:rPr>
                <w:rFonts w:ascii="宋体" w:hAnsi="宋体" w:eastAsia="宋体" w:cs="Times New Roman"/>
                <w:szCs w:val="21"/>
              </w:rPr>
              <w:t>的文化视野，增强对多元文化的理解和尊重</w:t>
            </w:r>
            <w:r>
              <w:rPr>
                <w:rFonts w:hint="eastAsia" w:ascii="宋体" w:hAnsi="宋体" w:eastAsia="宋体" w:cs="Times New Roman"/>
                <w:szCs w:val="21"/>
              </w:rPr>
              <w:t>，并</w:t>
            </w:r>
            <w:r>
              <w:rPr>
                <w:rFonts w:ascii="宋体" w:hAnsi="宋体" w:eastAsia="宋体" w:cs="Times New Roman"/>
                <w:szCs w:val="21"/>
              </w:rPr>
              <w:t>培养审美情趣和道德观念，促进全面发展。</w:t>
            </w:r>
          </w:p>
        </w:tc>
      </w:tr>
    </w:tbl>
    <w:p w14:paraId="0D8B6559">
      <w:pPr>
        <w:spacing w:before="62" w:beforeLines="20" w:after="62" w:afterLines="20" w:line="360" w:lineRule="auto"/>
        <w:jc w:val="left"/>
        <w:rPr>
          <w:rFonts w:ascii="Times New Roman" w:hAnsi="Times New Roman" w:eastAsia="宋体" w:cs="Times New Roman"/>
          <w:b/>
          <w:sz w:val="24"/>
        </w:rPr>
      </w:pPr>
      <w:bookmarkStart w:id="164" w:name="_Toc19447"/>
      <w:bookmarkStart w:id="165" w:name="_Toc24403"/>
      <w:bookmarkStart w:id="166" w:name="_Toc4571"/>
      <w:bookmarkStart w:id="167" w:name="_Toc9742"/>
      <w:bookmarkStart w:id="168" w:name="_Toc3491"/>
      <w:bookmarkStart w:id="169" w:name="_Toc29112"/>
      <w:bookmarkStart w:id="170" w:name="_Toc16467"/>
      <w:r>
        <w:rPr>
          <w:rFonts w:hint="eastAsia" w:ascii="Times New Roman" w:hAnsi="Times New Roman" w:eastAsia="宋体" w:cs="Times New Roman"/>
          <w:b/>
          <w:sz w:val="24"/>
        </w:rPr>
        <w:t>四、目标评价与成绩评定</w:t>
      </w:r>
      <w:bookmarkEnd w:id="164"/>
      <w:bookmarkEnd w:id="165"/>
      <w:bookmarkEnd w:id="166"/>
      <w:bookmarkEnd w:id="167"/>
      <w:bookmarkEnd w:id="168"/>
      <w:bookmarkEnd w:id="169"/>
      <w:bookmarkEnd w:id="170"/>
    </w:p>
    <w:p w14:paraId="37BBCB25">
      <w:pPr>
        <w:spacing w:line="360" w:lineRule="auto"/>
        <w:ind w:firstLine="420"/>
        <w:jc w:val="left"/>
        <w:outlineLvl w:val="1"/>
        <w:rPr>
          <w:rFonts w:ascii="Times New Roman" w:hAnsi="Times New Roman" w:eastAsia="宋体" w:cs="Times New Roman"/>
          <w:b/>
          <w:szCs w:val="21"/>
        </w:rPr>
      </w:pPr>
      <w:bookmarkStart w:id="171" w:name="_Toc4926"/>
      <w:bookmarkStart w:id="172" w:name="_Toc23086"/>
      <w:r>
        <w:rPr>
          <w:rFonts w:hint="eastAsia" w:ascii="Times New Roman" w:hAnsi="Times New Roman" w:eastAsia="宋体" w:cs="Times New Roman"/>
          <w:b/>
          <w:szCs w:val="21"/>
        </w:rPr>
        <w:t>（一）课程目标评价方式</w:t>
      </w:r>
      <w:bookmarkEnd w:id="171"/>
      <w:bookmarkEnd w:id="172"/>
    </w:p>
    <w:p w14:paraId="3A6D0CA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p w14:paraId="773DC831">
      <w:pPr>
        <w:spacing w:line="360" w:lineRule="auto"/>
        <w:ind w:firstLine="420" w:firstLineChars="200"/>
        <w:jc w:val="left"/>
        <w:rPr>
          <w:rFonts w:ascii="Times New Roman" w:hAnsi="Times New Roman" w:eastAsia="宋体" w:cs="Times New Roman"/>
          <w:szCs w:val="21"/>
        </w:rPr>
      </w:pPr>
    </w:p>
    <w:tbl>
      <w:tblPr>
        <w:tblStyle w:val="1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495"/>
        <w:gridCol w:w="1742"/>
        <w:gridCol w:w="1741"/>
        <w:gridCol w:w="2090"/>
        <w:gridCol w:w="732"/>
      </w:tblGrid>
      <w:tr w14:paraId="021E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14:paraId="048C389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hint="eastAsia" w:ascii="宋体" w:hAnsi="宋体" w:eastAsia="宋体" w:cs="Times New Roman"/>
                <w:szCs w:val="21"/>
              </w:rPr>
              <w:t>课程目标</w:t>
            </w:r>
          </w:p>
        </w:tc>
        <w:tc>
          <w:tcPr>
            <w:tcW w:w="7068" w:type="dxa"/>
            <w:gridSpan w:val="4"/>
            <w:vAlign w:val="center"/>
          </w:tcPr>
          <w:p w14:paraId="1262E5D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7718812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hint="eastAsia" w:ascii="宋体" w:hAnsi="宋体" w:eastAsia="宋体" w:cs="Times New Roman"/>
                <w:szCs w:val="21"/>
              </w:rPr>
              <w:t>分值</w:t>
            </w:r>
          </w:p>
        </w:tc>
      </w:tr>
      <w:tr w14:paraId="579F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7627182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p>
        </w:tc>
        <w:tc>
          <w:tcPr>
            <w:tcW w:w="1495" w:type="dxa"/>
            <w:vAlign w:val="center"/>
          </w:tcPr>
          <w:p w14:paraId="54D5A2A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hint="eastAsia" w:ascii="宋体" w:hAnsi="宋体" w:eastAsia="宋体" w:cs="Times New Roman"/>
                <w:szCs w:val="22"/>
              </w:rPr>
              <w:t>经典</w:t>
            </w:r>
            <w:r>
              <w:rPr>
                <w:rFonts w:ascii="宋体" w:hAnsi="宋体" w:eastAsia="宋体" w:cs="Times New Roman"/>
                <w:szCs w:val="22"/>
              </w:rPr>
              <w:t>阅读</w:t>
            </w:r>
            <w:r>
              <w:rPr>
                <w:rFonts w:hint="eastAsia" w:ascii="宋体" w:hAnsi="宋体" w:eastAsia="宋体" w:cs="Times New Roman"/>
                <w:szCs w:val="22"/>
              </w:rPr>
              <w:t>数量</w:t>
            </w:r>
          </w:p>
        </w:tc>
        <w:tc>
          <w:tcPr>
            <w:tcW w:w="1742" w:type="dxa"/>
            <w:vAlign w:val="center"/>
          </w:tcPr>
          <w:p w14:paraId="22CCAF9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2"/>
              </w:rPr>
              <w:t>参加讲座</w:t>
            </w:r>
            <w:r>
              <w:rPr>
                <w:rFonts w:hint="eastAsia" w:ascii="宋体" w:hAnsi="宋体" w:eastAsia="宋体" w:cs="Times New Roman"/>
                <w:szCs w:val="22"/>
              </w:rPr>
              <w:t>或报告</w:t>
            </w:r>
          </w:p>
        </w:tc>
        <w:tc>
          <w:tcPr>
            <w:tcW w:w="1741" w:type="dxa"/>
            <w:vAlign w:val="center"/>
          </w:tcPr>
          <w:p w14:paraId="2179EB8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2"/>
              </w:rPr>
              <w:t>读书</w:t>
            </w:r>
            <w:r>
              <w:rPr>
                <w:rFonts w:hint="eastAsia" w:ascii="宋体" w:hAnsi="宋体" w:eastAsia="宋体" w:cs="Times New Roman"/>
                <w:szCs w:val="22"/>
              </w:rPr>
              <w:t>体会或笔记</w:t>
            </w:r>
          </w:p>
        </w:tc>
        <w:tc>
          <w:tcPr>
            <w:tcW w:w="0" w:type="auto"/>
            <w:vAlign w:val="center"/>
          </w:tcPr>
          <w:p w14:paraId="5D4E986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hint="eastAsia" w:ascii="宋体" w:hAnsi="宋体" w:eastAsia="宋体" w:cs="Times New Roman"/>
                <w:spacing w:val="-5"/>
                <w:szCs w:val="21"/>
              </w:rPr>
              <w:t>大学生读书节获奖</w:t>
            </w:r>
          </w:p>
        </w:tc>
        <w:tc>
          <w:tcPr>
            <w:tcW w:w="0" w:type="auto"/>
            <w:vMerge w:val="continue"/>
            <w:vAlign w:val="center"/>
          </w:tcPr>
          <w:p w14:paraId="2B397DE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p>
        </w:tc>
      </w:tr>
      <w:tr w14:paraId="47E2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1246269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hint="eastAsia" w:ascii="宋体" w:hAnsi="宋体" w:eastAsia="宋体" w:cs="Times New Roman"/>
                <w:szCs w:val="21"/>
              </w:rPr>
              <w:t>课程目标1</w:t>
            </w:r>
          </w:p>
        </w:tc>
        <w:tc>
          <w:tcPr>
            <w:tcW w:w="1495" w:type="dxa"/>
            <w:vAlign w:val="center"/>
          </w:tcPr>
          <w:p w14:paraId="284438C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1"/>
              </w:rPr>
              <w:sym w:font="Wingdings 2" w:char="F050"/>
            </w:r>
          </w:p>
        </w:tc>
        <w:tc>
          <w:tcPr>
            <w:tcW w:w="1742" w:type="dxa"/>
            <w:vAlign w:val="center"/>
          </w:tcPr>
          <w:p w14:paraId="5C4287F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1"/>
              </w:rPr>
              <w:sym w:font="Wingdings 2" w:char="F050"/>
            </w:r>
          </w:p>
        </w:tc>
        <w:tc>
          <w:tcPr>
            <w:tcW w:w="1741" w:type="dxa"/>
            <w:vAlign w:val="center"/>
          </w:tcPr>
          <w:p w14:paraId="7F67545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A1A80B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5C9C04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hint="eastAsia" w:ascii="宋体" w:hAnsi="宋体" w:eastAsia="宋体" w:cs="Times New Roman"/>
                <w:szCs w:val="21"/>
              </w:rPr>
              <w:t>25</w:t>
            </w:r>
          </w:p>
        </w:tc>
      </w:tr>
      <w:tr w14:paraId="73B9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51A4B08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hint="eastAsia" w:ascii="宋体" w:hAnsi="宋体" w:eastAsia="宋体" w:cs="Times New Roman"/>
                <w:szCs w:val="21"/>
              </w:rPr>
              <w:t>课程目标2</w:t>
            </w:r>
          </w:p>
        </w:tc>
        <w:tc>
          <w:tcPr>
            <w:tcW w:w="1495" w:type="dxa"/>
            <w:vAlign w:val="center"/>
          </w:tcPr>
          <w:p w14:paraId="36144FA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1"/>
              </w:rPr>
              <w:sym w:font="Wingdings 2" w:char="F050"/>
            </w:r>
          </w:p>
        </w:tc>
        <w:tc>
          <w:tcPr>
            <w:tcW w:w="1742" w:type="dxa"/>
            <w:vAlign w:val="center"/>
          </w:tcPr>
          <w:p w14:paraId="443FBC9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1"/>
              </w:rPr>
              <w:sym w:font="Wingdings 2" w:char="F050"/>
            </w:r>
          </w:p>
        </w:tc>
        <w:tc>
          <w:tcPr>
            <w:tcW w:w="1741" w:type="dxa"/>
            <w:vAlign w:val="center"/>
          </w:tcPr>
          <w:p w14:paraId="5C33A6C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493098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7E1279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hint="eastAsia" w:ascii="宋体" w:hAnsi="宋体" w:eastAsia="宋体" w:cs="Times New Roman"/>
                <w:szCs w:val="21"/>
              </w:rPr>
              <w:t>25</w:t>
            </w:r>
          </w:p>
        </w:tc>
      </w:tr>
      <w:tr w14:paraId="297B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242E6CB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hint="eastAsia" w:ascii="宋体" w:hAnsi="宋体" w:eastAsia="宋体" w:cs="Times New Roman"/>
                <w:szCs w:val="21"/>
              </w:rPr>
              <w:t>课程目标3</w:t>
            </w:r>
          </w:p>
        </w:tc>
        <w:tc>
          <w:tcPr>
            <w:tcW w:w="1495" w:type="dxa"/>
            <w:vAlign w:val="center"/>
          </w:tcPr>
          <w:p w14:paraId="240C551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1"/>
              </w:rPr>
              <w:sym w:font="Wingdings 2" w:char="F050"/>
            </w:r>
          </w:p>
        </w:tc>
        <w:tc>
          <w:tcPr>
            <w:tcW w:w="1742" w:type="dxa"/>
            <w:vAlign w:val="center"/>
          </w:tcPr>
          <w:p w14:paraId="0829DD5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1"/>
              </w:rPr>
              <w:sym w:font="Wingdings 2" w:char="F050"/>
            </w:r>
          </w:p>
        </w:tc>
        <w:tc>
          <w:tcPr>
            <w:tcW w:w="1741" w:type="dxa"/>
            <w:vAlign w:val="center"/>
          </w:tcPr>
          <w:p w14:paraId="491D98C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F7B681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C54BA4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hint="eastAsia" w:ascii="宋体" w:hAnsi="宋体" w:eastAsia="宋体" w:cs="Times New Roman"/>
                <w:szCs w:val="21"/>
              </w:rPr>
              <w:t>25</w:t>
            </w:r>
          </w:p>
        </w:tc>
      </w:tr>
      <w:tr w14:paraId="5883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75C7F55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hint="eastAsia" w:ascii="宋体" w:hAnsi="宋体" w:eastAsia="宋体" w:cs="Times New Roman"/>
                <w:szCs w:val="21"/>
              </w:rPr>
              <w:t>课程目标4</w:t>
            </w:r>
          </w:p>
        </w:tc>
        <w:tc>
          <w:tcPr>
            <w:tcW w:w="1495" w:type="dxa"/>
            <w:vAlign w:val="center"/>
          </w:tcPr>
          <w:p w14:paraId="131BBD4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1"/>
              </w:rPr>
              <w:sym w:font="Wingdings 2" w:char="F050"/>
            </w:r>
          </w:p>
        </w:tc>
        <w:tc>
          <w:tcPr>
            <w:tcW w:w="1742" w:type="dxa"/>
            <w:vAlign w:val="center"/>
          </w:tcPr>
          <w:p w14:paraId="2A385EB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1"/>
              </w:rPr>
              <w:sym w:font="Wingdings 2" w:char="F050"/>
            </w:r>
          </w:p>
        </w:tc>
        <w:tc>
          <w:tcPr>
            <w:tcW w:w="1741" w:type="dxa"/>
            <w:vAlign w:val="center"/>
          </w:tcPr>
          <w:p w14:paraId="4F96BF9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53FE7C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FABAFC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hint="eastAsia" w:ascii="宋体" w:hAnsi="宋体" w:eastAsia="宋体" w:cs="Times New Roman"/>
                <w:szCs w:val="21"/>
              </w:rPr>
              <w:t>25</w:t>
            </w:r>
          </w:p>
        </w:tc>
      </w:tr>
      <w:tr w14:paraId="46F5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46FE669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hint="eastAsia" w:ascii="宋体" w:hAnsi="宋体" w:eastAsia="宋体" w:cs="Times New Roman"/>
                <w:szCs w:val="21"/>
              </w:rPr>
              <w:t>合计</w:t>
            </w:r>
          </w:p>
        </w:tc>
        <w:tc>
          <w:tcPr>
            <w:tcW w:w="1495" w:type="dxa"/>
            <w:vAlign w:val="center"/>
          </w:tcPr>
          <w:p w14:paraId="28B2D1F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p>
        </w:tc>
        <w:tc>
          <w:tcPr>
            <w:tcW w:w="1742" w:type="dxa"/>
            <w:vAlign w:val="center"/>
          </w:tcPr>
          <w:p w14:paraId="6F2E27D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p>
        </w:tc>
        <w:tc>
          <w:tcPr>
            <w:tcW w:w="1741" w:type="dxa"/>
            <w:vAlign w:val="center"/>
          </w:tcPr>
          <w:p w14:paraId="58BBD3B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p>
        </w:tc>
        <w:tc>
          <w:tcPr>
            <w:tcW w:w="0" w:type="auto"/>
            <w:vAlign w:val="center"/>
          </w:tcPr>
          <w:p w14:paraId="38B55D7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p>
        </w:tc>
        <w:tc>
          <w:tcPr>
            <w:tcW w:w="0" w:type="auto"/>
            <w:vAlign w:val="center"/>
          </w:tcPr>
          <w:p w14:paraId="20CF2CC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Cs w:val="21"/>
              </w:rPr>
            </w:pPr>
            <w:r>
              <w:rPr>
                <w:rFonts w:hint="eastAsia" w:ascii="宋体" w:hAnsi="宋体" w:eastAsia="宋体" w:cs="Times New Roman"/>
                <w:szCs w:val="21"/>
              </w:rPr>
              <w:t>100</w:t>
            </w:r>
          </w:p>
        </w:tc>
      </w:tr>
    </w:tbl>
    <w:p w14:paraId="495F68E4">
      <w:pPr>
        <w:spacing w:before="156" w:beforeLines="50" w:line="360" w:lineRule="auto"/>
        <w:ind w:firstLine="422" w:firstLineChars="200"/>
        <w:jc w:val="left"/>
        <w:outlineLvl w:val="1"/>
        <w:rPr>
          <w:rFonts w:ascii="Times New Roman" w:hAnsi="Times New Roman" w:eastAsia="宋体" w:cs="Times New Roman"/>
          <w:b/>
          <w:szCs w:val="21"/>
        </w:rPr>
      </w:pPr>
      <w:bookmarkStart w:id="173" w:name="_Toc27352"/>
      <w:bookmarkStart w:id="174" w:name="_Toc1109"/>
      <w:r>
        <w:rPr>
          <w:rFonts w:hint="eastAsia" w:ascii="Times New Roman" w:hAnsi="Times New Roman" w:eastAsia="宋体" w:cs="Times New Roman"/>
          <w:b/>
          <w:szCs w:val="21"/>
        </w:rPr>
        <w:t>（二）成绩评定细则</w:t>
      </w:r>
      <w:bookmarkEnd w:id="173"/>
      <w:bookmarkEnd w:id="174"/>
    </w:p>
    <w:p w14:paraId="6C47C82B">
      <w:pPr>
        <w:spacing w:line="360" w:lineRule="auto"/>
        <w:ind w:firstLine="420" w:firstLineChars="200"/>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rPr>
        <w:t>各部分的评价方式和成绩评定的细则</w:t>
      </w:r>
      <w:r>
        <w:rPr>
          <w:rFonts w:hint="eastAsia" w:ascii="Times New Roman" w:hAnsi="Times New Roman" w:eastAsia="宋体" w:cs="Times New Roman"/>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6095"/>
        <w:gridCol w:w="930"/>
      </w:tblGrid>
      <w:tr w14:paraId="2C05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8D7158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095" w:type="dxa"/>
            <w:vAlign w:val="center"/>
          </w:tcPr>
          <w:p w14:paraId="0E62ACD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930" w:type="dxa"/>
            <w:vAlign w:val="center"/>
          </w:tcPr>
          <w:p w14:paraId="7A8DC68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C05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42480445">
            <w:pPr>
              <w:jc w:val="center"/>
              <w:rPr>
                <w:rFonts w:ascii="宋体" w:hAnsi="宋体" w:eastAsia="宋体" w:cs="Times New Roman"/>
                <w:szCs w:val="22"/>
              </w:rPr>
            </w:pPr>
            <w:r>
              <w:rPr>
                <w:rFonts w:hint="eastAsia" w:ascii="宋体" w:hAnsi="宋体" w:eastAsia="宋体" w:cs="Times New Roman"/>
                <w:szCs w:val="22"/>
              </w:rPr>
              <w:t>经典</w:t>
            </w:r>
            <w:r>
              <w:rPr>
                <w:rFonts w:ascii="宋体" w:hAnsi="宋体" w:eastAsia="宋体" w:cs="Times New Roman"/>
                <w:szCs w:val="22"/>
              </w:rPr>
              <w:t>阅读</w:t>
            </w:r>
          </w:p>
          <w:p w14:paraId="6BFCF568">
            <w:pPr>
              <w:jc w:val="center"/>
              <w:rPr>
                <w:rFonts w:hint="eastAsia" w:ascii="宋体" w:hAnsi="宋体" w:eastAsia="宋体" w:cs="Times New Roman"/>
                <w:szCs w:val="21"/>
              </w:rPr>
            </w:pPr>
            <w:r>
              <w:rPr>
                <w:rFonts w:hint="eastAsia" w:ascii="宋体" w:hAnsi="宋体" w:eastAsia="宋体" w:cs="Times New Roman"/>
                <w:szCs w:val="22"/>
              </w:rPr>
              <w:t>书籍数量</w:t>
            </w:r>
          </w:p>
        </w:tc>
        <w:tc>
          <w:tcPr>
            <w:tcW w:w="6095" w:type="dxa"/>
            <w:vAlign w:val="center"/>
          </w:tcPr>
          <w:p w14:paraId="625F7A49">
            <w:pPr>
              <w:rPr>
                <w:rFonts w:hint="eastAsia" w:ascii="宋体" w:hAnsi="宋体" w:eastAsia="宋体" w:cs="Times New Roman"/>
                <w:szCs w:val="21"/>
              </w:rPr>
            </w:pPr>
            <w:r>
              <w:rPr>
                <w:rFonts w:ascii="宋体" w:hAnsi="宋体" w:eastAsia="宋体" w:cs="Times New Roman"/>
                <w:spacing w:val="-7"/>
                <w:szCs w:val="21"/>
              </w:rPr>
              <w:t>学生在校期间，</w:t>
            </w:r>
            <w:r>
              <w:rPr>
                <w:rFonts w:hint="eastAsia" w:ascii="宋体" w:hAnsi="宋体" w:eastAsia="宋体" w:cs="Times New Roman"/>
                <w:spacing w:val="-7"/>
                <w:szCs w:val="21"/>
              </w:rPr>
              <w:t>每学年须完成经典阅读</w:t>
            </w:r>
            <w:r>
              <w:rPr>
                <w:rFonts w:ascii="宋体" w:hAnsi="宋体" w:eastAsia="宋体" w:cs="Times New Roman"/>
                <w:spacing w:val="-7"/>
                <w:szCs w:val="21"/>
              </w:rPr>
              <w:t>20</w:t>
            </w:r>
            <w:r>
              <w:rPr>
                <w:rFonts w:hint="eastAsia" w:ascii="宋体" w:hAnsi="宋体" w:eastAsia="宋体" w:cs="Times New Roman"/>
                <w:spacing w:val="-7"/>
                <w:szCs w:val="21"/>
              </w:rPr>
              <w:t>本/6学时，</w:t>
            </w:r>
            <w:r>
              <w:rPr>
                <w:rFonts w:hint="eastAsia" w:ascii="宋体" w:hAnsi="宋体" w:eastAsia="宋体" w:cs="Times New Roman"/>
                <w:spacing w:val="-5"/>
                <w:szCs w:val="21"/>
              </w:rPr>
              <w:t>学生须</w:t>
            </w:r>
            <w:r>
              <w:rPr>
                <w:rFonts w:ascii="宋体" w:hAnsi="宋体" w:eastAsia="宋体" w:cs="Times New Roman"/>
                <w:spacing w:val="-4"/>
                <w:szCs w:val="21"/>
              </w:rPr>
              <w:t>在</w:t>
            </w:r>
            <w:r>
              <w:rPr>
                <w:rFonts w:hint="eastAsia" w:ascii="宋体" w:hAnsi="宋体" w:eastAsia="宋体" w:cs="Times New Roman"/>
                <w:spacing w:val="-4"/>
                <w:szCs w:val="21"/>
              </w:rPr>
              <w:t>四</w:t>
            </w:r>
            <w:r>
              <w:rPr>
                <w:rFonts w:ascii="宋体" w:hAnsi="宋体" w:eastAsia="宋体" w:cs="Times New Roman"/>
                <w:spacing w:val="-4"/>
                <w:szCs w:val="21"/>
              </w:rPr>
              <w:t>个学</w:t>
            </w:r>
            <w:r>
              <w:rPr>
                <w:rFonts w:hint="eastAsia" w:ascii="宋体" w:hAnsi="宋体" w:eastAsia="宋体" w:cs="Times New Roman"/>
                <w:spacing w:val="-4"/>
                <w:szCs w:val="21"/>
              </w:rPr>
              <w:t>年</w:t>
            </w:r>
            <w:r>
              <w:rPr>
                <w:rFonts w:ascii="宋体" w:hAnsi="宋体" w:eastAsia="宋体" w:cs="Times New Roman"/>
                <w:spacing w:val="-4"/>
                <w:szCs w:val="21"/>
              </w:rPr>
              <w:t>内</w:t>
            </w:r>
            <w:r>
              <w:rPr>
                <w:rFonts w:hint="eastAsia" w:ascii="宋体" w:hAnsi="宋体" w:eastAsia="宋体" w:cs="Times New Roman"/>
                <w:spacing w:val="-7"/>
                <w:szCs w:val="21"/>
              </w:rPr>
              <w:t>完成经典阅读</w:t>
            </w:r>
            <w:r>
              <w:rPr>
                <w:rFonts w:ascii="宋体" w:hAnsi="宋体" w:eastAsia="宋体" w:cs="Times New Roman"/>
                <w:spacing w:val="-5"/>
                <w:szCs w:val="21"/>
              </w:rPr>
              <w:t>累计</w:t>
            </w:r>
            <w:r>
              <w:rPr>
                <w:rFonts w:ascii="宋体" w:hAnsi="宋体" w:eastAsia="宋体" w:cs="Times New Roman"/>
                <w:spacing w:val="-10"/>
                <w:szCs w:val="21"/>
              </w:rPr>
              <w:t>获得</w:t>
            </w:r>
            <w:r>
              <w:rPr>
                <w:rFonts w:ascii="宋体" w:hAnsi="宋体" w:eastAsia="宋体" w:cs="Times New Roman"/>
                <w:spacing w:val="-62"/>
                <w:szCs w:val="21"/>
              </w:rPr>
              <w:t xml:space="preserve"> </w:t>
            </w:r>
            <w:r>
              <w:rPr>
                <w:rFonts w:hint="eastAsia" w:ascii="宋体" w:hAnsi="宋体" w:eastAsia="宋体" w:cs="Times New Roman"/>
                <w:spacing w:val="-10"/>
                <w:szCs w:val="21"/>
              </w:rPr>
              <w:t>24</w:t>
            </w:r>
            <w:r>
              <w:rPr>
                <w:rFonts w:ascii="宋体" w:hAnsi="宋体" w:eastAsia="宋体" w:cs="Times New Roman"/>
                <w:spacing w:val="-44"/>
                <w:szCs w:val="21"/>
              </w:rPr>
              <w:t xml:space="preserve"> </w:t>
            </w:r>
            <w:r>
              <w:rPr>
                <w:rFonts w:ascii="宋体" w:hAnsi="宋体" w:eastAsia="宋体" w:cs="Times New Roman"/>
                <w:spacing w:val="-10"/>
                <w:szCs w:val="21"/>
              </w:rPr>
              <w:t>学时</w:t>
            </w:r>
            <w:r>
              <w:rPr>
                <w:rFonts w:hint="eastAsia" w:ascii="宋体" w:hAnsi="宋体" w:eastAsia="宋体" w:cs="Times New Roman"/>
                <w:spacing w:val="-5"/>
                <w:szCs w:val="21"/>
              </w:rPr>
              <w:t>。</w:t>
            </w:r>
            <w:r>
              <w:rPr>
                <w:rFonts w:hint="eastAsia" w:ascii="宋体" w:hAnsi="宋体" w:eastAsia="宋体" w:cs="Times New Roman"/>
                <w:spacing w:val="-10"/>
                <w:szCs w:val="21"/>
              </w:rPr>
              <w:t>每学年超过部分，认定附加分，每增加1本经典阅读，计2学时。</w:t>
            </w:r>
            <w:r>
              <w:rPr>
                <w:rFonts w:hint="eastAsia" w:ascii="宋体" w:hAnsi="宋体" w:eastAsia="宋体" w:cs="Times New Roman"/>
                <w:bCs/>
                <w:spacing w:val="-5"/>
                <w:szCs w:val="21"/>
              </w:rPr>
              <w:t>经典阅读书目可涵盖</w:t>
            </w:r>
            <w:r>
              <w:rPr>
                <w:rFonts w:ascii="宋体" w:hAnsi="宋体" w:eastAsia="宋体" w:cs="Times New Roman"/>
                <w:bCs/>
                <w:spacing w:val="-5"/>
                <w:szCs w:val="21"/>
              </w:rPr>
              <w:t>“</w:t>
            </w:r>
            <w:r>
              <w:rPr>
                <w:rFonts w:hint="eastAsia" w:ascii="宋体" w:hAnsi="宋体" w:eastAsia="宋体" w:cs="Times New Roman"/>
                <w:bCs/>
                <w:spacing w:val="-5"/>
                <w:szCs w:val="21"/>
              </w:rPr>
              <w:t>教育学类</w:t>
            </w:r>
            <w:r>
              <w:rPr>
                <w:rFonts w:ascii="宋体" w:hAnsi="宋体" w:eastAsia="宋体" w:cs="Times New Roman"/>
                <w:bCs/>
                <w:spacing w:val="-5"/>
                <w:szCs w:val="21"/>
              </w:rPr>
              <w:t xml:space="preserve"> ” </w:t>
            </w:r>
            <w:r>
              <w:rPr>
                <w:rFonts w:hint="eastAsia" w:ascii="宋体" w:hAnsi="宋体" w:eastAsia="宋体" w:cs="Times New Roman"/>
                <w:bCs/>
                <w:spacing w:val="-5"/>
                <w:szCs w:val="21"/>
              </w:rPr>
              <w:t>“心理学类”</w:t>
            </w:r>
            <w:r>
              <w:rPr>
                <w:rFonts w:ascii="宋体" w:hAnsi="宋体" w:eastAsia="宋体" w:cs="Times New Roman"/>
                <w:bCs/>
                <w:spacing w:val="-5"/>
                <w:szCs w:val="21"/>
              </w:rPr>
              <w:t>“</w:t>
            </w:r>
            <w:r>
              <w:rPr>
                <w:rFonts w:hint="eastAsia" w:ascii="宋体" w:hAnsi="宋体" w:eastAsia="宋体" w:cs="Times New Roman"/>
                <w:bCs/>
                <w:spacing w:val="-5"/>
                <w:szCs w:val="21"/>
              </w:rPr>
              <w:t>文学艺术类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哲学美育类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“社会学类”</w:t>
            </w:r>
            <w:r>
              <w:rPr>
                <w:rFonts w:ascii="宋体" w:hAnsi="宋体" w:eastAsia="宋体" w:cs="Times New Roman"/>
                <w:bCs/>
                <w:spacing w:val="-5"/>
                <w:szCs w:val="21"/>
              </w:rPr>
              <w:t>“</w:t>
            </w:r>
            <w:r>
              <w:rPr>
                <w:rFonts w:hint="eastAsia" w:ascii="宋体" w:hAnsi="宋体" w:eastAsia="宋体" w:cs="Times New Roman"/>
                <w:bCs/>
                <w:spacing w:val="-5"/>
                <w:szCs w:val="21"/>
              </w:rPr>
              <w:t>自然科学类</w:t>
            </w:r>
            <w:r>
              <w:rPr>
                <w:rFonts w:ascii="宋体" w:hAnsi="宋体" w:eastAsia="宋体" w:cs="Times New Roman"/>
                <w:bCs/>
                <w:spacing w:val="-5"/>
                <w:szCs w:val="21"/>
              </w:rPr>
              <w:t>”</w:t>
            </w:r>
            <w:r>
              <w:rPr>
                <w:rFonts w:hint="eastAsia" w:ascii="宋体" w:hAnsi="宋体" w:eastAsia="宋体" w:cs="Times New Roman"/>
                <w:bCs/>
                <w:spacing w:val="-5"/>
                <w:szCs w:val="21"/>
              </w:rPr>
              <w:t>、“历史文明类</w:t>
            </w:r>
            <w:r>
              <w:rPr>
                <w:rFonts w:ascii="宋体" w:hAnsi="宋体" w:eastAsia="宋体" w:cs="Times New Roman"/>
                <w:bCs/>
                <w:spacing w:val="-5"/>
                <w:szCs w:val="21"/>
              </w:rPr>
              <w:t>”“</w:t>
            </w:r>
            <w:r>
              <w:rPr>
                <w:rFonts w:hint="eastAsia" w:ascii="宋体" w:hAnsi="宋体" w:eastAsia="宋体" w:cs="Times New Roman"/>
                <w:bCs/>
                <w:spacing w:val="-5"/>
                <w:szCs w:val="21"/>
              </w:rPr>
              <w:t>全球化领导力类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等八大类。</w:t>
            </w:r>
          </w:p>
        </w:tc>
        <w:tc>
          <w:tcPr>
            <w:tcW w:w="930" w:type="dxa"/>
            <w:vAlign w:val="center"/>
          </w:tcPr>
          <w:p w14:paraId="03E324C1">
            <w:pPr>
              <w:jc w:val="center"/>
              <w:rPr>
                <w:rFonts w:hint="eastAsia" w:ascii="宋体" w:hAnsi="宋体" w:eastAsia="宋体" w:cs="Times New Roman"/>
                <w:szCs w:val="21"/>
              </w:rPr>
            </w:pPr>
            <w:r>
              <w:rPr>
                <w:rFonts w:hint="eastAsia" w:ascii="宋体" w:hAnsi="宋体" w:eastAsia="宋体" w:cs="Times New Roman"/>
                <w:szCs w:val="21"/>
              </w:rPr>
              <w:t>75%</w:t>
            </w:r>
          </w:p>
        </w:tc>
      </w:tr>
      <w:tr w14:paraId="0EB6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428810DD">
            <w:pPr>
              <w:jc w:val="center"/>
              <w:rPr>
                <w:rFonts w:hint="eastAsia" w:ascii="宋体" w:hAnsi="宋体" w:eastAsia="宋体" w:cs="Times New Roman"/>
                <w:szCs w:val="21"/>
              </w:rPr>
            </w:pPr>
            <w:r>
              <w:rPr>
                <w:rFonts w:ascii="宋体" w:hAnsi="宋体" w:eastAsia="宋体" w:cs="Times New Roman"/>
                <w:szCs w:val="22"/>
              </w:rPr>
              <w:t>参加讲座</w:t>
            </w:r>
            <w:r>
              <w:rPr>
                <w:rFonts w:hint="eastAsia" w:ascii="宋体" w:hAnsi="宋体" w:eastAsia="宋体" w:cs="Times New Roman"/>
                <w:szCs w:val="22"/>
              </w:rPr>
              <w:t>或报告场次</w:t>
            </w:r>
          </w:p>
        </w:tc>
        <w:tc>
          <w:tcPr>
            <w:tcW w:w="6095" w:type="dxa"/>
            <w:vAlign w:val="center"/>
          </w:tcPr>
          <w:p w14:paraId="78FBC01B">
            <w:pPr>
              <w:widowControl/>
              <w:rPr>
                <w:rFonts w:hint="eastAsia" w:ascii="宋体" w:hAnsi="宋体" w:eastAsia="宋体" w:cs="宋体"/>
                <w:kern w:val="0"/>
                <w:szCs w:val="21"/>
                <w:lang w:bidi="ar"/>
              </w:rPr>
            </w:pPr>
            <w:r>
              <w:rPr>
                <w:rFonts w:ascii="宋体" w:hAnsi="宋体" w:eastAsia="宋体" w:cs="Times New Roman"/>
                <w:spacing w:val="-1"/>
                <w:szCs w:val="21"/>
              </w:rPr>
              <w:t>学生每学期参加至少</w:t>
            </w:r>
            <w:r>
              <w:rPr>
                <w:rFonts w:ascii="宋体" w:hAnsi="宋体" w:eastAsia="宋体" w:cs="Times New Roman"/>
                <w:spacing w:val="-49"/>
                <w:szCs w:val="21"/>
              </w:rPr>
              <w:t xml:space="preserve"> </w:t>
            </w:r>
            <w:r>
              <w:rPr>
                <w:rFonts w:ascii="宋体" w:hAnsi="宋体" w:eastAsia="宋体" w:cs="Times New Roman"/>
                <w:spacing w:val="-1"/>
                <w:szCs w:val="21"/>
              </w:rPr>
              <w:t>5</w:t>
            </w:r>
            <w:r>
              <w:rPr>
                <w:rFonts w:ascii="宋体" w:hAnsi="宋体" w:eastAsia="宋体" w:cs="Times New Roman"/>
                <w:spacing w:val="-52"/>
                <w:szCs w:val="21"/>
              </w:rPr>
              <w:t xml:space="preserve"> </w:t>
            </w:r>
            <w:r>
              <w:rPr>
                <w:rFonts w:ascii="宋体" w:hAnsi="宋体" w:eastAsia="宋体" w:cs="Times New Roman"/>
                <w:spacing w:val="-1"/>
                <w:szCs w:val="21"/>
              </w:rPr>
              <w:t>次校内外学术讲座（报告）或者网络</w:t>
            </w:r>
            <w:r>
              <w:rPr>
                <w:rFonts w:ascii="宋体" w:hAnsi="宋体" w:eastAsia="宋体" w:cs="Times New Roman"/>
                <w:spacing w:val="-4"/>
                <w:szCs w:val="21"/>
              </w:rPr>
              <w:t>上公开的学术会议，</w:t>
            </w:r>
            <w:r>
              <w:rPr>
                <w:rFonts w:hint="eastAsia" w:ascii="宋体" w:hAnsi="宋体" w:eastAsia="宋体" w:cs="Times New Roman"/>
                <w:spacing w:val="-7"/>
                <w:szCs w:val="21"/>
              </w:rPr>
              <w:t>每学年须完成参加学术讲座或报告</w:t>
            </w:r>
            <w:r>
              <w:rPr>
                <w:rFonts w:ascii="宋体" w:hAnsi="宋体" w:eastAsia="宋体" w:cs="Times New Roman"/>
                <w:spacing w:val="-7"/>
                <w:szCs w:val="21"/>
              </w:rPr>
              <w:t>10</w:t>
            </w:r>
            <w:r>
              <w:rPr>
                <w:rFonts w:hint="eastAsia" w:ascii="宋体" w:hAnsi="宋体" w:eastAsia="宋体" w:cs="Times New Roman"/>
                <w:spacing w:val="-7"/>
                <w:szCs w:val="21"/>
              </w:rPr>
              <w:t>场，方可获得2学时。学生须</w:t>
            </w:r>
            <w:r>
              <w:rPr>
                <w:rFonts w:ascii="宋体" w:hAnsi="宋体" w:eastAsia="宋体" w:cs="Times New Roman"/>
                <w:spacing w:val="-4"/>
                <w:szCs w:val="21"/>
              </w:rPr>
              <w:t>在</w:t>
            </w:r>
            <w:r>
              <w:rPr>
                <w:rFonts w:hint="eastAsia" w:ascii="宋体" w:hAnsi="宋体" w:eastAsia="宋体" w:cs="Times New Roman"/>
                <w:spacing w:val="-4"/>
                <w:szCs w:val="21"/>
              </w:rPr>
              <w:t>四</w:t>
            </w:r>
            <w:r>
              <w:rPr>
                <w:rFonts w:ascii="宋体" w:hAnsi="宋体" w:eastAsia="宋体" w:cs="Times New Roman"/>
                <w:spacing w:val="-4"/>
                <w:szCs w:val="21"/>
              </w:rPr>
              <w:t>个学</w:t>
            </w:r>
            <w:r>
              <w:rPr>
                <w:rFonts w:hint="eastAsia" w:ascii="宋体" w:hAnsi="宋体" w:eastAsia="宋体" w:cs="Times New Roman"/>
                <w:spacing w:val="-4"/>
                <w:szCs w:val="21"/>
              </w:rPr>
              <w:t>年</w:t>
            </w:r>
            <w:r>
              <w:rPr>
                <w:rFonts w:ascii="宋体" w:hAnsi="宋体" w:eastAsia="宋体" w:cs="Times New Roman"/>
                <w:spacing w:val="-4"/>
                <w:szCs w:val="21"/>
              </w:rPr>
              <w:t>内</w:t>
            </w:r>
            <w:r>
              <w:rPr>
                <w:rFonts w:hint="eastAsia" w:ascii="宋体" w:hAnsi="宋体" w:eastAsia="宋体" w:cs="Times New Roman"/>
                <w:spacing w:val="-4"/>
                <w:szCs w:val="21"/>
              </w:rPr>
              <w:t>须</w:t>
            </w:r>
            <w:r>
              <w:rPr>
                <w:rFonts w:ascii="宋体" w:hAnsi="宋体" w:eastAsia="宋体" w:cs="Times New Roman"/>
                <w:spacing w:val="-4"/>
                <w:szCs w:val="21"/>
              </w:rPr>
              <w:t>参加学术讲座（报</w:t>
            </w:r>
            <w:r>
              <w:rPr>
                <w:rFonts w:ascii="宋体" w:hAnsi="宋体" w:eastAsia="宋体" w:cs="Times New Roman"/>
                <w:spacing w:val="-5"/>
                <w:szCs w:val="21"/>
              </w:rPr>
              <w:t>告）累计</w:t>
            </w:r>
            <w:r>
              <w:rPr>
                <w:rFonts w:ascii="宋体" w:hAnsi="宋体" w:eastAsia="宋体" w:cs="Times New Roman"/>
                <w:spacing w:val="-10"/>
                <w:szCs w:val="21"/>
              </w:rPr>
              <w:t>获得</w:t>
            </w:r>
            <w:r>
              <w:rPr>
                <w:rFonts w:ascii="宋体" w:hAnsi="宋体" w:eastAsia="宋体" w:cs="Times New Roman"/>
                <w:spacing w:val="-62"/>
                <w:szCs w:val="21"/>
              </w:rPr>
              <w:t xml:space="preserve"> </w:t>
            </w:r>
            <w:r>
              <w:rPr>
                <w:rFonts w:ascii="宋体" w:hAnsi="宋体" w:eastAsia="宋体" w:cs="Times New Roman"/>
                <w:spacing w:val="-10"/>
                <w:szCs w:val="21"/>
              </w:rPr>
              <w:t>8</w:t>
            </w:r>
            <w:r>
              <w:rPr>
                <w:rFonts w:ascii="宋体" w:hAnsi="宋体" w:eastAsia="宋体" w:cs="Times New Roman"/>
                <w:spacing w:val="-44"/>
                <w:szCs w:val="21"/>
              </w:rPr>
              <w:t xml:space="preserve"> </w:t>
            </w:r>
            <w:r>
              <w:rPr>
                <w:rFonts w:ascii="宋体" w:hAnsi="宋体" w:eastAsia="宋体" w:cs="Times New Roman"/>
                <w:spacing w:val="-10"/>
                <w:szCs w:val="21"/>
              </w:rPr>
              <w:t>学时。</w:t>
            </w:r>
            <w:r>
              <w:rPr>
                <w:rFonts w:hint="eastAsia" w:ascii="宋体" w:hAnsi="宋体" w:eastAsia="宋体" w:cs="Times New Roman"/>
                <w:spacing w:val="-10"/>
                <w:szCs w:val="21"/>
              </w:rPr>
              <w:t>每学年超过部分，认定附加分，每增加1次学术讲座，计2学时。</w:t>
            </w:r>
          </w:p>
        </w:tc>
        <w:tc>
          <w:tcPr>
            <w:tcW w:w="930" w:type="dxa"/>
            <w:vAlign w:val="center"/>
          </w:tcPr>
          <w:p w14:paraId="6D05B322">
            <w:pPr>
              <w:jc w:val="center"/>
              <w:rPr>
                <w:rFonts w:hint="eastAsia" w:ascii="宋体" w:hAnsi="宋体" w:eastAsia="宋体" w:cs="Times New Roman"/>
                <w:szCs w:val="21"/>
              </w:rPr>
            </w:pPr>
            <w:r>
              <w:rPr>
                <w:rFonts w:hint="eastAsia" w:ascii="宋体" w:hAnsi="宋体" w:eastAsia="宋体" w:cs="Times New Roman"/>
                <w:szCs w:val="21"/>
              </w:rPr>
              <w:t>25%</w:t>
            </w:r>
          </w:p>
        </w:tc>
      </w:tr>
      <w:tr w14:paraId="1FEA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2B2CA1F4">
            <w:pPr>
              <w:jc w:val="center"/>
              <w:rPr>
                <w:rFonts w:hint="eastAsia" w:ascii="宋体" w:hAnsi="宋体" w:eastAsia="宋体" w:cs="Times New Roman"/>
                <w:szCs w:val="22"/>
              </w:rPr>
            </w:pPr>
            <w:r>
              <w:rPr>
                <w:rFonts w:ascii="宋体" w:hAnsi="宋体" w:eastAsia="宋体" w:cs="Times New Roman"/>
                <w:szCs w:val="22"/>
              </w:rPr>
              <w:t>读书</w:t>
            </w:r>
            <w:r>
              <w:rPr>
                <w:rFonts w:hint="eastAsia" w:ascii="宋体" w:hAnsi="宋体" w:eastAsia="宋体" w:cs="Times New Roman"/>
                <w:szCs w:val="22"/>
              </w:rPr>
              <w:t>体会</w:t>
            </w:r>
          </w:p>
          <w:p w14:paraId="78EE7E79">
            <w:pPr>
              <w:jc w:val="center"/>
              <w:rPr>
                <w:rFonts w:hint="eastAsia" w:ascii="宋体" w:hAnsi="宋体" w:eastAsia="宋体" w:cs="Times New Roman"/>
                <w:szCs w:val="21"/>
              </w:rPr>
            </w:pPr>
            <w:r>
              <w:rPr>
                <w:rFonts w:hint="eastAsia" w:ascii="宋体" w:hAnsi="宋体" w:eastAsia="宋体" w:cs="Times New Roman"/>
                <w:szCs w:val="22"/>
              </w:rPr>
              <w:t>或笔记</w:t>
            </w:r>
          </w:p>
        </w:tc>
        <w:tc>
          <w:tcPr>
            <w:tcW w:w="6095" w:type="dxa"/>
            <w:vAlign w:val="center"/>
          </w:tcPr>
          <w:p w14:paraId="7076D619">
            <w:pPr>
              <w:widowControl/>
              <w:rPr>
                <w:rFonts w:hint="eastAsia" w:ascii="宋体" w:hAnsi="宋体" w:eastAsia="宋体" w:cs="宋体"/>
                <w:kern w:val="0"/>
                <w:szCs w:val="21"/>
                <w:lang w:bidi="ar"/>
              </w:rPr>
            </w:pPr>
            <w:r>
              <w:rPr>
                <w:rFonts w:hint="eastAsia" w:ascii="宋体" w:hAnsi="宋体" w:eastAsia="宋体" w:cs="Times New Roman"/>
                <w:spacing w:val="-1"/>
                <w:szCs w:val="21"/>
              </w:rPr>
              <w:t>学</w:t>
            </w:r>
            <w:r>
              <w:rPr>
                <w:rFonts w:ascii="宋体" w:hAnsi="宋体" w:eastAsia="宋体" w:cs="Times New Roman"/>
                <w:spacing w:val="-1"/>
                <w:szCs w:val="21"/>
              </w:rPr>
              <w:t>生每提交1篇读书体会或笔记（至少1500 字）可计</w:t>
            </w:r>
            <w:r>
              <w:rPr>
                <w:rFonts w:hint="eastAsia" w:ascii="宋体" w:hAnsi="宋体" w:eastAsia="宋体" w:cs="Times New Roman"/>
                <w:spacing w:val="-1"/>
                <w:szCs w:val="21"/>
              </w:rPr>
              <w:t>2</w:t>
            </w:r>
            <w:r>
              <w:rPr>
                <w:rFonts w:ascii="宋体" w:hAnsi="宋体" w:eastAsia="宋体" w:cs="Times New Roman"/>
                <w:spacing w:val="-1"/>
                <w:szCs w:val="21"/>
              </w:rPr>
              <w:t>学时</w:t>
            </w:r>
            <w:r>
              <w:rPr>
                <w:rFonts w:hint="eastAsia" w:ascii="宋体" w:hAnsi="宋体" w:eastAsia="宋体" w:cs="Times New Roman"/>
                <w:spacing w:val="-1"/>
                <w:szCs w:val="21"/>
              </w:rPr>
              <w:t>，作为附加分，可在第八学期累计入总学时</w:t>
            </w:r>
            <w:r>
              <w:rPr>
                <w:rFonts w:ascii="宋体" w:hAnsi="宋体" w:eastAsia="宋体" w:cs="Times New Roman"/>
                <w:spacing w:val="-1"/>
                <w:szCs w:val="21"/>
              </w:rPr>
              <w:t>。</w:t>
            </w:r>
            <w:r>
              <w:rPr>
                <w:rFonts w:ascii="宋体" w:hAnsi="宋体" w:eastAsia="宋体" w:cs="Times New Roman"/>
                <w:szCs w:val="21"/>
              </w:rPr>
              <w:t>根据学生的报告撰写的质量（格式、内容、逻辑、理论等）综合评定</w:t>
            </w:r>
            <w:r>
              <w:rPr>
                <w:rFonts w:hint="eastAsia" w:ascii="宋体" w:hAnsi="宋体" w:eastAsia="宋体" w:cs="Times New Roman"/>
                <w:szCs w:val="21"/>
              </w:rPr>
              <w:t>。</w:t>
            </w:r>
          </w:p>
        </w:tc>
        <w:tc>
          <w:tcPr>
            <w:tcW w:w="930" w:type="dxa"/>
            <w:vAlign w:val="center"/>
          </w:tcPr>
          <w:p w14:paraId="1A007DE3">
            <w:pPr>
              <w:jc w:val="center"/>
              <w:rPr>
                <w:rFonts w:hint="eastAsia" w:ascii="宋体" w:hAnsi="宋体" w:eastAsia="宋体" w:cs="Times New Roman"/>
                <w:szCs w:val="21"/>
              </w:rPr>
            </w:pPr>
            <w:r>
              <w:rPr>
                <w:rFonts w:hint="eastAsia" w:ascii="宋体" w:hAnsi="宋体" w:eastAsia="宋体" w:cs="Times New Roman"/>
                <w:szCs w:val="21"/>
              </w:rPr>
              <w:t>附加分</w:t>
            </w:r>
          </w:p>
        </w:tc>
      </w:tr>
      <w:tr w14:paraId="4645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77AF623F">
            <w:pPr>
              <w:jc w:val="center"/>
              <w:rPr>
                <w:rFonts w:hint="eastAsia" w:ascii="宋体" w:hAnsi="宋体" w:eastAsia="宋体" w:cs="Times New Roman"/>
                <w:spacing w:val="-5"/>
                <w:szCs w:val="21"/>
              </w:rPr>
            </w:pPr>
            <w:r>
              <w:rPr>
                <w:rFonts w:hint="eastAsia" w:ascii="宋体" w:hAnsi="宋体" w:eastAsia="宋体" w:cs="Times New Roman"/>
                <w:spacing w:val="-5"/>
                <w:szCs w:val="21"/>
              </w:rPr>
              <w:t>大学生</w:t>
            </w:r>
          </w:p>
          <w:p w14:paraId="7562FF2F">
            <w:pPr>
              <w:jc w:val="center"/>
              <w:rPr>
                <w:rFonts w:hint="eastAsia" w:ascii="宋体" w:hAnsi="宋体" w:eastAsia="宋体" w:cs="Times New Roman"/>
                <w:szCs w:val="21"/>
              </w:rPr>
            </w:pPr>
            <w:r>
              <w:rPr>
                <w:rFonts w:hint="eastAsia" w:ascii="宋体" w:hAnsi="宋体" w:eastAsia="宋体" w:cs="Times New Roman"/>
                <w:spacing w:val="-5"/>
                <w:szCs w:val="21"/>
              </w:rPr>
              <w:t>读书节获奖</w:t>
            </w:r>
          </w:p>
        </w:tc>
        <w:tc>
          <w:tcPr>
            <w:tcW w:w="6095" w:type="dxa"/>
            <w:vAlign w:val="center"/>
          </w:tcPr>
          <w:p w14:paraId="71E4A189">
            <w:pPr>
              <w:spacing w:after="120"/>
              <w:ind w:left="50" w:right="-21" w:rightChars="-10"/>
              <w:rPr>
                <w:rFonts w:hint="eastAsia" w:ascii="宋体" w:hAnsi="宋体" w:eastAsia="宋体" w:cs="Times New Roman"/>
                <w:spacing w:val="-1"/>
                <w:szCs w:val="21"/>
              </w:rPr>
            </w:pPr>
            <w:r>
              <w:rPr>
                <w:rFonts w:ascii="宋体" w:hAnsi="宋体" w:eastAsia="宋体" w:cs="Times New Roman"/>
                <w:spacing w:val="-1"/>
                <w:szCs w:val="21"/>
              </w:rPr>
              <w:t>获得校级奖励每项可计5学时，获得省级（教育厅）奖励每项可计10学时</w:t>
            </w:r>
            <w:r>
              <w:rPr>
                <w:rFonts w:hint="eastAsia" w:ascii="宋体" w:hAnsi="宋体" w:eastAsia="宋体" w:cs="Times New Roman"/>
                <w:spacing w:val="-1"/>
                <w:szCs w:val="21"/>
              </w:rPr>
              <w:t>，可在第八学期累计入总学时</w:t>
            </w:r>
            <w:r>
              <w:rPr>
                <w:rFonts w:ascii="宋体" w:hAnsi="宋体" w:eastAsia="宋体" w:cs="Times New Roman"/>
                <w:spacing w:val="-1"/>
                <w:szCs w:val="21"/>
              </w:rPr>
              <w:t>。</w:t>
            </w:r>
          </w:p>
        </w:tc>
        <w:tc>
          <w:tcPr>
            <w:tcW w:w="930" w:type="dxa"/>
            <w:vAlign w:val="center"/>
          </w:tcPr>
          <w:p w14:paraId="6B160186">
            <w:pPr>
              <w:jc w:val="center"/>
              <w:rPr>
                <w:rFonts w:hint="eastAsia" w:ascii="宋体" w:hAnsi="宋体" w:eastAsia="宋体" w:cs="Times New Roman"/>
                <w:szCs w:val="21"/>
              </w:rPr>
            </w:pPr>
            <w:r>
              <w:rPr>
                <w:rFonts w:hint="eastAsia" w:ascii="宋体" w:hAnsi="宋体" w:eastAsia="宋体" w:cs="Times New Roman"/>
                <w:szCs w:val="21"/>
              </w:rPr>
              <w:t>附加分</w:t>
            </w:r>
          </w:p>
        </w:tc>
      </w:tr>
      <w:tr w14:paraId="4E30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71" w:type="dxa"/>
            <w:vAlign w:val="center"/>
          </w:tcPr>
          <w:p w14:paraId="6DED225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095" w:type="dxa"/>
            <w:vAlign w:val="center"/>
          </w:tcPr>
          <w:p w14:paraId="3D4BBCE6">
            <w:pPr>
              <w:jc w:val="left"/>
              <w:rPr>
                <w:rFonts w:ascii="Times New Roman" w:hAnsi="Times New Roman" w:eastAsia="宋体" w:cs="Times New Roman"/>
                <w:szCs w:val="21"/>
              </w:rPr>
            </w:pPr>
          </w:p>
        </w:tc>
        <w:tc>
          <w:tcPr>
            <w:tcW w:w="930" w:type="dxa"/>
            <w:vAlign w:val="center"/>
          </w:tcPr>
          <w:p w14:paraId="1D9A941B">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2715D6F">
      <w:pPr>
        <w:spacing w:after="120"/>
        <w:ind w:left="50" w:right="-199" w:firstLine="416" w:firstLineChars="200"/>
        <w:rPr>
          <w:rFonts w:hint="eastAsia" w:ascii="宋体" w:hAnsi="宋体" w:eastAsia="宋体" w:cs="Times New Roman"/>
          <w:szCs w:val="21"/>
        </w:rPr>
      </w:pPr>
      <w:r>
        <w:rPr>
          <w:rFonts w:ascii="宋体" w:hAnsi="宋体" w:eastAsia="宋体" w:cs="Times New Roman"/>
          <w:spacing w:val="-1"/>
          <w:szCs w:val="21"/>
        </w:rPr>
        <w:t>该课程成绩以五级制计算，分别是优秀、 良好、 中等、及格、不及格。对应关系如下：</w:t>
      </w:r>
    </w:p>
    <w:tbl>
      <w:tblPr>
        <w:tblStyle w:val="34"/>
        <w:tblW w:w="79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68"/>
        <w:gridCol w:w="3969"/>
      </w:tblGrid>
      <w:tr w14:paraId="533A6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jc w:val="center"/>
        </w:trPr>
        <w:tc>
          <w:tcPr>
            <w:tcW w:w="2343" w:type="dxa"/>
            <w:vAlign w:val="center"/>
          </w:tcPr>
          <w:p w14:paraId="221A1F6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仿宋"/>
                <w:snapToGrid w:val="0"/>
                <w:kern w:val="0"/>
                <w:sz w:val="21"/>
                <w:szCs w:val="21"/>
                <w:lang w:eastAsia="en-US"/>
              </w:rPr>
            </w:pPr>
            <w:r>
              <w:rPr>
                <w:rFonts w:ascii="宋体" w:hAnsi="宋体" w:eastAsia="宋体" w:cs="仿宋"/>
                <w:snapToGrid w:val="0"/>
                <w:spacing w:val="-9"/>
                <w:kern w:val="0"/>
                <w:sz w:val="21"/>
                <w:szCs w:val="21"/>
                <w:lang w:eastAsia="en-US"/>
              </w:rPr>
              <w:t>五级制</w:t>
            </w:r>
          </w:p>
        </w:tc>
        <w:tc>
          <w:tcPr>
            <w:tcW w:w="2343" w:type="dxa"/>
            <w:vAlign w:val="center"/>
          </w:tcPr>
          <w:p w14:paraId="5F336F1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仿宋"/>
                <w:snapToGrid w:val="0"/>
                <w:kern w:val="0"/>
                <w:sz w:val="21"/>
                <w:szCs w:val="21"/>
                <w:lang w:eastAsia="en-US"/>
              </w:rPr>
            </w:pPr>
            <w:r>
              <w:rPr>
                <w:rFonts w:hint="eastAsia" w:ascii="宋体" w:hAnsi="宋体" w:eastAsia="宋体" w:cs="仿宋"/>
                <w:snapToGrid w:val="0"/>
                <w:spacing w:val="-11"/>
                <w:kern w:val="0"/>
                <w:sz w:val="21"/>
                <w:szCs w:val="21"/>
              </w:rPr>
              <w:t>总</w:t>
            </w:r>
            <w:r>
              <w:rPr>
                <w:rFonts w:ascii="宋体" w:hAnsi="宋体" w:eastAsia="宋体" w:cs="仿宋"/>
                <w:snapToGrid w:val="0"/>
                <w:spacing w:val="-11"/>
                <w:kern w:val="0"/>
                <w:sz w:val="21"/>
                <w:szCs w:val="21"/>
                <w:lang w:eastAsia="en-US"/>
              </w:rPr>
              <w:t>学时</w:t>
            </w:r>
          </w:p>
        </w:tc>
      </w:tr>
      <w:tr w14:paraId="5DB11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2343" w:type="dxa"/>
            <w:vAlign w:val="center"/>
          </w:tcPr>
          <w:p w14:paraId="02197F3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仿宋"/>
                <w:snapToGrid w:val="0"/>
                <w:kern w:val="0"/>
                <w:sz w:val="21"/>
                <w:szCs w:val="21"/>
                <w:lang w:eastAsia="en-US"/>
              </w:rPr>
            </w:pPr>
            <w:r>
              <w:rPr>
                <w:rFonts w:ascii="宋体" w:hAnsi="宋体" w:eastAsia="宋体" w:cs="仿宋"/>
                <w:snapToGrid w:val="0"/>
                <w:spacing w:val="-10"/>
                <w:kern w:val="0"/>
                <w:sz w:val="21"/>
                <w:szCs w:val="21"/>
                <w:lang w:eastAsia="en-US"/>
              </w:rPr>
              <w:t>优秀</w:t>
            </w:r>
          </w:p>
        </w:tc>
        <w:tc>
          <w:tcPr>
            <w:tcW w:w="2343" w:type="dxa"/>
            <w:vAlign w:val="center"/>
          </w:tcPr>
          <w:p w14:paraId="2732AA0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仿宋"/>
                <w:snapToGrid w:val="0"/>
                <w:kern w:val="0"/>
                <w:sz w:val="21"/>
                <w:szCs w:val="21"/>
                <w:lang w:eastAsia="en-US"/>
              </w:rPr>
            </w:pPr>
            <w:r>
              <w:rPr>
                <w:rFonts w:ascii="宋体" w:hAnsi="宋体" w:eastAsia="宋体" w:cs="仿宋"/>
                <w:snapToGrid w:val="0"/>
                <w:spacing w:val="-9"/>
                <w:kern w:val="0"/>
                <w:sz w:val="21"/>
                <w:szCs w:val="21"/>
                <w:lang w:eastAsia="en-US"/>
              </w:rPr>
              <w:t>56</w:t>
            </w:r>
            <w:r>
              <w:rPr>
                <w:rFonts w:ascii="宋体" w:hAnsi="宋体" w:eastAsia="宋体" w:cs="仿宋"/>
                <w:snapToGrid w:val="0"/>
                <w:spacing w:val="-37"/>
                <w:kern w:val="0"/>
                <w:sz w:val="21"/>
                <w:szCs w:val="21"/>
                <w:lang w:eastAsia="en-US"/>
              </w:rPr>
              <w:t xml:space="preserve"> </w:t>
            </w:r>
            <w:r>
              <w:rPr>
                <w:rFonts w:ascii="宋体" w:hAnsi="宋体" w:eastAsia="宋体" w:cs="仿宋"/>
                <w:snapToGrid w:val="0"/>
                <w:spacing w:val="-9"/>
                <w:kern w:val="0"/>
                <w:sz w:val="21"/>
                <w:szCs w:val="21"/>
                <w:lang w:eastAsia="en-US"/>
              </w:rPr>
              <w:t>学时以上</w:t>
            </w:r>
          </w:p>
        </w:tc>
      </w:tr>
      <w:tr w14:paraId="74124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2343" w:type="dxa"/>
            <w:vAlign w:val="center"/>
          </w:tcPr>
          <w:p w14:paraId="6E8DB28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仿宋"/>
                <w:snapToGrid w:val="0"/>
                <w:kern w:val="0"/>
                <w:sz w:val="21"/>
                <w:szCs w:val="21"/>
                <w:lang w:eastAsia="en-US"/>
              </w:rPr>
            </w:pPr>
            <w:r>
              <w:rPr>
                <w:rFonts w:ascii="宋体" w:hAnsi="宋体" w:eastAsia="宋体" w:cs="仿宋"/>
                <w:snapToGrid w:val="0"/>
                <w:spacing w:val="-33"/>
                <w:kern w:val="0"/>
                <w:sz w:val="21"/>
                <w:szCs w:val="21"/>
                <w:lang w:eastAsia="en-US"/>
              </w:rPr>
              <w:t>良好</w:t>
            </w:r>
          </w:p>
        </w:tc>
        <w:tc>
          <w:tcPr>
            <w:tcW w:w="2343" w:type="dxa"/>
            <w:vAlign w:val="center"/>
          </w:tcPr>
          <w:p w14:paraId="4D05D6E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仿宋"/>
                <w:snapToGrid w:val="0"/>
                <w:kern w:val="0"/>
                <w:sz w:val="21"/>
                <w:szCs w:val="21"/>
                <w:lang w:eastAsia="en-US"/>
              </w:rPr>
            </w:pPr>
            <w:r>
              <w:rPr>
                <w:rFonts w:ascii="宋体" w:hAnsi="宋体" w:eastAsia="宋体" w:cs="仿宋"/>
                <w:snapToGrid w:val="0"/>
                <w:spacing w:val="-7"/>
                <w:kern w:val="0"/>
                <w:sz w:val="21"/>
                <w:szCs w:val="21"/>
                <w:lang w:eastAsia="en-US"/>
              </w:rPr>
              <w:t>49-56</w:t>
            </w:r>
            <w:r>
              <w:rPr>
                <w:rFonts w:ascii="宋体" w:hAnsi="宋体" w:eastAsia="宋体" w:cs="仿宋"/>
                <w:snapToGrid w:val="0"/>
                <w:spacing w:val="-39"/>
                <w:kern w:val="0"/>
                <w:sz w:val="21"/>
                <w:szCs w:val="21"/>
                <w:lang w:eastAsia="en-US"/>
              </w:rPr>
              <w:t xml:space="preserve"> </w:t>
            </w:r>
            <w:r>
              <w:rPr>
                <w:rFonts w:ascii="宋体" w:hAnsi="宋体" w:eastAsia="宋体" w:cs="仿宋"/>
                <w:snapToGrid w:val="0"/>
                <w:spacing w:val="-7"/>
                <w:kern w:val="0"/>
                <w:sz w:val="21"/>
                <w:szCs w:val="21"/>
                <w:lang w:eastAsia="en-US"/>
              </w:rPr>
              <w:t>学时</w:t>
            </w:r>
          </w:p>
        </w:tc>
      </w:tr>
      <w:tr w14:paraId="11088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vAlign w:val="center"/>
          </w:tcPr>
          <w:p w14:paraId="7C1D88B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仿宋"/>
                <w:snapToGrid w:val="0"/>
                <w:kern w:val="0"/>
                <w:sz w:val="21"/>
                <w:szCs w:val="21"/>
                <w:lang w:eastAsia="en-US"/>
              </w:rPr>
            </w:pPr>
            <w:r>
              <w:rPr>
                <w:rFonts w:ascii="宋体" w:hAnsi="宋体" w:eastAsia="宋体" w:cs="仿宋"/>
                <w:snapToGrid w:val="0"/>
                <w:spacing w:val="-30"/>
                <w:kern w:val="0"/>
                <w:sz w:val="21"/>
                <w:szCs w:val="21"/>
                <w:lang w:eastAsia="en-US"/>
              </w:rPr>
              <w:t>中等</w:t>
            </w:r>
          </w:p>
        </w:tc>
        <w:tc>
          <w:tcPr>
            <w:tcW w:w="2343" w:type="dxa"/>
            <w:vAlign w:val="center"/>
          </w:tcPr>
          <w:p w14:paraId="1411FC4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仿宋"/>
                <w:snapToGrid w:val="0"/>
                <w:kern w:val="0"/>
                <w:sz w:val="21"/>
                <w:szCs w:val="21"/>
                <w:lang w:eastAsia="en-US"/>
              </w:rPr>
            </w:pPr>
            <w:r>
              <w:rPr>
                <w:rFonts w:ascii="宋体" w:hAnsi="宋体" w:eastAsia="宋体" w:cs="仿宋"/>
                <w:snapToGrid w:val="0"/>
                <w:spacing w:val="-7"/>
                <w:kern w:val="0"/>
                <w:sz w:val="21"/>
                <w:szCs w:val="21"/>
                <w:lang w:eastAsia="en-US"/>
              </w:rPr>
              <w:t>41-48</w:t>
            </w:r>
            <w:r>
              <w:rPr>
                <w:rFonts w:ascii="宋体" w:hAnsi="宋体" w:eastAsia="宋体" w:cs="仿宋"/>
                <w:snapToGrid w:val="0"/>
                <w:spacing w:val="-39"/>
                <w:kern w:val="0"/>
                <w:sz w:val="21"/>
                <w:szCs w:val="21"/>
                <w:lang w:eastAsia="en-US"/>
              </w:rPr>
              <w:t xml:space="preserve"> </w:t>
            </w:r>
            <w:r>
              <w:rPr>
                <w:rFonts w:ascii="宋体" w:hAnsi="宋体" w:eastAsia="宋体" w:cs="仿宋"/>
                <w:snapToGrid w:val="0"/>
                <w:spacing w:val="-7"/>
                <w:kern w:val="0"/>
                <w:sz w:val="21"/>
                <w:szCs w:val="21"/>
                <w:lang w:eastAsia="en-US"/>
              </w:rPr>
              <w:t>学时</w:t>
            </w:r>
          </w:p>
        </w:tc>
      </w:tr>
      <w:tr w14:paraId="2975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vAlign w:val="center"/>
          </w:tcPr>
          <w:p w14:paraId="0EDC08E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仿宋"/>
                <w:snapToGrid w:val="0"/>
                <w:kern w:val="0"/>
                <w:sz w:val="21"/>
                <w:szCs w:val="21"/>
                <w:lang w:eastAsia="en-US"/>
              </w:rPr>
            </w:pPr>
            <w:r>
              <w:rPr>
                <w:rFonts w:ascii="宋体" w:hAnsi="宋体" w:eastAsia="宋体" w:cs="仿宋"/>
                <w:snapToGrid w:val="0"/>
                <w:spacing w:val="-12"/>
                <w:kern w:val="0"/>
                <w:sz w:val="21"/>
                <w:szCs w:val="21"/>
                <w:lang w:eastAsia="en-US"/>
              </w:rPr>
              <w:t>及格</w:t>
            </w:r>
          </w:p>
        </w:tc>
        <w:tc>
          <w:tcPr>
            <w:tcW w:w="2343" w:type="dxa"/>
            <w:vAlign w:val="center"/>
          </w:tcPr>
          <w:p w14:paraId="2A4EBB5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仿宋"/>
                <w:snapToGrid w:val="0"/>
                <w:kern w:val="0"/>
                <w:sz w:val="21"/>
                <w:szCs w:val="21"/>
                <w:lang w:eastAsia="en-US"/>
              </w:rPr>
            </w:pPr>
            <w:r>
              <w:rPr>
                <w:rFonts w:ascii="宋体" w:hAnsi="宋体" w:eastAsia="宋体" w:cs="仿宋"/>
                <w:snapToGrid w:val="0"/>
                <w:spacing w:val="-8"/>
                <w:kern w:val="0"/>
                <w:sz w:val="21"/>
                <w:szCs w:val="21"/>
                <w:lang w:eastAsia="en-US"/>
              </w:rPr>
              <w:t>32-40</w:t>
            </w:r>
            <w:r>
              <w:rPr>
                <w:rFonts w:ascii="宋体" w:hAnsi="宋体" w:eastAsia="宋体" w:cs="仿宋"/>
                <w:snapToGrid w:val="0"/>
                <w:spacing w:val="-39"/>
                <w:kern w:val="0"/>
                <w:sz w:val="21"/>
                <w:szCs w:val="21"/>
                <w:lang w:eastAsia="en-US"/>
              </w:rPr>
              <w:t xml:space="preserve"> </w:t>
            </w:r>
            <w:r>
              <w:rPr>
                <w:rFonts w:ascii="宋体" w:hAnsi="宋体" w:eastAsia="宋体" w:cs="仿宋"/>
                <w:snapToGrid w:val="0"/>
                <w:spacing w:val="-8"/>
                <w:kern w:val="0"/>
                <w:sz w:val="21"/>
                <w:szCs w:val="21"/>
                <w:lang w:eastAsia="en-US"/>
              </w:rPr>
              <w:t>学时</w:t>
            </w:r>
          </w:p>
        </w:tc>
      </w:tr>
      <w:tr w14:paraId="5FDB9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vAlign w:val="center"/>
          </w:tcPr>
          <w:p w14:paraId="09EB6C9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仿宋"/>
                <w:snapToGrid w:val="0"/>
                <w:kern w:val="0"/>
                <w:sz w:val="21"/>
                <w:szCs w:val="21"/>
                <w:lang w:eastAsia="en-US"/>
              </w:rPr>
            </w:pPr>
            <w:r>
              <w:rPr>
                <w:rFonts w:ascii="宋体" w:hAnsi="宋体" w:eastAsia="宋体" w:cs="仿宋"/>
                <w:snapToGrid w:val="0"/>
                <w:spacing w:val="-10"/>
                <w:kern w:val="0"/>
                <w:sz w:val="21"/>
                <w:szCs w:val="21"/>
                <w:lang w:eastAsia="en-US"/>
              </w:rPr>
              <w:t>不及格</w:t>
            </w:r>
          </w:p>
        </w:tc>
        <w:tc>
          <w:tcPr>
            <w:tcW w:w="2343" w:type="dxa"/>
            <w:vAlign w:val="center"/>
          </w:tcPr>
          <w:p w14:paraId="27B1822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仿宋"/>
                <w:snapToGrid w:val="0"/>
                <w:kern w:val="0"/>
                <w:sz w:val="21"/>
                <w:szCs w:val="21"/>
                <w:lang w:eastAsia="en-US"/>
              </w:rPr>
            </w:pPr>
            <w:r>
              <w:rPr>
                <w:rFonts w:ascii="宋体" w:hAnsi="宋体" w:eastAsia="宋体" w:cs="仿宋"/>
                <w:snapToGrid w:val="0"/>
                <w:spacing w:val="-9"/>
                <w:kern w:val="0"/>
                <w:sz w:val="21"/>
                <w:szCs w:val="21"/>
                <w:lang w:eastAsia="en-US"/>
              </w:rPr>
              <w:t>32</w:t>
            </w:r>
            <w:r>
              <w:rPr>
                <w:rFonts w:ascii="宋体" w:hAnsi="宋体" w:eastAsia="宋体" w:cs="仿宋"/>
                <w:snapToGrid w:val="0"/>
                <w:spacing w:val="-37"/>
                <w:kern w:val="0"/>
                <w:sz w:val="21"/>
                <w:szCs w:val="21"/>
                <w:lang w:eastAsia="en-US"/>
              </w:rPr>
              <w:t xml:space="preserve"> </w:t>
            </w:r>
            <w:r>
              <w:rPr>
                <w:rFonts w:ascii="宋体" w:hAnsi="宋体" w:eastAsia="宋体" w:cs="仿宋"/>
                <w:snapToGrid w:val="0"/>
                <w:spacing w:val="-9"/>
                <w:kern w:val="0"/>
                <w:sz w:val="21"/>
                <w:szCs w:val="21"/>
                <w:lang w:eastAsia="en-US"/>
              </w:rPr>
              <w:t>学时以下</w:t>
            </w:r>
          </w:p>
        </w:tc>
      </w:tr>
    </w:tbl>
    <w:p w14:paraId="063C7348">
      <w:pPr>
        <w:spacing w:after="120"/>
        <w:ind w:right="-58" w:firstLine="416" w:firstLineChars="200"/>
        <w:rPr>
          <w:rFonts w:hint="eastAsia" w:ascii="宋体" w:hAnsi="宋体" w:eastAsia="宋体" w:cs="Times New Roman"/>
          <w:spacing w:val="-1"/>
          <w:szCs w:val="21"/>
        </w:rPr>
      </w:pPr>
      <w:r>
        <w:rPr>
          <w:rFonts w:ascii="宋体" w:hAnsi="宋体" w:eastAsia="宋体" w:cs="Times New Roman"/>
          <w:spacing w:val="-1"/>
          <w:szCs w:val="21"/>
        </w:rPr>
        <w:t>有下列情况之一者，将不给予学时认定：1.存在弄虚作假行为者；2.不在规定时间内上报学分认定材料者。</w:t>
      </w:r>
    </w:p>
    <w:p w14:paraId="581F3EF0">
      <w:pPr>
        <w:spacing w:line="360" w:lineRule="auto"/>
        <w:ind w:firstLine="422" w:firstLineChars="200"/>
        <w:jc w:val="left"/>
        <w:outlineLvl w:val="1"/>
        <w:rPr>
          <w:rFonts w:hint="eastAsia" w:ascii="宋体" w:hAnsi="宋体" w:eastAsia="宋体" w:cs="Times New Roman"/>
          <w:b/>
          <w:szCs w:val="21"/>
        </w:rPr>
      </w:pPr>
      <w:bookmarkStart w:id="175" w:name="_Toc12024"/>
      <w:bookmarkStart w:id="176" w:name="_Toc21865"/>
      <w:r>
        <w:rPr>
          <w:rFonts w:hint="eastAsia" w:ascii="宋体" w:hAnsi="宋体" w:eastAsia="宋体" w:cs="Times New Roman"/>
          <w:b/>
          <w:szCs w:val="21"/>
        </w:rPr>
        <w:t>（三）课程目标达成度计算方法</w:t>
      </w:r>
      <w:bookmarkEnd w:id="175"/>
      <w:bookmarkEnd w:id="176"/>
    </w:p>
    <w:p w14:paraId="41BE565A">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3E039A61">
      <w:pPr>
        <w:spacing w:before="156" w:beforeLines="50" w:line="360" w:lineRule="auto"/>
        <w:ind w:firstLine="480" w:firstLineChars="200"/>
        <w:jc w:val="left"/>
        <w:rPr>
          <w:rFonts w:hint="eastAsia" w:ascii="宋体" w:hAnsi="宋体" w:eastAsia="宋体" w:cs="Times New Roman"/>
          <w:szCs w:val="21"/>
        </w:rPr>
      </w:pPr>
      <w:r>
        <w:rPr>
          <w:rFonts w:ascii="宋体" w:hAnsi="宋体" w:eastAsia="宋体" w:cs="Times New Roman"/>
          <w:sz w:val="24"/>
          <w:szCs w:val="22"/>
        </w:rPr>
        <w:drawing>
          <wp:inline distT="0" distB="0" distL="0" distR="0">
            <wp:extent cx="5274310" cy="3371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2B46535B">
      <w:pPr>
        <w:spacing w:before="62" w:beforeLines="20" w:after="62" w:afterLines="20" w:line="360" w:lineRule="auto"/>
        <w:jc w:val="left"/>
        <w:rPr>
          <w:rFonts w:ascii="Times New Roman" w:hAnsi="Times New Roman" w:eastAsia="宋体" w:cs="Times New Roman"/>
          <w:bCs/>
          <w:sz w:val="24"/>
        </w:rPr>
      </w:pPr>
      <w:bookmarkStart w:id="177" w:name="_Toc13021"/>
      <w:bookmarkStart w:id="178" w:name="_Toc7542"/>
      <w:bookmarkStart w:id="179" w:name="_Toc20062"/>
      <w:bookmarkStart w:id="180" w:name="_Toc11205"/>
      <w:bookmarkStart w:id="181" w:name="_Toc10381"/>
      <w:bookmarkStart w:id="182" w:name="_Toc17162"/>
      <w:bookmarkStart w:id="183" w:name="_Toc16379"/>
      <w:r>
        <w:rPr>
          <w:rFonts w:hint="eastAsia" w:ascii="Times New Roman" w:hAnsi="Times New Roman" w:eastAsia="宋体" w:cs="Times New Roman"/>
          <w:b/>
          <w:sz w:val="24"/>
        </w:rPr>
        <w:t>五、课程实践</w:t>
      </w:r>
      <w:r>
        <w:rPr>
          <w:rFonts w:hint="eastAsia" w:ascii="Times New Roman" w:hAnsi="Times New Roman" w:eastAsia="宋体" w:cs="Times New Roman"/>
          <w:bCs/>
          <w:sz w:val="24"/>
        </w:rPr>
        <w:t>（利用第二课堂，不占总学时）</w:t>
      </w:r>
      <w:bookmarkEnd w:id="177"/>
      <w:bookmarkEnd w:id="178"/>
      <w:bookmarkEnd w:id="179"/>
      <w:bookmarkEnd w:id="180"/>
      <w:bookmarkEnd w:id="181"/>
      <w:bookmarkEnd w:id="182"/>
      <w:bookmarkEnd w:id="183"/>
    </w:p>
    <w:p w14:paraId="43F894E9">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tbl>
      <w:tblPr>
        <w:tblStyle w:val="3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1A8DC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4A55053">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活动主题</w:t>
            </w:r>
          </w:p>
        </w:tc>
        <w:tc>
          <w:tcPr>
            <w:tcW w:w="3407" w:type="dxa"/>
            <w:vAlign w:val="center"/>
          </w:tcPr>
          <w:p w14:paraId="3507768A">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活动内容</w:t>
            </w:r>
          </w:p>
        </w:tc>
        <w:tc>
          <w:tcPr>
            <w:tcW w:w="740" w:type="dxa"/>
            <w:vAlign w:val="center"/>
          </w:tcPr>
          <w:p w14:paraId="7A5B65AB">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活动方式</w:t>
            </w:r>
          </w:p>
        </w:tc>
        <w:tc>
          <w:tcPr>
            <w:tcW w:w="3160" w:type="dxa"/>
            <w:vAlign w:val="center"/>
          </w:tcPr>
          <w:p w14:paraId="1F5853A6">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思政目标</w:t>
            </w:r>
          </w:p>
        </w:tc>
      </w:tr>
      <w:tr w14:paraId="59F5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CB04065">
            <w:pPr>
              <w:spacing w:line="240" w:lineRule="auto"/>
              <w:jc w:val="center"/>
              <w:rPr>
                <w:rFonts w:hint="eastAsia" w:ascii="宋体" w:hAnsi="宋体" w:eastAsia="宋体" w:cs="宋体"/>
                <w:sz w:val="21"/>
                <w:szCs w:val="21"/>
              </w:rPr>
            </w:pPr>
            <w:r>
              <w:rPr>
                <w:rFonts w:ascii="宋体" w:hAnsi="宋体" w:eastAsia="宋体" w:cs="Times New Roman"/>
                <w:sz w:val="21"/>
                <w:szCs w:val="21"/>
              </w:rPr>
              <w:t>阅读</w:t>
            </w:r>
            <w:r>
              <w:rPr>
                <w:rFonts w:hint="eastAsia" w:ascii="宋体" w:hAnsi="宋体" w:eastAsia="宋体" w:cs="Times New Roman"/>
                <w:sz w:val="21"/>
                <w:szCs w:val="21"/>
              </w:rPr>
              <w:t>经典书籍</w:t>
            </w:r>
          </w:p>
        </w:tc>
        <w:tc>
          <w:tcPr>
            <w:tcW w:w="3407" w:type="dxa"/>
            <w:vAlign w:val="center"/>
          </w:tcPr>
          <w:p w14:paraId="20A3344A">
            <w:pPr>
              <w:spacing w:line="240" w:lineRule="auto"/>
              <w:jc w:val="left"/>
              <w:rPr>
                <w:rFonts w:hint="eastAsia" w:ascii="宋体" w:hAnsi="宋体" w:eastAsia="宋体" w:cs="宋体"/>
                <w:sz w:val="21"/>
                <w:szCs w:val="21"/>
              </w:rPr>
            </w:pPr>
            <w:r>
              <w:rPr>
                <w:rFonts w:ascii="宋体" w:hAnsi="宋体" w:eastAsia="宋体" w:cs="Times New Roman"/>
                <w:spacing w:val="-7"/>
                <w:sz w:val="21"/>
                <w:szCs w:val="21"/>
              </w:rPr>
              <w:t>在校期间，</w:t>
            </w:r>
            <w:r>
              <w:rPr>
                <w:rFonts w:hint="eastAsia" w:ascii="宋体" w:hAnsi="宋体" w:eastAsia="宋体" w:cs="Times New Roman"/>
                <w:spacing w:val="-7"/>
                <w:sz w:val="21"/>
                <w:szCs w:val="21"/>
              </w:rPr>
              <w:t>每学年须完成经典阅读</w:t>
            </w:r>
            <w:r>
              <w:rPr>
                <w:rFonts w:ascii="宋体" w:hAnsi="宋体" w:eastAsia="宋体" w:cs="Times New Roman"/>
                <w:spacing w:val="-7"/>
                <w:sz w:val="21"/>
                <w:szCs w:val="21"/>
              </w:rPr>
              <w:t>20</w:t>
            </w:r>
            <w:r>
              <w:rPr>
                <w:rFonts w:hint="eastAsia" w:ascii="宋体" w:hAnsi="宋体" w:eastAsia="宋体" w:cs="Times New Roman"/>
                <w:spacing w:val="-7"/>
                <w:sz w:val="21"/>
                <w:szCs w:val="21"/>
              </w:rPr>
              <w:t>本/6学时，</w:t>
            </w:r>
            <w:r>
              <w:rPr>
                <w:rFonts w:ascii="宋体" w:hAnsi="宋体" w:eastAsia="宋体" w:cs="Times New Roman"/>
                <w:spacing w:val="-4"/>
                <w:sz w:val="21"/>
                <w:szCs w:val="21"/>
              </w:rPr>
              <w:t>在</w:t>
            </w:r>
            <w:r>
              <w:rPr>
                <w:rFonts w:hint="eastAsia" w:ascii="宋体" w:hAnsi="宋体" w:eastAsia="宋体" w:cs="Times New Roman"/>
                <w:spacing w:val="-4"/>
                <w:sz w:val="21"/>
                <w:szCs w:val="21"/>
              </w:rPr>
              <w:t>四</w:t>
            </w:r>
            <w:r>
              <w:rPr>
                <w:rFonts w:ascii="宋体" w:hAnsi="宋体" w:eastAsia="宋体" w:cs="Times New Roman"/>
                <w:spacing w:val="-4"/>
                <w:sz w:val="21"/>
                <w:szCs w:val="21"/>
              </w:rPr>
              <w:t>个学</w:t>
            </w:r>
            <w:r>
              <w:rPr>
                <w:rFonts w:hint="eastAsia" w:ascii="宋体" w:hAnsi="宋体" w:eastAsia="宋体" w:cs="Times New Roman"/>
                <w:spacing w:val="-4"/>
                <w:sz w:val="21"/>
                <w:szCs w:val="21"/>
              </w:rPr>
              <w:t>年</w:t>
            </w:r>
            <w:r>
              <w:rPr>
                <w:rFonts w:ascii="宋体" w:hAnsi="宋体" w:eastAsia="宋体" w:cs="Times New Roman"/>
                <w:spacing w:val="-4"/>
                <w:sz w:val="21"/>
                <w:szCs w:val="21"/>
              </w:rPr>
              <w:t>内</w:t>
            </w:r>
            <w:r>
              <w:rPr>
                <w:rFonts w:hint="eastAsia" w:ascii="宋体" w:hAnsi="宋体" w:eastAsia="宋体" w:cs="Times New Roman"/>
                <w:spacing w:val="-7"/>
                <w:sz w:val="21"/>
                <w:szCs w:val="21"/>
              </w:rPr>
              <w:t>完成经典阅读</w:t>
            </w:r>
            <w:r>
              <w:rPr>
                <w:rFonts w:ascii="宋体" w:hAnsi="宋体" w:eastAsia="宋体" w:cs="Times New Roman"/>
                <w:spacing w:val="-5"/>
                <w:sz w:val="21"/>
                <w:szCs w:val="21"/>
              </w:rPr>
              <w:t>累计</w:t>
            </w:r>
            <w:r>
              <w:rPr>
                <w:rFonts w:ascii="宋体" w:hAnsi="宋体" w:eastAsia="宋体" w:cs="Times New Roman"/>
                <w:spacing w:val="-10"/>
                <w:sz w:val="21"/>
                <w:szCs w:val="21"/>
              </w:rPr>
              <w:t>获得</w:t>
            </w:r>
            <w:r>
              <w:rPr>
                <w:rFonts w:ascii="宋体" w:hAnsi="宋体" w:eastAsia="宋体" w:cs="Times New Roman"/>
                <w:spacing w:val="-62"/>
                <w:sz w:val="21"/>
                <w:szCs w:val="21"/>
              </w:rPr>
              <w:t xml:space="preserve"> </w:t>
            </w:r>
            <w:r>
              <w:rPr>
                <w:rFonts w:hint="eastAsia" w:ascii="宋体" w:hAnsi="宋体" w:eastAsia="宋体" w:cs="Times New Roman"/>
                <w:spacing w:val="-10"/>
                <w:sz w:val="21"/>
                <w:szCs w:val="21"/>
              </w:rPr>
              <w:t>24</w:t>
            </w:r>
            <w:r>
              <w:rPr>
                <w:rFonts w:ascii="宋体" w:hAnsi="宋体" w:eastAsia="宋体" w:cs="Times New Roman"/>
                <w:spacing w:val="-44"/>
                <w:sz w:val="21"/>
                <w:szCs w:val="21"/>
              </w:rPr>
              <w:t xml:space="preserve"> </w:t>
            </w:r>
            <w:r>
              <w:rPr>
                <w:rFonts w:ascii="宋体" w:hAnsi="宋体" w:eastAsia="宋体" w:cs="Times New Roman"/>
                <w:spacing w:val="-10"/>
                <w:sz w:val="21"/>
                <w:szCs w:val="21"/>
              </w:rPr>
              <w:t>学时</w:t>
            </w:r>
            <w:r>
              <w:rPr>
                <w:rFonts w:hint="eastAsia" w:ascii="宋体" w:hAnsi="宋体" w:eastAsia="宋体" w:cs="Times New Roman"/>
                <w:spacing w:val="-5"/>
                <w:sz w:val="21"/>
                <w:szCs w:val="21"/>
              </w:rPr>
              <w:t>。</w:t>
            </w:r>
            <w:r>
              <w:rPr>
                <w:rFonts w:hint="eastAsia" w:ascii="宋体" w:hAnsi="宋体" w:eastAsia="宋体" w:cs="Times New Roman"/>
                <w:spacing w:val="-10"/>
                <w:sz w:val="21"/>
                <w:szCs w:val="21"/>
              </w:rPr>
              <w:t>每学年超过部分，认定附加分，每增加1本经典阅读，计2学时。</w:t>
            </w:r>
            <w:r>
              <w:rPr>
                <w:rFonts w:hint="eastAsia" w:ascii="宋体" w:hAnsi="宋体" w:eastAsia="宋体" w:cs="Times New Roman"/>
                <w:bCs/>
                <w:spacing w:val="-5"/>
                <w:sz w:val="21"/>
                <w:szCs w:val="21"/>
              </w:rPr>
              <w:t>经典阅读书目可涵盖</w:t>
            </w:r>
            <w:r>
              <w:rPr>
                <w:rFonts w:ascii="宋体" w:hAnsi="宋体" w:eastAsia="宋体" w:cs="Times New Roman"/>
                <w:bCs/>
                <w:spacing w:val="-5"/>
                <w:sz w:val="21"/>
                <w:szCs w:val="21"/>
              </w:rPr>
              <w:t>“</w:t>
            </w:r>
            <w:r>
              <w:rPr>
                <w:rFonts w:hint="eastAsia" w:ascii="宋体" w:hAnsi="宋体" w:eastAsia="宋体" w:cs="Times New Roman"/>
                <w:bCs/>
                <w:spacing w:val="-5"/>
                <w:sz w:val="21"/>
                <w:szCs w:val="21"/>
              </w:rPr>
              <w:t>教育学类</w:t>
            </w:r>
            <w:r>
              <w:rPr>
                <w:rFonts w:ascii="宋体" w:hAnsi="宋体" w:eastAsia="宋体" w:cs="Times New Roman"/>
                <w:bCs/>
                <w:spacing w:val="-5"/>
                <w:sz w:val="21"/>
                <w:szCs w:val="21"/>
              </w:rPr>
              <w:t xml:space="preserve"> ” </w:t>
            </w:r>
            <w:r>
              <w:rPr>
                <w:rFonts w:hint="eastAsia" w:ascii="宋体" w:hAnsi="宋体" w:eastAsia="宋体" w:cs="Times New Roman"/>
                <w:bCs/>
                <w:spacing w:val="-5"/>
                <w:sz w:val="21"/>
                <w:szCs w:val="21"/>
              </w:rPr>
              <w:t>“心理学类”</w:t>
            </w:r>
            <w:r>
              <w:rPr>
                <w:rFonts w:ascii="宋体" w:hAnsi="宋体" w:eastAsia="宋体" w:cs="Times New Roman"/>
                <w:bCs/>
                <w:spacing w:val="-5"/>
                <w:sz w:val="21"/>
                <w:szCs w:val="21"/>
              </w:rPr>
              <w:t>“</w:t>
            </w:r>
            <w:r>
              <w:rPr>
                <w:rFonts w:hint="eastAsia" w:ascii="宋体" w:hAnsi="宋体" w:eastAsia="宋体" w:cs="Times New Roman"/>
                <w:bCs/>
                <w:spacing w:val="-5"/>
                <w:sz w:val="21"/>
                <w:szCs w:val="21"/>
              </w:rPr>
              <w:t>文学艺术类</w:t>
            </w:r>
            <w:r>
              <w:rPr>
                <w:rFonts w:ascii="宋体" w:hAnsi="宋体" w:eastAsia="宋体" w:cs="Times New Roman"/>
                <w:bCs/>
                <w:spacing w:val="-5"/>
                <w:sz w:val="21"/>
                <w:szCs w:val="21"/>
              </w:rPr>
              <w:t xml:space="preserve"> ”“</w:t>
            </w:r>
            <w:r>
              <w:rPr>
                <w:rFonts w:hint="eastAsia" w:ascii="宋体" w:hAnsi="宋体" w:eastAsia="宋体" w:cs="Times New Roman"/>
                <w:bCs/>
                <w:spacing w:val="-5"/>
                <w:sz w:val="21"/>
                <w:szCs w:val="21"/>
              </w:rPr>
              <w:t>哲学美育类</w:t>
            </w:r>
            <w:r>
              <w:rPr>
                <w:rFonts w:ascii="宋体" w:hAnsi="宋体" w:eastAsia="宋体" w:cs="Times New Roman"/>
                <w:bCs/>
                <w:spacing w:val="-5"/>
                <w:sz w:val="21"/>
                <w:szCs w:val="21"/>
              </w:rPr>
              <w:t xml:space="preserve"> ”</w:t>
            </w:r>
            <w:r>
              <w:rPr>
                <w:rFonts w:hint="eastAsia" w:ascii="宋体" w:hAnsi="宋体" w:eastAsia="宋体" w:cs="Times New Roman"/>
                <w:bCs/>
                <w:spacing w:val="-5"/>
                <w:sz w:val="21"/>
                <w:szCs w:val="21"/>
              </w:rPr>
              <w:t>“社会学类”</w:t>
            </w:r>
            <w:r>
              <w:rPr>
                <w:rFonts w:ascii="宋体" w:hAnsi="宋体" w:eastAsia="宋体" w:cs="Times New Roman"/>
                <w:bCs/>
                <w:spacing w:val="-5"/>
                <w:sz w:val="21"/>
                <w:szCs w:val="21"/>
              </w:rPr>
              <w:t>“</w:t>
            </w:r>
            <w:r>
              <w:rPr>
                <w:rFonts w:hint="eastAsia" w:ascii="宋体" w:hAnsi="宋体" w:eastAsia="宋体" w:cs="Times New Roman"/>
                <w:bCs/>
                <w:spacing w:val="-5"/>
                <w:sz w:val="21"/>
                <w:szCs w:val="21"/>
              </w:rPr>
              <w:t>自然科学类</w:t>
            </w:r>
            <w:r>
              <w:rPr>
                <w:rFonts w:ascii="宋体" w:hAnsi="宋体" w:eastAsia="宋体" w:cs="Times New Roman"/>
                <w:bCs/>
                <w:spacing w:val="-5"/>
                <w:sz w:val="21"/>
                <w:szCs w:val="21"/>
              </w:rPr>
              <w:t>”</w:t>
            </w:r>
            <w:r>
              <w:rPr>
                <w:rFonts w:hint="eastAsia" w:ascii="宋体" w:hAnsi="宋体" w:eastAsia="宋体" w:cs="Times New Roman"/>
                <w:bCs/>
                <w:spacing w:val="-5"/>
                <w:sz w:val="21"/>
                <w:szCs w:val="21"/>
              </w:rPr>
              <w:t>、“历史文明类</w:t>
            </w:r>
            <w:r>
              <w:rPr>
                <w:rFonts w:ascii="宋体" w:hAnsi="宋体" w:eastAsia="宋体" w:cs="Times New Roman"/>
                <w:bCs/>
                <w:spacing w:val="-5"/>
                <w:sz w:val="21"/>
                <w:szCs w:val="21"/>
              </w:rPr>
              <w:t>”“</w:t>
            </w:r>
            <w:r>
              <w:rPr>
                <w:rFonts w:hint="eastAsia" w:ascii="宋体" w:hAnsi="宋体" w:eastAsia="宋体" w:cs="Times New Roman"/>
                <w:bCs/>
                <w:spacing w:val="-5"/>
                <w:sz w:val="21"/>
                <w:szCs w:val="21"/>
              </w:rPr>
              <w:t>全球化领导力类</w:t>
            </w:r>
            <w:r>
              <w:rPr>
                <w:rFonts w:ascii="宋体" w:hAnsi="宋体" w:eastAsia="宋体" w:cs="Times New Roman"/>
                <w:bCs/>
                <w:spacing w:val="-5"/>
                <w:sz w:val="21"/>
                <w:szCs w:val="21"/>
              </w:rPr>
              <w:t xml:space="preserve"> ”</w:t>
            </w:r>
            <w:r>
              <w:rPr>
                <w:rFonts w:hint="eastAsia" w:ascii="宋体" w:hAnsi="宋体" w:eastAsia="宋体" w:cs="Times New Roman"/>
                <w:bCs/>
                <w:spacing w:val="-5"/>
                <w:sz w:val="21"/>
                <w:szCs w:val="21"/>
              </w:rPr>
              <w:t>等八大类。</w:t>
            </w:r>
          </w:p>
        </w:tc>
        <w:tc>
          <w:tcPr>
            <w:tcW w:w="740" w:type="dxa"/>
            <w:vAlign w:val="center"/>
          </w:tcPr>
          <w:p w14:paraId="3019CD4E">
            <w:pPr>
              <w:spacing w:line="240" w:lineRule="auto"/>
              <w:jc w:val="center"/>
              <w:rPr>
                <w:rFonts w:hint="eastAsia" w:ascii="宋体" w:hAnsi="宋体" w:eastAsia="宋体" w:cs="宋体"/>
                <w:sz w:val="21"/>
                <w:szCs w:val="21"/>
              </w:rPr>
            </w:pPr>
            <w:r>
              <w:rPr>
                <w:rFonts w:hint="eastAsia" w:ascii="宋体" w:hAnsi="宋体" w:eastAsia="宋体" w:cs="宋体"/>
                <w:sz w:val="21"/>
                <w:szCs w:val="21"/>
              </w:rPr>
              <w:t>阅读书籍</w:t>
            </w:r>
          </w:p>
        </w:tc>
        <w:tc>
          <w:tcPr>
            <w:tcW w:w="3160" w:type="dxa"/>
            <w:vAlign w:val="center"/>
          </w:tcPr>
          <w:p w14:paraId="68E5FBAE">
            <w:pPr>
              <w:spacing w:line="240" w:lineRule="auto"/>
              <w:jc w:val="left"/>
              <w:rPr>
                <w:rFonts w:hint="eastAsia" w:ascii="宋体" w:hAnsi="宋体" w:eastAsia="宋体" w:cs="宋体"/>
                <w:sz w:val="21"/>
                <w:szCs w:val="21"/>
              </w:rPr>
            </w:pPr>
            <w:r>
              <w:rPr>
                <w:rFonts w:ascii="宋体" w:hAnsi="宋体" w:eastAsia="宋体" w:cs="宋体"/>
                <w:sz w:val="21"/>
                <w:szCs w:val="21"/>
              </w:rPr>
              <w:t>通过深入阅读经典文化作品，提升学生的人文素养，培养良好的道德情操和社会责任感</w:t>
            </w:r>
            <w:r>
              <w:rPr>
                <w:rFonts w:hint="eastAsia" w:ascii="宋体" w:hAnsi="宋体" w:eastAsia="宋体" w:cs="宋体"/>
                <w:sz w:val="21"/>
                <w:szCs w:val="21"/>
              </w:rPr>
              <w:t>，</w:t>
            </w:r>
            <w:r>
              <w:rPr>
                <w:rFonts w:ascii="宋体" w:hAnsi="宋体" w:eastAsia="宋体" w:cs="宋体"/>
                <w:sz w:val="21"/>
                <w:szCs w:val="21"/>
              </w:rPr>
              <w:t>提升学生的审美鉴赏能力，同时锻炼其语言表达和文学创作能力。</w:t>
            </w:r>
          </w:p>
        </w:tc>
      </w:tr>
      <w:tr w14:paraId="3B23D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2ED6E724">
            <w:pPr>
              <w:spacing w:line="240" w:lineRule="auto"/>
              <w:jc w:val="center"/>
              <w:rPr>
                <w:rFonts w:hint="eastAsia" w:ascii="宋体" w:hAnsi="宋体" w:eastAsia="宋体" w:cs="宋体"/>
                <w:sz w:val="21"/>
                <w:szCs w:val="21"/>
              </w:rPr>
            </w:pPr>
            <w:r>
              <w:rPr>
                <w:rFonts w:ascii="宋体" w:hAnsi="宋体" w:eastAsia="宋体" w:cs="Times New Roman"/>
                <w:sz w:val="21"/>
                <w:szCs w:val="21"/>
              </w:rPr>
              <w:t>参加讲座</w:t>
            </w:r>
            <w:r>
              <w:rPr>
                <w:rFonts w:hint="eastAsia" w:ascii="宋体" w:hAnsi="宋体" w:eastAsia="宋体" w:cs="Times New Roman"/>
                <w:sz w:val="21"/>
                <w:szCs w:val="21"/>
              </w:rPr>
              <w:t>或报告</w:t>
            </w:r>
          </w:p>
        </w:tc>
        <w:tc>
          <w:tcPr>
            <w:tcW w:w="3407" w:type="dxa"/>
            <w:vAlign w:val="center"/>
          </w:tcPr>
          <w:p w14:paraId="056E1F35">
            <w:pPr>
              <w:spacing w:line="240" w:lineRule="auto"/>
              <w:jc w:val="left"/>
              <w:rPr>
                <w:rFonts w:hint="eastAsia" w:ascii="宋体" w:hAnsi="宋体" w:eastAsia="宋体" w:cs="宋体"/>
                <w:sz w:val="21"/>
                <w:szCs w:val="21"/>
              </w:rPr>
            </w:pPr>
            <w:r>
              <w:rPr>
                <w:rFonts w:ascii="宋体" w:hAnsi="宋体" w:eastAsia="宋体" w:cs="Times New Roman"/>
                <w:spacing w:val="-1"/>
                <w:sz w:val="21"/>
                <w:szCs w:val="21"/>
              </w:rPr>
              <w:t>每学期参加至少</w:t>
            </w:r>
            <w:r>
              <w:rPr>
                <w:rFonts w:ascii="宋体" w:hAnsi="宋体" w:eastAsia="宋体" w:cs="Times New Roman"/>
                <w:spacing w:val="-49"/>
                <w:sz w:val="21"/>
                <w:szCs w:val="21"/>
              </w:rPr>
              <w:t xml:space="preserve"> </w:t>
            </w:r>
            <w:r>
              <w:rPr>
                <w:rFonts w:ascii="宋体" w:hAnsi="宋体" w:eastAsia="宋体" w:cs="Times New Roman"/>
                <w:spacing w:val="-1"/>
                <w:sz w:val="21"/>
                <w:szCs w:val="21"/>
              </w:rPr>
              <w:t>5</w:t>
            </w:r>
            <w:r>
              <w:rPr>
                <w:rFonts w:ascii="宋体" w:hAnsi="宋体" w:eastAsia="宋体" w:cs="Times New Roman"/>
                <w:spacing w:val="-52"/>
                <w:sz w:val="21"/>
                <w:szCs w:val="21"/>
              </w:rPr>
              <w:t xml:space="preserve"> </w:t>
            </w:r>
            <w:r>
              <w:rPr>
                <w:rFonts w:ascii="宋体" w:hAnsi="宋体" w:eastAsia="宋体" w:cs="Times New Roman"/>
                <w:spacing w:val="-1"/>
                <w:sz w:val="21"/>
                <w:szCs w:val="21"/>
              </w:rPr>
              <w:t>次校内外学术讲座（报告）或者网络</w:t>
            </w:r>
            <w:r>
              <w:rPr>
                <w:rFonts w:ascii="宋体" w:hAnsi="宋体" w:eastAsia="宋体" w:cs="Times New Roman"/>
                <w:spacing w:val="-4"/>
                <w:sz w:val="21"/>
                <w:szCs w:val="21"/>
              </w:rPr>
              <w:t>上公开的学术会议，</w:t>
            </w:r>
            <w:r>
              <w:rPr>
                <w:rFonts w:hint="eastAsia" w:ascii="宋体" w:hAnsi="宋体" w:eastAsia="宋体" w:cs="Times New Roman"/>
                <w:spacing w:val="-7"/>
                <w:sz w:val="21"/>
                <w:szCs w:val="21"/>
              </w:rPr>
              <w:t>每学年须完成参加学术讲座或报告</w:t>
            </w:r>
            <w:r>
              <w:rPr>
                <w:rFonts w:ascii="宋体" w:hAnsi="宋体" w:eastAsia="宋体" w:cs="Times New Roman"/>
                <w:spacing w:val="-7"/>
                <w:sz w:val="21"/>
                <w:szCs w:val="21"/>
              </w:rPr>
              <w:t>10</w:t>
            </w:r>
            <w:r>
              <w:rPr>
                <w:rFonts w:hint="eastAsia" w:ascii="宋体" w:hAnsi="宋体" w:eastAsia="宋体" w:cs="Times New Roman"/>
                <w:spacing w:val="-7"/>
                <w:sz w:val="21"/>
                <w:szCs w:val="21"/>
              </w:rPr>
              <w:t>场，方可获得2学时。学生须</w:t>
            </w:r>
            <w:r>
              <w:rPr>
                <w:rFonts w:ascii="宋体" w:hAnsi="宋体" w:eastAsia="宋体" w:cs="Times New Roman"/>
                <w:spacing w:val="-4"/>
                <w:sz w:val="21"/>
                <w:szCs w:val="21"/>
              </w:rPr>
              <w:t>在</w:t>
            </w:r>
            <w:r>
              <w:rPr>
                <w:rFonts w:hint="eastAsia" w:ascii="宋体" w:hAnsi="宋体" w:eastAsia="宋体" w:cs="Times New Roman"/>
                <w:spacing w:val="-4"/>
                <w:sz w:val="21"/>
                <w:szCs w:val="21"/>
              </w:rPr>
              <w:t>四</w:t>
            </w:r>
            <w:r>
              <w:rPr>
                <w:rFonts w:ascii="宋体" w:hAnsi="宋体" w:eastAsia="宋体" w:cs="Times New Roman"/>
                <w:spacing w:val="-4"/>
                <w:sz w:val="21"/>
                <w:szCs w:val="21"/>
              </w:rPr>
              <w:t>个学</w:t>
            </w:r>
            <w:r>
              <w:rPr>
                <w:rFonts w:hint="eastAsia" w:ascii="宋体" w:hAnsi="宋体" w:eastAsia="宋体" w:cs="Times New Roman"/>
                <w:spacing w:val="-4"/>
                <w:sz w:val="21"/>
                <w:szCs w:val="21"/>
              </w:rPr>
              <w:t>年</w:t>
            </w:r>
            <w:r>
              <w:rPr>
                <w:rFonts w:ascii="宋体" w:hAnsi="宋体" w:eastAsia="宋体" w:cs="Times New Roman"/>
                <w:spacing w:val="-4"/>
                <w:sz w:val="21"/>
                <w:szCs w:val="21"/>
              </w:rPr>
              <w:t>内</w:t>
            </w:r>
            <w:r>
              <w:rPr>
                <w:rFonts w:hint="eastAsia" w:ascii="宋体" w:hAnsi="宋体" w:eastAsia="宋体" w:cs="Times New Roman"/>
                <w:spacing w:val="-4"/>
                <w:sz w:val="21"/>
                <w:szCs w:val="21"/>
              </w:rPr>
              <w:t>须</w:t>
            </w:r>
            <w:r>
              <w:rPr>
                <w:rFonts w:ascii="宋体" w:hAnsi="宋体" w:eastAsia="宋体" w:cs="Times New Roman"/>
                <w:spacing w:val="-4"/>
                <w:sz w:val="21"/>
                <w:szCs w:val="21"/>
              </w:rPr>
              <w:t>参加学术讲座（报</w:t>
            </w:r>
            <w:r>
              <w:rPr>
                <w:rFonts w:ascii="宋体" w:hAnsi="宋体" w:eastAsia="宋体" w:cs="Times New Roman"/>
                <w:spacing w:val="-5"/>
                <w:sz w:val="21"/>
                <w:szCs w:val="21"/>
              </w:rPr>
              <w:t>告）累计</w:t>
            </w:r>
            <w:r>
              <w:rPr>
                <w:rFonts w:ascii="宋体" w:hAnsi="宋体" w:eastAsia="宋体" w:cs="Times New Roman"/>
                <w:spacing w:val="-10"/>
                <w:sz w:val="21"/>
                <w:szCs w:val="21"/>
              </w:rPr>
              <w:t>获得</w:t>
            </w:r>
            <w:r>
              <w:rPr>
                <w:rFonts w:ascii="宋体" w:hAnsi="宋体" w:eastAsia="宋体" w:cs="Times New Roman"/>
                <w:spacing w:val="-62"/>
                <w:sz w:val="21"/>
                <w:szCs w:val="21"/>
              </w:rPr>
              <w:t xml:space="preserve"> </w:t>
            </w:r>
            <w:r>
              <w:rPr>
                <w:rFonts w:ascii="宋体" w:hAnsi="宋体" w:eastAsia="宋体" w:cs="Times New Roman"/>
                <w:spacing w:val="-10"/>
                <w:sz w:val="21"/>
                <w:szCs w:val="21"/>
              </w:rPr>
              <w:t>8</w:t>
            </w:r>
            <w:r>
              <w:rPr>
                <w:rFonts w:ascii="宋体" w:hAnsi="宋体" w:eastAsia="宋体" w:cs="Times New Roman"/>
                <w:spacing w:val="-44"/>
                <w:sz w:val="21"/>
                <w:szCs w:val="21"/>
              </w:rPr>
              <w:t xml:space="preserve"> </w:t>
            </w:r>
            <w:r>
              <w:rPr>
                <w:rFonts w:ascii="宋体" w:hAnsi="宋体" w:eastAsia="宋体" w:cs="Times New Roman"/>
                <w:spacing w:val="-10"/>
                <w:sz w:val="21"/>
                <w:szCs w:val="21"/>
              </w:rPr>
              <w:t>学时。</w:t>
            </w:r>
            <w:r>
              <w:rPr>
                <w:rFonts w:hint="eastAsia" w:ascii="宋体" w:hAnsi="宋体" w:eastAsia="宋体" w:cs="Times New Roman"/>
                <w:spacing w:val="-10"/>
                <w:sz w:val="21"/>
                <w:szCs w:val="21"/>
              </w:rPr>
              <w:t>每学年超过部分，认定附加分，每增加1次学术讲座，计2学时。</w:t>
            </w:r>
          </w:p>
        </w:tc>
        <w:tc>
          <w:tcPr>
            <w:tcW w:w="740" w:type="dxa"/>
            <w:vAlign w:val="center"/>
          </w:tcPr>
          <w:p w14:paraId="6CAFE089">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讲座报告</w:t>
            </w:r>
          </w:p>
        </w:tc>
        <w:tc>
          <w:tcPr>
            <w:tcW w:w="3160" w:type="dxa"/>
            <w:vAlign w:val="center"/>
          </w:tcPr>
          <w:p w14:paraId="3245CF06">
            <w:pPr>
              <w:spacing w:line="240" w:lineRule="auto"/>
              <w:rPr>
                <w:rFonts w:hint="eastAsia" w:ascii="宋体" w:hAnsi="宋体" w:eastAsia="宋体" w:cs="宋体"/>
                <w:sz w:val="21"/>
                <w:szCs w:val="21"/>
              </w:rPr>
            </w:pPr>
            <w:r>
              <w:rPr>
                <w:rFonts w:ascii="宋体" w:hAnsi="宋体" w:eastAsia="宋体" w:cs="宋体"/>
                <w:sz w:val="21"/>
                <w:szCs w:val="21"/>
              </w:rPr>
              <w:t>通过聆听专家学者的讲座或报告，拓宽知识视野，激发创新思维，培养跨学科学习与思考的能力。讲座或报告往往聚焦社会热点、科技发展、文化传承等议题</w:t>
            </w:r>
            <w:r>
              <w:rPr>
                <w:rFonts w:hint="eastAsia" w:ascii="宋体" w:hAnsi="宋体" w:eastAsia="宋体" w:cs="宋体"/>
                <w:sz w:val="21"/>
                <w:szCs w:val="21"/>
              </w:rPr>
              <w:t>，可以增</w:t>
            </w:r>
            <w:r>
              <w:rPr>
                <w:rFonts w:ascii="宋体" w:hAnsi="宋体" w:eastAsia="宋体" w:cs="宋体"/>
                <w:sz w:val="21"/>
                <w:szCs w:val="21"/>
              </w:rPr>
              <w:t>强</w:t>
            </w:r>
            <w:r>
              <w:rPr>
                <w:rFonts w:hint="eastAsia" w:ascii="宋体" w:hAnsi="宋体" w:eastAsia="宋体" w:cs="宋体"/>
                <w:sz w:val="21"/>
                <w:szCs w:val="21"/>
              </w:rPr>
              <w:t>自身</w:t>
            </w:r>
            <w:r>
              <w:rPr>
                <w:rFonts w:ascii="宋体" w:hAnsi="宋体" w:eastAsia="宋体" w:cs="宋体"/>
                <w:sz w:val="21"/>
                <w:szCs w:val="21"/>
              </w:rPr>
              <w:t>社会责任感，激发其为时代进步贡献力量的使命感。通过讲座或报告的互动环节，促进学生与专家、学生之间的学术交流，激发思想碰撞，促进学术氛围的活跃。</w:t>
            </w:r>
          </w:p>
        </w:tc>
      </w:tr>
      <w:tr w14:paraId="484C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692F8687">
            <w:pPr>
              <w:spacing w:line="240" w:lineRule="auto"/>
              <w:jc w:val="center"/>
              <w:rPr>
                <w:rFonts w:hint="eastAsia" w:ascii="宋体" w:hAnsi="宋体" w:eastAsia="宋体" w:cs="宋体"/>
                <w:sz w:val="21"/>
                <w:szCs w:val="21"/>
              </w:rPr>
            </w:pPr>
            <w:r>
              <w:rPr>
                <w:rFonts w:hint="eastAsia" w:ascii="宋体" w:hAnsi="宋体" w:eastAsia="宋体" w:cs="Times New Roman"/>
                <w:sz w:val="21"/>
                <w:szCs w:val="21"/>
              </w:rPr>
              <w:t>撰写</w:t>
            </w:r>
            <w:r>
              <w:rPr>
                <w:rFonts w:ascii="宋体" w:hAnsi="宋体" w:eastAsia="宋体" w:cs="Times New Roman"/>
                <w:sz w:val="21"/>
                <w:szCs w:val="21"/>
              </w:rPr>
              <w:t>读书</w:t>
            </w:r>
            <w:r>
              <w:rPr>
                <w:rFonts w:hint="eastAsia" w:ascii="宋体" w:hAnsi="宋体" w:eastAsia="宋体" w:cs="Times New Roman"/>
                <w:sz w:val="21"/>
                <w:szCs w:val="21"/>
              </w:rPr>
              <w:t>体会或笔记</w:t>
            </w:r>
          </w:p>
        </w:tc>
        <w:tc>
          <w:tcPr>
            <w:tcW w:w="3407" w:type="dxa"/>
            <w:vAlign w:val="center"/>
          </w:tcPr>
          <w:p w14:paraId="5F48CBB9">
            <w:pPr>
              <w:spacing w:line="240" w:lineRule="auto"/>
              <w:jc w:val="left"/>
              <w:rPr>
                <w:rFonts w:hint="eastAsia" w:ascii="宋体" w:hAnsi="宋体" w:eastAsia="宋体" w:cs="宋体"/>
                <w:sz w:val="21"/>
                <w:szCs w:val="21"/>
              </w:rPr>
            </w:pPr>
            <w:r>
              <w:rPr>
                <w:rFonts w:ascii="宋体" w:hAnsi="宋体" w:eastAsia="宋体" w:cs="Times New Roman"/>
                <w:spacing w:val="-1"/>
                <w:sz w:val="21"/>
                <w:szCs w:val="21"/>
              </w:rPr>
              <w:t>每提交1篇读书体会或笔记（至少1500 字）可计</w:t>
            </w:r>
            <w:r>
              <w:rPr>
                <w:rFonts w:hint="eastAsia" w:ascii="宋体" w:hAnsi="宋体" w:eastAsia="宋体" w:cs="Times New Roman"/>
                <w:spacing w:val="-1"/>
                <w:sz w:val="21"/>
                <w:szCs w:val="21"/>
              </w:rPr>
              <w:t>2</w:t>
            </w:r>
            <w:r>
              <w:rPr>
                <w:rFonts w:ascii="宋体" w:hAnsi="宋体" w:eastAsia="宋体" w:cs="Times New Roman"/>
                <w:spacing w:val="-1"/>
                <w:sz w:val="21"/>
                <w:szCs w:val="21"/>
              </w:rPr>
              <w:t>学时</w:t>
            </w:r>
            <w:r>
              <w:rPr>
                <w:rFonts w:hint="eastAsia" w:ascii="宋体" w:hAnsi="宋体" w:eastAsia="宋体" w:cs="Times New Roman"/>
                <w:spacing w:val="-1"/>
                <w:sz w:val="21"/>
                <w:szCs w:val="21"/>
              </w:rPr>
              <w:t>，作为附加分，可在第八学期累计入总学时</w:t>
            </w:r>
            <w:r>
              <w:rPr>
                <w:rFonts w:ascii="宋体" w:hAnsi="宋体" w:eastAsia="宋体" w:cs="Times New Roman"/>
                <w:spacing w:val="-1"/>
                <w:sz w:val="21"/>
                <w:szCs w:val="21"/>
              </w:rPr>
              <w:t>。</w:t>
            </w:r>
            <w:r>
              <w:rPr>
                <w:rFonts w:ascii="宋体" w:hAnsi="宋体" w:eastAsia="宋体" w:cs="Times New Roman"/>
                <w:sz w:val="21"/>
                <w:szCs w:val="21"/>
              </w:rPr>
              <w:t>根据学生的报告撰写的质量（格式、内容、逻辑、理论等）综合评定</w:t>
            </w:r>
            <w:r>
              <w:rPr>
                <w:rFonts w:hint="eastAsia" w:ascii="宋体" w:hAnsi="宋体" w:eastAsia="宋体" w:cs="Times New Roman"/>
                <w:sz w:val="21"/>
                <w:szCs w:val="21"/>
              </w:rPr>
              <w:t>。</w:t>
            </w:r>
          </w:p>
        </w:tc>
        <w:tc>
          <w:tcPr>
            <w:tcW w:w="740" w:type="dxa"/>
            <w:vAlign w:val="center"/>
          </w:tcPr>
          <w:p w14:paraId="06BC5A84">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读书笔记</w:t>
            </w:r>
          </w:p>
        </w:tc>
        <w:tc>
          <w:tcPr>
            <w:tcW w:w="3160" w:type="dxa"/>
            <w:vAlign w:val="center"/>
          </w:tcPr>
          <w:p w14:paraId="02E9396C">
            <w:pPr>
              <w:spacing w:line="240" w:lineRule="auto"/>
              <w:rPr>
                <w:rFonts w:hint="eastAsia" w:ascii="宋体" w:hAnsi="宋体" w:eastAsia="宋体" w:cs="宋体"/>
                <w:sz w:val="21"/>
                <w:szCs w:val="21"/>
              </w:rPr>
            </w:pPr>
            <w:r>
              <w:rPr>
                <w:rFonts w:hint="eastAsia" w:ascii="宋体" w:hAnsi="宋体" w:eastAsia="宋体" w:cs="宋体"/>
                <w:sz w:val="21"/>
                <w:szCs w:val="21"/>
              </w:rPr>
              <w:t>能够</w:t>
            </w:r>
            <w:r>
              <w:rPr>
                <w:rFonts w:ascii="宋体" w:hAnsi="宋体" w:eastAsia="宋体" w:cs="宋体"/>
                <w:sz w:val="21"/>
                <w:szCs w:val="21"/>
              </w:rPr>
              <w:t>以批判性视角审视经典文化作品，鼓励创新思维，培养独立思考和解决问题的能力。</w:t>
            </w:r>
          </w:p>
        </w:tc>
      </w:tr>
      <w:tr w14:paraId="3DC4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3C879CC0">
            <w:pPr>
              <w:spacing w:line="240" w:lineRule="auto"/>
              <w:jc w:val="center"/>
              <w:rPr>
                <w:rFonts w:hint="eastAsia" w:ascii="宋体" w:hAnsi="宋体" w:eastAsia="宋体" w:cs="宋体"/>
                <w:sz w:val="21"/>
                <w:szCs w:val="21"/>
              </w:rPr>
            </w:pPr>
            <w:r>
              <w:rPr>
                <w:rFonts w:hint="eastAsia" w:ascii="宋体" w:hAnsi="宋体" w:eastAsia="宋体" w:cs="Times New Roman"/>
                <w:spacing w:val="-5"/>
                <w:sz w:val="21"/>
                <w:szCs w:val="21"/>
              </w:rPr>
              <w:t>参与大学生读书节</w:t>
            </w:r>
          </w:p>
        </w:tc>
        <w:tc>
          <w:tcPr>
            <w:tcW w:w="3407" w:type="dxa"/>
            <w:vAlign w:val="center"/>
          </w:tcPr>
          <w:p w14:paraId="39954632">
            <w:pPr>
              <w:spacing w:line="240" w:lineRule="auto"/>
              <w:jc w:val="left"/>
              <w:rPr>
                <w:rFonts w:hint="eastAsia" w:ascii="宋体" w:hAnsi="宋体" w:eastAsia="宋体" w:cs="宋体"/>
                <w:sz w:val="21"/>
                <w:szCs w:val="21"/>
              </w:rPr>
            </w:pPr>
            <w:r>
              <w:rPr>
                <w:rFonts w:ascii="宋体" w:hAnsi="宋体" w:eastAsia="宋体" w:cs="Times New Roman"/>
                <w:spacing w:val="-1"/>
                <w:sz w:val="21"/>
                <w:szCs w:val="21"/>
              </w:rPr>
              <w:t>获得校级奖励每项可计5学时，获得省级（教育厅）奖励每项可计10学时</w:t>
            </w:r>
            <w:r>
              <w:rPr>
                <w:rFonts w:hint="eastAsia" w:ascii="宋体" w:hAnsi="宋体" w:eastAsia="宋体" w:cs="Times New Roman"/>
                <w:spacing w:val="-1"/>
                <w:sz w:val="21"/>
                <w:szCs w:val="21"/>
              </w:rPr>
              <w:t>，可在第八学期累计入总学时</w:t>
            </w:r>
            <w:r>
              <w:rPr>
                <w:rFonts w:ascii="宋体" w:hAnsi="宋体" w:eastAsia="宋体" w:cs="Times New Roman"/>
                <w:spacing w:val="-1"/>
                <w:sz w:val="21"/>
                <w:szCs w:val="21"/>
              </w:rPr>
              <w:t>。</w:t>
            </w:r>
          </w:p>
        </w:tc>
        <w:tc>
          <w:tcPr>
            <w:tcW w:w="740" w:type="dxa"/>
            <w:vAlign w:val="center"/>
          </w:tcPr>
          <w:p w14:paraId="2EB2BAD7">
            <w:pPr>
              <w:spacing w:line="240" w:lineRule="auto"/>
              <w:jc w:val="center"/>
              <w:rPr>
                <w:rFonts w:hint="eastAsia" w:ascii="宋体" w:hAnsi="宋体" w:eastAsia="宋体" w:cs="宋体"/>
                <w:sz w:val="21"/>
                <w:szCs w:val="21"/>
              </w:rPr>
            </w:pPr>
            <w:r>
              <w:rPr>
                <w:rFonts w:hint="eastAsia" w:ascii="宋体" w:hAnsi="宋体" w:eastAsia="宋体" w:cs="Times New Roman"/>
                <w:spacing w:val="-5"/>
                <w:sz w:val="21"/>
                <w:szCs w:val="21"/>
              </w:rPr>
              <w:t>大学生读书节</w:t>
            </w:r>
          </w:p>
        </w:tc>
        <w:tc>
          <w:tcPr>
            <w:tcW w:w="3160" w:type="dxa"/>
            <w:vAlign w:val="center"/>
          </w:tcPr>
          <w:p w14:paraId="0D241EF4">
            <w:pPr>
              <w:spacing w:line="240" w:lineRule="auto"/>
              <w:rPr>
                <w:rFonts w:hint="eastAsia" w:ascii="宋体" w:hAnsi="宋体" w:eastAsia="宋体" w:cs="宋体"/>
                <w:sz w:val="21"/>
                <w:szCs w:val="21"/>
              </w:rPr>
            </w:pPr>
            <w:r>
              <w:rPr>
                <w:rFonts w:ascii="宋体" w:hAnsi="宋体" w:eastAsia="宋体" w:cs="宋体"/>
                <w:sz w:val="21"/>
                <w:szCs w:val="21"/>
              </w:rPr>
              <w:t>通过表彰阅读成果，激发大学生对书籍的热爱和持续学习的热情，营造浓厚的校园阅读氛围。读书节活动往往包含团队阅读、分享讨论等环节，旨在增强学生的团队协作能力和社交技巧。通过树立获奖学生为榜样，激励更多学生参与阅读，共同塑造积极向上的校园文化。</w:t>
            </w:r>
          </w:p>
        </w:tc>
      </w:tr>
    </w:tbl>
    <w:p w14:paraId="2AF50289">
      <w:pPr>
        <w:spacing w:before="62" w:beforeLines="20" w:after="62" w:afterLines="20" w:line="360" w:lineRule="auto"/>
        <w:jc w:val="left"/>
        <w:rPr>
          <w:rFonts w:ascii="Times New Roman" w:hAnsi="Times New Roman" w:eastAsia="宋体" w:cs="Times New Roman"/>
          <w:b/>
          <w:sz w:val="24"/>
        </w:rPr>
      </w:pPr>
      <w:bookmarkStart w:id="184" w:name="_Toc25049"/>
      <w:bookmarkStart w:id="185" w:name="_Toc29916"/>
      <w:bookmarkStart w:id="186" w:name="_Toc26197"/>
      <w:bookmarkStart w:id="187" w:name="_Toc30632"/>
      <w:bookmarkStart w:id="188" w:name="_Toc31664"/>
      <w:bookmarkStart w:id="189" w:name="_Toc24182"/>
      <w:bookmarkStart w:id="190" w:name="_Toc27383"/>
      <w:r>
        <w:rPr>
          <w:rFonts w:hint="eastAsia" w:ascii="Times New Roman" w:hAnsi="Times New Roman" w:eastAsia="宋体" w:cs="Times New Roman"/>
          <w:b/>
          <w:sz w:val="24"/>
        </w:rPr>
        <w:t>六、有关说明</w:t>
      </w:r>
      <w:bookmarkEnd w:id="184"/>
      <w:bookmarkEnd w:id="185"/>
      <w:bookmarkEnd w:id="186"/>
      <w:bookmarkEnd w:id="187"/>
      <w:bookmarkEnd w:id="188"/>
      <w:bookmarkEnd w:id="189"/>
      <w:bookmarkEnd w:id="190"/>
    </w:p>
    <w:p w14:paraId="146F0EE0">
      <w:pPr>
        <w:spacing w:line="360" w:lineRule="auto"/>
        <w:ind w:firstLine="420"/>
        <w:jc w:val="left"/>
        <w:outlineLvl w:val="1"/>
        <w:rPr>
          <w:rFonts w:ascii="Times New Roman" w:hAnsi="Times New Roman" w:eastAsia="宋体" w:cs="Times New Roman"/>
          <w:b/>
          <w:szCs w:val="21"/>
        </w:rPr>
      </w:pPr>
      <w:bookmarkStart w:id="191" w:name="_Toc28557"/>
      <w:bookmarkStart w:id="192" w:name="_Toc24058"/>
      <w:r>
        <w:rPr>
          <w:rFonts w:hint="eastAsia" w:ascii="Times New Roman" w:hAnsi="Times New Roman" w:eastAsia="宋体" w:cs="Times New Roman"/>
          <w:b/>
          <w:szCs w:val="21"/>
        </w:rPr>
        <w:t>（一）持续改进</w:t>
      </w:r>
      <w:bookmarkEnd w:id="191"/>
      <w:bookmarkEnd w:id="192"/>
    </w:p>
    <w:p w14:paraId="039A5755">
      <w:pPr>
        <w:spacing w:line="360" w:lineRule="auto"/>
        <w:ind w:firstLine="420" w:firstLineChars="200"/>
        <w:jc w:val="left"/>
        <w:rPr>
          <w:rFonts w:hint="eastAsia" w:ascii="宋体" w:hAnsi="宋体" w:eastAsia="宋体" w:cs="Times New Roman"/>
          <w:bCs/>
          <w:szCs w:val="21"/>
        </w:rPr>
      </w:pPr>
      <w:r>
        <w:rPr>
          <w:rFonts w:ascii="宋体" w:hAnsi="宋体" w:eastAsia="宋体" w:cs="Times New Roman"/>
          <w:bCs/>
          <w:szCs w:val="21"/>
        </w:rPr>
        <w:t>1.提倡改革教学方法，强调应用现代化教学手段，如课件、互联网教学和网络答疑。</w:t>
      </w:r>
    </w:p>
    <w:p w14:paraId="531514F2">
      <w:pPr>
        <w:spacing w:line="360" w:lineRule="auto"/>
        <w:ind w:firstLine="420" w:firstLineChars="200"/>
        <w:jc w:val="left"/>
        <w:rPr>
          <w:rFonts w:hint="eastAsia" w:ascii="宋体" w:hAnsi="宋体" w:eastAsia="宋体" w:cs="Times New Roman"/>
          <w:bCs/>
          <w:szCs w:val="21"/>
        </w:rPr>
      </w:pPr>
      <w:r>
        <w:rPr>
          <w:rFonts w:ascii="宋体" w:hAnsi="宋体" w:eastAsia="宋体" w:cs="Times New Roman"/>
          <w:bCs/>
          <w:szCs w:val="21"/>
        </w:rPr>
        <w:t>2.合理安排教学课时，加强小组讨论等旨在督促学生自主学习的教学环节；布置任务单，引导学生做好课前预习、讨论的工作；保证学生完成作业的次数。</w:t>
      </w:r>
    </w:p>
    <w:p w14:paraId="6AD1632D">
      <w:pPr>
        <w:spacing w:line="360" w:lineRule="auto"/>
        <w:ind w:firstLine="420" w:firstLineChars="200"/>
        <w:jc w:val="left"/>
        <w:rPr>
          <w:rFonts w:hint="eastAsia" w:ascii="宋体" w:hAnsi="宋体" w:eastAsia="宋体" w:cs="Times New Roman"/>
          <w:bCs/>
          <w:szCs w:val="21"/>
        </w:rPr>
      </w:pPr>
      <w:r>
        <w:rPr>
          <w:rFonts w:ascii="宋体" w:hAnsi="宋体" w:eastAsia="宋体" w:cs="Times New Roman"/>
          <w:bCs/>
          <w:szCs w:val="21"/>
        </w:rPr>
        <w:t>3．教学内容密切联系教育学与心理学经典理论。</w:t>
      </w:r>
    </w:p>
    <w:p w14:paraId="7DD69853">
      <w:pPr>
        <w:spacing w:line="360" w:lineRule="auto"/>
        <w:ind w:firstLine="420"/>
        <w:jc w:val="left"/>
        <w:outlineLvl w:val="1"/>
        <w:rPr>
          <w:rFonts w:ascii="Times New Roman" w:hAnsi="Times New Roman" w:eastAsia="宋体" w:cs="Times New Roman"/>
          <w:b/>
          <w:szCs w:val="21"/>
        </w:rPr>
      </w:pPr>
      <w:bookmarkStart w:id="193" w:name="_Toc20906"/>
      <w:bookmarkStart w:id="194" w:name="_Toc22142"/>
      <w:r>
        <w:rPr>
          <w:rFonts w:hint="eastAsia" w:ascii="Times New Roman" w:hAnsi="Times New Roman" w:eastAsia="宋体" w:cs="Times New Roman"/>
          <w:b/>
          <w:szCs w:val="21"/>
        </w:rPr>
        <w:t>（二）建议教材</w:t>
      </w:r>
      <w:bookmarkEnd w:id="193"/>
      <w:bookmarkEnd w:id="194"/>
    </w:p>
    <w:p w14:paraId="2C9EA668">
      <w:pPr>
        <w:spacing w:line="360" w:lineRule="auto"/>
        <w:ind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本课程的</w:t>
      </w:r>
      <w:r>
        <w:rPr>
          <w:rFonts w:hint="eastAsia" w:ascii="Times New Roman" w:hAnsi="Times New Roman" w:eastAsia="宋体" w:cs="Times New Roman"/>
          <w:bCs/>
          <w:szCs w:val="21"/>
        </w:rPr>
        <w:t>教材</w:t>
      </w:r>
      <w:r>
        <w:rPr>
          <w:rFonts w:ascii="Times New Roman" w:hAnsi="Times New Roman" w:eastAsia="宋体" w:cs="Times New Roman"/>
          <w:bCs/>
          <w:szCs w:val="21"/>
        </w:rPr>
        <w:t>参考相关课程教师的推荐书目。</w:t>
      </w:r>
    </w:p>
    <w:p w14:paraId="5D62C02B">
      <w:pPr>
        <w:spacing w:line="360" w:lineRule="auto"/>
        <w:ind w:firstLine="420"/>
        <w:jc w:val="left"/>
        <w:outlineLvl w:val="1"/>
        <w:rPr>
          <w:rFonts w:ascii="Times New Roman" w:hAnsi="Times New Roman" w:eastAsia="宋体" w:cs="Times New Roman"/>
          <w:b/>
          <w:szCs w:val="21"/>
        </w:rPr>
      </w:pPr>
      <w:bookmarkStart w:id="195" w:name="_Toc17969"/>
      <w:bookmarkStart w:id="196" w:name="_Toc23516"/>
      <w:r>
        <w:rPr>
          <w:rFonts w:hint="eastAsia" w:ascii="Times New Roman" w:hAnsi="Times New Roman" w:eastAsia="宋体" w:cs="Times New Roman"/>
          <w:b/>
          <w:szCs w:val="21"/>
        </w:rPr>
        <w:t>（三）参考书目</w:t>
      </w:r>
      <w:bookmarkEnd w:id="195"/>
      <w:bookmarkEnd w:id="196"/>
    </w:p>
    <w:p w14:paraId="30730A0A">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1.伯特兰·罗素：《西方哲学史》，何兆武等译，商务印书馆，2020.</w:t>
      </w:r>
    </w:p>
    <w:p w14:paraId="4854E1FF">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2.柏拉图：《理想国》，郭斌和、张竹明译，商务印书馆，</w:t>
      </w:r>
    </w:p>
    <w:p w14:paraId="7B6ECE99">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3.伯特兰·罗素：《教育和美好的生活》，张鑫毅译，上海人民出版社，2020.</w:t>
      </w:r>
    </w:p>
    <w:p w14:paraId="64F8B10D">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4.杜威：《民主主义与教育》，人民教育出版社，2001.</w:t>
      </w:r>
    </w:p>
    <w:p w14:paraId="33AD2819">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5.拉尔夫·泰勒：《课程与教学的基本原理》，施良方译，人民教育出版社，1994.</w:t>
      </w:r>
    </w:p>
    <w:p w14:paraId="14E821E6">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6.李弘祺，《学以为己：传统中国的教育》（上下册），华东大学出版社，2017.</w:t>
      </w:r>
    </w:p>
    <w:p w14:paraId="28692DBA">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7.杨伯峻：《论语译注》，中华书局，2017.</w:t>
      </w:r>
    </w:p>
    <w:p w14:paraId="660C02BF">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8.陶行知：《陶行知文集》，江苏教育出版社，2008.</w:t>
      </w:r>
    </w:p>
    <w:p w14:paraId="75D252D8">
      <w:pPr>
        <w:rPr>
          <w:rFonts w:hint="eastAsia" w:ascii="等线" w:hAnsi="等线" w:eastAsia="等线" w:cs="Times New Roman"/>
          <w:szCs w:val="22"/>
        </w:rPr>
      </w:pPr>
    </w:p>
    <w:p w14:paraId="20C1132B">
      <w:pPr>
        <w:spacing w:line="360" w:lineRule="auto"/>
        <w:ind w:right="1320"/>
        <w:jc w:val="right"/>
        <w:rPr>
          <w:rFonts w:ascii="Times New Roman" w:hAnsi="Times New Roman" w:eastAsia="宋体" w:cs="Times New Roman"/>
          <w:sz w:val="21"/>
          <w:szCs w:val="21"/>
        </w:rPr>
      </w:pPr>
      <w:r>
        <w:rPr>
          <w:rFonts w:hint="eastAsia" w:ascii="Times New Roman" w:hAnsi="Times New Roman" w:eastAsia="宋体" w:cs="Times New Roman"/>
          <w:sz w:val="21"/>
          <w:szCs w:val="21"/>
        </w:rPr>
        <w:t>执 笔 人：</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周 晗</w:t>
      </w:r>
    </w:p>
    <w:p w14:paraId="2A092546">
      <w:pPr>
        <w:wordWrap w:val="0"/>
        <w:spacing w:line="360" w:lineRule="auto"/>
        <w:ind w:right="1320"/>
        <w:jc w:val="right"/>
        <w:rPr>
          <w:rFonts w:ascii="Times New Roman" w:hAnsi="Times New Roman" w:eastAsia="宋体" w:cs="Times New Roman"/>
          <w:sz w:val="21"/>
          <w:szCs w:val="21"/>
        </w:rPr>
      </w:pPr>
      <w:r>
        <w:rPr>
          <w:rFonts w:hint="eastAsia" w:ascii="Times New Roman" w:hAnsi="Times New Roman" w:eastAsia="宋体" w:cs="Times New Roman"/>
          <w:sz w:val="21"/>
          <w:szCs w:val="21"/>
        </w:rPr>
        <w:t>审 定 人：</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王 健</w:t>
      </w:r>
    </w:p>
    <w:p w14:paraId="3BE7C14D">
      <w:pPr>
        <w:spacing w:line="360" w:lineRule="auto"/>
        <w:ind w:right="1200"/>
        <w:jc w:val="right"/>
        <w:rPr>
          <w:rFonts w:ascii="Times New Roman" w:hAnsi="Times New Roman" w:eastAsia="宋体" w:cs="Times New Roman"/>
          <w:sz w:val="21"/>
          <w:szCs w:val="21"/>
        </w:rPr>
      </w:pPr>
      <w:r>
        <w:rPr>
          <w:rFonts w:hint="eastAsia" w:ascii="Times New Roman" w:hAnsi="Times New Roman" w:eastAsia="宋体" w:cs="Times New Roman"/>
          <w:sz w:val="21"/>
          <w:szCs w:val="21"/>
        </w:rPr>
        <w:t>审 批 人：</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张志欣</w:t>
      </w:r>
    </w:p>
    <w:p w14:paraId="44EF7CC4">
      <w:pPr>
        <w:spacing w:line="360" w:lineRule="auto"/>
        <w:ind w:right="12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eastAsia="zh-CN"/>
        </w:rPr>
        <w:t>批准时间：2025年7月1日</w:t>
      </w:r>
    </w:p>
    <w:p w14:paraId="448F9072">
      <w:pPr>
        <w:spacing w:line="360" w:lineRule="auto"/>
        <w:jc w:val="left"/>
        <w:rPr>
          <w:rFonts w:ascii="Times New Roman" w:hAnsi="Times New Roman" w:eastAsia="宋体" w:cs="Times New Roman"/>
          <w:bCs/>
          <w:color w:val="auto"/>
          <w:sz w:val="21"/>
          <w:szCs w:val="21"/>
        </w:rPr>
      </w:pPr>
    </w:p>
    <w:p w14:paraId="2C3C868E">
      <w:pPr>
        <w:widowControl/>
        <w:ind w:firstLine="5060" w:firstLineChars="2100"/>
        <w:jc w:val="left"/>
        <w:rPr>
          <w:rFonts w:ascii="宋体" w:hAnsi="宋体" w:eastAsia="宋体"/>
          <w:b/>
          <w:bCs/>
          <w:color w:val="auto"/>
          <w:sz w:val="24"/>
        </w:rPr>
      </w:pPr>
    </w:p>
    <w:p w14:paraId="7E54FA77">
      <w:pPr>
        <w:widowControl/>
        <w:ind w:firstLine="5060" w:firstLineChars="2100"/>
        <w:jc w:val="left"/>
        <w:rPr>
          <w:rFonts w:hint="eastAsia" w:ascii="宋体" w:hAnsi="宋体" w:eastAsia="宋体"/>
          <w:b/>
          <w:bCs/>
          <w:color w:val="auto"/>
          <w:sz w:val="24"/>
        </w:rPr>
      </w:pPr>
      <w:r>
        <w:rPr>
          <w:rFonts w:ascii="宋体" w:hAnsi="宋体" w:eastAsia="宋体"/>
          <w:b/>
          <w:bCs/>
          <w:color w:val="auto"/>
          <w:sz w:val="24"/>
        </w:rPr>
        <w:br w:type="page"/>
      </w:r>
    </w:p>
    <w:p w14:paraId="1D19A57D">
      <w:pPr>
        <w:spacing w:line="360" w:lineRule="auto"/>
        <w:jc w:val="center"/>
        <w:outlineLvl w:val="0"/>
        <w:rPr>
          <w:rFonts w:hint="eastAsia" w:ascii="Times New Roman" w:hAnsi="Times New Roman" w:eastAsia="宋体" w:cs="Times New Roman"/>
          <w:b/>
          <w:sz w:val="44"/>
          <w:szCs w:val="44"/>
        </w:rPr>
      </w:pPr>
      <w:bookmarkStart w:id="197" w:name="_Toc9521"/>
      <w:bookmarkStart w:id="198" w:name="_Toc30052"/>
      <w:bookmarkStart w:id="199" w:name="_Toc20072"/>
      <w:bookmarkStart w:id="200" w:name="_Toc3460"/>
      <w:bookmarkStart w:id="201" w:name="_Toc8160"/>
      <w:bookmarkStart w:id="202" w:name="_Toc57017169"/>
      <w:bookmarkStart w:id="203" w:name="_Toc57017170"/>
      <w:bookmarkStart w:id="204" w:name="_Toc20361"/>
      <w:bookmarkStart w:id="205" w:name="_Toc23835"/>
      <w:r>
        <w:rPr>
          <w:rFonts w:hint="eastAsia" w:ascii="Times New Roman" w:hAnsi="Times New Roman" w:eastAsia="宋体" w:cs="Times New Roman"/>
          <w:b/>
          <w:sz w:val="44"/>
          <w:szCs w:val="44"/>
        </w:rPr>
        <w:t>《国家安全教育》课程教学大纲</w:t>
      </w:r>
      <w:bookmarkEnd w:id="197"/>
    </w:p>
    <w:p w14:paraId="7BEE626E">
      <w:pPr>
        <w:spacing w:line="360" w:lineRule="auto"/>
        <w:jc w:val="center"/>
        <w:rPr>
          <w:rFonts w:hint="eastAsia" w:ascii="Times New Roman" w:hAnsi="Times New Roman" w:eastAsia="宋体" w:cs="Times New Roman"/>
          <w:b/>
          <w:bCs/>
          <w:sz w:val="28"/>
          <w:szCs w:val="28"/>
        </w:rPr>
      </w:pPr>
      <w:r>
        <w:rPr>
          <w:rFonts w:hint="eastAsia" w:ascii="Times New Roman" w:hAnsi="Times New Roman" w:eastAsia="宋体" w:cs="Times New Roman"/>
          <w:b/>
          <w:bCs/>
          <w:sz w:val="28"/>
          <w:szCs w:val="28"/>
        </w:rPr>
        <w:t>(National Security Education Curriculum Syllabus）</w:t>
      </w:r>
    </w:p>
    <w:p w14:paraId="60C2BA95"/>
    <w:p w14:paraId="297CD89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课程名称：国家安全教育</w:t>
      </w:r>
    </w:p>
    <w:p w14:paraId="358F143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课程代码：0000046</w:t>
      </w:r>
    </w:p>
    <w:p w14:paraId="4D07749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分：1</w:t>
      </w:r>
    </w:p>
    <w:p w14:paraId="3211CE2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时：16</w:t>
      </w:r>
    </w:p>
    <w:p w14:paraId="701E9890">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先修课程：无</w:t>
      </w:r>
    </w:p>
    <w:p w14:paraId="60CFC9D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适用专业：全校所有专业</w:t>
      </w:r>
    </w:p>
    <w:p w14:paraId="04112420">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67CBD07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通识必修课，隶属于高校思想政治教育体系。其宗旨在于培育学生的爱国情感和社会责任感。通过本课程的学习，学生将深入了解国家安全的基础知识、相关法律法规及政策导向；提升对国家安全重要性的认识，并在此基础上培养起强烈的责任感；学习识别和应对国家安全风险的基本技能；引导学生自觉遵守国家安全相关法律，积极履行公民义务；同时，本课程强调理论与实践相结合，注重提升学生的实际应用能力，以全面提高学生的综合素质。</w:t>
      </w:r>
    </w:p>
    <w:p w14:paraId="7BD5A5D4">
      <w:pPr>
        <w:numPr>
          <w:ilvl w:val="0"/>
          <w:numId w:val="0"/>
        </w:numPr>
        <w:spacing w:before="62" w:beforeLines="20" w:after="62" w:afterLines="20" w:line="360" w:lineRule="auto"/>
        <w:ind w:leftChars="-1"/>
        <w:jc w:val="left"/>
        <w:rPr>
          <w:rFonts w:hint="eastAsia" w:ascii="Times New Roman" w:hAnsi="Times New Roman" w:eastAsia="宋体" w:cs="Times New Roman"/>
          <w:b/>
          <w:sz w:val="24"/>
          <w:lang w:eastAsia="zh-CN"/>
        </w:rPr>
      </w:pPr>
      <w:r>
        <w:rPr>
          <w:rFonts w:hint="eastAsia" w:ascii="Times New Roman" w:hAnsi="Times New Roman" w:eastAsia="宋体" w:cs="Times New Roman"/>
          <w:b/>
          <w:sz w:val="24"/>
          <w:lang w:val="en-US" w:eastAsia="zh-CN"/>
        </w:rPr>
        <w:t>二、</w:t>
      </w:r>
      <w:r>
        <w:rPr>
          <w:rFonts w:hint="eastAsia" w:ascii="Times New Roman" w:hAnsi="Times New Roman" w:eastAsia="宋体" w:cs="Times New Roman"/>
          <w:b/>
          <w:sz w:val="24"/>
          <w:lang w:eastAsia="zh-CN"/>
        </w:rPr>
        <w:t>课程目标</w:t>
      </w:r>
    </w:p>
    <w:p w14:paraId="15023A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firstLine="0" w:firstLineChars="0"/>
        <w:jc w:val="left"/>
        <w:textAlignment w:val="auto"/>
        <w:rPr>
          <w:rFonts w:hint="eastAsia" w:ascii="宋体" w:hAnsi="宋体" w:eastAsia="宋体" w:cs="宋体"/>
          <w:sz w:val="21"/>
          <w:szCs w:val="21"/>
          <w:lang w:eastAsia="zh-CN"/>
        </w:rPr>
      </w:pPr>
      <w:r>
        <w:rPr>
          <w:rFonts w:hint="eastAsia" w:ascii="黑体" w:hAnsi="黑体" w:eastAsia="黑体" w:cs="黑体"/>
          <w:sz w:val="21"/>
          <w:szCs w:val="21"/>
          <w:lang w:val="en-US" w:eastAsia="zh-CN"/>
        </w:rPr>
        <w:t>1.</w:t>
      </w:r>
      <w:r>
        <w:rPr>
          <w:rFonts w:hint="eastAsia" w:ascii="黑体" w:hAnsi="黑体" w:eastAsia="黑体" w:cs="黑体"/>
          <w:sz w:val="21"/>
          <w:szCs w:val="21"/>
          <w:lang w:eastAsia="zh-CN"/>
        </w:rPr>
        <w:t>知识目标</w:t>
      </w:r>
      <w:r>
        <w:rPr>
          <w:rFonts w:hint="eastAsia" w:ascii="宋体" w:hAnsi="宋体" w:eastAsia="宋体" w:cs="宋体"/>
          <w:sz w:val="21"/>
          <w:szCs w:val="21"/>
        </w:rPr>
        <w:t>：掌握国家安全的基本概念、内涵及外延，了解国家安全的法律法规和政策。</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2.</w:t>
      </w:r>
      <w:r>
        <w:rPr>
          <w:rFonts w:hint="eastAsia" w:ascii="黑体" w:hAnsi="黑体" w:eastAsia="黑体" w:cs="黑体"/>
          <w:sz w:val="21"/>
          <w:szCs w:val="21"/>
          <w:lang w:eastAsia="zh-CN"/>
        </w:rPr>
        <w:t>能力目标</w:t>
      </w:r>
      <w:r>
        <w:rPr>
          <w:rFonts w:hint="eastAsia" w:ascii="宋体" w:hAnsi="宋体" w:eastAsia="宋体" w:cs="宋体"/>
          <w:sz w:val="21"/>
          <w:szCs w:val="21"/>
        </w:rPr>
        <w:t>：培养识别和应对国家安全风险的能力，增强维护国家安全的实践能力。</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3.</w:t>
      </w:r>
      <w:r>
        <w:rPr>
          <w:rFonts w:hint="eastAsia" w:ascii="黑体" w:hAnsi="黑体" w:eastAsia="黑体" w:cs="黑体"/>
          <w:sz w:val="21"/>
          <w:szCs w:val="21"/>
          <w:lang w:eastAsia="zh-CN"/>
        </w:rPr>
        <w:t>素质目标</w:t>
      </w:r>
      <w:r>
        <w:rPr>
          <w:rFonts w:hint="eastAsia" w:ascii="宋体" w:hAnsi="宋体" w:eastAsia="宋体" w:cs="宋体"/>
          <w:sz w:val="21"/>
          <w:szCs w:val="21"/>
        </w:rPr>
        <w:t>：树立国家安全意识，增强爱国主义精神和社会责任感。</w:t>
      </w:r>
    </w:p>
    <w:p w14:paraId="363C25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sz w:val="24"/>
          <w:lang w:eastAsia="zh-CN"/>
        </w:rPr>
      </w:pPr>
      <w:r>
        <w:rPr>
          <w:rFonts w:hint="eastAsia" w:ascii="宋体" w:hAnsi="宋体" w:eastAsia="宋体" w:cs="宋体"/>
          <w:sz w:val="21"/>
          <w:szCs w:val="21"/>
          <w:lang w:eastAsia="zh-CN"/>
        </w:rPr>
        <w:t>课程目标与毕业要求观测点的对应关系如表所示。</w:t>
      </w:r>
    </w:p>
    <w:tbl>
      <w:tblPr>
        <w:tblStyle w:val="15"/>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5786"/>
        <w:gridCol w:w="1388"/>
      </w:tblGrid>
      <w:tr w14:paraId="2D06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tcPr>
          <w:p w14:paraId="640B3851">
            <w:pPr>
              <w:pStyle w:val="49"/>
              <w:spacing w:line="360" w:lineRule="auto"/>
              <w:jc w:val="center"/>
              <w:rPr>
                <w:rFonts w:ascii="宋体" w:hAnsi="宋体" w:eastAsia="宋体" w:cs="宋体"/>
                <w:b/>
                <w:sz w:val="21"/>
                <w:szCs w:val="21"/>
              </w:rPr>
            </w:pPr>
            <w:r>
              <w:rPr>
                <w:rFonts w:hint="eastAsia" w:ascii="宋体" w:hAnsi="宋体" w:eastAsia="宋体" w:cs="宋体"/>
                <w:b/>
                <w:sz w:val="21"/>
                <w:szCs w:val="21"/>
              </w:rPr>
              <w:t>毕业要求</w:t>
            </w:r>
          </w:p>
        </w:tc>
        <w:tc>
          <w:tcPr>
            <w:tcW w:w="5786" w:type="dxa"/>
          </w:tcPr>
          <w:p w14:paraId="204B133F">
            <w:pPr>
              <w:pStyle w:val="49"/>
              <w:spacing w:line="360" w:lineRule="auto"/>
              <w:jc w:val="center"/>
              <w:rPr>
                <w:rFonts w:ascii="宋体" w:hAnsi="宋体" w:eastAsia="宋体" w:cs="宋体"/>
                <w:b/>
                <w:sz w:val="21"/>
                <w:szCs w:val="21"/>
              </w:rPr>
            </w:pPr>
            <w:r>
              <w:rPr>
                <w:rFonts w:hint="eastAsia" w:ascii="宋体" w:hAnsi="宋体" w:eastAsia="宋体" w:cs="宋体"/>
                <w:b/>
                <w:bCs/>
                <w:sz w:val="21"/>
                <w:szCs w:val="21"/>
              </w:rPr>
              <w:t>毕业要求指标点</w:t>
            </w:r>
          </w:p>
        </w:tc>
        <w:tc>
          <w:tcPr>
            <w:tcW w:w="1388" w:type="dxa"/>
          </w:tcPr>
          <w:p w14:paraId="30178D74">
            <w:pPr>
              <w:pStyle w:val="49"/>
              <w:spacing w:line="360" w:lineRule="auto"/>
              <w:jc w:val="center"/>
              <w:rPr>
                <w:rFonts w:ascii="宋体" w:hAnsi="宋体" w:eastAsia="宋体" w:cs="宋体"/>
                <w:b/>
                <w:sz w:val="21"/>
                <w:szCs w:val="21"/>
              </w:rPr>
            </w:pPr>
            <w:r>
              <w:rPr>
                <w:rFonts w:hint="eastAsia" w:ascii="宋体" w:hAnsi="宋体" w:eastAsia="宋体" w:cs="宋体"/>
                <w:b/>
                <w:sz w:val="21"/>
                <w:szCs w:val="21"/>
              </w:rPr>
              <w:t>课程目标</w:t>
            </w:r>
          </w:p>
        </w:tc>
      </w:tr>
      <w:tr w14:paraId="42CB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vAlign w:val="center"/>
          </w:tcPr>
          <w:p w14:paraId="4E30DEAA">
            <w:pPr>
              <w:pStyle w:val="49"/>
              <w:adjustRightInd/>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毕业要求1</w:t>
            </w:r>
            <w:r>
              <w:rPr>
                <w:rFonts w:hint="eastAsia" w:asciiTheme="minorEastAsia" w:hAnsiTheme="minorEastAsia" w:eastAsiaTheme="minorEastAsia" w:cstheme="minorEastAsia"/>
                <w:sz w:val="21"/>
                <w:szCs w:val="21"/>
                <w:lang w:eastAsia="zh-CN"/>
              </w:rPr>
              <w:t>：</w:t>
            </w:r>
          </w:p>
          <w:p w14:paraId="0E271237">
            <w:pPr>
              <w:pStyle w:val="49"/>
              <w:adjustRightInd/>
              <w:spacing w:line="36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师德规范</w:t>
            </w:r>
          </w:p>
        </w:tc>
        <w:tc>
          <w:tcPr>
            <w:tcW w:w="5786" w:type="dxa"/>
            <w:vAlign w:val="center"/>
          </w:tcPr>
          <w:p w14:paraId="29B59FBB">
            <w:pPr>
              <w:pStyle w:val="49"/>
              <w:adjustRightInd/>
              <w:spacing w:line="360" w:lineRule="auto"/>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指标点</w:t>
            </w:r>
            <w:r>
              <w:rPr>
                <w:rFonts w:hint="eastAsia" w:asciiTheme="minorEastAsia" w:hAnsiTheme="minorEastAsia" w:eastAsiaTheme="minorEastAsia" w:cstheme="minorEastAsia"/>
                <w:sz w:val="21"/>
                <w:szCs w:val="21"/>
              </w:rPr>
              <w:t>1-1：【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388" w:type="dxa"/>
            <w:vAlign w:val="center"/>
          </w:tcPr>
          <w:p w14:paraId="0896B057">
            <w:pPr>
              <w:pStyle w:val="49"/>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课程目标1</w:t>
            </w:r>
          </w:p>
          <w:p w14:paraId="370922B9">
            <w:pPr>
              <w:pStyle w:val="49"/>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课程目标2</w:t>
            </w:r>
          </w:p>
          <w:p w14:paraId="2DC45025">
            <w:pPr>
              <w:pStyle w:val="49"/>
              <w:spacing w:line="36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课程目标3</w:t>
            </w:r>
          </w:p>
        </w:tc>
      </w:tr>
    </w:tbl>
    <w:p w14:paraId="3982C51C">
      <w:pPr>
        <w:spacing w:before="62" w:beforeLines="20" w:after="62" w:afterLines="20" w:line="360" w:lineRule="auto"/>
        <w:jc w:val="left"/>
        <w:rPr>
          <w:rFonts w:hint="eastAsia" w:ascii="Times New Roman" w:hAnsi="Times New Roman" w:eastAsia="宋体" w:cs="Times New Roman"/>
          <w:b/>
          <w:sz w:val="24"/>
          <w:lang w:eastAsia="zh-CN"/>
        </w:rPr>
      </w:pPr>
      <w:r>
        <w:rPr>
          <w:rFonts w:hint="eastAsia" w:ascii="Times New Roman" w:hAnsi="Times New Roman" w:eastAsia="宋体" w:cs="Times New Roman"/>
          <w:b/>
          <w:sz w:val="24"/>
          <w:lang w:eastAsia="zh-CN"/>
        </w:rPr>
        <w:t>三、课程内容</w:t>
      </w:r>
    </w:p>
    <w:p w14:paraId="51ED0C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15" w:firstLineChars="150"/>
        <w:textAlignment w:val="auto"/>
        <w:rPr>
          <w:rFonts w:hint="eastAsia"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（一）总论与总体国家安全观</w:t>
      </w:r>
    </w:p>
    <w:p w14:paraId="001F77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1.教学内容</w:t>
      </w:r>
    </w:p>
    <w:p w14:paraId="2DAE6B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lang w:eastAsia="zh-CN"/>
        </w:rPr>
        <w:t>（</w:t>
      </w:r>
      <w:r>
        <w:rPr>
          <w:rFonts w:hint="eastAsia" w:ascii="Calibri" w:hAnsi="Calibri" w:eastAsia="宋体" w:cs="Times New Roman"/>
          <w:sz w:val="21"/>
          <w:szCs w:val="21"/>
          <w:lang w:val="en-US" w:eastAsia="zh-CN"/>
        </w:rPr>
        <w:t>1</w:t>
      </w:r>
      <w:r>
        <w:rPr>
          <w:rFonts w:hint="eastAsia" w:ascii="Calibri" w:hAnsi="Calibri" w:eastAsia="宋体" w:cs="Times New Roman"/>
          <w:sz w:val="21"/>
          <w:szCs w:val="21"/>
          <w:lang w:eastAsia="zh-CN"/>
        </w:rPr>
        <w:t>）总体国家安全观的创立</w:t>
      </w:r>
    </w:p>
    <w:p w14:paraId="148A56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lang w:eastAsia="zh-CN"/>
        </w:rPr>
        <w:t>（</w:t>
      </w:r>
      <w:r>
        <w:rPr>
          <w:rFonts w:hint="eastAsia" w:ascii="Calibri" w:hAnsi="Calibri" w:eastAsia="宋体" w:cs="Times New Roman"/>
          <w:sz w:val="21"/>
          <w:szCs w:val="21"/>
          <w:lang w:val="en-US" w:eastAsia="zh-CN"/>
        </w:rPr>
        <w:t>2</w:t>
      </w:r>
      <w:r>
        <w:rPr>
          <w:rFonts w:hint="eastAsia" w:ascii="Calibri" w:hAnsi="Calibri" w:eastAsia="宋体" w:cs="Times New Roman"/>
          <w:sz w:val="21"/>
          <w:szCs w:val="21"/>
          <w:lang w:eastAsia="zh-CN"/>
        </w:rPr>
        <w:t>）总体国家安全观的科学内涵</w:t>
      </w:r>
    </w:p>
    <w:p w14:paraId="35808F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lang w:eastAsia="zh-CN"/>
        </w:rPr>
        <w:t>（</w:t>
      </w:r>
      <w:r>
        <w:rPr>
          <w:rFonts w:hint="eastAsia" w:ascii="Calibri" w:hAnsi="Calibri" w:eastAsia="宋体" w:cs="Times New Roman"/>
          <w:sz w:val="21"/>
          <w:szCs w:val="21"/>
          <w:lang w:val="en-US" w:eastAsia="zh-CN"/>
        </w:rPr>
        <w:t>3</w:t>
      </w:r>
      <w:r>
        <w:rPr>
          <w:rFonts w:hint="eastAsia" w:ascii="Calibri" w:hAnsi="Calibri" w:eastAsia="宋体" w:cs="Times New Roman"/>
          <w:sz w:val="21"/>
          <w:szCs w:val="21"/>
          <w:lang w:eastAsia="zh-CN"/>
        </w:rPr>
        <w:t>）总体国家安全观的重点领域和基本特征</w:t>
      </w:r>
    </w:p>
    <w:p w14:paraId="03B61E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2.基本要求</w:t>
      </w:r>
    </w:p>
    <w:p w14:paraId="5396A7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使学生从哲学和战略层面理解总体国家安全观是系统科学的思想体系。</w:t>
      </w:r>
    </w:p>
    <w:p w14:paraId="16BA93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15" w:firstLineChars="150"/>
        <w:textAlignment w:val="auto"/>
        <w:rPr>
          <w:rFonts w:hint="eastAsia"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（二）概论及国家安全观的重大理论问题、政治问题和方法问题</w:t>
      </w:r>
    </w:p>
    <w:p w14:paraId="637B88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1.教学内容</w:t>
      </w:r>
    </w:p>
    <w:p w14:paraId="1556A4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lang w:eastAsia="zh-CN"/>
        </w:rPr>
        <w:t>（</w:t>
      </w:r>
      <w:r>
        <w:rPr>
          <w:rFonts w:hint="eastAsia" w:ascii="Calibri" w:hAnsi="Calibri" w:eastAsia="宋体" w:cs="Times New Roman"/>
          <w:sz w:val="21"/>
          <w:szCs w:val="21"/>
          <w:lang w:val="en-US" w:eastAsia="zh-CN"/>
        </w:rPr>
        <w:t>1</w:t>
      </w:r>
      <w:r>
        <w:rPr>
          <w:rFonts w:hint="eastAsia" w:ascii="Calibri" w:hAnsi="Calibri" w:eastAsia="宋体" w:cs="Times New Roman"/>
          <w:sz w:val="21"/>
          <w:szCs w:val="21"/>
          <w:lang w:eastAsia="zh-CN"/>
        </w:rPr>
        <w:t>）在党的领导下走好中国特色国家安全道路</w:t>
      </w:r>
    </w:p>
    <w:p w14:paraId="6939E2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lang w:eastAsia="zh-CN"/>
        </w:rPr>
        <w:t>（</w:t>
      </w:r>
      <w:r>
        <w:rPr>
          <w:rFonts w:hint="eastAsia" w:ascii="Calibri" w:hAnsi="Calibri" w:eastAsia="宋体" w:cs="Times New Roman"/>
          <w:sz w:val="21"/>
          <w:szCs w:val="21"/>
          <w:lang w:val="en-US" w:eastAsia="zh-CN"/>
        </w:rPr>
        <w:t>2</w:t>
      </w:r>
      <w:r>
        <w:rPr>
          <w:rFonts w:hint="eastAsia" w:ascii="Calibri" w:hAnsi="Calibri" w:eastAsia="宋体" w:cs="Times New Roman"/>
          <w:sz w:val="21"/>
          <w:szCs w:val="21"/>
          <w:lang w:eastAsia="zh-CN"/>
        </w:rPr>
        <w:t>）更好统筹发展和安全</w:t>
      </w:r>
    </w:p>
    <w:p w14:paraId="7452B1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2.基本要求</w:t>
      </w:r>
    </w:p>
    <w:p w14:paraId="402594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深刻理解国家安全的丰富内涵和重大意义，增强国家安全意识，树立国家利益至上的观念。</w:t>
      </w:r>
    </w:p>
    <w:p w14:paraId="5B71B8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（三）分论及各重点领域安全的深度解析</w:t>
      </w:r>
    </w:p>
    <w:p w14:paraId="715666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210" w:firstLineChars="100"/>
        <w:textAlignment w:val="auto"/>
        <w:rPr>
          <w:rFonts w:hint="default"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1.教学内容</w:t>
      </w:r>
    </w:p>
    <w:p w14:paraId="41E10F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lang w:eastAsia="zh-CN"/>
        </w:rPr>
        <w:t>（</w:t>
      </w:r>
      <w:r>
        <w:rPr>
          <w:rFonts w:hint="eastAsia" w:ascii="Calibri" w:hAnsi="Calibri" w:eastAsia="宋体" w:cs="Times New Roman"/>
          <w:sz w:val="21"/>
          <w:szCs w:val="21"/>
          <w:lang w:val="en-US" w:eastAsia="zh-CN"/>
        </w:rPr>
        <w:t>1</w:t>
      </w:r>
      <w:r>
        <w:rPr>
          <w:rFonts w:hint="eastAsia" w:ascii="Calibri" w:hAnsi="Calibri" w:eastAsia="宋体" w:cs="Times New Roman"/>
          <w:sz w:val="21"/>
          <w:szCs w:val="21"/>
          <w:lang w:eastAsia="zh-CN"/>
        </w:rPr>
        <w:t>）政治安全</w:t>
      </w:r>
    </w:p>
    <w:p w14:paraId="040719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lang w:eastAsia="zh-CN"/>
        </w:rPr>
        <w:t>（</w:t>
      </w:r>
      <w:r>
        <w:rPr>
          <w:rFonts w:hint="eastAsia" w:ascii="Calibri" w:hAnsi="Calibri" w:eastAsia="宋体" w:cs="Times New Roman"/>
          <w:sz w:val="21"/>
          <w:szCs w:val="21"/>
          <w:lang w:val="en-US" w:eastAsia="zh-CN"/>
        </w:rPr>
        <w:t>2</w:t>
      </w:r>
      <w:r>
        <w:rPr>
          <w:rFonts w:hint="eastAsia" w:ascii="Calibri" w:hAnsi="Calibri" w:eastAsia="宋体" w:cs="Times New Roman"/>
          <w:sz w:val="21"/>
          <w:szCs w:val="21"/>
          <w:lang w:eastAsia="zh-CN"/>
        </w:rPr>
        <w:t>）经济与科技安全</w:t>
      </w:r>
    </w:p>
    <w:p w14:paraId="704F41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lang w:eastAsia="zh-CN"/>
        </w:rPr>
        <w:t>（</w:t>
      </w:r>
      <w:r>
        <w:rPr>
          <w:rFonts w:hint="eastAsia" w:ascii="Calibri" w:hAnsi="Calibri" w:eastAsia="宋体" w:cs="Times New Roman"/>
          <w:sz w:val="21"/>
          <w:szCs w:val="21"/>
          <w:lang w:val="en-US" w:eastAsia="zh-CN"/>
        </w:rPr>
        <w:t>3</w:t>
      </w:r>
      <w:r>
        <w:rPr>
          <w:rFonts w:hint="eastAsia" w:ascii="Calibri" w:hAnsi="Calibri" w:eastAsia="宋体" w:cs="Times New Roman"/>
          <w:sz w:val="21"/>
          <w:szCs w:val="21"/>
          <w:lang w:eastAsia="zh-CN"/>
        </w:rPr>
        <w:t>）文化与社会网络安全</w:t>
      </w:r>
    </w:p>
    <w:p w14:paraId="5F6C45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lang w:eastAsia="zh-CN"/>
        </w:rPr>
        <w:t>（</w:t>
      </w:r>
      <w:r>
        <w:rPr>
          <w:rFonts w:hint="eastAsia" w:ascii="Calibri" w:hAnsi="Calibri" w:eastAsia="宋体" w:cs="Times New Roman"/>
          <w:sz w:val="21"/>
          <w:szCs w:val="21"/>
          <w:lang w:val="en-US" w:eastAsia="zh-CN"/>
        </w:rPr>
        <w:t>4</w:t>
      </w:r>
      <w:r>
        <w:rPr>
          <w:rFonts w:hint="eastAsia" w:ascii="Calibri" w:hAnsi="Calibri" w:eastAsia="宋体" w:cs="Times New Roman"/>
          <w:sz w:val="21"/>
          <w:szCs w:val="21"/>
          <w:lang w:eastAsia="zh-CN"/>
        </w:rPr>
        <w:t>）国土、军事与海外利益安全</w:t>
      </w:r>
    </w:p>
    <w:p w14:paraId="3157E4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lang w:eastAsia="zh-CN"/>
        </w:rPr>
        <w:t>（</w:t>
      </w:r>
      <w:r>
        <w:rPr>
          <w:rFonts w:hint="eastAsia" w:ascii="Calibri" w:hAnsi="Calibri" w:eastAsia="宋体" w:cs="Times New Roman"/>
          <w:sz w:val="21"/>
          <w:szCs w:val="21"/>
          <w:lang w:val="en-US" w:eastAsia="zh-CN"/>
        </w:rPr>
        <w:t>5</w:t>
      </w:r>
      <w:r>
        <w:rPr>
          <w:rFonts w:hint="eastAsia" w:ascii="Calibri" w:hAnsi="Calibri" w:eastAsia="宋体" w:cs="Times New Roman"/>
          <w:sz w:val="21"/>
          <w:szCs w:val="21"/>
          <w:lang w:eastAsia="zh-CN"/>
        </w:rPr>
        <w:t>）新型领域安全：太空、深海、极地</w:t>
      </w:r>
    </w:p>
    <w:p w14:paraId="35298A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2.基本要求</w:t>
      </w:r>
    </w:p>
    <w:p w14:paraId="2DE8A5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了解国家安全各领域的基本概念、法律法规和风险挑战，提高国家安全素养。</w:t>
      </w:r>
    </w:p>
    <w:p w14:paraId="05AEB75E">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实践担当及风险防控与公民尽责</w:t>
      </w:r>
    </w:p>
    <w:p w14:paraId="7A5B75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0" w:firstLineChars="100"/>
        <w:textAlignment w:val="auto"/>
        <w:rPr>
          <w:rFonts w:hint="eastAsia"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 xml:space="preserve">  1.教学内容</w:t>
      </w:r>
    </w:p>
    <w:p w14:paraId="73454A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（1）增强国家安全意识，坚持国家利益至上</w:t>
      </w:r>
    </w:p>
    <w:p w14:paraId="2E5192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59" w:leftChars="266" w:firstLine="0" w:firstLineChars="0"/>
        <w:textAlignment w:val="auto"/>
        <w:rPr>
          <w:rFonts w:hint="default"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（2）增强忧患意识，发扬斗争精神</w:t>
      </w:r>
      <w:r>
        <w:rPr>
          <w:rFonts w:hint="eastAsia" w:ascii="Calibri" w:hAnsi="Calibri" w:eastAsia="宋体" w:cs="Times New Roman"/>
          <w:sz w:val="21"/>
          <w:szCs w:val="21"/>
          <w:lang w:val="en-US" w:eastAsia="zh-CN"/>
        </w:rPr>
        <w:br w:type="textWrapping"/>
      </w:r>
      <w:r>
        <w:rPr>
          <w:rFonts w:hint="eastAsia" w:ascii="Calibri" w:hAnsi="Calibri" w:eastAsia="宋体" w:cs="Times New Roman"/>
          <w:sz w:val="21"/>
          <w:szCs w:val="21"/>
          <w:lang w:val="en-US" w:eastAsia="zh-CN"/>
        </w:rPr>
        <w:t>（3）增强社会责任，形成维护国家安全合力</w:t>
      </w:r>
    </w:p>
    <w:p w14:paraId="3D1A211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 xml:space="preserve">    2.基本要求</w:t>
      </w:r>
    </w:p>
    <w:p w14:paraId="248887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掌握维护国家安全的基本技能和方法，能够识别和防范国家安全的风险，积极参与和维护国家安全。</w:t>
      </w:r>
    </w:p>
    <w:p w14:paraId="2122E316">
      <w:pPr>
        <w:keepNext w:val="0"/>
        <w:keepLines w:val="0"/>
        <w:pageBreakBefore w:val="0"/>
        <w:widowControl w:val="0"/>
        <w:kinsoku/>
        <w:wordWrap/>
        <w:overflowPunct/>
        <w:topLinePunct w:val="0"/>
        <w:bidi w:val="0"/>
        <w:spacing w:line="360" w:lineRule="auto"/>
        <w:ind w:firstLine="420" w:firstLineChars="200"/>
        <w:textAlignment w:val="auto"/>
        <w:rPr>
          <w:rFonts w:hint="eastAsia" w:ascii="Calibri" w:hAnsi="Calibri" w:eastAsia="宋体" w:cs="Times New Roman"/>
          <w:sz w:val="21"/>
          <w:szCs w:val="21"/>
          <w:lang w:val="en-US" w:eastAsia="zh-CN"/>
        </w:rPr>
      </w:pPr>
      <w:r>
        <w:rPr>
          <w:rFonts w:hint="eastAsia" w:ascii="Calibri" w:hAnsi="Calibri" w:eastAsia="宋体" w:cs="Times New Roman"/>
          <w:color w:val="000000"/>
          <w:sz w:val="21"/>
          <w:szCs w:val="21"/>
        </w:rPr>
        <w:t>教学内容与</w:t>
      </w:r>
      <w:r>
        <w:rPr>
          <w:rFonts w:ascii="Calibri" w:hAnsi="Calibri" w:eastAsia="宋体" w:cs="Times New Roman"/>
          <w:color w:val="000000"/>
          <w:sz w:val="21"/>
          <w:szCs w:val="21"/>
        </w:rPr>
        <w:t>课程目标的</w:t>
      </w:r>
      <w:r>
        <w:rPr>
          <w:rFonts w:hint="eastAsia" w:ascii="Calibri" w:hAnsi="Calibri" w:eastAsia="宋体" w:cs="Times New Roman"/>
          <w:color w:val="000000"/>
          <w:sz w:val="21"/>
          <w:szCs w:val="21"/>
        </w:rPr>
        <w:t>对应关系及</w:t>
      </w:r>
      <w:r>
        <w:rPr>
          <w:rFonts w:ascii="Calibri" w:hAnsi="Calibri" w:eastAsia="宋体" w:cs="Times New Roman"/>
          <w:color w:val="000000"/>
          <w:sz w:val="21"/>
          <w:szCs w:val="21"/>
        </w:rPr>
        <w:t>学时分配</w:t>
      </w:r>
      <w:r>
        <w:rPr>
          <w:rFonts w:hint="eastAsia" w:ascii="Calibri" w:hAnsi="Calibri" w:eastAsia="宋体" w:cs="Times New Roman"/>
          <w:color w:val="000000"/>
          <w:sz w:val="21"/>
          <w:szCs w:val="21"/>
        </w:rPr>
        <w:t>如表所示。</w:t>
      </w:r>
    </w:p>
    <w:tbl>
      <w:tblPr>
        <w:tblStyle w:val="15"/>
        <w:tblW w:w="8235"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355"/>
        <w:gridCol w:w="1410"/>
        <w:gridCol w:w="1845"/>
        <w:gridCol w:w="855"/>
        <w:gridCol w:w="1035"/>
      </w:tblGrid>
      <w:tr w14:paraId="68DA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35" w:type="dxa"/>
            <w:shd w:val="clear" w:color="auto" w:fill="FFFFFF"/>
            <w:vAlign w:val="center"/>
          </w:tcPr>
          <w:p w14:paraId="2F636A81">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2355" w:type="dxa"/>
            <w:shd w:val="clear" w:color="auto" w:fill="FFFFFF"/>
            <w:vAlign w:val="center"/>
          </w:tcPr>
          <w:p w14:paraId="405F441F">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教学内容</w:t>
            </w:r>
          </w:p>
        </w:tc>
        <w:tc>
          <w:tcPr>
            <w:tcW w:w="1410" w:type="dxa"/>
            <w:shd w:val="clear" w:color="auto" w:fill="FFFFFF"/>
            <w:vAlign w:val="center"/>
          </w:tcPr>
          <w:p w14:paraId="53C5004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支撑的课程目标</w:t>
            </w:r>
          </w:p>
        </w:tc>
        <w:tc>
          <w:tcPr>
            <w:tcW w:w="1845" w:type="dxa"/>
            <w:shd w:val="clear" w:color="auto" w:fill="FFFFFF"/>
            <w:vAlign w:val="center"/>
          </w:tcPr>
          <w:p w14:paraId="759CF78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支撑的毕业</w:t>
            </w:r>
          </w:p>
          <w:p w14:paraId="121C547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要求指标点</w:t>
            </w:r>
          </w:p>
        </w:tc>
        <w:tc>
          <w:tcPr>
            <w:tcW w:w="855" w:type="dxa"/>
            <w:shd w:val="clear" w:color="auto" w:fill="FFFFFF"/>
            <w:vAlign w:val="center"/>
          </w:tcPr>
          <w:p w14:paraId="0F046C4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讲授</w:t>
            </w:r>
          </w:p>
          <w:p w14:paraId="009E7EE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学时</w:t>
            </w:r>
          </w:p>
        </w:tc>
        <w:tc>
          <w:tcPr>
            <w:tcW w:w="1035" w:type="dxa"/>
            <w:shd w:val="clear" w:color="auto" w:fill="FFFFFF"/>
            <w:vAlign w:val="center"/>
          </w:tcPr>
          <w:p w14:paraId="11F98DF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实验</w:t>
            </w:r>
          </w:p>
          <w:p w14:paraId="7F62E2A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学时</w:t>
            </w:r>
          </w:p>
        </w:tc>
      </w:tr>
      <w:tr w14:paraId="4CDC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735" w:type="dxa"/>
            <w:vAlign w:val="center"/>
          </w:tcPr>
          <w:p w14:paraId="00CCAE8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2355" w:type="dxa"/>
            <w:vAlign w:val="center"/>
          </w:tcPr>
          <w:p w14:paraId="248411E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总论与总体国家安全观</w:t>
            </w:r>
          </w:p>
        </w:tc>
        <w:tc>
          <w:tcPr>
            <w:tcW w:w="1410" w:type="dxa"/>
            <w:vAlign w:val="center"/>
          </w:tcPr>
          <w:p w14:paraId="4841EAF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目标1</w:t>
            </w:r>
          </w:p>
        </w:tc>
        <w:tc>
          <w:tcPr>
            <w:tcW w:w="1845" w:type="dxa"/>
            <w:vAlign w:val="center"/>
          </w:tcPr>
          <w:p w14:paraId="673953D9">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855" w:type="dxa"/>
            <w:vAlign w:val="center"/>
          </w:tcPr>
          <w:p w14:paraId="0A9E8FF0">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035" w:type="dxa"/>
            <w:vAlign w:val="center"/>
          </w:tcPr>
          <w:p w14:paraId="7D3B0D2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3A8D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35" w:type="dxa"/>
            <w:vAlign w:val="center"/>
          </w:tcPr>
          <w:p w14:paraId="0FDD78D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2355" w:type="dxa"/>
            <w:vAlign w:val="center"/>
          </w:tcPr>
          <w:p w14:paraId="2EAF955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概论及国家安全观的重大理论问题、政治问题和方法问题</w:t>
            </w:r>
          </w:p>
        </w:tc>
        <w:tc>
          <w:tcPr>
            <w:tcW w:w="1410" w:type="dxa"/>
            <w:vAlign w:val="center"/>
          </w:tcPr>
          <w:p w14:paraId="17F60FDB">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目标1</w:t>
            </w:r>
            <w:r>
              <w:rPr>
                <w:rFonts w:hint="eastAsia" w:ascii="宋体" w:hAnsi="宋体" w:eastAsia="宋体" w:cs="宋体"/>
                <w:color w:val="000000"/>
                <w:sz w:val="21"/>
                <w:szCs w:val="21"/>
                <w:lang w:val="en-US" w:eastAsia="zh-CN"/>
              </w:rPr>
              <w:t>.2</w:t>
            </w:r>
          </w:p>
        </w:tc>
        <w:tc>
          <w:tcPr>
            <w:tcW w:w="1845" w:type="dxa"/>
            <w:vAlign w:val="center"/>
          </w:tcPr>
          <w:p w14:paraId="41E5070E">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sz w:val="21"/>
                <w:szCs w:val="21"/>
                <w:lang w:val="en-US"/>
              </w:rPr>
            </w:pPr>
            <w:r>
              <w:rPr>
                <w:rFonts w:hint="eastAsia" w:ascii="宋体" w:hAnsi="宋体" w:eastAsia="宋体" w:cs="宋体"/>
                <w:sz w:val="21"/>
                <w:szCs w:val="21"/>
                <w:lang w:val="en-US" w:eastAsia="zh-CN"/>
              </w:rPr>
              <w:t>1-1</w:t>
            </w:r>
          </w:p>
        </w:tc>
        <w:tc>
          <w:tcPr>
            <w:tcW w:w="855" w:type="dxa"/>
            <w:vAlign w:val="center"/>
          </w:tcPr>
          <w:p w14:paraId="425D2E76">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035" w:type="dxa"/>
            <w:vAlign w:val="center"/>
          </w:tcPr>
          <w:p w14:paraId="16386F0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0F08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35" w:type="dxa"/>
            <w:vAlign w:val="center"/>
          </w:tcPr>
          <w:p w14:paraId="58FBF0C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2355" w:type="dxa"/>
            <w:vAlign w:val="center"/>
          </w:tcPr>
          <w:p w14:paraId="61525AE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bCs/>
                <w:sz w:val="21"/>
                <w:szCs w:val="21"/>
                <w:lang w:val="en-US" w:eastAsia="zh-CN"/>
              </w:rPr>
              <w:t>分论及各重点领域安全的深度解析</w:t>
            </w:r>
          </w:p>
        </w:tc>
        <w:tc>
          <w:tcPr>
            <w:tcW w:w="1410" w:type="dxa"/>
            <w:vAlign w:val="center"/>
          </w:tcPr>
          <w:p w14:paraId="31318E58">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目标</w:t>
            </w:r>
            <w:r>
              <w:rPr>
                <w:rFonts w:hint="eastAsia" w:ascii="宋体" w:hAnsi="宋体" w:eastAsia="宋体" w:cs="宋体"/>
                <w:color w:val="000000"/>
                <w:sz w:val="21"/>
                <w:szCs w:val="21"/>
                <w:lang w:val="en-US" w:eastAsia="zh-CN"/>
              </w:rPr>
              <w:t>1.2.3</w:t>
            </w:r>
          </w:p>
        </w:tc>
        <w:tc>
          <w:tcPr>
            <w:tcW w:w="1845" w:type="dxa"/>
            <w:vAlign w:val="center"/>
          </w:tcPr>
          <w:p w14:paraId="53BE1975">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sz w:val="21"/>
                <w:szCs w:val="21"/>
                <w:lang w:val="en-US"/>
              </w:rPr>
            </w:pPr>
            <w:r>
              <w:rPr>
                <w:rFonts w:hint="eastAsia" w:ascii="宋体" w:hAnsi="宋体" w:eastAsia="宋体" w:cs="宋体"/>
                <w:sz w:val="21"/>
                <w:szCs w:val="21"/>
                <w:lang w:val="en-US" w:eastAsia="zh-CN"/>
              </w:rPr>
              <w:t>1-1</w:t>
            </w:r>
          </w:p>
        </w:tc>
        <w:tc>
          <w:tcPr>
            <w:tcW w:w="855" w:type="dxa"/>
            <w:vAlign w:val="center"/>
          </w:tcPr>
          <w:p w14:paraId="31FA6C67">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035" w:type="dxa"/>
            <w:vAlign w:val="center"/>
          </w:tcPr>
          <w:p w14:paraId="22EBA60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39073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35" w:type="dxa"/>
            <w:vAlign w:val="center"/>
          </w:tcPr>
          <w:p w14:paraId="15F9EA6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355" w:type="dxa"/>
            <w:vAlign w:val="center"/>
          </w:tcPr>
          <w:p w14:paraId="7EC3F0C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bCs/>
                <w:sz w:val="21"/>
                <w:szCs w:val="21"/>
                <w:lang w:val="en-US" w:eastAsia="zh-CN"/>
              </w:rPr>
              <w:t>实践担当及风险防控与公民尽责</w:t>
            </w:r>
          </w:p>
        </w:tc>
        <w:tc>
          <w:tcPr>
            <w:tcW w:w="1410" w:type="dxa"/>
            <w:vAlign w:val="center"/>
          </w:tcPr>
          <w:p w14:paraId="0AC9047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目标3</w:t>
            </w:r>
          </w:p>
        </w:tc>
        <w:tc>
          <w:tcPr>
            <w:tcW w:w="1845" w:type="dxa"/>
            <w:vAlign w:val="center"/>
          </w:tcPr>
          <w:p w14:paraId="3C568D9B">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sz w:val="21"/>
                <w:szCs w:val="21"/>
                <w:lang w:val="en-US"/>
              </w:rPr>
            </w:pPr>
            <w:r>
              <w:rPr>
                <w:rFonts w:hint="eastAsia" w:ascii="宋体" w:hAnsi="宋体" w:eastAsia="宋体" w:cs="宋体"/>
                <w:sz w:val="21"/>
                <w:szCs w:val="21"/>
                <w:lang w:val="en-US" w:eastAsia="zh-CN"/>
              </w:rPr>
              <w:t>1-1</w:t>
            </w:r>
          </w:p>
        </w:tc>
        <w:tc>
          <w:tcPr>
            <w:tcW w:w="855" w:type="dxa"/>
            <w:vAlign w:val="center"/>
          </w:tcPr>
          <w:p w14:paraId="24E187AB">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035" w:type="dxa"/>
            <w:vAlign w:val="center"/>
          </w:tcPr>
          <w:p w14:paraId="6941AC6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r>
      <w:tr w14:paraId="7155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345" w:type="dxa"/>
            <w:gridSpan w:val="4"/>
            <w:vAlign w:val="center"/>
          </w:tcPr>
          <w:p w14:paraId="11C7222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合计</w:t>
            </w:r>
          </w:p>
        </w:tc>
        <w:tc>
          <w:tcPr>
            <w:tcW w:w="855" w:type="dxa"/>
            <w:vAlign w:val="center"/>
          </w:tcPr>
          <w:p w14:paraId="0933180E">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035" w:type="dxa"/>
            <w:vAlign w:val="center"/>
          </w:tcPr>
          <w:p w14:paraId="140F2D6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bl>
    <w:p w14:paraId="180C3D68">
      <w:pPr>
        <w:spacing w:before="62" w:beforeLines="20" w:after="62" w:afterLines="20" w:line="360" w:lineRule="auto"/>
        <w:jc w:val="left"/>
        <w:rPr>
          <w:rFonts w:hint="eastAsia" w:ascii="Times New Roman" w:hAnsi="Times New Roman" w:eastAsia="宋体" w:cs="Times New Roman"/>
          <w:b/>
          <w:sz w:val="24"/>
          <w:lang w:eastAsia="zh-CN"/>
        </w:rPr>
      </w:pPr>
      <w:r>
        <w:rPr>
          <w:rFonts w:hint="eastAsia" w:ascii="Times New Roman" w:hAnsi="Times New Roman" w:eastAsia="宋体" w:cs="Times New Roman"/>
          <w:b/>
          <w:sz w:val="24"/>
          <w:lang w:eastAsia="zh-CN"/>
        </w:rPr>
        <w:t>四、课程实施</w:t>
      </w:r>
    </w:p>
    <w:p w14:paraId="3CD416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lang w:eastAsia="zh-CN"/>
        </w:rPr>
        <w:t>（一）教学方法与教学手段</w:t>
      </w:r>
    </w:p>
    <w:p w14:paraId="137EF5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textAlignment w:val="auto"/>
        <w:rPr>
          <w:rFonts w:hint="eastAsia" w:ascii="Calibri" w:hAnsi="Calibri" w:eastAsia="宋体" w:cs="Times New Roman"/>
          <w:sz w:val="21"/>
          <w:szCs w:val="21"/>
          <w:highlight w:val="none"/>
        </w:rPr>
      </w:pPr>
      <w:r>
        <w:rPr>
          <w:rFonts w:hint="eastAsia" w:ascii="Calibri" w:hAnsi="Calibri" w:eastAsia="宋体" w:cs="Times New Roman"/>
          <w:sz w:val="21"/>
          <w:szCs w:val="21"/>
          <w:highlight w:val="none"/>
          <w:lang w:val="en-US" w:eastAsia="zh-CN"/>
        </w:rPr>
        <w:t>1.</w:t>
      </w:r>
      <w:r>
        <w:rPr>
          <w:rFonts w:hint="eastAsia" w:ascii="Calibri" w:hAnsi="Calibri" w:eastAsia="宋体" w:cs="Times New Roman"/>
          <w:sz w:val="21"/>
          <w:szCs w:val="21"/>
          <w:highlight w:val="none"/>
        </w:rPr>
        <w:t>通过采用启发式、讨论式、案例式以及专题式等多种教学方法，正确把握和认识国家安全的内涵，理解我国总体国家安全观；深刻认识国</w:t>
      </w:r>
      <w:r>
        <w:rPr>
          <w:rFonts w:hint="eastAsia" w:ascii="Calibri" w:hAnsi="Calibri" w:eastAsia="宋体" w:cs="Times New Roman"/>
          <w:sz w:val="21"/>
          <w:szCs w:val="21"/>
          <w:highlight w:val="none"/>
          <w:lang w:eastAsia="zh-CN"/>
        </w:rPr>
        <w:t>家安全</w:t>
      </w:r>
      <w:r>
        <w:rPr>
          <w:rFonts w:hint="eastAsia" w:ascii="Calibri" w:hAnsi="Calibri" w:eastAsia="宋体" w:cs="Times New Roman"/>
          <w:sz w:val="21"/>
          <w:szCs w:val="21"/>
          <w:highlight w:val="none"/>
        </w:rPr>
        <w:t>的基本概念、历史背景与现实意义。通过能力和技能目标，为学生提供辨识风险、遵守法规、承担责任的关键素养，树立总体国家安全观，提高识别和防范各种安全风险的能力。</w:t>
      </w:r>
    </w:p>
    <w:p w14:paraId="41F32A8E">
      <w:pPr>
        <w:keepNext w:val="0"/>
        <w:keepLines w:val="0"/>
        <w:pageBreakBefore w:val="0"/>
        <w:widowControl w:val="0"/>
        <w:kinsoku/>
        <w:wordWrap/>
        <w:overflowPunct/>
        <w:topLinePunct w:val="0"/>
        <w:bidi w:val="0"/>
        <w:spacing w:line="360" w:lineRule="auto"/>
        <w:ind w:firstLine="630" w:firstLineChars="300"/>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highlight w:val="none"/>
        </w:rPr>
        <w:t>2.通过采用多媒体教学手段，将线上与线下教学模式有机结合，不断提高思政课的针对性和吸引力</w:t>
      </w:r>
      <w:r>
        <w:rPr>
          <w:rFonts w:hint="eastAsia" w:ascii="Calibri" w:hAnsi="Calibri" w:eastAsia="宋体" w:cs="Times New Roman"/>
          <w:sz w:val="21"/>
          <w:szCs w:val="21"/>
          <w:highlight w:val="none"/>
          <w:lang w:eastAsia="zh-CN"/>
        </w:rPr>
        <w:t>，</w:t>
      </w:r>
      <w:r>
        <w:rPr>
          <w:rFonts w:hint="eastAsia" w:ascii="Calibri" w:hAnsi="Calibri" w:eastAsia="宋体" w:cs="Times New Roman"/>
          <w:sz w:val="21"/>
          <w:szCs w:val="21"/>
          <w:lang w:eastAsia="zh-CN"/>
        </w:rPr>
        <w:t>线上与线下相结合的方式进行教学，共16个学时，线上利用尔雅系统教学8学时，线下老师授课8学时，线下授课采用分班和多媒体教学，授课老师必须要有讲稿和课件。</w:t>
      </w:r>
    </w:p>
    <w:p w14:paraId="0BF26740">
      <w:pPr>
        <w:keepNext w:val="0"/>
        <w:keepLines w:val="0"/>
        <w:pageBreakBefore w:val="0"/>
        <w:widowControl w:val="0"/>
        <w:kinsoku/>
        <w:wordWrap/>
        <w:overflowPunct/>
        <w:topLinePunct w:val="0"/>
        <w:bidi w:val="0"/>
        <w:spacing w:line="360" w:lineRule="auto"/>
        <w:ind w:firstLine="420" w:firstLineChars="200"/>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lang w:eastAsia="zh-CN"/>
        </w:rPr>
        <w:t>（二）教学质量要求</w:t>
      </w:r>
    </w:p>
    <w:p w14:paraId="298DFF83">
      <w:pPr>
        <w:keepNext w:val="0"/>
        <w:keepLines w:val="0"/>
        <w:pageBreakBefore w:val="0"/>
        <w:widowControl w:val="0"/>
        <w:kinsoku/>
        <w:wordWrap/>
        <w:overflowPunct/>
        <w:topLinePunct w:val="0"/>
        <w:bidi w:val="0"/>
        <w:spacing w:line="360" w:lineRule="auto"/>
        <w:ind w:firstLine="420" w:firstLineChars="200"/>
        <w:textAlignment w:val="auto"/>
        <w:rPr>
          <w:rFonts w:ascii="Calibri" w:hAnsi="Calibri" w:eastAsia="宋体" w:cs="Times New Roman"/>
          <w:sz w:val="21"/>
          <w:szCs w:val="21"/>
          <w:highlight w:val="none"/>
        </w:rPr>
      </w:pPr>
      <w:r>
        <w:rPr>
          <w:rFonts w:hint="eastAsia" w:ascii="Calibri" w:hAnsi="Calibri" w:eastAsia="宋体" w:cs="Times New Roman"/>
          <w:sz w:val="21"/>
          <w:szCs w:val="21"/>
          <w:highlight w:val="none"/>
        </w:rPr>
        <w:t>主要教学环节质量要求如表所示。</w:t>
      </w:r>
    </w:p>
    <w:tbl>
      <w:tblPr>
        <w:tblStyle w:val="15"/>
        <w:tblW w:w="8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220"/>
        <w:gridCol w:w="6426"/>
      </w:tblGrid>
      <w:tr w14:paraId="1F29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49" w:type="dxa"/>
            <w:gridSpan w:val="2"/>
            <w:tcBorders>
              <w:top w:val="single" w:color="auto" w:sz="8" w:space="0"/>
              <w:left w:val="single" w:color="auto" w:sz="8" w:space="0"/>
              <w:right w:val="single" w:color="auto" w:sz="8" w:space="0"/>
            </w:tcBorders>
            <w:tcMar>
              <w:left w:w="28" w:type="dxa"/>
              <w:right w:w="28" w:type="dxa"/>
            </w:tcMar>
            <w:vAlign w:val="center"/>
          </w:tcPr>
          <w:p w14:paraId="30F91168">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b/>
                <w:bCs w:val="0"/>
                <w:sz w:val="21"/>
                <w:szCs w:val="21"/>
              </w:rPr>
            </w:pPr>
            <w:r>
              <w:rPr>
                <w:rFonts w:ascii="Calibri" w:hAnsi="Calibri" w:eastAsia="宋体" w:cs="Times New Roman"/>
                <w:b/>
                <w:bCs w:val="0"/>
                <w:sz w:val="21"/>
                <w:szCs w:val="21"/>
              </w:rPr>
              <w:t>主要教学环节</w:t>
            </w:r>
          </w:p>
        </w:tc>
        <w:tc>
          <w:tcPr>
            <w:tcW w:w="6426" w:type="dxa"/>
            <w:tcBorders>
              <w:top w:val="single" w:color="auto" w:sz="8" w:space="0"/>
              <w:left w:val="single" w:color="auto" w:sz="8" w:space="0"/>
              <w:right w:val="single" w:color="auto" w:sz="8" w:space="0"/>
            </w:tcBorders>
            <w:vAlign w:val="center"/>
          </w:tcPr>
          <w:p w14:paraId="5A5C7883">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b/>
                <w:bCs w:val="0"/>
                <w:sz w:val="21"/>
                <w:szCs w:val="21"/>
              </w:rPr>
            </w:pPr>
            <w:r>
              <w:rPr>
                <w:rFonts w:ascii="Calibri" w:hAnsi="Calibri" w:eastAsia="宋体" w:cs="Times New Roman"/>
                <w:b/>
                <w:bCs w:val="0"/>
                <w:sz w:val="21"/>
                <w:szCs w:val="21"/>
              </w:rPr>
              <w:t>质量</w:t>
            </w:r>
            <w:r>
              <w:rPr>
                <w:rFonts w:hint="eastAsia" w:ascii="Calibri" w:hAnsi="Calibri" w:eastAsia="宋体" w:cs="Times New Roman"/>
                <w:b/>
                <w:bCs w:val="0"/>
                <w:sz w:val="21"/>
                <w:szCs w:val="21"/>
              </w:rPr>
              <w:t>要求</w:t>
            </w:r>
          </w:p>
        </w:tc>
      </w:tr>
      <w:tr w14:paraId="6921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829" w:type="dxa"/>
            <w:tcBorders>
              <w:left w:val="single" w:color="auto" w:sz="8" w:space="0"/>
            </w:tcBorders>
            <w:vAlign w:val="center"/>
          </w:tcPr>
          <w:p w14:paraId="5898147F">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sz w:val="21"/>
                <w:szCs w:val="21"/>
              </w:rPr>
            </w:pPr>
            <w:r>
              <w:rPr>
                <w:rFonts w:ascii="Calibri" w:hAnsi="Calibri" w:eastAsia="宋体" w:cs="Times New Roman"/>
                <w:sz w:val="21"/>
                <w:szCs w:val="21"/>
              </w:rPr>
              <w:t>1</w:t>
            </w:r>
          </w:p>
        </w:tc>
        <w:tc>
          <w:tcPr>
            <w:tcW w:w="1220" w:type="dxa"/>
            <w:tcMar>
              <w:left w:w="28" w:type="dxa"/>
              <w:right w:w="28" w:type="dxa"/>
            </w:tcMar>
            <w:vAlign w:val="center"/>
          </w:tcPr>
          <w:p w14:paraId="01074E77">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sz w:val="21"/>
                <w:szCs w:val="21"/>
              </w:rPr>
            </w:pPr>
            <w:r>
              <w:rPr>
                <w:rFonts w:ascii="Calibri" w:hAnsi="Calibri" w:eastAsia="宋体" w:cs="Times New Roman"/>
                <w:sz w:val="21"/>
                <w:szCs w:val="21"/>
              </w:rPr>
              <w:t>备课</w:t>
            </w:r>
          </w:p>
        </w:tc>
        <w:tc>
          <w:tcPr>
            <w:tcW w:w="6426" w:type="dxa"/>
            <w:tcBorders>
              <w:right w:val="single" w:color="auto" w:sz="8" w:space="0"/>
            </w:tcBorders>
            <w:vAlign w:val="center"/>
          </w:tcPr>
          <w:p w14:paraId="601BD638">
            <w:pPr>
              <w:snapToGrid w:val="0"/>
              <w:spacing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（1）掌握本课程教学大纲内容，严格按照教学大纲要求进行课程教学内容的组织。</w:t>
            </w:r>
          </w:p>
          <w:p w14:paraId="5D3E543C">
            <w:pPr>
              <w:snapToGrid w:val="0"/>
              <w:spacing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（2）熟悉教材各章节，借助相关专业书籍资料，并依据教学大纲编写授课计划，编写每次授课的教案。</w:t>
            </w:r>
          </w:p>
          <w:p w14:paraId="08B7E127">
            <w:pPr>
              <w:keepNext w:val="0"/>
              <w:keepLines w:val="0"/>
              <w:pageBreakBefore w:val="0"/>
              <w:widowControl w:val="0"/>
              <w:kinsoku/>
              <w:wordWrap/>
              <w:overflowPunct/>
              <w:topLinePunct w:val="0"/>
              <w:bidi w:val="0"/>
              <w:spacing w:line="360" w:lineRule="auto"/>
              <w:textAlignment w:val="auto"/>
              <w:rPr>
                <w:rFonts w:ascii="Calibri" w:hAnsi="Calibri" w:eastAsia="宋体" w:cs="Times New Roman"/>
                <w:sz w:val="21"/>
                <w:szCs w:val="21"/>
              </w:rPr>
            </w:pPr>
            <w:r>
              <w:rPr>
                <w:rFonts w:hint="eastAsia" w:ascii="宋体" w:hAnsi="宋体" w:eastAsia="宋体" w:cs="Times New Roman"/>
                <w:sz w:val="21"/>
                <w:szCs w:val="21"/>
              </w:rPr>
              <w:t>（3）使用教育部统一课件授课，根据各部分教学内容，构思授课思路、技巧，选择合适的教学方法。</w:t>
            </w:r>
          </w:p>
        </w:tc>
      </w:tr>
      <w:tr w14:paraId="4F87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29" w:type="dxa"/>
            <w:tcBorders>
              <w:left w:val="single" w:color="auto" w:sz="8" w:space="0"/>
            </w:tcBorders>
            <w:vAlign w:val="center"/>
          </w:tcPr>
          <w:p w14:paraId="52729AB0">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sz w:val="21"/>
                <w:szCs w:val="21"/>
              </w:rPr>
            </w:pPr>
            <w:r>
              <w:rPr>
                <w:rFonts w:ascii="Calibri" w:hAnsi="Calibri" w:eastAsia="宋体" w:cs="Times New Roman"/>
                <w:sz w:val="21"/>
                <w:szCs w:val="21"/>
              </w:rPr>
              <w:t>2</w:t>
            </w:r>
          </w:p>
        </w:tc>
        <w:tc>
          <w:tcPr>
            <w:tcW w:w="1220" w:type="dxa"/>
            <w:tcMar>
              <w:left w:w="28" w:type="dxa"/>
              <w:right w:w="28" w:type="dxa"/>
            </w:tcMar>
            <w:vAlign w:val="center"/>
          </w:tcPr>
          <w:p w14:paraId="7906D89A">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sz w:val="21"/>
                <w:szCs w:val="21"/>
              </w:rPr>
            </w:pPr>
            <w:r>
              <w:rPr>
                <w:rFonts w:ascii="Calibri" w:hAnsi="Calibri" w:eastAsia="宋体" w:cs="Times New Roman"/>
                <w:sz w:val="21"/>
                <w:szCs w:val="21"/>
              </w:rPr>
              <w:t>讲授</w:t>
            </w:r>
          </w:p>
        </w:tc>
        <w:tc>
          <w:tcPr>
            <w:tcW w:w="6426" w:type="dxa"/>
            <w:tcBorders>
              <w:right w:val="single" w:color="auto" w:sz="8" w:space="0"/>
            </w:tcBorders>
            <w:vAlign w:val="center"/>
          </w:tcPr>
          <w:p w14:paraId="49AF9095">
            <w:pPr>
              <w:snapToGrid w:val="0"/>
              <w:spacing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（1）要点准确、推理正确、条理清晰、重点突出，能够理论联系实际。</w:t>
            </w:r>
          </w:p>
          <w:p w14:paraId="21C7EB9F">
            <w:pPr>
              <w:snapToGrid w:val="0"/>
              <w:spacing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（2）采用多种教学方式（如启发式教学、讨论式教学、案例分析教学等），培养学生的思想政治素质，注重培养学生发现、分析和解决问题的能力。</w:t>
            </w:r>
          </w:p>
          <w:p w14:paraId="0631C0A6">
            <w:pPr>
              <w:snapToGrid w:val="0"/>
              <w:spacing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（3）能够采用现代信息技术辅助教学。</w:t>
            </w:r>
          </w:p>
          <w:p w14:paraId="65A66C25">
            <w:pPr>
              <w:keepNext w:val="0"/>
              <w:keepLines w:val="0"/>
              <w:pageBreakBefore w:val="0"/>
              <w:widowControl w:val="0"/>
              <w:kinsoku/>
              <w:wordWrap/>
              <w:overflowPunct/>
              <w:topLinePunct w:val="0"/>
              <w:bidi w:val="0"/>
              <w:spacing w:line="360" w:lineRule="auto"/>
              <w:textAlignment w:val="auto"/>
              <w:rPr>
                <w:rFonts w:ascii="Calibri" w:hAnsi="Calibri" w:eastAsia="宋体" w:cs="Times New Roman"/>
                <w:sz w:val="21"/>
                <w:szCs w:val="21"/>
              </w:rPr>
            </w:pPr>
            <w:r>
              <w:rPr>
                <w:rFonts w:hint="eastAsia" w:ascii="宋体" w:hAnsi="宋体" w:eastAsia="宋体" w:cs="Times New Roman"/>
                <w:sz w:val="21"/>
                <w:szCs w:val="21"/>
              </w:rPr>
              <w:t>（4）表达方式应能便于学生理解、接受，力求形象生动，使学生在掌握知识的过程中，保持较为浓厚的兴趣。</w:t>
            </w:r>
          </w:p>
        </w:tc>
      </w:tr>
      <w:tr w14:paraId="7C61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29" w:type="dxa"/>
            <w:tcBorders>
              <w:left w:val="single" w:color="auto" w:sz="8" w:space="0"/>
            </w:tcBorders>
            <w:vAlign w:val="center"/>
          </w:tcPr>
          <w:p w14:paraId="1490FB6F">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sz w:val="21"/>
                <w:szCs w:val="21"/>
              </w:rPr>
            </w:pPr>
            <w:r>
              <w:rPr>
                <w:rFonts w:ascii="Calibri" w:hAnsi="Calibri" w:eastAsia="宋体" w:cs="Times New Roman"/>
                <w:sz w:val="21"/>
                <w:szCs w:val="21"/>
              </w:rPr>
              <w:t>3</w:t>
            </w:r>
          </w:p>
        </w:tc>
        <w:tc>
          <w:tcPr>
            <w:tcW w:w="1220" w:type="dxa"/>
            <w:tcMar>
              <w:left w:w="28" w:type="dxa"/>
              <w:right w:w="28" w:type="dxa"/>
            </w:tcMar>
            <w:vAlign w:val="center"/>
          </w:tcPr>
          <w:p w14:paraId="63B0D077">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sz w:val="21"/>
                <w:szCs w:val="21"/>
                <w:highlight w:val="yellow"/>
              </w:rPr>
            </w:pPr>
            <w:r>
              <w:rPr>
                <w:rFonts w:ascii="Calibri" w:hAnsi="Calibri" w:eastAsia="宋体" w:cs="Times New Roman"/>
                <w:sz w:val="21"/>
                <w:szCs w:val="21"/>
                <w:highlight w:val="none"/>
              </w:rPr>
              <w:t>作业布置与批改</w:t>
            </w:r>
          </w:p>
        </w:tc>
        <w:tc>
          <w:tcPr>
            <w:tcW w:w="6426" w:type="dxa"/>
            <w:tcBorders>
              <w:right w:val="single" w:color="auto" w:sz="8" w:space="0"/>
            </w:tcBorders>
            <w:vAlign w:val="center"/>
          </w:tcPr>
          <w:p w14:paraId="188FA8B4">
            <w:pPr>
              <w:keepNext w:val="0"/>
              <w:keepLines w:val="0"/>
              <w:pageBreakBefore w:val="0"/>
              <w:widowControl w:val="0"/>
              <w:kinsoku/>
              <w:wordWrap/>
              <w:overflowPunct/>
              <w:topLinePunct w:val="0"/>
              <w:bidi w:val="0"/>
              <w:spacing w:line="360" w:lineRule="auto"/>
              <w:ind w:firstLine="210" w:firstLineChars="100"/>
              <w:textAlignment w:val="auto"/>
              <w:rPr>
                <w:rFonts w:hint="eastAsia" w:ascii="Calibri" w:hAnsi="Calibri" w:eastAsia="宋体" w:cs="Times New Roman"/>
                <w:sz w:val="21"/>
                <w:szCs w:val="21"/>
                <w:highlight w:val="none"/>
              </w:rPr>
            </w:pPr>
            <w:r>
              <w:rPr>
                <w:rFonts w:hint="eastAsia" w:ascii="Calibri" w:hAnsi="Calibri" w:eastAsia="宋体" w:cs="Times New Roman"/>
                <w:sz w:val="21"/>
                <w:szCs w:val="21"/>
                <w:highlight w:val="none"/>
              </w:rPr>
              <w:t>学生必须完成规定数量的作业，作业必须达到以下基本要求：</w:t>
            </w:r>
          </w:p>
          <w:p w14:paraId="7B54F115">
            <w:pPr>
              <w:keepNext w:val="0"/>
              <w:keepLines w:val="0"/>
              <w:pageBreakBefore w:val="0"/>
              <w:widowControl w:val="0"/>
              <w:kinsoku/>
              <w:wordWrap/>
              <w:overflowPunct/>
              <w:topLinePunct w:val="0"/>
              <w:bidi w:val="0"/>
              <w:spacing w:line="360" w:lineRule="auto"/>
              <w:ind w:firstLine="210" w:firstLineChars="100"/>
              <w:textAlignment w:val="auto"/>
              <w:rPr>
                <w:rFonts w:hint="eastAsia" w:ascii="Calibri" w:hAnsi="Calibri" w:eastAsia="宋体" w:cs="Times New Roman"/>
                <w:sz w:val="21"/>
                <w:szCs w:val="21"/>
                <w:highlight w:val="none"/>
              </w:rPr>
            </w:pPr>
            <w:r>
              <w:rPr>
                <w:rFonts w:hint="eastAsia" w:ascii="Calibri" w:hAnsi="Calibri" w:eastAsia="宋体" w:cs="Times New Roman"/>
                <w:sz w:val="21"/>
                <w:szCs w:val="21"/>
                <w:highlight w:val="none"/>
              </w:rPr>
              <w:t>（1）按时按量完成作业，不缺交，不抄袭。</w:t>
            </w:r>
          </w:p>
          <w:p w14:paraId="60D48CDA">
            <w:pPr>
              <w:keepNext w:val="0"/>
              <w:keepLines w:val="0"/>
              <w:pageBreakBefore w:val="0"/>
              <w:widowControl w:val="0"/>
              <w:kinsoku/>
              <w:wordWrap/>
              <w:overflowPunct/>
              <w:topLinePunct w:val="0"/>
              <w:bidi w:val="0"/>
              <w:spacing w:line="360" w:lineRule="auto"/>
              <w:ind w:firstLine="210" w:firstLineChars="100"/>
              <w:textAlignment w:val="auto"/>
              <w:rPr>
                <w:rFonts w:hint="eastAsia" w:ascii="Calibri" w:hAnsi="Calibri" w:eastAsia="宋体" w:cs="Times New Roman"/>
                <w:sz w:val="21"/>
                <w:szCs w:val="21"/>
                <w:highlight w:val="none"/>
              </w:rPr>
            </w:pPr>
            <w:r>
              <w:rPr>
                <w:rFonts w:hint="eastAsia" w:ascii="Calibri" w:hAnsi="Calibri" w:eastAsia="宋体" w:cs="Times New Roman"/>
                <w:sz w:val="21"/>
                <w:szCs w:val="21"/>
                <w:highlight w:val="none"/>
              </w:rPr>
              <w:t>（2）书写规范、清晰。</w:t>
            </w:r>
          </w:p>
          <w:p w14:paraId="716F0BC0">
            <w:pPr>
              <w:keepNext w:val="0"/>
              <w:keepLines w:val="0"/>
              <w:pageBreakBefore w:val="0"/>
              <w:widowControl w:val="0"/>
              <w:kinsoku/>
              <w:wordWrap/>
              <w:overflowPunct/>
              <w:topLinePunct w:val="0"/>
              <w:bidi w:val="0"/>
              <w:spacing w:line="360" w:lineRule="auto"/>
              <w:ind w:firstLine="210" w:firstLineChars="100"/>
              <w:textAlignment w:val="auto"/>
              <w:rPr>
                <w:rFonts w:hint="eastAsia" w:ascii="Calibri" w:hAnsi="Calibri" w:eastAsia="宋体" w:cs="Times New Roman"/>
                <w:sz w:val="21"/>
                <w:szCs w:val="21"/>
                <w:highlight w:val="none"/>
              </w:rPr>
            </w:pPr>
            <w:r>
              <w:rPr>
                <w:rFonts w:hint="eastAsia" w:ascii="Calibri" w:hAnsi="Calibri" w:eastAsia="宋体" w:cs="Times New Roman"/>
                <w:sz w:val="21"/>
                <w:szCs w:val="21"/>
                <w:highlight w:val="none"/>
              </w:rPr>
              <w:t>教师批改作业要求如下：</w:t>
            </w:r>
          </w:p>
          <w:p w14:paraId="539F9CE9">
            <w:pPr>
              <w:keepNext w:val="0"/>
              <w:keepLines w:val="0"/>
              <w:pageBreakBefore w:val="0"/>
              <w:widowControl w:val="0"/>
              <w:kinsoku/>
              <w:wordWrap/>
              <w:overflowPunct/>
              <w:topLinePunct w:val="0"/>
              <w:bidi w:val="0"/>
              <w:spacing w:line="360" w:lineRule="auto"/>
              <w:ind w:firstLine="210" w:firstLineChars="100"/>
              <w:textAlignment w:val="auto"/>
              <w:rPr>
                <w:rFonts w:hint="eastAsia" w:ascii="Calibri" w:hAnsi="Calibri" w:eastAsia="宋体" w:cs="Times New Roman"/>
                <w:sz w:val="21"/>
                <w:szCs w:val="21"/>
                <w:highlight w:val="none"/>
              </w:rPr>
            </w:pPr>
            <w:r>
              <w:rPr>
                <w:rFonts w:hint="eastAsia" w:ascii="Calibri" w:hAnsi="Calibri" w:eastAsia="宋体" w:cs="Times New Roman"/>
                <w:sz w:val="21"/>
                <w:szCs w:val="21"/>
                <w:highlight w:val="none"/>
              </w:rPr>
              <w:t>（3）学生的作业要按时全部批改，并及时进行讲评。</w:t>
            </w:r>
          </w:p>
          <w:p w14:paraId="5414216D">
            <w:pPr>
              <w:keepNext w:val="0"/>
              <w:keepLines w:val="0"/>
              <w:pageBreakBefore w:val="0"/>
              <w:widowControl w:val="0"/>
              <w:kinsoku/>
              <w:wordWrap/>
              <w:overflowPunct/>
              <w:topLinePunct w:val="0"/>
              <w:bidi w:val="0"/>
              <w:spacing w:line="360" w:lineRule="auto"/>
              <w:ind w:firstLine="210" w:firstLineChars="100"/>
              <w:textAlignment w:val="auto"/>
              <w:rPr>
                <w:rFonts w:hint="eastAsia" w:ascii="Calibri" w:hAnsi="Calibri" w:eastAsia="宋体" w:cs="Times New Roman"/>
                <w:sz w:val="21"/>
                <w:szCs w:val="21"/>
                <w:highlight w:val="none"/>
              </w:rPr>
            </w:pPr>
            <w:r>
              <w:rPr>
                <w:rFonts w:hint="eastAsia" w:ascii="Calibri" w:hAnsi="Calibri" w:eastAsia="宋体" w:cs="Times New Roman"/>
                <w:sz w:val="21"/>
                <w:szCs w:val="21"/>
                <w:highlight w:val="none"/>
              </w:rPr>
              <w:t>（4）教师批改和讲评作业要认真、细致，按百分制评定成绩并写明日期 。</w:t>
            </w:r>
          </w:p>
          <w:p w14:paraId="6DBFDA7B">
            <w:pPr>
              <w:keepNext w:val="0"/>
              <w:keepLines w:val="0"/>
              <w:pageBreakBefore w:val="0"/>
              <w:widowControl w:val="0"/>
              <w:kinsoku/>
              <w:wordWrap/>
              <w:overflowPunct/>
              <w:topLinePunct w:val="0"/>
              <w:bidi w:val="0"/>
              <w:spacing w:line="360" w:lineRule="auto"/>
              <w:ind w:firstLine="210" w:firstLineChars="100"/>
              <w:textAlignment w:val="auto"/>
              <w:rPr>
                <w:rFonts w:ascii="Calibri" w:hAnsi="Calibri" w:eastAsia="宋体" w:cs="Times New Roman"/>
                <w:sz w:val="21"/>
                <w:szCs w:val="21"/>
                <w:highlight w:val="yellow"/>
              </w:rPr>
            </w:pPr>
            <w:r>
              <w:rPr>
                <w:rFonts w:hint="eastAsia" w:ascii="Calibri" w:hAnsi="Calibri" w:eastAsia="宋体" w:cs="Times New Roman"/>
                <w:sz w:val="21"/>
                <w:szCs w:val="21"/>
                <w:highlight w:val="none"/>
              </w:rPr>
              <w:t>（5）学生作业的平均成绩应作为本课程总评成绩中平时成绩的重要组 成部分。</w:t>
            </w:r>
          </w:p>
        </w:tc>
      </w:tr>
      <w:tr w14:paraId="27FF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9" w:type="dxa"/>
            <w:tcBorders>
              <w:left w:val="single" w:color="auto" w:sz="8" w:space="0"/>
            </w:tcBorders>
            <w:vAlign w:val="center"/>
          </w:tcPr>
          <w:p w14:paraId="7D7580CB">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sz w:val="21"/>
                <w:szCs w:val="21"/>
              </w:rPr>
            </w:pPr>
            <w:r>
              <w:rPr>
                <w:rFonts w:hint="eastAsia" w:ascii="Calibri" w:hAnsi="Calibri" w:eastAsia="宋体" w:cs="Times New Roman"/>
                <w:sz w:val="21"/>
                <w:szCs w:val="21"/>
              </w:rPr>
              <w:t>4</w:t>
            </w:r>
          </w:p>
        </w:tc>
        <w:tc>
          <w:tcPr>
            <w:tcW w:w="1220" w:type="dxa"/>
            <w:tcMar>
              <w:left w:w="28" w:type="dxa"/>
              <w:right w:w="28" w:type="dxa"/>
            </w:tcMar>
            <w:vAlign w:val="center"/>
          </w:tcPr>
          <w:p w14:paraId="3F668A2D">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sz w:val="21"/>
                <w:szCs w:val="21"/>
                <w:highlight w:val="yellow"/>
              </w:rPr>
            </w:pPr>
            <w:r>
              <w:rPr>
                <w:rFonts w:ascii="Calibri" w:hAnsi="Calibri" w:eastAsia="宋体" w:cs="Times New Roman"/>
                <w:sz w:val="21"/>
                <w:szCs w:val="21"/>
                <w:highlight w:val="none"/>
              </w:rPr>
              <w:t>课外答疑</w:t>
            </w:r>
          </w:p>
        </w:tc>
        <w:tc>
          <w:tcPr>
            <w:tcW w:w="6426" w:type="dxa"/>
            <w:tcBorders>
              <w:right w:val="single" w:color="auto" w:sz="8" w:space="0"/>
            </w:tcBorders>
            <w:vAlign w:val="center"/>
          </w:tcPr>
          <w:p w14:paraId="0FB2959B">
            <w:pPr>
              <w:keepNext w:val="0"/>
              <w:keepLines w:val="0"/>
              <w:pageBreakBefore w:val="0"/>
              <w:widowControl w:val="0"/>
              <w:kinsoku/>
              <w:wordWrap/>
              <w:overflowPunct/>
              <w:topLinePunct w:val="0"/>
              <w:bidi w:val="0"/>
              <w:spacing w:line="360" w:lineRule="auto"/>
              <w:ind w:firstLine="210" w:firstLineChars="100"/>
              <w:textAlignment w:val="auto"/>
              <w:rPr>
                <w:rFonts w:ascii="Calibri" w:hAnsi="Calibri" w:eastAsia="宋体" w:cs="Times New Roman"/>
                <w:sz w:val="21"/>
                <w:szCs w:val="21"/>
                <w:highlight w:val="yellow"/>
              </w:rPr>
            </w:pPr>
            <w:r>
              <w:rPr>
                <w:rFonts w:hint="eastAsia" w:ascii="Calibri" w:hAnsi="Calibri" w:eastAsia="宋体" w:cs="Times New Roman"/>
                <w:sz w:val="21"/>
                <w:szCs w:val="21"/>
                <w:highlight w:val="none"/>
              </w:rPr>
              <w:t>为了解学生的学习情况，帮助学生更好地理解和消化所学知识、改进学习方法和思维方式，培养其独立思考问题的能力，任课教师需每周安排一定时间进行课外答疑与辅导。</w:t>
            </w:r>
          </w:p>
        </w:tc>
      </w:tr>
      <w:tr w14:paraId="3F19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29" w:type="dxa"/>
            <w:tcBorders>
              <w:left w:val="single" w:color="auto" w:sz="8" w:space="0"/>
            </w:tcBorders>
            <w:vAlign w:val="center"/>
          </w:tcPr>
          <w:p w14:paraId="0E13D97C">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sz w:val="21"/>
                <w:szCs w:val="21"/>
              </w:rPr>
            </w:pPr>
            <w:r>
              <w:rPr>
                <w:rFonts w:hint="eastAsia" w:ascii="Calibri" w:hAnsi="Calibri" w:eastAsia="宋体" w:cs="Times New Roman"/>
                <w:sz w:val="21"/>
                <w:szCs w:val="21"/>
              </w:rPr>
              <w:t>5</w:t>
            </w:r>
          </w:p>
        </w:tc>
        <w:tc>
          <w:tcPr>
            <w:tcW w:w="1220" w:type="dxa"/>
            <w:tcMar>
              <w:left w:w="28" w:type="dxa"/>
              <w:right w:w="28" w:type="dxa"/>
            </w:tcMar>
            <w:vAlign w:val="center"/>
          </w:tcPr>
          <w:p w14:paraId="28EC3B9E">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sz w:val="21"/>
                <w:szCs w:val="21"/>
              </w:rPr>
            </w:pPr>
            <w:r>
              <w:rPr>
                <w:rFonts w:ascii="Calibri" w:hAnsi="Calibri" w:eastAsia="宋体" w:cs="Times New Roman"/>
                <w:sz w:val="21"/>
                <w:szCs w:val="21"/>
              </w:rPr>
              <w:t>成绩考核</w:t>
            </w:r>
          </w:p>
        </w:tc>
        <w:tc>
          <w:tcPr>
            <w:tcW w:w="6426" w:type="dxa"/>
            <w:tcBorders>
              <w:right w:val="single" w:color="auto" w:sz="8" w:space="0"/>
            </w:tcBorders>
            <w:vAlign w:val="center"/>
          </w:tcPr>
          <w:p w14:paraId="0B1A8A7E">
            <w:pPr>
              <w:keepNext w:val="0"/>
              <w:keepLines w:val="0"/>
              <w:pageBreakBefore w:val="0"/>
              <w:widowControl w:val="0"/>
              <w:kinsoku/>
              <w:wordWrap/>
              <w:overflowPunct/>
              <w:topLinePunct w:val="0"/>
              <w:bidi w:val="0"/>
              <w:spacing w:line="360" w:lineRule="auto"/>
              <w:ind w:firstLine="210" w:firstLineChars="100"/>
              <w:textAlignment w:val="auto"/>
              <w:rPr>
                <w:rFonts w:ascii="Calibri" w:hAnsi="Calibri" w:eastAsia="宋体" w:cs="Times New Roman"/>
                <w:sz w:val="21"/>
                <w:szCs w:val="21"/>
              </w:rPr>
            </w:pPr>
            <w:r>
              <w:rPr>
                <w:rFonts w:hint="eastAsia" w:ascii="Calibri" w:hAnsi="Calibri" w:eastAsia="宋体" w:cs="Times New Roman"/>
                <w:sz w:val="21"/>
                <w:szCs w:val="21"/>
              </w:rPr>
              <w:t>根据平时成绩和考试成绩确定</w:t>
            </w:r>
          </w:p>
        </w:tc>
      </w:tr>
    </w:tbl>
    <w:p w14:paraId="52256AE4">
      <w:pPr>
        <w:spacing w:before="62" w:beforeLines="20" w:after="62" w:afterLines="20" w:line="360" w:lineRule="auto"/>
        <w:jc w:val="left"/>
        <w:rPr>
          <w:rFonts w:hint="eastAsia" w:ascii="Times New Roman" w:hAnsi="Times New Roman" w:eastAsia="宋体" w:cs="Times New Roman"/>
          <w:b/>
          <w:sz w:val="24"/>
          <w:lang w:eastAsia="zh-CN"/>
        </w:rPr>
      </w:pPr>
      <w:r>
        <w:rPr>
          <w:rFonts w:hint="eastAsia" w:ascii="Times New Roman" w:hAnsi="Times New Roman" w:eastAsia="宋体" w:cs="Times New Roman"/>
          <w:b/>
          <w:sz w:val="24"/>
          <w:lang w:eastAsia="zh-CN"/>
        </w:rPr>
        <w:t>五、课程考核</w:t>
      </w:r>
    </w:p>
    <w:p w14:paraId="49FE0C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lang w:eastAsia="zh-CN"/>
        </w:rPr>
        <w:t>课程考核以线上、线下相结合方式进行，线上考核成绩由网络平台自动生成占总成绩的</w:t>
      </w:r>
      <w:r>
        <w:rPr>
          <w:rFonts w:hint="eastAsia" w:ascii="Calibri" w:hAnsi="Calibri" w:eastAsia="宋体" w:cs="Times New Roman"/>
          <w:sz w:val="21"/>
          <w:szCs w:val="21"/>
          <w:lang w:val="en-US" w:eastAsia="zh-CN"/>
        </w:rPr>
        <w:t>60%</w:t>
      </w:r>
      <w:r>
        <w:rPr>
          <w:rFonts w:hint="eastAsia" w:ascii="Calibri" w:hAnsi="Calibri" w:eastAsia="宋体" w:cs="Times New Roman"/>
          <w:sz w:val="21"/>
          <w:szCs w:val="21"/>
          <w:lang w:eastAsia="zh-CN"/>
        </w:rPr>
        <w:t>，其中在线视频观看占40%，在线视频测试作业占30%，在线期末考核占30%；线下考核以平时考勤、课堂表现为主，由授课老师负责评分，占总成绩的</w:t>
      </w:r>
      <w:r>
        <w:rPr>
          <w:rFonts w:hint="eastAsia" w:ascii="Calibri" w:hAnsi="Calibri" w:eastAsia="宋体" w:cs="Times New Roman"/>
          <w:sz w:val="21"/>
          <w:szCs w:val="21"/>
          <w:lang w:val="en-US" w:eastAsia="zh-CN"/>
        </w:rPr>
        <w:t>40%</w:t>
      </w:r>
      <w:r>
        <w:rPr>
          <w:rFonts w:hint="eastAsia" w:ascii="Calibri" w:hAnsi="Calibri" w:eastAsia="宋体" w:cs="Times New Roman"/>
          <w:sz w:val="21"/>
          <w:szCs w:val="21"/>
          <w:lang w:eastAsia="zh-CN"/>
        </w:rPr>
        <w:t>，授课老师统计线上学习成绩和线下考核成绩汇总后得出总成绩。</w:t>
      </w:r>
    </w:p>
    <w:p w14:paraId="1927DC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lang w:eastAsia="zh-CN"/>
        </w:rPr>
        <w:t>具体内容和比例如表所示。</w:t>
      </w:r>
    </w:p>
    <w:tbl>
      <w:tblPr>
        <w:tblStyle w:val="15"/>
        <w:tblW w:w="8050" w:type="dxa"/>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1860"/>
        <w:gridCol w:w="765"/>
        <w:gridCol w:w="3505"/>
      </w:tblGrid>
      <w:tr w14:paraId="40F2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shd w:val="clear" w:color="auto" w:fill="FFFFFF"/>
            <w:tcMar>
              <w:left w:w="57" w:type="dxa"/>
              <w:right w:w="57" w:type="dxa"/>
            </w:tcMar>
            <w:vAlign w:val="center"/>
          </w:tcPr>
          <w:p w14:paraId="3E9A1752">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kern w:val="2"/>
                <w:sz w:val="21"/>
                <w:szCs w:val="21"/>
                <w:lang w:val="en-US" w:eastAsia="zh-CN" w:bidi="ar-SA"/>
              </w:rPr>
            </w:pPr>
            <w:r>
              <w:rPr>
                <w:rFonts w:ascii="Calibri" w:hAnsi="Calibri" w:eastAsia="宋体" w:cs="Times New Roman"/>
                <w:kern w:val="2"/>
                <w:sz w:val="21"/>
                <w:szCs w:val="21"/>
                <w:lang w:val="en-US" w:eastAsia="zh-CN" w:bidi="ar-SA"/>
              </w:rPr>
              <w:t>成绩组成</w:t>
            </w:r>
          </w:p>
        </w:tc>
        <w:tc>
          <w:tcPr>
            <w:tcW w:w="1860" w:type="dxa"/>
            <w:shd w:val="clear" w:color="auto" w:fill="FFFFFF"/>
            <w:vAlign w:val="center"/>
          </w:tcPr>
          <w:p w14:paraId="56236F27">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kern w:val="2"/>
                <w:sz w:val="21"/>
                <w:szCs w:val="21"/>
                <w:lang w:val="en-US" w:eastAsia="zh-CN" w:bidi="ar-SA"/>
              </w:rPr>
            </w:pPr>
            <w:r>
              <w:rPr>
                <w:rFonts w:ascii="Calibri" w:hAnsi="Calibri" w:eastAsia="宋体" w:cs="Times New Roman"/>
                <w:kern w:val="2"/>
                <w:sz w:val="21"/>
                <w:szCs w:val="21"/>
                <w:lang w:val="en-US" w:eastAsia="zh-CN" w:bidi="ar-SA"/>
              </w:rPr>
              <w:t>考核/评价环节</w:t>
            </w:r>
          </w:p>
        </w:tc>
        <w:tc>
          <w:tcPr>
            <w:tcW w:w="765" w:type="dxa"/>
            <w:shd w:val="clear" w:color="auto" w:fill="FFFFFF"/>
            <w:vAlign w:val="center"/>
          </w:tcPr>
          <w:p w14:paraId="421AF3EB">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权重</w:t>
            </w:r>
          </w:p>
        </w:tc>
        <w:tc>
          <w:tcPr>
            <w:tcW w:w="3505" w:type="dxa"/>
            <w:shd w:val="clear" w:color="auto" w:fill="FFFFFF"/>
            <w:vAlign w:val="center"/>
          </w:tcPr>
          <w:p w14:paraId="5EB8BD3D">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kern w:val="2"/>
                <w:sz w:val="21"/>
                <w:szCs w:val="21"/>
                <w:lang w:val="en-US" w:eastAsia="zh-CN" w:bidi="ar-SA"/>
              </w:rPr>
            </w:pPr>
            <w:r>
              <w:rPr>
                <w:rFonts w:ascii="Calibri" w:hAnsi="Calibri" w:eastAsia="宋体" w:cs="Times New Roman"/>
                <w:kern w:val="2"/>
                <w:sz w:val="21"/>
                <w:szCs w:val="21"/>
                <w:lang w:val="en-US" w:eastAsia="zh-CN" w:bidi="ar-SA"/>
              </w:rPr>
              <w:t>考核/评价细则</w:t>
            </w:r>
          </w:p>
        </w:tc>
      </w:tr>
      <w:tr w14:paraId="4051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920" w:type="dxa"/>
            <w:tcMar>
              <w:left w:w="57" w:type="dxa"/>
              <w:right w:w="57" w:type="dxa"/>
            </w:tcMar>
            <w:vAlign w:val="center"/>
          </w:tcPr>
          <w:p w14:paraId="579317E4">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kern w:val="2"/>
                <w:sz w:val="21"/>
                <w:szCs w:val="21"/>
                <w:lang w:val="en-US" w:eastAsia="zh-CN" w:bidi="ar-SA"/>
              </w:rPr>
            </w:pPr>
            <w:r>
              <w:rPr>
                <w:rFonts w:ascii="Calibri" w:hAnsi="Calibri" w:eastAsia="宋体" w:cs="Times New Roman"/>
                <w:kern w:val="2"/>
                <w:sz w:val="21"/>
                <w:szCs w:val="21"/>
                <w:lang w:val="en-US" w:eastAsia="zh-CN" w:bidi="ar-SA"/>
              </w:rPr>
              <w:t>平时成绩</w:t>
            </w:r>
          </w:p>
        </w:tc>
        <w:tc>
          <w:tcPr>
            <w:tcW w:w="1860" w:type="dxa"/>
            <w:vAlign w:val="center"/>
          </w:tcPr>
          <w:p w14:paraId="3264119C">
            <w:pPr>
              <w:keepNext w:val="0"/>
              <w:keepLines w:val="0"/>
              <w:pageBreakBefore w:val="0"/>
              <w:widowControl w:val="0"/>
              <w:kinsoku/>
              <w:wordWrap/>
              <w:overflowPunct/>
              <w:topLinePunct w:val="0"/>
              <w:bidi w:val="0"/>
              <w:spacing w:line="360" w:lineRule="auto"/>
              <w:jc w:val="both"/>
              <w:textAlignment w:val="auto"/>
              <w:rPr>
                <w:rFonts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出勤、听讲情况</w:t>
            </w:r>
          </w:p>
        </w:tc>
        <w:tc>
          <w:tcPr>
            <w:tcW w:w="765" w:type="dxa"/>
            <w:vAlign w:val="center"/>
          </w:tcPr>
          <w:p w14:paraId="6ABC7C77">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 xml:space="preserve">40 </w:t>
            </w:r>
            <w:r>
              <w:rPr>
                <w:rFonts w:ascii="Calibri" w:hAnsi="Calibri" w:eastAsia="宋体" w:cs="Times New Roman"/>
                <w:kern w:val="2"/>
                <w:sz w:val="21"/>
                <w:szCs w:val="21"/>
                <w:lang w:val="en-US" w:eastAsia="zh-CN" w:bidi="ar-SA"/>
              </w:rPr>
              <w:t>%</w:t>
            </w:r>
          </w:p>
        </w:tc>
        <w:tc>
          <w:tcPr>
            <w:tcW w:w="3505" w:type="dxa"/>
            <w:vAlign w:val="center"/>
          </w:tcPr>
          <w:p w14:paraId="10A2FDCA">
            <w:pPr>
              <w:keepNext w:val="0"/>
              <w:keepLines w:val="0"/>
              <w:pageBreakBefore w:val="0"/>
              <w:widowControl w:val="0"/>
              <w:kinsoku/>
              <w:wordWrap/>
              <w:overflowPunct/>
              <w:topLinePunct w:val="0"/>
              <w:bidi w:val="0"/>
              <w:spacing w:line="360" w:lineRule="auto"/>
              <w:jc w:val="both"/>
              <w:textAlignment w:val="auto"/>
              <w:rPr>
                <w:rFonts w:ascii="Calibri" w:hAnsi="Calibri" w:eastAsia="宋体" w:cs="Times New Roman"/>
                <w:kern w:val="2"/>
                <w:sz w:val="21"/>
                <w:szCs w:val="21"/>
                <w:lang w:val="en-US" w:eastAsia="zh-CN" w:bidi="ar-SA"/>
              </w:rPr>
            </w:pPr>
            <w:r>
              <w:rPr>
                <w:rFonts w:hint="eastAsia" w:ascii="Calibri" w:hAnsi="Calibri" w:eastAsia="宋体" w:cs="Times New Roman"/>
                <w:color w:val="000000"/>
                <w:kern w:val="2"/>
                <w:sz w:val="21"/>
                <w:szCs w:val="21"/>
                <w:lang w:val="en-US" w:eastAsia="zh-CN" w:bidi="ar-SA"/>
              </w:rPr>
              <w:t xml:space="preserve"> 检查出勤情况，观察听讲情况</w:t>
            </w:r>
          </w:p>
        </w:tc>
      </w:tr>
      <w:tr w14:paraId="2A648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920" w:type="dxa"/>
            <w:tcMar>
              <w:left w:w="57" w:type="dxa"/>
              <w:right w:w="57" w:type="dxa"/>
            </w:tcMar>
            <w:vAlign w:val="center"/>
          </w:tcPr>
          <w:p w14:paraId="5A8C2293">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color w:val="FF0000"/>
                <w:kern w:val="2"/>
                <w:sz w:val="21"/>
                <w:szCs w:val="21"/>
                <w:lang w:val="en-US" w:eastAsia="zh-CN" w:bidi="ar-SA"/>
              </w:rPr>
            </w:pPr>
            <w:r>
              <w:rPr>
                <w:rFonts w:ascii="Calibri" w:hAnsi="Calibri" w:eastAsia="宋体" w:cs="Times New Roman"/>
                <w:kern w:val="2"/>
                <w:sz w:val="21"/>
                <w:szCs w:val="21"/>
                <w:lang w:val="en-US" w:eastAsia="zh-CN" w:bidi="ar-SA"/>
              </w:rPr>
              <w:t>期末考试</w:t>
            </w:r>
            <w:r>
              <w:rPr>
                <w:rFonts w:hint="eastAsia" w:ascii="Calibri" w:hAnsi="Calibri" w:eastAsia="宋体" w:cs="Times New Roman"/>
                <w:kern w:val="2"/>
                <w:sz w:val="21"/>
                <w:szCs w:val="21"/>
                <w:lang w:val="en-US" w:eastAsia="zh-CN" w:bidi="ar-SA"/>
              </w:rPr>
              <w:t>成绩</w:t>
            </w:r>
          </w:p>
        </w:tc>
        <w:tc>
          <w:tcPr>
            <w:tcW w:w="1860" w:type="dxa"/>
            <w:vAlign w:val="center"/>
          </w:tcPr>
          <w:p w14:paraId="3523CFF6">
            <w:pPr>
              <w:keepNext w:val="0"/>
              <w:keepLines w:val="0"/>
              <w:pageBreakBefore w:val="0"/>
              <w:widowControl w:val="0"/>
              <w:kinsoku/>
              <w:wordWrap/>
              <w:overflowPunct/>
              <w:topLinePunct w:val="0"/>
              <w:bidi w:val="0"/>
              <w:spacing w:line="360" w:lineRule="auto"/>
              <w:jc w:val="both"/>
              <w:textAlignment w:val="auto"/>
              <w:rPr>
                <w:rFonts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 xml:space="preserve"> 线上考试成绩</w:t>
            </w:r>
          </w:p>
        </w:tc>
        <w:tc>
          <w:tcPr>
            <w:tcW w:w="765" w:type="dxa"/>
            <w:vAlign w:val="center"/>
          </w:tcPr>
          <w:p w14:paraId="31893721">
            <w:pPr>
              <w:keepNext w:val="0"/>
              <w:keepLines w:val="0"/>
              <w:pageBreakBefore w:val="0"/>
              <w:widowControl w:val="0"/>
              <w:kinsoku/>
              <w:wordWrap/>
              <w:overflowPunct/>
              <w:topLinePunct w:val="0"/>
              <w:bidi w:val="0"/>
              <w:spacing w:line="360" w:lineRule="auto"/>
              <w:jc w:val="center"/>
              <w:textAlignment w:val="auto"/>
              <w:rPr>
                <w:rFonts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 xml:space="preserve"> 60</w:t>
            </w:r>
            <w:r>
              <w:rPr>
                <w:rFonts w:ascii="Calibri" w:hAnsi="Calibri" w:eastAsia="宋体" w:cs="Times New Roman"/>
                <w:kern w:val="2"/>
                <w:sz w:val="21"/>
                <w:szCs w:val="21"/>
                <w:lang w:val="en-US" w:eastAsia="zh-CN" w:bidi="ar-SA"/>
              </w:rPr>
              <w:t>%</w:t>
            </w:r>
            <w:r>
              <w:rPr>
                <w:rFonts w:hint="eastAsia" w:ascii="Calibri" w:hAnsi="Calibri" w:eastAsia="宋体" w:cs="Times New Roman"/>
                <w:kern w:val="2"/>
                <w:sz w:val="21"/>
                <w:szCs w:val="21"/>
                <w:lang w:val="en-US" w:eastAsia="zh-CN" w:bidi="ar-SA"/>
              </w:rPr>
              <w:t xml:space="preserve"> </w:t>
            </w:r>
          </w:p>
        </w:tc>
        <w:tc>
          <w:tcPr>
            <w:tcW w:w="3505" w:type="dxa"/>
            <w:vAlign w:val="center"/>
          </w:tcPr>
          <w:p w14:paraId="22E6DE62">
            <w:pPr>
              <w:keepNext w:val="0"/>
              <w:keepLines w:val="0"/>
              <w:pageBreakBefore w:val="0"/>
              <w:widowControl w:val="0"/>
              <w:kinsoku/>
              <w:wordWrap/>
              <w:overflowPunct/>
              <w:topLinePunct w:val="0"/>
              <w:bidi w:val="0"/>
              <w:spacing w:line="360" w:lineRule="auto"/>
              <w:jc w:val="both"/>
              <w:textAlignment w:val="auto"/>
              <w:rPr>
                <w:rFonts w:ascii="Calibri" w:hAnsi="Calibri" w:eastAsia="宋体" w:cs="Times New Roman"/>
                <w:color w:val="000000"/>
                <w:kern w:val="2"/>
                <w:sz w:val="21"/>
                <w:szCs w:val="21"/>
                <w:lang w:val="en-US" w:eastAsia="zh-CN" w:bidi="ar-SA"/>
              </w:rPr>
            </w:pPr>
            <w:r>
              <w:rPr>
                <w:rFonts w:hint="eastAsia" w:ascii="Calibri" w:hAnsi="Calibri" w:eastAsia="宋体" w:cs="Times New Roman"/>
                <w:color w:val="000000"/>
                <w:kern w:val="2"/>
                <w:sz w:val="21"/>
                <w:szCs w:val="21"/>
                <w:lang w:val="en-US" w:eastAsia="zh-CN" w:bidi="ar-SA"/>
              </w:rPr>
              <w:t xml:space="preserve"> 根据答题的正确度和完整度评分</w:t>
            </w:r>
          </w:p>
        </w:tc>
      </w:tr>
    </w:tbl>
    <w:p w14:paraId="0D8A3ABB">
      <w:pPr>
        <w:spacing w:before="62" w:beforeLines="20" w:after="62" w:afterLines="20" w:line="360" w:lineRule="auto"/>
        <w:jc w:val="left"/>
        <w:rPr>
          <w:rFonts w:hint="eastAsia" w:ascii="Times New Roman" w:hAnsi="Times New Roman" w:eastAsia="宋体" w:cs="Times New Roman"/>
          <w:b/>
          <w:sz w:val="24"/>
          <w:lang w:eastAsia="zh-CN"/>
        </w:rPr>
      </w:pPr>
      <w:r>
        <w:rPr>
          <w:rFonts w:hint="eastAsia" w:ascii="Times New Roman" w:hAnsi="Times New Roman" w:eastAsia="宋体" w:cs="Times New Roman"/>
          <w:b/>
          <w:sz w:val="24"/>
          <w:lang w:eastAsia="zh-CN"/>
        </w:rPr>
        <w:t>六、有关说明</w:t>
      </w:r>
    </w:p>
    <w:p w14:paraId="6B316FFF">
      <w:pPr>
        <w:keepNext w:val="0"/>
        <w:keepLines w:val="0"/>
        <w:pageBreakBefore w:val="0"/>
        <w:widowControl w:val="0"/>
        <w:kinsoku/>
        <w:wordWrap/>
        <w:overflowPunct/>
        <w:topLinePunct w:val="0"/>
        <w:autoSpaceDE w:val="0"/>
        <w:autoSpaceDN w:val="0"/>
        <w:bidi w:val="0"/>
        <w:adjustRightInd w:val="0"/>
        <w:spacing w:line="360" w:lineRule="auto"/>
        <w:ind w:firstLine="422" w:firstLineChars="200"/>
        <w:jc w:val="left"/>
        <w:textAlignment w:val="auto"/>
        <w:rPr>
          <w:rFonts w:hint="eastAsia" w:ascii="Calibri" w:hAnsi="Calibri" w:eastAsia="宋体" w:cs="Times New Roman"/>
          <w:b/>
          <w:bCs/>
          <w:kern w:val="0"/>
          <w:sz w:val="21"/>
          <w:szCs w:val="21"/>
          <w:lang w:eastAsia="zh-CN"/>
        </w:rPr>
      </w:pPr>
      <w:r>
        <w:rPr>
          <w:rFonts w:hint="eastAsia" w:ascii="Calibri" w:hAnsi="Calibri" w:eastAsia="宋体" w:cs="Times New Roman"/>
          <w:b/>
          <w:bCs/>
          <w:kern w:val="0"/>
          <w:sz w:val="21"/>
          <w:szCs w:val="21"/>
          <w:lang w:eastAsia="zh-CN"/>
        </w:rPr>
        <w:t>（一）持续改进</w:t>
      </w:r>
    </w:p>
    <w:p w14:paraId="7DDC78C5">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1.随时更新教材和教案，丰富授课内容。</w:t>
      </w:r>
    </w:p>
    <w:p w14:paraId="6E900C36">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highlight w:val="none"/>
          <w:lang w:val="en-US" w:eastAsia="zh-CN"/>
        </w:rPr>
        <w:t>2.创新教学方法与手段，提高教学质量</w:t>
      </w:r>
      <w:r>
        <w:rPr>
          <w:rFonts w:hint="eastAsia" w:ascii="Calibri" w:hAnsi="Calibri" w:eastAsia="宋体" w:cs="Times New Roman"/>
          <w:kern w:val="0"/>
          <w:sz w:val="21"/>
          <w:szCs w:val="21"/>
          <w:lang w:val="en-US" w:eastAsia="zh-CN"/>
        </w:rPr>
        <w:t>。</w:t>
      </w:r>
    </w:p>
    <w:p w14:paraId="3BB35CBC">
      <w:pPr>
        <w:keepNext w:val="0"/>
        <w:keepLines w:val="0"/>
        <w:pageBreakBefore w:val="0"/>
        <w:widowControl w:val="0"/>
        <w:kinsoku/>
        <w:wordWrap/>
        <w:overflowPunct/>
        <w:topLinePunct w:val="0"/>
        <w:autoSpaceDE w:val="0"/>
        <w:autoSpaceDN w:val="0"/>
        <w:bidi w:val="0"/>
        <w:adjustRightInd w:val="0"/>
        <w:spacing w:line="360" w:lineRule="auto"/>
        <w:ind w:firstLine="422" w:firstLineChars="200"/>
        <w:jc w:val="left"/>
        <w:textAlignment w:val="auto"/>
        <w:rPr>
          <w:rFonts w:hint="eastAsia" w:ascii="Calibri" w:hAnsi="Calibri" w:eastAsia="宋体" w:cs="Times New Roman"/>
          <w:b/>
          <w:bCs/>
          <w:kern w:val="0"/>
          <w:sz w:val="21"/>
          <w:szCs w:val="21"/>
          <w:lang w:val="en-US" w:eastAsia="zh-CN"/>
        </w:rPr>
      </w:pPr>
      <w:r>
        <w:rPr>
          <w:rFonts w:hint="eastAsia" w:ascii="Calibri" w:hAnsi="Calibri" w:eastAsia="宋体" w:cs="Times New Roman"/>
          <w:b/>
          <w:bCs/>
          <w:kern w:val="0"/>
          <w:sz w:val="21"/>
          <w:szCs w:val="21"/>
          <w:lang w:val="en-US" w:eastAsia="zh-CN"/>
        </w:rPr>
        <w:t>（二）参与书目及学习资料</w:t>
      </w:r>
    </w:p>
    <w:p w14:paraId="7361D3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Calibri" w:hAnsi="Calibri" w:eastAsia="宋体" w:cs="Times New Roman"/>
          <w:kern w:val="0"/>
          <w:sz w:val="21"/>
          <w:szCs w:val="21"/>
          <w:lang w:val="en-US" w:eastAsia="zh-CN"/>
        </w:rPr>
      </w:pPr>
      <w:r>
        <w:rPr>
          <w:rFonts w:hint="eastAsia" w:ascii="Calibri" w:hAnsi="Calibri" w:eastAsia="宋体" w:cs="Times New Roman"/>
          <w:kern w:val="0"/>
          <w:sz w:val="21"/>
          <w:szCs w:val="21"/>
          <w:lang w:val="en-US" w:eastAsia="zh-CN"/>
        </w:rPr>
        <w:t>1.习近平:《高举中国特色社会主义伟大旗帜为全面建设社会主义现代化国家而团结奋斗在中国共产党第二十次全国代表大会上的报告》(2022年10月16日)，人民出版社2022年版。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2.习近平:《决胜全面建成小康社会夺取新时代中国特色社会主义伟大胜利-在中国共产党第十九次全国代表大会上的报告》(2017年10月18日)，人民出版社2017年版。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3.习近平:《始终把人民群众生命安全放在第一位》(2013年11月24日),《习近平谈治国理政》第一卷，外文出版社2018年版。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4.习近平:《坚持理性、协调、并进的核安全观》(2014年3月24日),《习近平谈治国理政》第一卷，外文出版社2018年版。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5.习近平:《坚持总体国家安全观》(2014年4月15日、2017年2月17日),《习近平著作选读》第一卷，人民出版社2023年版。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6.习近平:《切实维护国家安全和社会安定》(2014年4月25日),《习近平谈治国理政》第一卷，外文出版社2018年版。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7.习近平:《积极树立亚洲安全观，共创安全合作新局面》(2014年5月21日),《习近平谈治国理政》第一卷，外文出版社 2018 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8.习近平:《不断增强人民群众获得感幸福感安全感》(2018年2月一2021年4月),《习近平著作选读》第二卷，人民出版社2023年版。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9.习近平:《坚持党对国家安全工作的绝对领》(2018年4月17日),《习近平谈治国理政》第三卷，外文出版社2020年版。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10.习近平:《维护政治安全、社会安定、人民安宁》(2019年1月15日),《习近平谈治国理政》第三卷，外文出版社2020年版。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11.习近平:《坚持底线思维，着力防范化解重大风险》(2019年1月日),《习近平著作选读》第二卷，人民出版社2023年版。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12.习近平:《贯彻总体国家安全观，构建大安全格局》(2020年12月11日),《习近平谈治国理政》第四卷，外文出版社2022年版。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13.习近平:《把国家发展建立在更加安全、更为可靠的基础之上》(2020年12月16日),《习近平谈治国理政》第四卷，外文出版社2022年版。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ab/>
      </w:r>
      <w:r>
        <w:rPr>
          <w:rFonts w:hint="eastAsia" w:ascii="Calibri" w:hAnsi="Calibri" w:eastAsia="宋体" w:cs="Times New Roman"/>
          <w:kern w:val="0"/>
          <w:sz w:val="21"/>
          <w:szCs w:val="21"/>
          <w:lang w:val="en-US" w:eastAsia="zh-CN"/>
        </w:rPr>
        <w:t>14.习近平:《牢牢把住粮食安全主动权》(2020年12月28日),《习近平谈治国理政》第四卷，外文出版社2022年版。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15.习近平:《切实筑牢国家生物安全屏障》(2021年9月29日),《习近平谈治国理政》第四卷，外文出版社2022年版。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16.中共中央党史和文献研究院编:《习近平关于总体国家安全观论述摘编》，中央文献出版社2018 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17.中共中央党史和文献研究院编:《习近平关于防范风险挑战、应对突发事件论述摘编》，中央文献出版社2020年版。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18.中共中央党史和文献研究院编:《习近平关于国家粮食安全论述摘编》，中央文献出版社2023年版。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19.中共中央宣传部、中央国家安全委员会办公室编:《总体国家安全观学习纲要》，学习出版社、人民出版社2022年版。</w:t>
      </w:r>
      <w:r>
        <w:rPr>
          <w:rFonts w:hint="eastAsia" w:ascii="Calibri" w:hAnsi="Calibri" w:eastAsia="宋体" w:cs="Times New Roman"/>
          <w:kern w:val="0"/>
          <w:sz w:val="21"/>
          <w:szCs w:val="21"/>
          <w:lang w:val="en-US" w:eastAsia="zh-CN"/>
        </w:rPr>
        <w:br w:type="textWrapping"/>
      </w:r>
      <w:r>
        <w:rPr>
          <w:rFonts w:hint="eastAsia" w:ascii="Calibri" w:hAnsi="Calibri" w:eastAsia="宋体" w:cs="Times New Roman"/>
          <w:kern w:val="0"/>
          <w:sz w:val="21"/>
          <w:szCs w:val="21"/>
          <w:lang w:val="en-US" w:eastAsia="zh-CN"/>
        </w:rPr>
        <w:t xml:space="preserve">    20.《总体国家安全观干部读本》编委会编著:《总体国家安全观干部读本》，人民出版社2016年版。</w:t>
      </w:r>
    </w:p>
    <w:p w14:paraId="36DCA0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right"/>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lang w:val="en-US" w:eastAsia="zh-CN"/>
        </w:rPr>
        <w:t xml:space="preserve">                         </w:t>
      </w:r>
      <w:r>
        <w:rPr>
          <w:rFonts w:hint="eastAsia" w:ascii="Calibri" w:hAnsi="Calibri" w:eastAsia="宋体" w:cs="Times New Roman"/>
          <w:sz w:val="21"/>
          <w:szCs w:val="21"/>
          <w:lang w:eastAsia="zh-CN"/>
        </w:rPr>
        <w:t>执笔人：陶辉俊</w:t>
      </w:r>
    </w:p>
    <w:p w14:paraId="032EDC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right"/>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lang w:val="en-US" w:eastAsia="zh-CN"/>
        </w:rPr>
        <w:t xml:space="preserve">                   </w:t>
      </w:r>
      <w:r>
        <w:rPr>
          <w:rFonts w:hint="eastAsia" w:ascii="Calibri" w:hAnsi="Calibri" w:eastAsia="宋体" w:cs="Times New Roman"/>
          <w:sz w:val="21"/>
          <w:szCs w:val="21"/>
          <w:lang w:eastAsia="zh-CN"/>
        </w:rPr>
        <w:t>制定人：高</w:t>
      </w:r>
      <w:r>
        <w:rPr>
          <w:rFonts w:hint="eastAsia" w:ascii="Calibri" w:hAnsi="Calibri" w:eastAsia="宋体" w:cs="Times New Roman"/>
          <w:sz w:val="21"/>
          <w:szCs w:val="21"/>
          <w:lang w:val="en-US" w:eastAsia="zh-CN"/>
        </w:rPr>
        <w:t xml:space="preserve">  </w:t>
      </w:r>
      <w:r>
        <w:rPr>
          <w:rFonts w:hint="eastAsia" w:ascii="Calibri" w:hAnsi="Calibri" w:eastAsia="宋体" w:cs="Times New Roman"/>
          <w:sz w:val="21"/>
          <w:szCs w:val="21"/>
          <w:lang w:eastAsia="zh-CN"/>
        </w:rPr>
        <w:t>静</w:t>
      </w:r>
    </w:p>
    <w:p w14:paraId="7747FC0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right"/>
        <w:textAlignment w:val="auto"/>
        <w:rPr>
          <w:rFonts w:hint="eastAsia" w:ascii="Calibri" w:hAnsi="Calibri" w:eastAsia="宋体" w:cs="Times New Roman"/>
          <w:sz w:val="21"/>
          <w:szCs w:val="21"/>
          <w:lang w:eastAsia="zh-CN"/>
        </w:rPr>
      </w:pPr>
      <w:r>
        <w:rPr>
          <w:rFonts w:hint="eastAsia" w:ascii="Calibri" w:hAnsi="Calibri" w:eastAsia="宋体" w:cs="Times New Roman"/>
          <w:sz w:val="21"/>
          <w:szCs w:val="21"/>
          <w:lang w:val="en-US" w:eastAsia="zh-CN"/>
        </w:rPr>
        <w:t xml:space="preserve">                             </w:t>
      </w:r>
      <w:r>
        <w:rPr>
          <w:rFonts w:hint="eastAsia" w:ascii="Calibri" w:hAnsi="Calibri" w:eastAsia="宋体" w:cs="Times New Roman"/>
          <w:sz w:val="21"/>
          <w:szCs w:val="21"/>
          <w:lang w:eastAsia="zh-CN"/>
        </w:rPr>
        <w:t>审批人：周嘉禾</w:t>
      </w:r>
    </w:p>
    <w:p w14:paraId="3D9B805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right"/>
        <w:textAlignment w:val="auto"/>
        <w:rPr>
          <w:rFonts w:hint="default"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审批时间：2025年8月</w:t>
      </w:r>
    </w:p>
    <w:p w14:paraId="22809EAB">
      <w:pPr>
        <w:rPr>
          <w:rFonts w:hint="eastAsia"/>
          <w:color w:val="auto"/>
        </w:rPr>
      </w:pPr>
    </w:p>
    <w:p w14:paraId="1D1CF798">
      <w:pPr>
        <w:rPr>
          <w:rFonts w:hint="eastAsia"/>
          <w:color w:val="auto"/>
        </w:rPr>
      </w:pPr>
    </w:p>
    <w:p w14:paraId="1260FAAB">
      <w:pPr>
        <w:rPr>
          <w:rFonts w:hint="eastAsia"/>
          <w:color w:val="auto"/>
        </w:rPr>
      </w:pPr>
    </w:p>
    <w:p w14:paraId="57467A76">
      <w:pPr>
        <w:rPr>
          <w:rFonts w:hint="eastAsia"/>
          <w:color w:val="auto"/>
        </w:rPr>
      </w:pPr>
    </w:p>
    <w:p w14:paraId="32349582">
      <w:pPr>
        <w:rPr>
          <w:color w:val="auto"/>
        </w:rPr>
      </w:pPr>
      <w:r>
        <w:rPr>
          <w:rFonts w:hint="eastAsia"/>
          <w:color w:val="auto"/>
        </w:rPr>
        <w:br w:type="page"/>
      </w:r>
    </w:p>
    <w:p w14:paraId="2658613D">
      <w:pPr>
        <w:spacing w:line="360" w:lineRule="auto"/>
        <w:jc w:val="center"/>
        <w:outlineLvl w:val="0"/>
        <w:rPr>
          <w:rFonts w:hint="eastAsia" w:ascii="Times New Roman" w:hAnsi="Times New Roman" w:eastAsia="宋体" w:cs="Times New Roman"/>
          <w:b/>
          <w:sz w:val="44"/>
          <w:szCs w:val="44"/>
        </w:rPr>
      </w:pPr>
      <w:bookmarkStart w:id="206" w:name="_Toc2662"/>
      <w:r>
        <w:rPr>
          <w:rFonts w:hint="eastAsia" w:ascii="Times New Roman" w:hAnsi="Times New Roman" w:eastAsia="宋体" w:cs="Times New Roman"/>
          <w:b/>
          <w:sz w:val="44"/>
          <w:szCs w:val="44"/>
        </w:rPr>
        <w:t>《书写技能》课程教学大纲</w:t>
      </w:r>
      <w:bookmarkEnd w:id="198"/>
      <w:bookmarkEnd w:id="199"/>
      <w:bookmarkEnd w:id="200"/>
      <w:bookmarkEnd w:id="201"/>
      <w:bookmarkEnd w:id="206"/>
    </w:p>
    <w:p w14:paraId="27971FCD">
      <w:pPr>
        <w:spacing w:line="360" w:lineRule="auto"/>
        <w:jc w:val="center"/>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（Handwriting）</w:t>
      </w:r>
    </w:p>
    <w:p w14:paraId="6C825F52">
      <w:pPr>
        <w:spacing w:line="360" w:lineRule="auto"/>
        <w:ind w:firstLine="422" w:firstLineChars="200"/>
        <w:jc w:val="left"/>
        <w:rPr>
          <w:rFonts w:hint="eastAsia" w:ascii="宋体" w:hAnsi="宋体" w:eastAsia="宋体" w:cs="宋体"/>
          <w:b/>
          <w:sz w:val="21"/>
          <w:szCs w:val="21"/>
        </w:rPr>
      </w:pPr>
    </w:p>
    <w:p w14:paraId="608FAC2C">
      <w:pPr>
        <w:spacing w:line="360" w:lineRule="auto"/>
        <w:ind w:firstLine="482" w:firstLineChars="200"/>
        <w:jc w:val="left"/>
        <w:rPr>
          <w:rFonts w:hint="default" w:ascii="Times New Roman" w:hAnsi="Times New Roman" w:eastAsia="宋体" w:cs="Times New Roman"/>
          <w:b/>
          <w:sz w:val="24"/>
        </w:rPr>
      </w:pPr>
      <w:r>
        <w:rPr>
          <w:rFonts w:hint="default" w:ascii="Times New Roman" w:hAnsi="Times New Roman" w:eastAsia="宋体" w:cs="Times New Roman"/>
          <w:b/>
          <w:sz w:val="24"/>
        </w:rPr>
        <w:t>课程名称：</w:t>
      </w:r>
      <w:r>
        <w:rPr>
          <w:rFonts w:hint="default" w:ascii="Times New Roman" w:hAnsi="Times New Roman" w:eastAsia="宋体" w:cs="Times New Roman"/>
          <w:b/>
          <w:bCs/>
          <w:sz w:val="24"/>
          <w:szCs w:val="28"/>
        </w:rPr>
        <w:t>书写技能</w:t>
      </w:r>
    </w:p>
    <w:p w14:paraId="02CCF6AB">
      <w:pPr>
        <w:spacing w:line="360" w:lineRule="auto"/>
        <w:ind w:firstLine="482" w:firstLineChars="200"/>
        <w:jc w:val="left"/>
        <w:rPr>
          <w:rFonts w:hint="default" w:ascii="Times New Roman" w:hAnsi="Times New Roman" w:eastAsia="宋体" w:cs="Times New Roman"/>
          <w:b/>
          <w:sz w:val="24"/>
        </w:rPr>
      </w:pPr>
      <w:r>
        <w:rPr>
          <w:rFonts w:hint="default" w:ascii="Times New Roman" w:hAnsi="Times New Roman" w:eastAsia="宋体" w:cs="Times New Roman"/>
          <w:b/>
          <w:sz w:val="24"/>
        </w:rPr>
        <w:t>课程代码：</w:t>
      </w:r>
      <w:r>
        <w:rPr>
          <w:rFonts w:hint="default" w:ascii="Times New Roman" w:hAnsi="Times New Roman" w:eastAsia="宋体" w:cs="Times New Roman"/>
          <w:bCs/>
          <w:sz w:val="24"/>
        </w:rPr>
        <w:t>0701018</w:t>
      </w:r>
    </w:p>
    <w:p w14:paraId="0C1FBA11">
      <w:pPr>
        <w:spacing w:line="360" w:lineRule="auto"/>
        <w:ind w:firstLine="482" w:firstLineChars="200"/>
        <w:jc w:val="left"/>
        <w:rPr>
          <w:rFonts w:hint="default" w:ascii="Times New Roman" w:hAnsi="Times New Roman" w:eastAsia="宋体" w:cs="Times New Roman"/>
          <w:sz w:val="24"/>
        </w:rPr>
      </w:pPr>
      <w:r>
        <w:rPr>
          <w:rFonts w:hint="default" w:ascii="Times New Roman" w:hAnsi="Times New Roman" w:eastAsia="宋体" w:cs="Times New Roman"/>
          <w:b/>
          <w:sz w:val="24"/>
        </w:rPr>
        <w:t>学    分：2</w:t>
      </w:r>
    </w:p>
    <w:p w14:paraId="3831DDA5">
      <w:pPr>
        <w:spacing w:line="360" w:lineRule="auto"/>
        <w:ind w:firstLine="482" w:firstLineChars="200"/>
        <w:jc w:val="left"/>
        <w:rPr>
          <w:rFonts w:hint="default" w:ascii="Times New Roman" w:hAnsi="Times New Roman" w:eastAsia="宋体" w:cs="Times New Roman"/>
          <w:sz w:val="24"/>
        </w:rPr>
      </w:pPr>
      <w:r>
        <w:rPr>
          <w:rFonts w:hint="default" w:ascii="Times New Roman" w:hAnsi="Times New Roman" w:eastAsia="宋体" w:cs="Times New Roman"/>
          <w:b/>
          <w:sz w:val="24"/>
        </w:rPr>
        <w:t>学    时：32</w:t>
      </w:r>
    </w:p>
    <w:p w14:paraId="6C10C7A4">
      <w:pPr>
        <w:spacing w:line="360" w:lineRule="auto"/>
        <w:ind w:firstLine="482" w:firstLineChars="200"/>
        <w:jc w:val="left"/>
        <w:rPr>
          <w:rFonts w:hint="default" w:ascii="Times New Roman" w:hAnsi="Times New Roman" w:eastAsia="宋体" w:cs="Times New Roman"/>
          <w:sz w:val="24"/>
        </w:rPr>
      </w:pPr>
      <w:r>
        <w:rPr>
          <w:rFonts w:hint="default" w:ascii="Times New Roman" w:hAnsi="Times New Roman" w:eastAsia="宋体" w:cs="Times New Roman"/>
          <w:b/>
          <w:sz w:val="24"/>
        </w:rPr>
        <w:t>先修课程：无</w:t>
      </w:r>
    </w:p>
    <w:p w14:paraId="5AC7BEC9">
      <w:pPr>
        <w:spacing w:line="360" w:lineRule="auto"/>
        <w:ind w:firstLine="482" w:firstLineChars="200"/>
        <w:jc w:val="left"/>
        <w:rPr>
          <w:rFonts w:hint="default" w:ascii="Times New Roman" w:hAnsi="Times New Roman" w:eastAsia="宋体" w:cs="Times New Roman"/>
          <w:b/>
          <w:sz w:val="24"/>
        </w:rPr>
      </w:pPr>
      <w:r>
        <w:rPr>
          <w:rFonts w:hint="default" w:ascii="Times New Roman" w:hAnsi="Times New Roman" w:eastAsia="宋体" w:cs="Times New Roman"/>
          <w:b/>
          <w:sz w:val="24"/>
        </w:rPr>
        <w:t>适用专业：小学教育</w:t>
      </w:r>
    </w:p>
    <w:p w14:paraId="5C018097">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40AF0EED">
      <w:pPr>
        <w:autoSpaceDE w:val="0"/>
        <w:autoSpaceDN w:val="0"/>
        <w:adjustRightInd w:val="0"/>
        <w:spacing w:line="360" w:lineRule="auto"/>
        <w:ind w:firstLine="480" w:firstLineChars="200"/>
        <w:jc w:val="left"/>
        <w:rPr>
          <w:rFonts w:hint="eastAsia" w:ascii="宋体" w:hAnsi="宋体" w:eastAsia="宋体" w:cs="宋体"/>
          <w:sz w:val="24"/>
        </w:rPr>
      </w:pPr>
      <w:r>
        <w:rPr>
          <w:rFonts w:hint="eastAsia" w:ascii="宋体" w:hAnsi="宋体" w:eastAsia="宋体" w:cs="宋体"/>
          <w:kern w:val="0"/>
          <w:sz w:val="24"/>
        </w:rPr>
        <w:t>本课程是</w:t>
      </w:r>
      <w:r>
        <w:rPr>
          <w:rFonts w:hint="eastAsia" w:ascii="宋体" w:hAnsi="宋体" w:eastAsia="宋体" w:cs="宋体"/>
          <w:bCs/>
          <w:kern w:val="0"/>
          <w:sz w:val="24"/>
        </w:rPr>
        <w:t>小学教育</w:t>
      </w:r>
      <w:r>
        <w:rPr>
          <w:rFonts w:hint="eastAsia" w:ascii="宋体" w:hAnsi="宋体" w:eastAsia="宋体" w:cs="宋体"/>
          <w:kern w:val="0"/>
          <w:sz w:val="24"/>
        </w:rPr>
        <w:t>专业的专业选修课</w:t>
      </w:r>
      <w:r>
        <w:rPr>
          <w:rFonts w:hint="eastAsia" w:ascii="宋体" w:hAnsi="宋体" w:eastAsia="宋体" w:cs="宋体"/>
          <w:sz w:val="24"/>
        </w:rPr>
        <w:t>。本课程坚持立德树人的根本宗旨，坚持课程思政的教育理念。通过课堂和课外的练习，使学生的书写水平有明显提高，掌握硬笔楷书书写、黑板粉笔字楷书书写的基本技能，满足工作的日常需要。</w:t>
      </w:r>
    </w:p>
    <w:p w14:paraId="16DC6D6C">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215E7B1D">
      <w:pPr>
        <w:keepNext w:val="0"/>
        <w:keepLines w:val="0"/>
        <w:pageBreakBefore w:val="0"/>
        <w:widowControl w:val="0"/>
        <w:kinsoku/>
        <w:wordWrap/>
        <w:overflowPunct/>
        <w:topLinePunct w:val="0"/>
        <w:bidi w:val="0"/>
        <w:spacing w:line="360" w:lineRule="auto"/>
        <w:ind w:firstLine="422" w:firstLineChars="200"/>
        <w:textAlignment w:val="auto"/>
        <w:rPr>
          <w:rFonts w:hint="eastAsia" w:ascii="宋体" w:hAnsi="宋体" w:eastAsia="宋体" w:cs="宋体"/>
          <w:b/>
          <w:szCs w:val="21"/>
        </w:rPr>
      </w:pPr>
      <w:r>
        <w:rPr>
          <w:rFonts w:hint="eastAsia" w:ascii="宋体" w:hAnsi="宋体" w:eastAsia="宋体" w:cs="宋体"/>
          <w:b/>
          <w:szCs w:val="21"/>
        </w:rPr>
        <w:t>（一）课程具体目标</w:t>
      </w:r>
    </w:p>
    <w:p w14:paraId="40A5C7D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目标1. 通过讲解和训练，要求学生进一步认识写好汉字的重要意义。体会书法是中华民族传统文化的瑰宝，培养爱国主义精神。</w:t>
      </w:r>
    </w:p>
    <w:p w14:paraId="32EFBDA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目标2. 学会掌握汉字的点画、形体和书写特点。</w:t>
      </w:r>
    </w:p>
    <w:p w14:paraId="324B548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等线" w:hAnsi="等线" w:eastAsia="等线" w:cs="Times New Roman"/>
          <w:sz w:val="24"/>
        </w:rPr>
      </w:pPr>
      <w:r>
        <w:rPr>
          <w:rFonts w:hint="eastAsia" w:ascii="宋体" w:hAnsi="宋体" w:eastAsia="宋体" w:cs="宋体"/>
          <w:sz w:val="24"/>
        </w:rPr>
        <w:t>目标3. 掌握硬笔书写技能，在此基础上学习掌握提高粉笔书写技能。</w:t>
      </w:r>
    </w:p>
    <w:p w14:paraId="0EF6CD56">
      <w:pPr>
        <w:pStyle w:val="37"/>
        <w:keepNext w:val="0"/>
        <w:keepLines w:val="0"/>
        <w:pageBreakBefore w:val="0"/>
        <w:widowControl w:val="0"/>
        <w:numPr>
          <w:ilvl w:val="0"/>
          <w:numId w:val="0"/>
        </w:numPr>
        <w:kinsoku/>
        <w:wordWrap/>
        <w:overflowPunct/>
        <w:topLinePunct w:val="0"/>
        <w:bidi w:val="0"/>
        <w:spacing w:line="360" w:lineRule="auto"/>
        <w:ind w:left="420" w:leftChars="0"/>
        <w:jc w:val="left"/>
        <w:textAlignment w:val="auto"/>
        <w:rPr>
          <w:rFonts w:ascii="Times New Roman" w:hAnsi="Times New Roman" w:eastAsia="宋体" w:cs="Times New Roman"/>
          <w:b/>
          <w:bCs/>
          <w:szCs w:val="21"/>
        </w:rPr>
      </w:pPr>
      <w:r>
        <w:rPr>
          <w:rFonts w:hint="eastAsia" w:ascii="Times New Roman" w:hAnsi="Times New Roman" w:eastAsia="宋体" w:cs="Times New Roman"/>
          <w:b/>
          <w:bCs/>
          <w:szCs w:val="21"/>
          <w:lang w:eastAsia="zh-CN"/>
        </w:rPr>
        <w:t>（</w:t>
      </w:r>
      <w:r>
        <w:rPr>
          <w:rFonts w:hint="eastAsia" w:ascii="Times New Roman" w:hAnsi="Times New Roman" w:eastAsia="宋体" w:cs="Times New Roman"/>
          <w:b/>
          <w:bCs/>
          <w:szCs w:val="21"/>
          <w:lang w:val="en-US" w:eastAsia="zh-CN"/>
        </w:rPr>
        <w:t>二</w:t>
      </w:r>
      <w:r>
        <w:rPr>
          <w:rFonts w:hint="eastAsia" w:ascii="Times New Roman" w:hAnsi="Times New Roman" w:eastAsia="宋体" w:cs="Times New Roman"/>
          <w:b/>
          <w:bCs/>
          <w:szCs w:val="21"/>
          <w:lang w:eastAsia="zh-CN"/>
        </w:rPr>
        <w:t>）</w:t>
      </w:r>
      <w:r>
        <w:rPr>
          <w:rFonts w:hint="eastAsia" w:ascii="Times New Roman" w:hAnsi="Times New Roman" w:eastAsia="宋体" w:cs="Times New Roman"/>
          <w:b/>
          <w:bCs/>
          <w:szCs w:val="21"/>
        </w:rPr>
        <w:t>课程目标及其对毕业要求指标点的支撑</w:t>
      </w:r>
    </w:p>
    <w:tbl>
      <w:tblPr>
        <w:tblStyle w:val="16"/>
        <w:tblW w:w="8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5832"/>
        <w:gridCol w:w="1221"/>
      </w:tblGrid>
      <w:tr w14:paraId="6C36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vAlign w:val="center"/>
          </w:tcPr>
          <w:p w14:paraId="2D300D3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832" w:type="dxa"/>
            <w:vAlign w:val="center"/>
          </w:tcPr>
          <w:p w14:paraId="2778FBC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221" w:type="dxa"/>
            <w:vAlign w:val="center"/>
          </w:tcPr>
          <w:p w14:paraId="676015F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742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shd w:val="clear" w:color="auto" w:fill="auto"/>
            <w:vAlign w:val="center"/>
          </w:tcPr>
          <w:p w14:paraId="40983763">
            <w:pPr>
              <w:spacing w:line="276" w:lineRule="auto"/>
              <w:jc w:val="center"/>
              <w:rPr>
                <w:rFonts w:hint="eastAsia" w:ascii="宋体" w:hAnsi="宋体" w:eastAsia="宋体" w:cs="宋体"/>
                <w:b/>
                <w:bCs/>
                <w:kern w:val="0"/>
                <w:szCs w:val="21"/>
              </w:rPr>
            </w:pPr>
            <w:r>
              <w:rPr>
                <w:rFonts w:hint="eastAsia" w:ascii="宋体" w:hAnsi="宋体" w:eastAsia="宋体" w:cs="宋体"/>
                <w:b/>
                <w:bCs/>
                <w:kern w:val="0"/>
                <w:szCs w:val="21"/>
              </w:rPr>
              <w:t>毕业要求4.</w:t>
            </w:r>
          </w:p>
          <w:p w14:paraId="132868BE">
            <w:pPr>
              <w:spacing w:line="276" w:lineRule="auto"/>
              <w:jc w:val="center"/>
              <w:rPr>
                <w:rFonts w:hint="eastAsia" w:ascii="宋体" w:hAnsi="宋体" w:eastAsia="宋体" w:cs="宋体"/>
                <w:b/>
                <w:bCs/>
                <w:kern w:val="0"/>
                <w:szCs w:val="21"/>
              </w:rPr>
            </w:pPr>
            <w:r>
              <w:rPr>
                <w:rFonts w:hint="eastAsia" w:ascii="宋体" w:hAnsi="宋体" w:eastAsia="宋体" w:cs="宋体"/>
                <w:b/>
                <w:bCs/>
                <w:kern w:val="0"/>
                <w:szCs w:val="21"/>
              </w:rPr>
              <w:t>教学能力</w:t>
            </w:r>
          </w:p>
        </w:tc>
        <w:tc>
          <w:tcPr>
            <w:tcW w:w="5832" w:type="dxa"/>
            <w:vAlign w:val="center"/>
          </w:tcPr>
          <w:p w14:paraId="10470297">
            <w:pPr>
              <w:spacing w:line="276" w:lineRule="auto"/>
              <w:jc w:val="left"/>
              <w:rPr>
                <w:rFonts w:hint="eastAsia" w:ascii="宋体" w:hAnsi="宋体" w:eastAsia="宋体" w:cs="宋体"/>
                <w:szCs w:val="21"/>
              </w:rPr>
            </w:pPr>
            <w:r>
              <w:rPr>
                <w:rFonts w:hint="eastAsia" w:ascii="宋体" w:hAnsi="宋体" w:eastAsia="宋体" w:cs="宋体"/>
                <w:b w:val="0"/>
                <w:bCs w:val="0"/>
                <w:kern w:val="0"/>
                <w:szCs w:val="21"/>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221" w:type="dxa"/>
            <w:vAlign w:val="center"/>
          </w:tcPr>
          <w:p w14:paraId="02FEBB9A">
            <w:pPr>
              <w:spacing w:line="276" w:lineRule="auto"/>
              <w:jc w:val="left"/>
              <w:rPr>
                <w:rFonts w:hint="eastAsia" w:ascii="宋体" w:hAnsi="宋体" w:eastAsia="宋体" w:cs="宋体"/>
                <w:szCs w:val="21"/>
              </w:rPr>
            </w:pPr>
            <w:r>
              <w:rPr>
                <w:rFonts w:hint="eastAsia" w:ascii="宋体" w:hAnsi="宋体" w:eastAsia="宋体" w:cs="宋体"/>
                <w:szCs w:val="21"/>
              </w:rPr>
              <w:t>课程目标</w:t>
            </w:r>
          </w:p>
          <w:p w14:paraId="0F3B0BDD">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eastAsia="zh"/>
              </w:rPr>
              <w:t>1</w:t>
            </w:r>
            <w:r>
              <w:rPr>
                <w:rFonts w:hint="eastAsia" w:ascii="宋体" w:hAnsi="宋体" w:eastAsia="宋体" w:cs="宋体"/>
                <w:szCs w:val="21"/>
                <w:lang w:eastAsia="zh-CN"/>
              </w:rPr>
              <w:t>、</w:t>
            </w:r>
            <w:r>
              <w:rPr>
                <w:rFonts w:hint="eastAsia" w:ascii="宋体" w:hAnsi="宋体" w:eastAsia="宋体" w:cs="宋体"/>
                <w:szCs w:val="21"/>
                <w:lang w:val="en-US" w:eastAsia="zh-CN"/>
              </w:rPr>
              <w:t>2、3</w:t>
            </w:r>
          </w:p>
        </w:tc>
      </w:tr>
    </w:tbl>
    <w:p w14:paraId="081EE839">
      <w:pPr>
        <w:keepNext w:val="0"/>
        <w:keepLines w:val="0"/>
        <w:pageBreakBefore w:val="0"/>
        <w:widowControl w:val="0"/>
        <w:kinsoku/>
        <w:wordWrap/>
        <w:overflowPunct/>
        <w:topLinePunct w:val="0"/>
        <w:autoSpaceDE/>
        <w:autoSpaceDN/>
        <w:bidi w:val="0"/>
        <w:adjustRightInd/>
        <w:snapToGrid/>
        <w:spacing w:line="360" w:lineRule="auto"/>
        <w:ind w:firstLine="412"/>
        <w:jc w:val="left"/>
        <w:textAlignment w:val="auto"/>
        <w:rPr>
          <w:rFonts w:hint="eastAsia" w:ascii="宋体" w:hAnsi="宋体" w:eastAsia="宋体" w:cs="Times New Roman"/>
          <w:b/>
          <w:szCs w:val="21"/>
        </w:rPr>
      </w:pPr>
      <w:r>
        <w:rPr>
          <w:rFonts w:hint="eastAsia" w:ascii="宋体" w:hAnsi="宋体" w:eastAsia="宋体" w:cs="Times New Roman"/>
          <w:b/>
          <w:szCs w:val="21"/>
        </w:rPr>
        <w:t>（三）课程思政目标</w:t>
      </w:r>
    </w:p>
    <w:p w14:paraId="24BF9492">
      <w:pPr>
        <w:keepNext w:val="0"/>
        <w:keepLines w:val="0"/>
        <w:pageBreakBefore w:val="0"/>
        <w:widowControl w:val="0"/>
        <w:kinsoku/>
        <w:wordWrap/>
        <w:overflowPunct/>
        <w:topLinePunct w:val="0"/>
        <w:autoSpaceDE/>
        <w:autoSpaceDN/>
        <w:bidi w:val="0"/>
        <w:adjustRightInd/>
        <w:snapToGrid/>
        <w:spacing w:line="360" w:lineRule="auto"/>
        <w:ind w:firstLine="411" w:firstLineChars="196"/>
        <w:jc w:val="left"/>
        <w:textAlignment w:val="auto"/>
        <w:rPr>
          <w:rFonts w:hint="eastAsia" w:ascii="宋体" w:hAnsi="宋体" w:eastAsia="宋体" w:cs="Times New Roman"/>
          <w:szCs w:val="21"/>
        </w:rPr>
      </w:pPr>
      <w:r>
        <w:rPr>
          <w:rFonts w:hint="eastAsia" w:ascii="宋体" w:hAnsi="宋体" w:eastAsia="宋体" w:cs="Times New Roman"/>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w:t>
      </w:r>
      <w:r>
        <w:rPr>
          <w:rFonts w:hint="eastAsia" w:ascii="宋体" w:hAnsi="宋体" w:eastAsia="等线" w:cs="Times New Roman"/>
          <w:szCs w:val="21"/>
        </w:rPr>
        <w:t>。</w:t>
      </w:r>
    </w:p>
    <w:p w14:paraId="64B371EA">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2475"/>
        <w:gridCol w:w="1080"/>
        <w:gridCol w:w="2978"/>
        <w:gridCol w:w="1432"/>
        <w:gridCol w:w="438"/>
      </w:tblGrid>
      <w:tr w14:paraId="394E1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Align w:val="center"/>
          </w:tcPr>
          <w:p w14:paraId="532605C8">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知识</w:t>
            </w:r>
          </w:p>
          <w:p w14:paraId="74B8B972">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单元</w:t>
            </w:r>
          </w:p>
        </w:tc>
        <w:tc>
          <w:tcPr>
            <w:tcW w:w="2475" w:type="dxa"/>
            <w:vAlign w:val="center"/>
          </w:tcPr>
          <w:p w14:paraId="6DAF4AEA">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知识点</w:t>
            </w:r>
          </w:p>
        </w:tc>
        <w:tc>
          <w:tcPr>
            <w:tcW w:w="1080" w:type="dxa"/>
            <w:vAlign w:val="center"/>
          </w:tcPr>
          <w:p w14:paraId="78D9E0A0">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对应</w:t>
            </w:r>
          </w:p>
          <w:p w14:paraId="598B506F">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课程目标</w:t>
            </w:r>
          </w:p>
        </w:tc>
        <w:tc>
          <w:tcPr>
            <w:tcW w:w="2978" w:type="dxa"/>
            <w:vAlign w:val="center"/>
          </w:tcPr>
          <w:p w14:paraId="5099AB55">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预期学习成效</w:t>
            </w:r>
          </w:p>
        </w:tc>
        <w:tc>
          <w:tcPr>
            <w:tcW w:w="1432" w:type="dxa"/>
            <w:vAlign w:val="center"/>
          </w:tcPr>
          <w:p w14:paraId="324EC322">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实现环节</w:t>
            </w:r>
          </w:p>
        </w:tc>
        <w:tc>
          <w:tcPr>
            <w:tcW w:w="438" w:type="dxa"/>
            <w:vAlign w:val="center"/>
          </w:tcPr>
          <w:p w14:paraId="12A0AE5F">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学时</w:t>
            </w:r>
          </w:p>
        </w:tc>
      </w:tr>
      <w:tr w14:paraId="0F04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restart"/>
            <w:vAlign w:val="center"/>
          </w:tcPr>
          <w:p w14:paraId="04B29C7E">
            <w:pPr>
              <w:adjustRightInd w:val="0"/>
              <w:snapToGrid w:val="0"/>
              <w:spacing w:line="240" w:lineRule="auto"/>
              <w:jc w:val="center"/>
              <w:rPr>
                <w:rFonts w:hint="eastAsia" w:ascii="宋体" w:hAnsi="宋体" w:eastAsia="宋体" w:cs="宋体"/>
                <w:b/>
                <w:bCs/>
                <w:sz w:val="21"/>
                <w:szCs w:val="21"/>
              </w:rPr>
            </w:pPr>
            <w:r>
              <w:rPr>
                <w:rFonts w:hint="eastAsia" w:ascii="宋体" w:hAnsi="宋体" w:eastAsia="宋体" w:cs="宋体"/>
                <w:sz w:val="21"/>
                <w:szCs w:val="21"/>
              </w:rPr>
              <w:t>1.绪论</w:t>
            </w:r>
          </w:p>
          <w:p w14:paraId="532A48F7">
            <w:pPr>
              <w:spacing w:line="240" w:lineRule="auto"/>
              <w:jc w:val="center"/>
              <w:rPr>
                <w:rFonts w:hint="eastAsia" w:ascii="宋体" w:hAnsi="宋体" w:eastAsia="宋体" w:cs="宋体"/>
                <w:sz w:val="21"/>
                <w:szCs w:val="21"/>
              </w:rPr>
            </w:pPr>
          </w:p>
        </w:tc>
        <w:tc>
          <w:tcPr>
            <w:tcW w:w="2475" w:type="dxa"/>
            <w:vAlign w:val="center"/>
          </w:tcPr>
          <w:p w14:paraId="183E189B">
            <w:pPr>
              <w:adjustRightInd w:val="0"/>
              <w:snapToGrid w:val="0"/>
              <w:spacing w:line="240" w:lineRule="auto"/>
              <w:rPr>
                <w:rFonts w:hint="eastAsia" w:ascii="宋体" w:hAnsi="宋体" w:eastAsia="宋体" w:cs="宋体"/>
                <w:sz w:val="21"/>
                <w:szCs w:val="21"/>
              </w:rPr>
            </w:pPr>
            <w:r>
              <w:rPr>
                <w:rFonts w:hint="eastAsia" w:ascii="宋体" w:hAnsi="宋体" w:eastAsia="宋体" w:cs="宋体"/>
                <w:sz w:val="21"/>
                <w:szCs w:val="21"/>
              </w:rPr>
              <w:t>（1）硬笔书法的作用、特点</w:t>
            </w:r>
          </w:p>
          <w:p w14:paraId="2142A2DD">
            <w:pPr>
              <w:adjustRightInd w:val="0"/>
              <w:snapToGrid w:val="0"/>
              <w:spacing w:line="240" w:lineRule="auto"/>
              <w:rPr>
                <w:rFonts w:hint="eastAsia" w:ascii="宋体" w:hAnsi="宋体" w:eastAsia="宋体" w:cs="宋体"/>
                <w:sz w:val="21"/>
                <w:szCs w:val="21"/>
              </w:rPr>
            </w:pPr>
            <w:r>
              <w:rPr>
                <w:rFonts w:hint="eastAsia" w:ascii="宋体" w:hAnsi="宋体" w:eastAsia="宋体" w:cs="宋体"/>
                <w:sz w:val="21"/>
                <w:szCs w:val="21"/>
              </w:rPr>
              <w:t>（2）硬笔书法与毛笔书法的区别与联系</w:t>
            </w:r>
          </w:p>
          <w:p w14:paraId="146EC6BD">
            <w:pPr>
              <w:adjustRightInd w:val="0"/>
              <w:snapToGrid w:val="0"/>
              <w:spacing w:line="240" w:lineRule="auto"/>
              <w:rPr>
                <w:rFonts w:hint="eastAsia" w:ascii="宋体" w:hAnsi="宋体" w:eastAsia="宋体" w:cs="宋体"/>
                <w:sz w:val="21"/>
                <w:szCs w:val="21"/>
              </w:rPr>
            </w:pPr>
            <w:r>
              <w:rPr>
                <w:rFonts w:hint="eastAsia" w:ascii="宋体" w:hAnsi="宋体" w:eastAsia="宋体" w:cs="宋体"/>
                <w:sz w:val="21"/>
                <w:szCs w:val="21"/>
              </w:rPr>
              <w:t>（3）握笔坐姿</w:t>
            </w:r>
          </w:p>
          <w:p w14:paraId="78CAFAF4">
            <w:pPr>
              <w:adjustRightInd w:val="0"/>
              <w:snapToGrid w:val="0"/>
              <w:spacing w:line="240" w:lineRule="auto"/>
              <w:rPr>
                <w:rFonts w:hint="eastAsia" w:ascii="宋体" w:hAnsi="宋体" w:eastAsia="宋体" w:cs="宋体"/>
                <w:sz w:val="21"/>
                <w:szCs w:val="21"/>
              </w:rPr>
            </w:pPr>
            <w:r>
              <w:rPr>
                <w:rFonts w:hint="eastAsia" w:ascii="宋体" w:hAnsi="宋体" w:eastAsia="宋体" w:cs="宋体"/>
                <w:sz w:val="21"/>
                <w:szCs w:val="21"/>
              </w:rPr>
              <w:t>（4）硬笔书法的学习方法要求</w:t>
            </w:r>
          </w:p>
          <w:p w14:paraId="1E0A489F">
            <w:pPr>
              <w:adjustRightInd w:val="0"/>
              <w:snapToGrid w:val="0"/>
              <w:spacing w:line="240" w:lineRule="auto"/>
              <w:rPr>
                <w:rFonts w:hint="eastAsia" w:ascii="宋体" w:hAnsi="宋体" w:eastAsia="宋体" w:cs="宋体"/>
                <w:sz w:val="21"/>
                <w:szCs w:val="21"/>
              </w:rPr>
            </w:pPr>
            <w:r>
              <w:rPr>
                <w:rFonts w:hint="eastAsia" w:ascii="宋体" w:hAnsi="宋体" w:eastAsia="宋体" w:cs="宋体"/>
                <w:sz w:val="21"/>
                <w:szCs w:val="21"/>
              </w:rPr>
              <w:t>（5）书法与传统文化</w:t>
            </w:r>
          </w:p>
        </w:tc>
        <w:tc>
          <w:tcPr>
            <w:tcW w:w="1080" w:type="dxa"/>
            <w:vAlign w:val="center"/>
          </w:tcPr>
          <w:p w14:paraId="0B90B77C">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课程目标1</w:t>
            </w:r>
          </w:p>
        </w:tc>
        <w:tc>
          <w:tcPr>
            <w:tcW w:w="2978" w:type="dxa"/>
            <w:vAlign w:val="center"/>
          </w:tcPr>
          <w:p w14:paraId="49DBBA9B">
            <w:pPr>
              <w:adjustRightInd w:val="0"/>
              <w:snapToGrid w:val="0"/>
              <w:spacing w:line="240" w:lineRule="auto"/>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了解硬笔书法对于本专业作用</w:t>
            </w:r>
            <w:r>
              <w:rPr>
                <w:rFonts w:hint="eastAsia" w:ascii="宋体" w:hAnsi="宋体" w:eastAsia="宋体" w:cs="宋体"/>
                <w:sz w:val="21"/>
                <w:szCs w:val="21"/>
                <w:lang w:eastAsia="zh-CN"/>
              </w:rPr>
              <w:t>；</w:t>
            </w:r>
          </w:p>
          <w:p w14:paraId="0D92ACBF">
            <w:pPr>
              <w:adjustRightInd w:val="0"/>
              <w:snapToGrid w:val="0"/>
              <w:spacing w:line="240" w:lineRule="auto"/>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书法的基本特点和学习方法</w:t>
            </w:r>
            <w:r>
              <w:rPr>
                <w:rFonts w:hint="eastAsia" w:ascii="宋体" w:hAnsi="宋体" w:eastAsia="宋体" w:cs="宋体"/>
                <w:sz w:val="21"/>
                <w:szCs w:val="21"/>
                <w:lang w:eastAsia="zh-CN"/>
              </w:rPr>
              <w:t>；</w:t>
            </w:r>
          </w:p>
          <w:p w14:paraId="4EF9C618">
            <w:pPr>
              <w:adjustRightInd w:val="0"/>
              <w:snapToGrid w:val="0"/>
              <w:spacing w:line="240" w:lineRule="auto"/>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硬笔书法与毛笔书法的区别与联系</w:t>
            </w:r>
            <w:r>
              <w:rPr>
                <w:rFonts w:hint="eastAsia" w:ascii="宋体" w:hAnsi="宋体" w:eastAsia="宋体" w:cs="宋体"/>
                <w:sz w:val="21"/>
                <w:szCs w:val="21"/>
                <w:lang w:eastAsia="zh-CN"/>
              </w:rPr>
              <w:t>。</w:t>
            </w:r>
          </w:p>
        </w:tc>
        <w:tc>
          <w:tcPr>
            <w:tcW w:w="1432" w:type="dxa"/>
            <w:vAlign w:val="center"/>
          </w:tcPr>
          <w:p w14:paraId="5F317516">
            <w:pPr>
              <w:spacing w:line="240" w:lineRule="auto"/>
              <w:jc w:val="left"/>
              <w:rPr>
                <w:rFonts w:hint="eastAsia" w:ascii="宋体" w:hAnsi="宋体" w:eastAsia="宋体" w:cs="宋体"/>
                <w:sz w:val="21"/>
                <w:szCs w:val="21"/>
              </w:rPr>
            </w:pPr>
            <w:r>
              <w:rPr>
                <w:rFonts w:hint="eastAsia" w:ascii="宋体" w:hAnsi="宋体" w:eastAsia="宋体" w:cs="宋体"/>
                <w:sz w:val="21"/>
                <w:szCs w:val="21"/>
              </w:rPr>
              <w:t>1.线上学习</w:t>
            </w:r>
          </w:p>
          <w:p w14:paraId="0765BC31">
            <w:pPr>
              <w:spacing w:line="240" w:lineRule="auto"/>
              <w:jc w:val="left"/>
              <w:rPr>
                <w:rFonts w:hint="eastAsia" w:ascii="宋体" w:hAnsi="宋体" w:eastAsia="宋体" w:cs="宋体"/>
                <w:sz w:val="21"/>
                <w:szCs w:val="21"/>
              </w:rPr>
            </w:pPr>
            <w:r>
              <w:rPr>
                <w:rFonts w:hint="eastAsia" w:ascii="宋体" w:hAnsi="宋体" w:eastAsia="宋体" w:cs="宋体"/>
                <w:sz w:val="21"/>
                <w:szCs w:val="21"/>
              </w:rPr>
              <w:t>2.多媒体教学3.课堂讨论</w:t>
            </w:r>
          </w:p>
          <w:p w14:paraId="64F14631">
            <w:pPr>
              <w:spacing w:line="240" w:lineRule="auto"/>
              <w:jc w:val="left"/>
              <w:rPr>
                <w:rFonts w:hint="eastAsia" w:ascii="宋体" w:hAnsi="宋体" w:eastAsia="宋体" w:cs="宋体"/>
                <w:sz w:val="21"/>
                <w:szCs w:val="21"/>
              </w:rPr>
            </w:pPr>
          </w:p>
        </w:tc>
        <w:tc>
          <w:tcPr>
            <w:tcW w:w="438" w:type="dxa"/>
            <w:vAlign w:val="center"/>
          </w:tcPr>
          <w:p w14:paraId="171EADF4">
            <w:pPr>
              <w:spacing w:line="240" w:lineRule="auto"/>
              <w:jc w:val="center"/>
              <w:rPr>
                <w:rFonts w:hint="eastAsia" w:ascii="宋体" w:hAnsi="宋体" w:eastAsia="宋体" w:cs="宋体"/>
                <w:sz w:val="21"/>
                <w:szCs w:val="21"/>
              </w:rPr>
            </w:pPr>
            <w:r>
              <w:rPr>
                <w:rFonts w:hint="eastAsia" w:ascii="宋体" w:hAnsi="宋体" w:eastAsia="宋体" w:cs="宋体"/>
                <w:sz w:val="21"/>
                <w:szCs w:val="21"/>
              </w:rPr>
              <w:t>2</w:t>
            </w:r>
          </w:p>
        </w:tc>
      </w:tr>
      <w:tr w14:paraId="6B10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vAlign w:val="center"/>
          </w:tcPr>
          <w:p w14:paraId="2EA0F9C2">
            <w:pPr>
              <w:spacing w:line="240" w:lineRule="auto"/>
              <w:jc w:val="center"/>
              <w:rPr>
                <w:rFonts w:hint="eastAsia" w:ascii="宋体" w:hAnsi="宋体" w:eastAsia="宋体" w:cs="宋体"/>
                <w:sz w:val="21"/>
                <w:szCs w:val="21"/>
              </w:rPr>
            </w:pPr>
          </w:p>
        </w:tc>
        <w:tc>
          <w:tcPr>
            <w:tcW w:w="8403" w:type="dxa"/>
            <w:gridSpan w:val="5"/>
            <w:vAlign w:val="center"/>
          </w:tcPr>
          <w:p w14:paraId="709A5087">
            <w:pPr>
              <w:spacing w:line="240" w:lineRule="auto"/>
              <w:jc w:val="left"/>
              <w:rPr>
                <w:rFonts w:hint="eastAsia" w:ascii="宋体" w:hAnsi="宋体" w:eastAsia="宋体" w:cs="宋体"/>
                <w:sz w:val="21"/>
                <w:szCs w:val="21"/>
              </w:rPr>
            </w:pPr>
            <w:r>
              <w:rPr>
                <w:rFonts w:hint="eastAsia" w:ascii="宋体" w:hAnsi="宋体" w:eastAsia="宋体" w:cs="宋体"/>
                <w:b/>
                <w:sz w:val="21"/>
                <w:szCs w:val="21"/>
              </w:rPr>
              <w:t>课程思政目标：</w:t>
            </w:r>
            <w:r>
              <w:rPr>
                <w:rFonts w:hint="eastAsia" w:ascii="宋体" w:hAnsi="宋体" w:eastAsia="宋体" w:cs="宋体"/>
                <w:sz w:val="21"/>
                <w:szCs w:val="21"/>
              </w:rPr>
              <w:t>了解书法艺术在中国文化中的重要地位、培养文化自信、民族自豪感</w:t>
            </w:r>
          </w:p>
        </w:tc>
      </w:tr>
      <w:tr w14:paraId="03592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restart"/>
            <w:vAlign w:val="center"/>
          </w:tcPr>
          <w:p w14:paraId="6BB61B1C">
            <w:pPr>
              <w:adjustRightInd w:val="0"/>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2.硬笔楷书</w:t>
            </w:r>
          </w:p>
          <w:p w14:paraId="443AFC94">
            <w:pPr>
              <w:spacing w:line="240" w:lineRule="auto"/>
              <w:jc w:val="center"/>
              <w:rPr>
                <w:rFonts w:hint="eastAsia" w:ascii="宋体" w:hAnsi="宋体" w:eastAsia="宋体" w:cs="宋体"/>
                <w:sz w:val="21"/>
                <w:szCs w:val="21"/>
              </w:rPr>
            </w:pPr>
          </w:p>
        </w:tc>
        <w:tc>
          <w:tcPr>
            <w:tcW w:w="2475" w:type="dxa"/>
            <w:vAlign w:val="center"/>
          </w:tcPr>
          <w:p w14:paraId="25F899E7">
            <w:pPr>
              <w:adjustRightInd w:val="0"/>
              <w:snapToGrid w:val="0"/>
              <w:spacing w:line="240" w:lineRule="auto"/>
              <w:rPr>
                <w:rFonts w:hint="eastAsia" w:ascii="宋体" w:hAnsi="宋体" w:eastAsia="宋体" w:cs="宋体"/>
                <w:sz w:val="21"/>
                <w:szCs w:val="21"/>
              </w:rPr>
            </w:pPr>
            <w:r>
              <w:rPr>
                <w:rFonts w:hint="eastAsia" w:ascii="宋体" w:hAnsi="宋体" w:eastAsia="宋体" w:cs="宋体"/>
                <w:sz w:val="21"/>
                <w:szCs w:val="21"/>
              </w:rPr>
              <w:t>（1）结构重心</w:t>
            </w:r>
          </w:p>
          <w:p w14:paraId="4D34E81E">
            <w:pPr>
              <w:adjustRightInd w:val="0"/>
              <w:snapToGrid w:val="0"/>
              <w:spacing w:line="240" w:lineRule="auto"/>
              <w:rPr>
                <w:rFonts w:hint="eastAsia" w:ascii="宋体" w:hAnsi="宋体" w:eastAsia="宋体" w:cs="宋体"/>
                <w:sz w:val="21"/>
                <w:szCs w:val="21"/>
              </w:rPr>
            </w:pPr>
            <w:r>
              <w:rPr>
                <w:rFonts w:hint="eastAsia" w:ascii="宋体" w:hAnsi="宋体" w:eastAsia="宋体" w:cs="宋体"/>
                <w:sz w:val="21"/>
                <w:szCs w:val="21"/>
              </w:rPr>
              <w:t>（2）起笔收笔</w:t>
            </w:r>
          </w:p>
          <w:p w14:paraId="01B99F65">
            <w:pPr>
              <w:adjustRightInd w:val="0"/>
              <w:snapToGrid w:val="0"/>
              <w:spacing w:line="240" w:lineRule="auto"/>
              <w:rPr>
                <w:rFonts w:hint="eastAsia" w:ascii="宋体" w:hAnsi="宋体" w:eastAsia="宋体" w:cs="宋体"/>
                <w:sz w:val="21"/>
                <w:szCs w:val="21"/>
              </w:rPr>
            </w:pPr>
            <w:r>
              <w:rPr>
                <w:rFonts w:hint="eastAsia" w:ascii="宋体" w:hAnsi="宋体" w:eastAsia="宋体" w:cs="宋体"/>
                <w:sz w:val="21"/>
                <w:szCs w:val="21"/>
              </w:rPr>
              <w:t>（3）基本笔画练习</w:t>
            </w:r>
          </w:p>
          <w:p w14:paraId="492486A9">
            <w:pPr>
              <w:adjustRightInd w:val="0"/>
              <w:snapToGrid w:val="0"/>
              <w:spacing w:line="240" w:lineRule="auto"/>
              <w:rPr>
                <w:rFonts w:hint="eastAsia" w:ascii="宋体" w:hAnsi="宋体" w:eastAsia="宋体" w:cs="宋体"/>
                <w:sz w:val="21"/>
                <w:szCs w:val="21"/>
              </w:rPr>
            </w:pPr>
            <w:r>
              <w:rPr>
                <w:rFonts w:hint="eastAsia" w:ascii="宋体" w:hAnsi="宋体" w:eastAsia="宋体" w:cs="宋体"/>
                <w:sz w:val="21"/>
                <w:szCs w:val="21"/>
              </w:rPr>
              <w:t>（4）偏旁部首练习</w:t>
            </w:r>
          </w:p>
          <w:p w14:paraId="194ED83E">
            <w:pPr>
              <w:adjustRightInd w:val="0"/>
              <w:snapToGrid w:val="0"/>
              <w:spacing w:line="240" w:lineRule="auto"/>
              <w:rPr>
                <w:rFonts w:hint="eastAsia" w:ascii="宋体" w:hAnsi="宋体" w:eastAsia="宋体" w:cs="宋体"/>
                <w:sz w:val="21"/>
                <w:szCs w:val="21"/>
              </w:rPr>
            </w:pPr>
            <w:r>
              <w:rPr>
                <w:rFonts w:hint="eastAsia" w:ascii="宋体" w:hAnsi="宋体" w:eastAsia="宋体" w:cs="宋体"/>
                <w:sz w:val="21"/>
                <w:szCs w:val="21"/>
              </w:rPr>
              <w:t>（5）间架结构</w:t>
            </w:r>
          </w:p>
          <w:p w14:paraId="00CA7AA6">
            <w:pPr>
              <w:adjustRightInd w:val="0"/>
              <w:snapToGrid w:val="0"/>
              <w:spacing w:line="240" w:lineRule="auto"/>
              <w:rPr>
                <w:rFonts w:hint="eastAsia" w:ascii="宋体" w:hAnsi="宋体" w:eastAsia="宋体" w:cs="宋体"/>
                <w:sz w:val="21"/>
                <w:szCs w:val="21"/>
              </w:rPr>
            </w:pPr>
            <w:r>
              <w:rPr>
                <w:rFonts w:hint="eastAsia" w:ascii="宋体" w:hAnsi="宋体" w:eastAsia="宋体" w:cs="宋体"/>
                <w:sz w:val="21"/>
                <w:szCs w:val="21"/>
              </w:rPr>
              <w:t>（6）章法布局</w:t>
            </w:r>
          </w:p>
        </w:tc>
        <w:tc>
          <w:tcPr>
            <w:tcW w:w="1080" w:type="dxa"/>
            <w:vAlign w:val="center"/>
          </w:tcPr>
          <w:p w14:paraId="72CFE7A7">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课程目标2、3</w:t>
            </w:r>
          </w:p>
        </w:tc>
        <w:tc>
          <w:tcPr>
            <w:tcW w:w="2978" w:type="dxa"/>
            <w:vAlign w:val="center"/>
          </w:tcPr>
          <w:p w14:paraId="2CF6D819">
            <w:pPr>
              <w:adjustRightInd w:val="0"/>
              <w:snapToGrid w:val="0"/>
              <w:spacing w:line="240" w:lineRule="auto"/>
              <w:ind w:firstLine="480"/>
              <w:jc w:val="left"/>
              <w:rPr>
                <w:rFonts w:hint="eastAsia" w:ascii="宋体" w:hAnsi="宋体" w:eastAsia="宋体" w:cs="宋体"/>
                <w:sz w:val="21"/>
                <w:szCs w:val="21"/>
              </w:rPr>
            </w:pPr>
            <w:r>
              <w:rPr>
                <w:rFonts w:hint="eastAsia" w:ascii="宋体" w:hAnsi="宋体" w:eastAsia="宋体" w:cs="宋体"/>
                <w:sz w:val="21"/>
                <w:szCs w:val="21"/>
              </w:rPr>
              <w:t>通过练习，要求学生了解硬笔楷书起笔收笔、基本笔画、偏旁部首、间架结构等书写的基本规律，并掌握其技巧。</w:t>
            </w:r>
          </w:p>
        </w:tc>
        <w:tc>
          <w:tcPr>
            <w:tcW w:w="1432" w:type="dxa"/>
            <w:vAlign w:val="center"/>
          </w:tcPr>
          <w:p w14:paraId="14CD01CA">
            <w:pPr>
              <w:spacing w:line="240" w:lineRule="auto"/>
              <w:jc w:val="left"/>
              <w:rPr>
                <w:rFonts w:hint="eastAsia" w:ascii="宋体" w:hAnsi="宋体" w:eastAsia="宋体" w:cs="宋体"/>
                <w:sz w:val="21"/>
                <w:szCs w:val="21"/>
              </w:rPr>
            </w:pPr>
            <w:r>
              <w:rPr>
                <w:rFonts w:hint="eastAsia" w:ascii="宋体" w:hAnsi="宋体" w:eastAsia="宋体" w:cs="宋体"/>
                <w:sz w:val="21"/>
                <w:szCs w:val="21"/>
              </w:rPr>
              <w:t>1.课堂练习</w:t>
            </w:r>
          </w:p>
          <w:p w14:paraId="17CA5988">
            <w:pPr>
              <w:spacing w:line="240" w:lineRule="auto"/>
              <w:jc w:val="left"/>
              <w:rPr>
                <w:rFonts w:hint="eastAsia" w:ascii="宋体" w:hAnsi="宋体" w:eastAsia="宋体" w:cs="宋体"/>
                <w:sz w:val="21"/>
                <w:szCs w:val="21"/>
              </w:rPr>
            </w:pPr>
            <w:r>
              <w:rPr>
                <w:rFonts w:hint="eastAsia" w:ascii="宋体" w:hAnsi="宋体" w:eastAsia="宋体" w:cs="宋体"/>
                <w:sz w:val="21"/>
                <w:szCs w:val="21"/>
              </w:rPr>
              <w:t>2.课后练习</w:t>
            </w:r>
          </w:p>
          <w:p w14:paraId="48D98442">
            <w:pPr>
              <w:spacing w:line="240" w:lineRule="auto"/>
              <w:jc w:val="left"/>
              <w:rPr>
                <w:rFonts w:hint="eastAsia" w:ascii="宋体" w:hAnsi="宋体" w:eastAsia="宋体" w:cs="宋体"/>
                <w:sz w:val="21"/>
                <w:szCs w:val="21"/>
              </w:rPr>
            </w:pPr>
            <w:r>
              <w:rPr>
                <w:rFonts w:hint="eastAsia" w:ascii="宋体" w:hAnsi="宋体" w:eastAsia="宋体" w:cs="宋体"/>
                <w:sz w:val="21"/>
                <w:szCs w:val="21"/>
              </w:rPr>
              <w:t>3.课堂辅导</w:t>
            </w:r>
          </w:p>
          <w:p w14:paraId="5BB3A740">
            <w:pPr>
              <w:spacing w:line="240" w:lineRule="auto"/>
              <w:jc w:val="left"/>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eastAsia="zh-CN"/>
              </w:rPr>
              <w:t>.</w:t>
            </w:r>
            <w:r>
              <w:rPr>
                <w:rFonts w:hint="eastAsia" w:ascii="宋体" w:hAnsi="宋体" w:eastAsia="宋体" w:cs="宋体"/>
                <w:sz w:val="21"/>
                <w:szCs w:val="21"/>
              </w:rPr>
              <w:t>作业检查与评点</w:t>
            </w:r>
          </w:p>
        </w:tc>
        <w:tc>
          <w:tcPr>
            <w:tcW w:w="438" w:type="dxa"/>
            <w:vAlign w:val="center"/>
          </w:tcPr>
          <w:p w14:paraId="162422D6">
            <w:pPr>
              <w:spacing w:line="240" w:lineRule="auto"/>
              <w:jc w:val="center"/>
              <w:rPr>
                <w:rFonts w:hint="eastAsia" w:ascii="宋体" w:hAnsi="宋体" w:eastAsia="宋体" w:cs="宋体"/>
                <w:sz w:val="21"/>
                <w:szCs w:val="21"/>
              </w:rPr>
            </w:pPr>
            <w:r>
              <w:rPr>
                <w:rFonts w:hint="eastAsia" w:ascii="宋体" w:hAnsi="宋体" w:eastAsia="宋体" w:cs="宋体"/>
                <w:sz w:val="21"/>
                <w:szCs w:val="21"/>
              </w:rPr>
              <w:t>28</w:t>
            </w:r>
          </w:p>
        </w:tc>
      </w:tr>
      <w:tr w14:paraId="4400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vAlign w:val="center"/>
          </w:tcPr>
          <w:p w14:paraId="0DD5D018">
            <w:pPr>
              <w:spacing w:line="240" w:lineRule="auto"/>
              <w:jc w:val="center"/>
              <w:rPr>
                <w:rFonts w:hint="eastAsia" w:ascii="宋体" w:hAnsi="宋体" w:eastAsia="宋体" w:cs="宋体"/>
                <w:sz w:val="21"/>
                <w:szCs w:val="21"/>
              </w:rPr>
            </w:pPr>
          </w:p>
        </w:tc>
        <w:tc>
          <w:tcPr>
            <w:tcW w:w="8403" w:type="dxa"/>
            <w:gridSpan w:val="5"/>
            <w:vAlign w:val="center"/>
          </w:tcPr>
          <w:p w14:paraId="460835AF">
            <w:pPr>
              <w:spacing w:line="240" w:lineRule="auto"/>
              <w:ind w:firstLine="413" w:firstLineChars="196"/>
              <w:jc w:val="left"/>
              <w:rPr>
                <w:rFonts w:hint="eastAsia" w:ascii="宋体" w:hAnsi="宋体" w:eastAsia="宋体" w:cs="宋体"/>
                <w:sz w:val="21"/>
                <w:szCs w:val="21"/>
              </w:rPr>
            </w:pPr>
            <w:r>
              <w:rPr>
                <w:rFonts w:hint="eastAsia" w:ascii="宋体" w:hAnsi="宋体" w:eastAsia="宋体" w:cs="宋体"/>
                <w:b/>
                <w:sz w:val="21"/>
                <w:szCs w:val="21"/>
              </w:rPr>
              <w:t>课程思政目标：</w:t>
            </w:r>
            <w:r>
              <w:rPr>
                <w:rFonts w:hint="eastAsia" w:ascii="宋体" w:hAnsi="宋体" w:eastAsia="宋体" w:cs="宋体"/>
                <w:bCs/>
                <w:sz w:val="21"/>
                <w:szCs w:val="21"/>
              </w:rPr>
              <w:t>通过书法学习，</w:t>
            </w:r>
            <w:r>
              <w:rPr>
                <w:rFonts w:hint="eastAsia" w:ascii="宋体" w:hAnsi="宋体" w:eastAsia="宋体" w:cs="宋体"/>
                <w:sz w:val="21"/>
                <w:szCs w:val="21"/>
              </w:rPr>
              <w:t>培养爱心、责任心、事业心，立志成为有理想信念、有道德情操、有扎实学习、有仁爱之心的新时代大国良师。</w:t>
            </w:r>
          </w:p>
        </w:tc>
      </w:tr>
      <w:tr w14:paraId="0BA9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5" w:type="dxa"/>
            <w:vMerge w:val="restart"/>
            <w:vAlign w:val="center"/>
          </w:tcPr>
          <w:p w14:paraId="5D6B0464">
            <w:pPr>
              <w:adjustRightInd w:val="0"/>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3.章法布局</w:t>
            </w:r>
          </w:p>
          <w:p w14:paraId="6D945F5F">
            <w:pPr>
              <w:spacing w:line="240" w:lineRule="auto"/>
              <w:jc w:val="center"/>
              <w:rPr>
                <w:rFonts w:hint="eastAsia" w:ascii="宋体" w:hAnsi="宋体" w:eastAsia="宋体" w:cs="宋体"/>
                <w:sz w:val="21"/>
                <w:szCs w:val="21"/>
              </w:rPr>
            </w:pPr>
          </w:p>
        </w:tc>
        <w:tc>
          <w:tcPr>
            <w:tcW w:w="2475" w:type="dxa"/>
            <w:vAlign w:val="center"/>
          </w:tcPr>
          <w:p w14:paraId="701BA0B1">
            <w:pPr>
              <w:adjustRightInd w:val="0"/>
              <w:snapToGrid w:val="0"/>
              <w:spacing w:line="240" w:lineRule="auto"/>
              <w:rPr>
                <w:rFonts w:hint="eastAsia" w:ascii="宋体" w:hAnsi="宋体" w:eastAsia="宋体" w:cs="宋体"/>
                <w:sz w:val="21"/>
                <w:szCs w:val="21"/>
              </w:rPr>
            </w:pPr>
            <w:r>
              <w:rPr>
                <w:rFonts w:hint="eastAsia" w:ascii="宋体" w:hAnsi="宋体" w:eastAsia="宋体" w:cs="宋体"/>
                <w:sz w:val="21"/>
                <w:szCs w:val="21"/>
              </w:rPr>
              <w:t>（1）基本格式</w:t>
            </w:r>
          </w:p>
          <w:p w14:paraId="6EF096C4">
            <w:pPr>
              <w:adjustRightInd w:val="0"/>
              <w:snapToGrid w:val="0"/>
              <w:spacing w:line="240" w:lineRule="auto"/>
              <w:rPr>
                <w:rFonts w:hint="eastAsia" w:ascii="宋体" w:hAnsi="宋体" w:eastAsia="宋体" w:cs="宋体"/>
                <w:sz w:val="21"/>
                <w:szCs w:val="21"/>
              </w:rPr>
            </w:pPr>
            <w:r>
              <w:rPr>
                <w:rFonts w:hint="eastAsia" w:ascii="宋体" w:hAnsi="宋体" w:eastAsia="宋体" w:cs="宋体"/>
                <w:sz w:val="21"/>
                <w:szCs w:val="21"/>
              </w:rPr>
              <w:t>（2）章法布局</w:t>
            </w:r>
          </w:p>
          <w:p w14:paraId="1ED4CFC5">
            <w:pPr>
              <w:adjustRightInd w:val="0"/>
              <w:snapToGrid w:val="0"/>
              <w:spacing w:line="240" w:lineRule="auto"/>
              <w:rPr>
                <w:rFonts w:hint="eastAsia" w:ascii="宋体" w:hAnsi="宋体" w:eastAsia="宋体" w:cs="宋体"/>
                <w:sz w:val="21"/>
                <w:szCs w:val="21"/>
              </w:rPr>
            </w:pPr>
            <w:r>
              <w:rPr>
                <w:rFonts w:hint="eastAsia" w:ascii="宋体" w:hAnsi="宋体" w:eastAsia="宋体" w:cs="宋体"/>
                <w:sz w:val="21"/>
                <w:szCs w:val="21"/>
              </w:rPr>
              <w:t>（3）书法创作</w:t>
            </w:r>
          </w:p>
        </w:tc>
        <w:tc>
          <w:tcPr>
            <w:tcW w:w="1080" w:type="dxa"/>
            <w:vAlign w:val="center"/>
          </w:tcPr>
          <w:p w14:paraId="65338810">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课程目标2、3</w:t>
            </w:r>
          </w:p>
        </w:tc>
        <w:tc>
          <w:tcPr>
            <w:tcW w:w="2978" w:type="dxa"/>
            <w:vAlign w:val="center"/>
          </w:tcPr>
          <w:p w14:paraId="04F7C34E">
            <w:pPr>
              <w:adjustRightInd w:val="0"/>
              <w:snapToGrid w:val="0"/>
              <w:spacing w:line="240" w:lineRule="auto"/>
              <w:ind w:firstLine="480"/>
              <w:jc w:val="left"/>
              <w:rPr>
                <w:rFonts w:hint="eastAsia" w:ascii="宋体" w:hAnsi="宋体" w:eastAsia="宋体" w:cs="宋体"/>
                <w:sz w:val="21"/>
                <w:szCs w:val="21"/>
              </w:rPr>
            </w:pPr>
            <w:r>
              <w:rPr>
                <w:rFonts w:hint="eastAsia" w:ascii="宋体" w:hAnsi="宋体" w:eastAsia="宋体" w:cs="宋体"/>
                <w:sz w:val="21"/>
                <w:szCs w:val="21"/>
              </w:rPr>
              <w:t>通过讲解，帮助学生了解书法的章法布局的基本知识，可以初步进行书法作品的创作。</w:t>
            </w:r>
          </w:p>
        </w:tc>
        <w:tc>
          <w:tcPr>
            <w:tcW w:w="1432" w:type="dxa"/>
            <w:vAlign w:val="center"/>
          </w:tcPr>
          <w:p w14:paraId="300C339F">
            <w:pPr>
              <w:spacing w:line="240" w:lineRule="auto"/>
              <w:jc w:val="left"/>
              <w:rPr>
                <w:rFonts w:hint="eastAsia" w:ascii="宋体" w:hAnsi="宋体" w:eastAsia="宋体" w:cs="宋体"/>
                <w:sz w:val="21"/>
                <w:szCs w:val="21"/>
              </w:rPr>
            </w:pPr>
            <w:r>
              <w:rPr>
                <w:rFonts w:hint="eastAsia" w:ascii="宋体" w:hAnsi="宋体" w:eastAsia="宋体" w:cs="宋体"/>
                <w:sz w:val="21"/>
                <w:szCs w:val="21"/>
              </w:rPr>
              <w:t>1.线上学习</w:t>
            </w:r>
          </w:p>
          <w:p w14:paraId="2DA294AF">
            <w:pPr>
              <w:spacing w:line="240" w:lineRule="auto"/>
              <w:jc w:val="left"/>
              <w:rPr>
                <w:rFonts w:hint="eastAsia" w:ascii="宋体" w:hAnsi="宋体" w:eastAsia="宋体" w:cs="宋体"/>
                <w:sz w:val="21"/>
                <w:szCs w:val="21"/>
              </w:rPr>
            </w:pPr>
            <w:r>
              <w:rPr>
                <w:rFonts w:hint="eastAsia" w:ascii="宋体" w:hAnsi="宋体" w:eastAsia="宋体" w:cs="宋体"/>
                <w:sz w:val="21"/>
                <w:szCs w:val="21"/>
              </w:rPr>
              <w:t>2.课堂练习</w:t>
            </w:r>
          </w:p>
        </w:tc>
        <w:tc>
          <w:tcPr>
            <w:tcW w:w="438" w:type="dxa"/>
            <w:vAlign w:val="center"/>
          </w:tcPr>
          <w:p w14:paraId="512ECE32">
            <w:pPr>
              <w:spacing w:line="240" w:lineRule="auto"/>
              <w:jc w:val="center"/>
              <w:rPr>
                <w:rFonts w:hint="eastAsia" w:ascii="宋体" w:hAnsi="宋体" w:eastAsia="宋体" w:cs="宋体"/>
                <w:sz w:val="21"/>
                <w:szCs w:val="21"/>
              </w:rPr>
            </w:pPr>
            <w:r>
              <w:rPr>
                <w:rFonts w:hint="eastAsia" w:ascii="宋体" w:hAnsi="宋体" w:eastAsia="宋体" w:cs="宋体"/>
                <w:sz w:val="21"/>
                <w:szCs w:val="21"/>
              </w:rPr>
              <w:t>2</w:t>
            </w:r>
          </w:p>
        </w:tc>
      </w:tr>
      <w:tr w14:paraId="2336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vAlign w:val="center"/>
          </w:tcPr>
          <w:p w14:paraId="76E6108C">
            <w:pPr>
              <w:spacing w:line="240" w:lineRule="auto"/>
              <w:jc w:val="center"/>
              <w:rPr>
                <w:rFonts w:hint="eastAsia" w:ascii="宋体" w:hAnsi="宋体" w:eastAsia="宋体" w:cs="宋体"/>
                <w:sz w:val="21"/>
                <w:szCs w:val="21"/>
              </w:rPr>
            </w:pPr>
          </w:p>
        </w:tc>
        <w:tc>
          <w:tcPr>
            <w:tcW w:w="8403" w:type="dxa"/>
            <w:gridSpan w:val="5"/>
            <w:vAlign w:val="center"/>
          </w:tcPr>
          <w:p w14:paraId="7315B7BA">
            <w:pPr>
              <w:spacing w:line="240" w:lineRule="auto"/>
              <w:jc w:val="left"/>
              <w:rPr>
                <w:rFonts w:hint="eastAsia" w:ascii="宋体" w:hAnsi="宋体" w:eastAsia="宋体" w:cs="宋体"/>
                <w:sz w:val="21"/>
                <w:szCs w:val="21"/>
              </w:rPr>
            </w:pPr>
            <w:r>
              <w:rPr>
                <w:rFonts w:hint="eastAsia" w:ascii="宋体" w:hAnsi="宋体" w:eastAsia="宋体" w:cs="宋体"/>
                <w:b/>
                <w:sz w:val="21"/>
                <w:szCs w:val="21"/>
              </w:rPr>
              <w:t>课程思政目标：</w:t>
            </w:r>
            <w:r>
              <w:rPr>
                <w:rFonts w:hint="eastAsia" w:ascii="宋体" w:hAnsi="宋体" w:eastAsia="宋体" w:cs="宋体"/>
                <w:sz w:val="21"/>
                <w:szCs w:val="21"/>
              </w:rPr>
              <w:t>在艺术的熏陶中，树立制度自信和文化自信。</w:t>
            </w:r>
          </w:p>
        </w:tc>
      </w:tr>
    </w:tbl>
    <w:p w14:paraId="76D7F496">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55CF285C">
      <w:pPr>
        <w:spacing w:line="360" w:lineRule="auto"/>
        <w:ind w:firstLine="42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74C33A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25EC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215E4F3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3A12829F">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7329CEB9">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56AA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C4CC33C">
            <w:pPr>
              <w:spacing w:line="360" w:lineRule="auto"/>
              <w:jc w:val="center"/>
              <w:rPr>
                <w:rFonts w:hint="eastAsia" w:ascii="宋体" w:hAnsi="宋体" w:eastAsia="宋体" w:cs="Times New Roman"/>
                <w:szCs w:val="21"/>
              </w:rPr>
            </w:pPr>
          </w:p>
        </w:tc>
        <w:tc>
          <w:tcPr>
            <w:tcW w:w="0" w:type="auto"/>
            <w:vAlign w:val="center"/>
          </w:tcPr>
          <w:p w14:paraId="27EACE08">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75EEDED9">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67E811C8">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4CFF15AC">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70EF5687">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28D75A3A">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68AD2D2C">
            <w:pPr>
              <w:spacing w:line="360" w:lineRule="auto"/>
              <w:jc w:val="center"/>
              <w:rPr>
                <w:rFonts w:hint="eastAsia" w:ascii="宋体" w:hAnsi="宋体" w:eastAsia="宋体" w:cs="Times New Roman"/>
                <w:szCs w:val="21"/>
              </w:rPr>
            </w:pPr>
          </w:p>
        </w:tc>
      </w:tr>
      <w:tr w14:paraId="43E4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4E587C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2496A992">
            <w:pPr>
              <w:spacing w:line="360" w:lineRule="auto"/>
              <w:jc w:val="center"/>
              <w:rPr>
                <w:rFonts w:hint="eastAsia" w:ascii="宋体" w:hAnsi="宋体" w:eastAsia="宋体" w:cs="Times New Roman"/>
                <w:szCs w:val="21"/>
              </w:rPr>
            </w:pPr>
          </w:p>
        </w:tc>
        <w:tc>
          <w:tcPr>
            <w:tcW w:w="0" w:type="auto"/>
            <w:vAlign w:val="center"/>
          </w:tcPr>
          <w:p w14:paraId="42F41C9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9F9521A">
            <w:pPr>
              <w:spacing w:line="360" w:lineRule="auto"/>
              <w:jc w:val="center"/>
              <w:rPr>
                <w:rFonts w:hint="eastAsia" w:ascii="宋体" w:hAnsi="宋体" w:eastAsia="宋体" w:cs="Times New Roman"/>
                <w:szCs w:val="21"/>
              </w:rPr>
            </w:pPr>
          </w:p>
        </w:tc>
        <w:tc>
          <w:tcPr>
            <w:tcW w:w="0" w:type="auto"/>
            <w:vAlign w:val="center"/>
          </w:tcPr>
          <w:p w14:paraId="5CCF7E58">
            <w:pPr>
              <w:spacing w:line="360" w:lineRule="auto"/>
              <w:jc w:val="center"/>
              <w:rPr>
                <w:rFonts w:hint="eastAsia" w:ascii="宋体" w:hAnsi="宋体" w:eastAsia="宋体" w:cs="Times New Roman"/>
                <w:szCs w:val="21"/>
              </w:rPr>
            </w:pPr>
          </w:p>
        </w:tc>
        <w:tc>
          <w:tcPr>
            <w:tcW w:w="0" w:type="auto"/>
            <w:vAlign w:val="center"/>
          </w:tcPr>
          <w:p w14:paraId="1F2EDA13">
            <w:pPr>
              <w:spacing w:line="360" w:lineRule="auto"/>
              <w:jc w:val="center"/>
              <w:rPr>
                <w:rFonts w:hint="eastAsia" w:ascii="宋体" w:hAnsi="宋体" w:eastAsia="宋体" w:cs="Times New Roman"/>
                <w:szCs w:val="21"/>
              </w:rPr>
            </w:pPr>
          </w:p>
        </w:tc>
        <w:tc>
          <w:tcPr>
            <w:tcW w:w="0" w:type="auto"/>
          </w:tcPr>
          <w:p w14:paraId="6370D827">
            <w:pPr>
              <w:spacing w:line="360" w:lineRule="auto"/>
              <w:jc w:val="center"/>
              <w:rPr>
                <w:rFonts w:hint="eastAsia" w:ascii="宋体" w:hAnsi="宋体" w:eastAsia="宋体" w:cs="Times New Roman"/>
                <w:szCs w:val="21"/>
              </w:rPr>
            </w:pPr>
          </w:p>
        </w:tc>
        <w:tc>
          <w:tcPr>
            <w:tcW w:w="0" w:type="auto"/>
            <w:vAlign w:val="center"/>
          </w:tcPr>
          <w:p w14:paraId="7B21346B">
            <w:pPr>
              <w:spacing w:line="360" w:lineRule="auto"/>
              <w:jc w:val="center"/>
              <w:rPr>
                <w:rFonts w:hint="eastAsia" w:ascii="宋体" w:hAnsi="宋体" w:eastAsia="宋体" w:cs="Times New Roman"/>
                <w:szCs w:val="21"/>
              </w:rPr>
            </w:pPr>
            <w:r>
              <w:rPr>
                <w:rFonts w:hint="eastAsia" w:ascii="宋体" w:hAnsi="宋体" w:eastAsia="等线" w:cs="Times New Roman"/>
                <w:szCs w:val="21"/>
              </w:rPr>
              <w:t>10</w:t>
            </w:r>
          </w:p>
        </w:tc>
      </w:tr>
      <w:tr w14:paraId="25CD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09B815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28BD09B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729C282">
            <w:pPr>
              <w:spacing w:line="360" w:lineRule="auto"/>
              <w:jc w:val="center"/>
              <w:rPr>
                <w:rFonts w:hint="eastAsia" w:ascii="宋体" w:hAnsi="宋体" w:eastAsia="宋体" w:cs="Times New Roman"/>
                <w:szCs w:val="21"/>
              </w:rPr>
            </w:pPr>
          </w:p>
        </w:tc>
        <w:tc>
          <w:tcPr>
            <w:tcW w:w="0" w:type="auto"/>
            <w:vAlign w:val="center"/>
          </w:tcPr>
          <w:p w14:paraId="1817F50F">
            <w:pPr>
              <w:spacing w:line="360" w:lineRule="auto"/>
              <w:jc w:val="center"/>
              <w:rPr>
                <w:rFonts w:hint="eastAsia" w:ascii="宋体" w:hAnsi="宋体" w:eastAsia="宋体" w:cs="Times New Roman"/>
                <w:szCs w:val="21"/>
              </w:rPr>
            </w:pPr>
          </w:p>
        </w:tc>
        <w:tc>
          <w:tcPr>
            <w:tcW w:w="0" w:type="auto"/>
            <w:vAlign w:val="center"/>
          </w:tcPr>
          <w:p w14:paraId="6A20EF6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C8E248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441C3984">
            <w:pPr>
              <w:spacing w:line="360" w:lineRule="auto"/>
              <w:jc w:val="center"/>
              <w:rPr>
                <w:rFonts w:hint="eastAsia" w:ascii="宋体" w:hAnsi="宋体" w:eastAsia="宋体" w:cs="Times New Roman"/>
                <w:szCs w:val="21"/>
              </w:rPr>
            </w:pPr>
          </w:p>
        </w:tc>
        <w:tc>
          <w:tcPr>
            <w:tcW w:w="0" w:type="auto"/>
            <w:vAlign w:val="center"/>
          </w:tcPr>
          <w:p w14:paraId="09D75B11">
            <w:pPr>
              <w:spacing w:line="360" w:lineRule="auto"/>
              <w:jc w:val="center"/>
              <w:rPr>
                <w:rFonts w:hint="eastAsia" w:ascii="宋体" w:hAnsi="宋体" w:eastAsia="宋体" w:cs="Times New Roman"/>
                <w:szCs w:val="21"/>
              </w:rPr>
            </w:pPr>
            <w:r>
              <w:rPr>
                <w:rFonts w:hint="eastAsia" w:ascii="宋体" w:hAnsi="宋体" w:eastAsia="等线" w:cs="Times New Roman"/>
                <w:szCs w:val="21"/>
              </w:rPr>
              <w:t>8</w:t>
            </w:r>
            <w:r>
              <w:rPr>
                <w:rFonts w:hint="eastAsia" w:ascii="宋体" w:hAnsi="宋体" w:eastAsia="宋体" w:cs="Times New Roman"/>
                <w:szCs w:val="21"/>
              </w:rPr>
              <w:t>0</w:t>
            </w:r>
          </w:p>
        </w:tc>
      </w:tr>
      <w:tr w14:paraId="2D4F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11E250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0C7F612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DBDCB77">
            <w:pPr>
              <w:spacing w:line="360" w:lineRule="auto"/>
              <w:jc w:val="center"/>
              <w:rPr>
                <w:rFonts w:hint="eastAsia" w:ascii="宋体" w:hAnsi="宋体" w:eastAsia="宋体" w:cs="Times New Roman"/>
                <w:szCs w:val="21"/>
              </w:rPr>
            </w:pPr>
          </w:p>
        </w:tc>
        <w:tc>
          <w:tcPr>
            <w:tcW w:w="0" w:type="auto"/>
            <w:vAlign w:val="center"/>
          </w:tcPr>
          <w:p w14:paraId="4533489B">
            <w:pPr>
              <w:spacing w:line="360" w:lineRule="auto"/>
              <w:jc w:val="center"/>
              <w:rPr>
                <w:rFonts w:hint="eastAsia" w:ascii="宋体" w:hAnsi="宋体" w:eastAsia="宋体" w:cs="Times New Roman"/>
                <w:szCs w:val="21"/>
              </w:rPr>
            </w:pPr>
          </w:p>
        </w:tc>
        <w:tc>
          <w:tcPr>
            <w:tcW w:w="0" w:type="auto"/>
            <w:vAlign w:val="center"/>
          </w:tcPr>
          <w:p w14:paraId="5B753AD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B6071A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7DF5CC91">
            <w:pPr>
              <w:spacing w:line="360" w:lineRule="auto"/>
              <w:jc w:val="center"/>
              <w:rPr>
                <w:rFonts w:hint="eastAsia" w:ascii="宋体" w:hAnsi="宋体" w:eastAsia="宋体" w:cs="Times New Roman"/>
                <w:szCs w:val="21"/>
              </w:rPr>
            </w:pPr>
          </w:p>
        </w:tc>
        <w:tc>
          <w:tcPr>
            <w:tcW w:w="0" w:type="auto"/>
            <w:vAlign w:val="center"/>
          </w:tcPr>
          <w:p w14:paraId="59B5C4E5">
            <w:pPr>
              <w:spacing w:line="360" w:lineRule="auto"/>
              <w:jc w:val="center"/>
              <w:rPr>
                <w:rFonts w:hint="eastAsia" w:ascii="宋体" w:hAnsi="宋体" w:eastAsia="宋体" w:cs="Times New Roman"/>
                <w:szCs w:val="21"/>
              </w:rPr>
            </w:pPr>
            <w:r>
              <w:rPr>
                <w:rFonts w:hint="eastAsia" w:ascii="宋体" w:hAnsi="宋体" w:eastAsia="等线" w:cs="Times New Roman"/>
                <w:szCs w:val="21"/>
              </w:rPr>
              <w:t>1</w:t>
            </w:r>
            <w:r>
              <w:rPr>
                <w:rFonts w:hint="eastAsia" w:ascii="宋体" w:hAnsi="宋体" w:eastAsia="宋体" w:cs="Times New Roman"/>
                <w:szCs w:val="21"/>
              </w:rPr>
              <w:t>0</w:t>
            </w:r>
          </w:p>
        </w:tc>
      </w:tr>
      <w:tr w14:paraId="15382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A1CFAA5">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24C86F39">
            <w:pPr>
              <w:spacing w:line="360" w:lineRule="auto"/>
              <w:jc w:val="center"/>
              <w:rPr>
                <w:rFonts w:hint="eastAsia" w:ascii="宋体" w:hAnsi="宋体" w:eastAsia="宋体" w:cs="Times New Roman"/>
                <w:szCs w:val="21"/>
              </w:rPr>
            </w:pPr>
          </w:p>
        </w:tc>
        <w:tc>
          <w:tcPr>
            <w:tcW w:w="0" w:type="auto"/>
            <w:vAlign w:val="center"/>
          </w:tcPr>
          <w:p w14:paraId="385FAB09">
            <w:pPr>
              <w:spacing w:line="360" w:lineRule="auto"/>
              <w:jc w:val="center"/>
              <w:rPr>
                <w:rFonts w:hint="eastAsia" w:ascii="宋体" w:hAnsi="宋体" w:eastAsia="宋体" w:cs="Times New Roman"/>
                <w:szCs w:val="21"/>
              </w:rPr>
            </w:pPr>
          </w:p>
        </w:tc>
        <w:tc>
          <w:tcPr>
            <w:tcW w:w="0" w:type="auto"/>
            <w:vAlign w:val="center"/>
          </w:tcPr>
          <w:p w14:paraId="49313D21">
            <w:pPr>
              <w:spacing w:line="360" w:lineRule="auto"/>
              <w:jc w:val="center"/>
              <w:rPr>
                <w:rFonts w:hint="eastAsia" w:ascii="宋体" w:hAnsi="宋体" w:eastAsia="宋体" w:cs="Times New Roman"/>
                <w:szCs w:val="21"/>
              </w:rPr>
            </w:pPr>
          </w:p>
        </w:tc>
        <w:tc>
          <w:tcPr>
            <w:tcW w:w="0" w:type="auto"/>
            <w:vAlign w:val="center"/>
          </w:tcPr>
          <w:p w14:paraId="0102F20F">
            <w:pPr>
              <w:spacing w:line="360" w:lineRule="auto"/>
              <w:jc w:val="center"/>
              <w:rPr>
                <w:rFonts w:hint="eastAsia" w:ascii="宋体" w:hAnsi="宋体" w:eastAsia="宋体" w:cs="Times New Roman"/>
                <w:szCs w:val="21"/>
              </w:rPr>
            </w:pPr>
          </w:p>
        </w:tc>
        <w:tc>
          <w:tcPr>
            <w:tcW w:w="0" w:type="auto"/>
            <w:vAlign w:val="center"/>
          </w:tcPr>
          <w:p w14:paraId="690CDF78">
            <w:pPr>
              <w:spacing w:line="360" w:lineRule="auto"/>
              <w:jc w:val="center"/>
              <w:rPr>
                <w:rFonts w:hint="eastAsia" w:ascii="宋体" w:hAnsi="宋体" w:eastAsia="宋体" w:cs="Times New Roman"/>
                <w:szCs w:val="21"/>
              </w:rPr>
            </w:pPr>
          </w:p>
        </w:tc>
        <w:tc>
          <w:tcPr>
            <w:tcW w:w="0" w:type="auto"/>
          </w:tcPr>
          <w:p w14:paraId="2DE5FD60">
            <w:pPr>
              <w:spacing w:line="360" w:lineRule="auto"/>
              <w:jc w:val="center"/>
              <w:rPr>
                <w:rFonts w:hint="eastAsia" w:ascii="宋体" w:hAnsi="宋体" w:eastAsia="宋体" w:cs="Times New Roman"/>
                <w:szCs w:val="21"/>
              </w:rPr>
            </w:pPr>
          </w:p>
        </w:tc>
        <w:tc>
          <w:tcPr>
            <w:tcW w:w="0" w:type="auto"/>
            <w:vAlign w:val="center"/>
          </w:tcPr>
          <w:p w14:paraId="6B3617B3">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2649EB15">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CCC3A2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szCs w:val="21"/>
          <w:lang w:eastAsia="zh-CN"/>
        </w:rPr>
      </w:pPr>
      <w:r>
        <w:rPr>
          <w:rFonts w:hint="eastAsia" w:ascii="Times New Roman" w:hAnsi="Times New Roman" w:eastAsia="宋体" w:cs="Times New Roman"/>
          <w:szCs w:val="21"/>
        </w:rPr>
        <w:t>各部分的评价方式和成绩评定的细则</w:t>
      </w:r>
      <w:r>
        <w:rPr>
          <w:rFonts w:hint="eastAsia" w:ascii="Times New Roman" w:hAnsi="Times New Roman" w:eastAsia="宋体" w:cs="Times New Roman"/>
          <w:szCs w:val="21"/>
          <w:lang w:eastAsia="zh-CN"/>
        </w:rPr>
        <w:t>如下表所示。</w:t>
      </w:r>
    </w:p>
    <w:p w14:paraId="3CECCC8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szCs w:val="21"/>
          <w:lang w:eastAsia="zh-CN"/>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6506"/>
        <w:gridCol w:w="706"/>
      </w:tblGrid>
      <w:tr w14:paraId="67BE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Align w:val="center"/>
          </w:tcPr>
          <w:p w14:paraId="41DED1F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506" w:type="dxa"/>
            <w:vAlign w:val="center"/>
          </w:tcPr>
          <w:p w14:paraId="1C2AB43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2D4FC17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D14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Align w:val="center"/>
          </w:tcPr>
          <w:p w14:paraId="030F18AE">
            <w:pPr>
              <w:spacing w:line="360" w:lineRule="auto"/>
              <w:jc w:val="center"/>
              <w:rPr>
                <w:rFonts w:hint="eastAsia" w:ascii="宋体" w:hAnsi="宋体" w:eastAsia="宋体" w:cs="宋体"/>
                <w:szCs w:val="21"/>
              </w:rPr>
            </w:pPr>
            <w:r>
              <w:rPr>
                <w:rFonts w:hint="eastAsia" w:ascii="宋体" w:hAnsi="宋体" w:eastAsia="宋体" w:cs="宋体"/>
                <w:szCs w:val="21"/>
              </w:rPr>
              <w:t>平时作业</w:t>
            </w:r>
          </w:p>
        </w:tc>
        <w:tc>
          <w:tcPr>
            <w:tcW w:w="6506" w:type="dxa"/>
            <w:vAlign w:val="center"/>
          </w:tcPr>
          <w:p w14:paraId="75328E6B">
            <w:pPr>
              <w:spacing w:line="360" w:lineRule="auto"/>
              <w:jc w:val="left"/>
              <w:rPr>
                <w:rFonts w:hint="eastAsia" w:ascii="宋体" w:hAnsi="宋体" w:eastAsia="宋体" w:cs="宋体"/>
                <w:szCs w:val="21"/>
              </w:rPr>
            </w:pPr>
            <w:r>
              <w:rPr>
                <w:rFonts w:hint="eastAsia" w:ascii="宋体" w:hAnsi="宋体" w:eastAsia="宋体" w:cs="宋体"/>
                <w:szCs w:val="21"/>
              </w:rPr>
              <w:t>平时作业共3次，练习课题学习的字</w:t>
            </w:r>
          </w:p>
        </w:tc>
        <w:tc>
          <w:tcPr>
            <w:tcW w:w="0" w:type="auto"/>
            <w:vAlign w:val="center"/>
          </w:tcPr>
          <w:p w14:paraId="2F8E9C74">
            <w:pPr>
              <w:spacing w:line="360" w:lineRule="auto"/>
              <w:jc w:val="center"/>
              <w:rPr>
                <w:rFonts w:ascii="Times New Roman" w:hAnsi="Times New Roman" w:eastAsia="宋体" w:cs="Times New Roman"/>
                <w:szCs w:val="21"/>
              </w:rPr>
            </w:pPr>
            <w:r>
              <w:rPr>
                <w:rFonts w:hint="eastAsia" w:ascii="等线" w:hAnsi="等线" w:eastAsia="等线" w:cs="Times New Roman"/>
                <w:szCs w:val="21"/>
              </w:rPr>
              <w:t>4</w:t>
            </w:r>
            <w:r>
              <w:rPr>
                <w:rFonts w:hint="eastAsia" w:ascii="Times New Roman" w:hAnsi="Times New Roman" w:eastAsia="宋体" w:cs="Times New Roman"/>
                <w:szCs w:val="21"/>
              </w:rPr>
              <w:t>0%</w:t>
            </w:r>
          </w:p>
        </w:tc>
      </w:tr>
      <w:tr w14:paraId="26AC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Align w:val="center"/>
          </w:tcPr>
          <w:p w14:paraId="764257C9">
            <w:pPr>
              <w:spacing w:line="360" w:lineRule="auto"/>
              <w:jc w:val="center"/>
              <w:rPr>
                <w:rFonts w:hint="eastAsia" w:ascii="宋体" w:hAnsi="宋体" w:eastAsia="宋体" w:cs="宋体"/>
                <w:szCs w:val="21"/>
              </w:rPr>
            </w:pPr>
            <w:r>
              <w:rPr>
                <w:rFonts w:hint="eastAsia" w:ascii="宋体" w:hAnsi="宋体" w:eastAsia="宋体" w:cs="宋体"/>
                <w:szCs w:val="21"/>
              </w:rPr>
              <w:t>课堂表现</w:t>
            </w:r>
          </w:p>
        </w:tc>
        <w:tc>
          <w:tcPr>
            <w:tcW w:w="6506" w:type="dxa"/>
            <w:vAlign w:val="center"/>
          </w:tcPr>
          <w:p w14:paraId="6A2E9E32">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课题考勤情况。</w:t>
            </w:r>
            <w:r>
              <w:rPr>
                <w:rFonts w:hint="eastAsia" w:ascii="宋体" w:hAnsi="宋体" w:eastAsia="宋体" w:cs="宋体"/>
                <w:szCs w:val="21"/>
              </w:rPr>
              <w:t>迟到一次扣2分，无故缺席一次扣5分，累计达3次以上（不含3次）取消课程成绩。</w:t>
            </w:r>
          </w:p>
        </w:tc>
        <w:tc>
          <w:tcPr>
            <w:tcW w:w="0" w:type="auto"/>
            <w:vAlign w:val="center"/>
          </w:tcPr>
          <w:p w14:paraId="1977DED3">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564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Align w:val="center"/>
          </w:tcPr>
          <w:p w14:paraId="3057A4C5">
            <w:pPr>
              <w:spacing w:line="360" w:lineRule="auto"/>
              <w:jc w:val="center"/>
              <w:rPr>
                <w:rFonts w:hint="eastAsia" w:ascii="宋体" w:hAnsi="宋体" w:eastAsia="宋体" w:cs="宋体"/>
                <w:szCs w:val="21"/>
              </w:rPr>
            </w:pPr>
            <w:r>
              <w:rPr>
                <w:rFonts w:hint="eastAsia" w:ascii="宋体" w:hAnsi="宋体" w:eastAsia="宋体" w:cs="宋体"/>
                <w:szCs w:val="21"/>
              </w:rPr>
              <w:t>期末考查</w:t>
            </w:r>
          </w:p>
        </w:tc>
        <w:tc>
          <w:tcPr>
            <w:tcW w:w="6506" w:type="dxa"/>
            <w:vAlign w:val="center"/>
          </w:tcPr>
          <w:p w14:paraId="2D58F26F">
            <w:pPr>
              <w:spacing w:line="360" w:lineRule="auto"/>
              <w:jc w:val="left"/>
              <w:rPr>
                <w:rFonts w:hint="eastAsia" w:ascii="宋体" w:hAnsi="宋体" w:eastAsia="宋体" w:cs="宋体"/>
                <w:szCs w:val="21"/>
              </w:rPr>
            </w:pPr>
            <w:r>
              <w:rPr>
                <w:rFonts w:hint="eastAsia" w:ascii="宋体" w:hAnsi="宋体" w:eastAsia="宋体" w:cs="宋体"/>
                <w:szCs w:val="21"/>
              </w:rPr>
              <w:t>书写课题练习的字，临摹书法作品</w:t>
            </w:r>
          </w:p>
        </w:tc>
        <w:tc>
          <w:tcPr>
            <w:tcW w:w="0" w:type="auto"/>
            <w:vAlign w:val="center"/>
          </w:tcPr>
          <w:p w14:paraId="48595022">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7441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10" w:type="dxa"/>
            <w:vAlign w:val="center"/>
          </w:tcPr>
          <w:p w14:paraId="0AEB2A00">
            <w:pPr>
              <w:spacing w:line="360" w:lineRule="auto"/>
              <w:jc w:val="center"/>
              <w:rPr>
                <w:rFonts w:hint="eastAsia" w:ascii="宋体" w:hAnsi="宋体" w:eastAsia="宋体" w:cs="宋体"/>
                <w:b/>
                <w:bCs/>
                <w:szCs w:val="21"/>
              </w:rPr>
            </w:pPr>
            <w:r>
              <w:rPr>
                <w:rFonts w:hint="eastAsia" w:ascii="宋体" w:hAnsi="宋体" w:eastAsia="宋体" w:cs="宋体"/>
                <w:b/>
                <w:bCs/>
                <w:szCs w:val="21"/>
              </w:rPr>
              <w:t>合计</w:t>
            </w:r>
          </w:p>
        </w:tc>
        <w:tc>
          <w:tcPr>
            <w:tcW w:w="6506" w:type="dxa"/>
            <w:vAlign w:val="center"/>
          </w:tcPr>
          <w:p w14:paraId="7AB6EECE">
            <w:pPr>
              <w:spacing w:line="360" w:lineRule="auto"/>
              <w:jc w:val="center"/>
              <w:rPr>
                <w:rFonts w:hint="eastAsia" w:ascii="宋体" w:hAnsi="宋体" w:eastAsia="宋体" w:cs="宋体"/>
                <w:szCs w:val="21"/>
              </w:rPr>
            </w:pPr>
          </w:p>
        </w:tc>
        <w:tc>
          <w:tcPr>
            <w:tcW w:w="0" w:type="auto"/>
            <w:vAlign w:val="center"/>
          </w:tcPr>
          <w:p w14:paraId="56F44680">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19054D0">
      <w:pPr>
        <w:spacing w:line="360" w:lineRule="auto"/>
        <w:ind w:firstLine="412"/>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69125759">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4BF02AC8">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35" o:spt="75" type="#_x0000_t75" style="height:24.8pt;width:404.45pt;" o:ole="t" filled="f" o:preferrelative="t" stroked="f" coordsize="21600,21600">
            <v:path/>
            <v:fill on="f" focussize="0,0"/>
            <v:stroke on="f" joinstyle="miter"/>
            <v:imagedata r:id="rId10" o:title=""/>
            <o:lock v:ext="edit" aspectratio="t"/>
            <w10:wrap type="none"/>
            <w10:anchorlock/>
          </v:shape>
          <o:OLEObject Type="Embed" ProgID="Equation.3" ShapeID="_x0000_i1035" DrawAspect="Content" ObjectID="_1468075734" r:id="rId21">
            <o:LockedField>false</o:LockedField>
          </o:OLEObject>
        </w:object>
      </w:r>
      <w:r>
        <w:rPr>
          <w:rFonts w:hint="eastAsia" w:ascii="Times New Roman" w:hAnsi="Times New Roman" w:eastAsia="宋体" w:cs="Times New Roman"/>
          <w:b/>
          <w:sz w:val="24"/>
        </w:rPr>
        <w:t>五、有关说明</w:t>
      </w:r>
    </w:p>
    <w:p w14:paraId="57A61B3D">
      <w:pPr>
        <w:keepNext w:val="0"/>
        <w:keepLines w:val="0"/>
        <w:pageBreakBefore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sz w:val="24"/>
          <w:szCs w:val="24"/>
        </w:rPr>
      </w:pPr>
      <w:r>
        <w:rPr>
          <w:rFonts w:hint="eastAsia" w:ascii="宋体" w:hAnsi="宋体" w:eastAsia="宋体" w:cs="宋体"/>
          <w:b/>
          <w:szCs w:val="21"/>
        </w:rPr>
        <w:t>（</w:t>
      </w:r>
      <w:r>
        <w:rPr>
          <w:rFonts w:hint="eastAsia" w:ascii="宋体" w:hAnsi="宋体" w:eastAsia="宋体" w:cs="宋体"/>
          <w:b/>
          <w:sz w:val="24"/>
          <w:szCs w:val="24"/>
        </w:rPr>
        <w:t>一）持续改进</w:t>
      </w:r>
    </w:p>
    <w:p w14:paraId="1A6FD22C">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Cs w:val="21"/>
        </w:rPr>
      </w:pPr>
      <w:r>
        <w:rPr>
          <w:rFonts w:hint="eastAsia" w:ascii="宋体" w:hAnsi="宋体" w:eastAsia="宋体" w:cs="宋体"/>
          <w:sz w:val="24"/>
          <w:szCs w:val="24"/>
        </w:rPr>
        <w:t>根据学生课堂教学中的反应、课后反馈、作业质量、答卷情况，以及领导、督导、教师同行等的听课情况，</w:t>
      </w:r>
      <w:r>
        <w:rPr>
          <w:rFonts w:hint="eastAsia" w:ascii="宋体" w:hAnsi="宋体" w:eastAsia="宋体" w:cs="宋体"/>
          <w:szCs w:val="21"/>
        </w:rPr>
        <w:t>及时发现和改进教学中的不足之处，确保相应毕业要求指标点达成。</w:t>
      </w:r>
    </w:p>
    <w:p w14:paraId="4EDEA1BF">
      <w:pPr>
        <w:keepNext w:val="0"/>
        <w:keepLines w:val="0"/>
        <w:pageBreakBefore w:val="0"/>
        <w:numPr>
          <w:ilvl w:val="0"/>
          <w:numId w:val="13"/>
        </w:numPr>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szCs w:val="21"/>
        </w:rPr>
      </w:pPr>
      <w:r>
        <w:rPr>
          <w:rFonts w:hint="eastAsia" w:ascii="宋体" w:hAnsi="宋体" w:eastAsia="宋体" w:cs="宋体"/>
          <w:b/>
          <w:szCs w:val="21"/>
        </w:rPr>
        <w:t>建议教材</w:t>
      </w:r>
    </w:p>
    <w:p w14:paraId="4DF00C5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rPr>
        <w:t>《硬笔书法实用教程》，主编：郭立年等，北京：航空工业出版社，</w:t>
      </w:r>
      <w:r>
        <w:rPr>
          <w:rFonts w:hint="eastAsia" w:ascii="宋体" w:hAnsi="宋体" w:eastAsia="宋体" w:cs="宋体"/>
          <w:szCs w:val="21"/>
        </w:rPr>
        <w:t>2023</w:t>
      </w:r>
    </w:p>
    <w:p w14:paraId="0D15DA98">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szCs w:val="21"/>
        </w:rPr>
      </w:pPr>
      <w:r>
        <w:rPr>
          <w:rFonts w:hint="eastAsia" w:ascii="宋体" w:hAnsi="宋体" w:eastAsia="宋体" w:cs="宋体"/>
          <w:b/>
          <w:szCs w:val="21"/>
        </w:rPr>
        <w:t>（三）参考书目及学习资料</w:t>
      </w:r>
    </w:p>
    <w:p w14:paraId="1A6FB82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1.</w:t>
      </w:r>
      <w:r>
        <w:rPr>
          <w:rFonts w:hint="eastAsia" w:ascii="宋体" w:hAnsi="宋体" w:eastAsia="宋体" w:cs="宋体"/>
        </w:rPr>
        <w:fldChar w:fldCharType="begin"/>
      </w:r>
      <w:r>
        <w:rPr>
          <w:rFonts w:hint="eastAsia" w:ascii="宋体" w:hAnsi="宋体" w:eastAsia="宋体" w:cs="宋体"/>
        </w:rPr>
        <w:instrText xml:space="preserve"> HYPERLINK "http://search.dangdang.com/?key2=%B6%A1%D3%C0%BF%B5&amp;medium=01&amp;category_path=01.00.00.00.00.00" \t "http://product.dangdang.com/_blank" </w:instrText>
      </w:r>
      <w:r>
        <w:rPr>
          <w:rFonts w:hint="eastAsia" w:ascii="宋体" w:hAnsi="宋体" w:eastAsia="宋体" w:cs="宋体"/>
        </w:rPr>
        <w:fldChar w:fldCharType="separate"/>
      </w:r>
      <w:r>
        <w:rPr>
          <w:rFonts w:hint="eastAsia" w:ascii="宋体" w:hAnsi="宋体" w:eastAsia="宋体" w:cs="宋体"/>
          <w:kern w:val="0"/>
          <w:szCs w:val="21"/>
        </w:rPr>
        <w:t>丁永康</w:t>
      </w:r>
      <w:r>
        <w:rPr>
          <w:rFonts w:hint="eastAsia" w:ascii="宋体" w:hAnsi="宋体" w:eastAsia="宋体" w:cs="宋体"/>
          <w:kern w:val="0"/>
          <w:szCs w:val="21"/>
        </w:rPr>
        <w:fldChar w:fldCharType="end"/>
      </w:r>
      <w:r>
        <w:rPr>
          <w:rFonts w:hint="eastAsia" w:ascii="宋体" w:hAnsi="宋体" w:eastAsia="宋体" w:cs="宋体"/>
          <w:kern w:val="0"/>
          <w:szCs w:val="21"/>
        </w:rPr>
        <w:t>著，硬笔书法教程， 山东：</w:t>
      </w:r>
      <w:r>
        <w:rPr>
          <w:rFonts w:hint="eastAsia" w:ascii="宋体" w:hAnsi="宋体" w:eastAsia="宋体" w:cs="宋体"/>
          <w:szCs w:val="21"/>
        </w:rPr>
        <w:fldChar w:fldCharType="begin"/>
      </w:r>
      <w:r>
        <w:rPr>
          <w:rFonts w:hint="eastAsia" w:ascii="宋体" w:hAnsi="宋体" w:eastAsia="宋体" w:cs="宋体"/>
          <w:szCs w:val="21"/>
        </w:rPr>
        <w:instrText xml:space="preserve"> HYPERLINK "http://search.dangdang.com/?key3=%C9%BD%B6%AB%BB%AD%B1%A8%B3%F6%B0%E6%C9%E7&amp;medium=01&amp;category_path=01.00.00.00.00.00" \t "http://product.dangdang.com/_blank" </w:instrText>
      </w:r>
      <w:r>
        <w:rPr>
          <w:rFonts w:hint="eastAsia" w:ascii="宋体" w:hAnsi="宋体" w:eastAsia="宋体" w:cs="宋体"/>
          <w:szCs w:val="21"/>
        </w:rPr>
        <w:fldChar w:fldCharType="separate"/>
      </w:r>
      <w:r>
        <w:rPr>
          <w:rFonts w:hint="eastAsia" w:ascii="宋体" w:hAnsi="宋体" w:eastAsia="宋体" w:cs="宋体"/>
          <w:kern w:val="0"/>
          <w:szCs w:val="21"/>
        </w:rPr>
        <w:t>山东画报出版社</w:t>
      </w:r>
      <w:r>
        <w:rPr>
          <w:rFonts w:hint="eastAsia" w:ascii="宋体" w:hAnsi="宋体" w:eastAsia="宋体" w:cs="宋体"/>
          <w:kern w:val="0"/>
          <w:szCs w:val="21"/>
        </w:rPr>
        <w:fldChar w:fldCharType="end"/>
      </w:r>
      <w:r>
        <w:rPr>
          <w:rFonts w:hint="eastAsia" w:ascii="宋体" w:hAnsi="宋体" w:eastAsia="宋体" w:cs="宋体"/>
          <w:kern w:val="0"/>
          <w:szCs w:val="21"/>
        </w:rPr>
        <w:t>，2009.5</w:t>
      </w:r>
    </w:p>
    <w:p w14:paraId="4AF8C68C">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2.荆霄鹏书，行楷书法等级考试教程，湖北：湖北美术出版社，2012.10</w:t>
      </w:r>
    </w:p>
    <w:p w14:paraId="44E5D7E7">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3.田英章，硬笔书法国学楷书行楷字帖，上海：上海交通大学出版社，2015.6</w:t>
      </w:r>
    </w:p>
    <w:p w14:paraId="40989A1A">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宋体" w:hAnsi="宋体" w:eastAsia="宋体" w:cs="宋体"/>
          <w:kern w:val="0"/>
          <w:szCs w:val="21"/>
        </w:rPr>
      </w:pPr>
    </w:p>
    <w:p w14:paraId="395CA17A">
      <w:pPr>
        <w:autoSpaceDE w:val="0"/>
        <w:autoSpaceDN w:val="0"/>
        <w:adjustRightInd w:val="0"/>
        <w:spacing w:line="360" w:lineRule="auto"/>
        <w:ind w:left="5519" w:leftChars="228" w:hanging="5040" w:hangingChars="2400"/>
        <w:jc w:val="right"/>
        <w:rPr>
          <w:rFonts w:hint="eastAsia" w:ascii="宋体" w:hAnsi="宋体" w:eastAsia="宋体" w:cs="宋体"/>
          <w:kern w:val="0"/>
          <w:szCs w:val="21"/>
        </w:rPr>
      </w:pPr>
      <w:r>
        <w:rPr>
          <w:rFonts w:hint="eastAsia" w:ascii="宋体" w:hAnsi="宋体" w:eastAsia="宋体" w:cs="宋体"/>
          <w:szCs w:val="21"/>
        </w:rPr>
        <w:t xml:space="preserve">                                               </w:t>
      </w:r>
      <w:r>
        <w:rPr>
          <w:rFonts w:hint="eastAsia" w:ascii="宋体" w:hAnsi="宋体" w:eastAsia="宋体" w:cs="宋体"/>
          <w:kern w:val="0"/>
          <w:szCs w:val="21"/>
        </w:rPr>
        <w:t xml:space="preserve">执笔人： 尹志山 </w:t>
      </w:r>
    </w:p>
    <w:p w14:paraId="31AB8A7B">
      <w:pPr>
        <w:adjustRightInd w:val="0"/>
        <w:snapToGrid w:val="0"/>
        <w:spacing w:line="360" w:lineRule="auto"/>
        <w:ind w:firstLine="5460" w:firstLineChars="2600"/>
        <w:jc w:val="right"/>
        <w:rPr>
          <w:rFonts w:hint="eastAsia" w:ascii="宋体" w:hAnsi="宋体" w:eastAsia="宋体" w:cs="宋体"/>
          <w:kern w:val="0"/>
          <w:szCs w:val="21"/>
        </w:rPr>
      </w:pPr>
      <w:r>
        <w:rPr>
          <w:rFonts w:hint="eastAsia" w:ascii="宋体" w:hAnsi="宋体" w:eastAsia="宋体" w:cs="宋体"/>
          <w:kern w:val="0"/>
          <w:szCs w:val="21"/>
        </w:rPr>
        <w:t>审定人：荀</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rPr>
        <w:t>洁</w:t>
      </w:r>
    </w:p>
    <w:p w14:paraId="1CEC5D43">
      <w:pPr>
        <w:adjustRightInd w:val="0"/>
        <w:snapToGrid w:val="0"/>
        <w:spacing w:line="360" w:lineRule="auto"/>
        <w:ind w:firstLine="5460" w:firstLineChars="2600"/>
        <w:jc w:val="right"/>
        <w:rPr>
          <w:rFonts w:hint="eastAsia" w:ascii="宋体" w:hAnsi="宋体" w:eastAsia="宋体" w:cs="宋体"/>
          <w:kern w:val="0"/>
          <w:szCs w:val="21"/>
        </w:rPr>
      </w:pPr>
      <w:r>
        <w:rPr>
          <w:rFonts w:hint="eastAsia" w:ascii="宋体" w:hAnsi="宋体" w:eastAsia="宋体" w:cs="宋体"/>
          <w:kern w:val="0"/>
          <w:szCs w:val="21"/>
        </w:rPr>
        <w:t>审批人：陈建忠</w:t>
      </w:r>
    </w:p>
    <w:p w14:paraId="32C29F3E">
      <w:pPr>
        <w:adjustRightInd w:val="0"/>
        <w:snapToGrid w:val="0"/>
        <w:spacing w:line="360" w:lineRule="auto"/>
        <w:ind w:firstLine="5460" w:firstLineChars="2600"/>
        <w:jc w:val="right"/>
        <w:rPr>
          <w:rFonts w:hint="eastAsia" w:ascii="宋体" w:hAnsi="宋体" w:eastAsia="宋体" w:cs="宋体"/>
          <w:kern w:val="0"/>
          <w:szCs w:val="21"/>
        </w:rPr>
      </w:pPr>
      <w:r>
        <w:rPr>
          <w:rFonts w:hint="eastAsia" w:ascii="宋体" w:hAnsi="宋体" w:eastAsia="宋体" w:cs="宋体"/>
          <w:kern w:val="0"/>
          <w:szCs w:val="21"/>
        </w:rPr>
        <w:t>批准时间：202</w:t>
      </w:r>
      <w:r>
        <w:rPr>
          <w:rFonts w:hint="eastAsia" w:ascii="宋体" w:hAnsi="宋体" w:eastAsia="宋体" w:cs="宋体"/>
          <w:kern w:val="0"/>
          <w:szCs w:val="21"/>
          <w:lang w:val="en-US" w:eastAsia="zh-CN"/>
        </w:rPr>
        <w:t>5</w:t>
      </w:r>
      <w:r>
        <w:rPr>
          <w:rFonts w:hint="eastAsia" w:ascii="宋体" w:hAnsi="宋体" w:eastAsia="宋体" w:cs="宋体"/>
          <w:kern w:val="0"/>
          <w:szCs w:val="21"/>
        </w:rPr>
        <w:t xml:space="preserve">年 </w:t>
      </w:r>
      <w:r>
        <w:rPr>
          <w:rFonts w:hint="eastAsia" w:ascii="宋体" w:hAnsi="宋体" w:eastAsia="宋体" w:cs="宋体"/>
          <w:kern w:val="0"/>
          <w:szCs w:val="21"/>
          <w:lang w:val="en-US" w:eastAsia="zh-CN"/>
        </w:rPr>
        <w:t>7</w:t>
      </w:r>
      <w:r>
        <w:rPr>
          <w:rFonts w:hint="eastAsia" w:ascii="宋体" w:hAnsi="宋体" w:eastAsia="宋体" w:cs="宋体"/>
          <w:kern w:val="0"/>
          <w:szCs w:val="21"/>
        </w:rPr>
        <w:t>月1 日</w:t>
      </w:r>
    </w:p>
    <w:p w14:paraId="485B10E6">
      <w:pPr>
        <w:spacing w:line="360" w:lineRule="auto"/>
        <w:jc w:val="left"/>
        <w:rPr>
          <w:rFonts w:ascii="Times New Roman" w:hAnsi="Times New Roman" w:eastAsia="宋体" w:cs="Times New Roman"/>
          <w:b/>
          <w:color w:val="auto"/>
          <w:szCs w:val="21"/>
        </w:rPr>
      </w:pPr>
    </w:p>
    <w:p w14:paraId="77EE835B">
      <w:pPr>
        <w:spacing w:line="360" w:lineRule="auto"/>
        <w:jc w:val="left"/>
        <w:rPr>
          <w:rFonts w:ascii="Times New Roman" w:hAnsi="Times New Roman" w:eastAsia="宋体" w:cs="Times New Roman"/>
          <w:b/>
          <w:color w:val="auto"/>
          <w:szCs w:val="21"/>
        </w:rPr>
      </w:pPr>
    </w:p>
    <w:p w14:paraId="04F8A3A0">
      <w:pPr>
        <w:spacing w:line="360" w:lineRule="auto"/>
        <w:jc w:val="left"/>
        <w:rPr>
          <w:rFonts w:ascii="Times New Roman" w:hAnsi="Times New Roman" w:eastAsia="宋体" w:cs="Times New Roman"/>
          <w:b/>
          <w:color w:val="auto"/>
          <w:szCs w:val="21"/>
        </w:rPr>
      </w:pPr>
    </w:p>
    <w:p w14:paraId="3BE2403C">
      <w:pPr>
        <w:rPr>
          <w:color w:val="auto"/>
        </w:rPr>
      </w:pPr>
      <w:r>
        <w:rPr>
          <w:rFonts w:hint="eastAsia"/>
          <w:color w:val="auto"/>
        </w:rPr>
        <w:br w:type="page"/>
      </w:r>
    </w:p>
    <w:p w14:paraId="71C7080C">
      <w:pPr>
        <w:spacing w:line="360" w:lineRule="auto"/>
        <w:jc w:val="center"/>
        <w:outlineLvl w:val="0"/>
        <w:rPr>
          <w:rFonts w:hint="eastAsia" w:ascii="Times New Roman" w:hAnsi="Times New Roman" w:eastAsia="宋体" w:cs="Times New Roman"/>
          <w:b/>
          <w:color w:val="auto"/>
          <w:sz w:val="44"/>
          <w:szCs w:val="44"/>
        </w:rPr>
      </w:pPr>
      <w:bookmarkStart w:id="207" w:name="_Toc27740"/>
      <w:r>
        <w:rPr>
          <w:rFonts w:hint="eastAsia" w:ascii="Times New Roman" w:hAnsi="Times New Roman" w:eastAsia="宋体" w:cs="Times New Roman"/>
          <w:b/>
          <w:color w:val="auto"/>
          <w:sz w:val="44"/>
          <w:szCs w:val="44"/>
        </w:rPr>
        <w:t>《普通话训练指导》课程教学大纲</w:t>
      </w:r>
      <w:bookmarkEnd w:id="202"/>
      <w:bookmarkEnd w:id="207"/>
    </w:p>
    <w:p w14:paraId="7B8CB4C8">
      <w:pPr>
        <w:spacing w:line="360" w:lineRule="auto"/>
        <w:jc w:val="center"/>
        <w:rPr>
          <w:rFonts w:ascii="Times New Roman" w:hAnsi="Times New Roman" w:eastAsia="宋体" w:cs="Times New Roman"/>
          <w:b/>
          <w:color w:val="auto"/>
          <w:sz w:val="30"/>
          <w:szCs w:val="30"/>
        </w:rPr>
      </w:pPr>
      <w:r>
        <w:rPr>
          <w:rFonts w:hint="eastAsia" w:ascii="Times New Roman" w:hAnsi="Times New Roman" w:eastAsia="宋体" w:cs="Times New Roman"/>
          <w:b/>
          <w:color w:val="auto"/>
          <w:sz w:val="30"/>
          <w:szCs w:val="30"/>
        </w:rPr>
        <w:t>（</w:t>
      </w:r>
      <w:r>
        <w:rPr>
          <w:rFonts w:ascii="Times New Roman" w:hAnsi="Times New Roman" w:eastAsia="宋体" w:cs="Times New Roman"/>
          <w:b/>
          <w:color w:val="auto"/>
          <w:sz w:val="30"/>
          <w:szCs w:val="30"/>
        </w:rPr>
        <w:t>Practice of Mandarin</w:t>
      </w:r>
      <w:r>
        <w:rPr>
          <w:rFonts w:hint="eastAsia" w:ascii="Times New Roman" w:hAnsi="Times New Roman" w:eastAsia="宋体" w:cs="Times New Roman"/>
          <w:b/>
          <w:color w:val="auto"/>
          <w:sz w:val="30"/>
          <w:szCs w:val="30"/>
        </w:rPr>
        <w:t>）</w:t>
      </w:r>
    </w:p>
    <w:p w14:paraId="600069BF">
      <w:pPr>
        <w:spacing w:line="360" w:lineRule="auto"/>
        <w:ind w:firstLine="551" w:firstLineChars="196"/>
        <w:rPr>
          <w:rFonts w:ascii="Calibri" w:hAnsi="Calibri" w:eastAsia="宋体" w:cs="Times New Roman"/>
          <w:b/>
          <w:color w:val="auto"/>
          <w:sz w:val="28"/>
          <w:szCs w:val="28"/>
        </w:rPr>
      </w:pPr>
    </w:p>
    <w:p w14:paraId="0AE59F6E">
      <w:pPr>
        <w:spacing w:line="360" w:lineRule="auto"/>
        <w:ind w:firstLine="472" w:firstLineChars="196"/>
        <w:rPr>
          <w:rFonts w:ascii="Calibri" w:hAnsi="Calibri" w:eastAsia="宋体" w:cs="Times New Roman"/>
          <w:b/>
          <w:bCs w:val="0"/>
          <w:color w:val="auto"/>
          <w:sz w:val="24"/>
        </w:rPr>
      </w:pPr>
      <w:r>
        <w:rPr>
          <w:rFonts w:hint="eastAsia" w:ascii="Calibri" w:hAnsi="Calibri" w:eastAsia="宋体" w:cs="Times New Roman"/>
          <w:b/>
          <w:color w:val="auto"/>
          <w:sz w:val="24"/>
        </w:rPr>
        <w:t>课</w:t>
      </w:r>
      <w:r>
        <w:rPr>
          <w:rFonts w:hint="eastAsia" w:ascii="Calibri" w:hAnsi="Calibri" w:eastAsia="宋体" w:cs="Times New Roman"/>
          <w:b/>
          <w:bCs w:val="0"/>
          <w:color w:val="auto"/>
          <w:sz w:val="24"/>
        </w:rPr>
        <w:t>程名称：普通话训练指导</w:t>
      </w:r>
    </w:p>
    <w:p w14:paraId="2621E6AD">
      <w:pPr>
        <w:spacing w:line="360" w:lineRule="auto"/>
        <w:ind w:firstLine="482" w:firstLineChars="200"/>
        <w:rPr>
          <w:rFonts w:ascii="Times New Roman" w:hAnsi="Times New Roman" w:eastAsia="华文细黑" w:cs="Times New Roman"/>
          <w:b/>
          <w:bCs w:val="0"/>
          <w:color w:val="auto"/>
          <w:sz w:val="28"/>
          <w:szCs w:val="28"/>
        </w:rPr>
      </w:pPr>
      <w:r>
        <w:rPr>
          <w:rFonts w:hint="eastAsia" w:ascii="宋体" w:hAnsi="宋体" w:eastAsia="宋体" w:cs="Times New Roman"/>
          <w:b/>
          <w:bCs w:val="0"/>
          <w:color w:val="auto"/>
          <w:kern w:val="0"/>
          <w:sz w:val="24"/>
        </w:rPr>
        <w:t>课程代码：</w:t>
      </w:r>
      <w:r>
        <w:rPr>
          <w:rFonts w:ascii="Times New Roman" w:hAnsi="Times New Roman" w:eastAsia="华文细黑" w:cs="Times New Roman"/>
          <w:b/>
          <w:bCs w:val="0"/>
          <w:color w:val="auto"/>
          <w:sz w:val="28"/>
          <w:szCs w:val="28"/>
        </w:rPr>
        <w:t>0705015</w:t>
      </w:r>
    </w:p>
    <w:p w14:paraId="7D9B38A9">
      <w:pPr>
        <w:spacing w:line="360" w:lineRule="auto"/>
        <w:ind w:firstLine="482" w:firstLineChars="200"/>
        <w:rPr>
          <w:rFonts w:hint="eastAsia" w:ascii="宋体" w:hAnsi="宋体" w:eastAsia="宋体" w:cs="Times New Roman"/>
          <w:b/>
          <w:bCs w:val="0"/>
          <w:color w:val="auto"/>
          <w:kern w:val="0"/>
          <w:sz w:val="24"/>
        </w:rPr>
      </w:pPr>
      <w:r>
        <w:rPr>
          <w:rFonts w:hint="eastAsia" w:ascii="宋体" w:hAnsi="宋体" w:eastAsia="宋体" w:cs="Times New Roman"/>
          <w:b/>
          <w:bCs w:val="0"/>
          <w:color w:val="auto"/>
          <w:kern w:val="0"/>
          <w:sz w:val="24"/>
        </w:rPr>
        <w:t>学    分：2</w:t>
      </w:r>
    </w:p>
    <w:p w14:paraId="46D9A5FA">
      <w:pPr>
        <w:spacing w:line="360" w:lineRule="auto"/>
        <w:ind w:firstLine="482" w:firstLineChars="200"/>
        <w:rPr>
          <w:rFonts w:hint="eastAsia" w:ascii="宋体" w:hAnsi="宋体" w:eastAsia="宋体" w:cs="Times New Roman"/>
          <w:b/>
          <w:bCs w:val="0"/>
          <w:color w:val="auto"/>
          <w:kern w:val="0"/>
          <w:sz w:val="24"/>
        </w:rPr>
      </w:pPr>
      <w:r>
        <w:rPr>
          <w:rFonts w:hint="eastAsia" w:ascii="宋体" w:hAnsi="宋体" w:eastAsia="宋体" w:cs="Times New Roman"/>
          <w:b/>
          <w:bCs w:val="0"/>
          <w:color w:val="auto"/>
          <w:kern w:val="0"/>
          <w:sz w:val="24"/>
        </w:rPr>
        <w:t>学    时：16 （其中讲授6学时，课内实践10学时）</w:t>
      </w:r>
    </w:p>
    <w:p w14:paraId="26C147F5">
      <w:pPr>
        <w:spacing w:line="360" w:lineRule="auto"/>
        <w:ind w:firstLine="482" w:firstLineChars="200"/>
        <w:rPr>
          <w:rFonts w:hint="eastAsia" w:ascii="宋体" w:hAnsi="宋体" w:eastAsia="宋体" w:cs="Times New Roman"/>
          <w:b/>
          <w:bCs w:val="0"/>
          <w:color w:val="auto"/>
          <w:kern w:val="0"/>
          <w:sz w:val="24"/>
        </w:rPr>
      </w:pPr>
      <w:r>
        <w:rPr>
          <w:rFonts w:hint="eastAsia" w:ascii="宋体" w:hAnsi="宋体" w:eastAsia="宋体" w:cs="Times New Roman"/>
          <w:b/>
          <w:bCs w:val="0"/>
          <w:color w:val="auto"/>
          <w:kern w:val="0"/>
          <w:sz w:val="24"/>
        </w:rPr>
        <w:t>先修课程：无</w:t>
      </w:r>
    </w:p>
    <w:p w14:paraId="5FF23734">
      <w:pPr>
        <w:spacing w:line="360" w:lineRule="auto"/>
        <w:ind w:firstLine="482" w:firstLineChars="200"/>
        <w:rPr>
          <w:rFonts w:hint="eastAsia" w:ascii="宋体" w:hAnsi="宋体" w:eastAsia="宋体" w:cs="Times New Roman"/>
          <w:b/>
          <w:bCs w:val="0"/>
          <w:color w:val="auto"/>
          <w:kern w:val="0"/>
          <w:sz w:val="24"/>
        </w:rPr>
      </w:pPr>
      <w:r>
        <w:rPr>
          <w:rFonts w:hint="eastAsia" w:ascii="宋体" w:hAnsi="宋体" w:eastAsia="宋体" w:cs="Times New Roman"/>
          <w:b/>
          <w:bCs w:val="0"/>
          <w:color w:val="auto"/>
          <w:kern w:val="0"/>
          <w:sz w:val="24"/>
        </w:rPr>
        <w:t xml:space="preserve">适用专业：小学教育  </w:t>
      </w:r>
    </w:p>
    <w:p w14:paraId="6A3C9E61">
      <w:pPr>
        <w:spacing w:line="360" w:lineRule="auto"/>
        <w:ind w:firstLine="480" w:firstLineChars="200"/>
        <w:rPr>
          <w:rFonts w:hint="eastAsia" w:ascii="宋体" w:hAnsi="宋体" w:eastAsia="宋体" w:cs="Times New Roman"/>
          <w:color w:val="auto"/>
          <w:kern w:val="0"/>
          <w:sz w:val="24"/>
        </w:rPr>
      </w:pPr>
      <w:r>
        <w:rPr>
          <w:rFonts w:hint="eastAsia" w:ascii="宋体" w:hAnsi="宋体" w:eastAsia="宋体" w:cs="Times New Roman"/>
          <w:color w:val="auto"/>
          <w:kern w:val="0"/>
          <w:sz w:val="24"/>
        </w:rPr>
        <w:t xml:space="preserve">                    </w:t>
      </w:r>
    </w:p>
    <w:p w14:paraId="3294DCEF">
      <w:pPr>
        <w:autoSpaceDE w:val="0"/>
        <w:autoSpaceDN w:val="0"/>
        <w:adjustRightInd w:val="0"/>
        <w:spacing w:line="360" w:lineRule="auto"/>
        <w:jc w:val="left"/>
        <w:rPr>
          <w:rFonts w:hint="eastAsia" w:ascii="宋体" w:hAnsi="宋体" w:eastAsia="宋体" w:cs="Times New Roman"/>
          <w:b/>
          <w:bCs/>
          <w:color w:val="auto"/>
          <w:kern w:val="0"/>
          <w:sz w:val="24"/>
        </w:rPr>
      </w:pPr>
      <w:r>
        <w:rPr>
          <w:rFonts w:hint="eastAsia" w:ascii="宋体" w:hAnsi="宋体" w:eastAsia="宋体" w:cs="Times New Roman"/>
          <w:b/>
          <w:bCs/>
          <w:color w:val="auto"/>
          <w:kern w:val="0"/>
          <w:sz w:val="24"/>
        </w:rPr>
        <w:t>一、课程简介：</w:t>
      </w:r>
    </w:p>
    <w:p w14:paraId="13EC93AB">
      <w:pPr>
        <w:autoSpaceDE w:val="0"/>
        <w:autoSpaceDN w:val="0"/>
        <w:adjustRightInd w:val="0"/>
        <w:spacing w:line="360" w:lineRule="auto"/>
        <w:ind w:firstLine="420" w:firstLineChars="200"/>
        <w:rPr>
          <w:rFonts w:ascii="Calibri" w:hAnsi="Calibri" w:eastAsia="宋体" w:cs="Times New Roman"/>
          <w:color w:val="auto"/>
          <w:kern w:val="0"/>
          <w:szCs w:val="21"/>
        </w:rPr>
      </w:pPr>
      <w:r>
        <w:rPr>
          <w:rFonts w:hint="eastAsia" w:ascii="Calibri" w:hAnsi="Calibri" w:eastAsia="宋体" w:cs="Times New Roman"/>
          <w:color w:val="auto"/>
          <w:kern w:val="0"/>
          <w:szCs w:val="21"/>
        </w:rPr>
        <w:t>本课程是</w:t>
      </w:r>
      <w:r>
        <w:rPr>
          <w:rFonts w:hint="eastAsia" w:ascii="宋体" w:hAnsi="宋体" w:eastAsia="宋体" w:cs="Times New Roman"/>
          <w:bCs/>
          <w:color w:val="auto"/>
          <w:kern w:val="0"/>
          <w:szCs w:val="21"/>
        </w:rPr>
        <w:t>小学教育</w:t>
      </w:r>
      <w:r>
        <w:rPr>
          <w:rFonts w:hint="eastAsia" w:ascii="Calibri" w:hAnsi="Calibri" w:eastAsia="宋体" w:cs="Times New Roman"/>
          <w:color w:val="auto"/>
          <w:kern w:val="0"/>
          <w:szCs w:val="21"/>
        </w:rPr>
        <w:t>专业一门专业基础必修课程。通过该课程的学习不仅要让学生掌握普通话和普通话水平测试的基础理论，还要围绕普通话的重难点音及普通话水平测试的常见失误，对学生进行有针对性的训练，为后续学习</w:t>
      </w:r>
      <w:r>
        <w:rPr>
          <w:rFonts w:hint="eastAsia" w:ascii="宋体" w:hAnsi="宋体" w:eastAsia="宋体" w:cs="Times New Roman"/>
          <w:bCs/>
          <w:color w:val="auto"/>
          <w:kern w:val="0"/>
          <w:szCs w:val="21"/>
        </w:rPr>
        <w:t>相关</w:t>
      </w:r>
      <w:r>
        <w:rPr>
          <w:rFonts w:hint="eastAsia" w:ascii="Calibri" w:hAnsi="Calibri" w:eastAsia="宋体" w:cs="Times New Roman"/>
          <w:color w:val="auto"/>
          <w:kern w:val="0"/>
          <w:szCs w:val="21"/>
        </w:rPr>
        <w:t>课程以及从事小学教育等方面的工作打下坚实的基础。</w:t>
      </w:r>
    </w:p>
    <w:p w14:paraId="75E9CE9A">
      <w:pPr>
        <w:autoSpaceDE w:val="0"/>
        <w:autoSpaceDN w:val="0"/>
        <w:adjustRightInd w:val="0"/>
        <w:spacing w:line="360" w:lineRule="auto"/>
        <w:ind w:firstLine="420" w:firstLineChars="200"/>
        <w:rPr>
          <w:rFonts w:ascii="Calibri" w:hAnsi="Calibri" w:eastAsia="宋体" w:cs="Times New Roman"/>
          <w:color w:val="auto"/>
          <w:szCs w:val="21"/>
        </w:rPr>
      </w:pPr>
      <w:r>
        <w:rPr>
          <w:rFonts w:hint="eastAsia" w:ascii="Calibri" w:hAnsi="Calibri" w:eastAsia="宋体" w:cs="Times New Roman"/>
          <w:color w:val="auto"/>
          <w:szCs w:val="21"/>
        </w:rPr>
        <w:t>能说一口标准的普通话，具备较好的口语表达能力，是一项必备的社交技能。教师以普通话为工作语言，师范专业与口语表达密切相关，因此说好普通话也是小学教育专业一项必备的职业技能。提高语言应用能力，继承和弘扬中华民族优秀的传统文化，更是小学教育专业素质教育的重要内容。</w:t>
      </w:r>
    </w:p>
    <w:p w14:paraId="25A7CEBA">
      <w:pPr>
        <w:spacing w:line="360" w:lineRule="auto"/>
        <w:rPr>
          <w:rFonts w:ascii="Calibri" w:hAnsi="Calibri" w:eastAsia="宋体" w:cs="Times New Roman"/>
          <w:b/>
          <w:color w:val="auto"/>
          <w:sz w:val="28"/>
          <w:szCs w:val="28"/>
        </w:rPr>
      </w:pPr>
      <w:r>
        <w:rPr>
          <w:rFonts w:hint="eastAsia" w:ascii="Calibri" w:hAnsi="Calibri" w:eastAsia="宋体" w:cs="Times New Roman"/>
          <w:b/>
          <w:color w:val="auto"/>
          <w:sz w:val="28"/>
          <w:szCs w:val="28"/>
        </w:rPr>
        <w:t>二、课程目标</w:t>
      </w:r>
    </w:p>
    <w:p w14:paraId="31B274E3">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（一）课程具体目标</w:t>
      </w:r>
    </w:p>
    <w:p w14:paraId="263AEE9A">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目标1.使学生了解和掌握普通话语音和普通话水平测试的基础理论知识；</w:t>
      </w:r>
    </w:p>
    <w:p w14:paraId="3DE03E05">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目标2.使学生掌握普通话声、韵、调的发音难点并能够准确发音；</w:t>
      </w:r>
    </w:p>
    <w:p w14:paraId="5EB828DF">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目标3.使学生了解所操方言与普通话的差异，能够进行自我发音矫正；</w:t>
      </w:r>
    </w:p>
    <w:p w14:paraId="5A04D1CB">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目标4.提高学生人际沟通能力和口语表达能力，掌握发音技巧，为将来从事小学教育工作打下基础；</w:t>
      </w:r>
    </w:p>
    <w:p w14:paraId="7DEE3DEF">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目标5.学生参加国家普通话水平测试，能够取得二级甲等以上的等级证书。</w:t>
      </w:r>
    </w:p>
    <w:p w14:paraId="15A3A2D3">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lang w:eastAsia="zh-CN"/>
        </w:rPr>
        <w:t>（</w:t>
      </w:r>
      <w:r>
        <w:rPr>
          <w:rFonts w:hint="eastAsia" w:ascii="宋体" w:hAnsi="宋体" w:eastAsia="宋体" w:cs="宋体"/>
          <w:b/>
          <w:bCs/>
          <w:color w:val="auto"/>
          <w:szCs w:val="21"/>
          <w:lang w:val="en-US" w:eastAsia="zh-CN"/>
        </w:rPr>
        <w:t>二</w:t>
      </w:r>
      <w:r>
        <w:rPr>
          <w:rFonts w:hint="eastAsia" w:ascii="宋体" w:hAnsi="宋体" w:eastAsia="宋体" w:cs="宋体"/>
          <w:b/>
          <w:bCs/>
          <w:color w:val="auto"/>
          <w:szCs w:val="21"/>
          <w:lang w:eastAsia="zh-CN"/>
        </w:rPr>
        <w:t>）</w:t>
      </w:r>
      <w:r>
        <w:rPr>
          <w:rFonts w:hint="eastAsia" w:ascii="宋体" w:hAnsi="宋体" w:eastAsia="宋体" w:cs="宋体"/>
          <w:b/>
          <w:bCs/>
          <w:color w:val="auto"/>
          <w:szCs w:val="21"/>
        </w:rPr>
        <w:t>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D57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1AA393E">
            <w:pPr>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毕业要求</w:t>
            </w:r>
          </w:p>
        </w:tc>
        <w:tc>
          <w:tcPr>
            <w:tcW w:w="5688" w:type="dxa"/>
            <w:vAlign w:val="center"/>
          </w:tcPr>
          <w:p w14:paraId="3A62C907">
            <w:pPr>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毕业要求指标点</w:t>
            </w:r>
          </w:p>
        </w:tc>
        <w:tc>
          <w:tcPr>
            <w:tcW w:w="1191" w:type="dxa"/>
            <w:vAlign w:val="center"/>
          </w:tcPr>
          <w:p w14:paraId="7AC6F2A6">
            <w:pPr>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课程目标</w:t>
            </w:r>
          </w:p>
        </w:tc>
      </w:tr>
      <w:tr w14:paraId="6D07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shd w:val="clear" w:color="auto" w:fill="auto"/>
            <w:vAlign w:val="center"/>
          </w:tcPr>
          <w:p w14:paraId="4F76EEF4">
            <w:pPr>
              <w:spacing w:line="276" w:lineRule="auto"/>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毕业要求4</w:t>
            </w:r>
          </w:p>
          <w:p w14:paraId="6896D649">
            <w:pPr>
              <w:spacing w:line="276" w:lineRule="auto"/>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教学能力</w:t>
            </w:r>
          </w:p>
        </w:tc>
        <w:tc>
          <w:tcPr>
            <w:tcW w:w="5688" w:type="dxa"/>
            <w:vAlign w:val="center"/>
          </w:tcPr>
          <w:p w14:paraId="7DA7A80D">
            <w:pPr>
              <w:spacing w:line="276" w:lineRule="auto"/>
              <w:jc w:val="left"/>
              <w:rPr>
                <w:rFonts w:hint="eastAsia" w:ascii="宋体" w:hAnsi="宋体" w:eastAsia="宋体" w:cs="宋体"/>
                <w:color w:val="auto"/>
                <w:szCs w:val="21"/>
              </w:rPr>
            </w:pPr>
            <w:r>
              <w:rPr>
                <w:rFonts w:hint="eastAsia" w:ascii="宋体" w:hAnsi="宋体" w:eastAsia="宋体" w:cs="宋体"/>
                <w:b/>
                <w:bCs/>
                <w:color w:val="auto"/>
                <w:kern w:val="0"/>
                <w:szCs w:val="21"/>
              </w:rPr>
              <w:t>指标点4-3：【教学实施与评价科学】</w:t>
            </w:r>
            <w:r>
              <w:rPr>
                <w:rFonts w:hint="eastAsia" w:ascii="宋体" w:hAnsi="宋体" w:eastAsia="宋体" w:cs="宋体"/>
                <w:color w:val="auto"/>
                <w:kern w:val="0"/>
                <w:szCs w:val="21"/>
              </w:rPr>
              <w:t>掌握小学教师基本功技能，包括书写技能、沟通与表达技能、信息技术运用技能等。</w:t>
            </w:r>
          </w:p>
        </w:tc>
        <w:tc>
          <w:tcPr>
            <w:tcW w:w="1191" w:type="dxa"/>
            <w:vAlign w:val="center"/>
          </w:tcPr>
          <w:p w14:paraId="23E6EC64">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课程目标</w:t>
            </w:r>
            <w:r>
              <w:rPr>
                <w:rFonts w:hint="eastAsia" w:ascii="宋体" w:hAnsi="宋体" w:eastAsia="宋体" w:cs="宋体"/>
                <w:color w:val="auto"/>
                <w:szCs w:val="21"/>
                <w:lang w:eastAsia="zh"/>
              </w:rPr>
              <w:t xml:space="preserve">1 </w:t>
            </w:r>
            <w:r>
              <w:rPr>
                <w:rFonts w:hint="eastAsia" w:ascii="宋体" w:hAnsi="宋体" w:eastAsia="宋体" w:cs="宋体"/>
                <w:color w:val="auto"/>
                <w:szCs w:val="21"/>
              </w:rPr>
              <w:t>3</w:t>
            </w:r>
          </w:p>
        </w:tc>
      </w:tr>
    </w:tbl>
    <w:p w14:paraId="53EA2B09">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5981ECC8">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1DB071F0">
      <w:pPr>
        <w:spacing w:line="360" w:lineRule="auto"/>
        <w:jc w:val="left"/>
        <w:rPr>
          <w:rFonts w:ascii="Calibri" w:hAnsi="Calibri" w:eastAsia="宋体" w:cs="Times New Roman"/>
          <w:b/>
          <w:color w:val="auto"/>
          <w:sz w:val="24"/>
        </w:rPr>
      </w:pPr>
      <w:r>
        <w:rPr>
          <w:rFonts w:hint="eastAsia" w:ascii="宋体" w:hAnsi="宋体" w:eastAsia="宋体" w:cs="Times New Roman"/>
          <w:color w:val="auto"/>
          <w:sz w:val="24"/>
        </w:rPr>
        <w:t>三、</w:t>
      </w:r>
      <w:r>
        <w:rPr>
          <w:rFonts w:hint="eastAsia" w:ascii="Calibri" w:hAnsi="Calibri" w:eastAsia="宋体" w:cs="Times New Roman"/>
          <w:b/>
          <w:color w:val="auto"/>
          <w:sz w:val="24"/>
        </w:rPr>
        <w:t>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1815"/>
        <w:gridCol w:w="981"/>
        <w:gridCol w:w="3186"/>
        <w:gridCol w:w="1519"/>
        <w:gridCol w:w="438"/>
      </w:tblGrid>
      <w:tr w14:paraId="584A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Align w:val="center"/>
          </w:tcPr>
          <w:p w14:paraId="150FBE56">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知识</w:t>
            </w:r>
          </w:p>
          <w:p w14:paraId="18059AEC">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单元</w:t>
            </w:r>
          </w:p>
        </w:tc>
        <w:tc>
          <w:tcPr>
            <w:tcW w:w="1815" w:type="dxa"/>
            <w:vAlign w:val="center"/>
          </w:tcPr>
          <w:p w14:paraId="2A15139F">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知识点</w:t>
            </w:r>
          </w:p>
        </w:tc>
        <w:tc>
          <w:tcPr>
            <w:tcW w:w="981" w:type="dxa"/>
            <w:vAlign w:val="center"/>
          </w:tcPr>
          <w:p w14:paraId="059E83F8">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对应</w:t>
            </w:r>
          </w:p>
          <w:p w14:paraId="2D398654">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课程目标</w:t>
            </w:r>
          </w:p>
        </w:tc>
        <w:tc>
          <w:tcPr>
            <w:tcW w:w="3186" w:type="dxa"/>
            <w:vAlign w:val="center"/>
          </w:tcPr>
          <w:p w14:paraId="12E31810">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预期学习成效</w:t>
            </w:r>
          </w:p>
        </w:tc>
        <w:tc>
          <w:tcPr>
            <w:tcW w:w="1519" w:type="dxa"/>
            <w:vAlign w:val="center"/>
          </w:tcPr>
          <w:p w14:paraId="2D1EE598">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实现环节</w:t>
            </w:r>
          </w:p>
        </w:tc>
        <w:tc>
          <w:tcPr>
            <w:tcW w:w="438" w:type="dxa"/>
            <w:vAlign w:val="center"/>
          </w:tcPr>
          <w:p w14:paraId="155AD283">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学时</w:t>
            </w:r>
          </w:p>
        </w:tc>
      </w:tr>
      <w:tr w14:paraId="276C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1F35EF1D">
            <w:pPr>
              <w:spacing w:line="240" w:lineRule="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rPr>
              <w:t>普通话语音概说</w:t>
            </w:r>
          </w:p>
        </w:tc>
        <w:tc>
          <w:tcPr>
            <w:tcW w:w="1815" w:type="dxa"/>
            <w:vAlign w:val="center"/>
          </w:tcPr>
          <w:p w14:paraId="7322E228">
            <w:pPr>
              <w:spacing w:line="24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普通话概述</w:t>
            </w:r>
          </w:p>
          <w:p w14:paraId="04A53CA4">
            <w:pPr>
              <w:spacing w:line="240" w:lineRule="auto"/>
              <w:rPr>
                <w:rFonts w:hint="eastAsia" w:ascii="宋体" w:hAnsi="宋体" w:eastAsia="宋体" w:cs="宋体"/>
                <w:color w:val="auto"/>
                <w:sz w:val="21"/>
                <w:szCs w:val="21"/>
              </w:rPr>
            </w:pPr>
            <w:r>
              <w:rPr>
                <w:rFonts w:hint="eastAsia" w:ascii="宋体" w:hAnsi="宋体" w:eastAsia="宋体" w:cs="宋体"/>
                <w:bCs/>
                <w:color w:val="auto"/>
                <w:sz w:val="21"/>
                <w:szCs w:val="21"/>
              </w:rPr>
              <w:t>江苏方言概述</w:t>
            </w:r>
          </w:p>
        </w:tc>
        <w:tc>
          <w:tcPr>
            <w:tcW w:w="981" w:type="dxa"/>
            <w:vAlign w:val="center"/>
          </w:tcPr>
          <w:p w14:paraId="5214172D">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课程目标1</w:t>
            </w:r>
          </w:p>
        </w:tc>
        <w:tc>
          <w:tcPr>
            <w:tcW w:w="3186" w:type="dxa"/>
            <w:vAlign w:val="center"/>
          </w:tcPr>
          <w:p w14:paraId="67C9EAA5">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了解普通话语音基本概念和方言情况</w:t>
            </w:r>
          </w:p>
        </w:tc>
        <w:tc>
          <w:tcPr>
            <w:tcW w:w="1519" w:type="dxa"/>
            <w:vAlign w:val="center"/>
          </w:tcPr>
          <w:p w14:paraId="483B98DA">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1.多媒体教学2.课堂讨论</w:t>
            </w:r>
          </w:p>
          <w:p w14:paraId="3163C607">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3.发音练习</w:t>
            </w:r>
          </w:p>
        </w:tc>
        <w:tc>
          <w:tcPr>
            <w:tcW w:w="438" w:type="dxa"/>
            <w:vAlign w:val="center"/>
          </w:tcPr>
          <w:p w14:paraId="5BB0C46C">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14:paraId="0A91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7EFF8D1B">
            <w:pPr>
              <w:spacing w:line="240" w:lineRule="auto"/>
              <w:jc w:val="center"/>
              <w:rPr>
                <w:rFonts w:hint="eastAsia" w:ascii="宋体" w:hAnsi="宋体" w:eastAsia="宋体" w:cs="宋体"/>
                <w:b w:val="0"/>
                <w:bCs w:val="0"/>
                <w:color w:val="auto"/>
                <w:sz w:val="21"/>
                <w:szCs w:val="21"/>
              </w:rPr>
            </w:pPr>
          </w:p>
        </w:tc>
        <w:tc>
          <w:tcPr>
            <w:tcW w:w="7939" w:type="dxa"/>
            <w:gridSpan w:val="5"/>
            <w:vAlign w:val="center"/>
          </w:tcPr>
          <w:p w14:paraId="2CD53654">
            <w:pPr>
              <w:spacing w:line="240" w:lineRule="auto"/>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z w:val="21"/>
                <w:szCs w:val="21"/>
              </w:rPr>
              <w:t>在马克思主义思想指导下学习和研究教育学，运用辩证唯物主义和历史唯物主义的思想方法，结合我国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11FB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4193EECF">
            <w:pPr>
              <w:spacing w:line="240" w:lineRule="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2.声母的发音及训练</w:t>
            </w:r>
          </w:p>
        </w:tc>
        <w:tc>
          <w:tcPr>
            <w:tcW w:w="1815" w:type="dxa"/>
            <w:vAlign w:val="center"/>
          </w:tcPr>
          <w:p w14:paraId="633D4706">
            <w:pPr>
              <w:spacing w:line="24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1.声母的分类</w:t>
            </w:r>
          </w:p>
          <w:p w14:paraId="1FCB5A2C">
            <w:pPr>
              <w:spacing w:line="240" w:lineRule="auto"/>
              <w:rPr>
                <w:rFonts w:hint="eastAsia" w:ascii="宋体" w:hAnsi="宋体" w:eastAsia="宋体" w:cs="宋体"/>
                <w:color w:val="auto"/>
                <w:sz w:val="21"/>
                <w:szCs w:val="21"/>
              </w:rPr>
            </w:pPr>
            <w:r>
              <w:rPr>
                <w:rFonts w:hint="eastAsia" w:ascii="宋体" w:hAnsi="宋体" w:eastAsia="宋体" w:cs="宋体"/>
                <w:bCs/>
                <w:color w:val="auto"/>
                <w:sz w:val="21"/>
                <w:szCs w:val="21"/>
              </w:rPr>
              <w:t>2.声母的辨正</w:t>
            </w:r>
          </w:p>
        </w:tc>
        <w:tc>
          <w:tcPr>
            <w:tcW w:w="981" w:type="dxa"/>
            <w:vAlign w:val="center"/>
          </w:tcPr>
          <w:p w14:paraId="574F1EE1">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课程目标1、3</w:t>
            </w:r>
          </w:p>
        </w:tc>
        <w:tc>
          <w:tcPr>
            <w:tcW w:w="3186" w:type="dxa"/>
            <w:vAlign w:val="center"/>
          </w:tcPr>
          <w:p w14:paraId="11606FDD">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掌握声母的发音部位和发音方法了解所操方言的声母情况以及声母难点音的辨正</w:t>
            </w:r>
          </w:p>
        </w:tc>
        <w:tc>
          <w:tcPr>
            <w:tcW w:w="1519" w:type="dxa"/>
            <w:vAlign w:val="center"/>
          </w:tcPr>
          <w:p w14:paraId="3BB027C2">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1.多媒体教学2.课堂讨论</w:t>
            </w:r>
          </w:p>
          <w:p w14:paraId="6FF21956">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3.发音训练</w:t>
            </w:r>
          </w:p>
        </w:tc>
        <w:tc>
          <w:tcPr>
            <w:tcW w:w="438" w:type="dxa"/>
            <w:vAlign w:val="center"/>
          </w:tcPr>
          <w:p w14:paraId="35C2EC9B">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14:paraId="59BE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04F14D88">
            <w:pPr>
              <w:spacing w:line="240" w:lineRule="auto"/>
              <w:jc w:val="center"/>
              <w:rPr>
                <w:rFonts w:hint="eastAsia" w:ascii="宋体" w:hAnsi="宋体" w:eastAsia="宋体" w:cs="宋体"/>
                <w:b w:val="0"/>
                <w:bCs w:val="0"/>
                <w:color w:val="auto"/>
                <w:sz w:val="21"/>
                <w:szCs w:val="21"/>
              </w:rPr>
            </w:pPr>
          </w:p>
        </w:tc>
        <w:tc>
          <w:tcPr>
            <w:tcW w:w="7939" w:type="dxa"/>
            <w:gridSpan w:val="5"/>
            <w:vAlign w:val="center"/>
          </w:tcPr>
          <w:p w14:paraId="38380FAE">
            <w:pPr>
              <w:spacing w:line="240" w:lineRule="auto"/>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z w:val="21"/>
                <w:szCs w:val="21"/>
              </w:rPr>
              <w:t>使学生形成对教育的阶级性和教育与社会意识形态关系的正确认知，明确社会主义教育的本质。把握教育的本质在于培养人，深刻理解习近平曾多次论述的教育要“培养什么人、怎样培养人、为谁培养人”的问题。</w:t>
            </w:r>
          </w:p>
        </w:tc>
      </w:tr>
      <w:tr w14:paraId="625E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784F3AB1">
            <w:pPr>
              <w:spacing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3.韵母的发音及训练教育与社会发展</w:t>
            </w:r>
          </w:p>
        </w:tc>
        <w:tc>
          <w:tcPr>
            <w:tcW w:w="1815" w:type="dxa"/>
            <w:vAlign w:val="center"/>
          </w:tcPr>
          <w:p w14:paraId="128B95E2">
            <w:pPr>
              <w:spacing w:line="24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1.韵母的分类</w:t>
            </w:r>
          </w:p>
          <w:p w14:paraId="2EA50CFD">
            <w:pPr>
              <w:spacing w:line="240" w:lineRule="auto"/>
              <w:rPr>
                <w:rFonts w:hint="eastAsia" w:ascii="宋体" w:hAnsi="宋体" w:eastAsia="宋体" w:cs="宋体"/>
                <w:color w:val="auto"/>
                <w:sz w:val="21"/>
                <w:szCs w:val="21"/>
              </w:rPr>
            </w:pPr>
            <w:r>
              <w:rPr>
                <w:rFonts w:hint="eastAsia" w:ascii="宋体" w:hAnsi="宋体" w:eastAsia="宋体" w:cs="宋体"/>
                <w:bCs/>
                <w:color w:val="auto"/>
                <w:sz w:val="21"/>
                <w:szCs w:val="21"/>
              </w:rPr>
              <w:t>2.韵母的辨正</w:t>
            </w:r>
          </w:p>
        </w:tc>
        <w:tc>
          <w:tcPr>
            <w:tcW w:w="981" w:type="dxa"/>
            <w:vAlign w:val="center"/>
          </w:tcPr>
          <w:p w14:paraId="0CF00707">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课程目标2、3</w:t>
            </w:r>
          </w:p>
        </w:tc>
        <w:tc>
          <w:tcPr>
            <w:tcW w:w="3186" w:type="dxa"/>
            <w:vAlign w:val="center"/>
          </w:tcPr>
          <w:p w14:paraId="6F4A4519">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1.掌握韵母的分类</w:t>
            </w:r>
          </w:p>
          <w:p w14:paraId="0F49BAB5">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2.了解所操方言的韵母情况以及韵母难点音的辨正</w:t>
            </w:r>
          </w:p>
        </w:tc>
        <w:tc>
          <w:tcPr>
            <w:tcW w:w="1519" w:type="dxa"/>
            <w:vAlign w:val="center"/>
          </w:tcPr>
          <w:p w14:paraId="1A8C7784">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1.多媒体教学2.课堂讨论</w:t>
            </w:r>
          </w:p>
          <w:p w14:paraId="19D1BA8D">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3.语音打卡</w:t>
            </w:r>
          </w:p>
        </w:tc>
        <w:tc>
          <w:tcPr>
            <w:tcW w:w="438" w:type="dxa"/>
            <w:vAlign w:val="center"/>
          </w:tcPr>
          <w:p w14:paraId="1DEE8486">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r>
      <w:tr w14:paraId="4137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67DAF6E6">
            <w:pPr>
              <w:spacing w:line="240" w:lineRule="auto"/>
              <w:jc w:val="center"/>
              <w:rPr>
                <w:rFonts w:hint="eastAsia" w:ascii="宋体" w:hAnsi="宋体" w:eastAsia="宋体" w:cs="宋体"/>
                <w:b w:val="0"/>
                <w:bCs w:val="0"/>
                <w:color w:val="auto"/>
                <w:sz w:val="21"/>
                <w:szCs w:val="21"/>
              </w:rPr>
            </w:pPr>
          </w:p>
        </w:tc>
        <w:tc>
          <w:tcPr>
            <w:tcW w:w="7939" w:type="dxa"/>
            <w:gridSpan w:val="5"/>
            <w:vAlign w:val="center"/>
          </w:tcPr>
          <w:p w14:paraId="563EC5CC">
            <w:pPr>
              <w:spacing w:line="240" w:lineRule="auto"/>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z w:val="21"/>
                <w:szCs w:val="21"/>
              </w:rPr>
              <w:t>从辩证思维的角度掌握教育与社会发展的关系在分析教育与经济、教育与政治、教育与文化的关系中，树立制度自信和文化自信。</w:t>
            </w:r>
          </w:p>
        </w:tc>
      </w:tr>
      <w:tr w14:paraId="3B9C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24CE3D34">
            <w:pPr>
              <w:spacing w:line="240" w:lineRule="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声调的发音及训练、语流音变</w:t>
            </w:r>
          </w:p>
        </w:tc>
        <w:tc>
          <w:tcPr>
            <w:tcW w:w="1815" w:type="dxa"/>
            <w:vAlign w:val="center"/>
          </w:tcPr>
          <w:p w14:paraId="170EAE90">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1.掌握声调以及调值</w:t>
            </w:r>
          </w:p>
          <w:p w14:paraId="294B8668">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2.熟练掌握普通话语流中的音变规律</w:t>
            </w:r>
          </w:p>
        </w:tc>
        <w:tc>
          <w:tcPr>
            <w:tcW w:w="981" w:type="dxa"/>
            <w:vAlign w:val="center"/>
          </w:tcPr>
          <w:p w14:paraId="5170112E">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课程目标1、2、3</w:t>
            </w:r>
          </w:p>
        </w:tc>
        <w:tc>
          <w:tcPr>
            <w:tcW w:w="3186" w:type="dxa"/>
            <w:vAlign w:val="center"/>
          </w:tcPr>
          <w:p w14:paraId="535003E7">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1.声调的调值、调类、声调发音难点</w:t>
            </w:r>
          </w:p>
          <w:p w14:paraId="3FB287DD">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2.语流音变：变调、轻声、儿化以及“啊”的音变规律</w:t>
            </w:r>
          </w:p>
        </w:tc>
        <w:tc>
          <w:tcPr>
            <w:tcW w:w="1519" w:type="dxa"/>
            <w:vAlign w:val="center"/>
          </w:tcPr>
          <w:p w14:paraId="3F13060C">
            <w:pPr>
              <w:spacing w:line="240" w:lineRule="auto"/>
              <w:jc w:val="left"/>
              <w:rPr>
                <w:rFonts w:hint="eastAsia" w:ascii="宋体" w:hAnsi="宋体" w:eastAsia="宋体" w:cs="宋体"/>
                <w:color w:val="auto"/>
                <w:sz w:val="21"/>
                <w:szCs w:val="21"/>
              </w:rPr>
            </w:pPr>
          </w:p>
          <w:p w14:paraId="57DBCF41">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1.多媒体教学2.发音训练</w:t>
            </w:r>
          </w:p>
          <w:p w14:paraId="26AAC2BD">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3.语音打卡</w:t>
            </w:r>
          </w:p>
        </w:tc>
        <w:tc>
          <w:tcPr>
            <w:tcW w:w="438" w:type="dxa"/>
            <w:vAlign w:val="center"/>
          </w:tcPr>
          <w:p w14:paraId="7FFD8321">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14:paraId="6066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7F958B21">
            <w:pPr>
              <w:spacing w:line="240" w:lineRule="auto"/>
              <w:jc w:val="center"/>
              <w:rPr>
                <w:rFonts w:hint="eastAsia" w:ascii="宋体" w:hAnsi="宋体" w:eastAsia="宋体" w:cs="宋体"/>
                <w:b w:val="0"/>
                <w:bCs w:val="0"/>
                <w:color w:val="auto"/>
                <w:sz w:val="21"/>
                <w:szCs w:val="21"/>
              </w:rPr>
            </w:pPr>
          </w:p>
        </w:tc>
        <w:tc>
          <w:tcPr>
            <w:tcW w:w="7939" w:type="dxa"/>
            <w:gridSpan w:val="5"/>
            <w:vAlign w:val="center"/>
          </w:tcPr>
          <w:p w14:paraId="27075C23">
            <w:pPr>
              <w:spacing w:line="240" w:lineRule="auto"/>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z w:val="21"/>
                <w:szCs w:val="21"/>
              </w:rPr>
              <w:t>通过了解人的身心发展的特点，培养学生热爱教育事业和学生的情感，增强从事教育事业的责任感和使命感。</w:t>
            </w:r>
          </w:p>
        </w:tc>
      </w:tr>
      <w:tr w14:paraId="30FB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129EA86C">
            <w:pPr>
              <w:spacing w:line="240" w:lineRule="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普通话水平测试介绍</w:t>
            </w:r>
          </w:p>
        </w:tc>
        <w:tc>
          <w:tcPr>
            <w:tcW w:w="1815" w:type="dxa"/>
            <w:vAlign w:val="center"/>
          </w:tcPr>
          <w:p w14:paraId="6BAFF965">
            <w:pPr>
              <w:spacing w:line="24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1.普通话水平测试等级和标准以及测试流程</w:t>
            </w:r>
          </w:p>
          <w:p w14:paraId="58FF8071">
            <w:pPr>
              <w:spacing w:line="240" w:lineRule="auto"/>
              <w:jc w:val="left"/>
              <w:rPr>
                <w:rFonts w:hint="eastAsia" w:ascii="宋体" w:hAnsi="宋体" w:eastAsia="宋体" w:cs="宋体"/>
                <w:color w:val="auto"/>
                <w:sz w:val="21"/>
                <w:szCs w:val="21"/>
              </w:rPr>
            </w:pPr>
            <w:r>
              <w:rPr>
                <w:rFonts w:hint="eastAsia" w:ascii="宋体" w:hAnsi="宋体" w:eastAsia="宋体" w:cs="宋体"/>
                <w:bCs/>
                <w:color w:val="auto"/>
                <w:sz w:val="21"/>
                <w:szCs w:val="21"/>
              </w:rPr>
              <w:t>2.普通话水平测试大纲和样卷</w:t>
            </w:r>
          </w:p>
        </w:tc>
        <w:tc>
          <w:tcPr>
            <w:tcW w:w="981" w:type="dxa"/>
            <w:vAlign w:val="center"/>
          </w:tcPr>
          <w:p w14:paraId="5CEF467E">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课程目标1、2、3</w:t>
            </w:r>
          </w:p>
        </w:tc>
        <w:tc>
          <w:tcPr>
            <w:tcW w:w="3186" w:type="dxa"/>
            <w:vAlign w:val="center"/>
          </w:tcPr>
          <w:p w14:paraId="627028A3">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1.了解</w:t>
            </w:r>
            <w:r>
              <w:rPr>
                <w:rFonts w:hint="eastAsia" w:ascii="宋体" w:hAnsi="宋体" w:eastAsia="宋体" w:cs="宋体"/>
                <w:bCs/>
                <w:color w:val="auto"/>
                <w:sz w:val="21"/>
                <w:szCs w:val="21"/>
              </w:rPr>
              <w:t>普通话水平测试等级和标准</w:t>
            </w:r>
          </w:p>
          <w:p w14:paraId="722DC190">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2.了解</w:t>
            </w:r>
            <w:r>
              <w:rPr>
                <w:rFonts w:hint="eastAsia" w:ascii="宋体" w:hAnsi="宋体" w:eastAsia="宋体" w:cs="宋体"/>
                <w:bCs/>
                <w:color w:val="auto"/>
                <w:sz w:val="21"/>
                <w:szCs w:val="21"/>
              </w:rPr>
              <w:t>普通话水平测试的流程</w:t>
            </w:r>
          </w:p>
        </w:tc>
        <w:tc>
          <w:tcPr>
            <w:tcW w:w="1519" w:type="dxa"/>
            <w:vAlign w:val="center"/>
          </w:tcPr>
          <w:p w14:paraId="6067A107">
            <w:pPr>
              <w:spacing w:line="240" w:lineRule="auto"/>
              <w:jc w:val="left"/>
              <w:rPr>
                <w:rFonts w:hint="eastAsia" w:ascii="宋体" w:hAnsi="宋体" w:eastAsia="宋体" w:cs="宋体"/>
                <w:color w:val="auto"/>
                <w:sz w:val="21"/>
                <w:szCs w:val="21"/>
              </w:rPr>
            </w:pPr>
          </w:p>
          <w:p w14:paraId="02998328">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1.多媒体教学2.课堂讨论</w:t>
            </w:r>
          </w:p>
          <w:p w14:paraId="56494170">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3.单元测验</w:t>
            </w:r>
          </w:p>
        </w:tc>
        <w:tc>
          <w:tcPr>
            <w:tcW w:w="438" w:type="dxa"/>
            <w:vAlign w:val="center"/>
          </w:tcPr>
          <w:p w14:paraId="53605076">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14:paraId="1659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41A20C75">
            <w:pPr>
              <w:spacing w:line="240" w:lineRule="auto"/>
              <w:jc w:val="center"/>
              <w:rPr>
                <w:rFonts w:hint="eastAsia" w:ascii="宋体" w:hAnsi="宋体" w:eastAsia="宋体" w:cs="宋体"/>
                <w:b w:val="0"/>
                <w:bCs w:val="0"/>
                <w:color w:val="auto"/>
                <w:sz w:val="21"/>
                <w:szCs w:val="21"/>
              </w:rPr>
            </w:pPr>
          </w:p>
        </w:tc>
        <w:tc>
          <w:tcPr>
            <w:tcW w:w="7939" w:type="dxa"/>
            <w:gridSpan w:val="5"/>
            <w:vAlign w:val="center"/>
          </w:tcPr>
          <w:p w14:paraId="00C4BB80">
            <w:pPr>
              <w:spacing w:line="240" w:lineRule="auto"/>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z w:val="21"/>
                <w:szCs w:val="21"/>
              </w:rPr>
              <w:t>通过对我国教育目的的认识和理解，能够具有社会责任感、创新精神和实践能力，主动践行社会主义核心价值观，在未来的教育实践中能主动推进素质教育，培养创新人才，从而实现中华民族的伟大复兴。</w:t>
            </w:r>
          </w:p>
        </w:tc>
      </w:tr>
      <w:tr w14:paraId="0DC0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1359" w:type="dxa"/>
            <w:vMerge w:val="restart"/>
            <w:vAlign w:val="center"/>
          </w:tcPr>
          <w:p w14:paraId="266260AC">
            <w:pPr>
              <w:spacing w:line="240" w:lineRule="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普通话水平朗读训练</w:t>
            </w:r>
          </w:p>
        </w:tc>
        <w:tc>
          <w:tcPr>
            <w:tcW w:w="1815" w:type="dxa"/>
            <w:vAlign w:val="center"/>
          </w:tcPr>
          <w:p w14:paraId="27235C3F">
            <w:pPr>
              <w:spacing w:line="24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1.普通话水平测试朗读作品及朗读训练</w:t>
            </w:r>
          </w:p>
          <w:p w14:paraId="1296B019">
            <w:pPr>
              <w:spacing w:line="240" w:lineRule="auto"/>
              <w:rPr>
                <w:rFonts w:hint="eastAsia" w:ascii="宋体" w:hAnsi="宋体" w:eastAsia="宋体" w:cs="宋体"/>
                <w:color w:val="auto"/>
                <w:sz w:val="21"/>
                <w:szCs w:val="21"/>
              </w:rPr>
            </w:pPr>
            <w:r>
              <w:rPr>
                <w:rFonts w:hint="eastAsia" w:ascii="宋体" w:hAnsi="宋体" w:eastAsia="宋体" w:cs="宋体"/>
                <w:bCs/>
                <w:color w:val="auto"/>
                <w:sz w:val="21"/>
                <w:szCs w:val="21"/>
              </w:rPr>
              <w:t>2.普通话水平测试朗读技巧及扣分标准</w:t>
            </w:r>
          </w:p>
        </w:tc>
        <w:tc>
          <w:tcPr>
            <w:tcW w:w="981" w:type="dxa"/>
            <w:vAlign w:val="center"/>
          </w:tcPr>
          <w:p w14:paraId="39EE6AB0">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课程目标1、2、3</w:t>
            </w:r>
          </w:p>
        </w:tc>
        <w:tc>
          <w:tcPr>
            <w:tcW w:w="3186" w:type="dxa"/>
            <w:vAlign w:val="center"/>
          </w:tcPr>
          <w:p w14:paraId="0A7FBB98">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1.学生熟练朗读</w:t>
            </w:r>
            <w:r>
              <w:rPr>
                <w:rFonts w:hint="eastAsia" w:ascii="宋体" w:hAnsi="宋体" w:eastAsia="宋体" w:cs="宋体"/>
                <w:bCs/>
                <w:color w:val="auto"/>
                <w:sz w:val="21"/>
                <w:szCs w:val="21"/>
              </w:rPr>
              <w:t>普通话水平测试大纲的50篇朗读作品</w:t>
            </w:r>
          </w:p>
          <w:p w14:paraId="614C6353">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2.使学生了解</w:t>
            </w:r>
            <w:r>
              <w:rPr>
                <w:rFonts w:hint="eastAsia" w:ascii="宋体" w:hAnsi="宋体" w:eastAsia="宋体" w:cs="宋体"/>
                <w:bCs/>
                <w:color w:val="auto"/>
                <w:sz w:val="21"/>
                <w:szCs w:val="21"/>
              </w:rPr>
              <w:t>普通话水平测试的朗读技巧</w:t>
            </w:r>
          </w:p>
        </w:tc>
        <w:tc>
          <w:tcPr>
            <w:tcW w:w="1519" w:type="dxa"/>
            <w:vAlign w:val="center"/>
          </w:tcPr>
          <w:p w14:paraId="4A8B4E54">
            <w:pPr>
              <w:spacing w:line="240" w:lineRule="auto"/>
              <w:jc w:val="left"/>
              <w:rPr>
                <w:rFonts w:hint="eastAsia" w:ascii="宋体" w:hAnsi="宋体" w:eastAsia="宋体" w:cs="宋体"/>
                <w:color w:val="auto"/>
                <w:sz w:val="21"/>
                <w:szCs w:val="21"/>
              </w:rPr>
            </w:pPr>
          </w:p>
          <w:p w14:paraId="5D48CAEC">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1.多媒体教学2.课堂讨论</w:t>
            </w:r>
          </w:p>
          <w:p w14:paraId="4C9DBAD7">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3.单元测验</w:t>
            </w:r>
          </w:p>
        </w:tc>
        <w:tc>
          <w:tcPr>
            <w:tcW w:w="438" w:type="dxa"/>
            <w:vAlign w:val="center"/>
          </w:tcPr>
          <w:p w14:paraId="5A15B4A7">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14:paraId="4E51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25C02D80">
            <w:pPr>
              <w:spacing w:line="240" w:lineRule="auto"/>
              <w:jc w:val="center"/>
              <w:rPr>
                <w:rFonts w:hint="eastAsia" w:ascii="宋体" w:hAnsi="宋体" w:eastAsia="宋体" w:cs="宋体"/>
                <w:b w:val="0"/>
                <w:bCs w:val="0"/>
                <w:color w:val="auto"/>
                <w:sz w:val="21"/>
                <w:szCs w:val="21"/>
              </w:rPr>
            </w:pPr>
          </w:p>
        </w:tc>
        <w:tc>
          <w:tcPr>
            <w:tcW w:w="7939" w:type="dxa"/>
            <w:gridSpan w:val="5"/>
            <w:vAlign w:val="center"/>
          </w:tcPr>
          <w:p w14:paraId="589E5C8B">
            <w:pPr>
              <w:spacing w:line="240" w:lineRule="auto"/>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z w:val="21"/>
                <w:szCs w:val="21"/>
              </w:rPr>
              <w:t>通过对人的全面发展教育的学习，形成全面发展的教育观，确立从教信念。</w:t>
            </w:r>
          </w:p>
        </w:tc>
      </w:tr>
      <w:tr w14:paraId="4111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195ABC2F">
            <w:pPr>
              <w:spacing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7.普通话水平测试命题说话训练</w:t>
            </w:r>
          </w:p>
        </w:tc>
        <w:tc>
          <w:tcPr>
            <w:tcW w:w="1815" w:type="dxa"/>
            <w:vAlign w:val="center"/>
          </w:tcPr>
          <w:p w14:paraId="48F20D52">
            <w:pPr>
              <w:spacing w:line="24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1.普通话水平测试说话技巧和扣分标准</w:t>
            </w:r>
          </w:p>
          <w:p w14:paraId="08F5F01D">
            <w:pPr>
              <w:spacing w:line="240" w:lineRule="auto"/>
              <w:rPr>
                <w:rFonts w:hint="eastAsia" w:ascii="宋体" w:hAnsi="宋体" w:eastAsia="宋体" w:cs="宋体"/>
                <w:color w:val="auto"/>
                <w:sz w:val="21"/>
                <w:szCs w:val="21"/>
              </w:rPr>
            </w:pPr>
            <w:r>
              <w:rPr>
                <w:rFonts w:hint="eastAsia" w:ascii="宋体" w:hAnsi="宋体" w:eastAsia="宋体" w:cs="宋体"/>
                <w:bCs/>
                <w:color w:val="auto"/>
                <w:sz w:val="21"/>
                <w:szCs w:val="21"/>
              </w:rPr>
              <w:t>2.水平测试说话训练</w:t>
            </w:r>
          </w:p>
        </w:tc>
        <w:tc>
          <w:tcPr>
            <w:tcW w:w="981" w:type="dxa"/>
            <w:vAlign w:val="center"/>
          </w:tcPr>
          <w:p w14:paraId="5E093C8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课程目标1、2、3</w:t>
            </w:r>
          </w:p>
        </w:tc>
        <w:tc>
          <w:tcPr>
            <w:tcW w:w="3186" w:type="dxa"/>
            <w:vAlign w:val="center"/>
          </w:tcPr>
          <w:p w14:paraId="23642FDC">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1.训练学生能够在无文字凭借的情况下自由流畅说话</w:t>
            </w:r>
          </w:p>
          <w:p w14:paraId="558CC777">
            <w:pPr>
              <w:spacing w:line="240" w:lineRule="auto"/>
              <w:rPr>
                <w:rFonts w:hint="eastAsia" w:ascii="宋体" w:hAnsi="宋体" w:eastAsia="宋体" w:cs="宋体"/>
                <w:bCs/>
                <w:color w:val="auto"/>
                <w:sz w:val="21"/>
                <w:szCs w:val="21"/>
              </w:rPr>
            </w:pPr>
            <w:r>
              <w:rPr>
                <w:rFonts w:hint="eastAsia" w:ascii="宋体" w:hAnsi="宋体" w:eastAsia="宋体" w:cs="宋体"/>
                <w:color w:val="auto"/>
                <w:sz w:val="21"/>
                <w:szCs w:val="21"/>
              </w:rPr>
              <w:t>2.使学生了解</w:t>
            </w:r>
            <w:r>
              <w:rPr>
                <w:rFonts w:hint="eastAsia" w:ascii="宋体" w:hAnsi="宋体" w:eastAsia="宋体" w:cs="宋体"/>
                <w:bCs/>
                <w:color w:val="auto"/>
                <w:sz w:val="21"/>
                <w:szCs w:val="21"/>
              </w:rPr>
              <w:t>普通话水平测试的说话技巧及扣分标准</w:t>
            </w:r>
          </w:p>
          <w:p w14:paraId="14CCF115">
            <w:pPr>
              <w:spacing w:line="240" w:lineRule="auto"/>
              <w:jc w:val="left"/>
              <w:rPr>
                <w:rFonts w:hint="eastAsia" w:ascii="宋体" w:hAnsi="宋体" w:eastAsia="宋体" w:cs="宋体"/>
                <w:color w:val="auto"/>
                <w:sz w:val="21"/>
                <w:szCs w:val="21"/>
              </w:rPr>
            </w:pPr>
          </w:p>
        </w:tc>
        <w:tc>
          <w:tcPr>
            <w:tcW w:w="1519" w:type="dxa"/>
            <w:vAlign w:val="center"/>
          </w:tcPr>
          <w:p w14:paraId="154965BC">
            <w:pPr>
              <w:spacing w:line="240" w:lineRule="auto"/>
              <w:jc w:val="left"/>
              <w:rPr>
                <w:rFonts w:hint="eastAsia" w:ascii="宋体" w:hAnsi="宋体" w:eastAsia="宋体" w:cs="宋体"/>
                <w:color w:val="auto"/>
                <w:sz w:val="21"/>
                <w:szCs w:val="21"/>
              </w:rPr>
            </w:pPr>
          </w:p>
          <w:p w14:paraId="3BD08C21">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1.多媒体教学2.课堂讨论</w:t>
            </w:r>
          </w:p>
          <w:p w14:paraId="4A9C959F">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3.单元测验</w:t>
            </w:r>
          </w:p>
        </w:tc>
        <w:tc>
          <w:tcPr>
            <w:tcW w:w="438" w:type="dxa"/>
            <w:vAlign w:val="center"/>
          </w:tcPr>
          <w:p w14:paraId="7424C11C">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14:paraId="0536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50A6019E">
            <w:pPr>
              <w:spacing w:line="240" w:lineRule="auto"/>
              <w:jc w:val="center"/>
              <w:rPr>
                <w:rFonts w:hint="eastAsia" w:ascii="宋体" w:hAnsi="宋体" w:eastAsia="宋体" w:cs="宋体"/>
                <w:color w:val="auto"/>
                <w:sz w:val="21"/>
                <w:szCs w:val="21"/>
              </w:rPr>
            </w:pPr>
          </w:p>
        </w:tc>
        <w:tc>
          <w:tcPr>
            <w:tcW w:w="7939" w:type="dxa"/>
            <w:gridSpan w:val="5"/>
            <w:vAlign w:val="center"/>
          </w:tcPr>
          <w:p w14:paraId="0B98EFDB">
            <w:pPr>
              <w:spacing w:line="240" w:lineRule="auto"/>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z w:val="21"/>
                <w:szCs w:val="21"/>
              </w:rPr>
              <w:t>了解我国现代语言的演变及其形态，确立语言自信与文化自信。</w:t>
            </w:r>
          </w:p>
        </w:tc>
      </w:tr>
    </w:tbl>
    <w:p w14:paraId="1085E6D3">
      <w:pPr>
        <w:spacing w:line="360" w:lineRule="auto"/>
        <w:jc w:val="left"/>
        <w:rPr>
          <w:rFonts w:hint="eastAsia" w:ascii="宋体" w:hAnsi="宋体" w:eastAsia="宋体" w:cs="宋体"/>
          <w:b/>
          <w:color w:val="auto"/>
          <w:szCs w:val="21"/>
        </w:rPr>
      </w:pPr>
    </w:p>
    <w:p w14:paraId="7BF4E838">
      <w:pPr>
        <w:spacing w:line="360" w:lineRule="auto"/>
        <w:jc w:val="left"/>
        <w:rPr>
          <w:rFonts w:hint="eastAsia" w:ascii="宋体" w:hAnsi="宋体" w:eastAsia="宋体" w:cs="宋体"/>
          <w:color w:val="auto"/>
          <w:sz w:val="24"/>
        </w:rPr>
      </w:pPr>
      <w:r>
        <w:rPr>
          <w:rFonts w:hint="eastAsia" w:ascii="宋体" w:hAnsi="宋体" w:eastAsia="宋体" w:cs="宋体"/>
          <w:b/>
          <w:color w:val="auto"/>
          <w:sz w:val="24"/>
        </w:rPr>
        <w:t>四、目标评价与成绩评定</w:t>
      </w:r>
    </w:p>
    <w:p w14:paraId="7D7D95B1">
      <w:pPr>
        <w:spacing w:line="360" w:lineRule="auto"/>
        <w:ind w:firstLine="422" w:firstLineChars="200"/>
        <w:jc w:val="left"/>
        <w:rPr>
          <w:rFonts w:hint="eastAsia" w:ascii="宋体" w:hAnsi="宋体" w:eastAsia="宋体" w:cs="宋体"/>
          <w:b/>
          <w:color w:val="auto"/>
          <w:szCs w:val="21"/>
        </w:rPr>
      </w:pPr>
      <w:r>
        <w:rPr>
          <w:rFonts w:hint="eastAsia" w:ascii="宋体" w:hAnsi="宋体" w:eastAsia="宋体" w:cs="宋体"/>
          <w:b/>
          <w:color w:val="auto"/>
          <w:szCs w:val="21"/>
        </w:rPr>
        <w:t>（一）课程目标评价方式</w:t>
      </w:r>
    </w:p>
    <w:p w14:paraId="55E49020">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根据总体设计，用于评价各课程目标的评价方式</w:t>
      </w:r>
      <w:r>
        <w:rPr>
          <w:rFonts w:hint="eastAsia" w:ascii="宋体" w:hAnsi="宋体" w:eastAsia="宋体" w:cs="宋体"/>
          <w:color w:val="auto"/>
          <w:szCs w:val="21"/>
          <w:lang w:eastAsia="zh-CN"/>
        </w:rPr>
        <w:t>如下表所示</w:t>
      </w:r>
      <w:r>
        <w:rPr>
          <w:rFonts w:hint="eastAsia" w:ascii="宋体" w:hAnsi="宋体" w:eastAsia="宋体" w:cs="宋体"/>
          <w:color w:val="auto"/>
          <w:szCs w:val="21"/>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31BB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2E772025">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课程目标</w:t>
            </w:r>
          </w:p>
        </w:tc>
        <w:tc>
          <w:tcPr>
            <w:tcW w:w="0" w:type="auto"/>
            <w:gridSpan w:val="6"/>
            <w:vAlign w:val="center"/>
          </w:tcPr>
          <w:p w14:paraId="2B18F3C0">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评价与成绩评定方法</w:t>
            </w:r>
          </w:p>
        </w:tc>
        <w:tc>
          <w:tcPr>
            <w:tcW w:w="0" w:type="auto"/>
            <w:vMerge w:val="restart"/>
            <w:vAlign w:val="center"/>
          </w:tcPr>
          <w:p w14:paraId="774BCB16">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分值</w:t>
            </w:r>
          </w:p>
        </w:tc>
      </w:tr>
      <w:tr w14:paraId="0D38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06146A2">
            <w:pPr>
              <w:spacing w:line="360" w:lineRule="auto"/>
              <w:jc w:val="center"/>
              <w:rPr>
                <w:rFonts w:hint="eastAsia" w:ascii="宋体" w:hAnsi="宋体" w:eastAsia="宋体" w:cs="宋体"/>
                <w:color w:val="auto"/>
                <w:szCs w:val="21"/>
              </w:rPr>
            </w:pPr>
          </w:p>
        </w:tc>
        <w:tc>
          <w:tcPr>
            <w:tcW w:w="0" w:type="auto"/>
            <w:vAlign w:val="center"/>
          </w:tcPr>
          <w:p w14:paraId="5EDF9A01">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平时作业</w:t>
            </w:r>
          </w:p>
        </w:tc>
        <w:tc>
          <w:tcPr>
            <w:tcW w:w="0" w:type="auto"/>
            <w:vAlign w:val="center"/>
          </w:tcPr>
          <w:p w14:paraId="4323FA98">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课堂表现</w:t>
            </w:r>
          </w:p>
        </w:tc>
        <w:tc>
          <w:tcPr>
            <w:tcW w:w="0" w:type="auto"/>
            <w:vAlign w:val="center"/>
          </w:tcPr>
          <w:p w14:paraId="56517814">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语言练习</w:t>
            </w:r>
          </w:p>
        </w:tc>
        <w:tc>
          <w:tcPr>
            <w:tcW w:w="0" w:type="auto"/>
            <w:vAlign w:val="center"/>
          </w:tcPr>
          <w:p w14:paraId="0E786F76">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语音打卡</w:t>
            </w:r>
          </w:p>
        </w:tc>
        <w:tc>
          <w:tcPr>
            <w:tcW w:w="0" w:type="auto"/>
            <w:vAlign w:val="center"/>
          </w:tcPr>
          <w:p w14:paraId="3D58AD53">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期末考试</w:t>
            </w:r>
          </w:p>
        </w:tc>
        <w:tc>
          <w:tcPr>
            <w:tcW w:w="0" w:type="auto"/>
          </w:tcPr>
          <w:p w14:paraId="0DFE307B">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自主学习</w:t>
            </w:r>
          </w:p>
        </w:tc>
        <w:tc>
          <w:tcPr>
            <w:tcW w:w="0" w:type="auto"/>
            <w:vMerge w:val="continue"/>
            <w:vAlign w:val="center"/>
          </w:tcPr>
          <w:p w14:paraId="6B96A4AA">
            <w:pPr>
              <w:spacing w:line="360" w:lineRule="auto"/>
              <w:jc w:val="center"/>
              <w:rPr>
                <w:rFonts w:hint="eastAsia" w:ascii="宋体" w:hAnsi="宋体" w:eastAsia="宋体" w:cs="宋体"/>
                <w:color w:val="auto"/>
                <w:szCs w:val="21"/>
              </w:rPr>
            </w:pPr>
          </w:p>
        </w:tc>
      </w:tr>
      <w:tr w14:paraId="6C64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87CBF22">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课程目标1</w:t>
            </w:r>
          </w:p>
        </w:tc>
        <w:tc>
          <w:tcPr>
            <w:tcW w:w="0" w:type="auto"/>
            <w:vAlign w:val="center"/>
          </w:tcPr>
          <w:p w14:paraId="24BD605B">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0" w:type="auto"/>
            <w:vAlign w:val="center"/>
          </w:tcPr>
          <w:p w14:paraId="10265735">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0" w:type="auto"/>
            <w:vAlign w:val="center"/>
          </w:tcPr>
          <w:p w14:paraId="29EC3F0F">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0" w:type="auto"/>
            <w:vAlign w:val="center"/>
          </w:tcPr>
          <w:p w14:paraId="673BDBC4">
            <w:pPr>
              <w:spacing w:line="360" w:lineRule="auto"/>
              <w:jc w:val="center"/>
              <w:rPr>
                <w:rFonts w:hint="eastAsia" w:ascii="宋体" w:hAnsi="宋体" w:eastAsia="宋体" w:cs="宋体"/>
                <w:color w:val="auto"/>
                <w:szCs w:val="21"/>
              </w:rPr>
            </w:pPr>
          </w:p>
        </w:tc>
        <w:tc>
          <w:tcPr>
            <w:tcW w:w="0" w:type="auto"/>
            <w:vAlign w:val="center"/>
          </w:tcPr>
          <w:p w14:paraId="7E6AECAE">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0" w:type="auto"/>
          </w:tcPr>
          <w:p w14:paraId="6706C06D">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0" w:type="auto"/>
            <w:vAlign w:val="center"/>
          </w:tcPr>
          <w:p w14:paraId="09110120">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30</w:t>
            </w:r>
          </w:p>
        </w:tc>
      </w:tr>
      <w:tr w14:paraId="4BD7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25FDA01">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课程目标2</w:t>
            </w:r>
          </w:p>
        </w:tc>
        <w:tc>
          <w:tcPr>
            <w:tcW w:w="0" w:type="auto"/>
            <w:vAlign w:val="center"/>
          </w:tcPr>
          <w:p w14:paraId="623B58B7">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0" w:type="auto"/>
            <w:vAlign w:val="center"/>
          </w:tcPr>
          <w:p w14:paraId="19C7442B">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0" w:type="auto"/>
            <w:vAlign w:val="center"/>
          </w:tcPr>
          <w:p w14:paraId="0C8ED760">
            <w:pPr>
              <w:spacing w:line="360" w:lineRule="auto"/>
              <w:jc w:val="center"/>
              <w:rPr>
                <w:rFonts w:hint="eastAsia" w:ascii="宋体" w:hAnsi="宋体" w:eastAsia="宋体" w:cs="宋体"/>
                <w:color w:val="auto"/>
                <w:szCs w:val="21"/>
              </w:rPr>
            </w:pPr>
          </w:p>
        </w:tc>
        <w:tc>
          <w:tcPr>
            <w:tcW w:w="0" w:type="auto"/>
            <w:vAlign w:val="center"/>
          </w:tcPr>
          <w:p w14:paraId="5EE948BA">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0" w:type="auto"/>
            <w:vAlign w:val="center"/>
          </w:tcPr>
          <w:p w14:paraId="3697F305">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0" w:type="auto"/>
          </w:tcPr>
          <w:p w14:paraId="7E52CC6C">
            <w:pPr>
              <w:spacing w:line="360" w:lineRule="auto"/>
              <w:jc w:val="center"/>
              <w:rPr>
                <w:rFonts w:hint="eastAsia" w:ascii="宋体" w:hAnsi="宋体" w:eastAsia="宋体" w:cs="宋体"/>
                <w:color w:val="auto"/>
                <w:szCs w:val="21"/>
              </w:rPr>
            </w:pPr>
          </w:p>
        </w:tc>
        <w:tc>
          <w:tcPr>
            <w:tcW w:w="0" w:type="auto"/>
            <w:vAlign w:val="center"/>
          </w:tcPr>
          <w:p w14:paraId="4979419F">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40</w:t>
            </w:r>
          </w:p>
        </w:tc>
      </w:tr>
      <w:tr w14:paraId="6D37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D4A4823">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课程目标3</w:t>
            </w:r>
          </w:p>
        </w:tc>
        <w:tc>
          <w:tcPr>
            <w:tcW w:w="0" w:type="auto"/>
            <w:vAlign w:val="center"/>
          </w:tcPr>
          <w:p w14:paraId="45BE2A3A">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0" w:type="auto"/>
            <w:vAlign w:val="center"/>
          </w:tcPr>
          <w:p w14:paraId="2B66BFCC">
            <w:pPr>
              <w:spacing w:line="360" w:lineRule="auto"/>
              <w:jc w:val="center"/>
              <w:rPr>
                <w:rFonts w:hint="eastAsia" w:ascii="宋体" w:hAnsi="宋体" w:eastAsia="宋体" w:cs="宋体"/>
                <w:color w:val="auto"/>
                <w:szCs w:val="21"/>
              </w:rPr>
            </w:pPr>
          </w:p>
        </w:tc>
        <w:tc>
          <w:tcPr>
            <w:tcW w:w="0" w:type="auto"/>
            <w:vAlign w:val="center"/>
          </w:tcPr>
          <w:p w14:paraId="1FD8CEF3">
            <w:pPr>
              <w:spacing w:line="360" w:lineRule="auto"/>
              <w:jc w:val="center"/>
              <w:rPr>
                <w:rFonts w:hint="eastAsia" w:ascii="宋体" w:hAnsi="宋体" w:eastAsia="宋体" w:cs="宋体"/>
                <w:color w:val="auto"/>
                <w:szCs w:val="21"/>
              </w:rPr>
            </w:pPr>
          </w:p>
        </w:tc>
        <w:tc>
          <w:tcPr>
            <w:tcW w:w="0" w:type="auto"/>
            <w:vAlign w:val="center"/>
          </w:tcPr>
          <w:p w14:paraId="5B8811F3">
            <w:pPr>
              <w:spacing w:line="360" w:lineRule="auto"/>
              <w:jc w:val="center"/>
              <w:rPr>
                <w:rFonts w:hint="eastAsia" w:ascii="宋体" w:hAnsi="宋体" w:eastAsia="宋体" w:cs="宋体"/>
                <w:color w:val="auto"/>
                <w:szCs w:val="21"/>
              </w:rPr>
            </w:pPr>
          </w:p>
        </w:tc>
        <w:tc>
          <w:tcPr>
            <w:tcW w:w="0" w:type="auto"/>
            <w:vAlign w:val="center"/>
          </w:tcPr>
          <w:p w14:paraId="0E2570AC">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sym w:font="Wingdings 2" w:char="F050"/>
            </w:r>
          </w:p>
        </w:tc>
        <w:tc>
          <w:tcPr>
            <w:tcW w:w="0" w:type="auto"/>
          </w:tcPr>
          <w:p w14:paraId="4D601E59">
            <w:pPr>
              <w:spacing w:line="360" w:lineRule="auto"/>
              <w:jc w:val="center"/>
              <w:rPr>
                <w:rFonts w:hint="eastAsia" w:ascii="宋体" w:hAnsi="宋体" w:eastAsia="宋体" w:cs="宋体"/>
                <w:color w:val="auto"/>
                <w:szCs w:val="21"/>
              </w:rPr>
            </w:pPr>
          </w:p>
        </w:tc>
        <w:tc>
          <w:tcPr>
            <w:tcW w:w="0" w:type="auto"/>
            <w:vAlign w:val="center"/>
          </w:tcPr>
          <w:p w14:paraId="7B790815">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30</w:t>
            </w:r>
          </w:p>
        </w:tc>
      </w:tr>
      <w:tr w14:paraId="4193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863AE2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0" w:type="auto"/>
            <w:vAlign w:val="center"/>
          </w:tcPr>
          <w:p w14:paraId="431BE428">
            <w:pPr>
              <w:spacing w:line="360" w:lineRule="auto"/>
              <w:jc w:val="center"/>
              <w:rPr>
                <w:rFonts w:hint="eastAsia" w:ascii="宋体" w:hAnsi="宋体" w:eastAsia="宋体" w:cs="Times New Roman"/>
                <w:color w:val="auto"/>
                <w:szCs w:val="21"/>
              </w:rPr>
            </w:pPr>
          </w:p>
        </w:tc>
        <w:tc>
          <w:tcPr>
            <w:tcW w:w="0" w:type="auto"/>
            <w:vAlign w:val="center"/>
          </w:tcPr>
          <w:p w14:paraId="200CA6E7">
            <w:pPr>
              <w:spacing w:line="360" w:lineRule="auto"/>
              <w:jc w:val="center"/>
              <w:rPr>
                <w:rFonts w:hint="eastAsia" w:ascii="宋体" w:hAnsi="宋体" w:eastAsia="宋体" w:cs="Times New Roman"/>
                <w:color w:val="auto"/>
                <w:szCs w:val="21"/>
              </w:rPr>
            </w:pPr>
          </w:p>
        </w:tc>
        <w:tc>
          <w:tcPr>
            <w:tcW w:w="0" w:type="auto"/>
            <w:vAlign w:val="center"/>
          </w:tcPr>
          <w:p w14:paraId="206BB3A0">
            <w:pPr>
              <w:spacing w:line="360" w:lineRule="auto"/>
              <w:jc w:val="center"/>
              <w:rPr>
                <w:rFonts w:hint="eastAsia" w:ascii="宋体" w:hAnsi="宋体" w:eastAsia="宋体" w:cs="Times New Roman"/>
                <w:color w:val="auto"/>
                <w:szCs w:val="21"/>
              </w:rPr>
            </w:pPr>
          </w:p>
        </w:tc>
        <w:tc>
          <w:tcPr>
            <w:tcW w:w="0" w:type="auto"/>
            <w:vAlign w:val="center"/>
          </w:tcPr>
          <w:p w14:paraId="5ED6D472">
            <w:pPr>
              <w:spacing w:line="360" w:lineRule="auto"/>
              <w:jc w:val="center"/>
              <w:rPr>
                <w:rFonts w:hint="eastAsia" w:ascii="宋体" w:hAnsi="宋体" w:eastAsia="宋体" w:cs="Times New Roman"/>
                <w:color w:val="auto"/>
                <w:szCs w:val="21"/>
              </w:rPr>
            </w:pPr>
          </w:p>
        </w:tc>
        <w:tc>
          <w:tcPr>
            <w:tcW w:w="0" w:type="auto"/>
            <w:vAlign w:val="center"/>
          </w:tcPr>
          <w:p w14:paraId="72A0F2A7">
            <w:pPr>
              <w:spacing w:line="360" w:lineRule="auto"/>
              <w:jc w:val="center"/>
              <w:rPr>
                <w:rFonts w:hint="eastAsia" w:ascii="宋体" w:hAnsi="宋体" w:eastAsia="宋体" w:cs="Times New Roman"/>
                <w:color w:val="auto"/>
                <w:szCs w:val="21"/>
              </w:rPr>
            </w:pPr>
          </w:p>
        </w:tc>
        <w:tc>
          <w:tcPr>
            <w:tcW w:w="0" w:type="auto"/>
          </w:tcPr>
          <w:p w14:paraId="2389D752">
            <w:pPr>
              <w:spacing w:line="360" w:lineRule="auto"/>
              <w:jc w:val="center"/>
              <w:rPr>
                <w:rFonts w:hint="eastAsia" w:ascii="宋体" w:hAnsi="宋体" w:eastAsia="宋体" w:cs="Times New Roman"/>
                <w:color w:val="auto"/>
                <w:szCs w:val="21"/>
              </w:rPr>
            </w:pPr>
          </w:p>
        </w:tc>
        <w:tc>
          <w:tcPr>
            <w:tcW w:w="0" w:type="auto"/>
            <w:vAlign w:val="center"/>
          </w:tcPr>
          <w:p w14:paraId="7A1638E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499B2D13">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611D1AE0">
      <w:pPr>
        <w:spacing w:line="360" w:lineRule="auto"/>
        <w:ind w:firstLine="420" w:firstLineChars="200"/>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p w14:paraId="2DC1BD45">
      <w:pPr>
        <w:spacing w:line="360" w:lineRule="auto"/>
        <w:ind w:firstLine="420" w:firstLineChars="200"/>
        <w:jc w:val="left"/>
        <w:rPr>
          <w:rFonts w:hint="eastAsia" w:ascii="Times New Roman" w:hAnsi="Times New Roman" w:eastAsia="宋体" w:cs="Times New Roman"/>
          <w:color w:val="auto"/>
          <w:szCs w:val="21"/>
          <w:lang w:eastAsia="zh-CN"/>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6522"/>
        <w:gridCol w:w="706"/>
      </w:tblGrid>
      <w:tr w14:paraId="73B4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14:paraId="039F98F9">
            <w:pPr>
              <w:jc w:val="center"/>
              <w:rPr>
                <w:rFonts w:ascii="Times New Roman" w:hAnsi="Times New Roman" w:eastAsia="宋体" w:cs="Times New Roman"/>
                <w:b/>
                <w:bCs/>
                <w:color w:val="auto"/>
                <w:szCs w:val="21"/>
              </w:rPr>
            </w:pPr>
            <w:bookmarkStart w:id="208" w:name="OLE_LINK5"/>
            <w:r>
              <w:rPr>
                <w:rFonts w:hint="eastAsia" w:ascii="Times New Roman" w:hAnsi="Times New Roman" w:eastAsia="宋体" w:cs="Times New Roman"/>
                <w:b/>
                <w:bCs/>
                <w:color w:val="auto"/>
                <w:szCs w:val="21"/>
              </w:rPr>
              <w:t>评价方式</w:t>
            </w:r>
          </w:p>
        </w:tc>
        <w:tc>
          <w:tcPr>
            <w:tcW w:w="6522" w:type="dxa"/>
            <w:vAlign w:val="center"/>
          </w:tcPr>
          <w:p w14:paraId="1CBC2F4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7A6E475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2FA5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14:paraId="61492D0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6522" w:type="dxa"/>
            <w:vAlign w:val="center"/>
          </w:tcPr>
          <w:p w14:paraId="4F503888">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语音打卡八次，选三次成绩进行记录。</w:t>
            </w:r>
          </w:p>
        </w:tc>
        <w:tc>
          <w:tcPr>
            <w:tcW w:w="0" w:type="auto"/>
            <w:vAlign w:val="center"/>
          </w:tcPr>
          <w:p w14:paraId="5395A9F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4083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14:paraId="0053013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6522" w:type="dxa"/>
            <w:vAlign w:val="center"/>
          </w:tcPr>
          <w:p w14:paraId="0B624146">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一是课题考勤情况</w:t>
            </w:r>
            <w:r>
              <w:rPr>
                <w:rFonts w:ascii="宋体" w:hAnsi="宋体" w:eastAsia="宋体" w:cs="宋体"/>
                <w:color w:val="auto"/>
                <w:kern w:val="0"/>
                <w:szCs w:val="21"/>
                <w:lang w:bidi="ar"/>
              </w:rPr>
              <w:t>。</w:t>
            </w:r>
            <w:r>
              <w:rPr>
                <w:rFonts w:hint="eastAsia" w:ascii="Times New Roman" w:hAnsi="Times New Roman" w:eastAsia="宋体" w:cs="Times New Roman"/>
                <w:color w:val="auto"/>
                <w:szCs w:val="21"/>
              </w:rPr>
              <w:t>迟到一次扣2分，无故缺席一次扣5分，累计达</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次以上（不含</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次）取消课程成绩。</w:t>
            </w:r>
          </w:p>
          <w:p w14:paraId="536EC6F0">
            <w:pPr>
              <w:widowControl/>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二是</w:t>
            </w:r>
            <w:r>
              <w:rPr>
                <w:rFonts w:ascii="宋体" w:hAnsi="宋体" w:eastAsia="宋体" w:cs="宋体"/>
                <w:color w:val="auto"/>
                <w:kern w:val="0"/>
                <w:szCs w:val="21"/>
                <w:lang w:bidi="ar"/>
              </w:rPr>
              <w:t>课堂参与</w:t>
            </w:r>
            <w:r>
              <w:rPr>
                <w:rFonts w:hint="eastAsia" w:ascii="宋体" w:hAnsi="宋体" w:eastAsia="宋体" w:cs="宋体"/>
                <w:color w:val="auto"/>
                <w:kern w:val="0"/>
                <w:szCs w:val="21"/>
                <w:lang w:bidi="ar"/>
              </w:rPr>
              <w:t>情况。</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表现良好，按照对应的课程目标及权重给予评定</w:t>
            </w:r>
            <w:r>
              <w:rPr>
                <w:rFonts w:hint="eastAsia" w:ascii="宋体" w:hAnsi="宋体" w:eastAsia="宋体" w:cs="宋体"/>
                <w:color w:val="auto"/>
                <w:kern w:val="0"/>
                <w:szCs w:val="21"/>
                <w:lang w:bidi="ar"/>
              </w:rPr>
              <w:t>。</w:t>
            </w:r>
          </w:p>
        </w:tc>
        <w:tc>
          <w:tcPr>
            <w:tcW w:w="0" w:type="auto"/>
            <w:vAlign w:val="center"/>
          </w:tcPr>
          <w:p w14:paraId="5BD2C95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7D18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14:paraId="12B8E81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语音练习</w:t>
            </w:r>
          </w:p>
        </w:tc>
        <w:tc>
          <w:tcPr>
            <w:tcW w:w="6522" w:type="dxa"/>
            <w:vAlign w:val="center"/>
          </w:tcPr>
          <w:p w14:paraId="5AACB8FC">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每节课都有相关的语音练习，及时纠正语音问题。</w:t>
            </w:r>
          </w:p>
        </w:tc>
        <w:tc>
          <w:tcPr>
            <w:tcW w:w="0" w:type="auto"/>
            <w:vAlign w:val="center"/>
          </w:tcPr>
          <w:p w14:paraId="2F41745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1423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14:paraId="3FE7042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语音打卡</w:t>
            </w:r>
          </w:p>
        </w:tc>
        <w:tc>
          <w:tcPr>
            <w:tcW w:w="6522" w:type="dxa"/>
            <w:vAlign w:val="center"/>
          </w:tcPr>
          <w:p w14:paraId="1C967BC6">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每周至少使用畅言APP进行一次完整的语音打卡，并提交测试成绩。</w:t>
            </w:r>
          </w:p>
        </w:tc>
        <w:tc>
          <w:tcPr>
            <w:tcW w:w="0" w:type="auto"/>
            <w:vAlign w:val="center"/>
          </w:tcPr>
          <w:p w14:paraId="5417123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4457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14:paraId="2130BCF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自主学习</w:t>
            </w:r>
          </w:p>
        </w:tc>
        <w:tc>
          <w:tcPr>
            <w:tcW w:w="6522" w:type="dxa"/>
            <w:vAlign w:val="center"/>
          </w:tcPr>
          <w:p w14:paraId="65CDBDF8">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课后学生自主进行语音训练，朗读和强化训练。</w:t>
            </w:r>
          </w:p>
        </w:tc>
        <w:tc>
          <w:tcPr>
            <w:tcW w:w="0" w:type="auto"/>
            <w:vAlign w:val="center"/>
          </w:tcPr>
          <w:p w14:paraId="20FDD16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2732B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14:paraId="7EF2384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6522" w:type="dxa"/>
            <w:vAlign w:val="center"/>
          </w:tcPr>
          <w:p w14:paraId="2D65E704">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随机自动生成试卷，采用手机软件和老师同时打分进行评估。</w:t>
            </w:r>
          </w:p>
        </w:tc>
        <w:tc>
          <w:tcPr>
            <w:tcW w:w="0" w:type="auto"/>
            <w:vAlign w:val="center"/>
          </w:tcPr>
          <w:p w14:paraId="395C5B9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40B6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94" w:type="dxa"/>
            <w:vAlign w:val="center"/>
          </w:tcPr>
          <w:p w14:paraId="600610B2">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6522" w:type="dxa"/>
            <w:vAlign w:val="center"/>
          </w:tcPr>
          <w:p w14:paraId="63BB63C3">
            <w:pPr>
              <w:jc w:val="left"/>
              <w:rPr>
                <w:rFonts w:ascii="Times New Roman" w:hAnsi="Times New Roman" w:eastAsia="宋体" w:cs="Times New Roman"/>
                <w:color w:val="auto"/>
                <w:szCs w:val="21"/>
              </w:rPr>
            </w:pPr>
          </w:p>
        </w:tc>
        <w:tc>
          <w:tcPr>
            <w:tcW w:w="0" w:type="auto"/>
            <w:vAlign w:val="center"/>
          </w:tcPr>
          <w:p w14:paraId="26EF2DA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bookmarkEnd w:id="208"/>
    </w:tbl>
    <w:p w14:paraId="44812802">
      <w:pPr>
        <w:spacing w:line="360" w:lineRule="auto"/>
        <w:jc w:val="left"/>
        <w:rPr>
          <w:rFonts w:hint="eastAsia" w:ascii="宋体" w:hAnsi="宋体" w:eastAsia="宋体" w:cs="Times New Roman"/>
          <w:b/>
          <w:color w:val="auto"/>
          <w:szCs w:val="21"/>
        </w:rPr>
      </w:pPr>
    </w:p>
    <w:p w14:paraId="29E8BD54">
      <w:pPr>
        <w:spacing w:line="360" w:lineRule="auto"/>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60B408DE">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75C5262E">
      <w:pPr>
        <w:spacing w:before="156" w:beforeLines="50"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object>
          <v:shape id="_x0000_i1036"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36" DrawAspect="Content" ObjectID="_1468075735" r:id="rId22">
            <o:LockedField>false</o:LockedField>
          </o:OLEObject>
        </w:object>
      </w:r>
    </w:p>
    <w:p w14:paraId="2756A461">
      <w:pPr>
        <w:spacing w:before="156" w:beforeLines="50" w:line="360" w:lineRule="auto"/>
        <w:jc w:val="left"/>
        <w:rPr>
          <w:rFonts w:ascii="Times New Roman" w:hAnsi="Times New Roman" w:eastAsia="宋体" w:cs="Times New Roman"/>
          <w:b/>
          <w:color w:val="auto"/>
          <w:sz w:val="24"/>
        </w:rPr>
      </w:pPr>
      <w:r>
        <w:rPr>
          <w:rFonts w:hint="eastAsia" w:ascii="宋体" w:hAnsi="宋体" w:eastAsia="宋体" w:cs="Times New Roman"/>
          <w:b/>
          <w:color w:val="auto"/>
          <w:sz w:val="24"/>
        </w:rPr>
        <w:t>五、</w:t>
      </w:r>
      <w:r>
        <w:rPr>
          <w:rFonts w:hint="eastAsia" w:ascii="Times New Roman" w:hAnsi="Times New Roman" w:eastAsia="宋体" w:cs="Times New Roman"/>
          <w:b/>
          <w:color w:val="auto"/>
          <w:sz w:val="24"/>
        </w:rPr>
        <w:t>课程实践</w:t>
      </w:r>
      <w:r>
        <w:rPr>
          <w:rFonts w:hint="eastAsia" w:ascii="Times New Roman" w:hAnsi="Times New Roman" w:eastAsia="宋体" w:cs="Times New Roman"/>
          <w:bCs/>
          <w:color w:val="auto"/>
          <w:sz w:val="24"/>
        </w:rPr>
        <w:t>（利用第二课堂，不占总学时）</w:t>
      </w:r>
    </w:p>
    <w:p w14:paraId="41ECE5D8">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本课程在系统教学的基础上，以学生为主题，整合各类教育资源，科学设计实践活动，丰富教育教学形式，提升教育教学效果，从而实现思政育人。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5D76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33F52CBA">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3407" w:type="dxa"/>
            <w:vAlign w:val="center"/>
          </w:tcPr>
          <w:p w14:paraId="5FC1A05A">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740" w:type="dxa"/>
            <w:vAlign w:val="center"/>
          </w:tcPr>
          <w:p w14:paraId="22319329">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3160" w:type="dxa"/>
            <w:vAlign w:val="center"/>
          </w:tcPr>
          <w:p w14:paraId="62E74609">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思政目标</w:t>
            </w:r>
          </w:p>
        </w:tc>
      </w:tr>
      <w:tr w14:paraId="2277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6BA10600">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普通话</w:t>
            </w:r>
          </w:p>
          <w:p w14:paraId="308A41BC">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推广</w:t>
            </w:r>
          </w:p>
        </w:tc>
        <w:tc>
          <w:tcPr>
            <w:tcW w:w="3407" w:type="dxa"/>
            <w:vAlign w:val="center"/>
          </w:tcPr>
          <w:p w14:paraId="43089281">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通过《主持人大赛》、《朗读者》等节目进行课堂主题讨论，让学生模仿与表达</w:t>
            </w:r>
          </w:p>
        </w:tc>
        <w:tc>
          <w:tcPr>
            <w:tcW w:w="740" w:type="dxa"/>
            <w:vAlign w:val="center"/>
          </w:tcPr>
          <w:p w14:paraId="3AE92419">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即兴演讲</w:t>
            </w:r>
          </w:p>
        </w:tc>
        <w:tc>
          <w:tcPr>
            <w:tcW w:w="3160" w:type="dxa"/>
            <w:vAlign w:val="center"/>
          </w:tcPr>
          <w:p w14:paraId="1D1AA6A1">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通过对教育家精神的领会，使学立志成为有理想信念、有道德情操、有扎实学识、有仁爱之心的“四有”好老师。</w:t>
            </w:r>
          </w:p>
        </w:tc>
      </w:tr>
      <w:tr w14:paraId="1958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5269CF5B">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好声音</w:t>
            </w:r>
          </w:p>
          <w:p w14:paraId="4044AB2D">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好表达</w:t>
            </w:r>
          </w:p>
        </w:tc>
        <w:tc>
          <w:tcPr>
            <w:tcW w:w="3407" w:type="dxa"/>
            <w:vAlign w:val="center"/>
          </w:tcPr>
          <w:p w14:paraId="2567C460">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鼓励学生走出课堂进行规范的普通话表达，我的语音我做主。</w:t>
            </w:r>
          </w:p>
        </w:tc>
        <w:tc>
          <w:tcPr>
            <w:tcW w:w="740" w:type="dxa"/>
            <w:vAlign w:val="center"/>
          </w:tcPr>
          <w:p w14:paraId="18E5675A">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演讲比赛</w:t>
            </w:r>
          </w:p>
        </w:tc>
        <w:tc>
          <w:tcPr>
            <w:tcW w:w="3160" w:type="dxa"/>
            <w:vAlign w:val="center"/>
          </w:tcPr>
          <w:p w14:paraId="33BA9E52">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用语言的力量激发学生爱岗敬业、立志成为卓越教师，为党和国家的发展做出贡献。</w:t>
            </w:r>
          </w:p>
        </w:tc>
      </w:tr>
    </w:tbl>
    <w:p w14:paraId="21D5CBFA">
      <w:pPr>
        <w:spacing w:line="360" w:lineRule="auto"/>
        <w:jc w:val="left"/>
        <w:rPr>
          <w:rFonts w:ascii="Times New Roman" w:hAnsi="Times New Roman" w:eastAsia="宋体" w:cs="Times New Roman"/>
          <w:b/>
          <w:bCs/>
          <w:color w:val="auto"/>
          <w:sz w:val="24"/>
        </w:rPr>
      </w:pPr>
      <w:r>
        <w:rPr>
          <w:rFonts w:hint="eastAsia" w:ascii="宋体" w:hAnsi="宋体" w:eastAsia="宋体" w:cs="Times New Roman"/>
          <w:b/>
          <w:color w:val="auto"/>
          <w:sz w:val="24"/>
        </w:rPr>
        <w:t>六、有关说明</w:t>
      </w:r>
    </w:p>
    <w:p w14:paraId="21FF0745">
      <w:pPr>
        <w:spacing w:line="360" w:lineRule="auto"/>
        <w:ind w:firstLine="422" w:firstLineChars="200"/>
        <w:jc w:val="left"/>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（一）持续改进</w:t>
      </w:r>
    </w:p>
    <w:p w14:paraId="4FC6A68D">
      <w:pPr>
        <w:spacing w:line="360" w:lineRule="auto"/>
        <w:jc w:val="left"/>
        <w:rPr>
          <w:rFonts w:ascii="Calibri" w:hAnsi="Calibri" w:eastAsia="宋体" w:cs="Times New Roman"/>
          <w:color w:val="auto"/>
          <w:sz w:val="21"/>
          <w:szCs w:val="21"/>
        </w:rPr>
      </w:pPr>
      <w:r>
        <w:rPr>
          <w:rFonts w:hint="eastAsia" w:ascii="Calibri" w:hAnsi="Calibri" w:eastAsia="宋体" w:cs="Times New Roman"/>
          <w:color w:val="auto"/>
          <w:sz w:val="21"/>
          <w:szCs w:val="21"/>
        </w:rPr>
        <w:t>课程考核包括期末考查、课堂出勤、课堂表现、课后语音打卡，期末考查建议采用以普通话水平测试的朗读和说话等方式进行。</w:t>
      </w:r>
    </w:p>
    <w:p w14:paraId="274C7B3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Calibri" w:hAnsi="Calibri" w:eastAsia="宋体" w:cs="Times New Roman"/>
          <w:b/>
          <w:bCs w:val="0"/>
          <w:color w:val="auto"/>
          <w:sz w:val="21"/>
          <w:szCs w:val="21"/>
        </w:rPr>
      </w:pPr>
      <w:r>
        <w:rPr>
          <w:rFonts w:hint="eastAsia" w:ascii="Calibri" w:hAnsi="Calibri" w:eastAsia="宋体" w:cs="Times New Roman"/>
          <w:b/>
          <w:bCs w:val="0"/>
          <w:color w:val="auto"/>
          <w:sz w:val="21"/>
          <w:szCs w:val="21"/>
        </w:rPr>
        <w:t>（二）参考书目及学习资料</w:t>
      </w:r>
    </w:p>
    <w:p w14:paraId="3C1EDD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b w:val="0"/>
          <w:bCs/>
          <w:color w:val="auto"/>
          <w:sz w:val="21"/>
          <w:szCs w:val="21"/>
        </w:rPr>
      </w:pPr>
      <w:r>
        <w:rPr>
          <w:rFonts w:hint="eastAsia" w:ascii="宋体" w:hAnsi="宋体" w:eastAsia="宋体" w:cs="Times New Roman"/>
          <w:b w:val="0"/>
          <w:bCs/>
          <w:color w:val="auto"/>
          <w:sz w:val="21"/>
          <w:szCs w:val="21"/>
        </w:rPr>
        <w:t>1.教材</w:t>
      </w:r>
    </w:p>
    <w:p w14:paraId="071E4A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b w:val="0"/>
          <w:bCs/>
          <w:color w:val="auto"/>
          <w:kern w:val="0"/>
          <w:sz w:val="21"/>
          <w:szCs w:val="21"/>
        </w:rPr>
      </w:pPr>
      <w:r>
        <w:rPr>
          <w:rFonts w:hint="eastAsia" w:ascii="宋体" w:hAnsi="宋体" w:eastAsia="宋体" w:cs="Times New Roman"/>
          <w:b w:val="0"/>
          <w:bCs/>
          <w:color w:val="auto"/>
          <w:sz w:val="21"/>
          <w:szCs w:val="21"/>
        </w:rPr>
        <w:t>《普通话水平测试指导用书》(最新版）普通话水平测试研究组,语文出版社，2024</w:t>
      </w:r>
    </w:p>
    <w:p w14:paraId="302DCE7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b w:val="0"/>
          <w:bCs/>
          <w:color w:val="auto"/>
          <w:sz w:val="21"/>
          <w:szCs w:val="21"/>
        </w:rPr>
      </w:pPr>
      <w:r>
        <w:rPr>
          <w:rFonts w:hint="eastAsia" w:ascii="宋体" w:hAnsi="宋体" w:eastAsia="宋体" w:cs="Times New Roman"/>
          <w:b w:val="0"/>
          <w:bCs/>
          <w:color w:val="auto"/>
          <w:sz w:val="21"/>
          <w:szCs w:val="21"/>
        </w:rPr>
        <w:t>2.参考书目</w:t>
      </w:r>
    </w:p>
    <w:p w14:paraId="6855F5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b w:val="0"/>
          <w:bCs/>
          <w:color w:val="auto"/>
          <w:kern w:val="0"/>
          <w:sz w:val="21"/>
          <w:szCs w:val="21"/>
        </w:rPr>
      </w:pPr>
      <w:r>
        <w:rPr>
          <w:rFonts w:hint="eastAsia" w:ascii="宋体" w:hAnsi="宋体" w:eastAsia="宋体" w:cs="Times New Roman"/>
          <w:b w:val="0"/>
          <w:bCs/>
          <w:color w:val="auto"/>
          <w:sz w:val="21"/>
          <w:szCs w:val="21"/>
          <w:lang w:eastAsia="zh-CN"/>
        </w:rPr>
        <w:t>（</w:t>
      </w:r>
      <w:r>
        <w:rPr>
          <w:rFonts w:hint="eastAsia" w:ascii="宋体" w:hAnsi="宋体" w:eastAsia="宋体" w:cs="Times New Roman"/>
          <w:b w:val="0"/>
          <w:bCs/>
          <w:color w:val="auto"/>
          <w:sz w:val="21"/>
          <w:szCs w:val="21"/>
          <w:lang w:val="en-US" w:eastAsia="zh-CN"/>
        </w:rPr>
        <w:t>1</w:t>
      </w:r>
      <w:r>
        <w:rPr>
          <w:rFonts w:hint="eastAsia" w:ascii="宋体" w:hAnsi="宋体" w:eastAsia="宋体" w:cs="Times New Roman"/>
          <w:b w:val="0"/>
          <w:bCs/>
          <w:color w:val="auto"/>
          <w:sz w:val="21"/>
          <w:szCs w:val="21"/>
          <w:lang w:eastAsia="zh-CN"/>
        </w:rPr>
        <w:t>）</w:t>
      </w:r>
      <w:r>
        <w:rPr>
          <w:rFonts w:hint="eastAsia" w:ascii="宋体" w:hAnsi="宋体" w:eastAsia="宋体" w:cs="Times New Roman"/>
          <w:b w:val="0"/>
          <w:bCs/>
          <w:color w:val="auto"/>
          <w:sz w:val="21"/>
          <w:szCs w:val="21"/>
        </w:rPr>
        <w:t>普通话水平测试研究组.《普通话水平测试指导用书》(最新版）.语文出版社，2024</w:t>
      </w:r>
    </w:p>
    <w:p w14:paraId="44C6AC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b w:val="0"/>
          <w:bCs/>
          <w:color w:val="auto"/>
          <w:sz w:val="21"/>
          <w:szCs w:val="21"/>
        </w:rPr>
      </w:pPr>
      <w:r>
        <w:rPr>
          <w:rFonts w:hint="eastAsia" w:ascii="宋体" w:hAnsi="宋体" w:eastAsia="宋体" w:cs="Times New Roman"/>
          <w:b w:val="0"/>
          <w:bCs/>
          <w:color w:val="auto"/>
          <w:sz w:val="21"/>
          <w:szCs w:val="21"/>
          <w:lang w:eastAsia="zh-CN"/>
        </w:rPr>
        <w:t>（</w:t>
      </w:r>
      <w:r>
        <w:rPr>
          <w:rFonts w:hint="eastAsia" w:ascii="宋体" w:hAnsi="宋体" w:eastAsia="宋体" w:cs="Times New Roman"/>
          <w:b w:val="0"/>
          <w:bCs/>
          <w:color w:val="auto"/>
          <w:sz w:val="21"/>
          <w:szCs w:val="21"/>
          <w:lang w:val="en-US" w:eastAsia="zh-CN"/>
        </w:rPr>
        <w:t>2</w:t>
      </w:r>
      <w:r>
        <w:rPr>
          <w:rFonts w:hint="eastAsia" w:ascii="宋体" w:hAnsi="宋体" w:eastAsia="宋体" w:cs="Times New Roman"/>
          <w:b w:val="0"/>
          <w:bCs/>
          <w:color w:val="auto"/>
          <w:sz w:val="21"/>
          <w:szCs w:val="21"/>
          <w:lang w:eastAsia="zh-CN"/>
        </w:rPr>
        <w:t>）</w:t>
      </w:r>
      <w:r>
        <w:rPr>
          <w:rFonts w:hint="eastAsia" w:ascii="宋体" w:hAnsi="宋体" w:eastAsia="宋体" w:cs="Times New Roman"/>
          <w:b w:val="0"/>
          <w:bCs/>
          <w:color w:val="auto"/>
          <w:sz w:val="21"/>
          <w:szCs w:val="21"/>
        </w:rPr>
        <w:t>秦存钢等.普通话口语教程.高等教育出版社,2018</w:t>
      </w:r>
    </w:p>
    <w:p w14:paraId="14CEDC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b w:val="0"/>
          <w:bCs/>
          <w:color w:val="auto"/>
          <w:sz w:val="21"/>
          <w:szCs w:val="21"/>
        </w:rPr>
      </w:pPr>
      <w:r>
        <w:rPr>
          <w:rFonts w:hint="eastAsia" w:ascii="宋体" w:hAnsi="宋体" w:eastAsia="宋体" w:cs="Times New Roman"/>
          <w:b w:val="0"/>
          <w:bCs/>
          <w:color w:val="auto"/>
          <w:sz w:val="21"/>
          <w:szCs w:val="21"/>
          <w:lang w:eastAsia="zh-CN"/>
        </w:rPr>
        <w:t>（</w:t>
      </w:r>
      <w:r>
        <w:rPr>
          <w:rFonts w:hint="eastAsia" w:ascii="宋体" w:hAnsi="宋体" w:eastAsia="宋体" w:cs="Times New Roman"/>
          <w:b w:val="0"/>
          <w:bCs/>
          <w:color w:val="auto"/>
          <w:sz w:val="21"/>
          <w:szCs w:val="21"/>
          <w:lang w:val="en-US" w:eastAsia="zh-CN"/>
        </w:rPr>
        <w:t>3</w:t>
      </w:r>
      <w:r>
        <w:rPr>
          <w:rFonts w:hint="eastAsia" w:ascii="宋体" w:hAnsi="宋体" w:eastAsia="宋体" w:cs="Times New Roman"/>
          <w:b w:val="0"/>
          <w:bCs/>
          <w:color w:val="auto"/>
          <w:sz w:val="21"/>
          <w:szCs w:val="21"/>
          <w:lang w:eastAsia="zh-CN"/>
        </w:rPr>
        <w:t>）</w:t>
      </w:r>
      <w:r>
        <w:rPr>
          <w:rFonts w:hint="eastAsia" w:ascii="宋体" w:hAnsi="宋体" w:eastAsia="宋体" w:cs="Times New Roman"/>
          <w:b w:val="0"/>
          <w:bCs/>
          <w:color w:val="auto"/>
          <w:sz w:val="21"/>
          <w:szCs w:val="21"/>
        </w:rPr>
        <w:t>高乃尧.普通话教程.江苏大学出版社,2022</w:t>
      </w:r>
    </w:p>
    <w:p w14:paraId="5EFF317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b w:val="0"/>
          <w:bCs/>
          <w:color w:val="auto"/>
          <w:sz w:val="21"/>
          <w:szCs w:val="21"/>
        </w:rPr>
      </w:pPr>
      <w:r>
        <w:rPr>
          <w:rFonts w:hint="eastAsia" w:ascii="宋体" w:hAnsi="宋体" w:eastAsia="宋体" w:cs="Times New Roman"/>
          <w:b w:val="0"/>
          <w:bCs/>
          <w:color w:val="auto"/>
          <w:sz w:val="21"/>
          <w:szCs w:val="21"/>
          <w:lang w:eastAsia="zh-CN"/>
        </w:rPr>
        <w:t>（</w:t>
      </w:r>
      <w:r>
        <w:rPr>
          <w:rFonts w:hint="eastAsia" w:ascii="宋体" w:hAnsi="宋体" w:eastAsia="宋体" w:cs="Times New Roman"/>
          <w:b w:val="0"/>
          <w:bCs/>
          <w:color w:val="auto"/>
          <w:sz w:val="21"/>
          <w:szCs w:val="21"/>
          <w:lang w:val="en-US" w:eastAsia="zh-CN"/>
        </w:rPr>
        <w:t>4</w:t>
      </w:r>
      <w:r>
        <w:rPr>
          <w:rFonts w:hint="eastAsia" w:ascii="宋体" w:hAnsi="宋体" w:eastAsia="宋体" w:cs="Times New Roman"/>
          <w:b w:val="0"/>
          <w:bCs/>
          <w:color w:val="auto"/>
          <w:sz w:val="21"/>
          <w:szCs w:val="21"/>
          <w:lang w:eastAsia="zh-CN"/>
        </w:rPr>
        <w:t>）</w:t>
      </w:r>
      <w:r>
        <w:rPr>
          <w:rFonts w:hint="eastAsia" w:ascii="宋体" w:hAnsi="宋体" w:eastAsia="宋体" w:cs="Times New Roman"/>
          <w:b w:val="0"/>
          <w:bCs/>
          <w:color w:val="auto"/>
          <w:sz w:val="21"/>
          <w:szCs w:val="21"/>
        </w:rPr>
        <w:t>周芸等.普通话训练与测试.北京大学出版社,2023</w:t>
      </w:r>
    </w:p>
    <w:p w14:paraId="7F197E3D">
      <w:pPr>
        <w:autoSpaceDE w:val="0"/>
        <w:autoSpaceDN w:val="0"/>
        <w:adjustRightInd w:val="0"/>
        <w:spacing w:line="360" w:lineRule="auto"/>
        <w:ind w:firstLine="480" w:firstLineChars="200"/>
        <w:jc w:val="right"/>
        <w:rPr>
          <w:rFonts w:ascii="Calibri" w:hAnsi="Calibri" w:eastAsia="宋体" w:cs="Times New Roman"/>
          <w:color w:val="auto"/>
          <w:sz w:val="24"/>
        </w:rPr>
      </w:pPr>
      <w:r>
        <w:rPr>
          <w:rFonts w:ascii="Calibri" w:hAnsi="Calibri" w:eastAsia="宋体" w:cs="Times New Roman"/>
          <w:color w:val="auto"/>
          <w:sz w:val="24"/>
        </w:rPr>
        <w:t xml:space="preserve">                                                   </w:t>
      </w:r>
    </w:p>
    <w:p w14:paraId="100CEC77">
      <w:pPr>
        <w:autoSpaceDE w:val="0"/>
        <w:autoSpaceDN w:val="0"/>
        <w:adjustRightInd w:val="0"/>
        <w:spacing w:line="360" w:lineRule="auto"/>
        <w:ind w:left="210" w:leftChars="100" w:firstLine="480" w:firstLineChars="200"/>
        <w:jc w:val="center"/>
        <w:rPr>
          <w:rFonts w:ascii="Calibri" w:hAnsi="Calibri" w:eastAsia="宋体" w:cs="Times New Roman"/>
          <w:color w:val="auto"/>
          <w:kern w:val="0"/>
          <w:sz w:val="21"/>
          <w:szCs w:val="18"/>
        </w:rPr>
      </w:pPr>
      <w:r>
        <w:rPr>
          <w:rFonts w:ascii="Calibri" w:hAnsi="Calibri" w:eastAsia="宋体" w:cs="Times New Roman"/>
          <w:color w:val="auto"/>
          <w:sz w:val="24"/>
        </w:rPr>
        <w:t xml:space="preserve">                                    </w:t>
      </w:r>
      <w:r>
        <w:rPr>
          <w:rFonts w:hint="eastAsia" w:ascii="Calibri" w:hAnsi="Calibri" w:eastAsia="宋体" w:cs="Times New Roman"/>
          <w:color w:val="auto"/>
          <w:kern w:val="0"/>
          <w:sz w:val="21"/>
          <w:szCs w:val="18"/>
        </w:rPr>
        <w:t>执笔人：张香萍</w:t>
      </w:r>
      <w:r>
        <w:rPr>
          <w:rFonts w:ascii="Calibri" w:hAnsi="Calibri" w:eastAsia="宋体" w:cs="Times New Roman"/>
          <w:color w:val="auto"/>
          <w:kern w:val="0"/>
          <w:sz w:val="21"/>
          <w:szCs w:val="18"/>
        </w:rPr>
        <w:t xml:space="preserve">                                                                                          </w:t>
      </w:r>
    </w:p>
    <w:p w14:paraId="5AD83FE9">
      <w:pPr>
        <w:autoSpaceDE w:val="0"/>
        <w:autoSpaceDN w:val="0"/>
        <w:adjustRightInd w:val="0"/>
        <w:spacing w:line="360" w:lineRule="auto"/>
        <w:ind w:firstLine="5880" w:firstLineChars="2800"/>
        <w:rPr>
          <w:rFonts w:hint="eastAsia" w:ascii="宋体" w:hAnsi="宋体" w:eastAsia="宋体" w:cs="Times New Roman"/>
          <w:color w:val="auto"/>
          <w:kern w:val="0"/>
          <w:sz w:val="21"/>
          <w:szCs w:val="18"/>
        </w:rPr>
      </w:pPr>
      <w:r>
        <w:rPr>
          <w:rFonts w:hint="eastAsia" w:ascii="Calibri" w:hAnsi="Calibri" w:eastAsia="宋体" w:cs="Times New Roman"/>
          <w:color w:val="auto"/>
          <w:kern w:val="0"/>
          <w:sz w:val="21"/>
          <w:szCs w:val="18"/>
        </w:rPr>
        <w:t>审定人：</w:t>
      </w:r>
      <w:r>
        <w:rPr>
          <w:rFonts w:hint="eastAsia" w:ascii="宋体" w:hAnsi="宋体" w:eastAsia="宋体" w:cs="Times New Roman"/>
          <w:color w:val="auto"/>
          <w:kern w:val="0"/>
          <w:sz w:val="21"/>
          <w:szCs w:val="18"/>
        </w:rPr>
        <w:t>张</w:t>
      </w:r>
      <w:r>
        <w:rPr>
          <w:rFonts w:hint="eastAsia" w:ascii="宋体" w:hAnsi="宋体" w:eastAsia="宋体" w:cs="Times New Roman"/>
          <w:color w:val="auto"/>
          <w:kern w:val="0"/>
          <w:sz w:val="21"/>
          <w:szCs w:val="18"/>
          <w:lang w:val="en-US" w:eastAsia="zh-CN"/>
        </w:rPr>
        <w:t xml:space="preserve">  </w:t>
      </w:r>
      <w:r>
        <w:rPr>
          <w:rFonts w:hint="eastAsia" w:ascii="宋体" w:hAnsi="宋体" w:eastAsia="宋体" w:cs="Times New Roman"/>
          <w:color w:val="auto"/>
          <w:kern w:val="0"/>
          <w:sz w:val="21"/>
          <w:szCs w:val="18"/>
        </w:rPr>
        <w:t>律</w:t>
      </w:r>
    </w:p>
    <w:p w14:paraId="3518ADB4">
      <w:pPr>
        <w:autoSpaceDE w:val="0"/>
        <w:autoSpaceDN w:val="0"/>
        <w:adjustRightInd w:val="0"/>
        <w:spacing w:line="360" w:lineRule="auto"/>
        <w:ind w:firstLine="5880" w:firstLineChars="2800"/>
        <w:rPr>
          <w:rFonts w:hint="eastAsia" w:ascii="宋体" w:hAnsi="宋体" w:eastAsia="宋体" w:cs="Times New Roman"/>
          <w:color w:val="auto"/>
          <w:kern w:val="0"/>
          <w:sz w:val="21"/>
          <w:szCs w:val="18"/>
        </w:rPr>
      </w:pPr>
      <w:r>
        <w:rPr>
          <w:rFonts w:hint="eastAsia" w:ascii="宋体" w:hAnsi="宋体" w:eastAsia="宋体" w:cs="Times New Roman"/>
          <w:color w:val="auto"/>
          <w:kern w:val="0"/>
          <w:sz w:val="21"/>
          <w:szCs w:val="18"/>
        </w:rPr>
        <w:t>审批人：岳</w:t>
      </w:r>
      <w:r>
        <w:rPr>
          <w:rFonts w:hint="eastAsia" w:ascii="宋体" w:hAnsi="宋体" w:eastAsia="宋体" w:cs="Times New Roman"/>
          <w:color w:val="auto"/>
          <w:kern w:val="0"/>
          <w:sz w:val="21"/>
          <w:szCs w:val="18"/>
          <w:lang w:val="en-US" w:eastAsia="zh-CN"/>
        </w:rPr>
        <w:t xml:space="preserve">  </w:t>
      </w:r>
      <w:r>
        <w:rPr>
          <w:rFonts w:hint="eastAsia" w:ascii="宋体" w:hAnsi="宋体" w:eastAsia="宋体" w:cs="Times New Roman"/>
          <w:color w:val="auto"/>
          <w:kern w:val="0"/>
          <w:sz w:val="21"/>
          <w:szCs w:val="18"/>
        </w:rPr>
        <w:t>芬</w:t>
      </w:r>
    </w:p>
    <w:p w14:paraId="0ECCA6FD">
      <w:pPr>
        <w:autoSpaceDE w:val="0"/>
        <w:autoSpaceDN w:val="0"/>
        <w:adjustRightInd w:val="0"/>
        <w:spacing w:line="360" w:lineRule="auto"/>
        <w:ind w:firstLine="5880" w:firstLineChars="2800"/>
        <w:rPr>
          <w:rFonts w:hint="eastAsia" w:ascii="宋体" w:hAnsi="宋体" w:eastAsia="宋体" w:cs="Times New Roman"/>
          <w:color w:val="auto"/>
          <w:kern w:val="0"/>
          <w:sz w:val="21"/>
          <w:szCs w:val="18"/>
          <w:lang w:eastAsia="zh-CN"/>
        </w:rPr>
      </w:pPr>
      <w:r>
        <w:rPr>
          <w:rFonts w:hint="eastAsia" w:ascii="宋体" w:hAnsi="宋体" w:eastAsia="宋体" w:cs="Times New Roman"/>
          <w:color w:val="auto"/>
          <w:kern w:val="0"/>
          <w:sz w:val="21"/>
          <w:szCs w:val="18"/>
          <w:lang w:eastAsia="zh-CN"/>
        </w:rPr>
        <w:t>批准时间：2025年7月1日</w:t>
      </w:r>
    </w:p>
    <w:p w14:paraId="5C2EEE28">
      <w:pPr>
        <w:rPr>
          <w:color w:val="auto"/>
        </w:rPr>
      </w:pPr>
    </w:p>
    <w:p w14:paraId="0F7361DB">
      <w:pPr>
        <w:spacing w:line="360" w:lineRule="auto"/>
        <w:ind w:firstLine="562" w:firstLineChars="200"/>
        <w:rPr>
          <w:rFonts w:ascii="Calibri" w:hAnsi="Calibri" w:eastAsia="宋体" w:cs="Times New Roman"/>
          <w:b/>
          <w:color w:val="auto"/>
          <w:sz w:val="28"/>
          <w:szCs w:val="28"/>
        </w:rPr>
      </w:pPr>
    </w:p>
    <w:p w14:paraId="44173AA1">
      <w:pPr>
        <w:rPr>
          <w:color w:val="auto"/>
        </w:rPr>
      </w:pPr>
      <w:r>
        <w:rPr>
          <w:rFonts w:hint="eastAsia"/>
          <w:color w:val="auto"/>
        </w:rPr>
        <w:br w:type="page"/>
      </w:r>
    </w:p>
    <w:p w14:paraId="4A3107AE">
      <w:pPr>
        <w:spacing w:line="360" w:lineRule="auto"/>
        <w:jc w:val="center"/>
        <w:outlineLvl w:val="0"/>
        <w:rPr>
          <w:rFonts w:hint="eastAsia" w:ascii="Times New Roman" w:hAnsi="Times New Roman" w:eastAsia="宋体" w:cs="Times New Roman"/>
          <w:b/>
          <w:color w:val="auto"/>
          <w:sz w:val="44"/>
          <w:szCs w:val="44"/>
        </w:rPr>
      </w:pPr>
      <w:bookmarkStart w:id="209" w:name="_Toc21035"/>
      <w:r>
        <w:rPr>
          <w:rFonts w:hint="eastAsia" w:ascii="Times New Roman" w:hAnsi="Times New Roman" w:eastAsia="宋体" w:cs="Times New Roman"/>
          <w:b/>
          <w:color w:val="auto"/>
          <w:sz w:val="44"/>
          <w:szCs w:val="44"/>
        </w:rPr>
        <w:t>《小学心理学》课程教学大纲</w:t>
      </w:r>
      <w:bookmarkEnd w:id="203"/>
      <w:bookmarkEnd w:id="204"/>
      <w:bookmarkEnd w:id="209"/>
    </w:p>
    <w:p w14:paraId="56008C34">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（Psychology of Primary Children）</w:t>
      </w:r>
    </w:p>
    <w:p w14:paraId="6E0F999A">
      <w:pPr>
        <w:spacing w:line="360" w:lineRule="auto"/>
        <w:jc w:val="center"/>
        <w:rPr>
          <w:rFonts w:ascii="Times New Roman" w:hAnsi="Times New Roman" w:eastAsia="黑体" w:cs="Times New Roman"/>
          <w:bCs/>
          <w:color w:val="auto"/>
          <w:sz w:val="21"/>
          <w:szCs w:val="18"/>
        </w:rPr>
      </w:pPr>
    </w:p>
    <w:p w14:paraId="565DC972">
      <w:pPr>
        <w:spacing w:line="360" w:lineRule="auto"/>
        <w:ind w:firstLine="482" w:firstLineChars="200"/>
        <w:rPr>
          <w:rFonts w:ascii="Times New Roman" w:hAnsi="Times New Roman" w:eastAsia="宋体" w:cs="Times New Roman"/>
          <w:b/>
          <w:sz w:val="28"/>
          <w:szCs w:val="28"/>
        </w:rPr>
      </w:pPr>
      <w:r>
        <w:rPr>
          <w:rFonts w:ascii="Times New Roman" w:hAnsi="Times New Roman" w:eastAsia="宋体" w:cs="Times New Roman"/>
          <w:b/>
          <w:bCs/>
          <w:kern w:val="0"/>
          <w:sz w:val="24"/>
        </w:rPr>
        <w:t>课程代码</w:t>
      </w:r>
      <w:r>
        <w:rPr>
          <w:rFonts w:ascii="Times New Roman" w:hAnsi="Times New Roman" w:eastAsia="宋体" w:cs="Times New Roman"/>
          <w:b/>
          <w:kern w:val="0"/>
          <w:sz w:val="24"/>
        </w:rPr>
        <w:t>：</w:t>
      </w:r>
      <w:r>
        <w:rPr>
          <w:rFonts w:hint="eastAsia" w:ascii="宋体" w:hAnsi="宋体" w:eastAsia="宋体" w:cs="Times New Roman"/>
          <w:bCs/>
          <w:kern w:val="0"/>
          <w:sz w:val="24"/>
        </w:rPr>
        <w:t>2401</w:t>
      </w:r>
      <w:r>
        <w:rPr>
          <w:rFonts w:ascii="宋体" w:hAnsi="宋体" w:eastAsia="宋体" w:cs="Times New Roman"/>
          <w:bCs/>
          <w:kern w:val="0"/>
          <w:sz w:val="24"/>
        </w:rPr>
        <w:t>003</w:t>
      </w:r>
    </w:p>
    <w:p w14:paraId="6705F706">
      <w:pPr>
        <w:spacing w:line="360"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学    分</w:t>
      </w:r>
      <w:r>
        <w:rPr>
          <w:rFonts w:ascii="Times New Roman" w:hAnsi="Times New Roman" w:eastAsia="宋体" w:cs="Times New Roman"/>
          <w:b/>
          <w:kern w:val="0"/>
          <w:sz w:val="24"/>
        </w:rPr>
        <w:t>：</w:t>
      </w:r>
      <w:r>
        <w:rPr>
          <w:rFonts w:ascii="Times New Roman" w:hAnsi="Times New Roman" w:eastAsia="宋体" w:cs="Times New Roman"/>
          <w:kern w:val="0"/>
          <w:sz w:val="24"/>
        </w:rPr>
        <w:t>3</w:t>
      </w:r>
    </w:p>
    <w:p w14:paraId="6AE28E7F">
      <w:pPr>
        <w:spacing w:line="360"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学    时</w:t>
      </w:r>
      <w:r>
        <w:rPr>
          <w:rFonts w:ascii="Times New Roman" w:hAnsi="Times New Roman" w:eastAsia="宋体" w:cs="Times New Roman"/>
          <w:b/>
          <w:kern w:val="0"/>
          <w:sz w:val="24"/>
        </w:rPr>
        <w:t>：</w:t>
      </w:r>
      <w:r>
        <w:rPr>
          <w:rFonts w:ascii="Times New Roman" w:hAnsi="Times New Roman" w:eastAsia="宋体" w:cs="Times New Roman"/>
          <w:kern w:val="0"/>
          <w:sz w:val="24"/>
        </w:rPr>
        <w:t>48（其中：讲授学时39</w:t>
      </w:r>
      <w:r>
        <w:rPr>
          <w:rFonts w:hint="eastAsia" w:ascii="Times New Roman" w:hAnsi="Times New Roman" w:eastAsia="宋体" w:cs="Times New Roman"/>
          <w:kern w:val="0"/>
          <w:sz w:val="24"/>
        </w:rPr>
        <w:t>，</w:t>
      </w:r>
      <w:r>
        <w:rPr>
          <w:rFonts w:ascii="Times New Roman" w:hAnsi="Times New Roman" w:eastAsia="宋体" w:cs="Times New Roman"/>
          <w:kern w:val="0"/>
          <w:sz w:val="24"/>
        </w:rPr>
        <w:t>实验学时9）</w:t>
      </w:r>
    </w:p>
    <w:p w14:paraId="10819EDE">
      <w:pPr>
        <w:spacing w:line="360" w:lineRule="auto"/>
        <w:ind w:firstLine="482" w:firstLineChars="200"/>
        <w:rPr>
          <w:rFonts w:ascii="Times New Roman" w:hAnsi="Times New Roman" w:eastAsia="宋体" w:cs="Times New Roman"/>
          <w:kern w:val="0"/>
          <w:sz w:val="24"/>
        </w:rPr>
      </w:pPr>
      <w:r>
        <w:rPr>
          <w:rFonts w:hint="eastAsia" w:ascii="Times New Roman" w:hAnsi="Times New Roman" w:eastAsia="宋体" w:cs="Times New Roman"/>
          <w:b/>
          <w:bCs/>
          <w:kern w:val="0"/>
          <w:sz w:val="24"/>
        </w:rPr>
        <w:t>先修课程：</w:t>
      </w:r>
      <w:r>
        <w:rPr>
          <w:rFonts w:hint="eastAsia" w:ascii="Times New Roman" w:hAnsi="Times New Roman" w:eastAsia="宋体" w:cs="Times New Roman"/>
          <w:kern w:val="0"/>
          <w:sz w:val="24"/>
        </w:rPr>
        <w:t>无</w:t>
      </w:r>
    </w:p>
    <w:p w14:paraId="57B86085">
      <w:pPr>
        <w:spacing w:line="360"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适用专业</w:t>
      </w:r>
      <w:r>
        <w:rPr>
          <w:rFonts w:ascii="Times New Roman" w:hAnsi="Times New Roman" w:eastAsia="宋体" w:cs="Times New Roman"/>
          <w:b/>
          <w:kern w:val="0"/>
          <w:sz w:val="24"/>
        </w:rPr>
        <w:t>：</w:t>
      </w:r>
      <w:r>
        <w:rPr>
          <w:rFonts w:hint="eastAsia" w:ascii="Times New Roman" w:hAnsi="Times New Roman" w:eastAsia="宋体" w:cs="Times New Roman"/>
          <w:sz w:val="24"/>
        </w:rPr>
        <w:t>小学教育</w:t>
      </w:r>
      <w:r>
        <w:rPr>
          <w:rFonts w:ascii="Times New Roman" w:hAnsi="Times New Roman" w:eastAsia="黑体" w:cs="Times New Roman"/>
          <w:sz w:val="24"/>
        </w:rPr>
        <w:t xml:space="preserve">  </w:t>
      </w:r>
      <w:r>
        <w:rPr>
          <w:rFonts w:ascii="Times New Roman" w:hAnsi="Times New Roman" w:eastAsia="宋体" w:cs="Times New Roman"/>
          <w:kern w:val="0"/>
          <w:sz w:val="24"/>
        </w:rPr>
        <w:t xml:space="preserve"> </w:t>
      </w:r>
    </w:p>
    <w:p w14:paraId="575BBF28">
      <w:pPr>
        <w:spacing w:before="62" w:beforeLines="20" w:after="62" w:afterLines="20" w:line="360" w:lineRule="auto"/>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一、课程简介</w:t>
      </w:r>
    </w:p>
    <w:p w14:paraId="75C1507F">
      <w:pPr>
        <w:spacing w:line="360" w:lineRule="auto"/>
        <w:ind w:firstLine="420" w:firstLineChars="200"/>
        <w:rPr>
          <w:rFonts w:ascii="Times New Roman" w:hAnsi="Times New Roman" w:eastAsia="宋体" w:cs="Times New Roman"/>
          <w:kern w:val="0"/>
          <w:sz w:val="24"/>
        </w:rPr>
      </w:pPr>
      <w:r>
        <w:rPr>
          <w:rFonts w:hint="eastAsia" w:ascii="Times New Roman" w:hAnsi="Times New Roman" w:eastAsia="宋体" w:cs="Times New Roman"/>
          <w:kern w:val="0"/>
          <w:szCs w:val="21"/>
        </w:rPr>
        <w:t>本课程是小学教育的专业基础必修课，课程内容包括心理学基础和发展心理学的基本观点、心理学的研究方法，以及儿童认知、情感、意志、人格、道德等各个领域发展的基本规律和理论，和对小学儿童教育的建议。通过本课程的学习，学生要了解心理学的基本概念和理论框架，形成小学生心理发展的基本理念，一方面，掌握人类心理和行为的基本规律，并运用能心理学的基础知识，描述、解释小学儿童的心理特点，有效地指导今后的教育教学工作；另一方面，全面提升教师心理素质，养成健全人格，提高教育教学素养。本课程是后续教师教育类课程的先修课程。</w:t>
      </w:r>
      <w:r>
        <w:rPr>
          <w:rFonts w:ascii="Times New Roman" w:hAnsi="Times New Roman" w:eastAsia="宋体" w:cs="Times New Roman"/>
          <w:kern w:val="0"/>
          <w:sz w:val="24"/>
        </w:rPr>
        <w:t xml:space="preserve">                         </w:t>
      </w:r>
    </w:p>
    <w:p w14:paraId="143A18B7">
      <w:pPr>
        <w:spacing w:before="62" w:beforeLines="20" w:after="62" w:afterLines="20" w:line="360" w:lineRule="auto"/>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二、课程目标</w:t>
      </w:r>
    </w:p>
    <w:p w14:paraId="13D2F2A2">
      <w:pPr>
        <w:spacing w:line="360" w:lineRule="auto"/>
        <w:ind w:firstLine="422" w:firstLineChars="200"/>
        <w:rPr>
          <w:rFonts w:ascii="Times New Roman" w:hAnsi="Times New Roman" w:eastAsia="宋体" w:cs="Times New Roman"/>
          <w:b/>
          <w:szCs w:val="21"/>
        </w:rPr>
      </w:pPr>
      <w:r>
        <w:rPr>
          <w:rFonts w:hint="eastAsia" w:ascii="Times New Roman" w:hAnsi="Times New Roman" w:eastAsia="宋体" w:cs="Times New Roman"/>
          <w:b/>
          <w:szCs w:val="21"/>
        </w:rPr>
        <w:t>（一）课程具体目标</w:t>
      </w:r>
    </w:p>
    <w:p w14:paraId="1EB2F5A3">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szCs w:val="21"/>
        </w:rPr>
        <w:t>目标1.了解心理学的学科特点，掌握心理学的研究方法，心理现象的基本构成和主要特点，能结合实际分析心理的心理过程和个性的心理的特征，具有科学思维，形成科学的儿童观和教育观。</w:t>
      </w:r>
    </w:p>
    <w:p w14:paraId="52863E50">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szCs w:val="21"/>
        </w:rPr>
        <w:t>目标2.理解不同年龄的小学儿童身心发展特点和规律，掌握小学生心理发展的特征，学会分析影响小学儿童身心发展的因素，初步学会培养小学儿童健康发展的方法。</w:t>
      </w:r>
    </w:p>
    <w:p w14:paraId="03116393">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szCs w:val="21"/>
        </w:rPr>
        <w:t>目标3.形成科学的儿童发展观，初步具有现代儿童教育理念，初步掌握保护和促进小学儿童身心健康发展的策略和方法。</w:t>
      </w:r>
    </w:p>
    <w:p w14:paraId="4D25B014">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6"/>
        <w:tblW w:w="8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6024"/>
        <w:gridCol w:w="1191"/>
      </w:tblGrid>
      <w:tr w14:paraId="2AA8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14:paraId="39E0D984">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w:t>
            </w:r>
          </w:p>
        </w:tc>
        <w:tc>
          <w:tcPr>
            <w:tcW w:w="6024" w:type="dxa"/>
            <w:vAlign w:val="center"/>
          </w:tcPr>
          <w:p w14:paraId="02057D2A">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毕业要求指标点</w:t>
            </w:r>
          </w:p>
        </w:tc>
        <w:tc>
          <w:tcPr>
            <w:tcW w:w="1191" w:type="dxa"/>
            <w:vAlign w:val="center"/>
          </w:tcPr>
          <w:p w14:paraId="279F706D">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课程目标</w:t>
            </w:r>
          </w:p>
        </w:tc>
      </w:tr>
      <w:tr w14:paraId="7BA8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14:paraId="5AB1ADD7">
            <w:pPr>
              <w:spacing w:line="276" w:lineRule="auto"/>
              <w:jc w:val="center"/>
              <w:rPr>
                <w:rFonts w:hint="eastAsia"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毕业要求5</w:t>
            </w:r>
          </w:p>
          <w:p w14:paraId="2ABEDDCE">
            <w:pPr>
              <w:spacing w:line="276"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学生管理</w:t>
            </w:r>
          </w:p>
        </w:tc>
        <w:tc>
          <w:tcPr>
            <w:tcW w:w="6024" w:type="dxa"/>
            <w:vAlign w:val="center"/>
          </w:tcPr>
          <w:p w14:paraId="774FF216">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b/>
                <w:bCs/>
                <w:kern w:val="0"/>
                <w:sz w:val="20"/>
                <w:szCs w:val="21"/>
              </w:rPr>
              <w:t>指标点5-2：</w:t>
            </w:r>
            <w:r>
              <w:rPr>
                <w:rFonts w:hint="eastAsia" w:ascii="Times New Roman" w:hAnsi="Times New Roman" w:eastAsia="宋体" w:cs="Times New Roman"/>
                <w:kern w:val="0"/>
                <w:sz w:val="20"/>
                <w:szCs w:val="21"/>
              </w:rPr>
              <w:t>【重视身心健康教育】了解小学生身体、情感发展的特性和差异性，包括小学生日常卫生保健、传染病预防、意外伤害事故处理等相关知识，掌握面临特殊事件发生时保护学生的基本方法。获得小学心理健康教育指导体验，在教育教学实践中，参与组织与指导对小学生心理健康教育的科普宣传及心理辅导，掌握小学心理健康教育的基本方法。</w:t>
            </w:r>
          </w:p>
        </w:tc>
        <w:tc>
          <w:tcPr>
            <w:tcW w:w="1191" w:type="dxa"/>
            <w:vAlign w:val="center"/>
          </w:tcPr>
          <w:p w14:paraId="5107366B">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课程目标1</w:t>
            </w:r>
          </w:p>
          <w:p w14:paraId="1CBF8D9A">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课程目标3</w:t>
            </w:r>
          </w:p>
        </w:tc>
      </w:tr>
      <w:tr w14:paraId="61DE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14:paraId="15CB64FC">
            <w:pPr>
              <w:spacing w:line="276" w:lineRule="auto"/>
              <w:jc w:val="center"/>
              <w:rPr>
                <w:rFonts w:hint="eastAsia"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毕业要求6</w:t>
            </w:r>
          </w:p>
          <w:p w14:paraId="77501EF7">
            <w:pPr>
              <w:spacing w:line="276"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综合育人</w:t>
            </w:r>
          </w:p>
        </w:tc>
        <w:tc>
          <w:tcPr>
            <w:tcW w:w="6024" w:type="dxa"/>
            <w:vAlign w:val="center"/>
          </w:tcPr>
          <w:p w14:paraId="57C0D21B">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b/>
                <w:bCs/>
                <w:kern w:val="0"/>
                <w:sz w:val="20"/>
                <w:szCs w:val="21"/>
              </w:rPr>
              <w:t>指标点6-1：</w:t>
            </w:r>
            <w:r>
              <w:rPr>
                <w:rFonts w:hint="eastAsia" w:ascii="Times New Roman" w:hAnsi="Times New Roman" w:eastAsia="宋体" w:cs="Times New Roman"/>
                <w:kern w:val="0"/>
                <w:sz w:val="20"/>
                <w:szCs w:val="21"/>
              </w:rPr>
              <w:t>【遵循身心规律】了解不同年龄以及有特殊需要的小学生的身心发展特点和规律、不同年龄小学生学习的特点，掌握小学生良好行为习惯养成的知识。</w:t>
            </w:r>
          </w:p>
        </w:tc>
        <w:tc>
          <w:tcPr>
            <w:tcW w:w="1191" w:type="dxa"/>
            <w:vAlign w:val="center"/>
          </w:tcPr>
          <w:p w14:paraId="1B4930B3">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课程目标2</w:t>
            </w:r>
          </w:p>
        </w:tc>
      </w:tr>
    </w:tbl>
    <w:p w14:paraId="1D2C4EAE">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47D33CAE">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学生在扎实掌握小学心理学学科知识体系、思想与方法的基础上，践行社会主义核心价值观，认同中国特色社会主义，贯彻党的教育方针，以立德树人为己任，认同教师工作的意义和专业性，形成科学的儿童观，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0DCBC664">
      <w:pPr>
        <w:spacing w:before="62" w:beforeLines="20" w:after="62" w:afterLines="20" w:line="360" w:lineRule="auto"/>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769"/>
        <w:gridCol w:w="1050"/>
        <w:gridCol w:w="18"/>
        <w:gridCol w:w="3261"/>
        <w:gridCol w:w="1560"/>
        <w:gridCol w:w="438"/>
      </w:tblGrid>
      <w:tr w14:paraId="719A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Align w:val="center"/>
          </w:tcPr>
          <w:p w14:paraId="5D86A25F">
            <w:pPr>
              <w:jc w:val="center"/>
              <w:rPr>
                <w:rFonts w:hint="eastAsia" w:ascii="宋体" w:hAnsi="宋体" w:eastAsia="宋体" w:cs="Times New Roman"/>
                <w:b/>
                <w:kern w:val="0"/>
                <w:szCs w:val="21"/>
              </w:rPr>
            </w:pPr>
            <w:r>
              <w:rPr>
                <w:rFonts w:hint="eastAsia" w:ascii="宋体" w:hAnsi="宋体" w:eastAsia="宋体" w:cs="Times New Roman"/>
                <w:b/>
                <w:kern w:val="0"/>
                <w:szCs w:val="21"/>
              </w:rPr>
              <w:t>知识</w:t>
            </w:r>
          </w:p>
          <w:p w14:paraId="1110119F">
            <w:pPr>
              <w:jc w:val="center"/>
              <w:rPr>
                <w:rFonts w:hint="eastAsia" w:ascii="宋体" w:hAnsi="宋体" w:eastAsia="宋体" w:cs="Times New Roman"/>
                <w:b/>
                <w:kern w:val="0"/>
                <w:szCs w:val="21"/>
              </w:rPr>
            </w:pPr>
            <w:r>
              <w:rPr>
                <w:rFonts w:hint="eastAsia" w:ascii="宋体" w:hAnsi="宋体" w:eastAsia="宋体" w:cs="Times New Roman"/>
                <w:b/>
                <w:kern w:val="0"/>
                <w:szCs w:val="21"/>
              </w:rPr>
              <w:t>单元</w:t>
            </w:r>
          </w:p>
        </w:tc>
        <w:tc>
          <w:tcPr>
            <w:tcW w:w="1769" w:type="dxa"/>
            <w:vAlign w:val="center"/>
          </w:tcPr>
          <w:p w14:paraId="3080C4F3">
            <w:pPr>
              <w:jc w:val="center"/>
              <w:rPr>
                <w:rFonts w:hint="eastAsia" w:ascii="宋体" w:hAnsi="宋体" w:eastAsia="宋体" w:cs="Times New Roman"/>
                <w:b/>
                <w:kern w:val="0"/>
                <w:szCs w:val="21"/>
              </w:rPr>
            </w:pPr>
            <w:r>
              <w:rPr>
                <w:rFonts w:hint="eastAsia" w:ascii="宋体" w:hAnsi="宋体" w:eastAsia="宋体" w:cs="Times New Roman"/>
                <w:b/>
                <w:kern w:val="0"/>
                <w:szCs w:val="21"/>
              </w:rPr>
              <w:t>知识点</w:t>
            </w:r>
          </w:p>
        </w:tc>
        <w:tc>
          <w:tcPr>
            <w:tcW w:w="1068" w:type="dxa"/>
            <w:gridSpan w:val="2"/>
            <w:vAlign w:val="center"/>
          </w:tcPr>
          <w:p w14:paraId="57105CFE">
            <w:pPr>
              <w:jc w:val="center"/>
              <w:rPr>
                <w:rFonts w:hint="eastAsia" w:ascii="宋体" w:hAnsi="宋体" w:eastAsia="宋体" w:cs="Times New Roman"/>
                <w:b/>
                <w:kern w:val="0"/>
                <w:szCs w:val="21"/>
              </w:rPr>
            </w:pPr>
            <w:r>
              <w:rPr>
                <w:rFonts w:hint="eastAsia" w:ascii="宋体" w:hAnsi="宋体" w:eastAsia="宋体" w:cs="Times New Roman"/>
                <w:b/>
                <w:kern w:val="0"/>
                <w:szCs w:val="21"/>
              </w:rPr>
              <w:t>对应</w:t>
            </w:r>
          </w:p>
          <w:p w14:paraId="29CC5763">
            <w:pPr>
              <w:jc w:val="center"/>
              <w:rPr>
                <w:rFonts w:hint="eastAsia" w:ascii="宋体" w:hAnsi="宋体" w:eastAsia="宋体" w:cs="Times New Roman"/>
                <w:b/>
                <w:kern w:val="0"/>
                <w:szCs w:val="21"/>
              </w:rPr>
            </w:pPr>
            <w:r>
              <w:rPr>
                <w:rFonts w:hint="eastAsia" w:ascii="宋体" w:hAnsi="宋体" w:eastAsia="宋体" w:cs="Times New Roman"/>
                <w:b/>
                <w:kern w:val="0"/>
                <w:szCs w:val="21"/>
              </w:rPr>
              <w:t>课程目标</w:t>
            </w:r>
          </w:p>
        </w:tc>
        <w:tc>
          <w:tcPr>
            <w:tcW w:w="3261" w:type="dxa"/>
            <w:vAlign w:val="center"/>
          </w:tcPr>
          <w:p w14:paraId="1F414603">
            <w:pPr>
              <w:jc w:val="center"/>
              <w:rPr>
                <w:rFonts w:hint="eastAsia" w:ascii="宋体" w:hAnsi="宋体" w:eastAsia="宋体" w:cs="Times New Roman"/>
                <w:b/>
                <w:kern w:val="0"/>
                <w:szCs w:val="21"/>
              </w:rPr>
            </w:pPr>
            <w:r>
              <w:rPr>
                <w:rFonts w:hint="eastAsia" w:ascii="宋体" w:hAnsi="宋体" w:eastAsia="宋体" w:cs="Times New Roman"/>
                <w:b/>
                <w:kern w:val="0"/>
                <w:szCs w:val="21"/>
              </w:rPr>
              <w:t>预期学习成效</w:t>
            </w:r>
          </w:p>
        </w:tc>
        <w:tc>
          <w:tcPr>
            <w:tcW w:w="1560" w:type="dxa"/>
            <w:vAlign w:val="center"/>
          </w:tcPr>
          <w:p w14:paraId="26279AC9">
            <w:pPr>
              <w:jc w:val="center"/>
              <w:rPr>
                <w:rFonts w:hint="eastAsia" w:ascii="宋体" w:hAnsi="宋体" w:eastAsia="宋体" w:cs="Times New Roman"/>
                <w:b/>
                <w:kern w:val="0"/>
                <w:szCs w:val="21"/>
              </w:rPr>
            </w:pPr>
            <w:r>
              <w:rPr>
                <w:rFonts w:hint="eastAsia" w:ascii="宋体" w:hAnsi="宋体" w:eastAsia="宋体" w:cs="Times New Roman"/>
                <w:b/>
                <w:kern w:val="0"/>
                <w:szCs w:val="21"/>
              </w:rPr>
              <w:t>实践环节</w:t>
            </w:r>
          </w:p>
        </w:tc>
        <w:tc>
          <w:tcPr>
            <w:tcW w:w="438" w:type="dxa"/>
            <w:vAlign w:val="center"/>
          </w:tcPr>
          <w:p w14:paraId="5869E59D">
            <w:pPr>
              <w:jc w:val="center"/>
              <w:rPr>
                <w:rFonts w:hint="eastAsia" w:ascii="宋体" w:hAnsi="宋体" w:eastAsia="宋体" w:cs="Times New Roman"/>
                <w:b/>
                <w:kern w:val="0"/>
                <w:szCs w:val="21"/>
              </w:rPr>
            </w:pPr>
            <w:r>
              <w:rPr>
                <w:rFonts w:hint="eastAsia" w:ascii="宋体" w:hAnsi="宋体" w:eastAsia="宋体" w:cs="Times New Roman"/>
                <w:b/>
                <w:kern w:val="0"/>
                <w:szCs w:val="21"/>
              </w:rPr>
              <w:t>学时</w:t>
            </w:r>
          </w:p>
        </w:tc>
      </w:tr>
      <w:tr w14:paraId="04CC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52456B43">
            <w:pPr>
              <w:jc w:val="center"/>
              <w:rPr>
                <w:rFonts w:hint="eastAsia" w:ascii="宋体" w:hAnsi="宋体" w:eastAsia="宋体" w:cs="Times New Roman"/>
                <w:kern w:val="0"/>
                <w:szCs w:val="21"/>
              </w:rPr>
            </w:pPr>
            <w:r>
              <w:rPr>
                <w:rFonts w:hint="eastAsia" w:ascii="宋体" w:hAnsi="宋体" w:eastAsia="宋体" w:cs="Times New Roman"/>
                <w:kern w:val="0"/>
                <w:szCs w:val="21"/>
              </w:rPr>
              <w:t>1．绪论</w:t>
            </w:r>
          </w:p>
        </w:tc>
        <w:tc>
          <w:tcPr>
            <w:tcW w:w="1769" w:type="dxa"/>
            <w:vAlign w:val="center"/>
          </w:tcPr>
          <w:p w14:paraId="4C30C3C7">
            <w:pPr>
              <w:jc w:val="left"/>
              <w:rPr>
                <w:rFonts w:hint="eastAsia" w:ascii="宋体" w:hAnsi="宋体" w:eastAsia="宋体" w:cs="Times New Roman"/>
                <w:kern w:val="0"/>
                <w:szCs w:val="21"/>
              </w:rPr>
            </w:pPr>
            <w:r>
              <w:rPr>
                <w:rFonts w:hint="eastAsia" w:ascii="宋体" w:hAnsi="宋体" w:eastAsia="宋体" w:cs="Times New Roman"/>
                <w:kern w:val="0"/>
                <w:szCs w:val="21"/>
              </w:rPr>
              <w:t>1.心理学与心理现象</w:t>
            </w:r>
          </w:p>
          <w:p w14:paraId="05D38C5A">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2.小学儿童的发展</w:t>
            </w:r>
          </w:p>
          <w:p w14:paraId="1FBC111E">
            <w:pPr>
              <w:jc w:val="left"/>
              <w:rPr>
                <w:rFonts w:hint="eastAsia" w:ascii="宋体" w:hAnsi="宋体" w:eastAsia="宋体" w:cs="Times New Roman"/>
                <w:kern w:val="0"/>
                <w:szCs w:val="21"/>
              </w:rPr>
            </w:pPr>
            <w:r>
              <w:rPr>
                <w:rFonts w:hint="eastAsia" w:ascii="宋体" w:hAnsi="宋体" w:eastAsia="宋体" w:cs="Times New Roman"/>
                <w:kern w:val="0"/>
                <w:szCs w:val="21"/>
              </w:rPr>
              <w:t>3.小学心理学的研究内容与方法</w:t>
            </w:r>
          </w:p>
        </w:tc>
        <w:tc>
          <w:tcPr>
            <w:tcW w:w="1068" w:type="dxa"/>
            <w:gridSpan w:val="2"/>
            <w:vAlign w:val="center"/>
          </w:tcPr>
          <w:p w14:paraId="0CE97D20">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课程目标1、2、3</w:t>
            </w:r>
          </w:p>
        </w:tc>
        <w:tc>
          <w:tcPr>
            <w:tcW w:w="3261" w:type="dxa"/>
            <w:vAlign w:val="center"/>
          </w:tcPr>
          <w:p w14:paraId="7471E434">
            <w:pPr>
              <w:jc w:val="left"/>
              <w:rPr>
                <w:rFonts w:hint="eastAsia" w:ascii="宋体" w:hAnsi="宋体" w:eastAsia="宋体" w:cs="Times New Roman"/>
                <w:kern w:val="0"/>
                <w:szCs w:val="21"/>
              </w:rPr>
            </w:pPr>
            <w:r>
              <w:rPr>
                <w:rFonts w:hint="eastAsia" w:ascii="宋体" w:hAnsi="宋体" w:eastAsia="宋体" w:cs="Times New Roman"/>
                <w:kern w:val="0"/>
                <w:szCs w:val="21"/>
              </w:rPr>
              <w:t>1.了解心理学的研究对象，正确理解心理的实质</w:t>
            </w:r>
          </w:p>
          <w:p w14:paraId="504C85D7">
            <w:pPr>
              <w:jc w:val="left"/>
              <w:rPr>
                <w:rFonts w:hint="eastAsia" w:ascii="宋体" w:hAnsi="宋体" w:eastAsia="宋体" w:cs="Times New Roman"/>
                <w:kern w:val="0"/>
                <w:szCs w:val="21"/>
              </w:rPr>
            </w:pPr>
            <w:r>
              <w:rPr>
                <w:rFonts w:hint="eastAsia" w:ascii="宋体" w:hAnsi="宋体" w:eastAsia="宋体" w:cs="Times New Roman"/>
                <w:kern w:val="0"/>
                <w:szCs w:val="21"/>
              </w:rPr>
              <w:t>2.掌握发展的一般概念，理解儿童发展的年龄特征</w:t>
            </w:r>
          </w:p>
          <w:p w14:paraId="22B77920">
            <w:pPr>
              <w:jc w:val="left"/>
              <w:rPr>
                <w:rFonts w:hint="eastAsia" w:ascii="宋体" w:hAnsi="宋体" w:eastAsia="宋体" w:cs="Times New Roman"/>
                <w:kern w:val="0"/>
                <w:szCs w:val="21"/>
              </w:rPr>
            </w:pPr>
            <w:r>
              <w:rPr>
                <w:rFonts w:hint="eastAsia" w:ascii="宋体" w:hAnsi="宋体" w:eastAsia="宋体" w:cs="Times New Roman"/>
                <w:kern w:val="0"/>
                <w:szCs w:val="21"/>
              </w:rPr>
              <w:t>3.了解小学心理学的研究内容和研究方法，知道心理学的主要流派</w:t>
            </w:r>
          </w:p>
        </w:tc>
        <w:tc>
          <w:tcPr>
            <w:tcW w:w="1560" w:type="dxa"/>
            <w:vAlign w:val="center"/>
          </w:tcPr>
          <w:p w14:paraId="73AE894D">
            <w:pPr>
              <w:jc w:val="left"/>
              <w:rPr>
                <w:rFonts w:hint="eastAsia" w:ascii="宋体" w:hAnsi="宋体" w:eastAsia="宋体" w:cs="Times New Roman"/>
                <w:kern w:val="0"/>
                <w:szCs w:val="21"/>
              </w:rPr>
            </w:pPr>
            <w:r>
              <w:rPr>
                <w:rFonts w:hint="eastAsia" w:ascii="宋体" w:hAnsi="宋体" w:eastAsia="宋体" w:cs="Times New Roman"/>
                <w:kern w:val="0"/>
                <w:szCs w:val="21"/>
              </w:rPr>
              <w:t>1.线上学习</w:t>
            </w:r>
          </w:p>
          <w:p w14:paraId="09D65686">
            <w:pPr>
              <w:jc w:val="left"/>
              <w:rPr>
                <w:rFonts w:hint="eastAsia" w:ascii="宋体" w:hAnsi="宋体" w:eastAsia="宋体" w:cs="Times New Roman"/>
                <w:kern w:val="0"/>
                <w:szCs w:val="21"/>
              </w:rPr>
            </w:pPr>
            <w:r>
              <w:rPr>
                <w:rFonts w:hint="eastAsia" w:ascii="宋体" w:hAnsi="宋体" w:eastAsia="宋体" w:cs="Times New Roman"/>
                <w:kern w:val="0"/>
                <w:szCs w:val="21"/>
              </w:rPr>
              <w:t>2.多媒体教学3.课堂讨论</w:t>
            </w:r>
          </w:p>
          <w:p w14:paraId="7EC1F66B">
            <w:pPr>
              <w:jc w:val="left"/>
              <w:rPr>
                <w:rFonts w:hint="eastAsia" w:ascii="宋体" w:hAnsi="宋体" w:eastAsia="宋体" w:cs="Times New Roman"/>
                <w:kern w:val="0"/>
                <w:szCs w:val="21"/>
              </w:rPr>
            </w:pPr>
            <w:r>
              <w:rPr>
                <w:rFonts w:hint="eastAsia" w:ascii="宋体" w:hAnsi="宋体" w:eastAsia="宋体" w:cs="Times New Roman"/>
                <w:kern w:val="0"/>
                <w:szCs w:val="21"/>
              </w:rPr>
              <w:t>4.单元测验</w:t>
            </w:r>
          </w:p>
        </w:tc>
        <w:tc>
          <w:tcPr>
            <w:tcW w:w="438" w:type="dxa"/>
            <w:vAlign w:val="center"/>
          </w:tcPr>
          <w:p w14:paraId="7217595C">
            <w:pPr>
              <w:jc w:val="center"/>
              <w:rPr>
                <w:rFonts w:hint="eastAsia" w:ascii="宋体" w:hAnsi="宋体" w:eastAsia="宋体" w:cs="Times New Roman"/>
                <w:kern w:val="0"/>
                <w:szCs w:val="21"/>
              </w:rPr>
            </w:pPr>
            <w:r>
              <w:rPr>
                <w:rFonts w:hint="eastAsia" w:ascii="宋体" w:hAnsi="宋体" w:eastAsia="宋体" w:cs="Times New Roman"/>
                <w:kern w:val="0"/>
                <w:szCs w:val="21"/>
              </w:rPr>
              <w:t>6</w:t>
            </w:r>
          </w:p>
        </w:tc>
      </w:tr>
      <w:tr w14:paraId="1514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2324CFE1">
            <w:pPr>
              <w:jc w:val="center"/>
              <w:rPr>
                <w:rFonts w:hint="eastAsia" w:ascii="宋体" w:hAnsi="宋体" w:eastAsia="宋体" w:cs="Times New Roman"/>
                <w:kern w:val="0"/>
                <w:szCs w:val="21"/>
              </w:rPr>
            </w:pPr>
          </w:p>
        </w:tc>
        <w:tc>
          <w:tcPr>
            <w:tcW w:w="8096" w:type="dxa"/>
            <w:gridSpan w:val="6"/>
            <w:vAlign w:val="center"/>
          </w:tcPr>
          <w:p w14:paraId="5647A1BC">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bCs/>
                <w:kern w:val="0"/>
                <w:szCs w:val="21"/>
              </w:rPr>
              <w:t>在充分了解心理学的学科特点和小学心理学的学习内容的基础上，</w:t>
            </w:r>
            <w:r>
              <w:rPr>
                <w:rFonts w:hint="eastAsia" w:ascii="宋体" w:hAnsi="宋体" w:eastAsia="宋体" w:cs="Times New Roman"/>
                <w:kern w:val="0"/>
                <w:szCs w:val="21"/>
              </w:rPr>
              <w:t>形成初步的科学的儿童观，具备基本的发展观，对师范生的学习生涯产生较大的兴趣，同时形成科学的人生观和自我发展意识。</w:t>
            </w:r>
          </w:p>
        </w:tc>
      </w:tr>
      <w:tr w14:paraId="1A9C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50D4D1EB">
            <w:pPr>
              <w:jc w:val="center"/>
              <w:rPr>
                <w:rFonts w:hint="eastAsia" w:ascii="宋体" w:hAnsi="宋体" w:eastAsia="宋体" w:cs="Times New Roman"/>
                <w:kern w:val="0"/>
                <w:szCs w:val="21"/>
              </w:rPr>
            </w:pPr>
            <w:r>
              <w:rPr>
                <w:rFonts w:hint="eastAsia" w:ascii="宋体" w:hAnsi="宋体" w:eastAsia="宋体" w:cs="Times New Roman"/>
                <w:kern w:val="0"/>
                <w:szCs w:val="21"/>
              </w:rPr>
              <w:t>2．小学儿童的注意</w:t>
            </w:r>
          </w:p>
        </w:tc>
        <w:tc>
          <w:tcPr>
            <w:tcW w:w="1769" w:type="dxa"/>
            <w:vAlign w:val="center"/>
          </w:tcPr>
          <w:p w14:paraId="0F860435">
            <w:pPr>
              <w:jc w:val="left"/>
              <w:rPr>
                <w:rFonts w:hint="eastAsia" w:ascii="宋体" w:hAnsi="宋体" w:eastAsia="宋体" w:cs="Times New Roman"/>
                <w:kern w:val="0"/>
                <w:szCs w:val="21"/>
              </w:rPr>
            </w:pPr>
            <w:r>
              <w:rPr>
                <w:rFonts w:hint="eastAsia" w:ascii="宋体" w:hAnsi="宋体" w:eastAsia="宋体" w:cs="Times New Roman"/>
                <w:kern w:val="0"/>
                <w:szCs w:val="21"/>
              </w:rPr>
              <w:t>1.注意的概述</w:t>
            </w:r>
          </w:p>
          <w:p w14:paraId="235C24F2">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2.小学儿童的注意</w:t>
            </w:r>
          </w:p>
        </w:tc>
        <w:tc>
          <w:tcPr>
            <w:tcW w:w="1068" w:type="dxa"/>
            <w:gridSpan w:val="2"/>
            <w:vAlign w:val="center"/>
          </w:tcPr>
          <w:p w14:paraId="21021A87">
            <w:pPr>
              <w:jc w:val="center"/>
              <w:rPr>
                <w:rFonts w:hint="eastAsia" w:ascii="宋体" w:hAnsi="宋体" w:eastAsia="宋体" w:cs="Times New Roman"/>
                <w:kern w:val="0"/>
                <w:szCs w:val="21"/>
              </w:rPr>
            </w:pPr>
            <w:r>
              <w:rPr>
                <w:rFonts w:hint="eastAsia" w:ascii="宋体" w:hAnsi="宋体" w:eastAsia="宋体" w:cs="Times New Roman"/>
                <w:kern w:val="0"/>
                <w:szCs w:val="21"/>
              </w:rPr>
              <w:t>课程目标2、3</w:t>
            </w:r>
          </w:p>
        </w:tc>
        <w:tc>
          <w:tcPr>
            <w:tcW w:w="3261" w:type="dxa"/>
            <w:vAlign w:val="center"/>
          </w:tcPr>
          <w:p w14:paraId="68C072E0">
            <w:pPr>
              <w:jc w:val="left"/>
              <w:rPr>
                <w:rFonts w:hint="eastAsia" w:ascii="宋体" w:hAnsi="宋体" w:eastAsia="宋体" w:cs="Times New Roman"/>
                <w:kern w:val="0"/>
                <w:szCs w:val="21"/>
              </w:rPr>
            </w:pPr>
            <w:r>
              <w:rPr>
                <w:rFonts w:hint="eastAsia" w:ascii="宋体" w:hAnsi="宋体" w:eastAsia="宋体" w:cs="Times New Roman"/>
                <w:kern w:val="0"/>
                <w:szCs w:val="21"/>
                <w:lang w:val="en-US" w:eastAsia="zh-CN"/>
              </w:rPr>
              <w:t>1.</w:t>
            </w:r>
            <w:r>
              <w:rPr>
                <w:rFonts w:hint="eastAsia" w:ascii="宋体" w:hAnsi="宋体" w:eastAsia="宋体" w:cs="Times New Roman"/>
                <w:kern w:val="0"/>
                <w:szCs w:val="21"/>
              </w:rPr>
              <w:t>正确理解注意的含义、注意与其他心理过程的关系，注意的外部表现，注意的种类，注意的品质</w:t>
            </w:r>
          </w:p>
          <w:p w14:paraId="3A03E04E">
            <w:pPr>
              <w:jc w:val="left"/>
              <w:rPr>
                <w:rFonts w:hint="eastAsia" w:ascii="宋体" w:hAnsi="宋体" w:eastAsia="宋体" w:cs="Times New Roman"/>
                <w:kern w:val="0"/>
                <w:szCs w:val="21"/>
              </w:rPr>
            </w:pPr>
            <w:r>
              <w:rPr>
                <w:rFonts w:hint="eastAsia" w:ascii="宋体" w:hAnsi="宋体" w:eastAsia="宋体" w:cs="Times New Roman"/>
                <w:kern w:val="0"/>
                <w:szCs w:val="21"/>
                <w:lang w:val="en-US" w:eastAsia="zh-CN"/>
              </w:rPr>
              <w:t>2.</w:t>
            </w:r>
            <w:r>
              <w:rPr>
                <w:rFonts w:hint="eastAsia" w:ascii="宋体" w:hAnsi="宋体" w:eastAsia="宋体" w:cs="Times New Roman"/>
                <w:kern w:val="0"/>
                <w:szCs w:val="21"/>
              </w:rPr>
              <w:t>理解三种注意之间的关系，掌握引起无意注意、有意注意的条件；小学儿童注意发展的一般特点</w:t>
            </w:r>
          </w:p>
          <w:p w14:paraId="41C0DD83">
            <w:pPr>
              <w:jc w:val="left"/>
              <w:rPr>
                <w:rFonts w:hint="eastAsia" w:ascii="宋体" w:hAnsi="宋体" w:eastAsia="宋体" w:cs="Times New Roman"/>
                <w:kern w:val="0"/>
                <w:szCs w:val="21"/>
              </w:rPr>
            </w:pPr>
            <w:r>
              <w:rPr>
                <w:rFonts w:hint="eastAsia" w:ascii="宋体" w:hAnsi="宋体" w:eastAsia="宋体" w:cs="Times New Roman"/>
                <w:kern w:val="0"/>
                <w:szCs w:val="21"/>
                <w:lang w:val="en-US" w:eastAsia="zh-CN"/>
              </w:rPr>
              <w:t>3.</w:t>
            </w:r>
            <w:r>
              <w:rPr>
                <w:rFonts w:hint="eastAsia" w:ascii="宋体" w:hAnsi="宋体" w:eastAsia="宋体" w:cs="Times New Roman"/>
                <w:kern w:val="0"/>
                <w:szCs w:val="21"/>
              </w:rPr>
              <w:t>学会培养小学儿童良好注意品质；初步具有在教学的各个阶段恰当组织学生注意，提高课堂效果的能力</w:t>
            </w:r>
            <w:r>
              <w:rPr>
                <w:rFonts w:ascii="宋体" w:hAnsi="宋体" w:eastAsia="宋体" w:cs="Times New Roman"/>
                <w:kern w:val="0"/>
                <w:szCs w:val="21"/>
              </w:rPr>
              <w:t>。</w:t>
            </w:r>
          </w:p>
        </w:tc>
        <w:tc>
          <w:tcPr>
            <w:tcW w:w="1560" w:type="dxa"/>
            <w:vAlign w:val="center"/>
          </w:tcPr>
          <w:p w14:paraId="1EFEC7E1">
            <w:pPr>
              <w:jc w:val="left"/>
              <w:rPr>
                <w:rFonts w:hint="eastAsia" w:ascii="宋体" w:hAnsi="宋体" w:eastAsia="宋体" w:cs="Times New Roman"/>
                <w:kern w:val="0"/>
                <w:szCs w:val="21"/>
              </w:rPr>
            </w:pPr>
            <w:r>
              <w:rPr>
                <w:rFonts w:hint="eastAsia" w:ascii="宋体" w:hAnsi="宋体" w:eastAsia="宋体" w:cs="Times New Roman"/>
                <w:kern w:val="0"/>
                <w:szCs w:val="21"/>
              </w:rPr>
              <w:t>1.线上学习</w:t>
            </w:r>
          </w:p>
          <w:p w14:paraId="2F46BBAF">
            <w:pPr>
              <w:jc w:val="left"/>
              <w:rPr>
                <w:rFonts w:hint="eastAsia" w:ascii="宋体" w:hAnsi="宋体" w:eastAsia="宋体" w:cs="Times New Roman"/>
                <w:kern w:val="0"/>
                <w:szCs w:val="21"/>
              </w:rPr>
            </w:pPr>
            <w:r>
              <w:rPr>
                <w:rFonts w:hint="eastAsia" w:ascii="宋体" w:hAnsi="宋体" w:eastAsia="宋体" w:cs="Times New Roman"/>
                <w:kern w:val="0"/>
                <w:szCs w:val="21"/>
              </w:rPr>
              <w:t>2.多媒体教学3.课堂讨论</w:t>
            </w:r>
          </w:p>
          <w:p w14:paraId="479B0436">
            <w:pPr>
              <w:jc w:val="left"/>
              <w:rPr>
                <w:rFonts w:hint="eastAsia" w:ascii="宋体" w:hAnsi="宋体" w:eastAsia="宋体" w:cs="Times New Roman"/>
                <w:kern w:val="0"/>
                <w:szCs w:val="21"/>
              </w:rPr>
            </w:pPr>
            <w:r>
              <w:rPr>
                <w:rFonts w:hint="eastAsia" w:ascii="宋体" w:hAnsi="宋体" w:eastAsia="宋体" w:cs="Times New Roman"/>
                <w:kern w:val="0"/>
                <w:szCs w:val="21"/>
              </w:rPr>
              <w:t>4.单元测验</w:t>
            </w:r>
          </w:p>
          <w:p w14:paraId="20FD6B14">
            <w:pPr>
              <w:jc w:val="left"/>
              <w:rPr>
                <w:rFonts w:hint="eastAsia" w:ascii="宋体" w:hAnsi="宋体" w:eastAsia="宋体" w:cs="Times New Roman"/>
                <w:kern w:val="0"/>
                <w:szCs w:val="21"/>
              </w:rPr>
            </w:pPr>
            <w:r>
              <w:rPr>
                <w:rFonts w:hint="eastAsia" w:ascii="宋体" w:hAnsi="宋体" w:eastAsia="宋体" w:cs="Times New Roman"/>
                <w:kern w:val="0"/>
                <w:szCs w:val="21"/>
              </w:rPr>
              <w:t>5.划消实验</w:t>
            </w:r>
          </w:p>
        </w:tc>
        <w:tc>
          <w:tcPr>
            <w:tcW w:w="438" w:type="dxa"/>
            <w:vAlign w:val="center"/>
          </w:tcPr>
          <w:p w14:paraId="3501A17A">
            <w:pPr>
              <w:jc w:val="center"/>
              <w:rPr>
                <w:rFonts w:hint="eastAsia" w:ascii="宋体" w:hAnsi="宋体" w:eastAsia="宋体" w:cs="Times New Roman"/>
                <w:kern w:val="0"/>
                <w:szCs w:val="21"/>
              </w:rPr>
            </w:pPr>
            <w:r>
              <w:rPr>
                <w:rFonts w:hint="eastAsia" w:ascii="宋体" w:hAnsi="宋体" w:eastAsia="宋体" w:cs="Times New Roman"/>
                <w:kern w:val="0"/>
                <w:szCs w:val="21"/>
              </w:rPr>
              <w:t>5</w:t>
            </w:r>
          </w:p>
        </w:tc>
      </w:tr>
      <w:tr w14:paraId="5EF0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052E1E19">
            <w:pPr>
              <w:jc w:val="center"/>
              <w:rPr>
                <w:rFonts w:hint="eastAsia" w:ascii="宋体" w:hAnsi="宋体" w:eastAsia="宋体" w:cs="Times New Roman"/>
                <w:kern w:val="0"/>
                <w:szCs w:val="21"/>
              </w:rPr>
            </w:pPr>
          </w:p>
        </w:tc>
        <w:tc>
          <w:tcPr>
            <w:tcW w:w="8096" w:type="dxa"/>
            <w:gridSpan w:val="6"/>
            <w:vAlign w:val="center"/>
          </w:tcPr>
          <w:p w14:paraId="55454EE4">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形成科学的儿童注意的发展观，对学生发展的个别差异和特点有所了解，初步学习因人而异的教育理念，为大国良师打下基础。</w:t>
            </w:r>
          </w:p>
        </w:tc>
      </w:tr>
      <w:tr w14:paraId="0A16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47DE4C41">
            <w:pPr>
              <w:jc w:val="center"/>
              <w:rPr>
                <w:rFonts w:hint="eastAsia" w:ascii="宋体" w:hAnsi="宋体" w:eastAsia="宋体" w:cs="Times New Roman"/>
                <w:kern w:val="0"/>
                <w:szCs w:val="21"/>
              </w:rPr>
            </w:pPr>
            <w:r>
              <w:rPr>
                <w:rFonts w:hint="eastAsia" w:ascii="宋体" w:hAnsi="宋体" w:eastAsia="宋体" w:cs="Times New Roman"/>
                <w:kern w:val="0"/>
                <w:szCs w:val="21"/>
              </w:rPr>
              <w:t>3. 小学儿童的感知觉</w:t>
            </w:r>
          </w:p>
        </w:tc>
        <w:tc>
          <w:tcPr>
            <w:tcW w:w="1769" w:type="dxa"/>
            <w:vAlign w:val="center"/>
          </w:tcPr>
          <w:p w14:paraId="3620443D">
            <w:pPr>
              <w:jc w:val="left"/>
              <w:rPr>
                <w:rFonts w:hint="eastAsia" w:ascii="宋体" w:hAnsi="宋体" w:eastAsia="宋体" w:cs="Times New Roman"/>
                <w:kern w:val="0"/>
                <w:szCs w:val="21"/>
              </w:rPr>
            </w:pPr>
            <w:r>
              <w:rPr>
                <w:rFonts w:hint="eastAsia" w:ascii="宋体" w:hAnsi="宋体" w:eastAsia="宋体" w:cs="Times New Roman"/>
                <w:kern w:val="0"/>
                <w:szCs w:val="21"/>
              </w:rPr>
              <w:t>1.感知觉概述</w:t>
            </w:r>
          </w:p>
          <w:p w14:paraId="0EE69DD9">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2.小学儿童的感知觉</w:t>
            </w:r>
          </w:p>
        </w:tc>
        <w:tc>
          <w:tcPr>
            <w:tcW w:w="1068" w:type="dxa"/>
            <w:gridSpan w:val="2"/>
            <w:vAlign w:val="center"/>
          </w:tcPr>
          <w:p w14:paraId="40423E76">
            <w:pPr>
              <w:jc w:val="center"/>
              <w:rPr>
                <w:rFonts w:hint="eastAsia" w:ascii="宋体" w:hAnsi="宋体" w:eastAsia="宋体" w:cs="Times New Roman"/>
                <w:kern w:val="0"/>
                <w:szCs w:val="21"/>
              </w:rPr>
            </w:pPr>
            <w:r>
              <w:rPr>
                <w:rFonts w:hint="eastAsia" w:ascii="宋体" w:hAnsi="宋体" w:eastAsia="宋体" w:cs="Times New Roman"/>
                <w:kern w:val="0"/>
                <w:szCs w:val="21"/>
              </w:rPr>
              <w:t>课程目标2、3</w:t>
            </w:r>
          </w:p>
        </w:tc>
        <w:tc>
          <w:tcPr>
            <w:tcW w:w="3261" w:type="dxa"/>
            <w:vAlign w:val="center"/>
          </w:tcPr>
          <w:p w14:paraId="48630A49">
            <w:pPr>
              <w:jc w:val="left"/>
              <w:rPr>
                <w:rFonts w:hint="eastAsia" w:ascii="宋体" w:hAnsi="宋体" w:eastAsia="宋体" w:cs="Times New Roman"/>
                <w:kern w:val="0"/>
                <w:szCs w:val="21"/>
              </w:rPr>
            </w:pPr>
            <w:r>
              <w:rPr>
                <w:rFonts w:hint="eastAsia" w:ascii="宋体" w:hAnsi="宋体" w:eastAsia="宋体" w:cs="Times New Roman"/>
                <w:kern w:val="0"/>
                <w:szCs w:val="21"/>
              </w:rPr>
              <w:t>1.了解感觉和知觉的类型、理解感觉和知觉的概念</w:t>
            </w:r>
          </w:p>
          <w:p w14:paraId="1A8E6F0F">
            <w:pPr>
              <w:jc w:val="left"/>
              <w:rPr>
                <w:rFonts w:hint="eastAsia" w:ascii="宋体" w:hAnsi="宋体" w:eastAsia="宋体" w:cs="Times New Roman"/>
                <w:kern w:val="0"/>
                <w:szCs w:val="21"/>
              </w:rPr>
            </w:pPr>
            <w:r>
              <w:rPr>
                <w:rFonts w:hint="eastAsia" w:ascii="宋体" w:hAnsi="宋体" w:eastAsia="宋体" w:cs="Times New Roman"/>
                <w:kern w:val="0"/>
                <w:szCs w:val="21"/>
              </w:rPr>
              <w:t>2.掌握感觉的基本规律、知觉的特性，小学儿童感知觉发展的特点</w:t>
            </w:r>
          </w:p>
          <w:p w14:paraId="7C32712B">
            <w:pPr>
              <w:jc w:val="left"/>
              <w:rPr>
                <w:rFonts w:hint="eastAsia" w:ascii="宋体" w:hAnsi="宋体" w:eastAsia="宋体" w:cs="Times New Roman"/>
                <w:kern w:val="0"/>
                <w:szCs w:val="21"/>
              </w:rPr>
            </w:pPr>
            <w:r>
              <w:rPr>
                <w:rFonts w:hint="eastAsia" w:ascii="宋体" w:hAnsi="宋体" w:eastAsia="宋体" w:cs="Times New Roman"/>
                <w:kern w:val="0"/>
                <w:szCs w:val="21"/>
              </w:rPr>
              <w:t>3.正确把握感受性与感觉阈限的关系，懂得如何促进小学儿童观察力的发展</w:t>
            </w:r>
          </w:p>
        </w:tc>
        <w:tc>
          <w:tcPr>
            <w:tcW w:w="1560" w:type="dxa"/>
            <w:vAlign w:val="center"/>
          </w:tcPr>
          <w:p w14:paraId="362C80B3">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64521317">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3BB33ECF">
            <w:pPr>
              <w:jc w:val="left"/>
              <w:rPr>
                <w:rFonts w:hint="eastAsia" w:ascii="宋体" w:hAnsi="宋体" w:eastAsia="宋体" w:cs="Times New Roman"/>
                <w:kern w:val="0"/>
                <w:szCs w:val="21"/>
              </w:rPr>
            </w:pPr>
            <w:r>
              <w:rPr>
                <w:rFonts w:ascii="宋体" w:hAnsi="宋体" w:eastAsia="宋体" w:cs="Times New Roman"/>
                <w:kern w:val="0"/>
                <w:szCs w:val="21"/>
              </w:rPr>
              <w:t>4.单元测验</w:t>
            </w:r>
          </w:p>
          <w:p w14:paraId="667D62CA">
            <w:pPr>
              <w:jc w:val="left"/>
              <w:rPr>
                <w:rFonts w:hint="eastAsia" w:ascii="宋体" w:hAnsi="宋体" w:eastAsia="宋体" w:cs="Times New Roman"/>
                <w:kern w:val="0"/>
                <w:szCs w:val="21"/>
              </w:rPr>
            </w:pPr>
            <w:r>
              <w:rPr>
                <w:rFonts w:hint="eastAsia" w:ascii="宋体" w:hAnsi="宋体" w:eastAsia="宋体" w:cs="Times New Roman"/>
                <w:kern w:val="0"/>
                <w:szCs w:val="21"/>
              </w:rPr>
              <w:t>5.简单反应时实验</w:t>
            </w:r>
          </w:p>
        </w:tc>
        <w:tc>
          <w:tcPr>
            <w:tcW w:w="438" w:type="dxa"/>
            <w:vAlign w:val="center"/>
          </w:tcPr>
          <w:p w14:paraId="7343C62E">
            <w:pPr>
              <w:jc w:val="center"/>
              <w:rPr>
                <w:rFonts w:hint="eastAsia" w:ascii="宋体" w:hAnsi="宋体" w:eastAsia="宋体" w:cs="Times New Roman"/>
                <w:kern w:val="0"/>
                <w:szCs w:val="21"/>
              </w:rPr>
            </w:pPr>
            <w:r>
              <w:rPr>
                <w:rFonts w:hint="eastAsia" w:ascii="宋体" w:hAnsi="宋体" w:eastAsia="宋体" w:cs="Times New Roman"/>
                <w:kern w:val="0"/>
                <w:szCs w:val="21"/>
              </w:rPr>
              <w:t>4</w:t>
            </w:r>
          </w:p>
        </w:tc>
      </w:tr>
      <w:tr w14:paraId="7EBC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29DC9ECA">
            <w:pPr>
              <w:jc w:val="center"/>
              <w:rPr>
                <w:rFonts w:hint="eastAsia" w:ascii="宋体" w:hAnsi="宋体" w:eastAsia="宋体" w:cs="Times New Roman"/>
                <w:kern w:val="0"/>
                <w:szCs w:val="21"/>
              </w:rPr>
            </w:pPr>
          </w:p>
        </w:tc>
        <w:tc>
          <w:tcPr>
            <w:tcW w:w="8096" w:type="dxa"/>
            <w:gridSpan w:val="6"/>
            <w:vAlign w:val="center"/>
          </w:tcPr>
          <w:p w14:paraId="0FC474AA">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形成科学的儿童注意的发展观，对学生发展的个别差异和特点有所了解，初步学习因人而异的教育理念，为大国良师打下基础。</w:t>
            </w:r>
          </w:p>
        </w:tc>
      </w:tr>
      <w:tr w14:paraId="5307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1D39D1CB">
            <w:pPr>
              <w:jc w:val="center"/>
              <w:rPr>
                <w:rFonts w:hint="eastAsia" w:ascii="宋体" w:hAnsi="宋体" w:eastAsia="宋体" w:cs="Times New Roman"/>
                <w:kern w:val="0"/>
                <w:szCs w:val="21"/>
              </w:rPr>
            </w:pPr>
            <w:r>
              <w:rPr>
                <w:rFonts w:hint="eastAsia" w:ascii="宋体" w:hAnsi="宋体" w:eastAsia="宋体" w:cs="Times New Roman"/>
                <w:kern w:val="0"/>
                <w:szCs w:val="21"/>
              </w:rPr>
              <w:t>4.小学儿童的记忆</w:t>
            </w:r>
          </w:p>
        </w:tc>
        <w:tc>
          <w:tcPr>
            <w:tcW w:w="1769" w:type="dxa"/>
            <w:vAlign w:val="center"/>
          </w:tcPr>
          <w:p w14:paraId="4E3220E7">
            <w:pPr>
              <w:jc w:val="left"/>
              <w:rPr>
                <w:rFonts w:hint="eastAsia" w:ascii="宋体" w:hAnsi="宋体" w:eastAsia="宋体" w:cs="Times New Roman"/>
                <w:kern w:val="0"/>
                <w:szCs w:val="21"/>
              </w:rPr>
            </w:pPr>
            <w:r>
              <w:rPr>
                <w:rFonts w:hint="eastAsia" w:ascii="宋体" w:hAnsi="宋体" w:eastAsia="宋体" w:cs="Times New Roman"/>
                <w:kern w:val="0"/>
                <w:szCs w:val="21"/>
              </w:rPr>
              <w:t>1.记忆概述</w:t>
            </w:r>
          </w:p>
          <w:p w14:paraId="742514AF">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2.小学儿童的记忆</w:t>
            </w:r>
          </w:p>
        </w:tc>
        <w:tc>
          <w:tcPr>
            <w:tcW w:w="1068" w:type="dxa"/>
            <w:gridSpan w:val="2"/>
            <w:vAlign w:val="center"/>
          </w:tcPr>
          <w:p w14:paraId="4D976473">
            <w:pPr>
              <w:jc w:val="center"/>
              <w:rPr>
                <w:rFonts w:hint="eastAsia" w:ascii="宋体" w:hAnsi="宋体" w:eastAsia="宋体" w:cs="Times New Roman"/>
                <w:kern w:val="0"/>
                <w:szCs w:val="21"/>
              </w:rPr>
            </w:pPr>
            <w:r>
              <w:rPr>
                <w:rFonts w:hint="eastAsia" w:ascii="宋体" w:hAnsi="宋体" w:eastAsia="宋体" w:cs="Times New Roman"/>
                <w:kern w:val="0"/>
                <w:szCs w:val="21"/>
              </w:rPr>
              <w:t>课程目标2、3</w:t>
            </w:r>
          </w:p>
        </w:tc>
        <w:tc>
          <w:tcPr>
            <w:tcW w:w="3261" w:type="dxa"/>
            <w:vAlign w:val="center"/>
          </w:tcPr>
          <w:p w14:paraId="43F578C1">
            <w:pPr>
              <w:jc w:val="left"/>
              <w:rPr>
                <w:rFonts w:hint="eastAsia" w:ascii="宋体" w:hAnsi="宋体" w:eastAsia="宋体" w:cs="Times New Roman"/>
                <w:kern w:val="0"/>
                <w:szCs w:val="21"/>
              </w:rPr>
            </w:pPr>
            <w:r>
              <w:rPr>
                <w:rFonts w:hint="eastAsia" w:ascii="宋体" w:hAnsi="宋体" w:eastAsia="宋体" w:cs="Times New Roman"/>
                <w:kern w:val="0"/>
                <w:szCs w:val="21"/>
              </w:rPr>
              <w:t>1.了解记忆的含义，记忆的分类，记忆的品质；理解影响遗忘的因素，三种记忆的相互关系</w:t>
            </w:r>
          </w:p>
          <w:p w14:paraId="3B2649F2">
            <w:pPr>
              <w:jc w:val="left"/>
              <w:rPr>
                <w:rFonts w:hint="eastAsia" w:ascii="宋体" w:hAnsi="宋体" w:eastAsia="宋体" w:cs="Times New Roman"/>
                <w:kern w:val="0"/>
                <w:szCs w:val="21"/>
              </w:rPr>
            </w:pPr>
            <w:r>
              <w:rPr>
                <w:rFonts w:hint="eastAsia" w:ascii="宋体" w:hAnsi="宋体" w:eastAsia="宋体" w:cs="Times New Roman"/>
                <w:kern w:val="0"/>
                <w:szCs w:val="21"/>
              </w:rPr>
              <w:t>2.掌握遗忘的规律，小学儿童记忆发展的特点</w:t>
            </w:r>
          </w:p>
          <w:p w14:paraId="46EFADD8">
            <w:pPr>
              <w:jc w:val="left"/>
              <w:rPr>
                <w:rFonts w:hint="eastAsia" w:ascii="宋体" w:hAnsi="宋体" w:eastAsia="宋体" w:cs="Times New Roman"/>
                <w:kern w:val="0"/>
                <w:szCs w:val="21"/>
              </w:rPr>
            </w:pPr>
            <w:r>
              <w:rPr>
                <w:rFonts w:hint="eastAsia" w:ascii="宋体" w:hAnsi="宋体" w:eastAsia="宋体" w:cs="Times New Roman"/>
                <w:kern w:val="0"/>
                <w:szCs w:val="21"/>
              </w:rPr>
              <w:t>3.学会有效运用增进记忆的方法，懂得小学儿童良好记忆策略的方法</w:t>
            </w:r>
          </w:p>
        </w:tc>
        <w:tc>
          <w:tcPr>
            <w:tcW w:w="1560" w:type="dxa"/>
            <w:vAlign w:val="center"/>
          </w:tcPr>
          <w:p w14:paraId="73ED04A4">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66D80B3A">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09338F75">
            <w:pPr>
              <w:jc w:val="left"/>
              <w:rPr>
                <w:rFonts w:hint="eastAsia" w:ascii="宋体" w:hAnsi="宋体" w:eastAsia="宋体" w:cs="Times New Roman"/>
                <w:kern w:val="0"/>
                <w:szCs w:val="21"/>
              </w:rPr>
            </w:pPr>
            <w:r>
              <w:rPr>
                <w:rFonts w:ascii="宋体" w:hAnsi="宋体" w:eastAsia="宋体" w:cs="Times New Roman"/>
                <w:kern w:val="0"/>
                <w:szCs w:val="21"/>
              </w:rPr>
              <w:t>4.单元测验</w:t>
            </w:r>
          </w:p>
          <w:p w14:paraId="1A1337C0">
            <w:pPr>
              <w:jc w:val="left"/>
              <w:rPr>
                <w:rFonts w:hint="eastAsia" w:ascii="宋体" w:hAnsi="宋体" w:eastAsia="宋体" w:cs="Times New Roman"/>
                <w:kern w:val="0"/>
                <w:szCs w:val="21"/>
              </w:rPr>
            </w:pPr>
            <w:r>
              <w:rPr>
                <w:rFonts w:hint="eastAsia" w:ascii="宋体" w:hAnsi="宋体" w:eastAsia="宋体" w:cs="Times New Roman"/>
                <w:kern w:val="0"/>
                <w:szCs w:val="21"/>
              </w:rPr>
              <w:t>5.记忆实验</w:t>
            </w:r>
          </w:p>
        </w:tc>
        <w:tc>
          <w:tcPr>
            <w:tcW w:w="438" w:type="dxa"/>
            <w:vAlign w:val="center"/>
          </w:tcPr>
          <w:p w14:paraId="6E4E75B9">
            <w:pPr>
              <w:jc w:val="center"/>
              <w:rPr>
                <w:rFonts w:hint="eastAsia" w:ascii="宋体" w:hAnsi="宋体" w:eastAsia="宋体" w:cs="Times New Roman"/>
                <w:kern w:val="0"/>
                <w:szCs w:val="21"/>
              </w:rPr>
            </w:pPr>
            <w:r>
              <w:rPr>
                <w:rFonts w:hint="eastAsia" w:ascii="宋体" w:hAnsi="宋体" w:eastAsia="宋体" w:cs="Times New Roman"/>
                <w:kern w:val="0"/>
                <w:szCs w:val="21"/>
              </w:rPr>
              <w:t>4</w:t>
            </w:r>
          </w:p>
        </w:tc>
      </w:tr>
      <w:tr w14:paraId="34822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5402E660">
            <w:pPr>
              <w:jc w:val="center"/>
              <w:rPr>
                <w:rFonts w:hint="eastAsia" w:ascii="宋体" w:hAnsi="宋体" w:eastAsia="宋体" w:cs="Times New Roman"/>
                <w:kern w:val="0"/>
                <w:szCs w:val="21"/>
              </w:rPr>
            </w:pPr>
          </w:p>
        </w:tc>
        <w:tc>
          <w:tcPr>
            <w:tcW w:w="8096" w:type="dxa"/>
            <w:gridSpan w:val="6"/>
            <w:vAlign w:val="center"/>
          </w:tcPr>
          <w:p w14:paraId="0E4CD488">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形成科学的儿童注意的发展观，对学生发展的个别差异和特点有所了解，初步学习因人而异的教育理念，为大国良师打下基础。</w:t>
            </w:r>
          </w:p>
        </w:tc>
      </w:tr>
      <w:tr w14:paraId="50A5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015A013D">
            <w:pPr>
              <w:jc w:val="center"/>
              <w:rPr>
                <w:rFonts w:hint="eastAsia" w:ascii="宋体" w:hAnsi="宋体" w:eastAsia="宋体" w:cs="Times New Roman"/>
                <w:kern w:val="0"/>
                <w:szCs w:val="21"/>
              </w:rPr>
            </w:pPr>
            <w:r>
              <w:rPr>
                <w:rFonts w:hint="eastAsia" w:ascii="宋体" w:hAnsi="宋体" w:eastAsia="宋体" w:cs="Times New Roman"/>
                <w:kern w:val="0"/>
                <w:szCs w:val="21"/>
              </w:rPr>
              <w:t>5.小学儿童的言语</w:t>
            </w:r>
          </w:p>
        </w:tc>
        <w:tc>
          <w:tcPr>
            <w:tcW w:w="1769" w:type="dxa"/>
            <w:vAlign w:val="center"/>
          </w:tcPr>
          <w:p w14:paraId="74EE33BC">
            <w:pPr>
              <w:jc w:val="left"/>
              <w:rPr>
                <w:rFonts w:hint="eastAsia" w:ascii="宋体" w:hAnsi="宋体" w:eastAsia="宋体" w:cs="Times New Roman"/>
                <w:kern w:val="0"/>
                <w:szCs w:val="21"/>
              </w:rPr>
            </w:pPr>
            <w:r>
              <w:rPr>
                <w:rFonts w:hint="eastAsia" w:ascii="宋体" w:hAnsi="宋体" w:eastAsia="宋体" w:cs="Times New Roman"/>
                <w:kern w:val="0"/>
                <w:szCs w:val="21"/>
              </w:rPr>
              <w:t>1.言语概述</w:t>
            </w:r>
          </w:p>
          <w:p w14:paraId="7143A470">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2.小学儿童的言语</w:t>
            </w:r>
          </w:p>
        </w:tc>
        <w:tc>
          <w:tcPr>
            <w:tcW w:w="1068" w:type="dxa"/>
            <w:gridSpan w:val="2"/>
            <w:vAlign w:val="center"/>
          </w:tcPr>
          <w:p w14:paraId="4B084CB4">
            <w:pPr>
              <w:jc w:val="center"/>
              <w:rPr>
                <w:rFonts w:hint="eastAsia" w:ascii="宋体" w:hAnsi="宋体" w:eastAsia="宋体" w:cs="Times New Roman"/>
                <w:kern w:val="0"/>
                <w:szCs w:val="21"/>
              </w:rPr>
            </w:pPr>
            <w:r>
              <w:rPr>
                <w:rFonts w:hint="eastAsia" w:ascii="宋体" w:hAnsi="宋体" w:eastAsia="宋体" w:cs="Times New Roman"/>
                <w:kern w:val="0"/>
                <w:szCs w:val="21"/>
              </w:rPr>
              <w:t>课程目标2、3</w:t>
            </w:r>
          </w:p>
        </w:tc>
        <w:tc>
          <w:tcPr>
            <w:tcW w:w="3261" w:type="dxa"/>
            <w:vAlign w:val="center"/>
          </w:tcPr>
          <w:p w14:paraId="18738483">
            <w:pPr>
              <w:jc w:val="left"/>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 xml:space="preserve"> </w:t>
            </w:r>
            <w:r>
              <w:rPr>
                <w:rFonts w:hint="eastAsia" w:ascii="宋体" w:hAnsi="宋体" w:eastAsia="宋体" w:cs="Times New Roman"/>
                <w:kern w:val="0"/>
                <w:szCs w:val="21"/>
              </w:rPr>
              <w:t>理解言语的概念及特征，了解言语和语言的关系，言语的分类</w:t>
            </w:r>
          </w:p>
          <w:p w14:paraId="3BB7EA26">
            <w:pPr>
              <w:jc w:val="left"/>
              <w:rPr>
                <w:rFonts w:hint="eastAsia" w:ascii="宋体" w:hAnsi="宋体" w:eastAsia="宋体" w:cs="Times New Roman"/>
                <w:kern w:val="0"/>
                <w:szCs w:val="21"/>
              </w:rPr>
            </w:pPr>
            <w:r>
              <w:rPr>
                <w:rFonts w:hint="eastAsia" w:ascii="宋体" w:hAnsi="宋体" w:eastAsia="宋体" w:cs="Times New Roman"/>
                <w:kern w:val="0"/>
                <w:szCs w:val="21"/>
              </w:rPr>
              <w:t>2.掌握小学儿童言语发展的特点，懂得小学儿童言语能力培养的心理基础</w:t>
            </w:r>
          </w:p>
        </w:tc>
        <w:tc>
          <w:tcPr>
            <w:tcW w:w="1560" w:type="dxa"/>
            <w:vAlign w:val="center"/>
          </w:tcPr>
          <w:p w14:paraId="199E7957">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6FA1C7A8">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2C757C0E">
            <w:pPr>
              <w:jc w:val="left"/>
              <w:rPr>
                <w:rFonts w:hint="eastAsia" w:ascii="宋体" w:hAnsi="宋体" w:eastAsia="宋体" w:cs="Times New Roman"/>
                <w:kern w:val="0"/>
                <w:szCs w:val="21"/>
              </w:rPr>
            </w:pPr>
            <w:r>
              <w:rPr>
                <w:rFonts w:ascii="宋体" w:hAnsi="宋体" w:eastAsia="宋体" w:cs="Times New Roman"/>
                <w:kern w:val="0"/>
                <w:szCs w:val="21"/>
              </w:rPr>
              <w:t>4.单元测验</w:t>
            </w:r>
          </w:p>
        </w:tc>
        <w:tc>
          <w:tcPr>
            <w:tcW w:w="438" w:type="dxa"/>
            <w:vAlign w:val="center"/>
          </w:tcPr>
          <w:p w14:paraId="32250106">
            <w:pPr>
              <w:jc w:val="center"/>
              <w:rPr>
                <w:rFonts w:hint="eastAsia" w:ascii="宋体" w:hAnsi="宋体" w:eastAsia="宋体" w:cs="Times New Roman"/>
                <w:kern w:val="0"/>
                <w:szCs w:val="21"/>
              </w:rPr>
            </w:pPr>
            <w:r>
              <w:rPr>
                <w:rFonts w:hint="eastAsia" w:ascii="宋体" w:hAnsi="宋体" w:eastAsia="宋体" w:cs="Times New Roman"/>
                <w:kern w:val="0"/>
                <w:szCs w:val="21"/>
              </w:rPr>
              <w:t>2</w:t>
            </w:r>
          </w:p>
        </w:tc>
      </w:tr>
      <w:tr w14:paraId="38D1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689C42E4">
            <w:pPr>
              <w:jc w:val="center"/>
              <w:rPr>
                <w:rFonts w:hint="eastAsia" w:ascii="宋体" w:hAnsi="宋体" w:eastAsia="宋体" w:cs="Times New Roman"/>
                <w:kern w:val="0"/>
                <w:szCs w:val="21"/>
              </w:rPr>
            </w:pPr>
          </w:p>
        </w:tc>
        <w:tc>
          <w:tcPr>
            <w:tcW w:w="8096" w:type="dxa"/>
            <w:gridSpan w:val="6"/>
            <w:vAlign w:val="center"/>
          </w:tcPr>
          <w:p w14:paraId="4DBF23E8">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形成科学的儿童注意的发展观，对学生发展的个别差异和特点有所了解，初步学习因人而异的教育理念，为大国良师打下基础。</w:t>
            </w:r>
          </w:p>
        </w:tc>
      </w:tr>
      <w:tr w14:paraId="6CD5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521753CB">
            <w:pPr>
              <w:jc w:val="center"/>
              <w:rPr>
                <w:rFonts w:hint="eastAsia" w:ascii="宋体" w:hAnsi="宋体" w:eastAsia="宋体" w:cs="Times New Roman"/>
                <w:kern w:val="0"/>
                <w:szCs w:val="21"/>
              </w:rPr>
            </w:pPr>
            <w:r>
              <w:rPr>
                <w:rFonts w:hint="eastAsia" w:ascii="宋体" w:hAnsi="宋体" w:eastAsia="宋体" w:cs="Times New Roman"/>
                <w:kern w:val="0"/>
                <w:szCs w:val="21"/>
              </w:rPr>
              <w:t>6.小学儿童的想象</w:t>
            </w:r>
          </w:p>
        </w:tc>
        <w:tc>
          <w:tcPr>
            <w:tcW w:w="1769" w:type="dxa"/>
            <w:vAlign w:val="center"/>
          </w:tcPr>
          <w:p w14:paraId="63F681B7">
            <w:pPr>
              <w:jc w:val="left"/>
              <w:rPr>
                <w:rFonts w:hint="eastAsia" w:ascii="宋体" w:hAnsi="宋体" w:eastAsia="宋体" w:cs="Times New Roman"/>
                <w:kern w:val="0"/>
                <w:szCs w:val="21"/>
              </w:rPr>
            </w:pPr>
            <w:r>
              <w:rPr>
                <w:rFonts w:hint="eastAsia" w:ascii="宋体" w:hAnsi="宋体" w:eastAsia="宋体" w:cs="Times New Roman"/>
                <w:kern w:val="0"/>
                <w:szCs w:val="21"/>
              </w:rPr>
              <w:t>1.想象概述</w:t>
            </w:r>
          </w:p>
          <w:p w14:paraId="02DB23B3">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2.小学儿童的想象</w:t>
            </w:r>
          </w:p>
        </w:tc>
        <w:tc>
          <w:tcPr>
            <w:tcW w:w="1068" w:type="dxa"/>
            <w:gridSpan w:val="2"/>
            <w:vAlign w:val="center"/>
          </w:tcPr>
          <w:p w14:paraId="2BF531D1">
            <w:pPr>
              <w:jc w:val="center"/>
              <w:rPr>
                <w:rFonts w:hint="eastAsia" w:ascii="宋体" w:hAnsi="宋体" w:eastAsia="宋体" w:cs="Times New Roman"/>
                <w:kern w:val="0"/>
                <w:szCs w:val="21"/>
              </w:rPr>
            </w:pPr>
            <w:r>
              <w:rPr>
                <w:rFonts w:hint="eastAsia" w:ascii="宋体" w:hAnsi="宋体" w:eastAsia="宋体" w:cs="Times New Roman"/>
                <w:kern w:val="0"/>
                <w:szCs w:val="21"/>
              </w:rPr>
              <w:t>课程目标2、3</w:t>
            </w:r>
          </w:p>
        </w:tc>
        <w:tc>
          <w:tcPr>
            <w:tcW w:w="3261" w:type="dxa"/>
            <w:vAlign w:val="center"/>
          </w:tcPr>
          <w:p w14:paraId="7884E3B6">
            <w:pPr>
              <w:jc w:val="left"/>
              <w:rPr>
                <w:rFonts w:hint="eastAsia" w:ascii="宋体" w:hAnsi="宋体" w:eastAsia="宋体" w:cs="Times New Roman"/>
                <w:kern w:val="0"/>
                <w:szCs w:val="21"/>
              </w:rPr>
            </w:pPr>
            <w:r>
              <w:rPr>
                <w:rFonts w:hint="eastAsia" w:ascii="宋体" w:hAnsi="宋体" w:eastAsia="宋体" w:cs="Times New Roman"/>
                <w:kern w:val="0"/>
                <w:szCs w:val="21"/>
              </w:rPr>
              <w:t>1.理解表象、想象概念，了解想象的种类、想象与记忆、思维的关系</w:t>
            </w:r>
          </w:p>
          <w:p w14:paraId="0848CFCA">
            <w:pPr>
              <w:jc w:val="left"/>
              <w:rPr>
                <w:rFonts w:hint="eastAsia" w:ascii="宋体" w:hAnsi="宋体" w:eastAsia="宋体" w:cs="Times New Roman"/>
                <w:kern w:val="0"/>
                <w:szCs w:val="21"/>
              </w:rPr>
            </w:pPr>
            <w:r>
              <w:rPr>
                <w:rFonts w:hint="eastAsia" w:ascii="宋体" w:hAnsi="宋体" w:eastAsia="宋体" w:cs="Times New Roman"/>
                <w:kern w:val="0"/>
                <w:szCs w:val="21"/>
              </w:rPr>
              <w:t>2.掌握小学儿童想象发展的特点，懂得小学生想象力、创造性思维能力的培养的方法</w:t>
            </w:r>
          </w:p>
        </w:tc>
        <w:tc>
          <w:tcPr>
            <w:tcW w:w="1560" w:type="dxa"/>
            <w:vAlign w:val="center"/>
          </w:tcPr>
          <w:p w14:paraId="6C582AE2">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0D720A47">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6B01081A">
            <w:pPr>
              <w:jc w:val="left"/>
              <w:rPr>
                <w:rFonts w:hint="eastAsia" w:ascii="宋体" w:hAnsi="宋体" w:eastAsia="宋体" w:cs="Times New Roman"/>
                <w:kern w:val="0"/>
                <w:szCs w:val="21"/>
              </w:rPr>
            </w:pPr>
            <w:r>
              <w:rPr>
                <w:rFonts w:ascii="宋体" w:hAnsi="宋体" w:eastAsia="宋体" w:cs="Times New Roman"/>
                <w:kern w:val="0"/>
                <w:szCs w:val="21"/>
              </w:rPr>
              <w:t>4.单元测验</w:t>
            </w:r>
          </w:p>
          <w:p w14:paraId="21A0C422">
            <w:pPr>
              <w:jc w:val="left"/>
              <w:rPr>
                <w:rFonts w:hint="eastAsia" w:ascii="宋体" w:hAnsi="宋体" w:eastAsia="宋体" w:cs="Times New Roman"/>
                <w:kern w:val="0"/>
                <w:szCs w:val="21"/>
              </w:rPr>
            </w:pPr>
          </w:p>
        </w:tc>
        <w:tc>
          <w:tcPr>
            <w:tcW w:w="438" w:type="dxa"/>
            <w:vAlign w:val="center"/>
          </w:tcPr>
          <w:p w14:paraId="2F911B67">
            <w:pPr>
              <w:jc w:val="center"/>
              <w:rPr>
                <w:rFonts w:hint="eastAsia" w:ascii="宋体" w:hAnsi="宋体" w:eastAsia="宋体" w:cs="Times New Roman"/>
                <w:kern w:val="0"/>
                <w:szCs w:val="21"/>
              </w:rPr>
            </w:pPr>
            <w:r>
              <w:rPr>
                <w:rFonts w:hint="eastAsia" w:ascii="宋体" w:hAnsi="宋体" w:eastAsia="宋体" w:cs="Times New Roman"/>
                <w:kern w:val="0"/>
                <w:szCs w:val="21"/>
              </w:rPr>
              <w:t>2</w:t>
            </w:r>
          </w:p>
        </w:tc>
      </w:tr>
      <w:tr w14:paraId="185B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43F12617">
            <w:pPr>
              <w:jc w:val="center"/>
              <w:rPr>
                <w:rFonts w:hint="eastAsia" w:ascii="宋体" w:hAnsi="宋体" w:eastAsia="宋体" w:cs="Times New Roman"/>
                <w:kern w:val="0"/>
                <w:szCs w:val="21"/>
              </w:rPr>
            </w:pPr>
          </w:p>
        </w:tc>
        <w:tc>
          <w:tcPr>
            <w:tcW w:w="8096" w:type="dxa"/>
            <w:gridSpan w:val="6"/>
            <w:vAlign w:val="center"/>
          </w:tcPr>
          <w:p w14:paraId="154F2570">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形成科学的儿童注意的发展观，对学生发展的个别差异和特点有所了解，初步学习因人而异的教育理念，为大国良师打下基础。</w:t>
            </w:r>
          </w:p>
        </w:tc>
      </w:tr>
      <w:tr w14:paraId="79B1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19D713BC">
            <w:pPr>
              <w:jc w:val="center"/>
              <w:rPr>
                <w:rFonts w:hint="eastAsia" w:ascii="宋体" w:hAnsi="宋体" w:eastAsia="宋体" w:cs="Times New Roman"/>
                <w:kern w:val="0"/>
                <w:szCs w:val="21"/>
              </w:rPr>
            </w:pPr>
            <w:r>
              <w:rPr>
                <w:rFonts w:hint="eastAsia" w:ascii="宋体" w:hAnsi="宋体" w:eastAsia="宋体" w:cs="Times New Roman"/>
                <w:kern w:val="0"/>
                <w:szCs w:val="21"/>
              </w:rPr>
              <w:t>7.小学儿童的思维</w:t>
            </w:r>
          </w:p>
        </w:tc>
        <w:tc>
          <w:tcPr>
            <w:tcW w:w="1769" w:type="dxa"/>
            <w:vAlign w:val="center"/>
          </w:tcPr>
          <w:p w14:paraId="6B1CCCFD">
            <w:pPr>
              <w:jc w:val="left"/>
              <w:rPr>
                <w:rFonts w:hint="eastAsia" w:ascii="宋体" w:hAnsi="宋体" w:eastAsia="宋体" w:cs="Times New Roman"/>
                <w:kern w:val="0"/>
                <w:szCs w:val="21"/>
              </w:rPr>
            </w:pPr>
            <w:r>
              <w:rPr>
                <w:rFonts w:hint="eastAsia" w:ascii="宋体" w:hAnsi="宋体" w:eastAsia="宋体" w:cs="Times New Roman"/>
                <w:kern w:val="0"/>
                <w:szCs w:val="21"/>
              </w:rPr>
              <w:t>1，思维概述</w:t>
            </w:r>
          </w:p>
          <w:p w14:paraId="4AF100DE">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2.小学儿童的思维发展</w:t>
            </w:r>
          </w:p>
        </w:tc>
        <w:tc>
          <w:tcPr>
            <w:tcW w:w="1068" w:type="dxa"/>
            <w:gridSpan w:val="2"/>
            <w:vAlign w:val="center"/>
          </w:tcPr>
          <w:p w14:paraId="1ABB2156">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课程目标1、2、3</w:t>
            </w:r>
          </w:p>
        </w:tc>
        <w:tc>
          <w:tcPr>
            <w:tcW w:w="3261" w:type="dxa"/>
            <w:vAlign w:val="center"/>
          </w:tcPr>
          <w:p w14:paraId="17FAAE2C">
            <w:pPr>
              <w:jc w:val="left"/>
              <w:rPr>
                <w:rFonts w:hint="eastAsia" w:ascii="宋体" w:hAnsi="宋体" w:eastAsia="宋体" w:cs="Times New Roman"/>
                <w:kern w:val="0"/>
                <w:szCs w:val="21"/>
              </w:rPr>
            </w:pPr>
            <w:r>
              <w:rPr>
                <w:rFonts w:hint="eastAsia" w:ascii="宋体" w:hAnsi="宋体" w:eastAsia="宋体" w:cs="Times New Roman"/>
                <w:kern w:val="0"/>
                <w:szCs w:val="21"/>
              </w:rPr>
              <w:t>1.理解思维的概念，思维的类型和品质</w:t>
            </w:r>
          </w:p>
          <w:p w14:paraId="060163C0">
            <w:pPr>
              <w:jc w:val="left"/>
              <w:rPr>
                <w:rFonts w:hint="eastAsia" w:ascii="宋体" w:hAnsi="宋体" w:eastAsia="宋体" w:cs="Times New Roman"/>
                <w:kern w:val="0"/>
                <w:szCs w:val="21"/>
              </w:rPr>
            </w:pPr>
            <w:r>
              <w:rPr>
                <w:rFonts w:hint="eastAsia" w:ascii="宋体" w:hAnsi="宋体" w:eastAsia="宋体" w:cs="Times New Roman"/>
                <w:kern w:val="0"/>
                <w:szCs w:val="21"/>
              </w:rPr>
              <w:t>2.了解思维的过程和形式，掌握小学儿童思维发展的特点，懂得小学生创造性思维能力的培养的方法</w:t>
            </w:r>
          </w:p>
        </w:tc>
        <w:tc>
          <w:tcPr>
            <w:tcW w:w="1560" w:type="dxa"/>
            <w:vAlign w:val="center"/>
          </w:tcPr>
          <w:p w14:paraId="7E5C75C4">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3C1EE92C">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08E41853">
            <w:pPr>
              <w:jc w:val="left"/>
              <w:rPr>
                <w:rFonts w:hint="eastAsia" w:ascii="宋体" w:hAnsi="宋体" w:eastAsia="宋体" w:cs="Times New Roman"/>
                <w:kern w:val="0"/>
                <w:szCs w:val="21"/>
              </w:rPr>
            </w:pPr>
            <w:r>
              <w:rPr>
                <w:rFonts w:ascii="宋体" w:hAnsi="宋体" w:eastAsia="宋体" w:cs="Times New Roman"/>
                <w:kern w:val="0"/>
                <w:szCs w:val="21"/>
              </w:rPr>
              <w:t>4.单元测验</w:t>
            </w:r>
          </w:p>
        </w:tc>
        <w:tc>
          <w:tcPr>
            <w:tcW w:w="438" w:type="dxa"/>
            <w:vAlign w:val="center"/>
          </w:tcPr>
          <w:p w14:paraId="3185EBBD">
            <w:pPr>
              <w:jc w:val="center"/>
              <w:rPr>
                <w:rFonts w:hint="eastAsia" w:ascii="宋体" w:hAnsi="宋体" w:eastAsia="宋体" w:cs="Times New Roman"/>
                <w:kern w:val="0"/>
                <w:szCs w:val="21"/>
              </w:rPr>
            </w:pPr>
            <w:r>
              <w:rPr>
                <w:rFonts w:hint="eastAsia" w:ascii="宋体" w:hAnsi="宋体" w:eastAsia="宋体" w:cs="Times New Roman"/>
                <w:kern w:val="0"/>
                <w:szCs w:val="21"/>
              </w:rPr>
              <w:t>4</w:t>
            </w:r>
          </w:p>
        </w:tc>
      </w:tr>
      <w:tr w14:paraId="57AF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2A55C9C7">
            <w:pPr>
              <w:jc w:val="center"/>
              <w:rPr>
                <w:rFonts w:hint="eastAsia" w:ascii="宋体" w:hAnsi="宋体" w:eastAsia="宋体" w:cs="Times New Roman"/>
                <w:kern w:val="0"/>
                <w:szCs w:val="21"/>
              </w:rPr>
            </w:pPr>
          </w:p>
        </w:tc>
        <w:tc>
          <w:tcPr>
            <w:tcW w:w="8096" w:type="dxa"/>
            <w:gridSpan w:val="6"/>
            <w:vAlign w:val="center"/>
          </w:tcPr>
          <w:p w14:paraId="382AA957">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形成科学的儿童注意的发展观，对学生发展的个别差异和特点有所了解，初步学习因人而异的教育理念，为大国良师打下基础。</w:t>
            </w:r>
          </w:p>
        </w:tc>
      </w:tr>
      <w:tr w14:paraId="4B11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79E2B5F0">
            <w:pPr>
              <w:jc w:val="center"/>
              <w:rPr>
                <w:rFonts w:hint="eastAsia" w:ascii="宋体" w:hAnsi="宋体" w:eastAsia="宋体" w:cs="Times New Roman"/>
                <w:kern w:val="0"/>
                <w:szCs w:val="21"/>
              </w:rPr>
            </w:pPr>
            <w:r>
              <w:rPr>
                <w:rFonts w:hint="eastAsia" w:ascii="宋体" w:hAnsi="宋体" w:eastAsia="宋体" w:cs="Times New Roman"/>
                <w:kern w:val="0"/>
                <w:szCs w:val="21"/>
              </w:rPr>
              <w:t>8.小学儿童的情绪和情感</w:t>
            </w:r>
          </w:p>
        </w:tc>
        <w:tc>
          <w:tcPr>
            <w:tcW w:w="1769" w:type="dxa"/>
            <w:vAlign w:val="center"/>
          </w:tcPr>
          <w:p w14:paraId="096AAC2E">
            <w:pPr>
              <w:jc w:val="left"/>
              <w:rPr>
                <w:rFonts w:hint="eastAsia" w:ascii="宋体" w:hAnsi="宋体" w:eastAsia="宋体" w:cs="Times New Roman"/>
                <w:kern w:val="0"/>
                <w:szCs w:val="21"/>
              </w:rPr>
            </w:pPr>
            <w:r>
              <w:rPr>
                <w:rFonts w:hint="eastAsia" w:ascii="宋体" w:hAnsi="宋体" w:eastAsia="宋体" w:cs="Times New Roman"/>
                <w:kern w:val="0"/>
                <w:szCs w:val="21"/>
              </w:rPr>
              <w:t>1.情绪、情感概述</w:t>
            </w:r>
          </w:p>
          <w:p w14:paraId="5C5C1B14">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2.小学儿童的情绪与情感</w:t>
            </w:r>
          </w:p>
        </w:tc>
        <w:tc>
          <w:tcPr>
            <w:tcW w:w="1068" w:type="dxa"/>
            <w:gridSpan w:val="2"/>
            <w:vAlign w:val="center"/>
          </w:tcPr>
          <w:p w14:paraId="5487BB36">
            <w:pPr>
              <w:jc w:val="center"/>
              <w:rPr>
                <w:rFonts w:hint="eastAsia" w:ascii="宋体" w:hAnsi="宋体" w:eastAsia="宋体" w:cs="Times New Roman"/>
                <w:kern w:val="0"/>
                <w:szCs w:val="21"/>
              </w:rPr>
            </w:pPr>
            <w:r>
              <w:rPr>
                <w:rFonts w:hint="eastAsia" w:ascii="宋体" w:hAnsi="宋体" w:eastAsia="宋体" w:cs="Times New Roman"/>
                <w:kern w:val="0"/>
                <w:szCs w:val="21"/>
              </w:rPr>
              <w:t>课程目标2、3</w:t>
            </w:r>
          </w:p>
        </w:tc>
        <w:tc>
          <w:tcPr>
            <w:tcW w:w="3261" w:type="dxa"/>
            <w:vAlign w:val="center"/>
          </w:tcPr>
          <w:p w14:paraId="7625E480">
            <w:pPr>
              <w:jc w:val="left"/>
              <w:rPr>
                <w:rFonts w:hint="eastAsia" w:ascii="宋体" w:hAnsi="宋体" w:eastAsia="宋体" w:cs="Times New Roman"/>
                <w:kern w:val="0"/>
                <w:szCs w:val="21"/>
              </w:rPr>
            </w:pPr>
            <w:r>
              <w:rPr>
                <w:rFonts w:hint="eastAsia" w:ascii="宋体" w:hAnsi="宋体" w:eastAsia="宋体" w:cs="Times New Roman"/>
                <w:kern w:val="0"/>
                <w:szCs w:val="21"/>
              </w:rPr>
              <w:t>1.理解情绪、情感的概念，了解情绪与情感的关系以及情感过程与认识过程的关系，情绪情感的功能及分类</w:t>
            </w:r>
          </w:p>
          <w:p w14:paraId="26BBF332">
            <w:pPr>
              <w:jc w:val="left"/>
              <w:rPr>
                <w:rFonts w:hint="eastAsia" w:ascii="宋体" w:hAnsi="宋体" w:eastAsia="宋体" w:cs="Times New Roman"/>
                <w:kern w:val="0"/>
                <w:szCs w:val="21"/>
              </w:rPr>
            </w:pPr>
            <w:r>
              <w:rPr>
                <w:rFonts w:hint="eastAsia" w:ascii="宋体" w:hAnsi="宋体" w:eastAsia="宋体" w:cs="Times New Roman"/>
                <w:kern w:val="0"/>
                <w:szCs w:val="21"/>
              </w:rPr>
              <w:t>2.掌握小学儿童情绪情感发展的特点，懂得如何培养小学儿童的情感</w:t>
            </w:r>
          </w:p>
        </w:tc>
        <w:tc>
          <w:tcPr>
            <w:tcW w:w="1560" w:type="dxa"/>
            <w:vAlign w:val="center"/>
          </w:tcPr>
          <w:p w14:paraId="136D7FD6">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6ACDF0D5">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799D0F24">
            <w:pPr>
              <w:jc w:val="left"/>
              <w:rPr>
                <w:rFonts w:hint="eastAsia" w:ascii="宋体" w:hAnsi="宋体" w:eastAsia="宋体" w:cs="Times New Roman"/>
                <w:kern w:val="0"/>
                <w:szCs w:val="21"/>
              </w:rPr>
            </w:pPr>
            <w:r>
              <w:rPr>
                <w:rFonts w:ascii="宋体" w:hAnsi="宋体" w:eastAsia="宋体" w:cs="Times New Roman"/>
                <w:kern w:val="0"/>
                <w:szCs w:val="21"/>
              </w:rPr>
              <w:t>4.单元测验</w:t>
            </w:r>
          </w:p>
        </w:tc>
        <w:tc>
          <w:tcPr>
            <w:tcW w:w="438" w:type="dxa"/>
            <w:vAlign w:val="center"/>
          </w:tcPr>
          <w:p w14:paraId="195ACA59">
            <w:pPr>
              <w:jc w:val="center"/>
              <w:rPr>
                <w:rFonts w:hint="eastAsia" w:ascii="宋体" w:hAnsi="宋体" w:eastAsia="宋体" w:cs="Times New Roman"/>
                <w:kern w:val="0"/>
                <w:szCs w:val="21"/>
              </w:rPr>
            </w:pPr>
            <w:r>
              <w:rPr>
                <w:rFonts w:hint="eastAsia" w:ascii="宋体" w:hAnsi="宋体" w:eastAsia="宋体" w:cs="Times New Roman"/>
                <w:kern w:val="0"/>
                <w:szCs w:val="21"/>
              </w:rPr>
              <w:t>2</w:t>
            </w:r>
          </w:p>
        </w:tc>
      </w:tr>
      <w:tr w14:paraId="7FF3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7667759C">
            <w:pPr>
              <w:jc w:val="center"/>
              <w:rPr>
                <w:rFonts w:hint="eastAsia" w:ascii="宋体" w:hAnsi="宋体" w:eastAsia="宋体" w:cs="Times New Roman"/>
                <w:kern w:val="0"/>
                <w:szCs w:val="21"/>
              </w:rPr>
            </w:pPr>
          </w:p>
        </w:tc>
        <w:tc>
          <w:tcPr>
            <w:tcW w:w="8096" w:type="dxa"/>
            <w:gridSpan w:val="6"/>
            <w:vAlign w:val="center"/>
          </w:tcPr>
          <w:p w14:paraId="7A17D92E">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形成科学的儿童注意的发展观，对学生发展的个别差异和特点有所了解，初步学习因人而异的教育理念，为大国良师打下基础。</w:t>
            </w:r>
          </w:p>
        </w:tc>
      </w:tr>
      <w:tr w14:paraId="1D64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42922A61">
            <w:pPr>
              <w:jc w:val="center"/>
              <w:rPr>
                <w:rFonts w:hint="eastAsia" w:ascii="宋体" w:hAnsi="宋体" w:eastAsia="宋体" w:cs="Times New Roman"/>
                <w:kern w:val="0"/>
                <w:szCs w:val="21"/>
              </w:rPr>
            </w:pPr>
            <w:r>
              <w:rPr>
                <w:rFonts w:hint="eastAsia" w:ascii="宋体" w:hAnsi="宋体" w:eastAsia="宋体" w:cs="Times New Roman"/>
                <w:kern w:val="0"/>
                <w:szCs w:val="21"/>
              </w:rPr>
              <w:t>9.小学儿童的意志</w:t>
            </w:r>
          </w:p>
        </w:tc>
        <w:tc>
          <w:tcPr>
            <w:tcW w:w="1769" w:type="dxa"/>
            <w:vAlign w:val="center"/>
          </w:tcPr>
          <w:p w14:paraId="7C70974A">
            <w:pPr>
              <w:jc w:val="left"/>
              <w:rPr>
                <w:rFonts w:hint="eastAsia" w:ascii="宋体" w:hAnsi="宋体" w:eastAsia="宋体" w:cs="Times New Roman"/>
                <w:kern w:val="0"/>
                <w:szCs w:val="21"/>
              </w:rPr>
            </w:pPr>
            <w:r>
              <w:rPr>
                <w:rFonts w:hint="eastAsia" w:ascii="宋体" w:hAnsi="宋体" w:eastAsia="宋体" w:cs="Times New Roman"/>
                <w:kern w:val="0"/>
                <w:szCs w:val="21"/>
              </w:rPr>
              <w:t>1.意志概述</w:t>
            </w:r>
          </w:p>
          <w:p w14:paraId="0668D9BD">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2.小学儿童的意志</w:t>
            </w:r>
          </w:p>
        </w:tc>
        <w:tc>
          <w:tcPr>
            <w:tcW w:w="1068" w:type="dxa"/>
            <w:gridSpan w:val="2"/>
            <w:vAlign w:val="center"/>
          </w:tcPr>
          <w:p w14:paraId="7F75D1D7">
            <w:pPr>
              <w:jc w:val="center"/>
              <w:rPr>
                <w:rFonts w:hint="eastAsia" w:ascii="宋体" w:hAnsi="宋体" w:eastAsia="宋体" w:cs="Times New Roman"/>
                <w:kern w:val="0"/>
                <w:szCs w:val="21"/>
              </w:rPr>
            </w:pPr>
            <w:r>
              <w:rPr>
                <w:rFonts w:hint="eastAsia" w:ascii="宋体" w:hAnsi="宋体" w:eastAsia="宋体" w:cs="Times New Roman"/>
                <w:kern w:val="0"/>
                <w:szCs w:val="21"/>
              </w:rPr>
              <w:t>课程目标2、3</w:t>
            </w:r>
          </w:p>
        </w:tc>
        <w:tc>
          <w:tcPr>
            <w:tcW w:w="3261" w:type="dxa"/>
            <w:vAlign w:val="center"/>
          </w:tcPr>
          <w:p w14:paraId="66002F6C">
            <w:pPr>
              <w:jc w:val="left"/>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 xml:space="preserve"> </w:t>
            </w:r>
            <w:r>
              <w:rPr>
                <w:rFonts w:hint="eastAsia" w:ascii="宋体" w:hAnsi="宋体" w:eastAsia="宋体" w:cs="Times New Roman"/>
                <w:kern w:val="0"/>
                <w:szCs w:val="21"/>
              </w:rPr>
              <w:t>了解意志的品质及意志与认知、情感过程的关系，意志行动的具体表现和阶段，理解意志的概念和特征</w:t>
            </w:r>
          </w:p>
          <w:p w14:paraId="0F95C1E3">
            <w:pPr>
              <w:jc w:val="left"/>
              <w:rPr>
                <w:rFonts w:hint="eastAsia" w:ascii="宋体" w:hAnsi="宋体" w:eastAsia="宋体" w:cs="Times New Roman"/>
                <w:kern w:val="0"/>
                <w:szCs w:val="21"/>
              </w:rPr>
            </w:pPr>
            <w:r>
              <w:rPr>
                <w:rFonts w:hint="eastAsia" w:ascii="宋体" w:hAnsi="宋体" w:eastAsia="宋体" w:cs="Times New Roman"/>
                <w:kern w:val="0"/>
                <w:szCs w:val="21"/>
              </w:rPr>
              <w:t>2.掌握小学儿童意志发展特点，懂得小学意志力培养的方法</w:t>
            </w:r>
          </w:p>
        </w:tc>
        <w:tc>
          <w:tcPr>
            <w:tcW w:w="1560" w:type="dxa"/>
            <w:vAlign w:val="center"/>
          </w:tcPr>
          <w:p w14:paraId="7F3BCD4B">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343FC06A">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0CC57A41">
            <w:pPr>
              <w:jc w:val="left"/>
              <w:rPr>
                <w:rFonts w:hint="eastAsia" w:ascii="宋体" w:hAnsi="宋体" w:eastAsia="宋体" w:cs="Times New Roman"/>
                <w:kern w:val="0"/>
                <w:szCs w:val="21"/>
              </w:rPr>
            </w:pPr>
            <w:r>
              <w:rPr>
                <w:rFonts w:ascii="宋体" w:hAnsi="宋体" w:eastAsia="宋体" w:cs="Times New Roman"/>
                <w:kern w:val="0"/>
                <w:szCs w:val="21"/>
              </w:rPr>
              <w:t>4.单元测验</w:t>
            </w:r>
          </w:p>
        </w:tc>
        <w:tc>
          <w:tcPr>
            <w:tcW w:w="438" w:type="dxa"/>
            <w:vAlign w:val="center"/>
          </w:tcPr>
          <w:p w14:paraId="0EEFB7A1">
            <w:pPr>
              <w:jc w:val="center"/>
              <w:rPr>
                <w:rFonts w:hint="eastAsia" w:ascii="宋体" w:hAnsi="宋体" w:eastAsia="宋体" w:cs="Times New Roman"/>
                <w:kern w:val="0"/>
                <w:szCs w:val="21"/>
              </w:rPr>
            </w:pPr>
            <w:r>
              <w:rPr>
                <w:rFonts w:hint="eastAsia" w:ascii="宋体" w:hAnsi="宋体" w:eastAsia="宋体" w:cs="Times New Roman"/>
                <w:kern w:val="0"/>
                <w:szCs w:val="21"/>
              </w:rPr>
              <w:t>1</w:t>
            </w:r>
          </w:p>
        </w:tc>
      </w:tr>
      <w:tr w14:paraId="69D0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2C306BAA">
            <w:pPr>
              <w:jc w:val="center"/>
              <w:rPr>
                <w:rFonts w:hint="eastAsia" w:ascii="宋体" w:hAnsi="宋体" w:eastAsia="宋体" w:cs="Times New Roman"/>
                <w:kern w:val="0"/>
                <w:szCs w:val="21"/>
              </w:rPr>
            </w:pPr>
          </w:p>
        </w:tc>
        <w:tc>
          <w:tcPr>
            <w:tcW w:w="8096" w:type="dxa"/>
            <w:gridSpan w:val="6"/>
            <w:vAlign w:val="center"/>
          </w:tcPr>
          <w:p w14:paraId="589F1406">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形成科学的儿童注意的发展观，对学生发展的个别差异和特点有所了解，初步学习因人而异的教育理念，为大国良师打下基础。</w:t>
            </w:r>
          </w:p>
        </w:tc>
      </w:tr>
      <w:tr w14:paraId="0184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701C789C">
            <w:pPr>
              <w:jc w:val="center"/>
              <w:rPr>
                <w:rFonts w:hint="eastAsia" w:ascii="宋体" w:hAnsi="宋体" w:eastAsia="宋体" w:cs="Times New Roman"/>
                <w:kern w:val="0"/>
                <w:szCs w:val="21"/>
              </w:rPr>
            </w:pPr>
            <w:r>
              <w:rPr>
                <w:rFonts w:hint="eastAsia" w:ascii="宋体" w:hAnsi="宋体" w:eastAsia="宋体" w:cs="Times New Roman"/>
                <w:kern w:val="0"/>
                <w:szCs w:val="21"/>
              </w:rPr>
              <w:t>10.小学儿童的个性倾向性</w:t>
            </w:r>
          </w:p>
        </w:tc>
        <w:tc>
          <w:tcPr>
            <w:tcW w:w="1769" w:type="dxa"/>
            <w:vAlign w:val="center"/>
          </w:tcPr>
          <w:p w14:paraId="0F4BEDDD">
            <w:pPr>
              <w:jc w:val="left"/>
              <w:rPr>
                <w:rFonts w:hint="eastAsia" w:ascii="宋体" w:hAnsi="宋体" w:eastAsia="宋体" w:cs="Times New Roman"/>
                <w:kern w:val="0"/>
                <w:szCs w:val="21"/>
              </w:rPr>
            </w:pPr>
            <w:r>
              <w:rPr>
                <w:rFonts w:hint="eastAsia" w:ascii="宋体" w:hAnsi="宋体" w:eastAsia="宋体" w:cs="Times New Roman"/>
                <w:kern w:val="0"/>
                <w:szCs w:val="21"/>
              </w:rPr>
              <w:t>1．个性概述</w:t>
            </w:r>
          </w:p>
          <w:p w14:paraId="6EF0EE0E">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2.小学儿童的需要</w:t>
            </w:r>
          </w:p>
          <w:p w14:paraId="2BE986D3">
            <w:pPr>
              <w:jc w:val="left"/>
              <w:rPr>
                <w:rFonts w:hint="eastAsia" w:ascii="宋体" w:hAnsi="宋体" w:eastAsia="宋体" w:cs="Times New Roman"/>
                <w:kern w:val="0"/>
                <w:szCs w:val="21"/>
              </w:rPr>
            </w:pPr>
            <w:r>
              <w:rPr>
                <w:rFonts w:hint="eastAsia" w:ascii="宋体" w:hAnsi="宋体" w:eastAsia="宋体" w:cs="Times New Roman"/>
                <w:kern w:val="0"/>
                <w:szCs w:val="21"/>
              </w:rPr>
              <w:t>3.小学儿童的兴趣</w:t>
            </w:r>
          </w:p>
        </w:tc>
        <w:tc>
          <w:tcPr>
            <w:tcW w:w="1068" w:type="dxa"/>
            <w:gridSpan w:val="2"/>
            <w:vAlign w:val="center"/>
          </w:tcPr>
          <w:p w14:paraId="38E60A52">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课程目标1、2、3</w:t>
            </w:r>
          </w:p>
          <w:p w14:paraId="6C26B212">
            <w:pPr>
              <w:jc w:val="center"/>
              <w:rPr>
                <w:rFonts w:hint="eastAsia" w:ascii="宋体" w:hAnsi="宋体" w:eastAsia="宋体" w:cs="Times New Roman"/>
                <w:kern w:val="0"/>
                <w:szCs w:val="21"/>
              </w:rPr>
            </w:pPr>
          </w:p>
        </w:tc>
        <w:tc>
          <w:tcPr>
            <w:tcW w:w="3261" w:type="dxa"/>
            <w:vAlign w:val="center"/>
          </w:tcPr>
          <w:p w14:paraId="238A44EB">
            <w:pPr>
              <w:jc w:val="left"/>
              <w:rPr>
                <w:rFonts w:hint="eastAsia" w:ascii="宋体" w:hAnsi="宋体" w:eastAsia="宋体" w:cs="Times New Roman"/>
                <w:kern w:val="0"/>
                <w:szCs w:val="21"/>
              </w:rPr>
            </w:pPr>
            <w:r>
              <w:rPr>
                <w:rFonts w:hint="eastAsia" w:ascii="宋体" w:hAnsi="宋体" w:eastAsia="宋体" w:cs="Times New Roman"/>
                <w:kern w:val="0"/>
                <w:szCs w:val="21"/>
              </w:rPr>
              <w:t>1.</w:t>
            </w:r>
            <w:r>
              <w:rPr>
                <w:rFonts w:hint="eastAsia" w:ascii="Times New Roman" w:hAnsi="Times New Roman" w:eastAsia="宋体" w:cs="Times New Roman"/>
                <w:kern w:val="0"/>
                <w:szCs w:val="21"/>
              </w:rPr>
              <w:t xml:space="preserve"> </w:t>
            </w:r>
            <w:r>
              <w:rPr>
                <w:rFonts w:hint="eastAsia" w:ascii="宋体" w:hAnsi="宋体" w:eastAsia="宋体" w:cs="Times New Roman"/>
                <w:kern w:val="0"/>
                <w:szCs w:val="21"/>
              </w:rPr>
              <w:t>了解兴趣的作用、分类和品质，理解个性、需要和兴趣的概念及基本特征</w:t>
            </w:r>
          </w:p>
          <w:p w14:paraId="0A829FE6">
            <w:pPr>
              <w:jc w:val="left"/>
              <w:rPr>
                <w:rFonts w:hint="eastAsia" w:ascii="宋体" w:hAnsi="宋体" w:eastAsia="宋体" w:cs="Times New Roman"/>
                <w:kern w:val="0"/>
                <w:szCs w:val="21"/>
              </w:rPr>
            </w:pPr>
            <w:r>
              <w:rPr>
                <w:rFonts w:hint="eastAsia" w:ascii="宋体" w:hAnsi="宋体" w:eastAsia="宋体" w:cs="Times New Roman"/>
                <w:kern w:val="0"/>
                <w:szCs w:val="21"/>
              </w:rPr>
              <w:t>2.掌握小学儿童需要和兴趣的发展特点</w:t>
            </w:r>
          </w:p>
          <w:p w14:paraId="503CFAB1">
            <w:pPr>
              <w:jc w:val="left"/>
              <w:rPr>
                <w:rFonts w:hint="eastAsia" w:ascii="宋体" w:hAnsi="宋体" w:eastAsia="宋体" w:cs="Times New Roman"/>
                <w:kern w:val="0"/>
                <w:szCs w:val="21"/>
              </w:rPr>
            </w:pPr>
            <w:r>
              <w:rPr>
                <w:rFonts w:hint="eastAsia" w:ascii="宋体" w:hAnsi="宋体" w:eastAsia="宋体" w:cs="Times New Roman"/>
                <w:kern w:val="0"/>
                <w:szCs w:val="21"/>
              </w:rPr>
              <w:t>3.懂得正确引导小学儿童的需要，学会小学儿童兴趣的培养方法</w:t>
            </w:r>
            <w:r>
              <w:rPr>
                <w:rFonts w:ascii="宋体" w:hAnsi="宋体" w:eastAsia="宋体" w:cs="Times New Roman"/>
                <w:kern w:val="0"/>
                <w:szCs w:val="21"/>
              </w:rPr>
              <w:t xml:space="preserve"> </w:t>
            </w:r>
          </w:p>
        </w:tc>
        <w:tc>
          <w:tcPr>
            <w:tcW w:w="1560" w:type="dxa"/>
            <w:vAlign w:val="center"/>
          </w:tcPr>
          <w:p w14:paraId="4E6A44B9">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5DDB40AD">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3F4D1406">
            <w:pPr>
              <w:jc w:val="left"/>
              <w:rPr>
                <w:rFonts w:hint="eastAsia" w:ascii="宋体" w:hAnsi="宋体" w:eastAsia="宋体" w:cs="Times New Roman"/>
                <w:kern w:val="0"/>
                <w:szCs w:val="21"/>
              </w:rPr>
            </w:pPr>
            <w:r>
              <w:rPr>
                <w:rFonts w:ascii="宋体" w:hAnsi="宋体" w:eastAsia="宋体" w:cs="Times New Roman"/>
                <w:kern w:val="0"/>
                <w:szCs w:val="21"/>
              </w:rPr>
              <w:t>4.单元测验</w:t>
            </w:r>
          </w:p>
        </w:tc>
        <w:tc>
          <w:tcPr>
            <w:tcW w:w="438" w:type="dxa"/>
            <w:vAlign w:val="center"/>
          </w:tcPr>
          <w:p w14:paraId="0B060898">
            <w:pPr>
              <w:jc w:val="center"/>
              <w:rPr>
                <w:rFonts w:hint="eastAsia" w:ascii="宋体" w:hAnsi="宋体" w:eastAsia="宋体" w:cs="Times New Roman"/>
                <w:kern w:val="0"/>
                <w:szCs w:val="21"/>
              </w:rPr>
            </w:pPr>
            <w:r>
              <w:rPr>
                <w:rFonts w:hint="eastAsia" w:ascii="宋体" w:hAnsi="宋体" w:eastAsia="宋体" w:cs="Times New Roman"/>
                <w:kern w:val="0"/>
                <w:szCs w:val="21"/>
              </w:rPr>
              <w:t>6</w:t>
            </w:r>
          </w:p>
        </w:tc>
      </w:tr>
      <w:tr w14:paraId="1B4E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4E07A121">
            <w:pPr>
              <w:jc w:val="center"/>
              <w:rPr>
                <w:rFonts w:hint="eastAsia" w:ascii="宋体" w:hAnsi="宋体" w:eastAsia="宋体" w:cs="Times New Roman"/>
                <w:kern w:val="0"/>
                <w:szCs w:val="21"/>
              </w:rPr>
            </w:pPr>
          </w:p>
        </w:tc>
        <w:tc>
          <w:tcPr>
            <w:tcW w:w="8096" w:type="dxa"/>
            <w:gridSpan w:val="6"/>
            <w:vAlign w:val="center"/>
          </w:tcPr>
          <w:p w14:paraId="15BD5412">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形成科学的儿童注意的发展观，对学生发展的个别差异和特点有所了解，初步形成全人教育理念，为大国良师打下基础。</w:t>
            </w:r>
          </w:p>
        </w:tc>
      </w:tr>
      <w:tr w14:paraId="6D0A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3F5D1724">
            <w:pPr>
              <w:jc w:val="center"/>
              <w:rPr>
                <w:rFonts w:hint="eastAsia" w:ascii="宋体" w:hAnsi="宋体" w:eastAsia="宋体" w:cs="Times New Roman"/>
                <w:kern w:val="0"/>
                <w:szCs w:val="21"/>
              </w:rPr>
            </w:pPr>
            <w:r>
              <w:rPr>
                <w:rFonts w:hint="eastAsia" w:ascii="宋体" w:hAnsi="宋体" w:eastAsia="宋体" w:cs="Times New Roman"/>
                <w:kern w:val="0"/>
                <w:szCs w:val="21"/>
              </w:rPr>
              <w:t>11.小学儿童的气质与性格</w:t>
            </w:r>
          </w:p>
        </w:tc>
        <w:tc>
          <w:tcPr>
            <w:tcW w:w="1769" w:type="dxa"/>
            <w:vAlign w:val="center"/>
          </w:tcPr>
          <w:p w14:paraId="714D8F6D">
            <w:pPr>
              <w:jc w:val="left"/>
              <w:rPr>
                <w:rFonts w:hint="eastAsia" w:ascii="宋体" w:hAnsi="宋体" w:eastAsia="宋体" w:cs="Times New Roman"/>
                <w:bCs/>
                <w:kern w:val="0"/>
                <w:szCs w:val="21"/>
              </w:rPr>
            </w:pPr>
            <w:r>
              <w:rPr>
                <w:rFonts w:hint="eastAsia" w:ascii="宋体" w:hAnsi="宋体" w:eastAsia="宋体" w:cs="Times New Roman"/>
                <w:bCs/>
                <w:kern w:val="0"/>
                <w:szCs w:val="21"/>
              </w:rPr>
              <w:t>1.气质与性格概述</w:t>
            </w:r>
          </w:p>
          <w:p w14:paraId="47843026">
            <w:pPr>
              <w:jc w:val="left"/>
              <w:rPr>
                <w:rFonts w:hint="eastAsia" w:ascii="宋体" w:hAnsi="宋体" w:eastAsia="宋体" w:cs="Times New Roman"/>
                <w:b/>
                <w:kern w:val="0"/>
                <w:szCs w:val="21"/>
              </w:rPr>
            </w:pPr>
            <w:r>
              <w:rPr>
                <w:rFonts w:hint="eastAsia" w:ascii="宋体" w:hAnsi="宋体" w:eastAsia="宋体" w:cs="Times New Roman"/>
                <w:bCs/>
                <w:kern w:val="0"/>
                <w:szCs w:val="21"/>
              </w:rPr>
              <w:t>2.小学儿童的气质与性格</w:t>
            </w:r>
          </w:p>
        </w:tc>
        <w:tc>
          <w:tcPr>
            <w:tcW w:w="1050" w:type="dxa"/>
            <w:vAlign w:val="center"/>
          </w:tcPr>
          <w:p w14:paraId="3537FCD8">
            <w:pPr>
              <w:jc w:val="both"/>
              <w:rPr>
                <w:rFonts w:hint="eastAsia" w:ascii="宋体" w:hAnsi="宋体" w:eastAsia="宋体" w:cs="Times New Roman"/>
                <w:b/>
                <w:kern w:val="0"/>
                <w:szCs w:val="21"/>
              </w:rPr>
            </w:pPr>
            <w:r>
              <w:rPr>
                <w:rFonts w:hint="eastAsia" w:ascii="宋体" w:hAnsi="宋体" w:eastAsia="宋体" w:cs="Times New Roman"/>
                <w:kern w:val="0"/>
                <w:szCs w:val="21"/>
              </w:rPr>
              <w:t>课程目标2、3</w:t>
            </w:r>
          </w:p>
        </w:tc>
        <w:tc>
          <w:tcPr>
            <w:tcW w:w="3279" w:type="dxa"/>
            <w:gridSpan w:val="2"/>
            <w:vAlign w:val="center"/>
          </w:tcPr>
          <w:p w14:paraId="3FEBB88B">
            <w:pPr>
              <w:jc w:val="left"/>
              <w:rPr>
                <w:rFonts w:hint="eastAsia" w:ascii="宋体" w:hAnsi="宋体" w:eastAsia="宋体" w:cs="Times New Roman"/>
                <w:bCs/>
                <w:kern w:val="0"/>
                <w:szCs w:val="21"/>
              </w:rPr>
            </w:pPr>
            <w:r>
              <w:rPr>
                <w:rFonts w:hint="eastAsia" w:ascii="宋体" w:hAnsi="宋体" w:eastAsia="宋体" w:cs="Times New Roman"/>
                <w:bCs/>
                <w:kern w:val="0"/>
                <w:szCs w:val="21"/>
              </w:rPr>
              <w:t>1.了解气质的类型与气质研究对实践活动的意义，性格和气质的关系；理解气质和性格的概念，性格的结构，理解高级神经活动活动类型与气质的关系</w:t>
            </w:r>
          </w:p>
          <w:p w14:paraId="511390AD">
            <w:pPr>
              <w:jc w:val="left"/>
              <w:rPr>
                <w:rFonts w:hint="eastAsia" w:ascii="宋体" w:hAnsi="宋体" w:eastAsia="宋体" w:cs="Times New Roman"/>
                <w:bCs/>
                <w:kern w:val="0"/>
                <w:szCs w:val="21"/>
              </w:rPr>
            </w:pPr>
            <w:r>
              <w:rPr>
                <w:rFonts w:hint="eastAsia" w:ascii="宋体" w:hAnsi="宋体" w:eastAsia="宋体" w:cs="Times New Roman"/>
                <w:bCs/>
                <w:kern w:val="0"/>
                <w:szCs w:val="21"/>
              </w:rPr>
              <w:t>2.掌握小学儿童气质和性格的特点</w:t>
            </w:r>
          </w:p>
          <w:p w14:paraId="76A21110">
            <w:pPr>
              <w:jc w:val="left"/>
              <w:rPr>
                <w:rFonts w:hint="eastAsia" w:ascii="宋体" w:hAnsi="宋体" w:eastAsia="宋体" w:cs="Times New Roman"/>
                <w:b/>
                <w:kern w:val="0"/>
                <w:szCs w:val="21"/>
              </w:rPr>
            </w:pPr>
            <w:r>
              <w:rPr>
                <w:rFonts w:hint="eastAsia" w:ascii="宋体" w:hAnsi="宋体" w:eastAsia="宋体" w:cs="Times New Roman"/>
                <w:bCs/>
                <w:kern w:val="0"/>
                <w:szCs w:val="21"/>
              </w:rPr>
              <w:t>3.能根据学生的气质特点和规律开展教育活动，懂得小学儿童性格的培养</w:t>
            </w:r>
          </w:p>
        </w:tc>
        <w:tc>
          <w:tcPr>
            <w:tcW w:w="1560" w:type="dxa"/>
            <w:vAlign w:val="center"/>
          </w:tcPr>
          <w:p w14:paraId="4275994F">
            <w:pPr>
              <w:jc w:val="left"/>
              <w:rPr>
                <w:rFonts w:hint="eastAsia" w:ascii="宋体" w:hAnsi="宋体" w:eastAsia="宋体" w:cs="Times New Roman"/>
                <w:bCs/>
                <w:kern w:val="0"/>
                <w:szCs w:val="21"/>
              </w:rPr>
            </w:pPr>
            <w:r>
              <w:rPr>
                <w:rFonts w:hint="eastAsia" w:ascii="宋体" w:hAnsi="宋体" w:eastAsia="宋体" w:cs="Times New Roman"/>
                <w:bCs/>
                <w:kern w:val="0"/>
                <w:szCs w:val="21"/>
              </w:rPr>
              <w:t>1.线上学习</w:t>
            </w:r>
          </w:p>
          <w:p w14:paraId="34874756">
            <w:pPr>
              <w:jc w:val="left"/>
              <w:rPr>
                <w:rFonts w:hint="eastAsia" w:ascii="宋体" w:hAnsi="宋体" w:eastAsia="宋体" w:cs="Times New Roman"/>
                <w:bCs/>
                <w:kern w:val="0"/>
                <w:szCs w:val="21"/>
              </w:rPr>
            </w:pPr>
            <w:r>
              <w:rPr>
                <w:rFonts w:hint="eastAsia" w:ascii="宋体" w:hAnsi="宋体" w:eastAsia="宋体" w:cs="Times New Roman"/>
                <w:bCs/>
                <w:kern w:val="0"/>
                <w:szCs w:val="21"/>
              </w:rPr>
              <w:t>2.多媒体教学3.课堂讨论</w:t>
            </w:r>
          </w:p>
          <w:p w14:paraId="44C88DB3">
            <w:pPr>
              <w:jc w:val="left"/>
              <w:rPr>
                <w:rFonts w:hint="eastAsia" w:ascii="宋体" w:hAnsi="宋体" w:eastAsia="宋体" w:cs="Times New Roman"/>
                <w:bCs/>
                <w:kern w:val="0"/>
                <w:szCs w:val="21"/>
              </w:rPr>
            </w:pPr>
            <w:r>
              <w:rPr>
                <w:rFonts w:hint="eastAsia" w:ascii="宋体" w:hAnsi="宋体" w:eastAsia="宋体" w:cs="Times New Roman"/>
                <w:bCs/>
                <w:kern w:val="0"/>
                <w:szCs w:val="21"/>
              </w:rPr>
              <w:t>4.单元测验</w:t>
            </w:r>
          </w:p>
          <w:p w14:paraId="5CF0F59A">
            <w:pPr>
              <w:jc w:val="left"/>
              <w:rPr>
                <w:rFonts w:hint="eastAsia" w:ascii="宋体" w:hAnsi="宋体" w:eastAsia="宋体" w:cs="Times New Roman"/>
                <w:bCs/>
                <w:kern w:val="0"/>
                <w:szCs w:val="21"/>
              </w:rPr>
            </w:pPr>
            <w:r>
              <w:rPr>
                <w:rFonts w:hint="eastAsia" w:ascii="宋体" w:hAnsi="宋体" w:eastAsia="宋体" w:cs="Times New Roman"/>
                <w:bCs/>
                <w:kern w:val="0"/>
                <w:szCs w:val="21"/>
              </w:rPr>
              <w:t>5.16PF人格测验</w:t>
            </w:r>
          </w:p>
          <w:p w14:paraId="230AEC2A">
            <w:pPr>
              <w:jc w:val="left"/>
              <w:rPr>
                <w:rFonts w:hint="eastAsia" w:ascii="宋体" w:hAnsi="宋体" w:eastAsia="宋体" w:cs="Times New Roman"/>
                <w:b/>
                <w:kern w:val="0"/>
                <w:szCs w:val="21"/>
              </w:rPr>
            </w:pPr>
            <w:r>
              <w:rPr>
                <w:rFonts w:hint="eastAsia" w:ascii="宋体" w:hAnsi="宋体" w:eastAsia="宋体" w:cs="Times New Roman"/>
                <w:bCs/>
                <w:kern w:val="0"/>
                <w:szCs w:val="21"/>
              </w:rPr>
              <w:t>6.气质测验</w:t>
            </w:r>
          </w:p>
        </w:tc>
        <w:tc>
          <w:tcPr>
            <w:tcW w:w="438" w:type="dxa"/>
            <w:vAlign w:val="center"/>
          </w:tcPr>
          <w:p w14:paraId="7512CB37">
            <w:pPr>
              <w:jc w:val="left"/>
              <w:rPr>
                <w:rFonts w:hint="eastAsia" w:ascii="宋体" w:hAnsi="宋体" w:eastAsia="宋体" w:cs="Times New Roman"/>
                <w:b/>
                <w:kern w:val="0"/>
                <w:szCs w:val="21"/>
              </w:rPr>
            </w:pPr>
            <w:r>
              <w:rPr>
                <w:rFonts w:hint="eastAsia" w:ascii="宋体" w:hAnsi="宋体" w:eastAsia="宋体" w:cs="Times New Roman"/>
                <w:b/>
                <w:kern w:val="0"/>
                <w:szCs w:val="21"/>
              </w:rPr>
              <w:t>6</w:t>
            </w:r>
          </w:p>
        </w:tc>
      </w:tr>
      <w:tr w14:paraId="2209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582CF694">
            <w:pPr>
              <w:jc w:val="center"/>
              <w:rPr>
                <w:rFonts w:hint="eastAsia" w:ascii="宋体" w:hAnsi="宋体" w:eastAsia="宋体" w:cs="Times New Roman"/>
                <w:kern w:val="0"/>
                <w:szCs w:val="21"/>
              </w:rPr>
            </w:pPr>
          </w:p>
        </w:tc>
        <w:tc>
          <w:tcPr>
            <w:tcW w:w="8096" w:type="dxa"/>
            <w:gridSpan w:val="6"/>
            <w:vAlign w:val="center"/>
          </w:tcPr>
          <w:p w14:paraId="4FFC6DB2">
            <w:pPr>
              <w:jc w:val="left"/>
              <w:rPr>
                <w:rFonts w:hint="eastAsia" w:ascii="宋体" w:hAnsi="宋体" w:eastAsia="宋体" w:cs="Times New Roman"/>
                <w:b/>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形成科学的儿童注意的发展观，对学生发展的个别差异和特点有所了解，初步形成全人教育理念，为大国良师打下基础。</w:t>
            </w:r>
          </w:p>
        </w:tc>
      </w:tr>
      <w:tr w14:paraId="3615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555D6EC4">
            <w:pPr>
              <w:jc w:val="center"/>
              <w:rPr>
                <w:rFonts w:hint="eastAsia" w:ascii="宋体" w:hAnsi="宋体" w:eastAsia="宋体" w:cs="Times New Roman"/>
                <w:kern w:val="0"/>
                <w:szCs w:val="21"/>
              </w:rPr>
            </w:pPr>
            <w:r>
              <w:rPr>
                <w:rFonts w:hint="eastAsia" w:ascii="宋体" w:hAnsi="宋体" w:eastAsia="宋体" w:cs="Times New Roman"/>
                <w:kern w:val="0"/>
                <w:szCs w:val="21"/>
              </w:rPr>
              <w:t>13.小学儿童的能力</w:t>
            </w:r>
          </w:p>
        </w:tc>
        <w:tc>
          <w:tcPr>
            <w:tcW w:w="1769" w:type="dxa"/>
            <w:vAlign w:val="center"/>
          </w:tcPr>
          <w:p w14:paraId="7C6F2586">
            <w:pPr>
              <w:jc w:val="left"/>
              <w:rPr>
                <w:rFonts w:hint="eastAsia" w:ascii="宋体" w:hAnsi="宋体" w:eastAsia="宋体" w:cs="Times New Roman"/>
                <w:bCs/>
                <w:kern w:val="0"/>
                <w:szCs w:val="21"/>
              </w:rPr>
            </w:pPr>
            <w:r>
              <w:rPr>
                <w:rFonts w:hint="eastAsia" w:ascii="宋体" w:hAnsi="宋体" w:eastAsia="宋体" w:cs="Times New Roman"/>
                <w:bCs/>
                <w:kern w:val="0"/>
                <w:szCs w:val="21"/>
              </w:rPr>
              <w:t>1.能力的概述</w:t>
            </w:r>
          </w:p>
          <w:p w14:paraId="4EFF7B17">
            <w:pPr>
              <w:jc w:val="left"/>
              <w:rPr>
                <w:rFonts w:hint="eastAsia" w:ascii="宋体" w:hAnsi="宋体" w:eastAsia="宋体" w:cs="Times New Roman"/>
                <w:b/>
                <w:kern w:val="0"/>
                <w:szCs w:val="21"/>
              </w:rPr>
            </w:pPr>
            <w:r>
              <w:rPr>
                <w:rFonts w:hint="eastAsia" w:ascii="宋体" w:hAnsi="宋体" w:eastAsia="宋体" w:cs="Times New Roman"/>
                <w:bCs/>
                <w:kern w:val="0"/>
                <w:szCs w:val="21"/>
              </w:rPr>
              <w:t>2.小学儿童的能力</w:t>
            </w:r>
          </w:p>
        </w:tc>
        <w:tc>
          <w:tcPr>
            <w:tcW w:w="1050" w:type="dxa"/>
            <w:vAlign w:val="center"/>
          </w:tcPr>
          <w:p w14:paraId="3A221379">
            <w:pPr>
              <w:jc w:val="left"/>
              <w:rPr>
                <w:rFonts w:hint="eastAsia" w:ascii="宋体" w:hAnsi="宋体" w:eastAsia="宋体" w:cs="Times New Roman"/>
                <w:b/>
                <w:kern w:val="0"/>
                <w:szCs w:val="21"/>
              </w:rPr>
            </w:pPr>
            <w:r>
              <w:rPr>
                <w:rFonts w:hint="eastAsia" w:ascii="宋体" w:hAnsi="宋体" w:eastAsia="宋体" w:cs="Times New Roman"/>
                <w:kern w:val="0"/>
                <w:szCs w:val="21"/>
              </w:rPr>
              <w:t>课程目标2、3</w:t>
            </w:r>
          </w:p>
        </w:tc>
        <w:tc>
          <w:tcPr>
            <w:tcW w:w="3279" w:type="dxa"/>
            <w:gridSpan w:val="2"/>
            <w:vAlign w:val="center"/>
          </w:tcPr>
          <w:p w14:paraId="4851D4EF">
            <w:pPr>
              <w:jc w:val="left"/>
              <w:rPr>
                <w:rFonts w:hint="eastAsia" w:ascii="宋体" w:hAnsi="宋体" w:eastAsia="宋体" w:cs="Times New Roman"/>
                <w:bCs/>
                <w:kern w:val="0"/>
                <w:szCs w:val="21"/>
              </w:rPr>
            </w:pPr>
            <w:r>
              <w:rPr>
                <w:rFonts w:hint="eastAsia" w:ascii="宋体" w:hAnsi="宋体" w:eastAsia="宋体" w:cs="Times New Roman"/>
                <w:bCs/>
                <w:kern w:val="0"/>
                <w:szCs w:val="21"/>
              </w:rPr>
              <w:t>1.了解能力的分类，理解能力的概念及能力的个别差异，掌握能力发展的影响因素，知道小学生智力发展的特点</w:t>
            </w:r>
          </w:p>
          <w:p w14:paraId="0662B5B6">
            <w:pPr>
              <w:jc w:val="left"/>
              <w:rPr>
                <w:rFonts w:hint="eastAsia" w:ascii="宋体" w:hAnsi="宋体" w:eastAsia="宋体" w:cs="Times New Roman"/>
                <w:b/>
                <w:kern w:val="0"/>
                <w:szCs w:val="21"/>
              </w:rPr>
            </w:pPr>
            <w:r>
              <w:rPr>
                <w:rFonts w:hint="eastAsia" w:ascii="宋体" w:hAnsi="宋体" w:eastAsia="宋体" w:cs="Times New Roman"/>
                <w:bCs/>
                <w:kern w:val="0"/>
                <w:szCs w:val="21"/>
              </w:rPr>
              <w:t>2.学会在教育教学中运用科学的方法培养小学儿童的能力</w:t>
            </w:r>
          </w:p>
        </w:tc>
        <w:tc>
          <w:tcPr>
            <w:tcW w:w="1560" w:type="dxa"/>
            <w:vAlign w:val="center"/>
          </w:tcPr>
          <w:p w14:paraId="13E1B547">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54F41412">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32B2E7FB">
            <w:pPr>
              <w:jc w:val="left"/>
              <w:rPr>
                <w:rFonts w:hint="eastAsia" w:ascii="宋体" w:hAnsi="宋体" w:eastAsia="宋体" w:cs="Times New Roman"/>
                <w:b/>
                <w:kern w:val="0"/>
                <w:szCs w:val="21"/>
              </w:rPr>
            </w:pPr>
            <w:r>
              <w:rPr>
                <w:rFonts w:ascii="宋体" w:hAnsi="宋体" w:eastAsia="宋体" w:cs="Times New Roman"/>
                <w:kern w:val="0"/>
                <w:szCs w:val="21"/>
              </w:rPr>
              <w:t>4.单元测验</w:t>
            </w:r>
          </w:p>
        </w:tc>
        <w:tc>
          <w:tcPr>
            <w:tcW w:w="438" w:type="dxa"/>
            <w:vAlign w:val="center"/>
          </w:tcPr>
          <w:p w14:paraId="147A622D">
            <w:pPr>
              <w:jc w:val="left"/>
              <w:rPr>
                <w:rFonts w:hint="eastAsia" w:ascii="宋体" w:hAnsi="宋体" w:eastAsia="宋体" w:cs="Times New Roman"/>
                <w:b/>
                <w:kern w:val="0"/>
                <w:szCs w:val="21"/>
              </w:rPr>
            </w:pPr>
            <w:r>
              <w:rPr>
                <w:rFonts w:hint="eastAsia" w:ascii="宋体" w:hAnsi="宋体" w:eastAsia="宋体" w:cs="Times New Roman"/>
                <w:b/>
                <w:kern w:val="0"/>
                <w:szCs w:val="21"/>
              </w:rPr>
              <w:t>6</w:t>
            </w:r>
          </w:p>
        </w:tc>
      </w:tr>
      <w:tr w14:paraId="76B0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6150C55D">
            <w:pPr>
              <w:jc w:val="center"/>
              <w:rPr>
                <w:rFonts w:hint="eastAsia" w:ascii="宋体" w:hAnsi="宋体" w:eastAsia="宋体" w:cs="Times New Roman"/>
                <w:kern w:val="0"/>
                <w:szCs w:val="21"/>
              </w:rPr>
            </w:pPr>
          </w:p>
        </w:tc>
        <w:tc>
          <w:tcPr>
            <w:tcW w:w="8096" w:type="dxa"/>
            <w:gridSpan w:val="6"/>
            <w:vAlign w:val="center"/>
          </w:tcPr>
          <w:p w14:paraId="72B0761F">
            <w:pPr>
              <w:jc w:val="left"/>
              <w:rPr>
                <w:rFonts w:hint="eastAsia" w:ascii="宋体" w:hAnsi="宋体" w:eastAsia="宋体" w:cs="Times New Roman"/>
                <w:b/>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形成科学的儿童注意的发展观，对学生发展的个别差异和特点有所了解，初步形成全人教育理念，为大国良师打下坚实基础。</w:t>
            </w:r>
          </w:p>
        </w:tc>
      </w:tr>
      <w:tr w14:paraId="2BCB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6985A272">
            <w:pPr>
              <w:jc w:val="center"/>
              <w:rPr>
                <w:rFonts w:hint="eastAsia" w:ascii="宋体" w:hAnsi="宋体" w:eastAsia="宋体" w:cs="Times New Roman"/>
                <w:kern w:val="0"/>
                <w:szCs w:val="21"/>
              </w:rPr>
            </w:pPr>
            <w:r>
              <w:rPr>
                <w:rFonts w:hint="eastAsia" w:ascii="宋体" w:hAnsi="宋体" w:eastAsia="宋体" w:cs="Times New Roman"/>
                <w:kern w:val="0"/>
                <w:szCs w:val="21"/>
              </w:rPr>
              <w:t>14.小学儿童的自我意识</w:t>
            </w:r>
          </w:p>
        </w:tc>
        <w:tc>
          <w:tcPr>
            <w:tcW w:w="1769" w:type="dxa"/>
            <w:vAlign w:val="center"/>
          </w:tcPr>
          <w:p w14:paraId="46B5DB16">
            <w:pPr>
              <w:jc w:val="left"/>
              <w:rPr>
                <w:rFonts w:hint="eastAsia" w:ascii="宋体" w:hAnsi="宋体" w:eastAsia="宋体" w:cs="Times New Roman"/>
                <w:bCs/>
                <w:kern w:val="0"/>
                <w:szCs w:val="21"/>
              </w:rPr>
            </w:pPr>
            <w:r>
              <w:rPr>
                <w:rFonts w:hint="eastAsia" w:ascii="宋体" w:hAnsi="宋体" w:eastAsia="宋体" w:cs="Times New Roman"/>
                <w:bCs/>
                <w:kern w:val="0"/>
                <w:szCs w:val="21"/>
              </w:rPr>
              <w:t>1.自我意识概述</w:t>
            </w:r>
          </w:p>
          <w:p w14:paraId="49A2B581">
            <w:pPr>
              <w:jc w:val="left"/>
              <w:rPr>
                <w:rFonts w:hint="eastAsia" w:ascii="宋体" w:hAnsi="宋体" w:eastAsia="宋体" w:cs="Times New Roman"/>
                <w:bCs/>
                <w:kern w:val="0"/>
                <w:szCs w:val="21"/>
              </w:rPr>
            </w:pPr>
            <w:r>
              <w:rPr>
                <w:rFonts w:hint="eastAsia" w:ascii="宋体" w:hAnsi="宋体" w:eastAsia="宋体" w:cs="Times New Roman"/>
                <w:bCs/>
                <w:kern w:val="0"/>
                <w:szCs w:val="21"/>
              </w:rPr>
              <w:t>2.小学儿童的自我意识</w:t>
            </w:r>
          </w:p>
        </w:tc>
        <w:tc>
          <w:tcPr>
            <w:tcW w:w="1050" w:type="dxa"/>
            <w:vAlign w:val="center"/>
          </w:tcPr>
          <w:p w14:paraId="0219FFE4">
            <w:pPr>
              <w:jc w:val="left"/>
              <w:rPr>
                <w:rFonts w:hint="eastAsia" w:ascii="宋体" w:hAnsi="宋体" w:eastAsia="宋体" w:cs="Times New Roman"/>
                <w:bCs/>
                <w:kern w:val="0"/>
                <w:szCs w:val="21"/>
              </w:rPr>
            </w:pPr>
            <w:r>
              <w:rPr>
                <w:rFonts w:hint="eastAsia" w:ascii="宋体" w:hAnsi="宋体" w:eastAsia="宋体" w:cs="Times New Roman"/>
                <w:bCs/>
                <w:kern w:val="0"/>
                <w:szCs w:val="21"/>
              </w:rPr>
              <w:t>课程目标2、3</w:t>
            </w:r>
          </w:p>
        </w:tc>
        <w:tc>
          <w:tcPr>
            <w:tcW w:w="3279" w:type="dxa"/>
            <w:gridSpan w:val="2"/>
            <w:vAlign w:val="center"/>
          </w:tcPr>
          <w:p w14:paraId="3A7A8221">
            <w:pPr>
              <w:jc w:val="left"/>
              <w:rPr>
                <w:rFonts w:hint="eastAsia" w:ascii="宋体" w:hAnsi="宋体" w:eastAsia="宋体" w:cs="Times New Roman"/>
                <w:bCs/>
                <w:kern w:val="0"/>
                <w:szCs w:val="21"/>
              </w:rPr>
            </w:pPr>
            <w:r>
              <w:rPr>
                <w:rFonts w:hint="eastAsia" w:ascii="宋体" w:hAnsi="宋体" w:eastAsia="宋体" w:cs="Times New Roman"/>
                <w:bCs/>
                <w:kern w:val="0"/>
                <w:szCs w:val="21"/>
              </w:rPr>
              <w:t>1.了解自我意识的心理结构和作用，理解自我意识的概念</w:t>
            </w:r>
          </w:p>
          <w:p w14:paraId="08DEFD97">
            <w:pPr>
              <w:jc w:val="left"/>
              <w:rPr>
                <w:rFonts w:hint="eastAsia" w:ascii="宋体" w:hAnsi="宋体" w:eastAsia="宋体" w:cs="Times New Roman"/>
                <w:bCs/>
                <w:kern w:val="0"/>
                <w:szCs w:val="21"/>
              </w:rPr>
            </w:pPr>
            <w:r>
              <w:rPr>
                <w:rFonts w:hint="eastAsia" w:ascii="宋体" w:hAnsi="宋体" w:eastAsia="宋体" w:cs="Times New Roman"/>
                <w:bCs/>
                <w:kern w:val="0"/>
                <w:szCs w:val="21"/>
              </w:rPr>
              <w:t>2.掌握小学儿童自我意识发展的特点</w:t>
            </w:r>
          </w:p>
          <w:p w14:paraId="6DB34CEA">
            <w:pPr>
              <w:jc w:val="left"/>
              <w:rPr>
                <w:rFonts w:hint="eastAsia" w:ascii="宋体" w:hAnsi="宋体" w:eastAsia="宋体" w:cs="Times New Roman"/>
                <w:bCs/>
                <w:kern w:val="0"/>
                <w:szCs w:val="21"/>
              </w:rPr>
            </w:pPr>
            <w:r>
              <w:rPr>
                <w:rFonts w:hint="eastAsia" w:ascii="宋体" w:hAnsi="宋体" w:eastAsia="宋体" w:cs="Times New Roman"/>
                <w:bCs/>
                <w:kern w:val="0"/>
                <w:szCs w:val="21"/>
              </w:rPr>
              <w:t>3.学会灵活运用促进小学儿童自我意识发展策略和方法</w:t>
            </w:r>
          </w:p>
        </w:tc>
        <w:tc>
          <w:tcPr>
            <w:tcW w:w="1560" w:type="dxa"/>
            <w:vAlign w:val="center"/>
          </w:tcPr>
          <w:p w14:paraId="129A9CA7">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50787F05">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39ADC02E">
            <w:pPr>
              <w:jc w:val="left"/>
              <w:rPr>
                <w:rFonts w:hint="eastAsia" w:ascii="宋体" w:hAnsi="宋体" w:eastAsia="宋体" w:cs="Times New Roman"/>
                <w:b/>
                <w:kern w:val="0"/>
                <w:szCs w:val="21"/>
              </w:rPr>
            </w:pPr>
            <w:r>
              <w:rPr>
                <w:rFonts w:ascii="宋体" w:hAnsi="宋体" w:eastAsia="宋体" w:cs="Times New Roman"/>
                <w:kern w:val="0"/>
                <w:szCs w:val="21"/>
              </w:rPr>
              <w:t>4.单元测验</w:t>
            </w:r>
          </w:p>
        </w:tc>
        <w:tc>
          <w:tcPr>
            <w:tcW w:w="438" w:type="dxa"/>
            <w:vAlign w:val="center"/>
          </w:tcPr>
          <w:p w14:paraId="59B264A0">
            <w:pPr>
              <w:jc w:val="left"/>
              <w:rPr>
                <w:rFonts w:hint="eastAsia" w:ascii="宋体" w:hAnsi="宋体" w:eastAsia="宋体" w:cs="Times New Roman"/>
                <w:b/>
                <w:kern w:val="0"/>
                <w:szCs w:val="21"/>
              </w:rPr>
            </w:pPr>
            <w:r>
              <w:rPr>
                <w:rFonts w:hint="eastAsia" w:ascii="宋体" w:hAnsi="宋体" w:eastAsia="宋体" w:cs="Times New Roman"/>
                <w:b/>
                <w:kern w:val="0"/>
                <w:szCs w:val="21"/>
              </w:rPr>
              <w:t>3</w:t>
            </w:r>
          </w:p>
        </w:tc>
      </w:tr>
      <w:tr w14:paraId="06B5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2B6FE46A">
            <w:pPr>
              <w:jc w:val="center"/>
              <w:rPr>
                <w:rFonts w:hint="eastAsia" w:ascii="宋体" w:hAnsi="宋体" w:eastAsia="宋体" w:cs="Times New Roman"/>
                <w:kern w:val="0"/>
                <w:szCs w:val="21"/>
              </w:rPr>
            </w:pPr>
          </w:p>
        </w:tc>
        <w:tc>
          <w:tcPr>
            <w:tcW w:w="8096" w:type="dxa"/>
            <w:gridSpan w:val="6"/>
            <w:vAlign w:val="center"/>
          </w:tcPr>
          <w:p w14:paraId="7E9A7632">
            <w:pPr>
              <w:jc w:val="left"/>
              <w:rPr>
                <w:rFonts w:hint="eastAsia" w:ascii="宋体" w:hAnsi="宋体" w:eastAsia="宋体" w:cs="Times New Roman"/>
                <w:b/>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形成科学的儿童注意的发展观，对学生发展的个别差异和特点有所了解，形成尊重学生主观能动性和主体性的教育理念，为大国良师打下坚实基础。</w:t>
            </w:r>
          </w:p>
        </w:tc>
      </w:tr>
    </w:tbl>
    <w:p w14:paraId="732A3BFC">
      <w:pPr>
        <w:spacing w:before="62" w:beforeLines="20" w:after="62" w:afterLines="20" w:line="360" w:lineRule="auto"/>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四、目标评价与成绩评定</w:t>
      </w:r>
    </w:p>
    <w:p w14:paraId="364C1E72">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138C47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1016"/>
        <w:gridCol w:w="1016"/>
        <w:gridCol w:w="1016"/>
        <w:gridCol w:w="1016"/>
        <w:gridCol w:w="1016"/>
        <w:gridCol w:w="1087"/>
      </w:tblGrid>
      <w:tr w14:paraId="316B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vMerge w:val="restart"/>
            <w:vAlign w:val="center"/>
          </w:tcPr>
          <w:p w14:paraId="19D60D4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5080" w:type="dxa"/>
            <w:gridSpan w:val="5"/>
            <w:vAlign w:val="center"/>
          </w:tcPr>
          <w:p w14:paraId="43C75267">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1087" w:type="dxa"/>
            <w:vMerge w:val="restart"/>
            <w:vAlign w:val="center"/>
          </w:tcPr>
          <w:p w14:paraId="50B10073">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分值</w:t>
            </w:r>
          </w:p>
        </w:tc>
      </w:tr>
      <w:tr w14:paraId="4772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vMerge w:val="continue"/>
            <w:vAlign w:val="center"/>
          </w:tcPr>
          <w:p w14:paraId="75489322">
            <w:pPr>
              <w:spacing w:line="360" w:lineRule="auto"/>
              <w:jc w:val="center"/>
              <w:rPr>
                <w:rFonts w:hint="eastAsia" w:ascii="宋体" w:hAnsi="宋体" w:eastAsia="宋体" w:cs="Times New Roman"/>
                <w:kern w:val="0"/>
                <w:sz w:val="20"/>
                <w:szCs w:val="21"/>
              </w:rPr>
            </w:pPr>
          </w:p>
        </w:tc>
        <w:tc>
          <w:tcPr>
            <w:tcW w:w="1016" w:type="dxa"/>
            <w:vAlign w:val="center"/>
          </w:tcPr>
          <w:p w14:paraId="7C4188FE">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平时作业</w:t>
            </w:r>
          </w:p>
        </w:tc>
        <w:tc>
          <w:tcPr>
            <w:tcW w:w="1016" w:type="dxa"/>
            <w:vAlign w:val="center"/>
          </w:tcPr>
          <w:p w14:paraId="79316C0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课堂表现</w:t>
            </w:r>
          </w:p>
        </w:tc>
        <w:tc>
          <w:tcPr>
            <w:tcW w:w="1016" w:type="dxa"/>
            <w:vAlign w:val="center"/>
          </w:tcPr>
          <w:p w14:paraId="780A878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课内实验</w:t>
            </w:r>
          </w:p>
        </w:tc>
        <w:tc>
          <w:tcPr>
            <w:tcW w:w="1016" w:type="dxa"/>
            <w:vAlign w:val="center"/>
          </w:tcPr>
          <w:p w14:paraId="46FE6CC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期末考试</w:t>
            </w:r>
          </w:p>
        </w:tc>
        <w:tc>
          <w:tcPr>
            <w:tcW w:w="1016" w:type="dxa"/>
            <w:vAlign w:val="center"/>
          </w:tcPr>
          <w:p w14:paraId="299F2E2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网络学习</w:t>
            </w:r>
          </w:p>
        </w:tc>
        <w:tc>
          <w:tcPr>
            <w:tcW w:w="1087" w:type="dxa"/>
            <w:vMerge w:val="continue"/>
            <w:vAlign w:val="center"/>
          </w:tcPr>
          <w:p w14:paraId="5ABAB302">
            <w:pPr>
              <w:spacing w:line="360" w:lineRule="auto"/>
              <w:jc w:val="center"/>
              <w:rPr>
                <w:rFonts w:hint="eastAsia" w:ascii="宋体" w:hAnsi="宋体" w:eastAsia="宋体" w:cs="Times New Roman"/>
                <w:kern w:val="0"/>
                <w:sz w:val="20"/>
                <w:szCs w:val="21"/>
              </w:rPr>
            </w:pPr>
          </w:p>
        </w:tc>
      </w:tr>
      <w:tr w14:paraId="4AEC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vAlign w:val="center"/>
          </w:tcPr>
          <w:p w14:paraId="05CBBD0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016" w:type="dxa"/>
            <w:vAlign w:val="center"/>
          </w:tcPr>
          <w:p w14:paraId="741E6E9B">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4E8626B2">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0B875435">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61B62B0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249E7B99">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87" w:type="dxa"/>
            <w:vAlign w:val="center"/>
          </w:tcPr>
          <w:p w14:paraId="6EF8694E">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1E46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vAlign w:val="center"/>
          </w:tcPr>
          <w:p w14:paraId="7AC8E0E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016" w:type="dxa"/>
            <w:vAlign w:val="center"/>
          </w:tcPr>
          <w:p w14:paraId="0767F81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3AA5A15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7F2B3A4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3868A8E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2224E61C">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87" w:type="dxa"/>
            <w:vAlign w:val="center"/>
          </w:tcPr>
          <w:p w14:paraId="7C9C967C">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50</w:t>
            </w:r>
          </w:p>
        </w:tc>
      </w:tr>
      <w:tr w14:paraId="7602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vAlign w:val="center"/>
          </w:tcPr>
          <w:p w14:paraId="02CD3F7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016" w:type="dxa"/>
            <w:vAlign w:val="center"/>
          </w:tcPr>
          <w:p w14:paraId="1707BC0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1EC41FB3">
            <w:pPr>
              <w:spacing w:line="360" w:lineRule="auto"/>
              <w:jc w:val="center"/>
              <w:rPr>
                <w:rFonts w:hint="eastAsia" w:ascii="宋体" w:hAnsi="宋体" w:eastAsia="宋体" w:cs="Times New Roman"/>
                <w:kern w:val="0"/>
                <w:sz w:val="20"/>
                <w:szCs w:val="21"/>
              </w:rPr>
            </w:pPr>
          </w:p>
        </w:tc>
        <w:tc>
          <w:tcPr>
            <w:tcW w:w="1016" w:type="dxa"/>
            <w:vAlign w:val="center"/>
          </w:tcPr>
          <w:p w14:paraId="6500DC62">
            <w:pPr>
              <w:spacing w:line="360" w:lineRule="auto"/>
              <w:jc w:val="center"/>
              <w:rPr>
                <w:rFonts w:hint="eastAsia" w:ascii="宋体" w:hAnsi="宋体" w:eastAsia="宋体" w:cs="Times New Roman"/>
                <w:kern w:val="0"/>
                <w:sz w:val="20"/>
                <w:szCs w:val="21"/>
              </w:rPr>
            </w:pPr>
          </w:p>
        </w:tc>
        <w:tc>
          <w:tcPr>
            <w:tcW w:w="1016" w:type="dxa"/>
            <w:vAlign w:val="center"/>
          </w:tcPr>
          <w:p w14:paraId="6D138AF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21C63C9C">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87" w:type="dxa"/>
            <w:vAlign w:val="center"/>
          </w:tcPr>
          <w:p w14:paraId="4D0FE64B">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6793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vAlign w:val="center"/>
          </w:tcPr>
          <w:p w14:paraId="5CAF83BE">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1016" w:type="dxa"/>
            <w:vAlign w:val="center"/>
          </w:tcPr>
          <w:p w14:paraId="545DFD0B">
            <w:pPr>
              <w:spacing w:line="360" w:lineRule="auto"/>
              <w:jc w:val="center"/>
              <w:rPr>
                <w:rFonts w:hint="eastAsia" w:ascii="宋体" w:hAnsi="宋体" w:eastAsia="宋体" w:cs="Times New Roman"/>
                <w:kern w:val="0"/>
                <w:sz w:val="20"/>
                <w:szCs w:val="21"/>
              </w:rPr>
            </w:pPr>
          </w:p>
        </w:tc>
        <w:tc>
          <w:tcPr>
            <w:tcW w:w="1016" w:type="dxa"/>
            <w:vAlign w:val="center"/>
          </w:tcPr>
          <w:p w14:paraId="34C173DA">
            <w:pPr>
              <w:spacing w:line="360" w:lineRule="auto"/>
              <w:jc w:val="center"/>
              <w:rPr>
                <w:rFonts w:hint="eastAsia" w:ascii="宋体" w:hAnsi="宋体" w:eastAsia="宋体" w:cs="Times New Roman"/>
                <w:kern w:val="0"/>
                <w:sz w:val="20"/>
                <w:szCs w:val="21"/>
              </w:rPr>
            </w:pPr>
          </w:p>
        </w:tc>
        <w:tc>
          <w:tcPr>
            <w:tcW w:w="1016" w:type="dxa"/>
            <w:vAlign w:val="center"/>
          </w:tcPr>
          <w:p w14:paraId="7C863866">
            <w:pPr>
              <w:spacing w:line="360" w:lineRule="auto"/>
              <w:jc w:val="center"/>
              <w:rPr>
                <w:rFonts w:hint="eastAsia" w:ascii="宋体" w:hAnsi="宋体" w:eastAsia="宋体" w:cs="Times New Roman"/>
                <w:kern w:val="0"/>
                <w:sz w:val="20"/>
                <w:szCs w:val="21"/>
              </w:rPr>
            </w:pPr>
          </w:p>
        </w:tc>
        <w:tc>
          <w:tcPr>
            <w:tcW w:w="1016" w:type="dxa"/>
            <w:vAlign w:val="center"/>
          </w:tcPr>
          <w:p w14:paraId="442EA8D3">
            <w:pPr>
              <w:spacing w:line="360" w:lineRule="auto"/>
              <w:jc w:val="center"/>
              <w:rPr>
                <w:rFonts w:hint="eastAsia" w:ascii="宋体" w:hAnsi="宋体" w:eastAsia="宋体" w:cs="Times New Roman"/>
                <w:kern w:val="0"/>
                <w:sz w:val="20"/>
                <w:szCs w:val="21"/>
              </w:rPr>
            </w:pPr>
          </w:p>
        </w:tc>
        <w:tc>
          <w:tcPr>
            <w:tcW w:w="1016" w:type="dxa"/>
            <w:vAlign w:val="center"/>
          </w:tcPr>
          <w:p w14:paraId="4D0F859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87" w:type="dxa"/>
            <w:vAlign w:val="center"/>
          </w:tcPr>
          <w:p w14:paraId="6784AAA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100</w:t>
            </w:r>
          </w:p>
        </w:tc>
      </w:tr>
    </w:tbl>
    <w:p w14:paraId="23FC7BDA">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28281CA9">
      <w:pPr>
        <w:spacing w:line="360" w:lineRule="auto"/>
        <w:ind w:firstLine="420" w:firstLineChars="200"/>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rPr>
        <w:t>各部分的评价方式和成绩评定的细则</w:t>
      </w:r>
      <w:r>
        <w:rPr>
          <w:rFonts w:hint="eastAsia" w:ascii="Times New Roman" w:hAnsi="Times New Roman" w:eastAsia="宋体" w:cs="Times New Roman"/>
          <w:szCs w:val="21"/>
          <w:lang w:eastAsia="zh-CN"/>
        </w:rPr>
        <w:t>如下表所示。</w:t>
      </w:r>
    </w:p>
    <w:tbl>
      <w:tblPr>
        <w:tblStyle w:val="16"/>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6210"/>
        <w:gridCol w:w="825"/>
      </w:tblGrid>
      <w:tr w14:paraId="5FAF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14:paraId="25E0374B">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评价方式</w:t>
            </w:r>
          </w:p>
        </w:tc>
        <w:tc>
          <w:tcPr>
            <w:tcW w:w="6210" w:type="dxa"/>
            <w:vAlign w:val="center"/>
          </w:tcPr>
          <w:p w14:paraId="25B5FF0E">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评定细则</w:t>
            </w:r>
          </w:p>
        </w:tc>
        <w:tc>
          <w:tcPr>
            <w:tcW w:w="825" w:type="dxa"/>
            <w:vAlign w:val="center"/>
          </w:tcPr>
          <w:p w14:paraId="52068883">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占比</w:t>
            </w:r>
          </w:p>
        </w:tc>
      </w:tr>
      <w:tr w14:paraId="1826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14:paraId="7B473286">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w:t>
            </w:r>
          </w:p>
        </w:tc>
        <w:tc>
          <w:tcPr>
            <w:tcW w:w="6210" w:type="dxa"/>
            <w:vAlign w:val="center"/>
          </w:tcPr>
          <w:p w14:paraId="756A3CEE">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平时作业共5次，包括网络课程中每章课后测验，以及课后作业，</w:t>
            </w:r>
          </w:p>
        </w:tc>
        <w:tc>
          <w:tcPr>
            <w:tcW w:w="825" w:type="dxa"/>
            <w:vAlign w:val="center"/>
          </w:tcPr>
          <w:p w14:paraId="07B07937">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0BF8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14:paraId="27302A81">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课堂表现</w:t>
            </w:r>
          </w:p>
        </w:tc>
        <w:tc>
          <w:tcPr>
            <w:tcW w:w="6210" w:type="dxa"/>
            <w:vAlign w:val="center"/>
          </w:tcPr>
          <w:p w14:paraId="7DDB6DB4">
            <w:pPr>
              <w:widowControl/>
              <w:spacing w:line="264" w:lineRule="auto"/>
              <w:jc w:val="left"/>
              <w:rPr>
                <w:rFonts w:ascii="Times New Roman" w:hAnsi="Times New Roman" w:eastAsia="宋体" w:cs="Times New Roman"/>
                <w:kern w:val="0"/>
                <w:sz w:val="20"/>
                <w:szCs w:val="21"/>
              </w:rPr>
            </w:pPr>
            <w:r>
              <w:rPr>
                <w:rFonts w:hint="eastAsia" w:ascii="宋体" w:hAnsi="宋体" w:eastAsia="宋体" w:cs="宋体"/>
                <w:kern w:val="0"/>
                <w:sz w:val="20"/>
                <w:szCs w:val="21"/>
                <w:lang w:bidi="ar"/>
              </w:rPr>
              <w:t>一是课题考勤情况</w:t>
            </w:r>
            <w:r>
              <w:rPr>
                <w:rFonts w:ascii="宋体" w:hAnsi="宋体" w:eastAsia="宋体" w:cs="宋体"/>
                <w:kern w:val="0"/>
                <w:sz w:val="20"/>
                <w:szCs w:val="21"/>
                <w:lang w:bidi="ar"/>
              </w:rPr>
              <w:t>。</w:t>
            </w:r>
            <w:r>
              <w:rPr>
                <w:rFonts w:hint="eastAsia" w:ascii="Times New Roman" w:hAnsi="Times New Roman" w:eastAsia="宋体" w:cs="Times New Roman"/>
                <w:kern w:val="0"/>
                <w:sz w:val="20"/>
                <w:szCs w:val="21"/>
              </w:rPr>
              <w:t>迟到一次扣2分，无故缺席一次扣5分，累计达</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次以上（不含</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次）取消课程成绩。</w:t>
            </w:r>
          </w:p>
          <w:p w14:paraId="660C803C">
            <w:pPr>
              <w:widowControl/>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二是</w:t>
            </w:r>
            <w:r>
              <w:rPr>
                <w:rFonts w:ascii="宋体" w:hAnsi="宋体" w:eastAsia="宋体" w:cs="宋体"/>
                <w:kern w:val="0"/>
                <w:sz w:val="20"/>
                <w:szCs w:val="21"/>
                <w:lang w:bidi="ar"/>
              </w:rPr>
              <w:t>课堂参与</w:t>
            </w:r>
            <w:r>
              <w:rPr>
                <w:rFonts w:hint="eastAsia" w:ascii="宋体" w:hAnsi="宋体" w:eastAsia="宋体" w:cs="宋体"/>
                <w:kern w:val="0"/>
                <w:sz w:val="20"/>
                <w:szCs w:val="21"/>
                <w:lang w:bidi="ar"/>
              </w:rPr>
              <w:t>情况。以课堂讨论的参与情况，超过10次满分，获赞可以额外外加分。</w:t>
            </w:r>
          </w:p>
        </w:tc>
        <w:tc>
          <w:tcPr>
            <w:tcW w:w="825" w:type="dxa"/>
            <w:vAlign w:val="center"/>
          </w:tcPr>
          <w:p w14:paraId="08A062BB">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6911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14:paraId="4EBEEAAC">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课内实验</w:t>
            </w:r>
          </w:p>
        </w:tc>
        <w:tc>
          <w:tcPr>
            <w:tcW w:w="6210" w:type="dxa"/>
            <w:vAlign w:val="center"/>
          </w:tcPr>
          <w:p w14:paraId="0D3DA7CC">
            <w:pPr>
              <w:widowControl/>
              <w:spacing w:line="264" w:lineRule="auto"/>
              <w:jc w:val="left"/>
              <w:rPr>
                <w:rFonts w:hint="eastAsia" w:ascii="宋体" w:hAnsi="宋体" w:eastAsia="宋体" w:cs="宋体"/>
                <w:kern w:val="0"/>
                <w:sz w:val="20"/>
                <w:szCs w:val="21"/>
                <w:lang w:bidi="ar"/>
              </w:rPr>
            </w:pPr>
            <w:r>
              <w:rPr>
                <w:rFonts w:hint="eastAsia" w:ascii="宋体" w:hAnsi="宋体" w:eastAsia="宋体" w:cs="宋体"/>
                <w:kern w:val="0"/>
                <w:sz w:val="20"/>
                <w:szCs w:val="21"/>
                <w:lang w:bidi="ar"/>
              </w:rPr>
              <w:t>根据学生参与实验的情况，实验手册的填写情况打分，实验的平均分计入总成绩。</w:t>
            </w:r>
          </w:p>
        </w:tc>
        <w:tc>
          <w:tcPr>
            <w:tcW w:w="825" w:type="dxa"/>
            <w:vAlign w:val="center"/>
          </w:tcPr>
          <w:p w14:paraId="115AF263">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20%</w:t>
            </w:r>
          </w:p>
        </w:tc>
      </w:tr>
      <w:tr w14:paraId="1CC5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14:paraId="5E5E1E06">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网络学习</w:t>
            </w:r>
          </w:p>
        </w:tc>
        <w:tc>
          <w:tcPr>
            <w:tcW w:w="6210" w:type="dxa"/>
            <w:vAlign w:val="center"/>
          </w:tcPr>
          <w:p w14:paraId="5BB2A365">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825" w:type="dxa"/>
            <w:vAlign w:val="center"/>
          </w:tcPr>
          <w:p w14:paraId="6F334403">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3684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14:paraId="510E6AC0">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期末考试</w:t>
            </w:r>
          </w:p>
        </w:tc>
        <w:tc>
          <w:tcPr>
            <w:tcW w:w="6210" w:type="dxa"/>
            <w:vAlign w:val="center"/>
          </w:tcPr>
          <w:p w14:paraId="3122299C">
            <w:pPr>
              <w:spacing w:line="264" w:lineRule="auto"/>
              <w:jc w:val="left"/>
              <w:rPr>
                <w:rFonts w:ascii="Times New Roman" w:hAnsi="Times New Roman" w:eastAsia="宋体" w:cs="Times New Roman"/>
                <w:kern w:val="0"/>
                <w:sz w:val="20"/>
                <w:szCs w:val="21"/>
              </w:rPr>
            </w:pPr>
            <w:r>
              <w:rPr>
                <w:rFonts w:ascii="Times New Roman" w:hAnsi="Times New Roman" w:eastAsia="宋体" w:cs="Times New Roman"/>
                <w:kern w:val="0"/>
                <w:sz w:val="20"/>
                <w:szCs w:val="21"/>
              </w:rPr>
              <w:t>试卷题型包括</w:t>
            </w:r>
            <w:r>
              <w:rPr>
                <w:rFonts w:hint="eastAsia" w:ascii="Times New Roman" w:hAnsi="Times New Roman" w:eastAsia="宋体" w:cs="Times New Roman"/>
                <w:kern w:val="0"/>
                <w:sz w:val="20"/>
                <w:szCs w:val="21"/>
              </w:rPr>
              <w:t>选择题</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辨析</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简答题、案例分析、论述题</w:t>
            </w:r>
            <w:r>
              <w:rPr>
                <w:rFonts w:ascii="Times New Roman" w:hAnsi="Times New Roman" w:eastAsia="宋体" w:cs="Times New Roman"/>
                <w:kern w:val="0"/>
                <w:sz w:val="20"/>
                <w:szCs w:val="21"/>
              </w:rPr>
              <w:t>等，以卷面成绩的50%计入课程总成绩。其中考核</w:t>
            </w:r>
            <w:r>
              <w:rPr>
                <w:rFonts w:hint="eastAsia" w:ascii="Times New Roman" w:hAnsi="Times New Roman" w:eastAsia="宋体" w:cs="Times New Roman"/>
                <w:kern w:val="0"/>
                <w:sz w:val="20"/>
                <w:szCs w:val="21"/>
              </w:rPr>
              <w:t>小学心理学基本理论的知识类题目占4</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%；考核学生运用基本理论知识进行分析能力的题型占</w:t>
            </w:r>
            <w:r>
              <w:rPr>
                <w:rFonts w:ascii="Times New Roman" w:hAnsi="Times New Roman" w:eastAsia="宋体" w:cs="Times New Roman"/>
                <w:kern w:val="0"/>
                <w:sz w:val="20"/>
                <w:szCs w:val="21"/>
              </w:rPr>
              <w:t>30</w:t>
            </w:r>
            <w:r>
              <w:rPr>
                <w:rFonts w:hint="eastAsia" w:ascii="Times New Roman" w:hAnsi="Times New Roman" w:eastAsia="宋体" w:cs="Times New Roman"/>
                <w:kern w:val="0"/>
                <w:sz w:val="20"/>
                <w:szCs w:val="21"/>
              </w:rPr>
              <w:t>%；考核学生运用学与教的基本理论和知识进行教学设计的题型占</w:t>
            </w:r>
            <w:r>
              <w:rPr>
                <w:rFonts w:ascii="Times New Roman" w:hAnsi="Times New Roman" w:eastAsia="宋体" w:cs="Times New Roman"/>
                <w:kern w:val="0"/>
                <w:sz w:val="20"/>
                <w:szCs w:val="21"/>
              </w:rPr>
              <w:t>30</w:t>
            </w:r>
            <w:r>
              <w:rPr>
                <w:rFonts w:hint="eastAsia" w:ascii="Times New Roman" w:hAnsi="Times New Roman" w:eastAsia="宋体" w:cs="Times New Roman"/>
                <w:kern w:val="0"/>
                <w:sz w:val="20"/>
                <w:szCs w:val="21"/>
              </w:rPr>
              <w:t>%。</w:t>
            </w:r>
          </w:p>
        </w:tc>
        <w:tc>
          <w:tcPr>
            <w:tcW w:w="825" w:type="dxa"/>
            <w:vAlign w:val="center"/>
          </w:tcPr>
          <w:p w14:paraId="06A301B1">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50%</w:t>
            </w:r>
          </w:p>
        </w:tc>
      </w:tr>
      <w:tr w14:paraId="6C92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15" w:type="dxa"/>
            <w:vAlign w:val="center"/>
          </w:tcPr>
          <w:p w14:paraId="1A70613F">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合计</w:t>
            </w:r>
          </w:p>
        </w:tc>
        <w:tc>
          <w:tcPr>
            <w:tcW w:w="6210" w:type="dxa"/>
            <w:vAlign w:val="center"/>
          </w:tcPr>
          <w:p w14:paraId="644F8075">
            <w:pPr>
              <w:jc w:val="left"/>
              <w:rPr>
                <w:rFonts w:ascii="Times New Roman" w:hAnsi="Times New Roman" w:eastAsia="宋体" w:cs="Times New Roman"/>
                <w:kern w:val="0"/>
                <w:sz w:val="20"/>
                <w:szCs w:val="21"/>
              </w:rPr>
            </w:pPr>
          </w:p>
        </w:tc>
        <w:tc>
          <w:tcPr>
            <w:tcW w:w="825" w:type="dxa"/>
            <w:vAlign w:val="center"/>
          </w:tcPr>
          <w:p w14:paraId="58FFE8C9">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100%</w:t>
            </w:r>
          </w:p>
        </w:tc>
      </w:tr>
    </w:tbl>
    <w:p w14:paraId="4427CE91">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462C58D5">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2E58BA26">
      <w:pPr>
        <w:spacing w:before="62" w:beforeLines="20" w:after="62" w:afterLines="20" w:line="360" w:lineRule="auto"/>
        <w:rPr>
          <w:rFonts w:ascii="Times New Roman" w:hAnsi="Times New Roman" w:eastAsia="宋体" w:cs="Times New Roman"/>
          <w:b/>
          <w:bCs/>
          <w:kern w:val="0"/>
          <w:sz w:val="24"/>
        </w:rPr>
      </w:pPr>
      <w:r>
        <w:rPr>
          <w:rFonts w:ascii="宋体" w:hAnsi="宋体" w:eastAsia="宋体" w:cs="Times New Roman"/>
          <w:szCs w:val="21"/>
        </w:rPr>
        <w:object>
          <v:shape id="_x0000_i1037"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37" DrawAspect="Content" ObjectID="_1468075736" r:id="rId23">
            <o:LockedField>false</o:LockedField>
          </o:OLEObject>
        </w:object>
      </w:r>
      <w:r>
        <w:rPr>
          <w:rFonts w:hint="eastAsia" w:ascii="Times New Roman" w:hAnsi="Times New Roman" w:eastAsia="宋体" w:cs="Times New Roman"/>
          <w:b/>
          <w:bCs/>
          <w:kern w:val="0"/>
          <w:sz w:val="24"/>
        </w:rPr>
        <w:t>五、有关说明</w:t>
      </w:r>
    </w:p>
    <w:p w14:paraId="1CEA0452">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58B48053">
      <w:pPr>
        <w:spacing w:line="360" w:lineRule="auto"/>
        <w:ind w:firstLine="420" w:firstLineChars="200"/>
        <w:jc w:val="left"/>
        <w:rPr>
          <w:rFonts w:ascii="Times New Roman" w:hAnsi="Times New Roman" w:eastAsia="宋体" w:cs="Times New Roman"/>
          <w:b/>
          <w:szCs w:val="21"/>
        </w:rPr>
      </w:pPr>
      <w:r>
        <w:rPr>
          <w:rFonts w:hint="eastAsia" w:ascii="Times New Roman" w:hAnsi="Times New Roman" w:eastAsia="宋体" w:cs="Times New Roman"/>
          <w:szCs w:val="21"/>
        </w:rPr>
        <w:t>本课程根据学生作业、课堂讨论、实验环节、平时考核情况和学生、教学督导等的反馈，及时对教学中的不足之处进行改进，并在下一轮课程教学中整改完善，确保相应毕业要求指标点达成。</w:t>
      </w:r>
    </w:p>
    <w:p w14:paraId="1FABD562">
      <w:pPr>
        <w:spacing w:line="360" w:lineRule="auto"/>
        <w:ind w:firstLine="422" w:firstLineChars="200"/>
        <w:rPr>
          <w:rFonts w:ascii="Times New Roman" w:hAnsi="Times New Roman" w:eastAsia="宋体" w:cs="Times New Roman"/>
          <w:b/>
          <w:szCs w:val="21"/>
        </w:rPr>
      </w:pPr>
      <w:r>
        <w:rPr>
          <w:rFonts w:hint="eastAsia" w:ascii="Times New Roman" w:hAnsi="Times New Roman" w:eastAsia="宋体" w:cs="Times New Roman"/>
          <w:b/>
          <w:szCs w:val="21"/>
        </w:rPr>
        <w:t>（二）</w:t>
      </w:r>
      <w:r>
        <w:rPr>
          <w:rFonts w:ascii="Times New Roman" w:hAnsi="Times New Roman" w:eastAsia="宋体" w:cs="Times New Roman"/>
          <w:b/>
          <w:szCs w:val="21"/>
        </w:rPr>
        <w:t>参考书目</w:t>
      </w:r>
    </w:p>
    <w:p w14:paraId="1E25D34A">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1.</w:t>
      </w:r>
      <w:r>
        <w:rPr>
          <w:rFonts w:hint="eastAsia"/>
        </w:rPr>
        <w:t xml:space="preserve"> </w:t>
      </w:r>
      <w:r>
        <w:rPr>
          <w:rFonts w:hint="eastAsia" w:ascii="Times New Roman" w:hAnsi="Times New Roman" w:eastAsia="宋体" w:cs="Times New Roman"/>
          <w:kern w:val="0"/>
          <w:szCs w:val="21"/>
        </w:rPr>
        <w:t>张厚粲，许燕编，心理学导论（第2版新世纪高等学校教材），北京师范大学出版社，2024</w:t>
      </w:r>
    </w:p>
    <w:p w14:paraId="2C278AB0">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szCs w:val="21"/>
        </w:rPr>
        <w:t>2.</w:t>
      </w:r>
      <w:r>
        <w:rPr>
          <w:rFonts w:hint="eastAsia" w:ascii="Times New Roman" w:hAnsi="Times New Roman" w:eastAsia="宋体" w:cs="Times New Roman"/>
          <w:szCs w:val="21"/>
          <w:lang w:eastAsia="zh-CN"/>
        </w:rPr>
        <w:t>（</w:t>
      </w:r>
      <w:r>
        <w:rPr>
          <w:rFonts w:ascii="Times New Roman" w:hAnsi="Times New Roman" w:eastAsia="宋体" w:cs="Times New Roman"/>
          <w:kern w:val="0"/>
          <w:szCs w:val="21"/>
        </w:rPr>
        <w:t>美</w:t>
      </w:r>
      <w:r>
        <w:rPr>
          <w:rFonts w:hint="eastAsia" w:ascii="Times New Roman" w:hAnsi="Times New Roman" w:eastAsia="宋体" w:cs="Times New Roman"/>
          <w:kern w:val="0"/>
          <w:szCs w:val="21"/>
          <w:lang w:eastAsia="zh-CN"/>
        </w:rPr>
        <w:t>）</w:t>
      </w:r>
      <w:r>
        <w:rPr>
          <w:rFonts w:ascii="Times New Roman" w:hAnsi="Times New Roman" w:eastAsia="宋体" w:cs="Times New Roman"/>
          <w:kern w:val="0"/>
          <w:szCs w:val="21"/>
        </w:rPr>
        <w:t>罗伯特·S·费尔德曼著，苏彦捷译</w:t>
      </w:r>
      <w:r>
        <w:rPr>
          <w:rFonts w:hint="eastAsia" w:ascii="Times New Roman" w:hAnsi="Times New Roman" w:eastAsia="宋体" w:cs="Times New Roman"/>
          <w:kern w:val="0"/>
          <w:szCs w:val="21"/>
        </w:rPr>
        <w:t>，儿童发展心理学：费尔德曼带你开启孩子的成长之旅（第</w:t>
      </w:r>
      <w:r>
        <w:rPr>
          <w:rFonts w:ascii="Times New Roman" w:hAnsi="Times New Roman" w:eastAsia="宋体" w:cs="Times New Roman"/>
          <w:kern w:val="0"/>
          <w:szCs w:val="21"/>
        </w:rPr>
        <w:t>8版） (Child Development, 8th Edition)</w:t>
      </w:r>
      <w:r>
        <w:rPr>
          <w:rFonts w:hint="eastAsia" w:ascii="Times New Roman" w:hAnsi="Times New Roman" w:eastAsia="宋体" w:cs="Times New Roman"/>
          <w:kern w:val="0"/>
          <w:szCs w:val="21"/>
        </w:rPr>
        <w:t>，机械工业出版社，2</w:t>
      </w:r>
      <w:r>
        <w:rPr>
          <w:rFonts w:ascii="Times New Roman" w:hAnsi="Times New Roman" w:eastAsia="宋体" w:cs="Times New Roman"/>
          <w:kern w:val="0"/>
          <w:szCs w:val="21"/>
        </w:rPr>
        <w:t>021</w:t>
      </w:r>
    </w:p>
    <w:p w14:paraId="04003C63">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3.（美）墨顿.亨特 著，寒川子，张积模译 ，心理学的故事--源起与演变，商务印书馆，2024</w:t>
      </w:r>
    </w:p>
    <w:p w14:paraId="18194928">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kern w:val="0"/>
          <w:szCs w:val="21"/>
        </w:rPr>
        <w:t>4.</w:t>
      </w:r>
      <w:r>
        <w:rPr>
          <w:rFonts w:hint="eastAsia" w:ascii="宋体" w:hAnsi="宋体" w:eastAsia="宋体"/>
        </w:rPr>
        <w:t xml:space="preserve"> [美] 罗伯特·费尔德曼著，苏彦捷，邹丹等译，</w:t>
      </w:r>
      <w:r>
        <w:rPr>
          <w:rFonts w:hint="eastAsia" w:ascii="Times New Roman" w:hAnsi="Times New Roman" w:eastAsia="宋体" w:cs="Times New Roman"/>
          <w:szCs w:val="21"/>
        </w:rPr>
        <w:t>发展心理学——人的毕生发展（第6版），世界图书出版公司，2021</w:t>
      </w:r>
    </w:p>
    <w:p w14:paraId="1D1836EF">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5.彭聃龄，普通心理学(第5版)，北京师范大学出版社，201</w:t>
      </w:r>
      <w:r>
        <w:rPr>
          <w:rFonts w:ascii="Times New Roman" w:hAnsi="Times New Roman" w:eastAsia="宋体" w:cs="Times New Roman"/>
          <w:kern w:val="0"/>
          <w:szCs w:val="21"/>
        </w:rPr>
        <w:t>9</w:t>
      </w:r>
    </w:p>
    <w:p w14:paraId="45003987">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6.桑标，儿童发展，华东师范大学出版社，201</w:t>
      </w:r>
      <w:r>
        <w:rPr>
          <w:rFonts w:ascii="Times New Roman" w:hAnsi="Times New Roman" w:eastAsia="宋体" w:cs="Times New Roman"/>
          <w:kern w:val="0"/>
          <w:szCs w:val="21"/>
        </w:rPr>
        <w:t>4</w:t>
      </w:r>
    </w:p>
    <w:p w14:paraId="34ABCD8E">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p>
    <w:p w14:paraId="3DF98E70">
      <w:pPr>
        <w:autoSpaceDE w:val="0"/>
        <w:autoSpaceDN w:val="0"/>
        <w:adjustRightInd w:val="0"/>
        <w:spacing w:line="360" w:lineRule="auto"/>
        <w:ind w:firstLine="5250" w:firstLineChars="2500"/>
        <w:jc w:val="left"/>
        <w:rPr>
          <w:rFonts w:ascii="Times New Roman" w:hAnsi="Times New Roman" w:eastAsia="宋体" w:cs="Times New Roman"/>
          <w:kern w:val="0"/>
          <w:szCs w:val="18"/>
        </w:rPr>
      </w:pPr>
      <w:r>
        <w:rPr>
          <w:rFonts w:ascii="Times New Roman" w:hAnsi="Times New Roman" w:eastAsia="宋体" w:cs="Times New Roman"/>
          <w:kern w:val="0"/>
          <w:szCs w:val="18"/>
        </w:rPr>
        <w:t>执笔人：</w:t>
      </w:r>
      <w:r>
        <w:rPr>
          <w:rFonts w:hint="eastAsia" w:ascii="Times New Roman" w:hAnsi="Times New Roman" w:eastAsia="宋体" w:cs="Times New Roman"/>
          <w:kern w:val="0"/>
          <w:szCs w:val="18"/>
        </w:rPr>
        <w:t>缪周芬</w:t>
      </w:r>
    </w:p>
    <w:p w14:paraId="29DA2DF7">
      <w:pPr>
        <w:autoSpaceDE w:val="0"/>
        <w:autoSpaceDN w:val="0"/>
        <w:adjustRightInd w:val="0"/>
        <w:spacing w:line="360" w:lineRule="auto"/>
        <w:ind w:firstLine="5250" w:firstLineChars="2500"/>
        <w:jc w:val="left"/>
        <w:rPr>
          <w:rFonts w:ascii="Times New Roman" w:hAnsi="Times New Roman" w:eastAsia="宋体" w:cs="Times New Roman"/>
          <w:kern w:val="0"/>
          <w:szCs w:val="18"/>
        </w:rPr>
      </w:pPr>
      <w:r>
        <w:rPr>
          <w:rFonts w:ascii="Times New Roman" w:hAnsi="Times New Roman" w:eastAsia="宋体" w:cs="Times New Roman"/>
          <w:kern w:val="0"/>
          <w:szCs w:val="18"/>
        </w:rPr>
        <w:t>审定人：</w:t>
      </w:r>
      <w:r>
        <w:rPr>
          <w:rFonts w:hint="eastAsia" w:ascii="Times New Roman" w:hAnsi="Times New Roman" w:eastAsia="宋体" w:cs="Times New Roman"/>
          <w:kern w:val="0"/>
          <w:szCs w:val="18"/>
        </w:rPr>
        <w:t>王</w:t>
      </w:r>
      <w:r>
        <w:rPr>
          <w:rFonts w:hint="eastAsia" w:ascii="Times New Roman" w:hAnsi="Times New Roman" w:eastAsia="宋体" w:cs="Times New Roman"/>
          <w:kern w:val="0"/>
          <w:szCs w:val="18"/>
          <w:lang w:val="en-US" w:eastAsia="zh-CN"/>
        </w:rPr>
        <w:t xml:space="preserve">  </w:t>
      </w:r>
      <w:r>
        <w:rPr>
          <w:rFonts w:hint="eastAsia" w:ascii="Times New Roman" w:hAnsi="Times New Roman" w:eastAsia="宋体" w:cs="Times New Roman"/>
          <w:kern w:val="0"/>
          <w:szCs w:val="18"/>
        </w:rPr>
        <w:t>健</w:t>
      </w:r>
    </w:p>
    <w:p w14:paraId="322216F3">
      <w:pPr>
        <w:autoSpaceDE w:val="0"/>
        <w:autoSpaceDN w:val="0"/>
        <w:adjustRightInd w:val="0"/>
        <w:spacing w:line="360" w:lineRule="auto"/>
        <w:ind w:firstLine="5250" w:firstLineChars="2500"/>
        <w:jc w:val="left"/>
        <w:rPr>
          <w:rFonts w:ascii="Times New Roman" w:hAnsi="Times New Roman" w:eastAsia="宋体" w:cs="Times New Roman"/>
          <w:kern w:val="0"/>
          <w:szCs w:val="18"/>
        </w:rPr>
      </w:pPr>
      <w:r>
        <w:rPr>
          <w:rFonts w:hint="eastAsia" w:ascii="Times New Roman" w:hAnsi="Times New Roman" w:eastAsia="宋体" w:cs="Times New Roman"/>
          <w:kern w:val="0"/>
          <w:szCs w:val="18"/>
        </w:rPr>
        <w:t>审批</w:t>
      </w:r>
      <w:r>
        <w:rPr>
          <w:rFonts w:ascii="Times New Roman" w:hAnsi="Times New Roman" w:eastAsia="宋体" w:cs="Times New Roman"/>
          <w:kern w:val="0"/>
          <w:szCs w:val="18"/>
        </w:rPr>
        <w:t>人：</w:t>
      </w:r>
      <w:r>
        <w:rPr>
          <w:rFonts w:hint="eastAsia" w:ascii="Times New Roman" w:hAnsi="Times New Roman" w:eastAsia="宋体" w:cs="Times New Roman"/>
          <w:kern w:val="0"/>
          <w:szCs w:val="18"/>
        </w:rPr>
        <w:t>张志欣</w:t>
      </w:r>
    </w:p>
    <w:p w14:paraId="60D74749">
      <w:pPr>
        <w:autoSpaceDE w:val="0"/>
        <w:autoSpaceDN w:val="0"/>
        <w:adjustRightInd w:val="0"/>
        <w:spacing w:line="360" w:lineRule="auto"/>
        <w:ind w:firstLine="5250" w:firstLineChars="2500"/>
        <w:jc w:val="left"/>
        <w:rPr>
          <w:rFonts w:hint="eastAsia" w:ascii="Times New Roman" w:hAnsi="Times New Roman" w:eastAsia="宋体" w:cs="Times New Roman"/>
          <w:kern w:val="0"/>
          <w:szCs w:val="18"/>
          <w:lang w:eastAsia="zh-CN"/>
        </w:rPr>
      </w:pPr>
      <w:r>
        <w:rPr>
          <w:rFonts w:hint="eastAsia" w:ascii="Times New Roman" w:hAnsi="Times New Roman" w:eastAsia="宋体" w:cs="Times New Roman"/>
          <w:kern w:val="0"/>
          <w:szCs w:val="18"/>
          <w:lang w:eastAsia="zh-CN"/>
        </w:rPr>
        <w:t>批准时间：2025年7月1日</w:t>
      </w:r>
    </w:p>
    <w:p w14:paraId="0BFC683B">
      <w:pPr>
        <w:widowControl/>
        <w:spacing w:line="360" w:lineRule="auto"/>
        <w:jc w:val="left"/>
        <w:rPr>
          <w:rFonts w:ascii="宋体" w:hAnsi="宋体" w:eastAsia="宋体"/>
          <w:color w:val="auto"/>
          <w:sz w:val="24"/>
        </w:rPr>
      </w:pPr>
    </w:p>
    <w:p w14:paraId="754C09E3">
      <w:pPr>
        <w:widowControl/>
        <w:spacing w:line="360" w:lineRule="auto"/>
        <w:jc w:val="left"/>
        <w:rPr>
          <w:rFonts w:ascii="宋体" w:hAnsi="宋体" w:eastAsia="宋体"/>
          <w:color w:val="auto"/>
          <w:sz w:val="24"/>
        </w:rPr>
      </w:pPr>
    </w:p>
    <w:p w14:paraId="1CDBF29B">
      <w:pPr>
        <w:widowControl/>
        <w:spacing w:line="360" w:lineRule="auto"/>
        <w:jc w:val="left"/>
        <w:rPr>
          <w:rFonts w:ascii="宋体" w:hAnsi="宋体" w:eastAsia="宋体"/>
          <w:color w:val="auto"/>
          <w:sz w:val="24"/>
        </w:rPr>
      </w:pPr>
    </w:p>
    <w:p w14:paraId="0A331859">
      <w:pPr>
        <w:widowControl/>
        <w:spacing w:line="360" w:lineRule="auto"/>
        <w:jc w:val="left"/>
        <w:rPr>
          <w:rFonts w:hint="eastAsia" w:ascii="宋体" w:hAnsi="宋体" w:eastAsia="宋体"/>
          <w:color w:val="auto"/>
          <w:sz w:val="24"/>
        </w:rPr>
      </w:pPr>
      <w:r>
        <w:rPr>
          <w:rFonts w:ascii="宋体" w:hAnsi="宋体" w:eastAsia="宋体"/>
          <w:color w:val="auto"/>
          <w:sz w:val="24"/>
        </w:rPr>
        <w:br w:type="page"/>
      </w:r>
    </w:p>
    <w:p w14:paraId="6539C122">
      <w:pPr>
        <w:spacing w:line="360" w:lineRule="auto"/>
        <w:jc w:val="center"/>
        <w:outlineLvl w:val="0"/>
        <w:rPr>
          <w:rFonts w:hint="eastAsia" w:ascii="Times New Roman" w:hAnsi="Times New Roman" w:eastAsia="宋体" w:cs="Times New Roman"/>
          <w:b/>
          <w:sz w:val="44"/>
          <w:szCs w:val="44"/>
        </w:rPr>
      </w:pPr>
      <w:bookmarkStart w:id="210" w:name="_Toc31837"/>
      <w:r>
        <w:rPr>
          <w:rFonts w:hint="eastAsia" w:ascii="Times New Roman" w:hAnsi="Times New Roman" w:eastAsia="宋体" w:cs="Times New Roman"/>
          <w:b/>
          <w:sz w:val="44"/>
          <w:szCs w:val="44"/>
        </w:rPr>
        <w:t>《教育原理》课程教学大纲</w:t>
      </w:r>
      <w:bookmarkEnd w:id="205"/>
      <w:bookmarkEnd w:id="210"/>
    </w:p>
    <w:p w14:paraId="73B31508">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Pedagogical Principles</w:t>
      </w:r>
      <w:r>
        <w:rPr>
          <w:rFonts w:ascii="Times New Roman" w:hAnsi="Times New Roman" w:eastAsia="宋体" w:cs="Times New Roman"/>
          <w:b/>
          <w:bCs/>
          <w:sz w:val="28"/>
          <w:szCs w:val="28"/>
        </w:rPr>
        <w:t>）</w:t>
      </w:r>
    </w:p>
    <w:p w14:paraId="383AD263">
      <w:pPr>
        <w:spacing w:line="360" w:lineRule="auto"/>
        <w:jc w:val="center"/>
        <w:rPr>
          <w:rFonts w:ascii="Times New Roman" w:hAnsi="Times New Roman" w:eastAsia="宋体" w:cs="Times New Roman"/>
          <w:bCs/>
          <w:color w:val="auto"/>
          <w:sz w:val="24"/>
        </w:rPr>
      </w:pPr>
    </w:p>
    <w:p w14:paraId="43A5EAD1">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课程名称：教育原理</w:t>
      </w:r>
    </w:p>
    <w:p w14:paraId="4F2E3F5F">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课程代码：2401005</w:t>
      </w:r>
    </w:p>
    <w:p w14:paraId="3C420B7C">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 xml:space="preserve">学 </w:t>
      </w:r>
      <w:r>
        <w:rPr>
          <w:rFonts w:ascii="Times New Roman" w:hAnsi="Times New Roman" w:eastAsia="宋体" w:cs="Times New Roman"/>
          <w:b/>
          <w:color w:val="auto"/>
          <w:szCs w:val="21"/>
        </w:rPr>
        <w:t xml:space="preserve">   </w:t>
      </w:r>
      <w:r>
        <w:rPr>
          <w:rFonts w:hint="eastAsia" w:ascii="Times New Roman" w:hAnsi="Times New Roman" w:eastAsia="宋体" w:cs="Times New Roman"/>
          <w:b/>
          <w:color w:val="auto"/>
          <w:szCs w:val="21"/>
        </w:rPr>
        <w:t>分：2</w:t>
      </w:r>
    </w:p>
    <w:p w14:paraId="4CBF6412">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 xml:space="preserve">学 </w:t>
      </w:r>
      <w:r>
        <w:rPr>
          <w:rFonts w:ascii="Times New Roman" w:hAnsi="Times New Roman" w:eastAsia="宋体" w:cs="Times New Roman"/>
          <w:b/>
          <w:color w:val="auto"/>
          <w:szCs w:val="21"/>
        </w:rPr>
        <w:t xml:space="preserve">   </w:t>
      </w:r>
      <w:r>
        <w:rPr>
          <w:rFonts w:hint="eastAsia" w:ascii="Times New Roman" w:hAnsi="Times New Roman" w:eastAsia="宋体" w:cs="Times New Roman"/>
          <w:b/>
          <w:color w:val="auto"/>
          <w:szCs w:val="21"/>
        </w:rPr>
        <w:t>时：32</w:t>
      </w:r>
    </w:p>
    <w:p w14:paraId="656EE014">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先修课程：小学心理学、专业导论</w:t>
      </w:r>
    </w:p>
    <w:p w14:paraId="69973B6D">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适用专业：小学教育</w:t>
      </w:r>
    </w:p>
    <w:p w14:paraId="5F6524AF">
      <w:pPr>
        <w:spacing w:line="360" w:lineRule="auto"/>
        <w:jc w:val="left"/>
        <w:rPr>
          <w:rFonts w:ascii="Times New Roman" w:hAnsi="Times New Roman" w:eastAsia="宋体" w:cs="Times New Roman"/>
          <w:color w:val="auto"/>
          <w:sz w:val="22"/>
          <w:szCs w:val="22"/>
        </w:rPr>
      </w:pPr>
      <w:r>
        <w:rPr>
          <w:rFonts w:hint="eastAsia" w:ascii="Times New Roman" w:hAnsi="Times New Roman" w:eastAsia="宋体" w:cs="Times New Roman"/>
          <w:b/>
          <w:color w:val="auto"/>
          <w:sz w:val="22"/>
          <w:szCs w:val="22"/>
        </w:rPr>
        <w:t>一、课程简介</w:t>
      </w:r>
    </w:p>
    <w:p w14:paraId="463D276A">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是小学教育专业的专业基础必修课。通过本课程的学习，首先，使学生掌握基本的教育理念，理解不同教育现象之间的关系，在此基础上，形成正确的教育意识和观念；其次，让学生了解我国教育理论和实践发展的现状与趋势，提高其教育理论素养，为今后的工作实践奠定坚实的理论基础；最后，引导学生运用所学的基本理论分析我国目前不断发展和变化着的教育实践，将所学理论知识和教育实践结合起来，增强分析和解决实际问题的能力。</w:t>
      </w:r>
    </w:p>
    <w:p w14:paraId="1C07C11A">
      <w:pPr>
        <w:spacing w:line="360" w:lineRule="auto"/>
        <w:jc w:val="left"/>
        <w:rPr>
          <w:rFonts w:ascii="Times New Roman" w:hAnsi="Times New Roman" w:eastAsia="宋体" w:cs="Times New Roman"/>
          <w:color w:val="auto"/>
          <w:sz w:val="22"/>
          <w:szCs w:val="22"/>
        </w:rPr>
      </w:pPr>
      <w:r>
        <w:rPr>
          <w:rFonts w:hint="eastAsia" w:ascii="宋体" w:hAnsi="宋体" w:eastAsia="宋体" w:cs="Times New Roman"/>
          <w:b/>
          <w:color w:val="auto"/>
          <w:sz w:val="22"/>
          <w:szCs w:val="22"/>
        </w:rPr>
        <w:t>二</w:t>
      </w:r>
      <w:r>
        <w:rPr>
          <w:rFonts w:ascii="宋体" w:hAnsi="宋体" w:eastAsia="宋体" w:cs="Times New Roman"/>
          <w:b/>
          <w:color w:val="auto"/>
          <w:sz w:val="22"/>
          <w:szCs w:val="22"/>
        </w:rPr>
        <w:t>、课程目标</w:t>
      </w:r>
    </w:p>
    <w:p w14:paraId="7087D0A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255D223D">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1.</w:t>
      </w:r>
      <w:r>
        <w:rPr>
          <w:rFonts w:hint="eastAsia" w:ascii="Times New Roman" w:hAnsi="Times New Roman" w:eastAsia="宋体" w:cs="Times New Roman"/>
          <w:b/>
          <w:color w:val="auto"/>
          <w:szCs w:val="21"/>
        </w:rPr>
        <w:t xml:space="preserve"> </w:t>
      </w:r>
      <w:r>
        <w:rPr>
          <w:rFonts w:hint="eastAsia" w:ascii="Times New Roman" w:hAnsi="Times New Roman" w:eastAsia="宋体" w:cs="Times New Roman"/>
          <w:color w:val="auto"/>
          <w:szCs w:val="21"/>
        </w:rPr>
        <w:t>掌握教育学基础理论知识，正确认识与“教育是什么”和“什么是教育”有关的一系列基本概念、基本理论、基本规律等关于教育的基本原理，了解当前国内外教育发展现状，形成教育学相关理论完整的知识结构，初步具备从事小学教育教学实践的能力和不断提升自我专业发展的能力。</w:t>
      </w:r>
    </w:p>
    <w:p w14:paraId="00F74A3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目标2</w:t>
      </w:r>
      <w:r>
        <w:rPr>
          <w:rFonts w:ascii="Times New Roman" w:hAnsi="Times New Roman" w:eastAsia="宋体" w:cs="Times New Roman"/>
          <w:b/>
          <w:color w:val="auto"/>
          <w:szCs w:val="21"/>
        </w:rPr>
        <w:t xml:space="preserve">. </w:t>
      </w:r>
      <w:r>
        <w:rPr>
          <w:rFonts w:hint="eastAsia" w:ascii="Times New Roman" w:hAnsi="Times New Roman" w:eastAsia="宋体" w:cs="Times New Roman"/>
          <w:color w:val="auto"/>
          <w:szCs w:val="21"/>
        </w:rPr>
        <w:t>理解教育问题与教育现象背后的教育本质与教育规律，能自觉运用专业思维和方法探究教育现象、反思教育实践、分析并解决教育问题，为今后从事教育实践工作打下良好基础。</w:t>
      </w:r>
    </w:p>
    <w:p w14:paraId="29E6E178">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目标3</w:t>
      </w:r>
      <w:r>
        <w:rPr>
          <w:rFonts w:hint="eastAsia" w:ascii="Times New Roman" w:hAnsi="Times New Roman" w:eastAsia="宋体" w:cs="Times New Roman"/>
          <w:b/>
          <w:color w:val="auto"/>
          <w:kern w:val="0"/>
          <w:szCs w:val="21"/>
        </w:rPr>
        <w:t>．</w:t>
      </w:r>
      <w:r>
        <w:rPr>
          <w:rFonts w:hint="eastAsia" w:ascii="Times New Roman" w:hAnsi="Times New Roman" w:eastAsia="宋体" w:cs="Times New Roman"/>
          <w:color w:val="auto"/>
          <w:szCs w:val="21"/>
        </w:rPr>
        <w:t>形成正确的教育观、教师观、学生观、人才观、教育评价观和教育改革发展观；养成自觉提升自身业务修养的意识和从事教育教学改革的兴趣及意愿；养成教师职业认同感、使命感和责任感，自觉在教育教学活动中渗透教师职业道德。</w:t>
      </w:r>
    </w:p>
    <w:p w14:paraId="196488FF">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9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6604"/>
        <w:gridCol w:w="1226"/>
      </w:tblGrid>
      <w:tr w14:paraId="36D4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Align w:val="center"/>
          </w:tcPr>
          <w:p w14:paraId="40E859CB">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604" w:type="dxa"/>
            <w:vAlign w:val="center"/>
          </w:tcPr>
          <w:p w14:paraId="2CC996F4">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226" w:type="dxa"/>
            <w:vAlign w:val="center"/>
          </w:tcPr>
          <w:p w14:paraId="4CB0D479">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03D2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Align w:val="center"/>
          </w:tcPr>
          <w:p w14:paraId="2F5AFB1D">
            <w:pPr>
              <w:spacing w:line="276" w:lineRule="auto"/>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毕业要求1</w:t>
            </w:r>
          </w:p>
          <w:p w14:paraId="7FB273A3">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师德规范</w:t>
            </w:r>
          </w:p>
        </w:tc>
        <w:tc>
          <w:tcPr>
            <w:tcW w:w="6604" w:type="dxa"/>
            <w:vAlign w:val="center"/>
          </w:tcPr>
          <w:p w14:paraId="7C0B37DC">
            <w:pPr>
              <w:spacing w:line="240" w:lineRule="auto"/>
              <w:jc w:val="left"/>
              <w:rPr>
                <w:rFonts w:ascii="Times New Roman" w:hAnsi="Times New Roman" w:eastAsia="宋体" w:cs="Times New Roman"/>
                <w:b w:val="0"/>
                <w:bCs w:val="0"/>
                <w:color w:val="auto"/>
                <w:szCs w:val="21"/>
              </w:rPr>
            </w:pPr>
            <w:r>
              <w:rPr>
                <w:rFonts w:hint="eastAsia" w:ascii="Times New Roman" w:hAnsi="Times New Roman" w:eastAsia="宋体" w:cs="Times New Roman"/>
                <w:b w:val="0"/>
                <w:bCs w:val="0"/>
                <w:color w:val="auto"/>
                <w:szCs w:val="21"/>
              </w:rPr>
              <w:t>指标点</w:t>
            </w:r>
            <w:r>
              <w:rPr>
                <w:rFonts w:ascii="Times New Roman" w:hAnsi="Times New Roman" w:eastAsia="宋体" w:cs="Times New Roman"/>
                <w:b w:val="0"/>
                <w:bCs w:val="0"/>
                <w:color w:val="auto"/>
                <w:szCs w:val="21"/>
              </w:rPr>
              <w:t>1-1：【理想信念坚定】了解我国国情及国际局势，深刻理解新时代中国特色社会主义思想内涵；认同中国特色社会主义，贯彻党的教育方针，自觉践行社会主义核心价值观；认同教师劳动的价值，树立职业理想，立志成为有理想信念、有道德情操、有扎实学识、有仁爱之心受学生爱戴的好老师。</w:t>
            </w:r>
          </w:p>
        </w:tc>
        <w:tc>
          <w:tcPr>
            <w:tcW w:w="1226" w:type="dxa"/>
            <w:vAlign w:val="center"/>
          </w:tcPr>
          <w:p w14:paraId="556AF8AB">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课程目标3</w:t>
            </w:r>
          </w:p>
        </w:tc>
      </w:tr>
      <w:tr w14:paraId="54BF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1408" w:type="dxa"/>
            <w:vAlign w:val="center"/>
          </w:tcPr>
          <w:p w14:paraId="142190F4">
            <w:pPr>
              <w:spacing w:line="264"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毕业要求2</w:t>
            </w:r>
          </w:p>
          <w:p w14:paraId="49DD5EFA">
            <w:pPr>
              <w:spacing w:line="264"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师德规范</w:t>
            </w:r>
          </w:p>
        </w:tc>
        <w:tc>
          <w:tcPr>
            <w:tcW w:w="6604" w:type="dxa"/>
          </w:tcPr>
          <w:p w14:paraId="4C9185A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 w:val="0"/>
                <w:bCs w:val="0"/>
                <w:color w:val="auto"/>
                <w:kern w:val="0"/>
                <w:szCs w:val="21"/>
                <w:lang w:eastAsia="zh-CN"/>
              </w:rPr>
            </w:pPr>
            <w:r>
              <w:rPr>
                <w:rFonts w:hint="eastAsia" w:ascii="宋体" w:hAnsi="宋体" w:eastAsia="宋体" w:cs="Times New Roman"/>
                <w:b w:val="0"/>
                <w:bCs w:val="0"/>
                <w:color w:val="auto"/>
                <w:kern w:val="0"/>
                <w:szCs w:val="21"/>
                <w:lang w:eastAsia="zh-CN"/>
              </w:rPr>
              <w:t>指标点2-1：【职业认同感强】具有家国情怀，热爱教育事业，秉持“坚忍诚勇，立己达人”的师范精神，践行教育家精神，乐于从教，热爱教育事业，具有较高的教师职业认同感，认同教师职业的意义、价值与专业性。</w:t>
            </w:r>
          </w:p>
        </w:tc>
        <w:tc>
          <w:tcPr>
            <w:tcW w:w="1226" w:type="dxa"/>
            <w:vAlign w:val="center"/>
          </w:tcPr>
          <w:p w14:paraId="05C0E934">
            <w:pPr>
              <w:spacing w:line="264" w:lineRule="auto"/>
              <w:jc w:val="left"/>
              <w:rPr>
                <w:rFonts w:hint="eastAsia" w:ascii="宋体" w:hAnsi="宋体" w:eastAsia="宋体" w:cs="宋体"/>
                <w:bCs/>
                <w:color w:val="auto"/>
                <w:szCs w:val="21"/>
              </w:rPr>
            </w:pPr>
            <w:r>
              <w:rPr>
                <w:rFonts w:hint="eastAsia" w:ascii="宋体" w:hAnsi="宋体" w:eastAsia="宋体" w:cs="宋体"/>
                <w:bCs/>
                <w:color w:val="auto"/>
                <w:szCs w:val="21"/>
              </w:rPr>
              <w:t>课程目标3</w:t>
            </w:r>
          </w:p>
        </w:tc>
      </w:tr>
      <w:tr w14:paraId="0F3C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08" w:type="dxa"/>
            <w:vAlign w:val="center"/>
          </w:tcPr>
          <w:p w14:paraId="3E312BBA">
            <w:pPr>
              <w:spacing w:line="264"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毕业要求4</w:t>
            </w:r>
          </w:p>
          <w:p w14:paraId="46A23D74">
            <w:pPr>
              <w:spacing w:line="264"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教学能力</w:t>
            </w:r>
          </w:p>
        </w:tc>
        <w:tc>
          <w:tcPr>
            <w:tcW w:w="6604" w:type="dxa"/>
          </w:tcPr>
          <w:p w14:paraId="591C6F7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 w:val="0"/>
                <w:bCs w:val="0"/>
                <w:color w:val="auto"/>
                <w:kern w:val="0"/>
                <w:szCs w:val="21"/>
                <w:lang w:eastAsia="zh-CN"/>
              </w:rPr>
            </w:pPr>
            <w:r>
              <w:rPr>
                <w:rFonts w:hint="eastAsia" w:ascii="宋体" w:hAnsi="宋体" w:eastAsia="宋体" w:cs="Times New Roman"/>
                <w:b w:val="0"/>
                <w:bCs w:val="0"/>
                <w:color w:val="auto"/>
                <w:kern w:val="0"/>
                <w:szCs w:val="21"/>
                <w:lang w:eastAsia="zh-CN"/>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226" w:type="dxa"/>
            <w:vAlign w:val="center"/>
          </w:tcPr>
          <w:p w14:paraId="32ED30C0">
            <w:pPr>
              <w:spacing w:line="264" w:lineRule="auto"/>
              <w:jc w:val="left"/>
              <w:rPr>
                <w:rFonts w:hint="eastAsia" w:ascii="宋体" w:hAnsi="宋体" w:eastAsia="宋体" w:cs="宋体"/>
                <w:bCs/>
                <w:color w:val="auto"/>
                <w:szCs w:val="21"/>
              </w:rPr>
            </w:pPr>
            <w:r>
              <w:rPr>
                <w:rFonts w:hint="eastAsia" w:ascii="宋体" w:hAnsi="宋体" w:eastAsia="宋体" w:cs="宋体"/>
                <w:bCs/>
                <w:color w:val="auto"/>
                <w:szCs w:val="21"/>
              </w:rPr>
              <w:t>课程目标1</w:t>
            </w:r>
          </w:p>
          <w:p w14:paraId="50740DA4">
            <w:pPr>
              <w:spacing w:line="264" w:lineRule="auto"/>
              <w:jc w:val="left"/>
              <w:rPr>
                <w:rFonts w:hint="eastAsia" w:ascii="宋体" w:hAnsi="宋体" w:eastAsia="宋体" w:cs="宋体"/>
                <w:bCs/>
                <w:color w:val="auto"/>
                <w:szCs w:val="21"/>
              </w:rPr>
            </w:pPr>
            <w:r>
              <w:rPr>
                <w:rFonts w:hint="eastAsia" w:ascii="宋体" w:hAnsi="宋体" w:eastAsia="宋体" w:cs="宋体"/>
                <w:bCs/>
                <w:color w:val="auto"/>
                <w:szCs w:val="21"/>
              </w:rPr>
              <w:t>课程目标2</w:t>
            </w:r>
          </w:p>
        </w:tc>
      </w:tr>
      <w:tr w14:paraId="00221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Align w:val="center"/>
          </w:tcPr>
          <w:p w14:paraId="16CA889B">
            <w:pPr>
              <w:spacing w:line="276" w:lineRule="auto"/>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毕业要求7</w:t>
            </w:r>
          </w:p>
          <w:p w14:paraId="53CCC958">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学会反思</w:t>
            </w:r>
          </w:p>
        </w:tc>
        <w:tc>
          <w:tcPr>
            <w:tcW w:w="6604" w:type="dxa"/>
            <w:vAlign w:val="center"/>
          </w:tcPr>
          <w:p w14:paraId="725507C3">
            <w:pPr>
              <w:spacing w:line="240" w:lineRule="auto"/>
              <w:jc w:val="left"/>
              <w:rPr>
                <w:rFonts w:ascii="Times New Roman" w:hAnsi="Times New Roman" w:eastAsia="宋体" w:cs="Times New Roman"/>
                <w:b w:val="0"/>
                <w:bCs w:val="0"/>
                <w:color w:val="auto"/>
                <w:szCs w:val="21"/>
              </w:rPr>
            </w:pPr>
            <w:r>
              <w:rPr>
                <w:rFonts w:hint="eastAsia" w:ascii="宋体" w:hAnsi="宋体" w:eastAsia="宋体" w:cs="Times New Roman"/>
                <w:b w:val="0"/>
                <w:bCs w:val="0"/>
                <w:color w:val="auto"/>
                <w:kern w:val="0"/>
                <w:szCs w:val="21"/>
              </w:rPr>
              <w:t>指标点</w:t>
            </w:r>
            <w:r>
              <w:rPr>
                <w:rFonts w:ascii="宋体" w:hAnsi="宋体" w:eastAsia="宋体" w:cs="Times New Roman"/>
                <w:b w:val="0"/>
                <w:bCs w:val="0"/>
                <w:color w:val="auto"/>
                <w:kern w:val="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226" w:type="dxa"/>
            <w:vAlign w:val="center"/>
          </w:tcPr>
          <w:p w14:paraId="4317B907">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课程目标2</w:t>
            </w:r>
          </w:p>
        </w:tc>
      </w:tr>
    </w:tbl>
    <w:p w14:paraId="37FFCA95">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6B0B9A02">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683E031C">
      <w:pPr>
        <w:spacing w:line="360" w:lineRule="auto"/>
        <w:jc w:val="left"/>
        <w:rPr>
          <w:rFonts w:hint="eastAsia" w:ascii="宋体" w:hAnsi="宋体" w:eastAsia="宋体" w:cs="Times New Roman"/>
          <w:b/>
          <w:color w:val="auto"/>
          <w:sz w:val="22"/>
          <w:szCs w:val="22"/>
        </w:rPr>
      </w:pPr>
      <w:r>
        <w:rPr>
          <w:rFonts w:hint="eastAsia" w:ascii="宋体" w:hAnsi="宋体" w:eastAsia="宋体" w:cs="Times New Roman"/>
          <w:b/>
          <w:color w:val="auto"/>
          <w:sz w:val="22"/>
          <w:szCs w:val="22"/>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097C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E0A31A0">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581E828B">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1701" w:type="dxa"/>
            <w:vAlign w:val="center"/>
          </w:tcPr>
          <w:p w14:paraId="2582E9E9">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34" w:type="dxa"/>
            <w:vAlign w:val="center"/>
          </w:tcPr>
          <w:p w14:paraId="2A545A33">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0115261B">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3260" w:type="dxa"/>
            <w:vAlign w:val="center"/>
          </w:tcPr>
          <w:p w14:paraId="2363898A">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560" w:type="dxa"/>
            <w:vAlign w:val="center"/>
          </w:tcPr>
          <w:p w14:paraId="3CA041A9">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6B03BD28">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69E5B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BE2E427">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1.教育学及其发展</w:t>
            </w:r>
          </w:p>
        </w:tc>
        <w:tc>
          <w:tcPr>
            <w:tcW w:w="1701" w:type="dxa"/>
            <w:vAlign w:val="center"/>
          </w:tcPr>
          <w:p w14:paraId="1A57581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（1）教育学及其研究对象</w:t>
            </w:r>
          </w:p>
          <w:p w14:paraId="23DABBA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（2）教育学的产生和发展</w:t>
            </w:r>
          </w:p>
          <w:p w14:paraId="195EAF7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（3）中国化马克思主义教育理论的发展</w:t>
            </w:r>
          </w:p>
          <w:p w14:paraId="607E5D5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（4）学习和研究教育学的指导思想</w:t>
            </w:r>
          </w:p>
        </w:tc>
        <w:tc>
          <w:tcPr>
            <w:tcW w:w="1134" w:type="dxa"/>
            <w:vAlign w:val="center"/>
          </w:tcPr>
          <w:p w14:paraId="6ACFCF22">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3260" w:type="dxa"/>
            <w:vAlign w:val="center"/>
          </w:tcPr>
          <w:p w14:paraId="414A4735">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1.理解教育学的概念表述</w:t>
            </w:r>
            <w:r>
              <w:rPr>
                <w:rFonts w:hint="eastAsia" w:ascii="宋体" w:hAnsi="宋体" w:eastAsia="宋体" w:cs="Times New Roman"/>
                <w:color w:val="auto"/>
                <w:szCs w:val="21"/>
              </w:rPr>
              <w:t>；</w:t>
            </w:r>
          </w:p>
          <w:p w14:paraId="599A9FD5">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2.了解教育学的学科性质、研究对象、发展历史以及中国化马克思主义教育理论的发展</w:t>
            </w:r>
            <w:r>
              <w:rPr>
                <w:rFonts w:hint="eastAsia" w:ascii="宋体" w:hAnsi="宋体" w:eastAsia="宋体" w:cs="Times New Roman"/>
                <w:color w:val="auto"/>
                <w:szCs w:val="21"/>
              </w:rPr>
              <w:t>；</w:t>
            </w:r>
          </w:p>
          <w:p w14:paraId="1BF29795">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3.掌握学习和研究教育学的基本方法和指导思想</w:t>
            </w:r>
            <w:r>
              <w:rPr>
                <w:rFonts w:hint="eastAsia" w:ascii="宋体" w:hAnsi="宋体" w:eastAsia="宋体" w:cs="Times New Roman"/>
                <w:color w:val="auto"/>
                <w:szCs w:val="21"/>
              </w:rPr>
              <w:t>；</w:t>
            </w:r>
          </w:p>
          <w:p w14:paraId="44ADE381">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4.初步学会运用教育理论、教育规律指导实践，提高学习教育学的自觉性</w:t>
            </w:r>
            <w:r>
              <w:rPr>
                <w:rFonts w:hint="eastAsia" w:ascii="宋体" w:hAnsi="宋体" w:eastAsia="宋体" w:cs="Times New Roman"/>
                <w:color w:val="auto"/>
                <w:szCs w:val="21"/>
              </w:rPr>
              <w:t>。</w:t>
            </w:r>
          </w:p>
        </w:tc>
        <w:tc>
          <w:tcPr>
            <w:tcW w:w="1560" w:type="dxa"/>
            <w:vAlign w:val="center"/>
          </w:tcPr>
          <w:p w14:paraId="5DFDA46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6699DE4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2.多媒体教学3.课堂讨论</w:t>
            </w:r>
          </w:p>
          <w:p w14:paraId="37F0831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438" w:type="dxa"/>
            <w:vAlign w:val="center"/>
          </w:tcPr>
          <w:p w14:paraId="20E0C4AC">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07D6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C6C1B3D">
            <w:pPr>
              <w:spacing w:line="264" w:lineRule="auto"/>
              <w:jc w:val="center"/>
              <w:rPr>
                <w:rFonts w:hint="eastAsia" w:ascii="宋体" w:hAnsi="宋体" w:eastAsia="宋体" w:cs="Times New Roman"/>
                <w:color w:val="auto"/>
                <w:szCs w:val="21"/>
              </w:rPr>
            </w:pPr>
          </w:p>
        </w:tc>
        <w:tc>
          <w:tcPr>
            <w:tcW w:w="8093" w:type="dxa"/>
            <w:gridSpan w:val="5"/>
            <w:vAlign w:val="center"/>
          </w:tcPr>
          <w:p w14:paraId="4A5DB433">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在马克思主义思想指导下学习和研究教育学，运用辩证唯物主义和历史唯物主义的思想方法，结合我国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6AE6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7C89810">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2.教育及其本质</w:t>
            </w:r>
          </w:p>
        </w:tc>
        <w:tc>
          <w:tcPr>
            <w:tcW w:w="1701" w:type="dxa"/>
            <w:vAlign w:val="center"/>
          </w:tcPr>
          <w:p w14:paraId="457E897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（1）教育的产生与发展</w:t>
            </w:r>
          </w:p>
          <w:p w14:paraId="226D349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（2）教育的基本内涵</w:t>
            </w:r>
          </w:p>
          <w:p w14:paraId="52863BF9">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（3）教育的要素与形态</w:t>
            </w:r>
          </w:p>
        </w:tc>
        <w:tc>
          <w:tcPr>
            <w:tcW w:w="1134" w:type="dxa"/>
            <w:vAlign w:val="center"/>
          </w:tcPr>
          <w:p w14:paraId="02B79A20">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课程目标1、3</w:t>
            </w:r>
          </w:p>
        </w:tc>
        <w:tc>
          <w:tcPr>
            <w:tcW w:w="3260" w:type="dxa"/>
            <w:vAlign w:val="center"/>
          </w:tcPr>
          <w:p w14:paraId="58A068D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正确理解并掌握“教育”的概念及其含义</w:t>
            </w:r>
            <w:r>
              <w:rPr>
                <w:rFonts w:hint="eastAsia" w:ascii="宋体" w:hAnsi="宋体" w:eastAsia="宋体" w:cs="Times New Roman"/>
                <w:color w:val="auto"/>
                <w:szCs w:val="21"/>
              </w:rPr>
              <w:t>；</w:t>
            </w:r>
          </w:p>
          <w:p w14:paraId="1CE39259">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了解教育发展的基本阶段及每个阶段教育的重要特征、代表人物及其著作和主要思想主张</w:t>
            </w:r>
            <w:r>
              <w:rPr>
                <w:rFonts w:hint="eastAsia" w:ascii="宋体" w:hAnsi="宋体" w:eastAsia="宋体" w:cs="Times New Roman"/>
                <w:color w:val="auto"/>
                <w:szCs w:val="21"/>
              </w:rPr>
              <w:t>；</w:t>
            </w:r>
          </w:p>
          <w:p w14:paraId="6172235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理解教育的基本要素及它们之间的关系，以及在当代的变化。</w:t>
            </w:r>
          </w:p>
        </w:tc>
        <w:tc>
          <w:tcPr>
            <w:tcW w:w="1560" w:type="dxa"/>
            <w:vAlign w:val="center"/>
          </w:tcPr>
          <w:p w14:paraId="72C1C319">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0E668CC6">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2.多媒体教学3.课堂讨论</w:t>
            </w:r>
          </w:p>
          <w:p w14:paraId="0F33309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438" w:type="dxa"/>
            <w:vAlign w:val="center"/>
          </w:tcPr>
          <w:p w14:paraId="39DCE914">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1E94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461876F">
            <w:pPr>
              <w:spacing w:line="264" w:lineRule="auto"/>
              <w:jc w:val="center"/>
              <w:rPr>
                <w:rFonts w:hint="eastAsia" w:ascii="宋体" w:hAnsi="宋体" w:eastAsia="宋体" w:cs="Times New Roman"/>
                <w:color w:val="auto"/>
                <w:szCs w:val="21"/>
              </w:rPr>
            </w:pPr>
          </w:p>
        </w:tc>
        <w:tc>
          <w:tcPr>
            <w:tcW w:w="8093" w:type="dxa"/>
            <w:gridSpan w:val="5"/>
            <w:vAlign w:val="center"/>
          </w:tcPr>
          <w:p w14:paraId="4C958178">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使学生形成对教育的阶级性和教育与社会意识形态关系的正确认知，明确社会主义教育的本质。把握教育的本质在于培养人，深刻理解习近平曾多次论述的教育要“培养什么人、怎样培养人、为谁培养人”的问题。</w:t>
            </w:r>
          </w:p>
        </w:tc>
      </w:tr>
      <w:tr w14:paraId="2B36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9743F29">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3.教育与社会发展</w:t>
            </w:r>
          </w:p>
        </w:tc>
        <w:tc>
          <w:tcPr>
            <w:tcW w:w="1701" w:type="dxa"/>
            <w:vAlign w:val="center"/>
          </w:tcPr>
          <w:p w14:paraId="0BA7E00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（1）社会对教育发展的影响</w:t>
            </w:r>
          </w:p>
          <w:p w14:paraId="42499DF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（2）教育对社会发展的促进功能</w:t>
            </w:r>
          </w:p>
          <w:p w14:paraId="1D3D120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（3）教育在社会主义现代化建设中的地位与作用</w:t>
            </w:r>
          </w:p>
        </w:tc>
        <w:tc>
          <w:tcPr>
            <w:tcW w:w="1134" w:type="dxa"/>
            <w:vAlign w:val="center"/>
          </w:tcPr>
          <w:p w14:paraId="4AE84F9C">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课程目标2、3</w:t>
            </w:r>
          </w:p>
        </w:tc>
        <w:tc>
          <w:tcPr>
            <w:tcW w:w="3260" w:type="dxa"/>
            <w:vAlign w:val="center"/>
          </w:tcPr>
          <w:p w14:paraId="4D42E3B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全面地认识经济、政治、文化、科技等对现代教育的制约性影响</w:t>
            </w:r>
            <w:r>
              <w:rPr>
                <w:rFonts w:hint="eastAsia" w:ascii="宋体" w:hAnsi="宋体" w:eastAsia="宋体" w:cs="Times New Roman"/>
                <w:color w:val="auto"/>
                <w:szCs w:val="21"/>
              </w:rPr>
              <w:t>；</w:t>
            </w:r>
          </w:p>
          <w:p w14:paraId="1A25FD3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科学地认识教育对政治、经济、文化、科技等社会要求影响的原理与有限性</w:t>
            </w:r>
            <w:r>
              <w:rPr>
                <w:rFonts w:hint="eastAsia" w:ascii="宋体" w:hAnsi="宋体" w:eastAsia="宋体" w:cs="Times New Roman"/>
                <w:color w:val="auto"/>
                <w:szCs w:val="21"/>
              </w:rPr>
              <w:t>；</w:t>
            </w:r>
          </w:p>
          <w:p w14:paraId="3E6F900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了解当前政治、经济、文化、科技等社会要素的新发展带来的教育影响。</w:t>
            </w:r>
          </w:p>
        </w:tc>
        <w:tc>
          <w:tcPr>
            <w:tcW w:w="1560" w:type="dxa"/>
            <w:vAlign w:val="center"/>
          </w:tcPr>
          <w:p w14:paraId="58F62C98">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7719B64E">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3073CE8A">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65C755E1">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w:t>
            </w:r>
          </w:p>
        </w:tc>
      </w:tr>
      <w:tr w14:paraId="36AC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3D07E2F">
            <w:pPr>
              <w:spacing w:line="264" w:lineRule="auto"/>
              <w:jc w:val="center"/>
              <w:rPr>
                <w:rFonts w:hint="eastAsia" w:ascii="宋体" w:hAnsi="宋体" w:eastAsia="宋体" w:cs="Times New Roman"/>
                <w:color w:val="auto"/>
                <w:szCs w:val="21"/>
              </w:rPr>
            </w:pPr>
          </w:p>
        </w:tc>
        <w:tc>
          <w:tcPr>
            <w:tcW w:w="8093" w:type="dxa"/>
            <w:gridSpan w:val="5"/>
            <w:vAlign w:val="center"/>
          </w:tcPr>
          <w:p w14:paraId="5085C390">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从辩证思维的角度掌握教育与社会发展的关系在分析教育与经济、教育与政治、教育与文化的关系中，树立制度自信和文化自信。</w:t>
            </w:r>
          </w:p>
        </w:tc>
      </w:tr>
      <w:tr w14:paraId="5470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D0A96A2">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4.教育与人的发展</w:t>
            </w:r>
          </w:p>
        </w:tc>
        <w:tc>
          <w:tcPr>
            <w:tcW w:w="1701" w:type="dxa"/>
            <w:vAlign w:val="center"/>
          </w:tcPr>
          <w:p w14:paraId="6A4174E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（1）人的身心发展及其影响因素</w:t>
            </w:r>
          </w:p>
          <w:p w14:paraId="6C2DC622">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（2）教育促进个体发展的功能</w:t>
            </w:r>
          </w:p>
          <w:p w14:paraId="331703DC">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（3）教育促进个体发展的条件</w:t>
            </w:r>
          </w:p>
        </w:tc>
        <w:tc>
          <w:tcPr>
            <w:tcW w:w="1134" w:type="dxa"/>
            <w:vAlign w:val="center"/>
          </w:tcPr>
          <w:p w14:paraId="14FBCBFE">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260" w:type="dxa"/>
            <w:vAlign w:val="center"/>
          </w:tcPr>
          <w:p w14:paraId="1ACD842D">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1.理解并掌握人的发展的内涵及特征及其影响因素，且能运用其对相关教育理论和实践问题进行分析；</w:t>
            </w:r>
          </w:p>
          <w:p w14:paraId="59546EF7">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理解</w:t>
            </w:r>
            <w:r>
              <w:rPr>
                <w:rFonts w:hint="eastAsia" w:ascii="宋体" w:hAnsi="宋体" w:eastAsia="宋体" w:cs="Times New Roman"/>
                <w:color w:val="auto"/>
                <w:szCs w:val="21"/>
              </w:rPr>
              <w:t>并掌握</w:t>
            </w:r>
            <w:r>
              <w:rPr>
                <w:rFonts w:ascii="宋体" w:hAnsi="宋体" w:eastAsia="宋体" w:cs="Times New Roman"/>
                <w:color w:val="auto"/>
                <w:szCs w:val="21"/>
              </w:rPr>
              <w:t>教育与</w:t>
            </w:r>
            <w:r>
              <w:rPr>
                <w:rFonts w:hint="eastAsia" w:ascii="宋体" w:hAnsi="宋体" w:eastAsia="宋体" w:cs="Times New Roman"/>
                <w:color w:val="auto"/>
                <w:szCs w:val="21"/>
              </w:rPr>
              <w:t>个体</w:t>
            </w:r>
            <w:r>
              <w:rPr>
                <w:rFonts w:ascii="宋体" w:hAnsi="宋体" w:eastAsia="宋体" w:cs="Times New Roman"/>
                <w:color w:val="auto"/>
                <w:szCs w:val="21"/>
              </w:rPr>
              <w:t>发展的关系</w:t>
            </w:r>
            <w:r>
              <w:rPr>
                <w:rFonts w:hint="eastAsia" w:ascii="宋体" w:hAnsi="宋体" w:eastAsia="宋体" w:cs="Times New Roman"/>
                <w:color w:val="auto"/>
                <w:szCs w:val="21"/>
              </w:rPr>
              <w:t>，其能运用其对教育相关理论和实践问题进行分析。</w:t>
            </w:r>
          </w:p>
        </w:tc>
        <w:tc>
          <w:tcPr>
            <w:tcW w:w="1560" w:type="dxa"/>
            <w:vAlign w:val="center"/>
          </w:tcPr>
          <w:p w14:paraId="1731D18D">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6D40BD33">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67A74975">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17B9F821">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w:t>
            </w:r>
          </w:p>
        </w:tc>
      </w:tr>
      <w:tr w14:paraId="6EEB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6DBD07B">
            <w:pPr>
              <w:spacing w:line="276" w:lineRule="auto"/>
              <w:jc w:val="center"/>
              <w:rPr>
                <w:rFonts w:hint="eastAsia" w:ascii="宋体" w:hAnsi="宋体" w:eastAsia="宋体" w:cs="Times New Roman"/>
                <w:color w:val="auto"/>
                <w:szCs w:val="21"/>
              </w:rPr>
            </w:pPr>
          </w:p>
        </w:tc>
        <w:tc>
          <w:tcPr>
            <w:tcW w:w="8093" w:type="dxa"/>
            <w:gridSpan w:val="5"/>
            <w:vAlign w:val="center"/>
          </w:tcPr>
          <w:p w14:paraId="39D9ADBD">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通过了解人的身心发展的特点，培养学生热爱教育事业和学生的情感，增强从事教育事业的责任感和使命感。</w:t>
            </w:r>
          </w:p>
        </w:tc>
      </w:tr>
      <w:tr w14:paraId="6AE1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9A64C84">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5.教育目的</w:t>
            </w:r>
          </w:p>
        </w:tc>
        <w:tc>
          <w:tcPr>
            <w:tcW w:w="1701" w:type="dxa"/>
            <w:vAlign w:val="center"/>
          </w:tcPr>
          <w:p w14:paraId="0BD24297">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（1）教育目的概述</w:t>
            </w:r>
          </w:p>
          <w:p w14:paraId="1C515E25">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（2）我国教育目的的理论基础</w:t>
            </w:r>
          </w:p>
          <w:p w14:paraId="7895694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（3）我国的教育目的</w:t>
            </w:r>
          </w:p>
          <w:p w14:paraId="16F4158B">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（4）素质教育创新人才培养</w:t>
            </w:r>
          </w:p>
        </w:tc>
        <w:tc>
          <w:tcPr>
            <w:tcW w:w="1134" w:type="dxa"/>
            <w:vAlign w:val="center"/>
          </w:tcPr>
          <w:p w14:paraId="2CEB460C">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260" w:type="dxa"/>
            <w:vAlign w:val="center"/>
          </w:tcPr>
          <w:p w14:paraId="58EAF7F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掌握教育目的、培养目标、全面发展教育等基本概念</w:t>
            </w:r>
            <w:r>
              <w:rPr>
                <w:rFonts w:hint="eastAsia" w:ascii="宋体" w:hAnsi="宋体" w:eastAsia="宋体" w:cs="Times New Roman"/>
                <w:color w:val="auto"/>
                <w:szCs w:val="21"/>
              </w:rPr>
              <w:t>；</w:t>
            </w:r>
          </w:p>
          <w:p w14:paraId="49370AF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理解教育目的的内容与功能、依据与类型</w:t>
            </w:r>
            <w:r>
              <w:rPr>
                <w:rFonts w:hint="eastAsia" w:ascii="宋体" w:hAnsi="宋体" w:eastAsia="宋体" w:cs="Times New Roman"/>
                <w:color w:val="auto"/>
                <w:szCs w:val="21"/>
              </w:rPr>
              <w:t>；</w:t>
            </w:r>
          </w:p>
          <w:p w14:paraId="5FAC1F2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了解我国教育方针的演变，能够联系实际认识我国教育目的，能够正确认识素质教育和应试教育问题。</w:t>
            </w:r>
          </w:p>
        </w:tc>
        <w:tc>
          <w:tcPr>
            <w:tcW w:w="1560" w:type="dxa"/>
            <w:vAlign w:val="center"/>
          </w:tcPr>
          <w:p w14:paraId="69335C27">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72632738">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60E4947D">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3C217712">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3888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320809B">
            <w:pPr>
              <w:spacing w:line="276" w:lineRule="auto"/>
              <w:jc w:val="center"/>
              <w:rPr>
                <w:rFonts w:hint="eastAsia" w:ascii="宋体" w:hAnsi="宋体" w:eastAsia="宋体" w:cs="Times New Roman"/>
                <w:color w:val="auto"/>
                <w:szCs w:val="21"/>
              </w:rPr>
            </w:pPr>
          </w:p>
        </w:tc>
        <w:tc>
          <w:tcPr>
            <w:tcW w:w="8093" w:type="dxa"/>
            <w:gridSpan w:val="5"/>
            <w:vAlign w:val="center"/>
          </w:tcPr>
          <w:p w14:paraId="40F2AAA0">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通过对我国教育目的的认识和理解，能够具有社会责任感、创新精神和实践能力，主动践行社会主义核心价值观，在未来的教育实践中能主动推进素质教育，培养创新人才，从而实现中华民族的伟大复兴。</w:t>
            </w:r>
          </w:p>
        </w:tc>
      </w:tr>
      <w:tr w14:paraId="41DCF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C8BE3C7">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6.人的全面发展</w:t>
            </w:r>
          </w:p>
        </w:tc>
        <w:tc>
          <w:tcPr>
            <w:tcW w:w="1701" w:type="dxa"/>
            <w:vAlign w:val="center"/>
          </w:tcPr>
          <w:p w14:paraId="4DAE3710">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（1）德育</w:t>
            </w:r>
          </w:p>
          <w:p w14:paraId="2F833EB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（2）智育</w:t>
            </w:r>
          </w:p>
          <w:p w14:paraId="5909235B">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（3）体育</w:t>
            </w:r>
          </w:p>
          <w:p w14:paraId="4E9E3B17">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（4）美育</w:t>
            </w:r>
          </w:p>
          <w:p w14:paraId="274DC3D0">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（5）劳动技术教育</w:t>
            </w:r>
          </w:p>
        </w:tc>
        <w:tc>
          <w:tcPr>
            <w:tcW w:w="1134" w:type="dxa"/>
            <w:vAlign w:val="center"/>
          </w:tcPr>
          <w:p w14:paraId="6D5DCFF6">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260" w:type="dxa"/>
            <w:vAlign w:val="center"/>
          </w:tcPr>
          <w:p w14:paraId="4300028F">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了解人的全面发展理论、内涵以及其相互关系</w:t>
            </w:r>
            <w:r>
              <w:rPr>
                <w:rFonts w:hint="eastAsia" w:ascii="宋体" w:hAnsi="宋体" w:eastAsia="宋体" w:cs="Times New Roman"/>
                <w:color w:val="auto"/>
                <w:szCs w:val="21"/>
              </w:rPr>
              <w:t>；</w:t>
            </w:r>
          </w:p>
          <w:p w14:paraId="726EFAE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理解德育、智育、体育、美育、劳动技术教育的内涵及实施</w:t>
            </w:r>
            <w:r>
              <w:rPr>
                <w:rFonts w:hint="eastAsia" w:ascii="宋体" w:hAnsi="宋体" w:eastAsia="宋体" w:cs="Times New Roman"/>
                <w:color w:val="auto"/>
                <w:szCs w:val="21"/>
              </w:rPr>
              <w:t>；</w:t>
            </w:r>
          </w:p>
          <w:p w14:paraId="269BFFF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掌握全面发展教育各内容之间的辩证关系</w:t>
            </w:r>
            <w:r>
              <w:rPr>
                <w:rFonts w:hint="eastAsia" w:ascii="宋体" w:hAnsi="宋体" w:eastAsia="宋体" w:cs="Times New Roman"/>
                <w:color w:val="auto"/>
                <w:szCs w:val="21"/>
              </w:rPr>
              <w:t>。</w:t>
            </w:r>
          </w:p>
        </w:tc>
        <w:tc>
          <w:tcPr>
            <w:tcW w:w="1560" w:type="dxa"/>
            <w:vAlign w:val="center"/>
          </w:tcPr>
          <w:p w14:paraId="49B708AF">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0DD501A3">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3FAC7872">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56958A06">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0FB2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4C309DD">
            <w:pPr>
              <w:spacing w:line="276" w:lineRule="auto"/>
              <w:jc w:val="center"/>
              <w:rPr>
                <w:rFonts w:hint="eastAsia" w:ascii="宋体" w:hAnsi="宋体" w:eastAsia="宋体" w:cs="Times New Roman"/>
                <w:color w:val="auto"/>
                <w:szCs w:val="21"/>
              </w:rPr>
            </w:pPr>
          </w:p>
        </w:tc>
        <w:tc>
          <w:tcPr>
            <w:tcW w:w="8093" w:type="dxa"/>
            <w:gridSpan w:val="5"/>
            <w:vAlign w:val="center"/>
          </w:tcPr>
          <w:p w14:paraId="595E3F5F">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通过对人的全面发展教育的学习，形成全面发展的教育观，确立从教信念。</w:t>
            </w:r>
          </w:p>
        </w:tc>
      </w:tr>
      <w:tr w14:paraId="406D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B1393B8">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7.学校教育制度</w:t>
            </w:r>
          </w:p>
        </w:tc>
        <w:tc>
          <w:tcPr>
            <w:tcW w:w="1701" w:type="dxa"/>
            <w:vAlign w:val="center"/>
          </w:tcPr>
          <w:p w14:paraId="7916D34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（1）学校的形成与发展</w:t>
            </w:r>
          </w:p>
          <w:p w14:paraId="7BB552E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（2）现代学校教育制度</w:t>
            </w:r>
          </w:p>
          <w:p w14:paraId="7639E2E5">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（3）学校教育制度的改革</w:t>
            </w:r>
          </w:p>
        </w:tc>
        <w:tc>
          <w:tcPr>
            <w:tcW w:w="1134" w:type="dxa"/>
            <w:vAlign w:val="center"/>
          </w:tcPr>
          <w:p w14:paraId="25C264F4">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260" w:type="dxa"/>
            <w:vAlign w:val="center"/>
          </w:tcPr>
          <w:p w14:paraId="2DA79E90">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1）识记教育制度和学校教育制度的含义、现代学校教育制度的类型</w:t>
            </w:r>
            <w:r>
              <w:rPr>
                <w:rFonts w:hint="eastAsia" w:ascii="宋体" w:hAnsi="宋体" w:eastAsia="宋体" w:cs="Times New Roman"/>
                <w:color w:val="auto"/>
                <w:szCs w:val="21"/>
              </w:rPr>
              <w:t>；</w:t>
            </w:r>
          </w:p>
          <w:p w14:paraId="127ABD7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2）理解教育制度和学校教育制度的历史发展过程</w:t>
            </w:r>
            <w:r>
              <w:rPr>
                <w:rFonts w:hint="eastAsia" w:ascii="宋体" w:hAnsi="宋体" w:eastAsia="宋体" w:cs="Times New Roman"/>
                <w:color w:val="auto"/>
                <w:szCs w:val="21"/>
              </w:rPr>
              <w:t>；</w:t>
            </w:r>
          </w:p>
          <w:p w14:paraId="09C2B507">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3）把握教育制度和学校教育制度的改革和发展趋势</w:t>
            </w:r>
            <w:r>
              <w:rPr>
                <w:rFonts w:hint="eastAsia" w:ascii="宋体" w:hAnsi="宋体" w:eastAsia="宋体" w:cs="Times New Roman"/>
                <w:color w:val="auto"/>
                <w:szCs w:val="21"/>
              </w:rPr>
              <w:t>；</w:t>
            </w:r>
          </w:p>
          <w:p w14:paraId="0DA795A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4）运用学校教育制度的有关知识来分析我国现行教育制度</w:t>
            </w:r>
            <w:r>
              <w:rPr>
                <w:rFonts w:hint="eastAsia" w:ascii="宋体" w:hAnsi="宋体" w:eastAsia="宋体" w:cs="Times New Roman"/>
                <w:color w:val="auto"/>
                <w:szCs w:val="21"/>
              </w:rPr>
              <w:t>。</w:t>
            </w:r>
          </w:p>
        </w:tc>
        <w:tc>
          <w:tcPr>
            <w:tcW w:w="1560" w:type="dxa"/>
            <w:vAlign w:val="center"/>
          </w:tcPr>
          <w:p w14:paraId="7123EAEC">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09F84ABC">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1557D076">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64E50140">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7AC6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4E61C35">
            <w:pPr>
              <w:spacing w:line="276" w:lineRule="auto"/>
              <w:jc w:val="center"/>
              <w:rPr>
                <w:rFonts w:hint="eastAsia" w:ascii="宋体" w:hAnsi="宋体" w:eastAsia="宋体" w:cs="Times New Roman"/>
                <w:color w:val="auto"/>
                <w:szCs w:val="21"/>
              </w:rPr>
            </w:pPr>
          </w:p>
        </w:tc>
        <w:tc>
          <w:tcPr>
            <w:tcW w:w="8093" w:type="dxa"/>
            <w:gridSpan w:val="5"/>
            <w:vAlign w:val="center"/>
          </w:tcPr>
          <w:p w14:paraId="1AD50FAC">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了解我国现代学校教育制度的演变及其形态，确立制度自信。</w:t>
            </w:r>
          </w:p>
        </w:tc>
      </w:tr>
      <w:tr w14:paraId="7419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E96F2DB">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8.课程</w:t>
            </w:r>
          </w:p>
        </w:tc>
        <w:tc>
          <w:tcPr>
            <w:tcW w:w="1701" w:type="dxa"/>
            <w:vAlign w:val="center"/>
          </w:tcPr>
          <w:p w14:paraId="3FEF91A7">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（1）课程概述</w:t>
            </w:r>
          </w:p>
          <w:p w14:paraId="64B38231">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（2）课程开发</w:t>
            </w:r>
          </w:p>
          <w:p w14:paraId="5596796D">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（3）课程改革</w:t>
            </w:r>
          </w:p>
        </w:tc>
        <w:tc>
          <w:tcPr>
            <w:tcW w:w="1134" w:type="dxa"/>
            <w:vAlign w:val="center"/>
          </w:tcPr>
          <w:p w14:paraId="08BD2C75">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260" w:type="dxa"/>
            <w:vAlign w:val="center"/>
          </w:tcPr>
          <w:p w14:paraId="5C5F4085">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1）了解关于课程本质的不同观点，掌握现代课程的本质和特点，能够批判性地分析各种现代课程的各种理念</w:t>
            </w:r>
            <w:r>
              <w:rPr>
                <w:rFonts w:hint="eastAsia" w:ascii="宋体" w:hAnsi="宋体" w:eastAsia="宋体" w:cs="Times New Roman"/>
                <w:color w:val="auto"/>
                <w:szCs w:val="21"/>
              </w:rPr>
              <w:t>；</w:t>
            </w:r>
          </w:p>
          <w:p w14:paraId="4D3B1B1D">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2）了解课程结构的内涵、特点和组织， 能够掌握现代课程资源的类型和开发策略，并能够根据实际工作需要开发课程资源</w:t>
            </w:r>
            <w:r>
              <w:rPr>
                <w:rFonts w:hint="eastAsia" w:ascii="宋体" w:hAnsi="宋体" w:eastAsia="宋体" w:cs="Times New Roman"/>
                <w:color w:val="auto"/>
                <w:szCs w:val="21"/>
              </w:rPr>
              <w:t>；</w:t>
            </w:r>
          </w:p>
          <w:p w14:paraId="6F8BF77B">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3）能够正确理解我国基础教育改革的背景、目标、创新，了解其未来的发展趋势。</w:t>
            </w:r>
          </w:p>
        </w:tc>
        <w:tc>
          <w:tcPr>
            <w:tcW w:w="1560" w:type="dxa"/>
            <w:vAlign w:val="center"/>
          </w:tcPr>
          <w:p w14:paraId="67A2229E">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5216E7D5">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53C8A773">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53CCD525">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36E6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F0BC4F9">
            <w:pPr>
              <w:spacing w:line="264" w:lineRule="auto"/>
              <w:jc w:val="center"/>
              <w:rPr>
                <w:rFonts w:hint="eastAsia" w:ascii="宋体" w:hAnsi="宋体" w:eastAsia="宋体" w:cs="Times New Roman"/>
                <w:color w:val="auto"/>
                <w:szCs w:val="21"/>
              </w:rPr>
            </w:pPr>
          </w:p>
        </w:tc>
        <w:tc>
          <w:tcPr>
            <w:tcW w:w="8093" w:type="dxa"/>
            <w:gridSpan w:val="5"/>
            <w:vAlign w:val="center"/>
          </w:tcPr>
          <w:p w14:paraId="21904652">
            <w:pPr>
              <w:spacing w:line="264"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理解新课程的基本价值取向是：为了中华民族的复兴，为了每一个学生的发展，培养教育情怀，确立从教信念。</w:t>
            </w:r>
          </w:p>
        </w:tc>
      </w:tr>
      <w:tr w14:paraId="292D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47C5589">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9.教学</w:t>
            </w:r>
          </w:p>
        </w:tc>
        <w:tc>
          <w:tcPr>
            <w:tcW w:w="1701" w:type="dxa"/>
            <w:vAlign w:val="center"/>
          </w:tcPr>
          <w:p w14:paraId="70EA3232">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（1）教学概述</w:t>
            </w:r>
          </w:p>
          <w:p w14:paraId="6394A8AA">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（2）教学理论与规律</w:t>
            </w:r>
          </w:p>
          <w:p w14:paraId="59176F60">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（3）教学实施</w:t>
            </w:r>
          </w:p>
          <w:p w14:paraId="7318AC1C">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（4）教学改革</w:t>
            </w:r>
          </w:p>
        </w:tc>
        <w:tc>
          <w:tcPr>
            <w:tcW w:w="1134" w:type="dxa"/>
            <w:vAlign w:val="center"/>
          </w:tcPr>
          <w:p w14:paraId="148FA024">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260" w:type="dxa"/>
            <w:vAlign w:val="center"/>
          </w:tcPr>
          <w:p w14:paraId="64FF4331">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掌握现代教学的概念，理解现代教学的地位，了解现代教学的形成与发展</w:t>
            </w:r>
            <w:r>
              <w:rPr>
                <w:rFonts w:hint="eastAsia" w:ascii="宋体" w:hAnsi="宋体" w:eastAsia="宋体" w:cs="Times New Roman"/>
                <w:color w:val="auto"/>
                <w:szCs w:val="21"/>
              </w:rPr>
              <w:t>；</w:t>
            </w:r>
          </w:p>
          <w:p w14:paraId="2FC19EE5">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理解主要教学理论流派的主张，并结合实际教学加以评论</w:t>
            </w:r>
            <w:r>
              <w:rPr>
                <w:rFonts w:hint="eastAsia" w:ascii="宋体" w:hAnsi="宋体" w:eastAsia="宋体" w:cs="Times New Roman"/>
                <w:color w:val="auto"/>
                <w:szCs w:val="21"/>
              </w:rPr>
              <w:t>；</w:t>
            </w:r>
          </w:p>
          <w:p w14:paraId="31F986D7">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理解并掌握教学实施的各环节和要素</w:t>
            </w:r>
            <w:r>
              <w:rPr>
                <w:rFonts w:hint="eastAsia" w:ascii="宋体" w:hAnsi="宋体" w:eastAsia="宋体" w:cs="Times New Roman"/>
                <w:color w:val="auto"/>
                <w:szCs w:val="21"/>
              </w:rPr>
              <w:t>；</w:t>
            </w:r>
          </w:p>
          <w:p w14:paraId="4CB6C32A">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把握当代我国和世界中小学教学改革的趋势</w:t>
            </w:r>
            <w:r>
              <w:rPr>
                <w:rFonts w:hint="eastAsia" w:ascii="宋体" w:hAnsi="宋体" w:eastAsia="宋体" w:cs="Times New Roman"/>
                <w:color w:val="auto"/>
                <w:szCs w:val="21"/>
              </w:rPr>
              <w:t>。</w:t>
            </w:r>
          </w:p>
        </w:tc>
        <w:tc>
          <w:tcPr>
            <w:tcW w:w="1560" w:type="dxa"/>
            <w:vAlign w:val="center"/>
          </w:tcPr>
          <w:p w14:paraId="1A6A1307">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7268B52D">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35FB840C">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0D058E37">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064B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11D1769">
            <w:pPr>
              <w:spacing w:line="264" w:lineRule="auto"/>
              <w:jc w:val="center"/>
              <w:rPr>
                <w:rFonts w:hint="eastAsia" w:ascii="宋体" w:hAnsi="宋体" w:eastAsia="宋体" w:cs="Times New Roman"/>
                <w:color w:val="auto"/>
                <w:szCs w:val="21"/>
              </w:rPr>
            </w:pPr>
          </w:p>
        </w:tc>
        <w:tc>
          <w:tcPr>
            <w:tcW w:w="8093" w:type="dxa"/>
            <w:gridSpan w:val="5"/>
            <w:vAlign w:val="center"/>
          </w:tcPr>
          <w:p w14:paraId="6417F627">
            <w:pPr>
              <w:spacing w:line="264"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学会遵循马克思主义的立场、观点和方法、遵循当代社会的伦理规范来实施教学，同时形成教育公平、民主、法治等的正确理念。</w:t>
            </w:r>
          </w:p>
        </w:tc>
      </w:tr>
      <w:tr w14:paraId="7BC4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A895931">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10.教师与学生</w:t>
            </w:r>
          </w:p>
        </w:tc>
        <w:tc>
          <w:tcPr>
            <w:tcW w:w="1701" w:type="dxa"/>
            <w:vAlign w:val="center"/>
          </w:tcPr>
          <w:p w14:paraId="522F6E83">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（1）教师</w:t>
            </w:r>
          </w:p>
          <w:p w14:paraId="00AF7CE6">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（2）班主任</w:t>
            </w:r>
          </w:p>
          <w:p w14:paraId="675726D8">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（3）学生</w:t>
            </w:r>
          </w:p>
        </w:tc>
        <w:tc>
          <w:tcPr>
            <w:tcW w:w="1134" w:type="dxa"/>
            <w:vAlign w:val="center"/>
          </w:tcPr>
          <w:p w14:paraId="157A1B84">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p w14:paraId="087E5D3D">
            <w:pPr>
              <w:spacing w:line="264" w:lineRule="auto"/>
              <w:jc w:val="center"/>
              <w:rPr>
                <w:rFonts w:hint="eastAsia" w:ascii="宋体" w:hAnsi="宋体" w:eastAsia="宋体" w:cs="Times New Roman"/>
                <w:color w:val="auto"/>
                <w:szCs w:val="21"/>
              </w:rPr>
            </w:pPr>
          </w:p>
        </w:tc>
        <w:tc>
          <w:tcPr>
            <w:tcW w:w="3260" w:type="dxa"/>
            <w:vAlign w:val="center"/>
          </w:tcPr>
          <w:p w14:paraId="72CBAF2B">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了解教师职业的历史发展、特点及意义、教师的权利与义务</w:t>
            </w:r>
            <w:r>
              <w:rPr>
                <w:rFonts w:hint="eastAsia" w:ascii="宋体" w:hAnsi="宋体" w:eastAsia="宋体" w:cs="Times New Roman"/>
                <w:color w:val="auto"/>
                <w:szCs w:val="21"/>
              </w:rPr>
              <w:t>；</w:t>
            </w:r>
          </w:p>
          <w:p w14:paraId="0B0C05CD">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理解教师专业发展的内涵和内容、途径；熟悉各级各类教师专业标准</w:t>
            </w:r>
            <w:r>
              <w:rPr>
                <w:rFonts w:hint="eastAsia" w:ascii="宋体" w:hAnsi="宋体" w:eastAsia="宋体" w:cs="Times New Roman"/>
                <w:color w:val="auto"/>
                <w:szCs w:val="21"/>
              </w:rPr>
              <w:t>；</w:t>
            </w:r>
          </w:p>
          <w:p w14:paraId="674742A4">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了解班主任的角色、任务与职责</w:t>
            </w:r>
            <w:r>
              <w:rPr>
                <w:rFonts w:hint="eastAsia" w:ascii="宋体" w:hAnsi="宋体" w:eastAsia="宋体" w:cs="Times New Roman"/>
                <w:color w:val="auto"/>
                <w:szCs w:val="21"/>
              </w:rPr>
              <w:t>；</w:t>
            </w:r>
          </w:p>
          <w:p w14:paraId="33D47E1F">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描述学生身心发展的一般规律和时代特点；了解学生的权利与义务；描述理想的师生关系特点及建构策略</w:t>
            </w:r>
            <w:r>
              <w:rPr>
                <w:rFonts w:hint="eastAsia" w:ascii="宋体" w:hAnsi="宋体" w:eastAsia="宋体" w:cs="Times New Roman"/>
                <w:color w:val="auto"/>
                <w:szCs w:val="21"/>
              </w:rPr>
              <w:t>；</w:t>
            </w:r>
          </w:p>
          <w:p w14:paraId="79F73E5B">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w:t>
            </w:r>
            <w:r>
              <w:rPr>
                <w:rFonts w:ascii="宋体" w:hAnsi="宋体" w:eastAsia="宋体" w:cs="Times New Roman"/>
                <w:color w:val="auto"/>
                <w:szCs w:val="21"/>
              </w:rPr>
              <w:t>以马克思关于人的本质和人的发展的观点，阐述理想的学生观</w:t>
            </w:r>
            <w:r>
              <w:rPr>
                <w:rFonts w:hint="eastAsia" w:ascii="宋体" w:hAnsi="宋体" w:eastAsia="宋体" w:cs="Times New Roman"/>
                <w:color w:val="auto"/>
                <w:szCs w:val="21"/>
              </w:rPr>
              <w:t>。</w:t>
            </w:r>
          </w:p>
        </w:tc>
        <w:tc>
          <w:tcPr>
            <w:tcW w:w="1560" w:type="dxa"/>
            <w:vAlign w:val="center"/>
          </w:tcPr>
          <w:p w14:paraId="1D2013C2">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72A2C620">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6997B2DB">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7BB577DC">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4A0D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2E12DD1">
            <w:pPr>
              <w:spacing w:line="264" w:lineRule="auto"/>
              <w:jc w:val="center"/>
              <w:rPr>
                <w:rFonts w:hint="eastAsia" w:ascii="宋体" w:hAnsi="宋体" w:eastAsia="宋体" w:cs="Times New Roman"/>
                <w:color w:val="auto"/>
                <w:szCs w:val="21"/>
              </w:rPr>
            </w:pPr>
          </w:p>
        </w:tc>
        <w:tc>
          <w:tcPr>
            <w:tcW w:w="8093" w:type="dxa"/>
            <w:gridSpan w:val="5"/>
            <w:vAlign w:val="center"/>
          </w:tcPr>
          <w:p w14:paraId="03A773AF">
            <w:pPr>
              <w:spacing w:line="264"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实现知识转化，树立正确的教师观、学生观，并热爱教师职业、热爱学生，培养良好的师生关系。</w:t>
            </w:r>
          </w:p>
        </w:tc>
      </w:tr>
    </w:tbl>
    <w:p w14:paraId="75C08532">
      <w:pPr>
        <w:spacing w:line="360" w:lineRule="auto"/>
        <w:jc w:val="left"/>
        <w:rPr>
          <w:rFonts w:ascii="Times New Roman" w:hAnsi="Times New Roman" w:eastAsia="宋体" w:cs="Times New Roman"/>
          <w:color w:val="auto"/>
          <w:sz w:val="22"/>
          <w:szCs w:val="22"/>
        </w:rPr>
      </w:pPr>
      <w:r>
        <w:rPr>
          <w:rFonts w:hint="eastAsia" w:ascii="宋体" w:hAnsi="宋体" w:eastAsia="宋体" w:cs="Times New Roman"/>
          <w:b/>
          <w:color w:val="auto"/>
          <w:sz w:val="22"/>
          <w:szCs w:val="22"/>
        </w:rPr>
        <w:t>四、目标评价与成绩评定</w:t>
      </w:r>
    </w:p>
    <w:p w14:paraId="75C2BE94">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4B1637DD">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350A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32F9D4C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0" w:type="auto"/>
            <w:gridSpan w:val="6"/>
            <w:vAlign w:val="center"/>
          </w:tcPr>
          <w:p w14:paraId="3564B3E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7355938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1A897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3ACE67A">
            <w:pPr>
              <w:spacing w:line="360" w:lineRule="auto"/>
              <w:jc w:val="center"/>
              <w:rPr>
                <w:rFonts w:hint="eastAsia" w:ascii="宋体" w:hAnsi="宋体" w:eastAsia="宋体" w:cs="Times New Roman"/>
                <w:color w:val="auto"/>
                <w:szCs w:val="21"/>
              </w:rPr>
            </w:pPr>
          </w:p>
        </w:tc>
        <w:tc>
          <w:tcPr>
            <w:tcW w:w="0" w:type="auto"/>
            <w:vAlign w:val="center"/>
          </w:tcPr>
          <w:p w14:paraId="4B12B8C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0" w:type="auto"/>
            <w:vAlign w:val="center"/>
          </w:tcPr>
          <w:p w14:paraId="284777D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0" w:type="auto"/>
            <w:vAlign w:val="center"/>
          </w:tcPr>
          <w:p w14:paraId="58CD733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单元测验</w:t>
            </w:r>
          </w:p>
        </w:tc>
        <w:tc>
          <w:tcPr>
            <w:tcW w:w="0" w:type="auto"/>
            <w:vAlign w:val="center"/>
          </w:tcPr>
          <w:p w14:paraId="5CCA8F8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个人展示</w:t>
            </w:r>
          </w:p>
        </w:tc>
        <w:tc>
          <w:tcPr>
            <w:tcW w:w="0" w:type="auto"/>
            <w:vAlign w:val="center"/>
          </w:tcPr>
          <w:p w14:paraId="61EFFF0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0" w:type="auto"/>
          </w:tcPr>
          <w:p w14:paraId="4F16E3F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自主学习</w:t>
            </w:r>
          </w:p>
        </w:tc>
        <w:tc>
          <w:tcPr>
            <w:tcW w:w="0" w:type="auto"/>
            <w:vMerge w:val="continue"/>
            <w:vAlign w:val="center"/>
          </w:tcPr>
          <w:p w14:paraId="3C3363D3">
            <w:pPr>
              <w:spacing w:line="360" w:lineRule="auto"/>
              <w:jc w:val="center"/>
              <w:rPr>
                <w:rFonts w:hint="eastAsia" w:ascii="宋体" w:hAnsi="宋体" w:eastAsia="宋体" w:cs="Times New Roman"/>
                <w:color w:val="auto"/>
                <w:szCs w:val="21"/>
              </w:rPr>
            </w:pPr>
          </w:p>
        </w:tc>
      </w:tr>
      <w:tr w14:paraId="4F9C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689BAC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0" w:type="auto"/>
            <w:vAlign w:val="center"/>
          </w:tcPr>
          <w:p w14:paraId="0CD056F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FA50B5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9AFBDC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6103A3C">
            <w:pPr>
              <w:spacing w:line="360" w:lineRule="auto"/>
              <w:jc w:val="center"/>
              <w:rPr>
                <w:rFonts w:hint="eastAsia" w:ascii="宋体" w:hAnsi="宋体" w:eastAsia="宋体" w:cs="Times New Roman"/>
                <w:color w:val="auto"/>
                <w:szCs w:val="21"/>
              </w:rPr>
            </w:pPr>
          </w:p>
        </w:tc>
        <w:tc>
          <w:tcPr>
            <w:tcW w:w="0" w:type="auto"/>
            <w:vAlign w:val="center"/>
          </w:tcPr>
          <w:p w14:paraId="0796D97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tcPr>
          <w:p w14:paraId="4120FFD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A02FC7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6755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0B3EA1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0" w:type="auto"/>
            <w:vAlign w:val="center"/>
          </w:tcPr>
          <w:p w14:paraId="5127811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39127CC">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2B0BD64">
            <w:pPr>
              <w:spacing w:line="360" w:lineRule="auto"/>
              <w:jc w:val="center"/>
              <w:rPr>
                <w:rFonts w:hint="eastAsia" w:ascii="宋体" w:hAnsi="宋体" w:eastAsia="宋体" w:cs="Times New Roman"/>
                <w:color w:val="auto"/>
                <w:szCs w:val="21"/>
              </w:rPr>
            </w:pPr>
          </w:p>
        </w:tc>
        <w:tc>
          <w:tcPr>
            <w:tcW w:w="0" w:type="auto"/>
            <w:vAlign w:val="center"/>
          </w:tcPr>
          <w:p w14:paraId="715E579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B53AA9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tcPr>
          <w:p w14:paraId="63C3BE83">
            <w:pPr>
              <w:spacing w:line="360" w:lineRule="auto"/>
              <w:jc w:val="center"/>
              <w:rPr>
                <w:rFonts w:hint="eastAsia" w:ascii="宋体" w:hAnsi="宋体" w:eastAsia="宋体" w:cs="Times New Roman"/>
                <w:color w:val="auto"/>
                <w:szCs w:val="21"/>
              </w:rPr>
            </w:pPr>
          </w:p>
        </w:tc>
        <w:tc>
          <w:tcPr>
            <w:tcW w:w="0" w:type="auto"/>
            <w:vAlign w:val="center"/>
          </w:tcPr>
          <w:p w14:paraId="6770A41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75D1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523E59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0" w:type="auto"/>
            <w:vAlign w:val="center"/>
          </w:tcPr>
          <w:p w14:paraId="0D2CC0A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08E6BF5A">
            <w:pPr>
              <w:spacing w:line="360" w:lineRule="auto"/>
              <w:jc w:val="center"/>
              <w:rPr>
                <w:rFonts w:hint="eastAsia" w:ascii="宋体" w:hAnsi="宋体" w:eastAsia="宋体" w:cs="Times New Roman"/>
                <w:color w:val="auto"/>
                <w:szCs w:val="21"/>
              </w:rPr>
            </w:pPr>
          </w:p>
        </w:tc>
        <w:tc>
          <w:tcPr>
            <w:tcW w:w="0" w:type="auto"/>
            <w:vAlign w:val="center"/>
          </w:tcPr>
          <w:p w14:paraId="17479187">
            <w:pPr>
              <w:spacing w:line="360" w:lineRule="auto"/>
              <w:jc w:val="center"/>
              <w:rPr>
                <w:rFonts w:hint="eastAsia" w:ascii="宋体" w:hAnsi="宋体" w:eastAsia="宋体" w:cs="Times New Roman"/>
                <w:color w:val="auto"/>
                <w:szCs w:val="21"/>
              </w:rPr>
            </w:pPr>
          </w:p>
        </w:tc>
        <w:tc>
          <w:tcPr>
            <w:tcW w:w="0" w:type="auto"/>
            <w:vAlign w:val="center"/>
          </w:tcPr>
          <w:p w14:paraId="2FA69381">
            <w:pPr>
              <w:spacing w:line="360" w:lineRule="auto"/>
              <w:jc w:val="center"/>
              <w:rPr>
                <w:rFonts w:hint="eastAsia" w:ascii="宋体" w:hAnsi="宋体" w:eastAsia="宋体" w:cs="Times New Roman"/>
                <w:color w:val="auto"/>
                <w:szCs w:val="21"/>
              </w:rPr>
            </w:pPr>
          </w:p>
        </w:tc>
        <w:tc>
          <w:tcPr>
            <w:tcW w:w="0" w:type="auto"/>
            <w:vAlign w:val="center"/>
          </w:tcPr>
          <w:p w14:paraId="24757CD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tcPr>
          <w:p w14:paraId="4A429700">
            <w:pPr>
              <w:spacing w:line="360" w:lineRule="auto"/>
              <w:jc w:val="center"/>
              <w:rPr>
                <w:rFonts w:hint="eastAsia" w:ascii="宋体" w:hAnsi="宋体" w:eastAsia="宋体" w:cs="Times New Roman"/>
                <w:color w:val="auto"/>
                <w:szCs w:val="21"/>
              </w:rPr>
            </w:pPr>
          </w:p>
        </w:tc>
        <w:tc>
          <w:tcPr>
            <w:tcW w:w="0" w:type="auto"/>
            <w:vAlign w:val="center"/>
          </w:tcPr>
          <w:p w14:paraId="77A7A78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3B185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B77A42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0" w:type="auto"/>
            <w:vAlign w:val="center"/>
          </w:tcPr>
          <w:p w14:paraId="07E0F7C9">
            <w:pPr>
              <w:spacing w:line="360" w:lineRule="auto"/>
              <w:jc w:val="center"/>
              <w:rPr>
                <w:rFonts w:hint="eastAsia" w:ascii="宋体" w:hAnsi="宋体" w:eastAsia="宋体" w:cs="Times New Roman"/>
                <w:color w:val="auto"/>
                <w:szCs w:val="21"/>
              </w:rPr>
            </w:pPr>
          </w:p>
        </w:tc>
        <w:tc>
          <w:tcPr>
            <w:tcW w:w="0" w:type="auto"/>
            <w:vAlign w:val="center"/>
          </w:tcPr>
          <w:p w14:paraId="5C8E936A">
            <w:pPr>
              <w:spacing w:line="360" w:lineRule="auto"/>
              <w:jc w:val="center"/>
              <w:rPr>
                <w:rFonts w:hint="eastAsia" w:ascii="宋体" w:hAnsi="宋体" w:eastAsia="宋体" w:cs="Times New Roman"/>
                <w:color w:val="auto"/>
                <w:szCs w:val="21"/>
              </w:rPr>
            </w:pPr>
          </w:p>
        </w:tc>
        <w:tc>
          <w:tcPr>
            <w:tcW w:w="0" w:type="auto"/>
            <w:vAlign w:val="center"/>
          </w:tcPr>
          <w:p w14:paraId="64BA2897">
            <w:pPr>
              <w:spacing w:line="360" w:lineRule="auto"/>
              <w:jc w:val="center"/>
              <w:rPr>
                <w:rFonts w:hint="eastAsia" w:ascii="宋体" w:hAnsi="宋体" w:eastAsia="宋体" w:cs="Times New Roman"/>
                <w:color w:val="auto"/>
                <w:szCs w:val="21"/>
              </w:rPr>
            </w:pPr>
          </w:p>
        </w:tc>
        <w:tc>
          <w:tcPr>
            <w:tcW w:w="0" w:type="auto"/>
            <w:vAlign w:val="center"/>
          </w:tcPr>
          <w:p w14:paraId="54B415F3">
            <w:pPr>
              <w:spacing w:line="360" w:lineRule="auto"/>
              <w:jc w:val="center"/>
              <w:rPr>
                <w:rFonts w:hint="eastAsia" w:ascii="宋体" w:hAnsi="宋体" w:eastAsia="宋体" w:cs="Times New Roman"/>
                <w:color w:val="auto"/>
                <w:szCs w:val="21"/>
              </w:rPr>
            </w:pPr>
          </w:p>
        </w:tc>
        <w:tc>
          <w:tcPr>
            <w:tcW w:w="0" w:type="auto"/>
            <w:vAlign w:val="center"/>
          </w:tcPr>
          <w:p w14:paraId="1BBAF71A">
            <w:pPr>
              <w:spacing w:line="360" w:lineRule="auto"/>
              <w:jc w:val="center"/>
              <w:rPr>
                <w:rFonts w:hint="eastAsia" w:ascii="宋体" w:hAnsi="宋体" w:eastAsia="宋体" w:cs="Times New Roman"/>
                <w:color w:val="auto"/>
                <w:szCs w:val="21"/>
              </w:rPr>
            </w:pPr>
          </w:p>
        </w:tc>
        <w:tc>
          <w:tcPr>
            <w:tcW w:w="0" w:type="auto"/>
          </w:tcPr>
          <w:p w14:paraId="6EA66288">
            <w:pPr>
              <w:spacing w:line="360" w:lineRule="auto"/>
              <w:jc w:val="center"/>
              <w:rPr>
                <w:rFonts w:hint="eastAsia" w:ascii="宋体" w:hAnsi="宋体" w:eastAsia="宋体" w:cs="Times New Roman"/>
                <w:color w:val="auto"/>
                <w:szCs w:val="21"/>
              </w:rPr>
            </w:pPr>
          </w:p>
        </w:tc>
        <w:tc>
          <w:tcPr>
            <w:tcW w:w="0" w:type="auto"/>
            <w:vAlign w:val="center"/>
          </w:tcPr>
          <w:p w14:paraId="001EDD3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2FA5369F">
      <w:pPr>
        <w:spacing w:before="156" w:beforeLines="50"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702D4B99">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7E14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41B9AF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7213C55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7B86D13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2493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9F318F7">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7141" w:type="dxa"/>
            <w:vAlign w:val="center"/>
          </w:tcPr>
          <w:p w14:paraId="7E11B6AF">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0" w:type="auto"/>
            <w:vAlign w:val="center"/>
          </w:tcPr>
          <w:p w14:paraId="089A5AA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2615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8C0FAD6">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7141" w:type="dxa"/>
            <w:vAlign w:val="center"/>
          </w:tcPr>
          <w:p w14:paraId="2E63BC16">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一是课题考勤情况</w:t>
            </w:r>
            <w:r>
              <w:rPr>
                <w:rFonts w:ascii="宋体" w:hAnsi="宋体" w:eastAsia="宋体" w:cs="宋体"/>
                <w:color w:val="auto"/>
                <w:kern w:val="0"/>
                <w:szCs w:val="21"/>
                <w:lang w:bidi="ar"/>
              </w:rPr>
              <w:t>。</w:t>
            </w:r>
            <w:r>
              <w:rPr>
                <w:rFonts w:hint="eastAsia" w:ascii="Times New Roman" w:hAnsi="Times New Roman" w:eastAsia="宋体" w:cs="Times New Roman"/>
                <w:color w:val="auto"/>
                <w:szCs w:val="21"/>
              </w:rPr>
              <w:t>迟到一次扣2分，无故缺席一次扣5分，累计达</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次以上（不含</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次）取消课程成绩。</w:t>
            </w:r>
          </w:p>
          <w:p w14:paraId="43335163">
            <w:pPr>
              <w:widowControl/>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二是</w:t>
            </w:r>
            <w:r>
              <w:rPr>
                <w:rFonts w:ascii="宋体" w:hAnsi="宋体" w:eastAsia="宋体" w:cs="宋体"/>
                <w:color w:val="auto"/>
                <w:kern w:val="0"/>
                <w:szCs w:val="21"/>
                <w:lang w:bidi="ar"/>
              </w:rPr>
              <w:t>课堂参与</w:t>
            </w:r>
            <w:r>
              <w:rPr>
                <w:rFonts w:hint="eastAsia" w:ascii="宋体" w:hAnsi="宋体" w:eastAsia="宋体" w:cs="宋体"/>
                <w:color w:val="auto"/>
                <w:kern w:val="0"/>
                <w:szCs w:val="21"/>
                <w:lang w:bidi="ar"/>
              </w:rPr>
              <w:t>情况。</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表现良好，按照对应的课程目标及权重给予评定</w:t>
            </w:r>
            <w:r>
              <w:rPr>
                <w:rFonts w:hint="eastAsia" w:ascii="宋体" w:hAnsi="宋体" w:eastAsia="宋体" w:cs="宋体"/>
                <w:color w:val="auto"/>
                <w:kern w:val="0"/>
                <w:szCs w:val="21"/>
                <w:lang w:bidi="ar"/>
              </w:rPr>
              <w:t>。</w:t>
            </w:r>
          </w:p>
        </w:tc>
        <w:tc>
          <w:tcPr>
            <w:tcW w:w="0" w:type="auto"/>
            <w:vAlign w:val="center"/>
          </w:tcPr>
          <w:p w14:paraId="22C6220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39E6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19834F7">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单元测验</w:t>
            </w:r>
          </w:p>
        </w:tc>
        <w:tc>
          <w:tcPr>
            <w:tcW w:w="7141" w:type="dxa"/>
            <w:vAlign w:val="center"/>
          </w:tcPr>
          <w:p w14:paraId="1734A9D2">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每单元在线上进行测验，主要考查基础知识和基本理论的掌握，以题目的正确率为得分依据。</w:t>
            </w:r>
          </w:p>
        </w:tc>
        <w:tc>
          <w:tcPr>
            <w:tcW w:w="0" w:type="auto"/>
            <w:vAlign w:val="center"/>
          </w:tcPr>
          <w:p w14:paraId="5A6398B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4D68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F45C32D">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个人展示</w:t>
            </w:r>
          </w:p>
        </w:tc>
        <w:tc>
          <w:tcPr>
            <w:tcW w:w="7141" w:type="dxa"/>
            <w:vAlign w:val="center"/>
          </w:tcPr>
          <w:p w14:paraId="425D64EC">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课前5分钟左右，每位同学评说教育时事、教育事件或教育现象等，以学生表达的流程性、逻辑性和分析的深度为评分的主要依据。</w:t>
            </w:r>
          </w:p>
        </w:tc>
        <w:tc>
          <w:tcPr>
            <w:tcW w:w="0" w:type="auto"/>
            <w:vAlign w:val="center"/>
          </w:tcPr>
          <w:p w14:paraId="13F587D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371F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196FBC2">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自主学习</w:t>
            </w:r>
          </w:p>
        </w:tc>
        <w:tc>
          <w:tcPr>
            <w:tcW w:w="7141" w:type="dxa"/>
            <w:vAlign w:val="center"/>
          </w:tcPr>
          <w:p w14:paraId="58452355">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6F69564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1F85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D8691E1">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7141" w:type="dxa"/>
            <w:vAlign w:val="center"/>
          </w:tcPr>
          <w:p w14:paraId="6E97374F">
            <w:pPr>
              <w:spacing w:line="264"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t>试卷题型包括</w:t>
            </w:r>
            <w:r>
              <w:rPr>
                <w:rFonts w:hint="eastAsia" w:ascii="Times New Roman" w:hAnsi="Times New Roman" w:eastAsia="宋体" w:cs="Times New Roman"/>
                <w:color w:val="auto"/>
                <w:szCs w:val="21"/>
              </w:rPr>
              <w:t>选择题</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辨析</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简答题、论述题</w:t>
            </w:r>
            <w:r>
              <w:rPr>
                <w:rFonts w:ascii="Times New Roman" w:hAnsi="Times New Roman" w:eastAsia="宋体" w:cs="Times New Roman"/>
                <w:color w:val="auto"/>
                <w:szCs w:val="21"/>
              </w:rPr>
              <w:t>等，以卷面成绩的50%计入课程总成绩。其中考核</w:t>
            </w:r>
            <w:r>
              <w:rPr>
                <w:rFonts w:hint="eastAsia" w:ascii="Times New Roman" w:hAnsi="Times New Roman" w:eastAsia="宋体" w:cs="Times New Roman"/>
                <w:color w:val="auto"/>
                <w:szCs w:val="21"/>
              </w:rPr>
              <w:t>教育基本理论和知识型题目占3</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%；考核学生运用基本理论知识进行分析能力的题型占</w:t>
            </w:r>
            <w:r>
              <w:rPr>
                <w:rFonts w:ascii="Times New Roman" w:hAnsi="Times New Roman" w:eastAsia="宋体" w:cs="Times New Roman"/>
                <w:color w:val="auto"/>
                <w:szCs w:val="21"/>
              </w:rPr>
              <w:t>30</w:t>
            </w:r>
            <w:r>
              <w:rPr>
                <w:rFonts w:hint="eastAsia" w:ascii="Times New Roman" w:hAnsi="Times New Roman" w:eastAsia="宋体" w:cs="Times New Roman"/>
                <w:color w:val="auto"/>
                <w:szCs w:val="21"/>
              </w:rPr>
              <w:t>%；考核学生运用学与教的基本理论和知识进行教学设计的题型占</w:t>
            </w:r>
            <w:r>
              <w:rPr>
                <w:rFonts w:ascii="Times New Roman" w:hAnsi="Times New Roman" w:eastAsia="宋体" w:cs="Times New Roman"/>
                <w:color w:val="auto"/>
                <w:szCs w:val="21"/>
              </w:rPr>
              <w:t>30</w:t>
            </w:r>
            <w:r>
              <w:rPr>
                <w:rFonts w:hint="eastAsia" w:ascii="Times New Roman" w:hAnsi="Times New Roman" w:eastAsia="宋体" w:cs="Times New Roman"/>
                <w:color w:val="auto"/>
                <w:szCs w:val="21"/>
              </w:rPr>
              <w:t>%；考核学生初步研究能力的题型占1</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w:t>
            </w:r>
          </w:p>
        </w:tc>
        <w:tc>
          <w:tcPr>
            <w:tcW w:w="0" w:type="auto"/>
            <w:vAlign w:val="center"/>
          </w:tcPr>
          <w:p w14:paraId="3A31B1F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321B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C1990B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2BD0C0A0">
            <w:pPr>
              <w:jc w:val="left"/>
              <w:rPr>
                <w:rFonts w:ascii="Times New Roman" w:hAnsi="Times New Roman" w:eastAsia="宋体" w:cs="Times New Roman"/>
                <w:color w:val="auto"/>
                <w:szCs w:val="21"/>
              </w:rPr>
            </w:pPr>
          </w:p>
        </w:tc>
        <w:tc>
          <w:tcPr>
            <w:tcW w:w="0" w:type="auto"/>
            <w:vAlign w:val="center"/>
          </w:tcPr>
          <w:p w14:paraId="027A8A6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5C6422CE">
      <w:pPr>
        <w:spacing w:line="360" w:lineRule="auto"/>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0898147A">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01B1DD16">
      <w:pPr>
        <w:spacing w:before="156" w:beforeLines="50" w:line="360" w:lineRule="auto"/>
        <w:ind w:firstLine="420" w:firstLineChars="200"/>
        <w:jc w:val="left"/>
        <w:rPr>
          <w:rFonts w:ascii="Times New Roman" w:hAnsi="Times New Roman" w:eastAsia="宋体" w:cs="Times New Roman"/>
          <w:b/>
          <w:color w:val="auto"/>
          <w:sz w:val="22"/>
          <w:szCs w:val="22"/>
        </w:rPr>
      </w:pPr>
      <w:r>
        <w:rPr>
          <w:rFonts w:ascii="宋体" w:hAnsi="宋体" w:eastAsia="宋体" w:cs="Times New Roman"/>
          <w:color w:val="auto"/>
          <w:szCs w:val="21"/>
        </w:rPr>
        <w:object>
          <v:shape id="_x0000_i1038"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38" DrawAspect="Content" ObjectID="_1468075737" r:id="rId24">
            <o:LockedField>false</o:LockedField>
          </o:OLEObject>
        </w:object>
      </w:r>
      <w:r>
        <w:rPr>
          <w:rFonts w:hint="eastAsia" w:ascii="宋体" w:hAnsi="宋体" w:eastAsia="宋体" w:cs="Times New Roman"/>
          <w:b/>
          <w:color w:val="auto"/>
          <w:sz w:val="22"/>
          <w:szCs w:val="22"/>
        </w:rPr>
        <w:t>五、</w:t>
      </w:r>
      <w:r>
        <w:rPr>
          <w:rFonts w:hint="eastAsia" w:ascii="Times New Roman" w:hAnsi="Times New Roman" w:eastAsia="宋体" w:cs="Times New Roman"/>
          <w:b/>
          <w:color w:val="auto"/>
          <w:sz w:val="22"/>
          <w:szCs w:val="22"/>
        </w:rPr>
        <w:t>课程实践</w:t>
      </w:r>
      <w:r>
        <w:rPr>
          <w:rFonts w:hint="eastAsia" w:ascii="Times New Roman" w:hAnsi="Times New Roman" w:eastAsia="宋体" w:cs="Times New Roman"/>
          <w:bCs/>
          <w:color w:val="auto"/>
          <w:sz w:val="22"/>
          <w:szCs w:val="22"/>
        </w:rPr>
        <w:t>（利用第二课堂，不占总学时）</w:t>
      </w:r>
    </w:p>
    <w:p w14:paraId="1F7B45D9">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本课程在系统教学的基础上，以学生为主题，整合各类教育资源，科学设计实践活动，丰富教育教学形式，提升教育教学效果，从而实现思政育人。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4F22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808A7EC">
            <w:pPr>
              <w:spacing w:line="24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3407" w:type="dxa"/>
            <w:vAlign w:val="center"/>
          </w:tcPr>
          <w:p w14:paraId="2F1EE725">
            <w:pPr>
              <w:spacing w:line="24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740" w:type="dxa"/>
            <w:vAlign w:val="center"/>
          </w:tcPr>
          <w:p w14:paraId="4F964B2F">
            <w:pPr>
              <w:spacing w:line="24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3160" w:type="dxa"/>
            <w:vAlign w:val="center"/>
          </w:tcPr>
          <w:p w14:paraId="53CF349F">
            <w:pPr>
              <w:spacing w:line="24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思政目标</w:t>
            </w:r>
          </w:p>
        </w:tc>
      </w:tr>
      <w:tr w14:paraId="6E27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E5E3AAD">
            <w:pPr>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教育家</w:t>
            </w:r>
          </w:p>
          <w:p w14:paraId="7DE7BF37">
            <w:pPr>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精神</w:t>
            </w:r>
          </w:p>
        </w:tc>
        <w:tc>
          <w:tcPr>
            <w:tcW w:w="3407" w:type="dxa"/>
            <w:vAlign w:val="center"/>
          </w:tcPr>
          <w:p w14:paraId="3E9F9C63">
            <w:pPr>
              <w:spacing w:line="240" w:lineRule="auto"/>
              <w:jc w:val="left"/>
              <w:rPr>
                <w:rFonts w:hint="eastAsia" w:ascii="宋体" w:hAnsi="宋体" w:eastAsia="宋体" w:cs="宋体"/>
                <w:color w:val="auto"/>
                <w:szCs w:val="21"/>
              </w:rPr>
            </w:pPr>
            <w:r>
              <w:rPr>
                <w:rFonts w:hint="eastAsia" w:ascii="宋体" w:hAnsi="宋体" w:eastAsia="宋体" w:cs="宋体"/>
                <w:color w:val="auto"/>
                <w:szCs w:val="21"/>
              </w:rPr>
              <w:t>通过阅读相关书籍或讲述中国教育家的故事，进行课堂主题讨论，让学生领会教育家精神</w:t>
            </w:r>
          </w:p>
        </w:tc>
        <w:tc>
          <w:tcPr>
            <w:tcW w:w="740" w:type="dxa"/>
            <w:vAlign w:val="center"/>
          </w:tcPr>
          <w:p w14:paraId="0C3F621A">
            <w:pPr>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读书笔记</w:t>
            </w:r>
          </w:p>
        </w:tc>
        <w:tc>
          <w:tcPr>
            <w:tcW w:w="3160" w:type="dxa"/>
            <w:vAlign w:val="center"/>
          </w:tcPr>
          <w:p w14:paraId="76A334A4">
            <w:pPr>
              <w:spacing w:line="240" w:lineRule="auto"/>
              <w:jc w:val="left"/>
              <w:rPr>
                <w:rFonts w:hint="eastAsia" w:ascii="宋体" w:hAnsi="宋体" w:eastAsia="宋体" w:cs="宋体"/>
                <w:color w:val="auto"/>
                <w:szCs w:val="21"/>
              </w:rPr>
            </w:pPr>
            <w:r>
              <w:rPr>
                <w:rFonts w:hint="eastAsia" w:ascii="宋体" w:hAnsi="宋体" w:eastAsia="宋体" w:cs="宋体"/>
                <w:color w:val="auto"/>
                <w:szCs w:val="21"/>
              </w:rPr>
              <w:t>通过对教育家精神的领会，使学立志成为有理想信念、有道德情操、有扎实学识、有仁爱之心的“四有”好老师。</w:t>
            </w:r>
          </w:p>
        </w:tc>
      </w:tr>
      <w:tr w14:paraId="66D2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AF747BA">
            <w:pPr>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最美教师或师德模范进课堂</w:t>
            </w:r>
          </w:p>
        </w:tc>
        <w:tc>
          <w:tcPr>
            <w:tcW w:w="3407" w:type="dxa"/>
            <w:vAlign w:val="center"/>
          </w:tcPr>
          <w:p w14:paraId="7B87AED1">
            <w:pPr>
              <w:spacing w:line="240" w:lineRule="auto"/>
              <w:jc w:val="left"/>
              <w:rPr>
                <w:rFonts w:hint="eastAsia" w:ascii="宋体" w:hAnsi="宋体" w:eastAsia="宋体" w:cs="宋体"/>
                <w:color w:val="auto"/>
                <w:szCs w:val="21"/>
              </w:rPr>
            </w:pPr>
            <w:r>
              <w:rPr>
                <w:rFonts w:hint="eastAsia" w:ascii="宋体" w:hAnsi="宋体" w:eastAsia="宋体" w:cs="宋体"/>
                <w:color w:val="auto"/>
                <w:szCs w:val="21"/>
              </w:rPr>
              <w:t>邀请当地获得最美教师、师德模范等荣誉称号的教师做报告，让学生进一步认识基础一线优秀教师的优秀事迹并向他们学习。</w:t>
            </w:r>
          </w:p>
        </w:tc>
        <w:tc>
          <w:tcPr>
            <w:tcW w:w="740" w:type="dxa"/>
            <w:vAlign w:val="center"/>
          </w:tcPr>
          <w:p w14:paraId="1F4A78B2">
            <w:pPr>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专题报告</w:t>
            </w:r>
          </w:p>
        </w:tc>
        <w:tc>
          <w:tcPr>
            <w:tcW w:w="3160" w:type="dxa"/>
            <w:vAlign w:val="center"/>
          </w:tcPr>
          <w:p w14:paraId="07050661">
            <w:pPr>
              <w:spacing w:line="240" w:lineRule="auto"/>
              <w:jc w:val="left"/>
              <w:rPr>
                <w:rFonts w:hint="eastAsia" w:ascii="宋体" w:hAnsi="宋体" w:eastAsia="宋体" w:cs="宋体"/>
                <w:color w:val="auto"/>
                <w:szCs w:val="21"/>
              </w:rPr>
            </w:pPr>
            <w:r>
              <w:rPr>
                <w:rFonts w:hint="eastAsia" w:ascii="宋体" w:hAnsi="宋体" w:eastAsia="宋体" w:cs="宋体"/>
                <w:color w:val="auto"/>
                <w:szCs w:val="21"/>
              </w:rPr>
              <w:t>用榜样的力量激发学生爱岗敬业、立志成为卓越教师，为党和国家的发展做出贡献。</w:t>
            </w:r>
          </w:p>
        </w:tc>
      </w:tr>
      <w:tr w14:paraId="5907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37670BDF">
            <w:pPr>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寻找最感动我的</w:t>
            </w:r>
          </w:p>
          <w:p w14:paraId="330C8C5E">
            <w:pPr>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教师</w:t>
            </w:r>
          </w:p>
        </w:tc>
        <w:tc>
          <w:tcPr>
            <w:tcW w:w="3407" w:type="dxa"/>
            <w:vAlign w:val="center"/>
          </w:tcPr>
          <w:p w14:paraId="0371BAD5">
            <w:pPr>
              <w:spacing w:line="240" w:lineRule="auto"/>
              <w:jc w:val="left"/>
              <w:rPr>
                <w:rFonts w:hint="eastAsia" w:ascii="宋体" w:hAnsi="宋体" w:eastAsia="宋体" w:cs="宋体"/>
                <w:color w:val="auto"/>
                <w:szCs w:val="21"/>
              </w:rPr>
            </w:pPr>
            <w:r>
              <w:rPr>
                <w:rFonts w:hint="eastAsia" w:ascii="宋体" w:hAnsi="宋体" w:eastAsia="宋体" w:cs="宋体"/>
                <w:color w:val="auto"/>
                <w:szCs w:val="21"/>
              </w:rPr>
              <w:t>利用假期，让学生访谈自己求学生涯中最感动自己的教师，在调查中加强对教育和教师的认识。</w:t>
            </w:r>
          </w:p>
        </w:tc>
        <w:tc>
          <w:tcPr>
            <w:tcW w:w="740" w:type="dxa"/>
            <w:vAlign w:val="center"/>
          </w:tcPr>
          <w:p w14:paraId="3D193833">
            <w:pPr>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课程实践作业</w:t>
            </w:r>
          </w:p>
        </w:tc>
        <w:tc>
          <w:tcPr>
            <w:tcW w:w="3160" w:type="dxa"/>
            <w:vAlign w:val="center"/>
          </w:tcPr>
          <w:p w14:paraId="0B8DC68F">
            <w:pPr>
              <w:spacing w:line="240" w:lineRule="auto"/>
              <w:jc w:val="left"/>
              <w:rPr>
                <w:rFonts w:hint="eastAsia" w:ascii="宋体" w:hAnsi="宋体" w:eastAsia="宋体" w:cs="宋体"/>
                <w:color w:val="auto"/>
                <w:szCs w:val="21"/>
              </w:rPr>
            </w:pPr>
            <w:r>
              <w:rPr>
                <w:rFonts w:hint="eastAsia" w:ascii="宋体" w:hAnsi="宋体" w:eastAsia="宋体" w:cs="宋体"/>
                <w:color w:val="auto"/>
                <w:szCs w:val="21"/>
              </w:rPr>
              <w:t>提高学生对教师职业特性的认识，增强学生从教意愿、责任感、使命感和职业荣耀感， 愿意为党和国家的教育事业奉献终身。</w:t>
            </w:r>
          </w:p>
        </w:tc>
      </w:tr>
      <w:tr w14:paraId="614C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18B2F0E5">
            <w:pPr>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师范生</w:t>
            </w:r>
          </w:p>
          <w:p w14:paraId="018DFBC1">
            <w:pPr>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从教宣誓</w:t>
            </w:r>
          </w:p>
        </w:tc>
        <w:tc>
          <w:tcPr>
            <w:tcW w:w="3407" w:type="dxa"/>
            <w:vAlign w:val="center"/>
          </w:tcPr>
          <w:p w14:paraId="3EFFC0A7">
            <w:pPr>
              <w:spacing w:line="240" w:lineRule="auto"/>
              <w:jc w:val="left"/>
              <w:rPr>
                <w:rFonts w:hint="eastAsia" w:ascii="宋体" w:hAnsi="宋体" w:eastAsia="宋体" w:cs="宋体"/>
                <w:color w:val="auto"/>
                <w:szCs w:val="21"/>
              </w:rPr>
            </w:pPr>
            <w:r>
              <w:rPr>
                <w:rFonts w:hint="eastAsia" w:ascii="宋体" w:hAnsi="宋体" w:eastAsia="宋体" w:cs="宋体"/>
                <w:color w:val="auto"/>
                <w:szCs w:val="21"/>
              </w:rPr>
              <w:t>学期末，结合课程中的所思、所感、和所得 ，以活动展示的新式进行从教宣誓活动。</w:t>
            </w:r>
          </w:p>
        </w:tc>
        <w:tc>
          <w:tcPr>
            <w:tcW w:w="740" w:type="dxa"/>
            <w:vAlign w:val="center"/>
          </w:tcPr>
          <w:p w14:paraId="748EA095">
            <w:pPr>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第二课堂</w:t>
            </w:r>
          </w:p>
        </w:tc>
        <w:tc>
          <w:tcPr>
            <w:tcW w:w="3160" w:type="dxa"/>
            <w:vAlign w:val="center"/>
          </w:tcPr>
          <w:p w14:paraId="1EB3583C">
            <w:pPr>
              <w:spacing w:line="240" w:lineRule="auto"/>
              <w:jc w:val="left"/>
              <w:rPr>
                <w:rFonts w:hint="eastAsia" w:ascii="宋体" w:hAnsi="宋体" w:eastAsia="宋体" w:cs="宋体"/>
                <w:color w:val="auto"/>
                <w:szCs w:val="21"/>
              </w:rPr>
            </w:pPr>
            <w:r>
              <w:rPr>
                <w:rFonts w:hint="eastAsia" w:ascii="宋体" w:hAnsi="宋体" w:eastAsia="宋体" w:cs="宋体"/>
                <w:color w:val="auto"/>
                <w:szCs w:val="21"/>
              </w:rPr>
              <w:t>用庄严的意识，增强学生从教的意愿，以及成为人民教师的荣耀感、责任感和使命感。</w:t>
            </w:r>
          </w:p>
        </w:tc>
      </w:tr>
    </w:tbl>
    <w:p w14:paraId="2BD66D39">
      <w:pPr>
        <w:spacing w:line="360" w:lineRule="auto"/>
        <w:jc w:val="left"/>
        <w:rPr>
          <w:rFonts w:ascii="Times New Roman" w:hAnsi="Times New Roman" w:eastAsia="宋体" w:cs="Times New Roman"/>
          <w:b/>
          <w:bCs/>
          <w:color w:val="auto"/>
          <w:sz w:val="22"/>
          <w:szCs w:val="22"/>
        </w:rPr>
      </w:pPr>
      <w:r>
        <w:rPr>
          <w:rFonts w:hint="eastAsia" w:ascii="宋体" w:hAnsi="宋体" w:eastAsia="宋体" w:cs="Times New Roman"/>
          <w:b/>
          <w:color w:val="auto"/>
          <w:sz w:val="22"/>
          <w:szCs w:val="22"/>
        </w:rPr>
        <w:t>六、有关说明</w:t>
      </w:r>
    </w:p>
    <w:p w14:paraId="5C28FFB8">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2BE711C8">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根据学生课堂教学中的反应、课后反馈、作业质量、答卷情况，以及领导、督导、教师同行等的听课情况，及时发现和改进教学中的不足之处，确保相应毕业要求指标点达成。</w:t>
      </w:r>
    </w:p>
    <w:p w14:paraId="1318A538">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338707B2">
      <w:pPr>
        <w:spacing w:line="336"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《教育学原理》编写组.</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rPr>
        <w:t>教育学原理，高等教育出版社，2</w:t>
      </w:r>
      <w:r>
        <w:rPr>
          <w:rFonts w:ascii="Times New Roman" w:hAnsi="Times New Roman" w:eastAsia="宋体" w:cs="Times New Roman"/>
          <w:bCs/>
          <w:color w:val="auto"/>
          <w:szCs w:val="21"/>
        </w:rPr>
        <w:t>019</w:t>
      </w:r>
      <w:r>
        <w:rPr>
          <w:rFonts w:hint="eastAsia" w:ascii="Times New Roman" w:hAnsi="Times New Roman" w:eastAsia="宋体" w:cs="Times New Roman"/>
          <w:bCs/>
          <w:color w:val="auto"/>
          <w:szCs w:val="21"/>
        </w:rPr>
        <w:t>.（马克思主义理论研究和建设工程重点教材）</w:t>
      </w:r>
    </w:p>
    <w:p w14:paraId="5E3F13E6">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34EB4F66">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1.郝文武</w:t>
      </w:r>
      <w:r>
        <w:rPr>
          <w:rFonts w:ascii="Times New Roman" w:hAnsi="Times New Roman" w:eastAsia="宋体" w:cs="Times New Roman"/>
          <w:bCs/>
          <w:color w:val="auto"/>
          <w:szCs w:val="21"/>
        </w:rPr>
        <w:t>. 教育学原理. 北京：北京师范大学出版社，2012.</w:t>
      </w:r>
    </w:p>
    <w:p w14:paraId="4251C4A9">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2.孙喜亭</w:t>
      </w:r>
      <w:r>
        <w:rPr>
          <w:rFonts w:ascii="Times New Roman" w:hAnsi="Times New Roman" w:eastAsia="宋体" w:cs="Times New Roman"/>
          <w:bCs/>
          <w:color w:val="auto"/>
          <w:szCs w:val="21"/>
        </w:rPr>
        <w:t>. 教育原理（修订版）. 北京：北京师范大学出版社，2003.</w:t>
      </w:r>
    </w:p>
    <w:p w14:paraId="55F2619B">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3.王道俊、王汉澜</w:t>
      </w:r>
      <w:r>
        <w:rPr>
          <w:rFonts w:ascii="Times New Roman" w:hAnsi="Times New Roman" w:eastAsia="宋体" w:cs="Times New Roman"/>
          <w:bCs/>
          <w:color w:val="auto"/>
          <w:szCs w:val="21"/>
        </w:rPr>
        <w:t>. 教育学. 北京：人民教育出版社，1989.</w:t>
      </w:r>
    </w:p>
    <w:p w14:paraId="4E976BD2">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4.黄济、王策三</w:t>
      </w:r>
      <w:r>
        <w:rPr>
          <w:rFonts w:ascii="Times New Roman" w:hAnsi="Times New Roman" w:eastAsia="宋体" w:cs="Times New Roman"/>
          <w:bCs/>
          <w:color w:val="auto"/>
          <w:szCs w:val="21"/>
        </w:rPr>
        <w:t>. 现代教育论. 北京人民教育出版社，2004.</w:t>
      </w:r>
    </w:p>
    <w:p w14:paraId="22104270">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5.陈桂生</w:t>
      </w:r>
      <w:r>
        <w:rPr>
          <w:rFonts w:ascii="Times New Roman" w:hAnsi="Times New Roman" w:eastAsia="宋体" w:cs="Times New Roman"/>
          <w:bCs/>
          <w:color w:val="auto"/>
          <w:szCs w:val="21"/>
        </w:rPr>
        <w:t>. 教育原理. 上海：华东师范大学出版社，2000.</w:t>
      </w:r>
    </w:p>
    <w:p w14:paraId="64D192C9">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6.贾馥茗，教育的本质：什么是真正的教育</w:t>
      </w:r>
      <w:r>
        <w:rPr>
          <w:rFonts w:ascii="Times New Roman" w:hAnsi="Times New Roman" w:eastAsia="宋体" w:cs="Times New Roman"/>
          <w:bCs/>
          <w:color w:val="auto"/>
          <w:szCs w:val="21"/>
        </w:rPr>
        <w:t>. 北京：世界图书出版公司北京公司，2006.</w:t>
      </w:r>
    </w:p>
    <w:p w14:paraId="56F90987">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7.叶澜</w:t>
      </w:r>
      <w:r>
        <w:rPr>
          <w:rFonts w:ascii="Times New Roman" w:hAnsi="Times New Roman" w:eastAsia="宋体" w:cs="Times New Roman"/>
          <w:bCs/>
          <w:color w:val="auto"/>
          <w:szCs w:val="21"/>
        </w:rPr>
        <w:t>. 教育概论. 北京：人民教育出版社，2006.</w:t>
      </w:r>
    </w:p>
    <w:p w14:paraId="2AEF5816">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8.约翰•杜威</w:t>
      </w:r>
      <w:r>
        <w:rPr>
          <w:rFonts w:ascii="Times New Roman" w:hAnsi="Times New Roman" w:eastAsia="宋体" w:cs="Times New Roman"/>
          <w:bCs/>
          <w:color w:val="auto"/>
          <w:szCs w:val="21"/>
        </w:rPr>
        <w:t>. 民主主义与教育. 北京：人民教育出版社，2003.</w:t>
      </w:r>
    </w:p>
    <w:p w14:paraId="16B26B9D">
      <w:pPr>
        <w:spacing w:line="360" w:lineRule="auto"/>
        <w:ind w:right="1440"/>
        <w:jc w:val="right"/>
        <w:rPr>
          <w:rFonts w:ascii="Times New Roman" w:hAnsi="Times New Roman" w:eastAsia="宋体" w:cs="Times New Roman"/>
          <w:color w:val="auto"/>
          <w:szCs w:val="21"/>
        </w:rPr>
      </w:pPr>
      <w:r>
        <w:rPr>
          <w:rFonts w:hint="eastAsia" w:ascii="Times New Roman" w:hAnsi="Times New Roman" w:eastAsia="宋体" w:cs="Times New Roman"/>
          <w:color w:val="auto"/>
          <w:szCs w:val="21"/>
        </w:rPr>
        <w:t>执 笔 人： 张志欣</w:t>
      </w:r>
    </w:p>
    <w:p w14:paraId="55D714CA">
      <w:pPr>
        <w:wordWrap w:val="0"/>
        <w:spacing w:line="360" w:lineRule="auto"/>
        <w:ind w:right="1680"/>
        <w:jc w:val="right"/>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定 人： 王健</w:t>
      </w:r>
    </w:p>
    <w:p w14:paraId="37457069">
      <w:pPr>
        <w:spacing w:line="360" w:lineRule="auto"/>
        <w:ind w:right="1440"/>
        <w:jc w:val="right"/>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批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张志欣</w:t>
      </w:r>
    </w:p>
    <w:p w14:paraId="7DF63C9D">
      <w:pPr>
        <w:spacing w:line="360" w:lineRule="auto"/>
        <w:ind w:right="24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lang w:eastAsia="zh-CN"/>
        </w:rPr>
        <w:t>批准时间：2025年7月1日</w:t>
      </w:r>
    </w:p>
    <w:p w14:paraId="6A805662">
      <w:pPr>
        <w:rPr>
          <w:rFonts w:hint="eastAsia" w:ascii="等线" w:hAnsi="等线" w:eastAsia="等线" w:cs="等线"/>
          <w:b/>
          <w:bCs/>
          <w:color w:val="auto"/>
          <w:sz w:val="36"/>
          <w:szCs w:val="36"/>
        </w:rPr>
      </w:pPr>
      <w:r>
        <w:rPr>
          <w:rFonts w:hint="eastAsia" w:ascii="等线" w:hAnsi="等线" w:eastAsia="等线" w:cs="等线"/>
          <w:b/>
          <w:bCs/>
          <w:color w:val="auto"/>
          <w:sz w:val="36"/>
          <w:szCs w:val="36"/>
        </w:rPr>
        <w:br w:type="page"/>
      </w:r>
    </w:p>
    <w:p w14:paraId="587ED779">
      <w:pPr>
        <w:spacing w:line="360" w:lineRule="auto"/>
        <w:jc w:val="center"/>
        <w:outlineLvl w:val="0"/>
        <w:rPr>
          <w:rFonts w:hint="eastAsia" w:ascii="Times New Roman" w:hAnsi="Times New Roman" w:eastAsia="宋体" w:cs="Times New Roman"/>
          <w:b/>
          <w:sz w:val="44"/>
          <w:szCs w:val="44"/>
        </w:rPr>
      </w:pPr>
      <w:bookmarkStart w:id="211" w:name="_Toc11991"/>
      <w:bookmarkStart w:id="212" w:name="_Toc19749"/>
      <w:bookmarkStart w:id="213" w:name="_Toc166164848"/>
      <w:r>
        <w:rPr>
          <w:rFonts w:hint="eastAsia" w:ascii="Times New Roman" w:hAnsi="Times New Roman" w:eastAsia="宋体" w:cs="Times New Roman"/>
          <w:b/>
          <w:sz w:val="44"/>
          <w:szCs w:val="44"/>
        </w:rPr>
        <w:t>《中国教育史》课程教学大纲</w:t>
      </w:r>
      <w:bookmarkEnd w:id="211"/>
      <w:bookmarkEnd w:id="212"/>
      <w:bookmarkEnd w:id="213"/>
    </w:p>
    <w:p w14:paraId="151D300D">
      <w:pPr>
        <w:spacing w:line="360" w:lineRule="auto"/>
        <w:jc w:val="cente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（History of Chinese Education）</w:t>
      </w:r>
    </w:p>
    <w:p w14:paraId="1BC91633">
      <w:pPr>
        <w:spacing w:line="360" w:lineRule="auto"/>
        <w:jc w:val="center"/>
        <w:rPr>
          <w:rFonts w:ascii="Times New Roman" w:hAnsi="Times New Roman" w:eastAsia="宋体" w:cs="Times New Roman"/>
          <w:bCs/>
          <w:color w:val="auto"/>
          <w:sz w:val="30"/>
          <w:szCs w:val="30"/>
        </w:rPr>
      </w:pPr>
    </w:p>
    <w:p w14:paraId="0C657434">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课程名称：中国教育史</w:t>
      </w:r>
    </w:p>
    <w:p w14:paraId="2B27A1EB">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课程代码：2401006</w:t>
      </w:r>
    </w:p>
    <w:p w14:paraId="2A7B8299">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学    分：2</w:t>
      </w:r>
    </w:p>
    <w:p w14:paraId="5F4DF355">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学    时：32</w:t>
      </w:r>
    </w:p>
    <w:p w14:paraId="4C7CF638">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先修课程：小学心理学</w:t>
      </w:r>
    </w:p>
    <w:p w14:paraId="70FEA339">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适用专业：小学教育</w:t>
      </w:r>
    </w:p>
    <w:p w14:paraId="391C7A76">
      <w:pPr>
        <w:spacing w:line="240" w:lineRule="auto"/>
        <w:rPr>
          <w:rFonts w:hint="eastAsia" w:ascii="Times New Roman" w:hAnsi="Times New Roman" w:eastAsia="宋体" w:cs="Times New Roman"/>
          <w:b/>
          <w:color w:val="auto"/>
          <w:sz w:val="24"/>
        </w:rPr>
      </w:pPr>
    </w:p>
    <w:p w14:paraId="19ED73A8">
      <w:pPr>
        <w:spacing w:line="360" w:lineRule="auto"/>
        <w:rPr>
          <w:rFonts w:ascii="Times New Roman" w:hAnsi="Times New Roman" w:eastAsia="宋体" w:cs="Times New Roman"/>
          <w:b/>
          <w:color w:val="auto"/>
          <w:sz w:val="24"/>
        </w:rPr>
      </w:pPr>
      <w:r>
        <w:rPr>
          <w:rFonts w:hint="eastAsia" w:ascii="Times New Roman" w:hAnsi="Times New Roman" w:eastAsia="宋体" w:cs="Times New Roman"/>
          <w:b/>
          <w:color w:val="auto"/>
          <w:sz w:val="24"/>
        </w:rPr>
        <w:t>一、课程简介</w:t>
      </w:r>
    </w:p>
    <w:p w14:paraId="457AAEB3">
      <w:pPr>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本课程是小学教育专业的一门专业基础必修课程。课程的任务在于使学生了解中国教育发展的基本线索和一般规律；初步认识中国教育发展的历史经验和教训；培养学生运用辩证唯物主义和历史唯物主义观点和方法考察、分析教育问题的意识和能力，树立唯物辨证的教育发展观；扩大教育知识眼界，为学习教育学科打下基础；培养热爱教育、献身教育的职业精神。</w:t>
      </w:r>
    </w:p>
    <w:p w14:paraId="0E8CEB7D">
      <w:pPr>
        <w:spacing w:before="156" w:beforeLines="50" w:line="360" w:lineRule="auto"/>
        <w:rPr>
          <w:rFonts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4"/>
        </w:rPr>
        <w:t>二、课程目标</w:t>
      </w:r>
    </w:p>
    <w:p w14:paraId="4F32C172">
      <w:pPr>
        <w:spacing w:line="360" w:lineRule="auto"/>
        <w:ind w:firstLine="422" w:firstLineChars="200"/>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（一）课程具体目标</w:t>
      </w:r>
    </w:p>
    <w:p w14:paraId="6934249A">
      <w:pPr>
        <w:spacing w:line="360" w:lineRule="auto"/>
        <w:ind w:firstLine="422" w:firstLineChars="200"/>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 xml:space="preserve">目标1. </w:t>
      </w:r>
      <w:r>
        <w:rPr>
          <w:rFonts w:hint="eastAsia" w:ascii="Times New Roman" w:hAnsi="Times New Roman" w:eastAsia="宋体" w:cs="Times New Roman"/>
          <w:color w:val="auto"/>
          <w:szCs w:val="21"/>
        </w:rPr>
        <w:t>了解中国教育制度发展的基本线索和各个时期的文教政策，掌握学校教育发展史上的重要事件及其历史影响；初步认识中国教育思想发展的脉络和演变历程，掌握主要教育家和教育著作中的重要思想及其历史影响。</w:t>
      </w:r>
    </w:p>
    <w:p w14:paraId="106D2142">
      <w:pPr>
        <w:spacing w:line="360" w:lineRule="auto"/>
        <w:ind w:firstLine="422" w:firstLineChars="200"/>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目标2.</w:t>
      </w:r>
      <w:r>
        <w:rPr>
          <w:rFonts w:hint="eastAsia" w:ascii="Times New Roman" w:hAnsi="Times New Roman" w:eastAsia="宋体" w:cs="Times New Roman"/>
          <w:color w:val="auto"/>
          <w:szCs w:val="21"/>
        </w:rPr>
        <w:t xml:space="preserve"> 秉持“论从史出，史论结合”的原则，能够灵活运用历史与逻辑相统一的思维方法，以发展的眼光、批判意识、辩证思维和创新精神，对历史事件、制度政策、人物（著作）及其思想进行正确的认识和评价，在扬弃的前提下反思和解决当下教育教学中存在的问题，古为今用。</w:t>
      </w:r>
    </w:p>
    <w:p w14:paraId="45A19760">
      <w:pPr>
        <w:spacing w:line="360" w:lineRule="auto"/>
        <w:ind w:firstLine="422" w:firstLineChars="200"/>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 xml:space="preserve">目标3. </w:t>
      </w:r>
      <w:r>
        <w:rPr>
          <w:rFonts w:hint="eastAsia" w:ascii="Times New Roman" w:hAnsi="Times New Roman" w:eastAsia="宋体" w:cs="Times New Roman"/>
          <w:color w:val="auto"/>
          <w:szCs w:val="21"/>
        </w:rPr>
        <w:t>以立德树人为己任；形成正确的历史观、文化观、教育观、教师观、学生观，增强职业认同感、责任感与使命感；以历史上教育家为榜样，以教育家精神为引领，为成长为学生发展的“四个引路人”“四有好老师”和经师与人师相统一的“大先生”而不懈努力。</w:t>
      </w:r>
    </w:p>
    <w:p w14:paraId="633912C4">
      <w:pPr>
        <w:spacing w:line="360" w:lineRule="auto"/>
        <w:ind w:firstLine="422" w:firstLineChars="200"/>
        <w:rPr>
          <w:rFonts w:ascii="Times New Roman" w:hAnsi="Times New Roman" w:eastAsia="宋体" w:cs="Times New Roman"/>
          <w:b/>
          <w:bCs/>
          <w:color w:val="auto"/>
          <w:sz w:val="21"/>
          <w:szCs w:val="22"/>
        </w:rPr>
      </w:pPr>
      <w:r>
        <w:rPr>
          <w:rFonts w:hint="eastAsia" w:ascii="Times New Roman" w:hAnsi="Times New Roman" w:eastAsia="宋体" w:cs="Times New Roman"/>
          <w:b/>
          <w:bCs/>
          <w:color w:val="auto"/>
          <w:sz w:val="21"/>
          <w:szCs w:val="22"/>
        </w:rPr>
        <w:t>（二）课程目标与专业毕业要求的关系</w:t>
      </w:r>
    </w:p>
    <w:tbl>
      <w:tblPr>
        <w:tblStyle w:val="15"/>
        <w:tblW w:w="90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5216"/>
        <w:gridCol w:w="1595"/>
      </w:tblGrid>
      <w:tr w14:paraId="5F63C5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00" w:type="dxa"/>
            <w:vAlign w:val="center"/>
          </w:tcPr>
          <w:p w14:paraId="1F91E1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bCs/>
                <w:color w:val="auto"/>
                <w:szCs w:val="21"/>
              </w:rPr>
            </w:pPr>
            <w:r>
              <w:rPr>
                <w:rFonts w:hint="eastAsia" w:ascii="宋体" w:hAnsi="宋体" w:eastAsia="宋体" w:cs="Times New Roman"/>
                <w:b/>
                <w:bCs/>
                <w:color w:val="auto"/>
                <w:szCs w:val="21"/>
              </w:rPr>
              <w:t>支撑的毕业要求</w:t>
            </w:r>
          </w:p>
        </w:tc>
        <w:tc>
          <w:tcPr>
            <w:tcW w:w="5216" w:type="dxa"/>
            <w:vAlign w:val="center"/>
          </w:tcPr>
          <w:p w14:paraId="3A8BF9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bCs/>
                <w:color w:val="auto"/>
                <w:szCs w:val="21"/>
              </w:rPr>
            </w:pPr>
            <w:r>
              <w:rPr>
                <w:rFonts w:hint="eastAsia" w:ascii="宋体" w:hAnsi="宋体" w:eastAsia="宋体" w:cs="Times New Roman"/>
                <w:b/>
                <w:bCs/>
                <w:color w:val="auto"/>
                <w:szCs w:val="21"/>
              </w:rPr>
              <w:t>支撑的毕业要求指标点</w:t>
            </w:r>
          </w:p>
        </w:tc>
        <w:tc>
          <w:tcPr>
            <w:tcW w:w="1595" w:type="dxa"/>
            <w:shd w:val="clear" w:color="auto" w:fill="auto"/>
            <w:vAlign w:val="center"/>
          </w:tcPr>
          <w:p w14:paraId="26F9FC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bCs/>
                <w:color w:val="auto"/>
                <w:szCs w:val="21"/>
              </w:rPr>
            </w:pPr>
            <w:r>
              <w:rPr>
                <w:rFonts w:hint="eastAsia" w:ascii="宋体" w:hAnsi="宋体" w:eastAsia="宋体" w:cs="Times New Roman"/>
                <w:b/>
                <w:bCs/>
                <w:color w:val="auto"/>
                <w:szCs w:val="21"/>
              </w:rPr>
              <w:t>课程目标</w:t>
            </w:r>
          </w:p>
        </w:tc>
      </w:tr>
      <w:tr w14:paraId="5585D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2200" w:type="dxa"/>
            <w:vAlign w:val="center"/>
          </w:tcPr>
          <w:p w14:paraId="11A60D9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毕业要求2.师德规范</w:t>
            </w:r>
          </w:p>
          <w:p w14:paraId="2A647EE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b/>
                <w:bCs/>
                <w:color w:val="auto"/>
                <w:kern w:val="0"/>
                <w:szCs w:val="21"/>
              </w:rPr>
            </w:pPr>
          </w:p>
        </w:tc>
        <w:tc>
          <w:tcPr>
            <w:tcW w:w="5216" w:type="dxa"/>
            <w:vAlign w:val="center"/>
          </w:tcPr>
          <w:p w14:paraId="6C66037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 w:val="0"/>
                <w:bCs w:val="0"/>
                <w:color w:val="auto"/>
                <w:kern w:val="0"/>
                <w:szCs w:val="21"/>
                <w:lang w:eastAsia="zh-CN"/>
              </w:rPr>
            </w:pPr>
            <w:r>
              <w:rPr>
                <w:rFonts w:hint="eastAsia" w:ascii="宋体" w:hAnsi="宋体" w:eastAsia="宋体" w:cs="Times New Roman"/>
                <w:b w:val="0"/>
                <w:bCs w:val="0"/>
                <w:color w:val="auto"/>
                <w:kern w:val="0"/>
                <w:szCs w:val="21"/>
                <w:lang w:eastAsia="zh-CN"/>
              </w:rPr>
              <w:t>指标点2-1：【职业认同感强】具有家国情怀，热爱教育事业，秉持“坚忍诚勇，立己达人”的师范精神，践行教育家精神，乐于从教，热爱教育事业，具有较高的教师职业认同感，认同教师职业的意义、价值与专业性。</w:t>
            </w:r>
          </w:p>
        </w:tc>
        <w:tc>
          <w:tcPr>
            <w:tcW w:w="1595" w:type="dxa"/>
            <w:shd w:val="clear" w:color="auto" w:fill="auto"/>
            <w:vAlign w:val="center"/>
          </w:tcPr>
          <w:p w14:paraId="20A0D7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Cs w:val="21"/>
              </w:rPr>
            </w:pPr>
            <w:r>
              <w:rPr>
                <w:rFonts w:hint="eastAsia" w:ascii="宋体" w:hAnsi="宋体" w:eastAsia="宋体" w:cs="宋体"/>
                <w:bCs/>
                <w:color w:val="auto"/>
                <w:szCs w:val="21"/>
              </w:rPr>
              <w:t>课程目标3</w:t>
            </w:r>
          </w:p>
        </w:tc>
      </w:tr>
      <w:tr w14:paraId="7E4AF7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00" w:type="dxa"/>
            <w:vAlign w:val="center"/>
          </w:tcPr>
          <w:p w14:paraId="0AFEA75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毕业要求4.教学能力</w:t>
            </w:r>
          </w:p>
        </w:tc>
        <w:tc>
          <w:tcPr>
            <w:tcW w:w="5216" w:type="dxa"/>
            <w:vAlign w:val="center"/>
          </w:tcPr>
          <w:p w14:paraId="666758C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 w:val="0"/>
                <w:bCs w:val="0"/>
                <w:color w:val="auto"/>
                <w:kern w:val="0"/>
                <w:szCs w:val="21"/>
                <w:lang w:eastAsia="zh-CN"/>
              </w:rPr>
            </w:pPr>
            <w:r>
              <w:rPr>
                <w:rFonts w:hint="eastAsia" w:ascii="宋体" w:hAnsi="宋体" w:eastAsia="宋体" w:cs="Times New Roman"/>
                <w:b w:val="0"/>
                <w:bCs w:val="0"/>
                <w:color w:val="auto"/>
                <w:kern w:val="0"/>
                <w:szCs w:val="21"/>
                <w:lang w:eastAsia="zh-CN"/>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595" w:type="dxa"/>
            <w:shd w:val="clear" w:color="auto" w:fill="auto"/>
            <w:vAlign w:val="center"/>
          </w:tcPr>
          <w:p w14:paraId="25C49F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Cs w:val="21"/>
              </w:rPr>
            </w:pPr>
            <w:r>
              <w:rPr>
                <w:rFonts w:hint="eastAsia" w:ascii="宋体" w:hAnsi="宋体" w:eastAsia="宋体" w:cs="宋体"/>
                <w:bCs/>
                <w:color w:val="auto"/>
                <w:szCs w:val="21"/>
              </w:rPr>
              <w:t>课程目标1</w:t>
            </w:r>
          </w:p>
          <w:p w14:paraId="03375F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Cs w:val="21"/>
              </w:rPr>
            </w:pPr>
            <w:r>
              <w:rPr>
                <w:rFonts w:hint="eastAsia" w:ascii="宋体" w:hAnsi="宋体" w:eastAsia="宋体" w:cs="宋体"/>
                <w:bCs/>
                <w:color w:val="auto"/>
                <w:szCs w:val="21"/>
              </w:rPr>
              <w:t>课程目标2</w:t>
            </w:r>
          </w:p>
        </w:tc>
      </w:tr>
      <w:tr w14:paraId="18A85E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2200" w:type="dxa"/>
            <w:vMerge w:val="restart"/>
            <w:vAlign w:val="center"/>
          </w:tcPr>
          <w:p w14:paraId="1CFDF01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b/>
                <w:bCs/>
                <w:color w:val="auto"/>
                <w:kern w:val="0"/>
                <w:szCs w:val="21"/>
              </w:rPr>
            </w:pPr>
            <w:r>
              <w:rPr>
                <w:rFonts w:hint="eastAsia" w:ascii="宋体" w:hAnsi="宋体" w:eastAsia="宋体" w:cs="Times New Roman"/>
                <w:b/>
                <w:bCs/>
                <w:color w:val="auto"/>
                <w:spacing w:val="2"/>
                <w:kern w:val="0"/>
                <w:szCs w:val="21"/>
              </w:rPr>
              <w:t>毕业要求7</w:t>
            </w:r>
            <w:r>
              <w:rPr>
                <w:rFonts w:ascii="宋体" w:hAnsi="宋体" w:eastAsia="宋体" w:cs="Times New Roman"/>
                <w:b/>
                <w:bCs/>
                <w:color w:val="auto"/>
                <w:spacing w:val="2"/>
                <w:kern w:val="0"/>
                <w:szCs w:val="21"/>
              </w:rPr>
              <w:t>.</w:t>
            </w:r>
            <w:r>
              <w:rPr>
                <w:rFonts w:hint="eastAsia" w:ascii="宋体" w:hAnsi="宋体" w:eastAsia="宋体" w:cs="Times New Roman"/>
                <w:b/>
                <w:bCs/>
                <w:color w:val="auto"/>
                <w:spacing w:val="2"/>
                <w:kern w:val="0"/>
                <w:szCs w:val="21"/>
              </w:rPr>
              <w:t>学会反思</w:t>
            </w:r>
          </w:p>
        </w:tc>
        <w:tc>
          <w:tcPr>
            <w:tcW w:w="5216" w:type="dxa"/>
            <w:vAlign w:val="center"/>
          </w:tcPr>
          <w:p w14:paraId="7B1AAAB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 w:val="0"/>
                <w:bCs w:val="0"/>
                <w:color w:val="auto"/>
                <w:spacing w:val="2"/>
                <w:kern w:val="0"/>
                <w:szCs w:val="21"/>
              </w:rPr>
            </w:pPr>
            <w:r>
              <w:rPr>
                <w:rFonts w:hint="eastAsia" w:ascii="宋体" w:hAnsi="宋体" w:eastAsia="宋体" w:cs="Times New Roman"/>
                <w:b w:val="0"/>
                <w:bCs w:val="0"/>
                <w:color w:val="auto"/>
                <w:spacing w:val="2"/>
                <w:kern w:val="0"/>
                <w:szCs w:val="21"/>
              </w:rPr>
              <w:t>指标点7-1：【教育视野开阔】积极关注基础教育领域的国内外交流进展，了解国内外基础教育改革发展的动态，具有宽广的教育视野，能够主动适应新时代和教育发展需求。</w:t>
            </w:r>
          </w:p>
        </w:tc>
        <w:tc>
          <w:tcPr>
            <w:tcW w:w="1595" w:type="dxa"/>
            <w:vMerge w:val="restart"/>
            <w:shd w:val="clear" w:color="auto" w:fill="auto"/>
            <w:vAlign w:val="center"/>
          </w:tcPr>
          <w:p w14:paraId="4913D3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Cs w:val="21"/>
              </w:rPr>
            </w:pPr>
            <w:r>
              <w:rPr>
                <w:rFonts w:hint="eastAsia" w:ascii="宋体" w:hAnsi="宋体" w:eastAsia="宋体" w:cs="宋体"/>
                <w:bCs/>
                <w:color w:val="auto"/>
                <w:szCs w:val="21"/>
              </w:rPr>
              <w:t>课程目标2</w:t>
            </w:r>
          </w:p>
        </w:tc>
      </w:tr>
      <w:tr w14:paraId="63793C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8" w:hRule="atLeast"/>
          <w:jc w:val="center"/>
        </w:trPr>
        <w:tc>
          <w:tcPr>
            <w:tcW w:w="2200" w:type="dxa"/>
            <w:vMerge w:val="continue"/>
            <w:vAlign w:val="center"/>
          </w:tcPr>
          <w:p w14:paraId="5BC8483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b/>
                <w:bCs/>
                <w:color w:val="auto"/>
                <w:spacing w:val="2"/>
                <w:kern w:val="0"/>
                <w:szCs w:val="21"/>
              </w:rPr>
            </w:pPr>
          </w:p>
        </w:tc>
        <w:tc>
          <w:tcPr>
            <w:tcW w:w="5216" w:type="dxa"/>
            <w:vAlign w:val="center"/>
          </w:tcPr>
          <w:p w14:paraId="2D883C4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 w:val="0"/>
                <w:bCs w:val="0"/>
                <w:color w:val="auto"/>
                <w:spacing w:val="2"/>
                <w:kern w:val="0"/>
                <w:szCs w:val="21"/>
                <w:lang w:eastAsia="zh-CN"/>
              </w:rPr>
            </w:pPr>
            <w:r>
              <w:rPr>
                <w:rFonts w:hint="eastAsia" w:ascii="宋体" w:hAnsi="宋体" w:eastAsia="宋体" w:cs="Times New Roman"/>
                <w:b w:val="0"/>
                <w:bCs w:val="0"/>
                <w:color w:val="auto"/>
                <w:spacing w:val="2"/>
                <w:kern w:val="0"/>
                <w:szCs w:val="21"/>
                <w:lang w:eastAsia="zh-CN"/>
              </w:rPr>
              <w:t>指标点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595" w:type="dxa"/>
            <w:vMerge w:val="continue"/>
            <w:shd w:val="clear" w:color="auto" w:fill="auto"/>
            <w:vAlign w:val="center"/>
          </w:tcPr>
          <w:p w14:paraId="5E7C59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Cs w:val="21"/>
              </w:rPr>
            </w:pPr>
          </w:p>
        </w:tc>
      </w:tr>
    </w:tbl>
    <w:p w14:paraId="0E414C1B">
      <w:pPr>
        <w:tabs>
          <w:tab w:val="left" w:pos="249"/>
        </w:tabs>
        <w:spacing w:line="360" w:lineRule="auto"/>
        <w:ind w:firstLine="422" w:firstLineChars="200"/>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（三）课程思政目标</w:t>
      </w:r>
    </w:p>
    <w:p w14:paraId="7A115057">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在掌握教育制度和教育思想发展脉络及其基本史实的基础上，坚定文化自信、制度自信，认识到中国特色社会主义制度的优越性，增强民族自豪感；深刻理解教育强国，人才强国战略意义；以立德树人为己任，坚持为党育人、为国育才；形成正确的历史观、文化观、教育观、教师观、学生观，增强职业认同感、责任感与使命感，自觉以教育家精神为引领，为成长为学生发展的“四个引路人”“四有好老师”和经师与人师相统一的“大先生”而不懈努力。</w:t>
      </w:r>
      <w:r>
        <w:rPr>
          <w:rFonts w:ascii="Times New Roman" w:hAnsi="Times New Roman" w:eastAsia="宋体" w:cs="Times New Roman"/>
          <w:color w:val="auto"/>
          <w:szCs w:val="21"/>
        </w:rPr>
        <w:t xml:space="preserve">  </w:t>
      </w:r>
    </w:p>
    <w:p w14:paraId="05442414">
      <w:pPr>
        <w:numPr>
          <w:ilvl w:val="0"/>
          <w:numId w:val="14"/>
        </w:numPr>
        <w:spacing w:line="360" w:lineRule="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教学内容与预期学习成效</w:t>
      </w:r>
    </w:p>
    <w:tbl>
      <w:tblPr>
        <w:tblStyle w:val="16"/>
        <w:tblW w:w="9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500"/>
        <w:gridCol w:w="1233"/>
        <w:gridCol w:w="4013"/>
        <w:gridCol w:w="1387"/>
        <w:gridCol w:w="543"/>
      </w:tblGrid>
      <w:tr w14:paraId="7073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Align w:val="center"/>
          </w:tcPr>
          <w:p w14:paraId="2228BA28">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0F7A4E6D">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1500" w:type="dxa"/>
            <w:vAlign w:val="center"/>
          </w:tcPr>
          <w:p w14:paraId="621F606C">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233" w:type="dxa"/>
            <w:vAlign w:val="center"/>
          </w:tcPr>
          <w:p w14:paraId="68C2EB3F">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18C7ABD4">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4013" w:type="dxa"/>
            <w:vAlign w:val="center"/>
          </w:tcPr>
          <w:p w14:paraId="3F17929F">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387" w:type="dxa"/>
            <w:vAlign w:val="center"/>
          </w:tcPr>
          <w:p w14:paraId="4753A1E9">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543" w:type="dxa"/>
            <w:vAlign w:val="center"/>
          </w:tcPr>
          <w:p w14:paraId="6E7743E1">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573B9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Merge w:val="restart"/>
            <w:vAlign w:val="center"/>
          </w:tcPr>
          <w:p w14:paraId="2D20BFE3">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1.中国古代的文教政策与教育制度</w:t>
            </w:r>
          </w:p>
        </w:tc>
        <w:tc>
          <w:tcPr>
            <w:tcW w:w="1500" w:type="dxa"/>
            <w:vAlign w:val="center"/>
          </w:tcPr>
          <w:p w14:paraId="5C6E2953">
            <w:pPr>
              <w:numPr>
                <w:ilvl w:val="0"/>
                <w:numId w:val="15"/>
              </w:num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官学制度的建立、发展与衰落</w:t>
            </w:r>
          </w:p>
          <w:p w14:paraId="09344865">
            <w:pPr>
              <w:numPr>
                <w:ilvl w:val="0"/>
                <w:numId w:val="15"/>
              </w:num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私学的产生与发展</w:t>
            </w:r>
          </w:p>
          <w:p w14:paraId="35CA0C1B">
            <w:pPr>
              <w:numPr>
                <w:ilvl w:val="0"/>
                <w:numId w:val="15"/>
              </w:num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书院的发展嬗变</w:t>
            </w:r>
          </w:p>
          <w:p w14:paraId="233F313E">
            <w:pPr>
              <w:numPr>
                <w:ilvl w:val="0"/>
                <w:numId w:val="15"/>
              </w:num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蒙养教育与蒙养教材</w:t>
            </w:r>
          </w:p>
          <w:p w14:paraId="4A50CB4C">
            <w:pPr>
              <w:numPr>
                <w:ilvl w:val="0"/>
                <w:numId w:val="15"/>
              </w:num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选士制度的变迁</w:t>
            </w:r>
          </w:p>
        </w:tc>
        <w:tc>
          <w:tcPr>
            <w:tcW w:w="1233" w:type="dxa"/>
            <w:vAlign w:val="center"/>
          </w:tcPr>
          <w:p w14:paraId="18941028">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4013" w:type="dxa"/>
            <w:vAlign w:val="center"/>
          </w:tcPr>
          <w:p w14:paraId="033C9771">
            <w:pPr>
              <w:adjustRightInd w:val="0"/>
              <w:snapToGrid w:val="0"/>
              <w:spacing w:line="312" w:lineRule="auto"/>
              <w:jc w:val="left"/>
              <w:rPr>
                <w:rFonts w:hint="eastAsia" w:ascii="宋体" w:hAnsi="宋体" w:eastAsia="宋体" w:cs="Times New Roman"/>
                <w:color w:val="auto"/>
                <w:szCs w:val="21"/>
              </w:rPr>
            </w:pPr>
            <w:r>
              <w:rPr>
                <w:rFonts w:ascii="宋体" w:hAnsi="宋体" w:eastAsia="宋体" w:cs="Times New Roman"/>
                <w:color w:val="auto"/>
                <w:szCs w:val="21"/>
              </w:rPr>
              <w:t>1.</w:t>
            </w:r>
            <w:r>
              <w:rPr>
                <w:rFonts w:hint="eastAsia" w:ascii="宋体" w:hAnsi="宋体" w:eastAsia="宋体" w:cs="Times New Roman"/>
                <w:color w:val="auto"/>
                <w:szCs w:val="21"/>
              </w:rPr>
              <w:t>了解远古时期的教育及学校的起源；掌握西周、秦汉魏晋南北朝、隋唐五代、宋元明清时期官学的发展演变；</w:t>
            </w:r>
          </w:p>
          <w:p w14:paraId="468A7369">
            <w:pPr>
              <w:adjustRightInd w:val="0"/>
              <w:snapToGrid w:val="0"/>
              <w:spacing w:line="312" w:lineRule="auto"/>
              <w:jc w:val="left"/>
              <w:rPr>
                <w:rFonts w:hint="eastAsia" w:ascii="宋体" w:hAnsi="宋体" w:eastAsia="宋体" w:cs="Times New Roman"/>
                <w:color w:val="auto"/>
                <w:szCs w:val="21"/>
              </w:rPr>
            </w:pPr>
            <w:r>
              <w:rPr>
                <w:rFonts w:ascii="宋体" w:hAnsi="宋体" w:eastAsia="宋体" w:cs="Times New Roman"/>
                <w:color w:val="auto"/>
                <w:szCs w:val="21"/>
              </w:rPr>
              <w:t>2.</w:t>
            </w:r>
            <w:r>
              <w:rPr>
                <w:rFonts w:hint="eastAsia" w:ascii="宋体" w:hAnsi="宋体" w:eastAsia="宋体" w:cs="Times New Roman"/>
                <w:color w:val="auto"/>
                <w:szCs w:val="21"/>
              </w:rPr>
              <w:t>掌握私人讲学的兴起与诸子百家私学的发展、齐国的稷下学宫；</w:t>
            </w:r>
          </w:p>
          <w:p w14:paraId="487A672D">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3.了解书院产生的原因，知道北宋六大书院、东林书院、诂经精舍、学海堂以及《白鹿洞揭示》；正确理解并掌握书院教育宗旨、书院讲会制度、书院学术研究及书院教育的特点；</w:t>
            </w:r>
          </w:p>
          <w:p w14:paraId="1AD506A3">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4.掌握私塾的发展、私塾教育的特点以及蒙学教材的发展、种类和特点；</w:t>
            </w:r>
          </w:p>
          <w:p w14:paraId="796C5428">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w:t>
            </w:r>
            <w:r>
              <w:rPr>
                <w:rFonts w:ascii="宋体" w:hAnsi="宋体" w:eastAsia="宋体" w:cs="Times New Roman"/>
                <w:color w:val="auto"/>
                <w:szCs w:val="21"/>
              </w:rPr>
              <w:t>.</w:t>
            </w:r>
            <w:r>
              <w:rPr>
                <w:rFonts w:hint="eastAsia" w:ascii="宋体" w:hAnsi="宋体" w:eastAsia="宋体" w:cs="Times New Roman"/>
                <w:color w:val="auto"/>
                <w:szCs w:val="21"/>
              </w:rPr>
              <w:t>掌握察举制、九品中正制、察举制等选士制度的基本情况，并能对其进行正确评价。</w:t>
            </w:r>
          </w:p>
        </w:tc>
        <w:tc>
          <w:tcPr>
            <w:tcW w:w="1387" w:type="dxa"/>
            <w:vAlign w:val="center"/>
          </w:tcPr>
          <w:p w14:paraId="4BE58488">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3F1A34F1">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w:t>
            </w:r>
          </w:p>
          <w:p w14:paraId="6B6DCBBA">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3.课堂讨论</w:t>
            </w:r>
          </w:p>
          <w:p w14:paraId="6E2D9807">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4.平时作业</w:t>
            </w:r>
          </w:p>
          <w:p w14:paraId="662E2F50">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5.单元测验</w:t>
            </w:r>
          </w:p>
          <w:p w14:paraId="14DA0A20">
            <w:pPr>
              <w:adjustRightInd w:val="0"/>
              <w:snapToGrid w:val="0"/>
              <w:spacing w:line="312" w:lineRule="auto"/>
              <w:jc w:val="left"/>
              <w:rPr>
                <w:rFonts w:hint="eastAsia" w:ascii="宋体" w:hAnsi="宋体" w:eastAsia="宋体" w:cs="Times New Roman"/>
                <w:color w:val="auto"/>
                <w:szCs w:val="21"/>
              </w:rPr>
            </w:pPr>
          </w:p>
        </w:tc>
        <w:tc>
          <w:tcPr>
            <w:tcW w:w="543" w:type="dxa"/>
            <w:vAlign w:val="center"/>
          </w:tcPr>
          <w:p w14:paraId="0BC31CFC">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w:t>
            </w:r>
          </w:p>
        </w:tc>
      </w:tr>
      <w:tr w14:paraId="70A5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Merge w:val="continue"/>
            <w:vAlign w:val="center"/>
          </w:tcPr>
          <w:p w14:paraId="24BEFC4E">
            <w:pPr>
              <w:adjustRightInd w:val="0"/>
              <w:snapToGrid w:val="0"/>
              <w:spacing w:line="312" w:lineRule="auto"/>
              <w:jc w:val="center"/>
              <w:rPr>
                <w:rFonts w:hint="eastAsia" w:ascii="宋体" w:hAnsi="宋体" w:eastAsia="宋体" w:cs="Times New Roman"/>
                <w:color w:val="auto"/>
                <w:szCs w:val="21"/>
              </w:rPr>
            </w:pPr>
          </w:p>
        </w:tc>
        <w:tc>
          <w:tcPr>
            <w:tcW w:w="8676" w:type="dxa"/>
            <w:gridSpan w:val="5"/>
            <w:vAlign w:val="center"/>
          </w:tcPr>
          <w:p w14:paraId="4DE1F5F5">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运用辩证唯物主义和历史唯物主义的思想方法，结合我国古代不同历史时期的文教政策、学校的嬗变以及选士取士制度的历史影响，形成正确的历史观、教育观、文化观，坚定文化自信、制度自信，增强国家认同感。</w:t>
            </w:r>
          </w:p>
        </w:tc>
      </w:tr>
      <w:tr w14:paraId="09FE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Merge w:val="restart"/>
            <w:vAlign w:val="center"/>
          </w:tcPr>
          <w:p w14:paraId="19045239">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2.中国近代教育制度的发展演变</w:t>
            </w:r>
          </w:p>
        </w:tc>
        <w:tc>
          <w:tcPr>
            <w:tcW w:w="1500" w:type="dxa"/>
            <w:vAlign w:val="center"/>
          </w:tcPr>
          <w:p w14:paraId="55D31B5D">
            <w:pPr>
              <w:numPr>
                <w:ilvl w:val="0"/>
                <w:numId w:val="16"/>
              </w:num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鸦片战争与洋务运动时期的教育</w:t>
            </w:r>
          </w:p>
          <w:p w14:paraId="1ECDA3A4">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（2）戊戌维新运动与清末新政时期的教育</w:t>
            </w:r>
          </w:p>
          <w:p w14:paraId="520B90C9">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（3）晚清时期的留学教育</w:t>
            </w:r>
          </w:p>
          <w:p w14:paraId="20BE506E">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（4）民国成立初期的教育</w:t>
            </w:r>
          </w:p>
          <w:p w14:paraId="40204488">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（5）新文化运动时期的教育</w:t>
            </w:r>
          </w:p>
          <w:p w14:paraId="30F1F491">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（6）新民主主义时期的教育改革</w:t>
            </w:r>
          </w:p>
        </w:tc>
        <w:tc>
          <w:tcPr>
            <w:tcW w:w="1233" w:type="dxa"/>
            <w:vAlign w:val="center"/>
          </w:tcPr>
          <w:p w14:paraId="4D402C60">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4013" w:type="dxa"/>
            <w:vAlign w:val="center"/>
          </w:tcPr>
          <w:p w14:paraId="31F34694">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1.了解教会学校在中国的举办情况，正确认识教会学校的性质与影响；掌握洋务学堂的类别、特点及其京师同文馆、福建船政学堂等新式学堂；</w:t>
            </w:r>
          </w:p>
          <w:p w14:paraId="5CE75E3A">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2.了解早期改良派的教育主张与维新派的教育实践；正确认识“百日维新”及清末新政中的教育改革；</w:t>
            </w:r>
          </w:p>
          <w:p w14:paraId="3316B555">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3.了解留学教育的发展情况；掌握起步时期的幼童留美、派遣留欧以及后期的留日教育、“庚款兴学”与留美教育；</w:t>
            </w:r>
          </w:p>
          <w:p w14:paraId="093744B1">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4.了解民国初年的教育改革；正确认识民国教育方针；</w:t>
            </w:r>
          </w:p>
          <w:p w14:paraId="2852E05E">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5.了解新文化运动时期和20世纪20年代的教育改革运动以及教会教育的扩张与收回教育权运动；</w:t>
            </w:r>
          </w:p>
          <w:p w14:paraId="0E76341E">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6.了解新民主主义教育提出的背景，正确认识新学制。</w:t>
            </w:r>
          </w:p>
        </w:tc>
        <w:tc>
          <w:tcPr>
            <w:tcW w:w="1387" w:type="dxa"/>
            <w:vAlign w:val="center"/>
          </w:tcPr>
          <w:p w14:paraId="67BA1EB0">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6A384430">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2.多媒体教学3.课堂讨论</w:t>
            </w:r>
          </w:p>
          <w:p w14:paraId="0B9CE81E">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543" w:type="dxa"/>
            <w:vAlign w:val="center"/>
          </w:tcPr>
          <w:p w14:paraId="1D8171FC">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w:t>
            </w:r>
          </w:p>
        </w:tc>
      </w:tr>
      <w:tr w14:paraId="64E7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1151" w:type="dxa"/>
            <w:vMerge w:val="continue"/>
            <w:vAlign w:val="center"/>
          </w:tcPr>
          <w:p w14:paraId="06A82E80">
            <w:pPr>
              <w:adjustRightInd w:val="0"/>
              <w:snapToGrid w:val="0"/>
              <w:spacing w:line="312" w:lineRule="auto"/>
              <w:jc w:val="center"/>
              <w:rPr>
                <w:rFonts w:hint="eastAsia" w:ascii="宋体" w:hAnsi="宋体" w:eastAsia="宋体" w:cs="Times New Roman"/>
                <w:color w:val="auto"/>
                <w:szCs w:val="21"/>
              </w:rPr>
            </w:pPr>
          </w:p>
        </w:tc>
        <w:tc>
          <w:tcPr>
            <w:tcW w:w="8676" w:type="dxa"/>
            <w:gridSpan w:val="5"/>
            <w:vAlign w:val="center"/>
          </w:tcPr>
          <w:p w14:paraId="7D0C88C3">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bCs/>
                <w:color w:val="auto"/>
                <w:szCs w:val="21"/>
              </w:rPr>
              <w:t>运用辩证唯物主义和历史唯物主义的思想方法，在了解清末封建制度的衰朽、教育内容的空疏、学校教育的衰废以及西方列强的入侵以及地主阶级改革派、洋务派、维新派、资产阶级革命派等所进行的教育救国行动基础上，理解爱国人士为国家教育发展所做出的努力与贡献，激发学生的民族精神和爱国情怀，进一步理解教育强国、人才强国。</w:t>
            </w:r>
          </w:p>
        </w:tc>
      </w:tr>
      <w:tr w14:paraId="11F2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Merge w:val="restart"/>
            <w:vAlign w:val="center"/>
          </w:tcPr>
          <w:p w14:paraId="249B7A6F">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3.中国现代教育制度的发展演变</w:t>
            </w:r>
          </w:p>
        </w:tc>
        <w:tc>
          <w:tcPr>
            <w:tcW w:w="1500" w:type="dxa"/>
            <w:vAlign w:val="center"/>
          </w:tcPr>
          <w:p w14:paraId="7BB4CA3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（1）南京国民政府时期的教育</w:t>
            </w:r>
          </w:p>
          <w:p w14:paraId="61BD99C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（2）中国共产党领导下的革命根据地教育</w:t>
            </w:r>
          </w:p>
        </w:tc>
        <w:tc>
          <w:tcPr>
            <w:tcW w:w="1233" w:type="dxa"/>
            <w:vAlign w:val="center"/>
          </w:tcPr>
          <w:p w14:paraId="41C181B8">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4013" w:type="dxa"/>
            <w:vAlign w:val="center"/>
          </w:tcPr>
          <w:p w14:paraId="379A578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1.掌握“党化教育”到“三民主义教育”的变迁，了解“戊辰学制”相对于“壬戌学制”的变化，熟悉大学院制和大学区制的实施过程；</w:t>
            </w:r>
          </w:p>
          <w:p w14:paraId="371D585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2.了解新民主主义教育方针及其形成过程，掌握认识革命根据地的干部教育、群众教育，正确认识革命根据地教育的基本经验。</w:t>
            </w:r>
          </w:p>
        </w:tc>
        <w:tc>
          <w:tcPr>
            <w:tcW w:w="1387" w:type="dxa"/>
            <w:vAlign w:val="center"/>
          </w:tcPr>
          <w:p w14:paraId="7BD2200C">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47245988">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588B82E8">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543" w:type="dxa"/>
            <w:vAlign w:val="center"/>
          </w:tcPr>
          <w:p w14:paraId="7B29E993">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w:t>
            </w:r>
          </w:p>
        </w:tc>
      </w:tr>
      <w:tr w14:paraId="757C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Merge w:val="continue"/>
            <w:vAlign w:val="center"/>
          </w:tcPr>
          <w:p w14:paraId="267580D1">
            <w:pPr>
              <w:spacing w:line="264" w:lineRule="auto"/>
              <w:jc w:val="center"/>
              <w:rPr>
                <w:rFonts w:hint="eastAsia" w:ascii="宋体" w:hAnsi="宋体" w:eastAsia="宋体" w:cs="Times New Roman"/>
                <w:color w:val="auto"/>
                <w:szCs w:val="21"/>
              </w:rPr>
            </w:pPr>
          </w:p>
        </w:tc>
        <w:tc>
          <w:tcPr>
            <w:tcW w:w="8676" w:type="dxa"/>
            <w:gridSpan w:val="5"/>
            <w:vAlign w:val="center"/>
          </w:tcPr>
          <w:p w14:paraId="04DB8B53">
            <w:pPr>
              <w:spacing w:line="312"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bCs/>
                <w:color w:val="auto"/>
                <w:szCs w:val="21"/>
              </w:rPr>
              <w:t>认识到新民主主义教育纲领的确立，是中国共产党为广大劳动人民争取教育权、扩大教育普及、提升女性受教育权提供的制度保障；理解党领导和创立的革命干部学校，培养了大量的革命干部，为后期的革命运动播下了火种，培养了人才；体悟</w:t>
            </w:r>
            <w:r>
              <w:rPr>
                <w:rFonts w:hint="eastAsia" w:ascii="宋体" w:hAnsi="宋体" w:eastAsia="宋体" w:cs="Times New Roman"/>
                <w:color w:val="auto"/>
                <w:szCs w:val="21"/>
              </w:rPr>
              <w:t>中国共产党在现代教育发展中所起的领导作用以及革命根据地教育的重要影响，深厚爱国情怀、树立制度自信。</w:t>
            </w:r>
          </w:p>
        </w:tc>
      </w:tr>
      <w:tr w14:paraId="3CDA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Merge w:val="restart"/>
            <w:vAlign w:val="center"/>
          </w:tcPr>
          <w:p w14:paraId="4A41031B">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4.先秦时期的教育思想</w:t>
            </w:r>
          </w:p>
        </w:tc>
        <w:tc>
          <w:tcPr>
            <w:tcW w:w="1500" w:type="dxa"/>
            <w:vAlign w:val="center"/>
          </w:tcPr>
          <w:p w14:paraId="3B210EA2">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（1）孔子的教育思想</w:t>
            </w:r>
          </w:p>
          <w:p w14:paraId="7E3B1EEF">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（2）孟子的教育思想</w:t>
            </w:r>
          </w:p>
          <w:p w14:paraId="3D1EBEF8">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（3）荀子的教育思想</w:t>
            </w:r>
          </w:p>
          <w:p w14:paraId="5F910B94">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（4）墨子和墨家学派的教育思想</w:t>
            </w:r>
          </w:p>
          <w:p w14:paraId="5A7624A6">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（5）《礼记》中的教育思想</w:t>
            </w:r>
          </w:p>
        </w:tc>
        <w:tc>
          <w:tcPr>
            <w:tcW w:w="1233" w:type="dxa"/>
            <w:vAlign w:val="center"/>
          </w:tcPr>
          <w:p w14:paraId="0168E620">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4013" w:type="dxa"/>
            <w:vAlign w:val="center"/>
          </w:tcPr>
          <w:p w14:paraId="305109BB">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1.掌握孔子的教育思想；</w:t>
            </w:r>
          </w:p>
          <w:p w14:paraId="2FEF15F0">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2.领会孟子、荀子关于教育的不同见解；</w:t>
            </w:r>
          </w:p>
          <w:p w14:paraId="022976B7">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3.了解墨家的科技教育思想；</w:t>
            </w:r>
          </w:p>
          <w:p w14:paraId="0BBBF02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4.掌握《礼记》重点篇章中的教育思想；</w:t>
            </w:r>
          </w:p>
          <w:p w14:paraId="43F8198A">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5.能够正确评价先秦教育家的教育思想、历史影响，认识其现代价值。</w:t>
            </w:r>
          </w:p>
        </w:tc>
        <w:tc>
          <w:tcPr>
            <w:tcW w:w="1387" w:type="dxa"/>
            <w:vAlign w:val="center"/>
          </w:tcPr>
          <w:p w14:paraId="1FF89968">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1F21E84D">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72D98A51">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4.</w:t>
            </w:r>
            <w:r>
              <w:rPr>
                <w:rFonts w:hint="eastAsia" w:ascii="宋体" w:hAnsi="宋体" w:eastAsia="宋体" w:cs="Times New Roman"/>
                <w:color w:val="auto"/>
                <w:szCs w:val="21"/>
              </w:rPr>
              <w:t>平时作业</w:t>
            </w:r>
          </w:p>
          <w:p w14:paraId="1E9C360C">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w:t>
            </w:r>
            <w:r>
              <w:rPr>
                <w:rFonts w:ascii="宋体" w:hAnsi="宋体" w:eastAsia="宋体" w:cs="Times New Roman"/>
                <w:color w:val="auto"/>
                <w:szCs w:val="21"/>
              </w:rPr>
              <w:t>单元测验</w:t>
            </w:r>
          </w:p>
        </w:tc>
        <w:tc>
          <w:tcPr>
            <w:tcW w:w="543" w:type="dxa"/>
            <w:vAlign w:val="center"/>
          </w:tcPr>
          <w:p w14:paraId="69D21E22">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w:t>
            </w:r>
          </w:p>
        </w:tc>
      </w:tr>
      <w:tr w14:paraId="5F23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Merge w:val="continue"/>
            <w:vAlign w:val="center"/>
          </w:tcPr>
          <w:p w14:paraId="35989F76">
            <w:pPr>
              <w:spacing w:line="276" w:lineRule="auto"/>
              <w:jc w:val="center"/>
              <w:rPr>
                <w:rFonts w:hint="eastAsia" w:ascii="宋体" w:hAnsi="宋体" w:eastAsia="宋体" w:cs="Times New Roman"/>
                <w:color w:val="auto"/>
                <w:szCs w:val="21"/>
              </w:rPr>
            </w:pPr>
          </w:p>
        </w:tc>
        <w:tc>
          <w:tcPr>
            <w:tcW w:w="8676" w:type="dxa"/>
            <w:gridSpan w:val="5"/>
            <w:vAlign w:val="center"/>
          </w:tcPr>
          <w:p w14:paraId="3B2A4197">
            <w:pPr>
              <w:spacing w:line="312"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bCs/>
                <w:color w:val="auto"/>
                <w:szCs w:val="21"/>
              </w:rPr>
              <w:t>通过学习先秦教育家的生平与教育实践，领会他们深厚的教育情怀，自觉</w:t>
            </w:r>
            <w:r>
              <w:rPr>
                <w:rFonts w:hint="eastAsia" w:ascii="宋体" w:hAnsi="宋体" w:eastAsia="宋体" w:cs="Times New Roman"/>
                <w:color w:val="auto"/>
                <w:szCs w:val="21"/>
              </w:rPr>
              <w:t>以教育家为榜样，忠诚人民教育事业，坚定成为“四个引路人”“四有好老师”“大先生”的理想信念；认识到教育家、教育著作提出的教育思想观点，体现了强国兴邦重在人才，人才兴邦重在教育，教育发展靠教师，古代要培养的人才均是德才兼备的，德是首要素养，自觉落实立德树人根本任务，坚持为党育人、为国育才，培养担当民族复兴大任的时代新人；认识到中国古代虽然没有系统的教育理论，但却有着丰富的教育思想，已经覆盖了教育原理学科的所有范畴，中国在教育学的发展历程中并没有缺席，为世界教育学的发展做出了重要贡献，值得每一位中国人为之骄傲和自豪，树立文化自信，增强民族自豪感。</w:t>
            </w:r>
          </w:p>
        </w:tc>
      </w:tr>
      <w:tr w14:paraId="6DCE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Merge w:val="restart"/>
            <w:vAlign w:val="center"/>
          </w:tcPr>
          <w:p w14:paraId="61D7C7BF">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5.秦汉魏晋南北朝时期的教育思想</w:t>
            </w:r>
          </w:p>
        </w:tc>
        <w:tc>
          <w:tcPr>
            <w:tcW w:w="1500" w:type="dxa"/>
            <w:vAlign w:val="center"/>
          </w:tcPr>
          <w:p w14:paraId="2E16D2C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（1）董仲舒的教育思想</w:t>
            </w:r>
          </w:p>
          <w:p w14:paraId="3CA05DA7">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（2）王充的教育思想</w:t>
            </w:r>
          </w:p>
          <w:p w14:paraId="6F35AF3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（3）颜之推的教育思想</w:t>
            </w:r>
          </w:p>
        </w:tc>
        <w:tc>
          <w:tcPr>
            <w:tcW w:w="1233" w:type="dxa"/>
            <w:vAlign w:val="center"/>
          </w:tcPr>
          <w:p w14:paraId="798F2811">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4013" w:type="dxa"/>
            <w:vAlign w:val="center"/>
          </w:tcPr>
          <w:p w14:paraId="04010DCA">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1.理解并掌握董仲舒的主要教育思想及其现实意义；</w:t>
            </w:r>
          </w:p>
          <w:p w14:paraId="377AAA5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2.理解并掌握王充的主要教育思想及其现实意义；</w:t>
            </w:r>
          </w:p>
          <w:p w14:paraId="77E6A386">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3.正确认识颜之推的家庭教育思想及其现代意义。</w:t>
            </w:r>
          </w:p>
        </w:tc>
        <w:tc>
          <w:tcPr>
            <w:tcW w:w="1387" w:type="dxa"/>
            <w:vAlign w:val="center"/>
          </w:tcPr>
          <w:p w14:paraId="661C418A">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650B40B2">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7BBDC646">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543" w:type="dxa"/>
            <w:vAlign w:val="center"/>
          </w:tcPr>
          <w:p w14:paraId="3A6C74EC">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20A0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Merge w:val="continue"/>
            <w:vAlign w:val="center"/>
          </w:tcPr>
          <w:p w14:paraId="2267D362">
            <w:pPr>
              <w:spacing w:line="276" w:lineRule="auto"/>
              <w:jc w:val="center"/>
              <w:rPr>
                <w:rFonts w:hint="eastAsia" w:ascii="宋体" w:hAnsi="宋体" w:eastAsia="宋体" w:cs="Times New Roman"/>
                <w:color w:val="auto"/>
                <w:szCs w:val="21"/>
              </w:rPr>
            </w:pPr>
          </w:p>
        </w:tc>
        <w:tc>
          <w:tcPr>
            <w:tcW w:w="8676" w:type="dxa"/>
            <w:gridSpan w:val="5"/>
            <w:vAlign w:val="center"/>
          </w:tcPr>
          <w:p w14:paraId="042528F4">
            <w:pPr>
              <w:spacing w:line="312"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bCs/>
                <w:color w:val="auto"/>
                <w:szCs w:val="21"/>
              </w:rPr>
              <w:t>理解教育家的思想，巩固专业思想，乐于从教；</w:t>
            </w:r>
            <w:r>
              <w:rPr>
                <w:rFonts w:hint="eastAsia" w:ascii="宋体" w:hAnsi="宋体" w:eastAsia="宋体" w:cs="Times New Roman"/>
                <w:color w:val="auto"/>
                <w:szCs w:val="21"/>
              </w:rPr>
              <w:t>继承祖国优秀教育遗产，如《颜氏家训》是世界上第一本系统全面的家教著作，从而增强民族自尊心和自信心。</w:t>
            </w:r>
          </w:p>
        </w:tc>
      </w:tr>
      <w:tr w14:paraId="1CF82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Merge w:val="restart"/>
            <w:vAlign w:val="center"/>
          </w:tcPr>
          <w:p w14:paraId="5198A588">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6.隋唐宋元明清时期的教育思想</w:t>
            </w:r>
          </w:p>
        </w:tc>
        <w:tc>
          <w:tcPr>
            <w:tcW w:w="1500" w:type="dxa"/>
            <w:vAlign w:val="center"/>
          </w:tcPr>
          <w:p w14:paraId="68132187">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（1）韩愈的教育思想</w:t>
            </w:r>
          </w:p>
          <w:p w14:paraId="40FA310D">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（2）朱熹的教育思想</w:t>
            </w:r>
          </w:p>
          <w:p w14:paraId="5938A6F9">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（3）王守仁的教育思想</w:t>
            </w:r>
          </w:p>
          <w:p w14:paraId="6D6A83D5">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（4）颜元的教育思想</w:t>
            </w:r>
          </w:p>
        </w:tc>
        <w:tc>
          <w:tcPr>
            <w:tcW w:w="1233" w:type="dxa"/>
            <w:vAlign w:val="center"/>
          </w:tcPr>
          <w:p w14:paraId="2A50795E">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4013" w:type="dxa"/>
            <w:vAlign w:val="center"/>
          </w:tcPr>
          <w:p w14:paraId="6C4CCFB5">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1.掌握韩愈的教师思想；</w:t>
            </w:r>
          </w:p>
          <w:p w14:paraId="59C9344F">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2.理解并掌握朱熹的教育思想及其现实意义；</w:t>
            </w:r>
          </w:p>
          <w:p w14:paraId="16E8A7B9">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3.理解并掌握王守仁的教育思想及其现实意义；</w:t>
            </w:r>
          </w:p>
          <w:p w14:paraId="767722B2">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4.掌握颜元“实德实才”的培养目标、“六斋”与“实学”的教育内容以及“习行”的教学方法。</w:t>
            </w:r>
          </w:p>
        </w:tc>
        <w:tc>
          <w:tcPr>
            <w:tcW w:w="1387" w:type="dxa"/>
            <w:vAlign w:val="center"/>
          </w:tcPr>
          <w:p w14:paraId="537AF33C">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2ED22648">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4F1357B2">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543" w:type="dxa"/>
            <w:vAlign w:val="center"/>
          </w:tcPr>
          <w:p w14:paraId="341822B4">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5030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Merge w:val="continue"/>
            <w:vAlign w:val="center"/>
          </w:tcPr>
          <w:p w14:paraId="7628B668">
            <w:pPr>
              <w:spacing w:line="276" w:lineRule="auto"/>
              <w:jc w:val="center"/>
              <w:rPr>
                <w:rFonts w:hint="eastAsia" w:ascii="宋体" w:hAnsi="宋体" w:eastAsia="宋体" w:cs="Times New Roman"/>
                <w:color w:val="auto"/>
                <w:szCs w:val="21"/>
              </w:rPr>
            </w:pPr>
          </w:p>
        </w:tc>
        <w:tc>
          <w:tcPr>
            <w:tcW w:w="8676" w:type="dxa"/>
            <w:gridSpan w:val="5"/>
            <w:vAlign w:val="center"/>
          </w:tcPr>
          <w:p w14:paraId="12EAAE5E">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在了解教育思想演变过程的基础上，教育引导学生传承中华优秀教育遗产，弘扬以爱国主义为核心的民族精神和以改革创新为核心的时代精神；以教育家为榜样，忠诚人民教育事业，进一步巩固专业思想，具有为了中华民族的复兴，为了培养全面发展的社会主义建设者和接班人投身小学教育事业的职业理想。</w:t>
            </w:r>
          </w:p>
        </w:tc>
      </w:tr>
      <w:tr w14:paraId="1228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Merge w:val="restart"/>
            <w:vAlign w:val="center"/>
          </w:tcPr>
          <w:p w14:paraId="5D5FE3EF">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7.中国近代教育思想</w:t>
            </w:r>
          </w:p>
        </w:tc>
        <w:tc>
          <w:tcPr>
            <w:tcW w:w="1500" w:type="dxa"/>
            <w:vAlign w:val="center"/>
          </w:tcPr>
          <w:p w14:paraId="42B8205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（1）张之洞的教育思想</w:t>
            </w:r>
          </w:p>
          <w:p w14:paraId="2CBC8AC2">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（2）康有为的教育思想</w:t>
            </w:r>
          </w:p>
          <w:p w14:paraId="58240B5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（3）梁启超的教育思想</w:t>
            </w:r>
          </w:p>
          <w:p w14:paraId="79D3104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（4）蔡元培的教育思想</w:t>
            </w:r>
          </w:p>
        </w:tc>
        <w:tc>
          <w:tcPr>
            <w:tcW w:w="1233" w:type="dxa"/>
            <w:vAlign w:val="center"/>
          </w:tcPr>
          <w:p w14:paraId="31240BD9">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4013" w:type="dxa"/>
            <w:vAlign w:val="center"/>
          </w:tcPr>
          <w:p w14:paraId="4EE74325">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 xml:space="preserve">（1）掌握“中体西用”思想的形成和发展，能够正确认识“中体西用”的历史作用与局限； </w:t>
            </w:r>
          </w:p>
          <w:p w14:paraId="1907CEF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 xml:space="preserve">（2）掌握康有为《大同书》中的教育理想； </w:t>
            </w:r>
          </w:p>
          <w:p w14:paraId="5B9AA7A0">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w:t>
            </w:r>
            <w:r>
              <w:rPr>
                <w:rFonts w:hint="eastAsia" w:ascii="宋体" w:hAnsi="宋体" w:eastAsia="宋体" w:cs="Times New Roman"/>
                <w:color w:val="auto"/>
                <w:szCs w:val="21"/>
              </w:rPr>
              <w:t xml:space="preserve">正确理解梁启超关于“开民智”“伸民权”与教育作用、培养“新民”的教育目的、学制、论、师范教育、女子教育和儿童教育的相关思想； </w:t>
            </w:r>
          </w:p>
          <w:p w14:paraId="571D882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4）</w:t>
            </w:r>
            <w:r>
              <w:rPr>
                <w:rFonts w:hint="eastAsia" w:ascii="宋体" w:hAnsi="宋体" w:eastAsia="宋体" w:cs="Times New Roman"/>
                <w:color w:val="auto"/>
                <w:szCs w:val="21"/>
              </w:rPr>
              <w:t>深刻理解蔡元培“五育”并举的教育方针、对北京大学的教育改革实践以及教育独立的思想。</w:t>
            </w:r>
          </w:p>
        </w:tc>
        <w:tc>
          <w:tcPr>
            <w:tcW w:w="1387" w:type="dxa"/>
            <w:vAlign w:val="center"/>
          </w:tcPr>
          <w:p w14:paraId="22FE2B7F">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0BD7785D">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6431375D">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4.平时作业</w:t>
            </w:r>
          </w:p>
          <w:p w14:paraId="4F25D1BC">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w:t>
            </w:r>
            <w:r>
              <w:rPr>
                <w:rFonts w:ascii="宋体" w:hAnsi="宋体" w:eastAsia="宋体" w:cs="Times New Roman"/>
                <w:color w:val="auto"/>
                <w:szCs w:val="21"/>
              </w:rPr>
              <w:t>.单元测验</w:t>
            </w:r>
          </w:p>
        </w:tc>
        <w:tc>
          <w:tcPr>
            <w:tcW w:w="543" w:type="dxa"/>
            <w:vAlign w:val="center"/>
          </w:tcPr>
          <w:p w14:paraId="78EC0929">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2260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Merge w:val="continue"/>
            <w:vAlign w:val="center"/>
          </w:tcPr>
          <w:p w14:paraId="3491E636">
            <w:pPr>
              <w:spacing w:line="276" w:lineRule="auto"/>
              <w:jc w:val="center"/>
              <w:rPr>
                <w:rFonts w:hint="eastAsia" w:ascii="宋体" w:hAnsi="宋体" w:eastAsia="宋体" w:cs="Times New Roman"/>
                <w:color w:val="auto"/>
                <w:szCs w:val="21"/>
              </w:rPr>
            </w:pPr>
          </w:p>
        </w:tc>
        <w:tc>
          <w:tcPr>
            <w:tcW w:w="8676" w:type="dxa"/>
            <w:gridSpan w:val="5"/>
            <w:vAlign w:val="center"/>
          </w:tcPr>
          <w:p w14:paraId="5C396EE5">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bCs/>
                <w:color w:val="auto"/>
                <w:szCs w:val="21"/>
              </w:rPr>
              <w:t>在深刻领会近代教育家们们</w:t>
            </w:r>
            <w:r>
              <w:rPr>
                <w:rFonts w:hint="eastAsia" w:ascii="宋体" w:hAnsi="宋体" w:eastAsia="宋体" w:cs="Times New Roman"/>
                <w:color w:val="auto"/>
                <w:szCs w:val="21"/>
              </w:rPr>
              <w:t>教育强国、教育救国的教育实践的基础上，理解教育先行的教育战略；领会为党育人、为国育才的育人目标；坚持守正创新；落实立德树人教育根本任务；重视美育的价值，丰富人民精神世界以推进中国式现代化。</w:t>
            </w:r>
          </w:p>
        </w:tc>
      </w:tr>
      <w:tr w14:paraId="24D3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Merge w:val="restart"/>
            <w:vAlign w:val="center"/>
          </w:tcPr>
          <w:p w14:paraId="609496E6">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8.中国现代教育思想</w:t>
            </w:r>
          </w:p>
        </w:tc>
        <w:tc>
          <w:tcPr>
            <w:tcW w:w="1500" w:type="dxa"/>
            <w:vAlign w:val="center"/>
          </w:tcPr>
          <w:p w14:paraId="3F6DE413">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（1）陶行知的生活教育思想</w:t>
            </w:r>
          </w:p>
          <w:p w14:paraId="75D383AB">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（2）黄炎培的职业教育思想</w:t>
            </w:r>
          </w:p>
          <w:p w14:paraId="4E6F1DFF">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（3）陈鹤琴的活教育思想</w:t>
            </w:r>
          </w:p>
          <w:p w14:paraId="17DEA89D">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（4）晏阳初的平民教育思想</w:t>
            </w:r>
          </w:p>
          <w:p w14:paraId="53F754DE">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（5）梁漱溟的乡村教育思想</w:t>
            </w:r>
          </w:p>
        </w:tc>
        <w:tc>
          <w:tcPr>
            <w:tcW w:w="1233" w:type="dxa"/>
            <w:vAlign w:val="center"/>
          </w:tcPr>
          <w:p w14:paraId="527FAD93">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4013" w:type="dxa"/>
            <w:vAlign w:val="center"/>
          </w:tcPr>
          <w:p w14:paraId="0732D3F2">
            <w:pPr>
              <w:numPr>
                <w:ilvl w:val="0"/>
                <w:numId w:val="17"/>
              </w:num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了解陶行知的“生活教育”实践：正确认识晓庄学校、山海工学团、“小先生制”、育才学校的影响，掌握“生活教育”理论体系；</w:t>
            </w:r>
          </w:p>
          <w:p w14:paraId="43F9A1D6">
            <w:pPr>
              <w:numPr>
                <w:ilvl w:val="0"/>
                <w:numId w:val="17"/>
              </w:num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了解黄炎培对职业教育的探索；理解其提倡的“学校采用实用主义”，掌握其职业教育思想体系；</w:t>
            </w:r>
          </w:p>
          <w:p w14:paraId="5AC26E0D">
            <w:pPr>
              <w:numPr>
                <w:ilvl w:val="0"/>
                <w:numId w:val="17"/>
              </w:num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了解陈鹤琴幼儿教育和儿童教育探索及“活教育”实验，掌握“活教育”理论体系；</w:t>
            </w:r>
          </w:p>
          <w:p w14:paraId="7004C45B">
            <w:pPr>
              <w:numPr>
                <w:ilvl w:val="0"/>
                <w:numId w:val="17"/>
              </w:num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了解晏阳初定县调查与对中国农村问题的分析，掌握“四大教育”“三大方式”“化农民”与“农民化”的相关主张；</w:t>
            </w:r>
          </w:p>
          <w:p w14:paraId="01EDDCE2">
            <w:pPr>
              <w:numPr>
                <w:ilvl w:val="0"/>
                <w:numId w:val="17"/>
              </w:num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掌握梁漱溟</w:t>
            </w:r>
            <w:r>
              <w:rPr>
                <w:rFonts w:ascii="宋体" w:hAnsi="宋体" w:eastAsia="宋体" w:cs="Times New Roman"/>
                <w:color w:val="auto"/>
                <w:szCs w:val="21"/>
              </w:rPr>
              <w:t>乡村建设和乡村教育理论</w:t>
            </w:r>
            <w:r>
              <w:rPr>
                <w:rFonts w:hint="eastAsia" w:ascii="宋体" w:hAnsi="宋体" w:eastAsia="宋体" w:cs="Times New Roman"/>
                <w:color w:val="auto"/>
                <w:szCs w:val="21"/>
              </w:rPr>
              <w:t>。</w:t>
            </w:r>
          </w:p>
        </w:tc>
        <w:tc>
          <w:tcPr>
            <w:tcW w:w="1387" w:type="dxa"/>
            <w:vAlign w:val="center"/>
          </w:tcPr>
          <w:p w14:paraId="1D3F8D77">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2A22CD06">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142031E7">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543" w:type="dxa"/>
            <w:vAlign w:val="center"/>
          </w:tcPr>
          <w:p w14:paraId="322732C6">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5183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Merge w:val="continue"/>
            <w:vAlign w:val="center"/>
          </w:tcPr>
          <w:p w14:paraId="69277D6F">
            <w:pPr>
              <w:spacing w:line="264" w:lineRule="auto"/>
              <w:jc w:val="center"/>
              <w:rPr>
                <w:rFonts w:hint="eastAsia" w:ascii="宋体" w:hAnsi="宋体" w:eastAsia="宋体" w:cs="Times New Roman"/>
                <w:color w:val="auto"/>
                <w:szCs w:val="21"/>
              </w:rPr>
            </w:pPr>
          </w:p>
        </w:tc>
        <w:tc>
          <w:tcPr>
            <w:tcW w:w="8676" w:type="dxa"/>
            <w:gridSpan w:val="5"/>
            <w:vAlign w:val="center"/>
          </w:tcPr>
          <w:p w14:paraId="2B03F2BA">
            <w:pPr>
              <w:spacing w:line="312"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bCs/>
                <w:color w:val="auto"/>
                <w:szCs w:val="21"/>
              </w:rPr>
              <w:t>通过学习黄炎培、陈鹤琴、陶行知等教育家的教育思想及教育实践，树立教育情怀，坚定教育信念、文化自信，自觉以教育家为榜样，忠诚人民教育事业，进一步巩固专业思想，具有为了中华民族的复兴，为了培养全面发展的社会主义建设者和接班人投身小学教育事业的职业理想。</w:t>
            </w:r>
          </w:p>
        </w:tc>
      </w:tr>
    </w:tbl>
    <w:p w14:paraId="40325B10">
      <w:pPr>
        <w:spacing w:before="156" w:beforeLines="50" w:line="360" w:lineRule="auto"/>
        <w:rPr>
          <w:rFonts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4"/>
        </w:rPr>
        <w:t>四、目标评价与成绩评定</w:t>
      </w:r>
    </w:p>
    <w:p w14:paraId="66DC3A1E">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29AE91C7">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根据总体设计，用于评价各课程目标的评价方式如</w:t>
      </w:r>
      <w:r>
        <w:rPr>
          <w:rFonts w:hint="eastAsia" w:ascii="Times New Roman" w:hAnsi="Times New Roman" w:eastAsia="宋体" w:cs="Times New Roman"/>
          <w:color w:val="auto"/>
          <w:szCs w:val="21"/>
          <w:lang w:val="en-US" w:eastAsia="zh-CN"/>
        </w:rPr>
        <w:t>下表</w:t>
      </w:r>
      <w:r>
        <w:rPr>
          <w:rFonts w:ascii="Times New Roman" w:hAnsi="Times New Roman" w:eastAsia="宋体" w:cs="Times New Roman"/>
          <w:color w:val="auto"/>
          <w:szCs w:val="21"/>
        </w:rPr>
        <w:t>所示。</w:t>
      </w:r>
    </w:p>
    <w:tbl>
      <w:tblPr>
        <w:tblStyle w:val="16"/>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631"/>
        <w:gridCol w:w="1358"/>
        <w:gridCol w:w="1762"/>
        <w:gridCol w:w="1669"/>
        <w:gridCol w:w="1140"/>
      </w:tblGrid>
      <w:tr w14:paraId="6BCB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restart"/>
            <w:vAlign w:val="center"/>
          </w:tcPr>
          <w:p w14:paraId="15E4654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6420" w:type="dxa"/>
            <w:gridSpan w:val="4"/>
            <w:vAlign w:val="center"/>
          </w:tcPr>
          <w:p w14:paraId="760F32E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140" w:type="dxa"/>
            <w:vMerge w:val="restart"/>
            <w:vAlign w:val="center"/>
          </w:tcPr>
          <w:p w14:paraId="4021CD3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708B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continue"/>
            <w:vAlign w:val="center"/>
          </w:tcPr>
          <w:p w14:paraId="0201152E">
            <w:pPr>
              <w:spacing w:line="360" w:lineRule="auto"/>
              <w:jc w:val="center"/>
              <w:rPr>
                <w:rFonts w:hint="eastAsia" w:ascii="宋体" w:hAnsi="宋体" w:eastAsia="宋体" w:cs="Times New Roman"/>
                <w:color w:val="auto"/>
                <w:szCs w:val="21"/>
              </w:rPr>
            </w:pPr>
          </w:p>
        </w:tc>
        <w:tc>
          <w:tcPr>
            <w:tcW w:w="1631" w:type="dxa"/>
            <w:vAlign w:val="center"/>
          </w:tcPr>
          <w:p w14:paraId="7E962EF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1358" w:type="dxa"/>
            <w:vAlign w:val="center"/>
          </w:tcPr>
          <w:p w14:paraId="6295C9B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1762" w:type="dxa"/>
            <w:vAlign w:val="center"/>
          </w:tcPr>
          <w:p w14:paraId="2767B98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单元测验</w:t>
            </w:r>
          </w:p>
        </w:tc>
        <w:tc>
          <w:tcPr>
            <w:tcW w:w="1669" w:type="dxa"/>
            <w:vAlign w:val="center"/>
          </w:tcPr>
          <w:p w14:paraId="5144962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1140" w:type="dxa"/>
            <w:vMerge w:val="continue"/>
            <w:vAlign w:val="center"/>
          </w:tcPr>
          <w:p w14:paraId="4F404B07">
            <w:pPr>
              <w:spacing w:line="360" w:lineRule="auto"/>
              <w:jc w:val="center"/>
              <w:rPr>
                <w:rFonts w:hint="eastAsia" w:ascii="宋体" w:hAnsi="宋体" w:eastAsia="宋体" w:cs="Times New Roman"/>
                <w:color w:val="auto"/>
                <w:szCs w:val="21"/>
              </w:rPr>
            </w:pPr>
          </w:p>
        </w:tc>
      </w:tr>
      <w:tr w14:paraId="28AC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2362A69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631" w:type="dxa"/>
            <w:vAlign w:val="center"/>
          </w:tcPr>
          <w:p w14:paraId="1A9D501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358" w:type="dxa"/>
            <w:vAlign w:val="center"/>
          </w:tcPr>
          <w:p w14:paraId="2015368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762" w:type="dxa"/>
            <w:vAlign w:val="center"/>
          </w:tcPr>
          <w:p w14:paraId="68DA96A9">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69" w:type="dxa"/>
            <w:vAlign w:val="center"/>
          </w:tcPr>
          <w:p w14:paraId="24D2D0A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40" w:type="dxa"/>
            <w:vAlign w:val="center"/>
          </w:tcPr>
          <w:p w14:paraId="469A4DE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48AB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0445C8F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631" w:type="dxa"/>
            <w:vAlign w:val="center"/>
          </w:tcPr>
          <w:p w14:paraId="043B0BD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358" w:type="dxa"/>
            <w:vAlign w:val="center"/>
          </w:tcPr>
          <w:p w14:paraId="6840F5D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762" w:type="dxa"/>
            <w:vAlign w:val="center"/>
          </w:tcPr>
          <w:p w14:paraId="1F250E2E">
            <w:pPr>
              <w:spacing w:line="360" w:lineRule="auto"/>
              <w:jc w:val="center"/>
              <w:rPr>
                <w:rFonts w:hint="eastAsia" w:ascii="宋体" w:hAnsi="宋体" w:eastAsia="宋体" w:cs="Times New Roman"/>
                <w:color w:val="auto"/>
                <w:szCs w:val="21"/>
              </w:rPr>
            </w:pPr>
          </w:p>
        </w:tc>
        <w:tc>
          <w:tcPr>
            <w:tcW w:w="1669" w:type="dxa"/>
            <w:vAlign w:val="center"/>
          </w:tcPr>
          <w:p w14:paraId="6B9DCDF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40" w:type="dxa"/>
            <w:vAlign w:val="center"/>
          </w:tcPr>
          <w:p w14:paraId="1FF3024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23C8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6851B84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1631" w:type="dxa"/>
            <w:vAlign w:val="center"/>
          </w:tcPr>
          <w:p w14:paraId="22165C1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358" w:type="dxa"/>
            <w:vAlign w:val="center"/>
          </w:tcPr>
          <w:p w14:paraId="4ED8E82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762" w:type="dxa"/>
            <w:vAlign w:val="center"/>
          </w:tcPr>
          <w:p w14:paraId="724FFB28">
            <w:pPr>
              <w:spacing w:line="360" w:lineRule="auto"/>
              <w:jc w:val="center"/>
              <w:rPr>
                <w:rFonts w:hint="eastAsia" w:ascii="宋体" w:hAnsi="宋体" w:eastAsia="宋体" w:cs="Times New Roman"/>
                <w:color w:val="auto"/>
                <w:szCs w:val="21"/>
              </w:rPr>
            </w:pPr>
          </w:p>
        </w:tc>
        <w:tc>
          <w:tcPr>
            <w:tcW w:w="1669" w:type="dxa"/>
            <w:vAlign w:val="center"/>
          </w:tcPr>
          <w:p w14:paraId="0163348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40" w:type="dxa"/>
            <w:vAlign w:val="center"/>
          </w:tcPr>
          <w:p w14:paraId="55E3EB5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4C50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637961F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631" w:type="dxa"/>
            <w:vAlign w:val="center"/>
          </w:tcPr>
          <w:p w14:paraId="42B04461">
            <w:pPr>
              <w:spacing w:line="360" w:lineRule="auto"/>
              <w:jc w:val="center"/>
              <w:rPr>
                <w:rFonts w:hint="eastAsia" w:ascii="宋体" w:hAnsi="宋体" w:eastAsia="宋体" w:cs="Times New Roman"/>
                <w:color w:val="auto"/>
                <w:szCs w:val="21"/>
              </w:rPr>
            </w:pPr>
          </w:p>
        </w:tc>
        <w:tc>
          <w:tcPr>
            <w:tcW w:w="1358" w:type="dxa"/>
            <w:vAlign w:val="center"/>
          </w:tcPr>
          <w:p w14:paraId="7F3C1C8B">
            <w:pPr>
              <w:spacing w:line="360" w:lineRule="auto"/>
              <w:jc w:val="center"/>
              <w:rPr>
                <w:rFonts w:hint="eastAsia" w:ascii="宋体" w:hAnsi="宋体" w:eastAsia="宋体" w:cs="Times New Roman"/>
                <w:color w:val="auto"/>
                <w:szCs w:val="21"/>
              </w:rPr>
            </w:pPr>
          </w:p>
        </w:tc>
        <w:tc>
          <w:tcPr>
            <w:tcW w:w="1762" w:type="dxa"/>
            <w:vAlign w:val="center"/>
          </w:tcPr>
          <w:p w14:paraId="4020027F">
            <w:pPr>
              <w:spacing w:line="360" w:lineRule="auto"/>
              <w:jc w:val="center"/>
              <w:rPr>
                <w:rFonts w:hint="eastAsia" w:ascii="宋体" w:hAnsi="宋体" w:eastAsia="宋体" w:cs="Times New Roman"/>
                <w:color w:val="auto"/>
                <w:szCs w:val="21"/>
              </w:rPr>
            </w:pPr>
          </w:p>
        </w:tc>
        <w:tc>
          <w:tcPr>
            <w:tcW w:w="1669" w:type="dxa"/>
            <w:vAlign w:val="center"/>
          </w:tcPr>
          <w:p w14:paraId="270CA1AC">
            <w:pPr>
              <w:spacing w:line="360" w:lineRule="auto"/>
              <w:jc w:val="center"/>
              <w:rPr>
                <w:rFonts w:hint="eastAsia" w:ascii="宋体" w:hAnsi="宋体" w:eastAsia="宋体" w:cs="Times New Roman"/>
                <w:color w:val="auto"/>
                <w:szCs w:val="21"/>
              </w:rPr>
            </w:pPr>
          </w:p>
        </w:tc>
        <w:tc>
          <w:tcPr>
            <w:tcW w:w="1140" w:type="dxa"/>
            <w:vAlign w:val="center"/>
          </w:tcPr>
          <w:p w14:paraId="2AA30DA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34FD66E5">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78612BD7">
      <w:pPr>
        <w:spacing w:line="360" w:lineRule="auto"/>
        <w:ind w:firstLine="420" w:firstLineChars="200"/>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8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1136"/>
      </w:tblGrid>
      <w:tr w14:paraId="40FA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5D46F8D">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41C834D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1136" w:type="dxa"/>
            <w:vAlign w:val="center"/>
          </w:tcPr>
          <w:p w14:paraId="389ED91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1FCE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BCDAD94">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7141" w:type="dxa"/>
            <w:vAlign w:val="center"/>
          </w:tcPr>
          <w:p w14:paraId="7C88F668">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3次，一是对选士取士制度的评述；二是对先秦教育家某一思想或某一先秦教育家思想的评述；三是对近代某一教育家思想的评述。以小论文的形式完成，以规范性、逻辑性、创新性及整洁性为评分的主要依据。</w:t>
            </w:r>
          </w:p>
        </w:tc>
        <w:tc>
          <w:tcPr>
            <w:tcW w:w="1136" w:type="dxa"/>
            <w:vAlign w:val="center"/>
          </w:tcPr>
          <w:p w14:paraId="2D61E65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r>
      <w:tr w14:paraId="0A32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7D5C181">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7141" w:type="dxa"/>
            <w:vAlign w:val="center"/>
          </w:tcPr>
          <w:p w14:paraId="3E6D4482">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一是课题考勤情况</w:t>
            </w:r>
            <w:r>
              <w:rPr>
                <w:rFonts w:ascii="宋体" w:hAnsi="宋体" w:eastAsia="宋体" w:cs="宋体"/>
                <w:color w:val="auto"/>
                <w:kern w:val="0"/>
                <w:szCs w:val="21"/>
                <w:lang w:bidi="ar"/>
              </w:rPr>
              <w:t>。</w:t>
            </w:r>
            <w:r>
              <w:rPr>
                <w:rFonts w:hint="eastAsia" w:ascii="Times New Roman" w:hAnsi="Times New Roman" w:eastAsia="宋体" w:cs="Times New Roman"/>
                <w:color w:val="auto"/>
                <w:szCs w:val="21"/>
              </w:rPr>
              <w:t>迟到一次扣2分，无故缺席一次扣5分，累计达</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次以上（不含</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次）取消课程成绩。</w:t>
            </w:r>
          </w:p>
          <w:p w14:paraId="00EA167B">
            <w:pPr>
              <w:widowControl/>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二是</w:t>
            </w:r>
            <w:r>
              <w:rPr>
                <w:rFonts w:ascii="宋体" w:hAnsi="宋体" w:eastAsia="宋体" w:cs="宋体"/>
                <w:color w:val="auto"/>
                <w:kern w:val="0"/>
                <w:szCs w:val="21"/>
                <w:lang w:bidi="ar"/>
              </w:rPr>
              <w:t>课堂参与</w:t>
            </w:r>
            <w:r>
              <w:rPr>
                <w:rFonts w:hint="eastAsia" w:ascii="宋体" w:hAnsi="宋体" w:eastAsia="宋体" w:cs="宋体"/>
                <w:color w:val="auto"/>
                <w:kern w:val="0"/>
                <w:szCs w:val="21"/>
                <w:lang w:bidi="ar"/>
              </w:rPr>
              <w:t>情况。</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表现良好，按照对应的课程目标及权重给予评定</w:t>
            </w:r>
            <w:r>
              <w:rPr>
                <w:rFonts w:hint="eastAsia" w:ascii="宋体" w:hAnsi="宋体" w:eastAsia="宋体" w:cs="宋体"/>
                <w:color w:val="auto"/>
                <w:kern w:val="0"/>
                <w:szCs w:val="21"/>
                <w:lang w:bidi="ar"/>
              </w:rPr>
              <w:t>。</w:t>
            </w:r>
          </w:p>
        </w:tc>
        <w:tc>
          <w:tcPr>
            <w:tcW w:w="1136" w:type="dxa"/>
            <w:vAlign w:val="center"/>
          </w:tcPr>
          <w:p w14:paraId="2F6D2BB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w:t>
            </w:r>
          </w:p>
        </w:tc>
      </w:tr>
      <w:tr w14:paraId="75A3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533D0BB">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单元测验</w:t>
            </w:r>
          </w:p>
        </w:tc>
        <w:tc>
          <w:tcPr>
            <w:tcW w:w="7141" w:type="dxa"/>
            <w:vAlign w:val="center"/>
          </w:tcPr>
          <w:p w14:paraId="6FDB5FC6">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每单元在线上进行测验，主要考查基础知识和基本理论的掌握，以题目的正确率为得分依据。</w:t>
            </w:r>
          </w:p>
        </w:tc>
        <w:tc>
          <w:tcPr>
            <w:tcW w:w="1136" w:type="dxa"/>
            <w:vAlign w:val="center"/>
          </w:tcPr>
          <w:p w14:paraId="4DF61C2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r>
      <w:tr w14:paraId="5CBCF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5B8C1FA">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7141" w:type="dxa"/>
            <w:vAlign w:val="center"/>
          </w:tcPr>
          <w:p w14:paraId="3BF647E5">
            <w:pPr>
              <w:spacing w:line="264"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t>试卷题型包括</w:t>
            </w:r>
            <w:r>
              <w:rPr>
                <w:rFonts w:hint="eastAsia" w:ascii="Times New Roman" w:hAnsi="Times New Roman" w:eastAsia="宋体" w:cs="Times New Roman"/>
                <w:color w:val="auto"/>
                <w:szCs w:val="21"/>
              </w:rPr>
              <w:t>辨析</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简答题、论述题</w:t>
            </w:r>
            <w:r>
              <w:rPr>
                <w:rFonts w:ascii="Times New Roman" w:hAnsi="Times New Roman" w:eastAsia="宋体" w:cs="Times New Roman"/>
                <w:color w:val="auto"/>
                <w:szCs w:val="21"/>
              </w:rPr>
              <w:t>等，以卷面成绩的50%计入课程总成绩。其中考核</w:t>
            </w:r>
            <w:r>
              <w:rPr>
                <w:rFonts w:hint="eastAsia" w:ascii="Times New Roman" w:hAnsi="Times New Roman" w:eastAsia="宋体" w:cs="Times New Roman"/>
                <w:color w:val="auto"/>
                <w:szCs w:val="21"/>
              </w:rPr>
              <w:t>对教育史实理解和掌握的题目占4</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%；考核学生理解和运用教育思想分析问题的题型占6</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w:t>
            </w:r>
          </w:p>
        </w:tc>
        <w:tc>
          <w:tcPr>
            <w:tcW w:w="1136" w:type="dxa"/>
            <w:vAlign w:val="center"/>
          </w:tcPr>
          <w:p w14:paraId="7230FF3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173C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7B681C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0F9DB292">
            <w:pPr>
              <w:jc w:val="left"/>
              <w:rPr>
                <w:rFonts w:ascii="Times New Roman" w:hAnsi="Times New Roman" w:eastAsia="宋体" w:cs="Times New Roman"/>
                <w:color w:val="auto"/>
                <w:szCs w:val="21"/>
              </w:rPr>
            </w:pPr>
          </w:p>
        </w:tc>
        <w:tc>
          <w:tcPr>
            <w:tcW w:w="1136" w:type="dxa"/>
            <w:vAlign w:val="center"/>
          </w:tcPr>
          <w:p w14:paraId="2FD8478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7642B964">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78CF2C82">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670D558A">
      <w:pPr>
        <w:spacing w:line="360" w:lineRule="auto"/>
        <w:ind w:firstLine="420" w:firstLineChars="200"/>
        <w:jc w:val="left"/>
        <w:rPr>
          <w:rFonts w:ascii="Times New Roman" w:hAnsi="Times New Roman" w:eastAsia="宋体" w:cs="Times New Roman"/>
          <w:b/>
          <w:bCs/>
          <w:color w:val="auto"/>
          <w:sz w:val="24"/>
        </w:rPr>
      </w:pPr>
      <w:r>
        <w:rPr>
          <w:rFonts w:ascii="宋体" w:hAnsi="宋体" w:eastAsia="宋体" w:cs="Times New Roman"/>
          <w:color w:val="auto"/>
          <w:szCs w:val="21"/>
        </w:rPr>
        <w:object>
          <v:shape id="_x0000_i1039"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39" DrawAspect="Content" ObjectID="_1468075738" r:id="rId25">
            <o:LockedField>false</o:LockedField>
          </o:OLEObject>
        </w:object>
      </w:r>
      <w:r>
        <w:rPr>
          <w:rFonts w:hint="eastAsia" w:ascii="宋体" w:hAnsi="宋体" w:eastAsia="宋体" w:cs="Times New Roman"/>
          <w:b/>
          <w:color w:val="auto"/>
          <w:sz w:val="24"/>
          <w:lang w:val="en-US" w:eastAsia="zh-CN"/>
        </w:rPr>
        <w:t>五</w:t>
      </w:r>
      <w:r>
        <w:rPr>
          <w:rFonts w:hint="eastAsia" w:ascii="宋体" w:hAnsi="宋体" w:eastAsia="宋体" w:cs="Times New Roman"/>
          <w:b/>
          <w:color w:val="auto"/>
          <w:sz w:val="24"/>
        </w:rPr>
        <w:t>、有关说明</w:t>
      </w:r>
    </w:p>
    <w:p w14:paraId="059782E7">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20857D62">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根据学生课堂教学中的反应、课后反馈、作业质量、答卷情况，以及领导、督导、教师同行等的听课情况，及时发现和改进教学中的不足之处，确保相应毕业要求指标点达成。</w:t>
      </w:r>
    </w:p>
    <w:p w14:paraId="3C27EB8C">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6284369E">
      <w:pPr>
        <w:spacing w:line="336"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孙培青.</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rPr>
        <w:t>中国教育史（第四版）.华东师范大学出版社，2</w:t>
      </w:r>
      <w:r>
        <w:rPr>
          <w:rFonts w:ascii="Times New Roman" w:hAnsi="Times New Roman" w:eastAsia="宋体" w:cs="Times New Roman"/>
          <w:bCs/>
          <w:color w:val="auto"/>
          <w:szCs w:val="21"/>
        </w:rPr>
        <w:t>019</w:t>
      </w:r>
      <w:r>
        <w:rPr>
          <w:rFonts w:hint="eastAsia" w:ascii="Times New Roman" w:hAnsi="Times New Roman" w:eastAsia="宋体" w:cs="Times New Roman"/>
          <w:bCs/>
          <w:color w:val="auto"/>
          <w:szCs w:val="21"/>
        </w:rPr>
        <w:t>.</w:t>
      </w:r>
    </w:p>
    <w:p w14:paraId="053046A9">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28136D28">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1.王炳照等.简明中国教育史. 北京：北京师范大学出版社，2018.</w:t>
      </w:r>
    </w:p>
    <w:p w14:paraId="0C4F4E02">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2.孙培青.李国钧.中国教育思想史(第1-3卷).上海：华东师范大学出版社，1995.</w:t>
      </w:r>
    </w:p>
    <w:p w14:paraId="59705839">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3.毛礼锐，沈灌群.中国教育通史(第1-6卷).济南：山东教育出版社，1985-1989.</w:t>
      </w:r>
    </w:p>
    <w:p w14:paraId="45F57712">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4.王炳照，阎国华.中国教育思想通史(第1-8卷).长沙：湖南教育出版社，1994.</w:t>
      </w:r>
    </w:p>
    <w:p w14:paraId="74E5CABF">
      <w:pPr>
        <w:autoSpaceDE w:val="0"/>
        <w:autoSpaceDN w:val="0"/>
        <w:adjustRightInd w:val="0"/>
        <w:spacing w:line="360" w:lineRule="auto"/>
        <w:jc w:val="right"/>
        <w:rPr>
          <w:rFonts w:hint="eastAsia" w:ascii="宋体" w:hAnsi="宋体" w:eastAsia="宋体" w:cs="Times New Roman"/>
          <w:color w:val="auto"/>
          <w:kern w:val="0"/>
          <w:sz w:val="24"/>
          <w:szCs w:val="21"/>
        </w:rPr>
      </w:pPr>
    </w:p>
    <w:p w14:paraId="2EA00018">
      <w:pPr>
        <w:autoSpaceDE w:val="0"/>
        <w:autoSpaceDN w:val="0"/>
        <w:adjustRightInd w:val="0"/>
        <w:spacing w:line="360" w:lineRule="auto"/>
        <w:jc w:val="right"/>
        <w:rPr>
          <w:rFonts w:hint="eastAsia" w:ascii="宋体" w:hAnsi="宋体" w:eastAsia="宋体" w:cs="Times New Roman"/>
          <w:color w:val="auto"/>
          <w:kern w:val="0"/>
          <w:sz w:val="24"/>
          <w:szCs w:val="21"/>
        </w:rPr>
      </w:pPr>
    </w:p>
    <w:p w14:paraId="4B305230">
      <w:pPr>
        <w:autoSpaceDE w:val="0"/>
        <w:autoSpaceDN w:val="0"/>
        <w:adjustRightInd w:val="0"/>
        <w:spacing w:line="360" w:lineRule="auto"/>
        <w:jc w:val="righ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执笔人：</w:t>
      </w:r>
      <w:r>
        <w:rPr>
          <w:rFonts w:hint="eastAsia" w:ascii="宋体" w:hAnsi="宋体" w:eastAsia="宋体" w:cs="Times New Roman"/>
          <w:color w:val="auto"/>
          <w:kern w:val="0"/>
          <w:sz w:val="21"/>
          <w:szCs w:val="21"/>
        </w:rPr>
        <w:t>姚玉香</w:t>
      </w:r>
    </w:p>
    <w:p w14:paraId="17CDE17E">
      <w:pPr>
        <w:autoSpaceDE w:val="0"/>
        <w:autoSpaceDN w:val="0"/>
        <w:adjustRightInd w:val="0"/>
        <w:spacing w:line="360" w:lineRule="auto"/>
        <w:jc w:val="righ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审定人：王  健</w:t>
      </w:r>
    </w:p>
    <w:p w14:paraId="50506162">
      <w:pPr>
        <w:autoSpaceDE w:val="0"/>
        <w:autoSpaceDN w:val="0"/>
        <w:adjustRightInd w:val="0"/>
        <w:spacing w:line="360" w:lineRule="auto"/>
        <w:jc w:val="righ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审批人：张志欣</w:t>
      </w:r>
    </w:p>
    <w:p w14:paraId="36B4D8CD">
      <w:pPr>
        <w:jc w:val="right"/>
        <w:rPr>
          <w:rFonts w:hint="eastAsia" w:eastAsiaTheme="minorEastAsia"/>
          <w:color w:val="auto"/>
          <w:sz w:val="21"/>
          <w:szCs w:val="21"/>
          <w:lang w:eastAsia="zh-CN"/>
        </w:rPr>
      </w:pPr>
      <w:r>
        <w:rPr>
          <w:rFonts w:hint="eastAsia" w:ascii="宋体" w:hAnsi="宋体" w:eastAsia="宋体" w:cs="Times New Roman"/>
          <w:color w:val="auto"/>
          <w:kern w:val="0"/>
          <w:sz w:val="21"/>
          <w:szCs w:val="21"/>
          <w:lang w:eastAsia="zh-CN"/>
        </w:rPr>
        <w:t>批准时间：2025年7月1日</w:t>
      </w:r>
    </w:p>
    <w:p w14:paraId="52EDEF09">
      <w:pPr>
        <w:ind w:firstLine="5280" w:firstLineChars="2200"/>
        <w:rPr>
          <w:rFonts w:hint="eastAsia" w:ascii="等线" w:hAnsi="等线" w:eastAsia="等线" w:cs="Times New Roman"/>
          <w:color w:val="auto"/>
        </w:rPr>
      </w:pPr>
      <w:r>
        <w:rPr>
          <w:rFonts w:hint="eastAsia"/>
          <w:color w:val="auto"/>
          <w:sz w:val="24"/>
        </w:rPr>
        <w:br w:type="page"/>
      </w:r>
    </w:p>
    <w:p w14:paraId="0CF81FD0">
      <w:pPr>
        <w:spacing w:line="360" w:lineRule="auto"/>
        <w:jc w:val="center"/>
        <w:outlineLvl w:val="0"/>
        <w:rPr>
          <w:rFonts w:hint="eastAsia" w:ascii="Times New Roman" w:hAnsi="Times New Roman" w:eastAsia="宋体" w:cs="Times New Roman"/>
          <w:b/>
          <w:color w:val="auto"/>
          <w:sz w:val="44"/>
          <w:szCs w:val="44"/>
        </w:rPr>
      </w:pPr>
      <w:bookmarkStart w:id="214" w:name="_Toc30825"/>
      <w:bookmarkStart w:id="215" w:name="_Toc166164849"/>
      <w:bookmarkStart w:id="216" w:name="_Toc57017173"/>
      <w:bookmarkStart w:id="217" w:name="_Toc15027"/>
      <w:r>
        <w:rPr>
          <w:rFonts w:hint="eastAsia" w:ascii="Times New Roman" w:hAnsi="Times New Roman" w:eastAsia="宋体" w:cs="Times New Roman"/>
          <w:b/>
          <w:color w:val="auto"/>
          <w:sz w:val="44"/>
          <w:szCs w:val="44"/>
        </w:rPr>
        <w:t>《外国教育史》课程与教学大纲</w:t>
      </w:r>
      <w:bookmarkEnd w:id="214"/>
      <w:bookmarkEnd w:id="215"/>
      <w:bookmarkEnd w:id="216"/>
      <w:bookmarkEnd w:id="217"/>
    </w:p>
    <w:p w14:paraId="25E9257D">
      <w:pPr>
        <w:spacing w:line="360" w:lineRule="auto"/>
        <w:jc w:val="center"/>
        <w:rPr>
          <w:rFonts w:ascii="Times New Roman" w:hAnsi="Times New Roman" w:eastAsia="黑体" w:cs="Times New Roman"/>
          <w:b/>
          <w:color w:val="auto"/>
          <w:sz w:val="28"/>
          <w:szCs w:val="30"/>
        </w:rPr>
      </w:pPr>
      <w:r>
        <w:rPr>
          <w:rFonts w:ascii="Times New Roman" w:hAnsi="Times New Roman" w:eastAsia="黑体" w:cs="Times New Roman"/>
          <w:b/>
          <w:color w:val="auto"/>
          <w:sz w:val="28"/>
          <w:szCs w:val="30"/>
        </w:rPr>
        <w:t>（History of Foreign Education）</w:t>
      </w:r>
    </w:p>
    <w:p w14:paraId="17E18AB6">
      <w:pPr>
        <w:spacing w:line="360" w:lineRule="auto"/>
        <w:rPr>
          <w:rFonts w:hint="eastAsia" w:ascii="宋体" w:hAnsi="宋体" w:eastAsia="宋体" w:cs="Times New Roman"/>
          <w:b/>
          <w:bCs/>
          <w:color w:val="auto"/>
          <w:sz w:val="21"/>
          <w:szCs w:val="21"/>
          <w:lang w:val="en-US" w:eastAsia="zh-CN"/>
        </w:rPr>
      </w:pPr>
    </w:p>
    <w:p w14:paraId="30A335D2">
      <w:pPr>
        <w:spacing w:line="360" w:lineRule="auto"/>
        <w:ind w:firstLine="482" w:firstLineChars="200"/>
        <w:rPr>
          <w:rFonts w:hint="eastAsia" w:ascii="宋体" w:hAnsi="宋体" w:eastAsia="宋体" w:cs="Times New Roman"/>
          <w:b/>
          <w:bCs/>
          <w:sz w:val="24"/>
        </w:rPr>
      </w:pPr>
      <w:r>
        <w:rPr>
          <w:rFonts w:hint="eastAsia" w:ascii="宋体" w:hAnsi="宋体" w:eastAsia="宋体" w:cs="Times New Roman"/>
          <w:b/>
          <w:bCs/>
          <w:sz w:val="24"/>
        </w:rPr>
        <w:t>课程名称：外国教育史</w:t>
      </w:r>
    </w:p>
    <w:p w14:paraId="00548FD6">
      <w:pPr>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课程代码：</w:t>
      </w:r>
      <w:r>
        <w:rPr>
          <w:rFonts w:ascii="宋体" w:hAnsi="宋体" w:eastAsia="宋体" w:cs="Times New Roman"/>
          <w:b/>
          <w:bCs/>
          <w:kern w:val="0"/>
          <w:sz w:val="24"/>
        </w:rPr>
        <w:t>2401007</w:t>
      </w:r>
    </w:p>
    <w:p w14:paraId="471EB05A">
      <w:pPr>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学</w:t>
      </w:r>
      <w:r>
        <w:rPr>
          <w:rFonts w:ascii="宋体" w:hAnsi="宋体" w:eastAsia="宋体" w:cs="Times New Roman"/>
          <w:b/>
          <w:bCs/>
          <w:kern w:val="0"/>
          <w:sz w:val="24"/>
        </w:rPr>
        <w:t xml:space="preserve">    </w:t>
      </w:r>
      <w:r>
        <w:rPr>
          <w:rFonts w:hint="eastAsia" w:ascii="宋体" w:hAnsi="宋体" w:eastAsia="宋体" w:cs="Times New Roman"/>
          <w:b/>
          <w:bCs/>
          <w:kern w:val="0"/>
          <w:sz w:val="24"/>
        </w:rPr>
        <w:t>分：</w:t>
      </w:r>
      <w:r>
        <w:rPr>
          <w:rFonts w:ascii="宋体" w:hAnsi="宋体" w:eastAsia="宋体" w:cs="Times New Roman"/>
          <w:b/>
          <w:bCs/>
          <w:kern w:val="0"/>
          <w:sz w:val="24"/>
        </w:rPr>
        <w:t>2</w:t>
      </w:r>
    </w:p>
    <w:p w14:paraId="7F603B98">
      <w:pPr>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学</w:t>
      </w:r>
      <w:r>
        <w:rPr>
          <w:rFonts w:ascii="宋体" w:hAnsi="宋体" w:eastAsia="宋体" w:cs="Times New Roman"/>
          <w:b/>
          <w:bCs/>
          <w:kern w:val="0"/>
          <w:sz w:val="24"/>
        </w:rPr>
        <w:t xml:space="preserve">    </w:t>
      </w:r>
      <w:r>
        <w:rPr>
          <w:rFonts w:hint="eastAsia" w:ascii="宋体" w:hAnsi="宋体" w:eastAsia="宋体" w:cs="Times New Roman"/>
          <w:b/>
          <w:bCs/>
          <w:kern w:val="0"/>
          <w:sz w:val="24"/>
        </w:rPr>
        <w:t>时：</w:t>
      </w:r>
      <w:r>
        <w:rPr>
          <w:rFonts w:ascii="宋体" w:hAnsi="宋体" w:eastAsia="宋体" w:cs="Times New Roman"/>
          <w:b/>
          <w:bCs/>
          <w:kern w:val="0"/>
          <w:sz w:val="24"/>
        </w:rPr>
        <w:t>32</w:t>
      </w:r>
    </w:p>
    <w:p w14:paraId="29DB28B6">
      <w:pPr>
        <w:spacing w:line="360" w:lineRule="auto"/>
        <w:ind w:firstLine="482" w:firstLineChars="200"/>
        <w:jc w:val="left"/>
        <w:rPr>
          <w:rFonts w:hint="eastAsia" w:ascii="宋体" w:hAnsi="宋体" w:eastAsia="宋体" w:cs="Times New Roman"/>
          <w:b/>
          <w:bCs/>
          <w:sz w:val="24"/>
        </w:rPr>
      </w:pPr>
      <w:r>
        <w:rPr>
          <w:rFonts w:hint="eastAsia" w:ascii="宋体" w:hAnsi="宋体" w:eastAsia="宋体" w:cs="Times New Roman"/>
          <w:b/>
          <w:bCs/>
          <w:kern w:val="0"/>
          <w:sz w:val="24"/>
        </w:rPr>
        <w:t>先修课程：</w:t>
      </w:r>
      <w:r>
        <w:rPr>
          <w:rFonts w:hint="eastAsia" w:ascii="宋体" w:hAnsi="宋体" w:eastAsia="宋体" w:cs="Times New Roman"/>
          <w:b/>
          <w:bCs/>
          <w:sz w:val="24"/>
        </w:rPr>
        <w:t>教育原理、中国教育史</w:t>
      </w:r>
    </w:p>
    <w:p w14:paraId="57B59692">
      <w:pPr>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适用专业：小学教育</w:t>
      </w:r>
    </w:p>
    <w:p w14:paraId="6C5E51AD">
      <w:pPr>
        <w:adjustRightInd w:val="0"/>
        <w:snapToGrid w:val="0"/>
        <w:spacing w:before="62" w:beforeLines="20" w:after="62" w:afterLines="20" w:line="360" w:lineRule="auto"/>
        <w:rPr>
          <w:rFonts w:hint="eastAsia" w:ascii="宋体" w:hAnsi="宋体" w:eastAsia="宋体" w:cs="Times New Roman"/>
          <w:b/>
          <w:sz w:val="24"/>
        </w:rPr>
      </w:pPr>
      <w:r>
        <w:rPr>
          <w:rFonts w:hint="eastAsia" w:ascii="宋体" w:hAnsi="宋体" w:eastAsia="宋体" w:cs="Times New Roman"/>
          <w:b/>
          <w:sz w:val="24"/>
        </w:rPr>
        <w:t>一、课程简介</w:t>
      </w:r>
    </w:p>
    <w:p w14:paraId="7970569A">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是小学教育本科专业教师教育类必修课程。课程的主要任务是通过梳理和介绍外国（主要是西方发达国家）的教育制度、教育实践发展历史进程以及主要教育家的教育思想，培养师范生正确的教育历史观、提升教师理论综合素养，提高其针对当今教育现象进行古今中外对比分析的意识和能力，从而形成对人类教育发展规律的历史性认识。</w:t>
      </w:r>
    </w:p>
    <w:p w14:paraId="65B73C6B">
      <w:pPr>
        <w:adjustRightInd w:val="0"/>
        <w:snapToGrid w:val="0"/>
        <w:spacing w:before="62" w:beforeLines="20" w:after="62" w:afterLines="20" w:line="360" w:lineRule="auto"/>
        <w:rPr>
          <w:rFonts w:hint="eastAsia" w:ascii="宋体" w:hAnsi="宋体" w:eastAsia="宋体" w:cs="Times New Roman"/>
          <w:b/>
          <w:sz w:val="24"/>
        </w:rPr>
      </w:pPr>
      <w:bookmarkStart w:id="218" w:name="_Toc27847257"/>
      <w:bookmarkStart w:id="219" w:name="_Toc27846239"/>
      <w:r>
        <w:rPr>
          <w:rFonts w:hint="eastAsia" w:ascii="宋体" w:hAnsi="宋体" w:eastAsia="宋体" w:cs="Times New Roman"/>
          <w:b/>
          <w:sz w:val="24"/>
        </w:rPr>
        <w:t>二、课程目标</w:t>
      </w:r>
      <w:bookmarkEnd w:id="218"/>
      <w:bookmarkEnd w:id="219"/>
    </w:p>
    <w:p w14:paraId="4195B30E">
      <w:p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（一）课程具体目标</w:t>
      </w:r>
    </w:p>
    <w:p w14:paraId="2703064A">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1.</w:t>
      </w:r>
      <w:r>
        <w:rPr>
          <w:rFonts w:hint="eastAsia" w:ascii="宋体" w:hAnsi="宋体" w:eastAsia="宋体" w:cs="Times New Roman"/>
          <w:szCs w:val="21"/>
        </w:rPr>
        <w:t>理解外国教育史的学科性质、研究对象、基本概念、基本方法论，建立外国教育史有关问题的批判分析意识和对比研究能力，牢固树立国家民族自豪感，增强中国文化自信。理解西方主要发达国家教育发展的进程和经验得失，掌握综合分析教育历史现象的能力。</w:t>
      </w:r>
    </w:p>
    <w:p w14:paraId="3A15156E">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目标2</w:t>
      </w:r>
      <w:r>
        <w:rPr>
          <w:rFonts w:ascii="宋体" w:hAnsi="宋体" w:eastAsia="宋体" w:cs="Times New Roman"/>
          <w:szCs w:val="21"/>
        </w:rPr>
        <w:t>.</w:t>
      </w:r>
      <w:r>
        <w:rPr>
          <w:rFonts w:hint="eastAsia" w:ascii="宋体" w:hAnsi="宋体" w:eastAsia="宋体" w:cs="Times New Roman"/>
          <w:szCs w:val="21"/>
        </w:rPr>
        <w:t>了解西方自古希腊以来教育发展的历史线索和相互继承关系，理解教育家的教育思想在人类教育发展中积极作用，逐步建立古为今用和洋为中用的解决问题意识。理解西方主要社会转折时期影响教育发展的诸多因素，正确使用历史的眼光分析当今世界教育发展的现状问题。</w:t>
      </w:r>
    </w:p>
    <w:p w14:paraId="55E400EA">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目标3</w:t>
      </w:r>
      <w:r>
        <w:rPr>
          <w:rFonts w:ascii="宋体" w:hAnsi="宋体" w:eastAsia="宋体" w:cs="Times New Roman"/>
          <w:szCs w:val="21"/>
        </w:rPr>
        <w:t>.</w:t>
      </w:r>
      <w:r>
        <w:rPr>
          <w:rFonts w:hint="eastAsia" w:ascii="宋体" w:hAnsi="宋体" w:eastAsia="宋体" w:cs="Times New Roman"/>
          <w:szCs w:val="21"/>
        </w:rPr>
        <w:t>理解世界范围内的教育发展成就问题，掌握使用历史学方法分析和思考未来人类教育发展趋势问题。</w:t>
      </w:r>
    </w:p>
    <w:p w14:paraId="2703F6B0">
      <w:pPr>
        <w:numPr>
          <w:ilvl w:val="0"/>
          <w:numId w:val="18"/>
        </w:numPr>
        <w:spacing w:line="360" w:lineRule="auto"/>
        <w:ind w:left="0" w:leftChars="0" w:firstLine="422" w:firstLineChars="200"/>
        <w:rPr>
          <w:rFonts w:hint="eastAsia" w:ascii="宋体" w:hAnsi="宋体" w:eastAsia="宋体" w:cs="宋体"/>
          <w:b/>
          <w:szCs w:val="21"/>
        </w:rPr>
      </w:pPr>
      <w:r>
        <w:rPr>
          <w:rFonts w:hint="eastAsia" w:ascii="宋体" w:hAnsi="宋体" w:eastAsia="宋体" w:cs="宋体"/>
          <w:b/>
          <w:szCs w:val="21"/>
        </w:rPr>
        <w:t>课程目标与专业毕业要求的关系</w:t>
      </w:r>
    </w:p>
    <w:p w14:paraId="5780315A">
      <w:pPr>
        <w:widowControl w:val="0"/>
        <w:numPr>
          <w:ilvl w:val="0"/>
          <w:numId w:val="0"/>
        </w:numPr>
        <w:spacing w:line="360" w:lineRule="auto"/>
        <w:jc w:val="both"/>
        <w:rPr>
          <w:rFonts w:hint="eastAsia" w:ascii="宋体" w:hAnsi="宋体" w:eastAsia="宋体" w:cs="宋体"/>
          <w:b/>
          <w:szCs w:val="21"/>
        </w:rPr>
      </w:pPr>
    </w:p>
    <w:p w14:paraId="1241F080">
      <w:pPr>
        <w:widowControl w:val="0"/>
        <w:numPr>
          <w:ilvl w:val="0"/>
          <w:numId w:val="0"/>
        </w:numPr>
        <w:spacing w:line="360" w:lineRule="auto"/>
        <w:jc w:val="both"/>
        <w:rPr>
          <w:rFonts w:hint="eastAsia" w:ascii="宋体" w:hAnsi="宋体" w:eastAsia="宋体" w:cs="宋体"/>
          <w:b/>
          <w:szCs w:val="21"/>
        </w:rPr>
      </w:pP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5700"/>
        <w:gridCol w:w="1630"/>
      </w:tblGrid>
      <w:tr w14:paraId="44E94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41" w:type="dxa"/>
            <w:vAlign w:val="center"/>
          </w:tcPr>
          <w:p w14:paraId="5E1B8412">
            <w:pPr>
              <w:adjustRightInd w:val="0"/>
              <w:snapToGrid w:val="0"/>
              <w:spacing w:line="276" w:lineRule="auto"/>
              <w:jc w:val="center"/>
              <w:rPr>
                <w:rFonts w:hint="eastAsia" w:ascii="宋体" w:hAnsi="宋体" w:eastAsia="宋体" w:cs="宋体"/>
                <w:b/>
                <w:bCs/>
                <w:szCs w:val="21"/>
              </w:rPr>
            </w:pPr>
            <w:r>
              <w:rPr>
                <w:rFonts w:hint="eastAsia" w:ascii="宋体" w:hAnsi="宋体" w:eastAsia="宋体" w:cs="宋体"/>
                <w:b/>
                <w:bCs/>
                <w:szCs w:val="21"/>
              </w:rPr>
              <w:t>支撑的毕业要求</w:t>
            </w:r>
          </w:p>
        </w:tc>
        <w:tc>
          <w:tcPr>
            <w:tcW w:w="5700" w:type="dxa"/>
            <w:vAlign w:val="center"/>
          </w:tcPr>
          <w:p w14:paraId="60A680FA">
            <w:pPr>
              <w:adjustRightInd w:val="0"/>
              <w:snapToGrid w:val="0"/>
              <w:spacing w:line="276" w:lineRule="auto"/>
              <w:jc w:val="center"/>
              <w:rPr>
                <w:rFonts w:hint="eastAsia" w:ascii="宋体" w:hAnsi="宋体" w:eastAsia="宋体" w:cs="宋体"/>
                <w:b/>
                <w:bCs/>
                <w:szCs w:val="21"/>
              </w:rPr>
            </w:pPr>
            <w:r>
              <w:rPr>
                <w:rFonts w:hint="eastAsia" w:ascii="宋体" w:hAnsi="宋体" w:eastAsia="宋体" w:cs="宋体"/>
                <w:b/>
                <w:bCs/>
                <w:szCs w:val="21"/>
              </w:rPr>
              <w:t>支撑的毕业要求指标点</w:t>
            </w:r>
          </w:p>
        </w:tc>
        <w:tc>
          <w:tcPr>
            <w:tcW w:w="1630" w:type="dxa"/>
            <w:vAlign w:val="center"/>
          </w:tcPr>
          <w:p w14:paraId="6EAED9DF">
            <w:pPr>
              <w:adjustRightInd w:val="0"/>
              <w:snapToGrid w:val="0"/>
              <w:spacing w:line="276" w:lineRule="auto"/>
              <w:jc w:val="center"/>
              <w:rPr>
                <w:rFonts w:hint="eastAsia" w:ascii="宋体" w:hAnsi="宋体" w:eastAsia="宋体" w:cs="宋体"/>
                <w:b/>
                <w:bCs/>
                <w:szCs w:val="21"/>
              </w:rPr>
            </w:pPr>
            <w:r>
              <w:rPr>
                <w:rFonts w:hint="eastAsia" w:ascii="宋体" w:hAnsi="宋体" w:eastAsia="宋体" w:cs="宋体"/>
                <w:b/>
                <w:bCs/>
                <w:szCs w:val="21"/>
              </w:rPr>
              <w:t>课程目标</w:t>
            </w:r>
          </w:p>
        </w:tc>
      </w:tr>
      <w:tr w14:paraId="41D4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741" w:type="dxa"/>
            <w:vAlign w:val="center"/>
          </w:tcPr>
          <w:p w14:paraId="440F0731">
            <w:pPr>
              <w:adjustRightInd w:val="0"/>
              <w:snapToGrid w:val="0"/>
              <w:spacing w:line="276" w:lineRule="auto"/>
              <w:jc w:val="center"/>
              <w:rPr>
                <w:rFonts w:hint="eastAsia" w:ascii="宋体" w:hAnsi="宋体" w:eastAsia="宋体" w:cs="宋体"/>
                <w:b/>
                <w:bCs/>
                <w:kern w:val="0"/>
                <w:szCs w:val="21"/>
              </w:rPr>
            </w:pPr>
            <w:r>
              <w:rPr>
                <w:rFonts w:hint="eastAsia" w:ascii="宋体" w:hAnsi="宋体" w:eastAsia="宋体" w:cs="宋体"/>
                <w:b/>
                <w:bCs/>
                <w:kern w:val="0"/>
                <w:szCs w:val="21"/>
              </w:rPr>
              <w:t>毕业要求2.</w:t>
            </w:r>
          </w:p>
          <w:p w14:paraId="0F93BFB7">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
                <w:bCs/>
                <w:kern w:val="0"/>
                <w:szCs w:val="21"/>
              </w:rPr>
              <w:t>教育情怀</w:t>
            </w:r>
          </w:p>
        </w:tc>
        <w:tc>
          <w:tcPr>
            <w:tcW w:w="5700" w:type="dxa"/>
            <w:vAlign w:val="center"/>
          </w:tcPr>
          <w:p w14:paraId="322E8BF3">
            <w:pPr>
              <w:adjustRightInd w:val="0"/>
              <w:snapToGrid w:val="0"/>
              <w:spacing w:line="276" w:lineRule="auto"/>
              <w:jc w:val="left"/>
              <w:rPr>
                <w:rFonts w:hint="eastAsia" w:ascii="宋体" w:hAnsi="宋体" w:eastAsia="宋体" w:cs="宋体"/>
                <w:kern w:val="0"/>
                <w:sz w:val="18"/>
                <w:szCs w:val="21"/>
              </w:rPr>
            </w:pPr>
            <w:r>
              <w:rPr>
                <w:rFonts w:hint="eastAsia" w:ascii="宋体" w:hAnsi="宋体" w:cs="宋体"/>
                <w:b/>
                <w:kern w:val="0"/>
                <w:szCs w:val="21"/>
                <w:lang w:eastAsia="zh-CN"/>
              </w:rPr>
              <w:t>指标点2-1</w:t>
            </w:r>
            <w:r>
              <w:rPr>
                <w:rFonts w:hint="eastAsia" w:ascii="宋体" w:hAnsi="宋体" w:cs="宋体"/>
                <w:szCs w:val="21"/>
              </w:rPr>
              <w:t>：【职业认同感强】</w:t>
            </w:r>
            <w:r>
              <w:rPr>
                <w:rFonts w:hint="eastAsia" w:ascii="宋体" w:hAnsi="宋体" w:cs="宋体"/>
                <w:sz w:val="20"/>
                <w:szCs w:val="20"/>
              </w:rPr>
              <w:t>具有家国情怀，热爱教育事业，秉持“坚忍诚勇，立己达人”的师范精神，践行教育家精神，乐于从教，热爱教育事业，具有较高的教师职业认同感，认同教师职业的意义、价值与专业性。</w:t>
            </w:r>
          </w:p>
        </w:tc>
        <w:tc>
          <w:tcPr>
            <w:tcW w:w="1630" w:type="dxa"/>
            <w:vAlign w:val="center"/>
          </w:tcPr>
          <w:p w14:paraId="3EBBB328">
            <w:pPr>
              <w:adjustRightInd w:val="0"/>
              <w:snapToGrid w:val="0"/>
              <w:spacing w:line="276" w:lineRule="auto"/>
              <w:jc w:val="center"/>
              <w:rPr>
                <w:rFonts w:hint="eastAsia" w:ascii="宋体" w:hAnsi="宋体" w:eastAsia="宋体" w:cs="宋体"/>
                <w:kern w:val="0"/>
                <w:sz w:val="20"/>
                <w:szCs w:val="20"/>
              </w:rPr>
            </w:pPr>
            <w:r>
              <w:rPr>
                <w:rFonts w:hint="eastAsia" w:ascii="宋体" w:hAnsi="宋体" w:eastAsia="宋体" w:cs="宋体"/>
                <w:bCs/>
                <w:szCs w:val="21"/>
              </w:rPr>
              <w:t>课程目标1</w:t>
            </w:r>
          </w:p>
        </w:tc>
      </w:tr>
      <w:tr w14:paraId="3903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741" w:type="dxa"/>
            <w:vAlign w:val="center"/>
          </w:tcPr>
          <w:p w14:paraId="1F19CAB8">
            <w:pPr>
              <w:adjustRightInd w:val="0"/>
              <w:snapToGrid w:val="0"/>
              <w:spacing w:line="276" w:lineRule="auto"/>
              <w:jc w:val="center"/>
              <w:rPr>
                <w:rFonts w:hint="eastAsia" w:ascii="宋体" w:hAnsi="宋体" w:eastAsia="宋体" w:cs="宋体"/>
                <w:b/>
                <w:bCs/>
                <w:spacing w:val="2"/>
                <w:kern w:val="0"/>
                <w:szCs w:val="21"/>
              </w:rPr>
            </w:pPr>
            <w:r>
              <w:rPr>
                <w:rFonts w:hint="eastAsia" w:ascii="宋体" w:hAnsi="宋体" w:eastAsia="宋体" w:cs="宋体"/>
                <w:b/>
                <w:bCs/>
                <w:spacing w:val="2"/>
                <w:kern w:val="0"/>
                <w:szCs w:val="21"/>
              </w:rPr>
              <w:t>毕业要求4.</w:t>
            </w:r>
          </w:p>
          <w:p w14:paraId="3B82BFFF">
            <w:pPr>
              <w:adjustRightInd w:val="0"/>
              <w:snapToGrid w:val="0"/>
              <w:spacing w:line="276" w:lineRule="auto"/>
              <w:jc w:val="center"/>
              <w:rPr>
                <w:rFonts w:hint="eastAsia" w:ascii="宋体" w:hAnsi="宋体" w:eastAsia="宋体" w:cs="宋体"/>
                <w:szCs w:val="21"/>
              </w:rPr>
            </w:pPr>
            <w:r>
              <w:rPr>
                <w:rFonts w:hint="eastAsia" w:ascii="宋体" w:hAnsi="宋体" w:eastAsia="宋体" w:cs="宋体"/>
                <w:b/>
                <w:bCs/>
                <w:spacing w:val="2"/>
                <w:kern w:val="0"/>
                <w:szCs w:val="21"/>
              </w:rPr>
              <w:t>教学能力</w:t>
            </w:r>
          </w:p>
        </w:tc>
        <w:tc>
          <w:tcPr>
            <w:tcW w:w="5700" w:type="dxa"/>
            <w:vAlign w:val="center"/>
          </w:tcPr>
          <w:p w14:paraId="220C7A99">
            <w:pPr>
              <w:adjustRightInd w:val="0"/>
              <w:snapToGrid w:val="0"/>
              <w:spacing w:line="276" w:lineRule="auto"/>
              <w:jc w:val="left"/>
              <w:rPr>
                <w:rFonts w:hint="eastAsia" w:ascii="宋体" w:hAnsi="宋体" w:eastAsia="宋体" w:cs="宋体"/>
                <w:szCs w:val="21"/>
              </w:rPr>
            </w:pPr>
            <w:r>
              <w:rPr>
                <w:rFonts w:hint="eastAsia" w:ascii="宋体" w:hAnsi="宋体" w:cs="宋体"/>
                <w:b/>
                <w:kern w:val="0"/>
                <w:szCs w:val="21"/>
                <w:lang w:eastAsia="zh-CN"/>
              </w:rPr>
              <w:t>指标点4-1</w:t>
            </w:r>
            <w:r>
              <w:rPr>
                <w:rFonts w:hint="eastAsia" w:ascii="宋体" w:hAnsi="宋体" w:cs="宋体"/>
                <w:kern w:val="0"/>
                <w:szCs w:val="21"/>
              </w:rPr>
              <w:t>：</w:t>
            </w:r>
            <w:r>
              <w:rPr>
                <w:rFonts w:hint="eastAsia" w:ascii="宋体" w:hAnsi="宋体" w:cs="宋体"/>
                <w:sz w:val="20"/>
                <w:szCs w:val="20"/>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630" w:type="dxa"/>
            <w:vAlign w:val="center"/>
          </w:tcPr>
          <w:p w14:paraId="53C7F4B5">
            <w:pPr>
              <w:adjustRightInd w:val="0"/>
              <w:snapToGrid w:val="0"/>
              <w:spacing w:line="276" w:lineRule="auto"/>
              <w:jc w:val="center"/>
              <w:rPr>
                <w:rFonts w:hint="eastAsia" w:ascii="宋体" w:hAnsi="宋体" w:eastAsia="宋体" w:cs="宋体"/>
                <w:kern w:val="0"/>
                <w:sz w:val="20"/>
                <w:szCs w:val="20"/>
              </w:rPr>
            </w:pPr>
            <w:r>
              <w:rPr>
                <w:rFonts w:hint="eastAsia" w:ascii="宋体" w:hAnsi="宋体" w:eastAsia="宋体" w:cs="宋体"/>
                <w:szCs w:val="21"/>
              </w:rPr>
              <w:t>课程目标2</w:t>
            </w:r>
          </w:p>
        </w:tc>
      </w:tr>
      <w:tr w14:paraId="50E9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741" w:type="dxa"/>
            <w:vAlign w:val="center"/>
          </w:tcPr>
          <w:p w14:paraId="5982903F">
            <w:pPr>
              <w:adjustRightInd w:val="0"/>
              <w:snapToGrid w:val="0"/>
              <w:spacing w:line="276" w:lineRule="auto"/>
              <w:jc w:val="center"/>
              <w:rPr>
                <w:rFonts w:hint="eastAsia" w:ascii="宋体" w:hAnsi="宋体" w:eastAsia="宋体" w:cs="宋体"/>
                <w:b/>
                <w:bCs/>
                <w:spacing w:val="2"/>
                <w:kern w:val="0"/>
                <w:szCs w:val="21"/>
              </w:rPr>
            </w:pPr>
            <w:r>
              <w:rPr>
                <w:rFonts w:hint="eastAsia" w:ascii="宋体" w:hAnsi="宋体" w:eastAsia="宋体" w:cs="宋体"/>
                <w:b/>
                <w:bCs/>
                <w:kern w:val="0"/>
                <w:szCs w:val="21"/>
              </w:rPr>
              <w:t>毕业要求</w:t>
            </w:r>
            <w:r>
              <w:rPr>
                <w:rFonts w:hint="eastAsia" w:ascii="宋体" w:hAnsi="宋体" w:eastAsia="宋体" w:cs="宋体"/>
                <w:b/>
                <w:bCs/>
                <w:spacing w:val="2"/>
                <w:kern w:val="0"/>
                <w:szCs w:val="21"/>
              </w:rPr>
              <w:t>7.</w:t>
            </w:r>
          </w:p>
          <w:p w14:paraId="00E4975C">
            <w:pPr>
              <w:adjustRightInd w:val="0"/>
              <w:snapToGrid w:val="0"/>
              <w:spacing w:line="276" w:lineRule="auto"/>
              <w:jc w:val="center"/>
              <w:rPr>
                <w:rFonts w:hint="eastAsia" w:ascii="宋体" w:hAnsi="宋体" w:eastAsia="宋体" w:cs="宋体"/>
                <w:szCs w:val="21"/>
              </w:rPr>
            </w:pPr>
            <w:r>
              <w:rPr>
                <w:rFonts w:hint="eastAsia" w:ascii="宋体" w:hAnsi="宋体" w:eastAsia="宋体" w:cs="宋体"/>
                <w:b/>
                <w:bCs/>
                <w:spacing w:val="2"/>
                <w:kern w:val="0"/>
                <w:szCs w:val="21"/>
              </w:rPr>
              <w:t>学会反思</w:t>
            </w:r>
          </w:p>
        </w:tc>
        <w:tc>
          <w:tcPr>
            <w:tcW w:w="5700" w:type="dxa"/>
            <w:vAlign w:val="center"/>
          </w:tcPr>
          <w:p w14:paraId="5C8F490F">
            <w:pPr>
              <w:adjustRightInd w:val="0"/>
              <w:snapToGrid w:val="0"/>
              <w:spacing w:line="276" w:lineRule="auto"/>
              <w:jc w:val="left"/>
              <w:rPr>
                <w:rFonts w:hint="eastAsia" w:ascii="宋体" w:hAnsi="宋体" w:cs="宋体"/>
                <w:sz w:val="20"/>
                <w:szCs w:val="20"/>
              </w:rPr>
            </w:pPr>
            <w:r>
              <w:rPr>
                <w:rFonts w:hint="eastAsia" w:ascii="宋体" w:hAnsi="宋体" w:cs="宋体"/>
                <w:b/>
                <w:kern w:val="0"/>
                <w:sz w:val="20"/>
                <w:szCs w:val="20"/>
                <w:lang w:eastAsia="zh-CN"/>
              </w:rPr>
              <w:t>指标点7-1</w:t>
            </w:r>
            <w:r>
              <w:rPr>
                <w:rFonts w:hint="eastAsia" w:ascii="宋体" w:hAnsi="宋体" w:cs="宋体"/>
                <w:sz w:val="20"/>
                <w:szCs w:val="20"/>
              </w:rPr>
              <w:t>：【教育视野开阔】积极关注基础教育领域的国内外交流进展，了解国内外基础教育改革发展的动态，具有宽广的教育视野，能够主动适应新时代和教育发展需求。</w:t>
            </w:r>
          </w:p>
          <w:p w14:paraId="7FF2BDD5">
            <w:pPr>
              <w:adjustRightInd w:val="0"/>
              <w:snapToGrid w:val="0"/>
              <w:spacing w:line="276" w:lineRule="auto"/>
              <w:jc w:val="left"/>
              <w:rPr>
                <w:rFonts w:hint="eastAsia" w:ascii="宋体" w:hAnsi="宋体" w:eastAsia="宋体" w:cs="宋体"/>
                <w:szCs w:val="21"/>
              </w:rPr>
            </w:pPr>
            <w:r>
              <w:rPr>
                <w:rFonts w:hint="eastAsia" w:ascii="宋体" w:hAnsi="宋体" w:cs="宋体"/>
                <w:b/>
                <w:kern w:val="0"/>
                <w:sz w:val="20"/>
                <w:szCs w:val="20"/>
                <w:lang w:eastAsia="zh-CN"/>
              </w:rPr>
              <w:t>指标点7-3</w:t>
            </w:r>
            <w:r>
              <w:rPr>
                <w:rFonts w:hint="eastAsia" w:ascii="宋体" w:hAnsi="宋体" w:cs="宋体"/>
                <w:sz w:val="20"/>
                <w:szCs w:val="20"/>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630" w:type="dxa"/>
            <w:vAlign w:val="center"/>
          </w:tcPr>
          <w:p w14:paraId="1E698393">
            <w:pPr>
              <w:adjustRightInd w:val="0"/>
              <w:snapToGrid w:val="0"/>
              <w:spacing w:line="276" w:lineRule="auto"/>
              <w:jc w:val="center"/>
              <w:rPr>
                <w:rFonts w:hint="eastAsia" w:ascii="宋体" w:hAnsi="宋体" w:eastAsia="宋体" w:cs="宋体"/>
                <w:kern w:val="0"/>
                <w:sz w:val="20"/>
                <w:szCs w:val="20"/>
              </w:rPr>
            </w:pPr>
            <w:r>
              <w:rPr>
                <w:rFonts w:hint="eastAsia" w:ascii="宋体" w:hAnsi="宋体" w:eastAsia="宋体" w:cs="宋体"/>
                <w:szCs w:val="21"/>
              </w:rPr>
              <w:t>课程目标3</w:t>
            </w:r>
          </w:p>
        </w:tc>
      </w:tr>
    </w:tbl>
    <w:p w14:paraId="252751AF">
      <w:pPr>
        <w:adjustRightInd w:val="0"/>
        <w:snapToGrid w:val="0"/>
        <w:spacing w:before="62" w:beforeLines="20" w:after="62" w:afterLines="20" w:line="360" w:lineRule="auto"/>
        <w:rPr>
          <w:rFonts w:hint="eastAsia" w:ascii="宋体" w:hAnsi="宋体" w:eastAsia="宋体" w:cs="Times New Roman"/>
          <w:b/>
          <w:sz w:val="24"/>
        </w:rPr>
      </w:pPr>
      <w:r>
        <w:rPr>
          <w:rFonts w:hint="eastAsia" w:ascii="宋体" w:hAnsi="宋体" w:eastAsia="宋体" w:cs="Times New Roman"/>
          <w:b/>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149"/>
        <w:gridCol w:w="1133"/>
        <w:gridCol w:w="2813"/>
        <w:gridCol w:w="1560"/>
        <w:gridCol w:w="438"/>
      </w:tblGrid>
      <w:tr w14:paraId="769D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0756C7B">
            <w:pPr>
              <w:jc w:val="center"/>
              <w:rPr>
                <w:rFonts w:hint="eastAsia" w:ascii="宋体" w:hAnsi="宋体" w:eastAsia="宋体" w:cs="Times New Roman"/>
                <w:b/>
                <w:szCs w:val="21"/>
              </w:rPr>
            </w:pPr>
            <w:r>
              <w:rPr>
                <w:rFonts w:hint="eastAsia" w:ascii="宋体" w:hAnsi="宋体" w:eastAsia="宋体" w:cs="Times New Roman"/>
                <w:b/>
                <w:szCs w:val="21"/>
              </w:rPr>
              <w:t>知识</w:t>
            </w:r>
          </w:p>
          <w:p w14:paraId="63CF9694">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149" w:type="dxa"/>
            <w:vAlign w:val="center"/>
          </w:tcPr>
          <w:p w14:paraId="2DD09B2F">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3" w:type="dxa"/>
            <w:vAlign w:val="center"/>
          </w:tcPr>
          <w:p w14:paraId="36DE37BC">
            <w:pPr>
              <w:jc w:val="center"/>
              <w:rPr>
                <w:rFonts w:hint="eastAsia" w:ascii="宋体" w:hAnsi="宋体" w:eastAsia="宋体" w:cs="Times New Roman"/>
                <w:b/>
                <w:szCs w:val="21"/>
              </w:rPr>
            </w:pPr>
            <w:r>
              <w:rPr>
                <w:rFonts w:hint="eastAsia" w:ascii="宋体" w:hAnsi="宋体" w:eastAsia="宋体" w:cs="Times New Roman"/>
                <w:b/>
                <w:szCs w:val="21"/>
              </w:rPr>
              <w:t>对应</w:t>
            </w:r>
          </w:p>
          <w:p w14:paraId="060D0317">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813" w:type="dxa"/>
            <w:vAlign w:val="center"/>
          </w:tcPr>
          <w:p w14:paraId="3C3C2A06">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6B250982">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06EABE8F">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262C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76E41B8">
            <w:pPr>
              <w:spacing w:line="264" w:lineRule="auto"/>
              <w:jc w:val="center"/>
              <w:rPr>
                <w:rFonts w:hint="eastAsia" w:ascii="宋体" w:hAnsi="宋体" w:eastAsia="宋体" w:cs="Times New Roman"/>
                <w:szCs w:val="21"/>
              </w:rPr>
            </w:pPr>
            <w:r>
              <w:rPr>
                <w:rFonts w:hint="eastAsia" w:ascii="宋体" w:hAnsi="宋体" w:eastAsia="宋体" w:cs="Times New Roman"/>
                <w:szCs w:val="21"/>
              </w:rPr>
              <w:t>1.外国教育史概论</w:t>
            </w:r>
          </w:p>
        </w:tc>
        <w:tc>
          <w:tcPr>
            <w:tcW w:w="2149" w:type="dxa"/>
            <w:vAlign w:val="center"/>
          </w:tcPr>
          <w:p w14:paraId="2BDBEC9D">
            <w:pPr>
              <w:spacing w:line="269" w:lineRule="auto"/>
              <w:jc w:val="left"/>
              <w:rPr>
                <w:rFonts w:hint="eastAsia" w:ascii="宋体" w:hAnsi="宋体" w:eastAsia="宋体" w:cs="Times New Roman"/>
                <w:szCs w:val="21"/>
              </w:rPr>
            </w:pPr>
            <w:r>
              <w:rPr>
                <w:rFonts w:hint="eastAsia" w:ascii="宋体" w:hAnsi="宋体" w:eastAsia="宋体" w:cs="Times New Roman"/>
                <w:szCs w:val="21"/>
              </w:rPr>
              <w:t>（1）外国教育史课程分析</w:t>
            </w:r>
          </w:p>
          <w:p w14:paraId="2F11026D">
            <w:pPr>
              <w:spacing w:line="269" w:lineRule="auto"/>
              <w:jc w:val="left"/>
              <w:rPr>
                <w:rFonts w:hint="eastAsia" w:ascii="宋体" w:hAnsi="宋体" w:eastAsia="宋体" w:cs="Times New Roman"/>
                <w:szCs w:val="21"/>
              </w:rPr>
            </w:pPr>
            <w:r>
              <w:rPr>
                <w:rFonts w:hint="eastAsia" w:ascii="宋体" w:hAnsi="宋体" w:eastAsia="宋体" w:cs="Times New Roman"/>
                <w:szCs w:val="21"/>
              </w:rPr>
              <w:t>（2）外国教育史的发展与研究现状</w:t>
            </w:r>
          </w:p>
          <w:p w14:paraId="3A96DCB3">
            <w:pPr>
              <w:spacing w:line="269" w:lineRule="auto"/>
              <w:jc w:val="left"/>
              <w:rPr>
                <w:rFonts w:hint="eastAsia" w:ascii="宋体" w:hAnsi="宋体" w:eastAsia="宋体" w:cs="Times New Roman"/>
                <w:szCs w:val="21"/>
              </w:rPr>
            </w:pPr>
            <w:r>
              <w:rPr>
                <w:rFonts w:hint="eastAsia" w:ascii="宋体" w:hAnsi="宋体" w:eastAsia="宋体" w:cs="Times New Roman"/>
                <w:szCs w:val="21"/>
              </w:rPr>
              <w:t>（3）外国教育史的学科功能和学习要求</w:t>
            </w:r>
          </w:p>
        </w:tc>
        <w:tc>
          <w:tcPr>
            <w:tcW w:w="1133" w:type="dxa"/>
            <w:vAlign w:val="center"/>
          </w:tcPr>
          <w:p w14:paraId="489D9558">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813" w:type="dxa"/>
            <w:vAlign w:val="center"/>
          </w:tcPr>
          <w:p w14:paraId="60773466">
            <w:pPr>
              <w:spacing w:line="269" w:lineRule="auto"/>
              <w:jc w:val="left"/>
              <w:rPr>
                <w:rFonts w:hint="eastAsia" w:ascii="宋体" w:hAnsi="宋体" w:eastAsia="宋体" w:cs="Times New Roman"/>
                <w:szCs w:val="21"/>
              </w:rPr>
            </w:pPr>
            <w:r>
              <w:rPr>
                <w:rFonts w:hint="eastAsia" w:ascii="宋体" w:hAnsi="宋体" w:eastAsia="宋体" w:cs="Times New Roman"/>
                <w:szCs w:val="21"/>
              </w:rPr>
              <w:t>（1）了解外国教育史的学科性质、研究对象、学科功能和学习要求</w:t>
            </w:r>
          </w:p>
          <w:p w14:paraId="58220851">
            <w:pPr>
              <w:spacing w:line="269" w:lineRule="auto"/>
              <w:jc w:val="left"/>
              <w:rPr>
                <w:rFonts w:hint="eastAsia" w:ascii="宋体" w:hAnsi="宋体" w:eastAsia="宋体" w:cs="Times New Roman"/>
                <w:szCs w:val="21"/>
              </w:rPr>
            </w:pPr>
            <w:r>
              <w:rPr>
                <w:rFonts w:hint="eastAsia" w:ascii="宋体" w:hAnsi="宋体" w:eastAsia="宋体" w:cs="Times New Roman"/>
                <w:szCs w:val="21"/>
              </w:rPr>
              <w:t>（2）理解外国教育史的内容脉络和研究现状</w:t>
            </w:r>
          </w:p>
          <w:p w14:paraId="2CA5EE68">
            <w:pPr>
              <w:spacing w:line="269" w:lineRule="auto"/>
              <w:jc w:val="left"/>
              <w:rPr>
                <w:rFonts w:hint="eastAsia" w:ascii="宋体" w:hAnsi="宋体" w:eastAsia="宋体" w:cs="Times New Roman"/>
                <w:szCs w:val="21"/>
              </w:rPr>
            </w:pPr>
            <w:r>
              <w:rPr>
                <w:rFonts w:hint="eastAsia" w:ascii="宋体" w:hAnsi="宋体" w:eastAsia="宋体" w:cs="Times New Roman"/>
                <w:szCs w:val="21"/>
              </w:rPr>
              <w:t>（3）掌握外国教育史的研究视角和研究热点</w:t>
            </w:r>
          </w:p>
        </w:tc>
        <w:tc>
          <w:tcPr>
            <w:tcW w:w="1560" w:type="dxa"/>
            <w:vAlign w:val="center"/>
          </w:tcPr>
          <w:p w14:paraId="74B7E398">
            <w:pPr>
              <w:spacing w:line="269" w:lineRule="auto"/>
              <w:jc w:val="left"/>
              <w:rPr>
                <w:rFonts w:hint="eastAsia" w:ascii="宋体" w:hAnsi="宋体" w:eastAsia="宋体" w:cs="Times New Roman"/>
                <w:szCs w:val="21"/>
              </w:rPr>
            </w:pPr>
            <w:r>
              <w:rPr>
                <w:rFonts w:hint="eastAsia" w:ascii="宋体" w:hAnsi="宋体" w:eastAsia="宋体" w:cs="Times New Roman"/>
                <w:szCs w:val="21"/>
              </w:rPr>
              <w:t>1.线上学习</w:t>
            </w:r>
          </w:p>
          <w:p w14:paraId="4DA339ED">
            <w:pPr>
              <w:spacing w:line="269" w:lineRule="auto"/>
              <w:jc w:val="left"/>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09F20EBF">
            <w:pPr>
              <w:spacing w:line="269"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0765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E897170">
            <w:pPr>
              <w:spacing w:line="264" w:lineRule="auto"/>
              <w:jc w:val="center"/>
              <w:rPr>
                <w:rFonts w:hint="eastAsia" w:ascii="宋体" w:hAnsi="宋体" w:eastAsia="宋体" w:cs="Times New Roman"/>
                <w:szCs w:val="21"/>
              </w:rPr>
            </w:pPr>
          </w:p>
        </w:tc>
        <w:tc>
          <w:tcPr>
            <w:tcW w:w="8093" w:type="dxa"/>
            <w:gridSpan w:val="5"/>
            <w:vAlign w:val="center"/>
          </w:tcPr>
          <w:p w14:paraId="49D18EEF">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通过本章内容学习，使师范生理解外国教育史在整个教育学科中的地位和学习意义，在中外教育史的学习对比中发现我国悠久历史文化中所积累的教育精华，增强民族自豪感和文化自信心。</w:t>
            </w:r>
          </w:p>
        </w:tc>
      </w:tr>
      <w:tr w14:paraId="3A0D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1211A6E">
            <w:pPr>
              <w:spacing w:line="264" w:lineRule="auto"/>
              <w:jc w:val="center"/>
              <w:rPr>
                <w:rFonts w:hint="eastAsia" w:ascii="宋体" w:hAnsi="宋体" w:eastAsia="宋体" w:cs="Times New Roman"/>
                <w:szCs w:val="21"/>
              </w:rPr>
            </w:pPr>
            <w:r>
              <w:rPr>
                <w:rFonts w:hint="eastAsia" w:ascii="宋体" w:hAnsi="宋体" w:eastAsia="宋体" w:cs="Times New Roman"/>
                <w:szCs w:val="21"/>
              </w:rPr>
              <w:t>2.教育的起源与东方文明古国的教育</w:t>
            </w:r>
          </w:p>
        </w:tc>
        <w:tc>
          <w:tcPr>
            <w:tcW w:w="2149" w:type="dxa"/>
            <w:vAlign w:val="center"/>
          </w:tcPr>
          <w:p w14:paraId="7DFFD908">
            <w:pPr>
              <w:spacing w:line="269" w:lineRule="auto"/>
              <w:jc w:val="left"/>
              <w:rPr>
                <w:rFonts w:hint="eastAsia" w:ascii="宋体" w:hAnsi="宋体" w:eastAsia="宋体" w:cs="Times New Roman"/>
                <w:szCs w:val="21"/>
              </w:rPr>
            </w:pPr>
            <w:r>
              <w:rPr>
                <w:rFonts w:hint="eastAsia" w:ascii="宋体" w:hAnsi="宋体" w:eastAsia="宋体" w:cs="Times New Roman"/>
                <w:szCs w:val="21"/>
              </w:rPr>
              <w:t>（1）教育的三种起源学说</w:t>
            </w:r>
          </w:p>
          <w:p w14:paraId="5B35F766">
            <w:pPr>
              <w:spacing w:line="269" w:lineRule="auto"/>
              <w:jc w:val="left"/>
              <w:rPr>
                <w:rFonts w:hint="eastAsia" w:ascii="宋体" w:hAnsi="宋体" w:eastAsia="宋体" w:cs="Times New Roman"/>
                <w:szCs w:val="21"/>
              </w:rPr>
            </w:pPr>
            <w:r>
              <w:rPr>
                <w:rFonts w:hint="eastAsia" w:ascii="宋体" w:hAnsi="宋体" w:eastAsia="宋体" w:cs="Times New Roman"/>
                <w:szCs w:val="21"/>
              </w:rPr>
              <w:t>（2）原始社会的教育</w:t>
            </w:r>
          </w:p>
          <w:p w14:paraId="4060E8AF">
            <w:pPr>
              <w:spacing w:line="269" w:lineRule="auto"/>
              <w:jc w:val="left"/>
              <w:rPr>
                <w:rFonts w:hint="eastAsia" w:ascii="宋体" w:hAnsi="宋体" w:eastAsia="宋体" w:cs="Times New Roman"/>
                <w:szCs w:val="21"/>
              </w:rPr>
            </w:pPr>
            <w:r>
              <w:rPr>
                <w:rFonts w:hint="eastAsia" w:ascii="宋体" w:hAnsi="宋体" w:eastAsia="宋体" w:cs="Times New Roman"/>
                <w:szCs w:val="21"/>
              </w:rPr>
              <w:t>（3）古巴比伦、古埃及、古印度、古希伯来的教育</w:t>
            </w:r>
          </w:p>
        </w:tc>
        <w:tc>
          <w:tcPr>
            <w:tcW w:w="1133" w:type="dxa"/>
            <w:vAlign w:val="center"/>
          </w:tcPr>
          <w:p w14:paraId="60CB593D">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课程目标1、3</w:t>
            </w:r>
          </w:p>
        </w:tc>
        <w:tc>
          <w:tcPr>
            <w:tcW w:w="2813" w:type="dxa"/>
            <w:vAlign w:val="center"/>
          </w:tcPr>
          <w:p w14:paraId="742B66ED">
            <w:pPr>
              <w:spacing w:line="269" w:lineRule="auto"/>
              <w:jc w:val="left"/>
              <w:rPr>
                <w:rFonts w:hint="eastAsia" w:ascii="宋体" w:hAnsi="宋体" w:eastAsia="宋体" w:cs="Times New Roman"/>
                <w:szCs w:val="21"/>
              </w:rPr>
            </w:pPr>
            <w:r>
              <w:rPr>
                <w:rFonts w:hint="eastAsia" w:ascii="宋体" w:hAnsi="宋体" w:eastAsia="宋体" w:cs="Times New Roman"/>
                <w:szCs w:val="21"/>
              </w:rPr>
              <w:t>（1）了解教育起源的主要观点</w:t>
            </w:r>
          </w:p>
          <w:p w14:paraId="40189645">
            <w:pPr>
              <w:spacing w:line="269" w:lineRule="auto"/>
              <w:jc w:val="left"/>
              <w:rPr>
                <w:rFonts w:hint="eastAsia" w:ascii="宋体" w:hAnsi="宋体" w:eastAsia="宋体" w:cs="Times New Roman"/>
                <w:szCs w:val="21"/>
              </w:rPr>
            </w:pPr>
            <w:r>
              <w:rPr>
                <w:rFonts w:hint="eastAsia" w:ascii="宋体" w:hAnsi="宋体" w:eastAsia="宋体" w:cs="Times New Roman"/>
                <w:szCs w:val="21"/>
              </w:rPr>
              <w:t>（2）理解原始社会教育的特点</w:t>
            </w:r>
          </w:p>
          <w:p w14:paraId="0A49BECB">
            <w:pPr>
              <w:spacing w:line="269" w:lineRule="auto"/>
              <w:jc w:val="left"/>
              <w:rPr>
                <w:rFonts w:hint="eastAsia" w:ascii="宋体" w:hAnsi="宋体" w:eastAsia="宋体" w:cs="Times New Roman"/>
                <w:szCs w:val="21"/>
              </w:rPr>
            </w:pPr>
            <w:r>
              <w:rPr>
                <w:rFonts w:hint="eastAsia" w:ascii="宋体" w:hAnsi="宋体" w:eastAsia="宋体" w:cs="Times New Roman"/>
                <w:szCs w:val="21"/>
              </w:rPr>
              <w:t>（3）掌握古巴比伦、古埃及和古印度教育的基本特征</w:t>
            </w:r>
          </w:p>
        </w:tc>
        <w:tc>
          <w:tcPr>
            <w:tcW w:w="1560" w:type="dxa"/>
            <w:vAlign w:val="center"/>
          </w:tcPr>
          <w:p w14:paraId="4A293089">
            <w:pPr>
              <w:spacing w:line="269" w:lineRule="auto"/>
              <w:jc w:val="left"/>
              <w:rPr>
                <w:rFonts w:hint="eastAsia" w:ascii="宋体" w:hAnsi="宋体" w:eastAsia="宋体" w:cs="Times New Roman"/>
                <w:szCs w:val="21"/>
              </w:rPr>
            </w:pPr>
            <w:r>
              <w:rPr>
                <w:rFonts w:hint="eastAsia" w:ascii="宋体" w:hAnsi="宋体" w:eastAsia="宋体" w:cs="Times New Roman"/>
                <w:szCs w:val="21"/>
              </w:rPr>
              <w:t>1.线上学习</w:t>
            </w:r>
          </w:p>
          <w:p w14:paraId="2937D9DA">
            <w:pPr>
              <w:spacing w:line="269" w:lineRule="auto"/>
              <w:jc w:val="left"/>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5EAD511E">
            <w:pPr>
              <w:spacing w:line="269"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33F0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E64A9F4">
            <w:pPr>
              <w:spacing w:line="264" w:lineRule="auto"/>
              <w:jc w:val="center"/>
              <w:rPr>
                <w:rFonts w:hint="eastAsia" w:ascii="宋体" w:hAnsi="宋体" w:eastAsia="宋体" w:cs="Times New Roman"/>
                <w:szCs w:val="21"/>
              </w:rPr>
            </w:pPr>
          </w:p>
        </w:tc>
        <w:tc>
          <w:tcPr>
            <w:tcW w:w="8093" w:type="dxa"/>
            <w:gridSpan w:val="5"/>
            <w:vAlign w:val="center"/>
          </w:tcPr>
          <w:p w14:paraId="36D8BDA6">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通过本章内容学习，了解域外三大文明古国灿烂的教育文明，并通过对比发现我国古代教育文明的优越性，不断加强人类命运共同体概念的理解，并运用马克思主义的基本哲学思想分析人类文明的发展变化。</w:t>
            </w:r>
          </w:p>
        </w:tc>
      </w:tr>
      <w:tr w14:paraId="0E1DB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58BD179">
            <w:pPr>
              <w:spacing w:line="264" w:lineRule="auto"/>
              <w:jc w:val="center"/>
              <w:rPr>
                <w:rFonts w:hint="eastAsia" w:ascii="宋体" w:hAnsi="宋体" w:eastAsia="宋体" w:cs="Times New Roman"/>
                <w:szCs w:val="21"/>
              </w:rPr>
            </w:pPr>
            <w:r>
              <w:rPr>
                <w:rFonts w:hint="eastAsia" w:ascii="宋体" w:hAnsi="宋体" w:eastAsia="宋体" w:cs="Times New Roman"/>
                <w:szCs w:val="21"/>
              </w:rPr>
              <w:t>3.古希腊的教育和古罗马的教育</w:t>
            </w:r>
          </w:p>
        </w:tc>
        <w:tc>
          <w:tcPr>
            <w:tcW w:w="2149" w:type="dxa"/>
            <w:vAlign w:val="center"/>
          </w:tcPr>
          <w:p w14:paraId="7FEFD0BE">
            <w:pPr>
              <w:spacing w:line="269" w:lineRule="auto"/>
              <w:jc w:val="left"/>
              <w:rPr>
                <w:rFonts w:hint="eastAsia" w:ascii="宋体" w:hAnsi="宋体" w:eastAsia="宋体" w:cs="Times New Roman"/>
                <w:szCs w:val="21"/>
              </w:rPr>
            </w:pPr>
            <w:r>
              <w:rPr>
                <w:rFonts w:hint="eastAsia" w:ascii="宋体" w:hAnsi="宋体" w:eastAsia="宋体" w:cs="Times New Roman"/>
                <w:szCs w:val="21"/>
              </w:rPr>
              <w:t>（1）古希腊教育的分期、斯巴达和雅典的城邦教育</w:t>
            </w:r>
          </w:p>
          <w:p w14:paraId="2E27F54C">
            <w:pPr>
              <w:spacing w:line="269" w:lineRule="auto"/>
              <w:jc w:val="left"/>
              <w:rPr>
                <w:rFonts w:hint="eastAsia" w:ascii="宋体" w:hAnsi="宋体" w:eastAsia="宋体" w:cs="Times New Roman"/>
                <w:szCs w:val="21"/>
              </w:rPr>
            </w:pPr>
            <w:r>
              <w:rPr>
                <w:rFonts w:hint="eastAsia" w:ascii="宋体" w:hAnsi="宋体" w:eastAsia="宋体" w:cs="Times New Roman"/>
                <w:szCs w:val="21"/>
              </w:rPr>
              <w:t>（2）苏格拉底、柏拉图、亚里士多德、昆体良的教育思想</w:t>
            </w:r>
          </w:p>
          <w:p w14:paraId="4DFA2A38">
            <w:pPr>
              <w:spacing w:line="269" w:lineRule="auto"/>
              <w:jc w:val="left"/>
              <w:rPr>
                <w:rFonts w:hint="eastAsia" w:ascii="宋体" w:hAnsi="宋体" w:eastAsia="宋体" w:cs="Times New Roman"/>
                <w:szCs w:val="21"/>
              </w:rPr>
            </w:pPr>
            <w:r>
              <w:rPr>
                <w:rFonts w:hint="eastAsia" w:ascii="宋体" w:hAnsi="宋体" w:eastAsia="宋体" w:cs="Times New Roman"/>
                <w:szCs w:val="21"/>
              </w:rPr>
              <w:t>（3）古罗马的教育</w:t>
            </w:r>
          </w:p>
        </w:tc>
        <w:tc>
          <w:tcPr>
            <w:tcW w:w="1133" w:type="dxa"/>
            <w:vAlign w:val="center"/>
          </w:tcPr>
          <w:p w14:paraId="1132765F">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2813" w:type="dxa"/>
            <w:vAlign w:val="center"/>
          </w:tcPr>
          <w:p w14:paraId="57F3CDB0">
            <w:pPr>
              <w:spacing w:line="269" w:lineRule="auto"/>
              <w:jc w:val="left"/>
              <w:rPr>
                <w:rFonts w:hint="eastAsia" w:ascii="宋体" w:hAnsi="宋体" w:eastAsia="宋体" w:cs="Times New Roman"/>
                <w:szCs w:val="21"/>
              </w:rPr>
            </w:pPr>
            <w:r>
              <w:rPr>
                <w:rFonts w:hint="eastAsia" w:ascii="宋体" w:hAnsi="宋体" w:eastAsia="宋体" w:cs="Times New Roman"/>
                <w:szCs w:val="21"/>
              </w:rPr>
              <w:t>（1）了解古希腊教育的主要分期及主要成就、古罗马教育概况</w:t>
            </w:r>
          </w:p>
          <w:p w14:paraId="3F26B51A">
            <w:pPr>
              <w:spacing w:line="269" w:lineRule="auto"/>
              <w:jc w:val="left"/>
              <w:rPr>
                <w:rFonts w:hint="eastAsia" w:ascii="宋体" w:hAnsi="宋体" w:eastAsia="宋体" w:cs="Times New Roman"/>
                <w:szCs w:val="21"/>
              </w:rPr>
            </w:pPr>
            <w:r>
              <w:rPr>
                <w:rFonts w:hint="eastAsia" w:ascii="宋体" w:hAnsi="宋体" w:eastAsia="宋体" w:cs="Times New Roman"/>
                <w:szCs w:val="21"/>
              </w:rPr>
              <w:t>（2）理解斯巴达和雅典教育的区别</w:t>
            </w:r>
          </w:p>
          <w:p w14:paraId="4AFE69F5">
            <w:pPr>
              <w:spacing w:line="269" w:lineRule="auto"/>
              <w:jc w:val="left"/>
              <w:rPr>
                <w:rFonts w:hint="eastAsia" w:ascii="宋体" w:hAnsi="宋体" w:eastAsia="宋体" w:cs="Times New Roman"/>
                <w:szCs w:val="21"/>
              </w:rPr>
            </w:pPr>
            <w:r>
              <w:rPr>
                <w:rFonts w:hint="eastAsia" w:ascii="宋体" w:hAnsi="宋体" w:eastAsia="宋体" w:cs="Times New Roman"/>
                <w:szCs w:val="21"/>
              </w:rPr>
              <w:t>（3）掌握四个教育家的教育思想及其现代意义</w:t>
            </w:r>
          </w:p>
        </w:tc>
        <w:tc>
          <w:tcPr>
            <w:tcW w:w="1560" w:type="dxa"/>
            <w:vAlign w:val="center"/>
          </w:tcPr>
          <w:p w14:paraId="1D33A8BC">
            <w:pPr>
              <w:spacing w:line="269" w:lineRule="auto"/>
              <w:jc w:val="left"/>
              <w:rPr>
                <w:rFonts w:hint="eastAsia" w:ascii="宋体" w:hAnsi="宋体" w:eastAsia="宋体" w:cs="Times New Roman"/>
                <w:szCs w:val="21"/>
              </w:rPr>
            </w:pPr>
            <w:r>
              <w:rPr>
                <w:rFonts w:ascii="宋体" w:hAnsi="宋体" w:eastAsia="宋体" w:cs="Times New Roman"/>
                <w:szCs w:val="21"/>
              </w:rPr>
              <w:t>1.线上学习</w:t>
            </w:r>
          </w:p>
          <w:p w14:paraId="61DCE7C5">
            <w:pPr>
              <w:spacing w:line="269"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72B46899">
            <w:pPr>
              <w:spacing w:line="269"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6DEE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4C2728B">
            <w:pPr>
              <w:spacing w:line="264" w:lineRule="auto"/>
              <w:jc w:val="center"/>
              <w:rPr>
                <w:rFonts w:hint="eastAsia" w:ascii="宋体" w:hAnsi="宋体" w:eastAsia="宋体" w:cs="Times New Roman"/>
                <w:szCs w:val="21"/>
              </w:rPr>
            </w:pPr>
          </w:p>
        </w:tc>
        <w:tc>
          <w:tcPr>
            <w:tcW w:w="8093" w:type="dxa"/>
            <w:gridSpan w:val="5"/>
            <w:vAlign w:val="center"/>
          </w:tcPr>
          <w:p w14:paraId="52B11137">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通过本章内容学习，使学生了解古代希腊和罗马曾经出现过的伟大教育文明成就，运用历史唯物主义的辩证思维看待今天的希腊和罗马现状，树立不厚古薄今的正确态度。</w:t>
            </w:r>
          </w:p>
        </w:tc>
      </w:tr>
      <w:tr w14:paraId="55FB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BE0DAC8">
            <w:pPr>
              <w:spacing w:line="276" w:lineRule="auto"/>
              <w:jc w:val="center"/>
              <w:rPr>
                <w:rFonts w:hint="eastAsia" w:ascii="宋体" w:hAnsi="宋体" w:eastAsia="宋体" w:cs="Times New Roman"/>
                <w:szCs w:val="21"/>
              </w:rPr>
            </w:pPr>
            <w:r>
              <w:rPr>
                <w:rFonts w:hint="eastAsia" w:ascii="宋体" w:hAnsi="宋体" w:eastAsia="宋体" w:cs="Times New Roman"/>
                <w:szCs w:val="21"/>
              </w:rPr>
              <w:t>4.中世纪时期西欧的教育</w:t>
            </w:r>
          </w:p>
        </w:tc>
        <w:tc>
          <w:tcPr>
            <w:tcW w:w="2149" w:type="dxa"/>
            <w:vAlign w:val="center"/>
          </w:tcPr>
          <w:p w14:paraId="2C36222B">
            <w:pPr>
              <w:spacing w:line="276" w:lineRule="auto"/>
              <w:jc w:val="left"/>
              <w:rPr>
                <w:rFonts w:hint="eastAsia" w:ascii="宋体" w:hAnsi="宋体" w:eastAsia="宋体" w:cs="Times New Roman"/>
                <w:szCs w:val="21"/>
              </w:rPr>
            </w:pPr>
            <w:r>
              <w:rPr>
                <w:rFonts w:hint="eastAsia" w:ascii="宋体" w:hAnsi="宋体" w:eastAsia="宋体" w:cs="Times New Roman"/>
                <w:szCs w:val="21"/>
              </w:rPr>
              <w:t>（1）基督教的产生及其对中世纪的影响</w:t>
            </w:r>
          </w:p>
          <w:p w14:paraId="33C99AAC">
            <w:pPr>
              <w:spacing w:line="276" w:lineRule="auto"/>
              <w:jc w:val="left"/>
              <w:rPr>
                <w:rFonts w:hint="eastAsia" w:ascii="宋体" w:hAnsi="宋体" w:eastAsia="宋体" w:cs="Times New Roman"/>
                <w:szCs w:val="21"/>
              </w:rPr>
            </w:pPr>
            <w:r>
              <w:rPr>
                <w:rFonts w:hint="eastAsia" w:ascii="宋体" w:hAnsi="宋体" w:eastAsia="宋体" w:cs="Times New Roman"/>
                <w:szCs w:val="21"/>
              </w:rPr>
              <w:t>（2）骑士教育的产生及其特点</w:t>
            </w:r>
          </w:p>
          <w:p w14:paraId="583F8429">
            <w:pPr>
              <w:spacing w:line="276" w:lineRule="auto"/>
              <w:jc w:val="left"/>
              <w:rPr>
                <w:rFonts w:hint="eastAsia" w:ascii="宋体" w:hAnsi="宋体" w:eastAsia="宋体" w:cs="Times New Roman"/>
                <w:szCs w:val="21"/>
              </w:rPr>
            </w:pPr>
            <w:r>
              <w:rPr>
                <w:rFonts w:hint="eastAsia" w:ascii="宋体" w:hAnsi="宋体" w:eastAsia="宋体" w:cs="Times New Roman"/>
                <w:szCs w:val="21"/>
              </w:rPr>
              <w:t>（3）中世纪大学的产生及影响</w:t>
            </w:r>
          </w:p>
        </w:tc>
        <w:tc>
          <w:tcPr>
            <w:tcW w:w="1133" w:type="dxa"/>
            <w:vAlign w:val="center"/>
          </w:tcPr>
          <w:p w14:paraId="17BE0445">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813" w:type="dxa"/>
            <w:vAlign w:val="center"/>
          </w:tcPr>
          <w:p w14:paraId="6FB689B4">
            <w:pPr>
              <w:spacing w:line="276" w:lineRule="auto"/>
              <w:jc w:val="left"/>
              <w:rPr>
                <w:rFonts w:hint="eastAsia" w:ascii="宋体" w:hAnsi="宋体" w:eastAsia="宋体" w:cs="Times New Roman"/>
                <w:szCs w:val="21"/>
              </w:rPr>
            </w:pPr>
            <w:r>
              <w:rPr>
                <w:rFonts w:hint="eastAsia" w:ascii="宋体" w:hAnsi="宋体" w:eastAsia="宋体" w:cs="Times New Roman"/>
                <w:szCs w:val="21"/>
              </w:rPr>
              <w:t>（1）了解基督教产生的社会背景</w:t>
            </w:r>
          </w:p>
          <w:p w14:paraId="48CDB8E6">
            <w:pPr>
              <w:spacing w:line="276" w:lineRule="auto"/>
              <w:jc w:val="left"/>
              <w:rPr>
                <w:rFonts w:hint="eastAsia" w:ascii="宋体" w:hAnsi="宋体" w:eastAsia="宋体" w:cs="Times New Roman"/>
                <w:szCs w:val="21"/>
              </w:rPr>
            </w:pPr>
            <w:r>
              <w:rPr>
                <w:rFonts w:hint="eastAsia" w:ascii="宋体" w:hAnsi="宋体" w:eastAsia="宋体" w:cs="Times New Roman"/>
                <w:szCs w:val="21"/>
              </w:rPr>
              <w:t>（2）区分教会教育和世俗教育的特征</w:t>
            </w:r>
          </w:p>
          <w:p w14:paraId="173B28CC">
            <w:pPr>
              <w:spacing w:line="276" w:lineRule="auto"/>
              <w:jc w:val="left"/>
              <w:rPr>
                <w:rFonts w:hint="eastAsia" w:ascii="宋体" w:hAnsi="宋体" w:eastAsia="宋体" w:cs="Times New Roman"/>
                <w:szCs w:val="21"/>
              </w:rPr>
            </w:pPr>
            <w:r>
              <w:rPr>
                <w:rFonts w:hint="eastAsia" w:ascii="宋体" w:hAnsi="宋体" w:eastAsia="宋体" w:cs="Times New Roman"/>
                <w:szCs w:val="21"/>
              </w:rPr>
              <w:t>（3）理解骑士教育的内容</w:t>
            </w:r>
          </w:p>
          <w:p w14:paraId="5398DA66">
            <w:pPr>
              <w:spacing w:line="276" w:lineRule="auto"/>
              <w:jc w:val="left"/>
              <w:rPr>
                <w:rFonts w:hint="eastAsia" w:ascii="宋体" w:hAnsi="宋体" w:eastAsia="宋体" w:cs="Times New Roman"/>
                <w:szCs w:val="21"/>
              </w:rPr>
            </w:pPr>
            <w:r>
              <w:rPr>
                <w:rFonts w:hint="eastAsia" w:ascii="宋体" w:hAnsi="宋体" w:eastAsia="宋体" w:cs="Times New Roman"/>
                <w:szCs w:val="21"/>
              </w:rPr>
              <w:t>（4）掌握中世纪大学的作用</w:t>
            </w:r>
          </w:p>
        </w:tc>
        <w:tc>
          <w:tcPr>
            <w:tcW w:w="1560" w:type="dxa"/>
            <w:vAlign w:val="center"/>
          </w:tcPr>
          <w:p w14:paraId="29FF4F0D">
            <w:pPr>
              <w:spacing w:line="276" w:lineRule="auto"/>
              <w:jc w:val="left"/>
              <w:rPr>
                <w:rFonts w:hint="eastAsia" w:ascii="宋体" w:hAnsi="宋体" w:eastAsia="宋体" w:cs="Times New Roman"/>
                <w:szCs w:val="21"/>
              </w:rPr>
            </w:pPr>
            <w:r>
              <w:rPr>
                <w:rFonts w:ascii="宋体" w:hAnsi="宋体" w:eastAsia="宋体" w:cs="Times New Roman"/>
                <w:szCs w:val="21"/>
              </w:rPr>
              <w:t>1.线上学习</w:t>
            </w:r>
          </w:p>
          <w:p w14:paraId="428870F3">
            <w:pPr>
              <w:spacing w:line="276"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07620235">
            <w:pPr>
              <w:spacing w:line="276"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5162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70F21E0">
            <w:pPr>
              <w:spacing w:line="276" w:lineRule="auto"/>
              <w:jc w:val="center"/>
              <w:rPr>
                <w:rFonts w:hint="eastAsia" w:ascii="宋体" w:hAnsi="宋体" w:eastAsia="宋体" w:cs="Times New Roman"/>
                <w:szCs w:val="21"/>
              </w:rPr>
            </w:pPr>
          </w:p>
        </w:tc>
        <w:tc>
          <w:tcPr>
            <w:tcW w:w="8093" w:type="dxa"/>
            <w:gridSpan w:val="5"/>
            <w:vAlign w:val="center"/>
          </w:tcPr>
          <w:p w14:paraId="0A93564F">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通过本章内容学习，使师范生了解所谓黑暗的中世纪所具有的历史进步意义，没有中世纪一千年的积淀和孕育，伟大的文艺复兴、宗教改革和科学革命等都不可能相继发生。因此，看待任何事物都必须一分为二。</w:t>
            </w:r>
          </w:p>
        </w:tc>
      </w:tr>
      <w:tr w14:paraId="2E91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7CE1F30">
            <w:pPr>
              <w:spacing w:line="276" w:lineRule="auto"/>
              <w:jc w:val="center"/>
              <w:rPr>
                <w:rFonts w:hint="eastAsia" w:ascii="宋体" w:hAnsi="宋体" w:eastAsia="宋体" w:cs="Times New Roman"/>
                <w:szCs w:val="21"/>
              </w:rPr>
            </w:pPr>
            <w:r>
              <w:rPr>
                <w:rFonts w:hint="eastAsia" w:ascii="宋体" w:hAnsi="宋体" w:eastAsia="宋体" w:cs="Times New Roman"/>
                <w:szCs w:val="21"/>
              </w:rPr>
              <w:t>5.文艺复兴和宗教改革时期的教育</w:t>
            </w:r>
          </w:p>
        </w:tc>
        <w:tc>
          <w:tcPr>
            <w:tcW w:w="2149" w:type="dxa"/>
            <w:vAlign w:val="center"/>
          </w:tcPr>
          <w:p w14:paraId="198F5C37">
            <w:pPr>
              <w:spacing w:line="276" w:lineRule="auto"/>
              <w:jc w:val="left"/>
              <w:rPr>
                <w:rFonts w:hint="eastAsia" w:ascii="宋体" w:hAnsi="宋体" w:eastAsia="宋体" w:cs="Times New Roman"/>
                <w:szCs w:val="21"/>
              </w:rPr>
            </w:pPr>
            <w:r>
              <w:rPr>
                <w:rFonts w:hint="eastAsia" w:ascii="宋体" w:hAnsi="宋体" w:eastAsia="宋体" w:cs="Times New Roman"/>
                <w:szCs w:val="21"/>
              </w:rPr>
              <w:t>（1）文艺复兴的产生及其人文主义教育</w:t>
            </w:r>
          </w:p>
          <w:p w14:paraId="2BD17369">
            <w:pPr>
              <w:spacing w:line="276" w:lineRule="auto"/>
              <w:jc w:val="left"/>
              <w:rPr>
                <w:rFonts w:hint="eastAsia" w:ascii="宋体" w:hAnsi="宋体" w:eastAsia="宋体" w:cs="Times New Roman"/>
                <w:szCs w:val="21"/>
              </w:rPr>
            </w:pPr>
            <w:r>
              <w:rPr>
                <w:rFonts w:hint="eastAsia" w:ascii="宋体" w:hAnsi="宋体" w:eastAsia="宋体" w:cs="Times New Roman"/>
                <w:szCs w:val="21"/>
              </w:rPr>
              <w:t>（2）宗教改革的背景及其对教育发展的影响</w:t>
            </w:r>
          </w:p>
        </w:tc>
        <w:tc>
          <w:tcPr>
            <w:tcW w:w="1133" w:type="dxa"/>
            <w:vAlign w:val="center"/>
          </w:tcPr>
          <w:p w14:paraId="1D455D49">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813" w:type="dxa"/>
            <w:vAlign w:val="center"/>
          </w:tcPr>
          <w:p w14:paraId="091880B5">
            <w:pPr>
              <w:spacing w:line="276" w:lineRule="auto"/>
              <w:jc w:val="left"/>
              <w:rPr>
                <w:rFonts w:hint="eastAsia" w:ascii="宋体" w:hAnsi="宋体" w:eastAsia="宋体" w:cs="Times New Roman"/>
                <w:szCs w:val="21"/>
              </w:rPr>
            </w:pPr>
            <w:r>
              <w:rPr>
                <w:rFonts w:hint="eastAsia" w:ascii="宋体" w:hAnsi="宋体" w:eastAsia="宋体" w:cs="Times New Roman"/>
                <w:szCs w:val="21"/>
              </w:rPr>
              <w:t>（1）了解中世纪和文艺复兴的联系；</w:t>
            </w:r>
          </w:p>
          <w:p w14:paraId="0C0E424D">
            <w:pPr>
              <w:spacing w:line="276" w:lineRule="auto"/>
              <w:jc w:val="left"/>
              <w:rPr>
                <w:rFonts w:hint="eastAsia" w:ascii="宋体" w:hAnsi="宋体" w:eastAsia="宋体" w:cs="Times New Roman"/>
                <w:szCs w:val="21"/>
              </w:rPr>
            </w:pPr>
            <w:r>
              <w:rPr>
                <w:rFonts w:hint="eastAsia" w:ascii="宋体" w:hAnsi="宋体" w:eastAsia="宋体" w:cs="Times New Roman"/>
                <w:szCs w:val="21"/>
              </w:rPr>
              <w:t>（2）理解人文主义教育的主要内容；</w:t>
            </w:r>
          </w:p>
          <w:p w14:paraId="1A122D56">
            <w:pPr>
              <w:spacing w:line="276" w:lineRule="auto"/>
              <w:jc w:val="left"/>
              <w:rPr>
                <w:rFonts w:hint="eastAsia" w:ascii="宋体" w:hAnsi="宋体" w:eastAsia="宋体" w:cs="Times New Roman"/>
                <w:szCs w:val="21"/>
              </w:rPr>
            </w:pPr>
            <w:r>
              <w:rPr>
                <w:rFonts w:hint="eastAsia" w:ascii="宋体" w:hAnsi="宋体" w:eastAsia="宋体" w:cs="Times New Roman"/>
                <w:szCs w:val="21"/>
              </w:rPr>
              <w:t>（3）掌握文艺复兴和宗教改革对西欧近代教育的影响。</w:t>
            </w:r>
          </w:p>
        </w:tc>
        <w:tc>
          <w:tcPr>
            <w:tcW w:w="1560" w:type="dxa"/>
            <w:vAlign w:val="center"/>
          </w:tcPr>
          <w:p w14:paraId="4661F9E8">
            <w:pPr>
              <w:spacing w:line="276" w:lineRule="auto"/>
              <w:jc w:val="left"/>
              <w:rPr>
                <w:rFonts w:hint="eastAsia" w:ascii="宋体" w:hAnsi="宋体" w:eastAsia="宋体" w:cs="Times New Roman"/>
                <w:szCs w:val="21"/>
              </w:rPr>
            </w:pPr>
            <w:r>
              <w:rPr>
                <w:rFonts w:ascii="宋体" w:hAnsi="宋体" w:eastAsia="宋体" w:cs="Times New Roman"/>
                <w:szCs w:val="21"/>
              </w:rPr>
              <w:t>1.线上学习</w:t>
            </w:r>
          </w:p>
          <w:p w14:paraId="37BD25EE">
            <w:pPr>
              <w:spacing w:line="276"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6E64DD78">
            <w:pPr>
              <w:spacing w:line="276"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2BC7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62E761A">
            <w:pPr>
              <w:spacing w:line="276" w:lineRule="auto"/>
              <w:jc w:val="center"/>
              <w:rPr>
                <w:rFonts w:hint="eastAsia" w:ascii="宋体" w:hAnsi="宋体" w:eastAsia="宋体" w:cs="Times New Roman"/>
                <w:szCs w:val="21"/>
              </w:rPr>
            </w:pPr>
          </w:p>
        </w:tc>
        <w:tc>
          <w:tcPr>
            <w:tcW w:w="8093" w:type="dxa"/>
            <w:gridSpan w:val="5"/>
            <w:vAlign w:val="center"/>
          </w:tcPr>
          <w:p w14:paraId="0F758DA1">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回忆和温故西方历史上曾经出现过的划时代事件和重要人物，以及宗教对欧洲诸国的深刻影响，通过对比，发现我国历史同期所创造的灿烂文化对欧洲历史进程的影响，深刻理解我国当前实行的民族区域自治政策的特殊意义。</w:t>
            </w:r>
          </w:p>
        </w:tc>
      </w:tr>
      <w:tr w14:paraId="5C99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D467D0C">
            <w:pPr>
              <w:spacing w:line="276" w:lineRule="auto"/>
              <w:jc w:val="center"/>
              <w:rPr>
                <w:rFonts w:hint="eastAsia" w:ascii="宋体" w:hAnsi="宋体" w:eastAsia="宋体" w:cs="Times New Roman"/>
                <w:szCs w:val="21"/>
              </w:rPr>
            </w:pPr>
            <w:r>
              <w:rPr>
                <w:rFonts w:hint="eastAsia" w:ascii="宋体" w:hAnsi="宋体" w:eastAsia="宋体" w:cs="Times New Roman"/>
                <w:szCs w:val="21"/>
              </w:rPr>
              <w:t>6.（六）夸美纽斯的教育思想</w:t>
            </w:r>
          </w:p>
        </w:tc>
        <w:tc>
          <w:tcPr>
            <w:tcW w:w="2149" w:type="dxa"/>
            <w:vAlign w:val="center"/>
          </w:tcPr>
          <w:p w14:paraId="6437DBA5">
            <w:pPr>
              <w:spacing w:line="276" w:lineRule="auto"/>
              <w:jc w:val="left"/>
              <w:rPr>
                <w:rFonts w:hint="eastAsia" w:ascii="宋体" w:hAnsi="宋体" w:eastAsia="宋体" w:cs="Times New Roman"/>
                <w:szCs w:val="21"/>
              </w:rPr>
            </w:pPr>
            <w:r>
              <w:rPr>
                <w:rFonts w:hint="eastAsia" w:ascii="宋体" w:hAnsi="宋体" w:eastAsia="宋体" w:cs="Times New Roman"/>
                <w:szCs w:val="21"/>
              </w:rPr>
              <w:t>（1）生平活动和代表性著作</w:t>
            </w:r>
          </w:p>
          <w:p w14:paraId="4DF2422D">
            <w:pPr>
              <w:spacing w:line="276" w:lineRule="auto"/>
              <w:jc w:val="left"/>
              <w:rPr>
                <w:rFonts w:hint="eastAsia" w:ascii="宋体" w:hAnsi="宋体" w:eastAsia="宋体" w:cs="Times New Roman"/>
                <w:szCs w:val="21"/>
              </w:rPr>
            </w:pPr>
            <w:r>
              <w:rPr>
                <w:rFonts w:hint="eastAsia" w:ascii="宋体" w:hAnsi="宋体" w:eastAsia="宋体" w:cs="Times New Roman"/>
                <w:szCs w:val="21"/>
              </w:rPr>
              <w:t>（2）主要教育观点</w:t>
            </w:r>
          </w:p>
          <w:p w14:paraId="61E18E24">
            <w:pPr>
              <w:spacing w:line="276" w:lineRule="auto"/>
              <w:jc w:val="left"/>
              <w:rPr>
                <w:rFonts w:hint="eastAsia" w:ascii="宋体" w:hAnsi="宋体" w:eastAsia="宋体" w:cs="Times New Roman"/>
                <w:szCs w:val="21"/>
              </w:rPr>
            </w:pPr>
            <w:r>
              <w:rPr>
                <w:rFonts w:hint="eastAsia" w:ascii="宋体" w:hAnsi="宋体" w:eastAsia="宋体" w:cs="Times New Roman"/>
                <w:szCs w:val="21"/>
              </w:rPr>
              <w:t>（3）历史影响和局限性</w:t>
            </w:r>
          </w:p>
        </w:tc>
        <w:tc>
          <w:tcPr>
            <w:tcW w:w="1133" w:type="dxa"/>
            <w:vAlign w:val="center"/>
          </w:tcPr>
          <w:p w14:paraId="2516D418">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w:t>
            </w:r>
          </w:p>
          <w:p w14:paraId="0E010FC0">
            <w:pPr>
              <w:spacing w:line="276"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1、2</w:t>
            </w:r>
          </w:p>
        </w:tc>
        <w:tc>
          <w:tcPr>
            <w:tcW w:w="2813" w:type="dxa"/>
            <w:vAlign w:val="center"/>
          </w:tcPr>
          <w:p w14:paraId="77D36E76">
            <w:pPr>
              <w:spacing w:line="276" w:lineRule="auto"/>
              <w:jc w:val="left"/>
              <w:rPr>
                <w:rFonts w:hint="eastAsia" w:ascii="宋体" w:hAnsi="宋体" w:eastAsia="宋体" w:cs="Times New Roman"/>
                <w:szCs w:val="21"/>
              </w:rPr>
            </w:pPr>
            <w:r>
              <w:rPr>
                <w:rFonts w:hint="eastAsia" w:ascii="宋体" w:hAnsi="宋体" w:eastAsia="宋体" w:cs="Times New Roman"/>
                <w:szCs w:val="21"/>
              </w:rPr>
              <w:t>（1）了解夸美纽斯的生平和《大教学论》的影响</w:t>
            </w:r>
          </w:p>
          <w:p w14:paraId="0541AB98">
            <w:pPr>
              <w:spacing w:line="276" w:lineRule="auto"/>
              <w:jc w:val="left"/>
              <w:rPr>
                <w:rFonts w:hint="eastAsia" w:ascii="宋体" w:hAnsi="宋体" w:eastAsia="宋体" w:cs="Times New Roman"/>
                <w:szCs w:val="21"/>
              </w:rPr>
            </w:pPr>
            <w:r>
              <w:rPr>
                <w:rFonts w:hint="eastAsia" w:ascii="宋体" w:hAnsi="宋体" w:eastAsia="宋体" w:cs="Times New Roman"/>
                <w:szCs w:val="21"/>
              </w:rPr>
              <w:t>（2）理解其教育思想的主要观点</w:t>
            </w:r>
          </w:p>
          <w:p w14:paraId="43608A1C">
            <w:pPr>
              <w:spacing w:line="276" w:lineRule="auto"/>
              <w:jc w:val="left"/>
              <w:rPr>
                <w:rFonts w:hint="eastAsia" w:ascii="宋体" w:hAnsi="宋体" w:eastAsia="宋体" w:cs="Times New Roman"/>
                <w:szCs w:val="21"/>
              </w:rPr>
            </w:pPr>
            <w:r>
              <w:rPr>
                <w:rFonts w:hint="eastAsia" w:ascii="宋体" w:hAnsi="宋体" w:eastAsia="宋体" w:cs="Times New Roman"/>
                <w:szCs w:val="21"/>
              </w:rPr>
              <w:t>（3）掌握其普及教育思想和教学理论</w:t>
            </w:r>
          </w:p>
        </w:tc>
        <w:tc>
          <w:tcPr>
            <w:tcW w:w="1560" w:type="dxa"/>
            <w:vAlign w:val="center"/>
          </w:tcPr>
          <w:p w14:paraId="699F2E3C">
            <w:pPr>
              <w:spacing w:line="276" w:lineRule="auto"/>
              <w:jc w:val="left"/>
              <w:rPr>
                <w:rFonts w:hint="eastAsia" w:ascii="宋体" w:hAnsi="宋体" w:eastAsia="宋体" w:cs="Times New Roman"/>
                <w:szCs w:val="21"/>
              </w:rPr>
            </w:pPr>
            <w:r>
              <w:rPr>
                <w:rFonts w:ascii="宋体" w:hAnsi="宋体" w:eastAsia="宋体" w:cs="Times New Roman"/>
                <w:szCs w:val="21"/>
              </w:rPr>
              <w:t>1.线上学习</w:t>
            </w:r>
          </w:p>
          <w:p w14:paraId="1ABD9A60">
            <w:pPr>
              <w:spacing w:line="276"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76D821E6">
            <w:pPr>
              <w:spacing w:line="276"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7CD4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48E9A55">
            <w:pPr>
              <w:spacing w:line="276" w:lineRule="auto"/>
              <w:jc w:val="center"/>
              <w:rPr>
                <w:rFonts w:hint="eastAsia" w:ascii="宋体" w:hAnsi="宋体" w:eastAsia="宋体" w:cs="Times New Roman"/>
                <w:szCs w:val="21"/>
              </w:rPr>
            </w:pPr>
          </w:p>
        </w:tc>
        <w:tc>
          <w:tcPr>
            <w:tcW w:w="8093" w:type="dxa"/>
            <w:gridSpan w:val="5"/>
            <w:vAlign w:val="center"/>
          </w:tcPr>
          <w:p w14:paraId="6DC36A5F">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通过本章内容学习，使学生了解欧洲一个小国——捷克所诞生的伟大教育家对世界教育史和教育学科发展所做出的贡献，进而使学生意识到人的的价值是在奋斗中创造的，任何人都不可能轻易成功。</w:t>
            </w:r>
          </w:p>
        </w:tc>
      </w:tr>
      <w:tr w14:paraId="10AA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42D37B4">
            <w:pPr>
              <w:spacing w:line="276" w:lineRule="auto"/>
              <w:jc w:val="center"/>
              <w:rPr>
                <w:rFonts w:hint="eastAsia" w:ascii="宋体" w:hAnsi="宋体" w:eastAsia="宋体" w:cs="Times New Roman"/>
                <w:szCs w:val="21"/>
              </w:rPr>
            </w:pPr>
            <w:r>
              <w:rPr>
                <w:rFonts w:hint="eastAsia" w:ascii="宋体" w:hAnsi="宋体" w:eastAsia="宋体" w:cs="Times New Roman"/>
                <w:szCs w:val="21"/>
              </w:rPr>
              <w:t>7.启蒙运动和洛克、卢梭的教育思想</w:t>
            </w:r>
          </w:p>
        </w:tc>
        <w:tc>
          <w:tcPr>
            <w:tcW w:w="2149" w:type="dxa"/>
            <w:vAlign w:val="center"/>
          </w:tcPr>
          <w:p w14:paraId="55BEA505">
            <w:pPr>
              <w:spacing w:line="276" w:lineRule="auto"/>
              <w:jc w:val="left"/>
              <w:rPr>
                <w:rFonts w:hint="eastAsia" w:ascii="宋体" w:hAnsi="宋体" w:eastAsia="宋体" w:cs="Times New Roman"/>
                <w:szCs w:val="21"/>
              </w:rPr>
            </w:pPr>
            <w:r>
              <w:rPr>
                <w:rFonts w:hint="eastAsia" w:ascii="宋体" w:hAnsi="宋体" w:eastAsia="宋体" w:cs="Times New Roman"/>
                <w:szCs w:val="21"/>
              </w:rPr>
              <w:t>（1）启蒙运动的产生和历史作用</w:t>
            </w:r>
          </w:p>
          <w:p w14:paraId="0DCD863D">
            <w:pPr>
              <w:spacing w:line="276" w:lineRule="auto"/>
              <w:jc w:val="left"/>
              <w:rPr>
                <w:rFonts w:hint="eastAsia" w:ascii="宋体" w:hAnsi="宋体" w:eastAsia="宋体" w:cs="Times New Roman"/>
                <w:szCs w:val="21"/>
              </w:rPr>
            </w:pPr>
            <w:r>
              <w:rPr>
                <w:rFonts w:hint="eastAsia" w:ascii="宋体" w:hAnsi="宋体" w:eastAsia="宋体" w:cs="Times New Roman"/>
                <w:szCs w:val="21"/>
              </w:rPr>
              <w:t>（2）洛克的绅士教育思想</w:t>
            </w:r>
          </w:p>
          <w:p w14:paraId="20A38856">
            <w:pPr>
              <w:spacing w:line="276" w:lineRule="auto"/>
              <w:jc w:val="left"/>
              <w:rPr>
                <w:rFonts w:hint="eastAsia" w:ascii="宋体" w:hAnsi="宋体" w:eastAsia="宋体" w:cs="Times New Roman"/>
                <w:szCs w:val="21"/>
              </w:rPr>
            </w:pPr>
            <w:r>
              <w:rPr>
                <w:rFonts w:hint="eastAsia" w:ascii="宋体" w:hAnsi="宋体" w:eastAsia="宋体" w:cs="Times New Roman"/>
                <w:szCs w:val="21"/>
              </w:rPr>
              <w:t>（3）卢梭的自然主义教育理论</w:t>
            </w:r>
          </w:p>
        </w:tc>
        <w:tc>
          <w:tcPr>
            <w:tcW w:w="1133" w:type="dxa"/>
            <w:vAlign w:val="center"/>
          </w:tcPr>
          <w:p w14:paraId="3CB20B3B">
            <w:pPr>
              <w:spacing w:line="276" w:lineRule="auto"/>
              <w:jc w:val="center"/>
              <w:rPr>
                <w:rFonts w:hint="default" w:ascii="宋体" w:hAnsi="宋体" w:eastAsia="宋体" w:cs="Times New Roman"/>
                <w:szCs w:val="21"/>
                <w:lang w:val="en-US" w:eastAsia="zh-CN"/>
              </w:rPr>
            </w:pPr>
            <w:r>
              <w:rPr>
                <w:rFonts w:hint="eastAsia" w:ascii="宋体" w:hAnsi="宋体" w:eastAsia="宋体" w:cs="Times New Roman"/>
                <w:szCs w:val="21"/>
              </w:rPr>
              <w:t>课程目标</w:t>
            </w:r>
            <w:r>
              <w:rPr>
                <w:rFonts w:hint="eastAsia" w:ascii="宋体" w:hAnsi="宋体" w:eastAsia="宋体" w:cs="Times New Roman"/>
                <w:szCs w:val="21"/>
                <w:lang w:val="en-US" w:eastAsia="zh-CN"/>
              </w:rPr>
              <w:t>1、2、3</w:t>
            </w:r>
          </w:p>
        </w:tc>
        <w:tc>
          <w:tcPr>
            <w:tcW w:w="2813" w:type="dxa"/>
            <w:vAlign w:val="center"/>
          </w:tcPr>
          <w:p w14:paraId="1565B4EC">
            <w:pPr>
              <w:spacing w:line="276" w:lineRule="auto"/>
              <w:jc w:val="left"/>
              <w:rPr>
                <w:rFonts w:hint="eastAsia" w:ascii="宋体" w:hAnsi="宋体" w:eastAsia="宋体" w:cs="Times New Roman"/>
                <w:szCs w:val="21"/>
              </w:rPr>
            </w:pPr>
            <w:r>
              <w:rPr>
                <w:rFonts w:hint="eastAsia" w:ascii="宋体" w:hAnsi="宋体" w:eastAsia="宋体" w:cs="Times New Roman"/>
                <w:szCs w:val="21"/>
              </w:rPr>
              <w:t>（1）了解启蒙运动的历史作用；</w:t>
            </w:r>
          </w:p>
          <w:p w14:paraId="79DA7715">
            <w:pPr>
              <w:spacing w:line="276" w:lineRule="auto"/>
              <w:jc w:val="left"/>
              <w:rPr>
                <w:rFonts w:hint="eastAsia" w:ascii="宋体" w:hAnsi="宋体" w:eastAsia="宋体" w:cs="Times New Roman"/>
                <w:szCs w:val="21"/>
              </w:rPr>
            </w:pPr>
            <w:r>
              <w:rPr>
                <w:rFonts w:hint="eastAsia" w:ascii="宋体" w:hAnsi="宋体" w:eastAsia="宋体" w:cs="Times New Roman"/>
                <w:szCs w:val="21"/>
              </w:rPr>
              <w:t>（2）理解洛克的白板说；</w:t>
            </w:r>
          </w:p>
          <w:p w14:paraId="4D17470E">
            <w:pPr>
              <w:spacing w:line="276" w:lineRule="auto"/>
              <w:jc w:val="left"/>
              <w:rPr>
                <w:rFonts w:hint="eastAsia" w:ascii="宋体" w:hAnsi="宋体" w:eastAsia="宋体" w:cs="Times New Roman"/>
                <w:szCs w:val="21"/>
              </w:rPr>
            </w:pPr>
            <w:r>
              <w:rPr>
                <w:rFonts w:hint="eastAsia" w:ascii="宋体" w:hAnsi="宋体" w:eastAsia="宋体" w:cs="Times New Roman"/>
                <w:szCs w:val="21"/>
              </w:rPr>
              <w:t>（3）掌握卢梭自然主义教育的内涵。</w:t>
            </w:r>
          </w:p>
        </w:tc>
        <w:tc>
          <w:tcPr>
            <w:tcW w:w="1560" w:type="dxa"/>
            <w:vAlign w:val="center"/>
          </w:tcPr>
          <w:p w14:paraId="110DC99E">
            <w:pPr>
              <w:spacing w:line="276" w:lineRule="auto"/>
              <w:jc w:val="left"/>
              <w:rPr>
                <w:rFonts w:hint="eastAsia" w:ascii="宋体" w:hAnsi="宋体" w:eastAsia="宋体" w:cs="Times New Roman"/>
                <w:szCs w:val="21"/>
              </w:rPr>
            </w:pPr>
            <w:r>
              <w:rPr>
                <w:rFonts w:ascii="宋体" w:hAnsi="宋体" w:eastAsia="宋体" w:cs="Times New Roman"/>
                <w:szCs w:val="21"/>
              </w:rPr>
              <w:t>1.线上学习</w:t>
            </w:r>
          </w:p>
          <w:p w14:paraId="58FC6A98">
            <w:pPr>
              <w:spacing w:line="276"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66922BE6">
            <w:pPr>
              <w:spacing w:line="276"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09413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A19F5C1">
            <w:pPr>
              <w:spacing w:line="276" w:lineRule="auto"/>
              <w:jc w:val="center"/>
              <w:rPr>
                <w:rFonts w:hint="eastAsia" w:ascii="宋体" w:hAnsi="宋体" w:eastAsia="宋体" w:cs="Times New Roman"/>
                <w:szCs w:val="21"/>
              </w:rPr>
            </w:pPr>
          </w:p>
        </w:tc>
        <w:tc>
          <w:tcPr>
            <w:tcW w:w="8093" w:type="dxa"/>
            <w:gridSpan w:val="5"/>
            <w:vAlign w:val="center"/>
          </w:tcPr>
          <w:p w14:paraId="20F59AD2">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通过本章内容学习，使师范生理解时代与个人之间的关系，没有启蒙运动的时代背景，也就不可能产生洛克和卢梭这样伟大的时代精英。因此，一个人的成功除了个人天赋和后天努力之外，也是时代的产物。</w:t>
            </w:r>
          </w:p>
        </w:tc>
      </w:tr>
      <w:tr w14:paraId="67EB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6BA44DA">
            <w:pPr>
              <w:spacing w:line="264" w:lineRule="auto"/>
              <w:jc w:val="center"/>
              <w:rPr>
                <w:rFonts w:hint="eastAsia" w:ascii="宋体" w:hAnsi="宋体" w:eastAsia="宋体" w:cs="Times New Roman"/>
                <w:szCs w:val="21"/>
              </w:rPr>
            </w:pPr>
            <w:r>
              <w:rPr>
                <w:rFonts w:hint="eastAsia" w:ascii="宋体" w:hAnsi="宋体" w:eastAsia="宋体" w:cs="Times New Roman"/>
                <w:szCs w:val="21"/>
              </w:rPr>
              <w:t>8.19世纪西欧主要国家的教育改革和主要教育家的教育思想课程</w:t>
            </w:r>
          </w:p>
        </w:tc>
        <w:tc>
          <w:tcPr>
            <w:tcW w:w="2149" w:type="dxa"/>
            <w:vAlign w:val="center"/>
          </w:tcPr>
          <w:p w14:paraId="52F036EF">
            <w:pPr>
              <w:spacing w:line="264" w:lineRule="auto"/>
              <w:jc w:val="left"/>
              <w:rPr>
                <w:rFonts w:hint="eastAsia" w:ascii="宋体" w:hAnsi="宋体" w:eastAsia="宋体" w:cs="Times New Roman"/>
                <w:szCs w:val="21"/>
              </w:rPr>
            </w:pPr>
            <w:r>
              <w:rPr>
                <w:rFonts w:hint="eastAsia" w:ascii="宋体" w:hAnsi="宋体" w:eastAsia="宋体" w:cs="Times New Roman"/>
                <w:szCs w:val="21"/>
              </w:rPr>
              <w:t xml:space="preserve">（1）英国教育改革与斯宾塞的科学教育思想 </w:t>
            </w:r>
          </w:p>
          <w:p w14:paraId="64786390">
            <w:pPr>
              <w:spacing w:line="264" w:lineRule="auto"/>
              <w:jc w:val="left"/>
              <w:rPr>
                <w:rFonts w:hint="eastAsia" w:ascii="宋体" w:hAnsi="宋体" w:eastAsia="宋体" w:cs="Times New Roman"/>
                <w:szCs w:val="21"/>
              </w:rPr>
            </w:pPr>
            <w:r>
              <w:rPr>
                <w:rFonts w:hint="eastAsia" w:ascii="宋体" w:hAnsi="宋体" w:eastAsia="宋体" w:cs="Times New Roman"/>
                <w:szCs w:val="21"/>
              </w:rPr>
              <w:t>（2）德国的教育改革与福禄贝尔、第斯多惠、洪堡的教育思想</w:t>
            </w:r>
          </w:p>
          <w:p w14:paraId="79906500">
            <w:pPr>
              <w:spacing w:line="264" w:lineRule="auto"/>
              <w:jc w:val="left"/>
              <w:rPr>
                <w:rFonts w:hint="eastAsia" w:ascii="宋体" w:hAnsi="宋体" w:eastAsia="宋体" w:cs="Times New Roman"/>
                <w:szCs w:val="21"/>
              </w:rPr>
            </w:pPr>
            <w:r>
              <w:rPr>
                <w:rFonts w:hint="eastAsia" w:ascii="宋体" w:hAnsi="宋体" w:eastAsia="宋体" w:cs="Times New Roman"/>
                <w:szCs w:val="21"/>
              </w:rPr>
              <w:t>（3）俄国的教育改革与乌申斯基的教育思想</w:t>
            </w:r>
          </w:p>
          <w:p w14:paraId="337F9B19">
            <w:pPr>
              <w:spacing w:line="264" w:lineRule="auto"/>
              <w:jc w:val="left"/>
              <w:rPr>
                <w:rFonts w:hint="eastAsia" w:ascii="宋体" w:hAnsi="宋体" w:eastAsia="宋体" w:cs="Times New Roman"/>
                <w:szCs w:val="21"/>
              </w:rPr>
            </w:pPr>
            <w:r>
              <w:rPr>
                <w:rFonts w:hint="eastAsia" w:ascii="宋体" w:hAnsi="宋体" w:eastAsia="宋体" w:cs="Times New Roman"/>
                <w:szCs w:val="21"/>
              </w:rPr>
              <w:t>（4）美国教育的改革</w:t>
            </w:r>
          </w:p>
          <w:p w14:paraId="416DEFB7">
            <w:pPr>
              <w:spacing w:line="264" w:lineRule="auto"/>
              <w:jc w:val="left"/>
              <w:rPr>
                <w:rFonts w:hint="eastAsia" w:ascii="宋体" w:hAnsi="宋体" w:eastAsia="宋体" w:cs="Times New Roman"/>
                <w:szCs w:val="21"/>
              </w:rPr>
            </w:pPr>
            <w:r>
              <w:rPr>
                <w:rFonts w:hint="eastAsia" w:ascii="宋体" w:hAnsi="宋体" w:eastAsia="宋体" w:cs="Times New Roman"/>
                <w:szCs w:val="21"/>
              </w:rPr>
              <w:t>（5）日本的教育改革与福泽谕吉的教育思想</w:t>
            </w:r>
          </w:p>
        </w:tc>
        <w:tc>
          <w:tcPr>
            <w:tcW w:w="1133" w:type="dxa"/>
            <w:vAlign w:val="center"/>
          </w:tcPr>
          <w:p w14:paraId="31920CF5">
            <w:pPr>
              <w:spacing w:line="264" w:lineRule="auto"/>
              <w:jc w:val="center"/>
              <w:rPr>
                <w:rFonts w:hint="default" w:ascii="宋体" w:hAnsi="宋体" w:eastAsia="宋体" w:cs="Times New Roman"/>
                <w:szCs w:val="21"/>
                <w:lang w:val="en-US" w:eastAsia="zh-CN"/>
              </w:rPr>
            </w:pPr>
            <w:r>
              <w:rPr>
                <w:rFonts w:hint="eastAsia" w:ascii="宋体" w:hAnsi="宋体" w:eastAsia="宋体" w:cs="Times New Roman"/>
                <w:szCs w:val="21"/>
              </w:rPr>
              <w:t>课程目标</w:t>
            </w:r>
            <w:r>
              <w:rPr>
                <w:rFonts w:hint="eastAsia" w:ascii="宋体" w:hAnsi="宋体" w:eastAsia="宋体" w:cs="Times New Roman"/>
                <w:szCs w:val="21"/>
                <w:lang w:val="en-US" w:eastAsia="zh-CN"/>
              </w:rPr>
              <w:t>1、2、3</w:t>
            </w:r>
          </w:p>
        </w:tc>
        <w:tc>
          <w:tcPr>
            <w:tcW w:w="2813" w:type="dxa"/>
            <w:vAlign w:val="center"/>
          </w:tcPr>
          <w:p w14:paraId="4B07E5CD">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（1）了解19世纪西欧主要国家教育改革的概况</w:t>
            </w:r>
          </w:p>
          <w:p w14:paraId="0907B84D">
            <w:pPr>
              <w:spacing w:line="264" w:lineRule="auto"/>
              <w:jc w:val="left"/>
              <w:rPr>
                <w:rFonts w:hint="eastAsia" w:ascii="宋体" w:hAnsi="宋体" w:eastAsia="宋体" w:cs="Times New Roman"/>
                <w:szCs w:val="21"/>
              </w:rPr>
            </w:pPr>
            <w:r>
              <w:rPr>
                <w:rFonts w:hint="eastAsia" w:ascii="宋体" w:hAnsi="宋体" w:eastAsia="宋体" w:cs="Times New Roman"/>
                <w:szCs w:val="21"/>
              </w:rPr>
              <w:t>（2）理解主要教育家的教育思想及其历史影响</w:t>
            </w:r>
          </w:p>
          <w:p w14:paraId="083618C0">
            <w:pPr>
              <w:spacing w:line="264" w:lineRule="auto"/>
              <w:jc w:val="left"/>
              <w:rPr>
                <w:rFonts w:hint="eastAsia" w:ascii="宋体" w:hAnsi="宋体" w:eastAsia="宋体" w:cs="Times New Roman"/>
                <w:szCs w:val="21"/>
              </w:rPr>
            </w:pPr>
            <w:r>
              <w:rPr>
                <w:rFonts w:hint="eastAsia" w:ascii="宋体" w:hAnsi="宋体" w:eastAsia="宋体" w:cs="Times New Roman"/>
                <w:szCs w:val="21"/>
              </w:rPr>
              <w:t>（3）理解近代教育制度的确立和近代大学的创建</w:t>
            </w:r>
          </w:p>
          <w:p w14:paraId="1E6028C3">
            <w:pPr>
              <w:spacing w:line="264" w:lineRule="auto"/>
              <w:jc w:val="left"/>
              <w:rPr>
                <w:rFonts w:hint="eastAsia" w:ascii="宋体" w:hAnsi="宋体" w:eastAsia="宋体" w:cs="Times New Roman"/>
                <w:szCs w:val="21"/>
              </w:rPr>
            </w:pPr>
            <w:r>
              <w:rPr>
                <w:rFonts w:hint="eastAsia" w:ascii="宋体" w:hAnsi="宋体" w:eastAsia="宋体" w:cs="Times New Roman"/>
                <w:szCs w:val="21"/>
              </w:rPr>
              <w:t>（4）掌握主要教育家的教育思想观点</w:t>
            </w:r>
          </w:p>
        </w:tc>
        <w:tc>
          <w:tcPr>
            <w:tcW w:w="1560" w:type="dxa"/>
            <w:vAlign w:val="center"/>
          </w:tcPr>
          <w:p w14:paraId="6A087E5B">
            <w:pPr>
              <w:spacing w:line="264" w:lineRule="auto"/>
              <w:jc w:val="left"/>
              <w:rPr>
                <w:rFonts w:hint="eastAsia" w:ascii="宋体" w:hAnsi="宋体" w:eastAsia="宋体" w:cs="Times New Roman"/>
                <w:szCs w:val="21"/>
              </w:rPr>
            </w:pPr>
            <w:r>
              <w:rPr>
                <w:rFonts w:ascii="宋体" w:hAnsi="宋体" w:eastAsia="宋体" w:cs="Times New Roman"/>
                <w:szCs w:val="21"/>
              </w:rPr>
              <w:t>1.线上学习</w:t>
            </w:r>
          </w:p>
          <w:p w14:paraId="62E447C4">
            <w:pPr>
              <w:spacing w:line="264"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6AA21AD1">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4C19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AD89745">
            <w:pPr>
              <w:spacing w:line="264" w:lineRule="auto"/>
              <w:jc w:val="center"/>
              <w:rPr>
                <w:rFonts w:hint="eastAsia" w:ascii="宋体" w:hAnsi="宋体" w:eastAsia="宋体" w:cs="Times New Roman"/>
                <w:szCs w:val="21"/>
              </w:rPr>
            </w:pPr>
          </w:p>
        </w:tc>
        <w:tc>
          <w:tcPr>
            <w:tcW w:w="8093" w:type="dxa"/>
            <w:gridSpan w:val="5"/>
            <w:vAlign w:val="center"/>
          </w:tcPr>
          <w:p w14:paraId="42302575">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通过本章内容学习，使师范生了解近代欧洲主要国家教育发展所取得的成就，以及我国同时期教育所存在的落后局面，在对比中理解我国近代所遭受到的侵略，不断增强爱国情怀和报国之志。</w:t>
            </w:r>
          </w:p>
        </w:tc>
      </w:tr>
      <w:tr w14:paraId="6634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43B3AC0">
            <w:pPr>
              <w:spacing w:line="264" w:lineRule="auto"/>
              <w:jc w:val="center"/>
              <w:rPr>
                <w:rFonts w:hint="eastAsia" w:ascii="宋体" w:hAnsi="宋体" w:eastAsia="宋体" w:cs="Times New Roman"/>
                <w:szCs w:val="21"/>
              </w:rPr>
            </w:pPr>
            <w:r>
              <w:rPr>
                <w:rFonts w:hint="eastAsia" w:ascii="宋体" w:hAnsi="宋体" w:eastAsia="宋体" w:cs="Times New Roman"/>
                <w:szCs w:val="21"/>
              </w:rPr>
              <w:t>9.裴斯泰洛齐和赫尔巴特的教育思想</w:t>
            </w:r>
          </w:p>
        </w:tc>
        <w:tc>
          <w:tcPr>
            <w:tcW w:w="2149" w:type="dxa"/>
            <w:vAlign w:val="center"/>
          </w:tcPr>
          <w:p w14:paraId="3F498C46">
            <w:pPr>
              <w:spacing w:line="264" w:lineRule="auto"/>
              <w:jc w:val="left"/>
              <w:rPr>
                <w:rFonts w:hint="eastAsia" w:ascii="宋体" w:hAnsi="宋体" w:eastAsia="宋体" w:cs="Times New Roman"/>
                <w:szCs w:val="21"/>
              </w:rPr>
            </w:pPr>
            <w:r>
              <w:rPr>
                <w:rFonts w:hint="eastAsia" w:ascii="宋体" w:hAnsi="宋体" w:eastAsia="宋体" w:cs="Times New Roman"/>
                <w:szCs w:val="21"/>
              </w:rPr>
              <w:t>（1）裴斯泰洛齐和赫尔巴特的生平和代表性著作</w:t>
            </w:r>
          </w:p>
          <w:p w14:paraId="03973FF0">
            <w:pPr>
              <w:spacing w:line="264" w:lineRule="auto"/>
              <w:jc w:val="left"/>
              <w:rPr>
                <w:rFonts w:hint="eastAsia" w:ascii="宋体" w:hAnsi="宋体" w:eastAsia="宋体" w:cs="Times New Roman"/>
                <w:szCs w:val="21"/>
              </w:rPr>
            </w:pPr>
            <w:r>
              <w:rPr>
                <w:rFonts w:hint="eastAsia" w:ascii="宋体" w:hAnsi="宋体" w:eastAsia="宋体" w:cs="Times New Roman"/>
                <w:szCs w:val="21"/>
              </w:rPr>
              <w:t>（2）裴斯泰洛齐和赫尔巴特的教育思想的主要内容</w:t>
            </w:r>
          </w:p>
          <w:p w14:paraId="5C7C79E1">
            <w:pPr>
              <w:spacing w:line="264" w:lineRule="auto"/>
              <w:jc w:val="left"/>
              <w:rPr>
                <w:rFonts w:hint="eastAsia" w:ascii="宋体" w:hAnsi="宋体" w:eastAsia="宋体" w:cs="Times New Roman"/>
                <w:szCs w:val="21"/>
              </w:rPr>
            </w:pPr>
            <w:r>
              <w:rPr>
                <w:rFonts w:hint="eastAsia" w:ascii="宋体" w:hAnsi="宋体" w:eastAsia="宋体" w:cs="Times New Roman"/>
                <w:szCs w:val="21"/>
              </w:rPr>
              <w:t>（3）裴斯泰洛齐和赫尔巴特教育思想的历史影响</w:t>
            </w:r>
          </w:p>
        </w:tc>
        <w:tc>
          <w:tcPr>
            <w:tcW w:w="1133" w:type="dxa"/>
            <w:vAlign w:val="center"/>
          </w:tcPr>
          <w:p w14:paraId="2E5CA693">
            <w:pPr>
              <w:spacing w:line="264" w:lineRule="auto"/>
              <w:jc w:val="center"/>
              <w:rPr>
                <w:rFonts w:hint="default" w:ascii="宋体" w:hAnsi="宋体" w:eastAsia="宋体" w:cs="Times New Roman"/>
                <w:szCs w:val="21"/>
                <w:lang w:val="en-US" w:eastAsia="zh-CN"/>
              </w:rPr>
            </w:pPr>
            <w:r>
              <w:rPr>
                <w:rFonts w:hint="eastAsia" w:ascii="宋体" w:hAnsi="宋体" w:eastAsia="宋体" w:cs="Times New Roman"/>
                <w:szCs w:val="21"/>
              </w:rPr>
              <w:t>课程目标</w:t>
            </w:r>
            <w:r>
              <w:rPr>
                <w:rFonts w:hint="eastAsia" w:ascii="宋体" w:hAnsi="宋体" w:eastAsia="宋体" w:cs="Times New Roman"/>
                <w:szCs w:val="21"/>
                <w:lang w:val="en-US" w:eastAsia="zh-CN"/>
              </w:rPr>
              <w:t>1、2、3</w:t>
            </w:r>
          </w:p>
        </w:tc>
        <w:tc>
          <w:tcPr>
            <w:tcW w:w="2813" w:type="dxa"/>
            <w:vAlign w:val="center"/>
          </w:tcPr>
          <w:p w14:paraId="336F1637">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（1）了解两个教育家的生平和教育实践活动</w:t>
            </w:r>
          </w:p>
          <w:p w14:paraId="47B41A64">
            <w:pPr>
              <w:spacing w:line="264" w:lineRule="auto"/>
              <w:jc w:val="left"/>
              <w:rPr>
                <w:rFonts w:hint="eastAsia" w:ascii="宋体" w:hAnsi="宋体" w:eastAsia="宋体" w:cs="Times New Roman"/>
                <w:szCs w:val="21"/>
              </w:rPr>
            </w:pPr>
            <w:r>
              <w:rPr>
                <w:rFonts w:hint="eastAsia" w:ascii="宋体" w:hAnsi="宋体" w:eastAsia="宋体" w:cs="Times New Roman"/>
                <w:szCs w:val="21"/>
              </w:rPr>
              <w:t>（2）理解两个教育家的教育思想及其历史影响</w:t>
            </w:r>
          </w:p>
          <w:p w14:paraId="63654312">
            <w:pPr>
              <w:spacing w:line="264" w:lineRule="auto"/>
              <w:jc w:val="left"/>
              <w:rPr>
                <w:rFonts w:hint="eastAsia" w:ascii="宋体" w:hAnsi="宋体" w:eastAsia="宋体" w:cs="Times New Roman"/>
                <w:szCs w:val="21"/>
              </w:rPr>
            </w:pPr>
            <w:r>
              <w:rPr>
                <w:rFonts w:hint="eastAsia" w:ascii="宋体" w:hAnsi="宋体" w:eastAsia="宋体" w:cs="Times New Roman"/>
                <w:szCs w:val="21"/>
              </w:rPr>
              <w:t>（3）掌握赫尔巴特在教育史上的贡献和局限性</w:t>
            </w:r>
          </w:p>
        </w:tc>
        <w:tc>
          <w:tcPr>
            <w:tcW w:w="1560" w:type="dxa"/>
            <w:vAlign w:val="center"/>
          </w:tcPr>
          <w:p w14:paraId="3ECAF416">
            <w:pPr>
              <w:spacing w:line="264" w:lineRule="auto"/>
              <w:jc w:val="left"/>
              <w:rPr>
                <w:rFonts w:hint="eastAsia" w:ascii="宋体" w:hAnsi="宋体" w:eastAsia="宋体" w:cs="Times New Roman"/>
                <w:szCs w:val="21"/>
              </w:rPr>
            </w:pPr>
            <w:r>
              <w:rPr>
                <w:rFonts w:ascii="宋体" w:hAnsi="宋体" w:eastAsia="宋体" w:cs="Times New Roman"/>
                <w:szCs w:val="21"/>
              </w:rPr>
              <w:t>1.线上学习</w:t>
            </w:r>
          </w:p>
          <w:p w14:paraId="0B02D513">
            <w:pPr>
              <w:spacing w:line="264"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06B4EEA8">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4ADA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02F932E">
            <w:pPr>
              <w:spacing w:line="264" w:lineRule="auto"/>
              <w:jc w:val="center"/>
              <w:rPr>
                <w:rFonts w:hint="eastAsia" w:ascii="宋体" w:hAnsi="宋体" w:eastAsia="宋体" w:cs="Times New Roman"/>
                <w:szCs w:val="21"/>
              </w:rPr>
            </w:pPr>
          </w:p>
        </w:tc>
        <w:tc>
          <w:tcPr>
            <w:tcW w:w="8093" w:type="dxa"/>
            <w:gridSpan w:val="5"/>
            <w:vAlign w:val="center"/>
          </w:tcPr>
          <w:p w14:paraId="3C2DF9F1">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在理解两个伟大教育家教育思想和教育实践的同时，发现他们对近现代教育发展所作出的主要贡献，以及对当前我国教育改革所具有的启发意义。他们两个人毕生的精力都放在了教育事业上，对师范生而言，他们的人生经历具有一定的教育意义。</w:t>
            </w:r>
          </w:p>
        </w:tc>
      </w:tr>
      <w:tr w14:paraId="70D1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8E7739A">
            <w:pPr>
              <w:spacing w:line="264" w:lineRule="auto"/>
              <w:jc w:val="center"/>
              <w:rPr>
                <w:rFonts w:hint="eastAsia" w:ascii="宋体" w:hAnsi="宋体" w:eastAsia="宋体" w:cs="Times New Roman"/>
                <w:szCs w:val="21"/>
              </w:rPr>
            </w:pPr>
            <w:r>
              <w:rPr>
                <w:rFonts w:hint="eastAsia" w:ascii="宋体" w:hAnsi="宋体" w:eastAsia="宋体" w:cs="Times New Roman"/>
                <w:szCs w:val="21"/>
              </w:rPr>
              <w:t>10.20世纪前期欧美教育改革运动</w:t>
            </w:r>
          </w:p>
        </w:tc>
        <w:tc>
          <w:tcPr>
            <w:tcW w:w="2149" w:type="dxa"/>
            <w:vAlign w:val="center"/>
          </w:tcPr>
          <w:p w14:paraId="224AB084">
            <w:pPr>
              <w:spacing w:line="264" w:lineRule="auto"/>
              <w:jc w:val="left"/>
              <w:rPr>
                <w:rFonts w:hint="eastAsia" w:ascii="宋体" w:hAnsi="宋体" w:eastAsia="宋体" w:cs="Times New Roman"/>
                <w:szCs w:val="21"/>
              </w:rPr>
            </w:pPr>
            <w:r>
              <w:rPr>
                <w:rFonts w:hint="eastAsia" w:ascii="宋体" w:hAnsi="宋体" w:eastAsia="宋体" w:cs="Times New Roman"/>
                <w:szCs w:val="21"/>
              </w:rPr>
              <w:t>（1）欧洲新教育运动和美国进步主义教育运动概况</w:t>
            </w:r>
          </w:p>
          <w:p w14:paraId="26627C11">
            <w:pPr>
              <w:spacing w:line="264" w:lineRule="auto"/>
              <w:jc w:val="left"/>
              <w:rPr>
                <w:rFonts w:hint="eastAsia" w:ascii="宋体" w:hAnsi="宋体" w:eastAsia="宋体" w:cs="Times New Roman"/>
                <w:szCs w:val="21"/>
              </w:rPr>
            </w:pPr>
            <w:r>
              <w:rPr>
                <w:rFonts w:hint="eastAsia" w:ascii="宋体" w:hAnsi="宋体" w:eastAsia="宋体" w:cs="Times New Roman"/>
                <w:szCs w:val="21"/>
              </w:rPr>
              <w:t>（2）欧美实验教育学的产生及其影响</w:t>
            </w:r>
          </w:p>
          <w:p w14:paraId="2B3E4FED">
            <w:pPr>
              <w:spacing w:line="264" w:lineRule="auto"/>
              <w:jc w:val="left"/>
              <w:rPr>
                <w:rFonts w:hint="eastAsia" w:ascii="宋体" w:hAnsi="宋体" w:eastAsia="宋体" w:cs="Times New Roman"/>
                <w:szCs w:val="21"/>
              </w:rPr>
            </w:pPr>
            <w:r>
              <w:rPr>
                <w:rFonts w:hint="eastAsia" w:ascii="宋体" w:hAnsi="宋体" w:eastAsia="宋体" w:cs="Times New Roman"/>
                <w:szCs w:val="21"/>
              </w:rPr>
              <w:t>（3）主要教育家的教育思想</w:t>
            </w:r>
          </w:p>
        </w:tc>
        <w:tc>
          <w:tcPr>
            <w:tcW w:w="1133" w:type="dxa"/>
            <w:vAlign w:val="center"/>
          </w:tcPr>
          <w:p w14:paraId="09DED1C4">
            <w:pPr>
              <w:spacing w:line="264" w:lineRule="auto"/>
              <w:jc w:val="center"/>
              <w:rPr>
                <w:rFonts w:hint="default" w:ascii="宋体" w:hAnsi="宋体" w:eastAsia="宋体" w:cs="Times New Roman"/>
                <w:szCs w:val="21"/>
                <w:lang w:val="en-US" w:eastAsia="zh-CN"/>
              </w:rPr>
            </w:pPr>
            <w:r>
              <w:rPr>
                <w:rFonts w:hint="eastAsia" w:ascii="宋体" w:hAnsi="宋体" w:eastAsia="宋体" w:cs="Times New Roman"/>
                <w:szCs w:val="21"/>
              </w:rPr>
              <w:t>课程目标</w:t>
            </w:r>
            <w:r>
              <w:rPr>
                <w:rFonts w:hint="eastAsia" w:ascii="宋体" w:hAnsi="宋体" w:eastAsia="宋体" w:cs="Times New Roman"/>
                <w:szCs w:val="21"/>
                <w:lang w:val="en-US" w:eastAsia="zh-CN"/>
              </w:rPr>
              <w:t>1、2、3</w:t>
            </w:r>
          </w:p>
        </w:tc>
        <w:tc>
          <w:tcPr>
            <w:tcW w:w="2813" w:type="dxa"/>
            <w:vAlign w:val="center"/>
          </w:tcPr>
          <w:p w14:paraId="4422096B">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（1）了解欧洲新教育运动和美国进步主义教育运动的进程</w:t>
            </w:r>
          </w:p>
          <w:p w14:paraId="68D03711">
            <w:pPr>
              <w:spacing w:line="264" w:lineRule="auto"/>
              <w:jc w:val="left"/>
              <w:rPr>
                <w:rFonts w:hint="eastAsia" w:ascii="宋体" w:hAnsi="宋体" w:eastAsia="宋体" w:cs="Times New Roman"/>
                <w:szCs w:val="21"/>
              </w:rPr>
            </w:pPr>
            <w:r>
              <w:rPr>
                <w:rFonts w:hint="eastAsia" w:ascii="宋体" w:hAnsi="宋体" w:eastAsia="宋体" w:cs="Times New Roman"/>
                <w:szCs w:val="21"/>
              </w:rPr>
              <w:t>（2）理解实验教育学的产生及其对教育学科发展的影响</w:t>
            </w:r>
          </w:p>
          <w:p w14:paraId="16DD8848">
            <w:pPr>
              <w:spacing w:line="264" w:lineRule="auto"/>
              <w:jc w:val="left"/>
              <w:rPr>
                <w:rFonts w:hint="eastAsia" w:ascii="宋体" w:hAnsi="宋体" w:eastAsia="宋体" w:cs="Times New Roman"/>
                <w:szCs w:val="21"/>
              </w:rPr>
            </w:pPr>
            <w:r>
              <w:rPr>
                <w:rFonts w:hint="eastAsia" w:ascii="宋体" w:hAnsi="宋体" w:eastAsia="宋体" w:cs="Times New Roman"/>
                <w:szCs w:val="21"/>
              </w:rPr>
              <w:t>（3）掌握主要教育家的教育思想</w:t>
            </w:r>
          </w:p>
        </w:tc>
        <w:tc>
          <w:tcPr>
            <w:tcW w:w="1560" w:type="dxa"/>
            <w:vAlign w:val="center"/>
          </w:tcPr>
          <w:p w14:paraId="4BC1E45C">
            <w:pPr>
              <w:spacing w:line="264" w:lineRule="auto"/>
              <w:jc w:val="left"/>
              <w:rPr>
                <w:rFonts w:hint="eastAsia" w:ascii="宋体" w:hAnsi="宋体" w:eastAsia="宋体" w:cs="Times New Roman"/>
                <w:szCs w:val="21"/>
              </w:rPr>
            </w:pPr>
            <w:r>
              <w:rPr>
                <w:rFonts w:ascii="宋体" w:hAnsi="宋体" w:eastAsia="宋体" w:cs="Times New Roman"/>
                <w:szCs w:val="21"/>
              </w:rPr>
              <w:t>1.线上学习</w:t>
            </w:r>
          </w:p>
          <w:p w14:paraId="68626BB8">
            <w:pPr>
              <w:spacing w:line="264"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22CB6AEE">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5525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196A8AF">
            <w:pPr>
              <w:spacing w:line="264" w:lineRule="auto"/>
              <w:jc w:val="center"/>
              <w:rPr>
                <w:rFonts w:hint="eastAsia" w:ascii="宋体" w:hAnsi="宋体" w:eastAsia="宋体" w:cs="Times New Roman"/>
                <w:szCs w:val="21"/>
              </w:rPr>
            </w:pPr>
          </w:p>
        </w:tc>
        <w:tc>
          <w:tcPr>
            <w:tcW w:w="8093" w:type="dxa"/>
            <w:gridSpan w:val="5"/>
            <w:vAlign w:val="center"/>
          </w:tcPr>
          <w:p w14:paraId="4BD212B9">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师范生理解教育工作的复杂性和艰巨性，欧洲的新教育革新运动虽然取得了一定的成功，但影响毕竟是有限的。一个人一生能做的事情也是有限的，因此要想作出成就，就必须专注于自己喜欢的事情，并努力坚持。</w:t>
            </w:r>
          </w:p>
        </w:tc>
      </w:tr>
      <w:tr w14:paraId="1452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A3759C9">
            <w:pPr>
              <w:spacing w:line="264" w:lineRule="auto"/>
              <w:jc w:val="center"/>
              <w:rPr>
                <w:rFonts w:hint="eastAsia" w:ascii="宋体" w:hAnsi="宋体" w:eastAsia="宋体" w:cs="Times New Roman"/>
                <w:szCs w:val="21"/>
              </w:rPr>
            </w:pPr>
            <w:r>
              <w:rPr>
                <w:rFonts w:hint="eastAsia" w:ascii="宋体" w:hAnsi="宋体" w:eastAsia="宋体" w:cs="Times New Roman"/>
                <w:szCs w:val="21"/>
              </w:rPr>
              <w:t>11.杜威的教育思想</w:t>
            </w:r>
          </w:p>
        </w:tc>
        <w:tc>
          <w:tcPr>
            <w:tcW w:w="2149" w:type="dxa"/>
            <w:vAlign w:val="center"/>
          </w:tcPr>
          <w:p w14:paraId="087C3D27">
            <w:pPr>
              <w:spacing w:line="264" w:lineRule="auto"/>
              <w:jc w:val="left"/>
              <w:rPr>
                <w:rFonts w:hint="eastAsia" w:ascii="宋体" w:hAnsi="宋体" w:eastAsia="宋体" w:cs="Times New Roman"/>
                <w:szCs w:val="21"/>
              </w:rPr>
            </w:pPr>
            <w:r>
              <w:rPr>
                <w:rFonts w:hint="eastAsia" w:ascii="宋体" w:hAnsi="宋体" w:eastAsia="宋体" w:cs="Times New Roman"/>
                <w:szCs w:val="21"/>
              </w:rPr>
              <w:t>（1）杜威的生平和代表性著作</w:t>
            </w:r>
          </w:p>
          <w:p w14:paraId="2142BF70">
            <w:pPr>
              <w:spacing w:line="264" w:lineRule="auto"/>
              <w:jc w:val="left"/>
              <w:rPr>
                <w:rFonts w:hint="eastAsia" w:ascii="宋体" w:hAnsi="宋体" w:eastAsia="宋体" w:cs="Times New Roman"/>
                <w:szCs w:val="21"/>
              </w:rPr>
            </w:pPr>
            <w:r>
              <w:rPr>
                <w:rFonts w:hint="eastAsia" w:ascii="宋体" w:hAnsi="宋体" w:eastAsia="宋体" w:cs="Times New Roman"/>
                <w:szCs w:val="21"/>
              </w:rPr>
              <w:t>（2）杜威教育思想的主要内容</w:t>
            </w:r>
          </w:p>
          <w:p w14:paraId="18B6DCFE">
            <w:pPr>
              <w:spacing w:line="264" w:lineRule="auto"/>
              <w:jc w:val="left"/>
              <w:rPr>
                <w:rFonts w:hint="eastAsia" w:ascii="宋体" w:hAnsi="宋体" w:eastAsia="宋体" w:cs="Times New Roman"/>
                <w:szCs w:val="21"/>
              </w:rPr>
            </w:pPr>
            <w:r>
              <w:rPr>
                <w:rFonts w:hint="eastAsia" w:ascii="宋体" w:hAnsi="宋体" w:eastAsia="宋体" w:cs="Times New Roman"/>
                <w:szCs w:val="21"/>
              </w:rPr>
              <w:t>（3）杜威教育思想的历史影响</w:t>
            </w:r>
          </w:p>
        </w:tc>
        <w:tc>
          <w:tcPr>
            <w:tcW w:w="1133" w:type="dxa"/>
            <w:vAlign w:val="center"/>
          </w:tcPr>
          <w:p w14:paraId="1487C806">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w:t>
            </w:r>
          </w:p>
          <w:p w14:paraId="21FB0038">
            <w:pPr>
              <w:spacing w:line="264"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1、2、3</w:t>
            </w:r>
          </w:p>
        </w:tc>
        <w:tc>
          <w:tcPr>
            <w:tcW w:w="2813" w:type="dxa"/>
            <w:vAlign w:val="center"/>
          </w:tcPr>
          <w:p w14:paraId="3811518B">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（1）了解杜威的生平和教育实践活动</w:t>
            </w:r>
          </w:p>
          <w:p w14:paraId="0B72004A">
            <w:pPr>
              <w:spacing w:line="264" w:lineRule="auto"/>
              <w:jc w:val="left"/>
              <w:rPr>
                <w:rFonts w:hint="eastAsia" w:ascii="宋体" w:hAnsi="宋体" w:eastAsia="宋体" w:cs="Times New Roman"/>
                <w:szCs w:val="21"/>
              </w:rPr>
            </w:pPr>
            <w:r>
              <w:rPr>
                <w:rFonts w:hint="eastAsia" w:ascii="宋体" w:hAnsi="宋体" w:eastAsia="宋体" w:cs="Times New Roman"/>
                <w:szCs w:val="21"/>
              </w:rPr>
              <w:t>（2）理解杜威的教育目的观</w:t>
            </w:r>
          </w:p>
          <w:p w14:paraId="2F81D29A">
            <w:pPr>
              <w:spacing w:line="264" w:lineRule="auto"/>
              <w:jc w:val="left"/>
              <w:rPr>
                <w:rFonts w:hint="eastAsia" w:ascii="宋体" w:hAnsi="宋体" w:eastAsia="宋体" w:cs="Times New Roman"/>
                <w:szCs w:val="21"/>
              </w:rPr>
            </w:pPr>
            <w:r>
              <w:rPr>
                <w:rFonts w:hint="eastAsia" w:ascii="宋体" w:hAnsi="宋体" w:eastAsia="宋体" w:cs="Times New Roman"/>
                <w:szCs w:val="21"/>
              </w:rPr>
              <w:t>（3）掌握杜威的课程与教学论</w:t>
            </w:r>
          </w:p>
        </w:tc>
        <w:tc>
          <w:tcPr>
            <w:tcW w:w="1560" w:type="dxa"/>
            <w:vAlign w:val="center"/>
          </w:tcPr>
          <w:p w14:paraId="22792EDF">
            <w:pPr>
              <w:spacing w:line="264" w:lineRule="auto"/>
              <w:jc w:val="left"/>
              <w:rPr>
                <w:rFonts w:hint="eastAsia" w:ascii="宋体" w:hAnsi="宋体" w:eastAsia="宋体" w:cs="Times New Roman"/>
                <w:szCs w:val="21"/>
              </w:rPr>
            </w:pPr>
            <w:r>
              <w:rPr>
                <w:rFonts w:ascii="宋体" w:hAnsi="宋体" w:eastAsia="宋体" w:cs="Times New Roman"/>
                <w:szCs w:val="21"/>
              </w:rPr>
              <w:t>1.线上学习</w:t>
            </w:r>
          </w:p>
          <w:p w14:paraId="1E07DB15">
            <w:pPr>
              <w:spacing w:line="264"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2E6C85B4">
            <w:pPr>
              <w:spacing w:line="264"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77C4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B989BE3">
            <w:pPr>
              <w:spacing w:line="264" w:lineRule="auto"/>
              <w:jc w:val="center"/>
              <w:rPr>
                <w:rFonts w:hint="eastAsia" w:ascii="宋体" w:hAnsi="宋体" w:eastAsia="宋体" w:cs="Times New Roman"/>
                <w:szCs w:val="21"/>
              </w:rPr>
            </w:pPr>
          </w:p>
        </w:tc>
        <w:tc>
          <w:tcPr>
            <w:tcW w:w="8093" w:type="dxa"/>
            <w:gridSpan w:val="5"/>
            <w:vAlign w:val="center"/>
          </w:tcPr>
          <w:p w14:paraId="18A11C39">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理解杜威教育思想的当代启发意义，从杜威教育思想中领会教育即生活、学校即社会、从做中学的本质内涵，结合我国当前小学教育存在的实际问题，看到教育改革的艰难，并增强教育改革的信心。</w:t>
            </w:r>
          </w:p>
        </w:tc>
      </w:tr>
      <w:tr w14:paraId="3730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74F660B">
            <w:pPr>
              <w:spacing w:line="264" w:lineRule="auto"/>
              <w:jc w:val="center"/>
              <w:rPr>
                <w:rFonts w:hint="eastAsia" w:ascii="宋体" w:hAnsi="宋体" w:eastAsia="宋体" w:cs="Times New Roman"/>
                <w:szCs w:val="21"/>
              </w:rPr>
            </w:pPr>
            <w:r>
              <w:rPr>
                <w:rFonts w:hint="eastAsia" w:ascii="宋体" w:hAnsi="宋体" w:eastAsia="宋体" w:cs="Times New Roman"/>
                <w:szCs w:val="21"/>
              </w:rPr>
              <w:t>12.现代欧美教育思潮</w:t>
            </w:r>
          </w:p>
        </w:tc>
        <w:tc>
          <w:tcPr>
            <w:tcW w:w="2149" w:type="dxa"/>
            <w:vAlign w:val="center"/>
          </w:tcPr>
          <w:p w14:paraId="4C0A9FF8">
            <w:pPr>
              <w:spacing w:line="264" w:lineRule="auto"/>
              <w:jc w:val="left"/>
              <w:rPr>
                <w:rFonts w:hint="eastAsia" w:ascii="宋体" w:hAnsi="宋体" w:eastAsia="宋体" w:cs="Times New Roman"/>
                <w:szCs w:val="21"/>
              </w:rPr>
            </w:pPr>
            <w:r>
              <w:rPr>
                <w:rFonts w:hint="eastAsia" w:ascii="宋体" w:hAnsi="宋体" w:eastAsia="宋体" w:cs="Times New Roman"/>
                <w:szCs w:val="21"/>
              </w:rPr>
              <w:t>（1）现代欧美教育哲学概况</w:t>
            </w:r>
          </w:p>
          <w:p w14:paraId="4EA7BD1E">
            <w:pPr>
              <w:spacing w:line="264" w:lineRule="auto"/>
              <w:jc w:val="left"/>
              <w:rPr>
                <w:rFonts w:hint="eastAsia" w:ascii="宋体" w:hAnsi="宋体" w:eastAsia="宋体" w:cs="Times New Roman"/>
                <w:szCs w:val="21"/>
              </w:rPr>
            </w:pPr>
            <w:r>
              <w:rPr>
                <w:rFonts w:hint="eastAsia" w:ascii="宋体" w:hAnsi="宋体" w:eastAsia="宋体" w:cs="Times New Roman"/>
                <w:szCs w:val="21"/>
              </w:rPr>
              <w:t>（2）存在主义、永恒主义、要素主义等教育思潮的主要内容</w:t>
            </w:r>
          </w:p>
          <w:p w14:paraId="140F0171">
            <w:pPr>
              <w:spacing w:line="264" w:lineRule="auto"/>
              <w:jc w:val="left"/>
              <w:rPr>
                <w:rFonts w:hint="eastAsia" w:ascii="宋体" w:hAnsi="宋体" w:eastAsia="宋体" w:cs="Times New Roman"/>
                <w:szCs w:val="21"/>
              </w:rPr>
            </w:pPr>
            <w:r>
              <w:rPr>
                <w:rFonts w:hint="eastAsia" w:ascii="宋体" w:hAnsi="宋体" w:eastAsia="宋体" w:cs="Times New Roman"/>
                <w:szCs w:val="21"/>
              </w:rPr>
              <w:t>（3）教育思潮的历史影响</w:t>
            </w:r>
          </w:p>
        </w:tc>
        <w:tc>
          <w:tcPr>
            <w:tcW w:w="1133" w:type="dxa"/>
            <w:vAlign w:val="center"/>
          </w:tcPr>
          <w:p w14:paraId="6DCECBB4">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w:t>
            </w:r>
          </w:p>
          <w:p w14:paraId="1A900205">
            <w:pPr>
              <w:spacing w:line="264"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1、2、3</w:t>
            </w:r>
          </w:p>
        </w:tc>
        <w:tc>
          <w:tcPr>
            <w:tcW w:w="2813" w:type="dxa"/>
            <w:vAlign w:val="center"/>
          </w:tcPr>
          <w:p w14:paraId="3169AB7B">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（1）了解欧美教育思潮概况</w:t>
            </w:r>
          </w:p>
          <w:p w14:paraId="3DE46786">
            <w:pPr>
              <w:spacing w:line="264" w:lineRule="auto"/>
              <w:jc w:val="left"/>
              <w:rPr>
                <w:rFonts w:hint="eastAsia" w:ascii="宋体" w:hAnsi="宋体" w:eastAsia="宋体" w:cs="Times New Roman"/>
                <w:szCs w:val="21"/>
              </w:rPr>
            </w:pPr>
            <w:r>
              <w:rPr>
                <w:rFonts w:hint="eastAsia" w:ascii="宋体" w:hAnsi="宋体" w:eastAsia="宋体" w:cs="Times New Roman"/>
                <w:szCs w:val="21"/>
              </w:rPr>
              <w:t>（2）理解主要教育思潮的主要观点</w:t>
            </w:r>
          </w:p>
          <w:p w14:paraId="7E645159">
            <w:pPr>
              <w:spacing w:line="264" w:lineRule="auto"/>
              <w:jc w:val="left"/>
              <w:rPr>
                <w:rFonts w:hint="eastAsia" w:ascii="宋体" w:hAnsi="宋体" w:eastAsia="宋体" w:cs="Times New Roman"/>
                <w:szCs w:val="21"/>
              </w:rPr>
            </w:pPr>
            <w:r>
              <w:rPr>
                <w:rFonts w:hint="eastAsia" w:ascii="宋体" w:hAnsi="宋体" w:eastAsia="宋体" w:cs="Times New Roman"/>
                <w:szCs w:val="21"/>
              </w:rPr>
              <w:t>（3）掌握主要教育思潮的历史影响</w:t>
            </w:r>
          </w:p>
        </w:tc>
        <w:tc>
          <w:tcPr>
            <w:tcW w:w="1560" w:type="dxa"/>
            <w:vAlign w:val="center"/>
          </w:tcPr>
          <w:p w14:paraId="6991C315">
            <w:pPr>
              <w:spacing w:line="264" w:lineRule="auto"/>
              <w:jc w:val="left"/>
              <w:rPr>
                <w:rFonts w:hint="eastAsia" w:ascii="宋体" w:hAnsi="宋体" w:eastAsia="宋体" w:cs="Times New Roman"/>
                <w:szCs w:val="21"/>
              </w:rPr>
            </w:pPr>
            <w:r>
              <w:rPr>
                <w:rFonts w:ascii="宋体" w:hAnsi="宋体" w:eastAsia="宋体" w:cs="Times New Roman"/>
                <w:szCs w:val="21"/>
              </w:rPr>
              <w:t>1.线上学习</w:t>
            </w:r>
          </w:p>
          <w:p w14:paraId="17F5F14C">
            <w:pPr>
              <w:spacing w:line="264"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51369CF7">
            <w:pPr>
              <w:spacing w:line="264"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1205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F285488">
            <w:pPr>
              <w:spacing w:line="264" w:lineRule="auto"/>
              <w:jc w:val="center"/>
              <w:rPr>
                <w:rFonts w:hint="eastAsia" w:ascii="宋体" w:hAnsi="宋体" w:eastAsia="宋体" w:cs="Times New Roman"/>
                <w:szCs w:val="21"/>
              </w:rPr>
            </w:pPr>
          </w:p>
        </w:tc>
        <w:tc>
          <w:tcPr>
            <w:tcW w:w="8093" w:type="dxa"/>
            <w:gridSpan w:val="5"/>
            <w:vAlign w:val="center"/>
          </w:tcPr>
          <w:p w14:paraId="293FDCC5">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通过本质内容学习，使学生理解不同教育思潮产生的时代背景和产生的历史价值，并从中体会社会思潮对个人成长发展所产生的潜移默化的深刻影响，以及未来如何在工作中加强对小学生的思想引导。</w:t>
            </w:r>
          </w:p>
        </w:tc>
      </w:tr>
    </w:tbl>
    <w:p w14:paraId="6C733142">
      <w:pPr>
        <w:adjustRightInd w:val="0"/>
        <w:snapToGrid w:val="0"/>
        <w:spacing w:before="62" w:beforeLines="20" w:after="62" w:afterLines="20" w:line="360" w:lineRule="auto"/>
        <w:rPr>
          <w:rFonts w:hint="eastAsia" w:ascii="宋体" w:hAnsi="宋体" w:eastAsia="宋体" w:cs="Times New Roman"/>
          <w:b/>
          <w:sz w:val="24"/>
        </w:rPr>
      </w:pPr>
      <w:r>
        <w:rPr>
          <w:rFonts w:hint="eastAsia" w:ascii="宋体" w:hAnsi="宋体" w:eastAsia="宋体" w:cs="Times New Roman"/>
          <w:b/>
          <w:sz w:val="24"/>
        </w:rPr>
        <w:t>四、目标评价与成绩评定</w:t>
      </w:r>
    </w:p>
    <w:p w14:paraId="1A359FB9">
      <w:pPr>
        <w:spacing w:line="360" w:lineRule="auto"/>
        <w:ind w:left="-2" w:leftChars="-1" w:firstLine="422" w:firstLineChars="200"/>
        <w:rPr>
          <w:b/>
          <w:szCs w:val="21"/>
        </w:rPr>
      </w:pPr>
      <w:r>
        <w:rPr>
          <w:rFonts w:hint="eastAsia"/>
          <w:b/>
          <w:szCs w:val="21"/>
        </w:rPr>
        <w:t>（一）课程目标评价方式</w:t>
      </w:r>
    </w:p>
    <w:tbl>
      <w:tblPr>
        <w:tblStyle w:val="16"/>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2366"/>
        <w:gridCol w:w="2267"/>
        <w:gridCol w:w="1787"/>
        <w:gridCol w:w="1140"/>
      </w:tblGrid>
      <w:tr w14:paraId="2B68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Merge w:val="restart"/>
            <w:vAlign w:val="center"/>
          </w:tcPr>
          <w:p w14:paraId="163D41AB">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420" w:type="dxa"/>
            <w:gridSpan w:val="3"/>
            <w:vAlign w:val="center"/>
          </w:tcPr>
          <w:p w14:paraId="470CFF35">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140" w:type="dxa"/>
            <w:vMerge w:val="restart"/>
            <w:vAlign w:val="center"/>
          </w:tcPr>
          <w:p w14:paraId="58A77609">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4323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Merge w:val="continue"/>
            <w:vAlign w:val="center"/>
          </w:tcPr>
          <w:p w14:paraId="52A18E21">
            <w:pPr>
              <w:spacing w:line="360" w:lineRule="auto"/>
              <w:jc w:val="center"/>
              <w:rPr>
                <w:rFonts w:hint="eastAsia" w:ascii="宋体" w:hAnsi="宋体" w:eastAsia="宋体" w:cs="Times New Roman"/>
                <w:szCs w:val="21"/>
              </w:rPr>
            </w:pPr>
          </w:p>
        </w:tc>
        <w:tc>
          <w:tcPr>
            <w:tcW w:w="2366" w:type="dxa"/>
            <w:vAlign w:val="center"/>
          </w:tcPr>
          <w:p w14:paraId="1AD65791">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2267" w:type="dxa"/>
            <w:vAlign w:val="center"/>
          </w:tcPr>
          <w:p w14:paraId="2BEA0568">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787" w:type="dxa"/>
            <w:vAlign w:val="center"/>
          </w:tcPr>
          <w:p w14:paraId="4BDE354E">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140" w:type="dxa"/>
            <w:vMerge w:val="continue"/>
            <w:vAlign w:val="center"/>
          </w:tcPr>
          <w:p w14:paraId="26AFD8F7">
            <w:pPr>
              <w:spacing w:line="360" w:lineRule="auto"/>
              <w:jc w:val="center"/>
              <w:rPr>
                <w:rFonts w:hint="eastAsia" w:ascii="宋体" w:hAnsi="宋体" w:eastAsia="宋体" w:cs="Times New Roman"/>
                <w:szCs w:val="21"/>
              </w:rPr>
            </w:pPr>
          </w:p>
        </w:tc>
      </w:tr>
      <w:tr w14:paraId="04D3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Align w:val="center"/>
          </w:tcPr>
          <w:p w14:paraId="390A681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366" w:type="dxa"/>
            <w:vAlign w:val="center"/>
          </w:tcPr>
          <w:p w14:paraId="5F4800C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67" w:type="dxa"/>
            <w:vAlign w:val="center"/>
          </w:tcPr>
          <w:p w14:paraId="6853155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87" w:type="dxa"/>
            <w:vAlign w:val="center"/>
          </w:tcPr>
          <w:p w14:paraId="56663073">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140" w:type="dxa"/>
            <w:vAlign w:val="center"/>
          </w:tcPr>
          <w:p w14:paraId="295D8C10">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6F1B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Align w:val="center"/>
          </w:tcPr>
          <w:p w14:paraId="2E71AE8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2366" w:type="dxa"/>
            <w:vAlign w:val="center"/>
          </w:tcPr>
          <w:p w14:paraId="5A41391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67" w:type="dxa"/>
            <w:vAlign w:val="center"/>
          </w:tcPr>
          <w:p w14:paraId="1339506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87" w:type="dxa"/>
            <w:vAlign w:val="center"/>
          </w:tcPr>
          <w:p w14:paraId="18CF2A3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5E9401F5">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1BC6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Align w:val="center"/>
          </w:tcPr>
          <w:p w14:paraId="1FBC4F6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366" w:type="dxa"/>
            <w:vAlign w:val="center"/>
          </w:tcPr>
          <w:p w14:paraId="163F13CA">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267" w:type="dxa"/>
            <w:vAlign w:val="center"/>
          </w:tcPr>
          <w:p w14:paraId="0CE6D90B">
            <w:pPr>
              <w:spacing w:line="360" w:lineRule="auto"/>
              <w:jc w:val="center"/>
              <w:rPr>
                <w:rFonts w:hint="eastAsia" w:ascii="宋体" w:hAnsi="宋体" w:eastAsia="宋体" w:cs="Times New Roman"/>
                <w:szCs w:val="21"/>
              </w:rPr>
            </w:pPr>
          </w:p>
        </w:tc>
        <w:tc>
          <w:tcPr>
            <w:tcW w:w="1787" w:type="dxa"/>
            <w:vAlign w:val="center"/>
          </w:tcPr>
          <w:p w14:paraId="0F21385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087C1890">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5016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Align w:val="center"/>
          </w:tcPr>
          <w:p w14:paraId="3B3606BB">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2366" w:type="dxa"/>
            <w:vAlign w:val="center"/>
          </w:tcPr>
          <w:p w14:paraId="22ACFB31">
            <w:pPr>
              <w:spacing w:line="360" w:lineRule="auto"/>
              <w:jc w:val="center"/>
              <w:rPr>
                <w:rFonts w:hint="eastAsia" w:ascii="宋体" w:hAnsi="宋体" w:eastAsia="宋体" w:cs="Times New Roman"/>
                <w:szCs w:val="21"/>
              </w:rPr>
            </w:pPr>
          </w:p>
        </w:tc>
        <w:tc>
          <w:tcPr>
            <w:tcW w:w="2267" w:type="dxa"/>
            <w:vAlign w:val="center"/>
          </w:tcPr>
          <w:p w14:paraId="612D56AC">
            <w:pPr>
              <w:spacing w:line="360" w:lineRule="auto"/>
              <w:jc w:val="center"/>
              <w:rPr>
                <w:rFonts w:hint="eastAsia" w:ascii="宋体" w:hAnsi="宋体" w:eastAsia="宋体" w:cs="Times New Roman"/>
                <w:szCs w:val="21"/>
              </w:rPr>
            </w:pPr>
          </w:p>
        </w:tc>
        <w:tc>
          <w:tcPr>
            <w:tcW w:w="1787" w:type="dxa"/>
            <w:vAlign w:val="center"/>
          </w:tcPr>
          <w:p w14:paraId="2362F674">
            <w:pPr>
              <w:spacing w:line="360" w:lineRule="auto"/>
              <w:jc w:val="center"/>
              <w:rPr>
                <w:rFonts w:hint="eastAsia" w:ascii="宋体" w:hAnsi="宋体" w:eastAsia="宋体" w:cs="Times New Roman"/>
                <w:szCs w:val="21"/>
              </w:rPr>
            </w:pPr>
          </w:p>
        </w:tc>
        <w:tc>
          <w:tcPr>
            <w:tcW w:w="1140" w:type="dxa"/>
            <w:vAlign w:val="center"/>
          </w:tcPr>
          <w:p w14:paraId="26957E2F">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45817AE3">
      <w:pPr>
        <w:spacing w:after="160" w:line="360" w:lineRule="auto"/>
        <w:ind w:firstLine="422" w:firstLineChars="200"/>
        <w:rPr>
          <w:rFonts w:hint="eastAsia"/>
          <w:b/>
          <w:szCs w:val="21"/>
        </w:rPr>
      </w:pPr>
    </w:p>
    <w:p w14:paraId="6D0D2382">
      <w:pPr>
        <w:spacing w:after="160" w:line="360" w:lineRule="auto"/>
        <w:ind w:firstLine="422" w:firstLineChars="200"/>
        <w:rPr>
          <w:rFonts w:hint="eastAsia"/>
          <w:b/>
          <w:szCs w:val="21"/>
        </w:rPr>
      </w:pPr>
    </w:p>
    <w:p w14:paraId="256DEF33">
      <w:pPr>
        <w:spacing w:after="160" w:line="360" w:lineRule="auto"/>
        <w:ind w:firstLine="422" w:firstLineChars="200"/>
        <w:rPr>
          <w:rFonts w:hint="eastAsia"/>
          <w:b/>
          <w:szCs w:val="21"/>
        </w:rPr>
      </w:pPr>
    </w:p>
    <w:p w14:paraId="0D324C84">
      <w:pPr>
        <w:spacing w:after="160" w:line="360" w:lineRule="auto"/>
        <w:ind w:firstLine="422" w:firstLineChars="200"/>
        <w:rPr>
          <w:b/>
          <w:szCs w:val="21"/>
        </w:rPr>
      </w:pPr>
      <w:r>
        <w:rPr>
          <w:rFonts w:hint="eastAsia"/>
          <w:b/>
          <w:szCs w:val="21"/>
        </w:rPr>
        <w:t>（二）成绩评定细则</w:t>
      </w:r>
    </w:p>
    <w:tbl>
      <w:tblPr>
        <w:tblStyle w:val="15"/>
        <w:tblW w:w="8564"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6000"/>
        <w:gridCol w:w="982"/>
      </w:tblGrid>
      <w:tr w14:paraId="21DF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582" w:type="dxa"/>
            <w:shd w:val="clear" w:color="auto" w:fill="FFFFFF"/>
            <w:vAlign w:val="center"/>
          </w:tcPr>
          <w:p w14:paraId="5DAE1A46">
            <w:pPr>
              <w:pStyle w:val="36"/>
              <w:jc w:val="center"/>
              <w:rPr>
                <w:rFonts w:hint="eastAsia" w:ascii="宋体" w:hAnsi="宋体" w:eastAsia="宋体"/>
              </w:rPr>
            </w:pPr>
            <w:r>
              <w:rPr>
                <w:rFonts w:ascii="宋体" w:hAnsi="宋体" w:eastAsia="宋体"/>
              </w:rPr>
              <w:t>评价</w:t>
            </w:r>
            <w:r>
              <w:rPr>
                <w:rFonts w:hint="eastAsia" w:ascii="宋体" w:hAnsi="宋体" w:eastAsia="宋体"/>
              </w:rPr>
              <w:t>方式</w:t>
            </w:r>
          </w:p>
        </w:tc>
        <w:tc>
          <w:tcPr>
            <w:tcW w:w="6000" w:type="dxa"/>
            <w:shd w:val="clear" w:color="auto" w:fill="FFFFFF"/>
            <w:vAlign w:val="center"/>
          </w:tcPr>
          <w:p w14:paraId="7B32E3B7">
            <w:pPr>
              <w:pStyle w:val="36"/>
              <w:jc w:val="center"/>
              <w:rPr>
                <w:rFonts w:hint="eastAsia" w:ascii="宋体" w:hAnsi="宋体" w:eastAsia="宋体"/>
              </w:rPr>
            </w:pPr>
            <w:r>
              <w:rPr>
                <w:rFonts w:ascii="宋体" w:hAnsi="宋体" w:eastAsia="宋体"/>
              </w:rPr>
              <w:t>评</w:t>
            </w:r>
            <w:r>
              <w:rPr>
                <w:rFonts w:hint="eastAsia" w:ascii="宋体" w:hAnsi="宋体" w:eastAsia="宋体"/>
              </w:rPr>
              <w:t>定</w:t>
            </w:r>
            <w:r>
              <w:rPr>
                <w:rFonts w:ascii="宋体" w:hAnsi="宋体" w:eastAsia="宋体"/>
              </w:rPr>
              <w:t>细则</w:t>
            </w:r>
          </w:p>
        </w:tc>
        <w:tc>
          <w:tcPr>
            <w:tcW w:w="982" w:type="dxa"/>
            <w:shd w:val="clear" w:color="auto" w:fill="FFFFFF"/>
            <w:vAlign w:val="center"/>
          </w:tcPr>
          <w:p w14:paraId="6A56E015">
            <w:pPr>
              <w:pStyle w:val="36"/>
              <w:jc w:val="center"/>
              <w:rPr>
                <w:rFonts w:hint="eastAsia" w:ascii="宋体" w:hAnsi="宋体" w:eastAsia="宋体"/>
              </w:rPr>
            </w:pPr>
            <w:r>
              <w:rPr>
                <w:rFonts w:hint="eastAsia" w:ascii="宋体" w:hAnsi="宋体" w:eastAsia="宋体"/>
              </w:rPr>
              <w:t>占比</w:t>
            </w:r>
          </w:p>
        </w:tc>
      </w:tr>
      <w:tr w14:paraId="4267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582" w:type="dxa"/>
            <w:vAlign w:val="center"/>
          </w:tcPr>
          <w:p w14:paraId="17858966">
            <w:pPr>
              <w:jc w:val="center"/>
              <w:rPr>
                <w:rFonts w:hint="eastAsia" w:ascii="宋体" w:hAnsi="宋体"/>
                <w:szCs w:val="21"/>
              </w:rPr>
            </w:pPr>
            <w:r>
              <w:rPr>
                <w:rFonts w:hint="eastAsia" w:ascii="宋体" w:hAnsi="宋体"/>
                <w:szCs w:val="21"/>
              </w:rPr>
              <w:t>考勤</w:t>
            </w:r>
          </w:p>
        </w:tc>
        <w:tc>
          <w:tcPr>
            <w:tcW w:w="6000" w:type="dxa"/>
            <w:vAlign w:val="center"/>
          </w:tcPr>
          <w:p w14:paraId="78F4C62C">
            <w:pPr>
              <w:widowControl/>
              <w:adjustRightInd w:val="0"/>
              <w:snapToGrid w:val="0"/>
              <w:jc w:val="left"/>
              <w:rPr>
                <w:rFonts w:hint="eastAsia" w:ascii="宋体" w:hAnsi="宋体"/>
                <w:szCs w:val="21"/>
              </w:rPr>
            </w:pPr>
            <w:r>
              <w:rPr>
                <w:rFonts w:hint="eastAsia" w:ascii="宋体" w:hAnsi="宋体" w:eastAsia="宋体" w:cs="宋体"/>
                <w:kern w:val="0"/>
                <w:szCs w:val="21"/>
              </w:rPr>
              <w:t>病假和事假一次扣</w:t>
            </w:r>
            <w:r>
              <w:rPr>
                <w:rFonts w:ascii="宋体" w:hAnsi="宋体" w:eastAsia="宋体" w:cs="宋体"/>
                <w:kern w:val="0"/>
                <w:szCs w:val="21"/>
              </w:rPr>
              <w:t>3</w:t>
            </w:r>
            <w:r>
              <w:rPr>
                <w:rFonts w:hint="eastAsia" w:ascii="宋体" w:hAnsi="宋体" w:eastAsia="宋体" w:cs="宋体"/>
                <w:kern w:val="0"/>
                <w:szCs w:val="21"/>
              </w:rPr>
              <w:t>分，无故缺席一次扣</w:t>
            </w:r>
            <w:r>
              <w:rPr>
                <w:rFonts w:ascii="宋体" w:hAnsi="宋体" w:eastAsia="宋体" w:cs="宋体"/>
                <w:kern w:val="0"/>
                <w:szCs w:val="21"/>
              </w:rPr>
              <w:t>5</w:t>
            </w:r>
            <w:r>
              <w:rPr>
                <w:rFonts w:hint="eastAsia" w:ascii="宋体" w:hAnsi="宋体" w:eastAsia="宋体" w:cs="宋体"/>
                <w:kern w:val="0"/>
                <w:szCs w:val="21"/>
              </w:rPr>
              <w:t>分，无辜缺席累计达</w:t>
            </w:r>
            <w:r>
              <w:rPr>
                <w:rFonts w:ascii="宋体" w:hAnsi="宋体" w:eastAsia="宋体" w:cs="宋体"/>
                <w:kern w:val="0"/>
                <w:szCs w:val="21"/>
              </w:rPr>
              <w:t>3</w:t>
            </w:r>
            <w:r>
              <w:rPr>
                <w:rFonts w:hint="eastAsia" w:ascii="宋体" w:hAnsi="宋体" w:eastAsia="宋体" w:cs="宋体"/>
                <w:kern w:val="0"/>
                <w:szCs w:val="21"/>
              </w:rPr>
              <w:t>次以上</w:t>
            </w:r>
            <w:r>
              <w:rPr>
                <w:rFonts w:ascii="宋体" w:hAnsi="宋体" w:eastAsia="宋体" w:cs="宋体"/>
                <w:kern w:val="0"/>
                <w:szCs w:val="21"/>
              </w:rPr>
              <w:t>(</w:t>
            </w:r>
            <w:r>
              <w:rPr>
                <w:rFonts w:hint="eastAsia" w:ascii="宋体" w:hAnsi="宋体" w:eastAsia="宋体" w:cs="宋体"/>
                <w:kern w:val="0"/>
                <w:szCs w:val="21"/>
              </w:rPr>
              <w:t>不含</w:t>
            </w:r>
            <w:r>
              <w:rPr>
                <w:rFonts w:ascii="宋体" w:hAnsi="宋体" w:eastAsia="宋体" w:cs="宋体"/>
                <w:kern w:val="0"/>
                <w:szCs w:val="21"/>
              </w:rPr>
              <w:t>3</w:t>
            </w:r>
            <w:r>
              <w:rPr>
                <w:rFonts w:hint="eastAsia" w:ascii="宋体" w:hAnsi="宋体" w:eastAsia="宋体" w:cs="宋体"/>
                <w:kern w:val="0"/>
                <w:szCs w:val="21"/>
              </w:rPr>
              <w:t>次</w:t>
            </w:r>
            <w:r>
              <w:rPr>
                <w:rFonts w:ascii="宋体" w:hAnsi="宋体" w:eastAsia="宋体" w:cs="宋体"/>
                <w:kern w:val="0"/>
                <w:szCs w:val="21"/>
              </w:rPr>
              <w:t>)</w:t>
            </w:r>
            <w:r>
              <w:rPr>
                <w:rFonts w:hint="eastAsia" w:ascii="宋体" w:hAnsi="宋体" w:eastAsia="宋体" w:cs="宋体"/>
                <w:kern w:val="0"/>
                <w:szCs w:val="21"/>
              </w:rPr>
              <w:t>取消课程成绩。</w:t>
            </w:r>
          </w:p>
        </w:tc>
        <w:tc>
          <w:tcPr>
            <w:tcW w:w="982" w:type="dxa"/>
            <w:vAlign w:val="center"/>
          </w:tcPr>
          <w:p w14:paraId="6163880F">
            <w:pPr>
              <w:pStyle w:val="36"/>
              <w:jc w:val="center"/>
              <w:rPr>
                <w:rFonts w:hint="eastAsia" w:ascii="宋体" w:hAnsi="宋体" w:eastAsia="宋体"/>
              </w:rPr>
            </w:pPr>
            <w:r>
              <w:rPr>
                <w:rFonts w:hint="eastAsia" w:ascii="宋体" w:hAnsi="宋体" w:eastAsia="宋体"/>
              </w:rPr>
              <w:t>10</w:t>
            </w:r>
            <w:r>
              <w:rPr>
                <w:rFonts w:ascii="宋体" w:hAnsi="宋体" w:eastAsia="宋体"/>
              </w:rPr>
              <w:t>%</w:t>
            </w:r>
          </w:p>
        </w:tc>
      </w:tr>
      <w:tr w14:paraId="13A6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82" w:type="dxa"/>
            <w:vAlign w:val="center"/>
          </w:tcPr>
          <w:p w14:paraId="19BAAFD5">
            <w:pPr>
              <w:jc w:val="center"/>
              <w:rPr>
                <w:rFonts w:hint="eastAsia" w:ascii="宋体" w:hAnsi="宋体"/>
                <w:szCs w:val="21"/>
              </w:rPr>
            </w:pPr>
            <w:r>
              <w:rPr>
                <w:rFonts w:hint="eastAsia" w:ascii="宋体" w:hAnsi="宋体"/>
                <w:szCs w:val="21"/>
              </w:rPr>
              <w:t>课堂表现</w:t>
            </w:r>
          </w:p>
        </w:tc>
        <w:tc>
          <w:tcPr>
            <w:tcW w:w="6000" w:type="dxa"/>
            <w:vAlign w:val="center"/>
          </w:tcPr>
          <w:p w14:paraId="29F82F9C">
            <w:pPr>
              <w:widowControl/>
              <w:adjustRightInd w:val="0"/>
              <w:snapToGrid w:val="0"/>
              <w:jc w:val="left"/>
              <w:rPr>
                <w:rFonts w:hint="eastAsia" w:ascii="宋体" w:hAnsi="宋体"/>
                <w:bCs/>
                <w:kern w:val="24"/>
                <w:szCs w:val="21"/>
              </w:rPr>
            </w:pPr>
            <w:r>
              <w:rPr>
                <w:rFonts w:hint="eastAsia" w:ascii="宋体" w:hAnsi="宋体" w:eastAsia="宋体" w:cs="宋体"/>
                <w:kern w:val="0"/>
                <w:szCs w:val="21"/>
              </w:rPr>
              <w:t>每章组织进行</w:t>
            </w:r>
            <w:r>
              <w:rPr>
                <w:rFonts w:ascii="宋体" w:hAnsi="宋体" w:eastAsia="宋体" w:cs="宋体"/>
                <w:kern w:val="0"/>
                <w:szCs w:val="21"/>
              </w:rPr>
              <w:t>1-3</w:t>
            </w:r>
            <w:r>
              <w:rPr>
                <w:rFonts w:hint="eastAsia" w:ascii="宋体" w:hAnsi="宋体" w:eastAsia="宋体" w:cs="宋体"/>
                <w:kern w:val="0"/>
                <w:szCs w:val="21"/>
              </w:rPr>
              <w:t>次讨论，主要考核学生对知识的理解与思考情况。根据回答给出相应分数。</w:t>
            </w:r>
          </w:p>
        </w:tc>
        <w:tc>
          <w:tcPr>
            <w:tcW w:w="982" w:type="dxa"/>
            <w:vAlign w:val="center"/>
          </w:tcPr>
          <w:p w14:paraId="3147341D">
            <w:pPr>
              <w:pStyle w:val="36"/>
              <w:jc w:val="center"/>
              <w:rPr>
                <w:rFonts w:hint="eastAsia" w:ascii="宋体" w:hAnsi="宋体" w:eastAsia="宋体"/>
              </w:rPr>
            </w:pPr>
            <w:r>
              <w:rPr>
                <w:rFonts w:hint="eastAsia" w:ascii="宋体" w:hAnsi="宋体" w:eastAsia="宋体"/>
              </w:rPr>
              <w:t>10</w:t>
            </w:r>
            <w:r>
              <w:rPr>
                <w:rFonts w:ascii="宋体" w:hAnsi="宋体" w:eastAsia="宋体"/>
              </w:rPr>
              <w:t>%</w:t>
            </w:r>
          </w:p>
        </w:tc>
      </w:tr>
      <w:tr w14:paraId="6BEA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582" w:type="dxa"/>
            <w:vAlign w:val="center"/>
          </w:tcPr>
          <w:p w14:paraId="0788E6CC">
            <w:pPr>
              <w:jc w:val="center"/>
              <w:rPr>
                <w:rFonts w:hint="eastAsia" w:ascii="宋体" w:hAnsi="宋体"/>
                <w:szCs w:val="21"/>
              </w:rPr>
            </w:pPr>
            <w:r>
              <w:rPr>
                <w:rFonts w:hint="eastAsia" w:ascii="宋体" w:hAnsi="宋体"/>
                <w:szCs w:val="21"/>
              </w:rPr>
              <w:t>平时作业</w:t>
            </w:r>
          </w:p>
        </w:tc>
        <w:tc>
          <w:tcPr>
            <w:tcW w:w="6000" w:type="dxa"/>
            <w:vAlign w:val="center"/>
          </w:tcPr>
          <w:p w14:paraId="2A0AE26C">
            <w:pPr>
              <w:rPr>
                <w:rFonts w:hint="eastAsia" w:ascii="宋体" w:hAnsi="宋体"/>
                <w:szCs w:val="21"/>
              </w:rPr>
            </w:pPr>
            <w:r>
              <w:rPr>
                <w:rFonts w:ascii="宋体" w:hAnsi="宋体" w:eastAsia="宋体" w:cs="Times New Roman"/>
                <w:szCs w:val="21"/>
              </w:rPr>
              <w:t>3</w:t>
            </w:r>
            <w:r>
              <w:rPr>
                <w:rFonts w:hint="eastAsia" w:ascii="宋体" w:hAnsi="宋体" w:eastAsia="宋体" w:cs="Times New Roman"/>
                <w:szCs w:val="21"/>
              </w:rPr>
              <w:t>次书面作业，主要考核学生运用教育史知识分析当今教育现象的能力。</w:t>
            </w:r>
          </w:p>
        </w:tc>
        <w:tc>
          <w:tcPr>
            <w:tcW w:w="982" w:type="dxa"/>
            <w:vAlign w:val="center"/>
          </w:tcPr>
          <w:p w14:paraId="7E9D198E">
            <w:pPr>
              <w:pStyle w:val="36"/>
              <w:jc w:val="center"/>
              <w:rPr>
                <w:rFonts w:hint="eastAsia" w:ascii="宋体" w:hAnsi="宋体" w:eastAsia="宋体"/>
              </w:rPr>
            </w:pPr>
            <w:r>
              <w:rPr>
                <w:rFonts w:hint="eastAsia" w:ascii="宋体" w:hAnsi="宋体" w:eastAsia="宋体"/>
              </w:rPr>
              <w:t>30</w:t>
            </w:r>
            <w:r>
              <w:rPr>
                <w:rFonts w:ascii="宋体" w:hAnsi="宋体" w:eastAsia="宋体"/>
              </w:rPr>
              <w:t>%</w:t>
            </w:r>
          </w:p>
        </w:tc>
      </w:tr>
      <w:tr w14:paraId="2B58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1582" w:type="dxa"/>
            <w:vAlign w:val="center"/>
          </w:tcPr>
          <w:p w14:paraId="175895C1">
            <w:pPr>
              <w:pStyle w:val="36"/>
              <w:jc w:val="center"/>
              <w:rPr>
                <w:rFonts w:hint="eastAsia" w:ascii="宋体" w:hAnsi="宋体" w:eastAsia="宋体"/>
              </w:rPr>
            </w:pPr>
            <w:r>
              <w:rPr>
                <w:rFonts w:ascii="宋体" w:hAnsi="宋体" w:eastAsia="宋体"/>
              </w:rPr>
              <w:t>期末考试</w:t>
            </w:r>
          </w:p>
        </w:tc>
        <w:tc>
          <w:tcPr>
            <w:tcW w:w="6000" w:type="dxa"/>
            <w:vAlign w:val="center"/>
          </w:tcPr>
          <w:p w14:paraId="3C75D92B">
            <w:pPr>
              <w:pStyle w:val="36"/>
              <w:rPr>
                <w:rFonts w:hint="eastAsia" w:ascii="宋体" w:hAnsi="宋体" w:eastAsia="宋体" w:cs="宋体"/>
                <w:bCs/>
                <w:kern w:val="24"/>
              </w:rPr>
            </w:pPr>
            <w:r>
              <w:rPr>
                <w:rFonts w:hint="eastAsia" w:ascii="宋体" w:hAnsi="宋体" w:eastAsia="宋体" w:cs="Times New Roman"/>
                <w:szCs w:val="21"/>
              </w:rPr>
              <w:t>试卷题型包括填空题、简答题、判断题、论述题等，以卷面成绩的5</w:t>
            </w:r>
            <w:r>
              <w:rPr>
                <w:rFonts w:ascii="宋体" w:hAnsi="宋体" w:eastAsia="宋体" w:cs="Times New Roman"/>
                <w:szCs w:val="21"/>
              </w:rPr>
              <w:t>0%</w:t>
            </w:r>
            <w:r>
              <w:rPr>
                <w:rFonts w:hint="eastAsia" w:ascii="宋体" w:hAnsi="宋体" w:eastAsia="宋体" w:cs="Times New Roman"/>
                <w:szCs w:val="21"/>
              </w:rPr>
              <w:t>计入课程总成绩。其中：考核基本概念知识型题目占</w:t>
            </w:r>
            <w:r>
              <w:rPr>
                <w:rFonts w:ascii="宋体" w:hAnsi="宋体" w:eastAsia="宋体" w:cs="Times New Roman"/>
                <w:szCs w:val="21"/>
              </w:rPr>
              <w:t>30%</w:t>
            </w:r>
            <w:r>
              <w:rPr>
                <w:rFonts w:hint="eastAsia" w:ascii="宋体" w:hAnsi="宋体" w:eastAsia="宋体" w:cs="Times New Roman"/>
                <w:szCs w:val="21"/>
              </w:rPr>
              <w:t>；考核知识理解型题目占</w:t>
            </w:r>
            <w:r>
              <w:rPr>
                <w:rFonts w:ascii="宋体" w:hAnsi="宋体" w:eastAsia="宋体" w:cs="Times New Roman"/>
                <w:szCs w:val="21"/>
              </w:rPr>
              <w:t>30%</w:t>
            </w:r>
            <w:r>
              <w:rPr>
                <w:rFonts w:hint="eastAsia" w:ascii="宋体" w:hAnsi="宋体" w:eastAsia="宋体" w:cs="Times New Roman"/>
                <w:szCs w:val="21"/>
              </w:rPr>
              <w:t>；考核综合分析能力题目占</w:t>
            </w:r>
            <w:r>
              <w:rPr>
                <w:rFonts w:ascii="宋体" w:hAnsi="宋体" w:eastAsia="宋体" w:cs="Times New Roman"/>
                <w:szCs w:val="21"/>
              </w:rPr>
              <w:t>40%</w:t>
            </w:r>
            <w:r>
              <w:rPr>
                <w:rFonts w:hint="eastAsia" w:ascii="宋体" w:hAnsi="宋体" w:eastAsia="宋体" w:cs="Times New Roman"/>
                <w:szCs w:val="21"/>
              </w:rPr>
              <w:t>。</w:t>
            </w:r>
          </w:p>
        </w:tc>
        <w:tc>
          <w:tcPr>
            <w:tcW w:w="982" w:type="dxa"/>
            <w:vAlign w:val="center"/>
          </w:tcPr>
          <w:p w14:paraId="1019081D">
            <w:pPr>
              <w:pStyle w:val="36"/>
              <w:jc w:val="center"/>
              <w:rPr>
                <w:rFonts w:hint="eastAsia" w:ascii="宋体" w:hAnsi="宋体" w:eastAsia="宋体"/>
              </w:rPr>
            </w:pPr>
            <w:r>
              <w:rPr>
                <w:rFonts w:hint="eastAsia" w:ascii="宋体" w:hAnsi="宋体" w:eastAsia="宋体"/>
              </w:rPr>
              <w:t>50</w:t>
            </w:r>
            <w:r>
              <w:rPr>
                <w:rFonts w:ascii="宋体" w:hAnsi="宋体" w:eastAsia="宋体"/>
              </w:rPr>
              <w:t>%</w:t>
            </w:r>
          </w:p>
        </w:tc>
      </w:tr>
      <w:tr w14:paraId="54D6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582" w:type="dxa"/>
            <w:vAlign w:val="center"/>
          </w:tcPr>
          <w:p w14:paraId="0D2BB90F">
            <w:pPr>
              <w:pStyle w:val="36"/>
              <w:jc w:val="center"/>
              <w:rPr>
                <w:rFonts w:hint="eastAsia" w:ascii="宋体" w:hAnsi="宋体" w:eastAsia="宋体"/>
              </w:rPr>
            </w:pPr>
            <w:r>
              <w:rPr>
                <w:rFonts w:hint="eastAsia" w:ascii="宋体" w:hAnsi="宋体" w:eastAsia="宋体"/>
              </w:rPr>
              <w:t>合计</w:t>
            </w:r>
          </w:p>
        </w:tc>
        <w:tc>
          <w:tcPr>
            <w:tcW w:w="6000" w:type="dxa"/>
            <w:vAlign w:val="center"/>
          </w:tcPr>
          <w:p w14:paraId="61673C01">
            <w:pPr>
              <w:pStyle w:val="36"/>
              <w:rPr>
                <w:rFonts w:hint="eastAsia" w:ascii="宋体" w:hAnsi="宋体" w:eastAsia="宋体"/>
                <w:bCs/>
                <w:kern w:val="24"/>
              </w:rPr>
            </w:pPr>
          </w:p>
        </w:tc>
        <w:tc>
          <w:tcPr>
            <w:tcW w:w="982" w:type="dxa"/>
            <w:vAlign w:val="center"/>
          </w:tcPr>
          <w:p w14:paraId="5075DE1C">
            <w:pPr>
              <w:pStyle w:val="36"/>
              <w:jc w:val="center"/>
              <w:rPr>
                <w:rFonts w:hint="eastAsia" w:ascii="宋体" w:hAnsi="宋体" w:eastAsia="宋体"/>
              </w:rPr>
            </w:pPr>
            <w:r>
              <w:rPr>
                <w:rFonts w:hint="eastAsia" w:ascii="宋体" w:hAnsi="宋体" w:eastAsia="宋体"/>
              </w:rPr>
              <w:t>100%</w:t>
            </w:r>
          </w:p>
        </w:tc>
      </w:tr>
    </w:tbl>
    <w:p w14:paraId="4C9D2192">
      <w:pPr>
        <w:spacing w:line="360" w:lineRule="auto"/>
        <w:ind w:firstLine="422" w:firstLineChars="200"/>
        <w:rPr>
          <w:b/>
          <w:szCs w:val="21"/>
        </w:rPr>
      </w:pPr>
      <w:r>
        <w:rPr>
          <w:rFonts w:hint="eastAsia"/>
          <w:b/>
          <w:szCs w:val="21"/>
        </w:rPr>
        <w:t>（三）成绩评定细则</w:t>
      </w:r>
    </w:p>
    <w:p w14:paraId="431DB914">
      <w:pPr>
        <w:adjustRightInd w:val="0"/>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w:t>
      </w:r>
      <w:r>
        <w:rPr>
          <w:rFonts w:hint="eastAsia" w:ascii="宋体" w:hAnsi="宋体" w:eastAsia="宋体" w:cs="Times New Roman"/>
          <w:szCs w:val="21"/>
        </w:rPr>
        <w:t>，否则总评成绩不及格，需要补考或重修。每门课程目标总体达成度计算方法如下：</w:t>
      </w:r>
    </w:p>
    <w:p w14:paraId="66520257">
      <w:pPr>
        <w:adjustRightInd w:val="0"/>
        <w:snapToGrid w:val="0"/>
        <w:spacing w:line="360" w:lineRule="auto"/>
        <w:jc w:val="left"/>
        <w:rPr>
          <w:rFonts w:hint="eastAsia" w:ascii="宋体" w:hAnsi="宋体" w:eastAsia="宋体" w:cs="Times New Roman"/>
          <w:sz w:val="24"/>
        </w:rPr>
      </w:pPr>
      <w:r>
        <w:rPr>
          <w:rFonts w:ascii="宋体" w:hAnsi="宋体" w:eastAsia="宋体" w:cs="Times New Roman"/>
          <w:position w:val="-26"/>
          <w:sz w:val="24"/>
        </w:rPr>
        <w:object>
          <v:shape id="_x0000_i1040" o:spt="75" type="#_x0000_t75" style="height:26.5pt;width:376pt;" o:ole="t" filled="f" o:preferrelative="t" stroked="f" coordsize="21600,21600">
            <v:path/>
            <v:fill on="f" focussize="0,0"/>
            <v:stroke on="f" joinstyle="miter"/>
            <v:imagedata r:id="rId10" o:title=""/>
            <o:lock v:ext="edit" aspectratio="t"/>
            <w10:wrap type="none"/>
            <w10:anchorlock/>
          </v:shape>
          <o:OLEObject Type="Embed" ProgID="Equation.KSEE3" ShapeID="_x0000_i1040" DrawAspect="Content" ObjectID="_1468075739" r:id="rId26">
            <o:LockedField>false</o:LockedField>
          </o:OLEObject>
        </w:object>
      </w:r>
    </w:p>
    <w:p w14:paraId="2CA19E3E">
      <w:pPr>
        <w:adjustRightInd w:val="0"/>
        <w:snapToGrid w:val="0"/>
        <w:spacing w:before="62" w:beforeLines="20" w:after="62" w:afterLines="20" w:line="360" w:lineRule="auto"/>
        <w:rPr>
          <w:rFonts w:hint="eastAsia" w:ascii="宋体" w:hAnsi="宋体" w:eastAsia="宋体" w:cs="Times New Roman"/>
          <w:b/>
          <w:sz w:val="24"/>
        </w:rPr>
      </w:pPr>
      <w:r>
        <w:rPr>
          <w:rFonts w:hint="eastAsia" w:ascii="宋体" w:hAnsi="宋体" w:eastAsia="宋体" w:cs="Times New Roman"/>
          <w:b/>
          <w:sz w:val="24"/>
        </w:rPr>
        <w:t>五、有关说明</w:t>
      </w:r>
    </w:p>
    <w:p w14:paraId="4F406A4B">
      <w:pPr>
        <w:adjustRightInd w:val="0"/>
        <w:snapToGrid w:val="0"/>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（一）持续改进</w:t>
      </w:r>
    </w:p>
    <w:p w14:paraId="753A9ACE">
      <w:pPr>
        <w:adjustRightInd w:val="0"/>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本课程根据学生作业、课堂讨论、教学环节、平时考核情况和学生、教学督导等的反馈，及时对教学中的不足之处进行改进，并在下一轮课程教学中整改完善，确保相应毕业要求指标点达成。</w:t>
      </w:r>
    </w:p>
    <w:p w14:paraId="6451CFB0">
      <w:pPr>
        <w:adjustRightInd w:val="0"/>
        <w:snapToGrid w:val="0"/>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（二）参考书目及学习资料</w:t>
      </w:r>
    </w:p>
    <w:p w14:paraId="319980B5">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课程教材</w:t>
      </w:r>
    </w:p>
    <w:p w14:paraId="68EB7D90">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张斌贤等</w:t>
      </w:r>
      <w:r>
        <w:rPr>
          <w:rFonts w:ascii="宋体" w:hAnsi="宋体" w:eastAsia="宋体" w:cs="Times New Roman"/>
          <w:szCs w:val="21"/>
        </w:rPr>
        <w:t>.</w:t>
      </w:r>
      <w:r>
        <w:rPr>
          <w:rFonts w:hint="eastAsia" w:ascii="宋体" w:hAnsi="宋体" w:eastAsia="宋体" w:cs="Times New Roman"/>
          <w:szCs w:val="21"/>
        </w:rPr>
        <w:t>西方教育思想史</w:t>
      </w:r>
      <w:r>
        <w:rPr>
          <w:rFonts w:ascii="宋体" w:hAnsi="宋体" w:eastAsia="宋体" w:cs="Times New Roman"/>
          <w:szCs w:val="21"/>
        </w:rPr>
        <w:t>[M].</w:t>
      </w:r>
      <w:r>
        <w:rPr>
          <w:rFonts w:hint="eastAsia" w:ascii="宋体" w:hAnsi="宋体" w:eastAsia="宋体" w:cs="Times New Roman"/>
          <w:szCs w:val="21"/>
        </w:rPr>
        <w:t>北京：人民教育出版社，</w:t>
      </w:r>
      <w:r>
        <w:rPr>
          <w:rFonts w:ascii="宋体" w:hAnsi="宋体" w:eastAsia="宋体" w:cs="Times New Roman"/>
          <w:szCs w:val="21"/>
        </w:rPr>
        <w:t>20</w:t>
      </w:r>
      <w:r>
        <w:rPr>
          <w:rFonts w:hint="eastAsia" w:ascii="宋体" w:hAnsi="宋体" w:eastAsia="宋体" w:cs="Times New Roman"/>
          <w:szCs w:val="21"/>
        </w:rPr>
        <w:t>23</w:t>
      </w:r>
      <w:r>
        <w:rPr>
          <w:rFonts w:ascii="宋体" w:hAnsi="宋体" w:eastAsia="宋体" w:cs="Times New Roman"/>
          <w:szCs w:val="21"/>
        </w:rPr>
        <w:t>.</w:t>
      </w:r>
    </w:p>
    <w:p w14:paraId="2D3CE70A">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其他教学参考书</w:t>
      </w:r>
    </w:p>
    <w:p w14:paraId="1478296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滕大春</w:t>
      </w:r>
      <w:r>
        <w:rPr>
          <w:rFonts w:ascii="宋体" w:hAnsi="宋体" w:eastAsia="宋体" w:cs="Times New Roman"/>
          <w:szCs w:val="21"/>
        </w:rPr>
        <w:t>.</w:t>
      </w:r>
      <w:r>
        <w:rPr>
          <w:rFonts w:hint="eastAsia" w:ascii="宋体" w:hAnsi="宋体" w:eastAsia="宋体" w:cs="Times New Roman"/>
          <w:szCs w:val="21"/>
        </w:rPr>
        <w:t>外国教育通史</w:t>
      </w:r>
      <w:r>
        <w:rPr>
          <w:rFonts w:ascii="宋体" w:hAnsi="宋体" w:eastAsia="宋体" w:cs="Times New Roman"/>
          <w:szCs w:val="21"/>
        </w:rPr>
        <w:t>[M].</w:t>
      </w:r>
      <w:r>
        <w:rPr>
          <w:rFonts w:hint="eastAsia" w:ascii="宋体" w:hAnsi="宋体" w:eastAsia="宋体" w:cs="Times New Roman"/>
          <w:szCs w:val="21"/>
        </w:rPr>
        <w:t>济南：山东教育出版社，</w:t>
      </w:r>
      <w:r>
        <w:rPr>
          <w:rFonts w:ascii="宋体" w:hAnsi="宋体" w:eastAsia="宋体" w:cs="Times New Roman"/>
          <w:szCs w:val="21"/>
        </w:rPr>
        <w:t>1992-1994.</w:t>
      </w:r>
    </w:p>
    <w:p w14:paraId="60D9F650">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吴式颖</w:t>
      </w:r>
      <w:r>
        <w:rPr>
          <w:rFonts w:ascii="宋体" w:hAnsi="宋体" w:eastAsia="宋体" w:cs="Times New Roman"/>
          <w:szCs w:val="21"/>
        </w:rPr>
        <w:t>.</w:t>
      </w:r>
      <w:r>
        <w:rPr>
          <w:rFonts w:hint="eastAsia" w:ascii="宋体" w:hAnsi="宋体" w:eastAsia="宋体" w:cs="Times New Roman"/>
          <w:szCs w:val="21"/>
        </w:rPr>
        <w:t>外国现代教育史</w:t>
      </w:r>
      <w:r>
        <w:rPr>
          <w:rFonts w:ascii="宋体" w:hAnsi="宋体" w:eastAsia="宋体" w:cs="Times New Roman"/>
          <w:szCs w:val="21"/>
        </w:rPr>
        <w:t>[M].</w:t>
      </w:r>
      <w:r>
        <w:rPr>
          <w:rFonts w:hint="eastAsia" w:ascii="宋体" w:hAnsi="宋体" w:eastAsia="宋体" w:cs="Times New Roman"/>
          <w:szCs w:val="21"/>
        </w:rPr>
        <w:t>北京：人民教育出版社，</w:t>
      </w:r>
      <w:r>
        <w:rPr>
          <w:rFonts w:ascii="宋体" w:hAnsi="宋体" w:eastAsia="宋体" w:cs="Times New Roman"/>
          <w:szCs w:val="21"/>
        </w:rPr>
        <w:t>1997.</w:t>
      </w:r>
    </w:p>
    <w:p w14:paraId="24CB525A">
      <w:pPr>
        <w:autoSpaceDE w:val="0"/>
        <w:autoSpaceDN w:val="0"/>
        <w:adjustRightInd w:val="0"/>
        <w:snapToGrid w:val="0"/>
        <w:spacing w:line="360" w:lineRule="auto"/>
        <w:ind w:right="1440"/>
        <w:jc w:val="right"/>
        <w:rPr>
          <w:rFonts w:hint="eastAsia" w:ascii="宋体" w:hAnsi="宋体" w:eastAsia="宋体" w:cs="Times New Roman"/>
          <w:kern w:val="0"/>
          <w:szCs w:val="21"/>
        </w:rPr>
      </w:pPr>
      <w:r>
        <w:rPr>
          <w:rFonts w:hint="eastAsia" w:ascii="宋体" w:hAnsi="宋体" w:eastAsia="宋体" w:cs="Times New Roman"/>
          <w:kern w:val="0"/>
          <w:szCs w:val="21"/>
        </w:rPr>
        <w:t>执笔人：赵振杰</w:t>
      </w:r>
    </w:p>
    <w:p w14:paraId="272300C4">
      <w:pPr>
        <w:autoSpaceDE w:val="0"/>
        <w:autoSpaceDN w:val="0"/>
        <w:adjustRightInd w:val="0"/>
        <w:snapToGrid w:val="0"/>
        <w:spacing w:line="360" w:lineRule="auto"/>
        <w:ind w:right="1440"/>
        <w:jc w:val="right"/>
        <w:rPr>
          <w:rFonts w:hint="eastAsia" w:ascii="宋体" w:hAnsi="宋体" w:eastAsia="宋体" w:cs="Times New Roman"/>
          <w:kern w:val="0"/>
          <w:szCs w:val="21"/>
        </w:rPr>
      </w:pPr>
      <w:r>
        <w:rPr>
          <w:rFonts w:hint="eastAsia" w:ascii="宋体" w:hAnsi="宋体" w:eastAsia="宋体" w:cs="Times New Roman"/>
          <w:kern w:val="0"/>
          <w:szCs w:val="21"/>
        </w:rPr>
        <w:t>审定人：王  健</w:t>
      </w:r>
    </w:p>
    <w:p w14:paraId="04E13048">
      <w:pPr>
        <w:autoSpaceDE w:val="0"/>
        <w:autoSpaceDN w:val="0"/>
        <w:adjustRightInd w:val="0"/>
        <w:snapToGrid w:val="0"/>
        <w:spacing w:line="360" w:lineRule="auto"/>
        <w:ind w:right="1440"/>
        <w:jc w:val="right"/>
        <w:rPr>
          <w:rFonts w:hint="eastAsia" w:ascii="宋体" w:hAnsi="宋体" w:eastAsia="宋体" w:cs="Times New Roman"/>
          <w:kern w:val="0"/>
          <w:szCs w:val="21"/>
        </w:rPr>
      </w:pPr>
      <w:r>
        <w:rPr>
          <w:rFonts w:hint="eastAsia" w:ascii="宋体" w:hAnsi="宋体" w:eastAsia="宋体" w:cs="Times New Roman"/>
          <w:kern w:val="0"/>
          <w:szCs w:val="21"/>
        </w:rPr>
        <w:t>审批人：张志欣</w:t>
      </w:r>
    </w:p>
    <w:p w14:paraId="4E05DBCC">
      <w:pPr>
        <w:autoSpaceDE w:val="0"/>
        <w:autoSpaceDN w:val="0"/>
        <w:adjustRightInd w:val="0"/>
        <w:spacing w:line="360" w:lineRule="auto"/>
        <w:jc w:val="center"/>
        <w:rPr>
          <w:rFonts w:hint="eastAsia" w:ascii="宋体" w:hAnsi="宋体" w:eastAsia="宋体" w:cs="Times New Roman"/>
          <w:kern w:val="0"/>
          <w:sz w:val="24"/>
          <w:szCs w:val="21"/>
          <w:lang w:eastAsia="zh-CN"/>
        </w:rPr>
      </w:pPr>
      <w:r>
        <w:rPr>
          <w:rFonts w:hint="eastAsia" w:ascii="宋体" w:hAnsi="宋体" w:eastAsia="宋体" w:cs="Times New Roman"/>
          <w:kern w:val="0"/>
          <w:szCs w:val="21"/>
        </w:rPr>
        <w:t xml:space="preserve">                                        </w:t>
      </w:r>
      <w:r>
        <w:rPr>
          <w:rFonts w:hint="eastAsia" w:ascii="宋体" w:hAnsi="宋体" w:eastAsia="宋体" w:cs="Times New Roman"/>
          <w:kern w:val="0"/>
          <w:szCs w:val="21"/>
          <w:lang w:eastAsia="zh-CN"/>
        </w:rPr>
        <w:t>批准时间：2025年7月1日</w:t>
      </w:r>
    </w:p>
    <w:p w14:paraId="169D60BF">
      <w:pPr>
        <w:rPr>
          <w:rFonts w:ascii="Times New Roman" w:hAnsi="Times New Roman" w:eastAsia="黑体" w:cs="Times New Roman"/>
          <w:b/>
          <w:color w:val="auto"/>
          <w:sz w:val="28"/>
          <w:szCs w:val="30"/>
        </w:rPr>
      </w:pPr>
      <w:r>
        <w:rPr>
          <w:rFonts w:hint="eastAsia" w:ascii="Times New Roman" w:hAnsi="Times New Roman" w:eastAsia="宋体" w:cs="Times New Roman"/>
          <w:color w:val="auto"/>
          <w:sz w:val="24"/>
        </w:rPr>
        <w:br w:type="page"/>
      </w:r>
    </w:p>
    <w:p w14:paraId="168078BD">
      <w:pPr>
        <w:spacing w:line="360" w:lineRule="auto"/>
        <w:jc w:val="center"/>
        <w:outlineLvl w:val="0"/>
        <w:rPr>
          <w:rFonts w:hint="eastAsia" w:ascii="Times New Roman" w:hAnsi="Times New Roman" w:eastAsia="宋体" w:cs="Times New Roman"/>
          <w:b/>
          <w:color w:val="auto"/>
          <w:sz w:val="44"/>
          <w:szCs w:val="44"/>
        </w:rPr>
      </w:pPr>
      <w:bookmarkStart w:id="220" w:name="_Toc166164850"/>
      <w:bookmarkStart w:id="221" w:name="_Toc24884"/>
      <w:bookmarkStart w:id="222" w:name="_Toc23581"/>
      <w:bookmarkStart w:id="223" w:name="_Toc57017174"/>
      <w:r>
        <w:rPr>
          <w:rFonts w:hint="eastAsia" w:ascii="Times New Roman" w:hAnsi="Times New Roman" w:eastAsia="宋体" w:cs="Times New Roman"/>
          <w:b/>
          <w:color w:val="auto"/>
          <w:sz w:val="44"/>
          <w:szCs w:val="44"/>
        </w:rPr>
        <w:t>《小学教育政策与法规》课程与教学大纲</w:t>
      </w:r>
      <w:bookmarkEnd w:id="220"/>
      <w:bookmarkEnd w:id="221"/>
      <w:bookmarkEnd w:id="222"/>
      <w:bookmarkEnd w:id="223"/>
    </w:p>
    <w:p w14:paraId="59A4ADCB">
      <w:pPr>
        <w:spacing w:line="360" w:lineRule="auto"/>
        <w:ind w:firstLine="1687" w:firstLineChars="600"/>
        <w:rPr>
          <w:rFonts w:hint="default" w:ascii="Times New Roman" w:hAnsi="Times New Roman" w:eastAsia="宋体" w:cs="Times New Roman"/>
          <w:b/>
          <w:color w:val="auto"/>
          <w:sz w:val="28"/>
          <w:szCs w:val="30"/>
        </w:rPr>
      </w:pPr>
      <w:r>
        <w:rPr>
          <w:rFonts w:hint="default" w:ascii="Times New Roman" w:hAnsi="Times New Roman" w:eastAsia="宋体" w:cs="Times New Roman"/>
          <w:b/>
          <w:color w:val="auto"/>
          <w:sz w:val="28"/>
          <w:szCs w:val="30"/>
        </w:rPr>
        <w:t>（</w:t>
      </w:r>
      <w:r>
        <w:rPr>
          <w:rFonts w:hint="default" w:ascii="Times New Roman" w:hAnsi="Times New Roman" w:eastAsia="Segoe UI" w:cs="Times New Roman"/>
          <w:b/>
          <w:bCs/>
          <w:color w:val="auto"/>
          <w:sz w:val="24"/>
          <w:shd w:val="clear" w:color="auto" w:fill="FFFFFF"/>
        </w:rPr>
        <w:t>Primary Education Policies and Regulations</w:t>
      </w:r>
      <w:r>
        <w:rPr>
          <w:rFonts w:hint="default" w:ascii="Times New Roman" w:hAnsi="Times New Roman" w:eastAsia="宋体" w:cs="Times New Roman"/>
          <w:b/>
          <w:color w:val="auto"/>
          <w:sz w:val="28"/>
          <w:szCs w:val="30"/>
        </w:rPr>
        <w:t>）</w:t>
      </w:r>
    </w:p>
    <w:p w14:paraId="0B82BB1E">
      <w:pPr>
        <w:spacing w:line="360" w:lineRule="auto"/>
        <w:ind w:firstLine="422" w:firstLineChars="200"/>
        <w:rPr>
          <w:rFonts w:hint="eastAsia" w:ascii="宋体" w:hAnsi="宋体" w:eastAsia="宋体" w:cs="Times New Roman"/>
          <w:b/>
          <w:bCs/>
          <w:color w:val="auto"/>
          <w:kern w:val="0"/>
          <w:sz w:val="21"/>
          <w:szCs w:val="21"/>
        </w:rPr>
      </w:pPr>
    </w:p>
    <w:p w14:paraId="410B21B7">
      <w:pPr>
        <w:spacing w:line="360" w:lineRule="auto"/>
        <w:ind w:firstLine="482" w:firstLineChars="200"/>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lang w:val="en-US" w:eastAsia="zh-CN"/>
        </w:rPr>
        <w:t>课程名称：小学政策与法规</w:t>
      </w:r>
    </w:p>
    <w:p w14:paraId="736E0080">
      <w:pPr>
        <w:spacing w:line="360" w:lineRule="auto"/>
        <w:ind w:firstLine="482" w:firstLineChars="200"/>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课程代码：2401008</w:t>
      </w:r>
    </w:p>
    <w:p w14:paraId="5E1624A9">
      <w:pPr>
        <w:spacing w:line="360" w:lineRule="auto"/>
        <w:ind w:firstLine="482" w:firstLineChars="200"/>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学    分：1</w:t>
      </w:r>
    </w:p>
    <w:p w14:paraId="12895278">
      <w:pPr>
        <w:spacing w:line="360" w:lineRule="auto"/>
        <w:ind w:firstLine="482" w:firstLineChars="200"/>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学    时：16</w:t>
      </w:r>
    </w:p>
    <w:p w14:paraId="392D8EB9">
      <w:pPr>
        <w:spacing w:line="360" w:lineRule="auto"/>
        <w:ind w:firstLine="482"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rPr>
        <w:t>先修课程：</w:t>
      </w:r>
      <w:r>
        <w:rPr>
          <w:rFonts w:hint="default" w:ascii="Times New Roman" w:hAnsi="Times New Roman" w:eastAsia="宋体" w:cs="Times New Roman"/>
          <w:b/>
          <w:bCs/>
          <w:color w:val="auto"/>
          <w:sz w:val="24"/>
        </w:rPr>
        <w:t>教育原理、中外教育史、教师职业道德</w:t>
      </w:r>
    </w:p>
    <w:p w14:paraId="0BBFC4F2">
      <w:pPr>
        <w:spacing w:line="360" w:lineRule="auto"/>
        <w:ind w:firstLine="482" w:firstLineChars="200"/>
        <w:rPr>
          <w:rFonts w:hint="default" w:ascii="Times New Roman" w:hAnsi="Times New Roman" w:eastAsia="宋体" w:cs="Times New Roman"/>
          <w:b/>
          <w:bCs/>
          <w:color w:val="auto"/>
          <w:sz w:val="21"/>
          <w:szCs w:val="20"/>
        </w:rPr>
      </w:pPr>
      <w:r>
        <w:rPr>
          <w:rFonts w:hint="default" w:ascii="Times New Roman" w:hAnsi="Times New Roman" w:eastAsia="宋体" w:cs="Times New Roman"/>
          <w:b/>
          <w:bCs/>
          <w:color w:val="auto"/>
          <w:kern w:val="0"/>
          <w:sz w:val="24"/>
        </w:rPr>
        <w:t>适用专业：小学教育（文）、小学教育（理）</w:t>
      </w:r>
      <w:bookmarkStart w:id="224" w:name="_Toc27846241"/>
      <w:bookmarkStart w:id="225" w:name="_Toc27847259"/>
    </w:p>
    <w:p w14:paraId="46BBD96E">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360" w:lineRule="auto"/>
        <w:textAlignment w:val="auto"/>
        <w:rPr>
          <w:rFonts w:hint="eastAsia" w:ascii="宋体" w:hAnsi="宋体" w:eastAsia="宋体" w:cs="Times New Roman"/>
          <w:color w:val="auto"/>
          <w:sz w:val="24"/>
          <w:lang w:eastAsia="zh-CN"/>
        </w:rPr>
      </w:pPr>
      <w:r>
        <w:rPr>
          <w:rFonts w:hint="eastAsia" w:ascii="宋体" w:hAnsi="宋体" w:eastAsia="宋体" w:cs="Times New Roman"/>
          <w:b/>
          <w:color w:val="auto"/>
          <w:sz w:val="24"/>
          <w:szCs w:val="22"/>
        </w:rPr>
        <w:t>一、课程</w:t>
      </w:r>
      <w:bookmarkEnd w:id="224"/>
      <w:bookmarkEnd w:id="225"/>
      <w:r>
        <w:rPr>
          <w:rFonts w:hint="eastAsia" w:ascii="宋体" w:hAnsi="宋体" w:eastAsia="宋体" w:cs="Times New Roman"/>
          <w:b/>
          <w:color w:val="auto"/>
          <w:sz w:val="24"/>
          <w:szCs w:val="22"/>
          <w:lang w:val="en-US" w:eastAsia="zh-CN"/>
        </w:rPr>
        <w:t>简介</w:t>
      </w:r>
    </w:p>
    <w:p w14:paraId="70FD861B">
      <w:pPr>
        <w:adjustRightInd w:val="0"/>
        <w:snapToGrid w:val="0"/>
        <w:spacing w:line="360" w:lineRule="auto"/>
        <w:ind w:firstLine="420" w:firstLineChars="200"/>
        <w:rPr>
          <w:rFonts w:hint="eastAsia" w:ascii="宋体" w:hAnsi="等线" w:eastAsia="宋体" w:cs="Times New Roman"/>
          <w:color w:val="auto"/>
          <w:sz w:val="21"/>
          <w:szCs w:val="21"/>
        </w:rPr>
      </w:pPr>
      <w:r>
        <w:rPr>
          <w:rFonts w:hint="eastAsia" w:ascii="宋体" w:hAnsi="宋体" w:eastAsia="宋体" w:cs="Times New Roman"/>
          <w:color w:val="auto"/>
          <w:sz w:val="21"/>
          <w:szCs w:val="21"/>
        </w:rPr>
        <w:t>作为小学教育本科专业的必修教材，本课程以教育政策和教育法规方面的基本概念、官方文本和有关解释为知识基础，初步建立起以小学教育政策和法规应用为主线的知识课程体系。本课程立足于一个实践型、反思型小学教师专业实践的需要兼及小学教育管理者在教育政策学和教育法学的基础上凸显小学教育政策与法规的特定内涵，以新时期涉及小学教育的现实问题为焦点、以典型案例为其切入点、促进文本与实践应用的有机结合。</w:t>
      </w:r>
    </w:p>
    <w:p w14:paraId="490EAA80">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360" w:lineRule="auto"/>
        <w:textAlignment w:val="auto"/>
        <w:rPr>
          <w:rFonts w:hint="eastAsia" w:ascii="宋体" w:hAnsi="宋体" w:eastAsia="宋体" w:cs="Times New Roman"/>
          <w:b/>
          <w:color w:val="auto"/>
          <w:sz w:val="24"/>
          <w:szCs w:val="22"/>
        </w:rPr>
      </w:pPr>
      <w:r>
        <w:rPr>
          <w:rFonts w:hint="eastAsia" w:ascii="宋体" w:hAnsi="宋体" w:eastAsia="宋体" w:cs="Times New Roman"/>
          <w:b/>
          <w:color w:val="auto"/>
          <w:sz w:val="24"/>
          <w:szCs w:val="22"/>
        </w:rPr>
        <w:t>二、课程目标</w:t>
      </w:r>
    </w:p>
    <w:p w14:paraId="52AFD188">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等线" w:eastAsia="宋体" w:cs="Times New Roman"/>
          <w:b/>
          <w:color w:val="auto"/>
          <w:sz w:val="21"/>
          <w:szCs w:val="21"/>
        </w:rPr>
      </w:pPr>
      <w:r>
        <w:rPr>
          <w:rFonts w:hint="eastAsia" w:ascii="宋体" w:hAnsi="宋体" w:eastAsia="宋体" w:cs="Times New Roman"/>
          <w:b/>
          <w:color w:val="auto"/>
          <w:sz w:val="21"/>
          <w:szCs w:val="21"/>
        </w:rPr>
        <w:t>（一）课程具体目标</w:t>
      </w:r>
    </w:p>
    <w:p w14:paraId="3E0630D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等线" w:eastAsia="宋体" w:cs="Times New Roman"/>
          <w:color w:val="auto"/>
          <w:sz w:val="21"/>
          <w:szCs w:val="21"/>
        </w:rPr>
      </w:pPr>
      <w:r>
        <w:rPr>
          <w:rFonts w:hint="eastAsia" w:ascii="宋体" w:hAnsi="宋体" w:eastAsia="宋体" w:cs="Times New Roman"/>
          <w:color w:val="auto"/>
          <w:sz w:val="21"/>
          <w:szCs w:val="21"/>
        </w:rPr>
        <w:t>目标</w:t>
      </w:r>
      <w:r>
        <w:rPr>
          <w:rFonts w:ascii="宋体" w:hAnsi="宋体" w:eastAsia="宋体" w:cs="Times New Roman"/>
          <w:color w:val="auto"/>
          <w:sz w:val="21"/>
          <w:szCs w:val="21"/>
        </w:rPr>
        <w:t>1.</w:t>
      </w:r>
      <w:r>
        <w:rPr>
          <w:rFonts w:hint="eastAsia" w:ascii="宋体" w:hAnsi="宋体" w:eastAsia="宋体" w:cs="Times New Roman"/>
          <w:color w:val="auto"/>
          <w:sz w:val="21"/>
          <w:szCs w:val="21"/>
        </w:rPr>
        <w:t>熟悉教育政策的属性、功能、过程，增强中国特色社会主义核心价值观的理解。</w:t>
      </w:r>
    </w:p>
    <w:p w14:paraId="0E8D5BB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等线" w:eastAsia="宋体" w:cs="Times New Roman"/>
          <w:color w:val="auto"/>
          <w:sz w:val="21"/>
          <w:szCs w:val="21"/>
        </w:rPr>
      </w:pPr>
      <w:r>
        <w:rPr>
          <w:rFonts w:hint="eastAsia" w:ascii="宋体" w:hAnsi="宋体" w:eastAsia="宋体" w:cs="Times New Roman"/>
          <w:color w:val="auto"/>
          <w:sz w:val="21"/>
          <w:szCs w:val="21"/>
        </w:rPr>
        <w:t>目标</w:t>
      </w:r>
      <w:r>
        <w:rPr>
          <w:rFonts w:ascii="宋体" w:hAnsi="宋体" w:eastAsia="宋体" w:cs="Times New Roman"/>
          <w:color w:val="auto"/>
          <w:sz w:val="21"/>
          <w:szCs w:val="21"/>
        </w:rPr>
        <w:t>2.</w:t>
      </w:r>
      <w:r>
        <w:rPr>
          <w:rFonts w:hint="eastAsia" w:ascii="宋体" w:hAnsi="宋体" w:eastAsia="宋体" w:cs="Times New Roman"/>
          <w:color w:val="auto"/>
          <w:sz w:val="21"/>
          <w:szCs w:val="21"/>
        </w:rPr>
        <w:t>理解我国小学教育政策和法规体系，客观完整的把握我国国情。</w:t>
      </w:r>
    </w:p>
    <w:p w14:paraId="60033AC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等线" w:eastAsia="宋体" w:cs="Times New Roman"/>
          <w:color w:val="auto"/>
          <w:sz w:val="21"/>
          <w:szCs w:val="21"/>
        </w:rPr>
      </w:pPr>
      <w:r>
        <w:rPr>
          <w:rFonts w:hint="eastAsia" w:ascii="宋体" w:hAnsi="宋体" w:eastAsia="宋体" w:cs="Times New Roman"/>
          <w:color w:val="auto"/>
          <w:sz w:val="21"/>
          <w:szCs w:val="21"/>
        </w:rPr>
        <w:t>目标3</w:t>
      </w:r>
      <w:r>
        <w:rPr>
          <w:rFonts w:ascii="宋体" w:hAnsi="宋体" w:eastAsia="宋体" w:cs="Times New Roman"/>
          <w:color w:val="auto"/>
          <w:sz w:val="21"/>
          <w:szCs w:val="21"/>
        </w:rPr>
        <w:t>.</w:t>
      </w:r>
      <w:r>
        <w:rPr>
          <w:rFonts w:hint="eastAsia" w:ascii="宋体" w:hAnsi="宋体" w:eastAsia="宋体" w:cs="Times New Roman"/>
          <w:color w:val="auto"/>
          <w:sz w:val="21"/>
          <w:szCs w:val="21"/>
        </w:rPr>
        <w:t>掌握小学教师、小学生的权益和保护规定，增强职业责任感。</w:t>
      </w:r>
    </w:p>
    <w:p w14:paraId="76F2442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等线" w:eastAsia="宋体" w:cs="Times New Roman"/>
          <w:color w:val="auto"/>
          <w:sz w:val="21"/>
          <w:szCs w:val="21"/>
        </w:rPr>
      </w:pPr>
      <w:r>
        <w:rPr>
          <w:rFonts w:hint="eastAsia" w:ascii="宋体" w:hAnsi="宋体" w:eastAsia="宋体" w:cs="Times New Roman"/>
          <w:color w:val="auto"/>
          <w:sz w:val="21"/>
          <w:szCs w:val="21"/>
        </w:rPr>
        <w:t>目标4</w:t>
      </w:r>
      <w:r>
        <w:rPr>
          <w:rFonts w:ascii="宋体" w:hAnsi="宋体" w:eastAsia="宋体" w:cs="Times New Roman"/>
          <w:color w:val="auto"/>
          <w:sz w:val="21"/>
          <w:szCs w:val="21"/>
        </w:rPr>
        <w:t>.</w:t>
      </w:r>
      <w:r>
        <w:rPr>
          <w:rFonts w:hint="eastAsia" w:ascii="宋体" w:hAnsi="宋体" w:eastAsia="宋体" w:cs="Times New Roman"/>
          <w:color w:val="auto"/>
          <w:sz w:val="21"/>
          <w:szCs w:val="21"/>
        </w:rPr>
        <w:t>掌握政府、家庭和社会的教育职责和责任，强化教育的政治功能。</w:t>
      </w:r>
    </w:p>
    <w:p w14:paraId="472D429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目标5</w:t>
      </w:r>
      <w:r>
        <w:rPr>
          <w:rFonts w:ascii="宋体" w:hAnsi="宋体" w:eastAsia="宋体" w:cs="Times New Roman"/>
          <w:color w:val="auto"/>
          <w:sz w:val="21"/>
          <w:szCs w:val="21"/>
        </w:rPr>
        <w:t>.</w:t>
      </w:r>
      <w:r>
        <w:rPr>
          <w:rFonts w:hint="eastAsia" w:ascii="宋体" w:hAnsi="宋体" w:eastAsia="宋体" w:cs="Times New Roman"/>
          <w:color w:val="auto"/>
          <w:sz w:val="21"/>
          <w:szCs w:val="21"/>
        </w:rPr>
        <w:t>运用我国涉及小学生的重要法律法规和政策，树立依法执教的意识。</w:t>
      </w:r>
    </w:p>
    <w:p w14:paraId="38F8ECD9">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（二）课程目标与专业毕业要求的关系</w:t>
      </w:r>
    </w:p>
    <w:tbl>
      <w:tblPr>
        <w:tblStyle w:val="1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5530"/>
        <w:gridCol w:w="1383"/>
      </w:tblGrid>
      <w:tr w14:paraId="0992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305" w:type="dxa"/>
            <w:vAlign w:val="center"/>
          </w:tcPr>
          <w:p w14:paraId="4C572940">
            <w:pPr>
              <w:adjustRightInd w:val="0"/>
              <w:snapToGrid w:val="0"/>
              <w:spacing w:line="276" w:lineRule="auto"/>
              <w:jc w:val="center"/>
              <w:rPr>
                <w:rFonts w:ascii="宋体" w:hAnsi="Calibri" w:eastAsia="宋体" w:cs="Times New Roman"/>
                <w:b/>
                <w:bCs/>
                <w:color w:val="auto"/>
                <w:szCs w:val="21"/>
              </w:rPr>
            </w:pPr>
            <w:r>
              <w:rPr>
                <w:rFonts w:hint="eastAsia" w:ascii="宋体" w:hAnsi="宋体" w:eastAsia="宋体" w:cs="Times New Roman"/>
                <w:b/>
                <w:bCs/>
                <w:color w:val="auto"/>
                <w:szCs w:val="21"/>
              </w:rPr>
              <w:t>毕业要求</w:t>
            </w:r>
          </w:p>
        </w:tc>
        <w:tc>
          <w:tcPr>
            <w:tcW w:w="4535" w:type="dxa"/>
            <w:vAlign w:val="center"/>
          </w:tcPr>
          <w:p w14:paraId="46D65F28">
            <w:pPr>
              <w:adjustRightInd w:val="0"/>
              <w:snapToGrid w:val="0"/>
              <w:spacing w:line="276" w:lineRule="auto"/>
              <w:jc w:val="center"/>
              <w:rPr>
                <w:rFonts w:ascii="宋体" w:hAnsi="Calibri" w:eastAsia="宋体" w:cs="Times New Roman"/>
                <w:b/>
                <w:bCs/>
                <w:color w:val="auto"/>
                <w:szCs w:val="21"/>
              </w:rPr>
            </w:pPr>
            <w:r>
              <w:rPr>
                <w:rFonts w:hint="eastAsia" w:ascii="宋体" w:hAnsi="宋体" w:eastAsia="宋体" w:cs="Times New Roman"/>
                <w:b/>
                <w:bCs/>
                <w:color w:val="auto"/>
                <w:szCs w:val="21"/>
              </w:rPr>
              <w:t>支撑的毕业要求指标点</w:t>
            </w:r>
          </w:p>
        </w:tc>
        <w:tc>
          <w:tcPr>
            <w:tcW w:w="1134" w:type="dxa"/>
            <w:vAlign w:val="center"/>
          </w:tcPr>
          <w:p w14:paraId="1084F95E">
            <w:pPr>
              <w:adjustRightInd w:val="0"/>
              <w:snapToGrid w:val="0"/>
              <w:spacing w:line="276" w:lineRule="auto"/>
              <w:jc w:val="center"/>
              <w:rPr>
                <w:rFonts w:hint="default" w:ascii="宋体" w:hAnsi="宋体" w:eastAsia="宋体" w:cs="Times New Roman"/>
                <w:b/>
                <w:bCs/>
                <w:color w:val="auto"/>
                <w:szCs w:val="21"/>
                <w:lang w:val="en-US" w:eastAsia="zh-CN"/>
              </w:rPr>
            </w:pPr>
            <w:r>
              <w:rPr>
                <w:rFonts w:hint="eastAsia" w:ascii="宋体" w:hAnsi="宋体" w:eastAsia="宋体" w:cs="Times New Roman"/>
                <w:b/>
                <w:bCs/>
                <w:color w:val="auto"/>
                <w:szCs w:val="21"/>
                <w:lang w:val="en-US" w:eastAsia="zh-CN"/>
              </w:rPr>
              <w:t>课程目标</w:t>
            </w:r>
          </w:p>
        </w:tc>
      </w:tr>
      <w:tr w14:paraId="2DEF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305" w:type="dxa"/>
            <w:vAlign w:val="center"/>
          </w:tcPr>
          <w:p w14:paraId="59448888">
            <w:pPr>
              <w:adjustRightInd w:val="0"/>
              <w:snapToGrid w:val="0"/>
              <w:spacing w:line="276" w:lineRule="auto"/>
              <w:jc w:val="center"/>
              <w:rPr>
                <w:rFonts w:ascii="宋体" w:hAnsi="Calibri" w:eastAsia="宋体" w:cs="Times New Roman"/>
                <w:b w:val="0"/>
                <w:bCs w:val="0"/>
                <w:i w:val="0"/>
                <w:iCs w:val="0"/>
                <w:color w:val="auto"/>
                <w:kern w:val="0"/>
                <w:szCs w:val="21"/>
              </w:rPr>
            </w:pPr>
            <w:r>
              <w:rPr>
                <w:rFonts w:hint="eastAsia" w:ascii="宋体" w:hAnsi="宋体" w:eastAsia="宋体" w:cs="Times New Roman"/>
                <w:b w:val="0"/>
                <w:bCs w:val="0"/>
                <w:i w:val="0"/>
                <w:iCs w:val="0"/>
                <w:color w:val="auto"/>
                <w:kern w:val="0"/>
                <w:szCs w:val="21"/>
              </w:rPr>
              <w:t>毕业要求</w:t>
            </w:r>
            <w:r>
              <w:rPr>
                <w:rFonts w:ascii="宋体" w:hAnsi="宋体" w:eastAsia="宋体" w:cs="Times New Roman"/>
                <w:b w:val="0"/>
                <w:bCs w:val="0"/>
                <w:i w:val="0"/>
                <w:iCs w:val="0"/>
                <w:color w:val="auto"/>
                <w:kern w:val="0"/>
                <w:szCs w:val="21"/>
              </w:rPr>
              <w:t>1</w:t>
            </w:r>
            <w:r>
              <w:rPr>
                <w:rFonts w:ascii="宋体" w:hAnsi="Calibri" w:eastAsia="宋体" w:cs="Times New Roman"/>
                <w:b w:val="0"/>
                <w:bCs w:val="0"/>
                <w:i w:val="0"/>
                <w:iCs w:val="0"/>
                <w:color w:val="auto"/>
                <w:kern w:val="0"/>
                <w:szCs w:val="21"/>
              </w:rPr>
              <w:t>.</w:t>
            </w:r>
          </w:p>
          <w:p w14:paraId="43A5CA96">
            <w:pPr>
              <w:adjustRightInd w:val="0"/>
              <w:snapToGrid w:val="0"/>
              <w:spacing w:line="276" w:lineRule="auto"/>
              <w:jc w:val="center"/>
              <w:rPr>
                <w:rFonts w:ascii="宋体" w:hAnsi="Calibri" w:eastAsia="宋体" w:cs="Times New Roman"/>
                <w:b w:val="0"/>
                <w:bCs w:val="0"/>
                <w:i w:val="0"/>
                <w:iCs w:val="0"/>
                <w:color w:val="auto"/>
                <w:kern w:val="0"/>
                <w:szCs w:val="21"/>
              </w:rPr>
            </w:pPr>
            <w:r>
              <w:rPr>
                <w:rFonts w:hint="eastAsia" w:ascii="宋体" w:hAnsi="宋体" w:eastAsia="宋体" w:cs="Times New Roman"/>
                <w:b w:val="0"/>
                <w:bCs w:val="0"/>
                <w:i w:val="0"/>
                <w:iCs w:val="0"/>
                <w:color w:val="auto"/>
                <w:kern w:val="0"/>
                <w:szCs w:val="21"/>
              </w:rPr>
              <w:t>师德规范</w:t>
            </w:r>
          </w:p>
        </w:tc>
        <w:tc>
          <w:tcPr>
            <w:tcW w:w="4535" w:type="dxa"/>
            <w:vAlign w:val="center"/>
          </w:tcPr>
          <w:p w14:paraId="4A59A433">
            <w:pPr>
              <w:adjustRightInd w:val="0"/>
              <w:snapToGrid w:val="0"/>
              <w:spacing w:line="276" w:lineRule="auto"/>
              <w:jc w:val="left"/>
              <w:rPr>
                <w:rFonts w:hint="eastAsia" w:ascii="宋体" w:hAnsi="Calibri" w:eastAsia="宋体" w:cs="Times New Roman"/>
                <w:b w:val="0"/>
                <w:bCs w:val="0"/>
                <w:i w:val="0"/>
                <w:iCs w:val="0"/>
                <w:color w:val="auto"/>
                <w:kern w:val="0"/>
                <w:sz w:val="18"/>
                <w:szCs w:val="18"/>
                <w:lang w:eastAsia="zh-CN"/>
              </w:rPr>
            </w:pPr>
            <w:r>
              <w:rPr>
                <w:rFonts w:hint="eastAsia" w:ascii="宋体" w:hAnsi="宋体" w:eastAsia="宋体" w:cs="宋体"/>
                <w:b w:val="0"/>
                <w:bCs w:val="0"/>
                <w:i w:val="0"/>
                <w:iCs w:val="0"/>
                <w:color w:val="auto"/>
                <w:kern w:val="0"/>
                <w:sz w:val="20"/>
                <w:szCs w:val="20"/>
                <w:lang w:eastAsia="zh-CN"/>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教育实践中能履行应尽义务，自觉维护学生和自身的合法权益。</w:t>
            </w:r>
          </w:p>
        </w:tc>
        <w:tc>
          <w:tcPr>
            <w:tcW w:w="1134" w:type="dxa"/>
            <w:vAlign w:val="center"/>
          </w:tcPr>
          <w:p w14:paraId="550CE514">
            <w:pPr>
              <w:adjustRightInd w:val="0"/>
              <w:snapToGrid w:val="0"/>
              <w:spacing w:line="276" w:lineRule="auto"/>
              <w:jc w:val="center"/>
              <w:rPr>
                <w:rFonts w:hint="eastAsia" w:ascii="宋体" w:hAnsi="宋体" w:eastAsia="宋体" w:cs="宋体"/>
                <w:bCs/>
                <w:color w:val="auto"/>
                <w:szCs w:val="21"/>
              </w:rPr>
            </w:pPr>
            <w:r>
              <w:rPr>
                <w:rFonts w:hint="eastAsia" w:ascii="宋体" w:hAnsi="宋体" w:eastAsia="宋体" w:cs="宋体"/>
                <w:bCs/>
                <w:color w:val="auto"/>
                <w:szCs w:val="21"/>
              </w:rPr>
              <w:t>课程目标</w:t>
            </w:r>
          </w:p>
          <w:p w14:paraId="018AB9E1">
            <w:pPr>
              <w:adjustRightInd w:val="0"/>
              <w:snapToGrid w:val="0"/>
              <w:spacing w:line="276" w:lineRule="auto"/>
              <w:jc w:val="center"/>
              <w:rPr>
                <w:rFonts w:hint="eastAsia" w:ascii="宋体" w:hAnsi="宋体" w:eastAsia="宋体" w:cs="宋体"/>
                <w:b w:val="0"/>
                <w:bCs w:val="0"/>
                <w:i w:val="0"/>
                <w:iCs w:val="0"/>
                <w:color w:val="auto"/>
                <w:kern w:val="0"/>
                <w:sz w:val="20"/>
                <w:szCs w:val="20"/>
                <w:lang w:eastAsia="zh-CN"/>
              </w:rPr>
            </w:pPr>
            <w:r>
              <w:rPr>
                <w:rFonts w:ascii="宋体" w:hAnsi="宋体" w:eastAsia="宋体" w:cs="宋体"/>
                <w:bCs/>
                <w:color w:val="auto"/>
                <w:szCs w:val="21"/>
              </w:rPr>
              <w:t>1</w:t>
            </w:r>
            <w:r>
              <w:rPr>
                <w:rFonts w:hint="eastAsia" w:ascii="宋体" w:hAnsi="宋体" w:eastAsia="宋体" w:cs="宋体"/>
                <w:bCs/>
                <w:color w:val="auto"/>
                <w:szCs w:val="21"/>
                <w:lang w:eastAsia="zh"/>
              </w:rPr>
              <w:t>，5</w:t>
            </w:r>
          </w:p>
        </w:tc>
      </w:tr>
      <w:tr w14:paraId="11D1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05" w:type="dxa"/>
            <w:vMerge w:val="restart"/>
            <w:vAlign w:val="center"/>
          </w:tcPr>
          <w:p w14:paraId="3868CFA4">
            <w:pPr>
              <w:adjustRightInd w:val="0"/>
              <w:snapToGrid w:val="0"/>
              <w:spacing w:line="276" w:lineRule="auto"/>
              <w:jc w:val="center"/>
              <w:rPr>
                <w:rFonts w:ascii="宋体" w:hAnsi="宋体" w:eastAsia="宋体" w:cs="Times New Roman"/>
                <w:b w:val="0"/>
                <w:bCs w:val="0"/>
                <w:i w:val="0"/>
                <w:iCs w:val="0"/>
                <w:color w:val="auto"/>
                <w:kern w:val="0"/>
                <w:szCs w:val="21"/>
              </w:rPr>
            </w:pPr>
            <w:r>
              <w:rPr>
                <w:rFonts w:hint="eastAsia" w:ascii="宋体" w:hAnsi="宋体" w:eastAsia="宋体" w:cs="Times New Roman"/>
                <w:b w:val="0"/>
                <w:bCs w:val="0"/>
                <w:i w:val="0"/>
                <w:iCs w:val="0"/>
                <w:color w:val="auto"/>
                <w:kern w:val="0"/>
                <w:szCs w:val="21"/>
              </w:rPr>
              <w:t>毕业要求2</w:t>
            </w:r>
            <w:r>
              <w:rPr>
                <w:rFonts w:ascii="宋体" w:hAnsi="宋体" w:eastAsia="宋体" w:cs="Times New Roman"/>
                <w:b w:val="0"/>
                <w:bCs w:val="0"/>
                <w:i w:val="0"/>
                <w:iCs w:val="0"/>
                <w:color w:val="auto"/>
                <w:kern w:val="0"/>
                <w:szCs w:val="21"/>
              </w:rPr>
              <w:t>.</w:t>
            </w:r>
          </w:p>
          <w:p w14:paraId="064B6245">
            <w:pPr>
              <w:adjustRightInd w:val="0"/>
              <w:snapToGrid w:val="0"/>
              <w:spacing w:line="276" w:lineRule="auto"/>
              <w:jc w:val="center"/>
              <w:rPr>
                <w:rFonts w:ascii="宋体" w:hAnsi="Calibri" w:eastAsia="宋体" w:cs="Times New Roman"/>
                <w:b w:val="0"/>
                <w:bCs w:val="0"/>
                <w:i w:val="0"/>
                <w:iCs w:val="0"/>
                <w:color w:val="auto"/>
                <w:spacing w:val="2"/>
                <w:kern w:val="0"/>
                <w:szCs w:val="21"/>
              </w:rPr>
            </w:pPr>
            <w:r>
              <w:rPr>
                <w:rFonts w:hint="eastAsia" w:ascii="宋体" w:hAnsi="宋体" w:eastAsia="宋体" w:cs="Times New Roman"/>
                <w:b w:val="0"/>
                <w:bCs w:val="0"/>
                <w:i w:val="0"/>
                <w:iCs w:val="0"/>
                <w:color w:val="auto"/>
                <w:kern w:val="0"/>
                <w:szCs w:val="21"/>
              </w:rPr>
              <w:t>教育情怀</w:t>
            </w:r>
          </w:p>
        </w:tc>
        <w:tc>
          <w:tcPr>
            <w:tcW w:w="4535" w:type="dxa"/>
            <w:vAlign w:val="center"/>
          </w:tcPr>
          <w:p w14:paraId="1505A5AB">
            <w:pPr>
              <w:adjustRightInd w:val="0"/>
              <w:snapToGrid w:val="0"/>
              <w:spacing w:line="276" w:lineRule="auto"/>
              <w:jc w:val="left"/>
              <w:rPr>
                <w:rFonts w:hint="eastAsia" w:ascii="宋体" w:hAnsi="Calibri" w:eastAsia="宋体" w:cs="Times New Roman"/>
                <w:b w:val="0"/>
                <w:bCs w:val="0"/>
                <w:i w:val="0"/>
                <w:iCs w:val="0"/>
                <w:color w:val="auto"/>
                <w:kern w:val="0"/>
                <w:sz w:val="18"/>
                <w:szCs w:val="18"/>
                <w:lang w:eastAsia="zh-CN"/>
              </w:rPr>
            </w:pPr>
            <w:r>
              <w:rPr>
                <w:rFonts w:hint="eastAsia" w:ascii="宋体" w:hAnsi="宋体" w:eastAsia="宋体" w:cs="宋体"/>
                <w:b w:val="0"/>
                <w:bCs w:val="0"/>
                <w:i w:val="0"/>
                <w:iCs w:val="0"/>
                <w:color w:val="auto"/>
                <w:kern w:val="0"/>
                <w:sz w:val="20"/>
                <w:szCs w:val="20"/>
                <w:lang w:eastAsia="zh-CN"/>
              </w:rPr>
              <w:t>指标点2-1：【职业认同感强】具有家国情怀，热爱教育事业，秉持“坚忍诚勇，立己达人”的师范精神，践行教育家精神，乐于从教，热爱教育事业，具有较高的教师职业认同感，认同教师职业的意义、价值与专业性。</w:t>
            </w:r>
          </w:p>
        </w:tc>
        <w:tc>
          <w:tcPr>
            <w:tcW w:w="1134" w:type="dxa"/>
            <w:vAlign w:val="center"/>
          </w:tcPr>
          <w:p w14:paraId="6B4E98DC">
            <w:pPr>
              <w:adjustRightInd w:val="0"/>
              <w:snapToGrid w:val="0"/>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课程目标</w:t>
            </w:r>
          </w:p>
          <w:p w14:paraId="06EBA9ED">
            <w:pPr>
              <w:adjustRightInd w:val="0"/>
              <w:snapToGrid w:val="0"/>
              <w:spacing w:line="276" w:lineRule="auto"/>
              <w:jc w:val="center"/>
              <w:rPr>
                <w:rFonts w:hint="eastAsia" w:ascii="宋体" w:hAnsi="宋体" w:eastAsia="宋体" w:cs="宋体"/>
                <w:b w:val="0"/>
                <w:bCs w:val="0"/>
                <w:i w:val="0"/>
                <w:iCs w:val="0"/>
                <w:color w:val="auto"/>
                <w:kern w:val="0"/>
                <w:sz w:val="20"/>
                <w:szCs w:val="20"/>
                <w:lang w:eastAsia="zh-CN"/>
              </w:rPr>
            </w:pPr>
            <w:r>
              <w:rPr>
                <w:rFonts w:ascii="宋体" w:hAnsi="宋体" w:eastAsia="宋体" w:cs="宋体"/>
                <w:color w:val="auto"/>
                <w:szCs w:val="21"/>
              </w:rPr>
              <w:t>2</w:t>
            </w:r>
            <w:r>
              <w:rPr>
                <w:rFonts w:hint="eastAsia" w:ascii="宋体" w:hAnsi="宋体" w:eastAsia="宋体" w:cs="宋体"/>
                <w:color w:val="auto"/>
                <w:szCs w:val="21"/>
                <w:lang w:eastAsia="zh"/>
              </w:rPr>
              <w:t>，3，4</w:t>
            </w:r>
          </w:p>
        </w:tc>
      </w:tr>
      <w:tr w14:paraId="11EC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305" w:type="dxa"/>
            <w:vMerge w:val="continue"/>
            <w:vAlign w:val="center"/>
          </w:tcPr>
          <w:p w14:paraId="7BDFBD5A">
            <w:pPr>
              <w:adjustRightInd w:val="0"/>
              <w:snapToGrid w:val="0"/>
              <w:spacing w:line="276" w:lineRule="auto"/>
              <w:rPr>
                <w:rFonts w:ascii="宋体" w:hAnsi="Calibri" w:eastAsia="宋体" w:cs="Times New Roman"/>
                <w:b w:val="0"/>
                <w:bCs w:val="0"/>
                <w:i w:val="0"/>
                <w:iCs w:val="0"/>
                <w:color w:val="auto"/>
                <w:spacing w:val="2"/>
                <w:kern w:val="0"/>
                <w:szCs w:val="21"/>
              </w:rPr>
            </w:pPr>
          </w:p>
        </w:tc>
        <w:tc>
          <w:tcPr>
            <w:tcW w:w="4535" w:type="dxa"/>
            <w:vAlign w:val="center"/>
          </w:tcPr>
          <w:p w14:paraId="51702FCA">
            <w:pPr>
              <w:adjustRightInd w:val="0"/>
              <w:snapToGrid w:val="0"/>
              <w:spacing w:line="276" w:lineRule="auto"/>
              <w:jc w:val="left"/>
              <w:rPr>
                <w:rFonts w:hint="eastAsia" w:ascii="宋体" w:hAnsi="宋体" w:cs="宋体"/>
                <w:b w:val="0"/>
                <w:bCs w:val="0"/>
                <w:i w:val="0"/>
                <w:iCs w:val="0"/>
                <w:color w:val="auto"/>
                <w:sz w:val="20"/>
                <w:szCs w:val="20"/>
              </w:rPr>
            </w:pPr>
            <w:r>
              <w:rPr>
                <w:rFonts w:hint="eastAsia" w:ascii="宋体" w:hAnsi="宋体" w:cs="宋体"/>
                <w:b w:val="0"/>
                <w:bCs w:val="0"/>
                <w:i w:val="0"/>
                <w:iCs w:val="0"/>
                <w:color w:val="auto"/>
                <w:kern w:val="0"/>
                <w:sz w:val="20"/>
                <w:szCs w:val="20"/>
              </w:rPr>
              <w:t>指标点</w:t>
            </w:r>
            <w:r>
              <w:rPr>
                <w:rFonts w:hint="eastAsia" w:ascii="宋体" w:hAnsi="宋体" w:cs="宋体"/>
                <w:b w:val="0"/>
                <w:bCs w:val="0"/>
                <w:i w:val="0"/>
                <w:iCs w:val="0"/>
                <w:color w:val="auto"/>
                <w:sz w:val="20"/>
                <w:szCs w:val="20"/>
              </w:rPr>
              <w:t>2-3：【自身修养良好】具有较好的人文</w:t>
            </w:r>
            <w:r>
              <w:rPr>
                <w:rFonts w:hint="eastAsia" w:cs="宋体"/>
                <w:b w:val="0"/>
                <w:bCs w:val="0"/>
                <w:i w:val="0"/>
                <w:iCs w:val="0"/>
                <w:color w:val="auto"/>
                <w:sz w:val="20"/>
                <w:szCs w:val="20"/>
              </w:rPr>
              <w:t>艺术</w:t>
            </w:r>
            <w:r>
              <w:rPr>
                <w:rFonts w:hint="eastAsia" w:ascii="宋体" w:hAnsi="宋体" w:cs="宋体"/>
                <w:b w:val="0"/>
                <w:bCs w:val="0"/>
                <w:i w:val="0"/>
                <w:iCs w:val="0"/>
                <w:color w:val="auto"/>
                <w:sz w:val="20"/>
                <w:szCs w:val="20"/>
              </w:rPr>
              <w:t>底蕴与科学精神，言行举止符合教师职业标准，情感积极，人格健全，身心健康。</w:t>
            </w:r>
          </w:p>
        </w:tc>
        <w:tc>
          <w:tcPr>
            <w:tcW w:w="1134" w:type="dxa"/>
            <w:vAlign w:val="center"/>
          </w:tcPr>
          <w:p w14:paraId="24E030C6">
            <w:pPr>
              <w:adjustRightInd w:val="0"/>
              <w:snapToGrid w:val="0"/>
              <w:spacing w:line="276" w:lineRule="auto"/>
              <w:jc w:val="center"/>
              <w:rPr>
                <w:rFonts w:hint="eastAsia" w:ascii="宋体" w:hAnsi="宋体" w:cs="宋体"/>
                <w:b w:val="0"/>
                <w:bCs w:val="0"/>
                <w:i w:val="0"/>
                <w:iCs w:val="0"/>
                <w:color w:val="auto"/>
                <w:kern w:val="0"/>
                <w:sz w:val="20"/>
                <w:szCs w:val="20"/>
              </w:rPr>
            </w:pPr>
            <w:r>
              <w:rPr>
                <w:rFonts w:hint="eastAsia" w:ascii="宋体" w:hAnsi="宋体" w:eastAsia="宋体" w:cs="宋体"/>
                <w:color w:val="auto"/>
                <w:szCs w:val="21"/>
              </w:rPr>
              <w:t>课程目标</w:t>
            </w:r>
            <w:r>
              <w:rPr>
                <w:rFonts w:ascii="宋体" w:hAnsi="宋体" w:eastAsia="宋体" w:cs="宋体"/>
                <w:color w:val="auto"/>
                <w:szCs w:val="21"/>
              </w:rPr>
              <w:t>3</w:t>
            </w:r>
          </w:p>
        </w:tc>
      </w:tr>
    </w:tbl>
    <w:p w14:paraId="48970A89">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360" w:lineRule="auto"/>
        <w:textAlignment w:val="auto"/>
        <w:rPr>
          <w:rFonts w:hint="eastAsia" w:ascii="宋体" w:hAnsi="宋体" w:eastAsia="宋体" w:cs="Times New Roman"/>
          <w:b/>
          <w:color w:val="auto"/>
          <w:sz w:val="24"/>
          <w:szCs w:val="22"/>
        </w:rPr>
      </w:pPr>
      <w:r>
        <w:rPr>
          <w:rFonts w:hint="eastAsia" w:ascii="宋体" w:hAnsi="宋体" w:eastAsia="宋体" w:cs="Times New Roman"/>
          <w:b/>
          <w:color w:val="auto"/>
          <w:sz w:val="24"/>
          <w:szCs w:val="22"/>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957"/>
        <w:gridCol w:w="1150"/>
        <w:gridCol w:w="2988"/>
        <w:gridCol w:w="1560"/>
        <w:gridCol w:w="438"/>
      </w:tblGrid>
      <w:tr w14:paraId="04AF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C0926DE">
            <w:pPr>
              <w:jc w:val="center"/>
              <w:rPr>
                <w:rFonts w:hint="eastAsia" w:ascii="宋体" w:hAnsi="宋体" w:eastAsia="宋体" w:cs="Times New Roman"/>
                <w:b/>
                <w:szCs w:val="21"/>
              </w:rPr>
            </w:pPr>
            <w:r>
              <w:rPr>
                <w:rFonts w:hint="eastAsia" w:ascii="宋体" w:hAnsi="宋体" w:eastAsia="宋体" w:cs="Times New Roman"/>
                <w:b/>
                <w:szCs w:val="21"/>
              </w:rPr>
              <w:t>知识</w:t>
            </w:r>
          </w:p>
          <w:p w14:paraId="3624FC39">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957" w:type="dxa"/>
            <w:vAlign w:val="center"/>
          </w:tcPr>
          <w:p w14:paraId="43ECEE00">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50" w:type="dxa"/>
            <w:vAlign w:val="center"/>
          </w:tcPr>
          <w:p w14:paraId="737340ED">
            <w:pPr>
              <w:jc w:val="center"/>
              <w:rPr>
                <w:rFonts w:hint="eastAsia" w:ascii="宋体" w:hAnsi="宋体" w:eastAsia="宋体" w:cs="Times New Roman"/>
                <w:b/>
                <w:szCs w:val="21"/>
              </w:rPr>
            </w:pPr>
            <w:r>
              <w:rPr>
                <w:rFonts w:hint="eastAsia" w:ascii="宋体" w:hAnsi="宋体" w:eastAsia="宋体" w:cs="Times New Roman"/>
                <w:b/>
                <w:szCs w:val="21"/>
              </w:rPr>
              <w:t>对应</w:t>
            </w:r>
          </w:p>
          <w:p w14:paraId="278EB684">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988" w:type="dxa"/>
            <w:vAlign w:val="center"/>
          </w:tcPr>
          <w:p w14:paraId="28FCA784">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7FB34A51">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1C36FDB0">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7E50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B29DCBE">
            <w:pPr>
              <w:jc w:val="center"/>
              <w:rPr>
                <w:rFonts w:hint="eastAsia" w:ascii="宋体" w:hAnsi="宋体" w:eastAsia="宋体" w:cs="Times New Roman"/>
                <w:szCs w:val="21"/>
              </w:rPr>
            </w:pPr>
            <w:r>
              <w:rPr>
                <w:rFonts w:hint="eastAsia" w:ascii="宋体" w:hAnsi="宋体" w:eastAsia="宋体" w:cs="Times New Roman"/>
                <w:szCs w:val="21"/>
              </w:rPr>
              <w:t>1.教育政策概论</w:t>
            </w:r>
          </w:p>
        </w:tc>
        <w:tc>
          <w:tcPr>
            <w:tcW w:w="1957" w:type="dxa"/>
            <w:vAlign w:val="center"/>
          </w:tcPr>
          <w:p w14:paraId="20065425">
            <w:pPr>
              <w:jc w:val="left"/>
              <w:rPr>
                <w:rFonts w:hint="eastAsia" w:ascii="宋体" w:hAnsi="宋体" w:eastAsia="宋体" w:cs="Times New Roman"/>
                <w:szCs w:val="21"/>
              </w:rPr>
            </w:pPr>
            <w:r>
              <w:rPr>
                <w:rFonts w:hint="eastAsia" w:ascii="宋体" w:hAnsi="宋体" w:eastAsia="宋体" w:cs="Times New Roman"/>
                <w:szCs w:val="21"/>
              </w:rPr>
              <w:t>（1）教育政策的本质和特点、功能</w:t>
            </w:r>
          </w:p>
          <w:p w14:paraId="2DD6D13B">
            <w:pPr>
              <w:jc w:val="left"/>
              <w:rPr>
                <w:rFonts w:hint="eastAsia" w:ascii="宋体" w:hAnsi="宋体" w:eastAsia="宋体" w:cs="Times New Roman"/>
                <w:szCs w:val="21"/>
              </w:rPr>
            </w:pPr>
            <w:r>
              <w:rPr>
                <w:rFonts w:hint="eastAsia" w:ascii="宋体" w:hAnsi="宋体" w:eastAsia="宋体" w:cs="Times New Roman"/>
                <w:szCs w:val="21"/>
              </w:rPr>
              <w:t>（2）教育政策的价值取向</w:t>
            </w:r>
          </w:p>
          <w:p w14:paraId="25258A58">
            <w:pPr>
              <w:jc w:val="left"/>
              <w:rPr>
                <w:rFonts w:hint="eastAsia" w:ascii="宋体" w:hAnsi="宋体" w:eastAsia="宋体" w:cs="Times New Roman"/>
                <w:szCs w:val="21"/>
              </w:rPr>
            </w:pPr>
            <w:r>
              <w:rPr>
                <w:rFonts w:hint="eastAsia" w:ascii="宋体" w:hAnsi="宋体" w:eastAsia="宋体" w:cs="Times New Roman"/>
                <w:szCs w:val="21"/>
              </w:rPr>
              <w:t>（3）教育政策过程</w:t>
            </w:r>
          </w:p>
        </w:tc>
        <w:tc>
          <w:tcPr>
            <w:tcW w:w="1150" w:type="dxa"/>
            <w:vAlign w:val="center"/>
          </w:tcPr>
          <w:p w14:paraId="2C391781">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988" w:type="dxa"/>
            <w:vAlign w:val="center"/>
          </w:tcPr>
          <w:p w14:paraId="254778EC">
            <w:pPr>
              <w:jc w:val="left"/>
              <w:rPr>
                <w:rFonts w:hint="eastAsia" w:ascii="宋体" w:hAnsi="宋体" w:eastAsia="宋体" w:cs="Times New Roman"/>
                <w:szCs w:val="21"/>
              </w:rPr>
            </w:pPr>
            <w:r>
              <w:rPr>
                <w:rFonts w:hint="eastAsia" w:ascii="宋体" w:hAnsi="宋体" w:eastAsia="宋体" w:cs="Times New Roman"/>
                <w:szCs w:val="21"/>
              </w:rPr>
              <w:t>（1）了解教育政策的基本内涵</w:t>
            </w:r>
          </w:p>
          <w:p w14:paraId="41F6AD08">
            <w:pPr>
              <w:jc w:val="left"/>
              <w:rPr>
                <w:rFonts w:hint="eastAsia" w:ascii="宋体" w:hAnsi="宋体" w:eastAsia="宋体" w:cs="Times New Roman"/>
                <w:szCs w:val="21"/>
              </w:rPr>
            </w:pPr>
            <w:r>
              <w:rPr>
                <w:rFonts w:hint="eastAsia" w:ascii="宋体" w:hAnsi="宋体" w:eastAsia="宋体" w:cs="Times New Roman"/>
                <w:szCs w:val="21"/>
              </w:rPr>
              <w:t>（2）理解教育政策的价值取向</w:t>
            </w:r>
          </w:p>
          <w:p w14:paraId="2F58E7B2">
            <w:pPr>
              <w:jc w:val="left"/>
              <w:rPr>
                <w:rFonts w:hint="eastAsia" w:ascii="宋体" w:hAnsi="宋体" w:eastAsia="宋体" w:cs="Times New Roman"/>
                <w:szCs w:val="21"/>
              </w:rPr>
            </w:pPr>
            <w:r>
              <w:rPr>
                <w:rFonts w:hint="eastAsia" w:ascii="宋体" w:hAnsi="宋体" w:eastAsia="宋体" w:cs="Times New Roman"/>
                <w:szCs w:val="21"/>
              </w:rPr>
              <w:t>（3）掌握教育政策的过程</w:t>
            </w:r>
          </w:p>
        </w:tc>
        <w:tc>
          <w:tcPr>
            <w:tcW w:w="1560" w:type="dxa"/>
            <w:vAlign w:val="center"/>
          </w:tcPr>
          <w:p w14:paraId="00BD5EB3">
            <w:pPr>
              <w:jc w:val="left"/>
              <w:rPr>
                <w:rFonts w:hint="eastAsia" w:ascii="宋体" w:hAnsi="宋体" w:eastAsia="宋体" w:cs="Times New Roman"/>
                <w:szCs w:val="21"/>
              </w:rPr>
            </w:pPr>
            <w:r>
              <w:rPr>
                <w:rFonts w:hint="eastAsia" w:ascii="宋体" w:hAnsi="宋体" w:eastAsia="宋体" w:cs="Times New Roman"/>
                <w:szCs w:val="21"/>
              </w:rPr>
              <w:t>1.线上学习</w:t>
            </w:r>
          </w:p>
          <w:p w14:paraId="7BE6B3FE">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5C94159A">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380DA3C4">
            <w:pPr>
              <w:jc w:val="center"/>
              <w:rPr>
                <w:rFonts w:hint="eastAsia" w:ascii="宋体" w:hAnsi="宋体" w:eastAsia="宋体" w:cs="Times New Roman"/>
                <w:szCs w:val="21"/>
              </w:rPr>
            </w:pPr>
            <w:r>
              <w:rPr>
                <w:rFonts w:hint="eastAsia" w:ascii="宋体" w:hAnsi="宋体" w:eastAsia="宋体" w:cs="Times New Roman"/>
                <w:szCs w:val="21"/>
              </w:rPr>
              <w:t>2</w:t>
            </w:r>
          </w:p>
        </w:tc>
      </w:tr>
      <w:tr w14:paraId="2D67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CDEDF13">
            <w:pPr>
              <w:jc w:val="center"/>
              <w:rPr>
                <w:rFonts w:hint="eastAsia" w:ascii="宋体" w:hAnsi="宋体" w:eastAsia="宋体" w:cs="Times New Roman"/>
                <w:szCs w:val="21"/>
              </w:rPr>
            </w:pPr>
          </w:p>
        </w:tc>
        <w:tc>
          <w:tcPr>
            <w:tcW w:w="8093" w:type="dxa"/>
            <w:gridSpan w:val="5"/>
            <w:vAlign w:val="center"/>
          </w:tcPr>
          <w:p w14:paraId="3D20C660">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通过理解教育政策的公共性，让学生结合国家最近出台的一系列教育政策思考我国目前现实中所遇到的教育危机和面临的挑战，从而能在宏观的层面上增强“四个自信”。</w:t>
            </w:r>
          </w:p>
        </w:tc>
      </w:tr>
      <w:tr w14:paraId="0AEA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A8538A6">
            <w:pPr>
              <w:jc w:val="center"/>
              <w:rPr>
                <w:rFonts w:hint="eastAsia" w:ascii="宋体" w:hAnsi="宋体" w:eastAsia="宋体" w:cs="Times New Roman"/>
                <w:szCs w:val="21"/>
              </w:rPr>
            </w:pPr>
            <w:r>
              <w:rPr>
                <w:rFonts w:hint="eastAsia" w:ascii="宋体" w:hAnsi="宋体" w:eastAsia="宋体" w:cs="Times New Roman"/>
                <w:szCs w:val="21"/>
              </w:rPr>
              <w:t>2.教育法规与小学教育法制建设</w:t>
            </w:r>
          </w:p>
        </w:tc>
        <w:tc>
          <w:tcPr>
            <w:tcW w:w="1957" w:type="dxa"/>
            <w:vAlign w:val="center"/>
          </w:tcPr>
          <w:p w14:paraId="13DB2F38">
            <w:pPr>
              <w:jc w:val="left"/>
              <w:rPr>
                <w:rFonts w:hint="eastAsia" w:ascii="宋体" w:hAnsi="宋体" w:eastAsia="宋体" w:cs="Times New Roman"/>
                <w:szCs w:val="21"/>
              </w:rPr>
            </w:pPr>
            <w:r>
              <w:rPr>
                <w:rFonts w:hint="eastAsia" w:ascii="宋体" w:hAnsi="宋体" w:eastAsia="宋体" w:cs="Times New Roman"/>
                <w:szCs w:val="21"/>
              </w:rPr>
              <w:t>（1）教育法规概述</w:t>
            </w:r>
          </w:p>
          <w:p w14:paraId="5AAF34EF">
            <w:pPr>
              <w:jc w:val="left"/>
              <w:rPr>
                <w:rFonts w:hint="eastAsia" w:ascii="宋体" w:hAnsi="宋体" w:eastAsia="宋体" w:cs="Times New Roman"/>
                <w:szCs w:val="21"/>
              </w:rPr>
            </w:pPr>
            <w:r>
              <w:rPr>
                <w:rFonts w:hint="eastAsia" w:ascii="宋体" w:hAnsi="宋体" w:eastAsia="宋体" w:cs="Times New Roman"/>
                <w:szCs w:val="21"/>
              </w:rPr>
              <w:t>（2）教育法律关系和教育法律责任</w:t>
            </w:r>
          </w:p>
          <w:p w14:paraId="0E8E9A81">
            <w:pPr>
              <w:jc w:val="left"/>
              <w:rPr>
                <w:rFonts w:hint="eastAsia" w:ascii="宋体" w:hAnsi="宋体" w:eastAsia="宋体" w:cs="Times New Roman"/>
                <w:szCs w:val="21"/>
              </w:rPr>
            </w:pPr>
            <w:r>
              <w:rPr>
                <w:rFonts w:hint="eastAsia" w:ascii="宋体" w:hAnsi="宋体" w:eastAsia="宋体" w:cs="Times New Roman"/>
                <w:szCs w:val="21"/>
              </w:rPr>
              <w:t>（3）小学教育立法、实施和监督</w:t>
            </w:r>
          </w:p>
        </w:tc>
        <w:tc>
          <w:tcPr>
            <w:tcW w:w="1150" w:type="dxa"/>
            <w:vAlign w:val="center"/>
          </w:tcPr>
          <w:p w14:paraId="0FCA0D00">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2988" w:type="dxa"/>
            <w:vAlign w:val="center"/>
          </w:tcPr>
          <w:p w14:paraId="55616D13">
            <w:pPr>
              <w:jc w:val="left"/>
              <w:rPr>
                <w:rFonts w:hint="eastAsia" w:ascii="宋体" w:hAnsi="宋体" w:eastAsia="宋体" w:cs="Times New Roman"/>
                <w:szCs w:val="21"/>
              </w:rPr>
            </w:pPr>
            <w:r>
              <w:rPr>
                <w:rFonts w:hint="eastAsia" w:ascii="宋体" w:hAnsi="宋体" w:eastAsia="宋体" w:cs="Times New Roman"/>
                <w:szCs w:val="21"/>
              </w:rPr>
              <w:t>（1）了解教育法规</w:t>
            </w:r>
          </w:p>
          <w:p w14:paraId="15A254F6">
            <w:pPr>
              <w:jc w:val="left"/>
              <w:rPr>
                <w:rFonts w:hint="eastAsia" w:ascii="宋体" w:hAnsi="宋体" w:eastAsia="宋体" w:cs="Times New Roman"/>
                <w:szCs w:val="21"/>
              </w:rPr>
            </w:pPr>
            <w:r>
              <w:rPr>
                <w:rFonts w:hint="eastAsia" w:ascii="宋体" w:hAnsi="宋体" w:eastAsia="宋体" w:cs="Times New Roman"/>
                <w:szCs w:val="21"/>
              </w:rPr>
              <w:t>（2）理解教育法律关系和教育法律责任</w:t>
            </w:r>
          </w:p>
          <w:p w14:paraId="0FA219CB">
            <w:pPr>
              <w:jc w:val="left"/>
              <w:rPr>
                <w:rFonts w:hint="eastAsia" w:ascii="宋体" w:hAnsi="宋体" w:eastAsia="宋体" w:cs="Times New Roman"/>
                <w:szCs w:val="21"/>
              </w:rPr>
            </w:pPr>
            <w:r>
              <w:rPr>
                <w:rFonts w:hint="eastAsia" w:ascii="宋体" w:hAnsi="宋体" w:eastAsia="宋体" w:cs="Times New Roman"/>
                <w:szCs w:val="21"/>
              </w:rPr>
              <w:t>（3）掌握小学教育法规实施和监督</w:t>
            </w:r>
          </w:p>
        </w:tc>
        <w:tc>
          <w:tcPr>
            <w:tcW w:w="1560" w:type="dxa"/>
            <w:vAlign w:val="center"/>
          </w:tcPr>
          <w:p w14:paraId="58C42B9B">
            <w:pPr>
              <w:jc w:val="left"/>
              <w:rPr>
                <w:rFonts w:hint="eastAsia" w:ascii="宋体" w:hAnsi="宋体" w:eastAsia="宋体" w:cs="Times New Roman"/>
                <w:szCs w:val="21"/>
              </w:rPr>
            </w:pPr>
            <w:r>
              <w:rPr>
                <w:rFonts w:hint="eastAsia" w:ascii="宋体" w:hAnsi="宋体" w:eastAsia="宋体" w:cs="Times New Roman"/>
                <w:szCs w:val="21"/>
              </w:rPr>
              <w:t>1.线上学习</w:t>
            </w:r>
          </w:p>
          <w:p w14:paraId="78C9AF40">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6C551133">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1681C18C">
            <w:pPr>
              <w:jc w:val="center"/>
              <w:rPr>
                <w:rFonts w:hint="eastAsia" w:ascii="宋体" w:hAnsi="宋体" w:eastAsia="宋体" w:cs="Times New Roman"/>
                <w:szCs w:val="21"/>
              </w:rPr>
            </w:pPr>
            <w:r>
              <w:rPr>
                <w:rFonts w:hint="eastAsia" w:ascii="宋体" w:hAnsi="宋体" w:eastAsia="宋体" w:cs="Times New Roman"/>
                <w:szCs w:val="21"/>
              </w:rPr>
              <w:t>4</w:t>
            </w:r>
          </w:p>
        </w:tc>
      </w:tr>
      <w:tr w14:paraId="4429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FB7CF2F">
            <w:pPr>
              <w:jc w:val="center"/>
              <w:rPr>
                <w:rFonts w:hint="eastAsia" w:ascii="宋体" w:hAnsi="宋体" w:eastAsia="宋体" w:cs="Times New Roman"/>
                <w:szCs w:val="21"/>
              </w:rPr>
            </w:pPr>
          </w:p>
        </w:tc>
        <w:tc>
          <w:tcPr>
            <w:tcW w:w="8093" w:type="dxa"/>
            <w:gridSpan w:val="5"/>
            <w:vAlign w:val="center"/>
          </w:tcPr>
          <w:p w14:paraId="79942A58">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通过本章内容学习，使学生深刻理解我国依法治国和依法治教的意义，以及当前我国建设法治国家所面临的严峻形势，更加自觉的做到敬畏法律、遵守法律，在今后的工作中积极宣扬法治精神，维护法律尊严。</w:t>
            </w:r>
          </w:p>
        </w:tc>
      </w:tr>
      <w:tr w14:paraId="024E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205B6A7">
            <w:pPr>
              <w:jc w:val="center"/>
              <w:rPr>
                <w:rFonts w:hint="eastAsia" w:ascii="宋体" w:hAnsi="宋体" w:eastAsia="宋体" w:cs="Times New Roman"/>
                <w:szCs w:val="21"/>
              </w:rPr>
            </w:pPr>
            <w:r>
              <w:rPr>
                <w:rFonts w:hint="eastAsia" w:ascii="宋体" w:hAnsi="宋体" w:eastAsia="宋体" w:cs="Times New Roman"/>
                <w:szCs w:val="21"/>
              </w:rPr>
              <w:t>3.政府、家庭和社会的职责和责任</w:t>
            </w:r>
          </w:p>
        </w:tc>
        <w:tc>
          <w:tcPr>
            <w:tcW w:w="1957" w:type="dxa"/>
            <w:vAlign w:val="center"/>
          </w:tcPr>
          <w:p w14:paraId="303CDED0">
            <w:pPr>
              <w:jc w:val="left"/>
              <w:rPr>
                <w:rFonts w:hint="eastAsia" w:ascii="宋体" w:hAnsi="宋体" w:eastAsia="宋体" w:cs="Times New Roman"/>
                <w:szCs w:val="21"/>
              </w:rPr>
            </w:pPr>
            <w:r>
              <w:rPr>
                <w:rFonts w:hint="eastAsia" w:ascii="宋体" w:hAnsi="宋体" w:eastAsia="宋体" w:cs="Times New Roman"/>
                <w:szCs w:val="21"/>
              </w:rPr>
              <w:t>（1）政府的法律责任</w:t>
            </w:r>
          </w:p>
          <w:p w14:paraId="2A3CA99B">
            <w:pPr>
              <w:jc w:val="left"/>
              <w:rPr>
                <w:rFonts w:hint="eastAsia" w:ascii="宋体" w:hAnsi="宋体" w:eastAsia="宋体" w:cs="Times New Roman"/>
                <w:szCs w:val="21"/>
              </w:rPr>
            </w:pPr>
            <w:r>
              <w:rPr>
                <w:rFonts w:hint="eastAsia" w:ascii="宋体" w:hAnsi="宋体" w:eastAsia="宋体" w:cs="Times New Roman"/>
                <w:szCs w:val="21"/>
              </w:rPr>
              <w:t>（2）家庭的教育义务和责任</w:t>
            </w:r>
          </w:p>
          <w:p w14:paraId="74437A32">
            <w:pPr>
              <w:jc w:val="left"/>
              <w:rPr>
                <w:rFonts w:hint="eastAsia" w:ascii="宋体" w:hAnsi="宋体" w:eastAsia="宋体" w:cs="Times New Roman"/>
                <w:szCs w:val="21"/>
              </w:rPr>
            </w:pPr>
            <w:r>
              <w:rPr>
                <w:rFonts w:hint="eastAsia" w:ascii="宋体" w:hAnsi="宋体" w:eastAsia="宋体" w:cs="Times New Roman"/>
                <w:szCs w:val="21"/>
              </w:rPr>
              <w:t>（3）社会的教育义务和责任</w:t>
            </w:r>
          </w:p>
        </w:tc>
        <w:tc>
          <w:tcPr>
            <w:tcW w:w="1150" w:type="dxa"/>
            <w:vAlign w:val="center"/>
          </w:tcPr>
          <w:p w14:paraId="5BB3B6AA">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988" w:type="dxa"/>
            <w:vAlign w:val="center"/>
          </w:tcPr>
          <w:p w14:paraId="1873842F">
            <w:pPr>
              <w:jc w:val="left"/>
              <w:rPr>
                <w:rFonts w:hint="eastAsia" w:ascii="宋体" w:hAnsi="宋体" w:eastAsia="宋体" w:cs="Times New Roman"/>
                <w:szCs w:val="21"/>
              </w:rPr>
            </w:pPr>
            <w:r>
              <w:rPr>
                <w:rFonts w:hint="eastAsia" w:ascii="宋体" w:hAnsi="宋体" w:eastAsia="宋体" w:cs="Times New Roman"/>
                <w:szCs w:val="21"/>
              </w:rPr>
              <w:t>（1）了解政府的职责</w:t>
            </w:r>
          </w:p>
          <w:p w14:paraId="22A2AC2F">
            <w:pPr>
              <w:jc w:val="left"/>
              <w:rPr>
                <w:rFonts w:hint="eastAsia" w:ascii="宋体" w:hAnsi="宋体" w:eastAsia="宋体" w:cs="Times New Roman"/>
                <w:szCs w:val="21"/>
              </w:rPr>
            </w:pPr>
            <w:r>
              <w:rPr>
                <w:rFonts w:hint="eastAsia" w:ascii="宋体" w:hAnsi="宋体" w:eastAsia="宋体" w:cs="Times New Roman"/>
                <w:szCs w:val="21"/>
              </w:rPr>
              <w:t>（2）区分政府、家庭和社会的教育义务</w:t>
            </w:r>
          </w:p>
          <w:p w14:paraId="55B447E3">
            <w:pPr>
              <w:jc w:val="left"/>
              <w:rPr>
                <w:rFonts w:hint="eastAsia" w:ascii="宋体" w:hAnsi="宋体" w:eastAsia="宋体" w:cs="Times New Roman"/>
                <w:szCs w:val="21"/>
              </w:rPr>
            </w:pPr>
            <w:r>
              <w:rPr>
                <w:rFonts w:hint="eastAsia" w:ascii="宋体" w:hAnsi="宋体" w:eastAsia="宋体" w:cs="Times New Roman"/>
                <w:szCs w:val="21"/>
              </w:rPr>
              <w:t>（3）理解政府、家庭和社会的教育责任</w:t>
            </w:r>
          </w:p>
        </w:tc>
        <w:tc>
          <w:tcPr>
            <w:tcW w:w="1560" w:type="dxa"/>
            <w:vAlign w:val="center"/>
          </w:tcPr>
          <w:p w14:paraId="0036ADE1">
            <w:pPr>
              <w:jc w:val="left"/>
              <w:rPr>
                <w:rFonts w:hint="eastAsia" w:ascii="宋体" w:hAnsi="宋体" w:eastAsia="宋体" w:cs="Times New Roman"/>
                <w:szCs w:val="21"/>
              </w:rPr>
            </w:pPr>
            <w:r>
              <w:rPr>
                <w:rFonts w:ascii="宋体" w:hAnsi="宋体" w:eastAsia="宋体" w:cs="Times New Roman"/>
                <w:szCs w:val="21"/>
              </w:rPr>
              <w:t>1.线上学习</w:t>
            </w:r>
          </w:p>
          <w:p w14:paraId="4CB93F1E">
            <w:pPr>
              <w:jc w:val="left"/>
              <w:rPr>
                <w:rFonts w:hint="eastAsia" w:ascii="宋体" w:hAnsi="宋体" w:eastAsia="宋体" w:cs="Times New Roman"/>
                <w:szCs w:val="21"/>
              </w:rPr>
            </w:pPr>
            <w:r>
              <w:rPr>
                <w:rFonts w:ascii="宋体" w:hAnsi="宋体" w:eastAsia="宋体" w:cs="Times New Roman"/>
                <w:szCs w:val="21"/>
              </w:rPr>
              <w:t>2.多媒体教学3.课堂讨论</w:t>
            </w:r>
          </w:p>
          <w:p w14:paraId="79B74C72">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07FCA4E2">
            <w:pPr>
              <w:jc w:val="center"/>
              <w:rPr>
                <w:rFonts w:hint="eastAsia" w:ascii="宋体" w:hAnsi="宋体" w:eastAsia="宋体" w:cs="Times New Roman"/>
                <w:szCs w:val="21"/>
              </w:rPr>
            </w:pPr>
            <w:r>
              <w:rPr>
                <w:rFonts w:hint="eastAsia" w:ascii="宋体" w:hAnsi="宋体" w:eastAsia="宋体" w:cs="Times New Roman"/>
                <w:szCs w:val="21"/>
              </w:rPr>
              <w:t>3</w:t>
            </w:r>
          </w:p>
        </w:tc>
      </w:tr>
      <w:tr w14:paraId="4055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A803664">
            <w:pPr>
              <w:jc w:val="center"/>
              <w:rPr>
                <w:rFonts w:hint="eastAsia" w:ascii="宋体" w:hAnsi="宋体" w:eastAsia="宋体" w:cs="Times New Roman"/>
                <w:szCs w:val="21"/>
              </w:rPr>
            </w:pPr>
          </w:p>
        </w:tc>
        <w:tc>
          <w:tcPr>
            <w:tcW w:w="8093" w:type="dxa"/>
            <w:gridSpan w:val="5"/>
            <w:vAlign w:val="center"/>
          </w:tcPr>
          <w:p w14:paraId="73B34B1B">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通过本章内容学习，使学生理解我国社会主义制度和社会结构的特殊优越性，增强爱国主义情怀和集体主义意识，明确作为一个公民的社会责任和公共道德。</w:t>
            </w:r>
          </w:p>
        </w:tc>
      </w:tr>
      <w:tr w14:paraId="5B76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24AF1EA">
            <w:pPr>
              <w:jc w:val="center"/>
              <w:rPr>
                <w:rFonts w:hint="eastAsia" w:ascii="宋体" w:hAnsi="宋体" w:eastAsia="宋体" w:cs="Times New Roman"/>
                <w:szCs w:val="21"/>
              </w:rPr>
            </w:pPr>
            <w:r>
              <w:rPr>
                <w:rFonts w:hint="eastAsia" w:ascii="宋体" w:hAnsi="宋体" w:eastAsia="宋体" w:cs="Times New Roman"/>
                <w:szCs w:val="21"/>
              </w:rPr>
              <w:t>4.小学教育政策体系</w:t>
            </w:r>
          </w:p>
        </w:tc>
        <w:tc>
          <w:tcPr>
            <w:tcW w:w="1957" w:type="dxa"/>
            <w:vAlign w:val="center"/>
          </w:tcPr>
          <w:p w14:paraId="302F6471">
            <w:pPr>
              <w:jc w:val="left"/>
              <w:rPr>
                <w:rFonts w:hint="eastAsia" w:ascii="宋体" w:hAnsi="宋体" w:eastAsia="宋体" w:cs="Times New Roman"/>
                <w:szCs w:val="21"/>
              </w:rPr>
            </w:pPr>
            <w:r>
              <w:rPr>
                <w:rFonts w:hint="eastAsia" w:ascii="宋体" w:hAnsi="宋体" w:eastAsia="宋体" w:cs="Times New Roman"/>
                <w:szCs w:val="21"/>
              </w:rPr>
              <w:t>（1）教育政策体系内涵</w:t>
            </w:r>
          </w:p>
          <w:p w14:paraId="252D1300">
            <w:pPr>
              <w:jc w:val="left"/>
              <w:rPr>
                <w:rFonts w:hint="eastAsia" w:ascii="宋体" w:hAnsi="宋体" w:eastAsia="宋体" w:cs="Times New Roman"/>
                <w:szCs w:val="21"/>
              </w:rPr>
            </w:pPr>
            <w:r>
              <w:rPr>
                <w:rFonts w:hint="eastAsia" w:ascii="宋体" w:hAnsi="宋体" w:eastAsia="宋体" w:cs="Times New Roman"/>
                <w:szCs w:val="21"/>
              </w:rPr>
              <w:t>（2）小学教育政策体系的结构</w:t>
            </w:r>
          </w:p>
          <w:p w14:paraId="4D3EB992">
            <w:pPr>
              <w:jc w:val="left"/>
              <w:rPr>
                <w:rFonts w:hint="eastAsia" w:ascii="宋体" w:hAnsi="宋体" w:eastAsia="宋体" w:cs="Times New Roman"/>
                <w:szCs w:val="21"/>
              </w:rPr>
            </w:pPr>
            <w:r>
              <w:rPr>
                <w:rFonts w:hint="eastAsia" w:ascii="宋体" w:hAnsi="宋体" w:eastAsia="宋体" w:cs="Times New Roman"/>
                <w:szCs w:val="21"/>
              </w:rPr>
              <w:t>（3）我国小学教育政策体系的形成和发展</w:t>
            </w:r>
          </w:p>
        </w:tc>
        <w:tc>
          <w:tcPr>
            <w:tcW w:w="1150" w:type="dxa"/>
            <w:vAlign w:val="center"/>
          </w:tcPr>
          <w:p w14:paraId="7A61F652">
            <w:pPr>
              <w:jc w:val="center"/>
              <w:rPr>
                <w:rFonts w:hint="eastAsia" w:ascii="宋体" w:hAnsi="宋体" w:eastAsia="宋体" w:cs="Times New Roman"/>
                <w:szCs w:val="21"/>
              </w:rPr>
            </w:pPr>
            <w:r>
              <w:rPr>
                <w:rFonts w:hint="eastAsia" w:ascii="宋体" w:hAnsi="宋体" w:eastAsia="宋体" w:cs="Times New Roman"/>
                <w:szCs w:val="21"/>
              </w:rPr>
              <w:t>课程目标1、3</w:t>
            </w:r>
          </w:p>
        </w:tc>
        <w:tc>
          <w:tcPr>
            <w:tcW w:w="2988" w:type="dxa"/>
            <w:vAlign w:val="center"/>
          </w:tcPr>
          <w:p w14:paraId="1B33914A">
            <w:pPr>
              <w:jc w:val="left"/>
              <w:rPr>
                <w:rFonts w:hint="eastAsia" w:ascii="宋体" w:hAnsi="宋体" w:eastAsia="宋体" w:cs="Times New Roman"/>
                <w:szCs w:val="21"/>
              </w:rPr>
            </w:pPr>
            <w:r>
              <w:rPr>
                <w:rFonts w:hint="eastAsia" w:ascii="宋体" w:hAnsi="宋体" w:eastAsia="宋体" w:cs="Times New Roman"/>
                <w:szCs w:val="21"/>
              </w:rPr>
              <w:t>（1）了解教育政策体系的基本内涵</w:t>
            </w:r>
          </w:p>
          <w:p w14:paraId="24599422">
            <w:pPr>
              <w:jc w:val="left"/>
              <w:rPr>
                <w:rFonts w:hint="eastAsia" w:ascii="宋体" w:hAnsi="宋体" w:eastAsia="宋体" w:cs="Times New Roman"/>
                <w:szCs w:val="21"/>
              </w:rPr>
            </w:pPr>
            <w:r>
              <w:rPr>
                <w:rFonts w:hint="eastAsia" w:ascii="宋体" w:hAnsi="宋体" w:eastAsia="宋体" w:cs="Times New Roman"/>
                <w:szCs w:val="21"/>
              </w:rPr>
              <w:t>（2）理解小学教育政策体系的结构特征</w:t>
            </w:r>
          </w:p>
          <w:p w14:paraId="1B94A46F">
            <w:pPr>
              <w:jc w:val="left"/>
              <w:rPr>
                <w:rFonts w:hint="eastAsia" w:ascii="宋体" w:hAnsi="宋体" w:eastAsia="宋体" w:cs="Times New Roman"/>
                <w:szCs w:val="21"/>
              </w:rPr>
            </w:pPr>
            <w:r>
              <w:rPr>
                <w:rFonts w:hint="eastAsia" w:ascii="宋体" w:hAnsi="宋体" w:eastAsia="宋体" w:cs="Times New Roman"/>
                <w:szCs w:val="21"/>
              </w:rPr>
              <w:t>（3）掌握我国小学教育政策体系的发展</w:t>
            </w:r>
          </w:p>
        </w:tc>
        <w:tc>
          <w:tcPr>
            <w:tcW w:w="1560" w:type="dxa"/>
            <w:vAlign w:val="center"/>
          </w:tcPr>
          <w:p w14:paraId="30750620">
            <w:pPr>
              <w:jc w:val="left"/>
              <w:rPr>
                <w:rFonts w:hint="eastAsia" w:ascii="宋体" w:hAnsi="宋体" w:eastAsia="宋体" w:cs="Times New Roman"/>
                <w:szCs w:val="21"/>
              </w:rPr>
            </w:pPr>
            <w:r>
              <w:rPr>
                <w:rFonts w:ascii="宋体" w:hAnsi="宋体" w:eastAsia="宋体" w:cs="Times New Roman"/>
                <w:szCs w:val="21"/>
              </w:rPr>
              <w:t>1.线上学习</w:t>
            </w:r>
          </w:p>
          <w:p w14:paraId="1478BE43">
            <w:pPr>
              <w:jc w:val="left"/>
              <w:rPr>
                <w:rFonts w:hint="eastAsia" w:ascii="宋体" w:hAnsi="宋体" w:eastAsia="宋体" w:cs="Times New Roman"/>
                <w:szCs w:val="21"/>
              </w:rPr>
            </w:pPr>
            <w:r>
              <w:rPr>
                <w:rFonts w:ascii="宋体" w:hAnsi="宋体" w:eastAsia="宋体" w:cs="Times New Roman"/>
                <w:szCs w:val="21"/>
              </w:rPr>
              <w:t>2.多媒体教学3.课堂讨论</w:t>
            </w:r>
          </w:p>
          <w:p w14:paraId="7727D280">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4DC36140">
            <w:pPr>
              <w:jc w:val="center"/>
              <w:rPr>
                <w:rFonts w:hint="eastAsia" w:ascii="宋体" w:hAnsi="宋体" w:eastAsia="宋体" w:cs="Times New Roman"/>
                <w:szCs w:val="21"/>
              </w:rPr>
            </w:pPr>
            <w:r>
              <w:rPr>
                <w:rFonts w:hint="eastAsia" w:ascii="宋体" w:hAnsi="宋体" w:eastAsia="宋体" w:cs="Times New Roman"/>
                <w:szCs w:val="21"/>
              </w:rPr>
              <w:t>3</w:t>
            </w:r>
          </w:p>
        </w:tc>
      </w:tr>
      <w:tr w14:paraId="7EEB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2A57E2A">
            <w:pPr>
              <w:jc w:val="center"/>
              <w:rPr>
                <w:rFonts w:hint="eastAsia" w:ascii="宋体" w:hAnsi="宋体" w:eastAsia="宋体" w:cs="Times New Roman"/>
                <w:szCs w:val="21"/>
              </w:rPr>
            </w:pPr>
          </w:p>
        </w:tc>
        <w:tc>
          <w:tcPr>
            <w:tcW w:w="8093" w:type="dxa"/>
            <w:gridSpan w:val="5"/>
            <w:vAlign w:val="center"/>
          </w:tcPr>
          <w:p w14:paraId="51E5FB6E">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通过本章内容学习，使学生在理解教育政策体系重要性和存在问题的基础上，坚定小学教师职业使命感，树立正确的人生价值观。</w:t>
            </w:r>
          </w:p>
        </w:tc>
      </w:tr>
      <w:tr w14:paraId="669A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E8BA48A">
            <w:pPr>
              <w:jc w:val="center"/>
              <w:rPr>
                <w:rFonts w:hint="eastAsia" w:ascii="宋体" w:hAnsi="宋体" w:eastAsia="宋体" w:cs="Times New Roman"/>
                <w:szCs w:val="21"/>
              </w:rPr>
            </w:pPr>
            <w:r>
              <w:rPr>
                <w:rFonts w:hint="eastAsia" w:ascii="宋体" w:hAnsi="宋体" w:eastAsia="宋体" w:cs="Times New Roman"/>
                <w:szCs w:val="21"/>
              </w:rPr>
              <w:t>5.</w:t>
            </w:r>
            <w:r>
              <w:rPr>
                <w:rFonts w:hint="eastAsia" w:ascii="宋体" w:hAnsi="宋体" w:eastAsia="宋体" w:cs="Times New Roman"/>
                <w:bCs/>
                <w:szCs w:val="21"/>
              </w:rPr>
              <w:t>小学的权利和责任</w:t>
            </w:r>
          </w:p>
        </w:tc>
        <w:tc>
          <w:tcPr>
            <w:tcW w:w="1957" w:type="dxa"/>
            <w:vAlign w:val="center"/>
          </w:tcPr>
          <w:p w14:paraId="3E34112F">
            <w:pPr>
              <w:jc w:val="left"/>
              <w:rPr>
                <w:rFonts w:hint="eastAsia" w:ascii="宋体" w:hAnsi="宋体" w:eastAsia="宋体" w:cs="Times New Roman"/>
                <w:szCs w:val="21"/>
              </w:rPr>
            </w:pPr>
            <w:r>
              <w:rPr>
                <w:rFonts w:hint="eastAsia" w:ascii="宋体" w:hAnsi="宋体" w:eastAsia="宋体" w:cs="Times New Roman"/>
                <w:szCs w:val="21"/>
              </w:rPr>
              <w:t>（1）小学的法律地位</w:t>
            </w:r>
          </w:p>
          <w:p w14:paraId="6E8403C0">
            <w:pPr>
              <w:jc w:val="left"/>
              <w:rPr>
                <w:rFonts w:hint="eastAsia" w:ascii="宋体" w:hAnsi="宋体" w:eastAsia="宋体" w:cs="Times New Roman"/>
                <w:szCs w:val="21"/>
              </w:rPr>
            </w:pPr>
            <w:r>
              <w:rPr>
                <w:rFonts w:hint="eastAsia" w:ascii="宋体" w:hAnsi="宋体" w:eastAsia="宋体" w:cs="Times New Roman"/>
                <w:szCs w:val="21"/>
              </w:rPr>
              <w:t>（2）小学的权利义务和责任</w:t>
            </w:r>
          </w:p>
          <w:p w14:paraId="5990C81F">
            <w:pPr>
              <w:jc w:val="left"/>
              <w:rPr>
                <w:rFonts w:hint="eastAsia" w:ascii="宋体" w:hAnsi="宋体" w:eastAsia="宋体" w:cs="Times New Roman"/>
                <w:szCs w:val="21"/>
              </w:rPr>
            </w:pPr>
            <w:r>
              <w:rPr>
                <w:rFonts w:hint="eastAsia" w:ascii="宋体" w:hAnsi="宋体" w:eastAsia="宋体" w:cs="Times New Roman"/>
                <w:szCs w:val="21"/>
              </w:rPr>
              <w:t>（3）学校事故及侵权责任</w:t>
            </w:r>
          </w:p>
        </w:tc>
        <w:tc>
          <w:tcPr>
            <w:tcW w:w="1150" w:type="dxa"/>
            <w:vAlign w:val="center"/>
          </w:tcPr>
          <w:p w14:paraId="225A3258">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988" w:type="dxa"/>
            <w:vAlign w:val="center"/>
          </w:tcPr>
          <w:p w14:paraId="794A0EB7">
            <w:pPr>
              <w:jc w:val="left"/>
              <w:rPr>
                <w:rFonts w:hint="eastAsia" w:ascii="宋体" w:hAnsi="宋体" w:eastAsia="宋体" w:cs="Times New Roman"/>
                <w:szCs w:val="21"/>
              </w:rPr>
            </w:pPr>
            <w:r>
              <w:rPr>
                <w:rFonts w:hint="eastAsia" w:ascii="宋体" w:hAnsi="宋体" w:eastAsia="宋体" w:cs="Times New Roman"/>
                <w:szCs w:val="21"/>
              </w:rPr>
              <w:t>（1）了解小学的法律地位</w:t>
            </w:r>
          </w:p>
          <w:p w14:paraId="29237DE4">
            <w:pPr>
              <w:jc w:val="left"/>
              <w:rPr>
                <w:rFonts w:hint="eastAsia" w:ascii="宋体" w:hAnsi="宋体" w:eastAsia="宋体" w:cs="Times New Roman"/>
                <w:szCs w:val="21"/>
              </w:rPr>
            </w:pPr>
            <w:r>
              <w:rPr>
                <w:rFonts w:hint="eastAsia" w:ascii="宋体" w:hAnsi="宋体" w:eastAsia="宋体" w:cs="Times New Roman"/>
                <w:szCs w:val="21"/>
              </w:rPr>
              <w:t>（2）理解小学的权利义务和责任</w:t>
            </w:r>
          </w:p>
          <w:p w14:paraId="51A14D99">
            <w:pPr>
              <w:jc w:val="left"/>
              <w:rPr>
                <w:rFonts w:hint="eastAsia" w:ascii="宋体" w:hAnsi="宋体" w:eastAsia="宋体" w:cs="Times New Roman"/>
                <w:szCs w:val="21"/>
              </w:rPr>
            </w:pPr>
            <w:r>
              <w:rPr>
                <w:rFonts w:hint="eastAsia" w:ascii="宋体" w:hAnsi="宋体" w:eastAsia="宋体" w:cs="Times New Roman"/>
                <w:szCs w:val="21"/>
              </w:rPr>
              <w:t>（3）掌握学校事故及侵权责任</w:t>
            </w:r>
          </w:p>
        </w:tc>
        <w:tc>
          <w:tcPr>
            <w:tcW w:w="1560" w:type="dxa"/>
            <w:vAlign w:val="center"/>
          </w:tcPr>
          <w:p w14:paraId="342AC225">
            <w:pPr>
              <w:jc w:val="left"/>
              <w:rPr>
                <w:rFonts w:hint="eastAsia" w:ascii="宋体" w:hAnsi="宋体" w:eastAsia="宋体" w:cs="Times New Roman"/>
                <w:szCs w:val="21"/>
              </w:rPr>
            </w:pPr>
            <w:r>
              <w:rPr>
                <w:rFonts w:ascii="宋体" w:hAnsi="宋体" w:eastAsia="宋体" w:cs="Times New Roman"/>
                <w:szCs w:val="21"/>
              </w:rPr>
              <w:t>1.线上学习</w:t>
            </w:r>
          </w:p>
          <w:p w14:paraId="6766DDEE">
            <w:pPr>
              <w:jc w:val="left"/>
              <w:rPr>
                <w:rFonts w:hint="eastAsia" w:ascii="宋体" w:hAnsi="宋体" w:eastAsia="宋体" w:cs="Times New Roman"/>
                <w:szCs w:val="21"/>
              </w:rPr>
            </w:pPr>
            <w:r>
              <w:rPr>
                <w:rFonts w:ascii="宋体" w:hAnsi="宋体" w:eastAsia="宋体" w:cs="Times New Roman"/>
                <w:szCs w:val="21"/>
              </w:rPr>
              <w:t>2.多媒体教学3.课堂讨论</w:t>
            </w:r>
          </w:p>
          <w:p w14:paraId="705CE127">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36369260">
            <w:pPr>
              <w:jc w:val="center"/>
              <w:rPr>
                <w:rFonts w:hint="eastAsia" w:ascii="宋体" w:hAnsi="宋体" w:eastAsia="宋体" w:cs="Times New Roman"/>
                <w:szCs w:val="21"/>
              </w:rPr>
            </w:pPr>
            <w:r>
              <w:rPr>
                <w:rFonts w:hint="eastAsia" w:ascii="宋体" w:hAnsi="宋体" w:eastAsia="宋体" w:cs="Times New Roman"/>
                <w:szCs w:val="21"/>
              </w:rPr>
              <w:t>4</w:t>
            </w:r>
          </w:p>
        </w:tc>
      </w:tr>
      <w:tr w14:paraId="1688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4DA4BB5">
            <w:pPr>
              <w:jc w:val="center"/>
              <w:rPr>
                <w:rFonts w:hint="eastAsia" w:ascii="宋体" w:hAnsi="宋体" w:eastAsia="宋体" w:cs="Times New Roman"/>
                <w:szCs w:val="21"/>
              </w:rPr>
            </w:pPr>
          </w:p>
        </w:tc>
        <w:tc>
          <w:tcPr>
            <w:tcW w:w="8093" w:type="dxa"/>
            <w:gridSpan w:val="5"/>
            <w:vAlign w:val="center"/>
          </w:tcPr>
          <w:p w14:paraId="0597403D">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通过本章内容学习，使学生理解未来作为一个学校管理者和决策者所承担的法律责任，从而做到谨慎决策、科学决策，并不断提高创新管理的水平。</w:t>
            </w:r>
          </w:p>
        </w:tc>
      </w:tr>
      <w:tr w14:paraId="5715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FCE6510">
            <w:pPr>
              <w:jc w:val="center"/>
              <w:rPr>
                <w:rFonts w:hint="eastAsia" w:ascii="宋体" w:hAnsi="宋体" w:eastAsia="宋体" w:cs="Times New Roman"/>
                <w:szCs w:val="21"/>
              </w:rPr>
            </w:pPr>
            <w:r>
              <w:rPr>
                <w:rFonts w:hint="eastAsia" w:ascii="宋体" w:hAnsi="宋体" w:eastAsia="宋体" w:cs="Times New Roman"/>
                <w:szCs w:val="21"/>
              </w:rPr>
              <w:t>6.小学教师的权益及保护</w:t>
            </w:r>
          </w:p>
        </w:tc>
        <w:tc>
          <w:tcPr>
            <w:tcW w:w="1957" w:type="dxa"/>
            <w:vAlign w:val="center"/>
          </w:tcPr>
          <w:p w14:paraId="2C080B41">
            <w:pPr>
              <w:jc w:val="left"/>
              <w:rPr>
                <w:rFonts w:hint="eastAsia" w:ascii="宋体" w:hAnsi="宋体" w:eastAsia="宋体" w:cs="Times New Roman"/>
                <w:szCs w:val="21"/>
              </w:rPr>
            </w:pPr>
            <w:r>
              <w:rPr>
                <w:rFonts w:hint="eastAsia" w:ascii="宋体" w:hAnsi="宋体" w:eastAsia="宋体" w:cs="Times New Roman"/>
                <w:szCs w:val="21"/>
              </w:rPr>
              <w:t>（1）小学教师的法律地位</w:t>
            </w:r>
          </w:p>
          <w:p w14:paraId="4BA47A94">
            <w:pPr>
              <w:jc w:val="left"/>
              <w:rPr>
                <w:rFonts w:hint="eastAsia" w:ascii="宋体" w:hAnsi="宋体" w:eastAsia="宋体" w:cs="Times New Roman"/>
                <w:szCs w:val="21"/>
              </w:rPr>
            </w:pPr>
            <w:r>
              <w:rPr>
                <w:rFonts w:hint="eastAsia" w:ascii="宋体" w:hAnsi="宋体" w:eastAsia="宋体" w:cs="Times New Roman"/>
                <w:szCs w:val="21"/>
              </w:rPr>
              <w:t>（2）小学教师的权利与义务</w:t>
            </w:r>
          </w:p>
          <w:p w14:paraId="7FFF61EB">
            <w:pPr>
              <w:jc w:val="left"/>
              <w:rPr>
                <w:rFonts w:hint="eastAsia" w:ascii="宋体" w:hAnsi="宋体" w:eastAsia="宋体" w:cs="Times New Roman"/>
                <w:szCs w:val="21"/>
              </w:rPr>
            </w:pPr>
            <w:r>
              <w:rPr>
                <w:rFonts w:hint="eastAsia" w:ascii="宋体" w:hAnsi="宋体" w:eastAsia="宋体" w:cs="Times New Roman"/>
                <w:szCs w:val="21"/>
              </w:rPr>
              <w:t>（3）教师的惩戒与权利救济</w:t>
            </w:r>
          </w:p>
          <w:p w14:paraId="035C72A1">
            <w:pPr>
              <w:jc w:val="left"/>
              <w:rPr>
                <w:rFonts w:hint="eastAsia" w:ascii="宋体" w:hAnsi="宋体" w:eastAsia="宋体" w:cs="Times New Roman"/>
                <w:szCs w:val="21"/>
              </w:rPr>
            </w:pPr>
            <w:r>
              <w:rPr>
                <w:rFonts w:hint="eastAsia" w:ascii="宋体" w:hAnsi="宋体" w:eastAsia="宋体" w:cs="Times New Roman"/>
                <w:szCs w:val="21"/>
              </w:rPr>
              <w:t>（4）教师职业制度</w:t>
            </w:r>
          </w:p>
        </w:tc>
        <w:tc>
          <w:tcPr>
            <w:tcW w:w="1150" w:type="dxa"/>
            <w:vAlign w:val="center"/>
          </w:tcPr>
          <w:p w14:paraId="0CA64084">
            <w:pPr>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2988" w:type="dxa"/>
            <w:vAlign w:val="center"/>
          </w:tcPr>
          <w:p w14:paraId="6105BA01">
            <w:pPr>
              <w:jc w:val="left"/>
              <w:rPr>
                <w:rFonts w:hint="eastAsia" w:ascii="宋体" w:hAnsi="宋体" w:eastAsia="宋体" w:cs="Times New Roman"/>
                <w:szCs w:val="21"/>
              </w:rPr>
            </w:pPr>
            <w:r>
              <w:rPr>
                <w:rFonts w:hint="eastAsia" w:ascii="宋体" w:hAnsi="宋体" w:eastAsia="宋体" w:cs="Times New Roman"/>
                <w:szCs w:val="21"/>
              </w:rPr>
              <w:t>（1）了解小学教师的法律地位</w:t>
            </w:r>
          </w:p>
          <w:p w14:paraId="33BD9F17">
            <w:pPr>
              <w:jc w:val="left"/>
              <w:rPr>
                <w:rFonts w:hint="eastAsia" w:ascii="宋体" w:hAnsi="宋体" w:eastAsia="宋体" w:cs="Times New Roman"/>
                <w:szCs w:val="21"/>
              </w:rPr>
            </w:pPr>
            <w:r>
              <w:rPr>
                <w:rFonts w:hint="eastAsia" w:ascii="宋体" w:hAnsi="宋体" w:eastAsia="宋体" w:cs="Times New Roman"/>
                <w:szCs w:val="21"/>
              </w:rPr>
              <w:t>（2）理解教师的惩戒和权利救济</w:t>
            </w:r>
          </w:p>
          <w:p w14:paraId="0C8D1052">
            <w:pPr>
              <w:jc w:val="left"/>
              <w:rPr>
                <w:rFonts w:hint="eastAsia" w:ascii="宋体" w:hAnsi="宋体" w:eastAsia="宋体" w:cs="Times New Roman"/>
                <w:szCs w:val="21"/>
              </w:rPr>
            </w:pPr>
            <w:r>
              <w:rPr>
                <w:rFonts w:hint="eastAsia" w:ascii="宋体" w:hAnsi="宋体" w:eastAsia="宋体" w:cs="Times New Roman"/>
                <w:szCs w:val="21"/>
              </w:rPr>
              <w:t>（3）掌握小学教师的权利与义务</w:t>
            </w:r>
          </w:p>
        </w:tc>
        <w:tc>
          <w:tcPr>
            <w:tcW w:w="1560" w:type="dxa"/>
            <w:vAlign w:val="center"/>
          </w:tcPr>
          <w:p w14:paraId="1AB7E0E6">
            <w:pPr>
              <w:jc w:val="left"/>
              <w:rPr>
                <w:rFonts w:hint="eastAsia" w:ascii="宋体" w:hAnsi="宋体" w:eastAsia="宋体" w:cs="Times New Roman"/>
                <w:szCs w:val="21"/>
              </w:rPr>
            </w:pPr>
            <w:r>
              <w:rPr>
                <w:rFonts w:ascii="宋体" w:hAnsi="宋体" w:eastAsia="宋体" w:cs="Times New Roman"/>
                <w:szCs w:val="21"/>
              </w:rPr>
              <w:t>1.线上学习</w:t>
            </w:r>
          </w:p>
          <w:p w14:paraId="1B3B997F">
            <w:pPr>
              <w:jc w:val="left"/>
              <w:rPr>
                <w:rFonts w:hint="eastAsia" w:ascii="宋体" w:hAnsi="宋体" w:eastAsia="宋体" w:cs="Times New Roman"/>
                <w:szCs w:val="21"/>
              </w:rPr>
            </w:pPr>
            <w:r>
              <w:rPr>
                <w:rFonts w:ascii="宋体" w:hAnsi="宋体" w:eastAsia="宋体" w:cs="Times New Roman"/>
                <w:szCs w:val="21"/>
              </w:rPr>
              <w:t>2.多媒体教学3.课堂讨论</w:t>
            </w:r>
          </w:p>
          <w:p w14:paraId="587C4A9E">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3347730E">
            <w:pPr>
              <w:jc w:val="center"/>
              <w:rPr>
                <w:rFonts w:hint="eastAsia" w:ascii="宋体" w:hAnsi="宋体" w:eastAsia="宋体" w:cs="Times New Roman"/>
                <w:szCs w:val="21"/>
              </w:rPr>
            </w:pPr>
            <w:r>
              <w:rPr>
                <w:rFonts w:hint="eastAsia" w:ascii="宋体" w:hAnsi="宋体" w:eastAsia="宋体" w:cs="Times New Roman"/>
                <w:szCs w:val="21"/>
              </w:rPr>
              <w:t>2</w:t>
            </w:r>
          </w:p>
        </w:tc>
      </w:tr>
      <w:tr w14:paraId="1B66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5236671">
            <w:pPr>
              <w:jc w:val="center"/>
              <w:rPr>
                <w:rFonts w:hint="eastAsia" w:ascii="宋体" w:hAnsi="宋体" w:eastAsia="宋体" w:cs="Times New Roman"/>
                <w:szCs w:val="21"/>
              </w:rPr>
            </w:pPr>
          </w:p>
        </w:tc>
        <w:tc>
          <w:tcPr>
            <w:tcW w:w="8093" w:type="dxa"/>
            <w:gridSpan w:val="5"/>
            <w:vAlign w:val="center"/>
          </w:tcPr>
          <w:p w14:paraId="6A1DFC5A">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通过本章内容学习，使学生深刻理解习近平总书记提出的“四有好老师”所蕴含的时代意义，在今后的教师岗位上不断增强履职尽责的自觉性和为国育人的崇高精神。</w:t>
            </w:r>
          </w:p>
        </w:tc>
      </w:tr>
      <w:tr w14:paraId="51FD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88E4B17">
            <w:pPr>
              <w:jc w:val="center"/>
              <w:rPr>
                <w:rFonts w:hint="eastAsia" w:ascii="宋体" w:hAnsi="宋体" w:eastAsia="宋体" w:cs="Times New Roman"/>
                <w:szCs w:val="21"/>
              </w:rPr>
            </w:pPr>
            <w:r>
              <w:rPr>
                <w:rFonts w:hint="eastAsia" w:ascii="宋体" w:hAnsi="宋体" w:eastAsia="宋体" w:cs="Times New Roman"/>
                <w:szCs w:val="21"/>
              </w:rPr>
              <w:t>7.小学生的权益及保护</w:t>
            </w:r>
          </w:p>
        </w:tc>
        <w:tc>
          <w:tcPr>
            <w:tcW w:w="1957" w:type="dxa"/>
            <w:vAlign w:val="center"/>
          </w:tcPr>
          <w:p w14:paraId="65E39D53">
            <w:pPr>
              <w:jc w:val="left"/>
              <w:rPr>
                <w:rFonts w:hint="eastAsia" w:ascii="宋体" w:hAnsi="宋体" w:eastAsia="宋体" w:cs="Times New Roman"/>
                <w:szCs w:val="21"/>
              </w:rPr>
            </w:pPr>
            <w:r>
              <w:rPr>
                <w:rFonts w:hint="eastAsia" w:ascii="宋体" w:hAnsi="宋体" w:eastAsia="宋体" w:cs="Times New Roman"/>
                <w:szCs w:val="21"/>
              </w:rPr>
              <w:t>（1）小学生的法律地位</w:t>
            </w:r>
          </w:p>
          <w:p w14:paraId="68176F89">
            <w:pPr>
              <w:jc w:val="left"/>
              <w:rPr>
                <w:rFonts w:hint="eastAsia" w:ascii="宋体" w:hAnsi="宋体" w:eastAsia="宋体" w:cs="Times New Roman"/>
                <w:szCs w:val="21"/>
              </w:rPr>
            </w:pPr>
            <w:r>
              <w:rPr>
                <w:rFonts w:hint="eastAsia" w:ascii="宋体" w:hAnsi="宋体" w:eastAsia="宋体" w:cs="Times New Roman"/>
                <w:szCs w:val="21"/>
              </w:rPr>
              <w:t>（2）小学生的权利与义务</w:t>
            </w:r>
          </w:p>
          <w:p w14:paraId="661EDAAC">
            <w:pPr>
              <w:jc w:val="left"/>
              <w:rPr>
                <w:rFonts w:hint="eastAsia" w:ascii="宋体" w:hAnsi="宋体" w:eastAsia="宋体" w:cs="Times New Roman"/>
                <w:szCs w:val="21"/>
              </w:rPr>
            </w:pPr>
            <w:r>
              <w:rPr>
                <w:rFonts w:hint="eastAsia" w:ascii="宋体" w:hAnsi="宋体" w:eastAsia="宋体" w:cs="Times New Roman"/>
                <w:szCs w:val="21"/>
              </w:rPr>
              <w:t>（3）学生惩戒与权利救济</w:t>
            </w:r>
          </w:p>
        </w:tc>
        <w:tc>
          <w:tcPr>
            <w:tcW w:w="1150" w:type="dxa"/>
            <w:vAlign w:val="center"/>
          </w:tcPr>
          <w:p w14:paraId="48B7D4A5">
            <w:pPr>
              <w:jc w:val="center"/>
              <w:rPr>
                <w:rFonts w:hint="eastAsia" w:ascii="宋体" w:hAnsi="宋体" w:eastAsia="宋体" w:cs="Times New Roman"/>
                <w:szCs w:val="21"/>
              </w:rPr>
            </w:pPr>
            <w:r>
              <w:rPr>
                <w:rFonts w:hint="eastAsia" w:ascii="宋体" w:hAnsi="宋体" w:eastAsia="宋体" w:cs="Times New Roman"/>
                <w:szCs w:val="21"/>
              </w:rPr>
              <w:t>课程目标5</w:t>
            </w:r>
          </w:p>
        </w:tc>
        <w:tc>
          <w:tcPr>
            <w:tcW w:w="2988" w:type="dxa"/>
            <w:vAlign w:val="center"/>
          </w:tcPr>
          <w:p w14:paraId="4F65A7D1">
            <w:pPr>
              <w:jc w:val="left"/>
              <w:rPr>
                <w:rFonts w:hint="eastAsia" w:ascii="宋体" w:hAnsi="宋体" w:eastAsia="宋体" w:cs="Times New Roman"/>
                <w:szCs w:val="21"/>
              </w:rPr>
            </w:pPr>
            <w:r>
              <w:rPr>
                <w:rFonts w:hint="eastAsia" w:ascii="宋体" w:hAnsi="宋体" w:eastAsia="宋体" w:cs="Times New Roman"/>
                <w:szCs w:val="21"/>
              </w:rPr>
              <w:t>（1）了解小学生的法律地位</w:t>
            </w:r>
          </w:p>
          <w:p w14:paraId="09E3C9A8">
            <w:pPr>
              <w:jc w:val="left"/>
              <w:rPr>
                <w:rFonts w:hint="eastAsia" w:ascii="宋体" w:hAnsi="宋体" w:eastAsia="宋体" w:cs="Times New Roman"/>
                <w:szCs w:val="21"/>
              </w:rPr>
            </w:pPr>
            <w:r>
              <w:rPr>
                <w:rFonts w:hint="eastAsia" w:ascii="宋体" w:hAnsi="宋体" w:eastAsia="宋体" w:cs="Times New Roman"/>
                <w:szCs w:val="21"/>
              </w:rPr>
              <w:t>（2）理解学生惩戒与权利救济；</w:t>
            </w:r>
          </w:p>
          <w:p w14:paraId="02BBE583">
            <w:pPr>
              <w:jc w:val="left"/>
              <w:rPr>
                <w:rFonts w:hint="eastAsia" w:ascii="宋体" w:hAnsi="宋体" w:eastAsia="宋体" w:cs="Times New Roman"/>
                <w:szCs w:val="21"/>
              </w:rPr>
            </w:pPr>
            <w:r>
              <w:rPr>
                <w:rFonts w:hint="eastAsia" w:ascii="宋体" w:hAnsi="宋体" w:eastAsia="宋体" w:cs="Times New Roman"/>
                <w:szCs w:val="21"/>
              </w:rPr>
              <w:t>（3）掌握小学生的权利与义务</w:t>
            </w:r>
            <w:r>
              <w:rPr>
                <w:rFonts w:ascii="宋体" w:hAnsi="宋体" w:eastAsia="宋体" w:cs="Times New Roman"/>
                <w:szCs w:val="21"/>
              </w:rPr>
              <w:t>度的改革和发展趋势</w:t>
            </w:r>
            <w:r>
              <w:rPr>
                <w:rFonts w:hint="eastAsia" w:ascii="宋体" w:hAnsi="宋体" w:eastAsia="宋体" w:cs="Times New Roman"/>
                <w:szCs w:val="21"/>
              </w:rPr>
              <w:t>；</w:t>
            </w:r>
          </w:p>
          <w:p w14:paraId="7D607DE5">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4）运用学校教育制度的有关知识来分析我国现行教育制度</w:t>
            </w:r>
            <w:r>
              <w:rPr>
                <w:rFonts w:hint="eastAsia" w:ascii="宋体" w:hAnsi="宋体" w:eastAsia="宋体" w:cs="Times New Roman"/>
                <w:szCs w:val="21"/>
              </w:rPr>
              <w:t>。</w:t>
            </w:r>
          </w:p>
        </w:tc>
        <w:tc>
          <w:tcPr>
            <w:tcW w:w="1560" w:type="dxa"/>
            <w:vAlign w:val="center"/>
          </w:tcPr>
          <w:p w14:paraId="79CAB9F1">
            <w:pPr>
              <w:jc w:val="left"/>
              <w:rPr>
                <w:rFonts w:hint="eastAsia" w:ascii="宋体" w:hAnsi="宋体" w:eastAsia="宋体" w:cs="Times New Roman"/>
                <w:szCs w:val="21"/>
              </w:rPr>
            </w:pPr>
            <w:r>
              <w:rPr>
                <w:rFonts w:ascii="宋体" w:hAnsi="宋体" w:eastAsia="宋体" w:cs="Times New Roman"/>
                <w:szCs w:val="21"/>
              </w:rPr>
              <w:t>1.线上学习</w:t>
            </w:r>
          </w:p>
          <w:p w14:paraId="714C5E24">
            <w:pPr>
              <w:jc w:val="left"/>
              <w:rPr>
                <w:rFonts w:hint="eastAsia" w:ascii="宋体" w:hAnsi="宋体" w:eastAsia="宋体" w:cs="Times New Roman"/>
                <w:szCs w:val="21"/>
              </w:rPr>
            </w:pPr>
            <w:r>
              <w:rPr>
                <w:rFonts w:ascii="宋体" w:hAnsi="宋体" w:eastAsia="宋体" w:cs="Times New Roman"/>
                <w:szCs w:val="21"/>
              </w:rPr>
              <w:t>2.多媒体教学3.课堂讨论</w:t>
            </w:r>
          </w:p>
          <w:p w14:paraId="19C47435">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20AAC2BD">
            <w:pPr>
              <w:jc w:val="center"/>
              <w:rPr>
                <w:rFonts w:hint="eastAsia" w:ascii="宋体" w:hAnsi="宋体" w:eastAsia="宋体" w:cs="Times New Roman"/>
                <w:szCs w:val="21"/>
              </w:rPr>
            </w:pPr>
            <w:r>
              <w:rPr>
                <w:rFonts w:hint="eastAsia" w:ascii="宋体" w:hAnsi="宋体" w:eastAsia="宋体" w:cs="Times New Roman"/>
                <w:szCs w:val="21"/>
              </w:rPr>
              <w:t>2</w:t>
            </w:r>
          </w:p>
        </w:tc>
      </w:tr>
      <w:tr w14:paraId="6D221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6A21F73">
            <w:pPr>
              <w:jc w:val="center"/>
              <w:rPr>
                <w:rFonts w:hint="eastAsia" w:ascii="宋体" w:hAnsi="宋体" w:eastAsia="宋体" w:cs="Times New Roman"/>
                <w:szCs w:val="21"/>
              </w:rPr>
            </w:pPr>
          </w:p>
        </w:tc>
        <w:tc>
          <w:tcPr>
            <w:tcW w:w="8093" w:type="dxa"/>
            <w:gridSpan w:val="5"/>
            <w:vAlign w:val="center"/>
          </w:tcPr>
          <w:p w14:paraId="149D2F09">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师范生不断增强教育立德树人的时代意义，尤其是理解小学教育是基础教育的基础这一基本观点，在加强自身品德修养中培养小学生的综合素质，履行培养担当民族复兴大任时代新人的历史使命。</w:t>
            </w:r>
          </w:p>
        </w:tc>
      </w:tr>
      <w:tr w14:paraId="7DB4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106359C">
            <w:pPr>
              <w:jc w:val="center"/>
              <w:rPr>
                <w:rFonts w:hint="eastAsia" w:ascii="宋体" w:hAnsi="宋体" w:eastAsia="宋体" w:cs="Times New Roman"/>
                <w:szCs w:val="21"/>
              </w:rPr>
            </w:pPr>
            <w:r>
              <w:rPr>
                <w:rFonts w:hint="eastAsia" w:ascii="宋体" w:hAnsi="宋体" w:eastAsia="宋体" w:cs="Times New Roman"/>
                <w:szCs w:val="21"/>
              </w:rPr>
              <w:t>8小学教育重要法律法规和政策解读</w:t>
            </w:r>
          </w:p>
        </w:tc>
        <w:tc>
          <w:tcPr>
            <w:tcW w:w="1957" w:type="dxa"/>
            <w:vAlign w:val="center"/>
          </w:tcPr>
          <w:p w14:paraId="7643864C">
            <w:pPr>
              <w:jc w:val="left"/>
              <w:rPr>
                <w:rFonts w:hint="eastAsia" w:ascii="宋体" w:hAnsi="宋体" w:eastAsia="宋体" w:cs="Times New Roman"/>
                <w:szCs w:val="21"/>
              </w:rPr>
            </w:pPr>
            <w:r>
              <w:rPr>
                <w:rFonts w:hint="eastAsia" w:ascii="宋体" w:hAnsi="宋体" w:eastAsia="宋体" w:cs="Times New Roman"/>
                <w:szCs w:val="21"/>
              </w:rPr>
              <w:t>（1）教育法与义务教育法</w:t>
            </w:r>
          </w:p>
          <w:p w14:paraId="17840FA4">
            <w:pPr>
              <w:jc w:val="left"/>
              <w:rPr>
                <w:rFonts w:hint="eastAsia" w:ascii="宋体" w:hAnsi="宋体" w:eastAsia="宋体" w:cs="Times New Roman"/>
                <w:szCs w:val="21"/>
              </w:rPr>
            </w:pPr>
            <w:r>
              <w:rPr>
                <w:rFonts w:hint="eastAsia" w:ascii="宋体" w:hAnsi="宋体" w:eastAsia="宋体" w:cs="Times New Roman"/>
                <w:szCs w:val="21"/>
              </w:rPr>
              <w:t>（2）教师法与未成年人保护法</w:t>
            </w:r>
          </w:p>
          <w:p w14:paraId="4058CE23">
            <w:pPr>
              <w:jc w:val="left"/>
              <w:rPr>
                <w:rFonts w:hint="eastAsia" w:ascii="宋体" w:hAnsi="宋体" w:eastAsia="宋体" w:cs="Times New Roman"/>
                <w:szCs w:val="21"/>
              </w:rPr>
            </w:pPr>
            <w:r>
              <w:rPr>
                <w:rFonts w:hint="eastAsia" w:ascii="宋体" w:hAnsi="宋体" w:eastAsia="宋体" w:cs="Times New Roman"/>
                <w:szCs w:val="21"/>
              </w:rPr>
              <w:t>（3）预防未成年人犯罪法</w:t>
            </w:r>
          </w:p>
          <w:p w14:paraId="29E8DA1A">
            <w:pPr>
              <w:jc w:val="left"/>
              <w:rPr>
                <w:rFonts w:hint="eastAsia" w:ascii="宋体" w:hAnsi="宋体" w:eastAsia="宋体" w:cs="Times New Roman"/>
                <w:szCs w:val="21"/>
              </w:rPr>
            </w:pPr>
            <w:r>
              <w:rPr>
                <w:rFonts w:hint="eastAsia" w:ascii="宋体" w:hAnsi="宋体" w:eastAsia="宋体" w:cs="Times New Roman"/>
                <w:szCs w:val="21"/>
              </w:rPr>
              <w:t>（4）学生伤害事故处理办法</w:t>
            </w:r>
          </w:p>
        </w:tc>
        <w:tc>
          <w:tcPr>
            <w:tcW w:w="1150" w:type="dxa"/>
            <w:vAlign w:val="center"/>
          </w:tcPr>
          <w:p w14:paraId="6503D290">
            <w:pPr>
              <w:jc w:val="center"/>
              <w:rPr>
                <w:rFonts w:hint="eastAsia" w:ascii="宋体" w:hAnsi="宋体" w:eastAsia="宋体" w:cs="Times New Roman"/>
                <w:szCs w:val="21"/>
                <w:lang w:eastAsia="zh-CN"/>
              </w:rPr>
            </w:pPr>
            <w:r>
              <w:rPr>
                <w:rFonts w:hint="eastAsia" w:ascii="宋体" w:hAnsi="宋体" w:eastAsia="宋体" w:cs="Times New Roman"/>
                <w:szCs w:val="21"/>
              </w:rPr>
              <w:t>课程目标</w:t>
            </w:r>
            <w:r>
              <w:rPr>
                <w:rFonts w:hint="eastAsia" w:ascii="宋体" w:hAnsi="宋体" w:eastAsia="宋体" w:cs="Times New Roman"/>
                <w:szCs w:val="21"/>
                <w:lang w:val="en-US" w:eastAsia="zh-CN"/>
              </w:rPr>
              <w:t>5</w:t>
            </w:r>
          </w:p>
        </w:tc>
        <w:tc>
          <w:tcPr>
            <w:tcW w:w="2988" w:type="dxa"/>
            <w:vAlign w:val="center"/>
          </w:tcPr>
          <w:p w14:paraId="5EB1C437">
            <w:pPr>
              <w:jc w:val="left"/>
              <w:rPr>
                <w:rFonts w:hint="eastAsia" w:ascii="宋体" w:hAnsi="宋体" w:eastAsia="宋体" w:cs="Times New Roman"/>
                <w:szCs w:val="21"/>
              </w:rPr>
            </w:pPr>
            <w:r>
              <w:rPr>
                <w:rFonts w:hint="eastAsia" w:ascii="宋体" w:hAnsi="宋体" w:eastAsia="宋体" w:cs="Times New Roman"/>
                <w:szCs w:val="21"/>
              </w:rPr>
              <w:t>（1）了解小学教育重要法律法规的内容</w:t>
            </w:r>
          </w:p>
          <w:p w14:paraId="64C14D04">
            <w:pPr>
              <w:jc w:val="left"/>
              <w:rPr>
                <w:rFonts w:hint="eastAsia" w:ascii="宋体" w:hAnsi="宋体" w:eastAsia="宋体" w:cs="Times New Roman"/>
                <w:szCs w:val="21"/>
              </w:rPr>
            </w:pPr>
            <w:r>
              <w:rPr>
                <w:rFonts w:hint="eastAsia" w:ascii="宋体" w:hAnsi="宋体" w:eastAsia="宋体" w:cs="Times New Roman"/>
                <w:szCs w:val="21"/>
              </w:rPr>
              <w:t>（2）理解相关法律法规中的具体内容现实意义</w:t>
            </w:r>
          </w:p>
          <w:p w14:paraId="66B486E4">
            <w:pPr>
              <w:jc w:val="left"/>
              <w:rPr>
                <w:rFonts w:hint="eastAsia" w:ascii="宋体" w:hAnsi="宋体" w:eastAsia="宋体" w:cs="Times New Roman"/>
                <w:szCs w:val="21"/>
              </w:rPr>
            </w:pPr>
            <w:r>
              <w:rPr>
                <w:rFonts w:hint="eastAsia" w:ascii="宋体" w:hAnsi="宋体" w:eastAsia="宋体" w:cs="Times New Roman"/>
                <w:szCs w:val="21"/>
              </w:rPr>
              <w:t>（3）理解相关法律法规执行中的问题</w:t>
            </w:r>
          </w:p>
        </w:tc>
        <w:tc>
          <w:tcPr>
            <w:tcW w:w="1560" w:type="dxa"/>
            <w:vAlign w:val="center"/>
          </w:tcPr>
          <w:p w14:paraId="36A7BD02">
            <w:pPr>
              <w:jc w:val="left"/>
              <w:rPr>
                <w:rFonts w:hint="eastAsia" w:ascii="宋体" w:hAnsi="宋体" w:eastAsia="宋体" w:cs="Times New Roman"/>
                <w:szCs w:val="21"/>
              </w:rPr>
            </w:pPr>
            <w:r>
              <w:rPr>
                <w:rFonts w:ascii="宋体" w:hAnsi="宋体" w:eastAsia="宋体" w:cs="Times New Roman"/>
                <w:szCs w:val="21"/>
              </w:rPr>
              <w:t>1.线上学习</w:t>
            </w:r>
          </w:p>
          <w:p w14:paraId="5C0AC9F2">
            <w:pPr>
              <w:jc w:val="left"/>
              <w:rPr>
                <w:rFonts w:hint="eastAsia" w:ascii="宋体" w:hAnsi="宋体" w:eastAsia="宋体" w:cs="Times New Roman"/>
                <w:szCs w:val="21"/>
              </w:rPr>
            </w:pPr>
            <w:r>
              <w:rPr>
                <w:rFonts w:ascii="宋体" w:hAnsi="宋体" w:eastAsia="宋体" w:cs="Times New Roman"/>
                <w:szCs w:val="21"/>
              </w:rPr>
              <w:t>2.多媒体教学3.课堂讨论</w:t>
            </w:r>
          </w:p>
          <w:p w14:paraId="24F2290D">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791D8CEB">
            <w:pPr>
              <w:jc w:val="center"/>
              <w:rPr>
                <w:rFonts w:hint="eastAsia" w:ascii="宋体" w:hAnsi="宋体" w:eastAsia="宋体" w:cs="Times New Roman"/>
                <w:szCs w:val="21"/>
              </w:rPr>
            </w:pPr>
            <w:r>
              <w:rPr>
                <w:rFonts w:hint="eastAsia" w:ascii="宋体" w:hAnsi="宋体" w:eastAsia="宋体" w:cs="Times New Roman"/>
                <w:szCs w:val="21"/>
              </w:rPr>
              <w:t>4</w:t>
            </w:r>
          </w:p>
        </w:tc>
      </w:tr>
      <w:tr w14:paraId="3311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02C027B">
            <w:pPr>
              <w:jc w:val="center"/>
              <w:rPr>
                <w:rFonts w:hint="eastAsia" w:ascii="宋体" w:hAnsi="宋体" w:eastAsia="宋体" w:cs="Times New Roman"/>
                <w:szCs w:val="21"/>
              </w:rPr>
            </w:pPr>
          </w:p>
        </w:tc>
        <w:tc>
          <w:tcPr>
            <w:tcW w:w="8093" w:type="dxa"/>
            <w:gridSpan w:val="5"/>
            <w:vAlign w:val="center"/>
          </w:tcPr>
          <w:p w14:paraId="3367E035">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通过本章内容学习，使学生了解我国教育政策与法规内容中所体现的中国特色社会主义精神，深刻理解中国共产党领导下的教育宏图大业，增强作为一个新时代中国小学教师的自豪感。</w:t>
            </w:r>
          </w:p>
        </w:tc>
      </w:tr>
    </w:tbl>
    <w:p w14:paraId="0A977CBE">
      <w:pPr>
        <w:spacing w:line="360" w:lineRule="auto"/>
        <w:jc w:val="left"/>
        <w:rPr>
          <w:rFonts w:hint="eastAsia" w:ascii="宋体" w:hAnsi="宋体" w:eastAsia="宋体" w:cs="Times New Roman"/>
          <w:b/>
          <w:color w:val="auto"/>
          <w:sz w:val="24"/>
          <w:szCs w:val="24"/>
        </w:rPr>
      </w:pPr>
    </w:p>
    <w:p w14:paraId="366C44FC">
      <w:pPr>
        <w:spacing w:line="360" w:lineRule="auto"/>
        <w:jc w:val="left"/>
        <w:rPr>
          <w:rFonts w:ascii="Times New Roman" w:hAnsi="Times New Roman" w:eastAsia="宋体" w:cs="Times New Roman"/>
          <w:color w:val="auto"/>
          <w:sz w:val="24"/>
          <w:szCs w:val="24"/>
        </w:rPr>
      </w:pPr>
      <w:r>
        <w:rPr>
          <w:rFonts w:hint="eastAsia" w:ascii="宋体" w:hAnsi="宋体" w:eastAsia="宋体" w:cs="Times New Roman"/>
          <w:b/>
          <w:color w:val="auto"/>
          <w:sz w:val="24"/>
          <w:szCs w:val="24"/>
        </w:rPr>
        <w:t>四、目标评价与成绩评定</w:t>
      </w:r>
    </w:p>
    <w:p w14:paraId="770CE45B">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0825744A">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根据总体设计，用于评价各课程目标的评价方式如</w:t>
      </w:r>
      <w:r>
        <w:rPr>
          <w:rFonts w:hint="eastAsia" w:ascii="Times New Roman" w:hAnsi="Times New Roman" w:eastAsia="宋体" w:cs="Times New Roman"/>
          <w:color w:val="auto"/>
          <w:szCs w:val="21"/>
          <w:lang w:val="en-US" w:eastAsia="zh-CN"/>
        </w:rPr>
        <w:t>下表</w:t>
      </w:r>
      <w:r>
        <w:rPr>
          <w:rFonts w:ascii="Times New Roman" w:hAnsi="Times New Roman" w:eastAsia="宋体" w:cs="Times New Roman"/>
          <w:color w:val="auto"/>
          <w:szCs w:val="21"/>
        </w:rPr>
        <w:t>所示。</w:t>
      </w:r>
    </w:p>
    <w:tbl>
      <w:tblPr>
        <w:tblStyle w:val="16"/>
        <w:tblW w:w="7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1205"/>
        <w:gridCol w:w="1557"/>
        <w:gridCol w:w="1550"/>
        <w:gridCol w:w="1395"/>
        <w:gridCol w:w="726"/>
      </w:tblGrid>
      <w:tr w14:paraId="51D3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vMerge w:val="restart"/>
            <w:vAlign w:val="center"/>
          </w:tcPr>
          <w:p w14:paraId="1762C8BA">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w:t>
            </w:r>
          </w:p>
        </w:tc>
        <w:tc>
          <w:tcPr>
            <w:tcW w:w="0" w:type="auto"/>
            <w:gridSpan w:val="4"/>
            <w:vAlign w:val="center"/>
          </w:tcPr>
          <w:p w14:paraId="3AB86DAF">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5BCC428B">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分值</w:t>
            </w:r>
          </w:p>
        </w:tc>
      </w:tr>
      <w:tr w14:paraId="1B63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vMerge w:val="continue"/>
            <w:vAlign w:val="center"/>
          </w:tcPr>
          <w:p w14:paraId="716F1893">
            <w:pPr>
              <w:spacing w:line="360" w:lineRule="auto"/>
              <w:jc w:val="center"/>
              <w:rPr>
                <w:rFonts w:ascii="宋体" w:hAnsi="宋体" w:eastAsia="宋体" w:cs="Times New Roman"/>
                <w:color w:val="auto"/>
                <w:szCs w:val="21"/>
              </w:rPr>
            </w:pPr>
          </w:p>
        </w:tc>
        <w:tc>
          <w:tcPr>
            <w:tcW w:w="0" w:type="auto"/>
            <w:vAlign w:val="center"/>
          </w:tcPr>
          <w:p w14:paraId="4FC7405B">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平时作业</w:t>
            </w:r>
          </w:p>
        </w:tc>
        <w:tc>
          <w:tcPr>
            <w:tcW w:w="1557" w:type="dxa"/>
            <w:vAlign w:val="center"/>
          </w:tcPr>
          <w:p w14:paraId="1D55CAC0">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课堂表现</w:t>
            </w:r>
          </w:p>
        </w:tc>
        <w:tc>
          <w:tcPr>
            <w:tcW w:w="1550" w:type="dxa"/>
            <w:vAlign w:val="center"/>
          </w:tcPr>
          <w:p w14:paraId="176087CD">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期末考试</w:t>
            </w:r>
          </w:p>
        </w:tc>
        <w:tc>
          <w:tcPr>
            <w:tcW w:w="1395" w:type="dxa"/>
          </w:tcPr>
          <w:p w14:paraId="44EED35E">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自主学习</w:t>
            </w:r>
          </w:p>
        </w:tc>
        <w:tc>
          <w:tcPr>
            <w:tcW w:w="0" w:type="auto"/>
            <w:vMerge w:val="continue"/>
            <w:vAlign w:val="center"/>
          </w:tcPr>
          <w:p w14:paraId="7C74B4D8">
            <w:pPr>
              <w:spacing w:line="360" w:lineRule="auto"/>
              <w:jc w:val="center"/>
              <w:rPr>
                <w:rFonts w:ascii="宋体" w:hAnsi="宋体" w:eastAsia="宋体" w:cs="Times New Roman"/>
                <w:color w:val="auto"/>
                <w:szCs w:val="21"/>
              </w:rPr>
            </w:pPr>
          </w:p>
        </w:tc>
      </w:tr>
      <w:tr w14:paraId="300E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vAlign w:val="center"/>
          </w:tcPr>
          <w:p w14:paraId="5506A7F9">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课程目标1</w:t>
            </w:r>
          </w:p>
        </w:tc>
        <w:tc>
          <w:tcPr>
            <w:tcW w:w="0" w:type="auto"/>
            <w:vAlign w:val="center"/>
          </w:tcPr>
          <w:p w14:paraId="3E4FF7D1">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557" w:type="dxa"/>
            <w:vAlign w:val="center"/>
          </w:tcPr>
          <w:p w14:paraId="486A9783">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550" w:type="dxa"/>
            <w:vAlign w:val="center"/>
          </w:tcPr>
          <w:p w14:paraId="79726D01">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395" w:type="dxa"/>
          </w:tcPr>
          <w:p w14:paraId="62D1C122">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FE7D43A">
            <w:pPr>
              <w:spacing w:line="360" w:lineRule="auto"/>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0</w:t>
            </w:r>
            <w:r>
              <w:rPr>
                <w:rFonts w:hint="eastAsia" w:ascii="宋体" w:hAnsi="宋体" w:eastAsia="宋体" w:cs="Times New Roman"/>
                <w:color w:val="auto"/>
                <w:szCs w:val="21"/>
                <w:lang w:val="en-US" w:eastAsia="zh-CN"/>
              </w:rPr>
              <w:t>%</w:t>
            </w:r>
          </w:p>
        </w:tc>
      </w:tr>
      <w:tr w14:paraId="5756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vAlign w:val="center"/>
          </w:tcPr>
          <w:p w14:paraId="363F83CF">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课程目标2</w:t>
            </w:r>
          </w:p>
        </w:tc>
        <w:tc>
          <w:tcPr>
            <w:tcW w:w="0" w:type="auto"/>
            <w:vAlign w:val="center"/>
          </w:tcPr>
          <w:p w14:paraId="74181C30">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557" w:type="dxa"/>
            <w:vAlign w:val="center"/>
          </w:tcPr>
          <w:p w14:paraId="6679C59C">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550" w:type="dxa"/>
            <w:vAlign w:val="center"/>
          </w:tcPr>
          <w:p w14:paraId="18C43DF3">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395" w:type="dxa"/>
          </w:tcPr>
          <w:p w14:paraId="785897EC">
            <w:pPr>
              <w:spacing w:line="360" w:lineRule="auto"/>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w:t>
            </w:r>
          </w:p>
        </w:tc>
        <w:tc>
          <w:tcPr>
            <w:tcW w:w="0" w:type="auto"/>
            <w:vAlign w:val="center"/>
          </w:tcPr>
          <w:p w14:paraId="5925DACD">
            <w:pPr>
              <w:spacing w:line="360" w:lineRule="auto"/>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0</w:t>
            </w:r>
            <w:r>
              <w:rPr>
                <w:rFonts w:hint="eastAsia" w:ascii="宋体" w:hAnsi="宋体" w:eastAsia="宋体" w:cs="Times New Roman"/>
                <w:color w:val="auto"/>
                <w:szCs w:val="21"/>
                <w:lang w:val="en-US" w:eastAsia="zh-CN"/>
              </w:rPr>
              <w:t>%</w:t>
            </w:r>
          </w:p>
        </w:tc>
      </w:tr>
      <w:tr w14:paraId="4ECA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vAlign w:val="center"/>
          </w:tcPr>
          <w:p w14:paraId="1149A6F1">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课程目标3</w:t>
            </w:r>
          </w:p>
        </w:tc>
        <w:tc>
          <w:tcPr>
            <w:tcW w:w="0" w:type="auto"/>
            <w:vAlign w:val="center"/>
          </w:tcPr>
          <w:p w14:paraId="33C4430D">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557" w:type="dxa"/>
            <w:vAlign w:val="center"/>
          </w:tcPr>
          <w:p w14:paraId="2BAB7E71">
            <w:pPr>
              <w:spacing w:line="360" w:lineRule="auto"/>
              <w:jc w:val="center"/>
              <w:rPr>
                <w:rFonts w:ascii="宋体" w:hAnsi="宋体" w:eastAsia="宋体" w:cs="Times New Roman"/>
                <w:color w:val="auto"/>
                <w:szCs w:val="21"/>
              </w:rPr>
            </w:pPr>
          </w:p>
        </w:tc>
        <w:tc>
          <w:tcPr>
            <w:tcW w:w="1550" w:type="dxa"/>
            <w:vAlign w:val="center"/>
          </w:tcPr>
          <w:p w14:paraId="59B63159">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395" w:type="dxa"/>
          </w:tcPr>
          <w:p w14:paraId="17A00354">
            <w:pPr>
              <w:spacing w:line="360" w:lineRule="auto"/>
              <w:jc w:val="center"/>
              <w:rPr>
                <w:rFonts w:ascii="宋体" w:hAnsi="宋体" w:eastAsia="宋体" w:cs="Times New Roman"/>
                <w:color w:val="auto"/>
                <w:szCs w:val="21"/>
              </w:rPr>
            </w:pPr>
          </w:p>
        </w:tc>
        <w:tc>
          <w:tcPr>
            <w:tcW w:w="0" w:type="auto"/>
            <w:vAlign w:val="center"/>
          </w:tcPr>
          <w:p w14:paraId="15E24660">
            <w:pPr>
              <w:spacing w:line="360" w:lineRule="auto"/>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0</w:t>
            </w:r>
            <w:r>
              <w:rPr>
                <w:rFonts w:hint="eastAsia" w:ascii="宋体" w:hAnsi="宋体" w:eastAsia="宋体" w:cs="Times New Roman"/>
                <w:color w:val="auto"/>
                <w:szCs w:val="21"/>
                <w:lang w:val="en-US" w:eastAsia="zh-CN"/>
              </w:rPr>
              <w:t>%</w:t>
            </w:r>
          </w:p>
        </w:tc>
      </w:tr>
      <w:tr w14:paraId="7254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vAlign w:val="center"/>
          </w:tcPr>
          <w:p w14:paraId="123C3A97">
            <w:pPr>
              <w:spacing w:line="360" w:lineRule="auto"/>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课程目标4</w:t>
            </w:r>
          </w:p>
        </w:tc>
        <w:tc>
          <w:tcPr>
            <w:tcW w:w="0" w:type="auto"/>
            <w:vAlign w:val="center"/>
          </w:tcPr>
          <w:p w14:paraId="63668EB2">
            <w:pPr>
              <w:spacing w:line="360" w:lineRule="auto"/>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w:t>
            </w:r>
          </w:p>
        </w:tc>
        <w:tc>
          <w:tcPr>
            <w:tcW w:w="1557" w:type="dxa"/>
            <w:vAlign w:val="center"/>
          </w:tcPr>
          <w:p w14:paraId="4B2F13AD">
            <w:pPr>
              <w:spacing w:line="360" w:lineRule="auto"/>
              <w:jc w:val="center"/>
              <w:rPr>
                <w:rFonts w:ascii="宋体" w:hAnsi="宋体" w:eastAsia="宋体" w:cs="Times New Roman"/>
                <w:color w:val="auto"/>
                <w:szCs w:val="21"/>
              </w:rPr>
            </w:pPr>
          </w:p>
        </w:tc>
        <w:tc>
          <w:tcPr>
            <w:tcW w:w="1550" w:type="dxa"/>
            <w:vAlign w:val="center"/>
          </w:tcPr>
          <w:p w14:paraId="272E9E1E">
            <w:pPr>
              <w:spacing w:line="360" w:lineRule="auto"/>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w:t>
            </w:r>
          </w:p>
        </w:tc>
        <w:tc>
          <w:tcPr>
            <w:tcW w:w="1395" w:type="dxa"/>
          </w:tcPr>
          <w:p w14:paraId="74B4B60C">
            <w:pPr>
              <w:spacing w:line="360" w:lineRule="auto"/>
              <w:jc w:val="center"/>
              <w:rPr>
                <w:rFonts w:ascii="宋体" w:hAnsi="宋体" w:eastAsia="宋体" w:cs="Times New Roman"/>
                <w:color w:val="auto"/>
                <w:szCs w:val="21"/>
              </w:rPr>
            </w:pPr>
          </w:p>
        </w:tc>
        <w:tc>
          <w:tcPr>
            <w:tcW w:w="0" w:type="auto"/>
            <w:vAlign w:val="center"/>
          </w:tcPr>
          <w:p w14:paraId="647A1C13">
            <w:pPr>
              <w:spacing w:line="360" w:lineRule="auto"/>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20%</w:t>
            </w:r>
          </w:p>
        </w:tc>
      </w:tr>
      <w:tr w14:paraId="79EC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vAlign w:val="center"/>
          </w:tcPr>
          <w:p w14:paraId="478EBD53">
            <w:pPr>
              <w:spacing w:line="360" w:lineRule="auto"/>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课程目标5</w:t>
            </w:r>
          </w:p>
        </w:tc>
        <w:tc>
          <w:tcPr>
            <w:tcW w:w="0" w:type="auto"/>
            <w:vAlign w:val="center"/>
          </w:tcPr>
          <w:p w14:paraId="1044DC48">
            <w:pPr>
              <w:spacing w:line="360" w:lineRule="auto"/>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w:t>
            </w:r>
          </w:p>
        </w:tc>
        <w:tc>
          <w:tcPr>
            <w:tcW w:w="1557" w:type="dxa"/>
            <w:vAlign w:val="center"/>
          </w:tcPr>
          <w:p w14:paraId="41B6BDA5">
            <w:pPr>
              <w:spacing w:line="360" w:lineRule="auto"/>
              <w:jc w:val="center"/>
              <w:rPr>
                <w:rFonts w:ascii="宋体" w:hAnsi="宋体" w:eastAsia="宋体" w:cs="Times New Roman"/>
                <w:color w:val="auto"/>
                <w:szCs w:val="21"/>
              </w:rPr>
            </w:pPr>
          </w:p>
        </w:tc>
        <w:tc>
          <w:tcPr>
            <w:tcW w:w="1550" w:type="dxa"/>
            <w:vAlign w:val="center"/>
          </w:tcPr>
          <w:p w14:paraId="7E7A8D59">
            <w:pPr>
              <w:spacing w:line="360" w:lineRule="auto"/>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w:t>
            </w:r>
          </w:p>
        </w:tc>
        <w:tc>
          <w:tcPr>
            <w:tcW w:w="1395" w:type="dxa"/>
          </w:tcPr>
          <w:p w14:paraId="46DA6CED">
            <w:pPr>
              <w:spacing w:line="360" w:lineRule="auto"/>
              <w:jc w:val="center"/>
              <w:rPr>
                <w:rFonts w:ascii="宋体" w:hAnsi="宋体" w:eastAsia="宋体" w:cs="Times New Roman"/>
                <w:color w:val="auto"/>
                <w:szCs w:val="21"/>
              </w:rPr>
            </w:pPr>
          </w:p>
        </w:tc>
        <w:tc>
          <w:tcPr>
            <w:tcW w:w="0" w:type="auto"/>
            <w:vAlign w:val="center"/>
          </w:tcPr>
          <w:p w14:paraId="68C58B38">
            <w:pPr>
              <w:spacing w:line="360" w:lineRule="auto"/>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20%</w:t>
            </w:r>
          </w:p>
        </w:tc>
      </w:tr>
      <w:tr w14:paraId="6D6F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0" w:type="auto"/>
            <w:vAlign w:val="center"/>
          </w:tcPr>
          <w:p w14:paraId="70A5BB79">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合计</w:t>
            </w:r>
          </w:p>
        </w:tc>
        <w:tc>
          <w:tcPr>
            <w:tcW w:w="0" w:type="auto"/>
            <w:vAlign w:val="center"/>
          </w:tcPr>
          <w:p w14:paraId="6A87FB72">
            <w:pPr>
              <w:spacing w:line="360" w:lineRule="auto"/>
              <w:jc w:val="center"/>
              <w:rPr>
                <w:rFonts w:ascii="宋体" w:hAnsi="宋体" w:eastAsia="宋体" w:cs="Times New Roman"/>
                <w:color w:val="auto"/>
                <w:szCs w:val="21"/>
              </w:rPr>
            </w:pPr>
          </w:p>
        </w:tc>
        <w:tc>
          <w:tcPr>
            <w:tcW w:w="1557" w:type="dxa"/>
            <w:vAlign w:val="center"/>
          </w:tcPr>
          <w:p w14:paraId="61484EBB">
            <w:pPr>
              <w:spacing w:line="360" w:lineRule="auto"/>
              <w:jc w:val="center"/>
              <w:rPr>
                <w:rFonts w:ascii="宋体" w:hAnsi="宋体" w:eastAsia="宋体" w:cs="Times New Roman"/>
                <w:color w:val="auto"/>
                <w:szCs w:val="21"/>
              </w:rPr>
            </w:pPr>
          </w:p>
        </w:tc>
        <w:tc>
          <w:tcPr>
            <w:tcW w:w="1550" w:type="dxa"/>
            <w:vAlign w:val="center"/>
          </w:tcPr>
          <w:p w14:paraId="4D3CD668">
            <w:pPr>
              <w:spacing w:line="360" w:lineRule="auto"/>
              <w:jc w:val="center"/>
              <w:rPr>
                <w:rFonts w:ascii="宋体" w:hAnsi="宋体" w:eastAsia="宋体" w:cs="Times New Roman"/>
                <w:color w:val="auto"/>
                <w:szCs w:val="21"/>
              </w:rPr>
            </w:pPr>
          </w:p>
        </w:tc>
        <w:tc>
          <w:tcPr>
            <w:tcW w:w="1395" w:type="dxa"/>
          </w:tcPr>
          <w:p w14:paraId="79ECDD95">
            <w:pPr>
              <w:spacing w:line="360" w:lineRule="auto"/>
              <w:jc w:val="center"/>
              <w:rPr>
                <w:rFonts w:ascii="宋体" w:hAnsi="宋体" w:eastAsia="宋体" w:cs="Times New Roman"/>
                <w:color w:val="auto"/>
                <w:szCs w:val="21"/>
              </w:rPr>
            </w:pPr>
          </w:p>
        </w:tc>
        <w:tc>
          <w:tcPr>
            <w:tcW w:w="0" w:type="auto"/>
            <w:vAlign w:val="center"/>
          </w:tcPr>
          <w:p w14:paraId="4819A7AE">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100</w:t>
            </w:r>
          </w:p>
        </w:tc>
      </w:tr>
    </w:tbl>
    <w:p w14:paraId="483ED880">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61486DA8">
      <w:pPr>
        <w:spacing w:line="360" w:lineRule="auto"/>
        <w:ind w:firstLine="420" w:firstLineChars="200"/>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6484"/>
        <w:gridCol w:w="706"/>
      </w:tblGrid>
      <w:tr w14:paraId="60B13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332" w:type="dxa"/>
            <w:vAlign w:val="center"/>
          </w:tcPr>
          <w:p w14:paraId="12E626BD">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484" w:type="dxa"/>
            <w:vAlign w:val="center"/>
          </w:tcPr>
          <w:p w14:paraId="62751BBB">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60F5922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62F9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332" w:type="dxa"/>
            <w:vAlign w:val="center"/>
          </w:tcPr>
          <w:p w14:paraId="3856545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6484" w:type="dxa"/>
            <w:vAlign w:val="center"/>
          </w:tcPr>
          <w:p w14:paraId="658C246A">
            <w:pPr>
              <w:spacing w:line="264" w:lineRule="auto"/>
              <w:jc w:val="left"/>
              <w:rPr>
                <w:rFonts w:ascii="Times New Roman" w:hAnsi="Times New Roman" w:eastAsia="宋体" w:cs="Times New Roman"/>
                <w:color w:val="auto"/>
                <w:szCs w:val="21"/>
              </w:rPr>
            </w:pPr>
            <w:r>
              <w:rPr>
                <w:rFonts w:hint="eastAsia" w:ascii="宋体" w:hAnsi="宋体" w:eastAsia="宋体" w:cs="Times New Roman"/>
                <w:color w:val="auto"/>
                <w:szCs w:val="21"/>
              </w:rPr>
              <w:t>2次书面作业，主要考核学生运用理论分析问题的能力。</w:t>
            </w:r>
          </w:p>
        </w:tc>
        <w:tc>
          <w:tcPr>
            <w:tcW w:w="0" w:type="auto"/>
            <w:vAlign w:val="center"/>
          </w:tcPr>
          <w:p w14:paraId="57DF4E4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w:t>
            </w:r>
            <w:r>
              <w:rPr>
                <w:rFonts w:hint="eastAsia" w:ascii="Times New Roman" w:hAnsi="Times New Roman" w:eastAsia="宋体" w:cs="Times New Roman"/>
                <w:color w:val="auto"/>
                <w:szCs w:val="21"/>
              </w:rPr>
              <w:t>0%</w:t>
            </w:r>
          </w:p>
        </w:tc>
      </w:tr>
      <w:tr w14:paraId="1334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vAlign w:val="center"/>
          </w:tcPr>
          <w:p w14:paraId="17E025B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6484" w:type="dxa"/>
            <w:vAlign w:val="center"/>
          </w:tcPr>
          <w:p w14:paraId="61CBE22B">
            <w:pPr>
              <w:widowControl/>
              <w:adjustRightInd w:val="0"/>
              <w:snapToGrid w:val="0"/>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病假和事假一次不扣分，无故缺席或迟到一次扣1分。</w:t>
            </w:r>
          </w:p>
          <w:p w14:paraId="3D86E6C2">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rPr>
              <w:t>每章组织进行</w:t>
            </w:r>
            <w:r>
              <w:rPr>
                <w:rFonts w:ascii="宋体" w:hAnsi="宋体" w:eastAsia="宋体" w:cs="宋体"/>
                <w:color w:val="auto"/>
                <w:kern w:val="0"/>
                <w:szCs w:val="21"/>
              </w:rPr>
              <w:t>1-3</w:t>
            </w:r>
            <w:r>
              <w:rPr>
                <w:rFonts w:hint="eastAsia" w:ascii="宋体" w:hAnsi="宋体" w:eastAsia="宋体" w:cs="宋体"/>
                <w:color w:val="auto"/>
                <w:kern w:val="0"/>
                <w:szCs w:val="21"/>
              </w:rPr>
              <w:t>次讨论，主要考核学生对知识的理解与思考情况。根据回答给出相应分数。</w:t>
            </w:r>
          </w:p>
        </w:tc>
        <w:tc>
          <w:tcPr>
            <w:tcW w:w="0" w:type="auto"/>
            <w:vAlign w:val="center"/>
          </w:tcPr>
          <w:p w14:paraId="1331B1F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3B9F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vAlign w:val="center"/>
          </w:tcPr>
          <w:p w14:paraId="21D287B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6484" w:type="dxa"/>
            <w:vAlign w:val="center"/>
          </w:tcPr>
          <w:p w14:paraId="432EFE61">
            <w:pPr>
              <w:spacing w:line="264"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t>试</w:t>
            </w:r>
            <w:r>
              <w:rPr>
                <w:rFonts w:hint="eastAsia" w:ascii="宋体" w:hAnsi="宋体" w:eastAsia="宋体" w:cs="Times New Roman"/>
                <w:color w:val="auto"/>
                <w:szCs w:val="21"/>
              </w:rPr>
              <w:t>试卷题型包括填空题、简答题、论述题和案例分析题等，以卷面成绩的</w:t>
            </w:r>
            <w:r>
              <w:rPr>
                <w:rFonts w:ascii="宋体" w:hAnsi="宋体" w:eastAsia="宋体" w:cs="Times New Roman"/>
                <w:color w:val="auto"/>
                <w:szCs w:val="21"/>
              </w:rPr>
              <w:t>60%</w:t>
            </w:r>
            <w:r>
              <w:rPr>
                <w:rFonts w:hint="eastAsia" w:ascii="宋体" w:hAnsi="宋体" w:eastAsia="宋体" w:cs="Times New Roman"/>
                <w:color w:val="auto"/>
                <w:szCs w:val="21"/>
              </w:rPr>
              <w:t>计入课程总成绩。其中：考核基本概念知识型题目占25</w:t>
            </w:r>
            <w:r>
              <w:rPr>
                <w:rFonts w:ascii="宋体" w:hAnsi="宋体" w:eastAsia="宋体" w:cs="Times New Roman"/>
                <w:color w:val="auto"/>
                <w:szCs w:val="21"/>
              </w:rPr>
              <w:t>%</w:t>
            </w:r>
            <w:r>
              <w:rPr>
                <w:rFonts w:hint="eastAsia" w:ascii="宋体" w:hAnsi="宋体" w:eastAsia="宋体" w:cs="Times New Roman"/>
                <w:color w:val="auto"/>
                <w:szCs w:val="21"/>
              </w:rPr>
              <w:t>；考核知识理解型题目占25</w:t>
            </w:r>
            <w:r>
              <w:rPr>
                <w:rFonts w:ascii="宋体" w:hAnsi="宋体" w:eastAsia="宋体" w:cs="Times New Roman"/>
                <w:color w:val="auto"/>
                <w:szCs w:val="21"/>
              </w:rPr>
              <w:t>%</w:t>
            </w:r>
            <w:r>
              <w:rPr>
                <w:rFonts w:hint="eastAsia" w:ascii="宋体" w:hAnsi="宋体" w:eastAsia="宋体" w:cs="Times New Roman"/>
                <w:color w:val="auto"/>
                <w:szCs w:val="21"/>
              </w:rPr>
              <w:t>；考核综合分析能力题目占5</w:t>
            </w:r>
            <w:r>
              <w:rPr>
                <w:rFonts w:ascii="宋体" w:hAnsi="宋体" w:eastAsia="宋体" w:cs="Times New Roman"/>
                <w:color w:val="auto"/>
                <w:szCs w:val="21"/>
              </w:rPr>
              <w:t>0%</w:t>
            </w:r>
            <w:r>
              <w:rPr>
                <w:rFonts w:hint="eastAsia" w:ascii="宋体" w:hAnsi="宋体" w:eastAsia="宋体" w:cs="Times New Roman"/>
                <w:color w:val="auto"/>
                <w:szCs w:val="21"/>
              </w:rPr>
              <w:t>。</w:t>
            </w:r>
          </w:p>
        </w:tc>
        <w:tc>
          <w:tcPr>
            <w:tcW w:w="0" w:type="auto"/>
            <w:vAlign w:val="center"/>
          </w:tcPr>
          <w:p w14:paraId="5666BF8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6</w:t>
            </w:r>
            <w:r>
              <w:rPr>
                <w:rFonts w:hint="eastAsia" w:ascii="Times New Roman" w:hAnsi="Times New Roman" w:eastAsia="宋体" w:cs="Times New Roman"/>
                <w:color w:val="auto"/>
                <w:szCs w:val="21"/>
              </w:rPr>
              <w:t>0%</w:t>
            </w:r>
          </w:p>
        </w:tc>
      </w:tr>
      <w:tr w14:paraId="68E9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32" w:type="dxa"/>
            <w:vAlign w:val="center"/>
          </w:tcPr>
          <w:p w14:paraId="433C59CC">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6484" w:type="dxa"/>
            <w:vAlign w:val="center"/>
          </w:tcPr>
          <w:p w14:paraId="568028B4">
            <w:pPr>
              <w:jc w:val="left"/>
              <w:rPr>
                <w:rFonts w:ascii="Times New Roman" w:hAnsi="Times New Roman" w:eastAsia="宋体" w:cs="Times New Roman"/>
                <w:color w:val="auto"/>
                <w:szCs w:val="21"/>
              </w:rPr>
            </w:pPr>
          </w:p>
        </w:tc>
        <w:tc>
          <w:tcPr>
            <w:tcW w:w="0" w:type="auto"/>
            <w:vAlign w:val="center"/>
          </w:tcPr>
          <w:p w14:paraId="6E55ADB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7EEF8230">
      <w:pPr>
        <w:adjustRightInd w:val="0"/>
        <w:snapToGrid w:val="0"/>
        <w:spacing w:line="360" w:lineRule="auto"/>
        <w:rPr>
          <w:rFonts w:hint="eastAsia" w:ascii="Calibri" w:hAnsi="Calibri" w:eastAsia="宋体" w:cs="Times New Roman"/>
          <w:color w:val="auto"/>
          <w:sz w:val="24"/>
        </w:rPr>
      </w:pPr>
    </w:p>
    <w:p w14:paraId="765D3375">
      <w:pPr>
        <w:spacing w:line="360" w:lineRule="auto"/>
        <w:ind w:firstLine="422" w:firstLineChars="200"/>
        <w:rPr>
          <w:rFonts w:ascii="Calibri" w:hAnsi="Calibri" w:eastAsia="宋体" w:cs="Times New Roman"/>
          <w:b/>
          <w:bCs/>
          <w:color w:val="auto"/>
          <w:sz w:val="21"/>
          <w:szCs w:val="21"/>
        </w:rPr>
      </w:pPr>
      <w:r>
        <w:rPr>
          <w:rFonts w:hint="eastAsia" w:ascii="Calibri" w:hAnsi="Calibri" w:eastAsia="宋体" w:cs="Times New Roman"/>
          <w:b/>
          <w:bCs/>
          <w:color w:val="auto"/>
          <w:sz w:val="21"/>
          <w:szCs w:val="21"/>
        </w:rPr>
        <w:t>（</w:t>
      </w:r>
      <w:r>
        <w:rPr>
          <w:rFonts w:hint="eastAsia" w:ascii="Calibri" w:hAnsi="Calibri" w:eastAsia="宋体" w:cs="Times New Roman"/>
          <w:b/>
          <w:bCs/>
          <w:color w:val="auto"/>
          <w:sz w:val="21"/>
          <w:szCs w:val="21"/>
          <w:lang w:val="en-US" w:eastAsia="zh-CN"/>
        </w:rPr>
        <w:t>三</w:t>
      </w:r>
      <w:r>
        <w:rPr>
          <w:rFonts w:hint="eastAsia" w:ascii="Calibri" w:hAnsi="Calibri" w:eastAsia="宋体" w:cs="Times New Roman"/>
          <w:b/>
          <w:bCs/>
          <w:color w:val="auto"/>
          <w:sz w:val="21"/>
          <w:szCs w:val="21"/>
        </w:rPr>
        <w:t>）课程目标达成度计算方法</w:t>
      </w:r>
    </w:p>
    <w:p w14:paraId="708C1506">
      <w:pPr>
        <w:adjustRightInd w:val="0"/>
        <w:snapToGrid w:val="0"/>
        <w:spacing w:line="360" w:lineRule="auto"/>
        <w:ind w:firstLine="420" w:firstLineChars="200"/>
        <w:rPr>
          <w:rFonts w:ascii="Calibri" w:hAnsi="Calibri" w:eastAsia="宋体" w:cs="Times New Roman"/>
          <w:color w:val="auto"/>
          <w:sz w:val="21"/>
          <w:szCs w:val="21"/>
        </w:rPr>
      </w:pPr>
      <w:r>
        <w:rPr>
          <w:rFonts w:hint="eastAsia" w:ascii="Calibri" w:hAnsi="Calibri" w:eastAsia="宋体" w:cs="Times New Roman"/>
          <w:color w:val="auto"/>
          <w:sz w:val="21"/>
          <w:szCs w:val="21"/>
        </w:rPr>
        <w:t>所有课程目标均需大于等</w:t>
      </w:r>
      <w:r>
        <w:rPr>
          <w:rFonts w:hint="eastAsia" w:ascii="宋体" w:hAnsi="宋体" w:eastAsia="宋体" w:cs="Times New Roman"/>
          <w:color w:val="auto"/>
          <w:sz w:val="21"/>
          <w:szCs w:val="21"/>
        </w:rPr>
        <w:t>于</w:t>
      </w:r>
      <w:r>
        <w:rPr>
          <w:rFonts w:ascii="宋体" w:hAnsi="宋体" w:eastAsia="宋体" w:cs="Times New Roman"/>
          <w:color w:val="auto"/>
          <w:sz w:val="21"/>
          <w:szCs w:val="21"/>
        </w:rPr>
        <w:t>0.6</w:t>
      </w:r>
      <w:r>
        <w:rPr>
          <w:rFonts w:hint="eastAsia" w:ascii="Calibri" w:hAnsi="Calibri" w:eastAsia="宋体" w:cs="Times New Roman"/>
          <w:color w:val="auto"/>
          <w:sz w:val="21"/>
          <w:szCs w:val="21"/>
        </w:rPr>
        <w:t>，否则总评成绩不及格，需要补考或重修。每门课程目标总体达成度计算方法如下：</w:t>
      </w:r>
    </w:p>
    <w:p w14:paraId="490F7B65">
      <w:pPr>
        <w:adjustRightInd w:val="0"/>
        <w:snapToGrid w:val="0"/>
        <w:spacing w:line="360" w:lineRule="auto"/>
        <w:jc w:val="left"/>
        <w:rPr>
          <w:rFonts w:hint="eastAsia" w:ascii="宋体" w:hAnsi="等线" w:eastAsia="宋体" w:cs="Times New Roman"/>
          <w:color w:val="auto"/>
          <w:sz w:val="21"/>
          <w:szCs w:val="21"/>
        </w:rPr>
      </w:pPr>
      <w:r>
        <w:rPr>
          <w:rFonts w:ascii="宋体" w:hAnsi="宋体" w:eastAsia="宋体" w:cs="Times New Roman"/>
          <w:color w:val="auto"/>
          <w:position w:val="-26"/>
          <w:sz w:val="21"/>
          <w:szCs w:val="21"/>
        </w:rPr>
        <w:object>
          <v:shape id="_x0000_i1041" o:spt="75" type="#_x0000_t75" style="height:28.5pt;width:387pt;" o:ole="t" filled="f" o:preferrelative="t" stroked="f" coordsize="21600,21600">
            <v:path/>
            <v:fill on="f" focussize="0,0"/>
            <v:stroke on="f" joinstyle="miter"/>
            <v:imagedata r:id="rId10" o:title=""/>
            <o:lock v:ext="edit" aspectratio="t"/>
            <w10:wrap type="none"/>
            <w10:anchorlock/>
          </v:shape>
          <o:OLEObject Type="Embed" ProgID="Equation.KSEE3" ShapeID="_x0000_i1041" DrawAspect="Content" ObjectID="_1468075740" r:id="rId27">
            <o:LockedField>false</o:LockedField>
          </o:OLEObject>
        </w:object>
      </w:r>
    </w:p>
    <w:p w14:paraId="71FDA10A">
      <w:pPr>
        <w:keepNext w:val="0"/>
        <w:keepLines w:val="0"/>
        <w:pageBreakBefore w:val="0"/>
        <w:widowControl w:val="0"/>
        <w:kinsoku/>
        <w:wordWrap/>
        <w:overflowPunct/>
        <w:topLinePunct w:val="0"/>
        <w:autoSpaceDE/>
        <w:autoSpaceDN/>
        <w:bidi w:val="0"/>
        <w:adjustRightInd w:val="0"/>
        <w:snapToGrid w:val="0"/>
        <w:spacing w:before="63" w:beforeLines="20" w:after="63" w:afterLines="20" w:line="360" w:lineRule="auto"/>
        <w:textAlignment w:val="auto"/>
        <w:rPr>
          <w:rFonts w:ascii="Calibri" w:hAnsi="Calibri" w:eastAsia="宋体" w:cs="Times New Roman"/>
          <w:b/>
          <w:color w:val="auto"/>
          <w:sz w:val="24"/>
          <w:szCs w:val="24"/>
        </w:rPr>
      </w:pPr>
      <w:r>
        <w:rPr>
          <w:rFonts w:hint="eastAsia" w:ascii="Calibri" w:hAnsi="Calibri" w:eastAsia="宋体" w:cs="Times New Roman"/>
          <w:b/>
          <w:color w:val="auto"/>
          <w:sz w:val="24"/>
          <w:szCs w:val="24"/>
          <w:lang w:val="en-US" w:eastAsia="zh-CN"/>
        </w:rPr>
        <w:t>五</w:t>
      </w:r>
      <w:r>
        <w:rPr>
          <w:rFonts w:hint="eastAsia" w:ascii="Calibri" w:hAnsi="Calibri" w:eastAsia="宋体" w:cs="Times New Roman"/>
          <w:b/>
          <w:color w:val="auto"/>
          <w:sz w:val="24"/>
          <w:szCs w:val="24"/>
        </w:rPr>
        <w:t>、有关说明</w:t>
      </w:r>
    </w:p>
    <w:p w14:paraId="2A17E42F">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ascii="Calibri" w:hAnsi="Calibri" w:eastAsia="宋体" w:cs="Times New Roman"/>
          <w:b/>
          <w:color w:val="auto"/>
          <w:sz w:val="21"/>
          <w:szCs w:val="21"/>
        </w:rPr>
      </w:pPr>
      <w:r>
        <w:rPr>
          <w:rFonts w:hint="eastAsia" w:ascii="Calibri" w:hAnsi="Calibri" w:eastAsia="宋体" w:cs="Times New Roman"/>
          <w:b/>
          <w:color w:val="auto"/>
          <w:sz w:val="21"/>
          <w:szCs w:val="21"/>
        </w:rPr>
        <w:t>（一）持续改进</w:t>
      </w:r>
    </w:p>
    <w:p w14:paraId="7199BA1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Calibri" w:hAnsi="Calibri" w:eastAsia="宋体" w:cs="Times New Roman"/>
          <w:color w:val="auto"/>
          <w:sz w:val="21"/>
          <w:szCs w:val="21"/>
        </w:rPr>
      </w:pPr>
      <w:r>
        <w:rPr>
          <w:rFonts w:hint="eastAsia" w:ascii="Calibri" w:hAnsi="Calibri" w:eastAsia="宋体" w:cs="Times New Roman"/>
          <w:color w:val="auto"/>
          <w:sz w:val="21"/>
          <w:szCs w:val="21"/>
        </w:rPr>
        <w:t>本课程根据学生作业、课堂讨论、教学环节、平时考核情况和学生、教学督导等的反馈，及时对教学中的不足之处进行改进，并在下一轮课程教学中整改完善，确保相应毕业要求指标点达成。</w:t>
      </w:r>
    </w:p>
    <w:p w14:paraId="3185B89D">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ascii="Calibri" w:hAnsi="Calibri" w:eastAsia="宋体" w:cs="Times New Roman"/>
          <w:b/>
          <w:color w:val="auto"/>
          <w:sz w:val="21"/>
          <w:szCs w:val="21"/>
        </w:rPr>
      </w:pPr>
      <w:r>
        <w:rPr>
          <w:rFonts w:hint="eastAsia" w:ascii="Calibri" w:hAnsi="Calibri" w:eastAsia="宋体" w:cs="Times New Roman"/>
          <w:b/>
          <w:color w:val="auto"/>
          <w:sz w:val="21"/>
          <w:szCs w:val="21"/>
        </w:rPr>
        <w:t>（二）参考书目及学习资料</w:t>
      </w:r>
    </w:p>
    <w:p w14:paraId="72081D00">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Calibri" w:hAnsi="Calibri" w:eastAsia="宋体" w:cs="Times New Roman"/>
          <w:color w:val="auto"/>
          <w:sz w:val="21"/>
          <w:szCs w:val="21"/>
        </w:rPr>
      </w:pPr>
      <w:r>
        <w:rPr>
          <w:rFonts w:ascii="Calibri" w:hAnsi="Calibri" w:eastAsia="宋体" w:cs="Times New Roman"/>
          <w:color w:val="auto"/>
          <w:sz w:val="21"/>
          <w:szCs w:val="21"/>
        </w:rPr>
        <w:t>1.</w:t>
      </w:r>
      <w:r>
        <w:rPr>
          <w:rFonts w:hint="eastAsia" w:ascii="Calibri" w:hAnsi="Calibri" w:eastAsia="宋体" w:cs="Times New Roman"/>
          <w:color w:val="auto"/>
          <w:sz w:val="21"/>
          <w:szCs w:val="21"/>
        </w:rPr>
        <w:t>参考教材</w:t>
      </w:r>
    </w:p>
    <w:p w14:paraId="3C4D6B28">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Calibri" w:hAnsi="Calibri" w:eastAsia="宋体" w:cs="Times New Roman"/>
          <w:color w:val="auto"/>
          <w:sz w:val="21"/>
          <w:szCs w:val="21"/>
        </w:rPr>
      </w:pPr>
      <w:r>
        <w:rPr>
          <w:rFonts w:hint="eastAsia" w:ascii="Calibri" w:hAnsi="Calibri" w:eastAsia="宋体" w:cs="Times New Roman"/>
          <w:color w:val="auto"/>
          <w:sz w:val="21"/>
          <w:szCs w:val="21"/>
        </w:rPr>
        <w:t>石正义</w:t>
      </w:r>
      <w:r>
        <w:rPr>
          <w:rFonts w:ascii="Calibri" w:hAnsi="Calibri" w:eastAsia="宋体" w:cs="Times New Roman"/>
          <w:color w:val="auto"/>
          <w:sz w:val="21"/>
          <w:szCs w:val="21"/>
        </w:rPr>
        <w:t>.</w:t>
      </w:r>
      <w:r>
        <w:rPr>
          <w:rFonts w:hint="eastAsia" w:ascii="Calibri" w:hAnsi="Calibri" w:eastAsia="宋体" w:cs="Times New Roman"/>
          <w:color w:val="auto"/>
          <w:sz w:val="21"/>
          <w:szCs w:val="21"/>
        </w:rPr>
        <w:t>小学教育政策与法规</w:t>
      </w:r>
      <w:r>
        <w:rPr>
          <w:rFonts w:ascii="Calibri" w:hAnsi="Calibri" w:eastAsia="宋体" w:cs="Times New Roman"/>
          <w:color w:val="auto"/>
          <w:sz w:val="21"/>
          <w:szCs w:val="21"/>
        </w:rPr>
        <w:t>[M].</w:t>
      </w:r>
      <w:r>
        <w:rPr>
          <w:rFonts w:hint="eastAsia" w:ascii="Calibri" w:hAnsi="Calibri" w:eastAsia="宋体" w:cs="Times New Roman"/>
          <w:color w:val="auto"/>
          <w:sz w:val="21"/>
          <w:szCs w:val="21"/>
        </w:rPr>
        <w:t>北京：北京师范大学出版社，</w:t>
      </w:r>
      <w:r>
        <w:rPr>
          <w:rFonts w:ascii="Calibri" w:hAnsi="Calibri" w:eastAsia="宋体" w:cs="Times New Roman"/>
          <w:color w:val="auto"/>
          <w:sz w:val="21"/>
          <w:szCs w:val="21"/>
        </w:rPr>
        <w:t>20</w:t>
      </w:r>
      <w:r>
        <w:rPr>
          <w:rFonts w:hint="eastAsia" w:ascii="Calibri" w:hAnsi="Calibri" w:eastAsia="宋体" w:cs="Times New Roman"/>
          <w:color w:val="auto"/>
          <w:sz w:val="21"/>
          <w:szCs w:val="21"/>
        </w:rPr>
        <w:t>22</w:t>
      </w:r>
      <w:r>
        <w:rPr>
          <w:rFonts w:ascii="Calibri" w:hAnsi="Calibri" w:eastAsia="宋体" w:cs="Times New Roman"/>
          <w:color w:val="auto"/>
          <w:sz w:val="21"/>
          <w:szCs w:val="21"/>
        </w:rPr>
        <w:t>.</w:t>
      </w:r>
    </w:p>
    <w:p w14:paraId="0114B593">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Calibri" w:hAnsi="Calibri" w:eastAsia="宋体" w:cs="Times New Roman"/>
          <w:color w:val="auto"/>
          <w:sz w:val="21"/>
          <w:szCs w:val="21"/>
        </w:rPr>
      </w:pPr>
      <w:r>
        <w:rPr>
          <w:rFonts w:ascii="Calibri" w:hAnsi="Calibri" w:eastAsia="宋体" w:cs="Times New Roman"/>
          <w:color w:val="auto"/>
          <w:sz w:val="21"/>
          <w:szCs w:val="21"/>
        </w:rPr>
        <w:t>2.</w:t>
      </w:r>
      <w:r>
        <w:rPr>
          <w:rFonts w:hint="eastAsia" w:ascii="Calibri" w:hAnsi="Calibri" w:eastAsia="宋体" w:cs="Times New Roman"/>
          <w:color w:val="auto"/>
          <w:sz w:val="21"/>
          <w:szCs w:val="21"/>
        </w:rPr>
        <w:t>其他教学参考书</w:t>
      </w:r>
    </w:p>
    <w:p w14:paraId="12868C4A">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Calibri" w:hAnsi="Calibri" w:eastAsia="宋体" w:cs="Times New Roman"/>
          <w:color w:val="auto"/>
          <w:sz w:val="21"/>
          <w:szCs w:val="21"/>
        </w:rPr>
      </w:pPr>
      <w:r>
        <w:rPr>
          <w:rFonts w:hint="eastAsia" w:ascii="Calibri" w:hAnsi="Calibri" w:eastAsia="宋体" w:cs="Times New Roman"/>
          <w:color w:val="auto"/>
          <w:sz w:val="21"/>
          <w:szCs w:val="21"/>
        </w:rPr>
        <w:t>阮成武</w:t>
      </w:r>
      <w:r>
        <w:rPr>
          <w:rFonts w:ascii="Calibri" w:hAnsi="Calibri" w:eastAsia="宋体" w:cs="Times New Roman"/>
          <w:color w:val="auto"/>
          <w:sz w:val="21"/>
          <w:szCs w:val="21"/>
        </w:rPr>
        <w:t>.</w:t>
      </w:r>
      <w:r>
        <w:rPr>
          <w:rFonts w:hint="eastAsia" w:ascii="Calibri" w:hAnsi="Calibri" w:eastAsia="宋体" w:cs="Times New Roman"/>
          <w:color w:val="auto"/>
          <w:sz w:val="21"/>
          <w:szCs w:val="21"/>
        </w:rPr>
        <w:t>小学教育政策与法规</w:t>
      </w:r>
      <w:r>
        <w:rPr>
          <w:rFonts w:ascii="Calibri" w:hAnsi="Calibri" w:eastAsia="宋体" w:cs="Times New Roman"/>
          <w:color w:val="auto"/>
          <w:sz w:val="21"/>
          <w:szCs w:val="21"/>
        </w:rPr>
        <w:t>[M].</w:t>
      </w:r>
      <w:r>
        <w:rPr>
          <w:rFonts w:hint="eastAsia" w:ascii="Calibri" w:hAnsi="Calibri" w:eastAsia="宋体" w:cs="Times New Roman"/>
          <w:color w:val="auto"/>
          <w:sz w:val="21"/>
          <w:szCs w:val="21"/>
        </w:rPr>
        <w:t>北京：高等教育出版社，</w:t>
      </w:r>
      <w:r>
        <w:rPr>
          <w:rFonts w:ascii="Calibri" w:hAnsi="Calibri" w:eastAsia="宋体" w:cs="Times New Roman"/>
          <w:color w:val="auto"/>
          <w:sz w:val="21"/>
          <w:szCs w:val="21"/>
        </w:rPr>
        <w:t>20</w:t>
      </w:r>
      <w:r>
        <w:rPr>
          <w:rFonts w:hint="eastAsia" w:ascii="Calibri" w:hAnsi="Calibri" w:eastAsia="宋体" w:cs="Times New Roman"/>
          <w:color w:val="auto"/>
          <w:sz w:val="21"/>
          <w:szCs w:val="21"/>
        </w:rPr>
        <w:t>23</w:t>
      </w:r>
      <w:r>
        <w:rPr>
          <w:rFonts w:ascii="Calibri" w:hAnsi="Calibri" w:eastAsia="宋体" w:cs="Times New Roman"/>
          <w:color w:val="auto"/>
          <w:sz w:val="21"/>
          <w:szCs w:val="21"/>
        </w:rPr>
        <w:t>.</w:t>
      </w:r>
    </w:p>
    <w:p w14:paraId="4EC0BC17">
      <w:pPr>
        <w:spacing w:line="360" w:lineRule="auto"/>
        <w:rPr>
          <w:rFonts w:ascii="Calibri" w:hAnsi="Calibri" w:eastAsia="宋体" w:cs="Times New Roman"/>
          <w:color w:val="auto"/>
          <w:sz w:val="21"/>
          <w:szCs w:val="21"/>
        </w:rPr>
      </w:pPr>
    </w:p>
    <w:p w14:paraId="52FC8F17">
      <w:pPr>
        <w:keepNext w:val="0"/>
        <w:keepLines w:val="0"/>
        <w:pageBreakBefore w:val="0"/>
        <w:widowControl w:val="0"/>
        <w:kinsoku/>
        <w:wordWrap/>
        <w:overflowPunct/>
        <w:topLinePunct w:val="0"/>
        <w:autoSpaceDE w:val="0"/>
        <w:autoSpaceDN w:val="0"/>
        <w:bidi w:val="0"/>
        <w:adjustRightInd w:val="0"/>
        <w:snapToGrid w:val="0"/>
        <w:spacing w:line="360" w:lineRule="auto"/>
        <w:ind w:right="0"/>
        <w:jc w:val="right"/>
        <w:textAlignment w:val="auto"/>
        <w:rPr>
          <w:rFonts w:ascii="Calibri" w:hAnsi="Calibri" w:eastAsia="宋体" w:cs="Times New Roman"/>
          <w:color w:val="auto"/>
          <w:kern w:val="0"/>
          <w:sz w:val="21"/>
          <w:szCs w:val="18"/>
        </w:rPr>
      </w:pPr>
      <w:r>
        <w:rPr>
          <w:rFonts w:hint="eastAsia" w:ascii="Calibri" w:hAnsi="Calibri" w:eastAsia="宋体" w:cs="Times New Roman"/>
          <w:color w:val="auto"/>
          <w:kern w:val="0"/>
          <w:sz w:val="21"/>
          <w:szCs w:val="18"/>
        </w:rPr>
        <w:t>执笔人：赵振杰</w:t>
      </w:r>
    </w:p>
    <w:p w14:paraId="3E0A4783">
      <w:pPr>
        <w:keepNext w:val="0"/>
        <w:keepLines w:val="0"/>
        <w:pageBreakBefore w:val="0"/>
        <w:widowControl w:val="0"/>
        <w:kinsoku/>
        <w:wordWrap/>
        <w:overflowPunct/>
        <w:topLinePunct w:val="0"/>
        <w:autoSpaceDE w:val="0"/>
        <w:autoSpaceDN w:val="0"/>
        <w:bidi w:val="0"/>
        <w:adjustRightInd w:val="0"/>
        <w:snapToGrid w:val="0"/>
        <w:spacing w:line="360" w:lineRule="auto"/>
        <w:ind w:right="0"/>
        <w:jc w:val="right"/>
        <w:textAlignment w:val="auto"/>
        <w:rPr>
          <w:rFonts w:ascii="Calibri" w:hAnsi="Calibri" w:eastAsia="宋体" w:cs="Times New Roman"/>
          <w:color w:val="auto"/>
          <w:kern w:val="0"/>
          <w:sz w:val="21"/>
          <w:szCs w:val="18"/>
        </w:rPr>
      </w:pPr>
      <w:r>
        <w:rPr>
          <w:rFonts w:hint="eastAsia" w:ascii="Calibri" w:hAnsi="Calibri" w:eastAsia="宋体" w:cs="Times New Roman"/>
          <w:color w:val="auto"/>
          <w:kern w:val="0"/>
          <w:sz w:val="21"/>
          <w:szCs w:val="18"/>
        </w:rPr>
        <w:t>审定人：王  健</w:t>
      </w:r>
    </w:p>
    <w:p w14:paraId="2B66447B">
      <w:pPr>
        <w:keepNext w:val="0"/>
        <w:keepLines w:val="0"/>
        <w:pageBreakBefore w:val="0"/>
        <w:widowControl w:val="0"/>
        <w:kinsoku/>
        <w:wordWrap/>
        <w:overflowPunct/>
        <w:topLinePunct w:val="0"/>
        <w:autoSpaceDE w:val="0"/>
        <w:autoSpaceDN w:val="0"/>
        <w:bidi w:val="0"/>
        <w:adjustRightInd w:val="0"/>
        <w:snapToGrid w:val="0"/>
        <w:spacing w:line="360" w:lineRule="auto"/>
        <w:ind w:right="0"/>
        <w:jc w:val="right"/>
        <w:textAlignment w:val="auto"/>
        <w:rPr>
          <w:rFonts w:ascii="Calibri" w:hAnsi="Calibri" w:eastAsia="宋体" w:cs="Times New Roman"/>
          <w:color w:val="auto"/>
          <w:kern w:val="0"/>
          <w:sz w:val="21"/>
          <w:szCs w:val="18"/>
        </w:rPr>
      </w:pPr>
      <w:r>
        <w:rPr>
          <w:rFonts w:hint="eastAsia" w:ascii="Calibri" w:hAnsi="Calibri" w:eastAsia="宋体" w:cs="Times New Roman"/>
          <w:color w:val="auto"/>
          <w:kern w:val="0"/>
          <w:sz w:val="21"/>
          <w:szCs w:val="18"/>
        </w:rPr>
        <w:t>审批人：张志欣</w:t>
      </w:r>
    </w:p>
    <w:p w14:paraId="2D7C723D">
      <w:pPr>
        <w:keepNext w:val="0"/>
        <w:keepLines w:val="0"/>
        <w:pageBreakBefore w:val="0"/>
        <w:widowControl w:val="0"/>
        <w:kinsoku/>
        <w:wordWrap/>
        <w:overflowPunct/>
        <w:topLinePunct w:val="0"/>
        <w:bidi w:val="0"/>
        <w:adjustRightInd w:val="0"/>
        <w:snapToGrid w:val="0"/>
        <w:spacing w:line="360" w:lineRule="auto"/>
        <w:ind w:right="0"/>
        <w:jc w:val="right"/>
        <w:textAlignment w:val="auto"/>
        <w:rPr>
          <w:rFonts w:hint="eastAsia" w:ascii="宋体" w:hAnsi="宋体" w:eastAsia="宋体" w:cs="Times New Roman"/>
          <w:color w:val="auto"/>
          <w:kern w:val="0"/>
          <w:sz w:val="21"/>
          <w:szCs w:val="18"/>
          <w:lang w:eastAsia="zh-CN"/>
        </w:rPr>
      </w:pPr>
      <w:r>
        <w:rPr>
          <w:rFonts w:hint="eastAsia" w:ascii="宋体" w:hAnsi="宋体" w:eastAsia="宋体" w:cs="Times New Roman"/>
          <w:color w:val="auto"/>
          <w:kern w:val="0"/>
          <w:sz w:val="21"/>
          <w:szCs w:val="18"/>
          <w:lang w:eastAsia="zh-CN"/>
        </w:rPr>
        <w:t>批准时间：2025年7月1日</w:t>
      </w:r>
    </w:p>
    <w:p w14:paraId="3A8190AE">
      <w:pPr>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17982DC4">
      <w:pPr>
        <w:spacing w:line="360" w:lineRule="auto"/>
        <w:jc w:val="center"/>
        <w:outlineLvl w:val="0"/>
        <w:rPr>
          <w:rFonts w:hint="eastAsia" w:ascii="Times New Roman" w:hAnsi="Times New Roman" w:eastAsia="宋体" w:cs="Times New Roman"/>
          <w:b/>
          <w:sz w:val="44"/>
          <w:szCs w:val="44"/>
        </w:rPr>
      </w:pPr>
      <w:bookmarkStart w:id="226" w:name="_Toc20541"/>
      <w:bookmarkStart w:id="227" w:name="_Toc1396"/>
      <w:r>
        <w:rPr>
          <w:rFonts w:hint="eastAsia" w:ascii="Times New Roman" w:hAnsi="Times New Roman" w:eastAsia="宋体" w:cs="Times New Roman"/>
          <w:b/>
          <w:sz w:val="44"/>
          <w:szCs w:val="44"/>
        </w:rPr>
        <w:t>《教师职业道德》课程教学大纲</w:t>
      </w:r>
      <w:bookmarkEnd w:id="226"/>
      <w:bookmarkEnd w:id="227"/>
    </w:p>
    <w:p w14:paraId="442087C7">
      <w:pPr>
        <w:spacing w:line="276" w:lineRule="auto"/>
        <w:jc w:val="center"/>
        <w:rPr>
          <w:rFonts w:ascii="Times New Roman" w:hAnsi="Times New Roman" w:eastAsia="宋体" w:cs="Times New Roman"/>
          <w:b/>
          <w:bCs/>
          <w:color w:val="auto"/>
          <w:sz w:val="28"/>
        </w:rPr>
      </w:pPr>
      <w:r>
        <w:rPr>
          <w:rFonts w:ascii="Times New Roman" w:hAnsi="Times New Roman" w:eastAsia="宋体" w:cs="Times New Roman"/>
          <w:b/>
          <w:bCs/>
          <w:color w:val="auto"/>
          <w:sz w:val="28"/>
        </w:rPr>
        <w:t>（Professional Ethics of Teachers）</w:t>
      </w:r>
    </w:p>
    <w:p w14:paraId="04412711">
      <w:pPr>
        <w:spacing w:line="360" w:lineRule="auto"/>
        <w:ind w:firstLine="422" w:firstLineChars="200"/>
        <w:rPr>
          <w:rFonts w:hint="eastAsia" w:ascii="宋体" w:hAnsi="宋体" w:eastAsia="宋体" w:cs="Times New Roman"/>
          <w:b/>
          <w:sz w:val="21"/>
          <w:szCs w:val="22"/>
        </w:rPr>
      </w:pPr>
    </w:p>
    <w:p w14:paraId="142DDAA9">
      <w:pPr>
        <w:spacing w:line="360" w:lineRule="auto"/>
        <w:ind w:firstLine="482" w:firstLineChars="200"/>
        <w:rPr>
          <w:rFonts w:hint="eastAsia" w:ascii="宋体" w:hAnsi="宋体" w:eastAsia="宋体" w:cs="Times New Roman"/>
          <w:b/>
          <w:sz w:val="24"/>
          <w:szCs w:val="28"/>
        </w:rPr>
      </w:pPr>
      <w:r>
        <w:rPr>
          <w:rFonts w:hint="eastAsia" w:ascii="宋体" w:hAnsi="宋体" w:eastAsia="宋体" w:cs="Times New Roman"/>
          <w:b/>
          <w:sz w:val="24"/>
          <w:szCs w:val="28"/>
        </w:rPr>
        <w:t>课程名称：教师职业道德</w:t>
      </w:r>
    </w:p>
    <w:p w14:paraId="3E2A3FB0">
      <w:pPr>
        <w:spacing w:line="360" w:lineRule="auto"/>
        <w:ind w:firstLine="482" w:firstLineChars="200"/>
        <w:rPr>
          <w:rFonts w:hint="eastAsia" w:ascii="宋体" w:hAnsi="宋体" w:eastAsia="宋体" w:cs="Times New Roman"/>
          <w:b/>
          <w:sz w:val="24"/>
          <w:szCs w:val="28"/>
        </w:rPr>
      </w:pPr>
      <w:r>
        <w:rPr>
          <w:rFonts w:hint="eastAsia" w:ascii="宋体" w:hAnsi="宋体" w:eastAsia="宋体" w:cs="Times New Roman"/>
          <w:b/>
          <w:sz w:val="24"/>
          <w:szCs w:val="28"/>
        </w:rPr>
        <w:t>课程代码：2</w:t>
      </w:r>
      <w:r>
        <w:rPr>
          <w:rFonts w:ascii="宋体" w:hAnsi="宋体" w:eastAsia="宋体" w:cs="Times New Roman"/>
          <w:b/>
          <w:sz w:val="24"/>
          <w:szCs w:val="28"/>
        </w:rPr>
        <w:t>401009</w:t>
      </w:r>
    </w:p>
    <w:p w14:paraId="75DA28E9">
      <w:pPr>
        <w:spacing w:line="360" w:lineRule="auto"/>
        <w:ind w:firstLine="482" w:firstLineChars="200"/>
        <w:rPr>
          <w:rFonts w:hint="eastAsia" w:ascii="宋体" w:hAnsi="宋体" w:eastAsia="宋体" w:cs="Times New Roman"/>
          <w:b/>
          <w:sz w:val="24"/>
          <w:szCs w:val="28"/>
        </w:rPr>
      </w:pPr>
      <w:r>
        <w:rPr>
          <w:rFonts w:hint="eastAsia" w:ascii="宋体" w:hAnsi="宋体" w:eastAsia="宋体" w:cs="Times New Roman"/>
          <w:b/>
          <w:sz w:val="24"/>
          <w:szCs w:val="28"/>
        </w:rPr>
        <w:t xml:space="preserve">学 </w:t>
      </w:r>
      <w:r>
        <w:rPr>
          <w:rFonts w:ascii="宋体" w:hAnsi="宋体" w:eastAsia="宋体" w:cs="Times New Roman"/>
          <w:b/>
          <w:sz w:val="24"/>
          <w:szCs w:val="28"/>
        </w:rPr>
        <w:t xml:space="preserve"> </w:t>
      </w:r>
      <w:r>
        <w:rPr>
          <w:rFonts w:hint="eastAsia" w:ascii="宋体" w:hAnsi="宋体" w:eastAsia="宋体" w:cs="Times New Roman"/>
          <w:b/>
          <w:sz w:val="24"/>
          <w:szCs w:val="28"/>
        </w:rPr>
        <w:t>分：1</w:t>
      </w:r>
    </w:p>
    <w:p w14:paraId="4D607B03">
      <w:pPr>
        <w:spacing w:line="360" w:lineRule="auto"/>
        <w:ind w:firstLine="482" w:firstLineChars="200"/>
        <w:rPr>
          <w:rFonts w:hint="eastAsia" w:ascii="宋体" w:hAnsi="宋体" w:eastAsia="宋体" w:cs="Times New Roman"/>
          <w:b/>
          <w:sz w:val="24"/>
          <w:szCs w:val="28"/>
        </w:rPr>
      </w:pPr>
      <w:r>
        <w:rPr>
          <w:rFonts w:hint="eastAsia" w:ascii="宋体" w:hAnsi="宋体" w:eastAsia="宋体" w:cs="Times New Roman"/>
          <w:b/>
          <w:sz w:val="24"/>
          <w:szCs w:val="28"/>
        </w:rPr>
        <w:t xml:space="preserve">学 </w:t>
      </w:r>
      <w:r>
        <w:rPr>
          <w:rFonts w:ascii="宋体" w:hAnsi="宋体" w:eastAsia="宋体" w:cs="Times New Roman"/>
          <w:b/>
          <w:sz w:val="24"/>
          <w:szCs w:val="28"/>
        </w:rPr>
        <w:t xml:space="preserve"> </w:t>
      </w:r>
      <w:r>
        <w:rPr>
          <w:rFonts w:hint="eastAsia" w:ascii="宋体" w:hAnsi="宋体" w:eastAsia="宋体" w:cs="Times New Roman"/>
          <w:b/>
          <w:sz w:val="24"/>
          <w:szCs w:val="28"/>
        </w:rPr>
        <w:t>时：1</w:t>
      </w:r>
      <w:r>
        <w:rPr>
          <w:rFonts w:ascii="宋体" w:hAnsi="宋体" w:eastAsia="宋体" w:cs="Times New Roman"/>
          <w:b/>
          <w:sz w:val="24"/>
          <w:szCs w:val="28"/>
        </w:rPr>
        <w:t>6</w:t>
      </w:r>
    </w:p>
    <w:p w14:paraId="095C1269">
      <w:pPr>
        <w:spacing w:line="360" w:lineRule="auto"/>
        <w:ind w:firstLine="482" w:firstLineChars="200"/>
        <w:rPr>
          <w:rFonts w:hint="eastAsia" w:ascii="宋体" w:hAnsi="宋体" w:eastAsia="宋体" w:cs="Times New Roman"/>
          <w:b/>
          <w:sz w:val="24"/>
          <w:szCs w:val="28"/>
        </w:rPr>
      </w:pPr>
      <w:r>
        <w:rPr>
          <w:rFonts w:hint="eastAsia" w:ascii="宋体" w:hAnsi="宋体" w:eastAsia="宋体" w:cs="Times New Roman"/>
          <w:b/>
          <w:sz w:val="24"/>
          <w:szCs w:val="28"/>
        </w:rPr>
        <w:t>先修课程：专业导学</w:t>
      </w:r>
    </w:p>
    <w:p w14:paraId="2C3B0456">
      <w:pPr>
        <w:spacing w:line="360" w:lineRule="auto"/>
        <w:ind w:firstLine="482" w:firstLineChars="200"/>
        <w:rPr>
          <w:rFonts w:hint="eastAsia" w:ascii="宋体" w:hAnsi="宋体" w:eastAsia="宋体" w:cs="Times New Roman"/>
          <w:sz w:val="24"/>
          <w:szCs w:val="28"/>
        </w:rPr>
      </w:pPr>
      <w:r>
        <w:rPr>
          <w:rFonts w:hint="eastAsia" w:ascii="宋体" w:hAnsi="宋体" w:eastAsia="宋体" w:cs="Times New Roman"/>
          <w:b/>
          <w:sz w:val="24"/>
          <w:szCs w:val="28"/>
        </w:rPr>
        <w:t>适用专业</w:t>
      </w:r>
      <w:r>
        <w:rPr>
          <w:rFonts w:hint="eastAsia" w:ascii="宋体" w:hAnsi="宋体" w:eastAsia="宋体" w:cs="Times New Roman"/>
          <w:b/>
          <w:bCs/>
          <w:sz w:val="24"/>
          <w:szCs w:val="28"/>
        </w:rPr>
        <w:t>：小学教育</w:t>
      </w:r>
    </w:p>
    <w:p w14:paraId="0C631415">
      <w:pPr>
        <w:spacing w:before="62" w:beforeLines="20" w:after="62" w:afterLines="20" w:line="360" w:lineRule="auto"/>
        <w:jc w:val="left"/>
        <w:rPr>
          <w:rFonts w:ascii="Times New Roman" w:hAnsi="Times New Roman" w:eastAsia="宋体" w:cs="Times New Roman"/>
          <w:b/>
          <w:sz w:val="24"/>
        </w:rPr>
      </w:pPr>
      <w:bookmarkStart w:id="228" w:name="_Toc15160"/>
      <w:bookmarkStart w:id="229" w:name="_Toc1197"/>
      <w:bookmarkStart w:id="230" w:name="_Toc4564"/>
      <w:bookmarkStart w:id="231" w:name="_Toc6916"/>
      <w:bookmarkStart w:id="232" w:name="_Toc24030"/>
      <w:bookmarkStart w:id="233" w:name="_Toc8174"/>
      <w:bookmarkStart w:id="234" w:name="_Toc7769"/>
      <w:r>
        <w:rPr>
          <w:rFonts w:hint="eastAsia" w:ascii="Times New Roman" w:hAnsi="Times New Roman" w:eastAsia="宋体" w:cs="Times New Roman"/>
          <w:b/>
          <w:sz w:val="24"/>
        </w:rPr>
        <w:t>一、课程简介</w:t>
      </w:r>
      <w:bookmarkEnd w:id="228"/>
      <w:bookmarkEnd w:id="229"/>
      <w:bookmarkEnd w:id="230"/>
      <w:bookmarkEnd w:id="231"/>
      <w:bookmarkEnd w:id="232"/>
      <w:bookmarkEnd w:id="233"/>
      <w:bookmarkEnd w:id="234"/>
    </w:p>
    <w:p w14:paraId="500620B3">
      <w:pPr>
        <w:spacing w:line="360" w:lineRule="auto"/>
        <w:ind w:firstLine="420" w:firstLineChars="200"/>
        <w:rPr>
          <w:rFonts w:hint="eastAsia" w:ascii="宋体" w:hAnsi="宋体" w:eastAsia="宋体" w:cs="Times New Roman"/>
          <w:szCs w:val="22"/>
        </w:rPr>
      </w:pPr>
      <w:r>
        <w:rPr>
          <w:rFonts w:hint="eastAsia" w:ascii="宋体" w:hAnsi="宋体" w:eastAsia="宋体" w:cs="Times New Roman"/>
          <w:szCs w:val="21"/>
        </w:rPr>
        <w:t>《教师职业道德》是小学教育专业必修课程。通过本课程的学习，旨在使师范生系统了解教师职业道德的内涵、理论、基本内容与规范，正确认识和理解教育工作、教师职业劳动与社会、国家、集体、他人的关系，全面了解并积极践行教师职业道德规范，掌握教师职业道德修养的途径与方法，自觉提高自身素质，以便在未来更好地教书育人、做好教育教学工作，为建设新时代特色社会主义强国尽职尽责。</w:t>
      </w:r>
    </w:p>
    <w:p w14:paraId="16216047">
      <w:pPr>
        <w:spacing w:before="62" w:beforeLines="20" w:after="62" w:afterLines="20" w:line="360" w:lineRule="auto"/>
        <w:jc w:val="left"/>
        <w:rPr>
          <w:rFonts w:ascii="Times New Roman" w:hAnsi="Times New Roman" w:eastAsia="宋体" w:cs="Times New Roman"/>
          <w:b/>
          <w:sz w:val="24"/>
        </w:rPr>
      </w:pPr>
      <w:bookmarkStart w:id="235" w:name="_Toc31235"/>
      <w:bookmarkStart w:id="236" w:name="_Toc23657"/>
      <w:bookmarkStart w:id="237" w:name="_Toc2016"/>
      <w:bookmarkStart w:id="238" w:name="_Toc14952"/>
      <w:bookmarkStart w:id="239" w:name="_Toc18290"/>
      <w:bookmarkStart w:id="240" w:name="_Toc608"/>
      <w:r>
        <w:rPr>
          <w:rFonts w:hint="eastAsia" w:ascii="Times New Roman" w:hAnsi="Times New Roman" w:eastAsia="宋体" w:cs="Times New Roman"/>
          <w:b/>
          <w:sz w:val="24"/>
        </w:rPr>
        <w:t>二、课程目标</w:t>
      </w:r>
      <w:bookmarkEnd w:id="235"/>
      <w:bookmarkEnd w:id="236"/>
      <w:bookmarkEnd w:id="237"/>
      <w:bookmarkEnd w:id="238"/>
      <w:bookmarkEnd w:id="239"/>
      <w:bookmarkEnd w:id="240"/>
    </w:p>
    <w:p w14:paraId="197730D4">
      <w:pPr>
        <w:adjustRightInd w:val="0"/>
        <w:snapToGrid w:val="0"/>
        <w:spacing w:line="360" w:lineRule="auto"/>
        <w:ind w:firstLine="527" w:firstLineChars="250"/>
        <w:outlineLvl w:val="1"/>
        <w:rPr>
          <w:rFonts w:hint="eastAsia" w:ascii="宋体" w:hAnsi="宋体" w:eastAsia="宋体" w:cs="Times New Roman"/>
          <w:b/>
          <w:szCs w:val="22"/>
        </w:rPr>
      </w:pPr>
      <w:bookmarkStart w:id="241" w:name="_Toc21820"/>
      <w:bookmarkStart w:id="242" w:name="_Toc2823"/>
      <w:r>
        <w:rPr>
          <w:rFonts w:hint="eastAsia" w:ascii="宋体" w:hAnsi="宋体" w:eastAsia="宋体" w:cs="Times New Roman"/>
          <w:b/>
          <w:szCs w:val="22"/>
        </w:rPr>
        <w:t>（一）课程具体目标</w:t>
      </w:r>
      <w:bookmarkEnd w:id="241"/>
      <w:bookmarkEnd w:id="242"/>
    </w:p>
    <w:p w14:paraId="0C98EEDD">
      <w:pPr>
        <w:adjustRightInd w:val="0"/>
        <w:snapToGrid w:val="0"/>
        <w:spacing w:line="360" w:lineRule="auto"/>
        <w:ind w:firstLine="420" w:firstLineChars="200"/>
        <w:rPr>
          <w:rFonts w:hint="eastAsia" w:ascii="宋体" w:hAnsi="宋体" w:eastAsia="宋体" w:cs="Times New Roman"/>
          <w:szCs w:val="22"/>
        </w:rPr>
      </w:pPr>
      <w:r>
        <w:rPr>
          <w:rFonts w:hint="eastAsia" w:ascii="宋体" w:hAnsi="宋体" w:eastAsia="宋体" w:cs="Times New Roman"/>
          <w:szCs w:val="22"/>
        </w:rPr>
        <w:t>目标1.了解教师职业道德的基本概念、基本理论、基本规范，理解教师职业道德在提高教师自身素质和教书育人方面的价值与意义。</w:t>
      </w:r>
    </w:p>
    <w:p w14:paraId="62105073">
      <w:pPr>
        <w:adjustRightInd w:val="0"/>
        <w:snapToGrid w:val="0"/>
        <w:spacing w:line="360" w:lineRule="auto"/>
        <w:ind w:firstLine="420" w:firstLineChars="200"/>
        <w:rPr>
          <w:rFonts w:hint="eastAsia" w:ascii="宋体" w:hAnsi="宋体" w:eastAsia="宋体" w:cs="Times New Roman"/>
          <w:szCs w:val="22"/>
        </w:rPr>
      </w:pPr>
      <w:r>
        <w:rPr>
          <w:rFonts w:hint="eastAsia" w:ascii="宋体" w:hAnsi="宋体" w:eastAsia="宋体" w:cs="Times New Roman"/>
          <w:szCs w:val="22"/>
        </w:rPr>
        <w:t>目标2</w:t>
      </w:r>
      <w:r>
        <w:rPr>
          <w:rFonts w:ascii="宋体" w:hAnsi="宋体" w:eastAsia="宋体" w:cs="Times New Roman"/>
          <w:szCs w:val="22"/>
        </w:rPr>
        <w:t>.</w:t>
      </w:r>
      <w:r>
        <w:rPr>
          <w:rFonts w:hint="eastAsia" w:ascii="宋体" w:hAnsi="宋体" w:eastAsia="宋体" w:cs="Times New Roman"/>
          <w:szCs w:val="22"/>
        </w:rPr>
        <w:t>掌握教师职业道德评价的方法、原则、理念等，会运用教师职业道德规范评判教师日常行为。</w:t>
      </w:r>
    </w:p>
    <w:p w14:paraId="26EB4683">
      <w:pPr>
        <w:adjustRightInd w:val="0"/>
        <w:snapToGrid w:val="0"/>
        <w:spacing w:line="360" w:lineRule="auto"/>
        <w:ind w:firstLine="420" w:firstLineChars="200"/>
        <w:rPr>
          <w:rFonts w:hint="eastAsia" w:ascii="宋体" w:hAnsi="宋体" w:eastAsia="宋体" w:cs="Times New Roman"/>
          <w:szCs w:val="22"/>
        </w:rPr>
      </w:pPr>
      <w:r>
        <w:rPr>
          <w:rFonts w:hint="eastAsia" w:ascii="宋体" w:hAnsi="宋体" w:eastAsia="宋体" w:cs="Times New Roman"/>
          <w:szCs w:val="22"/>
        </w:rPr>
        <w:t>目标3.正确认识教师与学生、与学生家长、与其他教师之间的关系，掌握调适相互关系的原则与办法。</w:t>
      </w:r>
    </w:p>
    <w:p w14:paraId="2AFCD74C">
      <w:pPr>
        <w:adjustRightInd w:val="0"/>
        <w:snapToGrid w:val="0"/>
        <w:spacing w:line="360" w:lineRule="auto"/>
        <w:ind w:firstLine="420" w:firstLineChars="200"/>
        <w:rPr>
          <w:rFonts w:hint="eastAsia" w:ascii="宋体" w:hAnsi="宋体" w:eastAsia="宋体" w:cs="Times New Roman"/>
          <w:szCs w:val="22"/>
        </w:rPr>
      </w:pPr>
      <w:r>
        <w:rPr>
          <w:rFonts w:hint="eastAsia" w:ascii="宋体" w:hAnsi="宋体" w:eastAsia="宋体" w:cs="Times New Roman"/>
          <w:szCs w:val="22"/>
        </w:rPr>
        <w:t>目标</w:t>
      </w:r>
      <w:r>
        <w:rPr>
          <w:rFonts w:ascii="宋体" w:hAnsi="宋体" w:eastAsia="宋体" w:cs="Times New Roman"/>
          <w:szCs w:val="22"/>
        </w:rPr>
        <w:t>4</w:t>
      </w:r>
      <w:r>
        <w:rPr>
          <w:rFonts w:hint="eastAsia" w:ascii="宋体" w:hAnsi="宋体" w:eastAsia="宋体" w:cs="Times New Roman"/>
          <w:szCs w:val="22"/>
        </w:rPr>
        <w:t>.理解教师职业道德修养的途径与方法，自觉提高自身素养，促进自身师德发展。</w:t>
      </w:r>
    </w:p>
    <w:p w14:paraId="4D6FB2B1">
      <w:pPr>
        <w:numPr>
          <w:ilvl w:val="0"/>
          <w:numId w:val="0"/>
        </w:numPr>
        <w:adjustRightInd w:val="0"/>
        <w:snapToGrid w:val="0"/>
        <w:spacing w:line="360" w:lineRule="auto"/>
        <w:ind w:leftChars="200"/>
        <w:outlineLvl w:val="1"/>
        <w:rPr>
          <w:rFonts w:hint="eastAsia" w:ascii="宋体" w:hAnsi="宋体" w:eastAsia="宋体" w:cs="Times New Roman"/>
          <w:b/>
          <w:szCs w:val="22"/>
        </w:rPr>
      </w:pPr>
      <w:bookmarkStart w:id="243" w:name="_Toc14272"/>
      <w:bookmarkStart w:id="244" w:name="_Toc14520"/>
      <w:r>
        <w:rPr>
          <w:rFonts w:hint="eastAsia" w:ascii="宋体" w:hAnsi="宋体" w:eastAsia="宋体" w:cs="Times New Roman"/>
          <w:b/>
          <w:szCs w:val="22"/>
          <w:lang w:eastAsia="zh-CN"/>
        </w:rPr>
        <w:t>（</w:t>
      </w:r>
      <w:r>
        <w:rPr>
          <w:rFonts w:hint="eastAsia" w:ascii="宋体" w:hAnsi="宋体" w:eastAsia="宋体" w:cs="Times New Roman"/>
          <w:b/>
          <w:szCs w:val="22"/>
          <w:lang w:val="en-US" w:eastAsia="zh-CN"/>
        </w:rPr>
        <w:t>二</w:t>
      </w:r>
      <w:r>
        <w:rPr>
          <w:rFonts w:hint="eastAsia" w:ascii="宋体" w:hAnsi="宋体" w:eastAsia="宋体" w:cs="Times New Roman"/>
          <w:b/>
          <w:szCs w:val="22"/>
          <w:lang w:eastAsia="zh-CN"/>
        </w:rPr>
        <w:t>）</w:t>
      </w:r>
      <w:r>
        <w:rPr>
          <w:rFonts w:hint="eastAsia" w:ascii="宋体" w:hAnsi="宋体" w:eastAsia="宋体" w:cs="Times New Roman"/>
          <w:b/>
          <w:szCs w:val="22"/>
        </w:rPr>
        <w:t>课程目标及其对毕业要求指标点的支撑</w:t>
      </w:r>
      <w:bookmarkEnd w:id="243"/>
      <w:bookmarkEnd w:id="244"/>
    </w:p>
    <w:p w14:paraId="290ECF90">
      <w:pPr>
        <w:widowControl w:val="0"/>
        <w:numPr>
          <w:ilvl w:val="0"/>
          <w:numId w:val="0"/>
        </w:numPr>
        <w:adjustRightInd w:val="0"/>
        <w:snapToGrid w:val="0"/>
        <w:spacing w:line="360" w:lineRule="auto"/>
        <w:jc w:val="both"/>
        <w:outlineLvl w:val="1"/>
        <w:rPr>
          <w:rFonts w:hint="eastAsia" w:ascii="宋体" w:hAnsi="宋体" w:eastAsia="宋体" w:cs="Times New Roman"/>
          <w:b/>
          <w:szCs w:val="22"/>
        </w:rPr>
      </w:pPr>
    </w:p>
    <w:p w14:paraId="40632687">
      <w:pPr>
        <w:widowControl w:val="0"/>
        <w:numPr>
          <w:ilvl w:val="0"/>
          <w:numId w:val="0"/>
        </w:numPr>
        <w:adjustRightInd w:val="0"/>
        <w:snapToGrid w:val="0"/>
        <w:spacing w:line="360" w:lineRule="auto"/>
        <w:jc w:val="both"/>
        <w:outlineLvl w:val="1"/>
        <w:rPr>
          <w:rFonts w:hint="eastAsia" w:ascii="宋体" w:hAnsi="宋体" w:eastAsia="宋体" w:cs="Times New Roman"/>
          <w:b/>
          <w:szCs w:val="22"/>
        </w:rPr>
      </w:pPr>
    </w:p>
    <w:p w14:paraId="4CB29CC7">
      <w:pPr>
        <w:widowControl w:val="0"/>
        <w:numPr>
          <w:ilvl w:val="0"/>
          <w:numId w:val="0"/>
        </w:numPr>
        <w:adjustRightInd w:val="0"/>
        <w:snapToGrid w:val="0"/>
        <w:spacing w:line="360" w:lineRule="auto"/>
        <w:jc w:val="both"/>
        <w:outlineLvl w:val="1"/>
        <w:rPr>
          <w:rFonts w:hint="eastAsia" w:ascii="宋体" w:hAnsi="宋体" w:eastAsia="宋体" w:cs="Times New Roman"/>
          <w:b/>
          <w:szCs w:val="22"/>
        </w:rPr>
      </w:pPr>
    </w:p>
    <w:p w14:paraId="46E37B0C">
      <w:pPr>
        <w:widowControl w:val="0"/>
        <w:numPr>
          <w:ilvl w:val="0"/>
          <w:numId w:val="0"/>
        </w:numPr>
        <w:adjustRightInd w:val="0"/>
        <w:snapToGrid w:val="0"/>
        <w:spacing w:line="360" w:lineRule="auto"/>
        <w:jc w:val="both"/>
        <w:outlineLvl w:val="1"/>
        <w:rPr>
          <w:rFonts w:hint="eastAsia" w:ascii="宋体" w:hAnsi="宋体" w:eastAsia="宋体" w:cs="Times New Roman"/>
          <w:b/>
          <w:szCs w:val="22"/>
        </w:rPr>
      </w:pPr>
    </w:p>
    <w:p w14:paraId="7BDB75F7">
      <w:pPr>
        <w:widowControl w:val="0"/>
        <w:numPr>
          <w:ilvl w:val="0"/>
          <w:numId w:val="0"/>
        </w:numPr>
        <w:adjustRightInd w:val="0"/>
        <w:snapToGrid w:val="0"/>
        <w:spacing w:line="360" w:lineRule="auto"/>
        <w:jc w:val="both"/>
        <w:outlineLvl w:val="1"/>
        <w:rPr>
          <w:rFonts w:hint="eastAsia" w:ascii="宋体" w:hAnsi="宋体" w:eastAsia="宋体" w:cs="Times New Roman"/>
          <w:b/>
          <w:szCs w:val="22"/>
        </w:rPr>
      </w:pPr>
    </w:p>
    <w:p w14:paraId="7BFA12DA">
      <w:pPr>
        <w:widowControl w:val="0"/>
        <w:numPr>
          <w:ilvl w:val="0"/>
          <w:numId w:val="0"/>
        </w:numPr>
        <w:adjustRightInd w:val="0"/>
        <w:snapToGrid w:val="0"/>
        <w:spacing w:line="360" w:lineRule="auto"/>
        <w:jc w:val="both"/>
        <w:outlineLvl w:val="1"/>
        <w:rPr>
          <w:rFonts w:hint="eastAsia" w:ascii="宋体" w:hAnsi="宋体" w:eastAsia="宋体" w:cs="Times New Roman"/>
          <w:b/>
          <w:szCs w:val="22"/>
        </w:rPr>
      </w:pPr>
    </w:p>
    <w:tbl>
      <w:tblPr>
        <w:tblStyle w:val="16"/>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2"/>
        <w:gridCol w:w="5978"/>
        <w:gridCol w:w="1310"/>
      </w:tblGrid>
      <w:tr w14:paraId="0B05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14:paraId="5F3FF0B3">
            <w:pPr>
              <w:adjustRightInd w:val="0"/>
              <w:snapToGrid w:val="0"/>
              <w:spacing w:line="360" w:lineRule="auto"/>
              <w:jc w:val="center"/>
              <w:rPr>
                <w:rFonts w:hint="eastAsia" w:ascii="宋体" w:hAnsi="宋体" w:eastAsia="宋体" w:cs="Times New Roman"/>
                <w:b/>
                <w:szCs w:val="21"/>
              </w:rPr>
            </w:pPr>
            <w:r>
              <w:rPr>
                <w:rFonts w:hint="eastAsia" w:ascii="宋体" w:hAnsi="宋体" w:eastAsia="宋体" w:cs="Times New Roman"/>
                <w:b/>
                <w:szCs w:val="21"/>
              </w:rPr>
              <w:t>毕业要求</w:t>
            </w:r>
          </w:p>
        </w:tc>
        <w:tc>
          <w:tcPr>
            <w:tcW w:w="5978" w:type="dxa"/>
          </w:tcPr>
          <w:p w14:paraId="3301E9AE">
            <w:pPr>
              <w:adjustRightInd w:val="0"/>
              <w:snapToGrid w:val="0"/>
              <w:spacing w:line="276" w:lineRule="auto"/>
              <w:jc w:val="center"/>
              <w:rPr>
                <w:rFonts w:hint="eastAsia" w:ascii="宋体" w:hAnsi="宋体" w:eastAsia="宋体" w:cs="Times New Roman"/>
                <w:b/>
                <w:szCs w:val="21"/>
              </w:rPr>
            </w:pPr>
            <w:r>
              <w:rPr>
                <w:rFonts w:hint="eastAsia" w:ascii="宋体" w:hAnsi="宋体" w:eastAsia="宋体" w:cs="Times New Roman"/>
                <w:b/>
                <w:szCs w:val="21"/>
              </w:rPr>
              <w:t>毕业要求指标点</w:t>
            </w:r>
          </w:p>
        </w:tc>
        <w:tc>
          <w:tcPr>
            <w:tcW w:w="1310" w:type="dxa"/>
            <w:vAlign w:val="center"/>
          </w:tcPr>
          <w:p w14:paraId="6B6E8C34">
            <w:pPr>
              <w:adjustRightInd w:val="0"/>
              <w:snapToGrid w:val="0"/>
              <w:spacing w:line="360" w:lineRule="auto"/>
              <w:jc w:val="center"/>
              <w:rPr>
                <w:rFonts w:hint="eastAsia" w:ascii="宋体" w:hAnsi="宋体" w:eastAsia="宋体" w:cs="Times New Roman"/>
                <w:b/>
                <w:szCs w:val="21"/>
              </w:rPr>
            </w:pPr>
            <w:r>
              <w:rPr>
                <w:rFonts w:hint="eastAsia" w:ascii="宋体" w:hAnsi="宋体" w:eastAsia="宋体" w:cs="Times New Roman"/>
                <w:b/>
                <w:szCs w:val="21"/>
              </w:rPr>
              <w:t>课标目标</w:t>
            </w:r>
          </w:p>
        </w:tc>
      </w:tr>
      <w:tr w14:paraId="1945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trPr>
        <w:tc>
          <w:tcPr>
            <w:tcW w:w="1212" w:type="dxa"/>
            <w:vAlign w:val="center"/>
          </w:tcPr>
          <w:p w14:paraId="70B78E9B">
            <w:pPr>
              <w:adjustRightInd w:val="0"/>
              <w:snapToGrid w:val="0"/>
              <w:spacing w:line="360"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毕业要求</w:t>
            </w:r>
            <w:r>
              <w:rPr>
                <w:rFonts w:ascii="宋体" w:hAnsi="宋体" w:eastAsia="宋体" w:cs="Times New Roman"/>
                <w:b/>
                <w:kern w:val="0"/>
                <w:szCs w:val="21"/>
              </w:rPr>
              <w:t>1</w:t>
            </w:r>
          </w:p>
          <w:p w14:paraId="4CE6CE0A">
            <w:pPr>
              <w:adjustRightInd w:val="0"/>
              <w:snapToGrid w:val="0"/>
              <w:spacing w:line="360" w:lineRule="auto"/>
              <w:jc w:val="center"/>
              <w:rPr>
                <w:rFonts w:hint="eastAsia" w:ascii="宋体" w:hAnsi="宋体" w:eastAsia="宋体" w:cs="Times New Roman"/>
                <w:b/>
                <w:szCs w:val="21"/>
              </w:rPr>
            </w:pPr>
            <w:r>
              <w:rPr>
                <w:rFonts w:hint="eastAsia" w:ascii="宋体" w:hAnsi="宋体" w:eastAsia="宋体" w:cs="Times New Roman"/>
                <w:b/>
                <w:kern w:val="0"/>
                <w:szCs w:val="21"/>
              </w:rPr>
              <w:t>师德规范</w:t>
            </w:r>
          </w:p>
        </w:tc>
        <w:tc>
          <w:tcPr>
            <w:tcW w:w="5978" w:type="dxa"/>
          </w:tcPr>
          <w:p w14:paraId="4D7B27AE">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
                <w:bCs/>
                <w:szCs w:val="21"/>
                <w:lang w:eastAsia="zh-CN"/>
              </w:rPr>
              <w:t>指标点1-2</w:t>
            </w:r>
            <w:r>
              <w:rPr>
                <w:rFonts w:ascii="宋体" w:hAnsi="宋体" w:eastAsia="宋体" w:cs="Times New Roman"/>
                <w:bCs/>
                <w:szCs w:val="21"/>
              </w:rPr>
              <w:t>:【职业修养良好】以立德树人为己任，掌握立德树人的途径和方法，着眼于学生的全面发展，实施素质教育，培养 学生的核心素养</w:t>
            </w:r>
            <w:r>
              <w:rPr>
                <w:rFonts w:hint="eastAsia" w:ascii="宋体" w:hAnsi="宋体" w:eastAsia="宋体" w:cs="Times New Roman"/>
                <w:bCs/>
                <w:szCs w:val="21"/>
              </w:rPr>
              <w:t>；理</w:t>
            </w:r>
            <w:r>
              <w:rPr>
                <w:rFonts w:ascii="宋体" w:hAnsi="宋体" w:eastAsia="宋体" w:cs="Times New Roman"/>
                <w:bCs/>
                <w:szCs w:val="21"/>
              </w:rPr>
              <w:t>解教师职业道德规范内涵与要求，遵守《新时代中小学教师职业行为十项准则》，依法执教，教育实践中能履行应尽义务，自觉维护学生和自身的合法权益。</w:t>
            </w:r>
          </w:p>
        </w:tc>
        <w:tc>
          <w:tcPr>
            <w:tcW w:w="1310" w:type="dxa"/>
            <w:vAlign w:val="center"/>
          </w:tcPr>
          <w:p w14:paraId="08AE1415">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课程目标1</w:t>
            </w:r>
          </w:p>
        </w:tc>
      </w:tr>
      <w:tr w14:paraId="5AE5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14:paraId="0C661BE1">
            <w:pPr>
              <w:adjustRightInd w:val="0"/>
              <w:snapToGrid w:val="0"/>
              <w:spacing w:line="360" w:lineRule="auto"/>
              <w:jc w:val="center"/>
              <w:rPr>
                <w:rFonts w:hint="eastAsia" w:ascii="宋体" w:hAnsi="宋体" w:eastAsia="宋体" w:cs="Times New Roman"/>
                <w:b/>
                <w:szCs w:val="21"/>
              </w:rPr>
            </w:pPr>
            <w:r>
              <w:rPr>
                <w:rFonts w:hint="eastAsia" w:ascii="宋体" w:hAnsi="宋体" w:eastAsia="宋体" w:cs="Times New Roman"/>
                <w:b/>
                <w:szCs w:val="21"/>
              </w:rPr>
              <w:t>毕业要求2</w:t>
            </w:r>
          </w:p>
          <w:p w14:paraId="4448411C">
            <w:pPr>
              <w:adjustRightInd w:val="0"/>
              <w:snapToGrid w:val="0"/>
              <w:spacing w:line="360" w:lineRule="auto"/>
              <w:jc w:val="center"/>
              <w:rPr>
                <w:rFonts w:hint="eastAsia" w:ascii="宋体" w:hAnsi="宋体" w:eastAsia="宋体" w:cs="Times New Roman"/>
                <w:b/>
                <w:szCs w:val="21"/>
              </w:rPr>
            </w:pPr>
            <w:r>
              <w:rPr>
                <w:rFonts w:hint="eastAsia" w:ascii="宋体" w:hAnsi="宋体" w:eastAsia="宋体" w:cs="Times New Roman"/>
                <w:b/>
                <w:szCs w:val="21"/>
              </w:rPr>
              <w:t>教育情怀</w:t>
            </w:r>
          </w:p>
        </w:tc>
        <w:tc>
          <w:tcPr>
            <w:tcW w:w="5978" w:type="dxa"/>
          </w:tcPr>
          <w:p w14:paraId="22F695C2">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
                <w:bCs/>
                <w:szCs w:val="21"/>
                <w:lang w:eastAsia="zh-CN"/>
              </w:rPr>
              <w:t>指标点2-2</w:t>
            </w:r>
            <w:r>
              <w:rPr>
                <w:rFonts w:hint="eastAsia" w:ascii="宋体" w:hAnsi="宋体" w:eastAsia="宋体" w:cs="Times New Roman"/>
                <w:bCs/>
                <w:szCs w:val="21"/>
              </w:rPr>
              <w:t>：</w:t>
            </w:r>
            <w:r>
              <w:rPr>
                <w:rFonts w:ascii="宋体" w:hAnsi="宋体" w:eastAsia="宋体" w:cs="Times New Roman"/>
                <w:bCs/>
                <w:szCs w:val="21"/>
              </w:rPr>
              <w:t>【仁爱之心深厚】关爱学生，用心从教。具有正确的儿童观，理解、尊重、关爱、保护学生，以儿童发展为教育的中心。爱岗敬业，在教育实践中能认真履行教育教学职责与班主 任工作职责，富有爱心、责任心、工作细心、耐心，做学生学习的促进者、道德品质和创新思维的培养者，奉献祖国的引路人。</w:t>
            </w:r>
          </w:p>
        </w:tc>
        <w:tc>
          <w:tcPr>
            <w:tcW w:w="1310" w:type="dxa"/>
            <w:vAlign w:val="center"/>
          </w:tcPr>
          <w:p w14:paraId="68DBEAFF">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课程目标2</w:t>
            </w:r>
          </w:p>
          <w:p w14:paraId="57D32954">
            <w:pPr>
              <w:adjustRightInd w:val="0"/>
              <w:snapToGrid w:val="0"/>
              <w:spacing w:line="360" w:lineRule="auto"/>
              <w:jc w:val="center"/>
              <w:rPr>
                <w:rFonts w:hint="eastAsia" w:ascii="宋体" w:hAnsi="宋体" w:eastAsia="宋体" w:cs="Times New Roman"/>
                <w:bCs/>
                <w:szCs w:val="21"/>
              </w:rPr>
            </w:pPr>
          </w:p>
        </w:tc>
      </w:tr>
      <w:tr w14:paraId="65A1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14:paraId="2C1C4951">
            <w:pPr>
              <w:adjustRightInd w:val="0"/>
              <w:snapToGrid w:val="0"/>
              <w:spacing w:line="360" w:lineRule="auto"/>
              <w:jc w:val="center"/>
              <w:rPr>
                <w:rFonts w:hint="eastAsia" w:ascii="宋体" w:hAnsi="宋体" w:eastAsia="宋体" w:cs="Times New Roman"/>
                <w:b/>
                <w:szCs w:val="21"/>
              </w:rPr>
            </w:pPr>
            <w:r>
              <w:rPr>
                <w:rFonts w:hint="eastAsia" w:ascii="宋体" w:hAnsi="宋体" w:eastAsia="宋体" w:cs="Times New Roman"/>
                <w:b/>
                <w:szCs w:val="21"/>
              </w:rPr>
              <w:t>毕业要求8</w:t>
            </w:r>
          </w:p>
          <w:p w14:paraId="543575D3">
            <w:pPr>
              <w:adjustRightInd w:val="0"/>
              <w:snapToGrid w:val="0"/>
              <w:spacing w:line="360" w:lineRule="auto"/>
              <w:jc w:val="center"/>
              <w:rPr>
                <w:rFonts w:hint="eastAsia" w:ascii="宋体" w:hAnsi="宋体" w:eastAsia="宋体" w:cs="Times New Roman"/>
                <w:b/>
                <w:szCs w:val="21"/>
              </w:rPr>
            </w:pPr>
            <w:r>
              <w:rPr>
                <w:rFonts w:hint="eastAsia" w:ascii="宋体" w:hAnsi="宋体" w:eastAsia="宋体" w:cs="Times New Roman"/>
                <w:b/>
                <w:szCs w:val="21"/>
              </w:rPr>
              <w:t>沟通合作</w:t>
            </w:r>
          </w:p>
        </w:tc>
        <w:tc>
          <w:tcPr>
            <w:tcW w:w="5978" w:type="dxa"/>
          </w:tcPr>
          <w:p w14:paraId="21F611D8">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
                <w:bCs/>
                <w:szCs w:val="21"/>
                <w:lang w:eastAsia="zh-CN"/>
              </w:rPr>
              <w:t>指标点8-2</w:t>
            </w:r>
            <w:r>
              <w:rPr>
                <w:rFonts w:hint="eastAsia" w:ascii="宋体" w:hAnsi="宋体" w:eastAsia="宋体" w:cs="Times New Roman"/>
                <w:bCs/>
                <w:szCs w:val="21"/>
              </w:rPr>
              <w:t>：</w:t>
            </w:r>
            <w:r>
              <w:rPr>
                <w:rFonts w:ascii="宋体" w:hAnsi="宋体" w:eastAsia="宋体" w:cs="Times New Roman"/>
                <w:bCs/>
                <w:szCs w:val="21"/>
              </w:rPr>
              <w:t>【学会沟通交流】掌握人际沟通合作技能与方法，在教育教学实践中，能与学生和家长以及同行、同事、专家进行有效沟通与合作，实现共同发展。</w:t>
            </w:r>
          </w:p>
        </w:tc>
        <w:tc>
          <w:tcPr>
            <w:tcW w:w="1310" w:type="dxa"/>
            <w:vAlign w:val="center"/>
          </w:tcPr>
          <w:p w14:paraId="76755C33">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课程目标</w:t>
            </w:r>
          </w:p>
          <w:p w14:paraId="338DE545">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3</w:t>
            </w:r>
            <w:r>
              <w:rPr>
                <w:rFonts w:hint="eastAsia" w:ascii="宋体" w:hAnsi="宋体" w:eastAsia="宋体" w:cs="Times New Roman"/>
                <w:bCs/>
                <w:szCs w:val="21"/>
                <w:lang w:eastAsia="zh-CN"/>
              </w:rPr>
              <w:t>、</w:t>
            </w:r>
            <w:r>
              <w:rPr>
                <w:rFonts w:hint="eastAsia" w:ascii="宋体" w:hAnsi="宋体" w:eastAsia="宋体" w:cs="Times New Roman"/>
                <w:bCs/>
                <w:szCs w:val="21"/>
                <w:lang w:val="en-US" w:eastAsia="zh-CN"/>
              </w:rPr>
              <w:t>4</w:t>
            </w:r>
          </w:p>
        </w:tc>
      </w:tr>
    </w:tbl>
    <w:p w14:paraId="7A7DDB3A">
      <w:pPr>
        <w:adjustRightInd w:val="0"/>
        <w:snapToGrid w:val="0"/>
        <w:spacing w:line="360" w:lineRule="auto"/>
        <w:ind w:firstLine="211" w:firstLineChars="100"/>
        <w:rPr>
          <w:rFonts w:hint="eastAsia" w:ascii="宋体" w:hAnsi="宋体" w:eastAsia="宋体" w:cs="Times New Roman"/>
          <w:b/>
          <w:szCs w:val="22"/>
        </w:rPr>
      </w:pPr>
    </w:p>
    <w:p w14:paraId="49503B07">
      <w:pPr>
        <w:adjustRightInd w:val="0"/>
        <w:snapToGrid w:val="0"/>
        <w:spacing w:line="360" w:lineRule="auto"/>
        <w:ind w:firstLine="422" w:firstLineChars="200"/>
        <w:outlineLvl w:val="1"/>
        <w:rPr>
          <w:rFonts w:hint="eastAsia" w:ascii="宋体" w:hAnsi="宋体" w:eastAsia="宋体" w:cs="Times New Roman"/>
          <w:b/>
          <w:szCs w:val="22"/>
        </w:rPr>
      </w:pPr>
      <w:bookmarkStart w:id="245" w:name="_Toc27192"/>
      <w:bookmarkStart w:id="246" w:name="_Toc27350"/>
      <w:r>
        <w:rPr>
          <w:rFonts w:hint="eastAsia" w:ascii="宋体" w:hAnsi="宋体" w:eastAsia="宋体" w:cs="Times New Roman"/>
          <w:b/>
          <w:szCs w:val="22"/>
        </w:rPr>
        <w:t>（三）课程思政目标</w:t>
      </w:r>
      <w:bookmarkEnd w:id="245"/>
      <w:bookmarkEnd w:id="246"/>
    </w:p>
    <w:p w14:paraId="25F5583B">
      <w:pPr>
        <w:adjustRightInd w:val="0"/>
        <w:snapToGrid w:val="0"/>
        <w:spacing w:line="360" w:lineRule="auto"/>
        <w:ind w:firstLine="420" w:firstLineChars="200"/>
        <w:rPr>
          <w:rFonts w:hint="eastAsia" w:ascii="宋体" w:hAnsi="宋体" w:eastAsia="宋体" w:cs="Times New Roman"/>
          <w:bCs/>
          <w:szCs w:val="22"/>
        </w:rPr>
      </w:pPr>
      <w:r>
        <w:rPr>
          <w:rFonts w:ascii="宋体" w:hAnsi="宋体" w:eastAsia="宋体" w:cs="Times New Roman"/>
          <w:bCs/>
          <w:szCs w:val="22"/>
        </w:rPr>
        <w:t>树立正确的教育理念</w:t>
      </w:r>
      <w:r>
        <w:rPr>
          <w:rFonts w:hint="eastAsia" w:ascii="宋体" w:hAnsi="宋体" w:eastAsia="宋体" w:cs="Times New Roman"/>
          <w:bCs/>
          <w:szCs w:val="22"/>
        </w:rPr>
        <w:t>，加深教育情怀和对教育工作的热爱；谦虚好学、持续发展，热爱儿童，关心儿童，遵循教育规律，掌握教育教学的正确方法。</w:t>
      </w:r>
    </w:p>
    <w:p w14:paraId="50469D5C">
      <w:pPr>
        <w:spacing w:before="62" w:beforeLines="20" w:after="62" w:afterLines="20" w:line="360" w:lineRule="auto"/>
        <w:jc w:val="left"/>
        <w:rPr>
          <w:rFonts w:ascii="Times New Roman" w:hAnsi="Times New Roman" w:eastAsia="宋体" w:cs="Times New Roman"/>
          <w:b/>
          <w:sz w:val="24"/>
        </w:rPr>
      </w:pPr>
      <w:bookmarkStart w:id="247" w:name="_Toc22308"/>
      <w:bookmarkStart w:id="248" w:name="_Toc2994"/>
      <w:bookmarkStart w:id="249" w:name="_Toc1980"/>
      <w:bookmarkStart w:id="250" w:name="_Toc4954"/>
      <w:bookmarkStart w:id="251" w:name="_Toc11314"/>
      <w:bookmarkStart w:id="252" w:name="_Toc28308"/>
      <w:bookmarkStart w:id="253" w:name="_Toc25590"/>
      <w:r>
        <w:rPr>
          <w:rFonts w:hint="eastAsia" w:ascii="Times New Roman" w:hAnsi="Times New Roman" w:eastAsia="宋体" w:cs="Times New Roman"/>
          <w:b/>
          <w:sz w:val="24"/>
        </w:rPr>
        <w:t>三、教学内容与预期学习成效</w:t>
      </w:r>
      <w:bookmarkEnd w:id="247"/>
      <w:bookmarkEnd w:id="248"/>
      <w:bookmarkEnd w:id="249"/>
      <w:bookmarkEnd w:id="250"/>
      <w:bookmarkEnd w:id="251"/>
      <w:bookmarkEnd w:id="252"/>
      <w:bookmarkEnd w:id="253"/>
    </w:p>
    <w:tbl>
      <w:tblPr>
        <w:tblStyle w:val="16"/>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2835"/>
        <w:gridCol w:w="1276"/>
        <w:gridCol w:w="2410"/>
        <w:gridCol w:w="1559"/>
        <w:gridCol w:w="476"/>
      </w:tblGrid>
      <w:tr w14:paraId="3CAB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28" w:type="dxa"/>
            <w:vAlign w:val="center"/>
          </w:tcPr>
          <w:p w14:paraId="400FA8AA">
            <w:pPr>
              <w:adjustRightInd w:val="0"/>
              <w:snapToGrid w:val="0"/>
              <w:jc w:val="center"/>
              <w:rPr>
                <w:rFonts w:hint="eastAsia" w:ascii="宋体" w:hAnsi="宋体" w:eastAsia="宋体" w:cs="Times New Roman"/>
                <w:b/>
                <w:szCs w:val="21"/>
              </w:rPr>
            </w:pPr>
            <w:r>
              <w:rPr>
                <w:rFonts w:hint="eastAsia" w:ascii="宋体" w:hAnsi="宋体" w:eastAsia="宋体" w:cs="Times New Roman"/>
                <w:b/>
                <w:szCs w:val="21"/>
              </w:rPr>
              <w:t>知识</w:t>
            </w:r>
          </w:p>
          <w:p w14:paraId="33C65E38">
            <w:pPr>
              <w:adjustRightInd w:val="0"/>
              <w:snapToGrid w:val="0"/>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835" w:type="dxa"/>
            <w:vAlign w:val="center"/>
          </w:tcPr>
          <w:p w14:paraId="5C1969BA">
            <w:pPr>
              <w:adjustRightInd w:val="0"/>
              <w:snapToGrid w:val="0"/>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276" w:type="dxa"/>
            <w:vAlign w:val="center"/>
          </w:tcPr>
          <w:p w14:paraId="55F9E72D">
            <w:pPr>
              <w:adjustRightInd w:val="0"/>
              <w:snapToGrid w:val="0"/>
              <w:jc w:val="center"/>
              <w:rPr>
                <w:rFonts w:hint="eastAsia" w:ascii="宋体" w:hAnsi="宋体" w:eastAsia="宋体" w:cs="Times New Roman"/>
                <w:b/>
                <w:szCs w:val="21"/>
              </w:rPr>
            </w:pPr>
            <w:r>
              <w:rPr>
                <w:rFonts w:hint="eastAsia" w:ascii="宋体" w:hAnsi="宋体" w:eastAsia="宋体" w:cs="Times New Roman"/>
                <w:b/>
                <w:szCs w:val="21"/>
              </w:rPr>
              <w:t>对应</w:t>
            </w:r>
          </w:p>
          <w:p w14:paraId="6F2684AF">
            <w:pPr>
              <w:adjustRightInd w:val="0"/>
              <w:snapToGrid w:val="0"/>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410" w:type="dxa"/>
            <w:vAlign w:val="center"/>
          </w:tcPr>
          <w:p w14:paraId="33BD1786">
            <w:pPr>
              <w:adjustRightInd w:val="0"/>
              <w:snapToGrid w:val="0"/>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59" w:type="dxa"/>
            <w:vAlign w:val="center"/>
          </w:tcPr>
          <w:p w14:paraId="783C4385">
            <w:pPr>
              <w:adjustRightInd w:val="0"/>
              <w:snapToGrid w:val="0"/>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76" w:type="dxa"/>
            <w:vAlign w:val="center"/>
          </w:tcPr>
          <w:p w14:paraId="3AF74F56">
            <w:pPr>
              <w:adjustRightInd w:val="0"/>
              <w:snapToGrid w:val="0"/>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69A2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1128" w:type="dxa"/>
            <w:vMerge w:val="restart"/>
            <w:vAlign w:val="center"/>
          </w:tcPr>
          <w:p w14:paraId="159642B9">
            <w:pPr>
              <w:adjustRightInd w:val="0"/>
              <w:snapToGrid w:val="0"/>
              <w:rPr>
                <w:rFonts w:hint="eastAsia" w:ascii="宋体" w:hAnsi="宋体" w:eastAsia="宋体" w:cs="Times New Roman"/>
                <w:bCs/>
                <w:szCs w:val="21"/>
              </w:rPr>
            </w:pPr>
            <w:r>
              <w:rPr>
                <w:rFonts w:hint="eastAsia" w:ascii="宋体" w:hAnsi="宋体" w:eastAsia="宋体" w:cs="Times New Roman"/>
                <w:bCs/>
                <w:szCs w:val="21"/>
              </w:rPr>
              <w:t>第一章</w:t>
            </w:r>
          </w:p>
          <w:p w14:paraId="408A5D8B">
            <w:pPr>
              <w:adjustRightInd w:val="0"/>
              <w:snapToGrid w:val="0"/>
              <w:rPr>
                <w:rFonts w:hint="eastAsia" w:ascii="宋体" w:hAnsi="宋体" w:eastAsia="宋体" w:cs="Times New Roman"/>
                <w:bCs/>
                <w:szCs w:val="21"/>
              </w:rPr>
            </w:pPr>
            <w:r>
              <w:rPr>
                <w:rFonts w:hint="eastAsia" w:ascii="宋体" w:hAnsi="宋体" w:eastAsia="宋体" w:cs="Times New Roman"/>
                <w:bCs/>
                <w:szCs w:val="21"/>
              </w:rPr>
              <w:t>教育劳动与教师职业道德</w:t>
            </w:r>
          </w:p>
        </w:tc>
        <w:tc>
          <w:tcPr>
            <w:tcW w:w="2835" w:type="dxa"/>
            <w:vAlign w:val="center"/>
          </w:tcPr>
          <w:p w14:paraId="17336907">
            <w:pPr>
              <w:adjustRightInd w:val="0"/>
              <w:snapToGrid w:val="0"/>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.学校教育的价值</w:t>
            </w:r>
          </w:p>
          <w:p w14:paraId="2A50E89E">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.教育劳动的德性</w:t>
            </w:r>
          </w:p>
          <w:p w14:paraId="7CF8BC47">
            <w:pPr>
              <w:adjustRightInd w:val="0"/>
              <w:snapToGrid w:val="0"/>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.教师职业道德的形成与特点</w:t>
            </w:r>
          </w:p>
          <w:p w14:paraId="6D5BE98D">
            <w:pPr>
              <w:adjustRightInd w:val="0"/>
              <w:snapToGrid w:val="0"/>
              <w:rPr>
                <w:rFonts w:hint="eastAsia" w:ascii="宋体" w:hAnsi="宋体" w:eastAsia="宋体" w:cs="Times New Roman"/>
                <w:bCs/>
                <w:szCs w:val="21"/>
              </w:rPr>
            </w:pPr>
            <w:r>
              <w:rPr>
                <w:rFonts w:hint="eastAsia" w:ascii="宋体" w:hAnsi="宋体" w:eastAsia="宋体" w:cs="Times New Roman"/>
                <w:bCs/>
                <w:szCs w:val="21"/>
              </w:rPr>
              <w:t>4</w:t>
            </w:r>
            <w:r>
              <w:rPr>
                <w:rFonts w:ascii="宋体" w:hAnsi="宋体" w:eastAsia="宋体" w:cs="Times New Roman"/>
                <w:bCs/>
                <w:szCs w:val="21"/>
              </w:rPr>
              <w:t>.学习和实践教师职业道德的意义</w:t>
            </w:r>
          </w:p>
        </w:tc>
        <w:tc>
          <w:tcPr>
            <w:tcW w:w="1276" w:type="dxa"/>
            <w:vAlign w:val="center"/>
          </w:tcPr>
          <w:p w14:paraId="7A1BA681">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课程目标1</w:t>
            </w:r>
          </w:p>
        </w:tc>
        <w:tc>
          <w:tcPr>
            <w:tcW w:w="2410" w:type="dxa"/>
            <w:vAlign w:val="center"/>
          </w:tcPr>
          <w:p w14:paraId="11CF8C71">
            <w:pPr>
              <w:adjustRightInd w:val="0"/>
              <w:snapToGrid w:val="0"/>
              <w:rPr>
                <w:rFonts w:hint="eastAsia" w:ascii="宋体" w:hAnsi="宋体" w:eastAsia="宋体" w:cs="Times New Roman"/>
                <w:bCs/>
                <w:szCs w:val="21"/>
              </w:rPr>
            </w:pPr>
            <w:r>
              <w:rPr>
                <w:rFonts w:hint="eastAsia" w:ascii="宋体" w:hAnsi="宋体" w:eastAsia="宋体" w:cs="Times New Roman"/>
                <w:bCs/>
                <w:szCs w:val="21"/>
              </w:rPr>
              <w:t>了解教师劳动的特点，</w:t>
            </w:r>
            <w:r>
              <w:rPr>
                <w:rFonts w:ascii="宋体" w:hAnsi="宋体" w:eastAsia="宋体" w:cs="Times New Roman"/>
                <w:bCs/>
                <w:szCs w:val="21"/>
              </w:rPr>
              <w:t>理解教师劳动的德性价值，认同践行教师职业道德的价值意义。</w:t>
            </w:r>
          </w:p>
        </w:tc>
        <w:tc>
          <w:tcPr>
            <w:tcW w:w="1559" w:type="dxa"/>
            <w:vAlign w:val="center"/>
          </w:tcPr>
          <w:p w14:paraId="624B7BFA">
            <w:pPr>
              <w:adjustRightInd w:val="0"/>
              <w:snapToGrid w:val="0"/>
              <w:rPr>
                <w:rFonts w:hint="eastAsia" w:ascii="宋体" w:hAnsi="宋体" w:eastAsia="宋体" w:cs="Times New Roman"/>
                <w:bCs/>
                <w:szCs w:val="21"/>
              </w:rPr>
            </w:pPr>
            <w:r>
              <w:rPr>
                <w:rFonts w:hint="eastAsia" w:ascii="宋体" w:hAnsi="宋体" w:eastAsia="宋体" w:cs="Times New Roman"/>
                <w:bCs/>
                <w:szCs w:val="21"/>
              </w:rPr>
              <w:t>1.多媒体教学</w:t>
            </w:r>
          </w:p>
          <w:p w14:paraId="04E0171E">
            <w:pPr>
              <w:adjustRightInd w:val="0"/>
              <w:snapToGrid w:val="0"/>
              <w:rPr>
                <w:rFonts w:hint="eastAsia" w:ascii="宋体" w:hAnsi="宋体" w:eastAsia="宋体" w:cs="Times New Roman"/>
                <w:bCs/>
                <w:szCs w:val="21"/>
              </w:rPr>
            </w:pPr>
            <w:r>
              <w:rPr>
                <w:rFonts w:hint="eastAsia" w:ascii="宋体" w:hAnsi="宋体" w:eastAsia="宋体" w:cs="Times New Roman"/>
                <w:bCs/>
                <w:szCs w:val="21"/>
              </w:rPr>
              <w:t>2.案例研讨</w:t>
            </w:r>
          </w:p>
        </w:tc>
        <w:tc>
          <w:tcPr>
            <w:tcW w:w="476" w:type="dxa"/>
            <w:vAlign w:val="center"/>
          </w:tcPr>
          <w:p w14:paraId="23E37F97">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p>
        </w:tc>
      </w:tr>
      <w:tr w14:paraId="1361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128" w:type="dxa"/>
            <w:vMerge w:val="continue"/>
            <w:vAlign w:val="center"/>
          </w:tcPr>
          <w:p w14:paraId="1AE2515F">
            <w:pPr>
              <w:adjustRightInd w:val="0"/>
              <w:snapToGrid w:val="0"/>
              <w:rPr>
                <w:rFonts w:hint="eastAsia" w:ascii="宋体" w:hAnsi="宋体" w:eastAsia="宋体" w:cs="Times New Roman"/>
                <w:bCs/>
                <w:szCs w:val="21"/>
              </w:rPr>
            </w:pPr>
          </w:p>
        </w:tc>
        <w:tc>
          <w:tcPr>
            <w:tcW w:w="8556" w:type="dxa"/>
            <w:gridSpan w:val="5"/>
            <w:vAlign w:val="center"/>
          </w:tcPr>
          <w:p w14:paraId="7758592A">
            <w:pPr>
              <w:adjustRightInd w:val="0"/>
              <w:snapToGrid w:val="0"/>
              <w:rPr>
                <w:rFonts w:hint="eastAsia" w:ascii="宋体" w:hAnsi="宋体" w:eastAsia="宋体" w:cs="Times New Roman"/>
                <w:bCs/>
                <w:szCs w:val="21"/>
              </w:rPr>
            </w:pPr>
            <w:r>
              <w:rPr>
                <w:rFonts w:hint="eastAsia" w:ascii="宋体" w:hAnsi="宋体" w:eastAsia="宋体" w:cs="Times New Roman"/>
                <w:b/>
                <w:szCs w:val="21"/>
              </w:rPr>
              <w:t>课程思政目标：</w:t>
            </w:r>
            <w:r>
              <w:rPr>
                <w:rFonts w:ascii="宋体" w:hAnsi="宋体" w:eastAsia="宋体" w:cs="Times New Roman"/>
                <w:bCs/>
                <w:szCs w:val="21"/>
              </w:rPr>
              <w:t>坚定政治方向，全面贯彻国家教育方针；自觉爱国守法，依法履行教师职责权利。</w:t>
            </w:r>
          </w:p>
        </w:tc>
      </w:tr>
      <w:tr w14:paraId="2B89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2098402C">
            <w:pPr>
              <w:adjustRightInd w:val="0"/>
              <w:snapToGrid w:val="0"/>
              <w:rPr>
                <w:rFonts w:hint="eastAsia" w:ascii="宋体" w:hAnsi="宋体" w:eastAsia="宋体" w:cs="Times New Roman"/>
                <w:bCs/>
                <w:szCs w:val="21"/>
              </w:rPr>
            </w:pPr>
            <w:r>
              <w:rPr>
                <w:rFonts w:hint="eastAsia" w:ascii="宋体" w:hAnsi="宋体" w:eastAsia="宋体" w:cs="Times New Roman"/>
                <w:bCs/>
                <w:szCs w:val="21"/>
              </w:rPr>
              <w:t>第二章</w:t>
            </w:r>
          </w:p>
          <w:p w14:paraId="0BE29A13">
            <w:pPr>
              <w:adjustRightInd w:val="0"/>
              <w:snapToGrid w:val="0"/>
              <w:rPr>
                <w:rFonts w:hint="eastAsia" w:ascii="宋体" w:hAnsi="宋体" w:eastAsia="宋体" w:cs="Times New Roman"/>
                <w:bCs/>
                <w:szCs w:val="21"/>
              </w:rPr>
            </w:pPr>
            <w:r>
              <w:rPr>
                <w:rFonts w:hint="eastAsia" w:ascii="宋体" w:hAnsi="宋体" w:eastAsia="宋体" w:cs="Times New Roman"/>
                <w:bCs/>
                <w:szCs w:val="21"/>
              </w:rPr>
              <w:t>教师职业道德范畴与基本原则</w:t>
            </w:r>
          </w:p>
        </w:tc>
        <w:tc>
          <w:tcPr>
            <w:tcW w:w="2835" w:type="dxa"/>
            <w:vAlign w:val="center"/>
          </w:tcPr>
          <w:p w14:paraId="0F3D8653">
            <w:pPr>
              <w:adjustRightInd w:val="0"/>
              <w:snapToGrid w:val="0"/>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.教师职业道德范畴（教育爱、教育良心、教育威信、教育公正）</w:t>
            </w:r>
          </w:p>
          <w:p w14:paraId="4656D334">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.教师职业道德的基本原则</w:t>
            </w:r>
          </w:p>
        </w:tc>
        <w:tc>
          <w:tcPr>
            <w:tcW w:w="1276" w:type="dxa"/>
            <w:vAlign w:val="center"/>
          </w:tcPr>
          <w:p w14:paraId="0BF13C73">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课程目标1</w:t>
            </w:r>
          </w:p>
          <w:p w14:paraId="40A8B0FD">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课程目标2</w:t>
            </w:r>
          </w:p>
        </w:tc>
        <w:tc>
          <w:tcPr>
            <w:tcW w:w="2410" w:type="dxa"/>
            <w:vAlign w:val="center"/>
          </w:tcPr>
          <w:p w14:paraId="229AB001">
            <w:pPr>
              <w:adjustRightInd w:val="0"/>
              <w:snapToGrid w:val="0"/>
              <w:rPr>
                <w:rFonts w:hint="eastAsia" w:ascii="宋体" w:hAnsi="宋体" w:eastAsia="宋体" w:cs="Times New Roman"/>
                <w:bCs/>
                <w:szCs w:val="21"/>
              </w:rPr>
            </w:pPr>
            <w:r>
              <w:rPr>
                <w:rFonts w:ascii="宋体" w:hAnsi="宋体" w:eastAsia="宋体" w:cs="Times New Roman"/>
                <w:bCs/>
                <w:szCs w:val="21"/>
              </w:rPr>
              <w:t>理解教师职业道德的基本原则，感受教育爱、教育良心、教育威信、教育公正等范畴在教育实践中的体现</w:t>
            </w:r>
            <w:r>
              <w:rPr>
                <w:rFonts w:hint="eastAsia" w:ascii="宋体" w:hAnsi="宋体" w:eastAsia="宋体" w:cs="Times New Roman"/>
                <w:bCs/>
                <w:szCs w:val="21"/>
              </w:rPr>
              <w:t>。</w:t>
            </w:r>
          </w:p>
        </w:tc>
        <w:tc>
          <w:tcPr>
            <w:tcW w:w="1559" w:type="dxa"/>
            <w:vAlign w:val="center"/>
          </w:tcPr>
          <w:p w14:paraId="235EE4E4">
            <w:pPr>
              <w:adjustRightInd w:val="0"/>
              <w:snapToGrid w:val="0"/>
              <w:rPr>
                <w:rFonts w:hint="eastAsia" w:ascii="宋体" w:hAnsi="宋体" w:eastAsia="宋体" w:cs="Times New Roman"/>
                <w:bCs/>
                <w:szCs w:val="21"/>
              </w:rPr>
            </w:pPr>
            <w:r>
              <w:rPr>
                <w:rFonts w:hint="eastAsia" w:ascii="宋体" w:hAnsi="宋体" w:eastAsia="宋体" w:cs="Times New Roman"/>
                <w:bCs/>
                <w:szCs w:val="21"/>
              </w:rPr>
              <w:t>1.多媒体教学</w:t>
            </w:r>
          </w:p>
          <w:p w14:paraId="0A7FC018">
            <w:pPr>
              <w:adjustRightInd w:val="0"/>
              <w:snapToGrid w:val="0"/>
              <w:rPr>
                <w:rFonts w:hint="eastAsia" w:ascii="宋体" w:hAnsi="宋体" w:eastAsia="宋体" w:cs="Times New Roman"/>
                <w:bCs/>
                <w:szCs w:val="21"/>
              </w:rPr>
            </w:pPr>
            <w:r>
              <w:rPr>
                <w:rFonts w:hint="eastAsia" w:ascii="宋体" w:hAnsi="宋体" w:eastAsia="宋体" w:cs="Times New Roman"/>
                <w:bCs/>
                <w:szCs w:val="21"/>
              </w:rPr>
              <w:t>2.案例研讨</w:t>
            </w:r>
          </w:p>
        </w:tc>
        <w:tc>
          <w:tcPr>
            <w:tcW w:w="476" w:type="dxa"/>
            <w:vAlign w:val="center"/>
          </w:tcPr>
          <w:p w14:paraId="61F91436">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p>
        </w:tc>
      </w:tr>
      <w:tr w14:paraId="65096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1128" w:type="dxa"/>
            <w:vMerge w:val="continue"/>
            <w:vAlign w:val="center"/>
          </w:tcPr>
          <w:p w14:paraId="4B1C4C6F">
            <w:pPr>
              <w:adjustRightInd w:val="0"/>
              <w:snapToGrid w:val="0"/>
              <w:rPr>
                <w:rFonts w:hint="eastAsia" w:ascii="宋体" w:hAnsi="宋体" w:eastAsia="宋体" w:cs="Times New Roman"/>
                <w:bCs/>
                <w:szCs w:val="21"/>
              </w:rPr>
            </w:pPr>
          </w:p>
        </w:tc>
        <w:tc>
          <w:tcPr>
            <w:tcW w:w="8556" w:type="dxa"/>
            <w:gridSpan w:val="5"/>
            <w:vAlign w:val="center"/>
          </w:tcPr>
          <w:p w14:paraId="17AD0E47">
            <w:pPr>
              <w:adjustRightInd w:val="0"/>
              <w:snapToGrid w:val="0"/>
              <w:rPr>
                <w:rFonts w:hint="eastAsia" w:ascii="宋体" w:hAnsi="宋体" w:eastAsia="宋体" w:cs="Times New Roman"/>
                <w:bCs/>
                <w:szCs w:val="21"/>
              </w:rPr>
            </w:pPr>
            <w:r>
              <w:rPr>
                <w:rFonts w:hint="eastAsia" w:ascii="宋体" w:hAnsi="宋体" w:eastAsia="宋体" w:cs="Times New Roman"/>
                <w:b/>
                <w:szCs w:val="21"/>
              </w:rPr>
              <w:t>课程思政目标：</w:t>
            </w:r>
            <w:r>
              <w:rPr>
                <w:rFonts w:hint="eastAsia" w:ascii="宋体" w:hAnsi="宋体" w:eastAsia="宋体" w:cs="Times New Roman"/>
                <w:bCs/>
                <w:szCs w:val="21"/>
              </w:rPr>
              <w:t>加</w:t>
            </w:r>
            <w:r>
              <w:rPr>
                <w:rFonts w:ascii="宋体" w:hAnsi="宋体" w:eastAsia="宋体" w:cs="Times New Roman"/>
                <w:bCs/>
                <w:szCs w:val="21"/>
              </w:rPr>
              <w:t>强教师使命教育，从国家意识、法治意识、社会责任意识和个人诚信意识等层面，树立正确的职业价值认知，形成教育爱、教育良心、教育威信和教育公正等信念。</w:t>
            </w:r>
          </w:p>
        </w:tc>
      </w:tr>
      <w:tr w14:paraId="0202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349AEE49">
            <w:pPr>
              <w:adjustRightInd w:val="0"/>
              <w:snapToGrid w:val="0"/>
              <w:rPr>
                <w:rFonts w:hint="eastAsia" w:ascii="宋体" w:hAnsi="宋体" w:eastAsia="宋体" w:cs="Times New Roman"/>
                <w:bCs/>
                <w:szCs w:val="21"/>
              </w:rPr>
            </w:pPr>
            <w:r>
              <w:rPr>
                <w:rFonts w:hint="eastAsia" w:ascii="宋体" w:hAnsi="宋体" w:eastAsia="宋体" w:cs="Times New Roman"/>
                <w:bCs/>
                <w:szCs w:val="21"/>
              </w:rPr>
              <w:t>第三章</w:t>
            </w:r>
          </w:p>
          <w:p w14:paraId="36B429A8">
            <w:pPr>
              <w:adjustRightInd w:val="0"/>
              <w:snapToGrid w:val="0"/>
              <w:rPr>
                <w:rFonts w:hint="eastAsia" w:ascii="宋体" w:hAnsi="宋体" w:eastAsia="宋体" w:cs="Times New Roman"/>
                <w:bCs/>
                <w:szCs w:val="21"/>
              </w:rPr>
            </w:pPr>
            <w:r>
              <w:rPr>
                <w:rFonts w:hint="eastAsia" w:ascii="宋体" w:hAnsi="宋体" w:eastAsia="宋体" w:cs="Times New Roman"/>
                <w:bCs/>
                <w:szCs w:val="21"/>
              </w:rPr>
              <w:t>师生交往中的道德问题</w:t>
            </w:r>
          </w:p>
        </w:tc>
        <w:tc>
          <w:tcPr>
            <w:tcW w:w="2835" w:type="dxa"/>
            <w:vAlign w:val="center"/>
          </w:tcPr>
          <w:p w14:paraId="38AEE248">
            <w:pPr>
              <w:adjustRightInd w:val="0"/>
              <w:snapToGrid w:val="0"/>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.师生关系在教育中的意义</w:t>
            </w:r>
          </w:p>
          <w:p w14:paraId="282BAC3D">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.师生关系中的矛盾分析</w:t>
            </w:r>
          </w:p>
          <w:p w14:paraId="2E7B6FF6">
            <w:pPr>
              <w:adjustRightInd w:val="0"/>
              <w:snapToGrid w:val="0"/>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.师生关系的伦理调适</w:t>
            </w:r>
          </w:p>
          <w:p w14:paraId="5082F500">
            <w:pPr>
              <w:adjustRightInd w:val="0"/>
              <w:snapToGrid w:val="0"/>
              <w:rPr>
                <w:rFonts w:hint="eastAsia" w:ascii="宋体" w:hAnsi="宋体" w:eastAsia="宋体" w:cs="Times New Roman"/>
                <w:bCs/>
                <w:szCs w:val="21"/>
              </w:rPr>
            </w:pPr>
            <w:r>
              <w:rPr>
                <w:rFonts w:hint="eastAsia" w:ascii="宋体" w:hAnsi="宋体" w:eastAsia="宋体" w:cs="Times New Roman"/>
                <w:bCs/>
                <w:szCs w:val="21"/>
              </w:rPr>
              <w:t>4</w:t>
            </w:r>
            <w:r>
              <w:rPr>
                <w:rFonts w:ascii="宋体" w:hAnsi="宋体" w:eastAsia="宋体" w:cs="Times New Roman"/>
                <w:bCs/>
                <w:szCs w:val="21"/>
              </w:rPr>
              <w:t>.教师的性道德修养</w:t>
            </w:r>
          </w:p>
        </w:tc>
        <w:tc>
          <w:tcPr>
            <w:tcW w:w="1276" w:type="dxa"/>
            <w:vAlign w:val="center"/>
          </w:tcPr>
          <w:p w14:paraId="4AFDE986">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课程目标1</w:t>
            </w:r>
          </w:p>
          <w:p w14:paraId="09F4A26F">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课程目标3</w:t>
            </w:r>
          </w:p>
        </w:tc>
        <w:tc>
          <w:tcPr>
            <w:tcW w:w="2410" w:type="dxa"/>
            <w:vAlign w:val="center"/>
          </w:tcPr>
          <w:p w14:paraId="09082D42">
            <w:pPr>
              <w:adjustRightInd w:val="0"/>
              <w:snapToGrid w:val="0"/>
              <w:rPr>
                <w:rFonts w:hint="eastAsia" w:ascii="宋体" w:hAnsi="宋体" w:eastAsia="宋体" w:cs="Times New Roman"/>
                <w:bCs/>
                <w:szCs w:val="21"/>
              </w:rPr>
            </w:pPr>
            <w:r>
              <w:rPr>
                <w:rFonts w:hint="eastAsia" w:ascii="宋体" w:hAnsi="宋体" w:eastAsia="宋体" w:cs="Times New Roman"/>
                <w:bCs/>
                <w:szCs w:val="21"/>
              </w:rPr>
              <w:t>认识师生关系中存在的矛盾与问题，掌握师生关系调适的原则与方法。</w:t>
            </w:r>
          </w:p>
        </w:tc>
        <w:tc>
          <w:tcPr>
            <w:tcW w:w="1559" w:type="dxa"/>
            <w:vAlign w:val="center"/>
          </w:tcPr>
          <w:p w14:paraId="19BCE18B">
            <w:pPr>
              <w:adjustRightInd w:val="0"/>
              <w:snapToGrid w:val="0"/>
              <w:rPr>
                <w:rFonts w:hint="eastAsia" w:ascii="宋体" w:hAnsi="宋体" w:eastAsia="宋体" w:cs="Times New Roman"/>
                <w:bCs/>
                <w:szCs w:val="21"/>
              </w:rPr>
            </w:pPr>
            <w:r>
              <w:rPr>
                <w:rFonts w:hint="eastAsia" w:ascii="宋体" w:hAnsi="宋体" w:eastAsia="宋体" w:cs="Times New Roman"/>
                <w:bCs/>
                <w:szCs w:val="21"/>
              </w:rPr>
              <w:t>1.多媒体教学</w:t>
            </w:r>
          </w:p>
          <w:p w14:paraId="7E255D8B">
            <w:pPr>
              <w:adjustRightInd w:val="0"/>
              <w:snapToGrid w:val="0"/>
              <w:rPr>
                <w:rFonts w:hint="eastAsia" w:ascii="宋体" w:hAnsi="宋体" w:eastAsia="宋体" w:cs="Times New Roman"/>
                <w:bCs/>
                <w:szCs w:val="21"/>
              </w:rPr>
            </w:pPr>
            <w:r>
              <w:rPr>
                <w:rFonts w:hint="eastAsia" w:ascii="宋体" w:hAnsi="宋体" w:eastAsia="宋体" w:cs="Times New Roman"/>
                <w:bCs/>
                <w:szCs w:val="21"/>
              </w:rPr>
              <w:t>2.案例研讨</w:t>
            </w:r>
          </w:p>
        </w:tc>
        <w:tc>
          <w:tcPr>
            <w:tcW w:w="476" w:type="dxa"/>
            <w:vAlign w:val="center"/>
          </w:tcPr>
          <w:p w14:paraId="7A82ABB5">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p>
        </w:tc>
      </w:tr>
      <w:tr w14:paraId="56A6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128" w:type="dxa"/>
            <w:vMerge w:val="continue"/>
            <w:vAlign w:val="center"/>
          </w:tcPr>
          <w:p w14:paraId="29D19ECA">
            <w:pPr>
              <w:adjustRightInd w:val="0"/>
              <w:snapToGrid w:val="0"/>
              <w:rPr>
                <w:rFonts w:hint="eastAsia" w:ascii="宋体" w:hAnsi="宋体" w:eastAsia="宋体" w:cs="Times New Roman"/>
                <w:bCs/>
                <w:szCs w:val="21"/>
              </w:rPr>
            </w:pPr>
          </w:p>
        </w:tc>
        <w:tc>
          <w:tcPr>
            <w:tcW w:w="8556" w:type="dxa"/>
            <w:gridSpan w:val="5"/>
            <w:vAlign w:val="center"/>
          </w:tcPr>
          <w:p w14:paraId="69C571AA">
            <w:pPr>
              <w:adjustRightInd w:val="0"/>
              <w:snapToGrid w:val="0"/>
              <w:rPr>
                <w:rFonts w:hint="eastAsia" w:ascii="宋体" w:hAnsi="宋体" w:eastAsia="宋体" w:cs="Times New Roman"/>
                <w:bCs/>
                <w:szCs w:val="21"/>
              </w:rPr>
            </w:pPr>
            <w:r>
              <w:rPr>
                <w:rFonts w:hint="eastAsia" w:ascii="宋体" w:hAnsi="宋体" w:eastAsia="宋体" w:cs="Times New Roman"/>
                <w:b/>
                <w:szCs w:val="21"/>
              </w:rPr>
              <w:t>课程思政目标</w:t>
            </w:r>
            <w:r>
              <w:rPr>
                <w:rFonts w:hint="eastAsia" w:ascii="宋体" w:hAnsi="宋体" w:eastAsia="宋体" w:cs="Times New Roman"/>
                <w:bCs/>
                <w:szCs w:val="21"/>
              </w:rPr>
              <w:t>：</w:t>
            </w:r>
            <w:r>
              <w:rPr>
                <w:rFonts w:ascii="宋体" w:hAnsi="宋体" w:eastAsia="宋体" w:cs="Times New Roman"/>
                <w:bCs/>
                <w:szCs w:val="21"/>
              </w:rPr>
              <w:t>树立辩证统一的思维，学会正确分析师生关系中的道德问题，热爱学生、尊重学生、赏识学生，塑造良好的师生关系。</w:t>
            </w:r>
          </w:p>
        </w:tc>
      </w:tr>
      <w:tr w14:paraId="27682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4D74BE76">
            <w:pPr>
              <w:adjustRightInd w:val="0"/>
              <w:snapToGrid w:val="0"/>
              <w:rPr>
                <w:rFonts w:hint="eastAsia" w:ascii="宋体" w:hAnsi="宋体" w:eastAsia="宋体" w:cs="Times New Roman"/>
                <w:bCs/>
                <w:szCs w:val="21"/>
              </w:rPr>
            </w:pPr>
            <w:r>
              <w:rPr>
                <w:rFonts w:hint="eastAsia" w:ascii="宋体" w:hAnsi="宋体" w:eastAsia="宋体" w:cs="Times New Roman"/>
                <w:bCs/>
                <w:szCs w:val="21"/>
              </w:rPr>
              <w:t>第四章</w:t>
            </w:r>
          </w:p>
          <w:p w14:paraId="12BB953A">
            <w:pPr>
              <w:adjustRightInd w:val="0"/>
              <w:snapToGrid w:val="0"/>
              <w:rPr>
                <w:rFonts w:hint="eastAsia" w:ascii="宋体" w:hAnsi="宋体" w:eastAsia="宋体" w:cs="Times New Roman"/>
                <w:bCs/>
                <w:szCs w:val="21"/>
              </w:rPr>
            </w:pPr>
            <w:r>
              <w:rPr>
                <w:rFonts w:hint="eastAsia" w:ascii="宋体" w:hAnsi="宋体" w:eastAsia="宋体" w:cs="Times New Roman"/>
                <w:bCs/>
                <w:szCs w:val="21"/>
              </w:rPr>
              <w:t>家校合作中的道德问题</w:t>
            </w:r>
          </w:p>
        </w:tc>
        <w:tc>
          <w:tcPr>
            <w:tcW w:w="2835" w:type="dxa"/>
            <w:vAlign w:val="center"/>
          </w:tcPr>
          <w:p w14:paraId="41589C2D">
            <w:pPr>
              <w:adjustRightInd w:val="0"/>
              <w:snapToGrid w:val="0"/>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.家校沟通与合作</w:t>
            </w:r>
          </w:p>
          <w:p w14:paraId="7F6C3679">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.家校关系的</w:t>
            </w:r>
            <w:r>
              <w:rPr>
                <w:rFonts w:hint="eastAsia" w:ascii="宋体" w:hAnsi="宋体" w:eastAsia="宋体" w:cs="Times New Roman"/>
                <w:bCs/>
                <w:szCs w:val="21"/>
              </w:rPr>
              <w:t>伦理</w:t>
            </w:r>
            <w:r>
              <w:rPr>
                <w:rFonts w:ascii="宋体" w:hAnsi="宋体" w:eastAsia="宋体" w:cs="Times New Roman"/>
                <w:bCs/>
                <w:szCs w:val="21"/>
              </w:rPr>
              <w:t>调适</w:t>
            </w:r>
          </w:p>
        </w:tc>
        <w:tc>
          <w:tcPr>
            <w:tcW w:w="1276" w:type="dxa"/>
            <w:vAlign w:val="center"/>
          </w:tcPr>
          <w:p w14:paraId="7572AEC6">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课程目标1</w:t>
            </w:r>
          </w:p>
          <w:p w14:paraId="4BA7D4A5">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课程目标3</w:t>
            </w:r>
          </w:p>
        </w:tc>
        <w:tc>
          <w:tcPr>
            <w:tcW w:w="2410" w:type="dxa"/>
            <w:vAlign w:val="center"/>
          </w:tcPr>
          <w:p w14:paraId="00959B62">
            <w:pPr>
              <w:adjustRightInd w:val="0"/>
              <w:snapToGrid w:val="0"/>
              <w:rPr>
                <w:rFonts w:hint="eastAsia" w:ascii="宋体" w:hAnsi="宋体" w:eastAsia="宋体" w:cs="Times New Roman"/>
                <w:bCs/>
                <w:szCs w:val="21"/>
              </w:rPr>
            </w:pPr>
            <w:r>
              <w:rPr>
                <w:rFonts w:hint="eastAsia" w:ascii="宋体" w:hAnsi="宋体" w:eastAsia="宋体" w:cs="Times New Roman"/>
                <w:bCs/>
                <w:szCs w:val="21"/>
              </w:rPr>
              <w:t>了解家校沟通与合作相关知识与技能，分析家校沟通中存在的问题，掌握家校关系调适的原则与方法。</w:t>
            </w:r>
          </w:p>
        </w:tc>
        <w:tc>
          <w:tcPr>
            <w:tcW w:w="1559" w:type="dxa"/>
            <w:vAlign w:val="center"/>
          </w:tcPr>
          <w:p w14:paraId="06769F20">
            <w:pPr>
              <w:adjustRightInd w:val="0"/>
              <w:snapToGrid w:val="0"/>
              <w:rPr>
                <w:rFonts w:hint="eastAsia" w:ascii="宋体" w:hAnsi="宋体" w:eastAsia="宋体" w:cs="Times New Roman"/>
                <w:bCs/>
                <w:szCs w:val="21"/>
              </w:rPr>
            </w:pPr>
            <w:r>
              <w:rPr>
                <w:rFonts w:hint="eastAsia" w:ascii="宋体" w:hAnsi="宋体" w:eastAsia="宋体" w:cs="Times New Roman"/>
                <w:bCs/>
                <w:szCs w:val="21"/>
              </w:rPr>
              <w:t>1.多媒体教学</w:t>
            </w:r>
          </w:p>
          <w:p w14:paraId="0FC33BA9">
            <w:pPr>
              <w:adjustRightInd w:val="0"/>
              <w:snapToGrid w:val="0"/>
              <w:rPr>
                <w:rFonts w:hint="eastAsia" w:ascii="宋体" w:hAnsi="宋体" w:eastAsia="宋体" w:cs="Times New Roman"/>
                <w:bCs/>
                <w:szCs w:val="21"/>
              </w:rPr>
            </w:pPr>
            <w:r>
              <w:rPr>
                <w:rFonts w:hint="eastAsia" w:ascii="宋体" w:hAnsi="宋体" w:eastAsia="宋体" w:cs="Times New Roman"/>
                <w:bCs/>
                <w:szCs w:val="21"/>
              </w:rPr>
              <w:t>2.案例研讨</w:t>
            </w:r>
          </w:p>
        </w:tc>
        <w:tc>
          <w:tcPr>
            <w:tcW w:w="476" w:type="dxa"/>
            <w:vAlign w:val="center"/>
          </w:tcPr>
          <w:p w14:paraId="4FD487BC">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p>
        </w:tc>
      </w:tr>
      <w:tr w14:paraId="5BCA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28" w:type="dxa"/>
            <w:vMerge w:val="continue"/>
            <w:vAlign w:val="center"/>
          </w:tcPr>
          <w:p w14:paraId="60C12A47">
            <w:pPr>
              <w:adjustRightInd w:val="0"/>
              <w:snapToGrid w:val="0"/>
              <w:rPr>
                <w:rFonts w:hint="eastAsia" w:ascii="宋体" w:hAnsi="宋体" w:eastAsia="宋体" w:cs="Times New Roman"/>
                <w:bCs/>
                <w:szCs w:val="21"/>
              </w:rPr>
            </w:pPr>
          </w:p>
        </w:tc>
        <w:tc>
          <w:tcPr>
            <w:tcW w:w="8556" w:type="dxa"/>
            <w:gridSpan w:val="5"/>
            <w:vAlign w:val="center"/>
          </w:tcPr>
          <w:p w14:paraId="6D7FD2E3">
            <w:pPr>
              <w:adjustRightInd w:val="0"/>
              <w:snapToGrid w:val="0"/>
              <w:rPr>
                <w:rFonts w:hint="eastAsia" w:ascii="宋体" w:hAnsi="宋体" w:eastAsia="宋体" w:cs="Times New Roman"/>
                <w:bCs/>
                <w:szCs w:val="21"/>
              </w:rPr>
            </w:pPr>
            <w:r>
              <w:rPr>
                <w:rFonts w:hint="eastAsia" w:ascii="宋体" w:hAnsi="宋体" w:eastAsia="宋体" w:cs="Times New Roman"/>
                <w:b/>
                <w:szCs w:val="21"/>
              </w:rPr>
              <w:t>课程思政目标：</w:t>
            </w:r>
            <w:r>
              <w:rPr>
                <w:rFonts w:hint="eastAsia" w:ascii="宋体" w:hAnsi="宋体" w:eastAsia="宋体" w:cs="Times New Roman"/>
                <w:bCs/>
                <w:szCs w:val="21"/>
              </w:rPr>
              <w:t>树立辩证统一的思维，学会正确分析家校交往过程中的道德问题，与家长平等沟通，尊重家长人格，教育学生尊重家长；廉洁奉公，不利用职责之便牟取私利，塑造良好的家校合作关系。</w:t>
            </w:r>
          </w:p>
        </w:tc>
      </w:tr>
      <w:tr w14:paraId="35B3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782AEB0B">
            <w:pPr>
              <w:adjustRightInd w:val="0"/>
              <w:snapToGrid w:val="0"/>
              <w:rPr>
                <w:rFonts w:hint="eastAsia" w:ascii="宋体" w:hAnsi="宋体" w:eastAsia="宋体" w:cs="Times New Roman"/>
                <w:bCs/>
                <w:szCs w:val="21"/>
              </w:rPr>
            </w:pPr>
            <w:r>
              <w:rPr>
                <w:rFonts w:hint="eastAsia" w:ascii="宋体" w:hAnsi="宋体" w:eastAsia="宋体" w:cs="Times New Roman"/>
                <w:bCs/>
                <w:szCs w:val="21"/>
              </w:rPr>
              <w:t>第五章</w:t>
            </w:r>
          </w:p>
          <w:p w14:paraId="2187EDBF">
            <w:pPr>
              <w:adjustRightInd w:val="0"/>
              <w:snapToGrid w:val="0"/>
              <w:rPr>
                <w:rFonts w:hint="eastAsia" w:ascii="宋体" w:hAnsi="宋体" w:eastAsia="宋体" w:cs="Times New Roman"/>
                <w:bCs/>
                <w:szCs w:val="21"/>
              </w:rPr>
            </w:pPr>
            <w:r>
              <w:rPr>
                <w:rFonts w:hint="eastAsia" w:ascii="宋体" w:hAnsi="宋体" w:eastAsia="宋体" w:cs="Times New Roman"/>
                <w:bCs/>
                <w:szCs w:val="21"/>
              </w:rPr>
              <w:t>教师集体中的道德问题</w:t>
            </w:r>
          </w:p>
        </w:tc>
        <w:tc>
          <w:tcPr>
            <w:tcW w:w="2835" w:type="dxa"/>
            <w:vAlign w:val="center"/>
          </w:tcPr>
          <w:p w14:paraId="76B88FD3">
            <w:pPr>
              <w:adjustRightInd w:val="0"/>
              <w:snapToGrid w:val="0"/>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.教师集体在教育中的意义</w:t>
            </w:r>
          </w:p>
          <w:p w14:paraId="217290E2">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.教师集体人际矛盾的原因分析</w:t>
            </w:r>
          </w:p>
          <w:p w14:paraId="432CF210">
            <w:pPr>
              <w:adjustRightInd w:val="0"/>
              <w:snapToGrid w:val="0"/>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.教师集体关系的道德调节</w:t>
            </w:r>
          </w:p>
        </w:tc>
        <w:tc>
          <w:tcPr>
            <w:tcW w:w="1276" w:type="dxa"/>
            <w:vAlign w:val="center"/>
          </w:tcPr>
          <w:p w14:paraId="2E4F1FFD">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课程目标1</w:t>
            </w:r>
          </w:p>
          <w:p w14:paraId="2C8AEE06">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课程目标3</w:t>
            </w:r>
          </w:p>
        </w:tc>
        <w:tc>
          <w:tcPr>
            <w:tcW w:w="2410" w:type="dxa"/>
            <w:vAlign w:val="center"/>
          </w:tcPr>
          <w:p w14:paraId="68DA3019">
            <w:pPr>
              <w:adjustRightInd w:val="0"/>
              <w:snapToGrid w:val="0"/>
              <w:rPr>
                <w:rFonts w:hint="eastAsia" w:ascii="宋体" w:hAnsi="宋体" w:eastAsia="宋体" w:cs="Times New Roman"/>
                <w:bCs/>
                <w:szCs w:val="21"/>
              </w:rPr>
            </w:pPr>
            <w:r>
              <w:rPr>
                <w:rFonts w:hint="eastAsia" w:ascii="宋体" w:hAnsi="宋体" w:eastAsia="宋体" w:cs="Times New Roman"/>
                <w:bCs/>
                <w:szCs w:val="21"/>
              </w:rPr>
              <w:t>了解教师集体人际矛盾的原因，掌握教师集体关系的道德调节技巧。</w:t>
            </w:r>
          </w:p>
        </w:tc>
        <w:tc>
          <w:tcPr>
            <w:tcW w:w="1559" w:type="dxa"/>
            <w:vAlign w:val="center"/>
          </w:tcPr>
          <w:p w14:paraId="157419B5">
            <w:pPr>
              <w:adjustRightInd w:val="0"/>
              <w:snapToGrid w:val="0"/>
              <w:rPr>
                <w:rFonts w:hint="eastAsia" w:ascii="宋体" w:hAnsi="宋体" w:eastAsia="宋体" w:cs="Times New Roman"/>
                <w:bCs/>
                <w:szCs w:val="21"/>
              </w:rPr>
            </w:pPr>
            <w:r>
              <w:rPr>
                <w:rFonts w:hint="eastAsia" w:ascii="宋体" w:hAnsi="宋体" w:eastAsia="宋体" w:cs="Times New Roman"/>
                <w:bCs/>
                <w:szCs w:val="21"/>
              </w:rPr>
              <w:t>1.多媒体教学</w:t>
            </w:r>
          </w:p>
          <w:p w14:paraId="220AFA70">
            <w:pPr>
              <w:adjustRightInd w:val="0"/>
              <w:snapToGrid w:val="0"/>
              <w:rPr>
                <w:rFonts w:hint="eastAsia" w:ascii="宋体" w:hAnsi="宋体" w:eastAsia="宋体" w:cs="Times New Roman"/>
                <w:bCs/>
                <w:szCs w:val="21"/>
              </w:rPr>
            </w:pPr>
            <w:r>
              <w:rPr>
                <w:rFonts w:hint="eastAsia" w:ascii="宋体" w:hAnsi="宋体" w:eastAsia="宋体" w:cs="Times New Roman"/>
                <w:bCs/>
                <w:szCs w:val="21"/>
              </w:rPr>
              <w:t>2.案例研讨</w:t>
            </w:r>
          </w:p>
        </w:tc>
        <w:tc>
          <w:tcPr>
            <w:tcW w:w="476" w:type="dxa"/>
            <w:vAlign w:val="center"/>
          </w:tcPr>
          <w:p w14:paraId="1A3671AF">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p>
        </w:tc>
      </w:tr>
      <w:tr w14:paraId="702B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continue"/>
            <w:vAlign w:val="center"/>
          </w:tcPr>
          <w:p w14:paraId="53E2FE06">
            <w:pPr>
              <w:adjustRightInd w:val="0"/>
              <w:snapToGrid w:val="0"/>
              <w:rPr>
                <w:rFonts w:hint="eastAsia" w:ascii="宋体" w:hAnsi="宋体" w:eastAsia="宋体" w:cs="Times New Roman"/>
                <w:bCs/>
                <w:szCs w:val="21"/>
              </w:rPr>
            </w:pPr>
          </w:p>
        </w:tc>
        <w:tc>
          <w:tcPr>
            <w:tcW w:w="8556" w:type="dxa"/>
            <w:gridSpan w:val="5"/>
            <w:vAlign w:val="center"/>
          </w:tcPr>
          <w:p w14:paraId="46381288">
            <w:pPr>
              <w:adjustRightInd w:val="0"/>
              <w:snapToGrid w:val="0"/>
              <w:rPr>
                <w:rFonts w:hint="eastAsia" w:ascii="宋体" w:hAnsi="宋体" w:eastAsia="宋体" w:cs="Times New Roman"/>
                <w:bCs/>
                <w:szCs w:val="21"/>
              </w:rPr>
            </w:pPr>
            <w:r>
              <w:rPr>
                <w:rFonts w:hint="eastAsia" w:ascii="宋体" w:hAnsi="宋体" w:eastAsia="宋体" w:cs="Times New Roman"/>
                <w:b/>
                <w:szCs w:val="21"/>
              </w:rPr>
              <w:t>课程思政目标：</w:t>
            </w:r>
            <w:r>
              <w:rPr>
                <w:rFonts w:hint="eastAsia" w:ascii="宋体" w:hAnsi="宋体" w:eastAsia="宋体" w:cs="Times New Roman"/>
                <w:bCs/>
                <w:szCs w:val="21"/>
              </w:rPr>
              <w:t>树立辩证统一的思维，学会正确分析教师集体中发生的道德问题。弘扬教师职业精神，互相尊重、互相学习，保持协同、向上的合作关系，促进个人和集体的共同成长。</w:t>
            </w:r>
          </w:p>
        </w:tc>
      </w:tr>
      <w:tr w14:paraId="511A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5AED0B8A">
            <w:pPr>
              <w:adjustRightInd w:val="0"/>
              <w:snapToGrid w:val="0"/>
              <w:rPr>
                <w:rFonts w:hint="eastAsia" w:ascii="宋体" w:hAnsi="宋体" w:eastAsia="宋体" w:cs="Times New Roman"/>
                <w:bCs/>
                <w:szCs w:val="21"/>
              </w:rPr>
            </w:pPr>
            <w:r>
              <w:rPr>
                <w:rFonts w:hint="eastAsia" w:ascii="宋体" w:hAnsi="宋体" w:eastAsia="宋体" w:cs="Times New Roman"/>
                <w:bCs/>
                <w:szCs w:val="21"/>
              </w:rPr>
              <w:t>第六章</w:t>
            </w:r>
          </w:p>
          <w:p w14:paraId="52E0938F">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课堂教学中的道德问题</w:t>
            </w:r>
          </w:p>
        </w:tc>
        <w:tc>
          <w:tcPr>
            <w:tcW w:w="2835" w:type="dxa"/>
            <w:vAlign w:val="center"/>
          </w:tcPr>
          <w:p w14:paraId="0C89BA68">
            <w:pPr>
              <w:adjustRightInd w:val="0"/>
              <w:snapToGrid w:val="0"/>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.教学工作的道德特征</w:t>
            </w:r>
          </w:p>
          <w:p w14:paraId="1AC0D903">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.教学活动的道德意义</w:t>
            </w:r>
          </w:p>
          <w:p w14:paraId="73520886">
            <w:pPr>
              <w:adjustRightInd w:val="0"/>
              <w:snapToGrid w:val="0"/>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.教学工作中的道德要求</w:t>
            </w:r>
          </w:p>
          <w:p w14:paraId="2D1E04FA">
            <w:pPr>
              <w:adjustRightInd w:val="0"/>
              <w:snapToGrid w:val="0"/>
              <w:rPr>
                <w:rFonts w:hint="eastAsia" w:ascii="宋体" w:hAnsi="宋体" w:eastAsia="宋体" w:cs="Times New Roman"/>
                <w:bCs/>
                <w:szCs w:val="21"/>
              </w:rPr>
            </w:pPr>
            <w:r>
              <w:rPr>
                <w:rFonts w:hint="eastAsia" w:ascii="宋体" w:hAnsi="宋体" w:eastAsia="宋体" w:cs="Times New Roman"/>
                <w:bCs/>
                <w:szCs w:val="21"/>
              </w:rPr>
              <w:t>4</w:t>
            </w:r>
            <w:r>
              <w:rPr>
                <w:rFonts w:ascii="宋体" w:hAnsi="宋体" w:eastAsia="宋体" w:cs="Times New Roman"/>
                <w:bCs/>
                <w:szCs w:val="21"/>
              </w:rPr>
              <w:t>.我国基础教育课程改革的价值追求</w:t>
            </w:r>
          </w:p>
        </w:tc>
        <w:tc>
          <w:tcPr>
            <w:tcW w:w="1276" w:type="dxa"/>
            <w:vAlign w:val="center"/>
          </w:tcPr>
          <w:p w14:paraId="73B1ADE1">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课程目标1</w:t>
            </w:r>
          </w:p>
          <w:p w14:paraId="02688063">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课程目标4</w:t>
            </w:r>
          </w:p>
        </w:tc>
        <w:tc>
          <w:tcPr>
            <w:tcW w:w="2410" w:type="dxa"/>
            <w:vAlign w:val="center"/>
          </w:tcPr>
          <w:p w14:paraId="7E11FBF3">
            <w:pPr>
              <w:adjustRightInd w:val="0"/>
              <w:snapToGrid w:val="0"/>
              <w:rPr>
                <w:rFonts w:hint="eastAsia" w:ascii="宋体" w:hAnsi="宋体" w:eastAsia="宋体" w:cs="Times New Roman"/>
                <w:bCs/>
                <w:szCs w:val="21"/>
              </w:rPr>
            </w:pPr>
            <w:r>
              <w:rPr>
                <w:rFonts w:hint="eastAsia" w:ascii="宋体" w:hAnsi="宋体" w:eastAsia="宋体" w:cs="Times New Roman"/>
                <w:bCs/>
                <w:szCs w:val="21"/>
              </w:rPr>
              <w:t>了解课堂教学的道德特征及其道德意义，理解教学工作中的道德要求，树立正确的教育观，学会分析当前教育中的道德问题。</w:t>
            </w:r>
          </w:p>
        </w:tc>
        <w:tc>
          <w:tcPr>
            <w:tcW w:w="1559" w:type="dxa"/>
            <w:vAlign w:val="center"/>
          </w:tcPr>
          <w:p w14:paraId="12FB9D02">
            <w:pPr>
              <w:adjustRightInd w:val="0"/>
              <w:snapToGrid w:val="0"/>
              <w:rPr>
                <w:rFonts w:hint="eastAsia" w:ascii="宋体" w:hAnsi="宋体" w:eastAsia="宋体" w:cs="Times New Roman"/>
                <w:bCs/>
                <w:szCs w:val="21"/>
              </w:rPr>
            </w:pPr>
            <w:r>
              <w:rPr>
                <w:rFonts w:hint="eastAsia" w:ascii="宋体" w:hAnsi="宋体" w:eastAsia="宋体" w:cs="Times New Roman"/>
                <w:bCs/>
                <w:szCs w:val="21"/>
              </w:rPr>
              <w:t>1.多媒体教学</w:t>
            </w:r>
          </w:p>
          <w:p w14:paraId="59C3065B">
            <w:pPr>
              <w:adjustRightInd w:val="0"/>
              <w:snapToGrid w:val="0"/>
              <w:rPr>
                <w:rFonts w:hint="eastAsia" w:ascii="宋体" w:hAnsi="宋体" w:eastAsia="宋体" w:cs="Times New Roman"/>
                <w:bCs/>
                <w:szCs w:val="21"/>
              </w:rPr>
            </w:pPr>
            <w:r>
              <w:rPr>
                <w:rFonts w:hint="eastAsia" w:ascii="宋体" w:hAnsi="宋体" w:eastAsia="宋体" w:cs="Times New Roman"/>
                <w:bCs/>
                <w:szCs w:val="21"/>
              </w:rPr>
              <w:t>2.案例研讨</w:t>
            </w:r>
          </w:p>
        </w:tc>
        <w:tc>
          <w:tcPr>
            <w:tcW w:w="476" w:type="dxa"/>
            <w:vAlign w:val="center"/>
          </w:tcPr>
          <w:p w14:paraId="29D7A67B">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p>
        </w:tc>
      </w:tr>
      <w:tr w14:paraId="67D7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28" w:type="dxa"/>
            <w:vMerge w:val="continue"/>
            <w:vAlign w:val="center"/>
          </w:tcPr>
          <w:p w14:paraId="7EB521E8">
            <w:pPr>
              <w:adjustRightInd w:val="0"/>
              <w:snapToGrid w:val="0"/>
              <w:rPr>
                <w:rFonts w:hint="eastAsia" w:ascii="宋体" w:hAnsi="宋体" w:eastAsia="宋体" w:cs="Times New Roman"/>
                <w:bCs/>
                <w:szCs w:val="21"/>
              </w:rPr>
            </w:pPr>
          </w:p>
        </w:tc>
        <w:tc>
          <w:tcPr>
            <w:tcW w:w="8556" w:type="dxa"/>
            <w:gridSpan w:val="5"/>
            <w:vAlign w:val="center"/>
          </w:tcPr>
          <w:p w14:paraId="05E2C622">
            <w:pPr>
              <w:adjustRightInd w:val="0"/>
              <w:snapToGrid w:val="0"/>
              <w:rPr>
                <w:rFonts w:hint="eastAsia" w:ascii="宋体" w:hAnsi="宋体" w:eastAsia="宋体" w:cs="Times New Roman"/>
                <w:bCs/>
                <w:szCs w:val="21"/>
              </w:rPr>
            </w:pPr>
            <w:r>
              <w:rPr>
                <w:rFonts w:hint="eastAsia" w:ascii="宋体" w:hAnsi="宋体" w:eastAsia="宋体" w:cs="Times New Roman"/>
                <w:b/>
                <w:szCs w:val="21"/>
              </w:rPr>
              <w:t>课程思政目标：</w:t>
            </w:r>
            <w:r>
              <w:rPr>
                <w:rFonts w:hint="eastAsia" w:ascii="宋体" w:hAnsi="宋体" w:eastAsia="宋体" w:cs="Times New Roman"/>
                <w:bCs/>
                <w:szCs w:val="21"/>
              </w:rPr>
              <w:t>树立辩证统一的思维，学会正确分析课堂教学中的问题。确立正确的教育观，遵循教育规律，实施素质教育，将促进学生的全面发展作为教育目标。</w:t>
            </w:r>
          </w:p>
        </w:tc>
      </w:tr>
      <w:tr w14:paraId="0069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5A4B8853">
            <w:pPr>
              <w:adjustRightInd w:val="0"/>
              <w:snapToGrid w:val="0"/>
              <w:rPr>
                <w:rFonts w:hint="eastAsia" w:ascii="宋体" w:hAnsi="宋体" w:eastAsia="宋体" w:cs="Times New Roman"/>
                <w:bCs/>
                <w:szCs w:val="21"/>
              </w:rPr>
            </w:pPr>
            <w:r>
              <w:rPr>
                <w:rFonts w:hint="eastAsia" w:ascii="宋体" w:hAnsi="宋体" w:eastAsia="宋体" w:cs="Times New Roman"/>
                <w:bCs/>
                <w:szCs w:val="21"/>
              </w:rPr>
              <w:t>第七章</w:t>
            </w:r>
          </w:p>
          <w:p w14:paraId="1EB9B97D">
            <w:pPr>
              <w:adjustRightInd w:val="0"/>
              <w:snapToGrid w:val="0"/>
              <w:rPr>
                <w:rFonts w:hint="eastAsia" w:ascii="宋体" w:hAnsi="宋体" w:eastAsia="宋体" w:cs="Times New Roman"/>
                <w:bCs/>
                <w:szCs w:val="21"/>
              </w:rPr>
            </w:pPr>
            <w:r>
              <w:rPr>
                <w:rFonts w:hint="eastAsia" w:ascii="宋体" w:hAnsi="宋体" w:eastAsia="宋体" w:cs="Times New Roman"/>
                <w:bCs/>
                <w:szCs w:val="21"/>
              </w:rPr>
              <w:t>学校行政管理中的道德问题</w:t>
            </w:r>
          </w:p>
        </w:tc>
        <w:tc>
          <w:tcPr>
            <w:tcW w:w="2835" w:type="dxa"/>
            <w:vAlign w:val="center"/>
          </w:tcPr>
          <w:p w14:paraId="560DA203">
            <w:pPr>
              <w:adjustRightInd w:val="0"/>
              <w:snapToGrid w:val="0"/>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.学校行政管理工作对师生发展的意义</w:t>
            </w:r>
          </w:p>
          <w:p w14:paraId="640D305E">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.当前我国学校行政管理中存在的问题</w:t>
            </w:r>
          </w:p>
          <w:p w14:paraId="690579D6">
            <w:pPr>
              <w:adjustRightInd w:val="0"/>
              <w:snapToGrid w:val="0"/>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.学校行政管理的伦理基础及其功能</w:t>
            </w:r>
          </w:p>
          <w:p w14:paraId="121FF1F8">
            <w:pPr>
              <w:adjustRightInd w:val="0"/>
              <w:snapToGrid w:val="0"/>
              <w:rPr>
                <w:rFonts w:hint="eastAsia" w:ascii="宋体" w:hAnsi="宋体" w:eastAsia="宋体" w:cs="Times New Roman"/>
                <w:bCs/>
                <w:szCs w:val="21"/>
              </w:rPr>
            </w:pPr>
            <w:r>
              <w:rPr>
                <w:rFonts w:hint="eastAsia" w:ascii="宋体" w:hAnsi="宋体" w:eastAsia="宋体" w:cs="Times New Roman"/>
                <w:bCs/>
                <w:szCs w:val="21"/>
              </w:rPr>
              <w:t>4</w:t>
            </w:r>
            <w:r>
              <w:rPr>
                <w:rFonts w:ascii="宋体" w:hAnsi="宋体" w:eastAsia="宋体" w:cs="Times New Roman"/>
                <w:bCs/>
                <w:szCs w:val="21"/>
              </w:rPr>
              <w:t>.学校行政管理伦理化的实现路径</w:t>
            </w:r>
          </w:p>
        </w:tc>
        <w:tc>
          <w:tcPr>
            <w:tcW w:w="1276" w:type="dxa"/>
            <w:vAlign w:val="center"/>
          </w:tcPr>
          <w:p w14:paraId="6E9267CB">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课程目标1</w:t>
            </w:r>
          </w:p>
          <w:p w14:paraId="01A4D980">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课程目标4</w:t>
            </w:r>
          </w:p>
        </w:tc>
        <w:tc>
          <w:tcPr>
            <w:tcW w:w="2410" w:type="dxa"/>
            <w:vAlign w:val="center"/>
          </w:tcPr>
          <w:p w14:paraId="2C38B5A1">
            <w:pPr>
              <w:adjustRightInd w:val="0"/>
              <w:snapToGrid w:val="0"/>
              <w:rPr>
                <w:rFonts w:hint="eastAsia" w:ascii="宋体" w:hAnsi="宋体" w:eastAsia="宋体" w:cs="Times New Roman"/>
                <w:bCs/>
                <w:szCs w:val="21"/>
              </w:rPr>
            </w:pPr>
            <w:r>
              <w:rPr>
                <w:rFonts w:hint="eastAsia" w:ascii="宋体" w:hAnsi="宋体" w:eastAsia="宋体" w:cs="Times New Roman"/>
                <w:bCs/>
                <w:szCs w:val="21"/>
              </w:rPr>
              <w:t>了解学校管理对师生发展的意义，掌握学校行政管理的伦理基础及其功能。</w:t>
            </w:r>
          </w:p>
        </w:tc>
        <w:tc>
          <w:tcPr>
            <w:tcW w:w="1559" w:type="dxa"/>
            <w:vAlign w:val="center"/>
          </w:tcPr>
          <w:p w14:paraId="169CA8D3">
            <w:pPr>
              <w:adjustRightInd w:val="0"/>
              <w:snapToGrid w:val="0"/>
              <w:rPr>
                <w:rFonts w:hint="eastAsia" w:ascii="宋体" w:hAnsi="宋体" w:eastAsia="宋体" w:cs="Times New Roman"/>
                <w:bCs/>
                <w:szCs w:val="21"/>
              </w:rPr>
            </w:pPr>
            <w:r>
              <w:rPr>
                <w:rFonts w:hint="eastAsia" w:ascii="宋体" w:hAnsi="宋体" w:eastAsia="宋体" w:cs="Times New Roman"/>
                <w:bCs/>
                <w:szCs w:val="21"/>
              </w:rPr>
              <w:t>1.多媒体教学</w:t>
            </w:r>
          </w:p>
          <w:p w14:paraId="130562A3">
            <w:pPr>
              <w:adjustRightInd w:val="0"/>
              <w:snapToGrid w:val="0"/>
              <w:rPr>
                <w:rFonts w:hint="eastAsia" w:ascii="宋体" w:hAnsi="宋体" w:eastAsia="宋体" w:cs="Times New Roman"/>
                <w:bCs/>
                <w:szCs w:val="21"/>
              </w:rPr>
            </w:pPr>
            <w:r>
              <w:rPr>
                <w:rFonts w:hint="eastAsia" w:ascii="宋体" w:hAnsi="宋体" w:eastAsia="宋体" w:cs="Times New Roman"/>
                <w:bCs/>
                <w:szCs w:val="21"/>
              </w:rPr>
              <w:t>2.案例研讨</w:t>
            </w:r>
          </w:p>
        </w:tc>
        <w:tc>
          <w:tcPr>
            <w:tcW w:w="476" w:type="dxa"/>
            <w:vAlign w:val="center"/>
          </w:tcPr>
          <w:p w14:paraId="50A5B6FB">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p>
        </w:tc>
      </w:tr>
      <w:tr w14:paraId="5B68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128" w:type="dxa"/>
            <w:vMerge w:val="continue"/>
            <w:vAlign w:val="center"/>
          </w:tcPr>
          <w:p w14:paraId="6F3A554B">
            <w:pPr>
              <w:adjustRightInd w:val="0"/>
              <w:snapToGrid w:val="0"/>
              <w:rPr>
                <w:rFonts w:hint="eastAsia" w:ascii="宋体" w:hAnsi="宋体" w:eastAsia="宋体" w:cs="Times New Roman"/>
                <w:bCs/>
                <w:szCs w:val="21"/>
              </w:rPr>
            </w:pPr>
          </w:p>
        </w:tc>
        <w:tc>
          <w:tcPr>
            <w:tcW w:w="8556" w:type="dxa"/>
            <w:gridSpan w:val="5"/>
            <w:vAlign w:val="center"/>
          </w:tcPr>
          <w:p w14:paraId="2BE716F5">
            <w:pPr>
              <w:adjustRightInd w:val="0"/>
              <w:snapToGrid w:val="0"/>
              <w:rPr>
                <w:rFonts w:hint="eastAsia" w:ascii="宋体" w:hAnsi="宋体" w:eastAsia="宋体" w:cs="Times New Roman"/>
                <w:bCs/>
                <w:szCs w:val="21"/>
              </w:rPr>
            </w:pPr>
            <w:r>
              <w:rPr>
                <w:rFonts w:hint="eastAsia" w:ascii="宋体" w:hAnsi="宋体" w:eastAsia="宋体" w:cs="Times New Roman"/>
                <w:b/>
                <w:szCs w:val="21"/>
              </w:rPr>
              <w:t>课程思政目标：</w:t>
            </w:r>
            <w:r>
              <w:rPr>
                <w:rFonts w:hint="eastAsia" w:ascii="宋体" w:hAnsi="宋体" w:eastAsia="宋体" w:cs="Times New Roman"/>
                <w:bCs/>
                <w:szCs w:val="21"/>
              </w:rPr>
              <w:t>树立辩证统一的思维，学会正确分析行政管理中的道德问题；弘扬教师职业精神，尊重、理解，服从安排，积极配合，以主人公精神积极参与管理事务。</w:t>
            </w:r>
          </w:p>
        </w:tc>
      </w:tr>
      <w:tr w14:paraId="46D38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128" w:type="dxa"/>
            <w:vMerge w:val="restart"/>
            <w:vAlign w:val="center"/>
          </w:tcPr>
          <w:p w14:paraId="553CC624">
            <w:pPr>
              <w:adjustRightInd w:val="0"/>
              <w:snapToGrid w:val="0"/>
              <w:rPr>
                <w:rFonts w:hint="eastAsia" w:ascii="宋体" w:hAnsi="宋体" w:eastAsia="宋体" w:cs="Times New Roman"/>
                <w:bCs/>
                <w:szCs w:val="21"/>
              </w:rPr>
            </w:pPr>
            <w:r>
              <w:rPr>
                <w:rFonts w:hint="eastAsia" w:ascii="宋体" w:hAnsi="宋体" w:eastAsia="宋体" w:cs="Times New Roman"/>
                <w:bCs/>
                <w:szCs w:val="21"/>
              </w:rPr>
              <w:t>第八章</w:t>
            </w:r>
          </w:p>
          <w:p w14:paraId="178A2C78">
            <w:pPr>
              <w:adjustRightInd w:val="0"/>
              <w:snapToGrid w:val="0"/>
              <w:rPr>
                <w:rFonts w:hint="eastAsia" w:ascii="宋体" w:hAnsi="宋体" w:eastAsia="宋体" w:cs="Times New Roman"/>
                <w:bCs/>
                <w:szCs w:val="21"/>
              </w:rPr>
            </w:pPr>
            <w:r>
              <w:rPr>
                <w:rFonts w:hint="eastAsia" w:ascii="宋体" w:hAnsi="宋体" w:eastAsia="宋体" w:cs="Times New Roman"/>
                <w:bCs/>
                <w:szCs w:val="21"/>
              </w:rPr>
              <w:t>教师职业道德修养</w:t>
            </w:r>
          </w:p>
        </w:tc>
        <w:tc>
          <w:tcPr>
            <w:tcW w:w="2835" w:type="dxa"/>
            <w:vAlign w:val="center"/>
          </w:tcPr>
          <w:p w14:paraId="2AD8C5D2">
            <w:pPr>
              <w:adjustRightInd w:val="0"/>
              <w:snapToGrid w:val="0"/>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.教师职业道德修养的目标</w:t>
            </w:r>
          </w:p>
          <w:p w14:paraId="5929D50A">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.教师职业道德修养的内容</w:t>
            </w:r>
          </w:p>
          <w:p w14:paraId="34DED2F9">
            <w:pPr>
              <w:adjustRightInd w:val="0"/>
              <w:snapToGrid w:val="0"/>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.教师职业道德修养的途径和方法</w:t>
            </w:r>
          </w:p>
        </w:tc>
        <w:tc>
          <w:tcPr>
            <w:tcW w:w="1276" w:type="dxa"/>
            <w:vAlign w:val="center"/>
          </w:tcPr>
          <w:p w14:paraId="63507B56">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课程目标1</w:t>
            </w:r>
          </w:p>
          <w:p w14:paraId="21988D20">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课程目标2</w:t>
            </w:r>
          </w:p>
        </w:tc>
        <w:tc>
          <w:tcPr>
            <w:tcW w:w="2410" w:type="dxa"/>
            <w:vAlign w:val="center"/>
          </w:tcPr>
          <w:p w14:paraId="746ADA44">
            <w:pPr>
              <w:adjustRightInd w:val="0"/>
              <w:snapToGrid w:val="0"/>
              <w:rPr>
                <w:rFonts w:hint="eastAsia" w:ascii="宋体" w:hAnsi="宋体" w:eastAsia="宋体" w:cs="Times New Roman"/>
                <w:bCs/>
                <w:szCs w:val="21"/>
              </w:rPr>
            </w:pPr>
            <w:r>
              <w:rPr>
                <w:rFonts w:hint="eastAsia" w:ascii="宋体" w:hAnsi="宋体" w:eastAsia="宋体" w:cs="Times New Roman"/>
                <w:bCs/>
                <w:szCs w:val="21"/>
              </w:rPr>
              <w:t>了解教师职业道德修养的目标，掌握教师职业道德修养的基本内容、途径与方法，认同并自觉内化为自身专业发展要求。</w:t>
            </w:r>
          </w:p>
        </w:tc>
        <w:tc>
          <w:tcPr>
            <w:tcW w:w="1559" w:type="dxa"/>
            <w:vAlign w:val="center"/>
          </w:tcPr>
          <w:p w14:paraId="42445425">
            <w:pPr>
              <w:adjustRightInd w:val="0"/>
              <w:snapToGrid w:val="0"/>
              <w:rPr>
                <w:rFonts w:hint="eastAsia" w:ascii="宋体" w:hAnsi="宋体" w:eastAsia="宋体" w:cs="Times New Roman"/>
                <w:bCs/>
                <w:szCs w:val="21"/>
              </w:rPr>
            </w:pPr>
            <w:r>
              <w:rPr>
                <w:rFonts w:hint="eastAsia" w:ascii="宋体" w:hAnsi="宋体" w:eastAsia="宋体" w:cs="Times New Roman"/>
                <w:bCs/>
                <w:szCs w:val="21"/>
              </w:rPr>
              <w:t>1.多媒体教学</w:t>
            </w:r>
          </w:p>
          <w:p w14:paraId="525CE994">
            <w:pPr>
              <w:adjustRightInd w:val="0"/>
              <w:snapToGrid w:val="0"/>
              <w:rPr>
                <w:rFonts w:hint="eastAsia" w:ascii="宋体" w:hAnsi="宋体" w:eastAsia="宋体" w:cs="Times New Roman"/>
                <w:bCs/>
                <w:szCs w:val="21"/>
              </w:rPr>
            </w:pPr>
            <w:r>
              <w:rPr>
                <w:rFonts w:hint="eastAsia" w:ascii="宋体" w:hAnsi="宋体" w:eastAsia="宋体" w:cs="Times New Roman"/>
                <w:bCs/>
                <w:szCs w:val="21"/>
              </w:rPr>
              <w:t>2.案例研讨</w:t>
            </w:r>
          </w:p>
        </w:tc>
        <w:tc>
          <w:tcPr>
            <w:tcW w:w="476" w:type="dxa"/>
            <w:vAlign w:val="center"/>
          </w:tcPr>
          <w:p w14:paraId="5179C04F">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p>
        </w:tc>
      </w:tr>
      <w:tr w14:paraId="5139D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28" w:type="dxa"/>
            <w:vMerge w:val="continue"/>
            <w:vAlign w:val="center"/>
          </w:tcPr>
          <w:p w14:paraId="3BC74AD1">
            <w:pPr>
              <w:adjustRightInd w:val="0"/>
              <w:snapToGrid w:val="0"/>
              <w:rPr>
                <w:rFonts w:hint="eastAsia" w:ascii="宋体" w:hAnsi="宋体" w:eastAsia="宋体" w:cs="Times New Roman"/>
                <w:bCs/>
                <w:szCs w:val="21"/>
              </w:rPr>
            </w:pPr>
          </w:p>
        </w:tc>
        <w:tc>
          <w:tcPr>
            <w:tcW w:w="8556" w:type="dxa"/>
            <w:gridSpan w:val="5"/>
            <w:vAlign w:val="center"/>
          </w:tcPr>
          <w:p w14:paraId="678E17F4">
            <w:pPr>
              <w:adjustRightInd w:val="0"/>
              <w:snapToGrid w:val="0"/>
              <w:rPr>
                <w:rFonts w:hint="eastAsia" w:ascii="宋体" w:hAnsi="宋体" w:eastAsia="宋体" w:cs="Times New Roman"/>
                <w:b/>
                <w:szCs w:val="21"/>
              </w:rPr>
            </w:pPr>
            <w:r>
              <w:rPr>
                <w:rFonts w:hint="eastAsia" w:ascii="宋体" w:hAnsi="宋体" w:eastAsia="宋体" w:cs="Times New Roman"/>
                <w:b/>
                <w:szCs w:val="21"/>
              </w:rPr>
              <w:t>课程思政目标：</w:t>
            </w:r>
            <w:r>
              <w:rPr>
                <w:rFonts w:ascii="宋体" w:hAnsi="宋体" w:eastAsia="宋体" w:cs="Times New Roman"/>
                <w:bCs/>
                <w:szCs w:val="21"/>
              </w:rPr>
              <w:t>树立终身学习理念，自觉更新教育观念，潜心钻研教育教学业务。</w:t>
            </w:r>
          </w:p>
        </w:tc>
      </w:tr>
    </w:tbl>
    <w:p w14:paraId="332B50E5">
      <w:pPr>
        <w:spacing w:before="62" w:beforeLines="20" w:after="62" w:afterLines="20" w:line="360" w:lineRule="auto"/>
        <w:jc w:val="left"/>
        <w:rPr>
          <w:rFonts w:ascii="Times New Roman" w:hAnsi="Times New Roman" w:eastAsia="宋体" w:cs="Times New Roman"/>
          <w:b/>
          <w:sz w:val="24"/>
        </w:rPr>
      </w:pPr>
      <w:bookmarkStart w:id="254" w:name="_Toc4356"/>
      <w:bookmarkStart w:id="255" w:name="_Toc6238"/>
      <w:bookmarkStart w:id="256" w:name="_Toc26578"/>
      <w:bookmarkStart w:id="257" w:name="_Toc8896"/>
      <w:bookmarkStart w:id="258" w:name="_Toc28719"/>
      <w:bookmarkStart w:id="259" w:name="_Toc22443"/>
      <w:r>
        <w:rPr>
          <w:rFonts w:hint="eastAsia" w:ascii="Times New Roman" w:hAnsi="Times New Roman" w:eastAsia="宋体" w:cs="Times New Roman"/>
          <w:b/>
          <w:sz w:val="24"/>
        </w:rPr>
        <w:t>四、目标评价与成绩评定</w:t>
      </w:r>
      <w:bookmarkEnd w:id="254"/>
      <w:bookmarkEnd w:id="255"/>
      <w:bookmarkEnd w:id="256"/>
      <w:bookmarkEnd w:id="257"/>
      <w:bookmarkEnd w:id="258"/>
      <w:bookmarkEnd w:id="259"/>
    </w:p>
    <w:p w14:paraId="1FCB3C02">
      <w:pPr>
        <w:adjustRightInd w:val="0"/>
        <w:snapToGrid w:val="0"/>
        <w:spacing w:line="360" w:lineRule="auto"/>
        <w:ind w:firstLine="422" w:firstLineChars="200"/>
        <w:jc w:val="left"/>
        <w:outlineLvl w:val="1"/>
        <w:rPr>
          <w:rFonts w:ascii="Times New Roman" w:hAnsi="Times New Roman" w:eastAsia="宋体" w:cs="Times New Roman"/>
          <w:b/>
          <w:szCs w:val="21"/>
        </w:rPr>
      </w:pPr>
      <w:bookmarkStart w:id="260" w:name="_Toc4155"/>
      <w:bookmarkStart w:id="261" w:name="_Toc32668"/>
      <w:r>
        <w:rPr>
          <w:rFonts w:hint="eastAsia" w:ascii="Times New Roman" w:hAnsi="Times New Roman" w:eastAsia="宋体" w:cs="Times New Roman"/>
          <w:b/>
          <w:szCs w:val="21"/>
        </w:rPr>
        <w:t>（一）课程目标评价方式</w:t>
      </w:r>
      <w:bookmarkEnd w:id="260"/>
      <w:bookmarkEnd w:id="261"/>
    </w:p>
    <w:p w14:paraId="52C9D1E5">
      <w:pPr>
        <w:adjustRightInd w:val="0"/>
        <w:snapToGri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3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559"/>
        <w:gridCol w:w="1418"/>
        <w:gridCol w:w="1276"/>
        <w:gridCol w:w="1417"/>
        <w:gridCol w:w="1355"/>
      </w:tblGrid>
      <w:tr w14:paraId="607C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271" w:type="dxa"/>
            <w:vMerge w:val="restart"/>
            <w:vAlign w:val="center"/>
          </w:tcPr>
          <w:p w14:paraId="23862EBC">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p>
        </w:tc>
        <w:tc>
          <w:tcPr>
            <w:tcW w:w="5670" w:type="dxa"/>
            <w:gridSpan w:val="4"/>
          </w:tcPr>
          <w:p w14:paraId="6DBBB564">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评价与成绩评定方法</w:t>
            </w:r>
          </w:p>
        </w:tc>
        <w:tc>
          <w:tcPr>
            <w:tcW w:w="1355" w:type="dxa"/>
            <w:vMerge w:val="restart"/>
            <w:vAlign w:val="center"/>
          </w:tcPr>
          <w:p w14:paraId="552AA806">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分值</w:t>
            </w:r>
          </w:p>
        </w:tc>
      </w:tr>
      <w:tr w14:paraId="19F9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271" w:type="dxa"/>
            <w:vMerge w:val="continue"/>
            <w:vAlign w:val="center"/>
          </w:tcPr>
          <w:p w14:paraId="31D80E09">
            <w:pPr>
              <w:adjustRightInd w:val="0"/>
              <w:snapToGrid w:val="0"/>
              <w:jc w:val="center"/>
              <w:rPr>
                <w:rFonts w:hint="eastAsia" w:ascii="宋体" w:hAnsi="宋体" w:eastAsia="宋体" w:cs="Times New Roman"/>
                <w:kern w:val="0"/>
                <w:szCs w:val="21"/>
              </w:rPr>
            </w:pPr>
          </w:p>
        </w:tc>
        <w:tc>
          <w:tcPr>
            <w:tcW w:w="1559" w:type="dxa"/>
            <w:vAlign w:val="center"/>
          </w:tcPr>
          <w:p w14:paraId="489F4510">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课堂发言</w:t>
            </w:r>
          </w:p>
        </w:tc>
        <w:tc>
          <w:tcPr>
            <w:tcW w:w="1418" w:type="dxa"/>
            <w:vAlign w:val="center"/>
          </w:tcPr>
          <w:p w14:paraId="21294FD4">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平时作业</w:t>
            </w:r>
          </w:p>
        </w:tc>
        <w:tc>
          <w:tcPr>
            <w:tcW w:w="1276" w:type="dxa"/>
            <w:vAlign w:val="center"/>
          </w:tcPr>
          <w:p w14:paraId="48E849C3">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主题汇报</w:t>
            </w:r>
          </w:p>
        </w:tc>
        <w:tc>
          <w:tcPr>
            <w:tcW w:w="1417" w:type="dxa"/>
            <w:vAlign w:val="center"/>
          </w:tcPr>
          <w:p w14:paraId="12629E33">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期末考试</w:t>
            </w:r>
          </w:p>
        </w:tc>
        <w:tc>
          <w:tcPr>
            <w:tcW w:w="1355" w:type="dxa"/>
            <w:vMerge w:val="continue"/>
            <w:vAlign w:val="center"/>
          </w:tcPr>
          <w:p w14:paraId="6C5BD4A1">
            <w:pPr>
              <w:adjustRightInd w:val="0"/>
              <w:snapToGrid w:val="0"/>
              <w:jc w:val="center"/>
              <w:rPr>
                <w:rFonts w:hint="eastAsia" w:ascii="宋体" w:hAnsi="宋体" w:eastAsia="宋体" w:cs="Times New Roman"/>
                <w:kern w:val="0"/>
                <w:szCs w:val="21"/>
              </w:rPr>
            </w:pPr>
          </w:p>
        </w:tc>
      </w:tr>
      <w:tr w14:paraId="66FE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271" w:type="dxa"/>
            <w:vAlign w:val="center"/>
          </w:tcPr>
          <w:p w14:paraId="03F363A5">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课程目标1</w:t>
            </w:r>
          </w:p>
        </w:tc>
        <w:tc>
          <w:tcPr>
            <w:tcW w:w="1559" w:type="dxa"/>
            <w:vAlign w:val="center"/>
          </w:tcPr>
          <w:p w14:paraId="2B4256DB">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8" w:type="dxa"/>
            <w:vAlign w:val="center"/>
          </w:tcPr>
          <w:p w14:paraId="2B0AE5F4">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276" w:type="dxa"/>
            <w:vAlign w:val="center"/>
          </w:tcPr>
          <w:p w14:paraId="5C2485AD">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7" w:type="dxa"/>
            <w:vAlign w:val="center"/>
          </w:tcPr>
          <w:p w14:paraId="002914FE">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355" w:type="dxa"/>
            <w:vAlign w:val="center"/>
          </w:tcPr>
          <w:p w14:paraId="43171144">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t>20</w:t>
            </w:r>
          </w:p>
        </w:tc>
      </w:tr>
      <w:tr w14:paraId="672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40D0F920">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课程目标2</w:t>
            </w:r>
          </w:p>
        </w:tc>
        <w:tc>
          <w:tcPr>
            <w:tcW w:w="1559" w:type="dxa"/>
            <w:vAlign w:val="center"/>
          </w:tcPr>
          <w:p w14:paraId="2BF21346">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8" w:type="dxa"/>
            <w:vAlign w:val="center"/>
          </w:tcPr>
          <w:p w14:paraId="00DA2552">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276" w:type="dxa"/>
            <w:vAlign w:val="center"/>
          </w:tcPr>
          <w:p w14:paraId="4BD679CE">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7" w:type="dxa"/>
            <w:vAlign w:val="center"/>
          </w:tcPr>
          <w:p w14:paraId="7E0BA475">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355" w:type="dxa"/>
            <w:vAlign w:val="center"/>
          </w:tcPr>
          <w:p w14:paraId="1FB112E5">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t>30</w:t>
            </w:r>
          </w:p>
        </w:tc>
      </w:tr>
      <w:tr w14:paraId="134A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00188851">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课程目标3</w:t>
            </w:r>
          </w:p>
        </w:tc>
        <w:tc>
          <w:tcPr>
            <w:tcW w:w="1559" w:type="dxa"/>
            <w:vAlign w:val="center"/>
          </w:tcPr>
          <w:p w14:paraId="48322893">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8" w:type="dxa"/>
            <w:vAlign w:val="center"/>
          </w:tcPr>
          <w:p w14:paraId="474B5C21">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276" w:type="dxa"/>
            <w:vAlign w:val="center"/>
          </w:tcPr>
          <w:p w14:paraId="311A4577">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7" w:type="dxa"/>
            <w:vAlign w:val="center"/>
          </w:tcPr>
          <w:p w14:paraId="57E7BA26">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355" w:type="dxa"/>
            <w:vAlign w:val="center"/>
          </w:tcPr>
          <w:p w14:paraId="6FDD2E6D">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t>30</w:t>
            </w:r>
          </w:p>
        </w:tc>
      </w:tr>
      <w:tr w14:paraId="69ED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71" w:type="dxa"/>
            <w:vAlign w:val="center"/>
          </w:tcPr>
          <w:p w14:paraId="3E0B4C15">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课程目标4</w:t>
            </w:r>
          </w:p>
        </w:tc>
        <w:tc>
          <w:tcPr>
            <w:tcW w:w="1559" w:type="dxa"/>
          </w:tcPr>
          <w:p w14:paraId="5272A4FC">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8" w:type="dxa"/>
          </w:tcPr>
          <w:p w14:paraId="13302BD8">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276" w:type="dxa"/>
          </w:tcPr>
          <w:p w14:paraId="3A0EBE35">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7" w:type="dxa"/>
          </w:tcPr>
          <w:p w14:paraId="62A3CEB2">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355" w:type="dxa"/>
            <w:vAlign w:val="center"/>
          </w:tcPr>
          <w:p w14:paraId="413D5B87">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t>20</w:t>
            </w:r>
          </w:p>
        </w:tc>
      </w:tr>
      <w:tr w14:paraId="46D0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4BF90A94">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合计</w:t>
            </w:r>
          </w:p>
        </w:tc>
        <w:tc>
          <w:tcPr>
            <w:tcW w:w="1559" w:type="dxa"/>
            <w:vAlign w:val="center"/>
          </w:tcPr>
          <w:p w14:paraId="2C17BF7C">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0</w:t>
            </w:r>
          </w:p>
        </w:tc>
        <w:tc>
          <w:tcPr>
            <w:tcW w:w="1418" w:type="dxa"/>
            <w:vAlign w:val="center"/>
          </w:tcPr>
          <w:p w14:paraId="2619CB38">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t>20</w:t>
            </w:r>
          </w:p>
        </w:tc>
        <w:tc>
          <w:tcPr>
            <w:tcW w:w="1276" w:type="dxa"/>
            <w:vAlign w:val="center"/>
          </w:tcPr>
          <w:p w14:paraId="4695EEA6">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0</w:t>
            </w:r>
          </w:p>
        </w:tc>
        <w:tc>
          <w:tcPr>
            <w:tcW w:w="1417" w:type="dxa"/>
            <w:vAlign w:val="center"/>
          </w:tcPr>
          <w:p w14:paraId="00F11ED7">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1355" w:type="dxa"/>
            <w:vAlign w:val="center"/>
          </w:tcPr>
          <w:p w14:paraId="3D38CAFD">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bl>
    <w:p w14:paraId="3922C0F3">
      <w:pPr>
        <w:spacing w:before="156" w:beforeLines="50" w:line="360" w:lineRule="auto"/>
        <w:ind w:firstLine="422" w:firstLineChars="200"/>
        <w:jc w:val="left"/>
        <w:outlineLvl w:val="1"/>
        <w:rPr>
          <w:rFonts w:ascii="Times New Roman" w:hAnsi="Times New Roman" w:eastAsia="宋体" w:cs="Times New Roman"/>
          <w:b/>
          <w:szCs w:val="21"/>
        </w:rPr>
      </w:pPr>
      <w:bookmarkStart w:id="262" w:name="_Toc9554"/>
      <w:bookmarkStart w:id="263" w:name="_Toc27093"/>
      <w:r>
        <w:rPr>
          <w:rFonts w:hint="eastAsia" w:ascii="宋体" w:hAnsi="宋体" w:eastAsia="宋体" w:cs="Times New Roman"/>
          <w:b/>
          <w:szCs w:val="22"/>
        </w:rPr>
        <w:t>（二）</w:t>
      </w:r>
      <w:r>
        <w:rPr>
          <w:rFonts w:hint="eastAsia" w:ascii="Times New Roman" w:hAnsi="Times New Roman" w:eastAsia="宋体" w:cs="Times New Roman"/>
          <w:b/>
          <w:szCs w:val="21"/>
        </w:rPr>
        <w:t>成绩评定细则</w:t>
      </w:r>
      <w:bookmarkEnd w:id="262"/>
      <w:bookmarkEnd w:id="263"/>
    </w:p>
    <w:p w14:paraId="0550F5E2">
      <w:pPr>
        <w:spacing w:line="360" w:lineRule="auto"/>
        <w:ind w:firstLine="420" w:firstLineChars="200"/>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rPr>
        <w:t>各部分的评价方式和成绩评定的细则</w:t>
      </w:r>
      <w:r>
        <w:rPr>
          <w:rFonts w:hint="eastAsia" w:ascii="Times New Roman" w:hAnsi="Times New Roman" w:eastAsia="宋体" w:cs="Times New Roman"/>
          <w:szCs w:val="21"/>
          <w:lang w:eastAsia="zh-CN"/>
        </w:rPr>
        <w:t>如下表所示。</w:t>
      </w:r>
    </w:p>
    <w:tbl>
      <w:tblPr>
        <w:tblStyle w:val="16"/>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509"/>
        <w:gridCol w:w="757"/>
      </w:tblGrid>
      <w:tr w14:paraId="0780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dxa"/>
            <w:vAlign w:val="center"/>
          </w:tcPr>
          <w:p w14:paraId="0DF59D25">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509" w:type="dxa"/>
            <w:vAlign w:val="center"/>
          </w:tcPr>
          <w:p w14:paraId="229A5734">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161039AA">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CF5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22" w:type="dxa"/>
            <w:tcBorders>
              <w:top w:val="single" w:color="auto" w:sz="4" w:space="0"/>
              <w:left w:val="single" w:color="auto" w:sz="4" w:space="0"/>
              <w:bottom w:val="single" w:color="auto" w:sz="4" w:space="0"/>
              <w:right w:val="single" w:color="auto" w:sz="4" w:space="0"/>
            </w:tcBorders>
            <w:vAlign w:val="center"/>
          </w:tcPr>
          <w:p w14:paraId="76E1248D">
            <w:pPr>
              <w:snapToGrid w:val="0"/>
              <w:rPr>
                <w:rFonts w:hint="eastAsia" w:ascii="宋体" w:hAnsi="宋体" w:eastAsia="宋体" w:cs="Times New Roman"/>
                <w:szCs w:val="21"/>
              </w:rPr>
            </w:pPr>
            <w:r>
              <w:rPr>
                <w:rFonts w:hint="eastAsia" w:ascii="宋体" w:hAnsi="宋体" w:eastAsia="宋体" w:cs="Times New Roman"/>
                <w:szCs w:val="21"/>
              </w:rPr>
              <w:t>课堂发言</w:t>
            </w:r>
          </w:p>
        </w:tc>
        <w:tc>
          <w:tcPr>
            <w:tcW w:w="7509" w:type="dxa"/>
            <w:tcBorders>
              <w:top w:val="single" w:color="auto" w:sz="4" w:space="0"/>
              <w:left w:val="single" w:color="auto" w:sz="4" w:space="0"/>
              <w:bottom w:val="single" w:color="auto" w:sz="4" w:space="0"/>
              <w:right w:val="single" w:color="auto" w:sz="4" w:space="0"/>
            </w:tcBorders>
            <w:vAlign w:val="center"/>
          </w:tcPr>
          <w:p w14:paraId="364431D4">
            <w:pPr>
              <w:snapToGrid w:val="0"/>
              <w:rPr>
                <w:rFonts w:hint="eastAsia" w:ascii="宋体" w:hAnsi="宋体" w:eastAsia="宋体" w:cs="Times New Roman"/>
                <w:szCs w:val="21"/>
              </w:rPr>
            </w:pPr>
            <w:r>
              <w:rPr>
                <w:rFonts w:hint="eastAsia" w:ascii="宋体" w:hAnsi="宋体" w:eastAsia="宋体" w:cs="Times New Roman"/>
                <w:szCs w:val="21"/>
              </w:rPr>
              <w:t>根据学生课堂发言情况、学习</w:t>
            </w:r>
            <w:r>
              <w:rPr>
                <w:rFonts w:ascii="宋体" w:hAnsi="宋体" w:eastAsia="宋体" w:cs="Times New Roman"/>
                <w:szCs w:val="21"/>
              </w:rPr>
              <w:t>态度</w:t>
            </w:r>
            <w:r>
              <w:rPr>
                <w:rFonts w:hint="eastAsia" w:ascii="宋体" w:hAnsi="宋体" w:eastAsia="宋体" w:cs="Times New Roman"/>
                <w:szCs w:val="21"/>
              </w:rPr>
              <w:t>、回答质量进行评分，考察学生课堂听讲效果、课后预习和复习的效果，以及对基础知识的掌握情况。</w:t>
            </w:r>
          </w:p>
        </w:tc>
        <w:tc>
          <w:tcPr>
            <w:tcW w:w="0" w:type="auto"/>
            <w:tcBorders>
              <w:top w:val="single" w:color="auto" w:sz="4" w:space="0"/>
              <w:left w:val="single" w:color="auto" w:sz="4" w:space="0"/>
              <w:bottom w:val="single" w:color="auto" w:sz="4" w:space="0"/>
              <w:right w:val="single" w:color="auto" w:sz="4" w:space="0"/>
            </w:tcBorders>
            <w:vAlign w:val="center"/>
          </w:tcPr>
          <w:p w14:paraId="71386E8D">
            <w:pPr>
              <w:snapToGrid w:val="0"/>
              <w:rPr>
                <w:rFonts w:hint="eastAsia" w:ascii="宋体" w:hAnsi="宋体" w:eastAsia="宋体" w:cs="Times New Roman"/>
                <w:szCs w:val="21"/>
              </w:rPr>
            </w:pPr>
            <w:r>
              <w:rPr>
                <w:rFonts w:ascii="宋体" w:hAnsi="宋体" w:eastAsia="宋体" w:cs="Times New Roman"/>
                <w:szCs w:val="21"/>
              </w:rPr>
              <w:t>10%</w:t>
            </w:r>
          </w:p>
        </w:tc>
      </w:tr>
      <w:tr w14:paraId="3CA0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22" w:type="dxa"/>
            <w:tcBorders>
              <w:top w:val="single" w:color="auto" w:sz="4" w:space="0"/>
              <w:left w:val="single" w:color="auto" w:sz="4" w:space="0"/>
              <w:bottom w:val="single" w:color="auto" w:sz="4" w:space="0"/>
              <w:right w:val="single" w:color="auto" w:sz="4" w:space="0"/>
            </w:tcBorders>
            <w:vAlign w:val="center"/>
          </w:tcPr>
          <w:p w14:paraId="240DCF0A">
            <w:pPr>
              <w:snapToGrid w:val="0"/>
              <w:rPr>
                <w:rFonts w:hint="eastAsia" w:ascii="宋体" w:hAnsi="宋体" w:eastAsia="宋体" w:cs="Times New Roman"/>
                <w:szCs w:val="21"/>
              </w:rPr>
            </w:pPr>
            <w:r>
              <w:rPr>
                <w:rFonts w:hint="eastAsia" w:ascii="宋体" w:hAnsi="宋体" w:eastAsia="宋体" w:cs="Times New Roman"/>
                <w:szCs w:val="21"/>
              </w:rPr>
              <w:t>平时作业</w:t>
            </w:r>
          </w:p>
        </w:tc>
        <w:tc>
          <w:tcPr>
            <w:tcW w:w="7509" w:type="dxa"/>
            <w:tcBorders>
              <w:top w:val="single" w:color="auto" w:sz="4" w:space="0"/>
              <w:left w:val="single" w:color="auto" w:sz="4" w:space="0"/>
              <w:bottom w:val="single" w:color="auto" w:sz="4" w:space="0"/>
              <w:right w:val="single" w:color="auto" w:sz="4" w:space="0"/>
            </w:tcBorders>
            <w:vAlign w:val="center"/>
          </w:tcPr>
          <w:p w14:paraId="40CC75EB">
            <w:pPr>
              <w:snapToGrid w:val="0"/>
              <w:rPr>
                <w:rFonts w:hint="eastAsia" w:ascii="宋体" w:hAnsi="宋体" w:eastAsia="宋体" w:cs="Times New Roman"/>
                <w:szCs w:val="21"/>
              </w:rPr>
            </w:pPr>
            <w:r>
              <w:rPr>
                <w:rFonts w:ascii="宋体" w:hAnsi="宋体" w:eastAsia="宋体" w:cs="Times New Roman"/>
                <w:szCs w:val="22"/>
              </w:rPr>
              <w:t>考核学生对</w:t>
            </w:r>
            <w:r>
              <w:rPr>
                <w:rFonts w:hint="eastAsia" w:ascii="宋体" w:hAnsi="宋体" w:eastAsia="宋体" w:cs="Times New Roman"/>
                <w:szCs w:val="22"/>
              </w:rPr>
              <w:t>各章节重要</w:t>
            </w:r>
            <w:r>
              <w:rPr>
                <w:rFonts w:ascii="宋体" w:hAnsi="宋体" w:eastAsia="宋体" w:cs="Times New Roman"/>
                <w:szCs w:val="22"/>
              </w:rPr>
              <w:t>知识点的理解和掌握</w:t>
            </w:r>
            <w:r>
              <w:rPr>
                <w:rFonts w:hint="eastAsia" w:ascii="宋体" w:hAnsi="宋体" w:eastAsia="宋体" w:cs="Times New Roman"/>
                <w:szCs w:val="22"/>
              </w:rPr>
              <w:t>情况</w:t>
            </w:r>
            <w:r>
              <w:rPr>
                <w:rFonts w:ascii="宋体" w:hAnsi="宋体" w:eastAsia="宋体" w:cs="Times New Roman"/>
                <w:szCs w:val="22"/>
              </w:rPr>
              <w:t>，</w:t>
            </w:r>
            <w:r>
              <w:rPr>
                <w:rFonts w:hint="eastAsia" w:ascii="宋体" w:hAnsi="宋体" w:eastAsia="宋体" w:cs="Times New Roman"/>
                <w:szCs w:val="22"/>
              </w:rPr>
              <w:t>作业次数不少于2次，安排在课后，教师批改反馈并进行讲解。</w:t>
            </w:r>
          </w:p>
        </w:tc>
        <w:tc>
          <w:tcPr>
            <w:tcW w:w="0" w:type="auto"/>
            <w:tcBorders>
              <w:top w:val="single" w:color="auto" w:sz="4" w:space="0"/>
              <w:left w:val="single" w:color="auto" w:sz="4" w:space="0"/>
              <w:bottom w:val="single" w:color="auto" w:sz="4" w:space="0"/>
              <w:right w:val="single" w:color="auto" w:sz="4" w:space="0"/>
            </w:tcBorders>
            <w:vAlign w:val="center"/>
          </w:tcPr>
          <w:p w14:paraId="7ED4968D">
            <w:pPr>
              <w:snapToGrid w:val="0"/>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r>
      <w:tr w14:paraId="616B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22" w:type="dxa"/>
            <w:tcBorders>
              <w:top w:val="single" w:color="auto" w:sz="4" w:space="0"/>
              <w:left w:val="single" w:color="auto" w:sz="4" w:space="0"/>
              <w:bottom w:val="single" w:color="auto" w:sz="4" w:space="0"/>
              <w:right w:val="single" w:color="auto" w:sz="4" w:space="0"/>
            </w:tcBorders>
            <w:vAlign w:val="center"/>
          </w:tcPr>
          <w:p w14:paraId="7AEB34ED">
            <w:pPr>
              <w:snapToGrid w:val="0"/>
              <w:rPr>
                <w:rFonts w:hint="eastAsia" w:ascii="宋体" w:hAnsi="宋体" w:eastAsia="宋体" w:cs="Times New Roman"/>
                <w:szCs w:val="21"/>
              </w:rPr>
            </w:pPr>
            <w:r>
              <w:rPr>
                <w:rFonts w:hint="eastAsia" w:ascii="宋体" w:hAnsi="宋体" w:eastAsia="宋体" w:cs="Times New Roman"/>
                <w:szCs w:val="21"/>
              </w:rPr>
              <w:t>主题汇报</w:t>
            </w:r>
          </w:p>
        </w:tc>
        <w:tc>
          <w:tcPr>
            <w:tcW w:w="7509" w:type="dxa"/>
            <w:tcBorders>
              <w:top w:val="single" w:color="auto" w:sz="4" w:space="0"/>
              <w:left w:val="single" w:color="auto" w:sz="4" w:space="0"/>
              <w:bottom w:val="single" w:color="auto" w:sz="4" w:space="0"/>
              <w:right w:val="single" w:color="auto" w:sz="4" w:space="0"/>
            </w:tcBorders>
            <w:vAlign w:val="center"/>
          </w:tcPr>
          <w:p w14:paraId="2C5A726B">
            <w:pPr>
              <w:snapToGrid w:val="0"/>
              <w:rPr>
                <w:rFonts w:hint="eastAsia" w:ascii="宋体" w:hAnsi="宋体" w:eastAsia="宋体" w:cs="Times New Roman"/>
                <w:szCs w:val="21"/>
              </w:rPr>
            </w:pPr>
            <w:r>
              <w:rPr>
                <w:rFonts w:hint="eastAsia" w:ascii="宋体" w:hAnsi="宋体" w:eastAsia="宋体" w:cs="Times New Roman"/>
                <w:szCs w:val="22"/>
              </w:rPr>
              <w:t>小组合作，围绕一个师德主题，分享教育故事和感悟，考察学生运用师德理念以及相关理论知识分析具体案例的能力。</w:t>
            </w:r>
          </w:p>
        </w:tc>
        <w:tc>
          <w:tcPr>
            <w:tcW w:w="0" w:type="auto"/>
            <w:tcBorders>
              <w:top w:val="single" w:color="auto" w:sz="4" w:space="0"/>
              <w:left w:val="single" w:color="auto" w:sz="4" w:space="0"/>
              <w:bottom w:val="single" w:color="auto" w:sz="4" w:space="0"/>
              <w:right w:val="single" w:color="auto" w:sz="4" w:space="0"/>
            </w:tcBorders>
            <w:vAlign w:val="center"/>
          </w:tcPr>
          <w:p w14:paraId="24E43256">
            <w:pPr>
              <w:snapToGrid w:val="0"/>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r>
      <w:tr w14:paraId="5E3C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22" w:type="dxa"/>
            <w:tcBorders>
              <w:top w:val="single" w:color="auto" w:sz="4" w:space="0"/>
              <w:left w:val="single" w:color="auto" w:sz="4" w:space="0"/>
              <w:bottom w:val="single" w:color="auto" w:sz="4" w:space="0"/>
              <w:right w:val="single" w:color="auto" w:sz="4" w:space="0"/>
            </w:tcBorders>
            <w:vAlign w:val="center"/>
          </w:tcPr>
          <w:p w14:paraId="02AF8C43">
            <w:pPr>
              <w:snapToGrid w:val="0"/>
              <w:rPr>
                <w:rFonts w:hint="eastAsia" w:ascii="宋体" w:hAnsi="宋体" w:eastAsia="宋体" w:cs="Times New Roman"/>
                <w:szCs w:val="21"/>
              </w:rPr>
            </w:pPr>
            <w:r>
              <w:rPr>
                <w:rFonts w:hint="eastAsia" w:ascii="宋体" w:hAnsi="宋体" w:eastAsia="宋体" w:cs="Times New Roman"/>
                <w:szCs w:val="21"/>
              </w:rPr>
              <w:t>期末考试</w:t>
            </w:r>
          </w:p>
        </w:tc>
        <w:tc>
          <w:tcPr>
            <w:tcW w:w="7509" w:type="dxa"/>
            <w:tcBorders>
              <w:top w:val="single" w:color="auto" w:sz="4" w:space="0"/>
              <w:left w:val="single" w:color="auto" w:sz="4" w:space="0"/>
              <w:bottom w:val="single" w:color="auto" w:sz="4" w:space="0"/>
              <w:right w:val="single" w:color="auto" w:sz="4" w:space="0"/>
            </w:tcBorders>
            <w:vAlign w:val="center"/>
          </w:tcPr>
          <w:p w14:paraId="23A4A3C8">
            <w:pPr>
              <w:snapToGrid w:val="0"/>
              <w:rPr>
                <w:rFonts w:hint="eastAsia" w:ascii="宋体" w:hAnsi="宋体" w:eastAsia="宋体" w:cs="Times New Roman"/>
                <w:szCs w:val="21"/>
              </w:rPr>
            </w:pPr>
            <w:r>
              <w:rPr>
                <w:rFonts w:hint="eastAsia" w:ascii="宋体" w:hAnsi="宋体" w:eastAsia="宋体" w:cs="Times New Roman"/>
                <w:szCs w:val="21"/>
              </w:rPr>
              <w:t>考试形式由教师确定，</w:t>
            </w:r>
            <w:r>
              <w:rPr>
                <w:rFonts w:ascii="宋体" w:hAnsi="宋体" w:eastAsia="宋体" w:cs="Times New Roman"/>
                <w:szCs w:val="21"/>
              </w:rPr>
              <w:t>题型包括选择题、简答题、材料分析题、论述题，</w:t>
            </w:r>
            <w:r>
              <w:rPr>
                <w:rFonts w:hint="eastAsia" w:ascii="宋体" w:hAnsi="宋体" w:eastAsia="宋体" w:cs="Times New Roman"/>
                <w:szCs w:val="21"/>
              </w:rPr>
              <w:t>其中：</w:t>
            </w:r>
          </w:p>
          <w:p w14:paraId="7E2C0765">
            <w:pPr>
              <w:snapToGrid w:val="0"/>
              <w:rPr>
                <w:rFonts w:hint="eastAsia" w:ascii="宋体" w:hAnsi="宋体" w:eastAsia="宋体" w:cs="Times New Roman"/>
                <w:szCs w:val="21"/>
              </w:rPr>
            </w:pPr>
            <w:r>
              <w:rPr>
                <w:rFonts w:ascii="宋体" w:hAnsi="宋体" w:eastAsia="宋体" w:cs="Times New Roman"/>
                <w:szCs w:val="21"/>
              </w:rPr>
              <w:t>考核教师职业道德基本理论的知识型题目</w:t>
            </w:r>
            <w:r>
              <w:rPr>
                <w:rFonts w:hint="eastAsia" w:ascii="宋体" w:hAnsi="宋体" w:eastAsia="宋体" w:cs="Times New Roman"/>
                <w:szCs w:val="21"/>
              </w:rPr>
              <w:t>不少于</w:t>
            </w:r>
            <w:r>
              <w:rPr>
                <w:rFonts w:ascii="宋体" w:hAnsi="宋体" w:eastAsia="宋体" w:cs="Times New Roman"/>
                <w:szCs w:val="21"/>
              </w:rPr>
              <w:t>40%。</w:t>
            </w:r>
          </w:p>
          <w:p w14:paraId="7A24B96E">
            <w:pPr>
              <w:snapToGrid w:val="0"/>
              <w:rPr>
                <w:rFonts w:hint="eastAsia" w:ascii="宋体" w:hAnsi="宋体" w:eastAsia="宋体" w:cs="Times New Roman"/>
                <w:szCs w:val="21"/>
              </w:rPr>
            </w:pPr>
            <w:r>
              <w:rPr>
                <w:rFonts w:ascii="宋体" w:hAnsi="宋体" w:eastAsia="宋体" w:cs="Times New Roman"/>
                <w:szCs w:val="21"/>
              </w:rPr>
              <w:t>考核学生运用职业道德基本理论知识分析材料的能力型题目</w:t>
            </w:r>
            <w:r>
              <w:rPr>
                <w:rFonts w:hint="eastAsia" w:ascii="宋体" w:hAnsi="宋体" w:eastAsia="宋体" w:cs="Times New Roman"/>
                <w:szCs w:val="21"/>
              </w:rPr>
              <w:t>不少于</w:t>
            </w:r>
            <w:r>
              <w:rPr>
                <w:rFonts w:ascii="宋体" w:hAnsi="宋体" w:eastAsia="宋体" w:cs="Times New Roman"/>
                <w:szCs w:val="21"/>
              </w:rPr>
              <w:t>60%。</w:t>
            </w:r>
          </w:p>
        </w:tc>
        <w:tc>
          <w:tcPr>
            <w:tcW w:w="0" w:type="auto"/>
            <w:tcBorders>
              <w:top w:val="single" w:color="auto" w:sz="4" w:space="0"/>
              <w:left w:val="single" w:color="auto" w:sz="4" w:space="0"/>
              <w:bottom w:val="single" w:color="auto" w:sz="4" w:space="0"/>
              <w:right w:val="single" w:color="auto" w:sz="4" w:space="0"/>
            </w:tcBorders>
            <w:vAlign w:val="center"/>
          </w:tcPr>
          <w:p w14:paraId="6DEAA805">
            <w:pPr>
              <w:snapToGrid w:val="0"/>
              <w:rPr>
                <w:rFonts w:hint="eastAsia" w:ascii="宋体" w:hAnsi="宋体" w:eastAsia="宋体" w:cs="Times New Roman"/>
                <w:szCs w:val="21"/>
              </w:rPr>
            </w:pPr>
            <w:r>
              <w:rPr>
                <w:rFonts w:ascii="宋体" w:hAnsi="宋体" w:eastAsia="宋体" w:cs="Times New Roman"/>
                <w:szCs w:val="21"/>
              </w:rPr>
              <w:t>50%</w:t>
            </w:r>
          </w:p>
        </w:tc>
      </w:tr>
      <w:tr w14:paraId="3D62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231" w:type="dxa"/>
            <w:gridSpan w:val="2"/>
            <w:tcBorders>
              <w:top w:val="single" w:color="auto" w:sz="4" w:space="0"/>
              <w:left w:val="single" w:color="auto" w:sz="4" w:space="0"/>
              <w:bottom w:val="single" w:color="auto" w:sz="4" w:space="0"/>
              <w:right w:val="single" w:color="auto" w:sz="4" w:space="0"/>
            </w:tcBorders>
            <w:vAlign w:val="center"/>
          </w:tcPr>
          <w:p w14:paraId="5AB01222">
            <w:pPr>
              <w:snapToGrid w:val="0"/>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tcBorders>
              <w:top w:val="single" w:color="auto" w:sz="4" w:space="0"/>
              <w:left w:val="single" w:color="auto" w:sz="4" w:space="0"/>
              <w:bottom w:val="single" w:color="auto" w:sz="4" w:space="0"/>
              <w:right w:val="single" w:color="auto" w:sz="4" w:space="0"/>
            </w:tcBorders>
            <w:vAlign w:val="center"/>
          </w:tcPr>
          <w:p w14:paraId="2FB49272">
            <w:pPr>
              <w:snapToGrid w:val="0"/>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00%</w:t>
            </w:r>
          </w:p>
        </w:tc>
      </w:tr>
    </w:tbl>
    <w:p w14:paraId="177A15E0">
      <w:pPr>
        <w:spacing w:line="276" w:lineRule="auto"/>
        <w:ind w:firstLine="316" w:firstLineChars="150"/>
        <w:outlineLvl w:val="1"/>
        <w:rPr>
          <w:rFonts w:hint="eastAsia" w:ascii="宋体" w:hAnsi="宋体" w:eastAsia="宋体" w:cs="Times New Roman"/>
          <w:b/>
          <w:szCs w:val="22"/>
        </w:rPr>
      </w:pPr>
      <w:bookmarkStart w:id="264" w:name="_Toc29627"/>
      <w:bookmarkStart w:id="265" w:name="_Toc11523"/>
      <w:r>
        <w:rPr>
          <w:rFonts w:hint="eastAsia" w:ascii="宋体" w:hAnsi="宋体" w:eastAsia="宋体" w:cs="Times New Roman"/>
          <w:b/>
          <w:szCs w:val="22"/>
        </w:rPr>
        <w:t>（三）</w:t>
      </w:r>
      <w:r>
        <w:rPr>
          <w:rFonts w:hint="eastAsia" w:ascii="宋体" w:hAnsi="宋体" w:eastAsia="宋体" w:cs="Times New Roman"/>
          <w:b/>
          <w:bCs/>
          <w:szCs w:val="22"/>
        </w:rPr>
        <w:t>课程目标达成度计算方法</w:t>
      </w:r>
      <w:bookmarkEnd w:id="264"/>
      <w:bookmarkEnd w:id="265"/>
    </w:p>
    <w:p w14:paraId="41A5FCC7">
      <w:pPr>
        <w:spacing w:line="276" w:lineRule="auto"/>
        <w:ind w:firstLine="420" w:firstLineChars="200"/>
        <w:rPr>
          <w:rFonts w:ascii="Calibri" w:hAnsi="Calibri" w:eastAsia="宋体" w:cs="Times New Roman"/>
          <w:szCs w:val="22"/>
        </w:rPr>
      </w:pPr>
      <w:r>
        <w:rPr>
          <w:rFonts w:hint="eastAsia" w:ascii="Calibri" w:hAnsi="Calibri" w:eastAsia="宋体" w:cs="Times New Roman"/>
          <w:szCs w:val="22"/>
        </w:rPr>
        <w:t>所有课程目标均需大于等</w:t>
      </w:r>
      <w:r>
        <w:rPr>
          <w:rFonts w:hint="eastAsia" w:ascii="宋体" w:hAnsi="宋体" w:eastAsia="宋体" w:cs="Times New Roman"/>
          <w:szCs w:val="22"/>
        </w:rPr>
        <w:t>于</w:t>
      </w:r>
      <w:r>
        <w:rPr>
          <w:rFonts w:hint="eastAsia" w:ascii="宋体" w:hAnsi="宋体" w:eastAsia="宋体" w:cs="Times New Roman"/>
          <w:szCs w:val="21"/>
        </w:rPr>
        <w:t>0</w:t>
      </w:r>
      <w:r>
        <w:rPr>
          <w:rFonts w:ascii="宋体" w:hAnsi="宋体" w:eastAsia="宋体" w:cs="Times New Roman"/>
          <w:szCs w:val="21"/>
        </w:rPr>
        <w:t>.6</w:t>
      </w:r>
      <w:r>
        <w:rPr>
          <w:rFonts w:hint="eastAsia" w:ascii="Calibri" w:hAnsi="Calibri" w:eastAsia="宋体" w:cs="Times New Roman"/>
          <w:szCs w:val="22"/>
        </w:rPr>
        <w:t>，否则总评成绩不及格，需要补考或重修。每门课程目标总体达成度计算方法如下：</w:t>
      </w:r>
    </w:p>
    <w:p w14:paraId="17DF464C">
      <w:pPr>
        <w:spacing w:line="276" w:lineRule="auto"/>
        <w:rPr>
          <w:rFonts w:ascii="Calibri" w:hAnsi="Calibri" w:eastAsia="宋体" w:cs="Times New Roman"/>
          <w:szCs w:val="21"/>
        </w:rPr>
      </w:pPr>
      <w:r>
        <w:rPr>
          <w:rFonts w:hint="eastAsia" w:ascii="Calibri" w:hAnsi="Calibri" w:eastAsia="宋体" w:cs="Times New Roman"/>
          <w:szCs w:val="21"/>
        </w:rPr>
        <w:t>课程目标达成度=</w:t>
      </w:r>
      <m:oMath>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课程子目标的权重值（</m:t>
        </m:r>
        <m:r>
          <m:rPr/>
          <w:rPr>
            <w:rFonts w:ascii="Cambria Math" w:hAnsi="Cambria Math" w:eastAsia="宋体" w:cs="Times New Roman"/>
            <w:szCs w:val="21"/>
          </w:rPr>
          <m:t>a</m:t>
        </m:r>
        <m:r>
          <m:rPr>
            <m:sty m:val="p"/>
          </m:rPr>
          <w:rPr>
            <w:rFonts w:hint="eastAsia" w:ascii="Cambria Math" w:hAnsi="Cambria Math" w:eastAsia="宋体" w:cs="Times New Roman"/>
            <w:szCs w:val="21"/>
          </w:rPr>
          <m:t>）</m:t>
        </m:r>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课程考核目标的权重值（</m:t>
        </m:r>
        <m:r>
          <m:rPr/>
          <w:rPr>
            <w:rFonts w:ascii="Cambria Math" w:hAnsi="Cambria Math" w:eastAsia="宋体" w:cs="Times New Roman"/>
            <w:szCs w:val="21"/>
          </w:rPr>
          <m:t>b</m:t>
        </m:r>
        <m:r>
          <m:rPr>
            <m:sty m:val="p"/>
          </m:rPr>
          <w:rPr>
            <w:rFonts w:hint="eastAsia" w:ascii="Cambria Math" w:hAnsi="Cambria Math" w:eastAsia="宋体" w:cs="Times New Roman"/>
            <w:szCs w:val="21"/>
          </w:rPr>
          <m:t>）</m:t>
        </m:r>
        <m:f>
          <m:fPr>
            <m:ctrlPr>
              <w:rPr>
                <w:rFonts w:ascii="Cambria Math" w:hAnsi="Cambria Math" w:eastAsia="宋体" w:cs="Times New Roman"/>
                <w:szCs w:val="21"/>
              </w:rPr>
            </m:ctrlPr>
          </m:fPr>
          <m:num>
            <m:r>
              <m:rPr/>
              <w:rPr>
                <w:rFonts w:hint="eastAsia" w:ascii="Cambria Math" w:hAnsi="Cambria Math" w:eastAsia="宋体" w:cs="Times New Roman"/>
                <w:szCs w:val="21"/>
              </w:rPr>
              <m:t>考核项目平均分</m:t>
            </m:r>
            <m:ctrlPr>
              <w:rPr>
                <w:rFonts w:ascii="Cambria Math" w:hAnsi="Cambria Math" w:eastAsia="宋体" w:cs="Times New Roman"/>
                <w:szCs w:val="21"/>
              </w:rPr>
            </m:ctrlPr>
          </m:num>
          <m:den>
            <m:r>
              <m:rPr/>
              <w:rPr>
                <w:rFonts w:hint="eastAsia" w:ascii="Cambria Math" w:hAnsi="Cambria Math" w:eastAsia="宋体" w:cs="Times New Roman"/>
                <w:szCs w:val="21"/>
              </w:rPr>
              <m:t>考核项目总分</m:t>
            </m:r>
            <m:ctrlPr>
              <w:rPr>
                <w:rFonts w:ascii="Cambria Math" w:hAnsi="Cambria Math" w:eastAsia="宋体" w:cs="Times New Roman"/>
                <w:szCs w:val="21"/>
              </w:rPr>
            </m:ctrlPr>
          </m:den>
        </m:f>
      </m:oMath>
    </w:p>
    <w:p w14:paraId="6B988994">
      <w:pPr>
        <w:spacing w:before="62" w:beforeLines="20" w:after="62" w:afterLines="20" w:line="360" w:lineRule="auto"/>
        <w:jc w:val="left"/>
        <w:rPr>
          <w:rFonts w:ascii="Times New Roman" w:hAnsi="Times New Roman" w:eastAsia="宋体" w:cs="Times New Roman"/>
          <w:b/>
          <w:sz w:val="24"/>
        </w:rPr>
      </w:pPr>
      <w:bookmarkStart w:id="266" w:name="_Toc11075"/>
      <w:bookmarkStart w:id="267" w:name="_Toc23984"/>
      <w:bookmarkStart w:id="268" w:name="_Toc8769"/>
      <w:bookmarkStart w:id="269" w:name="_Toc22305"/>
      <w:bookmarkStart w:id="270" w:name="_Toc5527"/>
      <w:bookmarkStart w:id="271" w:name="_Toc24658"/>
      <w:bookmarkStart w:id="272" w:name="_Toc19178"/>
      <w:r>
        <w:rPr>
          <w:rFonts w:hint="eastAsia" w:ascii="Times New Roman" w:hAnsi="Times New Roman" w:eastAsia="宋体" w:cs="Times New Roman"/>
          <w:b/>
          <w:sz w:val="24"/>
        </w:rPr>
        <w:t>五、课内实践</w:t>
      </w:r>
      <w:bookmarkEnd w:id="266"/>
      <w:bookmarkEnd w:id="267"/>
      <w:bookmarkEnd w:id="268"/>
      <w:bookmarkEnd w:id="269"/>
      <w:bookmarkEnd w:id="270"/>
      <w:bookmarkEnd w:id="271"/>
      <w:bookmarkEnd w:id="272"/>
    </w:p>
    <w:p w14:paraId="55E2E6E7">
      <w:pPr>
        <w:spacing w:line="276" w:lineRule="auto"/>
        <w:ind w:firstLine="420" w:firstLineChars="200"/>
        <w:rPr>
          <w:rFonts w:ascii="Calibri" w:hAnsi="Calibri" w:eastAsia="宋体" w:cs="Times New Roman"/>
          <w:bCs/>
          <w:szCs w:val="22"/>
        </w:rPr>
      </w:pPr>
      <w:r>
        <w:rPr>
          <w:rFonts w:hint="eastAsia" w:ascii="Calibri" w:hAnsi="Calibri" w:eastAsia="宋体" w:cs="Times New Roman"/>
          <w:bCs/>
          <w:szCs w:val="22"/>
        </w:rPr>
        <w:t>无</w:t>
      </w:r>
    </w:p>
    <w:p w14:paraId="7CC11ABC">
      <w:pPr>
        <w:spacing w:before="62" w:beforeLines="20" w:after="62" w:afterLines="20" w:line="360" w:lineRule="auto"/>
        <w:jc w:val="left"/>
        <w:rPr>
          <w:rFonts w:ascii="Times New Roman" w:hAnsi="Times New Roman" w:eastAsia="宋体" w:cs="Times New Roman"/>
          <w:b/>
          <w:sz w:val="24"/>
        </w:rPr>
      </w:pPr>
      <w:bookmarkStart w:id="273" w:name="_Toc1176"/>
      <w:bookmarkStart w:id="274" w:name="_Toc3845"/>
      <w:bookmarkStart w:id="275" w:name="_Toc8218"/>
      <w:bookmarkStart w:id="276" w:name="_Toc21406"/>
      <w:bookmarkStart w:id="277" w:name="_Toc5008"/>
      <w:bookmarkStart w:id="278" w:name="_Toc29182"/>
      <w:bookmarkStart w:id="279" w:name="_Toc31066"/>
      <w:r>
        <w:rPr>
          <w:rFonts w:hint="eastAsia" w:ascii="Times New Roman" w:hAnsi="Times New Roman" w:eastAsia="宋体" w:cs="Times New Roman"/>
          <w:b/>
          <w:sz w:val="24"/>
        </w:rPr>
        <w:t>六</w:t>
      </w:r>
      <w:r>
        <w:rPr>
          <w:rFonts w:ascii="Times New Roman" w:hAnsi="Times New Roman" w:eastAsia="宋体" w:cs="Times New Roman"/>
          <w:b/>
          <w:sz w:val="24"/>
        </w:rPr>
        <w:t>、</w:t>
      </w:r>
      <w:r>
        <w:rPr>
          <w:rFonts w:hint="eastAsia" w:ascii="Times New Roman" w:hAnsi="Times New Roman" w:eastAsia="宋体" w:cs="Times New Roman"/>
          <w:b/>
          <w:sz w:val="24"/>
        </w:rPr>
        <w:t>有关说明</w:t>
      </w:r>
      <w:bookmarkEnd w:id="273"/>
      <w:bookmarkEnd w:id="274"/>
      <w:bookmarkEnd w:id="275"/>
      <w:bookmarkEnd w:id="276"/>
      <w:bookmarkEnd w:id="277"/>
      <w:bookmarkEnd w:id="278"/>
      <w:bookmarkEnd w:id="279"/>
    </w:p>
    <w:p w14:paraId="172B90F1">
      <w:pPr>
        <w:spacing w:line="360" w:lineRule="auto"/>
        <w:ind w:firstLine="422" w:firstLineChars="200"/>
        <w:outlineLvl w:val="1"/>
        <w:rPr>
          <w:rFonts w:ascii="Calibri" w:hAnsi="Calibri" w:eastAsia="宋体" w:cs="Times New Roman"/>
          <w:b/>
          <w:szCs w:val="22"/>
        </w:rPr>
      </w:pPr>
      <w:bookmarkStart w:id="280" w:name="_Toc5386"/>
      <w:bookmarkStart w:id="281" w:name="_Toc30152"/>
      <w:r>
        <w:rPr>
          <w:rFonts w:hint="eastAsia" w:ascii="Calibri" w:hAnsi="Calibri" w:eastAsia="宋体" w:cs="Times New Roman"/>
          <w:b/>
          <w:szCs w:val="22"/>
        </w:rPr>
        <w:t>（一）持续改进</w:t>
      </w:r>
      <w:bookmarkEnd w:id="280"/>
      <w:bookmarkEnd w:id="281"/>
    </w:p>
    <w:p w14:paraId="7D641DBA">
      <w:pPr>
        <w:spacing w:line="360" w:lineRule="auto"/>
        <w:ind w:firstLine="420" w:firstLineChars="200"/>
        <w:rPr>
          <w:rFonts w:ascii="Calibri" w:hAnsi="Calibri" w:eastAsia="宋体" w:cs="Times New Roman"/>
          <w:szCs w:val="22"/>
        </w:rPr>
      </w:pPr>
      <w:r>
        <w:rPr>
          <w:rFonts w:ascii="Calibri" w:hAnsi="Calibri" w:eastAsia="宋体" w:cs="Times New Roman"/>
          <w:szCs w:val="22"/>
        </w:rPr>
        <w:t>本课程根据学生作业、课堂讨论、</w:t>
      </w:r>
      <w:r>
        <w:rPr>
          <w:rFonts w:hint="eastAsia" w:ascii="Calibri" w:hAnsi="Calibri" w:eastAsia="宋体" w:cs="Times New Roman"/>
          <w:szCs w:val="22"/>
        </w:rPr>
        <w:t>教学</w:t>
      </w:r>
      <w:r>
        <w:rPr>
          <w:rFonts w:ascii="Calibri" w:hAnsi="Calibri" w:eastAsia="宋体" w:cs="Times New Roman"/>
          <w:szCs w:val="22"/>
        </w:rPr>
        <w:t>环节、平时考核情况和学生、教学督导等</w:t>
      </w:r>
      <w:r>
        <w:rPr>
          <w:rFonts w:hint="eastAsia" w:ascii="Calibri" w:hAnsi="Calibri" w:eastAsia="宋体" w:cs="Times New Roman"/>
          <w:szCs w:val="22"/>
        </w:rPr>
        <w:t>的</w:t>
      </w:r>
      <w:r>
        <w:rPr>
          <w:rFonts w:ascii="Calibri" w:hAnsi="Calibri" w:eastAsia="宋体" w:cs="Times New Roman"/>
          <w:szCs w:val="22"/>
        </w:rPr>
        <w:t>反馈，及时对教学中</w:t>
      </w:r>
      <w:r>
        <w:rPr>
          <w:rFonts w:hint="eastAsia" w:ascii="Calibri" w:hAnsi="Calibri" w:eastAsia="宋体" w:cs="Times New Roman"/>
          <w:szCs w:val="22"/>
        </w:rPr>
        <w:t>的</w:t>
      </w:r>
      <w:r>
        <w:rPr>
          <w:rFonts w:ascii="Calibri" w:hAnsi="Calibri" w:eastAsia="宋体" w:cs="Times New Roman"/>
          <w:szCs w:val="22"/>
        </w:rPr>
        <w:t>不足之处进行改进，并在下一轮课程教学中</w:t>
      </w:r>
      <w:r>
        <w:rPr>
          <w:rFonts w:hint="eastAsia" w:ascii="Calibri" w:hAnsi="Calibri" w:eastAsia="宋体" w:cs="Times New Roman"/>
          <w:szCs w:val="22"/>
        </w:rPr>
        <w:t>整改完善</w:t>
      </w:r>
      <w:r>
        <w:rPr>
          <w:rFonts w:ascii="Calibri" w:hAnsi="Calibri" w:eastAsia="宋体" w:cs="Times New Roman"/>
          <w:szCs w:val="22"/>
        </w:rPr>
        <w:t>，确保相应毕业要求指标点达成。</w:t>
      </w:r>
    </w:p>
    <w:p w14:paraId="04D560E9">
      <w:pPr>
        <w:spacing w:line="360" w:lineRule="auto"/>
        <w:ind w:firstLine="422" w:firstLineChars="200"/>
        <w:outlineLvl w:val="1"/>
        <w:rPr>
          <w:rFonts w:ascii="Calibri" w:hAnsi="Calibri" w:eastAsia="宋体" w:cs="Times New Roman"/>
          <w:b/>
          <w:szCs w:val="22"/>
        </w:rPr>
      </w:pPr>
      <w:bookmarkStart w:id="282" w:name="_Toc25614"/>
      <w:bookmarkStart w:id="283" w:name="_Toc21274"/>
      <w:r>
        <w:rPr>
          <w:rFonts w:hint="eastAsia" w:ascii="Calibri" w:hAnsi="Calibri" w:eastAsia="宋体" w:cs="Times New Roman"/>
          <w:b/>
          <w:szCs w:val="22"/>
        </w:rPr>
        <w:t>（二）建议教材</w:t>
      </w:r>
      <w:bookmarkEnd w:id="282"/>
      <w:bookmarkEnd w:id="283"/>
    </w:p>
    <w:p w14:paraId="08F37356">
      <w:pPr>
        <w:spacing w:line="360" w:lineRule="auto"/>
        <w:ind w:firstLine="525" w:firstLineChars="250"/>
        <w:rPr>
          <w:rFonts w:hint="eastAsia" w:ascii="宋体" w:hAnsi="宋体" w:eastAsia="宋体" w:cs="Times New Roman"/>
          <w:szCs w:val="22"/>
        </w:rPr>
      </w:pPr>
      <w:r>
        <w:rPr>
          <w:rFonts w:hint="eastAsia" w:ascii="宋体" w:hAnsi="宋体" w:eastAsia="宋体" w:cs="Times New Roman"/>
          <w:szCs w:val="22"/>
        </w:rPr>
        <w:t>钱焕琦</w:t>
      </w:r>
      <w:r>
        <w:rPr>
          <w:rFonts w:ascii="宋体" w:hAnsi="宋体" w:eastAsia="宋体" w:cs="Times New Roman"/>
          <w:szCs w:val="22"/>
        </w:rPr>
        <w:t>.</w:t>
      </w:r>
      <w:r>
        <w:rPr>
          <w:rFonts w:hint="eastAsia" w:ascii="宋体" w:hAnsi="宋体" w:eastAsia="宋体" w:cs="Times New Roman"/>
          <w:szCs w:val="22"/>
        </w:rPr>
        <w:t>教师职业道德（第四版）.华东师范大学出版社，2</w:t>
      </w:r>
      <w:r>
        <w:rPr>
          <w:rFonts w:ascii="宋体" w:hAnsi="宋体" w:eastAsia="宋体" w:cs="Times New Roman"/>
          <w:szCs w:val="22"/>
        </w:rPr>
        <w:t>020</w:t>
      </w:r>
      <w:r>
        <w:rPr>
          <w:rFonts w:hint="eastAsia" w:ascii="宋体" w:hAnsi="宋体" w:eastAsia="宋体" w:cs="Times New Roman"/>
          <w:szCs w:val="22"/>
        </w:rPr>
        <w:t>年8月</w:t>
      </w:r>
      <w:r>
        <w:rPr>
          <w:rFonts w:ascii="宋体" w:hAnsi="宋体" w:eastAsia="宋体" w:cs="Times New Roman"/>
          <w:szCs w:val="22"/>
        </w:rPr>
        <w:t>.</w:t>
      </w:r>
    </w:p>
    <w:p w14:paraId="7E9C4F8E">
      <w:pPr>
        <w:spacing w:line="360" w:lineRule="auto"/>
        <w:ind w:firstLine="422" w:firstLineChars="200"/>
        <w:outlineLvl w:val="1"/>
        <w:rPr>
          <w:rFonts w:hint="eastAsia" w:ascii="宋体" w:hAnsi="宋体" w:eastAsia="宋体" w:cs="Times New Roman"/>
          <w:b/>
          <w:bCs/>
          <w:szCs w:val="22"/>
        </w:rPr>
      </w:pPr>
      <w:bookmarkStart w:id="284" w:name="_Toc15485"/>
      <w:bookmarkStart w:id="285" w:name="_Toc231"/>
      <w:r>
        <w:rPr>
          <w:rFonts w:hint="eastAsia" w:ascii="宋体" w:hAnsi="宋体" w:eastAsia="宋体" w:cs="Times New Roman"/>
          <w:b/>
          <w:bCs/>
          <w:szCs w:val="22"/>
        </w:rPr>
        <w:t>（三）参考书目</w:t>
      </w:r>
      <w:bookmarkEnd w:id="284"/>
      <w:bookmarkEnd w:id="285"/>
    </w:p>
    <w:p w14:paraId="4DA4E5F5">
      <w:pPr>
        <w:spacing w:line="360" w:lineRule="auto"/>
        <w:ind w:firstLine="525" w:firstLineChars="250"/>
        <w:rPr>
          <w:rFonts w:hint="eastAsia" w:ascii="宋体" w:hAnsi="宋体" w:eastAsia="宋体" w:cs="Times New Roman"/>
          <w:szCs w:val="22"/>
        </w:rPr>
      </w:pPr>
      <w:r>
        <w:rPr>
          <w:rFonts w:hint="eastAsia" w:ascii="宋体" w:hAnsi="宋体" w:eastAsia="宋体" w:cs="Times New Roman"/>
          <w:szCs w:val="22"/>
        </w:rPr>
        <w:t>1</w:t>
      </w:r>
      <w:r>
        <w:rPr>
          <w:rFonts w:ascii="宋体" w:hAnsi="宋体" w:eastAsia="宋体" w:cs="Times New Roman"/>
          <w:szCs w:val="22"/>
        </w:rPr>
        <w:t>.</w:t>
      </w:r>
      <w:r>
        <w:rPr>
          <w:rFonts w:hint="eastAsia" w:ascii="宋体" w:hAnsi="宋体" w:eastAsia="宋体" w:cs="Times New Roman"/>
          <w:szCs w:val="22"/>
        </w:rPr>
        <w:t>刘亭亭</w:t>
      </w:r>
      <w:r>
        <w:rPr>
          <w:rFonts w:ascii="宋体" w:hAnsi="宋体" w:eastAsia="宋体" w:cs="Times New Roman"/>
          <w:szCs w:val="22"/>
        </w:rPr>
        <w:t>.</w:t>
      </w:r>
      <w:r>
        <w:rPr>
          <w:rFonts w:hint="eastAsia" w:ascii="宋体" w:hAnsi="宋体" w:eastAsia="宋体" w:cs="Times New Roman"/>
          <w:szCs w:val="22"/>
        </w:rPr>
        <w:t>教师职业道德</w:t>
      </w:r>
      <w:r>
        <w:rPr>
          <w:rFonts w:ascii="宋体" w:hAnsi="宋体" w:eastAsia="宋体" w:cs="Times New Roman"/>
          <w:szCs w:val="22"/>
        </w:rPr>
        <w:t>.</w:t>
      </w:r>
      <w:r>
        <w:rPr>
          <w:rFonts w:hint="eastAsia" w:ascii="宋体" w:hAnsi="宋体" w:eastAsia="宋体" w:cs="Times New Roman"/>
          <w:szCs w:val="22"/>
        </w:rPr>
        <w:t>北京大学出版社，2</w:t>
      </w:r>
      <w:r>
        <w:rPr>
          <w:rFonts w:ascii="宋体" w:hAnsi="宋体" w:eastAsia="宋体" w:cs="Times New Roman"/>
          <w:szCs w:val="22"/>
        </w:rPr>
        <w:t>017.</w:t>
      </w:r>
    </w:p>
    <w:p w14:paraId="4A16CD15">
      <w:pPr>
        <w:spacing w:line="360" w:lineRule="auto"/>
        <w:ind w:firstLine="525" w:firstLineChars="250"/>
        <w:rPr>
          <w:rFonts w:hint="eastAsia" w:ascii="宋体" w:hAnsi="宋体" w:eastAsia="宋体" w:cs="Times New Roman"/>
          <w:szCs w:val="22"/>
        </w:rPr>
      </w:pPr>
      <w:r>
        <w:rPr>
          <w:rFonts w:hint="eastAsia" w:ascii="宋体" w:hAnsi="宋体" w:eastAsia="宋体" w:cs="Times New Roman"/>
          <w:szCs w:val="22"/>
        </w:rPr>
        <w:t>2</w:t>
      </w:r>
      <w:r>
        <w:rPr>
          <w:rFonts w:ascii="宋体" w:hAnsi="宋体" w:eastAsia="宋体" w:cs="Times New Roman"/>
          <w:szCs w:val="22"/>
        </w:rPr>
        <w:t>.</w:t>
      </w:r>
      <w:r>
        <w:rPr>
          <w:rFonts w:hint="eastAsia" w:ascii="宋体" w:hAnsi="宋体" w:eastAsia="宋体" w:cs="Times New Roman"/>
          <w:szCs w:val="22"/>
        </w:rPr>
        <w:t>檀传宝.教师职业道德.北京师范大学出版社，2</w:t>
      </w:r>
      <w:r>
        <w:rPr>
          <w:rFonts w:ascii="宋体" w:hAnsi="宋体" w:eastAsia="宋体" w:cs="Times New Roman"/>
          <w:szCs w:val="22"/>
        </w:rPr>
        <w:t>015.</w:t>
      </w:r>
    </w:p>
    <w:p w14:paraId="67C679BD">
      <w:pPr>
        <w:spacing w:line="360" w:lineRule="auto"/>
        <w:ind w:firstLine="525" w:firstLineChars="250"/>
        <w:rPr>
          <w:rFonts w:hint="eastAsia" w:ascii="宋体" w:hAnsi="宋体" w:eastAsia="宋体" w:cs="Times New Roman"/>
          <w:szCs w:val="22"/>
        </w:rPr>
      </w:pPr>
      <w:r>
        <w:rPr>
          <w:rFonts w:hint="eastAsia" w:ascii="宋体" w:hAnsi="宋体" w:eastAsia="宋体" w:cs="Times New Roman"/>
          <w:szCs w:val="22"/>
        </w:rPr>
        <w:t>3</w:t>
      </w:r>
      <w:r>
        <w:rPr>
          <w:rFonts w:ascii="宋体" w:hAnsi="宋体" w:eastAsia="宋体" w:cs="Times New Roman"/>
          <w:szCs w:val="22"/>
        </w:rPr>
        <w:t>.</w:t>
      </w:r>
      <w:r>
        <w:rPr>
          <w:rFonts w:hint="eastAsia" w:ascii="宋体" w:hAnsi="宋体" w:eastAsia="宋体" w:cs="Times New Roman"/>
          <w:szCs w:val="22"/>
        </w:rPr>
        <w:t>檀传宝</w:t>
      </w:r>
      <w:r>
        <w:rPr>
          <w:rFonts w:ascii="宋体" w:hAnsi="宋体" w:eastAsia="宋体" w:cs="Times New Roman"/>
          <w:szCs w:val="22"/>
        </w:rPr>
        <w:t>.</w:t>
      </w:r>
      <w:r>
        <w:rPr>
          <w:rFonts w:hint="eastAsia" w:ascii="宋体" w:hAnsi="宋体" w:eastAsia="宋体" w:cs="Times New Roman"/>
          <w:szCs w:val="22"/>
        </w:rPr>
        <w:t>教师专业伦理基础与实践，华东师范大学出版社，2</w:t>
      </w:r>
      <w:r>
        <w:rPr>
          <w:rFonts w:ascii="宋体" w:hAnsi="宋体" w:eastAsia="宋体" w:cs="Times New Roman"/>
          <w:szCs w:val="22"/>
        </w:rPr>
        <w:t>016.</w:t>
      </w:r>
    </w:p>
    <w:p w14:paraId="44394311">
      <w:pPr>
        <w:spacing w:line="360" w:lineRule="auto"/>
        <w:ind w:firstLine="525" w:firstLineChars="250"/>
        <w:rPr>
          <w:rFonts w:hint="eastAsia" w:ascii="宋体" w:hAnsi="宋体" w:eastAsia="宋体" w:cs="Times New Roman"/>
          <w:szCs w:val="22"/>
        </w:rPr>
      </w:pPr>
      <w:r>
        <w:rPr>
          <w:rFonts w:hint="eastAsia" w:ascii="宋体" w:hAnsi="宋体" w:eastAsia="宋体" w:cs="Times New Roman"/>
          <w:szCs w:val="22"/>
        </w:rPr>
        <w:t>4</w:t>
      </w:r>
      <w:r>
        <w:rPr>
          <w:rFonts w:ascii="宋体" w:hAnsi="宋体" w:eastAsia="宋体" w:cs="Times New Roman"/>
          <w:szCs w:val="22"/>
        </w:rPr>
        <w:t>.</w:t>
      </w:r>
      <w:r>
        <w:rPr>
          <w:rFonts w:hint="eastAsia" w:ascii="宋体" w:hAnsi="宋体" w:eastAsia="宋体" w:cs="Times New Roman"/>
          <w:szCs w:val="22"/>
        </w:rPr>
        <w:t>肯尼斯·斯特赖克</w:t>
      </w:r>
      <w:r>
        <w:rPr>
          <w:rFonts w:ascii="宋体" w:hAnsi="宋体" w:eastAsia="宋体" w:cs="Times New Roman"/>
          <w:szCs w:val="22"/>
        </w:rPr>
        <w:t>.</w:t>
      </w:r>
      <w:r>
        <w:rPr>
          <w:rFonts w:hint="eastAsia" w:ascii="宋体" w:hAnsi="宋体" w:eastAsia="宋体" w:cs="Times New Roman"/>
          <w:szCs w:val="22"/>
        </w:rPr>
        <w:t>教学伦理</w:t>
      </w:r>
      <w:r>
        <w:rPr>
          <w:rFonts w:ascii="宋体" w:hAnsi="宋体" w:eastAsia="宋体" w:cs="Times New Roman"/>
          <w:szCs w:val="22"/>
        </w:rPr>
        <w:t>.</w:t>
      </w:r>
      <w:r>
        <w:rPr>
          <w:rFonts w:hint="eastAsia" w:ascii="宋体" w:hAnsi="宋体" w:eastAsia="宋体" w:cs="Times New Roman"/>
          <w:szCs w:val="22"/>
        </w:rPr>
        <w:t>黄向阳译</w:t>
      </w:r>
      <w:r>
        <w:rPr>
          <w:rFonts w:ascii="宋体" w:hAnsi="宋体" w:eastAsia="宋体" w:cs="Times New Roman"/>
          <w:szCs w:val="22"/>
        </w:rPr>
        <w:t>.</w:t>
      </w:r>
      <w:r>
        <w:rPr>
          <w:rFonts w:hint="eastAsia" w:ascii="宋体" w:hAnsi="宋体" w:eastAsia="宋体" w:cs="Times New Roman"/>
          <w:szCs w:val="22"/>
        </w:rPr>
        <w:t>华东师范大学出版社，2</w:t>
      </w:r>
      <w:r>
        <w:rPr>
          <w:rFonts w:ascii="宋体" w:hAnsi="宋体" w:eastAsia="宋体" w:cs="Times New Roman"/>
          <w:szCs w:val="22"/>
        </w:rPr>
        <w:t>018.</w:t>
      </w:r>
    </w:p>
    <w:p w14:paraId="63CEC33B">
      <w:pPr>
        <w:spacing w:line="360" w:lineRule="auto"/>
        <w:ind w:firstLine="525" w:firstLineChars="250"/>
        <w:rPr>
          <w:rFonts w:hint="eastAsia" w:ascii="宋体" w:hAnsi="宋体" w:eastAsia="宋体" w:cs="Times New Roman"/>
          <w:szCs w:val="22"/>
        </w:rPr>
      </w:pPr>
      <w:r>
        <w:rPr>
          <w:rFonts w:hint="eastAsia" w:ascii="宋体" w:hAnsi="宋体" w:eastAsia="宋体" w:cs="Times New Roman"/>
          <w:szCs w:val="22"/>
        </w:rPr>
        <w:t>5</w:t>
      </w:r>
      <w:r>
        <w:rPr>
          <w:rFonts w:ascii="宋体" w:hAnsi="宋体" w:eastAsia="宋体" w:cs="Times New Roman"/>
          <w:szCs w:val="22"/>
        </w:rPr>
        <w:t>.</w:t>
      </w:r>
      <w:r>
        <w:rPr>
          <w:rFonts w:hint="eastAsia" w:ascii="宋体" w:hAnsi="宋体" w:eastAsia="宋体" w:cs="Times New Roman"/>
          <w:szCs w:val="22"/>
        </w:rPr>
        <w:t>刘建华</w:t>
      </w:r>
      <w:r>
        <w:rPr>
          <w:rFonts w:ascii="宋体" w:hAnsi="宋体" w:eastAsia="宋体" w:cs="Times New Roman"/>
          <w:szCs w:val="22"/>
        </w:rPr>
        <w:t>.</w:t>
      </w:r>
      <w:r>
        <w:rPr>
          <w:rFonts w:hint="eastAsia" w:ascii="宋体" w:hAnsi="宋体" w:eastAsia="宋体" w:cs="Times New Roman"/>
          <w:szCs w:val="22"/>
        </w:rPr>
        <w:t>师生交往论</w:t>
      </w:r>
      <w:r>
        <w:rPr>
          <w:rFonts w:ascii="宋体" w:hAnsi="宋体" w:eastAsia="宋体" w:cs="Times New Roman"/>
          <w:szCs w:val="22"/>
        </w:rPr>
        <w:t>.</w:t>
      </w:r>
      <w:r>
        <w:rPr>
          <w:rFonts w:hint="eastAsia" w:ascii="宋体" w:hAnsi="宋体" w:eastAsia="宋体" w:cs="Times New Roman"/>
          <w:szCs w:val="22"/>
        </w:rPr>
        <w:t>北京师范大学出版社，2</w:t>
      </w:r>
      <w:r>
        <w:rPr>
          <w:rFonts w:ascii="宋体" w:hAnsi="宋体" w:eastAsia="宋体" w:cs="Times New Roman"/>
          <w:szCs w:val="22"/>
        </w:rPr>
        <w:t>011.</w:t>
      </w:r>
    </w:p>
    <w:p w14:paraId="0E24A965">
      <w:pPr>
        <w:spacing w:line="360" w:lineRule="auto"/>
        <w:ind w:firstLine="525" w:firstLineChars="250"/>
        <w:rPr>
          <w:rFonts w:hint="eastAsia" w:ascii="宋体" w:hAnsi="宋体" w:eastAsia="宋体" w:cs="Times New Roman"/>
          <w:szCs w:val="22"/>
        </w:rPr>
      </w:pPr>
      <w:r>
        <w:rPr>
          <w:rFonts w:hint="eastAsia" w:ascii="宋体" w:hAnsi="宋体" w:eastAsia="宋体" w:cs="Times New Roman"/>
          <w:szCs w:val="22"/>
        </w:rPr>
        <w:t>6</w:t>
      </w:r>
      <w:r>
        <w:rPr>
          <w:rFonts w:ascii="宋体" w:hAnsi="宋体" w:eastAsia="宋体" w:cs="Times New Roman"/>
          <w:szCs w:val="22"/>
        </w:rPr>
        <w:t>.</w:t>
      </w:r>
      <w:r>
        <w:rPr>
          <w:rFonts w:hint="eastAsia" w:ascii="宋体" w:hAnsi="宋体" w:eastAsia="宋体" w:cs="Times New Roman"/>
          <w:szCs w:val="22"/>
        </w:rPr>
        <w:t>陈娇云</w:t>
      </w:r>
      <w:r>
        <w:rPr>
          <w:rFonts w:ascii="宋体" w:hAnsi="宋体" w:eastAsia="宋体" w:cs="Times New Roman"/>
          <w:szCs w:val="22"/>
        </w:rPr>
        <w:t>,</w:t>
      </w:r>
      <w:r>
        <w:rPr>
          <w:rFonts w:hint="eastAsia" w:ascii="宋体" w:hAnsi="宋体" w:eastAsia="宋体" w:cs="Times New Roman"/>
          <w:szCs w:val="22"/>
        </w:rPr>
        <w:t>汪荣有</w:t>
      </w:r>
      <w:r>
        <w:rPr>
          <w:rFonts w:ascii="宋体" w:hAnsi="宋体" w:eastAsia="宋体" w:cs="Times New Roman"/>
          <w:szCs w:val="22"/>
        </w:rPr>
        <w:t>.</w:t>
      </w:r>
      <w:r>
        <w:rPr>
          <w:rFonts w:hint="eastAsia" w:ascii="宋体" w:hAnsi="宋体" w:eastAsia="宋体" w:cs="Times New Roman"/>
          <w:szCs w:val="22"/>
        </w:rPr>
        <w:t>教育伦理与教育公正——社会主义和谐社会视野下的教育热点探析，安徽大学出版社，2</w:t>
      </w:r>
      <w:r>
        <w:rPr>
          <w:rFonts w:ascii="宋体" w:hAnsi="宋体" w:eastAsia="宋体" w:cs="Times New Roman"/>
          <w:szCs w:val="22"/>
        </w:rPr>
        <w:t>015.</w:t>
      </w:r>
    </w:p>
    <w:p w14:paraId="2F833DF1">
      <w:pPr>
        <w:spacing w:line="360" w:lineRule="auto"/>
        <w:ind w:firstLine="525" w:firstLineChars="250"/>
        <w:rPr>
          <w:rFonts w:hint="eastAsia" w:ascii="宋体" w:hAnsi="宋体" w:eastAsia="宋体" w:cs="Times New Roman"/>
          <w:szCs w:val="22"/>
        </w:rPr>
      </w:pPr>
    </w:p>
    <w:p w14:paraId="58EC0D82">
      <w:pPr>
        <w:spacing w:line="276" w:lineRule="auto"/>
        <w:ind w:firstLine="525" w:firstLineChars="250"/>
        <w:rPr>
          <w:rFonts w:hint="eastAsia" w:ascii="宋体" w:hAnsi="宋体" w:eastAsia="宋体" w:cs="Times New Roman"/>
          <w:szCs w:val="22"/>
        </w:rPr>
      </w:pPr>
    </w:p>
    <w:p w14:paraId="72CF0E96">
      <w:pPr>
        <w:spacing w:line="276" w:lineRule="auto"/>
        <w:rPr>
          <w:rFonts w:hint="eastAsia" w:ascii="宋体" w:hAnsi="宋体" w:eastAsia="宋体" w:cs="Times New Roman"/>
          <w:szCs w:val="22"/>
        </w:rPr>
      </w:pPr>
    </w:p>
    <w:p w14:paraId="0C6F92F2">
      <w:pPr>
        <w:autoSpaceDE w:val="0"/>
        <w:autoSpaceDN w:val="0"/>
        <w:adjustRightInd w:val="0"/>
        <w:spacing w:line="276" w:lineRule="auto"/>
        <w:ind w:firstLine="4620" w:firstLineChars="2200"/>
        <w:jc w:val="right"/>
        <w:rPr>
          <w:rFonts w:hint="eastAsia" w:ascii="宋体" w:hAnsi="宋体" w:eastAsia="宋体" w:cs="Times New Roman"/>
          <w:kern w:val="0"/>
          <w:szCs w:val="21"/>
        </w:rPr>
      </w:pPr>
      <w:r>
        <w:rPr>
          <w:rFonts w:ascii="宋体" w:hAnsi="宋体" w:eastAsia="宋体" w:cs="Times New Roman"/>
          <w:kern w:val="0"/>
          <w:szCs w:val="21"/>
        </w:rPr>
        <w:t>执笔人：</w:t>
      </w:r>
      <w:r>
        <w:rPr>
          <w:rFonts w:hint="eastAsia" w:ascii="宋体" w:hAnsi="宋体" w:eastAsia="宋体" w:cs="Times New Roman"/>
          <w:kern w:val="0"/>
          <w:szCs w:val="21"/>
        </w:rPr>
        <w:t>王雅丽</w:t>
      </w:r>
    </w:p>
    <w:p w14:paraId="2F650A88">
      <w:pPr>
        <w:autoSpaceDE w:val="0"/>
        <w:autoSpaceDN w:val="0"/>
        <w:adjustRightInd w:val="0"/>
        <w:spacing w:line="276" w:lineRule="auto"/>
        <w:ind w:firstLine="4620" w:firstLineChars="2200"/>
        <w:jc w:val="right"/>
        <w:rPr>
          <w:rFonts w:hint="eastAsia" w:ascii="宋体" w:hAnsi="宋体" w:eastAsia="宋体" w:cs="Times New Roman"/>
          <w:kern w:val="0"/>
          <w:szCs w:val="21"/>
        </w:rPr>
      </w:pPr>
      <w:r>
        <w:rPr>
          <w:rFonts w:ascii="宋体" w:hAnsi="宋体" w:eastAsia="宋体" w:cs="Times New Roman"/>
          <w:kern w:val="0"/>
          <w:szCs w:val="21"/>
        </w:rPr>
        <w:t>审定人：</w:t>
      </w:r>
      <w:r>
        <w:rPr>
          <w:rFonts w:hint="eastAsia" w:ascii="宋体" w:hAnsi="宋体" w:eastAsia="宋体" w:cs="Times New Roman"/>
          <w:kern w:val="0"/>
          <w:szCs w:val="21"/>
        </w:rPr>
        <w:t>王</w:t>
      </w:r>
      <w:r>
        <w:rPr>
          <w:rFonts w:hint="eastAsia" w:ascii="宋体" w:hAnsi="宋体" w:eastAsia="宋体" w:cs="Times New Roman"/>
          <w:kern w:val="0"/>
          <w:szCs w:val="21"/>
          <w:lang w:val="en-US" w:eastAsia="zh-CN"/>
        </w:rPr>
        <w:t xml:space="preserve">  </w:t>
      </w:r>
      <w:r>
        <w:rPr>
          <w:rFonts w:hint="eastAsia" w:ascii="宋体" w:hAnsi="宋体" w:eastAsia="宋体" w:cs="Times New Roman"/>
          <w:kern w:val="0"/>
          <w:szCs w:val="21"/>
        </w:rPr>
        <w:t>健</w:t>
      </w:r>
    </w:p>
    <w:p w14:paraId="5251DB39">
      <w:pPr>
        <w:autoSpaceDE w:val="0"/>
        <w:autoSpaceDN w:val="0"/>
        <w:adjustRightInd w:val="0"/>
        <w:spacing w:line="276" w:lineRule="auto"/>
        <w:ind w:firstLine="4620" w:firstLineChars="2200"/>
        <w:jc w:val="right"/>
        <w:rPr>
          <w:rFonts w:hint="eastAsia" w:ascii="宋体" w:hAnsi="宋体" w:eastAsia="宋体" w:cs="Times New Roman"/>
          <w:kern w:val="0"/>
          <w:szCs w:val="21"/>
        </w:rPr>
      </w:pPr>
      <w:r>
        <w:rPr>
          <w:rFonts w:hint="eastAsia" w:ascii="宋体" w:hAnsi="宋体" w:eastAsia="宋体" w:cs="Times New Roman"/>
          <w:kern w:val="0"/>
          <w:szCs w:val="21"/>
        </w:rPr>
        <w:t>审批</w:t>
      </w:r>
      <w:r>
        <w:rPr>
          <w:rFonts w:ascii="宋体" w:hAnsi="宋体" w:eastAsia="宋体" w:cs="Times New Roman"/>
          <w:kern w:val="0"/>
          <w:szCs w:val="21"/>
        </w:rPr>
        <w:t>人：</w:t>
      </w:r>
      <w:r>
        <w:rPr>
          <w:rFonts w:hint="eastAsia" w:ascii="宋体" w:hAnsi="宋体" w:eastAsia="宋体" w:cs="Times New Roman"/>
          <w:kern w:val="0"/>
          <w:szCs w:val="21"/>
        </w:rPr>
        <w:t>张志欣</w:t>
      </w:r>
    </w:p>
    <w:p w14:paraId="4234A391">
      <w:pPr>
        <w:jc w:val="right"/>
        <w:rPr>
          <w:rFonts w:hint="eastAsia" w:ascii="宋体" w:hAnsi="宋体" w:eastAsia="宋体" w:cs="Times New Roman"/>
          <w:kern w:val="0"/>
          <w:szCs w:val="21"/>
          <w:lang w:eastAsia="zh-CN"/>
        </w:rPr>
      </w:pPr>
      <w:r>
        <w:rPr>
          <w:rFonts w:hint="eastAsia" w:ascii="宋体" w:hAnsi="宋体" w:eastAsia="宋体" w:cs="Times New Roman"/>
          <w:kern w:val="0"/>
          <w:szCs w:val="21"/>
          <w:lang w:eastAsia="zh-CN"/>
        </w:rPr>
        <w:t>批准时间：2025年7月1日</w:t>
      </w:r>
    </w:p>
    <w:p w14:paraId="2CB9134A">
      <w:pPr>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5325D03A">
      <w:pPr>
        <w:spacing w:line="360" w:lineRule="auto"/>
        <w:jc w:val="center"/>
        <w:outlineLvl w:val="0"/>
        <w:rPr>
          <w:rFonts w:hint="eastAsia" w:ascii="Times New Roman" w:hAnsi="Times New Roman" w:eastAsia="宋体" w:cs="Times New Roman"/>
          <w:b/>
          <w:color w:val="auto"/>
          <w:sz w:val="44"/>
          <w:szCs w:val="44"/>
        </w:rPr>
      </w:pPr>
      <w:bookmarkStart w:id="286" w:name="_Toc25741"/>
      <w:bookmarkStart w:id="287" w:name="_Toc9645"/>
      <w:r>
        <w:rPr>
          <w:rFonts w:hint="eastAsia" w:ascii="Times New Roman" w:hAnsi="Times New Roman" w:eastAsia="宋体" w:cs="Times New Roman"/>
          <w:b/>
          <w:color w:val="auto"/>
          <w:sz w:val="44"/>
          <w:szCs w:val="44"/>
        </w:rPr>
        <w:t>《课程与教学论》课程教学大纲</w:t>
      </w:r>
      <w:bookmarkEnd w:id="286"/>
      <w:bookmarkEnd w:id="287"/>
    </w:p>
    <w:p w14:paraId="6CB232CF">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（Curriculum and Teaching Methodology）</w:t>
      </w:r>
    </w:p>
    <w:p w14:paraId="0B542511">
      <w:pPr>
        <w:spacing w:line="360" w:lineRule="auto"/>
        <w:jc w:val="center"/>
        <w:rPr>
          <w:rFonts w:ascii="Times New Roman" w:hAnsi="Times New Roman" w:eastAsia="宋体" w:cs="Times New Roman"/>
          <w:bCs/>
          <w:color w:val="auto"/>
          <w:sz w:val="24"/>
        </w:rPr>
      </w:pPr>
    </w:p>
    <w:p w14:paraId="361EA603">
      <w:pPr>
        <w:spacing w:line="360" w:lineRule="auto"/>
        <w:ind w:firstLine="422" w:firstLineChars="200"/>
        <w:jc w:val="left"/>
        <w:rPr>
          <w:rFonts w:ascii="Times New Roman" w:hAnsi="Times New Roman" w:eastAsia="宋体" w:cs="Times New Roman"/>
          <w:bCs/>
          <w:color w:val="auto"/>
          <w:szCs w:val="21"/>
        </w:rPr>
      </w:pPr>
      <w:r>
        <w:rPr>
          <w:rFonts w:hint="eastAsia" w:ascii="Times New Roman" w:hAnsi="Times New Roman" w:eastAsia="宋体" w:cs="Times New Roman"/>
          <w:b/>
          <w:color w:val="auto"/>
          <w:szCs w:val="21"/>
        </w:rPr>
        <w:t>课程名称：</w:t>
      </w:r>
      <w:r>
        <w:rPr>
          <w:rFonts w:hint="eastAsia" w:ascii="Times New Roman" w:hAnsi="Times New Roman" w:eastAsia="宋体" w:cs="Times New Roman"/>
          <w:bCs/>
          <w:color w:val="auto"/>
          <w:szCs w:val="21"/>
        </w:rPr>
        <w:t>课程与教学论</w:t>
      </w:r>
    </w:p>
    <w:p w14:paraId="50D39AB4">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课程代码：</w:t>
      </w:r>
      <w:r>
        <w:rPr>
          <w:rFonts w:ascii="Times New Roman" w:hAnsi="Times New Roman" w:eastAsia="宋体" w:cs="Times New Roman"/>
          <w:color w:val="auto"/>
          <w:szCs w:val="21"/>
        </w:rPr>
        <w:t>2401010</w:t>
      </w:r>
    </w:p>
    <w:p w14:paraId="60E2CE85">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 xml:space="preserve">学 </w:t>
      </w:r>
      <w:r>
        <w:rPr>
          <w:rFonts w:ascii="Times New Roman" w:hAnsi="Times New Roman" w:eastAsia="宋体" w:cs="Times New Roman"/>
          <w:b/>
          <w:color w:val="auto"/>
          <w:szCs w:val="21"/>
        </w:rPr>
        <w:t xml:space="preserve">   </w:t>
      </w:r>
      <w:r>
        <w:rPr>
          <w:rFonts w:hint="eastAsia" w:ascii="Times New Roman" w:hAnsi="Times New Roman" w:eastAsia="宋体" w:cs="Times New Roman"/>
          <w:b/>
          <w:color w:val="auto"/>
          <w:szCs w:val="21"/>
        </w:rPr>
        <w:t>分：</w:t>
      </w:r>
      <w:r>
        <w:rPr>
          <w:rFonts w:hint="eastAsia" w:ascii="Times New Roman" w:hAnsi="Times New Roman" w:eastAsia="宋体" w:cs="Times New Roman"/>
          <w:color w:val="auto"/>
          <w:szCs w:val="21"/>
        </w:rPr>
        <w:t>2</w:t>
      </w:r>
    </w:p>
    <w:p w14:paraId="7819AA11">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 xml:space="preserve">学 </w:t>
      </w:r>
      <w:r>
        <w:rPr>
          <w:rFonts w:ascii="Times New Roman" w:hAnsi="Times New Roman" w:eastAsia="宋体" w:cs="Times New Roman"/>
          <w:b/>
          <w:color w:val="auto"/>
          <w:szCs w:val="21"/>
        </w:rPr>
        <w:t xml:space="preserve">   </w:t>
      </w:r>
      <w:r>
        <w:rPr>
          <w:rFonts w:hint="eastAsia" w:ascii="Times New Roman" w:hAnsi="Times New Roman" w:eastAsia="宋体" w:cs="Times New Roman"/>
          <w:b/>
          <w:color w:val="auto"/>
          <w:szCs w:val="21"/>
        </w:rPr>
        <w:t>时：</w:t>
      </w:r>
      <w:r>
        <w:rPr>
          <w:rFonts w:hint="eastAsia" w:ascii="Times New Roman" w:hAnsi="Times New Roman" w:eastAsia="宋体" w:cs="Times New Roman"/>
          <w:color w:val="auto"/>
          <w:szCs w:val="21"/>
        </w:rPr>
        <w:t>32</w:t>
      </w:r>
      <w:r>
        <w:rPr>
          <w:rFonts w:ascii="Times New Roman" w:hAnsi="Times New Roman" w:eastAsia="宋体" w:cs="Times New Roman"/>
          <w:color w:val="auto"/>
          <w:szCs w:val="21"/>
        </w:rPr>
        <w:t>（其中：讲授学时20</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实践</w:t>
      </w:r>
      <w:r>
        <w:rPr>
          <w:rFonts w:ascii="Times New Roman" w:hAnsi="Times New Roman" w:eastAsia="宋体" w:cs="Times New Roman"/>
          <w:color w:val="auto"/>
          <w:szCs w:val="21"/>
        </w:rPr>
        <w:t>学时12）</w:t>
      </w:r>
    </w:p>
    <w:p w14:paraId="0B9E41A5">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先修课程：</w:t>
      </w:r>
      <w:r>
        <w:rPr>
          <w:rFonts w:hint="eastAsia" w:ascii="Times New Roman" w:hAnsi="Times New Roman" w:eastAsia="宋体" w:cs="Times New Roman"/>
          <w:bCs/>
          <w:color w:val="auto"/>
          <w:szCs w:val="21"/>
        </w:rPr>
        <w:t>教育原理、教育心理学、中外教育史</w:t>
      </w:r>
    </w:p>
    <w:p w14:paraId="514906F8">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适用专业：</w:t>
      </w:r>
      <w:r>
        <w:rPr>
          <w:rFonts w:hint="eastAsia" w:ascii="Times New Roman" w:hAnsi="Times New Roman" w:eastAsia="宋体" w:cs="Times New Roman"/>
          <w:color w:val="auto"/>
          <w:szCs w:val="21"/>
        </w:rPr>
        <w:t>小学教育</w:t>
      </w:r>
    </w:p>
    <w:p w14:paraId="210CB2EB">
      <w:pPr>
        <w:keepNext w:val="0"/>
        <w:keepLines w:val="0"/>
        <w:pageBreakBefore w:val="0"/>
        <w:widowControl w:val="0"/>
        <w:kinsoku/>
        <w:wordWrap/>
        <w:overflowPunct/>
        <w:topLinePunct w:val="0"/>
        <w:autoSpaceDE/>
        <w:autoSpaceDN/>
        <w:bidi w:val="0"/>
        <w:adjustRightInd w:val="0"/>
        <w:snapToGrid w:val="0"/>
        <w:spacing w:before="63" w:beforeLines="20" w:after="63" w:afterLines="20" w:line="360" w:lineRule="auto"/>
        <w:textAlignment w:val="auto"/>
        <w:rPr>
          <w:rFonts w:hint="eastAsia" w:ascii="宋体" w:hAnsi="宋体" w:eastAsia="宋体"/>
          <w:b/>
          <w:color w:val="auto"/>
          <w:sz w:val="24"/>
          <w:szCs w:val="28"/>
        </w:rPr>
      </w:pPr>
      <w:r>
        <w:rPr>
          <w:rFonts w:hint="eastAsia" w:ascii="宋体" w:hAnsi="宋体" w:eastAsia="宋体"/>
          <w:b/>
          <w:color w:val="auto"/>
          <w:sz w:val="24"/>
          <w:szCs w:val="28"/>
        </w:rPr>
        <w:t>一、课程简介</w:t>
      </w:r>
    </w:p>
    <w:p w14:paraId="7F389E6F">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是小学教育专业的一门专业基础必修课，是“小学语文、小学数学等学科教学论”课程的先修课程，具有理论与实践并重的特性。通过本课程的学习，学生能够全面地了解国内外课程与教学改革的发展和现状，系统地掌握课程与教学的基本概念、基本原理和基本方法，扎实地掌握课程与教学的专业技能，科学地观察、描述和解释小学各种课程与教学现象，自主地发现、分析并解决基础教育一线课程与教学的基本问题，为从事小学教学奠定坚实基础。</w:t>
      </w:r>
    </w:p>
    <w:p w14:paraId="3A2309F3">
      <w:pPr>
        <w:keepNext w:val="0"/>
        <w:keepLines w:val="0"/>
        <w:pageBreakBefore w:val="0"/>
        <w:widowControl w:val="0"/>
        <w:kinsoku/>
        <w:wordWrap/>
        <w:overflowPunct/>
        <w:topLinePunct w:val="0"/>
        <w:autoSpaceDE/>
        <w:autoSpaceDN/>
        <w:bidi w:val="0"/>
        <w:adjustRightInd w:val="0"/>
        <w:snapToGrid w:val="0"/>
        <w:spacing w:before="63" w:beforeLines="20" w:after="63" w:afterLines="20" w:line="360" w:lineRule="auto"/>
        <w:textAlignment w:val="auto"/>
        <w:rPr>
          <w:rFonts w:hint="eastAsia" w:ascii="宋体" w:hAnsi="宋体" w:eastAsia="宋体"/>
          <w:b/>
          <w:color w:val="auto"/>
          <w:sz w:val="24"/>
          <w:szCs w:val="28"/>
        </w:rPr>
      </w:pPr>
      <w:r>
        <w:rPr>
          <w:rFonts w:hint="eastAsia" w:ascii="宋体" w:hAnsi="宋体" w:eastAsia="宋体"/>
          <w:b/>
          <w:color w:val="auto"/>
          <w:sz w:val="24"/>
          <w:szCs w:val="28"/>
        </w:rPr>
        <w:t>二、课程目标</w:t>
      </w:r>
    </w:p>
    <w:p w14:paraId="6D419268">
      <w:pPr>
        <w:spacing w:line="360" w:lineRule="auto"/>
        <w:ind w:firstLine="422" w:firstLineChars="200"/>
        <w:rPr>
          <w:rFonts w:hint="eastAsia" w:ascii="宋体" w:hAnsi="宋体" w:eastAsia="宋体" w:cs="Times New Roman"/>
          <w:b/>
          <w:bCs/>
          <w:color w:val="auto"/>
          <w:szCs w:val="21"/>
        </w:rPr>
      </w:pPr>
      <w:r>
        <w:rPr>
          <w:rFonts w:hint="eastAsia" w:ascii="宋体" w:hAnsi="宋体" w:eastAsia="宋体" w:cs="Times New Roman"/>
          <w:b/>
          <w:bCs/>
          <w:color w:val="auto"/>
          <w:szCs w:val="21"/>
        </w:rPr>
        <w:t>（一）课程具体目标</w:t>
      </w:r>
    </w:p>
    <w:p w14:paraId="079A858A">
      <w:pPr>
        <w:spacing w:line="360" w:lineRule="auto"/>
        <w:ind w:firstLine="422" w:firstLineChars="200"/>
        <w:rPr>
          <w:rFonts w:hint="eastAsia" w:ascii="宋体" w:hAnsi="宋体" w:eastAsia="宋体" w:cs="Times New Roman"/>
          <w:color w:val="auto"/>
          <w:szCs w:val="21"/>
        </w:rPr>
      </w:pPr>
      <w:r>
        <w:rPr>
          <w:rFonts w:hint="eastAsia" w:ascii="宋体" w:hAnsi="宋体" w:eastAsia="宋体" w:cs="Times New Roman"/>
          <w:b/>
          <w:bCs/>
          <w:color w:val="auto"/>
          <w:szCs w:val="21"/>
        </w:rPr>
        <w:t>目标1</w:t>
      </w:r>
      <w:r>
        <w:rPr>
          <w:rFonts w:ascii="宋体" w:hAnsi="宋体" w:eastAsia="宋体" w:cs="Times New Roman"/>
          <w:b/>
          <w:bCs/>
          <w:color w:val="auto"/>
          <w:szCs w:val="21"/>
        </w:rPr>
        <w:t xml:space="preserve">. </w:t>
      </w:r>
      <w:r>
        <w:rPr>
          <w:rFonts w:hint="eastAsia" w:ascii="宋体" w:hAnsi="宋体" w:eastAsia="宋体" w:cs="Times New Roman"/>
          <w:color w:val="auto"/>
          <w:szCs w:val="21"/>
        </w:rPr>
        <w:t>掌握课程与教学的基本理论和基础知识。</w:t>
      </w:r>
    </w:p>
    <w:p w14:paraId="4E01A605">
      <w:pPr>
        <w:spacing w:line="360" w:lineRule="auto"/>
        <w:ind w:firstLine="422" w:firstLineChars="200"/>
        <w:rPr>
          <w:rFonts w:hint="eastAsia" w:ascii="宋体" w:hAnsi="宋体" w:eastAsia="宋体" w:cs="Times New Roman"/>
          <w:color w:val="auto"/>
          <w:szCs w:val="21"/>
        </w:rPr>
      </w:pPr>
      <w:r>
        <w:rPr>
          <w:rFonts w:hint="eastAsia" w:ascii="宋体" w:hAnsi="宋体" w:eastAsia="宋体" w:cs="Times New Roman"/>
          <w:b/>
          <w:bCs/>
          <w:color w:val="auto"/>
          <w:szCs w:val="21"/>
        </w:rPr>
        <w:t>目标2</w:t>
      </w:r>
      <w:r>
        <w:rPr>
          <w:rFonts w:ascii="宋体" w:hAnsi="宋体" w:eastAsia="宋体" w:cs="Times New Roman"/>
          <w:color w:val="auto"/>
          <w:szCs w:val="21"/>
        </w:rPr>
        <w:t xml:space="preserve">. </w:t>
      </w:r>
      <w:r>
        <w:rPr>
          <w:rFonts w:hint="eastAsia" w:ascii="宋体" w:hAnsi="宋体" w:eastAsia="宋体" w:cs="Times New Roman"/>
          <w:color w:val="auto"/>
          <w:szCs w:val="21"/>
        </w:rPr>
        <w:t>运用所学理论和知识分析评价我国课程与教学的现实问题。</w:t>
      </w:r>
    </w:p>
    <w:p w14:paraId="304AF212">
      <w:pPr>
        <w:spacing w:line="360" w:lineRule="auto"/>
        <w:ind w:firstLine="422" w:firstLineChars="200"/>
        <w:rPr>
          <w:rFonts w:hint="eastAsia" w:ascii="宋体" w:hAnsi="宋体" w:eastAsia="宋体" w:cs="Times New Roman"/>
          <w:color w:val="auto"/>
          <w:szCs w:val="21"/>
        </w:rPr>
      </w:pPr>
      <w:r>
        <w:rPr>
          <w:rFonts w:hint="eastAsia" w:ascii="宋体" w:hAnsi="宋体" w:eastAsia="宋体" w:cs="Times New Roman"/>
          <w:b/>
          <w:bCs/>
          <w:color w:val="auto"/>
          <w:szCs w:val="21"/>
        </w:rPr>
        <w:t>目标</w:t>
      </w:r>
      <w:r>
        <w:rPr>
          <w:rFonts w:ascii="宋体" w:hAnsi="宋体" w:eastAsia="宋体" w:cs="Times New Roman"/>
          <w:b/>
          <w:bCs/>
          <w:color w:val="auto"/>
          <w:szCs w:val="21"/>
        </w:rPr>
        <w:t>3.</w:t>
      </w:r>
      <w:r>
        <w:rPr>
          <w:rFonts w:ascii="宋体" w:hAnsi="宋体" w:eastAsia="宋体" w:cs="Times New Roman"/>
          <w:color w:val="auto"/>
          <w:szCs w:val="21"/>
        </w:rPr>
        <w:t xml:space="preserve"> </w:t>
      </w:r>
      <w:r>
        <w:rPr>
          <w:rFonts w:hint="eastAsia" w:ascii="宋体" w:hAnsi="宋体" w:eastAsia="宋体" w:cs="Times New Roman"/>
          <w:color w:val="auto"/>
          <w:szCs w:val="21"/>
        </w:rPr>
        <w:t>形成课程与教学设计、实施和评价、课程开发等的基本技能。</w:t>
      </w:r>
    </w:p>
    <w:p w14:paraId="463577BA">
      <w:pPr>
        <w:spacing w:line="360" w:lineRule="auto"/>
        <w:ind w:firstLine="422" w:firstLineChars="200"/>
        <w:rPr>
          <w:rFonts w:hint="eastAsia" w:ascii="宋体" w:hAnsi="宋体" w:eastAsia="宋体" w:cs="Times New Roman"/>
          <w:color w:val="auto"/>
          <w:szCs w:val="21"/>
        </w:rPr>
      </w:pPr>
      <w:r>
        <w:rPr>
          <w:rFonts w:hint="eastAsia" w:ascii="宋体" w:hAnsi="宋体" w:eastAsia="宋体" w:cs="Times New Roman"/>
          <w:b/>
          <w:bCs/>
          <w:color w:val="auto"/>
          <w:szCs w:val="21"/>
        </w:rPr>
        <w:t>目标</w:t>
      </w:r>
      <w:r>
        <w:rPr>
          <w:rFonts w:ascii="宋体" w:hAnsi="宋体" w:eastAsia="宋体" w:cs="Times New Roman"/>
          <w:b/>
          <w:bCs/>
          <w:color w:val="auto"/>
          <w:szCs w:val="21"/>
        </w:rPr>
        <w:t>4.</w:t>
      </w:r>
      <w:r>
        <w:rPr>
          <w:rFonts w:ascii="宋体" w:hAnsi="宋体" w:eastAsia="宋体" w:cs="Times New Roman"/>
          <w:color w:val="auto"/>
          <w:szCs w:val="21"/>
        </w:rPr>
        <w:t xml:space="preserve"> </w:t>
      </w:r>
      <w:r>
        <w:rPr>
          <w:rFonts w:hint="eastAsia" w:ascii="宋体" w:hAnsi="宋体" w:eastAsia="宋体" w:cs="Times New Roman"/>
          <w:color w:val="auto"/>
          <w:szCs w:val="21"/>
        </w:rPr>
        <w:t>提高课程与教学素养，坚定参与课程与教学改革的信念。</w:t>
      </w:r>
    </w:p>
    <w:p w14:paraId="0C3EF696">
      <w:pPr>
        <w:spacing w:line="360" w:lineRule="auto"/>
        <w:ind w:firstLine="422" w:firstLineChars="200"/>
        <w:rPr>
          <w:rFonts w:hint="eastAsia" w:ascii="宋体" w:hAnsi="宋体" w:eastAsia="宋体" w:cs="Times New Roman"/>
          <w:b/>
          <w:bCs/>
          <w:color w:val="auto"/>
          <w:szCs w:val="21"/>
        </w:rPr>
      </w:pPr>
      <w:r>
        <w:rPr>
          <w:rFonts w:hint="eastAsia" w:ascii="宋体" w:hAnsi="宋体" w:eastAsia="宋体" w:cs="Times New Roman"/>
          <w:b/>
          <w:bCs/>
          <w:color w:val="auto"/>
          <w:szCs w:val="21"/>
        </w:rPr>
        <w:t>（二）课程目标及其对毕业要求指标点的支撑</w:t>
      </w:r>
    </w:p>
    <w:tbl>
      <w:tblPr>
        <w:tblStyle w:val="15"/>
        <w:tblW w:w="81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5519"/>
        <w:gridCol w:w="1276"/>
      </w:tblGrid>
      <w:tr w14:paraId="4DE87D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393" w:type="dxa"/>
            <w:vAlign w:val="center"/>
          </w:tcPr>
          <w:p w14:paraId="66868E10">
            <w:pPr>
              <w:spacing w:line="276"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毕业要求</w:t>
            </w:r>
          </w:p>
        </w:tc>
        <w:tc>
          <w:tcPr>
            <w:tcW w:w="5519" w:type="dxa"/>
            <w:vAlign w:val="center"/>
          </w:tcPr>
          <w:p w14:paraId="5304F725">
            <w:pPr>
              <w:spacing w:line="276" w:lineRule="auto"/>
              <w:ind w:firstLine="422" w:firstLineChars="200"/>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毕业要求指标点</w:t>
            </w:r>
          </w:p>
        </w:tc>
        <w:tc>
          <w:tcPr>
            <w:tcW w:w="1276" w:type="dxa"/>
            <w:vAlign w:val="center"/>
          </w:tcPr>
          <w:p w14:paraId="008A1F89">
            <w:pPr>
              <w:spacing w:line="276" w:lineRule="auto"/>
              <w:rPr>
                <w:rFonts w:hint="eastAsia" w:ascii="宋体" w:hAnsi="宋体" w:eastAsia="宋体" w:cs="Times New Roman"/>
                <w:b/>
                <w:bCs/>
                <w:color w:val="auto"/>
                <w:szCs w:val="21"/>
              </w:rPr>
            </w:pPr>
            <w:r>
              <w:rPr>
                <w:rFonts w:hint="eastAsia" w:ascii="宋体" w:hAnsi="宋体" w:eastAsia="宋体" w:cs="Times New Roman"/>
                <w:b/>
                <w:bCs/>
                <w:color w:val="auto"/>
                <w:szCs w:val="21"/>
              </w:rPr>
              <w:t>课程目标</w:t>
            </w:r>
          </w:p>
        </w:tc>
      </w:tr>
      <w:tr w14:paraId="310586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393" w:type="dxa"/>
            <w:vAlign w:val="center"/>
          </w:tcPr>
          <w:p w14:paraId="6B14EA7F">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毕业要求4</w:t>
            </w:r>
            <w:r>
              <w:rPr>
                <w:rFonts w:ascii="宋体" w:hAnsi="宋体" w:eastAsia="宋体" w:cs="Times New Roman"/>
                <w:b/>
                <w:bCs/>
                <w:color w:val="auto"/>
                <w:kern w:val="0"/>
                <w:szCs w:val="21"/>
              </w:rPr>
              <w:t>.</w:t>
            </w:r>
            <w:r>
              <w:rPr>
                <w:rFonts w:hint="eastAsia" w:ascii="宋体" w:hAnsi="宋体" w:eastAsia="宋体" w:cs="Times New Roman"/>
                <w:b/>
                <w:bCs/>
                <w:color w:val="auto"/>
                <w:kern w:val="0"/>
                <w:szCs w:val="21"/>
              </w:rPr>
              <w:t>教学能力</w:t>
            </w:r>
          </w:p>
        </w:tc>
        <w:tc>
          <w:tcPr>
            <w:tcW w:w="5519" w:type="dxa"/>
            <w:vAlign w:val="center"/>
          </w:tcPr>
          <w:p w14:paraId="1539AA5C">
            <w:pPr>
              <w:spacing w:line="276" w:lineRule="auto"/>
              <w:jc w:val="left"/>
              <w:rPr>
                <w:rFonts w:hint="eastAsia" w:eastAsia="宋体"/>
                <w:b w:val="0"/>
                <w:bCs w:val="0"/>
                <w:color w:val="auto"/>
                <w:kern w:val="0"/>
                <w:szCs w:val="21"/>
                <w:lang w:eastAsia="zh-CN"/>
              </w:rPr>
            </w:pPr>
            <w:r>
              <w:rPr>
                <w:rFonts w:hint="eastAsia" w:eastAsia="宋体"/>
                <w:b w:val="0"/>
                <w:bCs w:val="0"/>
                <w:color w:val="auto"/>
                <w:kern w:val="0"/>
                <w:szCs w:val="21"/>
                <w:lang w:eastAsia="zh-CN"/>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p w14:paraId="50850414">
            <w:pPr>
              <w:spacing w:line="276" w:lineRule="auto"/>
              <w:jc w:val="left"/>
              <w:rPr>
                <w:rFonts w:hint="eastAsia" w:ascii="宋体" w:hAnsi="宋体" w:eastAsia="宋体" w:cs="Times New Roman"/>
                <w:b w:val="0"/>
                <w:bCs w:val="0"/>
                <w:color w:val="auto"/>
                <w:kern w:val="0"/>
                <w:szCs w:val="21"/>
                <w:lang w:eastAsia="zh-CN"/>
              </w:rPr>
            </w:pPr>
            <w:r>
              <w:rPr>
                <w:rFonts w:hint="eastAsia" w:ascii="宋体" w:hAnsi="宋体" w:eastAsia="宋体"/>
                <w:b w:val="0"/>
                <w:bCs w:val="0"/>
                <w:color w:val="auto"/>
                <w:szCs w:val="21"/>
                <w:lang w:eastAsia="zh-CN"/>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276" w:type="dxa"/>
            <w:vAlign w:val="center"/>
          </w:tcPr>
          <w:p w14:paraId="19FA43BE">
            <w:pPr>
              <w:spacing w:line="276" w:lineRule="auto"/>
              <w:jc w:val="center"/>
              <w:rPr>
                <w:rFonts w:eastAsia="宋体"/>
                <w:color w:val="auto"/>
                <w:kern w:val="0"/>
                <w:szCs w:val="21"/>
                <w:lang w:eastAsia="zh"/>
              </w:rPr>
            </w:pPr>
            <w:r>
              <w:rPr>
                <w:rFonts w:hint="eastAsia" w:ascii="宋体" w:hAnsi="宋体" w:eastAsia="宋体" w:cs="宋体"/>
                <w:bCs/>
                <w:color w:val="auto"/>
                <w:szCs w:val="21"/>
              </w:rPr>
              <w:t>课程目标1</w:t>
            </w:r>
            <w:r>
              <w:rPr>
                <w:rFonts w:hint="eastAsia" w:ascii="宋体" w:hAnsi="宋体" w:eastAsia="宋体" w:cs="宋体"/>
                <w:bCs/>
                <w:color w:val="auto"/>
                <w:szCs w:val="21"/>
                <w:lang w:eastAsia="zh-CN"/>
              </w:rPr>
              <w:t>、</w:t>
            </w:r>
            <w:r>
              <w:rPr>
                <w:rFonts w:hint="eastAsia" w:ascii="宋体" w:hAnsi="宋体" w:eastAsia="宋体" w:cs="宋体"/>
                <w:bCs/>
                <w:color w:val="auto"/>
                <w:szCs w:val="21"/>
                <w:lang w:eastAsia="zh"/>
              </w:rPr>
              <w:t>3</w:t>
            </w:r>
          </w:p>
        </w:tc>
      </w:tr>
      <w:tr w14:paraId="731C66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393" w:type="dxa"/>
            <w:vAlign w:val="center"/>
          </w:tcPr>
          <w:p w14:paraId="3C0B51BE">
            <w:pPr>
              <w:spacing w:line="276" w:lineRule="auto"/>
              <w:jc w:val="center"/>
              <w:rPr>
                <w:rFonts w:hint="eastAsia" w:ascii="宋体" w:hAnsi="宋体" w:eastAsia="宋体" w:cs="Times New Roman"/>
                <w:b/>
                <w:bCs/>
                <w:color w:val="auto"/>
                <w:spacing w:val="2"/>
                <w:kern w:val="0"/>
                <w:szCs w:val="21"/>
              </w:rPr>
            </w:pPr>
            <w:r>
              <w:rPr>
                <w:rFonts w:ascii="宋体" w:hAnsi="宋体" w:eastAsia="宋体" w:cs="Times New Roman"/>
                <w:b/>
                <w:bCs/>
                <w:color w:val="auto"/>
                <w:kern w:val="0"/>
                <w:szCs w:val="21"/>
              </w:rPr>
              <w:t>毕业要求</w:t>
            </w:r>
            <w:r>
              <w:rPr>
                <w:rFonts w:ascii="宋体" w:hAnsi="宋体" w:eastAsia="宋体" w:cs="Times New Roman"/>
                <w:b/>
                <w:bCs/>
                <w:color w:val="auto"/>
                <w:spacing w:val="2"/>
                <w:kern w:val="0"/>
                <w:szCs w:val="21"/>
              </w:rPr>
              <w:t>6.</w:t>
            </w:r>
            <w:r>
              <w:rPr>
                <w:rFonts w:hint="eastAsia" w:ascii="宋体" w:hAnsi="宋体" w:eastAsia="宋体" w:cs="Times New Roman"/>
                <w:b/>
                <w:bCs/>
                <w:color w:val="auto"/>
                <w:spacing w:val="2"/>
                <w:kern w:val="0"/>
                <w:szCs w:val="21"/>
              </w:rPr>
              <w:t>综合育人</w:t>
            </w:r>
          </w:p>
          <w:p w14:paraId="194BABC9">
            <w:pPr>
              <w:spacing w:line="276" w:lineRule="auto"/>
              <w:jc w:val="center"/>
              <w:rPr>
                <w:rFonts w:hint="eastAsia" w:ascii="宋体" w:hAnsi="宋体" w:eastAsia="宋体" w:cs="Times New Roman"/>
                <w:b/>
                <w:bCs/>
                <w:color w:val="auto"/>
                <w:spacing w:val="2"/>
                <w:kern w:val="0"/>
                <w:szCs w:val="21"/>
              </w:rPr>
            </w:pPr>
          </w:p>
        </w:tc>
        <w:tc>
          <w:tcPr>
            <w:tcW w:w="5519" w:type="dxa"/>
            <w:vAlign w:val="center"/>
          </w:tcPr>
          <w:p w14:paraId="24207FB3">
            <w:pPr>
              <w:shd w:val="clear" w:color="auto" w:fill="FFFFFF"/>
              <w:spacing w:line="276" w:lineRule="auto"/>
              <w:jc w:val="left"/>
              <w:rPr>
                <w:rFonts w:hint="eastAsia" w:eastAsiaTheme="minorEastAsia"/>
                <w:b w:val="0"/>
                <w:bCs w:val="0"/>
                <w:color w:val="auto"/>
                <w:szCs w:val="21"/>
                <w:lang w:eastAsia="zh-CN"/>
              </w:rPr>
            </w:pPr>
            <w:r>
              <w:rPr>
                <w:rFonts w:hint="eastAsia"/>
                <w:b w:val="0"/>
                <w:bCs w:val="0"/>
                <w:color w:val="auto"/>
                <w:kern w:val="0"/>
                <w:szCs w:val="21"/>
                <w:lang w:eastAsia="zh-CN"/>
              </w:rPr>
              <w:t>指标点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276" w:type="dxa"/>
            <w:vAlign w:val="center"/>
          </w:tcPr>
          <w:p w14:paraId="452A0CC4">
            <w:pPr>
              <w:shd w:val="clear" w:color="auto" w:fill="FFFFFF"/>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课程目标</w:t>
            </w:r>
          </w:p>
          <w:p w14:paraId="0DCFAC94">
            <w:pPr>
              <w:shd w:val="clear" w:color="auto" w:fill="FFFFFF"/>
              <w:spacing w:line="276" w:lineRule="auto"/>
              <w:jc w:val="center"/>
              <w:rPr>
                <w:color w:val="auto"/>
                <w:kern w:val="0"/>
                <w:szCs w:val="21"/>
              </w:rPr>
            </w:pPr>
            <w:r>
              <w:rPr>
                <w:rFonts w:hint="eastAsia" w:ascii="宋体" w:hAnsi="宋体" w:eastAsia="宋体" w:cs="宋体"/>
                <w:color w:val="auto"/>
                <w:szCs w:val="21"/>
                <w:lang w:val="en-US" w:eastAsia="zh-CN"/>
              </w:rPr>
              <w:t>2</w:t>
            </w:r>
          </w:p>
        </w:tc>
      </w:tr>
      <w:tr w14:paraId="57C3C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393" w:type="dxa"/>
            <w:vAlign w:val="center"/>
          </w:tcPr>
          <w:p w14:paraId="238AD5AE">
            <w:pPr>
              <w:spacing w:line="276" w:lineRule="auto"/>
              <w:jc w:val="center"/>
              <w:rPr>
                <w:rFonts w:hint="eastAsia" w:ascii="宋体" w:hAnsi="宋体" w:eastAsia="宋体" w:cs="Times New Roman"/>
                <w:b/>
                <w:bCs/>
                <w:color w:val="auto"/>
                <w:spacing w:val="2"/>
                <w:kern w:val="0"/>
                <w:szCs w:val="21"/>
              </w:rPr>
            </w:pPr>
            <w:r>
              <w:rPr>
                <w:rFonts w:hint="eastAsia" w:ascii="宋体" w:hAnsi="宋体" w:eastAsia="宋体" w:cs="Times New Roman"/>
                <w:b/>
                <w:bCs/>
                <w:color w:val="auto"/>
                <w:spacing w:val="2"/>
                <w:kern w:val="0"/>
                <w:szCs w:val="21"/>
              </w:rPr>
              <w:t>毕业要求7</w:t>
            </w:r>
            <w:r>
              <w:rPr>
                <w:rFonts w:ascii="宋体" w:hAnsi="宋体" w:eastAsia="宋体" w:cs="Times New Roman"/>
                <w:b/>
                <w:bCs/>
                <w:color w:val="auto"/>
                <w:spacing w:val="2"/>
                <w:kern w:val="0"/>
                <w:szCs w:val="21"/>
              </w:rPr>
              <w:t>.</w:t>
            </w:r>
            <w:r>
              <w:rPr>
                <w:rFonts w:hint="eastAsia" w:ascii="宋体" w:hAnsi="宋体" w:eastAsia="宋体" w:cs="Times New Roman"/>
                <w:b/>
                <w:bCs/>
                <w:color w:val="auto"/>
                <w:spacing w:val="2"/>
                <w:kern w:val="0"/>
                <w:szCs w:val="21"/>
              </w:rPr>
              <w:t>学会反思</w:t>
            </w:r>
          </w:p>
        </w:tc>
        <w:tc>
          <w:tcPr>
            <w:tcW w:w="5519" w:type="dxa"/>
            <w:vAlign w:val="center"/>
          </w:tcPr>
          <w:p w14:paraId="0C78D5E3">
            <w:pPr>
              <w:shd w:val="clear" w:color="auto" w:fill="FFFFFF"/>
              <w:spacing w:line="276" w:lineRule="auto"/>
              <w:jc w:val="left"/>
              <w:rPr>
                <w:rFonts w:hint="eastAsia" w:ascii="宋体" w:hAnsi="宋体" w:eastAsia="宋体" w:cs="Times New Roman"/>
                <w:b w:val="0"/>
                <w:bCs w:val="0"/>
                <w:color w:val="auto"/>
                <w:spacing w:val="2"/>
                <w:kern w:val="0"/>
                <w:szCs w:val="21"/>
                <w:lang w:eastAsia="zh-CN"/>
              </w:rPr>
            </w:pPr>
            <w:r>
              <w:rPr>
                <w:rFonts w:hint="eastAsia" w:eastAsia="宋体"/>
                <w:b w:val="0"/>
                <w:bCs w:val="0"/>
                <w:color w:val="auto"/>
                <w:kern w:val="0"/>
                <w:szCs w:val="21"/>
                <w:lang w:eastAsia="zh-CN"/>
              </w:rPr>
              <w:t>指标点7-1：【教育视野开阔】积极关注基础教育领域的国内外交流进展，了解国内外基础教育改革发展的动态，具有宽广的教育视野，能够主动适应新时代和教育发展需求。</w:t>
            </w:r>
          </w:p>
        </w:tc>
        <w:tc>
          <w:tcPr>
            <w:tcW w:w="1276" w:type="dxa"/>
            <w:vAlign w:val="center"/>
          </w:tcPr>
          <w:p w14:paraId="12B22861">
            <w:pPr>
              <w:shd w:val="clear" w:color="auto" w:fill="FFFFFF"/>
              <w:spacing w:line="276" w:lineRule="auto"/>
              <w:jc w:val="center"/>
              <w:rPr>
                <w:color w:val="auto"/>
                <w:kern w:val="0"/>
                <w:szCs w:val="21"/>
              </w:rPr>
            </w:pPr>
            <w:r>
              <w:rPr>
                <w:rFonts w:hint="eastAsia" w:ascii="宋体" w:hAnsi="宋体" w:eastAsia="宋体" w:cs="宋体"/>
                <w:color w:val="auto"/>
                <w:szCs w:val="21"/>
              </w:rPr>
              <w:t>课程目标</w:t>
            </w:r>
            <w:r>
              <w:rPr>
                <w:rFonts w:ascii="宋体" w:hAnsi="宋体" w:eastAsia="宋体" w:cs="宋体"/>
                <w:color w:val="auto"/>
                <w:szCs w:val="21"/>
              </w:rPr>
              <w:t>4</w:t>
            </w:r>
          </w:p>
        </w:tc>
      </w:tr>
    </w:tbl>
    <w:p w14:paraId="0D8C4494">
      <w:pPr>
        <w:spacing w:line="360" w:lineRule="auto"/>
        <w:ind w:firstLine="422" w:firstLineChars="200"/>
        <w:rPr>
          <w:rFonts w:ascii="Times New Roman" w:hAnsi="Times New Roman" w:eastAsia="宋体" w:cs="Times New Roman"/>
          <w:b/>
          <w:bCs/>
          <w:color w:val="auto"/>
          <w:szCs w:val="21"/>
        </w:rPr>
      </w:pPr>
    </w:p>
    <w:p w14:paraId="592F8A13">
      <w:pPr>
        <w:spacing w:line="360" w:lineRule="auto"/>
        <w:ind w:firstLine="422" w:firstLineChars="200"/>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（三）课程思政目标</w:t>
      </w:r>
    </w:p>
    <w:p w14:paraId="0FD0F078">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在课程教学中引导树立学高人师、身正为范的职业理想，培育爱国守法、规范从教的职业操守，培养传道情怀、授业底蕴、解惑能力，富有工匠精神，坚持贯彻落实党的教育方针，以立德树人为己任，自觉以德立身、以德立学、以德施教，争做有理想信念、有道德情操、有扎实学识、有仁爱之心的“四有”好老师，传承教育家精神，争做新时代的大国良师。</w:t>
      </w:r>
    </w:p>
    <w:p w14:paraId="5DA5DED8">
      <w:pPr>
        <w:keepNext w:val="0"/>
        <w:keepLines w:val="0"/>
        <w:pageBreakBefore w:val="0"/>
        <w:widowControl w:val="0"/>
        <w:kinsoku/>
        <w:wordWrap/>
        <w:overflowPunct/>
        <w:topLinePunct w:val="0"/>
        <w:autoSpaceDE/>
        <w:autoSpaceDN/>
        <w:bidi w:val="0"/>
        <w:adjustRightInd w:val="0"/>
        <w:snapToGrid w:val="0"/>
        <w:spacing w:before="63" w:beforeLines="20" w:after="63" w:afterLines="20" w:line="360" w:lineRule="auto"/>
        <w:textAlignment w:val="auto"/>
        <w:rPr>
          <w:rFonts w:hint="eastAsia" w:ascii="宋体" w:hAnsi="宋体" w:eastAsia="宋体"/>
          <w:b/>
          <w:color w:val="auto"/>
          <w:sz w:val="24"/>
          <w:szCs w:val="28"/>
        </w:rPr>
      </w:pPr>
      <w:r>
        <w:rPr>
          <w:rFonts w:hint="eastAsia" w:ascii="宋体" w:hAnsi="宋体" w:eastAsia="宋体"/>
          <w:b/>
          <w:color w:val="auto"/>
          <w:sz w:val="24"/>
          <w:szCs w:val="28"/>
        </w:rPr>
        <w:t>三、课程内容及预期学习成效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115"/>
        <w:gridCol w:w="1109"/>
        <w:gridCol w:w="2871"/>
        <w:gridCol w:w="1560"/>
        <w:gridCol w:w="438"/>
      </w:tblGrid>
      <w:tr w14:paraId="5E41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F62E799">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505BBE55">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2115" w:type="dxa"/>
            <w:vAlign w:val="center"/>
          </w:tcPr>
          <w:p w14:paraId="6AA1B657">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09" w:type="dxa"/>
            <w:vAlign w:val="center"/>
          </w:tcPr>
          <w:p w14:paraId="58DD2449">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36C5E7F3">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2871" w:type="dxa"/>
            <w:vAlign w:val="center"/>
          </w:tcPr>
          <w:p w14:paraId="6160308A">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560" w:type="dxa"/>
            <w:vAlign w:val="center"/>
          </w:tcPr>
          <w:p w14:paraId="4233011D">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39BE8D5A">
            <w:pPr>
              <w:jc w:val="center"/>
              <w:rPr>
                <w:rFonts w:hint="eastAsia" w:ascii="宋体" w:hAnsi="宋体" w:eastAsia="宋体" w:cs="Times New Roman"/>
                <w:b/>
                <w:color w:val="auto"/>
                <w:szCs w:val="21"/>
                <w:highlight w:val="yellow"/>
              </w:rPr>
            </w:pPr>
            <w:r>
              <w:rPr>
                <w:rFonts w:hint="eastAsia" w:ascii="宋体" w:hAnsi="宋体" w:eastAsia="宋体" w:cs="Times New Roman"/>
                <w:b/>
                <w:color w:val="auto"/>
                <w:szCs w:val="21"/>
              </w:rPr>
              <w:t>学时</w:t>
            </w:r>
          </w:p>
        </w:tc>
      </w:tr>
      <w:tr w14:paraId="44C0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37FD434">
            <w:pPr>
              <w:spacing w:line="264" w:lineRule="auto"/>
              <w:jc w:val="center"/>
              <w:rPr>
                <w:rFonts w:hint="eastAsia" w:ascii="宋体" w:hAnsi="宋体" w:eastAsia="宋体" w:cs="Times New Roman"/>
                <w:color w:val="auto"/>
                <w:szCs w:val="21"/>
              </w:rPr>
            </w:pPr>
            <w:r>
              <w:rPr>
                <w:rFonts w:hint="eastAsia" w:ascii="Times New Roman" w:hAnsi="Times New Roman" w:eastAsia="宋体" w:cs="Times New Roman"/>
                <w:color w:val="auto"/>
                <w:szCs w:val="21"/>
              </w:rPr>
              <w:t>（一）“课程教学论”概论</w:t>
            </w:r>
          </w:p>
        </w:tc>
        <w:tc>
          <w:tcPr>
            <w:tcW w:w="2115" w:type="dxa"/>
            <w:vAlign w:val="center"/>
          </w:tcPr>
          <w:p w14:paraId="29FC930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 教学内容</w:t>
            </w:r>
          </w:p>
          <w:p w14:paraId="59A0451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（1）什么是课程与教学论</w:t>
            </w:r>
          </w:p>
          <w:p w14:paraId="7488226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（2）学习课程与教学论的意义和方法</w:t>
            </w:r>
          </w:p>
        </w:tc>
        <w:tc>
          <w:tcPr>
            <w:tcW w:w="1109" w:type="dxa"/>
            <w:vAlign w:val="center"/>
          </w:tcPr>
          <w:p w14:paraId="259CC474">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课程目标1、4</w:t>
            </w:r>
          </w:p>
        </w:tc>
        <w:tc>
          <w:tcPr>
            <w:tcW w:w="2871" w:type="dxa"/>
            <w:vAlign w:val="center"/>
          </w:tcPr>
          <w:p w14:paraId="0A29538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（1）了解课程与教学论的研究对象、任务和历史演变</w:t>
            </w:r>
          </w:p>
          <w:p w14:paraId="6E7572FF">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（2）理解课程与教学的关系</w:t>
            </w:r>
          </w:p>
          <w:p w14:paraId="2AC9997F">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（3）明确学习课程与教学论的意义</w:t>
            </w:r>
          </w:p>
          <w:p w14:paraId="1312768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（4）反思和改进学习方法</w:t>
            </w:r>
          </w:p>
        </w:tc>
        <w:tc>
          <w:tcPr>
            <w:tcW w:w="1560" w:type="dxa"/>
            <w:vAlign w:val="center"/>
          </w:tcPr>
          <w:p w14:paraId="4659E74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1.多媒体教学2.课堂讨论</w:t>
            </w:r>
          </w:p>
          <w:p w14:paraId="020A0DD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3.课堂测验</w:t>
            </w:r>
          </w:p>
        </w:tc>
        <w:tc>
          <w:tcPr>
            <w:tcW w:w="438" w:type="dxa"/>
            <w:vAlign w:val="center"/>
          </w:tcPr>
          <w:p w14:paraId="56C0FD44">
            <w:pPr>
              <w:spacing w:line="269" w:lineRule="auto"/>
              <w:jc w:val="center"/>
              <w:rPr>
                <w:rFonts w:hint="eastAsia" w:ascii="宋体" w:hAnsi="宋体" w:eastAsia="宋体" w:cs="Times New Roman"/>
                <w:color w:val="auto"/>
                <w:szCs w:val="21"/>
                <w:highlight w:val="yellow"/>
              </w:rPr>
            </w:pPr>
            <w:r>
              <w:rPr>
                <w:rFonts w:hint="eastAsia" w:ascii="宋体" w:hAnsi="宋体" w:eastAsia="宋体" w:cs="Times New Roman"/>
                <w:color w:val="auto"/>
                <w:szCs w:val="21"/>
              </w:rPr>
              <w:t>1</w:t>
            </w:r>
          </w:p>
        </w:tc>
      </w:tr>
      <w:tr w14:paraId="203E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A5A3804">
            <w:pPr>
              <w:spacing w:line="264" w:lineRule="auto"/>
              <w:jc w:val="center"/>
              <w:rPr>
                <w:rFonts w:hint="eastAsia" w:ascii="宋体" w:hAnsi="宋体" w:eastAsia="宋体" w:cs="Times New Roman"/>
                <w:color w:val="auto"/>
                <w:szCs w:val="21"/>
              </w:rPr>
            </w:pPr>
          </w:p>
        </w:tc>
        <w:tc>
          <w:tcPr>
            <w:tcW w:w="8093" w:type="dxa"/>
            <w:gridSpan w:val="5"/>
            <w:vAlign w:val="center"/>
          </w:tcPr>
          <w:p w14:paraId="3223BE08">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通过学习课程与教学的基本概念、理论、原理，理解课程和教学是学校教育系统的核心要素，增进将其转化为社会主义核心价值观具体化、生动化的有效教学载体的教学意识。</w:t>
            </w:r>
          </w:p>
        </w:tc>
      </w:tr>
    </w:tbl>
    <w:tbl>
      <w:tblPr>
        <w:tblStyle w:val="20"/>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057"/>
        <w:gridCol w:w="1125"/>
        <w:gridCol w:w="2913"/>
        <w:gridCol w:w="1560"/>
        <w:gridCol w:w="438"/>
      </w:tblGrid>
      <w:tr w14:paraId="577F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64B531E">
            <w:pPr>
              <w:spacing w:line="264"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（二）课程的基本理论</w:t>
            </w:r>
          </w:p>
        </w:tc>
        <w:tc>
          <w:tcPr>
            <w:tcW w:w="2057" w:type="dxa"/>
            <w:vAlign w:val="center"/>
          </w:tcPr>
          <w:p w14:paraId="12C0582E">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（1）课程的基本概念</w:t>
            </w:r>
          </w:p>
          <w:p w14:paraId="78038B9D">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（2）课程的历史发展</w:t>
            </w:r>
          </w:p>
          <w:p w14:paraId="3B0FFB00">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（3）影响课程发展的基本因素</w:t>
            </w:r>
          </w:p>
        </w:tc>
        <w:tc>
          <w:tcPr>
            <w:tcW w:w="1125" w:type="dxa"/>
            <w:vAlign w:val="center"/>
          </w:tcPr>
          <w:p w14:paraId="6F1CF74E">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课程目标1、2、4</w:t>
            </w:r>
          </w:p>
        </w:tc>
        <w:tc>
          <w:tcPr>
            <w:tcW w:w="2913" w:type="dxa"/>
            <w:vAlign w:val="center"/>
          </w:tcPr>
          <w:p w14:paraId="4548500A">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（1）掌握课程概念，学会用自己的语言来解释课程</w:t>
            </w:r>
          </w:p>
          <w:p w14:paraId="02336E45">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（2）了解课程发展的历史概况</w:t>
            </w:r>
          </w:p>
          <w:p w14:paraId="0A1A105B">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（3）熟悉影响课程发展的基本因素</w:t>
            </w:r>
          </w:p>
          <w:p w14:paraId="24F22AE2">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（4）了解课程理论所涉及的基本问题和基础知识</w:t>
            </w:r>
          </w:p>
        </w:tc>
        <w:tc>
          <w:tcPr>
            <w:tcW w:w="1560" w:type="dxa"/>
            <w:vAlign w:val="center"/>
          </w:tcPr>
          <w:p w14:paraId="7963F6EE">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1.多媒体教学2.课堂讨论</w:t>
            </w:r>
          </w:p>
          <w:p w14:paraId="0B050D6D">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3.课堂测验</w:t>
            </w:r>
          </w:p>
        </w:tc>
        <w:tc>
          <w:tcPr>
            <w:tcW w:w="438" w:type="dxa"/>
            <w:vAlign w:val="center"/>
          </w:tcPr>
          <w:p w14:paraId="5BE0BB54">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w:t>
            </w:r>
          </w:p>
        </w:tc>
      </w:tr>
      <w:tr w14:paraId="503C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F00BAA2">
            <w:pPr>
              <w:spacing w:line="264" w:lineRule="auto"/>
              <w:jc w:val="center"/>
              <w:rPr>
                <w:rFonts w:hint="eastAsia" w:ascii="宋体" w:hAnsi="宋体" w:eastAsia="宋体" w:cs="Times New Roman"/>
                <w:color w:val="auto"/>
                <w:kern w:val="0"/>
                <w:szCs w:val="21"/>
              </w:rPr>
            </w:pPr>
          </w:p>
        </w:tc>
        <w:tc>
          <w:tcPr>
            <w:tcW w:w="8093" w:type="dxa"/>
            <w:gridSpan w:val="5"/>
            <w:vAlign w:val="center"/>
          </w:tcPr>
          <w:p w14:paraId="6A04ABB8">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通过了解课程的概念和历史发展，产生强烈的文化认同感和民族自豪感，又能够尊重不同民族和文化的差异。能够有意识的发掘和创造性的利用课程中蕴含的文化基因和价值范式。</w:t>
            </w:r>
          </w:p>
        </w:tc>
      </w:tr>
    </w:tbl>
    <w:tbl>
      <w:tblPr>
        <w:tblStyle w:val="2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51AA5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2EC0F04">
            <w:pPr>
              <w:spacing w:line="264"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（三）课程目标与课程内容</w:t>
            </w:r>
          </w:p>
        </w:tc>
        <w:tc>
          <w:tcPr>
            <w:tcW w:w="1701" w:type="dxa"/>
            <w:vAlign w:val="center"/>
          </w:tcPr>
          <w:p w14:paraId="7508DE32">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（1）课程目标</w:t>
            </w:r>
          </w:p>
          <w:p w14:paraId="70412AE2">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（2）课程内容</w:t>
            </w:r>
          </w:p>
        </w:tc>
        <w:tc>
          <w:tcPr>
            <w:tcW w:w="1134" w:type="dxa"/>
            <w:vAlign w:val="center"/>
          </w:tcPr>
          <w:p w14:paraId="0F1710B9">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课程目标1、4</w:t>
            </w:r>
          </w:p>
        </w:tc>
        <w:tc>
          <w:tcPr>
            <w:tcW w:w="3260" w:type="dxa"/>
            <w:vAlign w:val="center"/>
          </w:tcPr>
          <w:p w14:paraId="02E93CFD">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（1）明确课程目标的内涵取向及其确定的依据</w:t>
            </w:r>
          </w:p>
          <w:p w14:paraId="48D556BB">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（2）掌握课程内容的取向及其选择与组织原则</w:t>
            </w:r>
          </w:p>
          <w:p w14:paraId="3B6D0CD7">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（3）了解当代小学教育课程的目标与课程内容</w:t>
            </w:r>
          </w:p>
        </w:tc>
        <w:tc>
          <w:tcPr>
            <w:tcW w:w="1560" w:type="dxa"/>
            <w:vAlign w:val="center"/>
          </w:tcPr>
          <w:p w14:paraId="61927AD5">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1.多媒体教学2.课堂讨论</w:t>
            </w:r>
          </w:p>
          <w:p w14:paraId="4B7F1857">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3.课堂测验</w:t>
            </w:r>
          </w:p>
        </w:tc>
        <w:tc>
          <w:tcPr>
            <w:tcW w:w="438" w:type="dxa"/>
            <w:vAlign w:val="center"/>
          </w:tcPr>
          <w:p w14:paraId="65D5AF13">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w:t>
            </w:r>
          </w:p>
        </w:tc>
      </w:tr>
      <w:tr w14:paraId="551F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E6D22BD">
            <w:pPr>
              <w:spacing w:line="264" w:lineRule="auto"/>
              <w:jc w:val="center"/>
              <w:rPr>
                <w:rFonts w:hint="eastAsia" w:ascii="宋体" w:hAnsi="宋体" w:eastAsia="宋体" w:cs="Times New Roman"/>
                <w:color w:val="auto"/>
                <w:kern w:val="0"/>
                <w:szCs w:val="21"/>
              </w:rPr>
            </w:pPr>
          </w:p>
        </w:tc>
        <w:tc>
          <w:tcPr>
            <w:tcW w:w="8093" w:type="dxa"/>
            <w:gridSpan w:val="5"/>
            <w:vAlign w:val="center"/>
          </w:tcPr>
          <w:p w14:paraId="0BDA69F4">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通过课程目标与课程内容的学习，明确新课程的基本价值取向是“为了中华民族的复兴，为了每一个学生的发展”，以中国特色社会主义思想为指导，坚持知识传授与价值引领相结合，在顶层设计上要把思想政治培养作为课程教学的目标放在首位，并与专业发展教育相结合。</w:t>
            </w:r>
          </w:p>
        </w:tc>
      </w:tr>
    </w:tbl>
    <w:tbl>
      <w:tblPr>
        <w:tblStyle w:val="2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356"/>
        <w:gridCol w:w="3038"/>
        <w:gridCol w:w="1560"/>
        <w:gridCol w:w="438"/>
      </w:tblGrid>
      <w:tr w14:paraId="7F86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4690F08">
            <w:pPr>
              <w:spacing w:line="264"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（四）课程实施与课程评价</w:t>
            </w:r>
          </w:p>
        </w:tc>
        <w:tc>
          <w:tcPr>
            <w:tcW w:w="1701" w:type="dxa"/>
            <w:vAlign w:val="center"/>
          </w:tcPr>
          <w:p w14:paraId="3D727ED9">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（1）课程变革的基本过程</w:t>
            </w:r>
          </w:p>
          <w:p w14:paraId="6C79159C">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（2）课程实施的三种取向</w:t>
            </w:r>
          </w:p>
          <w:p w14:paraId="7C3EE626">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（3）课程实施的基本过程</w:t>
            </w:r>
          </w:p>
          <w:p w14:paraId="14102FFA">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（4）课程评价的三种取向</w:t>
            </w:r>
          </w:p>
        </w:tc>
        <w:tc>
          <w:tcPr>
            <w:tcW w:w="1356" w:type="dxa"/>
            <w:vAlign w:val="center"/>
          </w:tcPr>
          <w:p w14:paraId="3EC492C2">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w:t>
            </w:r>
          </w:p>
          <w:p w14:paraId="4C0D3A26">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3、4</w:t>
            </w:r>
          </w:p>
        </w:tc>
        <w:tc>
          <w:tcPr>
            <w:tcW w:w="3038" w:type="dxa"/>
            <w:vAlign w:val="center"/>
          </w:tcPr>
          <w:p w14:paraId="327CA3B7">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（1）明确课程实施的内涵</w:t>
            </w:r>
          </w:p>
          <w:p w14:paraId="72A16A23">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（2）了解课程实施的取向和途径及影响因素</w:t>
            </w:r>
          </w:p>
          <w:p w14:paraId="3571A592">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（3）熟悉课程实施的基本过程</w:t>
            </w:r>
          </w:p>
          <w:p w14:paraId="63E99865">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（4）掌握课程评价的三种取向</w:t>
            </w:r>
          </w:p>
        </w:tc>
        <w:tc>
          <w:tcPr>
            <w:tcW w:w="1560" w:type="dxa"/>
            <w:vAlign w:val="center"/>
          </w:tcPr>
          <w:p w14:paraId="13884A0A">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1.多媒体教学2.课堂讨论</w:t>
            </w:r>
          </w:p>
          <w:p w14:paraId="6E8D11F6">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3.课堂测验</w:t>
            </w:r>
          </w:p>
        </w:tc>
        <w:tc>
          <w:tcPr>
            <w:tcW w:w="438" w:type="dxa"/>
            <w:vAlign w:val="center"/>
          </w:tcPr>
          <w:p w14:paraId="34F6EA47">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w:t>
            </w:r>
          </w:p>
        </w:tc>
      </w:tr>
      <w:tr w14:paraId="65BF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2FB5CA1">
            <w:pPr>
              <w:spacing w:line="264" w:lineRule="auto"/>
              <w:jc w:val="center"/>
              <w:rPr>
                <w:rFonts w:hint="eastAsia" w:ascii="宋体" w:hAnsi="宋体" w:eastAsia="宋体" w:cs="Times New Roman"/>
                <w:color w:val="auto"/>
                <w:kern w:val="0"/>
                <w:szCs w:val="21"/>
              </w:rPr>
            </w:pPr>
          </w:p>
        </w:tc>
        <w:tc>
          <w:tcPr>
            <w:tcW w:w="8093" w:type="dxa"/>
            <w:gridSpan w:val="5"/>
            <w:vAlign w:val="center"/>
          </w:tcPr>
          <w:p w14:paraId="601D7935">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通过课程实施和课程评价的学习，懂得必须尊重每一个学生个性发展的完整性、独立性、具体性和特殊性，树立正确的儿童观，把关爱自然、追求人与自然的可持续发展作为价值追求。</w:t>
            </w:r>
          </w:p>
        </w:tc>
      </w:tr>
    </w:tbl>
    <w:tbl>
      <w:tblPr>
        <w:tblStyle w:val="2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3087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B722547">
            <w:pPr>
              <w:spacing w:line="264"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（五）课程开发与校本课程</w:t>
            </w:r>
          </w:p>
        </w:tc>
        <w:tc>
          <w:tcPr>
            <w:tcW w:w="1701" w:type="dxa"/>
            <w:vAlign w:val="center"/>
          </w:tcPr>
          <w:p w14:paraId="350CCE57">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（1）课程开发的一般原理</w:t>
            </w:r>
          </w:p>
          <w:p w14:paraId="4754A643">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（2）校本课程开发</w:t>
            </w:r>
          </w:p>
        </w:tc>
        <w:tc>
          <w:tcPr>
            <w:tcW w:w="1134" w:type="dxa"/>
            <w:vAlign w:val="center"/>
          </w:tcPr>
          <w:p w14:paraId="157B3D32">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课程目标1、3</w:t>
            </w:r>
          </w:p>
        </w:tc>
        <w:tc>
          <w:tcPr>
            <w:tcW w:w="3260" w:type="dxa"/>
            <w:vAlign w:val="center"/>
          </w:tcPr>
          <w:p w14:paraId="33E76D5F">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（1）了解课程开发的概念、具体机制及模式</w:t>
            </w:r>
          </w:p>
          <w:p w14:paraId="505BB6EB">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（2）认识校本课程开发的基本特征、意义</w:t>
            </w:r>
          </w:p>
          <w:p w14:paraId="6985344E">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（3）初步掌握课程开发的基本技术</w:t>
            </w:r>
          </w:p>
        </w:tc>
        <w:tc>
          <w:tcPr>
            <w:tcW w:w="1560" w:type="dxa"/>
            <w:vAlign w:val="center"/>
          </w:tcPr>
          <w:p w14:paraId="3634737F">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1.多媒体教学2.课堂讨论</w:t>
            </w:r>
          </w:p>
          <w:p w14:paraId="153F9CD7">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3.课堂测验</w:t>
            </w:r>
          </w:p>
        </w:tc>
        <w:tc>
          <w:tcPr>
            <w:tcW w:w="438" w:type="dxa"/>
            <w:vAlign w:val="center"/>
          </w:tcPr>
          <w:p w14:paraId="4470A571">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w:t>
            </w:r>
          </w:p>
        </w:tc>
      </w:tr>
      <w:tr w14:paraId="4C98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43217A2">
            <w:pPr>
              <w:spacing w:line="264" w:lineRule="auto"/>
              <w:jc w:val="center"/>
              <w:rPr>
                <w:rFonts w:hint="eastAsia" w:ascii="宋体" w:hAnsi="宋体" w:eastAsia="宋体" w:cs="Times New Roman"/>
                <w:color w:val="auto"/>
                <w:kern w:val="0"/>
                <w:szCs w:val="21"/>
              </w:rPr>
            </w:pPr>
          </w:p>
        </w:tc>
        <w:tc>
          <w:tcPr>
            <w:tcW w:w="8093" w:type="dxa"/>
            <w:gridSpan w:val="5"/>
            <w:vAlign w:val="center"/>
          </w:tcPr>
          <w:p w14:paraId="70C18F05">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通过校本课程开发的学习，能够积极主动将中华优秀传统文化融入课程教学，加强革命文化和社会主义先进文化教育，厚植爱国主义情怀，传承中华优秀传统文化，弘扬以爱国主义为核心的民族精神和以改革创新为核心的时代精神。</w:t>
            </w:r>
          </w:p>
        </w:tc>
      </w:tr>
    </w:tbl>
    <w:tbl>
      <w:tblPr>
        <w:tblStyle w:val="2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3FBB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7160FA4">
            <w:pPr>
              <w:spacing w:line="264"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（六）教学的基本理论</w:t>
            </w:r>
          </w:p>
        </w:tc>
        <w:tc>
          <w:tcPr>
            <w:tcW w:w="1701" w:type="dxa"/>
            <w:vAlign w:val="center"/>
          </w:tcPr>
          <w:p w14:paraId="4462C25F">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（1）教学概念与教学本质</w:t>
            </w:r>
          </w:p>
          <w:p w14:paraId="1BC78E68">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（2）当代主要教学理论</w:t>
            </w:r>
          </w:p>
          <w:p w14:paraId="51AEE1BB">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（3）现代教学及其特征、原则</w:t>
            </w:r>
          </w:p>
        </w:tc>
        <w:tc>
          <w:tcPr>
            <w:tcW w:w="1134" w:type="dxa"/>
            <w:vAlign w:val="center"/>
          </w:tcPr>
          <w:p w14:paraId="3D169462">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课程目标1、2、4</w:t>
            </w:r>
          </w:p>
        </w:tc>
        <w:tc>
          <w:tcPr>
            <w:tcW w:w="3260" w:type="dxa"/>
            <w:vAlign w:val="center"/>
          </w:tcPr>
          <w:p w14:paraId="26473817">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（1）掌握教学、现代教学和优化教学等概念</w:t>
            </w:r>
          </w:p>
          <w:p w14:paraId="153F7E95">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（2）了解教学发展历程及现代教学的特征</w:t>
            </w:r>
          </w:p>
          <w:p w14:paraId="3FE7E4C2">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（3）探讨教学的本质</w:t>
            </w:r>
          </w:p>
          <w:p w14:paraId="3E3FBD05">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（4）掌握优化教学的策略</w:t>
            </w:r>
          </w:p>
        </w:tc>
        <w:tc>
          <w:tcPr>
            <w:tcW w:w="1560" w:type="dxa"/>
            <w:vAlign w:val="center"/>
          </w:tcPr>
          <w:p w14:paraId="2E433ACA">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1.多媒体教学2.课堂讨论</w:t>
            </w:r>
          </w:p>
          <w:p w14:paraId="64332648">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3.课堂测验</w:t>
            </w:r>
          </w:p>
        </w:tc>
        <w:tc>
          <w:tcPr>
            <w:tcW w:w="438" w:type="dxa"/>
            <w:vAlign w:val="center"/>
          </w:tcPr>
          <w:p w14:paraId="19507C43">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w:t>
            </w:r>
          </w:p>
        </w:tc>
      </w:tr>
      <w:tr w14:paraId="5C52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616FC1D">
            <w:pPr>
              <w:spacing w:line="264" w:lineRule="auto"/>
              <w:jc w:val="center"/>
              <w:rPr>
                <w:rFonts w:hint="eastAsia" w:ascii="宋体" w:hAnsi="宋体" w:eastAsia="宋体" w:cs="Times New Roman"/>
                <w:color w:val="auto"/>
                <w:kern w:val="0"/>
                <w:szCs w:val="21"/>
              </w:rPr>
            </w:pPr>
          </w:p>
        </w:tc>
        <w:tc>
          <w:tcPr>
            <w:tcW w:w="8093" w:type="dxa"/>
            <w:gridSpan w:val="5"/>
            <w:vAlign w:val="center"/>
          </w:tcPr>
          <w:p w14:paraId="5AD2995C">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通过学习教学的基本理论、发展历程和教学的本质等内容，明确教学是学校的中心工作，是实现教育目的的基本途径，增进目标感与使命感，坚定培养全面发展的人的教育目标，坚持以教学为主，坚定职业理想，为培养全面发展的社会主义建设者和接班人投身教育事业。</w:t>
            </w:r>
          </w:p>
        </w:tc>
      </w:tr>
      <w:tr w14:paraId="79A1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9989043">
            <w:pPr>
              <w:spacing w:line="264"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（七）教学目标</w:t>
            </w:r>
          </w:p>
        </w:tc>
        <w:tc>
          <w:tcPr>
            <w:tcW w:w="1701" w:type="dxa"/>
            <w:vAlign w:val="center"/>
          </w:tcPr>
          <w:p w14:paraId="4CE32F4F">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（1）教学目标概述</w:t>
            </w:r>
          </w:p>
          <w:p w14:paraId="429AC2CA">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（2）教学目标分类</w:t>
            </w:r>
          </w:p>
          <w:p w14:paraId="462F9819">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（3）教学目标设计</w:t>
            </w:r>
          </w:p>
        </w:tc>
        <w:tc>
          <w:tcPr>
            <w:tcW w:w="1134" w:type="dxa"/>
            <w:vAlign w:val="center"/>
          </w:tcPr>
          <w:p w14:paraId="2AEAD352">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课程目标1、2、4</w:t>
            </w:r>
          </w:p>
        </w:tc>
        <w:tc>
          <w:tcPr>
            <w:tcW w:w="3260" w:type="dxa"/>
            <w:vAlign w:val="center"/>
          </w:tcPr>
          <w:p w14:paraId="0DB9BB45">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（1）了解教学目标的概念及其功能</w:t>
            </w:r>
          </w:p>
          <w:p w14:paraId="29520EAC">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（2）掌握教学目标的分类、教学目标设计的基本原则、教学目标的设计的步骤与方法。</w:t>
            </w:r>
          </w:p>
          <w:p w14:paraId="4C09B6B3">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（3）学会设计小学课程的教学目标</w:t>
            </w:r>
          </w:p>
        </w:tc>
        <w:tc>
          <w:tcPr>
            <w:tcW w:w="1560" w:type="dxa"/>
            <w:vAlign w:val="center"/>
          </w:tcPr>
          <w:p w14:paraId="2BB2BF2E">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1.多媒体教学2.课堂讨论</w:t>
            </w:r>
          </w:p>
          <w:p w14:paraId="035D0C80">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3.课堂测验</w:t>
            </w:r>
          </w:p>
        </w:tc>
        <w:tc>
          <w:tcPr>
            <w:tcW w:w="438" w:type="dxa"/>
            <w:vAlign w:val="center"/>
          </w:tcPr>
          <w:p w14:paraId="23B5343D">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w:t>
            </w:r>
          </w:p>
        </w:tc>
      </w:tr>
      <w:tr w14:paraId="01D0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DA80260">
            <w:pPr>
              <w:spacing w:line="264" w:lineRule="auto"/>
              <w:jc w:val="center"/>
              <w:rPr>
                <w:rFonts w:hint="eastAsia" w:ascii="宋体" w:hAnsi="宋体" w:eastAsia="宋体" w:cs="Times New Roman"/>
                <w:color w:val="auto"/>
                <w:kern w:val="0"/>
                <w:szCs w:val="21"/>
              </w:rPr>
            </w:pPr>
          </w:p>
        </w:tc>
        <w:tc>
          <w:tcPr>
            <w:tcW w:w="8093" w:type="dxa"/>
            <w:gridSpan w:val="5"/>
            <w:vAlign w:val="center"/>
          </w:tcPr>
          <w:p w14:paraId="41700733">
            <w:pPr>
              <w:spacing w:line="269" w:lineRule="auto"/>
              <w:jc w:val="left"/>
              <w:rPr>
                <w:rFonts w:hint="eastAsia" w:ascii="宋体" w:hAnsi="宋体" w:eastAsia="宋体" w:cs="Times New Roman"/>
                <w:b/>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通过学习，坚持正确的政治方向，能够由小到大、由局部到整体，形成强烈的目标感、使命感，明确自身的社会职责与国家使命，为国育人、为党育人。深刻理解习近平关于教育的论述：教育要“培养什么人、怎样培养人、为谁培养人”的问题。</w:t>
            </w:r>
          </w:p>
        </w:tc>
      </w:tr>
    </w:tbl>
    <w:tbl>
      <w:tblPr>
        <w:tblStyle w:val="2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C53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9EE5D81">
            <w:pPr>
              <w:spacing w:line="264"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（八）教学模式与方法</w:t>
            </w:r>
          </w:p>
        </w:tc>
        <w:tc>
          <w:tcPr>
            <w:tcW w:w="1701" w:type="dxa"/>
            <w:vAlign w:val="center"/>
          </w:tcPr>
          <w:p w14:paraId="5885F1C9">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（1）教学模式概述与类型</w:t>
            </w:r>
          </w:p>
          <w:p w14:paraId="25998749">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（2）教学方法的概念及其分类</w:t>
            </w:r>
          </w:p>
          <w:p w14:paraId="0DE7B824">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（3）小学常用教学法及其选择与运用</w:t>
            </w:r>
          </w:p>
        </w:tc>
        <w:tc>
          <w:tcPr>
            <w:tcW w:w="1134" w:type="dxa"/>
            <w:vAlign w:val="center"/>
          </w:tcPr>
          <w:p w14:paraId="0D8FEE89">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课程目标1、2、3、4</w:t>
            </w:r>
          </w:p>
        </w:tc>
        <w:tc>
          <w:tcPr>
            <w:tcW w:w="3260" w:type="dxa"/>
            <w:vAlign w:val="center"/>
          </w:tcPr>
          <w:p w14:paraId="65BEACBF">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（1）认识教学模式和教学方法的概念</w:t>
            </w:r>
          </w:p>
          <w:p w14:paraId="5EF61751">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（2）了解教学模式发展的历史、现状和趋势，国内外教学方法改革的现状及发展趋势</w:t>
            </w:r>
          </w:p>
          <w:p w14:paraId="21E968E7">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（3）掌握当前几种比较重要的教学模式和小学常用的教学方法</w:t>
            </w:r>
          </w:p>
        </w:tc>
        <w:tc>
          <w:tcPr>
            <w:tcW w:w="1560" w:type="dxa"/>
            <w:vAlign w:val="center"/>
          </w:tcPr>
          <w:p w14:paraId="126A1DAB">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1.多媒体教学2.课堂讨论</w:t>
            </w:r>
          </w:p>
          <w:p w14:paraId="0C00E1FF">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3.课堂测验</w:t>
            </w:r>
          </w:p>
        </w:tc>
        <w:tc>
          <w:tcPr>
            <w:tcW w:w="438" w:type="dxa"/>
            <w:vAlign w:val="center"/>
          </w:tcPr>
          <w:p w14:paraId="18EAA1F2">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w:t>
            </w:r>
          </w:p>
        </w:tc>
      </w:tr>
      <w:tr w14:paraId="3077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A1AA130">
            <w:pPr>
              <w:spacing w:line="264" w:lineRule="auto"/>
              <w:jc w:val="center"/>
              <w:rPr>
                <w:rFonts w:hint="eastAsia" w:ascii="宋体" w:hAnsi="宋体" w:eastAsia="宋体" w:cs="Times New Roman"/>
                <w:color w:val="auto"/>
                <w:kern w:val="0"/>
                <w:szCs w:val="21"/>
              </w:rPr>
            </w:pPr>
          </w:p>
        </w:tc>
        <w:tc>
          <w:tcPr>
            <w:tcW w:w="8093" w:type="dxa"/>
            <w:gridSpan w:val="5"/>
            <w:vAlign w:val="center"/>
          </w:tcPr>
          <w:p w14:paraId="5AA6892D">
            <w:pPr>
              <w:spacing w:line="269" w:lineRule="auto"/>
              <w:jc w:val="left"/>
              <w:rPr>
                <w:rFonts w:hint="eastAsia" w:ascii="宋体" w:hAnsi="宋体" w:eastAsia="宋体" w:cs="Times New Roman"/>
                <w:b/>
                <w:color w:val="auto"/>
                <w:kern w:val="0"/>
                <w:szCs w:val="21"/>
              </w:rPr>
            </w:pPr>
            <w:r>
              <w:rPr>
                <w:rFonts w:hint="eastAsia" w:ascii="宋体" w:hAnsi="宋体" w:eastAsia="宋体" w:cs="Times New Roman"/>
                <w:b/>
                <w:color w:val="auto"/>
                <w:kern w:val="0"/>
                <w:szCs w:val="21"/>
              </w:rPr>
              <w:t>课程思政目标：</w:t>
            </w:r>
          </w:p>
          <w:p w14:paraId="41E95BEA">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通过教学模式和教学方法的学习，明确在未来的教学中必须遵循马克思主义的立场、观点和方法，能够传承、灵活创新、大胆尝试新的教学方法。通过国内外主要教学的模式和方法的学习，拓展国际视野，树立民族自信心和自豪感。能够贴近实际、贴近生活、贴近学生，春风化雨。</w:t>
            </w:r>
          </w:p>
        </w:tc>
      </w:tr>
    </w:tbl>
    <w:tbl>
      <w:tblPr>
        <w:tblStyle w:val="2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3442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3FE1F6D">
            <w:pPr>
              <w:spacing w:line="264"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（九）教学手段</w:t>
            </w:r>
          </w:p>
        </w:tc>
        <w:tc>
          <w:tcPr>
            <w:tcW w:w="1701" w:type="dxa"/>
            <w:vAlign w:val="center"/>
          </w:tcPr>
          <w:p w14:paraId="47083A17">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（1）教学手段概述</w:t>
            </w:r>
          </w:p>
          <w:p w14:paraId="21A9659D">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（2）教学手段分类</w:t>
            </w:r>
          </w:p>
          <w:p w14:paraId="7AAC0908">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（3）教学手段的选择与应用</w:t>
            </w:r>
          </w:p>
          <w:p w14:paraId="34E35F4F">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（4）教学手段现代化对教学的影响</w:t>
            </w:r>
          </w:p>
        </w:tc>
        <w:tc>
          <w:tcPr>
            <w:tcW w:w="1134" w:type="dxa"/>
            <w:vAlign w:val="center"/>
          </w:tcPr>
          <w:p w14:paraId="11CC26A7">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课程目标1、3、4</w:t>
            </w:r>
          </w:p>
        </w:tc>
        <w:tc>
          <w:tcPr>
            <w:tcW w:w="3260" w:type="dxa"/>
            <w:vAlign w:val="center"/>
          </w:tcPr>
          <w:p w14:paraId="5FF39D0C">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（1）理解教学手段的概念，明了教学手段的不同分类</w:t>
            </w:r>
          </w:p>
          <w:p w14:paraId="1FDCC109">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（2）了解各种教学手段的特点及功能</w:t>
            </w:r>
          </w:p>
          <w:p w14:paraId="72E62A6B">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（3）掌握选用教学手段的基本原则</w:t>
            </w:r>
          </w:p>
          <w:p w14:paraId="02F634E6">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（4）理解教学手段现代化的内涵及其意义</w:t>
            </w:r>
          </w:p>
        </w:tc>
        <w:tc>
          <w:tcPr>
            <w:tcW w:w="1560" w:type="dxa"/>
            <w:vAlign w:val="center"/>
          </w:tcPr>
          <w:p w14:paraId="3A580FEE">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1.多媒体教学2.课堂讨论</w:t>
            </w:r>
          </w:p>
          <w:p w14:paraId="5F67F607">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3.课堂测验</w:t>
            </w:r>
          </w:p>
        </w:tc>
        <w:tc>
          <w:tcPr>
            <w:tcW w:w="438" w:type="dxa"/>
            <w:vAlign w:val="center"/>
          </w:tcPr>
          <w:p w14:paraId="32564FD9">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w:t>
            </w:r>
          </w:p>
        </w:tc>
      </w:tr>
      <w:tr w14:paraId="51A6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33FE117">
            <w:pPr>
              <w:spacing w:line="264" w:lineRule="auto"/>
              <w:jc w:val="center"/>
              <w:rPr>
                <w:rFonts w:hint="eastAsia" w:ascii="宋体" w:hAnsi="宋体" w:eastAsia="宋体" w:cs="Times New Roman"/>
                <w:color w:val="auto"/>
                <w:kern w:val="0"/>
                <w:szCs w:val="21"/>
              </w:rPr>
            </w:pPr>
          </w:p>
        </w:tc>
        <w:tc>
          <w:tcPr>
            <w:tcW w:w="8093" w:type="dxa"/>
            <w:gridSpan w:val="5"/>
            <w:vAlign w:val="center"/>
          </w:tcPr>
          <w:p w14:paraId="24AB108A">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通过教学手段现代化的学习，了解信息化、数字化时代背景下教师所应具备的数字素养、数字化教学手段，了解基本的教具，灵活运用现代化教学手段，提高教学技能，树立科学精神。</w:t>
            </w:r>
          </w:p>
        </w:tc>
      </w:tr>
    </w:tbl>
    <w:tbl>
      <w:tblPr>
        <w:tblStyle w:val="27"/>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167B1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32B386A">
            <w:pPr>
              <w:spacing w:line="264"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（十）教学组织形式</w:t>
            </w:r>
          </w:p>
        </w:tc>
        <w:tc>
          <w:tcPr>
            <w:tcW w:w="1701" w:type="dxa"/>
            <w:vAlign w:val="center"/>
          </w:tcPr>
          <w:p w14:paraId="5C202D72">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（1）教学组织形式概述</w:t>
            </w:r>
          </w:p>
          <w:p w14:paraId="597C60D4">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（2）常见的教学组织形式</w:t>
            </w:r>
          </w:p>
          <w:p w14:paraId="139B8CDF">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（3）教学组织形式的制约因素</w:t>
            </w:r>
          </w:p>
          <w:p w14:paraId="5177F10C">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（4）教学工作的基本环节</w:t>
            </w:r>
          </w:p>
        </w:tc>
        <w:tc>
          <w:tcPr>
            <w:tcW w:w="1134" w:type="dxa"/>
            <w:vAlign w:val="center"/>
          </w:tcPr>
          <w:p w14:paraId="01672F62">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课程目标1、3、4</w:t>
            </w:r>
          </w:p>
        </w:tc>
        <w:tc>
          <w:tcPr>
            <w:tcW w:w="3260" w:type="dxa"/>
            <w:vAlign w:val="center"/>
          </w:tcPr>
          <w:p w14:paraId="6E9163CB">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（1）明确教学组织形式的内涵、意义和历史演变</w:t>
            </w:r>
          </w:p>
          <w:p w14:paraId="5AAE4E7E">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（2）熟悉常见的教学组织形式</w:t>
            </w:r>
          </w:p>
          <w:p w14:paraId="6C0624CB">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（3）全面认识班级授课制</w:t>
            </w:r>
          </w:p>
          <w:p w14:paraId="42BE649A">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（4）掌握教学工作的基本程序</w:t>
            </w:r>
          </w:p>
        </w:tc>
        <w:tc>
          <w:tcPr>
            <w:tcW w:w="1560" w:type="dxa"/>
            <w:vAlign w:val="center"/>
          </w:tcPr>
          <w:p w14:paraId="1D262E4E">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1.多媒体教学2.课堂讨论</w:t>
            </w:r>
          </w:p>
          <w:p w14:paraId="5CCB2F51">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3.课堂测验</w:t>
            </w:r>
          </w:p>
        </w:tc>
        <w:tc>
          <w:tcPr>
            <w:tcW w:w="438" w:type="dxa"/>
            <w:vAlign w:val="center"/>
          </w:tcPr>
          <w:p w14:paraId="79E30D1D">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w:t>
            </w:r>
          </w:p>
        </w:tc>
      </w:tr>
      <w:tr w14:paraId="725C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B4D26DC">
            <w:pPr>
              <w:spacing w:line="264" w:lineRule="auto"/>
              <w:jc w:val="center"/>
              <w:rPr>
                <w:rFonts w:hint="eastAsia" w:ascii="宋体" w:hAnsi="宋体" w:eastAsia="宋体" w:cs="Times New Roman"/>
                <w:color w:val="auto"/>
                <w:kern w:val="0"/>
                <w:szCs w:val="21"/>
              </w:rPr>
            </w:pPr>
          </w:p>
        </w:tc>
        <w:tc>
          <w:tcPr>
            <w:tcW w:w="8093" w:type="dxa"/>
            <w:gridSpan w:val="5"/>
            <w:vAlign w:val="center"/>
          </w:tcPr>
          <w:p w14:paraId="29D8846A">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明确中小学教育改革发展的以学生发展为本的理念，以立德树人为己任，贯彻党的教育方针、自觉践行社会主义核心价值观。把握教育的本质在于培养人，深刻理解习近平曾多次论述的教育要“培养什么人、怎样培养人、为谁培养人”的问题。</w:t>
            </w:r>
          </w:p>
        </w:tc>
      </w:tr>
    </w:tbl>
    <w:tbl>
      <w:tblPr>
        <w:tblStyle w:val="2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79AC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5F4F9E3">
            <w:pPr>
              <w:spacing w:line="264"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（十一）教学评价</w:t>
            </w:r>
          </w:p>
        </w:tc>
        <w:tc>
          <w:tcPr>
            <w:tcW w:w="1701" w:type="dxa"/>
            <w:vAlign w:val="center"/>
          </w:tcPr>
          <w:p w14:paraId="02235867">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（1）教学评价概述</w:t>
            </w:r>
          </w:p>
          <w:p w14:paraId="21032037">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（2）教师课堂教学效果评价</w:t>
            </w:r>
          </w:p>
          <w:p w14:paraId="0FF7ABB0">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（3）学生课堂学习效果评价</w:t>
            </w:r>
          </w:p>
          <w:p w14:paraId="2B8230EB">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（4）当代教学评价的新特点</w:t>
            </w:r>
          </w:p>
        </w:tc>
        <w:tc>
          <w:tcPr>
            <w:tcW w:w="1134" w:type="dxa"/>
            <w:vAlign w:val="center"/>
          </w:tcPr>
          <w:p w14:paraId="3C9B60C4">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课程目标1、2、3、4</w:t>
            </w:r>
          </w:p>
        </w:tc>
        <w:tc>
          <w:tcPr>
            <w:tcW w:w="3260" w:type="dxa"/>
            <w:vAlign w:val="center"/>
          </w:tcPr>
          <w:p w14:paraId="2FDC1E4A">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（1）了解教学评价的内容</w:t>
            </w:r>
          </w:p>
          <w:p w14:paraId="2A82C39E">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（2）掌握有关教学评价的策略与方法</w:t>
            </w:r>
          </w:p>
          <w:p w14:paraId="759749DB">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（3）反思我国教学评价存在的问题</w:t>
            </w:r>
          </w:p>
        </w:tc>
        <w:tc>
          <w:tcPr>
            <w:tcW w:w="1560" w:type="dxa"/>
            <w:vAlign w:val="center"/>
          </w:tcPr>
          <w:p w14:paraId="47F93F02">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1.多媒体教学2.课堂讨论</w:t>
            </w:r>
          </w:p>
          <w:p w14:paraId="3FF311A8">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3.课堂测验</w:t>
            </w:r>
          </w:p>
        </w:tc>
        <w:tc>
          <w:tcPr>
            <w:tcW w:w="438" w:type="dxa"/>
            <w:vAlign w:val="center"/>
          </w:tcPr>
          <w:p w14:paraId="6AF94361">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w:t>
            </w:r>
          </w:p>
        </w:tc>
      </w:tr>
      <w:tr w14:paraId="575D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81A8969">
            <w:pPr>
              <w:spacing w:line="264" w:lineRule="auto"/>
              <w:jc w:val="center"/>
              <w:rPr>
                <w:rFonts w:hint="eastAsia" w:ascii="宋体" w:hAnsi="宋体" w:eastAsia="宋体" w:cs="Times New Roman"/>
                <w:color w:val="auto"/>
                <w:kern w:val="0"/>
                <w:szCs w:val="21"/>
              </w:rPr>
            </w:pPr>
          </w:p>
        </w:tc>
        <w:tc>
          <w:tcPr>
            <w:tcW w:w="8093" w:type="dxa"/>
            <w:gridSpan w:val="5"/>
            <w:vAlign w:val="center"/>
          </w:tcPr>
          <w:p w14:paraId="7D1630DF">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通过教学评价的学习，懂得必须尊重每一个学生个性发展的完整性、独立性、具体性和特殊性，树立正确的儿童观，把关爱自然、追求人与自然的可持续发展作为价值追求。</w:t>
            </w:r>
          </w:p>
        </w:tc>
      </w:tr>
    </w:tbl>
    <w:tbl>
      <w:tblPr>
        <w:tblStyle w:val="29"/>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2DEA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4FD922E">
            <w:pPr>
              <w:spacing w:line="264"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（十二）教学设计与教学实践</w:t>
            </w:r>
          </w:p>
        </w:tc>
        <w:tc>
          <w:tcPr>
            <w:tcW w:w="1701" w:type="dxa"/>
            <w:vAlign w:val="center"/>
          </w:tcPr>
          <w:p w14:paraId="4EDDD091">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（1）教学设计概述</w:t>
            </w:r>
          </w:p>
          <w:p w14:paraId="2E972D0F">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（2）教学设计的模式</w:t>
            </w:r>
          </w:p>
          <w:p w14:paraId="78A85EE1">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（3）教学设计的基本内容和方法</w:t>
            </w:r>
          </w:p>
        </w:tc>
        <w:tc>
          <w:tcPr>
            <w:tcW w:w="1134" w:type="dxa"/>
            <w:vAlign w:val="center"/>
          </w:tcPr>
          <w:p w14:paraId="6E4CD40C">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课程目标1、3、4</w:t>
            </w:r>
          </w:p>
        </w:tc>
        <w:tc>
          <w:tcPr>
            <w:tcW w:w="3260" w:type="dxa"/>
            <w:vAlign w:val="center"/>
          </w:tcPr>
          <w:p w14:paraId="146FC95F">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（1）明确教学设计的内涵、特征及依据</w:t>
            </w:r>
          </w:p>
          <w:p w14:paraId="1F8D027A">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（2）熟悉教学设计的程序和模式</w:t>
            </w:r>
          </w:p>
          <w:p w14:paraId="7FA4C84D">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（3）掌握教学设计的基本内容和方法</w:t>
            </w:r>
          </w:p>
        </w:tc>
        <w:tc>
          <w:tcPr>
            <w:tcW w:w="1560" w:type="dxa"/>
            <w:vAlign w:val="center"/>
          </w:tcPr>
          <w:p w14:paraId="6FA524D6">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1.多媒体教学2.课堂讨论</w:t>
            </w:r>
          </w:p>
          <w:p w14:paraId="2D83111E">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3.课堂测验</w:t>
            </w:r>
          </w:p>
        </w:tc>
        <w:tc>
          <w:tcPr>
            <w:tcW w:w="438" w:type="dxa"/>
            <w:vAlign w:val="center"/>
          </w:tcPr>
          <w:p w14:paraId="18346A9E">
            <w:pPr>
              <w:spacing w:line="269"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w:t>
            </w:r>
          </w:p>
        </w:tc>
      </w:tr>
      <w:tr w14:paraId="73B3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73F5ADA">
            <w:pPr>
              <w:spacing w:line="264" w:lineRule="auto"/>
              <w:jc w:val="center"/>
              <w:rPr>
                <w:rFonts w:hint="eastAsia" w:ascii="宋体" w:hAnsi="宋体" w:eastAsia="宋体" w:cs="Times New Roman"/>
                <w:color w:val="auto"/>
                <w:kern w:val="0"/>
                <w:szCs w:val="21"/>
              </w:rPr>
            </w:pPr>
          </w:p>
        </w:tc>
        <w:tc>
          <w:tcPr>
            <w:tcW w:w="8093" w:type="dxa"/>
            <w:gridSpan w:val="5"/>
            <w:vAlign w:val="center"/>
          </w:tcPr>
          <w:p w14:paraId="448D16E4">
            <w:pPr>
              <w:spacing w:line="269"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通过教学设计的学习，掌握知识和提高思想觉悟相统一、掌握知识和提高能力相统一的规律，能够坚持市场需求导向，紧扣新版课程标准，提高思想政治觉悟，进而提高课堂教学质量和“育人”效果。</w:t>
            </w:r>
          </w:p>
        </w:tc>
      </w:tr>
    </w:tbl>
    <w:p w14:paraId="4176EFCA">
      <w:pPr>
        <w:keepNext w:val="0"/>
        <w:keepLines w:val="0"/>
        <w:pageBreakBefore w:val="0"/>
        <w:widowControl w:val="0"/>
        <w:kinsoku/>
        <w:wordWrap/>
        <w:overflowPunct/>
        <w:topLinePunct w:val="0"/>
        <w:autoSpaceDE/>
        <w:autoSpaceDN/>
        <w:bidi w:val="0"/>
        <w:adjustRightInd w:val="0"/>
        <w:snapToGrid w:val="0"/>
        <w:spacing w:before="63" w:beforeLines="20" w:after="63" w:afterLines="20" w:line="360" w:lineRule="auto"/>
        <w:textAlignment w:val="auto"/>
        <w:rPr>
          <w:rFonts w:hint="eastAsia" w:ascii="宋体" w:hAnsi="宋体" w:eastAsia="宋体"/>
          <w:b/>
          <w:color w:val="auto"/>
          <w:sz w:val="24"/>
          <w:szCs w:val="28"/>
        </w:rPr>
      </w:pPr>
      <w:r>
        <w:rPr>
          <w:rFonts w:hint="eastAsia" w:ascii="宋体" w:hAnsi="宋体" w:eastAsia="宋体"/>
          <w:b/>
          <w:color w:val="auto"/>
          <w:sz w:val="24"/>
          <w:szCs w:val="28"/>
        </w:rPr>
        <w:t>四、目标评价与成绩评定</w:t>
      </w:r>
    </w:p>
    <w:p w14:paraId="0AD9F2C0">
      <w:pPr>
        <w:spacing w:line="360" w:lineRule="auto"/>
        <w:jc w:val="left"/>
        <w:rPr>
          <w:rFonts w:hint="eastAsia" w:cs="Times New Roman" w:asciiTheme="minorEastAsia" w:hAnsiTheme="minorEastAsia"/>
          <w:b/>
          <w:color w:val="auto"/>
          <w:szCs w:val="21"/>
        </w:rPr>
      </w:pPr>
      <w:r>
        <w:rPr>
          <w:rFonts w:hint="eastAsia" w:cs="Times New Roman" w:asciiTheme="minorEastAsia" w:hAnsiTheme="minorEastAsia"/>
          <w:b/>
          <w:color w:val="auto"/>
          <w:szCs w:val="21"/>
        </w:rPr>
        <w:t>（一）课程目标评价方式</w:t>
      </w:r>
    </w:p>
    <w:p w14:paraId="66426579">
      <w:pPr>
        <w:spacing w:line="360" w:lineRule="auto"/>
        <w:ind w:firstLine="420" w:firstLineChars="200"/>
        <w:jc w:val="left"/>
        <w:rPr>
          <w:rFonts w:hint="eastAsia" w:cs="Times New Roman" w:asciiTheme="minorEastAsia" w:hAnsiTheme="minorEastAsia"/>
          <w:color w:val="auto"/>
          <w:szCs w:val="21"/>
        </w:rPr>
      </w:pPr>
      <w:r>
        <w:rPr>
          <w:rFonts w:hint="eastAsia" w:cs="Times New Roman" w:asciiTheme="minorEastAsia" w:hAnsiTheme="minorEastAsia"/>
          <w:color w:val="auto"/>
          <w:szCs w:val="21"/>
        </w:rPr>
        <w:t>根据总体设计，用于评价各课程目标的评价方式</w:t>
      </w:r>
      <w:r>
        <w:rPr>
          <w:rFonts w:hint="eastAsia" w:cs="Times New Roman" w:asciiTheme="minorEastAsia" w:hAnsiTheme="minorEastAsia"/>
          <w:color w:val="auto"/>
          <w:szCs w:val="21"/>
          <w:lang w:eastAsia="zh-CN"/>
        </w:rPr>
        <w:t>如下表所示</w:t>
      </w:r>
      <w:r>
        <w:rPr>
          <w:rFonts w:cs="Times New Roman" w:asciiTheme="minorEastAsia" w:hAnsiTheme="minorEastAsia"/>
          <w:color w:val="auto"/>
          <w:szCs w:val="21"/>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418"/>
        <w:gridCol w:w="1417"/>
        <w:gridCol w:w="1417"/>
        <w:gridCol w:w="1419"/>
        <w:gridCol w:w="1275"/>
      </w:tblGrid>
      <w:tr w14:paraId="4A7E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14:paraId="39BCB022">
            <w:pPr>
              <w:spacing w:line="360"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课程目标</w:t>
            </w:r>
          </w:p>
        </w:tc>
        <w:tc>
          <w:tcPr>
            <w:tcW w:w="5671" w:type="dxa"/>
            <w:gridSpan w:val="4"/>
          </w:tcPr>
          <w:p w14:paraId="0D8CE41F">
            <w:pPr>
              <w:spacing w:line="360"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评价与成绩评定方法</w:t>
            </w:r>
          </w:p>
        </w:tc>
        <w:tc>
          <w:tcPr>
            <w:tcW w:w="1275" w:type="dxa"/>
            <w:vMerge w:val="restart"/>
            <w:vAlign w:val="center"/>
          </w:tcPr>
          <w:p w14:paraId="711840E4">
            <w:pPr>
              <w:spacing w:line="360"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分值</w:t>
            </w:r>
          </w:p>
        </w:tc>
      </w:tr>
      <w:tr w14:paraId="06A7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6CD77AEE">
            <w:pPr>
              <w:spacing w:line="360" w:lineRule="auto"/>
              <w:jc w:val="center"/>
              <w:rPr>
                <w:rFonts w:hint="eastAsia" w:ascii="宋体" w:hAnsi="宋体" w:eastAsia="宋体" w:cs="Times New Roman"/>
                <w:color w:val="auto"/>
                <w:szCs w:val="21"/>
              </w:rPr>
            </w:pPr>
          </w:p>
        </w:tc>
        <w:tc>
          <w:tcPr>
            <w:tcW w:w="1418" w:type="dxa"/>
            <w:vAlign w:val="center"/>
          </w:tcPr>
          <w:p w14:paraId="2193E9B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1417" w:type="dxa"/>
          </w:tcPr>
          <w:p w14:paraId="4279984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1417" w:type="dxa"/>
            <w:vAlign w:val="center"/>
          </w:tcPr>
          <w:p w14:paraId="4DD489C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课程实践</w:t>
            </w:r>
          </w:p>
        </w:tc>
        <w:tc>
          <w:tcPr>
            <w:tcW w:w="1419" w:type="dxa"/>
            <w:vAlign w:val="center"/>
          </w:tcPr>
          <w:p w14:paraId="6DB58B6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1275" w:type="dxa"/>
            <w:vMerge w:val="continue"/>
            <w:vAlign w:val="center"/>
          </w:tcPr>
          <w:p w14:paraId="68B1C389">
            <w:pPr>
              <w:spacing w:line="360" w:lineRule="auto"/>
              <w:jc w:val="center"/>
              <w:rPr>
                <w:rFonts w:hint="eastAsia" w:ascii="宋体" w:hAnsi="宋体" w:eastAsia="宋体" w:cs="Times New Roman"/>
                <w:color w:val="auto"/>
                <w:szCs w:val="21"/>
              </w:rPr>
            </w:pPr>
          </w:p>
        </w:tc>
      </w:tr>
      <w:tr w14:paraId="64E6D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5A2D739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418" w:type="dxa"/>
            <w:vAlign w:val="center"/>
          </w:tcPr>
          <w:p w14:paraId="1CB7F81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17" w:type="dxa"/>
          </w:tcPr>
          <w:p w14:paraId="58B65A5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17" w:type="dxa"/>
            <w:vAlign w:val="center"/>
          </w:tcPr>
          <w:p w14:paraId="66B45B00">
            <w:pPr>
              <w:spacing w:line="360" w:lineRule="auto"/>
              <w:jc w:val="center"/>
              <w:rPr>
                <w:rFonts w:hint="eastAsia" w:ascii="宋体" w:hAnsi="宋体" w:eastAsia="宋体" w:cs="Times New Roman"/>
                <w:color w:val="auto"/>
                <w:szCs w:val="21"/>
              </w:rPr>
            </w:pPr>
          </w:p>
        </w:tc>
        <w:tc>
          <w:tcPr>
            <w:tcW w:w="1419" w:type="dxa"/>
            <w:vAlign w:val="center"/>
          </w:tcPr>
          <w:p w14:paraId="3013ECF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75" w:type="dxa"/>
            <w:vAlign w:val="center"/>
          </w:tcPr>
          <w:p w14:paraId="07766AA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3318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0712FAF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418" w:type="dxa"/>
            <w:vAlign w:val="center"/>
          </w:tcPr>
          <w:p w14:paraId="7E322C84">
            <w:pPr>
              <w:spacing w:line="360" w:lineRule="auto"/>
              <w:jc w:val="center"/>
              <w:rPr>
                <w:rFonts w:hint="eastAsia" w:ascii="宋体" w:hAnsi="宋体" w:eastAsia="宋体" w:cs="Times New Roman"/>
                <w:color w:val="auto"/>
                <w:szCs w:val="21"/>
              </w:rPr>
            </w:pPr>
          </w:p>
        </w:tc>
        <w:tc>
          <w:tcPr>
            <w:tcW w:w="1417" w:type="dxa"/>
          </w:tcPr>
          <w:p w14:paraId="65E2C7E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17" w:type="dxa"/>
            <w:vAlign w:val="center"/>
          </w:tcPr>
          <w:p w14:paraId="481BBDD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19" w:type="dxa"/>
            <w:vAlign w:val="center"/>
          </w:tcPr>
          <w:p w14:paraId="6B4DA6A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75" w:type="dxa"/>
            <w:vAlign w:val="center"/>
          </w:tcPr>
          <w:p w14:paraId="1D00646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4AEC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5E25B69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1418" w:type="dxa"/>
            <w:vAlign w:val="center"/>
          </w:tcPr>
          <w:p w14:paraId="67DAE4AB">
            <w:pPr>
              <w:spacing w:line="360" w:lineRule="auto"/>
              <w:jc w:val="center"/>
              <w:rPr>
                <w:rFonts w:hint="eastAsia" w:ascii="宋体" w:hAnsi="宋体" w:eastAsia="宋体" w:cs="Times New Roman"/>
                <w:color w:val="auto"/>
                <w:szCs w:val="21"/>
              </w:rPr>
            </w:pPr>
          </w:p>
        </w:tc>
        <w:tc>
          <w:tcPr>
            <w:tcW w:w="1417" w:type="dxa"/>
          </w:tcPr>
          <w:p w14:paraId="5383733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17" w:type="dxa"/>
            <w:vAlign w:val="center"/>
          </w:tcPr>
          <w:p w14:paraId="74E747C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19" w:type="dxa"/>
            <w:vAlign w:val="center"/>
          </w:tcPr>
          <w:p w14:paraId="67B8F4A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75" w:type="dxa"/>
            <w:vAlign w:val="center"/>
          </w:tcPr>
          <w:p w14:paraId="3D8FA65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4F4E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7974820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课程目标4</w:t>
            </w:r>
          </w:p>
        </w:tc>
        <w:tc>
          <w:tcPr>
            <w:tcW w:w="1418" w:type="dxa"/>
            <w:vAlign w:val="center"/>
          </w:tcPr>
          <w:p w14:paraId="05AD3272">
            <w:pPr>
              <w:spacing w:line="360" w:lineRule="auto"/>
              <w:jc w:val="center"/>
              <w:rPr>
                <w:rFonts w:hint="eastAsia" w:ascii="宋体" w:hAnsi="宋体" w:eastAsia="宋体" w:cs="Times New Roman"/>
                <w:color w:val="auto"/>
                <w:szCs w:val="21"/>
              </w:rPr>
            </w:pPr>
          </w:p>
        </w:tc>
        <w:tc>
          <w:tcPr>
            <w:tcW w:w="1417" w:type="dxa"/>
          </w:tcPr>
          <w:p w14:paraId="6074E21B">
            <w:pPr>
              <w:spacing w:line="360" w:lineRule="auto"/>
              <w:jc w:val="center"/>
              <w:rPr>
                <w:rFonts w:hint="eastAsia" w:ascii="宋体" w:hAnsi="宋体" w:eastAsia="宋体" w:cs="Times New Roman"/>
                <w:color w:val="auto"/>
                <w:szCs w:val="21"/>
              </w:rPr>
            </w:pPr>
          </w:p>
        </w:tc>
        <w:tc>
          <w:tcPr>
            <w:tcW w:w="1417" w:type="dxa"/>
            <w:vAlign w:val="center"/>
          </w:tcPr>
          <w:p w14:paraId="7F13037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19" w:type="dxa"/>
            <w:vAlign w:val="center"/>
          </w:tcPr>
          <w:p w14:paraId="1778EE62">
            <w:pPr>
              <w:spacing w:line="360" w:lineRule="auto"/>
              <w:jc w:val="center"/>
              <w:rPr>
                <w:rFonts w:hint="eastAsia" w:ascii="宋体" w:hAnsi="宋体" w:eastAsia="宋体" w:cs="Times New Roman"/>
                <w:color w:val="auto"/>
                <w:szCs w:val="21"/>
              </w:rPr>
            </w:pPr>
          </w:p>
        </w:tc>
        <w:tc>
          <w:tcPr>
            <w:tcW w:w="1275" w:type="dxa"/>
            <w:vAlign w:val="center"/>
          </w:tcPr>
          <w:p w14:paraId="155DECB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w:t>
            </w:r>
          </w:p>
        </w:tc>
      </w:tr>
      <w:tr w14:paraId="6040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1BC420E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418" w:type="dxa"/>
            <w:vAlign w:val="center"/>
          </w:tcPr>
          <w:p w14:paraId="4E302E1D">
            <w:pPr>
              <w:spacing w:line="360" w:lineRule="auto"/>
              <w:jc w:val="center"/>
              <w:rPr>
                <w:rFonts w:hint="eastAsia" w:ascii="宋体" w:hAnsi="宋体" w:eastAsia="宋体" w:cs="Times New Roman"/>
                <w:color w:val="auto"/>
                <w:szCs w:val="21"/>
              </w:rPr>
            </w:pPr>
          </w:p>
        </w:tc>
        <w:tc>
          <w:tcPr>
            <w:tcW w:w="1417" w:type="dxa"/>
          </w:tcPr>
          <w:p w14:paraId="2965FEB4">
            <w:pPr>
              <w:spacing w:line="360" w:lineRule="auto"/>
              <w:jc w:val="center"/>
              <w:rPr>
                <w:rFonts w:hint="eastAsia" w:ascii="宋体" w:hAnsi="宋体" w:eastAsia="宋体" w:cs="Times New Roman"/>
                <w:color w:val="auto"/>
                <w:szCs w:val="21"/>
              </w:rPr>
            </w:pPr>
          </w:p>
        </w:tc>
        <w:tc>
          <w:tcPr>
            <w:tcW w:w="1417" w:type="dxa"/>
            <w:vAlign w:val="center"/>
          </w:tcPr>
          <w:p w14:paraId="48E91602">
            <w:pPr>
              <w:spacing w:line="360" w:lineRule="auto"/>
              <w:jc w:val="center"/>
              <w:rPr>
                <w:rFonts w:hint="eastAsia" w:ascii="宋体" w:hAnsi="宋体" w:eastAsia="宋体" w:cs="Times New Roman"/>
                <w:color w:val="auto"/>
                <w:szCs w:val="21"/>
              </w:rPr>
            </w:pPr>
          </w:p>
        </w:tc>
        <w:tc>
          <w:tcPr>
            <w:tcW w:w="1419" w:type="dxa"/>
            <w:vAlign w:val="center"/>
          </w:tcPr>
          <w:p w14:paraId="30FE23AB">
            <w:pPr>
              <w:spacing w:line="360" w:lineRule="auto"/>
              <w:jc w:val="center"/>
              <w:rPr>
                <w:rFonts w:hint="eastAsia" w:ascii="宋体" w:hAnsi="宋体" w:eastAsia="宋体" w:cs="Times New Roman"/>
                <w:color w:val="auto"/>
                <w:szCs w:val="21"/>
              </w:rPr>
            </w:pPr>
          </w:p>
        </w:tc>
        <w:tc>
          <w:tcPr>
            <w:tcW w:w="1275" w:type="dxa"/>
            <w:vAlign w:val="center"/>
          </w:tcPr>
          <w:p w14:paraId="20AB21E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1FA47800">
      <w:pPr>
        <w:spacing w:before="156" w:beforeLines="50"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039C67A7">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1999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8B6688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48D5D13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4DC8560B">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6CD1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845C13C">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7141" w:type="dxa"/>
            <w:vAlign w:val="center"/>
          </w:tcPr>
          <w:p w14:paraId="6712FF80">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有两种形式可供选择，一种是专业图书推介，要求列举出课程与教学论相关书籍的基本信息，数量不少于15本。另一种是分享专业知识点。基于书本，鼓励有所拓展延伸或细化深化。为日后考证考编考研等做好储备。</w:t>
            </w:r>
          </w:p>
        </w:tc>
        <w:tc>
          <w:tcPr>
            <w:tcW w:w="0" w:type="auto"/>
            <w:vAlign w:val="center"/>
          </w:tcPr>
          <w:p w14:paraId="5EE0B02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16%</w:t>
            </w:r>
          </w:p>
        </w:tc>
      </w:tr>
      <w:tr w14:paraId="1BA9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D3DC82F">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7141" w:type="dxa"/>
            <w:vAlign w:val="center"/>
          </w:tcPr>
          <w:p w14:paraId="5635995A">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包括两部分：一是考勤。事假、病假每次扣除本项总分的十分之一的分数。旷课累计达3次以上（不含3次）取消课程成绩。</w:t>
            </w:r>
          </w:p>
          <w:p w14:paraId="6148E936">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二是课堂参与。主要指课上教师随机提问、组织课堂讨论等，观察学生参与程度，表现良好，按照对应的课程目标及权重给予评定。</w:t>
            </w:r>
          </w:p>
        </w:tc>
        <w:tc>
          <w:tcPr>
            <w:tcW w:w="0" w:type="auto"/>
            <w:vAlign w:val="center"/>
          </w:tcPr>
          <w:p w14:paraId="45279C7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p>
        </w:tc>
      </w:tr>
      <w:tr w14:paraId="0DFB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C4A26FD">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课程实践</w:t>
            </w:r>
          </w:p>
        </w:tc>
        <w:tc>
          <w:tcPr>
            <w:tcW w:w="7141" w:type="dxa"/>
            <w:vAlign w:val="center"/>
          </w:tcPr>
          <w:p w14:paraId="23C6A41C">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课程实践是围绕学习主题所作的实践练习， 一是根据所提供的材料来评析学段/学科的教学目标；二是根据提供的课例材料来评析某教师所使用的教学方法。</w:t>
            </w:r>
          </w:p>
        </w:tc>
        <w:tc>
          <w:tcPr>
            <w:tcW w:w="0" w:type="auto"/>
            <w:vAlign w:val="center"/>
          </w:tcPr>
          <w:p w14:paraId="169284B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w:t>
            </w:r>
          </w:p>
        </w:tc>
      </w:tr>
      <w:tr w14:paraId="043F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434D606">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7141" w:type="dxa"/>
            <w:vAlign w:val="center"/>
          </w:tcPr>
          <w:p w14:paraId="2A03A9DA">
            <w:pPr>
              <w:spacing w:line="264" w:lineRule="auto"/>
              <w:jc w:val="left"/>
              <w:rPr>
                <w:rFonts w:ascii="Times New Roman" w:hAnsi="Times New Roman" w:eastAsia="宋体" w:cs="Times New Roman"/>
                <w:color w:val="auto"/>
                <w:szCs w:val="21"/>
              </w:rPr>
            </w:pPr>
            <w:r>
              <w:rPr>
                <w:rFonts w:hint="eastAsia" w:ascii="宋体" w:hAnsi="宋体" w:eastAsia="宋体" w:cs="Times New Roman"/>
                <w:color w:val="auto"/>
                <w:szCs w:val="21"/>
              </w:rPr>
              <w:t>考试采用开卷形式，试卷题型参考教师资格证考试的常见题型，并以主观题为主，侧重训练学生理论结合实际、分析问题解决问题的能力。</w:t>
            </w:r>
          </w:p>
        </w:tc>
        <w:tc>
          <w:tcPr>
            <w:tcW w:w="0" w:type="auto"/>
            <w:vAlign w:val="center"/>
          </w:tcPr>
          <w:p w14:paraId="6997EBD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60%</w:t>
            </w:r>
          </w:p>
        </w:tc>
      </w:tr>
      <w:tr w14:paraId="5392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634E052">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合计</w:t>
            </w:r>
          </w:p>
        </w:tc>
        <w:tc>
          <w:tcPr>
            <w:tcW w:w="7141" w:type="dxa"/>
            <w:vAlign w:val="center"/>
          </w:tcPr>
          <w:p w14:paraId="358E5AA5">
            <w:pPr>
              <w:spacing w:line="264" w:lineRule="auto"/>
              <w:jc w:val="left"/>
              <w:rPr>
                <w:rFonts w:hint="eastAsia" w:ascii="宋体" w:hAnsi="宋体" w:eastAsia="宋体" w:cs="Times New Roman"/>
                <w:color w:val="auto"/>
                <w:szCs w:val="21"/>
              </w:rPr>
            </w:pPr>
          </w:p>
        </w:tc>
        <w:tc>
          <w:tcPr>
            <w:tcW w:w="0" w:type="auto"/>
            <w:vAlign w:val="center"/>
          </w:tcPr>
          <w:p w14:paraId="31382FE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366F36D5">
      <w:pPr>
        <w:spacing w:line="360" w:lineRule="auto"/>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63975D4C">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40E3173C">
      <w:pPr>
        <w:spacing w:before="156" w:beforeLines="50" w:line="360" w:lineRule="auto"/>
        <w:jc w:val="left"/>
        <w:rPr>
          <w:rFonts w:hint="eastAsia" w:ascii="宋体" w:hAnsi="宋体" w:eastAsia="宋体" w:cs="Times New Roman"/>
          <w:color w:val="auto"/>
          <w:szCs w:val="21"/>
        </w:rPr>
      </w:pPr>
      <w:r>
        <w:rPr>
          <w:rFonts w:ascii="宋体" w:hAnsi="宋体" w:eastAsia="宋体" w:cs="Times New Roman"/>
          <w:color w:val="auto"/>
          <w:szCs w:val="21"/>
        </w:rPr>
        <w:object>
          <v:shape id="_x0000_i1042"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42" DrawAspect="Content" ObjectID="_1468075741" r:id="rId28">
            <o:LockedField>false</o:LockedField>
          </o:OLEObject>
        </w:object>
      </w:r>
    </w:p>
    <w:p w14:paraId="70412BAC">
      <w:pPr>
        <w:spacing w:before="156" w:beforeLines="50" w:line="360" w:lineRule="auto"/>
        <w:jc w:val="left"/>
        <w:rPr>
          <w:rFonts w:ascii="Times New Roman" w:hAnsi="Times New Roman" w:eastAsia="宋体" w:cs="Times New Roman"/>
          <w:b/>
          <w:color w:val="auto"/>
          <w:szCs w:val="21"/>
        </w:rPr>
      </w:pPr>
      <w:r>
        <w:rPr>
          <w:rFonts w:hint="eastAsia" w:ascii="宋体" w:hAnsi="宋体" w:eastAsia="宋体"/>
          <w:b/>
          <w:color w:val="auto"/>
          <w:sz w:val="24"/>
          <w:szCs w:val="28"/>
        </w:rPr>
        <w:t>五、课程实践（</w:t>
      </w:r>
      <w:r>
        <w:rPr>
          <w:rFonts w:hint="eastAsia" w:ascii="Times New Roman" w:hAnsi="Times New Roman" w:eastAsia="宋体" w:cs="Times New Roman"/>
          <w:bCs/>
          <w:color w:val="auto"/>
          <w:szCs w:val="21"/>
        </w:rPr>
        <w:t>利用第二课堂，不占总学时）</w:t>
      </w:r>
    </w:p>
    <w:p w14:paraId="0F356145">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本课程在系统教学的基础上，以学生为主题，整合各类教育资源，科学设计实践活动，丰富教育教学形式，提升教育教学效果，从而实现思政育人。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534"/>
        <w:gridCol w:w="802"/>
        <w:gridCol w:w="2971"/>
      </w:tblGrid>
      <w:tr w14:paraId="4150A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16E9EC84">
            <w:pPr>
              <w:spacing w:line="240" w:lineRule="exact"/>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活动主题</w:t>
            </w:r>
          </w:p>
        </w:tc>
        <w:tc>
          <w:tcPr>
            <w:tcW w:w="3534" w:type="dxa"/>
            <w:vAlign w:val="center"/>
          </w:tcPr>
          <w:p w14:paraId="27233C14">
            <w:pPr>
              <w:spacing w:line="240" w:lineRule="exact"/>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活动内容</w:t>
            </w:r>
          </w:p>
        </w:tc>
        <w:tc>
          <w:tcPr>
            <w:tcW w:w="802" w:type="dxa"/>
            <w:vAlign w:val="center"/>
          </w:tcPr>
          <w:p w14:paraId="0DC4809E">
            <w:pPr>
              <w:spacing w:line="240" w:lineRule="exact"/>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活动方式</w:t>
            </w:r>
          </w:p>
        </w:tc>
        <w:tc>
          <w:tcPr>
            <w:tcW w:w="2971" w:type="dxa"/>
            <w:vAlign w:val="center"/>
          </w:tcPr>
          <w:p w14:paraId="4686ED76">
            <w:pPr>
              <w:spacing w:line="240" w:lineRule="exact"/>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思政目标</w:t>
            </w:r>
          </w:p>
        </w:tc>
      </w:tr>
      <w:tr w14:paraId="3FB3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12" w:type="dxa"/>
            <w:vAlign w:val="center"/>
          </w:tcPr>
          <w:p w14:paraId="3263BC0D">
            <w:pPr>
              <w:spacing w:line="276"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教育家</w:t>
            </w:r>
          </w:p>
          <w:p w14:paraId="4F15FA61">
            <w:pPr>
              <w:spacing w:line="276"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精神</w:t>
            </w:r>
          </w:p>
        </w:tc>
        <w:tc>
          <w:tcPr>
            <w:tcW w:w="3534" w:type="dxa"/>
            <w:vAlign w:val="center"/>
          </w:tcPr>
          <w:p w14:paraId="1933420B">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通过阅读相关书籍或分享中国教育家的故事，进行课堂主题讨论，引导学生领会教育家精神</w:t>
            </w:r>
          </w:p>
        </w:tc>
        <w:tc>
          <w:tcPr>
            <w:tcW w:w="802" w:type="dxa"/>
            <w:vAlign w:val="center"/>
          </w:tcPr>
          <w:p w14:paraId="5E795B90">
            <w:pPr>
              <w:spacing w:line="276"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平时作业</w:t>
            </w:r>
          </w:p>
        </w:tc>
        <w:tc>
          <w:tcPr>
            <w:tcW w:w="2971" w:type="dxa"/>
            <w:vAlign w:val="center"/>
          </w:tcPr>
          <w:p w14:paraId="70BA8CA9">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通过对教育家精神的领会，使学立志成为有理想信念、有道德情操、有扎实学识、有仁爱之心的“四有”好老师。</w:t>
            </w:r>
          </w:p>
        </w:tc>
      </w:tr>
      <w:tr w14:paraId="5964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4AF3AF0">
            <w:pPr>
              <w:spacing w:line="276"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观察身边榜样教师</w:t>
            </w:r>
          </w:p>
        </w:tc>
        <w:tc>
          <w:tcPr>
            <w:tcW w:w="3534" w:type="dxa"/>
            <w:vAlign w:val="center"/>
          </w:tcPr>
          <w:p w14:paraId="6174DF34">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提示学生留意记录并观察当地或本学科的优秀教师，利用实习见习机会或者节假日等近距离接触，听课，评课，学习榜样教师的典型教学方法，传承和弘扬精益求精的工匠精神。</w:t>
            </w:r>
          </w:p>
        </w:tc>
        <w:tc>
          <w:tcPr>
            <w:tcW w:w="802" w:type="dxa"/>
            <w:vAlign w:val="center"/>
          </w:tcPr>
          <w:p w14:paraId="5BA3BBCF">
            <w:pPr>
              <w:spacing w:line="276"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课程实践作业</w:t>
            </w:r>
          </w:p>
        </w:tc>
        <w:tc>
          <w:tcPr>
            <w:tcW w:w="2971" w:type="dxa"/>
            <w:vAlign w:val="center"/>
          </w:tcPr>
          <w:p w14:paraId="3368DFF2">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提高对教师专业性的认识， 立志成长为高素质专业化教师队伍中的一员。</w:t>
            </w:r>
          </w:p>
        </w:tc>
      </w:tr>
      <w:tr w14:paraId="324F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26E9097">
            <w:pPr>
              <w:spacing w:line="276"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最美教师或师德模范进课堂</w:t>
            </w:r>
          </w:p>
        </w:tc>
        <w:tc>
          <w:tcPr>
            <w:tcW w:w="3534" w:type="dxa"/>
            <w:vAlign w:val="center"/>
          </w:tcPr>
          <w:p w14:paraId="16ADF242">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邀请当地获得最美教师、师德模范等荣誉称号的教师做报告，提供给学生亲身经历、近距离接触一线优秀教师的学习机会。</w:t>
            </w:r>
          </w:p>
        </w:tc>
        <w:tc>
          <w:tcPr>
            <w:tcW w:w="802" w:type="dxa"/>
            <w:vAlign w:val="center"/>
          </w:tcPr>
          <w:p w14:paraId="2A339C21">
            <w:pPr>
              <w:spacing w:line="276"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专题报告</w:t>
            </w:r>
          </w:p>
        </w:tc>
        <w:tc>
          <w:tcPr>
            <w:tcW w:w="2971" w:type="dxa"/>
            <w:vAlign w:val="center"/>
          </w:tcPr>
          <w:p w14:paraId="18F962C6">
            <w:pPr>
              <w:spacing w:line="276"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借助榜样的正能量来激发学生爱岗敬业、立志成为卓越教师的专业志向，增强教师的职业归属感与社会责任感。</w:t>
            </w:r>
          </w:p>
        </w:tc>
      </w:tr>
    </w:tbl>
    <w:p w14:paraId="64E9108B">
      <w:pPr>
        <w:keepNext w:val="0"/>
        <w:keepLines w:val="0"/>
        <w:pageBreakBefore w:val="0"/>
        <w:widowControl w:val="0"/>
        <w:kinsoku/>
        <w:wordWrap/>
        <w:overflowPunct/>
        <w:topLinePunct w:val="0"/>
        <w:autoSpaceDE/>
        <w:autoSpaceDN/>
        <w:bidi w:val="0"/>
        <w:adjustRightInd w:val="0"/>
        <w:snapToGrid w:val="0"/>
        <w:spacing w:before="63" w:beforeLines="20" w:after="63" w:afterLines="20" w:line="360" w:lineRule="auto"/>
        <w:textAlignment w:val="auto"/>
        <w:rPr>
          <w:rFonts w:hint="eastAsia" w:ascii="宋体" w:hAnsi="宋体" w:eastAsia="宋体" w:cs="Times New Roman"/>
          <w:b/>
          <w:color w:val="auto"/>
          <w:szCs w:val="21"/>
        </w:rPr>
      </w:pPr>
      <w:r>
        <w:rPr>
          <w:rFonts w:hint="eastAsia" w:ascii="宋体" w:hAnsi="宋体" w:eastAsia="宋体"/>
          <w:b/>
          <w:color w:val="auto"/>
          <w:sz w:val="24"/>
          <w:szCs w:val="28"/>
        </w:rPr>
        <w:t>六、有关说明</w:t>
      </w:r>
    </w:p>
    <w:p w14:paraId="5C2C9E67">
      <w:pPr>
        <w:spacing w:line="360" w:lineRule="auto"/>
        <w:ind w:firstLine="422" w:firstLineChars="200"/>
        <w:rPr>
          <w:rFonts w:hint="eastAsia" w:cs="Times New Roman" w:asciiTheme="minorEastAsia" w:hAnsiTheme="minorEastAsia"/>
          <w:b/>
          <w:bCs/>
          <w:color w:val="auto"/>
          <w:szCs w:val="21"/>
        </w:rPr>
      </w:pPr>
      <w:r>
        <w:rPr>
          <w:rFonts w:hint="eastAsia" w:cs="Times New Roman" w:asciiTheme="minorEastAsia" w:hAnsiTheme="minorEastAsia"/>
          <w:b/>
          <w:bCs/>
          <w:color w:val="auto"/>
          <w:szCs w:val="21"/>
        </w:rPr>
        <w:t>（一）持续改进</w:t>
      </w:r>
    </w:p>
    <w:p w14:paraId="36C5C390">
      <w:pPr>
        <w:spacing w:line="360" w:lineRule="auto"/>
        <w:ind w:firstLine="420" w:firstLineChars="200"/>
        <w:rPr>
          <w:rFonts w:hint="eastAsia" w:cs="Times New Roman" w:asciiTheme="minorEastAsia" w:hAnsiTheme="minorEastAsia"/>
          <w:color w:val="auto"/>
          <w:szCs w:val="21"/>
        </w:rPr>
      </w:pPr>
      <w:r>
        <w:rPr>
          <w:rFonts w:cs="Times New Roman" w:asciiTheme="minorEastAsia" w:hAnsiTheme="minorEastAsia"/>
          <w:color w:val="auto"/>
          <w:szCs w:val="21"/>
        </w:rPr>
        <w:t>本课程根据学生作业、课堂讨论、模拟教学、说课、平时考核情况和学生、教学督导等</w:t>
      </w:r>
      <w:r>
        <w:rPr>
          <w:rFonts w:hint="eastAsia" w:cs="Times New Roman" w:asciiTheme="minorEastAsia" w:hAnsiTheme="minorEastAsia"/>
          <w:color w:val="auto"/>
          <w:szCs w:val="21"/>
        </w:rPr>
        <w:t>的</w:t>
      </w:r>
      <w:r>
        <w:rPr>
          <w:rFonts w:cs="Times New Roman" w:asciiTheme="minorEastAsia" w:hAnsiTheme="minorEastAsia"/>
          <w:color w:val="auto"/>
          <w:szCs w:val="21"/>
        </w:rPr>
        <w:t>反馈，及时对教学中</w:t>
      </w:r>
      <w:r>
        <w:rPr>
          <w:rFonts w:hint="eastAsia" w:cs="Times New Roman" w:asciiTheme="minorEastAsia" w:hAnsiTheme="minorEastAsia"/>
          <w:color w:val="auto"/>
          <w:szCs w:val="21"/>
        </w:rPr>
        <w:t>的</w:t>
      </w:r>
      <w:r>
        <w:rPr>
          <w:rFonts w:cs="Times New Roman" w:asciiTheme="minorEastAsia" w:hAnsiTheme="minorEastAsia"/>
          <w:color w:val="auto"/>
          <w:szCs w:val="21"/>
        </w:rPr>
        <w:t>不足之处进行改进，并在下一轮课程教学中</w:t>
      </w:r>
      <w:r>
        <w:rPr>
          <w:rFonts w:hint="eastAsia" w:cs="Times New Roman" w:asciiTheme="minorEastAsia" w:hAnsiTheme="minorEastAsia"/>
          <w:color w:val="auto"/>
          <w:szCs w:val="21"/>
        </w:rPr>
        <w:t>整改完善</w:t>
      </w:r>
      <w:r>
        <w:rPr>
          <w:rFonts w:cs="Times New Roman" w:asciiTheme="minorEastAsia" w:hAnsiTheme="minorEastAsia"/>
          <w:color w:val="auto"/>
          <w:szCs w:val="21"/>
        </w:rPr>
        <w:t>，确保相应毕业要求指标点达成。</w:t>
      </w:r>
    </w:p>
    <w:p w14:paraId="5BEC459A">
      <w:pPr>
        <w:spacing w:line="360" w:lineRule="auto"/>
        <w:ind w:firstLine="422" w:firstLineChars="200"/>
        <w:rPr>
          <w:rFonts w:hint="eastAsia" w:cs="Times New Roman" w:asciiTheme="minorEastAsia" w:hAnsiTheme="minorEastAsia"/>
          <w:b/>
          <w:color w:val="auto"/>
          <w:szCs w:val="21"/>
        </w:rPr>
      </w:pPr>
      <w:r>
        <w:rPr>
          <w:rFonts w:hint="eastAsia" w:cs="Times New Roman" w:asciiTheme="minorEastAsia" w:hAnsiTheme="minorEastAsia"/>
          <w:b/>
          <w:color w:val="auto"/>
          <w:szCs w:val="21"/>
        </w:rPr>
        <w:t>（二）建议教材</w:t>
      </w:r>
    </w:p>
    <w:p w14:paraId="1236FA11">
      <w:pPr>
        <w:spacing w:line="360" w:lineRule="auto"/>
        <w:ind w:firstLine="420" w:firstLineChars="200"/>
        <w:rPr>
          <w:rFonts w:hint="eastAsia" w:cs="Times New Roman" w:asciiTheme="minorEastAsia" w:hAnsiTheme="minorEastAsia"/>
          <w:color w:val="auto"/>
          <w:szCs w:val="21"/>
        </w:rPr>
      </w:pPr>
      <w:r>
        <w:rPr>
          <w:rFonts w:hint="eastAsia" w:cs="Times New Roman" w:asciiTheme="minorEastAsia" w:hAnsiTheme="minorEastAsia"/>
          <w:color w:val="auto"/>
          <w:szCs w:val="21"/>
        </w:rPr>
        <w:t>王本陆，课程与教学论（第4版），北京：高等教育出版社，2023.</w:t>
      </w:r>
    </w:p>
    <w:p w14:paraId="62241ED6">
      <w:pPr>
        <w:spacing w:line="360" w:lineRule="auto"/>
        <w:ind w:firstLine="420" w:firstLineChars="200"/>
        <w:rPr>
          <w:rFonts w:hint="eastAsia" w:cs="Times New Roman" w:asciiTheme="minorEastAsia" w:hAnsiTheme="minorEastAsia"/>
          <w:color w:val="auto"/>
          <w:szCs w:val="21"/>
        </w:rPr>
      </w:pPr>
      <w:r>
        <w:rPr>
          <w:rFonts w:hint="eastAsia" w:cs="Times New Roman" w:asciiTheme="minorEastAsia" w:hAnsiTheme="minorEastAsia"/>
          <w:color w:val="auto"/>
          <w:szCs w:val="21"/>
        </w:rPr>
        <w:t>陈佑清，有效教学，北京：高等教育出版社，2016.</w:t>
      </w:r>
    </w:p>
    <w:p w14:paraId="1EBFEE95">
      <w:pPr>
        <w:spacing w:line="360" w:lineRule="auto"/>
        <w:ind w:firstLine="422" w:firstLineChars="200"/>
        <w:rPr>
          <w:rFonts w:hint="eastAsia" w:cs="Times New Roman" w:asciiTheme="minorEastAsia" w:hAnsiTheme="minorEastAsia"/>
          <w:b/>
          <w:bCs/>
          <w:color w:val="auto"/>
          <w:szCs w:val="21"/>
        </w:rPr>
      </w:pPr>
      <w:r>
        <w:rPr>
          <w:rFonts w:hint="eastAsia" w:cs="Times New Roman" w:asciiTheme="minorEastAsia" w:hAnsiTheme="minorEastAsia"/>
          <w:b/>
          <w:color w:val="auto"/>
          <w:szCs w:val="21"/>
        </w:rPr>
        <w:t>（三）</w:t>
      </w:r>
      <w:r>
        <w:rPr>
          <w:rFonts w:cs="Times New Roman" w:asciiTheme="minorEastAsia" w:hAnsiTheme="minorEastAsia"/>
          <w:b/>
          <w:color w:val="auto"/>
          <w:szCs w:val="21"/>
        </w:rPr>
        <w:t>参考书目</w:t>
      </w:r>
    </w:p>
    <w:p w14:paraId="443080C0">
      <w:pPr>
        <w:spacing w:line="360" w:lineRule="auto"/>
        <w:ind w:firstLine="420" w:firstLineChars="200"/>
        <w:rPr>
          <w:rFonts w:hint="eastAsia" w:cs="Times New Roman" w:asciiTheme="minorEastAsia" w:hAnsiTheme="minorEastAsia"/>
          <w:color w:val="auto"/>
          <w:szCs w:val="21"/>
        </w:rPr>
      </w:pPr>
      <w:r>
        <w:rPr>
          <w:rFonts w:cs="Times New Roman" w:asciiTheme="minorEastAsia" w:hAnsiTheme="minorEastAsia"/>
          <w:color w:val="auto"/>
          <w:szCs w:val="21"/>
        </w:rPr>
        <w:t>[捷]夸美纽斯.傅任敢译.大教学论.北京：教育科学出版社，1999.</w:t>
      </w:r>
    </w:p>
    <w:p w14:paraId="13C82F8D">
      <w:pPr>
        <w:spacing w:line="360" w:lineRule="auto"/>
        <w:ind w:firstLine="420" w:firstLineChars="200"/>
        <w:rPr>
          <w:rFonts w:hint="eastAsia" w:cs="Times New Roman" w:asciiTheme="minorEastAsia" w:hAnsiTheme="minorEastAsia"/>
          <w:color w:val="auto"/>
          <w:szCs w:val="21"/>
        </w:rPr>
      </w:pPr>
      <w:r>
        <w:rPr>
          <w:rFonts w:hint="eastAsia" w:cs="Times New Roman" w:asciiTheme="minorEastAsia" w:hAnsiTheme="minorEastAsia"/>
          <w:color w:val="auto"/>
          <w:szCs w:val="21"/>
        </w:rPr>
        <w:t>陈晓端</w:t>
      </w:r>
      <w:r>
        <w:rPr>
          <w:rFonts w:cs="Times New Roman" w:asciiTheme="minorEastAsia" w:hAnsiTheme="minorEastAsia"/>
          <w:color w:val="auto"/>
          <w:szCs w:val="21"/>
        </w:rPr>
        <w:t>, 张立昌. 课程与教学通论. 西安: 陕西师范大学出版总社, 2017.</w:t>
      </w:r>
    </w:p>
    <w:p w14:paraId="01D4F9FC">
      <w:pPr>
        <w:spacing w:line="360" w:lineRule="auto"/>
        <w:ind w:firstLine="420" w:firstLineChars="200"/>
        <w:jc w:val="left"/>
        <w:rPr>
          <w:rFonts w:hint="eastAsia" w:cs="Times New Roman" w:asciiTheme="minorEastAsia" w:hAnsiTheme="minorEastAsia"/>
          <w:color w:val="auto"/>
          <w:szCs w:val="21"/>
        </w:rPr>
      </w:pPr>
      <w:r>
        <w:rPr>
          <w:rFonts w:hint="eastAsia" w:cs="Times New Roman" w:asciiTheme="minorEastAsia" w:hAnsiTheme="minorEastAsia"/>
          <w:color w:val="auto"/>
          <w:szCs w:val="21"/>
        </w:rPr>
        <w:t>王本陆.课程与教学论.</w:t>
      </w:r>
      <w:r>
        <w:rPr>
          <w:rFonts w:cs="Times New Roman" w:asciiTheme="minorEastAsia" w:hAnsiTheme="minorEastAsia"/>
          <w:color w:val="auto"/>
          <w:szCs w:val="21"/>
        </w:rPr>
        <w:t xml:space="preserve"> </w:t>
      </w:r>
      <w:r>
        <w:rPr>
          <w:rFonts w:hint="eastAsia" w:cs="Times New Roman" w:asciiTheme="minorEastAsia" w:hAnsiTheme="minorEastAsia"/>
          <w:color w:val="auto"/>
          <w:szCs w:val="21"/>
        </w:rPr>
        <w:t>北京：高等教育出版社，201</w:t>
      </w:r>
      <w:r>
        <w:rPr>
          <w:rFonts w:cs="Times New Roman" w:asciiTheme="minorEastAsia" w:hAnsiTheme="minorEastAsia"/>
          <w:color w:val="auto"/>
          <w:szCs w:val="21"/>
        </w:rPr>
        <w:t>7.</w:t>
      </w:r>
    </w:p>
    <w:p w14:paraId="6286F024">
      <w:pPr>
        <w:spacing w:line="360" w:lineRule="auto"/>
        <w:ind w:firstLine="420" w:firstLineChars="200"/>
        <w:rPr>
          <w:rFonts w:hint="eastAsia" w:cs="Times New Roman" w:asciiTheme="minorEastAsia" w:hAnsiTheme="minorEastAsia"/>
          <w:color w:val="auto"/>
          <w:szCs w:val="21"/>
        </w:rPr>
      </w:pPr>
      <w:r>
        <w:rPr>
          <w:rFonts w:hint="eastAsia" w:cs="Times New Roman" w:asciiTheme="minorEastAsia" w:hAnsiTheme="minorEastAsia"/>
          <w:color w:val="auto"/>
          <w:szCs w:val="21"/>
        </w:rPr>
        <w:t>徐继存、徐文彬</w:t>
      </w:r>
      <w:r>
        <w:rPr>
          <w:rFonts w:cs="Times New Roman" w:asciiTheme="minorEastAsia" w:hAnsiTheme="minorEastAsia"/>
          <w:color w:val="auto"/>
          <w:szCs w:val="21"/>
        </w:rPr>
        <w:t>.课程与教学论.</w:t>
      </w:r>
      <w:r>
        <w:rPr>
          <w:rFonts w:hint="eastAsia" w:cs="Times New Roman" w:asciiTheme="minorEastAsia" w:hAnsiTheme="minorEastAsia"/>
          <w:color w:val="auto"/>
          <w:szCs w:val="21"/>
        </w:rPr>
        <w:t>北京：</w:t>
      </w:r>
      <w:r>
        <w:rPr>
          <w:rFonts w:cs="Times New Roman" w:asciiTheme="minorEastAsia" w:hAnsiTheme="minorEastAsia"/>
          <w:color w:val="auto"/>
          <w:szCs w:val="21"/>
        </w:rPr>
        <w:t>高等教育出版社，2009.</w:t>
      </w:r>
    </w:p>
    <w:p w14:paraId="6DB78CBD">
      <w:pPr>
        <w:spacing w:line="360" w:lineRule="auto"/>
        <w:ind w:firstLine="420" w:firstLineChars="200"/>
        <w:rPr>
          <w:rFonts w:hint="eastAsia" w:cs="Times New Roman" w:asciiTheme="minorEastAsia" w:hAnsiTheme="minorEastAsia"/>
          <w:color w:val="auto"/>
          <w:szCs w:val="21"/>
        </w:rPr>
      </w:pPr>
      <w:r>
        <w:rPr>
          <w:rFonts w:cs="Times New Roman" w:asciiTheme="minorEastAsia" w:hAnsiTheme="minorEastAsia"/>
          <w:color w:val="auto"/>
          <w:szCs w:val="21"/>
        </w:rPr>
        <w:t>张 华.课程与教学论.</w:t>
      </w:r>
      <w:r>
        <w:rPr>
          <w:rFonts w:hint="eastAsia" w:cs="Times New Roman" w:asciiTheme="minorEastAsia" w:hAnsiTheme="minorEastAsia"/>
          <w:color w:val="auto"/>
          <w:szCs w:val="21"/>
        </w:rPr>
        <w:t>上海：</w:t>
      </w:r>
      <w:r>
        <w:rPr>
          <w:rFonts w:cs="Times New Roman" w:asciiTheme="minorEastAsia" w:hAnsiTheme="minorEastAsia"/>
          <w:color w:val="auto"/>
          <w:szCs w:val="21"/>
        </w:rPr>
        <w:t>上海教育出版社，2001.</w:t>
      </w:r>
    </w:p>
    <w:p w14:paraId="359F2293">
      <w:pPr>
        <w:spacing w:line="360" w:lineRule="auto"/>
        <w:ind w:firstLine="420" w:firstLineChars="200"/>
        <w:rPr>
          <w:rFonts w:hint="eastAsia" w:cs="Times New Roman" w:asciiTheme="minorEastAsia" w:hAnsiTheme="minorEastAsia"/>
          <w:color w:val="auto"/>
          <w:szCs w:val="21"/>
        </w:rPr>
      </w:pPr>
      <w:r>
        <w:rPr>
          <w:rFonts w:cs="Times New Roman" w:asciiTheme="minorEastAsia" w:hAnsiTheme="minorEastAsia"/>
          <w:color w:val="auto"/>
          <w:szCs w:val="21"/>
        </w:rPr>
        <w:t>钟启泉.课程论.</w:t>
      </w:r>
      <w:r>
        <w:rPr>
          <w:rFonts w:hint="eastAsia" w:cs="Times New Roman" w:asciiTheme="minorEastAsia" w:hAnsiTheme="minorEastAsia"/>
          <w:color w:val="auto"/>
          <w:szCs w:val="21"/>
        </w:rPr>
        <w:t>北京：</w:t>
      </w:r>
      <w:r>
        <w:rPr>
          <w:rFonts w:cs="Times New Roman" w:asciiTheme="minorEastAsia" w:hAnsiTheme="minorEastAsia"/>
          <w:color w:val="auto"/>
          <w:szCs w:val="21"/>
        </w:rPr>
        <w:t>教育科学出版社，2007.</w:t>
      </w:r>
    </w:p>
    <w:p w14:paraId="34FE3B3E">
      <w:pPr>
        <w:spacing w:line="360" w:lineRule="auto"/>
        <w:ind w:firstLine="420" w:firstLineChars="200"/>
        <w:rPr>
          <w:rFonts w:hint="eastAsia" w:cs="Times New Roman" w:asciiTheme="minorEastAsia" w:hAnsiTheme="minorEastAsia"/>
          <w:color w:val="auto"/>
          <w:szCs w:val="21"/>
        </w:rPr>
      </w:pPr>
      <w:r>
        <w:rPr>
          <w:rFonts w:cs="Times New Roman" w:asciiTheme="minorEastAsia" w:hAnsiTheme="minorEastAsia"/>
          <w:color w:val="auto"/>
          <w:szCs w:val="21"/>
        </w:rPr>
        <w:t>裴娣娜.教学论.</w:t>
      </w:r>
      <w:r>
        <w:rPr>
          <w:rFonts w:hint="eastAsia" w:cs="Times New Roman" w:asciiTheme="minorEastAsia" w:hAnsiTheme="minorEastAsia"/>
          <w:color w:val="auto"/>
          <w:szCs w:val="21"/>
        </w:rPr>
        <w:t>北京：</w:t>
      </w:r>
      <w:r>
        <w:rPr>
          <w:rFonts w:cs="Times New Roman" w:asciiTheme="minorEastAsia" w:hAnsiTheme="minorEastAsia"/>
          <w:color w:val="auto"/>
          <w:szCs w:val="21"/>
        </w:rPr>
        <w:t>教育科学出版社，2007.</w:t>
      </w:r>
    </w:p>
    <w:p w14:paraId="18338B33">
      <w:pPr>
        <w:spacing w:line="360" w:lineRule="auto"/>
        <w:ind w:firstLine="420" w:firstLineChars="200"/>
        <w:rPr>
          <w:rFonts w:hint="eastAsia" w:cs="Times New Roman" w:asciiTheme="minorEastAsia" w:hAnsiTheme="minorEastAsia"/>
          <w:color w:val="auto"/>
          <w:szCs w:val="21"/>
        </w:rPr>
      </w:pPr>
      <w:r>
        <w:rPr>
          <w:rFonts w:cs="Times New Roman" w:asciiTheme="minorEastAsia" w:hAnsiTheme="minorEastAsia"/>
          <w:color w:val="auto"/>
          <w:szCs w:val="21"/>
        </w:rPr>
        <w:t>施良方.教学理论.</w:t>
      </w:r>
      <w:r>
        <w:rPr>
          <w:rFonts w:hint="eastAsia" w:cs="Times New Roman" w:asciiTheme="minorEastAsia" w:hAnsiTheme="minorEastAsia"/>
          <w:color w:val="auto"/>
          <w:szCs w:val="21"/>
        </w:rPr>
        <w:t>上海：</w:t>
      </w:r>
      <w:r>
        <w:rPr>
          <w:rFonts w:cs="Times New Roman" w:asciiTheme="minorEastAsia" w:hAnsiTheme="minorEastAsia"/>
          <w:color w:val="auto"/>
          <w:szCs w:val="21"/>
        </w:rPr>
        <w:t>华东师范大学出版社，1999.</w:t>
      </w:r>
    </w:p>
    <w:p w14:paraId="0C6FD68F">
      <w:pPr>
        <w:spacing w:line="360" w:lineRule="auto"/>
        <w:ind w:firstLine="420" w:firstLineChars="200"/>
        <w:rPr>
          <w:rFonts w:hint="eastAsia" w:cs="Times New Roman" w:asciiTheme="minorEastAsia" w:hAnsiTheme="minorEastAsia"/>
          <w:color w:val="auto"/>
          <w:szCs w:val="21"/>
        </w:rPr>
      </w:pPr>
      <w:r>
        <w:rPr>
          <w:rFonts w:cs="Times New Roman" w:asciiTheme="minorEastAsia" w:hAnsiTheme="minorEastAsia"/>
          <w:color w:val="auto"/>
          <w:szCs w:val="21"/>
        </w:rPr>
        <w:t>施良方.课程理论</w:t>
      </w:r>
      <w:r>
        <w:rPr>
          <w:rFonts w:hint="eastAsia" w:cs="Times New Roman" w:asciiTheme="minorEastAsia" w:hAnsiTheme="minorEastAsia"/>
          <w:color w:val="auto"/>
          <w:szCs w:val="21"/>
        </w:rPr>
        <w:t>：课程的基础、原理与问题</w:t>
      </w:r>
      <w:r>
        <w:rPr>
          <w:rFonts w:cs="Times New Roman" w:asciiTheme="minorEastAsia" w:hAnsiTheme="minorEastAsia"/>
          <w:color w:val="auto"/>
          <w:szCs w:val="21"/>
        </w:rPr>
        <w:t>.</w:t>
      </w:r>
      <w:r>
        <w:rPr>
          <w:rFonts w:hint="eastAsia" w:cs="Times New Roman" w:asciiTheme="minorEastAsia" w:hAnsiTheme="minorEastAsia"/>
          <w:color w:val="auto"/>
          <w:szCs w:val="21"/>
        </w:rPr>
        <w:t>北京：</w:t>
      </w:r>
      <w:r>
        <w:rPr>
          <w:rFonts w:cs="Times New Roman" w:asciiTheme="minorEastAsia" w:hAnsiTheme="minorEastAsia"/>
          <w:color w:val="auto"/>
          <w:szCs w:val="21"/>
        </w:rPr>
        <w:t>教育科学出版社，1996.</w:t>
      </w:r>
    </w:p>
    <w:p w14:paraId="3986D3D0">
      <w:pPr>
        <w:spacing w:line="360" w:lineRule="auto"/>
        <w:ind w:firstLine="420" w:firstLineChars="200"/>
        <w:rPr>
          <w:rFonts w:hint="eastAsia" w:cs="Times New Roman" w:asciiTheme="minorEastAsia" w:hAnsiTheme="minorEastAsia"/>
          <w:color w:val="auto"/>
          <w:szCs w:val="21"/>
        </w:rPr>
      </w:pPr>
      <w:r>
        <w:rPr>
          <w:rFonts w:cs="Times New Roman" w:asciiTheme="minorEastAsia" w:hAnsiTheme="minorEastAsia"/>
          <w:color w:val="auto"/>
          <w:szCs w:val="21"/>
        </w:rPr>
        <w:t>杨启亮.困惑与抉择—20 世纪的新教学论.</w:t>
      </w:r>
      <w:r>
        <w:rPr>
          <w:rFonts w:hint="eastAsia" w:cs="Times New Roman" w:asciiTheme="minorEastAsia" w:hAnsiTheme="minorEastAsia"/>
          <w:color w:val="auto"/>
          <w:szCs w:val="21"/>
        </w:rPr>
        <w:t>济南：</w:t>
      </w:r>
      <w:r>
        <w:rPr>
          <w:rFonts w:cs="Times New Roman" w:asciiTheme="minorEastAsia" w:hAnsiTheme="minorEastAsia"/>
          <w:color w:val="auto"/>
          <w:szCs w:val="21"/>
        </w:rPr>
        <w:t>山东教育出版社，1995.</w:t>
      </w:r>
    </w:p>
    <w:p w14:paraId="04789E52">
      <w:pPr>
        <w:spacing w:line="360" w:lineRule="auto"/>
        <w:ind w:firstLine="420" w:firstLineChars="200"/>
        <w:rPr>
          <w:rFonts w:hint="eastAsia" w:cs="Times New Roman" w:asciiTheme="minorEastAsia" w:hAnsiTheme="minorEastAsia"/>
          <w:color w:val="auto"/>
          <w:szCs w:val="21"/>
        </w:rPr>
      </w:pPr>
      <w:r>
        <w:rPr>
          <w:rFonts w:cs="Times New Roman" w:asciiTheme="minorEastAsia" w:hAnsiTheme="minorEastAsia"/>
          <w:color w:val="auto"/>
          <w:szCs w:val="21"/>
        </w:rPr>
        <w:t>李定仁、徐继存.课程论研究二十年.</w:t>
      </w:r>
      <w:r>
        <w:rPr>
          <w:rFonts w:hint="eastAsia" w:cs="Times New Roman" w:asciiTheme="minorEastAsia" w:hAnsiTheme="minorEastAsia"/>
          <w:color w:val="auto"/>
          <w:szCs w:val="21"/>
        </w:rPr>
        <w:t>北京：</w:t>
      </w:r>
      <w:r>
        <w:rPr>
          <w:rFonts w:cs="Times New Roman" w:asciiTheme="minorEastAsia" w:hAnsiTheme="minorEastAsia"/>
          <w:color w:val="auto"/>
          <w:szCs w:val="21"/>
        </w:rPr>
        <w:t>人民教育出版社，2004.</w:t>
      </w:r>
    </w:p>
    <w:p w14:paraId="225E5568">
      <w:pPr>
        <w:spacing w:line="360" w:lineRule="auto"/>
        <w:ind w:firstLine="420" w:firstLineChars="200"/>
        <w:rPr>
          <w:rFonts w:hint="eastAsia" w:cs="Times New Roman" w:asciiTheme="minorEastAsia" w:hAnsiTheme="minorEastAsia"/>
          <w:color w:val="auto"/>
          <w:szCs w:val="21"/>
        </w:rPr>
      </w:pPr>
      <w:r>
        <w:rPr>
          <w:rFonts w:hint="eastAsia" w:cs="Times New Roman" w:asciiTheme="minorEastAsia" w:hAnsiTheme="minorEastAsia"/>
          <w:color w:val="auto"/>
          <w:szCs w:val="21"/>
        </w:rPr>
        <w:t>陈晓端主编</w:t>
      </w:r>
      <w:r>
        <w:rPr>
          <w:rFonts w:cs="Times New Roman" w:asciiTheme="minorEastAsia" w:hAnsiTheme="minorEastAsia"/>
          <w:color w:val="auto"/>
          <w:szCs w:val="21"/>
        </w:rPr>
        <w:t>. 国外教学论基本文献讲读.北京：北京大学出版社, 2013.</w:t>
      </w:r>
    </w:p>
    <w:p w14:paraId="17FF314E">
      <w:pPr>
        <w:spacing w:line="360" w:lineRule="auto"/>
        <w:ind w:firstLine="420" w:firstLineChars="200"/>
        <w:rPr>
          <w:rFonts w:hint="eastAsia" w:cs="Times New Roman" w:asciiTheme="minorEastAsia" w:hAnsiTheme="minorEastAsia"/>
          <w:color w:val="auto"/>
          <w:szCs w:val="21"/>
        </w:rPr>
      </w:pPr>
      <w:r>
        <w:rPr>
          <w:rFonts w:hint="eastAsia" w:cs="Times New Roman" w:asciiTheme="minorEastAsia" w:hAnsiTheme="minorEastAsia"/>
          <w:color w:val="auto"/>
          <w:szCs w:val="21"/>
        </w:rPr>
        <w:t>陈晓端、郝文武主编</w:t>
      </w:r>
      <w:r>
        <w:rPr>
          <w:rFonts w:cs="Times New Roman" w:asciiTheme="minorEastAsia" w:hAnsiTheme="minorEastAsia"/>
          <w:color w:val="auto"/>
          <w:szCs w:val="21"/>
        </w:rPr>
        <w:t>.西方教育哲学流派课程与教学思想.北京：中国轻工业出版社，2008.</w:t>
      </w:r>
    </w:p>
    <w:p w14:paraId="34132B7E">
      <w:pPr>
        <w:spacing w:line="360" w:lineRule="auto"/>
        <w:ind w:firstLine="420" w:firstLineChars="200"/>
        <w:rPr>
          <w:rFonts w:hint="eastAsia" w:cs="Times New Roman" w:asciiTheme="minorEastAsia" w:hAnsiTheme="minorEastAsia"/>
          <w:color w:val="auto"/>
          <w:szCs w:val="21"/>
        </w:rPr>
      </w:pPr>
      <w:r>
        <w:rPr>
          <w:rFonts w:hint="eastAsia" w:cs="Times New Roman" w:asciiTheme="minorEastAsia" w:hAnsiTheme="minorEastAsia"/>
          <w:color w:val="auto"/>
          <w:szCs w:val="21"/>
        </w:rPr>
        <w:t>何克抗等著</w:t>
      </w:r>
      <w:r>
        <w:rPr>
          <w:rFonts w:cs="Times New Roman" w:asciiTheme="minorEastAsia" w:hAnsiTheme="minorEastAsia"/>
          <w:color w:val="auto"/>
          <w:szCs w:val="21"/>
        </w:rPr>
        <w:t>. 教学系统设计(第2版).北京:高等教育出版社, 2016.</w:t>
      </w:r>
    </w:p>
    <w:p w14:paraId="5E78566A">
      <w:pPr>
        <w:spacing w:line="360" w:lineRule="auto"/>
        <w:ind w:firstLine="420" w:firstLineChars="200"/>
        <w:rPr>
          <w:rFonts w:hint="eastAsia" w:cs="Times New Roman" w:asciiTheme="minorEastAsia" w:hAnsiTheme="minorEastAsia"/>
          <w:color w:val="auto"/>
          <w:szCs w:val="21"/>
        </w:rPr>
      </w:pPr>
      <w:r>
        <w:rPr>
          <w:rFonts w:cs="Times New Roman" w:asciiTheme="minorEastAsia" w:hAnsiTheme="minorEastAsia"/>
          <w:color w:val="auto"/>
          <w:szCs w:val="21"/>
        </w:rPr>
        <w:t>Diane Heacox著.杨希洁译.差异教学——帮助每个学生获得成功.北京：中国轻工业出版社, 2004.</w:t>
      </w:r>
    </w:p>
    <w:p w14:paraId="499811F3">
      <w:pPr>
        <w:autoSpaceDE w:val="0"/>
        <w:autoSpaceDN w:val="0"/>
        <w:adjustRightInd w:val="0"/>
        <w:spacing w:line="360" w:lineRule="auto"/>
        <w:ind w:firstLine="420" w:firstLineChars="200"/>
        <w:jc w:val="left"/>
        <w:rPr>
          <w:rFonts w:hint="eastAsia" w:cs="Times New Roman" w:asciiTheme="minorEastAsia" w:hAnsiTheme="minorEastAsia"/>
          <w:color w:val="auto"/>
          <w:szCs w:val="21"/>
        </w:rPr>
      </w:pPr>
      <w:r>
        <w:rPr>
          <w:rFonts w:cs="Times New Roman" w:asciiTheme="minorEastAsia" w:hAnsiTheme="minorEastAsia"/>
          <w:color w:val="auto"/>
          <w:szCs w:val="21"/>
        </w:rPr>
        <w:t>熊川武.反思性教学.上海:华东师范大学出版社, 1999.</w:t>
      </w:r>
    </w:p>
    <w:p w14:paraId="69F57144">
      <w:pPr>
        <w:autoSpaceDE w:val="0"/>
        <w:autoSpaceDN w:val="0"/>
        <w:adjustRightInd w:val="0"/>
        <w:spacing w:line="360" w:lineRule="auto"/>
        <w:ind w:firstLine="5460" w:firstLineChars="2600"/>
        <w:jc w:val="left"/>
        <w:rPr>
          <w:rFonts w:hint="eastAsia" w:ascii="宋体" w:hAnsi="宋体" w:eastAsia="宋体" w:cs="Times New Roman"/>
          <w:color w:val="auto"/>
          <w:kern w:val="0"/>
          <w:szCs w:val="18"/>
        </w:rPr>
      </w:pPr>
      <w:r>
        <w:rPr>
          <w:rFonts w:ascii="宋体" w:hAnsi="宋体" w:eastAsia="宋体" w:cs="Times New Roman"/>
          <w:color w:val="auto"/>
          <w:kern w:val="0"/>
          <w:szCs w:val="18"/>
        </w:rPr>
        <w:t>执笔人：</w:t>
      </w:r>
      <w:r>
        <w:rPr>
          <w:rFonts w:hint="eastAsia" w:ascii="宋体" w:hAnsi="宋体" w:eastAsia="宋体" w:cs="Times New Roman"/>
          <w:color w:val="auto"/>
          <w:kern w:val="0"/>
          <w:szCs w:val="18"/>
        </w:rPr>
        <w:t>张文娟</w:t>
      </w:r>
    </w:p>
    <w:p w14:paraId="08071D51">
      <w:pPr>
        <w:autoSpaceDE w:val="0"/>
        <w:autoSpaceDN w:val="0"/>
        <w:adjustRightInd w:val="0"/>
        <w:spacing w:line="360" w:lineRule="auto"/>
        <w:ind w:firstLine="5460" w:firstLineChars="2600"/>
        <w:jc w:val="left"/>
        <w:rPr>
          <w:rFonts w:hint="eastAsia" w:ascii="宋体" w:hAnsi="宋体" w:eastAsia="宋体" w:cs="Times New Roman"/>
          <w:color w:val="auto"/>
          <w:kern w:val="0"/>
          <w:szCs w:val="18"/>
        </w:rPr>
      </w:pPr>
      <w:r>
        <w:rPr>
          <w:rFonts w:ascii="宋体" w:hAnsi="宋体" w:eastAsia="宋体" w:cs="Times New Roman"/>
          <w:color w:val="auto"/>
          <w:kern w:val="0"/>
          <w:szCs w:val="18"/>
        </w:rPr>
        <w:t>审定人：</w:t>
      </w:r>
      <w:r>
        <w:rPr>
          <w:rFonts w:hint="eastAsia" w:ascii="宋体" w:hAnsi="宋体" w:eastAsia="宋体" w:cs="Times New Roman"/>
          <w:color w:val="auto"/>
          <w:kern w:val="0"/>
          <w:szCs w:val="18"/>
        </w:rPr>
        <w:t>王</w:t>
      </w:r>
      <w:r>
        <w:rPr>
          <w:rFonts w:hint="eastAsia" w:ascii="宋体" w:hAnsi="宋体" w:eastAsia="宋体" w:cs="Times New Roman"/>
          <w:color w:val="auto"/>
          <w:kern w:val="0"/>
          <w:szCs w:val="18"/>
          <w:lang w:val="en-US" w:eastAsia="zh-CN"/>
        </w:rPr>
        <w:t xml:space="preserve">  </w:t>
      </w:r>
      <w:r>
        <w:rPr>
          <w:rFonts w:hint="eastAsia" w:ascii="宋体" w:hAnsi="宋体" w:eastAsia="宋体" w:cs="Times New Roman"/>
          <w:color w:val="auto"/>
          <w:kern w:val="0"/>
          <w:szCs w:val="18"/>
        </w:rPr>
        <w:t>健</w:t>
      </w:r>
    </w:p>
    <w:p w14:paraId="13FC5736">
      <w:pPr>
        <w:autoSpaceDE w:val="0"/>
        <w:autoSpaceDN w:val="0"/>
        <w:adjustRightInd w:val="0"/>
        <w:spacing w:line="360" w:lineRule="auto"/>
        <w:ind w:firstLine="5460" w:firstLineChars="2600"/>
        <w:jc w:val="left"/>
        <w:rPr>
          <w:rFonts w:hint="eastAsia" w:ascii="宋体" w:hAnsi="宋体" w:eastAsia="宋体" w:cs="Times New Roman"/>
          <w:color w:val="auto"/>
          <w:kern w:val="0"/>
          <w:szCs w:val="18"/>
        </w:rPr>
      </w:pPr>
      <w:r>
        <w:rPr>
          <w:rFonts w:hint="eastAsia" w:ascii="宋体" w:hAnsi="宋体" w:eastAsia="宋体" w:cs="Times New Roman"/>
          <w:color w:val="auto"/>
          <w:kern w:val="0"/>
          <w:szCs w:val="18"/>
        </w:rPr>
        <w:t>审批</w:t>
      </w:r>
      <w:r>
        <w:rPr>
          <w:rFonts w:ascii="宋体" w:hAnsi="宋体" w:eastAsia="宋体" w:cs="Times New Roman"/>
          <w:color w:val="auto"/>
          <w:kern w:val="0"/>
          <w:szCs w:val="18"/>
        </w:rPr>
        <w:t>人：</w:t>
      </w:r>
      <w:r>
        <w:rPr>
          <w:rFonts w:hint="eastAsia" w:ascii="宋体" w:hAnsi="宋体" w:eastAsia="宋体" w:cs="Times New Roman"/>
          <w:color w:val="auto"/>
          <w:kern w:val="0"/>
          <w:szCs w:val="18"/>
        </w:rPr>
        <w:t>张志欣</w:t>
      </w:r>
    </w:p>
    <w:p w14:paraId="52AA8197">
      <w:pPr>
        <w:autoSpaceDE w:val="0"/>
        <w:autoSpaceDN w:val="0"/>
        <w:adjustRightInd w:val="0"/>
        <w:spacing w:line="360" w:lineRule="auto"/>
        <w:ind w:firstLine="5460" w:firstLineChars="2600"/>
        <w:jc w:val="left"/>
        <w:rPr>
          <w:rFonts w:hint="eastAsia" w:ascii="宋体" w:hAnsi="宋体" w:eastAsia="宋体" w:cs="Times New Roman"/>
          <w:color w:val="auto"/>
          <w:kern w:val="0"/>
          <w:szCs w:val="18"/>
          <w:lang w:eastAsia="zh-CN"/>
        </w:rPr>
      </w:pPr>
      <w:r>
        <w:rPr>
          <w:rFonts w:hint="eastAsia" w:ascii="宋体" w:hAnsi="宋体" w:eastAsia="宋体" w:cs="Times New Roman"/>
          <w:color w:val="auto"/>
          <w:kern w:val="0"/>
          <w:szCs w:val="18"/>
          <w:lang w:eastAsia="zh-CN"/>
        </w:rPr>
        <w:t>批准时间：2025年7月1日</w:t>
      </w:r>
    </w:p>
    <w:p w14:paraId="723A68ED">
      <w:pPr>
        <w:rPr>
          <w:rFonts w:hint="eastAsia" w:ascii="等线" w:hAnsi="等线" w:eastAsia="等线" w:cs="等线"/>
          <w:b/>
          <w:bCs/>
          <w:color w:val="auto"/>
          <w:sz w:val="36"/>
          <w:szCs w:val="36"/>
        </w:rPr>
      </w:pPr>
      <w:r>
        <w:rPr>
          <w:rFonts w:hint="eastAsia" w:ascii="等线" w:hAnsi="等线" w:eastAsia="等线" w:cs="等线"/>
          <w:b/>
          <w:bCs/>
          <w:color w:val="auto"/>
          <w:sz w:val="36"/>
          <w:szCs w:val="36"/>
        </w:rPr>
        <w:br w:type="page"/>
      </w:r>
    </w:p>
    <w:p w14:paraId="45D83B97">
      <w:pPr>
        <w:spacing w:line="360" w:lineRule="auto"/>
        <w:jc w:val="center"/>
        <w:outlineLvl w:val="0"/>
        <w:rPr>
          <w:rFonts w:hint="eastAsia" w:ascii="Times New Roman" w:hAnsi="Times New Roman" w:eastAsia="宋体" w:cs="Times New Roman"/>
          <w:b/>
          <w:color w:val="auto"/>
          <w:sz w:val="44"/>
          <w:szCs w:val="44"/>
        </w:rPr>
      </w:pPr>
      <w:bookmarkStart w:id="288" w:name="_Toc57017177"/>
      <w:bookmarkStart w:id="289" w:name="_Toc88424519"/>
      <w:bookmarkStart w:id="290" w:name="_Toc30585"/>
      <w:r>
        <w:rPr>
          <w:rFonts w:hint="eastAsia" w:ascii="Times New Roman" w:hAnsi="Times New Roman" w:eastAsia="宋体" w:cs="Times New Roman"/>
          <w:b/>
          <w:color w:val="auto"/>
          <w:sz w:val="44"/>
          <w:szCs w:val="44"/>
        </w:rPr>
        <w:t>《教育心理学》课程教学大纲</w:t>
      </w:r>
      <w:bookmarkEnd w:id="288"/>
      <w:bookmarkEnd w:id="289"/>
      <w:bookmarkEnd w:id="290"/>
    </w:p>
    <w:p w14:paraId="1372F47D">
      <w:pPr>
        <w:spacing w:line="360" w:lineRule="auto"/>
        <w:jc w:val="center"/>
        <w:rPr>
          <w:rFonts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rPr>
        <w:t>（Educational Psychology）</w:t>
      </w:r>
    </w:p>
    <w:p w14:paraId="3C1A10B7">
      <w:pPr>
        <w:spacing w:line="360" w:lineRule="auto"/>
        <w:jc w:val="center"/>
        <w:rPr>
          <w:rFonts w:ascii="Times New Roman" w:hAnsi="Times New Roman" w:eastAsia="宋体" w:cs="Times New Roman"/>
          <w:b/>
          <w:bCs/>
          <w:color w:val="auto"/>
          <w:sz w:val="21"/>
          <w:szCs w:val="18"/>
        </w:rPr>
      </w:pPr>
    </w:p>
    <w:p w14:paraId="4F0003E3">
      <w:pPr>
        <w:spacing w:line="360" w:lineRule="auto"/>
        <w:ind w:firstLine="482" w:firstLineChars="200"/>
        <w:jc w:val="left"/>
        <w:rPr>
          <w:rFonts w:ascii="Times New Roman" w:hAnsi="Times New Roman" w:eastAsia="宋体" w:cs="Times New Roman"/>
          <w:b/>
          <w:color w:val="auto"/>
          <w:sz w:val="24"/>
        </w:rPr>
      </w:pPr>
      <w:bookmarkStart w:id="291" w:name="_Toc27846254"/>
      <w:bookmarkStart w:id="292" w:name="_Toc27847272"/>
      <w:r>
        <w:rPr>
          <w:rFonts w:hint="eastAsia" w:ascii="Times New Roman" w:hAnsi="Times New Roman" w:eastAsia="宋体" w:cs="Times New Roman"/>
          <w:b/>
          <w:color w:val="auto"/>
          <w:sz w:val="24"/>
        </w:rPr>
        <w:t>课程名称：教育心理学</w:t>
      </w:r>
    </w:p>
    <w:p w14:paraId="4EA1F946">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课程代码：2401011</w:t>
      </w:r>
    </w:p>
    <w:p w14:paraId="36E4DC28">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分：2</w:t>
      </w:r>
    </w:p>
    <w:p w14:paraId="04DEA953">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时：32</w:t>
      </w:r>
    </w:p>
    <w:p w14:paraId="6D1290DE">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先修课程：小学心理学、专业导论</w:t>
      </w:r>
    </w:p>
    <w:p w14:paraId="7C4C8BEE">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适用专业：小学教育</w:t>
      </w:r>
    </w:p>
    <w:p w14:paraId="05C52521">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r>
        <w:rPr>
          <w:rFonts w:hint="eastAsia" w:ascii="宋体" w:hAnsi="宋体" w:eastAsia="宋体" w:cs="Times New Roman"/>
          <w:b/>
          <w:color w:val="auto"/>
          <w:sz w:val="24"/>
        </w:rPr>
        <w:t>一、课程简介</w:t>
      </w:r>
    </w:p>
    <w:p w14:paraId="772E0B99">
      <w:pPr>
        <w:spacing w:line="360" w:lineRule="auto"/>
        <w:ind w:firstLine="411" w:firstLineChars="196"/>
        <w:rPr>
          <w:rFonts w:hint="eastAsia" w:ascii="宋体" w:hAnsi="宋体" w:eastAsia="宋体" w:cs="Times New Roman"/>
          <w:b/>
          <w:color w:val="auto"/>
          <w:sz w:val="28"/>
          <w:szCs w:val="28"/>
        </w:rPr>
      </w:pPr>
      <w:r>
        <w:rPr>
          <w:rFonts w:hint="eastAsia" w:ascii="Times New Roman" w:hAnsi="Times New Roman" w:eastAsia="宋体" w:cs="Times New Roman"/>
          <w:color w:val="auto"/>
          <w:szCs w:val="21"/>
        </w:rPr>
        <w:t xml:space="preserve">本课程是小学教育专业的专业基础必修课。通过本课程的学习，学生能掌握有关学与教的心理学理论与基本原理，获得适应将来教学环境的基础知识和基本能力，为后续《课程与教学论》、《小学数学课程标准与教材分析》《小学语文课程标准与教材分析》《小学数学教学设计与实施》《小学语文教学设计与实施》《小学班队管理》《小学生心理辅导》等课程及教育实习环节奠定基础。 </w:t>
      </w:r>
    </w:p>
    <w:bookmarkEnd w:id="291"/>
    <w:bookmarkEnd w:id="292"/>
    <w:p w14:paraId="0F81113D">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bookmarkStart w:id="293" w:name="_Toc27846255"/>
      <w:bookmarkStart w:id="294" w:name="_Toc27847273"/>
      <w:r>
        <w:rPr>
          <w:rFonts w:hint="eastAsia" w:ascii="宋体" w:hAnsi="宋体" w:eastAsia="宋体" w:cs="Times New Roman"/>
          <w:b/>
          <w:color w:val="auto"/>
          <w:sz w:val="24"/>
        </w:rPr>
        <w:t>二、课程目标</w:t>
      </w:r>
      <w:bookmarkEnd w:id="293"/>
      <w:bookmarkEnd w:id="294"/>
    </w:p>
    <w:p w14:paraId="657F1664">
      <w:pPr>
        <w:spacing w:line="360" w:lineRule="auto"/>
        <w:ind w:firstLine="442" w:firstLineChars="200"/>
        <w:rPr>
          <w:rFonts w:hint="eastAsia" w:ascii="宋体" w:hAnsi="宋体" w:eastAsia="宋体" w:cs="Times New Roman"/>
          <w:b/>
          <w:color w:val="auto"/>
          <w:sz w:val="22"/>
          <w:szCs w:val="22"/>
        </w:rPr>
      </w:pPr>
      <w:bookmarkStart w:id="295" w:name="_Toc27846256"/>
      <w:bookmarkStart w:id="296" w:name="_Toc27847274"/>
      <w:r>
        <w:rPr>
          <w:rFonts w:hint="eastAsia" w:ascii="宋体" w:hAnsi="宋体" w:eastAsia="宋体" w:cs="Times New Roman"/>
          <w:b/>
          <w:color w:val="auto"/>
          <w:sz w:val="22"/>
          <w:szCs w:val="22"/>
        </w:rPr>
        <w:t>（一）课程具体目标</w:t>
      </w:r>
      <w:bookmarkEnd w:id="295"/>
      <w:bookmarkEnd w:id="296"/>
    </w:p>
    <w:p w14:paraId="578AF43C">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1.</w:t>
      </w:r>
      <w:r>
        <w:rPr>
          <w:rFonts w:hint="eastAsia" w:ascii="Times New Roman" w:hAnsi="Times New Roman" w:eastAsia="宋体" w:cs="Times New Roman"/>
          <w:b/>
          <w:color w:val="auto"/>
          <w:szCs w:val="21"/>
        </w:rPr>
        <w:t xml:space="preserve"> </w:t>
      </w:r>
      <w:r>
        <w:rPr>
          <w:rFonts w:hint="eastAsia" w:ascii="宋体" w:hAnsi="宋体" w:eastAsia="宋体" w:cs="Times New Roman"/>
          <w:color w:val="auto"/>
          <w:kern w:val="0"/>
          <w:szCs w:val="20"/>
        </w:rPr>
        <w:t>掌握学与教的基本心理学理论与基本原理，具有积极开展教育教学的意识，</w:t>
      </w:r>
      <w:r>
        <w:rPr>
          <w:rFonts w:hint="eastAsia" w:ascii="Times New Roman" w:hAnsi="Times New Roman" w:eastAsia="宋体" w:cs="Times New Roman"/>
          <w:color w:val="auto"/>
          <w:szCs w:val="21"/>
        </w:rPr>
        <w:t>为今后从事教育实践工作打下良好基础。</w:t>
      </w:r>
    </w:p>
    <w:p w14:paraId="08C88FF2">
      <w:pPr>
        <w:spacing w:line="360" w:lineRule="auto"/>
        <w:ind w:firstLine="422" w:firstLineChars="200"/>
        <w:rPr>
          <w:rFonts w:hint="eastAsia" w:ascii="宋体" w:hAnsi="宋体" w:eastAsia="宋体" w:cs="Times New Roman"/>
          <w:color w:val="auto"/>
          <w:kern w:val="0"/>
          <w:szCs w:val="20"/>
        </w:rPr>
      </w:pPr>
      <w:r>
        <w:rPr>
          <w:rFonts w:hint="eastAsia" w:ascii="Times New Roman" w:hAnsi="Times New Roman" w:eastAsia="宋体" w:cs="Times New Roman"/>
          <w:b/>
          <w:color w:val="auto"/>
          <w:szCs w:val="21"/>
        </w:rPr>
        <w:t xml:space="preserve">目标2. </w:t>
      </w:r>
      <w:r>
        <w:rPr>
          <w:rFonts w:hint="eastAsia" w:ascii="宋体" w:hAnsi="宋体" w:eastAsia="宋体" w:cs="Times New Roman"/>
          <w:color w:val="auto"/>
          <w:kern w:val="0"/>
          <w:szCs w:val="20"/>
        </w:rPr>
        <w:t>了解小学生身心发展的一般规律与个体差异，了解不同年龄阶段小学生的身心发展特点，为今后从事小学教育实践奠定教学准备的基础。</w:t>
      </w:r>
    </w:p>
    <w:p w14:paraId="1146EAD8">
      <w:pPr>
        <w:spacing w:line="360" w:lineRule="auto"/>
        <w:ind w:firstLine="422" w:firstLineChars="200"/>
        <w:rPr>
          <w:rFonts w:hint="eastAsia" w:ascii="宋体" w:hAnsi="宋体" w:eastAsia="宋体" w:cs="Times New Roman"/>
          <w:b/>
          <w:color w:val="auto"/>
          <w:sz w:val="21"/>
          <w:szCs w:val="21"/>
        </w:rPr>
      </w:pPr>
      <w:bookmarkStart w:id="297" w:name="_Toc27847275"/>
      <w:bookmarkStart w:id="298" w:name="_Toc27846257"/>
      <w:r>
        <w:rPr>
          <w:rFonts w:hint="eastAsia" w:ascii="宋体" w:hAnsi="宋体" w:eastAsia="宋体" w:cs="Times New Roman"/>
          <w:b/>
          <w:color w:val="auto"/>
          <w:sz w:val="21"/>
          <w:szCs w:val="21"/>
        </w:rPr>
        <w:t>（二）课程目标与专业毕业要求的关系</w:t>
      </w:r>
      <w:bookmarkEnd w:id="297"/>
      <w:bookmarkEnd w:id="298"/>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49CC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8AC0F39">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5688" w:type="dxa"/>
            <w:vAlign w:val="center"/>
          </w:tcPr>
          <w:p w14:paraId="2BD0E4BC">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07E3D0C6">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4C59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vAlign w:val="center"/>
          </w:tcPr>
          <w:p w14:paraId="5681F505">
            <w:pPr>
              <w:spacing w:line="360" w:lineRule="auto"/>
              <w:jc w:val="left"/>
              <w:rPr>
                <w:rFonts w:hint="eastAsia" w:ascii="宋体" w:hAnsi="宋体" w:eastAsia="宋体" w:cs="Times New Roman"/>
                <w:b/>
                <w:bCs/>
                <w:color w:val="auto"/>
                <w:szCs w:val="21"/>
              </w:rPr>
            </w:pPr>
            <w:r>
              <w:rPr>
                <w:rFonts w:hint="eastAsia" w:ascii="宋体" w:hAnsi="宋体" w:eastAsia="宋体" w:cs="Times New Roman"/>
                <w:b/>
                <w:bCs/>
                <w:color w:val="auto"/>
                <w:spacing w:val="-6"/>
                <w:szCs w:val="21"/>
              </w:rPr>
              <w:t>毕业要求4 教学能力</w:t>
            </w:r>
          </w:p>
        </w:tc>
        <w:tc>
          <w:tcPr>
            <w:tcW w:w="5688" w:type="dxa"/>
            <w:vAlign w:val="center"/>
          </w:tcPr>
          <w:p w14:paraId="52A1ACF0">
            <w:pPr>
              <w:spacing w:line="360" w:lineRule="auto"/>
              <w:jc w:val="left"/>
              <w:rPr>
                <w:rFonts w:hint="eastAsia" w:ascii="宋体" w:hAnsi="宋体" w:eastAsia="宋体" w:cs="Times New Roman"/>
                <w:b w:val="0"/>
                <w:bCs w:val="0"/>
                <w:color w:val="auto"/>
                <w:szCs w:val="21"/>
                <w:lang w:eastAsia="zh-CN"/>
              </w:rPr>
            </w:pPr>
            <w:r>
              <w:rPr>
                <w:rFonts w:hint="eastAsia" w:ascii="宋体" w:hAnsi="宋体" w:eastAsia="宋体" w:cs="Times New Roman"/>
                <w:b w:val="0"/>
                <w:bCs w:val="0"/>
                <w:color w:val="auto"/>
                <w:szCs w:val="21"/>
                <w:lang w:eastAsia="zh-CN"/>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1F745126">
            <w:pPr>
              <w:spacing w:line="36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r>
      <w:tr w14:paraId="1452C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15CF25C">
            <w:pPr>
              <w:spacing w:line="360" w:lineRule="auto"/>
              <w:jc w:val="left"/>
              <w:rPr>
                <w:rFonts w:hint="eastAsia" w:ascii="宋体" w:hAnsi="宋体" w:eastAsia="宋体" w:cs="Times New Roman"/>
                <w:b/>
                <w:bCs/>
                <w:color w:val="auto"/>
                <w:szCs w:val="21"/>
              </w:rPr>
            </w:pPr>
            <w:r>
              <w:rPr>
                <w:rFonts w:hint="eastAsia" w:ascii="宋体" w:hAnsi="宋体" w:eastAsia="宋体" w:cs="Times New Roman"/>
                <w:b/>
                <w:bCs/>
                <w:color w:val="auto"/>
                <w:szCs w:val="21"/>
              </w:rPr>
              <w:t>毕业要求6综合育人</w:t>
            </w:r>
          </w:p>
        </w:tc>
        <w:tc>
          <w:tcPr>
            <w:tcW w:w="5688" w:type="dxa"/>
            <w:vAlign w:val="center"/>
          </w:tcPr>
          <w:p w14:paraId="55CA6FE3">
            <w:pPr>
              <w:spacing w:line="360" w:lineRule="auto"/>
              <w:jc w:val="left"/>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指标点6-1：【遵循身心规律】了解不同年龄以及有特殊需要的小学生的身心发展特点和规律、不同年龄小学生学习的特点，掌握小学生良好行为习惯养成的知识。</w:t>
            </w:r>
          </w:p>
        </w:tc>
        <w:tc>
          <w:tcPr>
            <w:tcW w:w="1191" w:type="dxa"/>
            <w:vAlign w:val="center"/>
          </w:tcPr>
          <w:p w14:paraId="523347B5">
            <w:pPr>
              <w:spacing w:line="36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r>
    </w:tbl>
    <w:p w14:paraId="46DC866D">
      <w:pPr>
        <w:spacing w:before="156" w:beforeLines="50" w:line="360" w:lineRule="auto"/>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151DCEC1">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促使学生在扎实掌握教育教学知识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6F6A073D">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r>
        <w:rPr>
          <w:rFonts w:hint="eastAsia" w:ascii="宋体" w:hAnsi="宋体"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2033"/>
        <w:gridCol w:w="1125"/>
        <w:gridCol w:w="3050"/>
        <w:gridCol w:w="1448"/>
        <w:gridCol w:w="8"/>
        <w:gridCol w:w="430"/>
      </w:tblGrid>
      <w:tr w14:paraId="52E7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14:paraId="51A4A70B">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34A942D0">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2033" w:type="dxa"/>
            <w:vAlign w:val="center"/>
          </w:tcPr>
          <w:p w14:paraId="5C74FC07">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25" w:type="dxa"/>
            <w:vAlign w:val="center"/>
          </w:tcPr>
          <w:p w14:paraId="0EF589EA">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7CB882A9">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3050" w:type="dxa"/>
            <w:vAlign w:val="center"/>
          </w:tcPr>
          <w:p w14:paraId="4D79977D">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448" w:type="dxa"/>
            <w:vAlign w:val="center"/>
          </w:tcPr>
          <w:p w14:paraId="4CB56742">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gridSpan w:val="2"/>
            <w:vAlign w:val="center"/>
          </w:tcPr>
          <w:p w14:paraId="66472870">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6E45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restart"/>
            <w:vAlign w:val="center"/>
          </w:tcPr>
          <w:p w14:paraId="0E64D486">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1.教育心理学：教学的基础</w:t>
            </w:r>
          </w:p>
        </w:tc>
        <w:tc>
          <w:tcPr>
            <w:tcW w:w="2033" w:type="dxa"/>
            <w:vAlign w:val="center"/>
          </w:tcPr>
          <w:p w14:paraId="4D39BEA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（1）教育心理学的研究对象</w:t>
            </w:r>
          </w:p>
          <w:p w14:paraId="3B54837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（2）教育心理学的产生概况</w:t>
            </w:r>
          </w:p>
          <w:p w14:paraId="3444EBF6">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（3）教育心理学的研究方法</w:t>
            </w:r>
          </w:p>
        </w:tc>
        <w:tc>
          <w:tcPr>
            <w:tcW w:w="1125" w:type="dxa"/>
            <w:vAlign w:val="center"/>
          </w:tcPr>
          <w:p w14:paraId="531D13E2">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3050" w:type="dxa"/>
            <w:vAlign w:val="center"/>
          </w:tcPr>
          <w:p w14:paraId="1D90A4F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w:t>
            </w:r>
            <w:r>
              <w:rPr>
                <w:rFonts w:ascii="宋体" w:hAnsi="宋体" w:eastAsia="宋体" w:cs="Times New Roman"/>
                <w:color w:val="auto"/>
                <w:szCs w:val="21"/>
              </w:rPr>
              <w:t>解教育</w:t>
            </w:r>
            <w:r>
              <w:rPr>
                <w:rFonts w:hint="eastAsia" w:ascii="宋体" w:hAnsi="宋体" w:eastAsia="宋体" w:cs="Times New Roman"/>
                <w:color w:val="auto"/>
                <w:szCs w:val="21"/>
              </w:rPr>
              <w:t>心理</w:t>
            </w:r>
            <w:r>
              <w:rPr>
                <w:rFonts w:ascii="宋体" w:hAnsi="宋体" w:eastAsia="宋体" w:cs="Times New Roman"/>
                <w:color w:val="auto"/>
                <w:szCs w:val="21"/>
              </w:rPr>
              <w:t>学的学科性质、研究对象</w:t>
            </w:r>
            <w:r>
              <w:rPr>
                <w:rFonts w:hint="eastAsia" w:ascii="宋体" w:hAnsi="宋体" w:eastAsia="宋体" w:cs="Times New Roman"/>
                <w:color w:val="auto"/>
                <w:szCs w:val="21"/>
              </w:rPr>
              <w:t>；</w:t>
            </w:r>
          </w:p>
          <w:p w14:paraId="51144AE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（2）了解教育心理学发展历史；</w:t>
            </w:r>
          </w:p>
          <w:p w14:paraId="12895C5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（3）掌握教育心理学的基本研究方法，初步形成自觉适应教育变革的意识。</w:t>
            </w:r>
          </w:p>
        </w:tc>
        <w:tc>
          <w:tcPr>
            <w:tcW w:w="1448" w:type="dxa"/>
            <w:vAlign w:val="center"/>
          </w:tcPr>
          <w:p w14:paraId="3AA8AE8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743C55F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2.多媒体教学3.课堂讨论</w:t>
            </w:r>
          </w:p>
          <w:p w14:paraId="49BAFEA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438" w:type="dxa"/>
            <w:gridSpan w:val="2"/>
            <w:vAlign w:val="center"/>
          </w:tcPr>
          <w:p w14:paraId="25C76A4A">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373B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continue"/>
            <w:vAlign w:val="center"/>
          </w:tcPr>
          <w:p w14:paraId="7677B598">
            <w:pPr>
              <w:spacing w:line="264" w:lineRule="auto"/>
              <w:jc w:val="center"/>
              <w:rPr>
                <w:rFonts w:hint="eastAsia" w:ascii="宋体" w:hAnsi="宋体" w:eastAsia="宋体" w:cs="Times New Roman"/>
                <w:color w:val="auto"/>
                <w:szCs w:val="21"/>
              </w:rPr>
            </w:pPr>
          </w:p>
        </w:tc>
        <w:tc>
          <w:tcPr>
            <w:tcW w:w="8094" w:type="dxa"/>
            <w:gridSpan w:val="6"/>
            <w:vAlign w:val="center"/>
          </w:tcPr>
          <w:p w14:paraId="697E8EDD">
            <w:pPr>
              <w:spacing w:line="336" w:lineRule="auto"/>
              <w:ind w:firstLine="422" w:firstLineChars="200"/>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通过让学生了解教育心理学的产生背景和发展脉络，了解教育心理规律，形成正确的符合我国国情的教育心理观，深刻理解立德树人的教育理念。</w:t>
            </w:r>
          </w:p>
        </w:tc>
      </w:tr>
      <w:tr w14:paraId="380F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jc w:val="center"/>
        </w:trPr>
        <w:tc>
          <w:tcPr>
            <w:tcW w:w="1204" w:type="dxa"/>
            <w:vMerge w:val="restart"/>
            <w:vAlign w:val="center"/>
          </w:tcPr>
          <w:p w14:paraId="0523D824">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2.学生</w:t>
            </w:r>
          </w:p>
          <w:p w14:paraId="4B27A10A">
            <w:pPr>
              <w:spacing w:line="264" w:lineRule="auto"/>
              <w:ind w:firstLine="210" w:firstLineChars="100"/>
              <w:jc w:val="left"/>
              <w:rPr>
                <w:rFonts w:hint="eastAsia" w:ascii="宋体" w:hAnsi="宋体" w:eastAsia="宋体" w:cs="Times New Roman"/>
                <w:color w:val="auto"/>
                <w:szCs w:val="21"/>
              </w:rPr>
            </w:pPr>
            <w:r>
              <w:rPr>
                <w:rFonts w:hint="eastAsia" w:ascii="宋体" w:hAnsi="宋体" w:eastAsia="宋体" w:cs="Times New Roman"/>
                <w:color w:val="auto"/>
                <w:szCs w:val="21"/>
              </w:rPr>
              <w:t>心理</w:t>
            </w:r>
          </w:p>
        </w:tc>
        <w:tc>
          <w:tcPr>
            <w:tcW w:w="2033" w:type="dxa"/>
            <w:vAlign w:val="center"/>
          </w:tcPr>
          <w:p w14:paraId="4A59CCC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（1）学生的认知发展</w:t>
            </w:r>
          </w:p>
          <w:p w14:paraId="7212E24F">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（2）学生的情感和个性发展</w:t>
            </w:r>
          </w:p>
          <w:p w14:paraId="5980EAF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（3）学生的个体差异</w:t>
            </w:r>
          </w:p>
        </w:tc>
        <w:tc>
          <w:tcPr>
            <w:tcW w:w="1125" w:type="dxa"/>
            <w:vAlign w:val="center"/>
          </w:tcPr>
          <w:p w14:paraId="41C389CF">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3050" w:type="dxa"/>
            <w:vAlign w:val="center"/>
          </w:tcPr>
          <w:p w14:paraId="058A8FE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（1）掌握学生发展的一般规律，把握学生发展的个体差异性；</w:t>
            </w:r>
          </w:p>
          <w:p w14:paraId="2FBEA81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（2）把握不同年龄阶段小学生的学习特点。</w:t>
            </w:r>
          </w:p>
        </w:tc>
        <w:tc>
          <w:tcPr>
            <w:tcW w:w="1448" w:type="dxa"/>
            <w:vAlign w:val="center"/>
          </w:tcPr>
          <w:p w14:paraId="4043762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7717F94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2.多媒体教学3.课堂讨论</w:t>
            </w:r>
          </w:p>
          <w:p w14:paraId="6DC1F299">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438" w:type="dxa"/>
            <w:gridSpan w:val="2"/>
            <w:vAlign w:val="center"/>
          </w:tcPr>
          <w:p w14:paraId="4484DC94">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64BC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continue"/>
            <w:vAlign w:val="center"/>
          </w:tcPr>
          <w:p w14:paraId="3305B791">
            <w:pPr>
              <w:spacing w:line="264" w:lineRule="auto"/>
              <w:jc w:val="center"/>
              <w:rPr>
                <w:rFonts w:hint="eastAsia" w:ascii="宋体" w:hAnsi="宋体" w:eastAsia="宋体" w:cs="Times New Roman"/>
                <w:color w:val="auto"/>
                <w:szCs w:val="21"/>
              </w:rPr>
            </w:pPr>
          </w:p>
        </w:tc>
        <w:tc>
          <w:tcPr>
            <w:tcW w:w="8094" w:type="dxa"/>
            <w:gridSpan w:val="6"/>
            <w:vAlign w:val="center"/>
          </w:tcPr>
          <w:p w14:paraId="7D5FF164">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通过学习认识人的心理的发展和个体差异性，培养学生对自我的全面认识和对他人的尊重，进而为四个自信以及心态平和的价值观打下良好的自我基础。</w:t>
            </w:r>
          </w:p>
        </w:tc>
      </w:tr>
      <w:tr w14:paraId="6793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restart"/>
            <w:vAlign w:val="center"/>
          </w:tcPr>
          <w:p w14:paraId="2E9EE778">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3.学习</w:t>
            </w:r>
          </w:p>
          <w:p w14:paraId="2122B7AB">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心理导论</w:t>
            </w:r>
          </w:p>
        </w:tc>
        <w:tc>
          <w:tcPr>
            <w:tcW w:w="2033" w:type="dxa"/>
            <w:vAlign w:val="center"/>
          </w:tcPr>
          <w:p w14:paraId="4BECE32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（1）学习及分类</w:t>
            </w:r>
          </w:p>
          <w:p w14:paraId="59D231D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（2）学习与脑</w:t>
            </w:r>
          </w:p>
          <w:p w14:paraId="6FCE0E0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（3）学习理论发展</w:t>
            </w:r>
          </w:p>
        </w:tc>
        <w:tc>
          <w:tcPr>
            <w:tcW w:w="1125" w:type="dxa"/>
            <w:vAlign w:val="center"/>
          </w:tcPr>
          <w:p w14:paraId="4EFDA425">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3050" w:type="dxa"/>
            <w:vAlign w:val="center"/>
          </w:tcPr>
          <w:p w14:paraId="738F0BD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（1）理解学习的实质；</w:t>
            </w:r>
          </w:p>
          <w:p w14:paraId="51C6F0C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（2）掌握学习的分类；</w:t>
            </w:r>
          </w:p>
          <w:p w14:paraId="580F037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（3）了解有关学习理论的发展过程。</w:t>
            </w:r>
          </w:p>
        </w:tc>
        <w:tc>
          <w:tcPr>
            <w:tcW w:w="1448" w:type="dxa"/>
            <w:vAlign w:val="center"/>
          </w:tcPr>
          <w:p w14:paraId="5303CC08">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53B741C5">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38630DDD">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gridSpan w:val="2"/>
            <w:vAlign w:val="center"/>
          </w:tcPr>
          <w:p w14:paraId="4B17B552">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1E1E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continue"/>
            <w:vAlign w:val="center"/>
          </w:tcPr>
          <w:p w14:paraId="2F7A68E1">
            <w:pPr>
              <w:spacing w:line="264" w:lineRule="auto"/>
              <w:jc w:val="center"/>
              <w:rPr>
                <w:rFonts w:hint="eastAsia" w:ascii="宋体" w:hAnsi="宋体" w:eastAsia="宋体" w:cs="Times New Roman"/>
                <w:color w:val="auto"/>
                <w:szCs w:val="21"/>
              </w:rPr>
            </w:pPr>
          </w:p>
        </w:tc>
        <w:tc>
          <w:tcPr>
            <w:tcW w:w="8094" w:type="dxa"/>
            <w:gridSpan w:val="6"/>
            <w:vAlign w:val="center"/>
          </w:tcPr>
          <w:p w14:paraId="06163C95">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从辩证思维的角度掌握教育与社会发展的关系在分析教育与经济、教育与政治、教育与文化的关系中，树立制度自信和文化自信。</w:t>
            </w:r>
          </w:p>
        </w:tc>
      </w:tr>
      <w:tr w14:paraId="46B5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restart"/>
            <w:vAlign w:val="center"/>
          </w:tcPr>
          <w:p w14:paraId="227D1264">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4.行为</w:t>
            </w:r>
          </w:p>
          <w:p w14:paraId="33375D05">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主义</w:t>
            </w:r>
          </w:p>
          <w:p w14:paraId="6DF868B9">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学习理论</w:t>
            </w:r>
          </w:p>
        </w:tc>
        <w:tc>
          <w:tcPr>
            <w:tcW w:w="2033" w:type="dxa"/>
            <w:vAlign w:val="center"/>
          </w:tcPr>
          <w:p w14:paraId="6DD66E3A">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（1）经典条件作用理论</w:t>
            </w:r>
          </w:p>
          <w:p w14:paraId="564F8BFF">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（2）联结主义理论</w:t>
            </w:r>
          </w:p>
          <w:p w14:paraId="44BAA940">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（3）操作条件作用理论</w:t>
            </w:r>
          </w:p>
          <w:p w14:paraId="47FBE08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（4）社会学习理论</w:t>
            </w:r>
          </w:p>
        </w:tc>
        <w:tc>
          <w:tcPr>
            <w:tcW w:w="1125" w:type="dxa"/>
            <w:vAlign w:val="center"/>
          </w:tcPr>
          <w:p w14:paraId="24E0900E">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3050" w:type="dxa"/>
            <w:vAlign w:val="center"/>
          </w:tcPr>
          <w:p w14:paraId="56031EBC">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（1）掌握行为主义有关学习的本质和习得条件的基本观点；</w:t>
            </w:r>
          </w:p>
          <w:p w14:paraId="50BEEE3C">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（2）比较各种行为主义学习理论的异同；</w:t>
            </w:r>
          </w:p>
          <w:p w14:paraId="47C648C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（3）结合人工智能与脑神经研究了解行为主义理论发展的新进展。</w:t>
            </w:r>
          </w:p>
          <w:p w14:paraId="1CE2604C">
            <w:pPr>
              <w:spacing w:line="276" w:lineRule="auto"/>
              <w:jc w:val="left"/>
              <w:rPr>
                <w:rFonts w:hint="eastAsia" w:ascii="宋体" w:hAnsi="宋体" w:eastAsia="宋体" w:cs="Times New Roman"/>
                <w:color w:val="auto"/>
                <w:szCs w:val="21"/>
              </w:rPr>
            </w:pPr>
          </w:p>
        </w:tc>
        <w:tc>
          <w:tcPr>
            <w:tcW w:w="1448" w:type="dxa"/>
            <w:vAlign w:val="center"/>
          </w:tcPr>
          <w:p w14:paraId="3394F5F6">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74ACBA9A">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217F96CA">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gridSpan w:val="2"/>
            <w:vAlign w:val="center"/>
          </w:tcPr>
          <w:p w14:paraId="36C88C24">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w:t>
            </w:r>
          </w:p>
        </w:tc>
      </w:tr>
      <w:tr w14:paraId="45BE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continue"/>
            <w:vAlign w:val="center"/>
          </w:tcPr>
          <w:p w14:paraId="293BC48F">
            <w:pPr>
              <w:spacing w:line="276" w:lineRule="auto"/>
              <w:jc w:val="center"/>
              <w:rPr>
                <w:rFonts w:hint="eastAsia" w:ascii="宋体" w:hAnsi="宋体" w:eastAsia="宋体" w:cs="Times New Roman"/>
                <w:color w:val="auto"/>
                <w:szCs w:val="21"/>
              </w:rPr>
            </w:pPr>
          </w:p>
        </w:tc>
        <w:tc>
          <w:tcPr>
            <w:tcW w:w="8094" w:type="dxa"/>
            <w:gridSpan w:val="6"/>
            <w:vAlign w:val="center"/>
          </w:tcPr>
          <w:p w14:paraId="74F0677B">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了解行为主义学习理论观，让学生充分认识“做中学”的核心理念，结合我国在人工智能研究的探索，积极引导学生在日常生活中积极通过实际行动厚植爱国主义情怀，弘扬以爱国主义为核心的民族精神和以改革创新为核心的时代精神。</w:t>
            </w:r>
          </w:p>
        </w:tc>
      </w:tr>
      <w:tr w14:paraId="429E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restart"/>
            <w:vAlign w:val="center"/>
          </w:tcPr>
          <w:p w14:paraId="4335C82E">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 xml:space="preserve">5.认知 </w:t>
            </w:r>
          </w:p>
          <w:p w14:paraId="014D6F78">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学习理论</w:t>
            </w:r>
          </w:p>
        </w:tc>
        <w:tc>
          <w:tcPr>
            <w:tcW w:w="2033" w:type="dxa"/>
            <w:vAlign w:val="center"/>
          </w:tcPr>
          <w:p w14:paraId="12BA1182">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（1）早期的认知学习理论</w:t>
            </w:r>
          </w:p>
          <w:p w14:paraId="073E639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（2）认知结构学习理论</w:t>
            </w:r>
          </w:p>
          <w:p w14:paraId="7F7EB7FB">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（3）认知同化学习理论</w:t>
            </w:r>
          </w:p>
          <w:p w14:paraId="3B651BDF">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（4）学习的信息加工论</w:t>
            </w:r>
          </w:p>
        </w:tc>
        <w:tc>
          <w:tcPr>
            <w:tcW w:w="1125" w:type="dxa"/>
            <w:vAlign w:val="center"/>
          </w:tcPr>
          <w:p w14:paraId="30EB09A9">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3050" w:type="dxa"/>
            <w:vAlign w:val="center"/>
          </w:tcPr>
          <w:p w14:paraId="43DE7575">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（1）掌握各认知主义学习理论有关学习的本质和习得条件的基本观点；</w:t>
            </w:r>
          </w:p>
          <w:p w14:paraId="484CD3E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（2）比较各种行为主义学习理论的异同。</w:t>
            </w:r>
          </w:p>
          <w:p w14:paraId="466A5348">
            <w:pPr>
              <w:spacing w:line="276" w:lineRule="auto"/>
              <w:jc w:val="left"/>
              <w:rPr>
                <w:rFonts w:hint="eastAsia" w:ascii="宋体" w:hAnsi="宋体" w:eastAsia="宋体" w:cs="Times New Roman"/>
                <w:color w:val="auto"/>
                <w:szCs w:val="21"/>
              </w:rPr>
            </w:pPr>
          </w:p>
        </w:tc>
        <w:tc>
          <w:tcPr>
            <w:tcW w:w="1448" w:type="dxa"/>
            <w:vAlign w:val="center"/>
          </w:tcPr>
          <w:p w14:paraId="7809CF7D">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2B69E28D">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182503AE">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gridSpan w:val="2"/>
            <w:vAlign w:val="center"/>
          </w:tcPr>
          <w:p w14:paraId="5F0AF67D">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w:t>
            </w:r>
          </w:p>
        </w:tc>
      </w:tr>
      <w:tr w14:paraId="375B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continue"/>
            <w:vAlign w:val="center"/>
          </w:tcPr>
          <w:p w14:paraId="666275DE">
            <w:pPr>
              <w:spacing w:line="276" w:lineRule="auto"/>
              <w:jc w:val="center"/>
              <w:rPr>
                <w:rFonts w:hint="eastAsia" w:ascii="宋体" w:hAnsi="宋体" w:eastAsia="宋体" w:cs="Times New Roman"/>
                <w:color w:val="auto"/>
                <w:szCs w:val="21"/>
              </w:rPr>
            </w:pPr>
          </w:p>
        </w:tc>
        <w:tc>
          <w:tcPr>
            <w:tcW w:w="8094" w:type="dxa"/>
            <w:gridSpan w:val="6"/>
            <w:vAlign w:val="center"/>
          </w:tcPr>
          <w:p w14:paraId="6A50C327">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了解认知主义的学习观，让学生充分认识并内化新时代中国特色社会主义的核心理念，使学生对待学习和知识获取方面同频共振，使课堂教学在认知层面成为引导学生成为学习知识、锤炼心志和养成品行的过程。</w:t>
            </w:r>
          </w:p>
        </w:tc>
      </w:tr>
      <w:tr w14:paraId="008F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restart"/>
            <w:vAlign w:val="center"/>
          </w:tcPr>
          <w:p w14:paraId="4F10F2F9">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6.建构</w:t>
            </w:r>
          </w:p>
          <w:p w14:paraId="5846218F">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主义与人本主义学习理论</w:t>
            </w:r>
          </w:p>
        </w:tc>
        <w:tc>
          <w:tcPr>
            <w:tcW w:w="2033" w:type="dxa"/>
            <w:vAlign w:val="center"/>
          </w:tcPr>
          <w:p w14:paraId="15824265">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（1）建构主义学习理论</w:t>
            </w:r>
          </w:p>
          <w:p w14:paraId="4139CF3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（2）人本主义学习理论</w:t>
            </w:r>
          </w:p>
        </w:tc>
        <w:tc>
          <w:tcPr>
            <w:tcW w:w="1125" w:type="dxa"/>
            <w:vAlign w:val="center"/>
          </w:tcPr>
          <w:p w14:paraId="61CE74F9">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3050" w:type="dxa"/>
            <w:vAlign w:val="center"/>
          </w:tcPr>
          <w:p w14:paraId="486A5D0F">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（1）掌握建构主义学习理论的基本观点；</w:t>
            </w:r>
          </w:p>
          <w:p w14:paraId="3380D1C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（2）掌握人本主义学习理论的基本观点；</w:t>
            </w:r>
          </w:p>
        </w:tc>
        <w:tc>
          <w:tcPr>
            <w:tcW w:w="1448" w:type="dxa"/>
            <w:vAlign w:val="center"/>
          </w:tcPr>
          <w:p w14:paraId="6FFD9F01">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6FC9DB07">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2DE48A83">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gridSpan w:val="2"/>
            <w:vAlign w:val="center"/>
          </w:tcPr>
          <w:p w14:paraId="33A29DE1">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11F3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continue"/>
            <w:vAlign w:val="center"/>
          </w:tcPr>
          <w:p w14:paraId="1F74D996">
            <w:pPr>
              <w:spacing w:line="276" w:lineRule="auto"/>
              <w:jc w:val="center"/>
              <w:rPr>
                <w:rFonts w:hint="eastAsia" w:ascii="宋体" w:hAnsi="宋体" w:eastAsia="宋体" w:cs="Times New Roman"/>
                <w:color w:val="auto"/>
                <w:szCs w:val="21"/>
              </w:rPr>
            </w:pPr>
          </w:p>
        </w:tc>
        <w:tc>
          <w:tcPr>
            <w:tcW w:w="8094" w:type="dxa"/>
            <w:gridSpan w:val="6"/>
            <w:vAlign w:val="center"/>
          </w:tcPr>
          <w:p w14:paraId="60CC1FF7">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通过认识建构主义与人本主义学习理念，让学生充分认识到人的主观能动性的作用，知识既然可以是建构获得，人的成长与成才更需要个人的积极努力和不懈追求，进而培养学生“功成不必在我”的初心精神。</w:t>
            </w:r>
          </w:p>
        </w:tc>
      </w:tr>
      <w:tr w14:paraId="4A5A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restart"/>
            <w:vAlign w:val="center"/>
          </w:tcPr>
          <w:p w14:paraId="39674977">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7.学习</w:t>
            </w:r>
          </w:p>
          <w:p w14:paraId="4A7A3711">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动机</w:t>
            </w:r>
          </w:p>
        </w:tc>
        <w:tc>
          <w:tcPr>
            <w:tcW w:w="2033" w:type="dxa"/>
            <w:vAlign w:val="center"/>
          </w:tcPr>
          <w:p w14:paraId="4D9F630A">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 xml:space="preserve">（1）学习动机的概述 </w:t>
            </w:r>
          </w:p>
          <w:p w14:paraId="76A744A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（2）学习动机的理论</w:t>
            </w:r>
          </w:p>
          <w:p w14:paraId="0A00D81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（3）学习动机的培养与激发</w:t>
            </w:r>
          </w:p>
        </w:tc>
        <w:tc>
          <w:tcPr>
            <w:tcW w:w="1125" w:type="dxa"/>
            <w:vAlign w:val="center"/>
          </w:tcPr>
          <w:p w14:paraId="5D6DB627">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3050" w:type="dxa"/>
            <w:vAlign w:val="center"/>
          </w:tcPr>
          <w:p w14:paraId="54F1D5ED">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（1）理解学习动机的概念及其分类，掌握小学生学习动机的特点；</w:t>
            </w:r>
          </w:p>
          <w:p w14:paraId="5CA8C42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（2）了解有关学习动机的基本理论；</w:t>
            </w:r>
          </w:p>
          <w:p w14:paraId="517B05C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（3）掌握学生学习动机的培养与激发的具体措施。</w:t>
            </w:r>
          </w:p>
        </w:tc>
        <w:tc>
          <w:tcPr>
            <w:tcW w:w="1448" w:type="dxa"/>
            <w:vAlign w:val="center"/>
          </w:tcPr>
          <w:p w14:paraId="779A9BA8">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0152647C">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50E5A49D">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gridSpan w:val="2"/>
            <w:vAlign w:val="center"/>
          </w:tcPr>
          <w:p w14:paraId="14E90463">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4DB46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continue"/>
            <w:vAlign w:val="center"/>
          </w:tcPr>
          <w:p w14:paraId="7D4D9C53">
            <w:pPr>
              <w:spacing w:line="276" w:lineRule="auto"/>
              <w:jc w:val="center"/>
              <w:rPr>
                <w:rFonts w:hint="eastAsia" w:ascii="宋体" w:hAnsi="宋体" w:eastAsia="宋体" w:cs="Times New Roman"/>
                <w:color w:val="auto"/>
                <w:szCs w:val="21"/>
              </w:rPr>
            </w:pPr>
          </w:p>
        </w:tc>
        <w:tc>
          <w:tcPr>
            <w:tcW w:w="8094" w:type="dxa"/>
            <w:gridSpan w:val="6"/>
            <w:vAlign w:val="center"/>
          </w:tcPr>
          <w:p w14:paraId="25732739">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通过学生对学习动机的理解，认识到个人意愿和心态在学习与工作中的重要作用，进而引导学生更好的深化对“不忘初心、牢记使命”所具有的警醒和激励作用。</w:t>
            </w:r>
          </w:p>
        </w:tc>
      </w:tr>
      <w:tr w14:paraId="2533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restart"/>
            <w:vAlign w:val="center"/>
          </w:tcPr>
          <w:p w14:paraId="1DEBF979">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8.知识的分类与</w:t>
            </w:r>
          </w:p>
          <w:p w14:paraId="00CE4EC8">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迁移</w:t>
            </w:r>
          </w:p>
        </w:tc>
        <w:tc>
          <w:tcPr>
            <w:tcW w:w="2033" w:type="dxa"/>
            <w:vAlign w:val="center"/>
          </w:tcPr>
          <w:p w14:paraId="05B10E80">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（1）知识的分类</w:t>
            </w:r>
          </w:p>
          <w:p w14:paraId="7485EEAF">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（2）学习的迁移</w:t>
            </w:r>
          </w:p>
          <w:p w14:paraId="51229F06">
            <w:pPr>
              <w:spacing w:line="264" w:lineRule="auto"/>
              <w:jc w:val="left"/>
              <w:rPr>
                <w:rFonts w:hint="eastAsia" w:ascii="宋体" w:hAnsi="宋体" w:eastAsia="宋体" w:cs="Times New Roman"/>
                <w:color w:val="auto"/>
                <w:szCs w:val="21"/>
              </w:rPr>
            </w:pPr>
          </w:p>
        </w:tc>
        <w:tc>
          <w:tcPr>
            <w:tcW w:w="1125" w:type="dxa"/>
            <w:vAlign w:val="center"/>
          </w:tcPr>
          <w:p w14:paraId="383B95E7">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3050" w:type="dxa"/>
            <w:vAlign w:val="center"/>
          </w:tcPr>
          <w:p w14:paraId="60F287E5">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（1）理解知识分类及表征；</w:t>
            </w:r>
          </w:p>
          <w:p w14:paraId="5354593F">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（2）把握迁移的主要理论观点；</w:t>
            </w:r>
          </w:p>
          <w:p w14:paraId="65F0A5CB">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（3）能提出为迁移而教的教学建议。</w:t>
            </w:r>
          </w:p>
        </w:tc>
        <w:tc>
          <w:tcPr>
            <w:tcW w:w="1448" w:type="dxa"/>
            <w:vAlign w:val="center"/>
          </w:tcPr>
          <w:p w14:paraId="5C1549C4">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37BBC90F">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3A1D0AA8">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gridSpan w:val="2"/>
            <w:vAlign w:val="center"/>
          </w:tcPr>
          <w:p w14:paraId="072EB071">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5432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continue"/>
            <w:vAlign w:val="center"/>
          </w:tcPr>
          <w:p w14:paraId="474C8DEC">
            <w:pPr>
              <w:spacing w:line="264" w:lineRule="auto"/>
              <w:jc w:val="center"/>
              <w:rPr>
                <w:rFonts w:hint="eastAsia" w:ascii="宋体" w:hAnsi="宋体" w:eastAsia="宋体" w:cs="Times New Roman"/>
                <w:color w:val="auto"/>
                <w:szCs w:val="21"/>
              </w:rPr>
            </w:pPr>
          </w:p>
        </w:tc>
        <w:tc>
          <w:tcPr>
            <w:tcW w:w="8094" w:type="dxa"/>
            <w:gridSpan w:val="6"/>
            <w:vAlign w:val="center"/>
          </w:tcPr>
          <w:p w14:paraId="5EED646F">
            <w:pPr>
              <w:spacing w:line="264"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通过对知识的本身概念和分类以及表征过程的学习和理解，让学生充分认识到汉语在人工智能时代的优越性，增强学生的民族自豪感。</w:t>
            </w:r>
          </w:p>
        </w:tc>
      </w:tr>
      <w:tr w14:paraId="35C8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restart"/>
            <w:vAlign w:val="center"/>
          </w:tcPr>
          <w:p w14:paraId="3E7C7501">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9.问题</w:t>
            </w:r>
          </w:p>
          <w:p w14:paraId="47A1859F">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解决与</w:t>
            </w:r>
          </w:p>
          <w:p w14:paraId="1A9011EF">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创造性</w:t>
            </w:r>
          </w:p>
        </w:tc>
        <w:tc>
          <w:tcPr>
            <w:tcW w:w="2033" w:type="dxa"/>
            <w:vAlign w:val="center"/>
          </w:tcPr>
          <w:p w14:paraId="240CCA41">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(1)问题与问题解决</w:t>
            </w:r>
          </w:p>
          <w:p w14:paraId="19B7DD95">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(2)问题解决的过程</w:t>
            </w:r>
          </w:p>
          <w:p w14:paraId="3DBC58EC">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(3)问题解决的训练</w:t>
            </w:r>
          </w:p>
          <w:p w14:paraId="7DAC2D9F">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(4)创造性思维</w:t>
            </w:r>
          </w:p>
        </w:tc>
        <w:tc>
          <w:tcPr>
            <w:tcW w:w="1125" w:type="dxa"/>
            <w:vAlign w:val="center"/>
          </w:tcPr>
          <w:p w14:paraId="515F2F70">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3050" w:type="dxa"/>
            <w:vAlign w:val="center"/>
          </w:tcPr>
          <w:p w14:paraId="4BABAD22">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（1）理解问题解决的内涵和基本过程；</w:t>
            </w:r>
          </w:p>
          <w:p w14:paraId="141DDC34">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（2）掌握问题解决能力培养的基本方法；</w:t>
            </w:r>
          </w:p>
          <w:p w14:paraId="58956B1D">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（3）理解创造性思维的内涵；</w:t>
            </w:r>
          </w:p>
          <w:p w14:paraId="773B2886">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（4）掌握创新心理教育的基本方法。</w:t>
            </w:r>
          </w:p>
        </w:tc>
        <w:tc>
          <w:tcPr>
            <w:tcW w:w="1448" w:type="dxa"/>
            <w:vAlign w:val="center"/>
          </w:tcPr>
          <w:p w14:paraId="338E9996">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00A6E18B">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1D274101">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gridSpan w:val="2"/>
            <w:vAlign w:val="center"/>
          </w:tcPr>
          <w:p w14:paraId="05F57CFD">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08B3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continue"/>
            <w:vAlign w:val="center"/>
          </w:tcPr>
          <w:p w14:paraId="6DFBBDDD">
            <w:pPr>
              <w:spacing w:line="264" w:lineRule="auto"/>
              <w:jc w:val="center"/>
              <w:rPr>
                <w:rFonts w:hint="eastAsia" w:ascii="宋体" w:hAnsi="宋体" w:eastAsia="宋体" w:cs="Times New Roman"/>
                <w:color w:val="auto"/>
                <w:szCs w:val="21"/>
              </w:rPr>
            </w:pPr>
          </w:p>
        </w:tc>
        <w:tc>
          <w:tcPr>
            <w:tcW w:w="8094" w:type="dxa"/>
            <w:gridSpan w:val="6"/>
            <w:vAlign w:val="center"/>
          </w:tcPr>
          <w:p w14:paraId="6DAFB4AE">
            <w:pPr>
              <w:spacing w:line="264"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通过对问题解决的原理的分析，培养学生在日常生活中如何有效思考，学会用更具创造性的方法去解决实际问题，继而为创新型社会贡献自己的一份力量。</w:t>
            </w:r>
          </w:p>
        </w:tc>
      </w:tr>
      <w:tr w14:paraId="5DCA4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restart"/>
            <w:vAlign w:val="center"/>
          </w:tcPr>
          <w:p w14:paraId="6358A489">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10.学习</w:t>
            </w:r>
          </w:p>
          <w:p w14:paraId="5AAD0604">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策略</w:t>
            </w:r>
          </w:p>
        </w:tc>
        <w:tc>
          <w:tcPr>
            <w:tcW w:w="2033" w:type="dxa"/>
            <w:vAlign w:val="center"/>
          </w:tcPr>
          <w:p w14:paraId="3ACCB706">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（1）学习策略概述</w:t>
            </w:r>
          </w:p>
          <w:p w14:paraId="5A96266A">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（2）认知策略</w:t>
            </w:r>
          </w:p>
          <w:p w14:paraId="4D4C840D">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（3）元认知策略与资源管理策略</w:t>
            </w:r>
          </w:p>
          <w:p w14:paraId="0B72D4DF">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（4）学习策略的促进</w:t>
            </w:r>
          </w:p>
        </w:tc>
        <w:tc>
          <w:tcPr>
            <w:tcW w:w="1125" w:type="dxa"/>
            <w:vAlign w:val="center"/>
          </w:tcPr>
          <w:p w14:paraId="4F5D22F0">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p w14:paraId="4312264E">
            <w:pPr>
              <w:spacing w:line="264" w:lineRule="auto"/>
              <w:jc w:val="center"/>
              <w:rPr>
                <w:rFonts w:hint="eastAsia" w:ascii="宋体" w:hAnsi="宋体" w:eastAsia="宋体" w:cs="Times New Roman"/>
                <w:color w:val="auto"/>
                <w:szCs w:val="21"/>
              </w:rPr>
            </w:pPr>
          </w:p>
        </w:tc>
        <w:tc>
          <w:tcPr>
            <w:tcW w:w="3050" w:type="dxa"/>
            <w:vAlign w:val="center"/>
          </w:tcPr>
          <w:p w14:paraId="2A54655D">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（1）理解学习策略的概念与类别；</w:t>
            </w:r>
          </w:p>
          <w:p w14:paraId="02C17143">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（2）掌握学习策略培养方法与措施。</w:t>
            </w:r>
          </w:p>
        </w:tc>
        <w:tc>
          <w:tcPr>
            <w:tcW w:w="1448" w:type="dxa"/>
            <w:vAlign w:val="center"/>
          </w:tcPr>
          <w:p w14:paraId="5222CDF6">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1C44402C">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015E8E63">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gridSpan w:val="2"/>
            <w:vAlign w:val="center"/>
          </w:tcPr>
          <w:p w14:paraId="23891A7F">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774FD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continue"/>
            <w:vAlign w:val="center"/>
          </w:tcPr>
          <w:p w14:paraId="34DC6851">
            <w:pPr>
              <w:spacing w:line="264" w:lineRule="auto"/>
              <w:jc w:val="center"/>
              <w:rPr>
                <w:rFonts w:hint="eastAsia" w:ascii="宋体" w:hAnsi="宋体" w:eastAsia="宋体" w:cs="Times New Roman"/>
                <w:color w:val="auto"/>
                <w:szCs w:val="21"/>
              </w:rPr>
            </w:pPr>
          </w:p>
        </w:tc>
        <w:tc>
          <w:tcPr>
            <w:tcW w:w="8094" w:type="dxa"/>
            <w:gridSpan w:val="6"/>
            <w:vAlign w:val="center"/>
          </w:tcPr>
          <w:p w14:paraId="069AAF9D">
            <w:pPr>
              <w:spacing w:line="264"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对学习策略的理解和领会，培养学生积极主动优化自己的学习策略，提高学习效率，进而更好地把马克思主义经典理论和习近平新时代中国特色社会主义思想等马克思主义中国化的最新理论成果融入到学习和生活当中。</w:t>
            </w:r>
          </w:p>
        </w:tc>
      </w:tr>
      <w:tr w14:paraId="3382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restart"/>
            <w:vAlign w:val="center"/>
          </w:tcPr>
          <w:p w14:paraId="4D3B18DD">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11.教学</w:t>
            </w:r>
          </w:p>
          <w:p w14:paraId="6F35AB54">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设计</w:t>
            </w:r>
          </w:p>
        </w:tc>
        <w:tc>
          <w:tcPr>
            <w:tcW w:w="2033" w:type="dxa"/>
            <w:vAlign w:val="center"/>
          </w:tcPr>
          <w:p w14:paraId="78FA9592">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（1）设置教学目标</w:t>
            </w:r>
          </w:p>
          <w:p w14:paraId="4048FD26">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（2）选择教学模式</w:t>
            </w:r>
          </w:p>
          <w:p w14:paraId="4B245F10">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（3）设置教学环境</w:t>
            </w:r>
          </w:p>
        </w:tc>
        <w:tc>
          <w:tcPr>
            <w:tcW w:w="1125" w:type="dxa"/>
            <w:vAlign w:val="center"/>
          </w:tcPr>
          <w:p w14:paraId="4D5FD4DC">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p w14:paraId="7075D2E9">
            <w:pPr>
              <w:spacing w:line="264" w:lineRule="auto"/>
              <w:jc w:val="center"/>
              <w:rPr>
                <w:rFonts w:hint="eastAsia" w:ascii="宋体" w:hAnsi="宋体" w:eastAsia="宋体" w:cs="Times New Roman"/>
                <w:color w:val="auto"/>
                <w:szCs w:val="21"/>
              </w:rPr>
            </w:pPr>
          </w:p>
        </w:tc>
        <w:tc>
          <w:tcPr>
            <w:tcW w:w="3050" w:type="dxa"/>
            <w:vAlign w:val="center"/>
          </w:tcPr>
          <w:p w14:paraId="7329306C">
            <w:pPr>
              <w:spacing w:line="264" w:lineRule="auto"/>
              <w:jc w:val="left"/>
              <w:rPr>
                <w:color w:val="auto"/>
              </w:rPr>
            </w:pPr>
            <w:r>
              <w:rPr>
                <w:rFonts w:hint="eastAsia"/>
                <w:color w:val="auto"/>
              </w:rPr>
              <w:t>（1）掌握教学目标的表述方式与目标分类体系，并为一完整课程设计教学目标；</w:t>
            </w:r>
          </w:p>
          <w:p w14:paraId="0E33A223">
            <w:pPr>
              <w:spacing w:line="264" w:lineRule="auto"/>
              <w:jc w:val="left"/>
              <w:rPr>
                <w:color w:val="auto"/>
              </w:rPr>
            </w:pPr>
            <w:r>
              <w:rPr>
                <w:rFonts w:hint="eastAsia"/>
                <w:color w:val="auto"/>
              </w:rPr>
              <w:t>（2）根据各类教学目标选择和运用相应的教学模式；</w:t>
            </w:r>
          </w:p>
          <w:p w14:paraId="6DDFD8C7">
            <w:pPr>
              <w:spacing w:line="264" w:lineRule="auto"/>
              <w:jc w:val="left"/>
              <w:rPr>
                <w:rFonts w:hint="eastAsia" w:ascii="宋体" w:hAnsi="宋体" w:eastAsia="宋体" w:cs="Times New Roman"/>
                <w:color w:val="auto"/>
                <w:szCs w:val="21"/>
              </w:rPr>
            </w:pPr>
            <w:r>
              <w:rPr>
                <w:rFonts w:hint="eastAsia"/>
                <w:color w:val="auto"/>
              </w:rPr>
              <w:t>（3）根据教学目标与教学模式布置教学环境。</w:t>
            </w:r>
          </w:p>
        </w:tc>
        <w:tc>
          <w:tcPr>
            <w:tcW w:w="1456" w:type="dxa"/>
            <w:gridSpan w:val="2"/>
            <w:vAlign w:val="center"/>
          </w:tcPr>
          <w:p w14:paraId="3F8C2FBF">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00108A22">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158FE25E">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0" w:type="dxa"/>
            <w:vAlign w:val="center"/>
          </w:tcPr>
          <w:p w14:paraId="4BEBE37A">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7F08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continue"/>
            <w:vAlign w:val="center"/>
          </w:tcPr>
          <w:p w14:paraId="32F67221">
            <w:pPr>
              <w:spacing w:line="264" w:lineRule="auto"/>
              <w:jc w:val="center"/>
              <w:rPr>
                <w:rFonts w:hint="eastAsia" w:ascii="宋体" w:hAnsi="宋体" w:eastAsia="宋体" w:cs="Times New Roman"/>
                <w:color w:val="auto"/>
                <w:szCs w:val="21"/>
              </w:rPr>
            </w:pPr>
          </w:p>
        </w:tc>
        <w:tc>
          <w:tcPr>
            <w:tcW w:w="8094" w:type="dxa"/>
            <w:gridSpan w:val="6"/>
            <w:vAlign w:val="center"/>
          </w:tcPr>
          <w:p w14:paraId="338537ED">
            <w:pPr>
              <w:spacing w:line="264"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通过学习如何设计教学，从而让学生在生活中学会如何规划自己的时间，如何让生活中的每一天过得充实、高效、有意义，进而为将来的职业规划打下良好的基础。</w:t>
            </w:r>
          </w:p>
          <w:p w14:paraId="18BF5412">
            <w:pPr>
              <w:spacing w:line="264" w:lineRule="auto"/>
              <w:jc w:val="left"/>
              <w:rPr>
                <w:rFonts w:hint="eastAsia" w:ascii="宋体" w:hAnsi="宋体" w:eastAsia="宋体" w:cs="Times New Roman"/>
                <w:color w:val="auto"/>
                <w:szCs w:val="21"/>
              </w:rPr>
            </w:pPr>
          </w:p>
        </w:tc>
      </w:tr>
      <w:tr w14:paraId="54E5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restart"/>
            <w:vAlign w:val="center"/>
          </w:tcPr>
          <w:p w14:paraId="13E9AE6C">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12.课堂</w:t>
            </w:r>
          </w:p>
          <w:p w14:paraId="06D51B1D">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管理</w:t>
            </w:r>
          </w:p>
        </w:tc>
        <w:tc>
          <w:tcPr>
            <w:tcW w:w="2033" w:type="dxa"/>
            <w:vAlign w:val="center"/>
          </w:tcPr>
          <w:p w14:paraId="387DCBA7">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（1）课堂管理概述</w:t>
            </w:r>
          </w:p>
          <w:p w14:paraId="4CFA8E46">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（2）课堂管理过程</w:t>
            </w:r>
          </w:p>
          <w:p w14:paraId="4330EDA5">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（3）处理严重的问题行为</w:t>
            </w:r>
          </w:p>
        </w:tc>
        <w:tc>
          <w:tcPr>
            <w:tcW w:w="1125" w:type="dxa"/>
            <w:vAlign w:val="center"/>
          </w:tcPr>
          <w:p w14:paraId="4719A117">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p w14:paraId="3D45DA81">
            <w:pPr>
              <w:spacing w:line="264" w:lineRule="auto"/>
              <w:jc w:val="center"/>
              <w:rPr>
                <w:rFonts w:hint="eastAsia" w:ascii="宋体" w:hAnsi="宋体" w:eastAsia="宋体" w:cs="Times New Roman"/>
                <w:color w:val="auto"/>
                <w:szCs w:val="21"/>
              </w:rPr>
            </w:pPr>
          </w:p>
        </w:tc>
        <w:tc>
          <w:tcPr>
            <w:tcW w:w="3050" w:type="dxa"/>
            <w:vAlign w:val="center"/>
          </w:tcPr>
          <w:p w14:paraId="3BDC56F6">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（1）了解课堂管理的目标和阶段性；</w:t>
            </w:r>
          </w:p>
          <w:p w14:paraId="0F00FBE1">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（2）把握课堂管理的基本环节；</w:t>
            </w:r>
          </w:p>
          <w:p w14:paraId="33CB986B">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（3）掌握课堂问题分析和处理的基本方法。</w:t>
            </w:r>
          </w:p>
        </w:tc>
        <w:tc>
          <w:tcPr>
            <w:tcW w:w="1456" w:type="dxa"/>
            <w:gridSpan w:val="2"/>
            <w:vAlign w:val="center"/>
          </w:tcPr>
          <w:p w14:paraId="24A304C2">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1CFA4FAF">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49CFB1CF">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0" w:type="dxa"/>
            <w:vAlign w:val="center"/>
          </w:tcPr>
          <w:p w14:paraId="3FE525BF">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489E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continue"/>
            <w:vAlign w:val="center"/>
          </w:tcPr>
          <w:p w14:paraId="10A2C3EA">
            <w:pPr>
              <w:spacing w:line="264" w:lineRule="auto"/>
              <w:jc w:val="center"/>
              <w:rPr>
                <w:rFonts w:hint="eastAsia" w:ascii="宋体" w:hAnsi="宋体" w:eastAsia="宋体" w:cs="Times New Roman"/>
                <w:color w:val="auto"/>
                <w:szCs w:val="21"/>
              </w:rPr>
            </w:pPr>
          </w:p>
        </w:tc>
        <w:tc>
          <w:tcPr>
            <w:tcW w:w="8094" w:type="dxa"/>
            <w:gridSpan w:val="6"/>
            <w:vAlign w:val="center"/>
          </w:tcPr>
          <w:p w14:paraId="4F4296C3">
            <w:pPr>
              <w:spacing w:line="264"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课堂管理一章的学习，让学生以小见大，形成对国家治理和政府管理的一些理念和规章的深刻认识，培育出“识大体、顾大局”的主人翁意识，引导学生树牢“四个意识”，坚定“四个自信”，坚决做到“两个维护”，为和谐社会的更快更好的发展贡献出自己的力量。</w:t>
            </w:r>
          </w:p>
        </w:tc>
      </w:tr>
      <w:tr w14:paraId="0A14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restart"/>
            <w:vAlign w:val="center"/>
          </w:tcPr>
          <w:p w14:paraId="081B1E20">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13.学习</w:t>
            </w:r>
          </w:p>
          <w:p w14:paraId="135F6840">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评估</w:t>
            </w:r>
          </w:p>
        </w:tc>
        <w:tc>
          <w:tcPr>
            <w:tcW w:w="2033" w:type="dxa"/>
            <w:vAlign w:val="center"/>
          </w:tcPr>
          <w:p w14:paraId="4E2F22AF">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（1）学习评定概述</w:t>
            </w:r>
          </w:p>
          <w:p w14:paraId="01527FB3">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（2）标准化测验</w:t>
            </w:r>
          </w:p>
          <w:p w14:paraId="54F9ADA0">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（3）教师自编测验</w:t>
            </w:r>
          </w:p>
          <w:p w14:paraId="0986A46D">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（4）真实性评定与评定结果报告</w:t>
            </w:r>
          </w:p>
        </w:tc>
        <w:tc>
          <w:tcPr>
            <w:tcW w:w="1125" w:type="dxa"/>
            <w:vAlign w:val="center"/>
          </w:tcPr>
          <w:p w14:paraId="0D5EAB9D">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p w14:paraId="03EA5A7D">
            <w:pPr>
              <w:spacing w:line="264" w:lineRule="auto"/>
              <w:jc w:val="center"/>
              <w:rPr>
                <w:rFonts w:hint="eastAsia" w:ascii="宋体" w:hAnsi="宋体" w:eastAsia="宋体" w:cs="Times New Roman"/>
                <w:color w:val="auto"/>
                <w:szCs w:val="21"/>
              </w:rPr>
            </w:pPr>
          </w:p>
        </w:tc>
        <w:tc>
          <w:tcPr>
            <w:tcW w:w="3050" w:type="dxa"/>
            <w:vAlign w:val="center"/>
          </w:tcPr>
          <w:p w14:paraId="509E2694">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（1）掌握学习评定的基本理论；</w:t>
            </w:r>
          </w:p>
          <w:p w14:paraId="5E3AEC4E">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（2）掌握学习评定的基本方法。</w:t>
            </w:r>
          </w:p>
        </w:tc>
        <w:tc>
          <w:tcPr>
            <w:tcW w:w="1456" w:type="dxa"/>
            <w:gridSpan w:val="2"/>
            <w:vAlign w:val="center"/>
          </w:tcPr>
          <w:p w14:paraId="158865CC">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2CB60772">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5E486D10">
            <w:pPr>
              <w:spacing w:line="264"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0" w:type="dxa"/>
            <w:vAlign w:val="center"/>
          </w:tcPr>
          <w:p w14:paraId="1B8CF80D">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331C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continue"/>
            <w:vAlign w:val="center"/>
          </w:tcPr>
          <w:p w14:paraId="5836432E">
            <w:pPr>
              <w:spacing w:line="264" w:lineRule="auto"/>
              <w:jc w:val="center"/>
              <w:rPr>
                <w:rFonts w:hint="eastAsia" w:ascii="宋体" w:hAnsi="宋体" w:eastAsia="宋体" w:cs="Times New Roman"/>
                <w:color w:val="auto"/>
                <w:szCs w:val="21"/>
              </w:rPr>
            </w:pPr>
          </w:p>
        </w:tc>
        <w:tc>
          <w:tcPr>
            <w:tcW w:w="8094" w:type="dxa"/>
            <w:gridSpan w:val="6"/>
            <w:vAlign w:val="center"/>
          </w:tcPr>
          <w:p w14:paraId="34BC33D2">
            <w:pPr>
              <w:spacing w:line="264"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了解并掌握有关如何进行学习评定这一主题，让学生充分认识到国家如何评定育人成果的问题，进而深刻理解中央提出的“培养什么人、怎样培养人、为谁培养人”等问题，从而在潜移默化中引导学生树立正确的世界观、人生观、价值观。</w:t>
            </w:r>
          </w:p>
        </w:tc>
      </w:tr>
    </w:tbl>
    <w:p w14:paraId="62556145">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r>
        <w:rPr>
          <w:rFonts w:hint="eastAsia" w:ascii="宋体" w:hAnsi="宋体" w:eastAsia="宋体" w:cs="Times New Roman"/>
          <w:b/>
          <w:color w:val="auto"/>
          <w:sz w:val="24"/>
        </w:rPr>
        <w:t>四、目标评价与成绩评定</w:t>
      </w:r>
    </w:p>
    <w:p w14:paraId="008182E4">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03870ABF">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1615"/>
        <w:gridCol w:w="1615"/>
        <w:gridCol w:w="1615"/>
        <w:gridCol w:w="1739"/>
      </w:tblGrid>
      <w:tr w14:paraId="6E80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2" w:type="dxa"/>
            <w:vMerge w:val="restart"/>
            <w:vAlign w:val="center"/>
          </w:tcPr>
          <w:p w14:paraId="0841656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4845" w:type="dxa"/>
            <w:gridSpan w:val="3"/>
            <w:vAlign w:val="center"/>
          </w:tcPr>
          <w:p w14:paraId="4FDBFE9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739" w:type="dxa"/>
            <w:vMerge w:val="restart"/>
            <w:vAlign w:val="center"/>
          </w:tcPr>
          <w:p w14:paraId="45C3402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3057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2" w:type="dxa"/>
            <w:vMerge w:val="continue"/>
            <w:vAlign w:val="center"/>
          </w:tcPr>
          <w:p w14:paraId="5CACDAA6">
            <w:pPr>
              <w:spacing w:line="360" w:lineRule="auto"/>
              <w:jc w:val="center"/>
              <w:rPr>
                <w:rFonts w:hint="eastAsia" w:ascii="宋体" w:hAnsi="宋体" w:eastAsia="宋体" w:cs="Times New Roman"/>
                <w:color w:val="auto"/>
                <w:szCs w:val="21"/>
              </w:rPr>
            </w:pPr>
          </w:p>
        </w:tc>
        <w:tc>
          <w:tcPr>
            <w:tcW w:w="1615" w:type="dxa"/>
            <w:vAlign w:val="center"/>
          </w:tcPr>
          <w:p w14:paraId="6E4CF82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1615" w:type="dxa"/>
            <w:vAlign w:val="center"/>
          </w:tcPr>
          <w:p w14:paraId="19D8046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1615" w:type="dxa"/>
            <w:vAlign w:val="center"/>
          </w:tcPr>
          <w:p w14:paraId="0F2E759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1739" w:type="dxa"/>
            <w:vMerge w:val="continue"/>
            <w:vAlign w:val="center"/>
          </w:tcPr>
          <w:p w14:paraId="0461A083">
            <w:pPr>
              <w:spacing w:line="360" w:lineRule="auto"/>
              <w:jc w:val="center"/>
              <w:rPr>
                <w:rFonts w:hint="eastAsia" w:ascii="宋体" w:hAnsi="宋体" w:eastAsia="宋体" w:cs="Times New Roman"/>
                <w:color w:val="auto"/>
                <w:szCs w:val="21"/>
              </w:rPr>
            </w:pPr>
          </w:p>
        </w:tc>
      </w:tr>
      <w:tr w14:paraId="7820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2" w:type="dxa"/>
            <w:vAlign w:val="center"/>
          </w:tcPr>
          <w:p w14:paraId="24A630B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615" w:type="dxa"/>
            <w:vAlign w:val="center"/>
          </w:tcPr>
          <w:p w14:paraId="16A6EF5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15" w:type="dxa"/>
            <w:vAlign w:val="center"/>
          </w:tcPr>
          <w:p w14:paraId="1D3790F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sym w:font="Wingdings 2" w:char="F050"/>
            </w:r>
          </w:p>
        </w:tc>
        <w:tc>
          <w:tcPr>
            <w:tcW w:w="1615" w:type="dxa"/>
            <w:vAlign w:val="center"/>
          </w:tcPr>
          <w:p w14:paraId="77C09FA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739" w:type="dxa"/>
            <w:vAlign w:val="center"/>
          </w:tcPr>
          <w:p w14:paraId="33B9C0A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80</w:t>
            </w:r>
          </w:p>
        </w:tc>
      </w:tr>
      <w:tr w14:paraId="10B6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2" w:type="dxa"/>
            <w:vAlign w:val="center"/>
          </w:tcPr>
          <w:p w14:paraId="1949CF6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615" w:type="dxa"/>
            <w:vAlign w:val="center"/>
          </w:tcPr>
          <w:p w14:paraId="3FA6DC2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15" w:type="dxa"/>
            <w:vAlign w:val="center"/>
          </w:tcPr>
          <w:p w14:paraId="7F591C1C">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15" w:type="dxa"/>
            <w:vAlign w:val="center"/>
          </w:tcPr>
          <w:p w14:paraId="18984AB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739" w:type="dxa"/>
            <w:vAlign w:val="center"/>
          </w:tcPr>
          <w:p w14:paraId="25783C8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40DB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2" w:type="dxa"/>
            <w:vAlign w:val="center"/>
          </w:tcPr>
          <w:p w14:paraId="322E683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615" w:type="dxa"/>
            <w:vAlign w:val="center"/>
          </w:tcPr>
          <w:p w14:paraId="3961E099">
            <w:pPr>
              <w:spacing w:line="360" w:lineRule="auto"/>
              <w:jc w:val="center"/>
              <w:rPr>
                <w:rFonts w:hint="eastAsia" w:ascii="宋体" w:hAnsi="宋体" w:eastAsia="宋体" w:cs="Times New Roman"/>
                <w:color w:val="auto"/>
                <w:szCs w:val="21"/>
              </w:rPr>
            </w:pPr>
          </w:p>
        </w:tc>
        <w:tc>
          <w:tcPr>
            <w:tcW w:w="1615" w:type="dxa"/>
            <w:vAlign w:val="center"/>
          </w:tcPr>
          <w:p w14:paraId="7AF231C2">
            <w:pPr>
              <w:spacing w:line="360" w:lineRule="auto"/>
              <w:jc w:val="center"/>
              <w:rPr>
                <w:rFonts w:hint="eastAsia" w:ascii="宋体" w:hAnsi="宋体" w:eastAsia="宋体" w:cs="Times New Roman"/>
                <w:color w:val="auto"/>
                <w:szCs w:val="21"/>
              </w:rPr>
            </w:pPr>
          </w:p>
        </w:tc>
        <w:tc>
          <w:tcPr>
            <w:tcW w:w="1615" w:type="dxa"/>
            <w:vAlign w:val="center"/>
          </w:tcPr>
          <w:p w14:paraId="386BDA0F">
            <w:pPr>
              <w:spacing w:line="360" w:lineRule="auto"/>
              <w:jc w:val="center"/>
              <w:rPr>
                <w:rFonts w:hint="eastAsia" w:ascii="宋体" w:hAnsi="宋体" w:eastAsia="宋体" w:cs="Times New Roman"/>
                <w:color w:val="auto"/>
                <w:szCs w:val="21"/>
              </w:rPr>
            </w:pPr>
          </w:p>
        </w:tc>
        <w:tc>
          <w:tcPr>
            <w:tcW w:w="1739" w:type="dxa"/>
            <w:vAlign w:val="center"/>
          </w:tcPr>
          <w:p w14:paraId="1C99519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44170ACB">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4305D514">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p w14:paraId="20E3EE05">
      <w:pPr>
        <w:jc w:val="center"/>
        <w:rPr>
          <w:rFonts w:ascii="Times New Roman" w:hAnsi="Times New Roman" w:eastAsia="宋体" w:cs="Times New Roman"/>
          <w:b/>
          <w:bCs/>
          <w:color w:val="auto"/>
          <w:szCs w:val="21"/>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A61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B791FBF">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10C39EB5">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3BAC41B2">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01F4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D67C8D7">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7141" w:type="dxa"/>
            <w:vAlign w:val="center"/>
          </w:tcPr>
          <w:p w14:paraId="7190D8AA">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3次。三次小论文，评价依据为论文的规范性、逻辑性、创新性及整洁性；一次教学设计，评价依据如下：（1）‌教学目标：明确性：目标清晰、具体，便于操作；恰当性：符合大纲、学科特点和学生实际；全面性：体现知识、能力、思想等多个方面。（2）‌教学内容‌：逻辑性：内容系统、有条理，逻辑性强；针对性：突出重点、难点，抓住关键。（3）‌教学方法‌：多样性：灵活运用多种教学方法，提高教学效果；创新性：鼓励创新思维和实践能力的培养。（4）‌教学程序‌：合理性：教学环节设计合理，过渡自然；</w:t>
            </w:r>
          </w:p>
          <w:p w14:paraId="5CD4D590">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主体性：体现学生的主体地位，鼓励学生主动参与。（5）‌教学手段‌：现代性：恰当运用现代教学手段，提高教学效率。（6）‌教学评价‌：有效性：能够有效评价学生的学习成果，提供反馈。（7）‌教学效果‌：达成度：教学目标达成，教学效果显著‌。</w:t>
            </w:r>
          </w:p>
        </w:tc>
        <w:tc>
          <w:tcPr>
            <w:tcW w:w="0" w:type="auto"/>
            <w:vAlign w:val="center"/>
          </w:tcPr>
          <w:p w14:paraId="6C11CD0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w:t>
            </w:r>
          </w:p>
        </w:tc>
      </w:tr>
      <w:tr w14:paraId="3A90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72568B6">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7141" w:type="dxa"/>
            <w:vAlign w:val="center"/>
          </w:tcPr>
          <w:p w14:paraId="112EB96E">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一是课题考勤情况</w:t>
            </w:r>
            <w:r>
              <w:rPr>
                <w:rFonts w:ascii="宋体" w:hAnsi="宋体" w:eastAsia="宋体" w:cs="宋体"/>
                <w:color w:val="auto"/>
                <w:kern w:val="0"/>
                <w:szCs w:val="21"/>
                <w:lang w:bidi="ar"/>
              </w:rPr>
              <w:t>。</w:t>
            </w:r>
            <w:r>
              <w:rPr>
                <w:rFonts w:hint="eastAsia" w:ascii="Times New Roman" w:hAnsi="Times New Roman" w:eastAsia="宋体" w:cs="Times New Roman"/>
                <w:color w:val="auto"/>
                <w:szCs w:val="21"/>
              </w:rPr>
              <w:t>迟到一次扣2分，无故缺席一次扣5分，累计达</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次以上（不含</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次）取消课程成绩。</w:t>
            </w:r>
          </w:p>
          <w:p w14:paraId="488C7AFD">
            <w:pPr>
              <w:widowControl/>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二是</w:t>
            </w:r>
            <w:r>
              <w:rPr>
                <w:rFonts w:ascii="宋体" w:hAnsi="宋体" w:eastAsia="宋体" w:cs="宋体"/>
                <w:color w:val="auto"/>
                <w:kern w:val="0"/>
                <w:szCs w:val="21"/>
                <w:lang w:bidi="ar"/>
              </w:rPr>
              <w:t>课堂参与</w:t>
            </w:r>
            <w:r>
              <w:rPr>
                <w:rFonts w:hint="eastAsia" w:ascii="宋体" w:hAnsi="宋体" w:eastAsia="宋体" w:cs="宋体"/>
                <w:color w:val="auto"/>
                <w:kern w:val="0"/>
                <w:szCs w:val="21"/>
                <w:lang w:bidi="ar"/>
              </w:rPr>
              <w:t>情况。</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表现良好，按照对应的课程目标及权重给予评定</w:t>
            </w:r>
            <w:r>
              <w:rPr>
                <w:rFonts w:hint="eastAsia" w:ascii="宋体" w:hAnsi="宋体" w:eastAsia="宋体" w:cs="宋体"/>
                <w:color w:val="auto"/>
                <w:kern w:val="0"/>
                <w:szCs w:val="21"/>
                <w:lang w:bidi="ar"/>
              </w:rPr>
              <w:t>。</w:t>
            </w:r>
          </w:p>
        </w:tc>
        <w:tc>
          <w:tcPr>
            <w:tcW w:w="0" w:type="auto"/>
            <w:vAlign w:val="center"/>
          </w:tcPr>
          <w:p w14:paraId="5057276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78B9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86CFED2">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7141" w:type="dxa"/>
            <w:vAlign w:val="center"/>
          </w:tcPr>
          <w:p w14:paraId="68789833">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试卷题型包括选择题、填空题、简答题、判断题、材料分析题、论述题和教学设计等，以卷面成绩的60%计入课程总成绩。其中考核教育心理学基本理论型题目占40%，考核学生运用基本理论知识进行案例分析能力型题目占30%；考核学生教学设计与评价能力型题目占30%。</w:t>
            </w:r>
          </w:p>
        </w:tc>
        <w:tc>
          <w:tcPr>
            <w:tcW w:w="0" w:type="auto"/>
            <w:vAlign w:val="center"/>
          </w:tcPr>
          <w:p w14:paraId="7573DB8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60%</w:t>
            </w:r>
          </w:p>
        </w:tc>
      </w:tr>
      <w:tr w14:paraId="204D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9E14C9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23445FD4">
            <w:pPr>
              <w:jc w:val="left"/>
              <w:rPr>
                <w:rFonts w:ascii="Times New Roman" w:hAnsi="Times New Roman" w:eastAsia="宋体" w:cs="Times New Roman"/>
                <w:color w:val="auto"/>
                <w:szCs w:val="21"/>
              </w:rPr>
            </w:pPr>
          </w:p>
        </w:tc>
        <w:tc>
          <w:tcPr>
            <w:tcW w:w="0" w:type="auto"/>
            <w:vAlign w:val="center"/>
          </w:tcPr>
          <w:p w14:paraId="111CFE1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57E482FA">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74818C28">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28EAC47B">
      <w:pPr>
        <w:spacing w:line="360" w:lineRule="auto"/>
        <w:jc w:val="left"/>
        <w:rPr>
          <w:rFonts w:hint="eastAsia" w:ascii="宋体" w:hAnsi="宋体" w:eastAsia="宋体" w:cs="Times New Roman"/>
          <w:color w:val="auto"/>
          <w:szCs w:val="21"/>
        </w:rPr>
      </w:pPr>
      <w:r>
        <w:rPr>
          <w:rFonts w:ascii="宋体" w:hAnsi="宋体" w:eastAsia="宋体" w:cs="Times New Roman"/>
          <w:color w:val="auto"/>
          <w:szCs w:val="21"/>
        </w:rPr>
        <w:object>
          <v:shape id="_x0000_i1043"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43" DrawAspect="Content" ObjectID="_1468075742" r:id="rId29">
            <o:LockedField>false</o:LockedField>
          </o:OLEObject>
        </w:object>
      </w:r>
    </w:p>
    <w:p w14:paraId="5180768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r>
        <w:rPr>
          <w:rFonts w:hint="eastAsia" w:ascii="宋体" w:hAnsi="宋体" w:eastAsia="宋体" w:cs="Times New Roman"/>
          <w:b/>
          <w:color w:val="auto"/>
          <w:sz w:val="24"/>
        </w:rPr>
        <w:t>五、有关说明</w:t>
      </w:r>
    </w:p>
    <w:p w14:paraId="484FFCB3">
      <w:pPr>
        <w:spacing w:line="336"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3F9E28D5">
      <w:pPr>
        <w:spacing w:line="336"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根据学生课堂教学中的反应、课后反馈、作业质量、答卷情况，以及领导、督导、教师同行等的听课情况，及时发现和改进教学中的不足之处，确保相应毕业要求指标点达成。</w:t>
      </w:r>
    </w:p>
    <w:p w14:paraId="319149FF">
      <w:pPr>
        <w:spacing w:line="336"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2DD09494">
      <w:pPr>
        <w:spacing w:line="336" w:lineRule="auto"/>
        <w:ind w:firstLine="420" w:firstLineChars="200"/>
        <w:jc w:val="left"/>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陈琦，刘儒德主编.教育心理学（第3版）.北京：高等教育出版社，2020.</w:t>
      </w:r>
    </w:p>
    <w:p w14:paraId="35E0BC8C">
      <w:pPr>
        <w:spacing w:line="336"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09AE04FB">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1.卢家楣主编.学习心理与教学:理论和实践(第3版). 上海：上海教育出版社，2016.</w:t>
      </w:r>
    </w:p>
    <w:p w14:paraId="7401B48C">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2.[美]伍尔福克（Woolfolk,A.）著，陈红兵，张春莉等译.教育心理学（第14版）.上海：华东师范大学出版社，2022.</w:t>
      </w:r>
    </w:p>
    <w:p w14:paraId="007854E0">
      <w:pPr>
        <w:spacing w:line="336" w:lineRule="auto"/>
        <w:ind w:firstLine="420" w:firstLineChars="200"/>
        <w:rPr>
          <w:rFonts w:eastAsia="宋体"/>
          <w:color w:val="auto"/>
        </w:rPr>
      </w:pPr>
      <w:r>
        <w:rPr>
          <w:rFonts w:hint="eastAsia" w:ascii="Times New Roman" w:hAnsi="Times New Roman" w:eastAsia="宋体" w:cs="Times New Roman"/>
          <w:bCs/>
          <w:color w:val="auto"/>
          <w:szCs w:val="21"/>
        </w:rPr>
        <w:t>3.[美]斯莱文（Slavin,R.）著，刘红瑞，姚梅林等译.教育心理学：理论与实践（第12版）.北京：人民邮电出版社，2024.</w:t>
      </w:r>
    </w:p>
    <w:p w14:paraId="235CCC26">
      <w:pPr>
        <w:autoSpaceDE w:val="0"/>
        <w:autoSpaceDN w:val="0"/>
        <w:adjustRightInd w:val="0"/>
        <w:spacing w:line="360" w:lineRule="auto"/>
        <w:ind w:firstLine="4620" w:firstLineChars="2200"/>
        <w:jc w:val="right"/>
        <w:rPr>
          <w:rFonts w:hint="eastAsia" w:ascii="宋体" w:hAnsi="宋体" w:eastAsia="宋体" w:cs="Times New Roman"/>
          <w:color w:val="auto"/>
          <w:kern w:val="0"/>
          <w:sz w:val="21"/>
          <w:szCs w:val="18"/>
        </w:rPr>
      </w:pPr>
      <w:r>
        <w:rPr>
          <w:rFonts w:ascii="宋体" w:hAnsi="宋体" w:eastAsia="宋体" w:cs="Times New Roman"/>
          <w:color w:val="auto"/>
          <w:kern w:val="0"/>
          <w:sz w:val="21"/>
          <w:szCs w:val="18"/>
        </w:rPr>
        <w:t>执笔人：</w:t>
      </w:r>
      <w:r>
        <w:rPr>
          <w:rFonts w:hint="eastAsia" w:ascii="宋体" w:hAnsi="宋体" w:eastAsia="宋体" w:cs="Times New Roman"/>
          <w:color w:val="auto"/>
          <w:kern w:val="0"/>
          <w:sz w:val="21"/>
          <w:szCs w:val="18"/>
        </w:rPr>
        <w:t>巫文胜</w:t>
      </w:r>
    </w:p>
    <w:p w14:paraId="3A109F2E">
      <w:pPr>
        <w:autoSpaceDE w:val="0"/>
        <w:autoSpaceDN w:val="0"/>
        <w:adjustRightInd w:val="0"/>
        <w:spacing w:line="360" w:lineRule="auto"/>
        <w:ind w:firstLine="4620" w:firstLineChars="2200"/>
        <w:jc w:val="right"/>
        <w:rPr>
          <w:rFonts w:hint="eastAsia" w:ascii="宋体" w:hAnsi="宋体" w:eastAsia="宋体" w:cs="Times New Roman"/>
          <w:color w:val="auto"/>
          <w:kern w:val="0"/>
          <w:sz w:val="21"/>
          <w:szCs w:val="18"/>
        </w:rPr>
      </w:pPr>
      <w:r>
        <w:rPr>
          <w:rFonts w:ascii="宋体" w:hAnsi="宋体" w:eastAsia="宋体" w:cs="Times New Roman"/>
          <w:color w:val="auto"/>
          <w:kern w:val="0"/>
          <w:sz w:val="21"/>
          <w:szCs w:val="18"/>
        </w:rPr>
        <w:t>审定人：</w:t>
      </w:r>
      <w:r>
        <w:rPr>
          <w:rFonts w:hint="eastAsia" w:ascii="宋体" w:hAnsi="宋体" w:eastAsia="宋体" w:cs="Times New Roman"/>
          <w:color w:val="auto"/>
          <w:kern w:val="0"/>
          <w:sz w:val="21"/>
          <w:szCs w:val="18"/>
        </w:rPr>
        <w:t>王</w:t>
      </w:r>
      <w:r>
        <w:rPr>
          <w:rFonts w:hint="eastAsia" w:ascii="宋体" w:hAnsi="宋体" w:eastAsia="宋体" w:cs="Times New Roman"/>
          <w:color w:val="auto"/>
          <w:kern w:val="0"/>
          <w:sz w:val="21"/>
          <w:szCs w:val="18"/>
          <w:lang w:val="en-US" w:eastAsia="zh-CN"/>
        </w:rPr>
        <w:t xml:space="preserve">  </w:t>
      </w:r>
      <w:r>
        <w:rPr>
          <w:rFonts w:hint="eastAsia" w:ascii="宋体" w:hAnsi="宋体" w:eastAsia="宋体" w:cs="Times New Roman"/>
          <w:color w:val="auto"/>
          <w:kern w:val="0"/>
          <w:sz w:val="21"/>
          <w:szCs w:val="18"/>
        </w:rPr>
        <w:t>健</w:t>
      </w:r>
      <w:r>
        <w:rPr>
          <w:rFonts w:ascii="宋体" w:hAnsi="宋体" w:eastAsia="宋体" w:cs="Times New Roman"/>
          <w:color w:val="auto"/>
          <w:kern w:val="0"/>
          <w:sz w:val="21"/>
          <w:szCs w:val="18"/>
        </w:rPr>
        <w:t xml:space="preserve"> </w:t>
      </w:r>
    </w:p>
    <w:p w14:paraId="2AB770BB">
      <w:pPr>
        <w:autoSpaceDE w:val="0"/>
        <w:autoSpaceDN w:val="0"/>
        <w:adjustRightInd w:val="0"/>
        <w:spacing w:line="360" w:lineRule="auto"/>
        <w:ind w:firstLine="4620" w:firstLineChars="2200"/>
        <w:jc w:val="right"/>
        <w:rPr>
          <w:rFonts w:hint="eastAsia" w:ascii="宋体" w:hAnsi="宋体" w:eastAsia="宋体" w:cs="Times New Roman"/>
          <w:color w:val="auto"/>
          <w:kern w:val="0"/>
          <w:sz w:val="21"/>
          <w:szCs w:val="18"/>
        </w:rPr>
      </w:pPr>
      <w:r>
        <w:rPr>
          <w:rFonts w:hint="eastAsia" w:ascii="宋体" w:hAnsi="宋体" w:eastAsia="宋体" w:cs="Times New Roman"/>
          <w:color w:val="auto"/>
          <w:kern w:val="0"/>
          <w:sz w:val="21"/>
          <w:szCs w:val="18"/>
        </w:rPr>
        <w:t>审批</w:t>
      </w:r>
      <w:r>
        <w:rPr>
          <w:rFonts w:ascii="宋体" w:hAnsi="宋体" w:eastAsia="宋体" w:cs="Times New Roman"/>
          <w:color w:val="auto"/>
          <w:kern w:val="0"/>
          <w:sz w:val="21"/>
          <w:szCs w:val="18"/>
        </w:rPr>
        <w:t>人：</w:t>
      </w:r>
      <w:r>
        <w:rPr>
          <w:rFonts w:hint="eastAsia" w:ascii="宋体" w:hAnsi="宋体" w:eastAsia="宋体" w:cs="Times New Roman"/>
          <w:color w:val="auto"/>
          <w:kern w:val="0"/>
          <w:sz w:val="21"/>
          <w:szCs w:val="18"/>
        </w:rPr>
        <w:t>张志欣</w:t>
      </w:r>
    </w:p>
    <w:p w14:paraId="5A6C7CF7">
      <w:pPr>
        <w:autoSpaceDE w:val="0"/>
        <w:autoSpaceDN w:val="0"/>
        <w:adjustRightInd w:val="0"/>
        <w:spacing w:line="360" w:lineRule="auto"/>
        <w:ind w:firstLine="4620" w:firstLineChars="2200"/>
        <w:jc w:val="right"/>
        <w:rPr>
          <w:rFonts w:hint="eastAsia" w:eastAsiaTheme="minorEastAsia"/>
          <w:color w:val="auto"/>
          <w:lang w:eastAsia="zh-CN"/>
        </w:rPr>
      </w:pPr>
      <w:r>
        <w:rPr>
          <w:rFonts w:hint="eastAsia" w:ascii="宋体" w:hAnsi="宋体" w:eastAsia="宋体" w:cs="Times New Roman"/>
          <w:color w:val="auto"/>
          <w:kern w:val="0"/>
          <w:sz w:val="21"/>
          <w:szCs w:val="18"/>
          <w:lang w:eastAsia="zh-CN"/>
        </w:rPr>
        <w:t>批准时间：2025年7月1日</w:t>
      </w:r>
    </w:p>
    <w:p w14:paraId="0F02F111">
      <w:pPr>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7EE6CAC6">
      <w:pPr>
        <w:spacing w:line="360" w:lineRule="auto"/>
        <w:jc w:val="center"/>
        <w:outlineLvl w:val="0"/>
        <w:rPr>
          <w:rFonts w:hint="eastAsia" w:ascii="Times New Roman" w:hAnsi="Times New Roman" w:eastAsia="宋体" w:cs="Times New Roman"/>
          <w:b/>
          <w:color w:val="auto"/>
          <w:sz w:val="44"/>
          <w:szCs w:val="44"/>
        </w:rPr>
      </w:pPr>
      <w:bookmarkStart w:id="299" w:name="_Toc32712"/>
      <w:bookmarkStart w:id="300" w:name="_Toc11969"/>
      <w:r>
        <w:rPr>
          <w:rFonts w:hint="eastAsia" w:ascii="Times New Roman" w:hAnsi="Times New Roman" w:eastAsia="宋体" w:cs="Times New Roman"/>
          <w:b/>
          <w:color w:val="auto"/>
          <w:sz w:val="44"/>
          <w:szCs w:val="44"/>
        </w:rPr>
        <w:t>《现代教育技术》课程教学大纲</w:t>
      </w:r>
      <w:bookmarkEnd w:id="299"/>
      <w:bookmarkEnd w:id="300"/>
    </w:p>
    <w:p w14:paraId="76FE1792">
      <w:pPr>
        <w:jc w:val="center"/>
        <w:rPr>
          <w:rFonts w:hint="default" w:ascii="Times New Roman" w:hAnsi="Times New Roman" w:cs="Times New Roman"/>
          <w:b/>
          <w:bCs/>
          <w:color w:val="auto"/>
          <w:sz w:val="28"/>
          <w:szCs w:val="36"/>
        </w:rPr>
      </w:pPr>
      <w:r>
        <w:rPr>
          <w:rFonts w:hint="default" w:ascii="Times New Roman" w:hAnsi="Times New Roman" w:cs="Times New Roman"/>
          <w:b/>
          <w:bCs/>
          <w:color w:val="auto"/>
          <w:sz w:val="28"/>
          <w:szCs w:val="36"/>
        </w:rPr>
        <w:t>（Modern Educational Technology）</w:t>
      </w:r>
    </w:p>
    <w:p w14:paraId="31FD7F49">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4"/>
          <w:lang w:val="en-US" w:eastAsia="zh-CN"/>
        </w:rPr>
      </w:pPr>
    </w:p>
    <w:p w14:paraId="59ED59A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课程名称：现代教育技术</w:t>
      </w:r>
    </w:p>
    <w:p w14:paraId="5FE7146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课程代码：2401054</w:t>
      </w:r>
    </w:p>
    <w:p w14:paraId="5A27298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学    分：2</w:t>
      </w:r>
    </w:p>
    <w:p w14:paraId="777C383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学    时：32 （其中：讲授学时16， 课内实践学时16）</w:t>
      </w:r>
    </w:p>
    <w:p w14:paraId="0ADC501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先修课程：教育原理、小学心理学、教育心理学、教育科学研究方法、教师职业道德小学班队管理、课程与教学论</w:t>
      </w:r>
    </w:p>
    <w:p w14:paraId="0D3870E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rPr>
      </w:pPr>
      <w:r>
        <w:rPr>
          <w:rFonts w:hint="default" w:ascii="Times New Roman" w:hAnsi="Times New Roman" w:eastAsia="宋体" w:cs="Times New Roman"/>
          <w:b/>
          <w:bCs/>
          <w:color w:val="auto"/>
          <w:sz w:val="24"/>
          <w:szCs w:val="32"/>
        </w:rPr>
        <w:t xml:space="preserve">适用专业：小学教育           </w:t>
      </w:r>
      <w:r>
        <w:rPr>
          <w:rFonts w:hint="default" w:ascii="Times New Roman" w:hAnsi="Times New Roman" w:eastAsia="宋体" w:cs="Times New Roman"/>
          <w:b/>
          <w:bCs/>
          <w:color w:val="auto"/>
        </w:rPr>
        <w:t xml:space="preserve">          </w:t>
      </w:r>
      <w:r>
        <w:rPr>
          <w:rFonts w:hint="eastAsia" w:ascii="宋体" w:hAnsi="宋体" w:eastAsia="宋体" w:cs="宋体"/>
          <w:color w:val="auto"/>
        </w:rPr>
        <w:t xml:space="preserve">    </w:t>
      </w:r>
    </w:p>
    <w:p w14:paraId="49DEC8D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hint="eastAsia" w:ascii="宋体" w:hAnsi="宋体" w:eastAsia="宋体" w:cs="宋体"/>
          <w:b/>
          <w:bCs/>
          <w:color w:val="auto"/>
          <w:sz w:val="24"/>
          <w:szCs w:val="32"/>
        </w:rPr>
      </w:pPr>
      <w:r>
        <w:rPr>
          <w:rFonts w:hint="eastAsia" w:ascii="宋体" w:hAnsi="宋体" w:eastAsia="宋体" w:cs="宋体"/>
          <w:b/>
          <w:bCs/>
          <w:color w:val="auto"/>
          <w:sz w:val="24"/>
          <w:szCs w:val="32"/>
        </w:rPr>
        <w:t>一、课程概况</w:t>
      </w:r>
    </w:p>
    <w:p w14:paraId="0D7EDF1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本课程是小学教育（理）专业的一门专业基础必修课程。通过本课程学习，使学生理解教育技术基本理论；掌握教学设计的方法并具备进行教学过程的设计、实施和评价的能力；熟悉各种常用教学媒体的操作、数字化教学资源的开发和利用，从而能够运用教育技术优化专业课程的教与学，推动教育教学改革并促进专业发展和个人发展，为后续小学数学课程标准与教材分析、小学数学教学设计与实施等课程及教育实习环节奠定基础。</w:t>
      </w:r>
    </w:p>
    <w:p w14:paraId="0F126C06">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hint="eastAsia" w:ascii="宋体" w:hAnsi="宋体" w:eastAsia="宋体" w:cs="宋体"/>
          <w:b/>
          <w:bCs/>
          <w:color w:val="auto"/>
          <w:sz w:val="24"/>
          <w:szCs w:val="32"/>
        </w:rPr>
      </w:pPr>
      <w:r>
        <w:rPr>
          <w:rFonts w:hint="eastAsia" w:ascii="宋体" w:hAnsi="宋体" w:eastAsia="宋体" w:cs="宋体"/>
          <w:b/>
          <w:bCs/>
          <w:color w:val="auto"/>
          <w:sz w:val="24"/>
          <w:szCs w:val="32"/>
        </w:rPr>
        <w:t>二、课程目标</w:t>
      </w:r>
    </w:p>
    <w:p w14:paraId="02C81FB8">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rPr>
      </w:pPr>
      <w:r>
        <w:rPr>
          <w:rFonts w:hint="eastAsia" w:ascii="宋体" w:hAnsi="宋体" w:eastAsia="宋体" w:cs="宋体"/>
          <w:b/>
          <w:bCs/>
          <w:color w:val="auto"/>
        </w:rPr>
        <w:t>（一）课程具体目标</w:t>
      </w:r>
    </w:p>
    <w:p w14:paraId="19F6730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目标1. 阐释教育技术的概念、作用与理论基础；形成教育技术相关理论的认知框架；了解信息时代教师应具备的素质能力要求。</w:t>
      </w:r>
    </w:p>
    <w:p w14:paraId="4F8BC0A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目标2. 将教育理论与信息技术相结合，对信息化教学资源进行设计与开发；运用信息化教学模式与方法进行课程的设计并组织教学。</w:t>
      </w:r>
    </w:p>
    <w:p w14:paraId="558A4D3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目标3. 掌握多种教学媒体的基本原理和使用方法。并掌握数字化资源的采集、加工与利用方法，能够进行数字化教学资源的设计与制作。</w:t>
      </w:r>
    </w:p>
    <w:p w14:paraId="4169E4A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rPr>
      </w:pPr>
      <w:r>
        <w:rPr>
          <w:rFonts w:hint="eastAsia" w:ascii="宋体" w:hAnsi="宋体" w:eastAsia="宋体" w:cs="宋体"/>
          <w:b/>
          <w:bCs/>
          <w:color w:val="auto"/>
        </w:rPr>
        <w:t>（二）课程目标与专业毕业要求的关系</w:t>
      </w:r>
    </w:p>
    <w:tbl>
      <w:tblPr>
        <w:tblStyle w:val="15"/>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5250"/>
        <w:gridCol w:w="1748"/>
      </w:tblGrid>
      <w:tr w14:paraId="43A7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950" w:type="dxa"/>
            <w:vAlign w:val="center"/>
          </w:tcPr>
          <w:p w14:paraId="016D6902">
            <w:pPr>
              <w:jc w:val="center"/>
              <w:rPr>
                <w:rFonts w:hint="default" w:ascii="Times New Roman" w:hAnsi="Times New Roman" w:cs="Times New Roman"/>
                <w:b/>
                <w:bCs/>
                <w:color w:val="auto"/>
              </w:rPr>
            </w:pPr>
            <w:r>
              <w:rPr>
                <w:rFonts w:hint="default" w:ascii="Times New Roman" w:hAnsi="Times New Roman" w:cs="Times New Roman"/>
                <w:b/>
                <w:bCs/>
                <w:color w:val="auto"/>
              </w:rPr>
              <w:t>支撑的毕业要求</w:t>
            </w:r>
          </w:p>
        </w:tc>
        <w:tc>
          <w:tcPr>
            <w:tcW w:w="5250" w:type="dxa"/>
            <w:vAlign w:val="center"/>
          </w:tcPr>
          <w:p w14:paraId="7FFF855C">
            <w:pPr>
              <w:rPr>
                <w:rFonts w:hint="default" w:ascii="Times New Roman" w:hAnsi="Times New Roman" w:cs="Times New Roman"/>
                <w:color w:val="auto"/>
              </w:rPr>
            </w:pPr>
            <w:r>
              <w:rPr>
                <w:rFonts w:hint="default" w:ascii="Times New Roman" w:hAnsi="Times New Roman" w:cs="Times New Roman"/>
                <w:color w:val="auto"/>
              </w:rPr>
              <w:t>支撑的毕业要求指标点</w:t>
            </w:r>
          </w:p>
        </w:tc>
        <w:tc>
          <w:tcPr>
            <w:tcW w:w="1748" w:type="dxa"/>
            <w:vAlign w:val="center"/>
          </w:tcPr>
          <w:p w14:paraId="0C2160E3">
            <w:pPr>
              <w:jc w:val="center"/>
              <w:rPr>
                <w:color w:val="auto"/>
              </w:rPr>
            </w:pPr>
            <w:r>
              <w:rPr>
                <w:rFonts w:hint="eastAsia"/>
                <w:color w:val="auto"/>
              </w:rPr>
              <w:t>课程目标</w:t>
            </w:r>
          </w:p>
        </w:tc>
      </w:tr>
      <w:tr w14:paraId="3D93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1950" w:type="dxa"/>
            <w:vAlign w:val="center"/>
          </w:tcPr>
          <w:p w14:paraId="77FF0C23">
            <w:pPr>
              <w:jc w:val="center"/>
              <w:rPr>
                <w:rFonts w:hint="default" w:ascii="Times New Roman" w:hAnsi="Times New Roman" w:cs="Times New Roman"/>
                <w:b/>
                <w:bCs/>
                <w:color w:val="auto"/>
              </w:rPr>
            </w:pPr>
            <w:r>
              <w:rPr>
                <w:rFonts w:hint="default" w:ascii="Times New Roman" w:hAnsi="Times New Roman" w:cs="Times New Roman"/>
                <w:b/>
                <w:bCs/>
                <w:color w:val="auto"/>
              </w:rPr>
              <w:t>毕业要求4</w:t>
            </w:r>
          </w:p>
          <w:p w14:paraId="70AE29C8">
            <w:pPr>
              <w:jc w:val="center"/>
              <w:rPr>
                <w:rFonts w:hint="default" w:ascii="Times New Roman" w:hAnsi="Times New Roman" w:cs="Times New Roman"/>
                <w:b/>
                <w:bCs/>
                <w:color w:val="auto"/>
              </w:rPr>
            </w:pPr>
            <w:r>
              <w:rPr>
                <w:rFonts w:hint="default" w:ascii="Times New Roman" w:hAnsi="Times New Roman" w:cs="Times New Roman"/>
                <w:b/>
                <w:bCs/>
                <w:color w:val="auto"/>
              </w:rPr>
              <w:t>教学能力</w:t>
            </w:r>
          </w:p>
        </w:tc>
        <w:tc>
          <w:tcPr>
            <w:tcW w:w="5250" w:type="dxa"/>
            <w:vAlign w:val="center"/>
          </w:tcPr>
          <w:p w14:paraId="43583EC0">
            <w:pPr>
              <w:rPr>
                <w:rFonts w:hint="default" w:ascii="Times New Roman" w:hAnsi="Times New Roman" w:cs="Times New Roman"/>
                <w:color w:val="auto"/>
              </w:rPr>
            </w:pPr>
            <w:r>
              <w:rPr>
                <w:rFonts w:hint="eastAsia" w:ascii="Times New Roman" w:hAnsi="Times New Roman" w:cs="Times New Roman"/>
                <w:b/>
                <w:bCs w:val="0"/>
                <w:color w:val="auto"/>
                <w:lang w:eastAsia="zh-CN"/>
              </w:rPr>
              <w:t>指标点4-3</w:t>
            </w:r>
            <w:r>
              <w:rPr>
                <w:rFonts w:hint="default" w:ascii="Times New Roman" w:hAnsi="Times New Roman" w:cs="Times New Roman"/>
                <w:b w:val="0"/>
                <w:bCs w:val="0"/>
                <w:color w:val="auto"/>
              </w:rPr>
              <w:t>：【教学实施与评价科学】掌握小学教师基本功技能，包括书写技能、沟通与表达技能、信息技术运用技能等。获得全面的小学教学体验，掌握学科教学的基本方法与策略，能独立进行教学实施和评价。</w:t>
            </w:r>
          </w:p>
        </w:tc>
        <w:tc>
          <w:tcPr>
            <w:tcW w:w="1748" w:type="dxa"/>
            <w:vAlign w:val="center"/>
          </w:tcPr>
          <w:p w14:paraId="6CBD0102">
            <w:pPr>
              <w:jc w:val="center"/>
              <w:rPr>
                <w:rFonts w:hint="eastAsia"/>
                <w:color w:val="auto"/>
              </w:rPr>
            </w:pPr>
            <w:r>
              <w:rPr>
                <w:rFonts w:hint="eastAsia"/>
                <w:color w:val="auto"/>
              </w:rPr>
              <w:t>课程目标1</w:t>
            </w:r>
          </w:p>
          <w:p w14:paraId="67579DF4">
            <w:pPr>
              <w:jc w:val="center"/>
              <w:rPr>
                <w:color w:val="auto"/>
              </w:rPr>
            </w:pPr>
            <w:r>
              <w:rPr>
                <w:rFonts w:hint="eastAsia"/>
                <w:color w:val="auto"/>
              </w:rPr>
              <w:t>课程目标2</w:t>
            </w:r>
          </w:p>
          <w:p w14:paraId="44C6E5DC">
            <w:pPr>
              <w:jc w:val="center"/>
              <w:rPr>
                <w:color w:val="auto"/>
              </w:rPr>
            </w:pPr>
            <w:r>
              <w:rPr>
                <w:rFonts w:hint="eastAsia"/>
                <w:color w:val="auto"/>
              </w:rPr>
              <w:t>课程目标3</w:t>
            </w:r>
          </w:p>
        </w:tc>
      </w:tr>
    </w:tbl>
    <w:p w14:paraId="3295FB4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color w:val="auto"/>
        </w:rPr>
      </w:pPr>
      <w:r>
        <w:rPr>
          <w:rFonts w:hint="eastAsia"/>
          <w:b/>
          <w:bCs/>
          <w:color w:val="auto"/>
        </w:rPr>
        <w:t>（三）课程思政目标</w:t>
      </w:r>
    </w:p>
    <w:p w14:paraId="7AA3325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rFonts w:hint="eastAsia"/>
          <w:color w:val="auto"/>
        </w:rPr>
        <w:t>在学习掌握现代教育技术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5E3C3033">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hint="eastAsia" w:ascii="宋体" w:hAnsi="宋体" w:eastAsia="宋体" w:cs="宋体"/>
          <w:b/>
          <w:bCs/>
          <w:color w:val="auto"/>
          <w:sz w:val="24"/>
          <w:szCs w:val="32"/>
        </w:rPr>
      </w:pPr>
      <w:r>
        <w:rPr>
          <w:rFonts w:hint="eastAsia" w:ascii="宋体" w:hAnsi="宋体" w:eastAsia="宋体" w:cs="宋体"/>
          <w:b/>
          <w:bCs/>
          <w:color w:val="auto"/>
          <w:sz w:val="24"/>
          <w:szCs w:val="32"/>
        </w:rPr>
        <w:t>三、教学内容与预期学习成效</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080"/>
        <w:gridCol w:w="1276"/>
        <w:gridCol w:w="2406"/>
        <w:gridCol w:w="1255"/>
        <w:gridCol w:w="601"/>
      </w:tblGrid>
      <w:tr w14:paraId="2988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4557F7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知识</w:t>
            </w:r>
          </w:p>
          <w:p w14:paraId="68B189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单元</w:t>
            </w:r>
          </w:p>
        </w:tc>
        <w:tc>
          <w:tcPr>
            <w:tcW w:w="2080" w:type="dxa"/>
            <w:vAlign w:val="center"/>
          </w:tcPr>
          <w:p w14:paraId="63FEA3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知识点</w:t>
            </w:r>
          </w:p>
        </w:tc>
        <w:tc>
          <w:tcPr>
            <w:tcW w:w="1276" w:type="dxa"/>
            <w:vAlign w:val="center"/>
          </w:tcPr>
          <w:p w14:paraId="6A449F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对应</w:t>
            </w:r>
          </w:p>
          <w:p w14:paraId="3BC774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课程目标</w:t>
            </w:r>
          </w:p>
        </w:tc>
        <w:tc>
          <w:tcPr>
            <w:tcW w:w="2406" w:type="dxa"/>
            <w:vAlign w:val="center"/>
          </w:tcPr>
          <w:p w14:paraId="6E4415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预期学习成效</w:t>
            </w:r>
          </w:p>
        </w:tc>
        <w:tc>
          <w:tcPr>
            <w:tcW w:w="1255" w:type="dxa"/>
            <w:vAlign w:val="center"/>
          </w:tcPr>
          <w:p w14:paraId="16B541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实现环节</w:t>
            </w:r>
          </w:p>
        </w:tc>
        <w:tc>
          <w:tcPr>
            <w:tcW w:w="601" w:type="dxa"/>
            <w:vAlign w:val="center"/>
          </w:tcPr>
          <w:p w14:paraId="477DBC61">
            <w:pPr>
              <w:keepNext w:val="0"/>
              <w:keepLines w:val="0"/>
              <w:pageBreakBefore w:val="0"/>
              <w:widowControl w:val="0"/>
              <w:kinsoku/>
              <w:wordWrap/>
              <w:overflowPunct/>
              <w:topLinePunct w:val="0"/>
              <w:autoSpaceDE/>
              <w:autoSpaceDN/>
              <w:bidi w:val="0"/>
              <w:adjustRightInd/>
              <w:snapToGrid/>
              <w:spacing w:line="240" w:lineRule="auto"/>
              <w:jc w:val="left"/>
              <w:textAlignment w:val="auto"/>
              <w:rPr>
                <w:color w:val="auto"/>
              </w:rPr>
            </w:pPr>
            <w:r>
              <w:rPr>
                <w:rFonts w:hint="eastAsia"/>
                <w:color w:val="auto"/>
              </w:rPr>
              <w:t>学时</w:t>
            </w:r>
          </w:p>
        </w:tc>
      </w:tr>
      <w:tr w14:paraId="6FBE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603BBEDF">
            <w:pPr>
              <w:spacing w:line="240" w:lineRule="auto"/>
              <w:rPr>
                <w:color w:val="auto"/>
              </w:rPr>
            </w:pPr>
            <w:r>
              <w:rPr>
                <w:rFonts w:hint="eastAsia"/>
                <w:color w:val="auto"/>
              </w:rPr>
              <w:t>1.教育技术概述</w:t>
            </w:r>
          </w:p>
        </w:tc>
        <w:tc>
          <w:tcPr>
            <w:tcW w:w="2080" w:type="dxa"/>
            <w:vAlign w:val="center"/>
          </w:tcPr>
          <w:p w14:paraId="411A234F">
            <w:pPr>
              <w:spacing w:line="240" w:lineRule="auto"/>
              <w:rPr>
                <w:color w:val="auto"/>
              </w:rPr>
            </w:pPr>
            <w:r>
              <w:rPr>
                <w:rFonts w:hint="eastAsia"/>
                <w:color w:val="auto"/>
              </w:rPr>
              <w:t>（1）技术与教育的关系</w:t>
            </w:r>
          </w:p>
          <w:p w14:paraId="4EFFA18B">
            <w:pPr>
              <w:spacing w:line="240" w:lineRule="auto"/>
              <w:rPr>
                <w:color w:val="auto"/>
              </w:rPr>
            </w:pPr>
            <w:r>
              <w:rPr>
                <w:rFonts w:hint="eastAsia"/>
                <w:color w:val="auto"/>
              </w:rPr>
              <w:t>（2）教育技术的产生、发展及其趋势</w:t>
            </w:r>
          </w:p>
          <w:p w14:paraId="601B5AA8">
            <w:pPr>
              <w:spacing w:line="240" w:lineRule="auto"/>
              <w:rPr>
                <w:color w:val="auto"/>
              </w:rPr>
            </w:pPr>
            <w:r>
              <w:rPr>
                <w:rFonts w:hint="eastAsia"/>
                <w:color w:val="auto"/>
              </w:rPr>
              <w:t>（3）教育技术、现代教育技术与信息技术</w:t>
            </w:r>
          </w:p>
          <w:p w14:paraId="2D0917B6">
            <w:pPr>
              <w:spacing w:line="240" w:lineRule="auto"/>
              <w:rPr>
                <w:color w:val="auto"/>
              </w:rPr>
            </w:pPr>
            <w:r>
              <w:rPr>
                <w:rFonts w:hint="eastAsia"/>
                <w:color w:val="auto"/>
              </w:rPr>
              <w:t>（4）教育技术与教育创新、现代教育技术与教师专业发展</w:t>
            </w:r>
          </w:p>
        </w:tc>
        <w:tc>
          <w:tcPr>
            <w:tcW w:w="1276" w:type="dxa"/>
            <w:vAlign w:val="center"/>
          </w:tcPr>
          <w:p w14:paraId="52BD367D">
            <w:pPr>
              <w:spacing w:line="240" w:lineRule="auto"/>
              <w:rPr>
                <w:color w:val="auto"/>
              </w:rPr>
            </w:pPr>
            <w:r>
              <w:rPr>
                <w:rFonts w:hint="eastAsia"/>
                <w:color w:val="auto"/>
              </w:rPr>
              <w:t>课程目标1</w:t>
            </w:r>
          </w:p>
        </w:tc>
        <w:tc>
          <w:tcPr>
            <w:tcW w:w="2406" w:type="dxa"/>
            <w:vAlign w:val="center"/>
          </w:tcPr>
          <w:p w14:paraId="423F0310">
            <w:pPr>
              <w:spacing w:line="240" w:lineRule="auto"/>
              <w:rPr>
                <w:color w:val="auto"/>
              </w:rPr>
            </w:pPr>
            <w:r>
              <w:rPr>
                <w:rFonts w:hint="eastAsia"/>
                <w:color w:val="auto"/>
              </w:rPr>
              <w:t>（1）了解历史上不同的技术对教育产生的影响</w:t>
            </w:r>
          </w:p>
          <w:p w14:paraId="17C5F81B">
            <w:pPr>
              <w:spacing w:line="240" w:lineRule="auto"/>
              <w:rPr>
                <w:color w:val="auto"/>
              </w:rPr>
            </w:pPr>
            <w:r>
              <w:rPr>
                <w:rFonts w:hint="eastAsia"/>
                <w:color w:val="auto"/>
              </w:rPr>
              <w:t>（2）了解教育技术的产生、发展及其趋势</w:t>
            </w:r>
          </w:p>
          <w:p w14:paraId="3D4DD5AE">
            <w:pPr>
              <w:spacing w:line="240" w:lineRule="auto"/>
              <w:rPr>
                <w:color w:val="auto"/>
              </w:rPr>
            </w:pPr>
            <w:r>
              <w:rPr>
                <w:rFonts w:hint="eastAsia"/>
                <w:color w:val="auto"/>
              </w:rPr>
              <w:t>（3）知道教育技术名词的演变过程</w:t>
            </w:r>
          </w:p>
          <w:p w14:paraId="117EFA18">
            <w:pPr>
              <w:spacing w:line="240" w:lineRule="auto"/>
              <w:rPr>
                <w:color w:val="auto"/>
              </w:rPr>
            </w:pPr>
            <w:r>
              <w:rPr>
                <w:rFonts w:hint="eastAsia"/>
                <w:color w:val="auto"/>
              </w:rPr>
              <w:t>（4）清楚信息时代对新型教师在教育技术能力方面的要求</w:t>
            </w:r>
          </w:p>
        </w:tc>
        <w:tc>
          <w:tcPr>
            <w:tcW w:w="1255" w:type="dxa"/>
            <w:vAlign w:val="center"/>
          </w:tcPr>
          <w:p w14:paraId="0CE0E47C">
            <w:pPr>
              <w:spacing w:line="240" w:lineRule="auto"/>
              <w:rPr>
                <w:color w:val="auto"/>
              </w:rPr>
            </w:pPr>
            <w:r>
              <w:rPr>
                <w:rFonts w:hint="eastAsia"/>
                <w:color w:val="auto"/>
              </w:rPr>
              <w:t>1.线上学习</w:t>
            </w:r>
          </w:p>
          <w:p w14:paraId="44DE2B4E">
            <w:pPr>
              <w:spacing w:line="240" w:lineRule="auto"/>
              <w:rPr>
                <w:color w:val="auto"/>
              </w:rPr>
            </w:pPr>
            <w:r>
              <w:rPr>
                <w:rFonts w:hint="eastAsia"/>
                <w:color w:val="auto"/>
              </w:rPr>
              <w:t>2.多媒体教学</w:t>
            </w:r>
          </w:p>
          <w:p w14:paraId="59A56497">
            <w:pPr>
              <w:spacing w:line="240" w:lineRule="auto"/>
              <w:rPr>
                <w:color w:val="auto"/>
              </w:rPr>
            </w:pPr>
            <w:r>
              <w:rPr>
                <w:rFonts w:hint="eastAsia"/>
                <w:color w:val="auto"/>
              </w:rPr>
              <w:t>3.课堂讨论</w:t>
            </w:r>
          </w:p>
        </w:tc>
        <w:tc>
          <w:tcPr>
            <w:tcW w:w="601" w:type="dxa"/>
            <w:vAlign w:val="center"/>
          </w:tcPr>
          <w:p w14:paraId="23CC8C15">
            <w:pPr>
              <w:spacing w:line="240" w:lineRule="auto"/>
              <w:jc w:val="left"/>
              <w:rPr>
                <w:color w:val="auto"/>
              </w:rPr>
            </w:pPr>
            <w:r>
              <w:rPr>
                <w:rFonts w:hint="eastAsia"/>
                <w:color w:val="auto"/>
              </w:rPr>
              <w:t>2</w:t>
            </w:r>
          </w:p>
        </w:tc>
      </w:tr>
      <w:tr w14:paraId="0F7F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904" w:type="dxa"/>
            <w:vMerge w:val="continue"/>
            <w:vAlign w:val="center"/>
          </w:tcPr>
          <w:p w14:paraId="2981F122">
            <w:pPr>
              <w:spacing w:line="240" w:lineRule="auto"/>
              <w:rPr>
                <w:color w:val="auto"/>
              </w:rPr>
            </w:pPr>
          </w:p>
        </w:tc>
        <w:tc>
          <w:tcPr>
            <w:tcW w:w="7618" w:type="dxa"/>
            <w:gridSpan w:val="5"/>
            <w:vAlign w:val="center"/>
          </w:tcPr>
          <w:p w14:paraId="7BDC3B92">
            <w:pPr>
              <w:spacing w:line="240" w:lineRule="auto"/>
              <w:jc w:val="left"/>
              <w:rPr>
                <w:color w:val="auto"/>
              </w:rPr>
            </w:pPr>
            <w:r>
              <w:rPr>
                <w:rFonts w:hint="eastAsia"/>
                <w:color w:val="auto"/>
              </w:rPr>
              <w:t>课程思政目标：在讲述信息技术发展的过程中，回顾我国教育技术和理论的发展历程，激发同学们的民族自豪感，树牢“四个意识”，坚定“四个自信”，坚决做到“两个维护”，形成教育情怀，坚定教育信仰，肩负起民族复兴的时代重任。</w:t>
            </w:r>
          </w:p>
        </w:tc>
      </w:tr>
      <w:tr w14:paraId="28E2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2F9CD8DF">
            <w:pPr>
              <w:spacing w:line="240" w:lineRule="auto"/>
              <w:rPr>
                <w:color w:val="auto"/>
              </w:rPr>
            </w:pPr>
            <w:r>
              <w:rPr>
                <w:rFonts w:hint="eastAsia"/>
                <w:color w:val="auto"/>
              </w:rPr>
              <w:t>2.教育技术的理论基础</w:t>
            </w:r>
          </w:p>
        </w:tc>
        <w:tc>
          <w:tcPr>
            <w:tcW w:w="2080" w:type="dxa"/>
            <w:vAlign w:val="center"/>
          </w:tcPr>
          <w:p w14:paraId="30C8C89C">
            <w:pPr>
              <w:spacing w:line="240" w:lineRule="auto"/>
              <w:rPr>
                <w:color w:val="auto"/>
              </w:rPr>
            </w:pPr>
            <w:r>
              <w:rPr>
                <w:rFonts w:hint="eastAsia"/>
                <w:color w:val="auto"/>
              </w:rPr>
              <w:t>（1）视听教学理论</w:t>
            </w:r>
          </w:p>
          <w:p w14:paraId="50827418">
            <w:pPr>
              <w:spacing w:line="240" w:lineRule="auto"/>
              <w:rPr>
                <w:color w:val="auto"/>
              </w:rPr>
            </w:pPr>
            <w:r>
              <w:rPr>
                <w:rFonts w:hint="eastAsia"/>
                <w:color w:val="auto"/>
              </w:rPr>
              <w:t>（2）传播理论与教育传播</w:t>
            </w:r>
          </w:p>
          <w:p w14:paraId="4B5B0650">
            <w:pPr>
              <w:spacing w:line="240" w:lineRule="auto"/>
              <w:rPr>
                <w:color w:val="auto"/>
              </w:rPr>
            </w:pPr>
            <w:r>
              <w:rPr>
                <w:rFonts w:hint="eastAsia"/>
                <w:color w:val="auto"/>
              </w:rPr>
              <w:t>（3）学习理论</w:t>
            </w:r>
          </w:p>
        </w:tc>
        <w:tc>
          <w:tcPr>
            <w:tcW w:w="1276" w:type="dxa"/>
            <w:vAlign w:val="center"/>
          </w:tcPr>
          <w:p w14:paraId="4EEA9544">
            <w:pPr>
              <w:spacing w:line="240" w:lineRule="auto"/>
              <w:rPr>
                <w:color w:val="auto"/>
              </w:rPr>
            </w:pPr>
            <w:r>
              <w:rPr>
                <w:rFonts w:hint="eastAsia"/>
                <w:color w:val="auto"/>
              </w:rPr>
              <w:t>课程目标1</w:t>
            </w:r>
          </w:p>
          <w:p w14:paraId="0FCEA434">
            <w:pPr>
              <w:spacing w:line="240" w:lineRule="auto"/>
              <w:rPr>
                <w:color w:val="auto"/>
              </w:rPr>
            </w:pPr>
            <w:r>
              <w:rPr>
                <w:rFonts w:hint="eastAsia"/>
                <w:color w:val="auto"/>
              </w:rPr>
              <w:t>课程目标2</w:t>
            </w:r>
          </w:p>
        </w:tc>
        <w:tc>
          <w:tcPr>
            <w:tcW w:w="2406" w:type="dxa"/>
            <w:vAlign w:val="center"/>
          </w:tcPr>
          <w:p w14:paraId="4285F43D">
            <w:pPr>
              <w:spacing w:line="240" w:lineRule="auto"/>
              <w:rPr>
                <w:color w:val="auto"/>
              </w:rPr>
            </w:pPr>
            <w:r>
              <w:rPr>
                <w:rFonts w:hint="eastAsia"/>
                <w:color w:val="auto"/>
              </w:rPr>
              <w:t>（1）理解“经验之塔”理论对视听教育的影响</w:t>
            </w:r>
          </w:p>
          <w:p w14:paraId="1B074136">
            <w:pPr>
              <w:spacing w:line="240" w:lineRule="auto"/>
              <w:rPr>
                <w:color w:val="auto"/>
              </w:rPr>
            </w:pPr>
            <w:r>
              <w:rPr>
                <w:rFonts w:hint="eastAsia"/>
                <w:color w:val="auto"/>
              </w:rPr>
              <w:t>（2）了解主要的教育传播模式，知道教学传播过程的基本要素、基本过程和基本规律</w:t>
            </w:r>
          </w:p>
          <w:p w14:paraId="589F43B0">
            <w:pPr>
              <w:spacing w:line="240" w:lineRule="auto"/>
              <w:rPr>
                <w:color w:val="auto"/>
              </w:rPr>
            </w:pPr>
            <w:r>
              <w:rPr>
                <w:rFonts w:hint="eastAsia"/>
                <w:color w:val="auto"/>
              </w:rPr>
              <w:t>（3）知道不同学习理论的主要观点，了解各学习理论指导下的教学模式</w:t>
            </w:r>
          </w:p>
          <w:p w14:paraId="4F9A5113">
            <w:pPr>
              <w:spacing w:line="240" w:lineRule="auto"/>
              <w:rPr>
                <w:color w:val="auto"/>
              </w:rPr>
            </w:pPr>
            <w:r>
              <w:rPr>
                <w:rFonts w:hint="eastAsia"/>
                <w:color w:val="auto"/>
              </w:rPr>
              <w:t>（4）了解传播理论、学习理论和教学理论与教育技术的关系，能叙述三者作为教育技术学理论基础的意义</w:t>
            </w:r>
          </w:p>
        </w:tc>
        <w:tc>
          <w:tcPr>
            <w:tcW w:w="1255" w:type="dxa"/>
            <w:vAlign w:val="center"/>
          </w:tcPr>
          <w:p w14:paraId="282B55CD">
            <w:pPr>
              <w:spacing w:line="240" w:lineRule="auto"/>
              <w:rPr>
                <w:color w:val="auto"/>
              </w:rPr>
            </w:pPr>
            <w:r>
              <w:rPr>
                <w:rFonts w:hint="eastAsia"/>
                <w:color w:val="auto"/>
              </w:rPr>
              <w:t>1.线上学习</w:t>
            </w:r>
          </w:p>
          <w:p w14:paraId="114A073E">
            <w:pPr>
              <w:spacing w:line="240" w:lineRule="auto"/>
              <w:rPr>
                <w:color w:val="auto"/>
              </w:rPr>
            </w:pPr>
            <w:r>
              <w:rPr>
                <w:rFonts w:hint="eastAsia"/>
                <w:color w:val="auto"/>
              </w:rPr>
              <w:t>2.多媒体教学</w:t>
            </w:r>
          </w:p>
          <w:p w14:paraId="21D2A7E3">
            <w:pPr>
              <w:spacing w:line="240" w:lineRule="auto"/>
              <w:rPr>
                <w:color w:val="auto"/>
              </w:rPr>
            </w:pPr>
            <w:r>
              <w:rPr>
                <w:rFonts w:hint="eastAsia"/>
                <w:color w:val="auto"/>
              </w:rPr>
              <w:t>3.课堂讨论</w:t>
            </w:r>
          </w:p>
        </w:tc>
        <w:tc>
          <w:tcPr>
            <w:tcW w:w="601" w:type="dxa"/>
            <w:vAlign w:val="center"/>
          </w:tcPr>
          <w:p w14:paraId="2FCA65A3">
            <w:pPr>
              <w:spacing w:line="240" w:lineRule="auto"/>
              <w:jc w:val="left"/>
              <w:rPr>
                <w:color w:val="auto"/>
              </w:rPr>
            </w:pPr>
            <w:r>
              <w:rPr>
                <w:rFonts w:hint="eastAsia"/>
                <w:color w:val="auto"/>
              </w:rPr>
              <w:t>2</w:t>
            </w:r>
          </w:p>
        </w:tc>
      </w:tr>
      <w:tr w14:paraId="0068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1325866C">
            <w:pPr>
              <w:spacing w:line="240" w:lineRule="auto"/>
              <w:rPr>
                <w:color w:val="auto"/>
              </w:rPr>
            </w:pPr>
          </w:p>
        </w:tc>
        <w:tc>
          <w:tcPr>
            <w:tcW w:w="7618" w:type="dxa"/>
            <w:gridSpan w:val="5"/>
            <w:vAlign w:val="center"/>
          </w:tcPr>
          <w:p w14:paraId="3BC6D089">
            <w:pPr>
              <w:spacing w:line="240" w:lineRule="auto"/>
              <w:jc w:val="left"/>
              <w:rPr>
                <w:color w:val="auto"/>
              </w:rPr>
            </w:pPr>
            <w:r>
              <w:rPr>
                <w:rFonts w:hint="eastAsia"/>
                <w:color w:val="auto"/>
              </w:rPr>
              <w:t>课程思政目标：在讲述各教育理论的过程中，引导学生对教育理论进行深入思考和研究，激发同学们投身我国教育事业的热情，将社会主义核心价值观内化为精神追求，具有优良的爱国主义情怀和以爱为魂的高尚师德。</w:t>
            </w:r>
          </w:p>
        </w:tc>
      </w:tr>
      <w:tr w14:paraId="0A72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50053741">
            <w:pPr>
              <w:spacing w:line="240" w:lineRule="auto"/>
              <w:rPr>
                <w:color w:val="auto"/>
              </w:rPr>
            </w:pPr>
            <w:r>
              <w:rPr>
                <w:rFonts w:hint="eastAsia"/>
                <w:color w:val="auto"/>
              </w:rPr>
              <w:t>3.教学媒体及其应用</w:t>
            </w:r>
          </w:p>
        </w:tc>
        <w:tc>
          <w:tcPr>
            <w:tcW w:w="2080" w:type="dxa"/>
            <w:vAlign w:val="center"/>
          </w:tcPr>
          <w:p w14:paraId="722E7716">
            <w:pPr>
              <w:spacing w:line="240" w:lineRule="auto"/>
              <w:rPr>
                <w:color w:val="auto"/>
              </w:rPr>
            </w:pPr>
            <w:r>
              <w:rPr>
                <w:rFonts w:hint="eastAsia"/>
                <w:color w:val="auto"/>
              </w:rPr>
              <w:t>（1）媒体本质及其类型</w:t>
            </w:r>
          </w:p>
          <w:p w14:paraId="1DBBD7E0">
            <w:pPr>
              <w:spacing w:line="240" w:lineRule="auto"/>
              <w:rPr>
                <w:color w:val="auto"/>
              </w:rPr>
            </w:pPr>
            <w:r>
              <w:rPr>
                <w:rFonts w:hint="eastAsia"/>
                <w:color w:val="auto"/>
              </w:rPr>
              <w:t>（2）教学媒体的分类及特性</w:t>
            </w:r>
          </w:p>
          <w:p w14:paraId="404E5830">
            <w:pPr>
              <w:spacing w:line="240" w:lineRule="auto"/>
              <w:rPr>
                <w:color w:val="auto"/>
              </w:rPr>
            </w:pPr>
            <w:r>
              <w:rPr>
                <w:rFonts w:hint="eastAsia"/>
                <w:color w:val="auto"/>
              </w:rPr>
              <w:t>（3）传统教学媒体的应用</w:t>
            </w:r>
          </w:p>
          <w:p w14:paraId="226B5AB1">
            <w:pPr>
              <w:spacing w:line="240" w:lineRule="auto"/>
              <w:rPr>
                <w:color w:val="auto"/>
              </w:rPr>
            </w:pPr>
            <w:r>
              <w:rPr>
                <w:rFonts w:hint="eastAsia"/>
                <w:color w:val="auto"/>
              </w:rPr>
              <w:t>（4）现代教学媒体的应用</w:t>
            </w:r>
          </w:p>
        </w:tc>
        <w:tc>
          <w:tcPr>
            <w:tcW w:w="1276" w:type="dxa"/>
            <w:vAlign w:val="center"/>
          </w:tcPr>
          <w:p w14:paraId="4A753419">
            <w:pPr>
              <w:spacing w:line="240" w:lineRule="auto"/>
              <w:rPr>
                <w:color w:val="auto"/>
              </w:rPr>
            </w:pPr>
            <w:r>
              <w:rPr>
                <w:rFonts w:hint="eastAsia"/>
                <w:color w:val="auto"/>
              </w:rPr>
              <w:t>课程目标1</w:t>
            </w:r>
          </w:p>
          <w:p w14:paraId="1737CEFB">
            <w:pPr>
              <w:spacing w:line="240" w:lineRule="auto"/>
              <w:rPr>
                <w:color w:val="auto"/>
              </w:rPr>
            </w:pPr>
            <w:r>
              <w:rPr>
                <w:rFonts w:hint="eastAsia"/>
                <w:color w:val="auto"/>
              </w:rPr>
              <w:t>课程目标2</w:t>
            </w:r>
          </w:p>
        </w:tc>
        <w:tc>
          <w:tcPr>
            <w:tcW w:w="2406" w:type="dxa"/>
            <w:vAlign w:val="center"/>
          </w:tcPr>
          <w:p w14:paraId="1B090471">
            <w:pPr>
              <w:spacing w:line="240" w:lineRule="auto"/>
              <w:rPr>
                <w:color w:val="auto"/>
              </w:rPr>
            </w:pPr>
            <w:r>
              <w:rPr>
                <w:rFonts w:hint="eastAsia"/>
                <w:color w:val="auto"/>
              </w:rPr>
              <w:t>（1）了解教学媒体的定义、特点和作用</w:t>
            </w:r>
          </w:p>
          <w:p w14:paraId="53E9761C">
            <w:pPr>
              <w:spacing w:line="240" w:lineRule="auto"/>
              <w:rPr>
                <w:color w:val="auto"/>
              </w:rPr>
            </w:pPr>
            <w:r>
              <w:rPr>
                <w:rFonts w:hint="eastAsia"/>
                <w:color w:val="auto"/>
              </w:rPr>
              <w:t>（2）了解教学媒体的分类方法</w:t>
            </w:r>
          </w:p>
          <w:p w14:paraId="1B9F7551">
            <w:pPr>
              <w:spacing w:line="240" w:lineRule="auto"/>
              <w:rPr>
                <w:color w:val="auto"/>
              </w:rPr>
            </w:pPr>
            <w:r>
              <w:rPr>
                <w:rFonts w:hint="eastAsia"/>
                <w:color w:val="auto"/>
              </w:rPr>
              <w:t>（3）掌握各常规媒体的优势、不足及使用方法</w:t>
            </w:r>
          </w:p>
          <w:p w14:paraId="73B948BC">
            <w:pPr>
              <w:spacing w:line="240" w:lineRule="auto"/>
              <w:rPr>
                <w:color w:val="auto"/>
              </w:rPr>
            </w:pPr>
            <w:r>
              <w:rPr>
                <w:rFonts w:hint="eastAsia"/>
                <w:color w:val="auto"/>
              </w:rPr>
              <w:t>（4）了解教学媒体选择的原则与方法</w:t>
            </w:r>
          </w:p>
        </w:tc>
        <w:tc>
          <w:tcPr>
            <w:tcW w:w="1255" w:type="dxa"/>
            <w:vAlign w:val="center"/>
          </w:tcPr>
          <w:p w14:paraId="0823A5C7">
            <w:pPr>
              <w:spacing w:line="240" w:lineRule="auto"/>
              <w:rPr>
                <w:color w:val="auto"/>
              </w:rPr>
            </w:pPr>
            <w:r>
              <w:rPr>
                <w:rFonts w:hint="eastAsia"/>
                <w:color w:val="auto"/>
              </w:rPr>
              <w:t>1.线上学习</w:t>
            </w:r>
          </w:p>
          <w:p w14:paraId="6625C04D">
            <w:pPr>
              <w:spacing w:line="240" w:lineRule="auto"/>
              <w:rPr>
                <w:color w:val="auto"/>
              </w:rPr>
            </w:pPr>
            <w:r>
              <w:rPr>
                <w:rFonts w:hint="eastAsia"/>
                <w:color w:val="auto"/>
              </w:rPr>
              <w:t>2.多媒体教学</w:t>
            </w:r>
          </w:p>
          <w:p w14:paraId="4AA63D58">
            <w:pPr>
              <w:spacing w:line="240" w:lineRule="auto"/>
              <w:rPr>
                <w:color w:val="auto"/>
              </w:rPr>
            </w:pPr>
            <w:r>
              <w:rPr>
                <w:rFonts w:hint="eastAsia"/>
                <w:color w:val="auto"/>
              </w:rPr>
              <w:t>3.课堂讨论</w:t>
            </w:r>
          </w:p>
          <w:p w14:paraId="57174B68">
            <w:pPr>
              <w:spacing w:line="240" w:lineRule="auto"/>
              <w:rPr>
                <w:color w:val="auto"/>
              </w:rPr>
            </w:pPr>
            <w:r>
              <w:rPr>
                <w:rFonts w:hint="eastAsia"/>
                <w:color w:val="auto"/>
              </w:rPr>
              <w:t>4.机房实操</w:t>
            </w:r>
          </w:p>
        </w:tc>
        <w:tc>
          <w:tcPr>
            <w:tcW w:w="601" w:type="dxa"/>
            <w:vAlign w:val="center"/>
          </w:tcPr>
          <w:p w14:paraId="00F1857B">
            <w:pPr>
              <w:spacing w:line="240" w:lineRule="auto"/>
              <w:jc w:val="left"/>
              <w:rPr>
                <w:color w:val="auto"/>
              </w:rPr>
            </w:pPr>
            <w:r>
              <w:rPr>
                <w:rFonts w:hint="eastAsia"/>
                <w:color w:val="auto"/>
              </w:rPr>
              <w:t>4</w:t>
            </w:r>
          </w:p>
        </w:tc>
      </w:tr>
      <w:tr w14:paraId="338E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489F4C8A">
            <w:pPr>
              <w:spacing w:line="240" w:lineRule="auto"/>
              <w:rPr>
                <w:color w:val="auto"/>
              </w:rPr>
            </w:pPr>
          </w:p>
        </w:tc>
        <w:tc>
          <w:tcPr>
            <w:tcW w:w="7618" w:type="dxa"/>
            <w:gridSpan w:val="5"/>
            <w:vAlign w:val="center"/>
          </w:tcPr>
          <w:p w14:paraId="298991A6">
            <w:pPr>
              <w:spacing w:line="240" w:lineRule="auto"/>
              <w:jc w:val="left"/>
              <w:rPr>
                <w:color w:val="auto"/>
              </w:rPr>
            </w:pPr>
            <w:r>
              <w:rPr>
                <w:rFonts w:hint="eastAsia"/>
                <w:color w:val="auto"/>
              </w:rPr>
              <w:t>课程思政目标：现在很多学校都配备了多种教学媒体，使得教师能够充分地选择多种媒体组织教学；引导学生在今后的工作中不仅要用好教学媒体，还要主动爱惜和维护好学校的这些公共设施。</w:t>
            </w:r>
          </w:p>
        </w:tc>
      </w:tr>
      <w:tr w14:paraId="18C6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0E52C2BB">
            <w:pPr>
              <w:spacing w:line="240" w:lineRule="auto"/>
              <w:rPr>
                <w:color w:val="auto"/>
              </w:rPr>
            </w:pPr>
            <w:r>
              <w:rPr>
                <w:rFonts w:hint="eastAsia"/>
                <w:color w:val="auto"/>
              </w:rPr>
              <w:t>4.教学资源的获取与加工</w:t>
            </w:r>
          </w:p>
        </w:tc>
        <w:tc>
          <w:tcPr>
            <w:tcW w:w="2080" w:type="dxa"/>
            <w:vAlign w:val="center"/>
          </w:tcPr>
          <w:p w14:paraId="6593E684">
            <w:pPr>
              <w:spacing w:line="240" w:lineRule="auto"/>
              <w:rPr>
                <w:color w:val="auto"/>
              </w:rPr>
            </w:pPr>
            <w:r>
              <w:rPr>
                <w:rFonts w:hint="eastAsia"/>
                <w:color w:val="auto"/>
              </w:rPr>
              <w:t>（1）教学资源的概念</w:t>
            </w:r>
          </w:p>
          <w:p w14:paraId="2549DBE8">
            <w:pPr>
              <w:spacing w:line="240" w:lineRule="auto"/>
              <w:rPr>
                <w:color w:val="auto"/>
              </w:rPr>
            </w:pPr>
            <w:r>
              <w:rPr>
                <w:rFonts w:hint="eastAsia"/>
                <w:color w:val="auto"/>
              </w:rPr>
              <w:t>（2）教学资源的类型与特点</w:t>
            </w:r>
          </w:p>
          <w:p w14:paraId="0FC3A8D9">
            <w:pPr>
              <w:spacing w:line="240" w:lineRule="auto"/>
              <w:rPr>
                <w:color w:val="auto"/>
              </w:rPr>
            </w:pPr>
            <w:r>
              <w:rPr>
                <w:rFonts w:hint="eastAsia"/>
                <w:color w:val="auto"/>
              </w:rPr>
              <w:t>（3）教学资源的获取</w:t>
            </w:r>
          </w:p>
          <w:p w14:paraId="69F8BD0D">
            <w:pPr>
              <w:spacing w:line="240" w:lineRule="auto"/>
              <w:rPr>
                <w:color w:val="auto"/>
              </w:rPr>
            </w:pPr>
            <w:r>
              <w:rPr>
                <w:rFonts w:hint="eastAsia"/>
                <w:color w:val="auto"/>
              </w:rPr>
              <w:t>（4）数字化教学素材的加工</w:t>
            </w:r>
          </w:p>
        </w:tc>
        <w:tc>
          <w:tcPr>
            <w:tcW w:w="1276" w:type="dxa"/>
            <w:vAlign w:val="center"/>
          </w:tcPr>
          <w:p w14:paraId="3242A48D">
            <w:pPr>
              <w:spacing w:line="240" w:lineRule="auto"/>
              <w:rPr>
                <w:color w:val="auto"/>
              </w:rPr>
            </w:pPr>
            <w:r>
              <w:rPr>
                <w:rFonts w:hint="eastAsia"/>
                <w:color w:val="auto"/>
              </w:rPr>
              <w:t>课程目标1</w:t>
            </w:r>
          </w:p>
          <w:p w14:paraId="0606DEE5">
            <w:pPr>
              <w:spacing w:line="240" w:lineRule="auto"/>
              <w:rPr>
                <w:color w:val="auto"/>
              </w:rPr>
            </w:pPr>
            <w:r>
              <w:rPr>
                <w:rFonts w:hint="eastAsia"/>
                <w:color w:val="auto"/>
              </w:rPr>
              <w:t>课程目标2</w:t>
            </w:r>
          </w:p>
        </w:tc>
        <w:tc>
          <w:tcPr>
            <w:tcW w:w="2406" w:type="dxa"/>
            <w:vAlign w:val="center"/>
          </w:tcPr>
          <w:p w14:paraId="09A5B825">
            <w:pPr>
              <w:spacing w:line="240" w:lineRule="auto"/>
              <w:rPr>
                <w:color w:val="auto"/>
              </w:rPr>
            </w:pPr>
            <w:r>
              <w:rPr>
                <w:rFonts w:hint="eastAsia"/>
                <w:color w:val="auto"/>
              </w:rPr>
              <w:t>（1）了解教学资源的分类和特性</w:t>
            </w:r>
          </w:p>
          <w:p w14:paraId="6CEFCE15">
            <w:pPr>
              <w:spacing w:line="240" w:lineRule="auto"/>
              <w:rPr>
                <w:color w:val="auto"/>
              </w:rPr>
            </w:pPr>
            <w:r>
              <w:rPr>
                <w:rFonts w:hint="eastAsia"/>
                <w:color w:val="auto"/>
              </w:rPr>
              <w:t>（2）了解教学资源获取的途径</w:t>
            </w:r>
          </w:p>
          <w:p w14:paraId="38AD863A">
            <w:pPr>
              <w:spacing w:line="240" w:lineRule="auto"/>
              <w:rPr>
                <w:color w:val="auto"/>
              </w:rPr>
            </w:pPr>
            <w:r>
              <w:rPr>
                <w:rFonts w:hint="eastAsia"/>
                <w:color w:val="auto"/>
              </w:rPr>
              <w:t>（3）掌握数字化教学素材获取的方法与技巧</w:t>
            </w:r>
          </w:p>
          <w:p w14:paraId="603C2752">
            <w:pPr>
              <w:spacing w:line="240" w:lineRule="auto"/>
              <w:rPr>
                <w:color w:val="auto"/>
              </w:rPr>
            </w:pPr>
            <w:r>
              <w:rPr>
                <w:rFonts w:hint="eastAsia"/>
                <w:color w:val="auto"/>
              </w:rPr>
              <w:t>（4）能用一些基本的工具软件加工教学资源</w:t>
            </w:r>
          </w:p>
        </w:tc>
        <w:tc>
          <w:tcPr>
            <w:tcW w:w="1255" w:type="dxa"/>
            <w:vAlign w:val="center"/>
          </w:tcPr>
          <w:p w14:paraId="5D45B356">
            <w:pPr>
              <w:spacing w:line="240" w:lineRule="auto"/>
              <w:rPr>
                <w:color w:val="auto"/>
              </w:rPr>
            </w:pPr>
            <w:r>
              <w:rPr>
                <w:rFonts w:hint="eastAsia"/>
                <w:color w:val="auto"/>
              </w:rPr>
              <w:t>1.线上学习</w:t>
            </w:r>
          </w:p>
          <w:p w14:paraId="777FED48">
            <w:pPr>
              <w:spacing w:line="240" w:lineRule="auto"/>
              <w:rPr>
                <w:color w:val="auto"/>
              </w:rPr>
            </w:pPr>
            <w:r>
              <w:rPr>
                <w:rFonts w:hint="eastAsia"/>
                <w:color w:val="auto"/>
              </w:rPr>
              <w:t>2.多媒体教学</w:t>
            </w:r>
          </w:p>
          <w:p w14:paraId="4D04629D">
            <w:pPr>
              <w:spacing w:line="240" w:lineRule="auto"/>
              <w:rPr>
                <w:color w:val="auto"/>
              </w:rPr>
            </w:pPr>
            <w:r>
              <w:rPr>
                <w:rFonts w:hint="eastAsia"/>
                <w:color w:val="auto"/>
              </w:rPr>
              <w:t>3.课堂讨论</w:t>
            </w:r>
          </w:p>
          <w:p w14:paraId="32B387BA">
            <w:pPr>
              <w:spacing w:line="240" w:lineRule="auto"/>
              <w:rPr>
                <w:color w:val="auto"/>
              </w:rPr>
            </w:pPr>
            <w:r>
              <w:rPr>
                <w:rFonts w:hint="eastAsia"/>
                <w:color w:val="auto"/>
              </w:rPr>
              <w:t>4.机房实操</w:t>
            </w:r>
          </w:p>
        </w:tc>
        <w:tc>
          <w:tcPr>
            <w:tcW w:w="601" w:type="dxa"/>
            <w:vAlign w:val="center"/>
          </w:tcPr>
          <w:p w14:paraId="230E9962">
            <w:pPr>
              <w:spacing w:line="240" w:lineRule="auto"/>
              <w:jc w:val="left"/>
              <w:rPr>
                <w:color w:val="auto"/>
              </w:rPr>
            </w:pPr>
            <w:r>
              <w:rPr>
                <w:rFonts w:hint="eastAsia"/>
                <w:color w:val="auto"/>
              </w:rPr>
              <w:t>6</w:t>
            </w:r>
          </w:p>
        </w:tc>
      </w:tr>
      <w:tr w14:paraId="6E51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165B03BD">
            <w:pPr>
              <w:spacing w:line="240" w:lineRule="auto"/>
              <w:rPr>
                <w:color w:val="auto"/>
              </w:rPr>
            </w:pPr>
          </w:p>
        </w:tc>
        <w:tc>
          <w:tcPr>
            <w:tcW w:w="7618" w:type="dxa"/>
            <w:gridSpan w:val="5"/>
            <w:vAlign w:val="center"/>
          </w:tcPr>
          <w:p w14:paraId="7C826C9A">
            <w:pPr>
              <w:spacing w:line="240" w:lineRule="auto"/>
              <w:jc w:val="left"/>
              <w:rPr>
                <w:color w:val="auto"/>
              </w:rPr>
            </w:pPr>
            <w:r>
              <w:rPr>
                <w:rFonts w:hint="eastAsia"/>
                <w:color w:val="auto"/>
              </w:rPr>
              <w:t>课程思政目标：在讲述各种软件的使用过程中，因为多数是国外公司开发的软件，所以，在引导同学们对国产软件认同的同时，激发同学们的危机意识，在今后的工作中努力支持国产软件，树立起为中华民族复兴培养全面发展的社会主义建设者和接班人的职业理想。</w:t>
            </w:r>
          </w:p>
        </w:tc>
      </w:tr>
      <w:tr w14:paraId="691A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1686F72A">
            <w:pPr>
              <w:spacing w:line="240" w:lineRule="auto"/>
              <w:rPr>
                <w:color w:val="auto"/>
              </w:rPr>
            </w:pPr>
            <w:r>
              <w:rPr>
                <w:rFonts w:hint="eastAsia"/>
                <w:color w:val="auto"/>
              </w:rPr>
              <w:t>5.数字化教学资源的设计与运用</w:t>
            </w:r>
          </w:p>
        </w:tc>
        <w:tc>
          <w:tcPr>
            <w:tcW w:w="2080" w:type="dxa"/>
            <w:vAlign w:val="center"/>
          </w:tcPr>
          <w:p w14:paraId="7D6EA2CE">
            <w:pPr>
              <w:spacing w:line="240" w:lineRule="auto"/>
              <w:rPr>
                <w:color w:val="auto"/>
              </w:rPr>
            </w:pPr>
            <w:r>
              <w:rPr>
                <w:rFonts w:hint="eastAsia"/>
                <w:color w:val="auto"/>
              </w:rPr>
              <w:t>（1）数字化教学资源的内涵</w:t>
            </w:r>
          </w:p>
          <w:p w14:paraId="395EFD9E">
            <w:pPr>
              <w:spacing w:line="240" w:lineRule="auto"/>
              <w:rPr>
                <w:color w:val="auto"/>
              </w:rPr>
            </w:pPr>
            <w:r>
              <w:rPr>
                <w:rFonts w:hint="eastAsia"/>
                <w:color w:val="auto"/>
              </w:rPr>
              <w:t>（2）数字化教学资源的类型及特点</w:t>
            </w:r>
          </w:p>
          <w:p w14:paraId="416BE73A">
            <w:pPr>
              <w:spacing w:line="240" w:lineRule="auto"/>
              <w:rPr>
                <w:color w:val="auto"/>
              </w:rPr>
            </w:pPr>
            <w:r>
              <w:rPr>
                <w:rFonts w:hint="eastAsia"/>
                <w:color w:val="auto"/>
              </w:rPr>
              <w:t>（3）多媒体教学课件的制作</w:t>
            </w:r>
          </w:p>
          <w:p w14:paraId="14D71B9C">
            <w:pPr>
              <w:spacing w:line="240" w:lineRule="auto"/>
              <w:rPr>
                <w:color w:val="auto"/>
              </w:rPr>
            </w:pPr>
            <w:r>
              <w:rPr>
                <w:rFonts w:hint="eastAsia"/>
                <w:color w:val="auto"/>
              </w:rPr>
              <w:t>（4）演示型PPT课件的制作与运用技巧</w:t>
            </w:r>
          </w:p>
        </w:tc>
        <w:tc>
          <w:tcPr>
            <w:tcW w:w="1276" w:type="dxa"/>
            <w:vAlign w:val="center"/>
          </w:tcPr>
          <w:p w14:paraId="0387CDA4">
            <w:pPr>
              <w:spacing w:line="240" w:lineRule="auto"/>
              <w:rPr>
                <w:color w:val="auto"/>
              </w:rPr>
            </w:pPr>
            <w:r>
              <w:rPr>
                <w:rFonts w:hint="eastAsia"/>
                <w:color w:val="auto"/>
              </w:rPr>
              <w:t>课程目标1</w:t>
            </w:r>
          </w:p>
          <w:p w14:paraId="652E4ED4">
            <w:pPr>
              <w:spacing w:line="240" w:lineRule="auto"/>
              <w:rPr>
                <w:color w:val="auto"/>
              </w:rPr>
            </w:pPr>
            <w:r>
              <w:rPr>
                <w:rFonts w:hint="eastAsia"/>
                <w:color w:val="auto"/>
              </w:rPr>
              <w:t>课程目标2</w:t>
            </w:r>
          </w:p>
          <w:p w14:paraId="234DAEB6">
            <w:pPr>
              <w:spacing w:line="240" w:lineRule="auto"/>
              <w:rPr>
                <w:color w:val="auto"/>
              </w:rPr>
            </w:pPr>
            <w:r>
              <w:rPr>
                <w:rFonts w:hint="eastAsia"/>
                <w:color w:val="auto"/>
              </w:rPr>
              <w:t>课程目标3</w:t>
            </w:r>
          </w:p>
        </w:tc>
        <w:tc>
          <w:tcPr>
            <w:tcW w:w="2406" w:type="dxa"/>
            <w:vAlign w:val="center"/>
          </w:tcPr>
          <w:p w14:paraId="53CD149E">
            <w:pPr>
              <w:spacing w:line="240" w:lineRule="auto"/>
              <w:rPr>
                <w:color w:val="auto"/>
              </w:rPr>
            </w:pPr>
            <w:r>
              <w:rPr>
                <w:rFonts w:hint="eastAsia"/>
                <w:color w:val="auto"/>
              </w:rPr>
              <w:t>（1）了解数字化教学资源的内涵及类型</w:t>
            </w:r>
          </w:p>
          <w:p w14:paraId="3E8A1DF8">
            <w:pPr>
              <w:spacing w:line="240" w:lineRule="auto"/>
              <w:rPr>
                <w:color w:val="auto"/>
              </w:rPr>
            </w:pPr>
            <w:r>
              <w:rPr>
                <w:rFonts w:hint="eastAsia"/>
                <w:color w:val="auto"/>
              </w:rPr>
              <w:t>（2）常用数字化教学资源制作工具简介</w:t>
            </w:r>
          </w:p>
          <w:p w14:paraId="16E9DC36">
            <w:pPr>
              <w:spacing w:line="240" w:lineRule="auto"/>
              <w:rPr>
                <w:color w:val="auto"/>
              </w:rPr>
            </w:pPr>
            <w:r>
              <w:rPr>
                <w:rFonts w:hint="eastAsia"/>
                <w:color w:val="auto"/>
              </w:rPr>
              <w:t>（3）熟练掌握利用PowerPoint制作多媒体课件的原则、过程和方法</w:t>
            </w:r>
          </w:p>
          <w:p w14:paraId="28128A74">
            <w:pPr>
              <w:spacing w:line="240" w:lineRule="auto"/>
              <w:rPr>
                <w:color w:val="auto"/>
              </w:rPr>
            </w:pPr>
            <w:r>
              <w:rPr>
                <w:rFonts w:hint="eastAsia"/>
                <w:color w:val="auto"/>
              </w:rPr>
              <w:t>（4）掌握基于PPT课件的教学方法</w:t>
            </w:r>
          </w:p>
        </w:tc>
        <w:tc>
          <w:tcPr>
            <w:tcW w:w="1255" w:type="dxa"/>
            <w:vAlign w:val="center"/>
          </w:tcPr>
          <w:p w14:paraId="59599EF9">
            <w:pPr>
              <w:spacing w:line="240" w:lineRule="auto"/>
              <w:rPr>
                <w:color w:val="auto"/>
              </w:rPr>
            </w:pPr>
            <w:r>
              <w:rPr>
                <w:rFonts w:hint="eastAsia"/>
                <w:color w:val="auto"/>
              </w:rPr>
              <w:t>1.线上学习</w:t>
            </w:r>
          </w:p>
          <w:p w14:paraId="5ACF0037">
            <w:pPr>
              <w:spacing w:line="240" w:lineRule="auto"/>
              <w:rPr>
                <w:color w:val="auto"/>
              </w:rPr>
            </w:pPr>
            <w:r>
              <w:rPr>
                <w:rFonts w:hint="eastAsia"/>
                <w:color w:val="auto"/>
              </w:rPr>
              <w:t>2.多媒体教学</w:t>
            </w:r>
          </w:p>
          <w:p w14:paraId="6CEC19B9">
            <w:pPr>
              <w:spacing w:line="240" w:lineRule="auto"/>
              <w:rPr>
                <w:color w:val="auto"/>
              </w:rPr>
            </w:pPr>
            <w:r>
              <w:rPr>
                <w:rFonts w:hint="eastAsia"/>
                <w:color w:val="auto"/>
              </w:rPr>
              <w:t>3.课堂讨论</w:t>
            </w:r>
          </w:p>
          <w:p w14:paraId="0CF6F495">
            <w:pPr>
              <w:spacing w:line="240" w:lineRule="auto"/>
              <w:rPr>
                <w:color w:val="auto"/>
              </w:rPr>
            </w:pPr>
            <w:r>
              <w:rPr>
                <w:rFonts w:hint="eastAsia"/>
                <w:color w:val="auto"/>
              </w:rPr>
              <w:t>4.机房实操</w:t>
            </w:r>
          </w:p>
        </w:tc>
        <w:tc>
          <w:tcPr>
            <w:tcW w:w="601" w:type="dxa"/>
            <w:vAlign w:val="center"/>
          </w:tcPr>
          <w:p w14:paraId="31CC195E">
            <w:pPr>
              <w:spacing w:line="240" w:lineRule="auto"/>
              <w:jc w:val="left"/>
              <w:rPr>
                <w:color w:val="auto"/>
              </w:rPr>
            </w:pPr>
            <w:r>
              <w:rPr>
                <w:rFonts w:hint="eastAsia"/>
                <w:color w:val="auto"/>
              </w:rPr>
              <w:t>6</w:t>
            </w:r>
          </w:p>
        </w:tc>
      </w:tr>
      <w:tr w14:paraId="0167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70C1CD90">
            <w:pPr>
              <w:spacing w:line="240" w:lineRule="auto"/>
              <w:rPr>
                <w:color w:val="auto"/>
              </w:rPr>
            </w:pPr>
          </w:p>
        </w:tc>
        <w:tc>
          <w:tcPr>
            <w:tcW w:w="7618" w:type="dxa"/>
            <w:gridSpan w:val="5"/>
            <w:vAlign w:val="center"/>
          </w:tcPr>
          <w:p w14:paraId="1E24D9E2">
            <w:pPr>
              <w:spacing w:line="240" w:lineRule="auto"/>
              <w:jc w:val="left"/>
              <w:rPr>
                <w:color w:val="auto"/>
              </w:rPr>
            </w:pPr>
            <w:r>
              <w:rPr>
                <w:rFonts w:hint="eastAsia"/>
                <w:color w:val="auto"/>
              </w:rPr>
              <w:t>课程思政目标：引导学生注重知识产权保护，既要学会保护自己设计制作的数字作品，又要学会尊重他人的相关作品，推动数字资源市场的良性化发展。</w:t>
            </w:r>
          </w:p>
        </w:tc>
      </w:tr>
      <w:tr w14:paraId="4B72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72F4AECD">
            <w:pPr>
              <w:spacing w:line="240" w:lineRule="auto"/>
              <w:rPr>
                <w:color w:val="auto"/>
              </w:rPr>
            </w:pPr>
            <w:r>
              <w:rPr>
                <w:rFonts w:hint="eastAsia"/>
                <w:color w:val="auto"/>
              </w:rPr>
              <w:t>6.教学设计的理论与实践</w:t>
            </w:r>
          </w:p>
        </w:tc>
        <w:tc>
          <w:tcPr>
            <w:tcW w:w="2080" w:type="dxa"/>
            <w:vAlign w:val="center"/>
          </w:tcPr>
          <w:p w14:paraId="4F62D3D2">
            <w:pPr>
              <w:spacing w:line="240" w:lineRule="auto"/>
              <w:rPr>
                <w:color w:val="auto"/>
              </w:rPr>
            </w:pPr>
            <w:r>
              <w:rPr>
                <w:rFonts w:hint="eastAsia"/>
                <w:color w:val="auto"/>
              </w:rPr>
              <w:t>（1）教学设计的理论基础</w:t>
            </w:r>
          </w:p>
          <w:p w14:paraId="16CE4AF4">
            <w:pPr>
              <w:spacing w:line="240" w:lineRule="auto"/>
              <w:rPr>
                <w:color w:val="auto"/>
              </w:rPr>
            </w:pPr>
            <w:r>
              <w:rPr>
                <w:rFonts w:hint="eastAsia"/>
                <w:color w:val="auto"/>
              </w:rPr>
              <w:t>（2）教学设计的一般方法</w:t>
            </w:r>
          </w:p>
          <w:p w14:paraId="2F282527">
            <w:pPr>
              <w:spacing w:line="240" w:lineRule="auto"/>
              <w:rPr>
                <w:color w:val="auto"/>
              </w:rPr>
            </w:pPr>
            <w:r>
              <w:rPr>
                <w:rFonts w:hint="eastAsia"/>
                <w:color w:val="auto"/>
              </w:rPr>
              <w:t>（3）信息化教学模式的类型、特点及应用案例</w:t>
            </w:r>
          </w:p>
          <w:p w14:paraId="4BA0F43E">
            <w:pPr>
              <w:spacing w:line="240" w:lineRule="auto"/>
              <w:rPr>
                <w:color w:val="auto"/>
              </w:rPr>
            </w:pPr>
            <w:r>
              <w:rPr>
                <w:rFonts w:hint="eastAsia"/>
                <w:color w:val="auto"/>
              </w:rPr>
              <w:t>（4）信息化教学工具及应用方法</w:t>
            </w:r>
          </w:p>
        </w:tc>
        <w:tc>
          <w:tcPr>
            <w:tcW w:w="1276" w:type="dxa"/>
            <w:vAlign w:val="center"/>
          </w:tcPr>
          <w:p w14:paraId="34A051B8">
            <w:pPr>
              <w:spacing w:line="240" w:lineRule="auto"/>
              <w:rPr>
                <w:color w:val="auto"/>
              </w:rPr>
            </w:pPr>
            <w:r>
              <w:rPr>
                <w:rFonts w:hint="eastAsia"/>
                <w:color w:val="auto"/>
              </w:rPr>
              <w:t>课程目标1</w:t>
            </w:r>
          </w:p>
          <w:p w14:paraId="12B9D0F9">
            <w:pPr>
              <w:spacing w:line="240" w:lineRule="auto"/>
              <w:rPr>
                <w:color w:val="auto"/>
              </w:rPr>
            </w:pPr>
            <w:r>
              <w:rPr>
                <w:rFonts w:hint="eastAsia"/>
                <w:color w:val="auto"/>
              </w:rPr>
              <w:t>课程目标2</w:t>
            </w:r>
          </w:p>
        </w:tc>
        <w:tc>
          <w:tcPr>
            <w:tcW w:w="2406" w:type="dxa"/>
            <w:vAlign w:val="center"/>
          </w:tcPr>
          <w:p w14:paraId="02BF0700">
            <w:pPr>
              <w:spacing w:line="240" w:lineRule="auto"/>
              <w:rPr>
                <w:color w:val="auto"/>
              </w:rPr>
            </w:pPr>
            <w:r>
              <w:rPr>
                <w:rFonts w:hint="eastAsia"/>
                <w:color w:val="auto"/>
              </w:rPr>
              <w:t>（1）了解教学设计的概念和模式</w:t>
            </w:r>
          </w:p>
          <w:p w14:paraId="44019C39">
            <w:pPr>
              <w:spacing w:line="240" w:lineRule="auto"/>
              <w:rPr>
                <w:color w:val="auto"/>
              </w:rPr>
            </w:pPr>
            <w:r>
              <w:rPr>
                <w:rFonts w:hint="eastAsia"/>
                <w:color w:val="auto"/>
              </w:rPr>
              <w:t>（2）掌握教学设计的基本过程和方法</w:t>
            </w:r>
          </w:p>
          <w:p w14:paraId="5C45F366">
            <w:pPr>
              <w:spacing w:line="240" w:lineRule="auto"/>
              <w:rPr>
                <w:color w:val="auto"/>
              </w:rPr>
            </w:pPr>
            <w:r>
              <w:rPr>
                <w:rFonts w:hint="eastAsia"/>
                <w:color w:val="auto"/>
              </w:rPr>
              <w:t>（3）了解信息化教学模式的类型及特点</w:t>
            </w:r>
          </w:p>
          <w:p w14:paraId="586F62E8">
            <w:pPr>
              <w:spacing w:line="240" w:lineRule="auto"/>
              <w:rPr>
                <w:color w:val="auto"/>
              </w:rPr>
            </w:pPr>
            <w:r>
              <w:rPr>
                <w:rFonts w:hint="eastAsia"/>
                <w:color w:val="auto"/>
              </w:rPr>
              <w:t>（4）能够结合学科内容编写教学设计方案并付诸教学实践</w:t>
            </w:r>
          </w:p>
        </w:tc>
        <w:tc>
          <w:tcPr>
            <w:tcW w:w="1255" w:type="dxa"/>
            <w:vAlign w:val="center"/>
          </w:tcPr>
          <w:p w14:paraId="05591641">
            <w:pPr>
              <w:spacing w:line="240" w:lineRule="auto"/>
              <w:rPr>
                <w:color w:val="auto"/>
              </w:rPr>
            </w:pPr>
            <w:r>
              <w:rPr>
                <w:rFonts w:hint="eastAsia"/>
                <w:color w:val="auto"/>
              </w:rPr>
              <w:t>1.线上学习</w:t>
            </w:r>
          </w:p>
          <w:p w14:paraId="51B7FE68">
            <w:pPr>
              <w:spacing w:line="240" w:lineRule="auto"/>
              <w:rPr>
                <w:color w:val="auto"/>
              </w:rPr>
            </w:pPr>
            <w:r>
              <w:rPr>
                <w:rFonts w:hint="eastAsia"/>
                <w:color w:val="auto"/>
              </w:rPr>
              <w:t>2.多媒体教学</w:t>
            </w:r>
          </w:p>
          <w:p w14:paraId="21CD93A6">
            <w:pPr>
              <w:spacing w:line="240" w:lineRule="auto"/>
              <w:rPr>
                <w:color w:val="auto"/>
              </w:rPr>
            </w:pPr>
            <w:r>
              <w:rPr>
                <w:rFonts w:hint="eastAsia"/>
                <w:color w:val="auto"/>
              </w:rPr>
              <w:t>3.课堂讨论</w:t>
            </w:r>
          </w:p>
        </w:tc>
        <w:tc>
          <w:tcPr>
            <w:tcW w:w="601" w:type="dxa"/>
            <w:vAlign w:val="center"/>
          </w:tcPr>
          <w:p w14:paraId="184612D4">
            <w:pPr>
              <w:spacing w:line="240" w:lineRule="auto"/>
              <w:jc w:val="left"/>
              <w:rPr>
                <w:color w:val="auto"/>
              </w:rPr>
            </w:pPr>
            <w:r>
              <w:rPr>
                <w:rFonts w:hint="eastAsia"/>
                <w:color w:val="auto"/>
              </w:rPr>
              <w:t>4</w:t>
            </w:r>
          </w:p>
        </w:tc>
      </w:tr>
      <w:tr w14:paraId="2FC5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65AC7EB1">
            <w:pPr>
              <w:spacing w:line="240" w:lineRule="auto"/>
              <w:rPr>
                <w:color w:val="auto"/>
              </w:rPr>
            </w:pPr>
          </w:p>
        </w:tc>
        <w:tc>
          <w:tcPr>
            <w:tcW w:w="7618" w:type="dxa"/>
            <w:gridSpan w:val="5"/>
            <w:vAlign w:val="center"/>
          </w:tcPr>
          <w:p w14:paraId="55EB2E3F">
            <w:pPr>
              <w:spacing w:line="240" w:lineRule="auto"/>
              <w:jc w:val="left"/>
              <w:rPr>
                <w:color w:val="auto"/>
              </w:rPr>
            </w:pPr>
            <w:r>
              <w:rPr>
                <w:rFonts w:hint="eastAsia"/>
                <w:color w:val="auto"/>
              </w:rPr>
              <w:t>课程思政目标：能创造性地运用所学知识设计与实施小学科学教育，成为有理想信念、有道德情操、有扎实学识、有仁爱之心的小学好老师。</w:t>
            </w:r>
          </w:p>
        </w:tc>
      </w:tr>
      <w:tr w14:paraId="1CAC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4C1A6694">
            <w:pPr>
              <w:spacing w:line="240" w:lineRule="auto"/>
              <w:rPr>
                <w:color w:val="auto"/>
              </w:rPr>
            </w:pPr>
            <w:r>
              <w:rPr>
                <w:rFonts w:hint="eastAsia"/>
                <w:color w:val="auto"/>
              </w:rPr>
              <w:t>7.微课制作</w:t>
            </w:r>
          </w:p>
        </w:tc>
        <w:tc>
          <w:tcPr>
            <w:tcW w:w="2080" w:type="dxa"/>
            <w:vAlign w:val="center"/>
          </w:tcPr>
          <w:p w14:paraId="5F6DDE7E">
            <w:pPr>
              <w:spacing w:line="240" w:lineRule="auto"/>
              <w:rPr>
                <w:color w:val="auto"/>
              </w:rPr>
            </w:pPr>
            <w:r>
              <w:rPr>
                <w:rFonts w:hint="eastAsia"/>
                <w:color w:val="auto"/>
              </w:rPr>
              <w:t>（1）教学设计的理论基础</w:t>
            </w:r>
          </w:p>
          <w:p w14:paraId="2BAAA150">
            <w:pPr>
              <w:spacing w:line="240" w:lineRule="auto"/>
              <w:rPr>
                <w:color w:val="auto"/>
              </w:rPr>
            </w:pPr>
            <w:r>
              <w:rPr>
                <w:rFonts w:hint="eastAsia"/>
                <w:color w:val="auto"/>
              </w:rPr>
              <w:t>（2）教学设计的一般方法</w:t>
            </w:r>
          </w:p>
          <w:p w14:paraId="404C54BC">
            <w:pPr>
              <w:spacing w:line="240" w:lineRule="auto"/>
              <w:rPr>
                <w:color w:val="auto"/>
              </w:rPr>
            </w:pPr>
            <w:r>
              <w:rPr>
                <w:rFonts w:hint="eastAsia"/>
                <w:color w:val="auto"/>
              </w:rPr>
              <w:t>（3）Camtasia软件安装与使用</w:t>
            </w:r>
          </w:p>
          <w:p w14:paraId="3683CC61">
            <w:pPr>
              <w:spacing w:line="240" w:lineRule="auto"/>
              <w:rPr>
                <w:color w:val="auto"/>
              </w:rPr>
            </w:pPr>
            <w:r>
              <w:rPr>
                <w:rFonts w:hint="eastAsia"/>
                <w:color w:val="auto"/>
              </w:rPr>
              <w:t>（4）微课制作基本方法与原则</w:t>
            </w:r>
          </w:p>
        </w:tc>
        <w:tc>
          <w:tcPr>
            <w:tcW w:w="1276" w:type="dxa"/>
            <w:vAlign w:val="center"/>
          </w:tcPr>
          <w:p w14:paraId="229AF788">
            <w:pPr>
              <w:spacing w:line="240" w:lineRule="auto"/>
              <w:rPr>
                <w:color w:val="auto"/>
              </w:rPr>
            </w:pPr>
            <w:r>
              <w:rPr>
                <w:rFonts w:hint="eastAsia"/>
                <w:color w:val="auto"/>
              </w:rPr>
              <w:t>课程目标1</w:t>
            </w:r>
          </w:p>
          <w:p w14:paraId="19D5DD72">
            <w:pPr>
              <w:spacing w:line="240" w:lineRule="auto"/>
              <w:rPr>
                <w:color w:val="auto"/>
              </w:rPr>
            </w:pPr>
            <w:r>
              <w:rPr>
                <w:rFonts w:hint="eastAsia"/>
                <w:color w:val="auto"/>
              </w:rPr>
              <w:t>课程目标2</w:t>
            </w:r>
          </w:p>
          <w:p w14:paraId="52FA22C1">
            <w:pPr>
              <w:spacing w:line="240" w:lineRule="auto"/>
              <w:rPr>
                <w:color w:val="auto"/>
              </w:rPr>
            </w:pPr>
            <w:r>
              <w:rPr>
                <w:rFonts w:hint="eastAsia"/>
                <w:color w:val="auto"/>
              </w:rPr>
              <w:t>课程目标3</w:t>
            </w:r>
          </w:p>
        </w:tc>
        <w:tc>
          <w:tcPr>
            <w:tcW w:w="2406" w:type="dxa"/>
            <w:vAlign w:val="center"/>
          </w:tcPr>
          <w:p w14:paraId="53956054">
            <w:pPr>
              <w:spacing w:line="240" w:lineRule="auto"/>
              <w:rPr>
                <w:color w:val="auto"/>
              </w:rPr>
            </w:pPr>
            <w:r>
              <w:rPr>
                <w:rFonts w:hint="eastAsia"/>
                <w:color w:val="auto"/>
              </w:rPr>
              <w:t>（1）了解信息化教学设计的概念和模式</w:t>
            </w:r>
          </w:p>
          <w:p w14:paraId="79C9C731">
            <w:pPr>
              <w:spacing w:line="240" w:lineRule="auto"/>
              <w:rPr>
                <w:color w:val="auto"/>
              </w:rPr>
            </w:pPr>
            <w:r>
              <w:rPr>
                <w:rFonts w:hint="eastAsia"/>
                <w:color w:val="auto"/>
              </w:rPr>
              <w:t>（2）掌握微课制作的基本过程和方法</w:t>
            </w:r>
          </w:p>
          <w:p w14:paraId="0842B8A9">
            <w:pPr>
              <w:spacing w:line="240" w:lineRule="auto"/>
              <w:rPr>
                <w:color w:val="auto"/>
              </w:rPr>
            </w:pPr>
            <w:r>
              <w:rPr>
                <w:rFonts w:hint="eastAsia"/>
                <w:color w:val="auto"/>
              </w:rPr>
              <w:t>（3）了解Camtasia软件的功能及特点</w:t>
            </w:r>
          </w:p>
          <w:p w14:paraId="4D1784ED">
            <w:pPr>
              <w:spacing w:line="240" w:lineRule="auto"/>
              <w:rPr>
                <w:color w:val="auto"/>
              </w:rPr>
            </w:pPr>
            <w:r>
              <w:rPr>
                <w:rFonts w:hint="eastAsia"/>
                <w:color w:val="auto"/>
              </w:rPr>
              <w:t>（4）能够结合学科内容制作一个微课作品</w:t>
            </w:r>
          </w:p>
        </w:tc>
        <w:tc>
          <w:tcPr>
            <w:tcW w:w="1255" w:type="dxa"/>
            <w:vAlign w:val="center"/>
          </w:tcPr>
          <w:p w14:paraId="48D72553">
            <w:pPr>
              <w:spacing w:line="240" w:lineRule="auto"/>
              <w:rPr>
                <w:color w:val="auto"/>
              </w:rPr>
            </w:pPr>
            <w:r>
              <w:rPr>
                <w:rFonts w:hint="eastAsia"/>
                <w:color w:val="auto"/>
              </w:rPr>
              <w:t>1.线上学习</w:t>
            </w:r>
          </w:p>
          <w:p w14:paraId="0C3FF907">
            <w:pPr>
              <w:spacing w:line="240" w:lineRule="auto"/>
              <w:rPr>
                <w:color w:val="auto"/>
              </w:rPr>
            </w:pPr>
            <w:r>
              <w:rPr>
                <w:rFonts w:hint="eastAsia"/>
                <w:color w:val="auto"/>
              </w:rPr>
              <w:t>2.多媒体教学</w:t>
            </w:r>
          </w:p>
          <w:p w14:paraId="71B0BA38">
            <w:pPr>
              <w:spacing w:line="240" w:lineRule="auto"/>
              <w:rPr>
                <w:color w:val="auto"/>
              </w:rPr>
            </w:pPr>
            <w:r>
              <w:rPr>
                <w:rFonts w:hint="eastAsia"/>
                <w:color w:val="auto"/>
              </w:rPr>
              <w:t>3.课堂讨论</w:t>
            </w:r>
          </w:p>
          <w:p w14:paraId="27F6A87C">
            <w:pPr>
              <w:spacing w:line="240" w:lineRule="auto"/>
              <w:rPr>
                <w:color w:val="auto"/>
              </w:rPr>
            </w:pPr>
            <w:r>
              <w:rPr>
                <w:rFonts w:hint="eastAsia"/>
                <w:color w:val="auto"/>
              </w:rPr>
              <w:t>4.机房实操</w:t>
            </w:r>
          </w:p>
        </w:tc>
        <w:tc>
          <w:tcPr>
            <w:tcW w:w="601" w:type="dxa"/>
            <w:vAlign w:val="center"/>
          </w:tcPr>
          <w:p w14:paraId="756F6A87">
            <w:pPr>
              <w:spacing w:line="240" w:lineRule="auto"/>
              <w:jc w:val="left"/>
              <w:rPr>
                <w:color w:val="auto"/>
              </w:rPr>
            </w:pPr>
            <w:r>
              <w:rPr>
                <w:rFonts w:hint="eastAsia"/>
                <w:color w:val="auto"/>
              </w:rPr>
              <w:t>8</w:t>
            </w:r>
          </w:p>
        </w:tc>
      </w:tr>
      <w:tr w14:paraId="156D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28BDA0B3">
            <w:pPr>
              <w:spacing w:line="240" w:lineRule="auto"/>
              <w:rPr>
                <w:color w:val="auto"/>
              </w:rPr>
            </w:pPr>
          </w:p>
        </w:tc>
        <w:tc>
          <w:tcPr>
            <w:tcW w:w="7618" w:type="dxa"/>
            <w:gridSpan w:val="5"/>
            <w:vAlign w:val="center"/>
          </w:tcPr>
          <w:p w14:paraId="5234BB07">
            <w:pPr>
              <w:spacing w:line="240" w:lineRule="auto"/>
              <w:rPr>
                <w:color w:val="auto"/>
              </w:rPr>
            </w:pPr>
            <w:r>
              <w:rPr>
                <w:rFonts w:hint="eastAsia"/>
                <w:color w:val="auto"/>
              </w:rPr>
              <w:t>课程思政目标：通过微课制作，让学生了解微课制作的基本原则和方法，引导学生树牢唯物主义世界观、科学发展观、社会主义核心价值观，能够认真体会微课在教学过程中的作用，使微课能够更好地融入到整个教学环节中。</w:t>
            </w:r>
          </w:p>
        </w:tc>
      </w:tr>
    </w:tbl>
    <w:p w14:paraId="3F76F11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hint="eastAsia" w:ascii="宋体" w:hAnsi="宋体" w:eastAsia="宋体" w:cs="宋体"/>
          <w:b/>
          <w:bCs/>
          <w:color w:val="auto"/>
          <w:sz w:val="24"/>
          <w:szCs w:val="32"/>
        </w:rPr>
      </w:pPr>
      <w:r>
        <w:rPr>
          <w:rFonts w:hint="eastAsia" w:ascii="宋体" w:hAnsi="宋体" w:eastAsia="宋体" w:cs="宋体"/>
          <w:b/>
          <w:bCs/>
          <w:color w:val="auto"/>
          <w:sz w:val="24"/>
          <w:szCs w:val="32"/>
        </w:rPr>
        <w:t>四、课内实践</w:t>
      </w:r>
    </w:p>
    <w:tbl>
      <w:tblPr>
        <w:tblStyle w:val="1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1130"/>
        <w:gridCol w:w="3792"/>
        <w:gridCol w:w="591"/>
        <w:gridCol w:w="1534"/>
        <w:gridCol w:w="708"/>
      </w:tblGrid>
      <w:tr w14:paraId="6BF3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522" w:type="dxa"/>
            <w:shd w:val="clear" w:color="auto" w:fill="FFFFFF"/>
            <w:vAlign w:val="center"/>
          </w:tcPr>
          <w:p w14:paraId="2048CC4A">
            <w:pPr>
              <w:jc w:val="center"/>
              <w:rPr>
                <w:color w:val="auto"/>
              </w:rPr>
            </w:pPr>
            <w:r>
              <w:rPr>
                <w:color w:val="auto"/>
              </w:rPr>
              <w:t>序号</w:t>
            </w:r>
          </w:p>
        </w:tc>
        <w:tc>
          <w:tcPr>
            <w:tcW w:w="1130" w:type="dxa"/>
            <w:shd w:val="clear" w:color="auto" w:fill="FFFFFF"/>
            <w:vAlign w:val="center"/>
          </w:tcPr>
          <w:p w14:paraId="5EEFFB1A">
            <w:pPr>
              <w:jc w:val="center"/>
              <w:rPr>
                <w:color w:val="auto"/>
              </w:rPr>
            </w:pPr>
            <w:r>
              <w:rPr>
                <w:rFonts w:hint="eastAsia"/>
                <w:color w:val="auto"/>
              </w:rPr>
              <w:t>实践</w:t>
            </w:r>
          </w:p>
          <w:p w14:paraId="1C766106">
            <w:pPr>
              <w:jc w:val="center"/>
              <w:rPr>
                <w:color w:val="auto"/>
              </w:rPr>
            </w:pPr>
            <w:r>
              <w:rPr>
                <w:color w:val="auto"/>
              </w:rPr>
              <w:t>项目名称</w:t>
            </w:r>
          </w:p>
        </w:tc>
        <w:tc>
          <w:tcPr>
            <w:tcW w:w="3792" w:type="dxa"/>
            <w:shd w:val="clear" w:color="auto" w:fill="FFFFFF"/>
            <w:vAlign w:val="center"/>
          </w:tcPr>
          <w:p w14:paraId="2E744299">
            <w:pPr>
              <w:jc w:val="center"/>
              <w:rPr>
                <w:color w:val="auto"/>
              </w:rPr>
            </w:pPr>
            <w:r>
              <w:rPr>
                <w:rFonts w:hint="eastAsia"/>
                <w:color w:val="auto"/>
              </w:rPr>
              <w:t>实践</w:t>
            </w:r>
            <w:r>
              <w:rPr>
                <w:color w:val="auto"/>
              </w:rPr>
              <w:t>内容</w:t>
            </w:r>
            <w:r>
              <w:rPr>
                <w:rFonts w:hint="eastAsia"/>
                <w:color w:val="auto"/>
              </w:rPr>
              <w:t>及要求</w:t>
            </w:r>
          </w:p>
        </w:tc>
        <w:tc>
          <w:tcPr>
            <w:tcW w:w="591" w:type="dxa"/>
            <w:shd w:val="clear" w:color="auto" w:fill="FFFFFF"/>
            <w:vAlign w:val="center"/>
          </w:tcPr>
          <w:p w14:paraId="186EDEFB">
            <w:pPr>
              <w:jc w:val="center"/>
              <w:rPr>
                <w:color w:val="auto"/>
              </w:rPr>
            </w:pPr>
            <w:r>
              <w:rPr>
                <w:color w:val="auto"/>
              </w:rPr>
              <w:t>学时</w:t>
            </w:r>
          </w:p>
        </w:tc>
        <w:tc>
          <w:tcPr>
            <w:tcW w:w="1534" w:type="dxa"/>
            <w:shd w:val="clear" w:color="auto" w:fill="FFFFFF"/>
            <w:vAlign w:val="center"/>
          </w:tcPr>
          <w:p w14:paraId="4F908271">
            <w:pPr>
              <w:jc w:val="center"/>
              <w:rPr>
                <w:color w:val="auto"/>
              </w:rPr>
            </w:pPr>
            <w:r>
              <w:rPr>
                <w:color w:val="auto"/>
              </w:rPr>
              <w:t>对毕业要求的</w:t>
            </w:r>
          </w:p>
          <w:p w14:paraId="15283734">
            <w:pPr>
              <w:jc w:val="center"/>
              <w:rPr>
                <w:color w:val="auto"/>
              </w:rPr>
            </w:pPr>
            <w:r>
              <w:rPr>
                <w:color w:val="auto"/>
              </w:rPr>
              <w:t>支撑</w:t>
            </w:r>
          </w:p>
        </w:tc>
        <w:tc>
          <w:tcPr>
            <w:tcW w:w="708" w:type="dxa"/>
            <w:shd w:val="clear" w:color="auto" w:fill="FFFFFF"/>
            <w:tcMar>
              <w:left w:w="28" w:type="dxa"/>
              <w:right w:w="28" w:type="dxa"/>
            </w:tcMar>
            <w:vAlign w:val="center"/>
          </w:tcPr>
          <w:p w14:paraId="4429B3BD">
            <w:pPr>
              <w:jc w:val="center"/>
              <w:rPr>
                <w:color w:val="auto"/>
              </w:rPr>
            </w:pPr>
            <w:r>
              <w:rPr>
                <w:color w:val="auto"/>
              </w:rPr>
              <w:t>类型</w:t>
            </w:r>
          </w:p>
        </w:tc>
      </w:tr>
      <w:tr w14:paraId="50DA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522" w:type="dxa"/>
            <w:vAlign w:val="center"/>
          </w:tcPr>
          <w:p w14:paraId="16079078">
            <w:pPr>
              <w:jc w:val="center"/>
              <w:rPr>
                <w:color w:val="auto"/>
              </w:rPr>
            </w:pPr>
            <w:r>
              <w:rPr>
                <w:color w:val="auto"/>
              </w:rPr>
              <w:t>1</w:t>
            </w:r>
          </w:p>
        </w:tc>
        <w:tc>
          <w:tcPr>
            <w:tcW w:w="1130" w:type="dxa"/>
            <w:vAlign w:val="center"/>
          </w:tcPr>
          <w:p w14:paraId="4C68FCEF">
            <w:pPr>
              <w:jc w:val="center"/>
              <w:rPr>
                <w:color w:val="auto"/>
              </w:rPr>
            </w:pPr>
            <w:r>
              <w:rPr>
                <w:rFonts w:hint="eastAsia"/>
                <w:color w:val="auto"/>
              </w:rPr>
              <w:t>智慧教室的应用学习</w:t>
            </w:r>
          </w:p>
        </w:tc>
        <w:tc>
          <w:tcPr>
            <w:tcW w:w="3792" w:type="dxa"/>
            <w:vAlign w:val="center"/>
          </w:tcPr>
          <w:p w14:paraId="573EA88A">
            <w:pPr>
              <w:jc w:val="both"/>
              <w:rPr>
                <w:color w:val="auto"/>
              </w:rPr>
            </w:pPr>
            <w:r>
              <w:rPr>
                <w:rFonts w:hint="eastAsia"/>
                <w:color w:val="auto"/>
              </w:rPr>
              <w:t>实践</w:t>
            </w:r>
            <w:r>
              <w:rPr>
                <w:color w:val="auto"/>
              </w:rPr>
              <w:t>内容</w:t>
            </w:r>
            <w:r>
              <w:rPr>
                <w:rFonts w:hint="eastAsia"/>
                <w:color w:val="auto"/>
              </w:rPr>
              <w:t>：根据中小学常用的智慧教室配置，学习数字白板的使用。</w:t>
            </w:r>
          </w:p>
          <w:p w14:paraId="456409A3">
            <w:pPr>
              <w:jc w:val="both"/>
              <w:rPr>
                <w:color w:val="auto"/>
              </w:rPr>
            </w:pPr>
            <w:r>
              <w:rPr>
                <w:rFonts w:hint="eastAsia"/>
                <w:color w:val="auto"/>
              </w:rPr>
              <w:t>实践要求：利用数字白板制作一个课件。</w:t>
            </w:r>
          </w:p>
        </w:tc>
        <w:tc>
          <w:tcPr>
            <w:tcW w:w="591" w:type="dxa"/>
            <w:vAlign w:val="center"/>
          </w:tcPr>
          <w:p w14:paraId="04E43A95">
            <w:pPr>
              <w:jc w:val="center"/>
              <w:rPr>
                <w:color w:val="auto"/>
              </w:rPr>
            </w:pPr>
            <w:r>
              <w:rPr>
                <w:color w:val="auto"/>
              </w:rPr>
              <w:t>2</w:t>
            </w:r>
          </w:p>
        </w:tc>
        <w:tc>
          <w:tcPr>
            <w:tcW w:w="1534" w:type="dxa"/>
            <w:vAlign w:val="center"/>
          </w:tcPr>
          <w:p w14:paraId="202FF6B8">
            <w:pPr>
              <w:jc w:val="center"/>
              <w:rPr>
                <w:b w:val="0"/>
                <w:bCs/>
                <w:color w:val="auto"/>
              </w:rPr>
            </w:pPr>
            <w:r>
              <w:rPr>
                <w:rFonts w:hint="eastAsia"/>
                <w:b w:val="0"/>
                <w:bCs/>
                <w:color w:val="auto"/>
                <w:lang w:eastAsia="zh-CN"/>
              </w:rPr>
              <w:t>指标点4-3</w:t>
            </w:r>
          </w:p>
        </w:tc>
        <w:tc>
          <w:tcPr>
            <w:tcW w:w="708" w:type="dxa"/>
            <w:tcMar>
              <w:left w:w="28" w:type="dxa"/>
              <w:right w:w="28" w:type="dxa"/>
            </w:tcMar>
            <w:vAlign w:val="center"/>
          </w:tcPr>
          <w:p w14:paraId="6A6ABB74">
            <w:pPr>
              <w:rPr>
                <w:color w:val="auto"/>
              </w:rPr>
            </w:pPr>
            <w:r>
              <w:rPr>
                <w:rFonts w:hint="eastAsia"/>
                <w:color w:val="auto"/>
              </w:rPr>
              <w:t>设计性</w:t>
            </w:r>
          </w:p>
        </w:tc>
      </w:tr>
      <w:tr w14:paraId="354F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522" w:type="dxa"/>
            <w:vAlign w:val="center"/>
          </w:tcPr>
          <w:p w14:paraId="1822256B">
            <w:pPr>
              <w:jc w:val="center"/>
              <w:rPr>
                <w:color w:val="auto"/>
              </w:rPr>
            </w:pPr>
            <w:r>
              <w:rPr>
                <w:rFonts w:hint="eastAsia"/>
                <w:color w:val="auto"/>
              </w:rPr>
              <w:t>2</w:t>
            </w:r>
          </w:p>
        </w:tc>
        <w:tc>
          <w:tcPr>
            <w:tcW w:w="1130" w:type="dxa"/>
            <w:vAlign w:val="center"/>
          </w:tcPr>
          <w:p w14:paraId="0D474FFB">
            <w:pPr>
              <w:jc w:val="center"/>
              <w:rPr>
                <w:color w:val="auto"/>
              </w:rPr>
            </w:pPr>
            <w:r>
              <w:rPr>
                <w:rFonts w:hint="eastAsia"/>
                <w:color w:val="auto"/>
              </w:rPr>
              <w:t>图像设计与制作</w:t>
            </w:r>
          </w:p>
        </w:tc>
        <w:tc>
          <w:tcPr>
            <w:tcW w:w="3792" w:type="dxa"/>
            <w:vAlign w:val="center"/>
          </w:tcPr>
          <w:p w14:paraId="427BF49F">
            <w:pPr>
              <w:jc w:val="both"/>
              <w:rPr>
                <w:color w:val="auto"/>
              </w:rPr>
            </w:pPr>
            <w:r>
              <w:rPr>
                <w:rFonts w:hint="eastAsia"/>
                <w:color w:val="auto"/>
              </w:rPr>
              <w:t>实践</w:t>
            </w:r>
            <w:r>
              <w:rPr>
                <w:color w:val="auto"/>
              </w:rPr>
              <w:t>内容</w:t>
            </w:r>
            <w:r>
              <w:rPr>
                <w:rFonts w:hint="eastAsia"/>
                <w:color w:val="auto"/>
              </w:rPr>
              <w:t>：利用Photoshop软件合成并处理教育资源相关图像</w:t>
            </w:r>
          </w:p>
          <w:p w14:paraId="76093788">
            <w:pPr>
              <w:jc w:val="both"/>
              <w:rPr>
                <w:color w:val="auto"/>
              </w:rPr>
            </w:pPr>
            <w:r>
              <w:rPr>
                <w:rFonts w:hint="eastAsia"/>
                <w:color w:val="auto"/>
              </w:rPr>
              <w:t>实践要求：提交一个PSD或JPG格式作品</w:t>
            </w:r>
            <w:r>
              <w:rPr>
                <w:color w:val="auto"/>
              </w:rPr>
              <w:t>。</w:t>
            </w:r>
          </w:p>
        </w:tc>
        <w:tc>
          <w:tcPr>
            <w:tcW w:w="591" w:type="dxa"/>
            <w:vAlign w:val="center"/>
          </w:tcPr>
          <w:p w14:paraId="4988FF09">
            <w:pPr>
              <w:jc w:val="center"/>
              <w:rPr>
                <w:color w:val="auto"/>
              </w:rPr>
            </w:pPr>
            <w:r>
              <w:rPr>
                <w:color w:val="auto"/>
              </w:rPr>
              <w:t>4</w:t>
            </w:r>
          </w:p>
        </w:tc>
        <w:tc>
          <w:tcPr>
            <w:tcW w:w="1534" w:type="dxa"/>
            <w:vAlign w:val="center"/>
          </w:tcPr>
          <w:p w14:paraId="77DD8F5D">
            <w:pPr>
              <w:jc w:val="center"/>
              <w:rPr>
                <w:b w:val="0"/>
                <w:bCs/>
                <w:color w:val="auto"/>
              </w:rPr>
            </w:pPr>
            <w:r>
              <w:rPr>
                <w:rFonts w:hint="eastAsia"/>
                <w:b w:val="0"/>
                <w:bCs/>
                <w:color w:val="auto"/>
                <w:lang w:eastAsia="zh-CN"/>
              </w:rPr>
              <w:t>指标点4-3</w:t>
            </w:r>
          </w:p>
        </w:tc>
        <w:tc>
          <w:tcPr>
            <w:tcW w:w="708" w:type="dxa"/>
            <w:tcMar>
              <w:left w:w="28" w:type="dxa"/>
              <w:right w:w="28" w:type="dxa"/>
            </w:tcMar>
            <w:vAlign w:val="center"/>
          </w:tcPr>
          <w:p w14:paraId="2BA1ECE4">
            <w:pPr>
              <w:rPr>
                <w:color w:val="auto"/>
              </w:rPr>
            </w:pPr>
            <w:r>
              <w:rPr>
                <w:rFonts w:hint="eastAsia"/>
                <w:color w:val="auto"/>
              </w:rPr>
              <w:t>设计性</w:t>
            </w:r>
          </w:p>
        </w:tc>
      </w:tr>
      <w:tr w14:paraId="4A3B7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22" w:type="dxa"/>
            <w:vAlign w:val="center"/>
          </w:tcPr>
          <w:p w14:paraId="02AB4C27">
            <w:pPr>
              <w:jc w:val="center"/>
              <w:rPr>
                <w:color w:val="auto"/>
              </w:rPr>
            </w:pPr>
            <w:r>
              <w:rPr>
                <w:rFonts w:hint="eastAsia"/>
                <w:color w:val="auto"/>
              </w:rPr>
              <w:t>3</w:t>
            </w:r>
          </w:p>
        </w:tc>
        <w:tc>
          <w:tcPr>
            <w:tcW w:w="1130" w:type="dxa"/>
            <w:vAlign w:val="center"/>
          </w:tcPr>
          <w:p w14:paraId="0CD51595">
            <w:pPr>
              <w:jc w:val="center"/>
              <w:rPr>
                <w:color w:val="auto"/>
              </w:rPr>
            </w:pPr>
            <w:r>
              <w:rPr>
                <w:rFonts w:hint="eastAsia"/>
                <w:color w:val="auto"/>
              </w:rPr>
              <w:t>音频设计与制作</w:t>
            </w:r>
          </w:p>
        </w:tc>
        <w:tc>
          <w:tcPr>
            <w:tcW w:w="3792" w:type="dxa"/>
            <w:vAlign w:val="center"/>
          </w:tcPr>
          <w:p w14:paraId="2AB0AE86">
            <w:pPr>
              <w:jc w:val="both"/>
              <w:rPr>
                <w:color w:val="auto"/>
              </w:rPr>
            </w:pPr>
            <w:r>
              <w:rPr>
                <w:rFonts w:hint="eastAsia"/>
                <w:color w:val="auto"/>
              </w:rPr>
              <w:t>实践</w:t>
            </w:r>
            <w:r>
              <w:rPr>
                <w:color w:val="auto"/>
              </w:rPr>
              <w:t>内容</w:t>
            </w:r>
            <w:r>
              <w:rPr>
                <w:rFonts w:hint="eastAsia"/>
                <w:color w:val="auto"/>
              </w:rPr>
              <w:t>：利用相关软件合成并处理音频资料。</w:t>
            </w:r>
          </w:p>
          <w:p w14:paraId="029696FA">
            <w:pPr>
              <w:jc w:val="both"/>
              <w:rPr>
                <w:color w:val="auto"/>
              </w:rPr>
            </w:pPr>
            <w:r>
              <w:rPr>
                <w:rFonts w:hint="eastAsia"/>
                <w:color w:val="auto"/>
              </w:rPr>
              <w:t>实践要求：提交一个MP3格式的作品</w:t>
            </w:r>
            <w:r>
              <w:rPr>
                <w:color w:val="auto"/>
              </w:rPr>
              <w:t>。</w:t>
            </w:r>
          </w:p>
        </w:tc>
        <w:tc>
          <w:tcPr>
            <w:tcW w:w="591" w:type="dxa"/>
            <w:vAlign w:val="center"/>
          </w:tcPr>
          <w:p w14:paraId="5EDB97D5">
            <w:pPr>
              <w:jc w:val="center"/>
              <w:rPr>
                <w:color w:val="auto"/>
              </w:rPr>
            </w:pPr>
            <w:r>
              <w:rPr>
                <w:color w:val="auto"/>
              </w:rPr>
              <w:t>2</w:t>
            </w:r>
          </w:p>
        </w:tc>
        <w:tc>
          <w:tcPr>
            <w:tcW w:w="1534" w:type="dxa"/>
            <w:vAlign w:val="center"/>
          </w:tcPr>
          <w:p w14:paraId="0A469448">
            <w:pPr>
              <w:jc w:val="center"/>
              <w:rPr>
                <w:b w:val="0"/>
                <w:bCs/>
                <w:color w:val="auto"/>
              </w:rPr>
            </w:pPr>
            <w:r>
              <w:rPr>
                <w:rFonts w:hint="eastAsia"/>
                <w:b w:val="0"/>
                <w:bCs/>
                <w:color w:val="auto"/>
                <w:lang w:eastAsia="zh-CN"/>
              </w:rPr>
              <w:t>指标点4-3</w:t>
            </w:r>
          </w:p>
        </w:tc>
        <w:tc>
          <w:tcPr>
            <w:tcW w:w="708" w:type="dxa"/>
            <w:tcMar>
              <w:left w:w="28" w:type="dxa"/>
              <w:right w:w="28" w:type="dxa"/>
            </w:tcMar>
            <w:vAlign w:val="center"/>
          </w:tcPr>
          <w:p w14:paraId="4F8609A6">
            <w:pPr>
              <w:rPr>
                <w:color w:val="auto"/>
              </w:rPr>
            </w:pPr>
            <w:r>
              <w:rPr>
                <w:rFonts w:hint="eastAsia"/>
                <w:color w:val="auto"/>
              </w:rPr>
              <w:t>设计性</w:t>
            </w:r>
          </w:p>
        </w:tc>
      </w:tr>
      <w:tr w14:paraId="6868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522" w:type="dxa"/>
            <w:vAlign w:val="center"/>
          </w:tcPr>
          <w:p w14:paraId="340E2991">
            <w:pPr>
              <w:jc w:val="center"/>
              <w:rPr>
                <w:color w:val="auto"/>
              </w:rPr>
            </w:pPr>
            <w:r>
              <w:rPr>
                <w:rFonts w:hint="eastAsia"/>
                <w:color w:val="auto"/>
              </w:rPr>
              <w:t>4</w:t>
            </w:r>
          </w:p>
        </w:tc>
        <w:tc>
          <w:tcPr>
            <w:tcW w:w="1130" w:type="dxa"/>
            <w:vAlign w:val="center"/>
          </w:tcPr>
          <w:p w14:paraId="0D83B06E">
            <w:pPr>
              <w:jc w:val="center"/>
              <w:rPr>
                <w:color w:val="auto"/>
              </w:rPr>
            </w:pPr>
            <w:r>
              <w:rPr>
                <w:rFonts w:hint="eastAsia"/>
                <w:color w:val="auto"/>
              </w:rPr>
              <w:t>图形设计与制作</w:t>
            </w:r>
          </w:p>
        </w:tc>
        <w:tc>
          <w:tcPr>
            <w:tcW w:w="3792" w:type="dxa"/>
            <w:vAlign w:val="center"/>
          </w:tcPr>
          <w:p w14:paraId="7C14A6A3">
            <w:pPr>
              <w:jc w:val="both"/>
              <w:rPr>
                <w:color w:val="auto"/>
              </w:rPr>
            </w:pPr>
            <w:r>
              <w:rPr>
                <w:rFonts w:hint="eastAsia"/>
                <w:color w:val="auto"/>
              </w:rPr>
              <w:t>实践</w:t>
            </w:r>
            <w:r>
              <w:rPr>
                <w:color w:val="auto"/>
              </w:rPr>
              <w:t>内容</w:t>
            </w:r>
            <w:r>
              <w:rPr>
                <w:rFonts w:hint="eastAsia"/>
                <w:color w:val="auto"/>
              </w:rPr>
              <w:t>：利用CorelDRAW软件设计相关图形。</w:t>
            </w:r>
          </w:p>
          <w:p w14:paraId="4CA02EEC">
            <w:pPr>
              <w:jc w:val="both"/>
              <w:rPr>
                <w:color w:val="auto"/>
              </w:rPr>
            </w:pPr>
            <w:r>
              <w:rPr>
                <w:rFonts w:hint="eastAsia"/>
                <w:color w:val="auto"/>
              </w:rPr>
              <w:t>实践要求：提交一个CDR格式的作品。</w:t>
            </w:r>
          </w:p>
        </w:tc>
        <w:tc>
          <w:tcPr>
            <w:tcW w:w="591" w:type="dxa"/>
            <w:vAlign w:val="center"/>
          </w:tcPr>
          <w:p w14:paraId="231F72F7">
            <w:pPr>
              <w:jc w:val="center"/>
              <w:rPr>
                <w:color w:val="auto"/>
              </w:rPr>
            </w:pPr>
            <w:r>
              <w:rPr>
                <w:rFonts w:hint="eastAsia"/>
                <w:color w:val="auto"/>
              </w:rPr>
              <w:t>4</w:t>
            </w:r>
          </w:p>
        </w:tc>
        <w:tc>
          <w:tcPr>
            <w:tcW w:w="1534" w:type="dxa"/>
            <w:vAlign w:val="center"/>
          </w:tcPr>
          <w:p w14:paraId="6DECD594">
            <w:pPr>
              <w:jc w:val="center"/>
              <w:rPr>
                <w:b w:val="0"/>
                <w:bCs/>
                <w:color w:val="auto"/>
              </w:rPr>
            </w:pPr>
            <w:r>
              <w:rPr>
                <w:rFonts w:hint="eastAsia"/>
                <w:b w:val="0"/>
                <w:bCs/>
                <w:color w:val="auto"/>
                <w:lang w:eastAsia="zh-CN"/>
              </w:rPr>
              <w:t>指标点4-3</w:t>
            </w:r>
          </w:p>
        </w:tc>
        <w:tc>
          <w:tcPr>
            <w:tcW w:w="708" w:type="dxa"/>
            <w:tcMar>
              <w:left w:w="28" w:type="dxa"/>
              <w:right w:w="28" w:type="dxa"/>
            </w:tcMar>
            <w:vAlign w:val="center"/>
          </w:tcPr>
          <w:p w14:paraId="44CE8FA7">
            <w:pPr>
              <w:rPr>
                <w:color w:val="auto"/>
              </w:rPr>
            </w:pPr>
            <w:r>
              <w:rPr>
                <w:rFonts w:hint="eastAsia"/>
                <w:color w:val="auto"/>
              </w:rPr>
              <w:t>设计性</w:t>
            </w:r>
          </w:p>
        </w:tc>
      </w:tr>
      <w:tr w14:paraId="0D45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522" w:type="dxa"/>
            <w:vAlign w:val="center"/>
          </w:tcPr>
          <w:p w14:paraId="04605392">
            <w:pPr>
              <w:jc w:val="center"/>
              <w:rPr>
                <w:color w:val="auto"/>
              </w:rPr>
            </w:pPr>
            <w:r>
              <w:rPr>
                <w:rFonts w:hint="eastAsia"/>
                <w:color w:val="auto"/>
              </w:rPr>
              <w:t>5</w:t>
            </w:r>
          </w:p>
        </w:tc>
        <w:tc>
          <w:tcPr>
            <w:tcW w:w="1130" w:type="dxa"/>
            <w:vAlign w:val="center"/>
          </w:tcPr>
          <w:p w14:paraId="17A0E597">
            <w:pPr>
              <w:jc w:val="center"/>
              <w:rPr>
                <w:color w:val="auto"/>
              </w:rPr>
            </w:pPr>
            <w:r>
              <w:rPr>
                <w:rFonts w:hint="eastAsia"/>
                <w:color w:val="auto"/>
              </w:rPr>
              <w:t>视频设计与制作</w:t>
            </w:r>
          </w:p>
        </w:tc>
        <w:tc>
          <w:tcPr>
            <w:tcW w:w="3792" w:type="dxa"/>
            <w:vAlign w:val="center"/>
          </w:tcPr>
          <w:p w14:paraId="05C9F424">
            <w:pPr>
              <w:jc w:val="both"/>
              <w:rPr>
                <w:color w:val="auto"/>
              </w:rPr>
            </w:pPr>
            <w:r>
              <w:rPr>
                <w:rFonts w:hint="eastAsia"/>
                <w:color w:val="auto"/>
              </w:rPr>
              <w:t>实践</w:t>
            </w:r>
            <w:r>
              <w:rPr>
                <w:color w:val="auto"/>
              </w:rPr>
              <w:t>内容</w:t>
            </w:r>
            <w:r>
              <w:rPr>
                <w:rFonts w:hint="eastAsia"/>
                <w:color w:val="auto"/>
              </w:rPr>
              <w:t>：结合前面所学图形、图像、音频相关知识设计制作一段视频。</w:t>
            </w:r>
          </w:p>
          <w:p w14:paraId="1E40D8AC">
            <w:pPr>
              <w:jc w:val="both"/>
              <w:rPr>
                <w:color w:val="auto"/>
              </w:rPr>
            </w:pPr>
            <w:r>
              <w:rPr>
                <w:rFonts w:hint="eastAsia"/>
                <w:color w:val="auto"/>
              </w:rPr>
              <w:t>实践要求：</w:t>
            </w:r>
            <w:r>
              <w:rPr>
                <w:color w:val="auto"/>
              </w:rPr>
              <w:t>自选</w:t>
            </w:r>
            <w:r>
              <w:rPr>
                <w:rFonts w:hint="eastAsia"/>
                <w:color w:val="auto"/>
              </w:rPr>
              <w:t>内容，提交一个MP4格式的作品。</w:t>
            </w:r>
          </w:p>
        </w:tc>
        <w:tc>
          <w:tcPr>
            <w:tcW w:w="591" w:type="dxa"/>
            <w:vAlign w:val="center"/>
          </w:tcPr>
          <w:p w14:paraId="433D15FD">
            <w:pPr>
              <w:jc w:val="center"/>
              <w:rPr>
                <w:color w:val="auto"/>
              </w:rPr>
            </w:pPr>
            <w:r>
              <w:rPr>
                <w:rFonts w:hint="eastAsia"/>
                <w:color w:val="auto"/>
              </w:rPr>
              <w:t>4</w:t>
            </w:r>
          </w:p>
        </w:tc>
        <w:tc>
          <w:tcPr>
            <w:tcW w:w="1534" w:type="dxa"/>
            <w:vAlign w:val="center"/>
          </w:tcPr>
          <w:p w14:paraId="5F752D5F">
            <w:pPr>
              <w:jc w:val="center"/>
              <w:rPr>
                <w:b w:val="0"/>
                <w:bCs/>
                <w:color w:val="auto"/>
              </w:rPr>
            </w:pPr>
            <w:r>
              <w:rPr>
                <w:rFonts w:hint="eastAsia"/>
                <w:b w:val="0"/>
                <w:bCs/>
                <w:color w:val="auto"/>
                <w:lang w:eastAsia="zh-CN"/>
              </w:rPr>
              <w:t>指标点4-3</w:t>
            </w:r>
          </w:p>
        </w:tc>
        <w:tc>
          <w:tcPr>
            <w:tcW w:w="708" w:type="dxa"/>
            <w:tcMar>
              <w:left w:w="28" w:type="dxa"/>
              <w:right w:w="28" w:type="dxa"/>
            </w:tcMar>
            <w:vAlign w:val="center"/>
          </w:tcPr>
          <w:p w14:paraId="678A6DF5">
            <w:pPr>
              <w:rPr>
                <w:color w:val="auto"/>
              </w:rPr>
            </w:pPr>
            <w:r>
              <w:rPr>
                <w:rFonts w:hint="eastAsia"/>
                <w:color w:val="auto"/>
              </w:rPr>
              <w:t>设计性</w:t>
            </w:r>
          </w:p>
        </w:tc>
      </w:tr>
    </w:tbl>
    <w:p w14:paraId="1C054C14">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hint="eastAsia" w:ascii="宋体" w:hAnsi="宋体" w:eastAsia="宋体" w:cs="宋体"/>
          <w:b/>
          <w:bCs/>
          <w:color w:val="auto"/>
          <w:sz w:val="24"/>
          <w:szCs w:val="32"/>
        </w:rPr>
      </w:pPr>
      <w:r>
        <w:rPr>
          <w:rFonts w:hint="eastAsia" w:ascii="宋体" w:hAnsi="宋体" w:eastAsia="宋体" w:cs="宋体"/>
          <w:b/>
          <w:bCs/>
          <w:color w:val="auto"/>
          <w:sz w:val="24"/>
          <w:szCs w:val="32"/>
        </w:rPr>
        <w:t>五、课程考核</w:t>
      </w:r>
    </w:p>
    <w:p w14:paraId="085C530F">
      <w:pPr>
        <w:spacing w:line="360" w:lineRule="auto"/>
        <w:ind w:firstLine="420" w:firstLineChars="200"/>
        <w:rPr>
          <w:color w:val="auto"/>
        </w:rPr>
      </w:pPr>
      <w:r>
        <w:rPr>
          <w:rFonts w:hint="eastAsia"/>
          <w:color w:val="auto"/>
        </w:rPr>
        <w:t>（一）</w:t>
      </w:r>
      <w:r>
        <w:rPr>
          <w:color w:val="auto"/>
        </w:rPr>
        <w:t>课程考核包括平时及</w:t>
      </w:r>
      <w:r>
        <w:rPr>
          <w:rFonts w:hint="eastAsia"/>
          <w:color w:val="auto"/>
        </w:rPr>
        <w:t>期末</w:t>
      </w:r>
      <w:r>
        <w:rPr>
          <w:color w:val="auto"/>
        </w:rPr>
        <w:t>作业考核和</w:t>
      </w:r>
      <w:r>
        <w:rPr>
          <w:rFonts w:hint="eastAsia"/>
          <w:color w:val="auto"/>
        </w:rPr>
        <w:t>实践</w:t>
      </w:r>
      <w:r>
        <w:rPr>
          <w:color w:val="auto"/>
        </w:rPr>
        <w:t>考核</w:t>
      </w:r>
      <w:r>
        <w:rPr>
          <w:rFonts w:hint="eastAsia"/>
          <w:color w:val="auto"/>
        </w:rPr>
        <w:t>等</w:t>
      </w:r>
      <w:r>
        <w:rPr>
          <w:color w:val="auto"/>
        </w:rPr>
        <w:t>。</w:t>
      </w:r>
    </w:p>
    <w:p w14:paraId="74DEA803">
      <w:pPr>
        <w:spacing w:line="360" w:lineRule="auto"/>
        <w:ind w:firstLine="420" w:firstLineChars="200"/>
        <w:rPr>
          <w:color w:val="auto"/>
        </w:rPr>
      </w:pPr>
      <w:r>
        <w:rPr>
          <w:rFonts w:hint="eastAsia"/>
          <w:color w:val="auto"/>
        </w:rPr>
        <w:t>（二）</w:t>
      </w:r>
      <w:r>
        <w:rPr>
          <w:color w:val="auto"/>
        </w:rPr>
        <w:t>课程</w:t>
      </w:r>
      <w:r>
        <w:rPr>
          <w:rFonts w:hint="eastAsia"/>
          <w:color w:val="auto"/>
        </w:rPr>
        <w:t>总评</w:t>
      </w:r>
      <w:r>
        <w:rPr>
          <w:color w:val="auto"/>
        </w:rPr>
        <w:t>成绩=平时成绩×</w:t>
      </w:r>
      <w:r>
        <w:rPr>
          <w:rFonts w:hint="eastAsia"/>
          <w:color w:val="auto"/>
        </w:rPr>
        <w:t>50</w:t>
      </w:r>
      <w:r>
        <w:rPr>
          <w:color w:val="auto"/>
        </w:rPr>
        <w:t>%+期末</w:t>
      </w:r>
      <w:r>
        <w:rPr>
          <w:rFonts w:hint="eastAsia"/>
          <w:color w:val="auto"/>
        </w:rPr>
        <w:t>考核</w:t>
      </w:r>
      <w:r>
        <w:rPr>
          <w:color w:val="auto"/>
        </w:rPr>
        <w:t>×</w:t>
      </w:r>
      <w:r>
        <w:rPr>
          <w:rFonts w:hint="eastAsia"/>
          <w:color w:val="auto"/>
        </w:rPr>
        <w:t>50</w:t>
      </w:r>
      <w:r>
        <w:rPr>
          <w:color w:val="auto"/>
        </w:rPr>
        <w:t>%。</w:t>
      </w:r>
    </w:p>
    <w:p w14:paraId="7665BB30">
      <w:pPr>
        <w:spacing w:line="360" w:lineRule="auto"/>
        <w:ind w:firstLine="420" w:firstLineChars="200"/>
        <w:rPr>
          <w:color w:val="auto"/>
        </w:rPr>
      </w:pPr>
      <w:r>
        <w:rPr>
          <w:color w:val="auto"/>
        </w:rPr>
        <w:t>平时成绩=</w:t>
      </w:r>
      <w:r>
        <w:rPr>
          <w:rFonts w:hint="eastAsia"/>
          <w:color w:val="auto"/>
        </w:rPr>
        <w:t>作业成绩</w:t>
      </w:r>
      <w:r>
        <w:rPr>
          <w:color w:val="auto"/>
        </w:rPr>
        <w:t>×</w:t>
      </w:r>
      <w:r>
        <w:rPr>
          <w:rFonts w:hint="eastAsia"/>
          <w:color w:val="auto"/>
        </w:rPr>
        <w:t>20</w:t>
      </w:r>
      <w:r>
        <w:rPr>
          <w:color w:val="auto"/>
        </w:rPr>
        <w:t>%</w:t>
      </w:r>
      <w:r>
        <w:rPr>
          <w:rFonts w:hint="eastAsia"/>
          <w:color w:val="auto"/>
        </w:rPr>
        <w:t>+实践</w:t>
      </w:r>
      <w:r>
        <w:rPr>
          <w:color w:val="auto"/>
        </w:rPr>
        <w:t>成绩×</w:t>
      </w:r>
      <w:r>
        <w:rPr>
          <w:rFonts w:hint="eastAsia"/>
          <w:color w:val="auto"/>
        </w:rPr>
        <w:t>80</w:t>
      </w:r>
      <w:r>
        <w:rPr>
          <w:color w:val="auto"/>
        </w:rPr>
        <w:t>%</w:t>
      </w:r>
    </w:p>
    <w:p w14:paraId="265046AD">
      <w:pPr>
        <w:spacing w:line="360" w:lineRule="auto"/>
        <w:ind w:firstLine="420" w:firstLineChars="200"/>
        <w:rPr>
          <w:color w:val="auto"/>
        </w:rPr>
      </w:pPr>
      <w:r>
        <w:rPr>
          <w:color w:val="auto"/>
        </w:rPr>
        <w:t>具体内容和比例</w:t>
      </w:r>
      <w:r>
        <w:rPr>
          <w:rFonts w:hint="eastAsia"/>
          <w:color w:val="auto"/>
        </w:rPr>
        <w:t>如表所示：</w:t>
      </w:r>
    </w:p>
    <w:tbl>
      <w:tblPr>
        <w:tblStyle w:val="15"/>
        <w:tblW w:w="8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667"/>
        <w:gridCol w:w="697"/>
        <w:gridCol w:w="3567"/>
        <w:gridCol w:w="1707"/>
      </w:tblGrid>
      <w:tr w14:paraId="2067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shd w:val="clear" w:color="auto" w:fill="FFFFFF"/>
            <w:tcMar>
              <w:left w:w="57" w:type="dxa"/>
              <w:right w:w="57" w:type="dxa"/>
            </w:tcMar>
            <w:vAlign w:val="center"/>
          </w:tcPr>
          <w:p w14:paraId="1A7345C8">
            <w:pPr>
              <w:jc w:val="center"/>
              <w:rPr>
                <w:color w:val="auto"/>
              </w:rPr>
            </w:pPr>
            <w:r>
              <w:rPr>
                <w:color w:val="auto"/>
              </w:rPr>
              <w:t>成绩组成</w:t>
            </w:r>
          </w:p>
        </w:tc>
        <w:tc>
          <w:tcPr>
            <w:tcW w:w="1667" w:type="dxa"/>
            <w:shd w:val="clear" w:color="auto" w:fill="FFFFFF"/>
            <w:vAlign w:val="center"/>
          </w:tcPr>
          <w:p w14:paraId="4A08B42B">
            <w:pPr>
              <w:jc w:val="center"/>
              <w:rPr>
                <w:color w:val="auto"/>
              </w:rPr>
            </w:pPr>
            <w:r>
              <w:rPr>
                <w:color w:val="auto"/>
              </w:rPr>
              <w:t>考核/</w:t>
            </w:r>
          </w:p>
          <w:p w14:paraId="1DA4049C">
            <w:pPr>
              <w:jc w:val="center"/>
              <w:rPr>
                <w:color w:val="auto"/>
              </w:rPr>
            </w:pPr>
            <w:r>
              <w:rPr>
                <w:color w:val="auto"/>
              </w:rPr>
              <w:t>评价环节</w:t>
            </w:r>
          </w:p>
        </w:tc>
        <w:tc>
          <w:tcPr>
            <w:tcW w:w="697" w:type="dxa"/>
            <w:shd w:val="clear" w:color="auto" w:fill="FFFFFF"/>
            <w:vAlign w:val="center"/>
          </w:tcPr>
          <w:p w14:paraId="21C99BE6">
            <w:pPr>
              <w:jc w:val="center"/>
              <w:rPr>
                <w:color w:val="auto"/>
              </w:rPr>
            </w:pPr>
            <w:r>
              <w:rPr>
                <w:rFonts w:hint="eastAsia"/>
                <w:color w:val="auto"/>
              </w:rPr>
              <w:t>权重</w:t>
            </w:r>
          </w:p>
        </w:tc>
        <w:tc>
          <w:tcPr>
            <w:tcW w:w="3567" w:type="dxa"/>
            <w:shd w:val="clear" w:color="auto" w:fill="FFFFFF"/>
            <w:vAlign w:val="center"/>
          </w:tcPr>
          <w:p w14:paraId="7F27B11D">
            <w:pPr>
              <w:jc w:val="center"/>
              <w:rPr>
                <w:color w:val="auto"/>
              </w:rPr>
            </w:pPr>
            <w:r>
              <w:rPr>
                <w:color w:val="auto"/>
              </w:rPr>
              <w:t>考核/评价细则</w:t>
            </w:r>
          </w:p>
        </w:tc>
        <w:tc>
          <w:tcPr>
            <w:tcW w:w="1707" w:type="dxa"/>
            <w:shd w:val="clear" w:color="auto" w:fill="FFFFFF"/>
            <w:vAlign w:val="center"/>
          </w:tcPr>
          <w:p w14:paraId="7446149B">
            <w:pPr>
              <w:jc w:val="center"/>
              <w:rPr>
                <w:color w:val="auto"/>
              </w:rPr>
            </w:pPr>
            <w:r>
              <w:rPr>
                <w:color w:val="auto"/>
              </w:rPr>
              <w:t>对应的毕业要求指标点</w:t>
            </w:r>
          </w:p>
        </w:tc>
      </w:tr>
      <w:tr w14:paraId="6524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052" w:type="dxa"/>
            <w:tcMar>
              <w:left w:w="57" w:type="dxa"/>
              <w:right w:w="57" w:type="dxa"/>
            </w:tcMar>
            <w:vAlign w:val="center"/>
          </w:tcPr>
          <w:p w14:paraId="6AAEB55C">
            <w:pPr>
              <w:rPr>
                <w:color w:val="auto"/>
              </w:rPr>
            </w:pPr>
            <w:r>
              <w:rPr>
                <w:color w:val="auto"/>
              </w:rPr>
              <w:t>平时成绩</w:t>
            </w:r>
          </w:p>
        </w:tc>
        <w:tc>
          <w:tcPr>
            <w:tcW w:w="1667" w:type="dxa"/>
            <w:vAlign w:val="center"/>
          </w:tcPr>
          <w:p w14:paraId="4139D6E5">
            <w:pPr>
              <w:jc w:val="center"/>
              <w:rPr>
                <w:color w:val="auto"/>
              </w:rPr>
            </w:pPr>
            <w:r>
              <w:rPr>
                <w:color w:val="auto"/>
              </w:rPr>
              <w:t>电子（书面）作业+课堂表现</w:t>
            </w:r>
          </w:p>
        </w:tc>
        <w:tc>
          <w:tcPr>
            <w:tcW w:w="697" w:type="dxa"/>
            <w:vAlign w:val="center"/>
          </w:tcPr>
          <w:p w14:paraId="779EBB13">
            <w:pPr>
              <w:jc w:val="center"/>
              <w:rPr>
                <w:color w:val="auto"/>
              </w:rPr>
            </w:pPr>
            <w:r>
              <w:rPr>
                <w:color w:val="auto"/>
              </w:rPr>
              <w:t>10%</w:t>
            </w:r>
          </w:p>
        </w:tc>
        <w:tc>
          <w:tcPr>
            <w:tcW w:w="3567" w:type="dxa"/>
            <w:vAlign w:val="center"/>
          </w:tcPr>
          <w:p w14:paraId="07632AB4">
            <w:pPr>
              <w:rPr>
                <w:color w:val="auto"/>
              </w:rPr>
            </w:pPr>
            <w:r>
              <w:rPr>
                <w:color w:val="auto"/>
              </w:rPr>
              <w:t>教师根据学生完成作业的质量评定相应的成绩。学生出勤及课堂表现与平时成绩挂钩</w:t>
            </w:r>
          </w:p>
        </w:tc>
        <w:tc>
          <w:tcPr>
            <w:tcW w:w="1707" w:type="dxa"/>
            <w:vAlign w:val="center"/>
          </w:tcPr>
          <w:p w14:paraId="34F55B7F">
            <w:pPr>
              <w:jc w:val="center"/>
              <w:rPr>
                <w:b w:val="0"/>
                <w:bCs/>
                <w:color w:val="auto"/>
              </w:rPr>
            </w:pPr>
            <w:r>
              <w:rPr>
                <w:rFonts w:hint="eastAsia"/>
                <w:b w:val="0"/>
                <w:bCs/>
                <w:color w:val="auto"/>
                <w:lang w:eastAsia="zh-CN"/>
              </w:rPr>
              <w:t>指标点4-3</w:t>
            </w:r>
          </w:p>
        </w:tc>
      </w:tr>
      <w:tr w14:paraId="04F3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052" w:type="dxa"/>
            <w:tcMar>
              <w:left w:w="57" w:type="dxa"/>
              <w:right w:w="57" w:type="dxa"/>
            </w:tcMar>
            <w:vAlign w:val="center"/>
          </w:tcPr>
          <w:p w14:paraId="31718455">
            <w:pPr>
              <w:rPr>
                <w:color w:val="auto"/>
              </w:rPr>
            </w:pPr>
            <w:r>
              <w:rPr>
                <w:rFonts w:hint="eastAsia"/>
                <w:color w:val="auto"/>
              </w:rPr>
              <w:t>实践</w:t>
            </w:r>
            <w:r>
              <w:rPr>
                <w:color w:val="auto"/>
              </w:rPr>
              <w:t>成绩</w:t>
            </w:r>
          </w:p>
        </w:tc>
        <w:tc>
          <w:tcPr>
            <w:tcW w:w="1667" w:type="dxa"/>
            <w:vAlign w:val="center"/>
          </w:tcPr>
          <w:p w14:paraId="7C4579D3">
            <w:pPr>
              <w:jc w:val="center"/>
              <w:rPr>
                <w:color w:val="auto"/>
              </w:rPr>
            </w:pPr>
            <w:r>
              <w:rPr>
                <w:color w:val="auto"/>
              </w:rPr>
              <w:t>课内实践</w:t>
            </w:r>
          </w:p>
        </w:tc>
        <w:tc>
          <w:tcPr>
            <w:tcW w:w="697" w:type="dxa"/>
            <w:vAlign w:val="center"/>
          </w:tcPr>
          <w:p w14:paraId="6303CA08">
            <w:pPr>
              <w:jc w:val="center"/>
              <w:rPr>
                <w:color w:val="auto"/>
              </w:rPr>
            </w:pPr>
            <w:r>
              <w:rPr>
                <w:rFonts w:hint="eastAsia"/>
                <w:color w:val="auto"/>
              </w:rPr>
              <w:t>4</w:t>
            </w:r>
            <w:r>
              <w:rPr>
                <w:color w:val="auto"/>
              </w:rPr>
              <w:t>0%</w:t>
            </w:r>
          </w:p>
        </w:tc>
        <w:tc>
          <w:tcPr>
            <w:tcW w:w="3567" w:type="dxa"/>
            <w:vAlign w:val="center"/>
          </w:tcPr>
          <w:p w14:paraId="2D5EC6C4">
            <w:pPr>
              <w:rPr>
                <w:color w:val="auto"/>
              </w:rPr>
            </w:pPr>
            <w:r>
              <w:rPr>
                <w:color w:val="auto"/>
              </w:rPr>
              <w:t>按照要求完成素材的采集，各种多媒体应用软件的操作，必须有自己的思想，不得让他人代操作、不能使用网上下载的作品。教师根据学生完成要求的质量评定相应的成绩。</w:t>
            </w:r>
          </w:p>
        </w:tc>
        <w:tc>
          <w:tcPr>
            <w:tcW w:w="1707" w:type="dxa"/>
            <w:vAlign w:val="center"/>
          </w:tcPr>
          <w:p w14:paraId="58DDA16D">
            <w:pPr>
              <w:jc w:val="center"/>
              <w:rPr>
                <w:b w:val="0"/>
                <w:bCs/>
                <w:color w:val="auto"/>
              </w:rPr>
            </w:pPr>
            <w:r>
              <w:rPr>
                <w:rFonts w:hint="eastAsia"/>
                <w:b w:val="0"/>
                <w:bCs/>
                <w:color w:val="auto"/>
                <w:lang w:eastAsia="zh-CN"/>
              </w:rPr>
              <w:t>指标点4-3</w:t>
            </w:r>
          </w:p>
        </w:tc>
      </w:tr>
      <w:tr w14:paraId="4014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1052" w:type="dxa"/>
            <w:tcMar>
              <w:left w:w="57" w:type="dxa"/>
              <w:right w:w="57" w:type="dxa"/>
            </w:tcMar>
            <w:vAlign w:val="center"/>
          </w:tcPr>
          <w:p w14:paraId="4FBEE074">
            <w:pPr>
              <w:rPr>
                <w:color w:val="auto"/>
              </w:rPr>
            </w:pPr>
            <w:r>
              <w:rPr>
                <w:color w:val="auto"/>
              </w:rPr>
              <w:t>期末考核</w:t>
            </w:r>
          </w:p>
        </w:tc>
        <w:tc>
          <w:tcPr>
            <w:tcW w:w="1667" w:type="dxa"/>
            <w:vAlign w:val="center"/>
          </w:tcPr>
          <w:p w14:paraId="037C889B">
            <w:pPr>
              <w:jc w:val="center"/>
              <w:rPr>
                <w:color w:val="auto"/>
              </w:rPr>
            </w:pPr>
            <w:r>
              <w:rPr>
                <w:color w:val="auto"/>
              </w:rPr>
              <w:t>期末考核</w:t>
            </w:r>
          </w:p>
        </w:tc>
        <w:tc>
          <w:tcPr>
            <w:tcW w:w="697" w:type="dxa"/>
            <w:vAlign w:val="center"/>
          </w:tcPr>
          <w:p w14:paraId="70621501">
            <w:pPr>
              <w:jc w:val="center"/>
              <w:rPr>
                <w:color w:val="auto"/>
              </w:rPr>
            </w:pPr>
            <w:r>
              <w:rPr>
                <w:rFonts w:hint="eastAsia"/>
                <w:color w:val="auto"/>
              </w:rPr>
              <w:t>5</w:t>
            </w:r>
            <w:r>
              <w:rPr>
                <w:color w:val="auto"/>
              </w:rPr>
              <w:t>0%</w:t>
            </w:r>
          </w:p>
        </w:tc>
        <w:tc>
          <w:tcPr>
            <w:tcW w:w="3567" w:type="dxa"/>
            <w:vAlign w:val="center"/>
          </w:tcPr>
          <w:p w14:paraId="03B3237D">
            <w:pPr>
              <w:rPr>
                <w:color w:val="auto"/>
              </w:rPr>
            </w:pPr>
            <w:r>
              <w:rPr>
                <w:rFonts w:hint="eastAsia"/>
                <w:color w:val="auto"/>
              </w:rPr>
              <w:t>考核主要考察学生针对特定教学任务，充分、合理运用信息技术、数字资源和信息化教学环境进行教学设计和实际教学，并将教学的过程制作成为学习资源的能力。</w:t>
            </w:r>
          </w:p>
        </w:tc>
        <w:tc>
          <w:tcPr>
            <w:tcW w:w="1707" w:type="dxa"/>
            <w:vAlign w:val="center"/>
          </w:tcPr>
          <w:p w14:paraId="4755FF8E">
            <w:pPr>
              <w:jc w:val="center"/>
              <w:rPr>
                <w:b w:val="0"/>
                <w:bCs/>
                <w:color w:val="auto"/>
              </w:rPr>
            </w:pPr>
            <w:r>
              <w:rPr>
                <w:rFonts w:hint="eastAsia"/>
                <w:b w:val="0"/>
                <w:bCs/>
                <w:color w:val="auto"/>
                <w:lang w:eastAsia="zh-CN"/>
              </w:rPr>
              <w:t>指标点4-3</w:t>
            </w:r>
          </w:p>
        </w:tc>
      </w:tr>
    </w:tbl>
    <w:p w14:paraId="175CCAE2">
      <w:pPr>
        <w:ind w:firstLine="420" w:firstLineChars="200"/>
        <w:rPr>
          <w:b w:val="0"/>
          <w:bCs w:val="0"/>
          <w:color w:val="auto"/>
        </w:rPr>
      </w:pPr>
      <w:r>
        <w:rPr>
          <w:b w:val="0"/>
          <w:bCs w:val="0"/>
          <w:color w:val="auto"/>
        </w:rPr>
        <w:t>（三）</w:t>
      </w:r>
      <w:r>
        <w:rPr>
          <w:rFonts w:hint="eastAsia"/>
          <w:b w:val="0"/>
          <w:bCs w:val="0"/>
          <w:color w:val="auto"/>
        </w:rPr>
        <w:t>课程目标及考核方式权重分配表</w:t>
      </w:r>
    </w:p>
    <w:tbl>
      <w:tblPr>
        <w:tblStyle w:val="15"/>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1541"/>
        <w:gridCol w:w="2465"/>
        <w:gridCol w:w="2346"/>
      </w:tblGrid>
      <w:tr w14:paraId="6786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403" w:type="dxa"/>
            <w:gridSpan w:val="2"/>
            <w:tcBorders>
              <w:tl2br w:val="nil"/>
              <w:tr2bl w:val="nil"/>
            </w:tcBorders>
            <w:shd w:val="clear" w:color="auto" w:fill="auto"/>
            <w:vAlign w:val="center"/>
          </w:tcPr>
          <w:p w14:paraId="4778DC87">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课程目标及权重</w:t>
            </w:r>
          </w:p>
        </w:tc>
        <w:tc>
          <w:tcPr>
            <w:tcW w:w="4426" w:type="dxa"/>
            <w:gridSpan w:val="2"/>
            <w:tcBorders>
              <w:tl2br w:val="nil"/>
              <w:tr2bl w:val="nil"/>
            </w:tcBorders>
            <w:shd w:val="clear" w:color="auto" w:fill="auto"/>
            <w:vAlign w:val="center"/>
          </w:tcPr>
          <w:p w14:paraId="0A551EF7">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考核方式及权重</w:t>
            </w:r>
          </w:p>
        </w:tc>
      </w:tr>
      <w:tr w14:paraId="03873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985" w:type="dxa"/>
            <w:tcBorders>
              <w:tl2br w:val="nil"/>
              <w:tr2bl w:val="nil"/>
            </w:tcBorders>
            <w:shd w:val="clear" w:color="auto" w:fill="auto"/>
            <w:vAlign w:val="center"/>
          </w:tcPr>
          <w:p w14:paraId="0C84E90E">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项目</w:t>
            </w:r>
          </w:p>
        </w:tc>
        <w:tc>
          <w:tcPr>
            <w:tcW w:w="1418" w:type="dxa"/>
            <w:tcBorders>
              <w:tl2br w:val="nil"/>
              <w:tr2bl w:val="nil"/>
            </w:tcBorders>
            <w:shd w:val="clear" w:color="auto" w:fill="auto"/>
            <w:vAlign w:val="center"/>
          </w:tcPr>
          <w:p w14:paraId="3FECE37C">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权重（</w:t>
            </w:r>
            <w:r>
              <w:rPr>
                <w:color w:val="auto"/>
              </w:rPr>
              <w:t>a</w:t>
            </w:r>
            <w:r>
              <w:rPr>
                <w:rFonts w:hint="eastAsia"/>
                <w:color w:val="auto"/>
              </w:rPr>
              <w:t>）</w:t>
            </w:r>
          </w:p>
        </w:tc>
        <w:tc>
          <w:tcPr>
            <w:tcW w:w="2268" w:type="dxa"/>
            <w:tcBorders>
              <w:tl2br w:val="nil"/>
              <w:tr2bl w:val="nil"/>
            </w:tcBorders>
            <w:shd w:val="clear" w:color="auto" w:fill="auto"/>
            <w:vAlign w:val="center"/>
          </w:tcPr>
          <w:p w14:paraId="59041C95">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评价依据</w:t>
            </w:r>
          </w:p>
        </w:tc>
        <w:tc>
          <w:tcPr>
            <w:tcW w:w="2158" w:type="dxa"/>
            <w:tcBorders>
              <w:tl2br w:val="nil"/>
              <w:tr2bl w:val="nil"/>
            </w:tcBorders>
            <w:shd w:val="clear" w:color="auto" w:fill="auto"/>
            <w:vAlign w:val="center"/>
          </w:tcPr>
          <w:p w14:paraId="673A8946">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权重（</w:t>
            </w:r>
            <w:r>
              <w:rPr>
                <w:color w:val="auto"/>
              </w:rPr>
              <w:t>b</w:t>
            </w:r>
            <w:r>
              <w:rPr>
                <w:rFonts w:hint="eastAsia"/>
                <w:color w:val="auto"/>
              </w:rPr>
              <w:t>）</w:t>
            </w:r>
          </w:p>
        </w:tc>
      </w:tr>
      <w:tr w14:paraId="5CE3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5" w:type="dxa"/>
            <w:vMerge w:val="restart"/>
            <w:tcBorders>
              <w:tl2br w:val="nil"/>
              <w:tr2bl w:val="nil"/>
            </w:tcBorders>
            <w:shd w:val="clear" w:color="auto" w:fill="auto"/>
            <w:vAlign w:val="center"/>
          </w:tcPr>
          <w:p w14:paraId="671F747F">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课程目标</w:t>
            </w:r>
            <w:r>
              <w:rPr>
                <w:color w:val="auto"/>
              </w:rPr>
              <w:t>1</w:t>
            </w:r>
          </w:p>
        </w:tc>
        <w:tc>
          <w:tcPr>
            <w:tcW w:w="1418" w:type="dxa"/>
            <w:vMerge w:val="restart"/>
            <w:tcBorders>
              <w:tl2br w:val="nil"/>
              <w:tr2bl w:val="nil"/>
            </w:tcBorders>
            <w:shd w:val="clear" w:color="auto" w:fill="auto"/>
            <w:vAlign w:val="center"/>
          </w:tcPr>
          <w:p w14:paraId="4AD3D9CB">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2</w:t>
            </w:r>
            <w:r>
              <w:rPr>
                <w:rFonts w:hint="eastAsia"/>
                <w:color w:val="auto"/>
              </w:rPr>
              <w:t>0%</w:t>
            </w:r>
          </w:p>
        </w:tc>
        <w:tc>
          <w:tcPr>
            <w:tcW w:w="2268" w:type="dxa"/>
            <w:tcBorders>
              <w:tl2br w:val="nil"/>
              <w:tr2bl w:val="nil"/>
            </w:tcBorders>
            <w:shd w:val="clear" w:color="auto" w:fill="auto"/>
            <w:vAlign w:val="center"/>
          </w:tcPr>
          <w:p w14:paraId="523F3FDC">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作业+课堂表现</w:t>
            </w:r>
          </w:p>
        </w:tc>
        <w:tc>
          <w:tcPr>
            <w:tcW w:w="2158" w:type="dxa"/>
            <w:tcBorders>
              <w:tl2br w:val="nil"/>
              <w:tr2bl w:val="nil"/>
            </w:tcBorders>
            <w:shd w:val="clear" w:color="auto" w:fill="auto"/>
            <w:vAlign w:val="center"/>
          </w:tcPr>
          <w:p w14:paraId="4E48B56F">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1</w:t>
            </w:r>
            <w:r>
              <w:rPr>
                <w:color w:val="auto"/>
              </w:rPr>
              <w:t>0</w:t>
            </w:r>
            <w:r>
              <w:rPr>
                <w:rFonts w:hint="eastAsia"/>
                <w:color w:val="auto"/>
              </w:rPr>
              <w:t>%</w:t>
            </w:r>
          </w:p>
        </w:tc>
      </w:tr>
      <w:tr w14:paraId="0247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985" w:type="dxa"/>
            <w:vMerge w:val="continue"/>
            <w:tcBorders>
              <w:tl2br w:val="nil"/>
              <w:tr2bl w:val="nil"/>
            </w:tcBorders>
            <w:shd w:val="clear" w:color="auto" w:fill="auto"/>
            <w:vAlign w:val="center"/>
          </w:tcPr>
          <w:p w14:paraId="3036998B">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1418" w:type="dxa"/>
            <w:vMerge w:val="continue"/>
            <w:tcBorders>
              <w:tl2br w:val="nil"/>
              <w:tr2bl w:val="nil"/>
            </w:tcBorders>
            <w:shd w:val="clear" w:color="auto" w:fill="auto"/>
            <w:vAlign w:val="center"/>
          </w:tcPr>
          <w:p w14:paraId="617A6F7A">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2268" w:type="dxa"/>
            <w:tcBorders>
              <w:bottom w:val="single" w:color="000000" w:sz="4" w:space="0"/>
              <w:tl2br w:val="nil"/>
              <w:tr2bl w:val="nil"/>
            </w:tcBorders>
            <w:shd w:val="clear" w:color="auto" w:fill="auto"/>
            <w:vAlign w:val="center"/>
          </w:tcPr>
          <w:p w14:paraId="2AB02FE0">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课内实践</w:t>
            </w:r>
          </w:p>
        </w:tc>
        <w:tc>
          <w:tcPr>
            <w:tcW w:w="2158" w:type="dxa"/>
            <w:tcBorders>
              <w:bottom w:val="single" w:color="000000" w:sz="4" w:space="0"/>
              <w:tl2br w:val="nil"/>
              <w:tr2bl w:val="nil"/>
            </w:tcBorders>
            <w:shd w:val="clear" w:color="auto" w:fill="auto"/>
            <w:vAlign w:val="center"/>
          </w:tcPr>
          <w:p w14:paraId="340E371D">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4</w:t>
            </w:r>
            <w:r>
              <w:rPr>
                <w:color w:val="auto"/>
              </w:rPr>
              <w:t>0</w:t>
            </w:r>
            <w:r>
              <w:rPr>
                <w:rFonts w:hint="eastAsia"/>
                <w:color w:val="auto"/>
              </w:rPr>
              <w:t>%</w:t>
            </w:r>
          </w:p>
        </w:tc>
      </w:tr>
      <w:tr w14:paraId="4619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985" w:type="dxa"/>
            <w:vMerge w:val="continue"/>
            <w:tcBorders>
              <w:tl2br w:val="nil"/>
              <w:tr2bl w:val="nil"/>
            </w:tcBorders>
            <w:shd w:val="clear" w:color="auto" w:fill="auto"/>
            <w:vAlign w:val="center"/>
          </w:tcPr>
          <w:p w14:paraId="1DA2890B">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1418" w:type="dxa"/>
            <w:vMerge w:val="continue"/>
            <w:tcBorders>
              <w:tl2br w:val="nil"/>
              <w:tr2bl w:val="nil"/>
            </w:tcBorders>
            <w:shd w:val="clear" w:color="auto" w:fill="auto"/>
            <w:vAlign w:val="center"/>
          </w:tcPr>
          <w:p w14:paraId="6EECE764">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2268" w:type="dxa"/>
            <w:tcBorders>
              <w:top w:val="single" w:color="000000" w:sz="4" w:space="0"/>
              <w:tl2br w:val="nil"/>
              <w:tr2bl w:val="nil"/>
            </w:tcBorders>
            <w:shd w:val="clear" w:color="auto" w:fill="auto"/>
            <w:vAlign w:val="center"/>
          </w:tcPr>
          <w:p w14:paraId="4B1A2585">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期末考核</w:t>
            </w:r>
          </w:p>
        </w:tc>
        <w:tc>
          <w:tcPr>
            <w:tcW w:w="2158" w:type="dxa"/>
            <w:tcBorders>
              <w:top w:val="single" w:color="000000" w:sz="4" w:space="0"/>
              <w:tl2br w:val="nil"/>
              <w:tr2bl w:val="nil"/>
            </w:tcBorders>
            <w:shd w:val="clear" w:color="auto" w:fill="auto"/>
            <w:vAlign w:val="center"/>
          </w:tcPr>
          <w:p w14:paraId="5CDA8679">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50%</w:t>
            </w:r>
          </w:p>
        </w:tc>
      </w:tr>
      <w:tr w14:paraId="6F2B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5" w:type="dxa"/>
            <w:vMerge w:val="restart"/>
            <w:tcBorders>
              <w:tl2br w:val="nil"/>
              <w:tr2bl w:val="nil"/>
            </w:tcBorders>
            <w:shd w:val="clear" w:color="auto" w:fill="auto"/>
            <w:vAlign w:val="center"/>
          </w:tcPr>
          <w:p w14:paraId="2E63338A">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课程目标</w:t>
            </w:r>
            <w:r>
              <w:rPr>
                <w:color w:val="auto"/>
              </w:rPr>
              <w:t>2</w:t>
            </w:r>
          </w:p>
        </w:tc>
        <w:tc>
          <w:tcPr>
            <w:tcW w:w="1418" w:type="dxa"/>
            <w:vMerge w:val="restart"/>
            <w:tcBorders>
              <w:tl2br w:val="nil"/>
              <w:tr2bl w:val="nil"/>
            </w:tcBorders>
            <w:shd w:val="clear" w:color="auto" w:fill="auto"/>
            <w:vAlign w:val="center"/>
          </w:tcPr>
          <w:p w14:paraId="7CF24965">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50</w:t>
            </w:r>
            <w:r>
              <w:rPr>
                <w:rFonts w:hint="eastAsia"/>
                <w:color w:val="auto"/>
              </w:rPr>
              <w:t>%</w:t>
            </w:r>
          </w:p>
        </w:tc>
        <w:tc>
          <w:tcPr>
            <w:tcW w:w="2268" w:type="dxa"/>
            <w:tcBorders>
              <w:tl2br w:val="nil"/>
              <w:tr2bl w:val="nil"/>
            </w:tcBorders>
            <w:shd w:val="clear" w:color="auto" w:fill="auto"/>
            <w:vAlign w:val="center"/>
          </w:tcPr>
          <w:p w14:paraId="49EE7723">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作业+课堂表现</w:t>
            </w:r>
          </w:p>
        </w:tc>
        <w:tc>
          <w:tcPr>
            <w:tcW w:w="2158" w:type="dxa"/>
            <w:tcBorders>
              <w:tl2br w:val="nil"/>
              <w:tr2bl w:val="nil"/>
            </w:tcBorders>
            <w:shd w:val="clear" w:color="auto" w:fill="auto"/>
            <w:vAlign w:val="center"/>
          </w:tcPr>
          <w:p w14:paraId="31E4F329">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1</w:t>
            </w:r>
            <w:r>
              <w:rPr>
                <w:color w:val="auto"/>
              </w:rPr>
              <w:t>0</w:t>
            </w:r>
            <w:r>
              <w:rPr>
                <w:rFonts w:hint="eastAsia"/>
                <w:color w:val="auto"/>
              </w:rPr>
              <w:t>%</w:t>
            </w:r>
          </w:p>
        </w:tc>
      </w:tr>
      <w:tr w14:paraId="78DB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985" w:type="dxa"/>
            <w:vMerge w:val="continue"/>
            <w:tcBorders>
              <w:tl2br w:val="nil"/>
              <w:tr2bl w:val="nil"/>
            </w:tcBorders>
            <w:shd w:val="clear" w:color="auto" w:fill="auto"/>
            <w:vAlign w:val="center"/>
          </w:tcPr>
          <w:p w14:paraId="01CFD8EC">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1418" w:type="dxa"/>
            <w:vMerge w:val="continue"/>
            <w:tcBorders>
              <w:tl2br w:val="nil"/>
              <w:tr2bl w:val="nil"/>
            </w:tcBorders>
            <w:shd w:val="clear" w:color="auto" w:fill="auto"/>
            <w:vAlign w:val="center"/>
          </w:tcPr>
          <w:p w14:paraId="091B3F1F">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2268" w:type="dxa"/>
            <w:tcBorders>
              <w:bottom w:val="single" w:color="000000" w:sz="4" w:space="0"/>
              <w:tl2br w:val="nil"/>
              <w:tr2bl w:val="nil"/>
            </w:tcBorders>
            <w:shd w:val="clear" w:color="auto" w:fill="auto"/>
            <w:vAlign w:val="center"/>
          </w:tcPr>
          <w:p w14:paraId="5C5B75CB">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课内实践</w:t>
            </w:r>
          </w:p>
        </w:tc>
        <w:tc>
          <w:tcPr>
            <w:tcW w:w="2158" w:type="dxa"/>
            <w:tcBorders>
              <w:bottom w:val="single" w:color="000000" w:sz="4" w:space="0"/>
              <w:tl2br w:val="nil"/>
              <w:tr2bl w:val="nil"/>
            </w:tcBorders>
            <w:shd w:val="clear" w:color="auto" w:fill="auto"/>
            <w:vAlign w:val="center"/>
          </w:tcPr>
          <w:p w14:paraId="34140170">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4</w:t>
            </w:r>
            <w:r>
              <w:rPr>
                <w:color w:val="auto"/>
              </w:rPr>
              <w:t>0</w:t>
            </w:r>
            <w:r>
              <w:rPr>
                <w:rFonts w:hint="eastAsia"/>
                <w:color w:val="auto"/>
              </w:rPr>
              <w:t>%</w:t>
            </w:r>
          </w:p>
        </w:tc>
      </w:tr>
      <w:tr w14:paraId="549F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985" w:type="dxa"/>
            <w:vMerge w:val="continue"/>
            <w:tcBorders>
              <w:tl2br w:val="nil"/>
              <w:tr2bl w:val="nil"/>
            </w:tcBorders>
            <w:shd w:val="clear" w:color="auto" w:fill="auto"/>
            <w:vAlign w:val="center"/>
          </w:tcPr>
          <w:p w14:paraId="59D1E4B2">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1418" w:type="dxa"/>
            <w:vMerge w:val="continue"/>
            <w:tcBorders>
              <w:tl2br w:val="nil"/>
              <w:tr2bl w:val="nil"/>
            </w:tcBorders>
            <w:shd w:val="clear" w:color="auto" w:fill="auto"/>
            <w:vAlign w:val="center"/>
          </w:tcPr>
          <w:p w14:paraId="73A7E56F">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2268" w:type="dxa"/>
            <w:tcBorders>
              <w:top w:val="single" w:color="000000" w:sz="4" w:space="0"/>
              <w:tl2br w:val="nil"/>
              <w:tr2bl w:val="nil"/>
            </w:tcBorders>
            <w:shd w:val="clear" w:color="auto" w:fill="auto"/>
            <w:vAlign w:val="center"/>
          </w:tcPr>
          <w:p w14:paraId="4EB7B1DE">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期末考核</w:t>
            </w:r>
          </w:p>
        </w:tc>
        <w:tc>
          <w:tcPr>
            <w:tcW w:w="2158" w:type="dxa"/>
            <w:tcBorders>
              <w:top w:val="single" w:color="000000" w:sz="4" w:space="0"/>
              <w:tl2br w:val="nil"/>
              <w:tr2bl w:val="nil"/>
            </w:tcBorders>
            <w:shd w:val="clear" w:color="auto" w:fill="auto"/>
            <w:vAlign w:val="center"/>
          </w:tcPr>
          <w:p w14:paraId="272C7F3B">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50%</w:t>
            </w:r>
          </w:p>
        </w:tc>
      </w:tr>
      <w:tr w14:paraId="3121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5" w:type="dxa"/>
            <w:vMerge w:val="restart"/>
            <w:tcBorders>
              <w:tl2br w:val="nil"/>
              <w:tr2bl w:val="nil"/>
            </w:tcBorders>
            <w:shd w:val="clear" w:color="auto" w:fill="auto"/>
            <w:vAlign w:val="center"/>
          </w:tcPr>
          <w:p w14:paraId="183936E3">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课程目标</w:t>
            </w:r>
            <w:r>
              <w:rPr>
                <w:color w:val="auto"/>
              </w:rPr>
              <w:t>3</w:t>
            </w:r>
          </w:p>
        </w:tc>
        <w:tc>
          <w:tcPr>
            <w:tcW w:w="1418" w:type="dxa"/>
            <w:vMerge w:val="restart"/>
            <w:tcBorders>
              <w:tl2br w:val="nil"/>
              <w:tr2bl w:val="nil"/>
            </w:tcBorders>
            <w:shd w:val="clear" w:color="auto" w:fill="auto"/>
            <w:vAlign w:val="center"/>
          </w:tcPr>
          <w:p w14:paraId="1AB00791">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30</w:t>
            </w:r>
            <w:r>
              <w:rPr>
                <w:rFonts w:hint="eastAsia"/>
                <w:color w:val="auto"/>
              </w:rPr>
              <w:t>%</w:t>
            </w:r>
          </w:p>
        </w:tc>
        <w:tc>
          <w:tcPr>
            <w:tcW w:w="2268" w:type="dxa"/>
            <w:tcBorders>
              <w:tl2br w:val="nil"/>
              <w:tr2bl w:val="nil"/>
            </w:tcBorders>
            <w:shd w:val="clear" w:color="auto" w:fill="auto"/>
            <w:vAlign w:val="center"/>
          </w:tcPr>
          <w:p w14:paraId="7095B19C">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作业+课堂表现</w:t>
            </w:r>
          </w:p>
        </w:tc>
        <w:tc>
          <w:tcPr>
            <w:tcW w:w="2158" w:type="dxa"/>
            <w:tcBorders>
              <w:tl2br w:val="nil"/>
              <w:tr2bl w:val="nil"/>
            </w:tcBorders>
            <w:shd w:val="clear" w:color="auto" w:fill="auto"/>
            <w:vAlign w:val="center"/>
          </w:tcPr>
          <w:p w14:paraId="75AEABBC">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1</w:t>
            </w:r>
            <w:r>
              <w:rPr>
                <w:color w:val="auto"/>
              </w:rPr>
              <w:t>0</w:t>
            </w:r>
            <w:r>
              <w:rPr>
                <w:rFonts w:hint="eastAsia"/>
                <w:color w:val="auto"/>
              </w:rPr>
              <w:t>%</w:t>
            </w:r>
          </w:p>
        </w:tc>
      </w:tr>
      <w:tr w14:paraId="26CC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985" w:type="dxa"/>
            <w:vMerge w:val="continue"/>
            <w:tcBorders>
              <w:tl2br w:val="nil"/>
              <w:tr2bl w:val="nil"/>
            </w:tcBorders>
            <w:shd w:val="clear" w:color="auto" w:fill="auto"/>
            <w:vAlign w:val="center"/>
          </w:tcPr>
          <w:p w14:paraId="5A225344">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1418" w:type="dxa"/>
            <w:vMerge w:val="continue"/>
            <w:tcBorders>
              <w:tl2br w:val="nil"/>
              <w:tr2bl w:val="nil"/>
            </w:tcBorders>
            <w:shd w:val="clear" w:color="auto" w:fill="auto"/>
            <w:vAlign w:val="center"/>
          </w:tcPr>
          <w:p w14:paraId="356BF0D9">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2268" w:type="dxa"/>
            <w:tcBorders>
              <w:bottom w:val="single" w:color="000000" w:sz="4" w:space="0"/>
              <w:tl2br w:val="nil"/>
              <w:tr2bl w:val="nil"/>
            </w:tcBorders>
            <w:shd w:val="clear" w:color="auto" w:fill="auto"/>
            <w:vAlign w:val="center"/>
          </w:tcPr>
          <w:p w14:paraId="1597B1C2">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课内实践</w:t>
            </w:r>
          </w:p>
        </w:tc>
        <w:tc>
          <w:tcPr>
            <w:tcW w:w="2158" w:type="dxa"/>
            <w:tcBorders>
              <w:bottom w:val="single" w:color="000000" w:sz="4" w:space="0"/>
              <w:tl2br w:val="nil"/>
              <w:tr2bl w:val="nil"/>
            </w:tcBorders>
            <w:shd w:val="clear" w:color="auto" w:fill="auto"/>
            <w:vAlign w:val="center"/>
          </w:tcPr>
          <w:p w14:paraId="395F5A71">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4</w:t>
            </w:r>
            <w:r>
              <w:rPr>
                <w:color w:val="auto"/>
              </w:rPr>
              <w:t>0</w:t>
            </w:r>
            <w:r>
              <w:rPr>
                <w:rFonts w:hint="eastAsia"/>
                <w:color w:val="auto"/>
              </w:rPr>
              <w:t>%</w:t>
            </w:r>
          </w:p>
        </w:tc>
      </w:tr>
      <w:tr w14:paraId="5F5D7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985" w:type="dxa"/>
            <w:vMerge w:val="continue"/>
            <w:tcBorders>
              <w:tl2br w:val="nil"/>
              <w:tr2bl w:val="nil"/>
            </w:tcBorders>
            <w:shd w:val="clear" w:color="auto" w:fill="auto"/>
            <w:vAlign w:val="center"/>
          </w:tcPr>
          <w:p w14:paraId="35401568">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1418" w:type="dxa"/>
            <w:vMerge w:val="continue"/>
            <w:tcBorders>
              <w:tl2br w:val="nil"/>
              <w:tr2bl w:val="nil"/>
            </w:tcBorders>
            <w:shd w:val="clear" w:color="auto" w:fill="auto"/>
            <w:vAlign w:val="center"/>
          </w:tcPr>
          <w:p w14:paraId="399071FE">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2268" w:type="dxa"/>
            <w:tcBorders>
              <w:top w:val="single" w:color="000000" w:sz="4" w:space="0"/>
              <w:tl2br w:val="nil"/>
              <w:tr2bl w:val="nil"/>
            </w:tcBorders>
            <w:shd w:val="clear" w:color="auto" w:fill="auto"/>
            <w:vAlign w:val="center"/>
          </w:tcPr>
          <w:p w14:paraId="7E2B0B89">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期末考核</w:t>
            </w:r>
          </w:p>
        </w:tc>
        <w:tc>
          <w:tcPr>
            <w:tcW w:w="2158" w:type="dxa"/>
            <w:tcBorders>
              <w:top w:val="single" w:color="000000" w:sz="4" w:space="0"/>
              <w:tl2br w:val="nil"/>
              <w:tr2bl w:val="nil"/>
            </w:tcBorders>
            <w:shd w:val="clear" w:color="auto" w:fill="auto"/>
            <w:vAlign w:val="center"/>
          </w:tcPr>
          <w:p w14:paraId="5A6CA2FA">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50%</w:t>
            </w:r>
          </w:p>
        </w:tc>
      </w:tr>
      <w:tr w14:paraId="3011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85" w:type="dxa"/>
            <w:tcBorders>
              <w:tl2br w:val="nil"/>
              <w:tr2bl w:val="nil"/>
            </w:tcBorders>
            <w:shd w:val="clear" w:color="auto" w:fill="auto"/>
            <w:vAlign w:val="center"/>
          </w:tcPr>
          <w:p w14:paraId="72F95DF6">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课程目标权重合计</w:t>
            </w:r>
          </w:p>
        </w:tc>
        <w:tc>
          <w:tcPr>
            <w:tcW w:w="1418" w:type="dxa"/>
            <w:tcBorders>
              <w:tl2br w:val="nil"/>
              <w:tr2bl w:val="nil"/>
            </w:tcBorders>
            <w:shd w:val="clear" w:color="auto" w:fill="auto"/>
            <w:vAlign w:val="center"/>
          </w:tcPr>
          <w:p w14:paraId="60D3A37C">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100%</w:t>
            </w:r>
          </w:p>
        </w:tc>
        <w:tc>
          <w:tcPr>
            <w:tcW w:w="4426" w:type="dxa"/>
            <w:gridSpan w:val="2"/>
            <w:tcBorders>
              <w:tl2br w:val="nil"/>
              <w:tr2bl w:val="nil"/>
            </w:tcBorders>
            <w:shd w:val="clear" w:color="auto" w:fill="auto"/>
            <w:vAlign w:val="center"/>
          </w:tcPr>
          <w:p w14:paraId="63FE7DF1">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r>
    </w:tbl>
    <w:p w14:paraId="34D1E5A4">
      <w:pPr>
        <w:rPr>
          <w:color w:val="auto"/>
        </w:rPr>
      </w:pPr>
    </w:p>
    <w:p w14:paraId="2D9DFA37">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b w:val="0"/>
          <w:bCs w:val="0"/>
          <w:color w:val="auto"/>
        </w:rPr>
      </w:pPr>
      <w:r>
        <w:rPr>
          <w:rFonts w:hint="eastAsia"/>
          <w:b w:val="0"/>
          <w:bCs w:val="0"/>
          <w:color w:val="auto"/>
        </w:rPr>
        <w:t>（四）</w:t>
      </w:r>
      <w:r>
        <w:rPr>
          <w:b w:val="0"/>
          <w:bCs w:val="0"/>
          <w:color w:val="auto"/>
        </w:rPr>
        <w:t>课程目标达成度计算方法</w:t>
      </w:r>
    </w:p>
    <w:p w14:paraId="217C8B9C">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r>
        <w:rPr>
          <w:color w:val="auto"/>
        </w:rPr>
        <w:t>所有课程目标均</w:t>
      </w:r>
      <w:r>
        <w:rPr>
          <w:rFonts w:hint="eastAsia"/>
          <w:color w:val="auto"/>
        </w:rPr>
        <w:t>需</w:t>
      </w:r>
      <w:r>
        <w:rPr>
          <w:color w:val="auto"/>
        </w:rPr>
        <w:t>大于等于0.6，否则总评成绩不及格，需要重</w:t>
      </w:r>
      <w:r>
        <w:rPr>
          <w:rFonts w:hint="eastAsia"/>
          <w:color w:val="auto"/>
        </w:rPr>
        <w:t>修。</w:t>
      </w:r>
      <w:r>
        <w:rPr>
          <w:color w:val="auto"/>
        </w:rPr>
        <w:t>每</w:t>
      </w:r>
      <w:r>
        <w:rPr>
          <w:rFonts w:hint="eastAsia"/>
          <w:color w:val="auto"/>
        </w:rPr>
        <w:t>门</w:t>
      </w:r>
      <w:r>
        <w:rPr>
          <w:color w:val="auto"/>
        </w:rPr>
        <w:t>课程目标</w:t>
      </w:r>
      <w:r>
        <w:rPr>
          <w:rFonts w:hint="eastAsia"/>
          <w:color w:val="auto"/>
        </w:rPr>
        <w:t>总体</w:t>
      </w:r>
      <w:r>
        <w:rPr>
          <w:color w:val="auto"/>
        </w:rPr>
        <w:t>达成度计算方法如下：</w:t>
      </w:r>
    </w:p>
    <w:p w14:paraId="4C597E3C">
      <w:pPr>
        <w:rPr>
          <w:color w:val="auto"/>
        </w:rPr>
      </w:pPr>
      <w:r>
        <w:rPr>
          <w:rFonts w:hint="eastAsia"/>
          <w:color w:val="auto"/>
          <w:lang w:val="en-US" w:eastAsia="zh-CN"/>
        </w:rPr>
        <w:t xml:space="preserve"> </w:t>
      </w:r>
      <w:r>
        <w:rPr>
          <w:color w:val="auto"/>
        </w:rPr>
        <w:drawing>
          <wp:inline distT="0" distB="0" distL="0" distR="0">
            <wp:extent cx="5076190" cy="314960"/>
            <wp:effectExtent l="0" t="0" r="63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cstate="print"/>
                    <a:srcRect/>
                    <a:stretch>
                      <a:fillRect/>
                    </a:stretch>
                  </pic:blipFill>
                  <pic:spPr>
                    <a:xfrm>
                      <a:off x="0" y="0"/>
                      <a:ext cx="5076190" cy="314960"/>
                    </a:xfrm>
                    <a:prstGeom prst="rect">
                      <a:avLst/>
                    </a:prstGeom>
                    <a:noFill/>
                    <a:ln w="9525">
                      <a:noFill/>
                      <a:miter lim="800000"/>
                      <a:headEnd/>
                      <a:tailEnd/>
                    </a:ln>
                  </pic:spPr>
                </pic:pic>
              </a:graphicData>
            </a:graphic>
          </wp:inline>
        </w:drawing>
      </w:r>
    </w:p>
    <w:p w14:paraId="533CA0A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六、有关说明</w:t>
      </w:r>
    </w:p>
    <w:p w14:paraId="25A10874">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color w:val="auto"/>
        </w:rPr>
      </w:pPr>
      <w:r>
        <w:rPr>
          <w:rFonts w:hint="eastAsia"/>
          <w:color w:val="auto"/>
        </w:rPr>
        <w:t>（一）持续改进</w:t>
      </w:r>
    </w:p>
    <w:p w14:paraId="4624C723">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color w:val="auto"/>
        </w:rPr>
      </w:pPr>
      <w:r>
        <w:rPr>
          <w:color w:val="auto"/>
        </w:rPr>
        <w:t>本课程根据学生作业、课堂讨论、模拟教学、</w:t>
      </w:r>
      <w:r>
        <w:rPr>
          <w:rFonts w:hint="eastAsia"/>
          <w:color w:val="auto"/>
        </w:rPr>
        <w:t>微课教学设计与制作</w:t>
      </w:r>
      <w:r>
        <w:rPr>
          <w:color w:val="auto"/>
        </w:rPr>
        <w:t>、平时考核情况和学生、教学督导等</w:t>
      </w:r>
      <w:r>
        <w:rPr>
          <w:rFonts w:hint="eastAsia"/>
          <w:color w:val="auto"/>
        </w:rPr>
        <w:t>的</w:t>
      </w:r>
      <w:r>
        <w:rPr>
          <w:color w:val="auto"/>
        </w:rPr>
        <w:t>反馈，及时对教学中</w:t>
      </w:r>
      <w:r>
        <w:rPr>
          <w:rFonts w:hint="eastAsia"/>
          <w:color w:val="auto"/>
        </w:rPr>
        <w:t>的</w:t>
      </w:r>
      <w:r>
        <w:rPr>
          <w:color w:val="auto"/>
        </w:rPr>
        <w:t>不足之处进行改进，并在下一轮课程教学中</w:t>
      </w:r>
      <w:r>
        <w:rPr>
          <w:rFonts w:hint="eastAsia"/>
          <w:color w:val="auto"/>
        </w:rPr>
        <w:t>整改完善</w:t>
      </w:r>
      <w:r>
        <w:rPr>
          <w:color w:val="auto"/>
        </w:rPr>
        <w:t>，确保相应毕业要求指标点达成。</w:t>
      </w:r>
    </w:p>
    <w:p w14:paraId="0623FD1C">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color w:val="auto"/>
        </w:rPr>
      </w:pPr>
      <w:r>
        <w:rPr>
          <w:rFonts w:hint="eastAsia"/>
          <w:color w:val="auto"/>
        </w:rPr>
        <w:t>（二）</w:t>
      </w:r>
      <w:r>
        <w:rPr>
          <w:color w:val="auto"/>
        </w:rPr>
        <w:t>参考书目及学习资料</w:t>
      </w:r>
    </w:p>
    <w:p w14:paraId="34642661">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rPr>
      </w:pPr>
      <w:r>
        <w:rPr>
          <w:rFonts w:hint="eastAsia"/>
          <w:color w:val="auto"/>
        </w:rPr>
        <w:t>1．教材</w:t>
      </w:r>
    </w:p>
    <w:p w14:paraId="435CCC42">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rPr>
      </w:pPr>
      <w:r>
        <w:rPr>
          <w:rFonts w:hint="eastAsia"/>
          <w:color w:val="auto"/>
        </w:rPr>
        <w:t>章苏静.《现代教育技术》（第1版）.上海交通大学出版社. 2022</w:t>
      </w:r>
    </w:p>
    <w:p w14:paraId="0FCF6887">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rPr>
      </w:pPr>
      <w:r>
        <w:rPr>
          <w:rFonts w:hint="eastAsia"/>
          <w:color w:val="auto"/>
        </w:rPr>
        <w:t>2．教学参考书</w:t>
      </w:r>
    </w:p>
    <w:p w14:paraId="555177EF">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rPr>
      </w:pPr>
      <w:r>
        <w:rPr>
          <w:rFonts w:hint="eastAsia"/>
          <w:color w:val="auto"/>
        </w:rPr>
        <w:t>陈明选.《现代教育技术》（第1版）.上海交通大学出版社. 2022.</w:t>
      </w:r>
    </w:p>
    <w:p w14:paraId="7C7BCDF6">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rPr>
      </w:pPr>
      <w:r>
        <w:rPr>
          <w:rFonts w:hint="eastAsia"/>
          <w:color w:val="auto"/>
        </w:rPr>
        <w:t>杨宁.《现代教育技术》（第6版）.上海交通大学出版社. 2020</w:t>
      </w:r>
    </w:p>
    <w:p w14:paraId="49ACD7A1">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rPr>
      </w:pPr>
      <w:r>
        <w:rPr>
          <w:rFonts w:hint="eastAsia"/>
          <w:color w:val="auto"/>
        </w:rPr>
        <w:t>李世荣.《现代教育技术》（第2版）.清华大学出版社. 2020.</w:t>
      </w:r>
    </w:p>
    <w:p w14:paraId="6380B780">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rPr>
      </w:pPr>
      <w:r>
        <w:rPr>
          <w:color w:val="auto"/>
        </w:rPr>
        <w:t>Adobe公司  Adobe数字艺术中心Photoshop CS标准教材 人民邮电出版社</w:t>
      </w:r>
    </w:p>
    <w:p w14:paraId="77AD414D">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rPr>
      </w:pPr>
      <w:r>
        <w:rPr>
          <w:color w:val="auto"/>
        </w:rPr>
        <w:t>李颖、董彦</w:t>
      </w:r>
      <w:r>
        <w:rPr>
          <w:rFonts w:hint="eastAsia"/>
          <w:color w:val="auto"/>
        </w:rPr>
        <w:t>.《现代教育技术》.中国科学技术大学出版社.2010</w:t>
      </w:r>
    </w:p>
    <w:p w14:paraId="1766F5F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right"/>
        <w:textAlignment w:val="auto"/>
        <w:rPr>
          <w:color w:val="auto"/>
        </w:rPr>
      </w:pPr>
      <w:r>
        <w:rPr>
          <w:rFonts w:hint="eastAsia"/>
          <w:color w:val="auto"/>
        </w:rPr>
        <w:t>执笔人：曾新勇</w:t>
      </w:r>
    </w:p>
    <w:p w14:paraId="1B58224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right"/>
        <w:textAlignment w:val="auto"/>
        <w:rPr>
          <w:rFonts w:hint="eastAsia" w:eastAsiaTheme="minorEastAsia"/>
          <w:color w:val="auto"/>
          <w:lang w:val="en-US" w:eastAsia="zh-CN"/>
        </w:rPr>
      </w:pPr>
      <w:r>
        <w:rPr>
          <w:rFonts w:hint="eastAsia"/>
          <w:color w:val="auto"/>
        </w:rPr>
        <w:t>审定人：</w:t>
      </w:r>
      <w:r>
        <w:rPr>
          <w:rFonts w:hint="eastAsia"/>
          <w:color w:val="auto"/>
          <w:lang w:val="en-US" w:eastAsia="zh-CN"/>
        </w:rPr>
        <w:t>王  健</w:t>
      </w:r>
    </w:p>
    <w:p w14:paraId="5012963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right"/>
        <w:textAlignment w:val="auto"/>
        <w:rPr>
          <w:rFonts w:hint="default" w:eastAsiaTheme="minorEastAsia"/>
          <w:color w:val="auto"/>
          <w:lang w:val="en-US" w:eastAsia="zh-CN"/>
        </w:rPr>
      </w:pPr>
      <w:r>
        <w:rPr>
          <w:rFonts w:hint="eastAsia"/>
          <w:color w:val="auto"/>
        </w:rPr>
        <w:t>审批人：</w:t>
      </w:r>
      <w:r>
        <w:rPr>
          <w:rFonts w:hint="eastAsia"/>
          <w:color w:val="auto"/>
          <w:lang w:val="en-US" w:eastAsia="zh-CN"/>
        </w:rPr>
        <w:t>张志欣</w:t>
      </w:r>
    </w:p>
    <w:p w14:paraId="6CB196F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right"/>
        <w:textAlignment w:val="auto"/>
        <w:rPr>
          <w:rFonts w:hint="eastAsia" w:eastAsiaTheme="minorEastAsia"/>
          <w:color w:val="auto"/>
          <w:lang w:eastAsia="zh-CN"/>
        </w:rPr>
      </w:pPr>
      <w:r>
        <w:rPr>
          <w:rFonts w:hint="eastAsia"/>
          <w:color w:val="auto"/>
          <w:lang w:eastAsia="zh-CN"/>
        </w:rPr>
        <w:t>批准时间：2025年7月1日</w:t>
      </w:r>
    </w:p>
    <w:p w14:paraId="11919454">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color w:val="auto"/>
          <w:sz w:val="21"/>
          <w:szCs w:val="24"/>
        </w:rPr>
      </w:pPr>
    </w:p>
    <w:p w14:paraId="7E94916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right"/>
        <w:textAlignment w:val="auto"/>
        <w:rPr>
          <w:color w:val="auto"/>
        </w:rPr>
      </w:pPr>
    </w:p>
    <w:p w14:paraId="249B3BB8">
      <w:pPr>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724EBBE9">
      <w:pPr>
        <w:spacing w:line="360" w:lineRule="auto"/>
        <w:jc w:val="center"/>
        <w:outlineLvl w:val="0"/>
        <w:rPr>
          <w:rFonts w:hint="eastAsia" w:ascii="Times New Roman" w:hAnsi="Times New Roman" w:eastAsia="宋体" w:cs="Times New Roman"/>
          <w:b/>
          <w:color w:val="auto"/>
          <w:sz w:val="44"/>
          <w:szCs w:val="44"/>
        </w:rPr>
      </w:pPr>
      <w:bookmarkStart w:id="301" w:name="_Toc29587"/>
      <w:r>
        <w:rPr>
          <w:rFonts w:hint="eastAsia" w:ascii="Times New Roman" w:hAnsi="Times New Roman" w:eastAsia="宋体" w:cs="Times New Roman"/>
          <w:b/>
          <w:color w:val="auto"/>
          <w:sz w:val="44"/>
          <w:szCs w:val="44"/>
        </w:rPr>
        <w:t>《教育科学研究方法》课程教学大纲</w:t>
      </w:r>
      <w:bookmarkEnd w:id="301"/>
    </w:p>
    <w:p w14:paraId="518BD114">
      <w:pPr>
        <w:spacing w:line="360" w:lineRule="auto"/>
        <w:jc w:val="center"/>
        <w:rPr>
          <w:rFonts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rPr>
        <w:t>（</w:t>
      </w:r>
      <w:r>
        <w:rPr>
          <w:rFonts w:ascii="Times New Roman" w:hAnsi="Times New Roman" w:eastAsia="宋体" w:cs="Times New Roman"/>
          <w:b/>
          <w:bCs/>
          <w:color w:val="auto"/>
          <w:sz w:val="28"/>
          <w:szCs w:val="28"/>
        </w:rPr>
        <w:t>Educational Research Method</w:t>
      </w:r>
      <w:r>
        <w:rPr>
          <w:rFonts w:hint="eastAsia" w:ascii="Times New Roman" w:hAnsi="Times New Roman" w:eastAsia="宋体" w:cs="Times New Roman"/>
          <w:b/>
          <w:bCs/>
          <w:color w:val="auto"/>
          <w:sz w:val="28"/>
          <w:szCs w:val="28"/>
        </w:rPr>
        <w:t>）</w:t>
      </w:r>
    </w:p>
    <w:p w14:paraId="7BE0DAC8">
      <w:pPr>
        <w:spacing w:line="360" w:lineRule="auto"/>
        <w:jc w:val="center"/>
        <w:rPr>
          <w:rFonts w:ascii="Times New Roman" w:hAnsi="Times New Roman" w:eastAsia="宋体" w:cs="Times New Roman"/>
          <w:bCs/>
          <w:color w:val="auto"/>
          <w:sz w:val="30"/>
          <w:szCs w:val="30"/>
        </w:rPr>
      </w:pPr>
    </w:p>
    <w:p w14:paraId="7C3627C8">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课程名称：教育科学研究方法</w:t>
      </w:r>
    </w:p>
    <w:p w14:paraId="44A1310C">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w:t>
      </w:r>
      <w:r>
        <w:rPr>
          <w:rFonts w:ascii="Times New Roman" w:hAnsi="Times New Roman" w:eastAsia="宋体" w:cs="Times New Roman"/>
          <w:b/>
          <w:color w:val="auto"/>
          <w:sz w:val="24"/>
        </w:rPr>
        <w:t>2401049</w:t>
      </w:r>
    </w:p>
    <w:p w14:paraId="76E369E7">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w:t>
      </w:r>
      <w:r>
        <w:rPr>
          <w:rFonts w:ascii="Times New Roman" w:hAnsi="Times New Roman" w:eastAsia="宋体" w:cs="Times New Roman"/>
          <w:b/>
          <w:color w:val="auto"/>
          <w:sz w:val="24"/>
        </w:rPr>
        <w:t>2</w:t>
      </w:r>
    </w:p>
    <w:p w14:paraId="0D62CD3D">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w:t>
      </w:r>
      <w:r>
        <w:rPr>
          <w:rFonts w:ascii="Times New Roman" w:hAnsi="Times New Roman" w:eastAsia="宋体" w:cs="Times New Roman"/>
          <w:b/>
          <w:color w:val="auto"/>
          <w:sz w:val="24"/>
        </w:rPr>
        <w:t>32（其中，讲授学时24，实践学时8）</w:t>
      </w:r>
    </w:p>
    <w:p w14:paraId="22685CA0">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先修课程：小学心理学、教育原理、教育心理学、课程与教学论，等</w:t>
      </w:r>
    </w:p>
    <w:p w14:paraId="18B63A33">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w:t>
      </w:r>
      <w:r>
        <w:rPr>
          <w:rFonts w:ascii="Times New Roman" w:hAnsi="Times New Roman" w:eastAsia="宋体" w:cs="Times New Roman"/>
          <w:b/>
          <w:color w:val="auto"/>
          <w:sz w:val="24"/>
        </w:rPr>
        <w:t xml:space="preserve"> 小学教育      </w:t>
      </w:r>
    </w:p>
    <w:p w14:paraId="2B41473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一、课程简介</w:t>
      </w:r>
    </w:p>
    <w:p w14:paraId="44DA20F0">
      <w:pPr>
        <w:spacing w:line="360" w:lineRule="auto"/>
        <w:ind w:firstLine="420" w:firstLineChars="200"/>
        <w:jc w:val="left"/>
        <w:rPr>
          <w:rFonts w:ascii="Times New Roman" w:hAnsi="Times New Roman" w:eastAsia="宋体" w:cs="Times New Roman"/>
          <w:color w:val="auto"/>
          <w:sz w:val="18"/>
          <w:szCs w:val="18"/>
        </w:rPr>
      </w:pPr>
      <w:r>
        <w:rPr>
          <w:rFonts w:hint="eastAsia" w:ascii="Times New Roman" w:hAnsi="Times New Roman" w:eastAsia="宋体" w:cs="Times New Roman"/>
          <w:color w:val="auto"/>
          <w:szCs w:val="21"/>
        </w:rPr>
        <w:t>本课程是小学教育专业的一门专业基础必修课程。通过本课程的学习，师范生能够了解教育科学研究的基本理论和一般过程，掌握小学教育科研基本方法，学会发现、分析和解决小学教育实践中的问题，形成小学教育科研的意识和开展教育科研工作的基本能力，并为后修课程“毕业论文”的写作奠定研究方法基础。</w:t>
      </w:r>
    </w:p>
    <w:p w14:paraId="7F2E70E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二、课程目标</w:t>
      </w:r>
    </w:p>
    <w:p w14:paraId="33AD427A">
      <w:pPr>
        <w:spacing w:line="360" w:lineRule="auto"/>
        <w:ind w:firstLine="422" w:firstLineChars="200"/>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（一）课程具体目标</w:t>
      </w:r>
    </w:p>
    <w:p w14:paraId="18DC1AF7">
      <w:pPr>
        <w:autoSpaceDE w:val="0"/>
        <w:autoSpaceDN w:val="0"/>
        <w:adjustRightInd w:val="0"/>
        <w:spacing w:line="360" w:lineRule="auto"/>
        <w:ind w:firstLine="420" w:firstLineChars="200"/>
        <w:jc w:val="left"/>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 xml:space="preserve">目标1. </w:t>
      </w:r>
      <w:r>
        <w:rPr>
          <w:rFonts w:ascii="Times New Roman" w:hAnsi="Times New Roman" w:eastAsia="宋体" w:cs="Times New Roman"/>
          <w:color w:val="auto"/>
          <w:kern w:val="0"/>
          <w:szCs w:val="21"/>
        </w:rPr>
        <w:t xml:space="preserve"> </w:t>
      </w:r>
      <w:r>
        <w:rPr>
          <w:rFonts w:hint="eastAsia" w:ascii="Times New Roman" w:hAnsi="Times New Roman" w:eastAsia="宋体" w:cs="Times New Roman"/>
          <w:color w:val="auto"/>
          <w:kern w:val="0"/>
          <w:szCs w:val="21"/>
        </w:rPr>
        <w:t>理解教育科学研究的价值，懂得通过合作开展教育科学研究的意义，树立正确的教育科研观。</w:t>
      </w:r>
    </w:p>
    <w:p w14:paraId="4F0324A3">
      <w:pPr>
        <w:autoSpaceDE w:val="0"/>
        <w:autoSpaceDN w:val="0"/>
        <w:adjustRightInd w:val="0"/>
        <w:spacing w:line="360" w:lineRule="auto"/>
        <w:ind w:firstLine="420" w:firstLineChars="200"/>
        <w:jc w:val="left"/>
        <w:rPr>
          <w:rFonts w:hint="eastAsia" w:ascii="宋体" w:hAnsi="宋体" w:eastAsia="宋体" w:cs="Times New Roman"/>
          <w:b/>
          <w:bCs/>
          <w:color w:val="auto"/>
          <w:kern w:val="0"/>
          <w:szCs w:val="21"/>
        </w:rPr>
      </w:pPr>
      <w:r>
        <w:rPr>
          <w:rFonts w:hint="eastAsia" w:ascii="Times New Roman" w:hAnsi="Times New Roman" w:eastAsia="宋体" w:cs="Times New Roman"/>
          <w:color w:val="auto"/>
          <w:kern w:val="0"/>
          <w:szCs w:val="21"/>
        </w:rPr>
        <w:t>目标2. 了解小学教育研究课题的问题来源、研究现状和趋势，熟悉教育研究的过程，能够从中小学情境中选择合适的课题，独立设计教育研究方案。</w:t>
      </w:r>
      <w:r>
        <w:rPr>
          <w:rFonts w:ascii="Times New Roman" w:hAnsi="Times New Roman" w:eastAsia="宋体" w:cs="Times New Roman"/>
          <w:color w:val="auto"/>
          <w:kern w:val="0"/>
          <w:szCs w:val="21"/>
        </w:rPr>
        <w:t xml:space="preserve"> </w:t>
      </w:r>
    </w:p>
    <w:p w14:paraId="46A14FD1">
      <w:pPr>
        <w:autoSpaceDE w:val="0"/>
        <w:autoSpaceDN w:val="0"/>
        <w:adjustRightInd w:val="0"/>
        <w:spacing w:line="360" w:lineRule="auto"/>
        <w:ind w:firstLine="420" w:firstLineChars="200"/>
        <w:jc w:val="left"/>
        <w:rPr>
          <w:rFonts w:hint="eastAsia" w:ascii="宋体" w:hAnsi="宋体" w:eastAsia="宋体" w:cs="Times New Roman"/>
          <w:b/>
          <w:bCs/>
          <w:color w:val="auto"/>
          <w:kern w:val="0"/>
          <w:szCs w:val="21"/>
        </w:rPr>
      </w:pPr>
      <w:r>
        <w:rPr>
          <w:rFonts w:hint="eastAsia" w:ascii="Times New Roman" w:hAnsi="Times New Roman" w:eastAsia="宋体" w:cs="Times New Roman"/>
          <w:color w:val="auto"/>
          <w:kern w:val="0"/>
          <w:szCs w:val="21"/>
        </w:rPr>
        <w:t>目标3. 理解各种教育科学研究方法的特征、功能与局限性，能够根据基础教育的实际需要选择、设计和使用研究方法。</w:t>
      </w:r>
      <w:r>
        <w:rPr>
          <w:rFonts w:ascii="Times New Roman" w:hAnsi="Times New Roman" w:eastAsia="宋体" w:cs="Times New Roman"/>
          <w:color w:val="auto"/>
          <w:kern w:val="0"/>
          <w:szCs w:val="21"/>
        </w:rPr>
        <w:t xml:space="preserve"> </w:t>
      </w:r>
    </w:p>
    <w:p w14:paraId="02EE5545">
      <w:pPr>
        <w:autoSpaceDE w:val="0"/>
        <w:autoSpaceDN w:val="0"/>
        <w:adjustRightInd w:val="0"/>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rPr>
        <w:t>目标4. 了解学术论文的基本结构，初步掌握学术论文的写作方法，能够撰写符合学术规范的论</w:t>
      </w:r>
      <w:r>
        <w:rPr>
          <w:rFonts w:hint="eastAsia" w:ascii="Times New Roman" w:hAnsi="Times New Roman" w:eastAsia="宋体" w:cs="Times New Roman"/>
          <w:color w:val="auto"/>
          <w:szCs w:val="21"/>
        </w:rPr>
        <w:t>文。</w:t>
      </w:r>
    </w:p>
    <w:p w14:paraId="0C49F476">
      <w:pPr>
        <w:spacing w:line="360" w:lineRule="auto"/>
        <w:ind w:firstLine="422" w:firstLineChars="200"/>
        <w:jc w:val="left"/>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（二）课程目标及其对毕业要求指标点的支撑</w:t>
      </w:r>
    </w:p>
    <w:tbl>
      <w:tblPr>
        <w:tblStyle w:val="16"/>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5914"/>
        <w:gridCol w:w="1548"/>
      </w:tblGrid>
      <w:tr w14:paraId="35E3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tcPr>
          <w:p w14:paraId="45346BFE">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5914" w:type="dxa"/>
          </w:tcPr>
          <w:p w14:paraId="071FD1C3">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548" w:type="dxa"/>
          </w:tcPr>
          <w:p w14:paraId="6ABED44B">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2AED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Align w:val="center"/>
          </w:tcPr>
          <w:p w14:paraId="5AE03C00">
            <w:pPr>
              <w:spacing w:line="276" w:lineRule="auto"/>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毕业要求2</w:t>
            </w:r>
          </w:p>
          <w:p w14:paraId="681F43CC">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教育情怀</w:t>
            </w:r>
          </w:p>
        </w:tc>
        <w:tc>
          <w:tcPr>
            <w:tcW w:w="5914" w:type="dxa"/>
            <w:vAlign w:val="center"/>
          </w:tcPr>
          <w:p w14:paraId="1278C49A">
            <w:pPr>
              <w:spacing w:line="276" w:lineRule="auto"/>
              <w:jc w:val="left"/>
              <w:rPr>
                <w:rFonts w:ascii="Times New Roman" w:hAnsi="Times New Roman" w:eastAsia="宋体" w:cs="Times New Roman"/>
                <w:b w:val="0"/>
                <w:bCs w:val="0"/>
                <w:color w:val="auto"/>
                <w:szCs w:val="21"/>
              </w:rPr>
            </w:pPr>
            <w:r>
              <w:rPr>
                <w:rFonts w:hint="eastAsia" w:ascii="宋体" w:hAnsi="宋体" w:eastAsia="宋体" w:cs="Times New Roman"/>
                <w:b w:val="0"/>
                <w:bCs w:val="0"/>
                <w:color w:val="auto"/>
                <w:spacing w:val="2"/>
                <w:kern w:val="0"/>
                <w:szCs w:val="21"/>
              </w:rPr>
              <w:t>指标点</w:t>
            </w:r>
            <w:r>
              <w:rPr>
                <w:rFonts w:ascii="宋体" w:hAnsi="宋体" w:eastAsia="宋体" w:cs="Times New Roman"/>
                <w:b w:val="0"/>
                <w:bCs w:val="0"/>
                <w:color w:val="auto"/>
                <w:spacing w:val="2"/>
                <w:kern w:val="0"/>
                <w:szCs w:val="21"/>
              </w:rPr>
              <w:t>2-2：【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548" w:type="dxa"/>
            <w:vAlign w:val="center"/>
          </w:tcPr>
          <w:p w14:paraId="3E1AF31B">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课程目标1</w:t>
            </w:r>
          </w:p>
        </w:tc>
      </w:tr>
      <w:tr w14:paraId="180B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1515" w:type="dxa"/>
            <w:vMerge w:val="restart"/>
            <w:vAlign w:val="center"/>
          </w:tcPr>
          <w:p w14:paraId="2A6FCA9C">
            <w:pPr>
              <w:spacing w:line="276"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毕业要求8</w:t>
            </w:r>
          </w:p>
          <w:p w14:paraId="65AEC6CE">
            <w:pPr>
              <w:spacing w:line="276"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沟通合作</w:t>
            </w:r>
          </w:p>
        </w:tc>
        <w:tc>
          <w:tcPr>
            <w:tcW w:w="5914" w:type="dxa"/>
            <w:vMerge w:val="restart"/>
            <w:vAlign w:val="center"/>
          </w:tcPr>
          <w:p w14:paraId="7D0DBE33">
            <w:pPr>
              <w:spacing w:line="276" w:lineRule="auto"/>
              <w:jc w:val="left"/>
              <w:rPr>
                <w:rFonts w:hint="eastAsia" w:ascii="宋体" w:hAnsi="宋体" w:eastAsia="宋体" w:cs="Times New Roman"/>
                <w:b w:val="0"/>
                <w:bCs w:val="0"/>
                <w:color w:val="auto"/>
                <w:szCs w:val="21"/>
                <w:lang w:eastAsia="zh-CN"/>
              </w:rPr>
            </w:pPr>
            <w:r>
              <w:rPr>
                <w:rFonts w:hint="eastAsia" w:ascii="宋体" w:hAnsi="宋体" w:eastAsia="宋体" w:cs="宋体"/>
                <w:b w:val="0"/>
                <w:bCs w:val="0"/>
                <w:color w:val="auto"/>
                <w:szCs w:val="21"/>
                <w:lang w:eastAsia="zh-CN"/>
              </w:rPr>
              <w:t>指标点8-1：【善于团队合作】理解学习共同体的本质和价值，掌握团队协作的基本策略，在课堂学习与教育实践中获得合作学习体验，形成团队协作精神。</w:t>
            </w:r>
          </w:p>
        </w:tc>
        <w:tc>
          <w:tcPr>
            <w:tcW w:w="1548" w:type="dxa"/>
            <w:vAlign w:val="center"/>
          </w:tcPr>
          <w:p w14:paraId="1346A3EA">
            <w:pPr>
              <w:spacing w:line="360"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课程目标1</w:t>
            </w:r>
          </w:p>
          <w:p w14:paraId="1208615A">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3</w:t>
            </w:r>
          </w:p>
        </w:tc>
      </w:tr>
      <w:tr w14:paraId="1B8C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1515" w:type="dxa"/>
            <w:vMerge w:val="restart"/>
            <w:vAlign w:val="center"/>
          </w:tcPr>
          <w:p w14:paraId="5E3E8F26">
            <w:pPr>
              <w:pStyle w:val="32"/>
              <w:spacing w:line="276" w:lineRule="auto"/>
              <w:ind w:firstLine="0" w:firstLineChars="0"/>
              <w:jc w:val="center"/>
              <w:rPr>
                <w:rFonts w:hint="eastAsia" w:ascii="宋体" w:hAnsi="宋体" w:cs="宋体"/>
                <w:b/>
                <w:bCs/>
                <w:color w:val="auto"/>
                <w:szCs w:val="21"/>
              </w:rPr>
            </w:pPr>
            <w:r>
              <w:rPr>
                <w:rFonts w:hint="eastAsia" w:ascii="宋体" w:hAnsi="宋体" w:cs="宋体"/>
                <w:b/>
                <w:bCs/>
                <w:color w:val="auto"/>
                <w:szCs w:val="21"/>
              </w:rPr>
              <w:t>毕业要求4</w:t>
            </w:r>
          </w:p>
          <w:p w14:paraId="5D7EC057">
            <w:pPr>
              <w:pStyle w:val="32"/>
              <w:spacing w:line="276" w:lineRule="auto"/>
              <w:ind w:firstLine="0" w:firstLineChars="0"/>
              <w:jc w:val="center"/>
              <w:rPr>
                <w:rFonts w:hint="eastAsia" w:ascii="宋体" w:hAnsi="宋体" w:cs="宋体"/>
                <w:b/>
                <w:bCs/>
                <w:color w:val="auto"/>
                <w:szCs w:val="21"/>
              </w:rPr>
            </w:pPr>
            <w:r>
              <w:rPr>
                <w:rFonts w:hint="eastAsia" w:ascii="宋体" w:hAnsi="宋体" w:cs="宋体"/>
                <w:b/>
                <w:bCs/>
                <w:color w:val="auto"/>
                <w:szCs w:val="21"/>
              </w:rPr>
              <w:t>教学能力</w:t>
            </w:r>
          </w:p>
        </w:tc>
        <w:tc>
          <w:tcPr>
            <w:tcW w:w="5914" w:type="dxa"/>
            <w:vMerge w:val="restart"/>
            <w:vAlign w:val="center"/>
          </w:tcPr>
          <w:p w14:paraId="62A5BBF2">
            <w:pPr>
              <w:pStyle w:val="32"/>
              <w:spacing w:line="276" w:lineRule="auto"/>
              <w:ind w:firstLine="0" w:firstLineChars="0"/>
              <w:jc w:val="left"/>
              <w:rPr>
                <w:rFonts w:hint="eastAsia" w:ascii="宋体" w:hAnsi="宋体" w:cs="宋体"/>
                <w:b w:val="0"/>
                <w:bCs w:val="0"/>
                <w:color w:val="auto"/>
                <w:szCs w:val="21"/>
              </w:rPr>
            </w:pPr>
            <w:r>
              <w:rPr>
                <w:rFonts w:hint="eastAsia" w:ascii="宋体" w:hAnsi="宋体" w:cs="宋体"/>
                <w:b w:val="0"/>
                <w:bCs w:val="0"/>
                <w:color w:val="auto"/>
                <w:szCs w:val="21"/>
              </w:rPr>
              <w:t>指标点</w:t>
            </w:r>
            <w:r>
              <w:rPr>
                <w:rFonts w:ascii="宋体" w:hAnsi="宋体" w:cs="宋体"/>
                <w:b w:val="0"/>
                <w:bCs w:val="0"/>
                <w:color w:val="auto"/>
                <w:szCs w:val="21"/>
              </w:rPr>
              <w:t>4-4：【具备教学研究能力】掌握教育研究的基本方法，在教育教学实践中，结合小学教育教学实践进行研究，具有一定的教学研究能力。</w:t>
            </w:r>
          </w:p>
        </w:tc>
        <w:tc>
          <w:tcPr>
            <w:tcW w:w="1548" w:type="dxa"/>
            <w:vAlign w:val="center"/>
          </w:tcPr>
          <w:p w14:paraId="0B2813CD">
            <w:pPr>
              <w:spacing w:line="360"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课程目标2</w:t>
            </w:r>
          </w:p>
          <w:p w14:paraId="77FDE5B9">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3</w:t>
            </w:r>
          </w:p>
        </w:tc>
      </w:tr>
      <w:tr w14:paraId="39CB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atLeast"/>
        </w:trPr>
        <w:tc>
          <w:tcPr>
            <w:tcW w:w="1515" w:type="dxa"/>
            <w:vAlign w:val="center"/>
          </w:tcPr>
          <w:p w14:paraId="496DF473">
            <w:pPr>
              <w:pStyle w:val="32"/>
              <w:spacing w:line="276" w:lineRule="auto"/>
              <w:ind w:firstLine="0" w:firstLineChars="0"/>
              <w:jc w:val="center"/>
              <w:rPr>
                <w:rFonts w:hint="eastAsia" w:ascii="宋体" w:hAnsi="宋体" w:cs="宋体"/>
                <w:b/>
                <w:bCs/>
                <w:color w:val="auto"/>
                <w:szCs w:val="21"/>
              </w:rPr>
            </w:pPr>
            <w:r>
              <w:rPr>
                <w:rFonts w:hint="eastAsia" w:ascii="宋体" w:hAnsi="宋体" w:cs="宋体"/>
                <w:b/>
                <w:bCs/>
                <w:color w:val="auto"/>
                <w:szCs w:val="21"/>
              </w:rPr>
              <w:t>毕业要求7</w:t>
            </w:r>
          </w:p>
          <w:p w14:paraId="47897965">
            <w:pPr>
              <w:pStyle w:val="32"/>
              <w:spacing w:line="276" w:lineRule="auto"/>
              <w:ind w:firstLine="0" w:firstLineChars="0"/>
              <w:jc w:val="center"/>
              <w:rPr>
                <w:rFonts w:hint="eastAsia" w:ascii="宋体" w:hAnsi="宋体" w:cs="宋体"/>
                <w:b/>
                <w:bCs/>
                <w:color w:val="auto"/>
                <w:szCs w:val="21"/>
              </w:rPr>
            </w:pPr>
            <w:r>
              <w:rPr>
                <w:rFonts w:hint="eastAsia" w:ascii="宋体" w:hAnsi="宋体" w:cs="宋体"/>
                <w:b/>
                <w:bCs/>
                <w:color w:val="auto"/>
                <w:szCs w:val="21"/>
              </w:rPr>
              <w:t>学会反思</w:t>
            </w:r>
          </w:p>
        </w:tc>
        <w:tc>
          <w:tcPr>
            <w:tcW w:w="5914" w:type="dxa"/>
            <w:vAlign w:val="center"/>
          </w:tcPr>
          <w:p w14:paraId="0002E76B">
            <w:pPr>
              <w:pStyle w:val="32"/>
              <w:spacing w:line="276" w:lineRule="auto"/>
              <w:ind w:firstLine="0" w:firstLineChars="0"/>
              <w:jc w:val="left"/>
              <w:rPr>
                <w:rFonts w:hint="eastAsia" w:ascii="宋体" w:hAnsi="宋体" w:cs="宋体"/>
                <w:b w:val="0"/>
                <w:bCs w:val="0"/>
                <w:color w:val="auto"/>
                <w:szCs w:val="21"/>
              </w:rPr>
            </w:pPr>
            <w:r>
              <w:rPr>
                <w:rFonts w:hint="eastAsia" w:ascii="宋体" w:hAnsi="宋体" w:cs="宋体"/>
                <w:b w:val="0"/>
                <w:bCs w:val="0"/>
                <w:color w:val="auto"/>
                <w:szCs w:val="21"/>
              </w:rPr>
              <w:t>指标点</w:t>
            </w:r>
            <w:r>
              <w:rPr>
                <w:rFonts w:ascii="宋体" w:hAnsi="宋体" w:cs="宋体"/>
                <w:b w:val="0"/>
                <w:bCs w:val="0"/>
                <w:color w:val="auto"/>
                <w:szCs w:val="21"/>
              </w:rPr>
              <w:t>7-1：【教育视野开阔】积极关注基础教育领域的国内外交流进展，了解国内外基础教育改革发展的动态，具有宽广的教育视野，能够主动适应新时代和教育发展需求。</w:t>
            </w:r>
          </w:p>
          <w:p w14:paraId="1E2674FD">
            <w:pPr>
              <w:pStyle w:val="32"/>
              <w:spacing w:line="276" w:lineRule="auto"/>
              <w:ind w:firstLine="0" w:firstLineChars="0"/>
              <w:jc w:val="left"/>
              <w:rPr>
                <w:rFonts w:hint="eastAsia" w:ascii="宋体" w:hAnsi="宋体" w:eastAsia="宋体" w:cs="宋体"/>
                <w:b w:val="0"/>
                <w:bCs w:val="0"/>
                <w:color w:val="auto"/>
                <w:szCs w:val="21"/>
                <w:lang w:eastAsia="zh-CN"/>
              </w:rPr>
            </w:pPr>
            <w:r>
              <w:rPr>
                <w:rFonts w:hint="eastAsia" w:ascii="宋体" w:hAnsi="宋体" w:cs="宋体"/>
                <w:b w:val="0"/>
                <w:bCs w:val="0"/>
                <w:color w:val="auto"/>
                <w:szCs w:val="21"/>
                <w:lang w:eastAsia="zh-CN"/>
              </w:rPr>
              <w:t>指标点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548" w:type="dxa"/>
            <w:vAlign w:val="center"/>
          </w:tcPr>
          <w:p w14:paraId="0A74B18A">
            <w:pPr>
              <w:spacing w:line="360"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2</w:t>
            </w:r>
          </w:p>
          <w:p w14:paraId="49AB9524">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3</w:t>
            </w:r>
          </w:p>
          <w:p w14:paraId="0FD3E5D0">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课程目标 4</w:t>
            </w:r>
          </w:p>
        </w:tc>
      </w:tr>
    </w:tbl>
    <w:p w14:paraId="5F8365CD">
      <w:pPr>
        <w:spacing w:line="360" w:lineRule="auto"/>
        <w:ind w:firstLine="422" w:firstLineChars="200"/>
        <w:rPr>
          <w:rFonts w:hint="eastAsia" w:ascii="宋体" w:hAnsi="宋体" w:eastAsia="宋体" w:cs="Times New Roman"/>
          <w:b/>
          <w:color w:val="auto"/>
          <w:sz w:val="21"/>
          <w:szCs w:val="22"/>
        </w:rPr>
      </w:pPr>
      <w:r>
        <w:rPr>
          <w:rFonts w:hint="eastAsia" w:ascii="宋体" w:hAnsi="宋体" w:eastAsia="宋体" w:cs="Times New Roman"/>
          <w:b/>
          <w:color w:val="auto"/>
          <w:sz w:val="21"/>
          <w:szCs w:val="22"/>
        </w:rPr>
        <w:t>（三）课程思政目标</w:t>
      </w:r>
    </w:p>
    <w:p w14:paraId="4EE545EF">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学生在扎实掌握教育科学研究方法的基础上，践行社会主义核心价值观，认同中国特色社会主义，坚持“立德树人”，树立正确的世界观、价值观和人生观，形成正确的学术观、科研观和儿童观，学会发现、分析和解决人民群众关心的基础教育热点与难点问题。立志成为有理想信念、有道德情操、有扎实学习、有仁爱之心的新时代大国良师。</w:t>
      </w:r>
    </w:p>
    <w:p w14:paraId="66D8F0D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三、教学内容与预期学习成效</w:t>
      </w:r>
    </w:p>
    <w:p w14:paraId="2B9D0343">
      <w:pPr>
        <w:spacing w:line="360" w:lineRule="auto"/>
        <w:ind w:firstLine="420" w:firstLineChars="200"/>
        <w:jc w:val="left"/>
        <w:rPr>
          <w:rFonts w:hint="eastAsia" w:ascii="宋体" w:hAnsi="宋体" w:eastAsia="宋体" w:cs="Times New Roman"/>
          <w:color w:val="auto"/>
          <w:szCs w:val="21"/>
          <w:lang w:eastAsia="zh-CN"/>
        </w:rPr>
      </w:pPr>
      <w:r>
        <w:rPr>
          <w:rFonts w:hint="eastAsia" w:ascii="宋体" w:hAnsi="宋体" w:eastAsia="宋体" w:cs="Times New Roman"/>
          <w:color w:val="auto"/>
          <w:szCs w:val="21"/>
        </w:rPr>
        <w:t>本课程主要教学内容及学生预期学习成效见</w:t>
      </w:r>
      <w:r>
        <w:rPr>
          <w:rFonts w:hint="eastAsia" w:ascii="宋体" w:hAnsi="宋体" w:eastAsia="宋体" w:cs="Times New Roman"/>
          <w:color w:val="auto"/>
          <w:szCs w:val="21"/>
          <w:lang w:val="en-US" w:eastAsia="zh-CN"/>
        </w:rPr>
        <w:t>下表。</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2417"/>
        <w:gridCol w:w="1183"/>
        <w:gridCol w:w="2892"/>
        <w:gridCol w:w="1088"/>
        <w:gridCol w:w="656"/>
      </w:tblGrid>
      <w:tr w14:paraId="4980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Align w:val="center"/>
          </w:tcPr>
          <w:p w14:paraId="3B652BCB">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334DE077">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2417" w:type="dxa"/>
            <w:vAlign w:val="center"/>
          </w:tcPr>
          <w:p w14:paraId="4DA90747">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83" w:type="dxa"/>
            <w:vAlign w:val="center"/>
          </w:tcPr>
          <w:p w14:paraId="688904A9">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6B84A760">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2892" w:type="dxa"/>
            <w:vAlign w:val="center"/>
          </w:tcPr>
          <w:p w14:paraId="5B1601DD">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088" w:type="dxa"/>
            <w:vAlign w:val="center"/>
          </w:tcPr>
          <w:p w14:paraId="76525C04">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656" w:type="dxa"/>
            <w:vAlign w:val="center"/>
          </w:tcPr>
          <w:p w14:paraId="50A0F266">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6241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511C779F">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w:t>
            </w:r>
            <w:r>
              <w:rPr>
                <w:rFonts w:hint="eastAsia" w:ascii="宋体" w:hAnsi="宋体" w:eastAsia="宋体" w:cs="Times New Roman"/>
                <w:color w:val="auto"/>
                <w:szCs w:val="21"/>
              </w:rPr>
              <w:t>教育科学研究概述</w:t>
            </w:r>
          </w:p>
        </w:tc>
        <w:tc>
          <w:tcPr>
            <w:tcW w:w="2417" w:type="dxa"/>
            <w:vAlign w:val="center"/>
          </w:tcPr>
          <w:p w14:paraId="4C25E78D">
            <w:pPr>
              <w:jc w:val="left"/>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教育科学研究的涵义、特征和意义</w:t>
            </w:r>
          </w:p>
          <w:p w14:paraId="6530EF6D">
            <w:pPr>
              <w:jc w:val="left"/>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教育科学研究的类型及其发展趋势</w:t>
            </w:r>
          </w:p>
          <w:p w14:paraId="215E1552">
            <w:pPr>
              <w:jc w:val="left"/>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教育学科研究中学术规范与伦理问题</w:t>
            </w:r>
          </w:p>
          <w:p w14:paraId="3164B3C5">
            <w:pPr>
              <w:jc w:val="left"/>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学习教育科学研究的方法</w:t>
            </w:r>
          </w:p>
        </w:tc>
        <w:tc>
          <w:tcPr>
            <w:tcW w:w="1183" w:type="dxa"/>
            <w:vAlign w:val="center"/>
          </w:tcPr>
          <w:p w14:paraId="7F516341">
            <w:pPr>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2892" w:type="dxa"/>
            <w:vAlign w:val="center"/>
          </w:tcPr>
          <w:p w14:paraId="7059BAE2">
            <w:pPr>
              <w:jc w:val="left"/>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理解教育科学研究的涵义、特征和意义；</w:t>
            </w:r>
          </w:p>
          <w:p w14:paraId="3D635D1F">
            <w:pPr>
              <w:jc w:val="left"/>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熟悉教育科学研究方法的类型及其发展趋势；</w:t>
            </w:r>
          </w:p>
          <w:p w14:paraId="27F85331">
            <w:pPr>
              <w:jc w:val="left"/>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了解教育科学研究中的学术规范与伦理问题，树立正确的学术观和价值观；</w:t>
            </w:r>
          </w:p>
          <w:p w14:paraId="7C9C4BF9">
            <w:pPr>
              <w:jc w:val="left"/>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掌握正确的学习教育研究的方法，立志投身教育科学研究。</w:t>
            </w:r>
          </w:p>
        </w:tc>
        <w:tc>
          <w:tcPr>
            <w:tcW w:w="1088" w:type="dxa"/>
            <w:vAlign w:val="center"/>
          </w:tcPr>
          <w:p w14:paraId="131B931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自主学习</w:t>
            </w:r>
          </w:p>
          <w:p w14:paraId="23E7523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多媒体教学</w:t>
            </w:r>
          </w:p>
          <w:p w14:paraId="7C49046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课堂讨论</w:t>
            </w:r>
          </w:p>
          <w:p w14:paraId="183AE51F">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在线测试</w:t>
            </w:r>
          </w:p>
        </w:tc>
        <w:tc>
          <w:tcPr>
            <w:tcW w:w="656" w:type="dxa"/>
            <w:vAlign w:val="center"/>
          </w:tcPr>
          <w:p w14:paraId="267499ED">
            <w:pPr>
              <w:spacing w:line="269" w:lineRule="auto"/>
              <w:jc w:val="center"/>
              <w:rPr>
                <w:rFonts w:hint="eastAsia" w:ascii="宋体" w:hAnsi="宋体" w:eastAsia="宋体" w:cs="Times New Roman"/>
                <w:color w:val="auto"/>
                <w:szCs w:val="21"/>
              </w:rPr>
            </w:pPr>
            <w:r>
              <w:rPr>
                <w:rFonts w:ascii="宋体" w:hAnsi="宋体" w:eastAsia="宋体" w:cs="Times New Roman"/>
                <w:color w:val="auto"/>
                <w:szCs w:val="21"/>
              </w:rPr>
              <w:t>2</w:t>
            </w:r>
          </w:p>
        </w:tc>
      </w:tr>
      <w:tr w14:paraId="4EB98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117193A8">
            <w:pPr>
              <w:spacing w:line="264" w:lineRule="auto"/>
              <w:jc w:val="center"/>
              <w:rPr>
                <w:rFonts w:hint="eastAsia" w:ascii="宋体" w:hAnsi="宋体" w:eastAsia="宋体" w:cs="Times New Roman"/>
                <w:color w:val="auto"/>
                <w:szCs w:val="21"/>
              </w:rPr>
            </w:pPr>
          </w:p>
        </w:tc>
        <w:tc>
          <w:tcPr>
            <w:tcW w:w="8236" w:type="dxa"/>
            <w:gridSpan w:val="5"/>
            <w:vAlign w:val="center"/>
          </w:tcPr>
          <w:p w14:paraId="4D3A4017">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bookmarkStart w:id="302" w:name="_Hlk182024262"/>
            <w:r>
              <w:rPr>
                <w:rFonts w:hint="eastAsia" w:ascii="宋体" w:hAnsi="宋体" w:eastAsia="宋体" w:cs="Times New Roman"/>
                <w:color w:val="auto"/>
                <w:szCs w:val="21"/>
              </w:rPr>
              <w:t>坚持马克思主义的唯物史观，全面正确理解教育研究的本质；以习近平总书记关于教育工作的重要论述为指导，理解基础教育科学研究的价值和意义；坚持“立德树人”，树立正确的世界观、价值观和人生观，形成正确的科研观。</w:t>
            </w:r>
            <w:bookmarkEnd w:id="302"/>
          </w:p>
        </w:tc>
      </w:tr>
      <w:tr w14:paraId="6776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3E24B8C5">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r>
              <w:rPr>
                <w:rFonts w:hint="eastAsia"/>
                <w:color w:val="auto"/>
              </w:rPr>
              <w:t xml:space="preserve"> </w:t>
            </w:r>
            <w:r>
              <w:rPr>
                <w:rFonts w:hint="eastAsia" w:ascii="宋体" w:hAnsi="宋体" w:eastAsia="宋体" w:cs="Times New Roman"/>
                <w:color w:val="auto"/>
                <w:szCs w:val="21"/>
              </w:rPr>
              <w:t>教育研究选题与设计</w:t>
            </w:r>
          </w:p>
        </w:tc>
        <w:tc>
          <w:tcPr>
            <w:tcW w:w="2417" w:type="dxa"/>
            <w:vAlign w:val="center"/>
          </w:tcPr>
          <w:p w14:paraId="21D12D11">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1）教育研究课题的问题来源</w:t>
            </w:r>
          </w:p>
          <w:p w14:paraId="70BAB44C">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2）教育研究选题的评价</w:t>
            </w:r>
          </w:p>
          <w:p w14:paraId="45A3C09E">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3）教育研究选题策略</w:t>
            </w:r>
          </w:p>
          <w:p w14:paraId="362154BA">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4）教育研究方案设计</w:t>
            </w:r>
          </w:p>
          <w:p w14:paraId="37BC298E">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5）毕业论文开题报告</w:t>
            </w:r>
          </w:p>
        </w:tc>
        <w:tc>
          <w:tcPr>
            <w:tcW w:w="1183" w:type="dxa"/>
            <w:vAlign w:val="center"/>
          </w:tcPr>
          <w:p w14:paraId="4892F916">
            <w:pPr>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r>
              <w:rPr>
                <w:rFonts w:ascii="宋体" w:hAnsi="宋体" w:eastAsia="宋体" w:cs="Times New Roman"/>
                <w:color w:val="auto"/>
                <w:szCs w:val="21"/>
              </w:rPr>
              <w:t>2</w:t>
            </w:r>
          </w:p>
        </w:tc>
        <w:tc>
          <w:tcPr>
            <w:tcW w:w="2892" w:type="dxa"/>
            <w:vAlign w:val="center"/>
          </w:tcPr>
          <w:p w14:paraId="496AAC4A">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1）了解教育研究课题的问题来源；</w:t>
            </w:r>
          </w:p>
          <w:p w14:paraId="1C6070EC">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2）理解教育研究选题的评价要求；</w:t>
            </w:r>
          </w:p>
          <w:p w14:paraId="3AD8BFA3">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3）学会清楚、明确地表述所研究的问题；</w:t>
            </w:r>
          </w:p>
          <w:p w14:paraId="283CA902">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4）能够设计简单的教育研究方案；</w:t>
            </w:r>
          </w:p>
          <w:p w14:paraId="3A2C6E92">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5）学会撰写毕业论文开题报告。</w:t>
            </w:r>
          </w:p>
        </w:tc>
        <w:tc>
          <w:tcPr>
            <w:tcW w:w="1088" w:type="dxa"/>
            <w:vAlign w:val="center"/>
          </w:tcPr>
          <w:p w14:paraId="559A9D6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自主学习</w:t>
            </w:r>
          </w:p>
          <w:p w14:paraId="27951B09">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案例教学</w:t>
            </w:r>
          </w:p>
          <w:p w14:paraId="1E3AFEF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课堂讨论</w:t>
            </w:r>
          </w:p>
          <w:p w14:paraId="58540346">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在线测试</w:t>
            </w:r>
          </w:p>
          <w:p w14:paraId="2A0E817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项目作业</w:t>
            </w:r>
          </w:p>
        </w:tc>
        <w:tc>
          <w:tcPr>
            <w:tcW w:w="656" w:type="dxa"/>
            <w:vAlign w:val="center"/>
          </w:tcPr>
          <w:p w14:paraId="0988FDA2">
            <w:pPr>
              <w:spacing w:line="269" w:lineRule="auto"/>
              <w:jc w:val="center"/>
              <w:rPr>
                <w:rFonts w:hint="eastAsia" w:ascii="宋体" w:hAnsi="宋体" w:eastAsia="宋体" w:cs="Times New Roman"/>
                <w:color w:val="auto"/>
                <w:szCs w:val="21"/>
              </w:rPr>
            </w:pPr>
            <w:r>
              <w:rPr>
                <w:rFonts w:ascii="宋体" w:hAnsi="宋体" w:eastAsia="宋体" w:cs="Times New Roman"/>
                <w:color w:val="auto"/>
                <w:szCs w:val="21"/>
              </w:rPr>
              <w:t>6</w:t>
            </w:r>
          </w:p>
        </w:tc>
      </w:tr>
      <w:tr w14:paraId="43DB9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59CA7EDB">
            <w:pPr>
              <w:spacing w:line="264" w:lineRule="auto"/>
              <w:jc w:val="center"/>
              <w:rPr>
                <w:rFonts w:hint="eastAsia" w:ascii="宋体" w:hAnsi="宋体" w:eastAsia="宋体" w:cs="Times New Roman"/>
                <w:color w:val="auto"/>
                <w:szCs w:val="21"/>
              </w:rPr>
            </w:pPr>
          </w:p>
        </w:tc>
        <w:tc>
          <w:tcPr>
            <w:tcW w:w="8236" w:type="dxa"/>
            <w:gridSpan w:val="5"/>
            <w:vAlign w:val="center"/>
          </w:tcPr>
          <w:p w14:paraId="4871767E">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培养学生坚持真理、热爱科学、实事求是的品格，形成正确的学术观、科研观；热爱中小学教育，理解基础教育改革的意义，</w:t>
            </w:r>
            <w:bookmarkStart w:id="303" w:name="_Hlk182024397"/>
            <w:r>
              <w:rPr>
                <w:rFonts w:hint="eastAsia" w:ascii="宋体" w:hAnsi="宋体" w:eastAsia="宋体" w:cs="Times New Roman"/>
                <w:color w:val="auto"/>
                <w:szCs w:val="21"/>
              </w:rPr>
              <w:t>具有一定的创新意识，学会发现和分析人民群众关心的基础教育热点与难点问题。</w:t>
            </w:r>
            <w:bookmarkEnd w:id="303"/>
          </w:p>
        </w:tc>
      </w:tr>
      <w:tr w14:paraId="197B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5B6D0486">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w:t>
            </w:r>
            <w:r>
              <w:rPr>
                <w:rFonts w:hint="eastAsia"/>
                <w:color w:val="auto"/>
              </w:rPr>
              <w:t xml:space="preserve"> </w:t>
            </w:r>
            <w:r>
              <w:rPr>
                <w:rFonts w:hint="eastAsia" w:ascii="宋体" w:hAnsi="宋体" w:eastAsia="宋体" w:cs="Times New Roman"/>
                <w:color w:val="auto"/>
                <w:szCs w:val="21"/>
              </w:rPr>
              <w:t>文献检索与综述</w:t>
            </w:r>
          </w:p>
        </w:tc>
        <w:tc>
          <w:tcPr>
            <w:tcW w:w="2417" w:type="dxa"/>
            <w:vAlign w:val="center"/>
          </w:tcPr>
          <w:p w14:paraId="00537062">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1）文献及其作用</w:t>
            </w:r>
          </w:p>
          <w:p w14:paraId="1C0B2211">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2）教育文献检索</w:t>
            </w:r>
          </w:p>
          <w:p w14:paraId="72269E12">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3）教育文献的整理</w:t>
            </w:r>
          </w:p>
          <w:p w14:paraId="4E8B1418">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4）文献综述</w:t>
            </w:r>
          </w:p>
        </w:tc>
        <w:tc>
          <w:tcPr>
            <w:tcW w:w="1183" w:type="dxa"/>
            <w:vAlign w:val="center"/>
          </w:tcPr>
          <w:p w14:paraId="488ECACA">
            <w:pPr>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2892" w:type="dxa"/>
            <w:vAlign w:val="center"/>
          </w:tcPr>
          <w:p w14:paraId="29067AB4">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1）掌握文献检索与文献综述的基本知识；</w:t>
            </w:r>
          </w:p>
          <w:p w14:paraId="789E24A1">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2）了解文献在教育研究中的作用；</w:t>
            </w:r>
          </w:p>
          <w:p w14:paraId="65F01B23">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3）学会使用常用的文献检索方法；</w:t>
            </w:r>
          </w:p>
          <w:p w14:paraId="474E0839">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4）学会撰写简单的文献综述。</w:t>
            </w:r>
          </w:p>
        </w:tc>
        <w:tc>
          <w:tcPr>
            <w:tcW w:w="1088" w:type="dxa"/>
            <w:vAlign w:val="center"/>
          </w:tcPr>
          <w:p w14:paraId="179E4BE0">
            <w:pPr>
              <w:jc w:val="left"/>
              <w:rPr>
                <w:rFonts w:hint="eastAsia" w:ascii="宋体" w:hAnsi="宋体" w:eastAsia="宋体" w:cs="Times New Roman"/>
                <w:color w:val="auto"/>
                <w:szCs w:val="21"/>
              </w:rPr>
            </w:pPr>
            <w:r>
              <w:rPr>
                <w:rFonts w:hint="eastAsia" w:ascii="宋体" w:hAnsi="宋体" w:eastAsia="宋体" w:cs="Times New Roman"/>
                <w:color w:val="auto"/>
                <w:szCs w:val="21"/>
              </w:rPr>
              <w:t>自主学习</w:t>
            </w:r>
          </w:p>
          <w:p w14:paraId="2ED189B2">
            <w:pPr>
              <w:jc w:val="left"/>
              <w:rPr>
                <w:rFonts w:hint="eastAsia" w:ascii="宋体" w:hAnsi="宋体" w:eastAsia="宋体" w:cs="Times New Roman"/>
                <w:color w:val="auto"/>
                <w:szCs w:val="21"/>
              </w:rPr>
            </w:pPr>
            <w:r>
              <w:rPr>
                <w:rFonts w:hint="eastAsia" w:ascii="宋体" w:hAnsi="宋体" w:eastAsia="宋体" w:cs="Times New Roman"/>
                <w:color w:val="auto"/>
                <w:szCs w:val="21"/>
              </w:rPr>
              <w:t>案例教学</w:t>
            </w:r>
          </w:p>
          <w:p w14:paraId="379C49C8">
            <w:pPr>
              <w:jc w:val="left"/>
              <w:rPr>
                <w:rFonts w:hint="eastAsia" w:ascii="宋体" w:hAnsi="宋体" w:eastAsia="宋体" w:cs="Times New Roman"/>
                <w:color w:val="auto"/>
                <w:szCs w:val="21"/>
              </w:rPr>
            </w:pPr>
            <w:r>
              <w:rPr>
                <w:rFonts w:hint="eastAsia" w:ascii="宋体" w:hAnsi="宋体" w:eastAsia="宋体" w:cs="Times New Roman"/>
                <w:color w:val="auto"/>
                <w:szCs w:val="21"/>
              </w:rPr>
              <w:t>课堂讨论</w:t>
            </w:r>
          </w:p>
          <w:p w14:paraId="01C74884">
            <w:pPr>
              <w:jc w:val="left"/>
              <w:rPr>
                <w:rFonts w:hint="eastAsia" w:ascii="宋体" w:hAnsi="宋体" w:eastAsia="宋体" w:cs="Times New Roman"/>
                <w:color w:val="auto"/>
                <w:szCs w:val="21"/>
              </w:rPr>
            </w:pPr>
            <w:r>
              <w:rPr>
                <w:rFonts w:hint="eastAsia" w:ascii="宋体" w:hAnsi="宋体" w:eastAsia="宋体" w:cs="Times New Roman"/>
                <w:color w:val="auto"/>
                <w:szCs w:val="21"/>
              </w:rPr>
              <w:t>在线测试</w:t>
            </w:r>
          </w:p>
          <w:p w14:paraId="55358EAC">
            <w:pPr>
              <w:jc w:val="left"/>
              <w:rPr>
                <w:rFonts w:hint="eastAsia" w:ascii="宋体" w:hAnsi="宋体" w:eastAsia="宋体" w:cs="Times New Roman"/>
                <w:color w:val="auto"/>
                <w:szCs w:val="21"/>
              </w:rPr>
            </w:pPr>
            <w:r>
              <w:rPr>
                <w:rFonts w:hint="eastAsia" w:ascii="宋体" w:hAnsi="宋体" w:eastAsia="宋体" w:cs="Times New Roman"/>
                <w:color w:val="auto"/>
                <w:szCs w:val="21"/>
              </w:rPr>
              <w:t>项目作业</w:t>
            </w:r>
          </w:p>
        </w:tc>
        <w:tc>
          <w:tcPr>
            <w:tcW w:w="656" w:type="dxa"/>
            <w:vAlign w:val="center"/>
          </w:tcPr>
          <w:p w14:paraId="02AF4876">
            <w:pPr>
              <w:jc w:val="center"/>
              <w:rPr>
                <w:rFonts w:hint="eastAsia" w:ascii="宋体" w:hAnsi="宋体" w:eastAsia="宋体" w:cs="Times New Roman"/>
                <w:color w:val="auto"/>
                <w:szCs w:val="21"/>
              </w:rPr>
            </w:pPr>
            <w:r>
              <w:rPr>
                <w:rFonts w:ascii="宋体" w:hAnsi="宋体" w:eastAsia="宋体" w:cs="Times New Roman"/>
                <w:color w:val="auto"/>
                <w:szCs w:val="21"/>
              </w:rPr>
              <w:t>6</w:t>
            </w:r>
          </w:p>
        </w:tc>
      </w:tr>
      <w:tr w14:paraId="481D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35710CE2">
            <w:pPr>
              <w:spacing w:line="264" w:lineRule="auto"/>
              <w:jc w:val="center"/>
              <w:rPr>
                <w:rFonts w:hint="eastAsia" w:ascii="宋体" w:hAnsi="宋体" w:eastAsia="宋体" w:cs="Times New Roman"/>
                <w:color w:val="auto"/>
                <w:szCs w:val="21"/>
              </w:rPr>
            </w:pPr>
          </w:p>
        </w:tc>
        <w:tc>
          <w:tcPr>
            <w:tcW w:w="8236" w:type="dxa"/>
            <w:gridSpan w:val="5"/>
            <w:vAlign w:val="center"/>
          </w:tcPr>
          <w:p w14:paraId="4D0807BA">
            <w:pPr>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ascii="宋体" w:hAnsi="宋体" w:eastAsia="宋体" w:cs="Times New Roman"/>
                <w:color w:val="auto"/>
                <w:szCs w:val="21"/>
              </w:rPr>
              <w:t>通过对国内外教育研究现状的全面梳理，增强对我国基础教育改革取得伟大成就的自豪感，培养投身基础教育科学研究的责任感和使命感；形成诚信务实、脚踏实地、实事求是的科研素养。</w:t>
            </w:r>
          </w:p>
        </w:tc>
      </w:tr>
      <w:tr w14:paraId="74BE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26DEB5EC">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 xml:space="preserve"> </w:t>
            </w:r>
            <w:r>
              <w:rPr>
                <w:rFonts w:hint="eastAsia" w:ascii="宋体" w:hAnsi="宋体" w:eastAsia="宋体" w:cs="Times New Roman"/>
                <w:color w:val="auto"/>
                <w:szCs w:val="21"/>
              </w:rPr>
              <w:t>教育调查研究</w:t>
            </w:r>
          </w:p>
        </w:tc>
        <w:tc>
          <w:tcPr>
            <w:tcW w:w="2417" w:type="dxa"/>
            <w:vAlign w:val="center"/>
          </w:tcPr>
          <w:p w14:paraId="48F5D642">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1）调查研究的主要步骤</w:t>
            </w:r>
          </w:p>
          <w:p w14:paraId="1A296C4F">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2）问卷法</w:t>
            </w:r>
          </w:p>
          <w:p w14:paraId="422CCD5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3）访谈法</w:t>
            </w:r>
          </w:p>
          <w:p w14:paraId="4BCF719B">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4）观察法</w:t>
            </w:r>
          </w:p>
          <w:p w14:paraId="704614B5">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5）调查抽样</w:t>
            </w:r>
          </w:p>
        </w:tc>
        <w:tc>
          <w:tcPr>
            <w:tcW w:w="1183" w:type="dxa"/>
            <w:vAlign w:val="center"/>
          </w:tcPr>
          <w:p w14:paraId="4B9555F2">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r>
              <w:rPr>
                <w:rFonts w:ascii="宋体" w:hAnsi="宋体" w:eastAsia="宋体" w:cs="Times New Roman"/>
                <w:color w:val="auto"/>
                <w:szCs w:val="21"/>
              </w:rPr>
              <w:t>3</w:t>
            </w:r>
          </w:p>
        </w:tc>
        <w:tc>
          <w:tcPr>
            <w:tcW w:w="2892" w:type="dxa"/>
            <w:vAlign w:val="center"/>
          </w:tcPr>
          <w:p w14:paraId="3B0EF7DC">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1）明确调查研究的涵义；</w:t>
            </w:r>
          </w:p>
          <w:p w14:paraId="48478FAF">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2）理解问卷法、访谈法、观察法的优缺点；</w:t>
            </w:r>
          </w:p>
          <w:p w14:paraId="7C600177">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3）学会设计简单的问卷、访谈提纲、观察记录表；</w:t>
            </w:r>
          </w:p>
          <w:p w14:paraId="0A252AB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4）了解抽样的主要方法。</w:t>
            </w:r>
          </w:p>
        </w:tc>
        <w:tc>
          <w:tcPr>
            <w:tcW w:w="1088" w:type="dxa"/>
            <w:vAlign w:val="center"/>
          </w:tcPr>
          <w:p w14:paraId="4EE48B5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自主学习</w:t>
            </w:r>
          </w:p>
          <w:p w14:paraId="30C17E4A">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案例教学</w:t>
            </w:r>
          </w:p>
          <w:p w14:paraId="0A16AAE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课堂讨论</w:t>
            </w:r>
          </w:p>
          <w:p w14:paraId="22A67D5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在线测试</w:t>
            </w:r>
          </w:p>
          <w:p w14:paraId="68223E67">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项目作业</w:t>
            </w:r>
          </w:p>
        </w:tc>
        <w:tc>
          <w:tcPr>
            <w:tcW w:w="656" w:type="dxa"/>
            <w:vAlign w:val="center"/>
          </w:tcPr>
          <w:p w14:paraId="04C0D52E">
            <w:pPr>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t>6</w:t>
            </w:r>
          </w:p>
        </w:tc>
      </w:tr>
      <w:tr w14:paraId="5A03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5E33AF0E">
            <w:pPr>
              <w:spacing w:line="276" w:lineRule="auto"/>
              <w:jc w:val="center"/>
              <w:rPr>
                <w:rFonts w:hint="eastAsia" w:ascii="宋体" w:hAnsi="宋体" w:eastAsia="宋体" w:cs="Times New Roman"/>
                <w:color w:val="auto"/>
                <w:szCs w:val="21"/>
              </w:rPr>
            </w:pPr>
          </w:p>
        </w:tc>
        <w:tc>
          <w:tcPr>
            <w:tcW w:w="8236" w:type="dxa"/>
            <w:gridSpan w:val="5"/>
            <w:vAlign w:val="center"/>
          </w:tcPr>
          <w:p w14:paraId="7FCF97E7">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以马克思主义的方法论为指导，培养学生诚信务实、脚踏实地、实事求是的科研素养。</w:t>
            </w:r>
          </w:p>
        </w:tc>
      </w:tr>
      <w:tr w14:paraId="6974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547AF2DD">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 教育个案研究</w:t>
            </w:r>
          </w:p>
        </w:tc>
        <w:tc>
          <w:tcPr>
            <w:tcW w:w="2417" w:type="dxa"/>
            <w:vAlign w:val="center"/>
          </w:tcPr>
          <w:p w14:paraId="0BC3F1A3">
            <w:pPr>
              <w:jc w:val="left"/>
              <w:rPr>
                <w:rFonts w:hint="eastAsia" w:ascii="宋体" w:hAnsi="宋体" w:eastAsia="宋体" w:cs="Times New Roman"/>
                <w:color w:val="auto"/>
                <w:szCs w:val="21"/>
              </w:rPr>
            </w:pPr>
            <w:r>
              <w:rPr>
                <w:rFonts w:hint="eastAsia" w:ascii="宋体" w:hAnsi="宋体" w:eastAsia="宋体" w:cs="Times New Roman"/>
                <w:color w:val="auto"/>
                <w:szCs w:val="21"/>
              </w:rPr>
              <w:t xml:space="preserve"> （</w:t>
            </w:r>
            <w:r>
              <w:rPr>
                <w:rFonts w:ascii="宋体" w:hAnsi="宋体" w:eastAsia="宋体" w:cs="Times New Roman"/>
                <w:color w:val="auto"/>
                <w:szCs w:val="21"/>
              </w:rPr>
              <w:t>1）个案研究</w:t>
            </w:r>
            <w:r>
              <w:rPr>
                <w:rFonts w:hint="eastAsia" w:ascii="宋体" w:hAnsi="宋体" w:eastAsia="宋体" w:cs="Times New Roman"/>
                <w:color w:val="auto"/>
                <w:szCs w:val="21"/>
              </w:rPr>
              <w:t>的含义</w:t>
            </w:r>
          </w:p>
          <w:p w14:paraId="7719BC86">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2）个案研究的步骤</w:t>
            </w:r>
          </w:p>
          <w:p w14:paraId="3162575E">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3）个案研究的方法</w:t>
            </w:r>
          </w:p>
        </w:tc>
        <w:tc>
          <w:tcPr>
            <w:tcW w:w="1183" w:type="dxa"/>
            <w:vAlign w:val="center"/>
          </w:tcPr>
          <w:p w14:paraId="24BE8033">
            <w:pPr>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r>
              <w:rPr>
                <w:rFonts w:ascii="宋体" w:hAnsi="宋体" w:eastAsia="宋体" w:cs="Times New Roman"/>
                <w:color w:val="auto"/>
                <w:szCs w:val="21"/>
              </w:rPr>
              <w:t xml:space="preserve"> </w:t>
            </w:r>
          </w:p>
        </w:tc>
        <w:tc>
          <w:tcPr>
            <w:tcW w:w="2892" w:type="dxa"/>
            <w:vAlign w:val="center"/>
          </w:tcPr>
          <w:p w14:paraId="3B48F035">
            <w:pPr>
              <w:jc w:val="left"/>
              <w:rPr>
                <w:rFonts w:hint="eastAsia" w:ascii="宋体" w:hAnsi="宋体" w:eastAsia="宋体" w:cs="Times New Roman"/>
                <w:color w:val="auto"/>
                <w:szCs w:val="21"/>
              </w:rPr>
            </w:pPr>
            <w:r>
              <w:rPr>
                <w:rFonts w:ascii="宋体" w:hAnsi="宋体" w:eastAsia="宋体" w:cs="Times New Roman"/>
                <w:color w:val="auto"/>
                <w:szCs w:val="21"/>
              </w:rPr>
              <w:t xml:space="preserve"> </w:t>
            </w:r>
            <w:r>
              <w:rPr>
                <w:rFonts w:hint="eastAsia" w:ascii="宋体" w:hAnsi="宋体" w:eastAsia="宋体" w:cs="Times New Roman"/>
                <w:color w:val="auto"/>
                <w:szCs w:val="21"/>
              </w:rPr>
              <w:t>（</w:t>
            </w:r>
            <w:r>
              <w:rPr>
                <w:rFonts w:ascii="宋体" w:hAnsi="宋体" w:eastAsia="宋体" w:cs="Times New Roman"/>
                <w:color w:val="auto"/>
                <w:szCs w:val="21"/>
              </w:rPr>
              <w:t>1）理解个案研究的涵义和特点；</w:t>
            </w:r>
          </w:p>
          <w:p w14:paraId="7833E642">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2）掌握个案研究的步骤；了解个案研究的主要方法；</w:t>
            </w:r>
          </w:p>
          <w:p w14:paraId="7A157D57">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3）初步尝试个案研究的方案设计。</w:t>
            </w:r>
          </w:p>
        </w:tc>
        <w:tc>
          <w:tcPr>
            <w:tcW w:w="1088" w:type="dxa"/>
            <w:vAlign w:val="center"/>
          </w:tcPr>
          <w:p w14:paraId="25766D1D">
            <w:pPr>
              <w:jc w:val="left"/>
              <w:rPr>
                <w:rFonts w:hint="eastAsia" w:ascii="宋体" w:hAnsi="宋体" w:eastAsia="宋体" w:cs="Times New Roman"/>
                <w:color w:val="auto"/>
                <w:szCs w:val="21"/>
              </w:rPr>
            </w:pPr>
            <w:r>
              <w:rPr>
                <w:rFonts w:hint="eastAsia" w:ascii="宋体" w:hAnsi="宋体" w:eastAsia="宋体" w:cs="Times New Roman"/>
                <w:color w:val="auto"/>
                <w:szCs w:val="21"/>
              </w:rPr>
              <w:t>自主学习</w:t>
            </w:r>
          </w:p>
          <w:p w14:paraId="4B44CAC6">
            <w:pPr>
              <w:jc w:val="left"/>
              <w:rPr>
                <w:rFonts w:hint="eastAsia" w:ascii="宋体" w:hAnsi="宋体" w:eastAsia="宋体" w:cs="Times New Roman"/>
                <w:color w:val="auto"/>
                <w:szCs w:val="21"/>
              </w:rPr>
            </w:pPr>
            <w:r>
              <w:rPr>
                <w:rFonts w:hint="eastAsia" w:ascii="宋体" w:hAnsi="宋体" w:eastAsia="宋体" w:cs="Times New Roman"/>
                <w:color w:val="auto"/>
                <w:szCs w:val="21"/>
              </w:rPr>
              <w:t>案例教学</w:t>
            </w:r>
          </w:p>
          <w:p w14:paraId="2923F495">
            <w:pPr>
              <w:jc w:val="left"/>
              <w:rPr>
                <w:rFonts w:hint="eastAsia" w:ascii="宋体" w:hAnsi="宋体" w:eastAsia="宋体" w:cs="Times New Roman"/>
                <w:color w:val="auto"/>
                <w:szCs w:val="21"/>
              </w:rPr>
            </w:pPr>
            <w:r>
              <w:rPr>
                <w:rFonts w:hint="eastAsia" w:ascii="宋体" w:hAnsi="宋体" w:eastAsia="宋体" w:cs="Times New Roman"/>
                <w:color w:val="auto"/>
                <w:szCs w:val="21"/>
              </w:rPr>
              <w:t>课堂讨论</w:t>
            </w:r>
          </w:p>
          <w:p w14:paraId="636ACC1F">
            <w:pPr>
              <w:jc w:val="left"/>
              <w:rPr>
                <w:rFonts w:hint="eastAsia" w:ascii="宋体" w:hAnsi="宋体" w:eastAsia="宋体" w:cs="Times New Roman"/>
                <w:color w:val="auto"/>
                <w:szCs w:val="21"/>
              </w:rPr>
            </w:pPr>
            <w:r>
              <w:rPr>
                <w:rFonts w:hint="eastAsia" w:ascii="宋体" w:hAnsi="宋体" w:eastAsia="宋体" w:cs="Times New Roman"/>
                <w:color w:val="auto"/>
                <w:szCs w:val="21"/>
              </w:rPr>
              <w:t>在线测试</w:t>
            </w:r>
          </w:p>
          <w:p w14:paraId="1325B2DB">
            <w:pPr>
              <w:jc w:val="left"/>
              <w:rPr>
                <w:rFonts w:hint="eastAsia" w:ascii="宋体" w:hAnsi="宋体" w:eastAsia="宋体" w:cs="Times New Roman"/>
                <w:color w:val="auto"/>
                <w:szCs w:val="21"/>
              </w:rPr>
            </w:pPr>
            <w:r>
              <w:rPr>
                <w:rFonts w:hint="eastAsia" w:ascii="宋体" w:hAnsi="宋体" w:eastAsia="宋体" w:cs="Times New Roman"/>
                <w:color w:val="auto"/>
                <w:szCs w:val="21"/>
              </w:rPr>
              <w:t>合作学习</w:t>
            </w:r>
          </w:p>
        </w:tc>
        <w:tc>
          <w:tcPr>
            <w:tcW w:w="656" w:type="dxa"/>
            <w:vAlign w:val="center"/>
          </w:tcPr>
          <w:p w14:paraId="284B3D1F">
            <w:pPr>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t>2</w:t>
            </w:r>
          </w:p>
        </w:tc>
      </w:tr>
      <w:tr w14:paraId="6160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3B02E363">
            <w:pPr>
              <w:spacing w:line="276" w:lineRule="auto"/>
              <w:jc w:val="center"/>
              <w:rPr>
                <w:rFonts w:hint="eastAsia" w:ascii="宋体" w:hAnsi="宋体" w:eastAsia="宋体" w:cs="Times New Roman"/>
                <w:color w:val="auto"/>
                <w:szCs w:val="21"/>
              </w:rPr>
            </w:pPr>
          </w:p>
        </w:tc>
        <w:tc>
          <w:tcPr>
            <w:tcW w:w="8236" w:type="dxa"/>
            <w:gridSpan w:val="5"/>
            <w:vAlign w:val="center"/>
          </w:tcPr>
          <w:p w14:paraId="78DA14E5">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w:t>
            </w:r>
            <w:r>
              <w:rPr>
                <w:rFonts w:ascii="宋体" w:hAnsi="宋体" w:eastAsia="宋体" w:cs="Times New Roman"/>
                <w:color w:val="auto"/>
                <w:szCs w:val="21"/>
              </w:rPr>
              <w:t xml:space="preserve"> </w:t>
            </w:r>
            <w:r>
              <w:rPr>
                <w:rFonts w:hint="eastAsia" w:ascii="宋体" w:hAnsi="宋体" w:eastAsia="宋体" w:cs="Times New Roman"/>
                <w:color w:val="auto"/>
                <w:szCs w:val="21"/>
              </w:rPr>
              <w:t>遵循教育规律和儿童身心发展，尊重儿童个性，培养和形成正确的儿童观，热爱儿童、关心儿童的品质；培养和形成具体问题具体分析的工作作风。</w:t>
            </w:r>
          </w:p>
        </w:tc>
      </w:tr>
      <w:tr w14:paraId="07E1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4DB83ED2">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w:t>
            </w:r>
            <w:r>
              <w:rPr>
                <w:rFonts w:ascii="宋体" w:hAnsi="宋体" w:eastAsia="宋体" w:cs="Times New Roman"/>
                <w:color w:val="auto"/>
                <w:szCs w:val="21"/>
              </w:rPr>
              <w:t xml:space="preserve"> </w:t>
            </w:r>
            <w:r>
              <w:rPr>
                <w:rFonts w:hint="eastAsia" w:ascii="宋体" w:hAnsi="宋体" w:eastAsia="宋体" w:cs="Times New Roman"/>
                <w:color w:val="auto"/>
                <w:szCs w:val="21"/>
              </w:rPr>
              <w:t>教育实验研究</w:t>
            </w:r>
          </w:p>
        </w:tc>
        <w:tc>
          <w:tcPr>
            <w:tcW w:w="2417" w:type="dxa"/>
            <w:vAlign w:val="center"/>
          </w:tcPr>
          <w:p w14:paraId="304EED09">
            <w:pPr>
              <w:jc w:val="left"/>
              <w:rPr>
                <w:rFonts w:hint="eastAsia" w:ascii="宋体" w:hAnsi="宋体" w:eastAsia="宋体" w:cs="Times New Roman"/>
                <w:color w:val="auto"/>
                <w:szCs w:val="21"/>
              </w:rPr>
            </w:pPr>
            <w:r>
              <w:rPr>
                <w:rFonts w:hint="eastAsia" w:ascii="宋体" w:hAnsi="宋体" w:eastAsia="宋体" w:cs="Times New Roman"/>
                <w:color w:val="auto"/>
                <w:szCs w:val="21"/>
              </w:rPr>
              <w:t xml:space="preserve"> </w:t>
            </w:r>
            <w:r>
              <w:rPr>
                <w:rFonts w:ascii="宋体" w:hAnsi="宋体" w:eastAsia="宋体" w:cs="Times New Roman"/>
                <w:color w:val="auto"/>
                <w:szCs w:val="21"/>
              </w:rPr>
              <w:t xml:space="preserve"> </w:t>
            </w:r>
            <w:r>
              <w:rPr>
                <w:rFonts w:hint="eastAsia" w:ascii="宋体" w:hAnsi="宋体" w:eastAsia="宋体" w:cs="Times New Roman"/>
                <w:color w:val="auto"/>
                <w:szCs w:val="21"/>
              </w:rPr>
              <w:t>（</w:t>
            </w:r>
            <w:r>
              <w:rPr>
                <w:rFonts w:ascii="宋体" w:hAnsi="宋体" w:eastAsia="宋体" w:cs="Times New Roman"/>
                <w:color w:val="auto"/>
                <w:szCs w:val="21"/>
              </w:rPr>
              <w:t>1）教育实验</w:t>
            </w:r>
            <w:r>
              <w:rPr>
                <w:rFonts w:hint="eastAsia" w:ascii="宋体" w:hAnsi="宋体" w:eastAsia="宋体" w:cs="Times New Roman"/>
                <w:color w:val="auto"/>
                <w:szCs w:val="21"/>
              </w:rPr>
              <w:t>的概念、特征</w:t>
            </w:r>
          </w:p>
          <w:p w14:paraId="5EE83794">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2）教育实验选题与实验假设</w:t>
            </w:r>
          </w:p>
          <w:p w14:paraId="0DA90348">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3）教育实验的变量选择、测量和控制</w:t>
            </w:r>
          </w:p>
          <w:p w14:paraId="27EFA4D1">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4）教育实验的类型和设计</w:t>
            </w:r>
          </w:p>
          <w:p w14:paraId="2F92C097">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5）教育实验的评价</w:t>
            </w:r>
          </w:p>
        </w:tc>
        <w:tc>
          <w:tcPr>
            <w:tcW w:w="1183" w:type="dxa"/>
            <w:vAlign w:val="center"/>
          </w:tcPr>
          <w:p w14:paraId="2BF33274">
            <w:pPr>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r>
              <w:rPr>
                <w:rFonts w:ascii="宋体" w:hAnsi="宋体" w:eastAsia="宋体" w:cs="Times New Roman"/>
                <w:color w:val="auto"/>
                <w:szCs w:val="21"/>
              </w:rPr>
              <w:t xml:space="preserve">  </w:t>
            </w:r>
          </w:p>
        </w:tc>
        <w:tc>
          <w:tcPr>
            <w:tcW w:w="2892" w:type="dxa"/>
            <w:vAlign w:val="center"/>
          </w:tcPr>
          <w:p w14:paraId="2BE35E90">
            <w:pPr>
              <w:jc w:val="left"/>
              <w:rPr>
                <w:rFonts w:hint="eastAsia" w:ascii="宋体" w:hAnsi="宋体" w:eastAsia="宋体" w:cs="Times New Roman"/>
                <w:color w:val="auto"/>
                <w:szCs w:val="21"/>
              </w:rPr>
            </w:pPr>
            <w:r>
              <w:rPr>
                <w:rFonts w:ascii="宋体" w:hAnsi="宋体" w:eastAsia="宋体" w:cs="Times New Roman"/>
                <w:color w:val="auto"/>
                <w:szCs w:val="21"/>
              </w:rPr>
              <w:t xml:space="preserve"> </w:t>
            </w:r>
            <w:r>
              <w:rPr>
                <w:rFonts w:hint="eastAsia" w:ascii="宋体" w:hAnsi="宋体" w:eastAsia="宋体" w:cs="Times New Roman"/>
                <w:color w:val="auto"/>
                <w:szCs w:val="21"/>
              </w:rPr>
              <w:t>（</w:t>
            </w:r>
            <w:r>
              <w:rPr>
                <w:rFonts w:ascii="宋体" w:hAnsi="宋体" w:eastAsia="宋体" w:cs="Times New Roman"/>
                <w:color w:val="auto"/>
                <w:szCs w:val="21"/>
              </w:rPr>
              <w:t>1）明确教育实验研究的涵义及其基本概念，理解教育实验的特征、功能和局限性；</w:t>
            </w:r>
          </w:p>
          <w:p w14:paraId="4CAF8CA9">
            <w:pPr>
              <w:jc w:val="left"/>
              <w:rPr>
                <w:rFonts w:hint="eastAsia" w:ascii="宋体" w:hAnsi="宋体" w:eastAsia="宋体" w:cs="Times New Roman"/>
                <w:color w:val="auto"/>
                <w:szCs w:val="21"/>
              </w:rPr>
            </w:pPr>
            <w:r>
              <w:rPr>
                <w:rFonts w:ascii="宋体" w:hAnsi="宋体" w:eastAsia="宋体" w:cs="Times New Roman"/>
                <w:color w:val="auto"/>
                <w:szCs w:val="21"/>
              </w:rPr>
              <w:t>（2）了解教育实验的步骤；了解常见的无关变量及其控制办法；</w:t>
            </w:r>
          </w:p>
          <w:p w14:paraId="05B3FAC7">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3）学会识别常用的实验设计类型；</w:t>
            </w:r>
          </w:p>
          <w:p w14:paraId="64A84D6D">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4）学会从实验设计的角度评价实验效度。</w:t>
            </w:r>
          </w:p>
        </w:tc>
        <w:tc>
          <w:tcPr>
            <w:tcW w:w="1088" w:type="dxa"/>
            <w:vAlign w:val="center"/>
          </w:tcPr>
          <w:p w14:paraId="27AF4416">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自主学习</w:t>
            </w:r>
          </w:p>
          <w:p w14:paraId="09D3D2A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案例教学</w:t>
            </w:r>
          </w:p>
          <w:p w14:paraId="1E449E7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课堂讨论</w:t>
            </w:r>
          </w:p>
          <w:p w14:paraId="4980209C">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在线测试</w:t>
            </w:r>
          </w:p>
          <w:p w14:paraId="536FD14B">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合作学习</w:t>
            </w:r>
          </w:p>
        </w:tc>
        <w:tc>
          <w:tcPr>
            <w:tcW w:w="656" w:type="dxa"/>
            <w:vAlign w:val="center"/>
          </w:tcPr>
          <w:p w14:paraId="03BD152C">
            <w:pPr>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t>3</w:t>
            </w:r>
          </w:p>
        </w:tc>
      </w:tr>
      <w:tr w14:paraId="3F49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02614F39">
            <w:pPr>
              <w:spacing w:line="276" w:lineRule="auto"/>
              <w:jc w:val="center"/>
              <w:rPr>
                <w:rFonts w:hint="eastAsia" w:ascii="宋体" w:hAnsi="宋体" w:eastAsia="宋体" w:cs="Times New Roman"/>
                <w:color w:val="auto"/>
                <w:szCs w:val="21"/>
              </w:rPr>
            </w:pPr>
          </w:p>
        </w:tc>
        <w:tc>
          <w:tcPr>
            <w:tcW w:w="8236" w:type="dxa"/>
            <w:gridSpan w:val="5"/>
            <w:vAlign w:val="center"/>
          </w:tcPr>
          <w:p w14:paraId="6A28EE42">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ascii="宋体" w:hAnsi="宋体" w:eastAsia="宋体" w:cs="Times New Roman"/>
                <w:color w:val="auto"/>
                <w:szCs w:val="21"/>
              </w:rPr>
              <w:t>尊重事物发展的内在规律，准确把握事物的主要矛盾和次要矛盾；尊重儿童身心发展规律，关注教育研究的伦理特点，形成正确的科研观和业绩观。</w:t>
            </w:r>
          </w:p>
        </w:tc>
      </w:tr>
      <w:tr w14:paraId="6CFB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7A60930A">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7. 教育叙事研究</w:t>
            </w:r>
          </w:p>
        </w:tc>
        <w:tc>
          <w:tcPr>
            <w:tcW w:w="2417" w:type="dxa"/>
            <w:vAlign w:val="center"/>
          </w:tcPr>
          <w:p w14:paraId="65F5E9E8">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1）教育叙事研究</w:t>
            </w:r>
            <w:r>
              <w:rPr>
                <w:rFonts w:hint="eastAsia" w:ascii="宋体" w:hAnsi="宋体" w:eastAsia="宋体" w:cs="Times New Roman"/>
                <w:color w:val="auto"/>
                <w:szCs w:val="21"/>
              </w:rPr>
              <w:t>的内涵特征</w:t>
            </w:r>
          </w:p>
          <w:p w14:paraId="261B4C1D">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2）教育叙事研究的操作策略</w:t>
            </w:r>
          </w:p>
          <w:p w14:paraId="0043BE6B">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3）教育叙事研究的基本要求</w:t>
            </w:r>
          </w:p>
        </w:tc>
        <w:tc>
          <w:tcPr>
            <w:tcW w:w="1183" w:type="dxa"/>
            <w:vAlign w:val="center"/>
          </w:tcPr>
          <w:p w14:paraId="41ECC618">
            <w:pPr>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2892" w:type="dxa"/>
            <w:vAlign w:val="center"/>
          </w:tcPr>
          <w:p w14:paraId="33785B8A">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1）了解教育叙事研究的特征；</w:t>
            </w:r>
          </w:p>
          <w:p w14:paraId="2B5C96AC">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2）掌握教育叙事研究的关键步骤及操作策略；</w:t>
            </w:r>
          </w:p>
          <w:p w14:paraId="1A0D20A6">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3）掌握教育叙事研究的“深度描写”的基本要求；</w:t>
            </w:r>
          </w:p>
          <w:p w14:paraId="04AA43D2">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4）初步掌握教育叙事研究方案的设计。</w:t>
            </w:r>
          </w:p>
        </w:tc>
        <w:tc>
          <w:tcPr>
            <w:tcW w:w="1088" w:type="dxa"/>
            <w:vAlign w:val="center"/>
          </w:tcPr>
          <w:p w14:paraId="12F875A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自主学习</w:t>
            </w:r>
          </w:p>
          <w:p w14:paraId="60C6618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案例教学</w:t>
            </w:r>
          </w:p>
          <w:p w14:paraId="359789E6">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课堂讨论</w:t>
            </w:r>
          </w:p>
          <w:p w14:paraId="119215F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在线测试</w:t>
            </w:r>
          </w:p>
          <w:p w14:paraId="2C60B32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合作学习</w:t>
            </w:r>
          </w:p>
        </w:tc>
        <w:tc>
          <w:tcPr>
            <w:tcW w:w="656" w:type="dxa"/>
            <w:vAlign w:val="center"/>
          </w:tcPr>
          <w:p w14:paraId="14C537D5">
            <w:pPr>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t>2</w:t>
            </w:r>
          </w:p>
        </w:tc>
      </w:tr>
      <w:tr w14:paraId="5148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0EF62DF2">
            <w:pPr>
              <w:spacing w:line="276" w:lineRule="auto"/>
              <w:jc w:val="center"/>
              <w:rPr>
                <w:rFonts w:hint="eastAsia" w:ascii="宋体" w:hAnsi="宋体" w:eastAsia="宋体" w:cs="Times New Roman"/>
                <w:color w:val="auto"/>
                <w:szCs w:val="21"/>
              </w:rPr>
            </w:pPr>
          </w:p>
        </w:tc>
        <w:tc>
          <w:tcPr>
            <w:tcW w:w="8236" w:type="dxa"/>
            <w:gridSpan w:val="5"/>
            <w:vAlign w:val="center"/>
          </w:tcPr>
          <w:p w14:paraId="154D4B26">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培养和形成深厚的教育情怀，走进儿童心灵，关心、关爱儿童；养成脚踏实地、实事求是的学习风气和研究态度。</w:t>
            </w:r>
          </w:p>
        </w:tc>
      </w:tr>
      <w:tr w14:paraId="4AC62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6B3D8B0A">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8. 教育行动研究</w:t>
            </w:r>
          </w:p>
        </w:tc>
        <w:tc>
          <w:tcPr>
            <w:tcW w:w="2417" w:type="dxa"/>
            <w:vAlign w:val="center"/>
          </w:tcPr>
          <w:p w14:paraId="330BFF5C">
            <w:pPr>
              <w:jc w:val="left"/>
              <w:rPr>
                <w:rFonts w:hint="eastAsia" w:ascii="宋体" w:hAnsi="宋体" w:eastAsia="宋体" w:cs="Times New Roman"/>
                <w:color w:val="auto"/>
                <w:szCs w:val="21"/>
              </w:rPr>
            </w:pPr>
            <w:r>
              <w:rPr>
                <w:rFonts w:hint="eastAsia" w:ascii="宋体" w:hAnsi="宋体" w:eastAsia="宋体" w:cs="Times New Roman"/>
                <w:color w:val="auto"/>
                <w:szCs w:val="21"/>
              </w:rPr>
              <w:t xml:space="preserve"> （</w:t>
            </w:r>
            <w:r>
              <w:rPr>
                <w:rFonts w:ascii="宋体" w:hAnsi="宋体" w:eastAsia="宋体" w:cs="Times New Roman"/>
                <w:color w:val="auto"/>
                <w:szCs w:val="21"/>
              </w:rPr>
              <w:t>1）教育行动研究</w:t>
            </w:r>
            <w:r>
              <w:rPr>
                <w:rFonts w:hint="eastAsia" w:ascii="宋体" w:hAnsi="宋体" w:eastAsia="宋体" w:cs="Times New Roman"/>
                <w:color w:val="auto"/>
                <w:szCs w:val="21"/>
              </w:rPr>
              <w:t>的特征</w:t>
            </w:r>
          </w:p>
          <w:p w14:paraId="6E5048A8">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2）教育行动研究的步骤</w:t>
            </w:r>
          </w:p>
          <w:p w14:paraId="190045E0">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3）教育行动研究的基本要求</w:t>
            </w:r>
          </w:p>
        </w:tc>
        <w:tc>
          <w:tcPr>
            <w:tcW w:w="1183" w:type="dxa"/>
            <w:vAlign w:val="center"/>
          </w:tcPr>
          <w:p w14:paraId="3A856B22">
            <w:pPr>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r>
              <w:rPr>
                <w:rFonts w:ascii="宋体" w:hAnsi="宋体" w:eastAsia="宋体" w:cs="Times New Roman"/>
                <w:color w:val="auto"/>
                <w:szCs w:val="21"/>
              </w:rPr>
              <w:t xml:space="preserve"> </w:t>
            </w:r>
          </w:p>
        </w:tc>
        <w:tc>
          <w:tcPr>
            <w:tcW w:w="2892" w:type="dxa"/>
            <w:vAlign w:val="center"/>
          </w:tcPr>
          <w:p w14:paraId="2B6BB924">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1）了解教育行动研究的特征和意义；</w:t>
            </w:r>
          </w:p>
          <w:p w14:paraId="5EAA5FFC">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2）掌握教育行动研究的基本步骤；</w:t>
            </w:r>
          </w:p>
          <w:p w14:paraId="49313272">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3）学会教育行动研究方案设计。</w:t>
            </w:r>
          </w:p>
        </w:tc>
        <w:tc>
          <w:tcPr>
            <w:tcW w:w="1088" w:type="dxa"/>
            <w:vAlign w:val="center"/>
          </w:tcPr>
          <w:p w14:paraId="7F690877">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自主学习</w:t>
            </w:r>
          </w:p>
          <w:p w14:paraId="7B76C140">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案例教学</w:t>
            </w:r>
          </w:p>
          <w:p w14:paraId="15E0B68E">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课堂讨论</w:t>
            </w:r>
          </w:p>
          <w:p w14:paraId="68C81444">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在线测试</w:t>
            </w:r>
          </w:p>
          <w:p w14:paraId="5EBE54C2">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合作学习</w:t>
            </w:r>
          </w:p>
        </w:tc>
        <w:tc>
          <w:tcPr>
            <w:tcW w:w="656" w:type="dxa"/>
            <w:vAlign w:val="center"/>
          </w:tcPr>
          <w:p w14:paraId="46C6916F">
            <w:pPr>
              <w:spacing w:line="264" w:lineRule="auto"/>
              <w:jc w:val="center"/>
              <w:rPr>
                <w:rFonts w:hint="eastAsia" w:ascii="宋体" w:hAnsi="宋体" w:eastAsia="宋体" w:cs="Times New Roman"/>
                <w:color w:val="auto"/>
                <w:szCs w:val="21"/>
              </w:rPr>
            </w:pPr>
            <w:r>
              <w:rPr>
                <w:rFonts w:ascii="宋体" w:hAnsi="宋体" w:eastAsia="宋体" w:cs="Times New Roman"/>
                <w:color w:val="auto"/>
                <w:szCs w:val="21"/>
              </w:rPr>
              <w:t>2</w:t>
            </w:r>
          </w:p>
        </w:tc>
      </w:tr>
      <w:tr w14:paraId="7BDA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2F905D25">
            <w:pPr>
              <w:spacing w:line="264" w:lineRule="auto"/>
              <w:jc w:val="center"/>
              <w:rPr>
                <w:rFonts w:hint="eastAsia" w:ascii="宋体" w:hAnsi="宋体" w:eastAsia="宋体" w:cs="Times New Roman"/>
                <w:color w:val="auto"/>
                <w:szCs w:val="21"/>
              </w:rPr>
            </w:pPr>
          </w:p>
        </w:tc>
        <w:tc>
          <w:tcPr>
            <w:tcW w:w="8236" w:type="dxa"/>
            <w:gridSpan w:val="5"/>
            <w:vAlign w:val="center"/>
          </w:tcPr>
          <w:p w14:paraId="50522ECE">
            <w:pPr>
              <w:spacing w:line="264"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尊重教育发展规律和儿童身心发展规律，形成务实的研究作风；培养和形成协调合作能力和创新实践能力。</w:t>
            </w:r>
          </w:p>
        </w:tc>
      </w:tr>
      <w:tr w14:paraId="5F71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062AF0A5">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9. 教育研究成果表述</w:t>
            </w:r>
          </w:p>
        </w:tc>
        <w:tc>
          <w:tcPr>
            <w:tcW w:w="2417" w:type="dxa"/>
            <w:vAlign w:val="center"/>
          </w:tcPr>
          <w:p w14:paraId="385E946D">
            <w:pPr>
              <w:jc w:val="left"/>
              <w:rPr>
                <w:rFonts w:hint="eastAsia" w:ascii="宋体" w:hAnsi="宋体" w:eastAsia="宋体" w:cs="Times New Roman"/>
                <w:color w:val="auto"/>
                <w:szCs w:val="21"/>
              </w:rPr>
            </w:pPr>
            <w:r>
              <w:rPr>
                <w:rFonts w:hint="eastAsia" w:ascii="宋体" w:hAnsi="宋体" w:eastAsia="宋体" w:cs="Times New Roman"/>
                <w:color w:val="auto"/>
                <w:szCs w:val="21"/>
              </w:rPr>
              <w:t xml:space="preserve"> （</w:t>
            </w:r>
            <w:r>
              <w:rPr>
                <w:rFonts w:ascii="宋体" w:hAnsi="宋体" w:eastAsia="宋体" w:cs="Times New Roman"/>
                <w:color w:val="auto"/>
                <w:szCs w:val="21"/>
              </w:rPr>
              <w:t>1）教育研究成果表述的目的</w:t>
            </w:r>
          </w:p>
          <w:p w14:paraId="1F70F310">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2）教育研究成果的主要类型</w:t>
            </w:r>
          </w:p>
          <w:p w14:paraId="4B298201">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3）教育研究成果的撰写</w:t>
            </w:r>
          </w:p>
          <w:p w14:paraId="126D4E5C">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4）教育研究成果表述规范</w:t>
            </w:r>
          </w:p>
        </w:tc>
        <w:tc>
          <w:tcPr>
            <w:tcW w:w="1183" w:type="dxa"/>
            <w:vAlign w:val="center"/>
          </w:tcPr>
          <w:p w14:paraId="0663EBC7">
            <w:pPr>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课程目标4</w:t>
            </w:r>
            <w:r>
              <w:rPr>
                <w:rFonts w:ascii="宋体" w:hAnsi="宋体" w:eastAsia="宋体" w:cs="Times New Roman"/>
                <w:color w:val="auto"/>
                <w:szCs w:val="21"/>
              </w:rPr>
              <w:t xml:space="preserve"> </w:t>
            </w:r>
          </w:p>
        </w:tc>
        <w:tc>
          <w:tcPr>
            <w:tcW w:w="2892" w:type="dxa"/>
            <w:vAlign w:val="center"/>
          </w:tcPr>
          <w:p w14:paraId="4258E84A">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1）了解教育研究成果表述的目的；</w:t>
            </w:r>
          </w:p>
          <w:p w14:paraId="67D44528">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2）掌握教育经验总结、教育调查报告、实验报告及学术论文（毕业论文）的基本结构；</w:t>
            </w:r>
          </w:p>
          <w:p w14:paraId="556E0D69">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3）掌握研究撰写的通行规范；</w:t>
            </w:r>
          </w:p>
          <w:p w14:paraId="7A0554F9">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4）初步掌握研究报告及毕业论文的撰写方法。</w:t>
            </w:r>
          </w:p>
        </w:tc>
        <w:tc>
          <w:tcPr>
            <w:tcW w:w="1088" w:type="dxa"/>
            <w:vAlign w:val="center"/>
          </w:tcPr>
          <w:p w14:paraId="3999E0E0">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自主学习</w:t>
            </w:r>
          </w:p>
          <w:p w14:paraId="5F54B422">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案例教学</w:t>
            </w:r>
          </w:p>
          <w:p w14:paraId="4F8F767C">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课堂讨论</w:t>
            </w:r>
          </w:p>
          <w:p w14:paraId="4DC14FBC">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在线测试</w:t>
            </w:r>
          </w:p>
          <w:p w14:paraId="0C1CAD3A">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项目作业</w:t>
            </w:r>
          </w:p>
        </w:tc>
        <w:tc>
          <w:tcPr>
            <w:tcW w:w="656" w:type="dxa"/>
            <w:vAlign w:val="center"/>
          </w:tcPr>
          <w:p w14:paraId="432E39F3">
            <w:pPr>
              <w:spacing w:line="264" w:lineRule="auto"/>
              <w:jc w:val="center"/>
              <w:rPr>
                <w:rFonts w:hint="eastAsia" w:ascii="宋体" w:hAnsi="宋体" w:eastAsia="宋体" w:cs="Times New Roman"/>
                <w:color w:val="auto"/>
                <w:szCs w:val="21"/>
              </w:rPr>
            </w:pPr>
            <w:r>
              <w:rPr>
                <w:rFonts w:ascii="宋体" w:hAnsi="宋体" w:eastAsia="宋体" w:cs="Times New Roman"/>
                <w:color w:val="auto"/>
                <w:szCs w:val="21"/>
              </w:rPr>
              <w:t>3</w:t>
            </w:r>
          </w:p>
        </w:tc>
      </w:tr>
      <w:tr w14:paraId="6D2F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32D3610C">
            <w:pPr>
              <w:spacing w:line="264" w:lineRule="auto"/>
              <w:jc w:val="center"/>
              <w:rPr>
                <w:rFonts w:hint="eastAsia" w:ascii="宋体" w:hAnsi="宋体" w:eastAsia="宋体" w:cs="Times New Roman"/>
                <w:color w:val="auto"/>
                <w:szCs w:val="21"/>
              </w:rPr>
            </w:pPr>
          </w:p>
        </w:tc>
        <w:tc>
          <w:tcPr>
            <w:tcW w:w="8236" w:type="dxa"/>
            <w:gridSpan w:val="5"/>
            <w:vAlign w:val="center"/>
          </w:tcPr>
          <w:p w14:paraId="723EC599">
            <w:pPr>
              <w:spacing w:line="264"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正确处理整体和部分的关系，准确把握主要矛盾和次要矛盾；践行社会主义核心价值观，坚持“四个自信”；虚心学习，实事求是，培养和形成朴素的文风；学会创新，树立远大理想。</w:t>
            </w:r>
          </w:p>
        </w:tc>
      </w:tr>
    </w:tbl>
    <w:p w14:paraId="4333A373">
      <w:pPr>
        <w:keepNext w:val="0"/>
        <w:keepLines w:val="0"/>
        <w:pageBreakBefore w:val="0"/>
        <w:widowControl w:val="0"/>
        <w:numPr>
          <w:ilvl w:val="0"/>
          <w:numId w:val="14"/>
        </w:numPr>
        <w:kinsoku/>
        <w:wordWrap/>
        <w:overflowPunct/>
        <w:topLinePunct w:val="0"/>
        <w:autoSpaceDE/>
        <w:autoSpaceDN/>
        <w:bidi w:val="0"/>
        <w:adjustRightInd/>
        <w:snapToGrid/>
        <w:spacing w:before="63" w:beforeLines="20" w:after="63" w:afterLines="20" w:line="360" w:lineRule="auto"/>
        <w:ind w:left="0" w:leftChars="0" w:firstLine="0" w:firstLineChars="0"/>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目标评价与成绩评定</w:t>
      </w:r>
    </w:p>
    <w:p w14:paraId="64B3C34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 xml:space="preserve">    </w:t>
      </w:r>
      <w:r>
        <w:rPr>
          <w:rFonts w:hint="eastAsia" w:ascii="Times New Roman" w:hAnsi="Times New Roman" w:eastAsia="宋体" w:cs="Times New Roman"/>
          <w:b/>
          <w:szCs w:val="21"/>
        </w:rPr>
        <w:t>（一）课程目标评价方式</w:t>
      </w:r>
    </w:p>
    <w:p w14:paraId="2F124B5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846"/>
        <w:gridCol w:w="675"/>
        <w:gridCol w:w="1013"/>
        <w:gridCol w:w="685"/>
        <w:gridCol w:w="782"/>
        <w:gridCol w:w="675"/>
        <w:gridCol w:w="975"/>
        <w:gridCol w:w="879"/>
        <w:gridCol w:w="681"/>
      </w:tblGrid>
      <w:tr w14:paraId="442A7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52" w:type="dxa"/>
            <w:vMerge w:val="restart"/>
            <w:vAlign w:val="center"/>
          </w:tcPr>
          <w:p w14:paraId="3AF852CA">
            <w:pPr>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课程目标</w:t>
            </w:r>
          </w:p>
        </w:tc>
        <w:tc>
          <w:tcPr>
            <w:tcW w:w="6530" w:type="dxa"/>
            <w:gridSpan w:val="8"/>
            <w:vAlign w:val="center"/>
          </w:tcPr>
          <w:p w14:paraId="638CD73D">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评价与成绩评定方法</w:t>
            </w:r>
          </w:p>
        </w:tc>
        <w:tc>
          <w:tcPr>
            <w:tcW w:w="681" w:type="dxa"/>
            <w:vMerge w:val="restart"/>
            <w:vAlign w:val="center"/>
          </w:tcPr>
          <w:p w14:paraId="2D2A206B">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分值</w:t>
            </w:r>
          </w:p>
        </w:tc>
      </w:tr>
      <w:tr w14:paraId="5F4B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252" w:type="dxa"/>
            <w:vMerge w:val="continue"/>
            <w:vAlign w:val="center"/>
          </w:tcPr>
          <w:p w14:paraId="2C92210D">
            <w:pPr>
              <w:jc w:val="left"/>
              <w:rPr>
                <w:rFonts w:hint="eastAsia" w:ascii="宋体" w:hAnsi="宋体" w:eastAsia="宋体" w:cs="宋体"/>
                <w:b/>
                <w:bCs/>
                <w:color w:val="auto"/>
                <w:sz w:val="21"/>
                <w:szCs w:val="21"/>
              </w:rPr>
            </w:pPr>
          </w:p>
        </w:tc>
        <w:tc>
          <w:tcPr>
            <w:tcW w:w="4001" w:type="dxa"/>
            <w:gridSpan w:val="5"/>
            <w:vAlign w:val="center"/>
          </w:tcPr>
          <w:p w14:paraId="7D0ABCAC">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过程性评价</w:t>
            </w:r>
          </w:p>
        </w:tc>
        <w:tc>
          <w:tcPr>
            <w:tcW w:w="2529" w:type="dxa"/>
            <w:gridSpan w:val="3"/>
            <w:vAlign w:val="center"/>
          </w:tcPr>
          <w:p w14:paraId="1FF5013B">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期末考试</w:t>
            </w:r>
          </w:p>
        </w:tc>
        <w:tc>
          <w:tcPr>
            <w:tcW w:w="681" w:type="dxa"/>
            <w:vMerge w:val="continue"/>
            <w:vAlign w:val="center"/>
          </w:tcPr>
          <w:p w14:paraId="153CF9E5">
            <w:pPr>
              <w:jc w:val="center"/>
              <w:rPr>
                <w:rFonts w:ascii="Times New Roman" w:hAnsi="Times New Roman" w:eastAsia="宋体" w:cs="Times New Roman"/>
                <w:b/>
                <w:bCs/>
                <w:color w:val="auto"/>
                <w:szCs w:val="21"/>
              </w:rPr>
            </w:pPr>
          </w:p>
        </w:tc>
      </w:tr>
      <w:tr w14:paraId="1DEF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dxa"/>
            <w:vMerge w:val="continue"/>
            <w:vAlign w:val="center"/>
          </w:tcPr>
          <w:p w14:paraId="6FB7ED92">
            <w:pPr>
              <w:spacing w:line="360" w:lineRule="auto"/>
              <w:jc w:val="left"/>
              <w:rPr>
                <w:rFonts w:hint="eastAsia" w:ascii="宋体" w:hAnsi="宋体" w:eastAsia="宋体" w:cs="宋体"/>
                <w:color w:val="auto"/>
                <w:sz w:val="21"/>
                <w:szCs w:val="21"/>
              </w:rPr>
            </w:pPr>
          </w:p>
        </w:tc>
        <w:tc>
          <w:tcPr>
            <w:tcW w:w="846" w:type="dxa"/>
            <w:vAlign w:val="center"/>
          </w:tcPr>
          <w:p w14:paraId="7E21FBD0">
            <w:pPr>
              <w:adjustRightIn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课堂</w:t>
            </w:r>
          </w:p>
          <w:p w14:paraId="78C64B7A">
            <w:pPr>
              <w:adjustRightIn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表现</w:t>
            </w:r>
          </w:p>
        </w:tc>
        <w:tc>
          <w:tcPr>
            <w:tcW w:w="675" w:type="dxa"/>
            <w:vAlign w:val="center"/>
          </w:tcPr>
          <w:p w14:paraId="6A4A7D55">
            <w:pPr>
              <w:adjustRightIn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平时</w:t>
            </w:r>
          </w:p>
          <w:p w14:paraId="46B70304">
            <w:pPr>
              <w:adjustRightIn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作业</w:t>
            </w:r>
          </w:p>
        </w:tc>
        <w:tc>
          <w:tcPr>
            <w:tcW w:w="1013" w:type="dxa"/>
            <w:vAlign w:val="center"/>
          </w:tcPr>
          <w:p w14:paraId="75FB81D3">
            <w:pPr>
              <w:adjustRightIn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自主</w:t>
            </w:r>
          </w:p>
          <w:p w14:paraId="4CB05F88">
            <w:pPr>
              <w:adjustRightIn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学习</w:t>
            </w:r>
          </w:p>
        </w:tc>
        <w:tc>
          <w:tcPr>
            <w:tcW w:w="685" w:type="dxa"/>
            <w:vAlign w:val="center"/>
          </w:tcPr>
          <w:p w14:paraId="254DC331">
            <w:pPr>
              <w:adjustRightIn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合作</w:t>
            </w:r>
          </w:p>
          <w:p w14:paraId="33460006">
            <w:pPr>
              <w:adjustRightIn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学习</w:t>
            </w:r>
          </w:p>
        </w:tc>
        <w:tc>
          <w:tcPr>
            <w:tcW w:w="782" w:type="dxa"/>
            <w:vAlign w:val="center"/>
          </w:tcPr>
          <w:p w14:paraId="1F7BBC20">
            <w:pPr>
              <w:adjustRightIn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汇报展示</w:t>
            </w:r>
          </w:p>
        </w:tc>
        <w:tc>
          <w:tcPr>
            <w:tcW w:w="675" w:type="dxa"/>
            <w:vAlign w:val="center"/>
          </w:tcPr>
          <w:p w14:paraId="68ECD836">
            <w:pPr>
              <w:adjustRightIn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文献</w:t>
            </w:r>
          </w:p>
          <w:p w14:paraId="612F7F7C">
            <w:pPr>
              <w:adjustRightIn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综述</w:t>
            </w:r>
          </w:p>
        </w:tc>
        <w:tc>
          <w:tcPr>
            <w:tcW w:w="975" w:type="dxa"/>
          </w:tcPr>
          <w:p w14:paraId="763A9927">
            <w:pPr>
              <w:adjustRightIn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研究方法设计</w:t>
            </w:r>
          </w:p>
        </w:tc>
        <w:tc>
          <w:tcPr>
            <w:tcW w:w="879" w:type="dxa"/>
          </w:tcPr>
          <w:p w14:paraId="41125698">
            <w:pPr>
              <w:adjustRightIn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研究方</w:t>
            </w:r>
          </w:p>
          <w:p w14:paraId="7790CE92">
            <w:pPr>
              <w:adjustRightIn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案设计</w:t>
            </w:r>
          </w:p>
        </w:tc>
        <w:tc>
          <w:tcPr>
            <w:tcW w:w="681" w:type="dxa"/>
            <w:vMerge w:val="continue"/>
            <w:vAlign w:val="center"/>
          </w:tcPr>
          <w:p w14:paraId="0951B094">
            <w:pPr>
              <w:spacing w:line="360" w:lineRule="auto"/>
              <w:jc w:val="left"/>
              <w:rPr>
                <w:rFonts w:ascii="Times New Roman" w:hAnsi="Times New Roman" w:eastAsia="宋体" w:cs="Times New Roman"/>
                <w:color w:val="auto"/>
                <w:szCs w:val="21"/>
              </w:rPr>
            </w:pPr>
          </w:p>
        </w:tc>
      </w:tr>
      <w:tr w14:paraId="4769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52" w:type="dxa"/>
            <w:vAlign w:val="center"/>
          </w:tcPr>
          <w:p w14:paraId="12132207">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课程目标1</w:t>
            </w:r>
          </w:p>
        </w:tc>
        <w:tc>
          <w:tcPr>
            <w:tcW w:w="846" w:type="dxa"/>
            <w:vAlign w:val="center"/>
          </w:tcPr>
          <w:p w14:paraId="030D318D">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75" w:type="dxa"/>
            <w:vAlign w:val="center"/>
          </w:tcPr>
          <w:p w14:paraId="2C329AE2">
            <w:pPr>
              <w:spacing w:line="320" w:lineRule="exact"/>
              <w:ind w:firstLine="210" w:firstLineChars="100"/>
              <w:contextualSpacing/>
              <w:jc w:val="center"/>
              <w:rPr>
                <w:rFonts w:hint="eastAsia" w:ascii="宋体" w:hAnsi="宋体" w:eastAsia="宋体" w:cs="宋体"/>
                <w:color w:val="auto"/>
                <w:sz w:val="21"/>
                <w:szCs w:val="21"/>
              </w:rPr>
            </w:pPr>
          </w:p>
        </w:tc>
        <w:tc>
          <w:tcPr>
            <w:tcW w:w="1013" w:type="dxa"/>
            <w:vAlign w:val="center"/>
          </w:tcPr>
          <w:p w14:paraId="2C6C8D79">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85" w:type="dxa"/>
            <w:vAlign w:val="center"/>
          </w:tcPr>
          <w:p w14:paraId="5B7C1C5E">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782" w:type="dxa"/>
            <w:vAlign w:val="center"/>
          </w:tcPr>
          <w:p w14:paraId="435931F1">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75" w:type="dxa"/>
            <w:vAlign w:val="center"/>
          </w:tcPr>
          <w:p w14:paraId="4FDDC4B0">
            <w:pPr>
              <w:spacing w:line="320" w:lineRule="exact"/>
              <w:contextualSpacing/>
              <w:jc w:val="center"/>
              <w:rPr>
                <w:rFonts w:hint="eastAsia" w:ascii="宋体" w:hAnsi="宋体" w:eastAsia="宋体" w:cs="宋体"/>
                <w:color w:val="auto"/>
                <w:sz w:val="21"/>
                <w:szCs w:val="21"/>
              </w:rPr>
            </w:pPr>
          </w:p>
        </w:tc>
        <w:tc>
          <w:tcPr>
            <w:tcW w:w="975" w:type="dxa"/>
          </w:tcPr>
          <w:p w14:paraId="09CF817C">
            <w:pPr>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879" w:type="dxa"/>
          </w:tcPr>
          <w:p w14:paraId="78A73AF3">
            <w:pPr>
              <w:spacing w:line="320" w:lineRule="exact"/>
              <w:ind w:firstLine="210" w:firstLineChars="100"/>
              <w:contextualSpacing/>
              <w:jc w:val="center"/>
              <w:rPr>
                <w:rFonts w:hint="eastAsia" w:ascii="宋体" w:hAnsi="宋体" w:eastAsia="宋体" w:cs="宋体"/>
                <w:color w:val="auto"/>
                <w:sz w:val="21"/>
                <w:szCs w:val="21"/>
              </w:rPr>
            </w:pPr>
          </w:p>
        </w:tc>
        <w:tc>
          <w:tcPr>
            <w:tcW w:w="681" w:type="dxa"/>
            <w:vAlign w:val="center"/>
          </w:tcPr>
          <w:p w14:paraId="428D725D">
            <w:pPr>
              <w:spacing w:line="320" w:lineRule="exact"/>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r>
              <w:rPr>
                <w:rFonts w:hint="eastAsia" w:ascii="Times New Roman" w:hAnsi="Times New Roman" w:eastAsia="宋体" w:cs="Times New Roman"/>
                <w:color w:val="auto"/>
                <w:szCs w:val="21"/>
              </w:rPr>
              <w:t>0</w:t>
            </w:r>
          </w:p>
        </w:tc>
      </w:tr>
      <w:tr w14:paraId="7685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52" w:type="dxa"/>
            <w:vAlign w:val="center"/>
          </w:tcPr>
          <w:p w14:paraId="2B754136">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课程目标2</w:t>
            </w:r>
          </w:p>
        </w:tc>
        <w:tc>
          <w:tcPr>
            <w:tcW w:w="846" w:type="dxa"/>
            <w:vAlign w:val="center"/>
          </w:tcPr>
          <w:p w14:paraId="4C5376A1">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75" w:type="dxa"/>
            <w:vAlign w:val="center"/>
          </w:tcPr>
          <w:p w14:paraId="38FAD94D">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13" w:type="dxa"/>
            <w:vAlign w:val="center"/>
          </w:tcPr>
          <w:p w14:paraId="0A6F3E83">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85" w:type="dxa"/>
            <w:vAlign w:val="center"/>
          </w:tcPr>
          <w:p w14:paraId="68BDCB67">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782" w:type="dxa"/>
            <w:vAlign w:val="center"/>
          </w:tcPr>
          <w:p w14:paraId="543127E0">
            <w:pPr>
              <w:spacing w:line="320" w:lineRule="exact"/>
              <w:contextualSpacing/>
              <w:jc w:val="center"/>
              <w:rPr>
                <w:rFonts w:hint="eastAsia" w:ascii="宋体" w:hAnsi="宋体" w:eastAsia="宋体" w:cs="宋体"/>
                <w:color w:val="auto"/>
                <w:sz w:val="21"/>
                <w:szCs w:val="21"/>
              </w:rPr>
            </w:pPr>
          </w:p>
        </w:tc>
        <w:tc>
          <w:tcPr>
            <w:tcW w:w="675" w:type="dxa"/>
            <w:vAlign w:val="center"/>
          </w:tcPr>
          <w:p w14:paraId="7CD3A712">
            <w:pPr>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75" w:type="dxa"/>
          </w:tcPr>
          <w:p w14:paraId="5EBD508D">
            <w:pPr>
              <w:spacing w:line="320" w:lineRule="exact"/>
              <w:contextualSpacing/>
              <w:jc w:val="center"/>
              <w:rPr>
                <w:rFonts w:hint="eastAsia" w:ascii="宋体" w:hAnsi="宋体" w:eastAsia="宋体" w:cs="宋体"/>
                <w:color w:val="auto"/>
                <w:sz w:val="21"/>
                <w:szCs w:val="21"/>
              </w:rPr>
            </w:pPr>
          </w:p>
        </w:tc>
        <w:tc>
          <w:tcPr>
            <w:tcW w:w="879" w:type="dxa"/>
          </w:tcPr>
          <w:p w14:paraId="1FC82A89">
            <w:pPr>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81" w:type="dxa"/>
            <w:vAlign w:val="center"/>
          </w:tcPr>
          <w:p w14:paraId="5D14802B">
            <w:pPr>
              <w:spacing w:line="320" w:lineRule="exact"/>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25</w:t>
            </w:r>
          </w:p>
        </w:tc>
      </w:tr>
      <w:tr w14:paraId="470D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252" w:type="dxa"/>
            <w:vAlign w:val="center"/>
          </w:tcPr>
          <w:p w14:paraId="051D8814">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课程目标3</w:t>
            </w:r>
          </w:p>
        </w:tc>
        <w:tc>
          <w:tcPr>
            <w:tcW w:w="846" w:type="dxa"/>
            <w:vAlign w:val="center"/>
          </w:tcPr>
          <w:p w14:paraId="58FA1DBD">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75" w:type="dxa"/>
            <w:vAlign w:val="center"/>
          </w:tcPr>
          <w:p w14:paraId="0E53B787">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13" w:type="dxa"/>
            <w:vAlign w:val="center"/>
          </w:tcPr>
          <w:p w14:paraId="3CB45DAE">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85" w:type="dxa"/>
            <w:vAlign w:val="center"/>
          </w:tcPr>
          <w:p w14:paraId="6E7AB96B">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782" w:type="dxa"/>
            <w:vAlign w:val="center"/>
          </w:tcPr>
          <w:p w14:paraId="75283C92">
            <w:pPr>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75" w:type="dxa"/>
            <w:vAlign w:val="center"/>
          </w:tcPr>
          <w:p w14:paraId="23A8B33D">
            <w:pPr>
              <w:spacing w:line="320" w:lineRule="exact"/>
              <w:contextualSpacing/>
              <w:jc w:val="center"/>
              <w:rPr>
                <w:rFonts w:hint="eastAsia" w:ascii="宋体" w:hAnsi="宋体" w:eastAsia="宋体" w:cs="宋体"/>
                <w:color w:val="auto"/>
                <w:sz w:val="21"/>
                <w:szCs w:val="21"/>
              </w:rPr>
            </w:pPr>
          </w:p>
        </w:tc>
        <w:tc>
          <w:tcPr>
            <w:tcW w:w="975" w:type="dxa"/>
          </w:tcPr>
          <w:p w14:paraId="19F0EAED">
            <w:pPr>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879" w:type="dxa"/>
          </w:tcPr>
          <w:p w14:paraId="4A714FAD">
            <w:pPr>
              <w:spacing w:line="320" w:lineRule="exact"/>
              <w:contextualSpacing/>
              <w:jc w:val="center"/>
              <w:rPr>
                <w:rFonts w:hint="eastAsia" w:ascii="宋体" w:hAnsi="宋体" w:eastAsia="宋体" w:cs="宋体"/>
                <w:color w:val="auto"/>
                <w:sz w:val="21"/>
                <w:szCs w:val="21"/>
              </w:rPr>
            </w:pPr>
          </w:p>
        </w:tc>
        <w:tc>
          <w:tcPr>
            <w:tcW w:w="681" w:type="dxa"/>
            <w:vAlign w:val="center"/>
          </w:tcPr>
          <w:p w14:paraId="780A87EC">
            <w:pPr>
              <w:spacing w:line="320" w:lineRule="exact"/>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40</w:t>
            </w:r>
          </w:p>
        </w:tc>
      </w:tr>
      <w:tr w14:paraId="48CF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252" w:type="dxa"/>
            <w:vAlign w:val="center"/>
          </w:tcPr>
          <w:p w14:paraId="64779F49">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课程目标4</w:t>
            </w:r>
          </w:p>
        </w:tc>
        <w:tc>
          <w:tcPr>
            <w:tcW w:w="846" w:type="dxa"/>
            <w:vAlign w:val="center"/>
          </w:tcPr>
          <w:p w14:paraId="5C26A290">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75" w:type="dxa"/>
            <w:vAlign w:val="center"/>
          </w:tcPr>
          <w:p w14:paraId="51374F7E">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13" w:type="dxa"/>
            <w:vAlign w:val="center"/>
          </w:tcPr>
          <w:p w14:paraId="51F1852A">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85" w:type="dxa"/>
            <w:vAlign w:val="center"/>
          </w:tcPr>
          <w:p w14:paraId="398E87C8">
            <w:pPr>
              <w:spacing w:line="320" w:lineRule="exact"/>
              <w:contextualSpacing/>
              <w:jc w:val="center"/>
              <w:rPr>
                <w:rFonts w:hint="eastAsia" w:ascii="宋体" w:hAnsi="宋体" w:eastAsia="宋体" w:cs="宋体"/>
                <w:color w:val="auto"/>
                <w:sz w:val="21"/>
                <w:szCs w:val="21"/>
              </w:rPr>
            </w:pPr>
          </w:p>
        </w:tc>
        <w:tc>
          <w:tcPr>
            <w:tcW w:w="782" w:type="dxa"/>
            <w:vAlign w:val="center"/>
          </w:tcPr>
          <w:p w14:paraId="2BFBD03C">
            <w:pPr>
              <w:spacing w:line="320" w:lineRule="exact"/>
              <w:contextualSpacing/>
              <w:jc w:val="center"/>
              <w:rPr>
                <w:rFonts w:hint="eastAsia" w:ascii="宋体" w:hAnsi="宋体" w:eastAsia="宋体" w:cs="宋体"/>
                <w:color w:val="auto"/>
                <w:sz w:val="21"/>
                <w:szCs w:val="21"/>
              </w:rPr>
            </w:pPr>
          </w:p>
        </w:tc>
        <w:tc>
          <w:tcPr>
            <w:tcW w:w="675" w:type="dxa"/>
            <w:vAlign w:val="center"/>
          </w:tcPr>
          <w:p w14:paraId="767059B2">
            <w:pPr>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75" w:type="dxa"/>
          </w:tcPr>
          <w:p w14:paraId="4F2E01F1">
            <w:pPr>
              <w:spacing w:line="320" w:lineRule="exact"/>
              <w:contextualSpacing/>
              <w:jc w:val="center"/>
              <w:rPr>
                <w:rFonts w:hint="eastAsia" w:ascii="宋体" w:hAnsi="宋体" w:eastAsia="宋体" w:cs="宋体"/>
                <w:color w:val="auto"/>
                <w:sz w:val="21"/>
                <w:szCs w:val="21"/>
              </w:rPr>
            </w:pPr>
          </w:p>
        </w:tc>
        <w:tc>
          <w:tcPr>
            <w:tcW w:w="879" w:type="dxa"/>
          </w:tcPr>
          <w:p w14:paraId="330D5331">
            <w:pPr>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81" w:type="dxa"/>
            <w:vAlign w:val="center"/>
          </w:tcPr>
          <w:p w14:paraId="213D5412">
            <w:pPr>
              <w:spacing w:line="320" w:lineRule="exact"/>
              <w:contextualSpacing/>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5</w:t>
            </w:r>
          </w:p>
        </w:tc>
      </w:tr>
      <w:tr w14:paraId="007E9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dxa"/>
            <w:vAlign w:val="center"/>
          </w:tcPr>
          <w:p w14:paraId="4904FE4F">
            <w:pPr>
              <w:spacing w:line="320" w:lineRule="exact"/>
              <w:contextualSpacing/>
              <w:jc w:val="center"/>
              <w:rPr>
                <w:rFonts w:hint="eastAsia" w:ascii="宋体" w:hAnsi="宋体" w:eastAsia="宋体" w:cs="宋体"/>
                <w:color w:val="auto"/>
                <w:sz w:val="21"/>
                <w:szCs w:val="21"/>
              </w:rPr>
            </w:pPr>
            <w:r>
              <w:rPr>
                <w:rFonts w:hint="eastAsia" w:ascii="宋体" w:hAnsi="宋体" w:eastAsia="宋体" w:cs="宋体"/>
                <w:b/>
                <w:bCs/>
                <w:color w:val="auto"/>
                <w:sz w:val="21"/>
                <w:szCs w:val="21"/>
              </w:rPr>
              <w:t>合计</w:t>
            </w:r>
          </w:p>
        </w:tc>
        <w:tc>
          <w:tcPr>
            <w:tcW w:w="846" w:type="dxa"/>
            <w:vAlign w:val="center"/>
          </w:tcPr>
          <w:p w14:paraId="5F9CFA6F">
            <w:pPr>
              <w:spacing w:line="320" w:lineRule="exact"/>
              <w:contextualSpacing/>
              <w:jc w:val="center"/>
              <w:rPr>
                <w:rFonts w:hint="eastAsia" w:ascii="宋体" w:hAnsi="宋体" w:eastAsia="宋体" w:cs="宋体"/>
                <w:color w:val="auto"/>
                <w:sz w:val="21"/>
                <w:szCs w:val="21"/>
              </w:rPr>
            </w:pPr>
          </w:p>
        </w:tc>
        <w:tc>
          <w:tcPr>
            <w:tcW w:w="675" w:type="dxa"/>
            <w:vAlign w:val="center"/>
          </w:tcPr>
          <w:p w14:paraId="24405715">
            <w:pPr>
              <w:spacing w:line="320" w:lineRule="exact"/>
              <w:contextualSpacing/>
              <w:jc w:val="center"/>
              <w:rPr>
                <w:rFonts w:hint="eastAsia" w:ascii="宋体" w:hAnsi="宋体" w:eastAsia="宋体" w:cs="宋体"/>
                <w:color w:val="auto"/>
                <w:sz w:val="21"/>
                <w:szCs w:val="21"/>
              </w:rPr>
            </w:pPr>
          </w:p>
        </w:tc>
        <w:tc>
          <w:tcPr>
            <w:tcW w:w="1013" w:type="dxa"/>
            <w:vAlign w:val="center"/>
          </w:tcPr>
          <w:p w14:paraId="5359838A">
            <w:pPr>
              <w:spacing w:line="320" w:lineRule="exact"/>
              <w:contextualSpacing/>
              <w:jc w:val="center"/>
              <w:rPr>
                <w:rFonts w:hint="eastAsia" w:ascii="宋体" w:hAnsi="宋体" w:eastAsia="宋体" w:cs="宋体"/>
                <w:color w:val="auto"/>
                <w:sz w:val="21"/>
                <w:szCs w:val="21"/>
              </w:rPr>
            </w:pPr>
          </w:p>
        </w:tc>
        <w:tc>
          <w:tcPr>
            <w:tcW w:w="685" w:type="dxa"/>
            <w:vAlign w:val="center"/>
          </w:tcPr>
          <w:p w14:paraId="2C1826D7">
            <w:pPr>
              <w:spacing w:line="320" w:lineRule="exact"/>
              <w:contextualSpacing/>
              <w:jc w:val="center"/>
              <w:rPr>
                <w:rFonts w:hint="eastAsia" w:ascii="宋体" w:hAnsi="宋体" w:eastAsia="宋体" w:cs="宋体"/>
                <w:color w:val="auto"/>
                <w:sz w:val="21"/>
                <w:szCs w:val="21"/>
              </w:rPr>
            </w:pPr>
          </w:p>
        </w:tc>
        <w:tc>
          <w:tcPr>
            <w:tcW w:w="782" w:type="dxa"/>
            <w:vAlign w:val="center"/>
          </w:tcPr>
          <w:p w14:paraId="3596DA8D">
            <w:pPr>
              <w:spacing w:line="320" w:lineRule="exact"/>
              <w:contextualSpacing/>
              <w:jc w:val="center"/>
              <w:rPr>
                <w:rFonts w:hint="eastAsia" w:ascii="宋体" w:hAnsi="宋体" w:eastAsia="宋体" w:cs="宋体"/>
                <w:color w:val="auto"/>
                <w:sz w:val="21"/>
                <w:szCs w:val="21"/>
              </w:rPr>
            </w:pPr>
          </w:p>
        </w:tc>
        <w:tc>
          <w:tcPr>
            <w:tcW w:w="675" w:type="dxa"/>
            <w:vAlign w:val="center"/>
          </w:tcPr>
          <w:p w14:paraId="774B21E5">
            <w:pPr>
              <w:spacing w:line="320" w:lineRule="exact"/>
              <w:contextualSpacing/>
              <w:jc w:val="center"/>
              <w:rPr>
                <w:rFonts w:hint="eastAsia" w:ascii="宋体" w:hAnsi="宋体" w:eastAsia="宋体" w:cs="宋体"/>
                <w:color w:val="auto"/>
                <w:sz w:val="21"/>
                <w:szCs w:val="21"/>
              </w:rPr>
            </w:pPr>
          </w:p>
        </w:tc>
        <w:tc>
          <w:tcPr>
            <w:tcW w:w="975" w:type="dxa"/>
            <w:vAlign w:val="center"/>
          </w:tcPr>
          <w:p w14:paraId="186043C2">
            <w:pPr>
              <w:spacing w:line="320" w:lineRule="exact"/>
              <w:contextualSpacing/>
              <w:jc w:val="center"/>
              <w:rPr>
                <w:rFonts w:hint="eastAsia" w:ascii="宋体" w:hAnsi="宋体" w:eastAsia="宋体" w:cs="宋体"/>
                <w:color w:val="auto"/>
                <w:sz w:val="21"/>
                <w:szCs w:val="21"/>
              </w:rPr>
            </w:pPr>
          </w:p>
        </w:tc>
        <w:tc>
          <w:tcPr>
            <w:tcW w:w="879" w:type="dxa"/>
          </w:tcPr>
          <w:p w14:paraId="40141CCE">
            <w:pPr>
              <w:spacing w:line="320" w:lineRule="exact"/>
              <w:contextualSpacing/>
              <w:jc w:val="center"/>
              <w:rPr>
                <w:rFonts w:hint="eastAsia" w:ascii="宋体" w:hAnsi="宋体" w:eastAsia="宋体" w:cs="宋体"/>
                <w:color w:val="auto"/>
                <w:sz w:val="21"/>
                <w:szCs w:val="21"/>
              </w:rPr>
            </w:pPr>
          </w:p>
        </w:tc>
        <w:tc>
          <w:tcPr>
            <w:tcW w:w="681" w:type="dxa"/>
            <w:vAlign w:val="center"/>
          </w:tcPr>
          <w:p w14:paraId="5EA1CE92">
            <w:pPr>
              <w:spacing w:line="320" w:lineRule="exact"/>
              <w:contextualSpacing/>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7304FF49">
      <w:pPr>
        <w:spacing w:line="360" w:lineRule="auto"/>
        <w:ind w:firstLine="422" w:firstLineChars="200"/>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b/>
          <w:szCs w:val="21"/>
        </w:rPr>
        <w:t>（二）成绩评定细则</w:t>
      </w:r>
    </w:p>
    <w:p w14:paraId="06497896">
      <w:pPr>
        <w:spacing w:line="360" w:lineRule="auto"/>
        <w:ind w:firstLine="420" w:firstLineChars="200"/>
        <w:jc w:val="left"/>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6026"/>
        <w:gridCol w:w="1021"/>
      </w:tblGrid>
      <w:tr w14:paraId="25FD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 w:hRule="atLeast"/>
          <w:jc w:val="center"/>
        </w:trPr>
        <w:tc>
          <w:tcPr>
            <w:tcW w:w="1312" w:type="dxa"/>
            <w:vAlign w:val="center"/>
          </w:tcPr>
          <w:p w14:paraId="4BA3D7F3">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026" w:type="dxa"/>
            <w:vAlign w:val="center"/>
          </w:tcPr>
          <w:p w14:paraId="67A06DB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成绩评定细则</w:t>
            </w:r>
          </w:p>
        </w:tc>
        <w:tc>
          <w:tcPr>
            <w:tcW w:w="1021" w:type="dxa"/>
            <w:vAlign w:val="center"/>
          </w:tcPr>
          <w:p w14:paraId="109E5A5B">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2B2E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77799EB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课堂表现</w:t>
            </w:r>
          </w:p>
        </w:tc>
        <w:tc>
          <w:tcPr>
            <w:tcW w:w="6026" w:type="dxa"/>
          </w:tcPr>
          <w:p w14:paraId="0FCB1526">
            <w:pPr>
              <w:spacing w:line="310" w:lineRule="exact"/>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按出勤和课堂参与情况进行评分。全勤记</w:t>
            </w:r>
            <w:r>
              <w:rPr>
                <w:rFonts w:ascii="Times New Roman" w:hAnsi="Times New Roman" w:eastAsia="宋体" w:cs="Times New Roman"/>
                <w:color w:val="auto"/>
                <w:szCs w:val="21"/>
              </w:rPr>
              <w:t>5分</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事假1节</w:t>
            </w:r>
            <w:r>
              <w:rPr>
                <w:rFonts w:hint="eastAsia" w:ascii="Times New Roman" w:hAnsi="Times New Roman" w:eastAsia="宋体" w:cs="Times New Roman"/>
                <w:color w:val="auto"/>
                <w:szCs w:val="21"/>
              </w:rPr>
              <w:t>或</w:t>
            </w:r>
            <w:r>
              <w:rPr>
                <w:rFonts w:ascii="Times New Roman" w:hAnsi="Times New Roman" w:eastAsia="宋体" w:cs="Times New Roman"/>
                <w:color w:val="auto"/>
                <w:szCs w:val="21"/>
              </w:rPr>
              <w:t>迟到、早退1次各扣1分</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无故旷课1次扣2分，无故旷课2次扣5分，</w:t>
            </w:r>
            <w:r>
              <w:rPr>
                <w:rFonts w:hint="eastAsia" w:ascii="Times New Roman" w:hAnsi="Times New Roman" w:eastAsia="宋体" w:cs="Times New Roman"/>
                <w:color w:val="auto"/>
                <w:szCs w:val="21"/>
              </w:rPr>
              <w:t>无故</w:t>
            </w:r>
            <w:r>
              <w:rPr>
                <w:rFonts w:ascii="Times New Roman" w:hAnsi="Times New Roman" w:eastAsia="宋体" w:cs="Times New Roman"/>
                <w:color w:val="auto"/>
                <w:szCs w:val="21"/>
              </w:rPr>
              <w:t>旷课3次及以上直接定为不及格。</w:t>
            </w:r>
            <w:r>
              <w:rPr>
                <w:rFonts w:hint="eastAsia" w:ascii="Times New Roman" w:hAnsi="Times New Roman" w:eastAsia="宋体" w:cs="Times New Roman"/>
                <w:color w:val="auto"/>
                <w:szCs w:val="21"/>
              </w:rPr>
              <w:t>课堂参与满分5分。学生在</w:t>
            </w:r>
            <w:r>
              <w:rPr>
                <w:rFonts w:ascii="Times New Roman" w:hAnsi="Times New Roman" w:eastAsia="宋体" w:cs="Times New Roman"/>
                <w:color w:val="auto"/>
                <w:szCs w:val="21"/>
              </w:rPr>
              <w:t>课堂上不做与学习无关的事</w:t>
            </w:r>
            <w:r>
              <w:rPr>
                <w:rFonts w:hint="eastAsia" w:ascii="Times New Roman" w:hAnsi="Times New Roman" w:eastAsia="宋体" w:cs="Times New Roman"/>
                <w:color w:val="auto"/>
                <w:szCs w:val="21"/>
              </w:rPr>
              <w:t>，认真听课，</w:t>
            </w:r>
            <w:r>
              <w:rPr>
                <w:rFonts w:ascii="Times New Roman" w:hAnsi="Times New Roman" w:eastAsia="宋体" w:cs="Times New Roman"/>
                <w:color w:val="auto"/>
                <w:szCs w:val="21"/>
              </w:rPr>
              <w:t>勤于思考，主动回答提问</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积极参加小组</w:t>
            </w:r>
            <w:r>
              <w:rPr>
                <w:rFonts w:hint="eastAsia" w:ascii="Times New Roman" w:hAnsi="Times New Roman" w:eastAsia="宋体" w:cs="Times New Roman"/>
                <w:color w:val="auto"/>
                <w:szCs w:val="21"/>
              </w:rPr>
              <w:t>讨论。根据学生课堂表现酌情给分。</w:t>
            </w:r>
            <w:r>
              <w:rPr>
                <w:rFonts w:ascii="Times New Roman" w:hAnsi="Times New Roman" w:eastAsia="宋体" w:cs="Times New Roman"/>
                <w:color w:val="auto"/>
                <w:szCs w:val="21"/>
              </w:rPr>
              <w:t xml:space="preserve"> </w:t>
            </w:r>
          </w:p>
        </w:tc>
        <w:tc>
          <w:tcPr>
            <w:tcW w:w="1021" w:type="dxa"/>
            <w:vAlign w:val="center"/>
          </w:tcPr>
          <w:p w14:paraId="7CF702A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r>
              <w:rPr>
                <w:rFonts w:hint="eastAsia" w:ascii="Times New Roman" w:hAnsi="Times New Roman" w:eastAsia="宋体" w:cs="Times New Roman"/>
                <w:color w:val="auto"/>
                <w:szCs w:val="21"/>
              </w:rPr>
              <w:t>0%</w:t>
            </w:r>
          </w:p>
        </w:tc>
      </w:tr>
      <w:tr w14:paraId="31D2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3DEFC8C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平时作业</w:t>
            </w:r>
          </w:p>
        </w:tc>
        <w:tc>
          <w:tcPr>
            <w:tcW w:w="6026" w:type="dxa"/>
          </w:tcPr>
          <w:p w14:paraId="32F75104">
            <w:pPr>
              <w:spacing w:line="310" w:lineRule="exact"/>
              <w:jc w:val="left"/>
              <w:rPr>
                <w:rFonts w:eastAsia="宋体"/>
                <w:color w:val="auto"/>
                <w:szCs w:val="21"/>
              </w:rPr>
            </w:pPr>
            <w:r>
              <w:rPr>
                <w:rFonts w:hint="eastAsia" w:eastAsia="宋体"/>
                <w:color w:val="auto"/>
                <w:szCs w:val="21"/>
              </w:rPr>
              <w:t xml:space="preserve">在本课程学习中，学生提交的文献综述、研究方法设计、研究方案设计（开题报告）的初稿、二稿为平时作业。 </w:t>
            </w:r>
          </w:p>
          <w:p w14:paraId="54EBD98C">
            <w:pPr>
              <w:spacing w:line="310" w:lineRule="exact"/>
              <w:jc w:val="left"/>
              <w:rPr>
                <w:rFonts w:ascii="Times New Roman" w:hAnsi="Times New Roman" w:eastAsia="宋体" w:cs="Times New Roman"/>
                <w:color w:val="auto"/>
                <w:szCs w:val="21"/>
              </w:rPr>
            </w:pPr>
            <w:r>
              <w:rPr>
                <w:rFonts w:hint="eastAsia" w:eastAsia="宋体"/>
                <w:color w:val="auto"/>
                <w:szCs w:val="21"/>
              </w:rPr>
              <w:t>学生需认真完成平时作业，按时提交，无故迟交作业1次扣</w:t>
            </w:r>
            <w:r>
              <w:rPr>
                <w:rFonts w:eastAsia="宋体"/>
                <w:color w:val="auto"/>
                <w:szCs w:val="21"/>
              </w:rPr>
              <w:t>1</w:t>
            </w:r>
            <w:r>
              <w:rPr>
                <w:rFonts w:hint="eastAsia" w:eastAsia="宋体"/>
                <w:color w:val="auto"/>
                <w:szCs w:val="21"/>
              </w:rPr>
              <w:t>分。作业评定标准与各项目评分标准相同。</w:t>
            </w:r>
          </w:p>
        </w:tc>
        <w:tc>
          <w:tcPr>
            <w:tcW w:w="1021" w:type="dxa"/>
            <w:vAlign w:val="center"/>
          </w:tcPr>
          <w:p w14:paraId="7705BA8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26166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7F0002E3">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自主学习</w:t>
            </w:r>
          </w:p>
        </w:tc>
        <w:tc>
          <w:tcPr>
            <w:tcW w:w="6026" w:type="dxa"/>
          </w:tcPr>
          <w:p w14:paraId="3E7BC197">
            <w:pPr>
              <w:spacing w:line="310" w:lineRule="exact"/>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每个单元开课前，学生提前一周完成教材预习，登录课程网站完成预习测试；系统自动评定和记录每次成绩。</w:t>
            </w:r>
          </w:p>
        </w:tc>
        <w:tc>
          <w:tcPr>
            <w:tcW w:w="1021" w:type="dxa"/>
            <w:vAlign w:val="center"/>
          </w:tcPr>
          <w:p w14:paraId="2CBE92E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74A0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43AB98A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合作学习</w:t>
            </w:r>
          </w:p>
        </w:tc>
        <w:tc>
          <w:tcPr>
            <w:tcW w:w="6026" w:type="dxa"/>
          </w:tcPr>
          <w:p w14:paraId="290B351A">
            <w:pPr>
              <w:spacing w:line="310" w:lineRule="exact"/>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合作学习主要体现在课堂小组讨论和课后小组合作完成项目设计之中。课堂小组合作主要以学生互评为主，评价依据为每个学生在小组合作中的参与度与投入度。小组合作完成的项目包括教育实验研究、个案研究、行动研究、叙事研究研究方案（4选2），评价标准为：</w:t>
            </w:r>
            <w:r>
              <w:rPr>
                <w:rFonts w:ascii="Times New Roman" w:hAnsi="Times New Roman" w:eastAsia="宋体" w:cs="Times New Roman"/>
                <w:color w:val="auto"/>
                <w:szCs w:val="21"/>
              </w:rPr>
              <w:t>研究目的明确，问题界定清晰，研究计划详细具体，研究策略与方法科学合理，小组成员协调配合好</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语言通顺，打印规范。小组合作</w:t>
            </w:r>
            <w:r>
              <w:rPr>
                <w:rFonts w:hint="eastAsia" w:ascii="Times New Roman" w:hAnsi="Times New Roman" w:eastAsia="宋体" w:cs="Times New Roman"/>
                <w:color w:val="auto"/>
                <w:szCs w:val="21"/>
              </w:rPr>
              <w:t>项目的</w:t>
            </w:r>
            <w:r>
              <w:rPr>
                <w:rFonts w:ascii="Times New Roman" w:hAnsi="Times New Roman" w:eastAsia="宋体" w:cs="Times New Roman"/>
                <w:color w:val="auto"/>
                <w:szCs w:val="21"/>
              </w:rPr>
              <w:t>评价</w:t>
            </w:r>
            <w:r>
              <w:rPr>
                <w:rFonts w:hint="eastAsia" w:ascii="Times New Roman" w:hAnsi="Times New Roman" w:eastAsia="宋体" w:cs="Times New Roman"/>
                <w:color w:val="auto"/>
                <w:szCs w:val="21"/>
              </w:rPr>
              <w:t>由</w:t>
            </w:r>
            <w:r>
              <w:rPr>
                <w:rFonts w:ascii="Times New Roman" w:hAnsi="Times New Roman" w:eastAsia="宋体" w:cs="Times New Roman"/>
                <w:color w:val="auto"/>
                <w:szCs w:val="21"/>
              </w:rPr>
              <w:t>教师评价</w:t>
            </w:r>
            <w:r>
              <w:rPr>
                <w:rFonts w:hint="eastAsia" w:ascii="Times New Roman" w:hAnsi="Times New Roman" w:eastAsia="宋体" w:cs="Times New Roman"/>
                <w:color w:val="auto"/>
                <w:szCs w:val="21"/>
              </w:rPr>
              <w:t>和</w:t>
            </w:r>
            <w:r>
              <w:rPr>
                <w:rFonts w:ascii="Times New Roman" w:hAnsi="Times New Roman" w:eastAsia="宋体" w:cs="Times New Roman"/>
                <w:color w:val="auto"/>
                <w:szCs w:val="21"/>
              </w:rPr>
              <w:t>小组成员互评</w:t>
            </w:r>
            <w:r>
              <w:rPr>
                <w:rFonts w:hint="eastAsia" w:ascii="Times New Roman" w:hAnsi="Times New Roman" w:eastAsia="宋体" w:cs="Times New Roman"/>
                <w:color w:val="auto"/>
                <w:szCs w:val="21"/>
              </w:rPr>
              <w:t>构成，各占5</w:t>
            </w:r>
            <w:r>
              <w:rPr>
                <w:rFonts w:ascii="Times New Roman" w:hAnsi="Times New Roman" w:eastAsia="宋体" w:cs="Times New Roman"/>
                <w:color w:val="auto"/>
                <w:szCs w:val="21"/>
              </w:rPr>
              <w:t>0%。</w:t>
            </w:r>
          </w:p>
        </w:tc>
        <w:tc>
          <w:tcPr>
            <w:tcW w:w="1021" w:type="dxa"/>
            <w:vAlign w:val="center"/>
          </w:tcPr>
          <w:p w14:paraId="2E00ED6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r>
              <w:rPr>
                <w:rFonts w:hint="eastAsia" w:ascii="Times New Roman" w:hAnsi="Times New Roman" w:eastAsia="宋体" w:cs="Times New Roman"/>
                <w:color w:val="auto"/>
                <w:szCs w:val="21"/>
              </w:rPr>
              <w:t>0%</w:t>
            </w:r>
          </w:p>
        </w:tc>
      </w:tr>
      <w:tr w14:paraId="14B9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47FA6EBE">
            <w:pPr>
              <w:jc w:val="center"/>
              <w:rPr>
                <w:rFonts w:hint="eastAsia" w:ascii="仿宋" w:hAnsi="仿宋" w:eastAsia="仿宋" w:cs="Times New Roman"/>
                <w:b/>
                <w:bCs/>
                <w:color w:val="auto"/>
                <w:sz w:val="18"/>
                <w:szCs w:val="18"/>
              </w:rPr>
            </w:pPr>
            <w:r>
              <w:rPr>
                <w:rFonts w:hint="eastAsia" w:ascii="Times New Roman" w:hAnsi="Times New Roman" w:eastAsia="宋体" w:cs="Times New Roman"/>
                <w:b/>
                <w:bCs/>
                <w:color w:val="auto"/>
                <w:szCs w:val="21"/>
              </w:rPr>
              <w:t>文献综述</w:t>
            </w:r>
          </w:p>
        </w:tc>
        <w:tc>
          <w:tcPr>
            <w:tcW w:w="6026" w:type="dxa"/>
          </w:tcPr>
          <w:p w14:paraId="6D775200">
            <w:pPr>
              <w:spacing w:line="330" w:lineRule="exact"/>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学生完成文献综述的定稿后，教师进行成绩评定。文献综述的优秀等次（9</w:t>
            </w:r>
            <w:r>
              <w:rPr>
                <w:rFonts w:ascii="Times New Roman" w:hAnsi="Times New Roman" w:eastAsia="宋体" w:cs="Times New Roman"/>
                <w:color w:val="auto"/>
                <w:szCs w:val="21"/>
              </w:rPr>
              <w:t>0-100</w:t>
            </w:r>
            <w:r>
              <w:rPr>
                <w:rFonts w:hint="eastAsia" w:ascii="Times New Roman" w:hAnsi="Times New Roman" w:eastAsia="宋体" w:cs="Times New Roman"/>
                <w:color w:val="auto"/>
                <w:szCs w:val="21"/>
              </w:rPr>
              <w:t>分）评分标准为：选题恰当，</w:t>
            </w:r>
            <w:r>
              <w:rPr>
                <w:rFonts w:ascii="Times New Roman" w:hAnsi="Times New Roman" w:eastAsia="宋体" w:cs="Times New Roman"/>
                <w:color w:val="auto"/>
                <w:szCs w:val="21"/>
              </w:rPr>
              <w:t>标题规范、简明</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对本课题国内外研究现状把握准确、全面</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信息具体</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符合事实</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评述结合</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以评带述</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高度概括</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简洁明晰</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语句通顺</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层次清楚</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达到规定字数</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参考文献</w:t>
            </w:r>
            <w:r>
              <w:rPr>
                <w:rFonts w:hint="eastAsia" w:ascii="Times New Roman" w:hAnsi="Times New Roman" w:eastAsia="宋体" w:cs="Times New Roman"/>
                <w:color w:val="auto"/>
                <w:szCs w:val="21"/>
              </w:rPr>
              <w:t>规范</w:t>
            </w:r>
            <w:r>
              <w:rPr>
                <w:rFonts w:ascii="Times New Roman" w:hAnsi="Times New Roman" w:eastAsia="宋体" w:cs="Times New Roman"/>
                <w:color w:val="auto"/>
                <w:szCs w:val="21"/>
              </w:rPr>
              <w:t>；排版和打印符合要求。</w:t>
            </w:r>
            <w:r>
              <w:rPr>
                <w:rFonts w:hint="eastAsia" w:ascii="Times New Roman" w:hAnsi="Times New Roman" w:eastAsia="宋体" w:cs="Times New Roman"/>
                <w:color w:val="auto"/>
                <w:szCs w:val="21"/>
              </w:rPr>
              <w:t>其他各等次评分标准参见《教育科学研究方法课程“文献综述”考核评分标准》，其中，有抄袭现象的直接按零分处理。</w:t>
            </w:r>
          </w:p>
        </w:tc>
        <w:tc>
          <w:tcPr>
            <w:tcW w:w="1021" w:type="dxa"/>
            <w:vAlign w:val="center"/>
          </w:tcPr>
          <w:p w14:paraId="1591C82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5%</w:t>
            </w:r>
          </w:p>
        </w:tc>
      </w:tr>
      <w:tr w14:paraId="3D2D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26F388A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研究方法</w:t>
            </w:r>
          </w:p>
          <w:p w14:paraId="67CE592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设计</w:t>
            </w:r>
          </w:p>
        </w:tc>
        <w:tc>
          <w:tcPr>
            <w:tcW w:w="6026" w:type="dxa"/>
          </w:tcPr>
          <w:p w14:paraId="723E982F">
            <w:pPr>
              <w:spacing w:line="330" w:lineRule="exact"/>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学生完成研究方法设计的定稿后，教师进行成绩评定。</w:t>
            </w:r>
            <w:r>
              <w:rPr>
                <w:rFonts w:hint="eastAsia" w:ascii="Calibri" w:hAnsi="Calibri" w:eastAsia="宋体" w:cs="Arial"/>
                <w:color w:val="auto"/>
                <w:szCs w:val="21"/>
              </w:rPr>
              <w:t>个人研究项目主要为调查问卷、访谈提纲、观察量表的设计，其中，调查问卷的优秀</w:t>
            </w:r>
            <w:r>
              <w:rPr>
                <w:rFonts w:hint="eastAsia" w:ascii="Times New Roman" w:hAnsi="Times New Roman" w:eastAsia="宋体" w:cs="Times New Roman"/>
                <w:color w:val="auto"/>
                <w:szCs w:val="21"/>
              </w:rPr>
              <w:t>等次（9</w:t>
            </w:r>
            <w:r>
              <w:rPr>
                <w:rFonts w:ascii="Times New Roman" w:hAnsi="Times New Roman" w:eastAsia="宋体" w:cs="Times New Roman"/>
                <w:color w:val="auto"/>
                <w:szCs w:val="21"/>
              </w:rPr>
              <w:t>0-100</w:t>
            </w:r>
            <w:r>
              <w:rPr>
                <w:rFonts w:hint="eastAsia" w:ascii="Times New Roman" w:hAnsi="Times New Roman" w:eastAsia="宋体" w:cs="Times New Roman"/>
                <w:color w:val="auto"/>
                <w:szCs w:val="21"/>
              </w:rPr>
              <w:t>分）评分标准为：</w:t>
            </w:r>
            <w:r>
              <w:rPr>
                <w:rFonts w:hint="eastAsia" w:ascii="Calibri" w:hAnsi="Calibri" w:eastAsia="宋体" w:cs="Arial"/>
                <w:color w:val="auto"/>
                <w:szCs w:val="21"/>
              </w:rPr>
              <w:t>调查目的明确，指导语简明、规范，尊重被调查者隐私，变量设计全面、合理，问题表述明确，选项设计合理，问卷逻辑明晰，语言文字表述清晰，问卷容量合理，排版和打印符合要求。</w:t>
            </w:r>
            <w:r>
              <w:rPr>
                <w:rFonts w:hint="eastAsia" w:ascii="Times New Roman" w:hAnsi="Times New Roman" w:eastAsia="宋体" w:cs="Times New Roman"/>
                <w:color w:val="auto"/>
                <w:szCs w:val="21"/>
              </w:rPr>
              <w:t>其他各等次评分标准参见《教育科学研究方法课程“研究方法设计”考核评分标准》，其中，有抄袭现象的直接按零分处理。</w:t>
            </w:r>
          </w:p>
        </w:tc>
        <w:tc>
          <w:tcPr>
            <w:tcW w:w="1021" w:type="dxa"/>
            <w:vAlign w:val="center"/>
          </w:tcPr>
          <w:p w14:paraId="666148A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5%</w:t>
            </w:r>
          </w:p>
        </w:tc>
      </w:tr>
      <w:tr w14:paraId="201B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1FA7729F">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研究方案</w:t>
            </w:r>
          </w:p>
          <w:p w14:paraId="75E4FC7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设计</w:t>
            </w:r>
          </w:p>
        </w:tc>
        <w:tc>
          <w:tcPr>
            <w:tcW w:w="6026" w:type="dxa"/>
          </w:tcPr>
          <w:p w14:paraId="6CB6AF6E">
            <w:pPr>
              <w:spacing w:line="330" w:lineRule="exact"/>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学生完成研究方案设计的定稿后，教师进行成绩评定。研究方案设计的优秀等次（9</w:t>
            </w:r>
            <w:r>
              <w:rPr>
                <w:rFonts w:ascii="Times New Roman" w:hAnsi="Times New Roman" w:eastAsia="宋体" w:cs="Times New Roman"/>
                <w:color w:val="auto"/>
                <w:szCs w:val="21"/>
              </w:rPr>
              <w:t>0-100</w:t>
            </w:r>
            <w:r>
              <w:rPr>
                <w:rFonts w:hint="eastAsia" w:ascii="Times New Roman" w:hAnsi="Times New Roman" w:eastAsia="宋体" w:cs="Times New Roman"/>
                <w:color w:val="auto"/>
                <w:szCs w:val="21"/>
              </w:rPr>
              <w:t>分）评分标准为：课题名称简明、规范，</w:t>
            </w:r>
            <w:r>
              <w:rPr>
                <w:rFonts w:ascii="Times New Roman" w:hAnsi="Times New Roman" w:eastAsia="宋体" w:cs="Times New Roman"/>
                <w:color w:val="auto"/>
                <w:szCs w:val="21"/>
              </w:rPr>
              <w:t>课题有重要研究意义</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理论与实践价值表达规范</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课题研究动态把握全面</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研究思路清晰</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研究方法选用恰当</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论文研究提纲清晰</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预期目标具体、合理</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按要求列出参考文献</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排版和打印符合要求。</w:t>
            </w:r>
            <w:r>
              <w:rPr>
                <w:rFonts w:hint="eastAsia" w:ascii="Times New Roman" w:hAnsi="Times New Roman" w:eastAsia="宋体" w:cs="Times New Roman"/>
                <w:color w:val="auto"/>
                <w:szCs w:val="21"/>
              </w:rPr>
              <w:t>其他各等次评分标准参见《教育科学研究方法课程“研究方案设计”考核评分标准》，其中，有抄袭现象的直接按零分处理。</w:t>
            </w:r>
          </w:p>
        </w:tc>
        <w:tc>
          <w:tcPr>
            <w:tcW w:w="1021" w:type="dxa"/>
            <w:vAlign w:val="center"/>
          </w:tcPr>
          <w:p w14:paraId="37750A5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20</w:t>
            </w:r>
            <w:r>
              <w:rPr>
                <w:rFonts w:hint="eastAsia" w:ascii="Times New Roman" w:hAnsi="Times New Roman" w:eastAsia="宋体" w:cs="Times New Roman"/>
                <w:color w:val="auto"/>
                <w:szCs w:val="21"/>
              </w:rPr>
              <w:t>%</w:t>
            </w:r>
          </w:p>
        </w:tc>
      </w:tr>
      <w:tr w14:paraId="1179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5DADDDB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汇报展示</w:t>
            </w:r>
          </w:p>
        </w:tc>
        <w:tc>
          <w:tcPr>
            <w:tcW w:w="6026" w:type="dxa"/>
          </w:tcPr>
          <w:p w14:paraId="721FB455">
            <w:pPr>
              <w:spacing w:line="330" w:lineRule="exact"/>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学生小组合作项目在学期末进行集中ppt汇报，每组每个项目的汇报时间不超过6分钟。每个小组成员均要进行汇报，每人每个项目的汇报时间1分钟左右。汇报展示的评价由教师评价和学生评价构成，主要考察学生对研究方法的掌握程度和语言表达的流利程度。</w:t>
            </w:r>
          </w:p>
        </w:tc>
        <w:tc>
          <w:tcPr>
            <w:tcW w:w="1021" w:type="dxa"/>
            <w:vAlign w:val="center"/>
          </w:tcPr>
          <w:p w14:paraId="45560E9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0%</w:t>
            </w:r>
          </w:p>
        </w:tc>
      </w:tr>
      <w:tr w14:paraId="1700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0E9BDC5F">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期末考试</w:t>
            </w:r>
          </w:p>
        </w:tc>
        <w:tc>
          <w:tcPr>
            <w:tcW w:w="6026" w:type="dxa"/>
          </w:tcPr>
          <w:p w14:paraId="0C61E6EE">
            <w:pPr>
              <w:spacing w:line="330" w:lineRule="exact"/>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特别说明：本课程为考核方法改革课程，学生完成个人考核项目（文献综述、研究方案设计、研究方法设计）并取得合格成绩，即为期末考试成绩合格，不再另行组织期末考试。评分细则见各项目评分标准。</w:t>
            </w:r>
          </w:p>
          <w:p w14:paraId="22E4F7B4">
            <w:pPr>
              <w:spacing w:line="330" w:lineRule="exact"/>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说明：本部分满分</w:t>
            </w:r>
            <w:r>
              <w:rPr>
                <w:rFonts w:ascii="Times New Roman" w:hAnsi="Times New Roman" w:eastAsia="宋体" w:cs="Times New Roman"/>
                <w:color w:val="auto"/>
                <w:szCs w:val="21"/>
              </w:rPr>
              <w:t>50</w:t>
            </w:r>
            <w:r>
              <w:rPr>
                <w:rFonts w:hint="eastAsia" w:ascii="Times New Roman" w:hAnsi="Times New Roman" w:eastAsia="宋体" w:cs="Times New Roman"/>
                <w:color w:val="auto"/>
                <w:szCs w:val="21"/>
              </w:rPr>
              <w:t>分（即文献综述1</w:t>
            </w:r>
            <w:r>
              <w:rPr>
                <w:rFonts w:ascii="Times New Roman" w:hAnsi="Times New Roman" w:eastAsia="宋体" w:cs="Times New Roman"/>
                <w:color w:val="auto"/>
                <w:szCs w:val="21"/>
              </w:rPr>
              <w:t>5</w:t>
            </w:r>
            <w:r>
              <w:rPr>
                <w:rFonts w:hint="eastAsia" w:ascii="Times New Roman" w:hAnsi="Times New Roman" w:eastAsia="宋体" w:cs="Times New Roman"/>
                <w:color w:val="auto"/>
                <w:szCs w:val="21"/>
              </w:rPr>
              <w:t>分+研究方法设计1</w:t>
            </w:r>
            <w:r>
              <w:rPr>
                <w:rFonts w:ascii="Times New Roman" w:hAnsi="Times New Roman" w:eastAsia="宋体" w:cs="Times New Roman"/>
                <w:color w:val="auto"/>
                <w:szCs w:val="21"/>
              </w:rPr>
              <w:t>5</w:t>
            </w:r>
            <w:r>
              <w:rPr>
                <w:rFonts w:hint="eastAsia" w:ascii="Times New Roman" w:hAnsi="Times New Roman" w:eastAsia="宋体" w:cs="Times New Roman"/>
                <w:color w:val="auto"/>
                <w:szCs w:val="21"/>
              </w:rPr>
              <w:t>分+研究方案设计2</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），不重复计分。</w:t>
            </w:r>
          </w:p>
        </w:tc>
        <w:tc>
          <w:tcPr>
            <w:tcW w:w="1021" w:type="dxa"/>
            <w:vAlign w:val="center"/>
          </w:tcPr>
          <w:p w14:paraId="44FF738E">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5</w:t>
            </w:r>
            <w:r>
              <w:rPr>
                <w:rFonts w:hint="eastAsia" w:ascii="Times New Roman" w:hAnsi="Times New Roman" w:eastAsia="宋体" w:cs="Times New Roman"/>
                <w:color w:val="auto"/>
                <w:szCs w:val="21"/>
              </w:rPr>
              <w:t>0%）</w:t>
            </w:r>
          </w:p>
        </w:tc>
      </w:tr>
      <w:tr w14:paraId="634A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12" w:type="dxa"/>
          </w:tcPr>
          <w:p w14:paraId="1996872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6026" w:type="dxa"/>
          </w:tcPr>
          <w:p w14:paraId="3ECA9291">
            <w:pPr>
              <w:jc w:val="left"/>
              <w:rPr>
                <w:rFonts w:ascii="Times New Roman" w:hAnsi="Times New Roman" w:eastAsia="宋体" w:cs="Times New Roman"/>
                <w:color w:val="auto"/>
                <w:szCs w:val="21"/>
              </w:rPr>
            </w:pPr>
          </w:p>
        </w:tc>
        <w:tc>
          <w:tcPr>
            <w:tcW w:w="1021" w:type="dxa"/>
            <w:vAlign w:val="center"/>
          </w:tcPr>
          <w:p w14:paraId="7C65AA8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0E84545E">
      <w:pPr>
        <w:spacing w:line="360" w:lineRule="auto"/>
        <w:ind w:firstLine="422" w:firstLineChars="200"/>
        <w:jc w:val="left"/>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（三）课程目标达成度计算方法</w:t>
      </w:r>
    </w:p>
    <w:p w14:paraId="05A5434A">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39619B1D">
      <w:pPr>
        <w:spacing w:before="156" w:beforeLines="50" w:line="360" w:lineRule="auto"/>
        <w:ind w:firstLine="420" w:firstLineChars="200"/>
        <w:jc w:val="left"/>
        <w:rPr>
          <w:rFonts w:ascii="宋体" w:hAnsi="宋体" w:eastAsia="宋体" w:cs="Times New Roman"/>
          <w:color w:val="auto"/>
          <w:szCs w:val="21"/>
        </w:rPr>
      </w:pPr>
      <w:r>
        <w:rPr>
          <w:rFonts w:ascii="宋体" w:hAnsi="宋体" w:eastAsia="宋体" w:cs="Times New Roman"/>
          <w:color w:val="auto"/>
          <w:szCs w:val="21"/>
        </w:rPr>
        <w:object>
          <v:shape id="_x0000_i1044"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44" DrawAspect="Content" ObjectID="_1468075743" r:id="rId30">
            <o:LockedField>false</o:LockedField>
          </o:OLEObject>
        </w:object>
      </w:r>
    </w:p>
    <w:p w14:paraId="1DEEC8A3">
      <w:pPr>
        <w:spacing w:before="156" w:beforeLines="50" w:line="360" w:lineRule="auto"/>
        <w:ind w:firstLine="420" w:firstLineChars="200"/>
        <w:jc w:val="left"/>
        <w:rPr>
          <w:rFonts w:ascii="宋体" w:hAnsi="宋体" w:eastAsia="宋体" w:cs="Times New Roman"/>
          <w:color w:val="auto"/>
          <w:szCs w:val="21"/>
        </w:rPr>
      </w:pPr>
    </w:p>
    <w:p w14:paraId="67588A96">
      <w:pPr>
        <w:spacing w:before="156" w:beforeLines="50" w:line="360" w:lineRule="auto"/>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五、</w:t>
      </w:r>
      <w:r>
        <w:rPr>
          <w:rFonts w:hint="eastAsia" w:ascii="Times New Roman" w:hAnsi="Times New Roman" w:eastAsia="宋体" w:cs="Times New Roman"/>
          <w:b/>
          <w:color w:val="auto"/>
          <w:sz w:val="24"/>
          <w:szCs w:val="24"/>
        </w:rPr>
        <w:t>课程实践（课内实践）</w:t>
      </w:r>
    </w:p>
    <w:tbl>
      <w:tblPr>
        <w:tblStyle w:val="15"/>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610"/>
        <w:gridCol w:w="3260"/>
        <w:gridCol w:w="1276"/>
        <w:gridCol w:w="708"/>
        <w:gridCol w:w="851"/>
        <w:gridCol w:w="908"/>
      </w:tblGrid>
      <w:tr w14:paraId="7F1B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77" w:type="dxa"/>
            <w:shd w:val="clear" w:color="auto" w:fill="FFFFFF"/>
            <w:vAlign w:val="center"/>
          </w:tcPr>
          <w:p w14:paraId="19262B0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序号</w:t>
            </w:r>
          </w:p>
        </w:tc>
        <w:tc>
          <w:tcPr>
            <w:tcW w:w="1610" w:type="dxa"/>
            <w:shd w:val="clear" w:color="auto" w:fill="FFFFFF"/>
            <w:vAlign w:val="center"/>
          </w:tcPr>
          <w:p w14:paraId="684E00D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实验（实践）</w:t>
            </w:r>
          </w:p>
          <w:p w14:paraId="1383FD2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项目名称</w:t>
            </w:r>
          </w:p>
        </w:tc>
        <w:tc>
          <w:tcPr>
            <w:tcW w:w="3260" w:type="dxa"/>
            <w:shd w:val="clear" w:color="auto" w:fill="FFFFFF"/>
            <w:vAlign w:val="center"/>
          </w:tcPr>
          <w:p w14:paraId="49934CA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实验（实践）项目</w:t>
            </w:r>
          </w:p>
          <w:p w14:paraId="32EFB4A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内容及要求</w:t>
            </w:r>
          </w:p>
        </w:tc>
        <w:tc>
          <w:tcPr>
            <w:tcW w:w="1276" w:type="dxa"/>
            <w:shd w:val="clear" w:color="auto" w:fill="FFFFFF"/>
            <w:vAlign w:val="center"/>
          </w:tcPr>
          <w:p w14:paraId="30F311D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对</w:t>
            </w:r>
            <w:r>
              <w:rPr>
                <w:rFonts w:ascii="Times New Roman" w:hAnsi="Times New Roman" w:eastAsia="宋体" w:cs="Times New Roman"/>
                <w:color w:val="auto"/>
                <w:szCs w:val="21"/>
              </w:rPr>
              <w:t>毕业要求</w:t>
            </w:r>
          </w:p>
          <w:p w14:paraId="77FF1E8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的</w:t>
            </w:r>
            <w:r>
              <w:rPr>
                <w:rFonts w:ascii="Times New Roman" w:hAnsi="Times New Roman" w:eastAsia="宋体" w:cs="Times New Roman"/>
                <w:color w:val="auto"/>
                <w:szCs w:val="21"/>
              </w:rPr>
              <w:t>支撑</w:t>
            </w:r>
          </w:p>
        </w:tc>
        <w:tc>
          <w:tcPr>
            <w:tcW w:w="708" w:type="dxa"/>
            <w:shd w:val="clear" w:color="auto" w:fill="FFFFFF"/>
            <w:vAlign w:val="center"/>
          </w:tcPr>
          <w:p w14:paraId="1143AD5D">
            <w:pPr>
              <w:rPr>
                <w:rFonts w:ascii="Times New Roman" w:hAnsi="Times New Roman" w:eastAsia="宋体" w:cs="Times New Roman"/>
                <w:color w:val="auto"/>
                <w:szCs w:val="21"/>
              </w:rPr>
            </w:pPr>
            <w:r>
              <w:rPr>
                <w:rFonts w:ascii="Times New Roman" w:hAnsi="Times New Roman" w:eastAsia="宋体" w:cs="Times New Roman"/>
                <w:color w:val="auto"/>
                <w:szCs w:val="21"/>
              </w:rPr>
              <w:t>学时</w:t>
            </w:r>
          </w:p>
        </w:tc>
        <w:tc>
          <w:tcPr>
            <w:tcW w:w="851" w:type="dxa"/>
            <w:shd w:val="clear" w:color="auto" w:fill="FFFFFF"/>
            <w:vAlign w:val="center"/>
          </w:tcPr>
          <w:p w14:paraId="6C5E8DC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类型</w:t>
            </w:r>
          </w:p>
        </w:tc>
        <w:tc>
          <w:tcPr>
            <w:tcW w:w="908" w:type="dxa"/>
            <w:shd w:val="clear" w:color="auto" w:fill="FFFFFF"/>
            <w:vAlign w:val="center"/>
          </w:tcPr>
          <w:p w14:paraId="027289C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备注</w:t>
            </w:r>
          </w:p>
        </w:tc>
      </w:tr>
      <w:tr w14:paraId="5688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577" w:type="dxa"/>
            <w:vAlign w:val="center"/>
          </w:tcPr>
          <w:p w14:paraId="5814505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1610" w:type="dxa"/>
            <w:vAlign w:val="center"/>
          </w:tcPr>
          <w:p w14:paraId="1E5BA9D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教育个案研究</w:t>
            </w:r>
          </w:p>
          <w:p w14:paraId="3D8EB34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方案设计</w:t>
            </w:r>
          </w:p>
        </w:tc>
        <w:tc>
          <w:tcPr>
            <w:tcW w:w="3260" w:type="dxa"/>
            <w:vAlign w:val="center"/>
          </w:tcPr>
          <w:p w14:paraId="2681A542">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内容：以小组为单位，进行个案研究方案设计。</w:t>
            </w:r>
          </w:p>
          <w:p w14:paraId="56AD9A5C">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要求：问题界定明确，研究步骤清晰，方法使用恰当。</w:t>
            </w:r>
          </w:p>
        </w:tc>
        <w:tc>
          <w:tcPr>
            <w:tcW w:w="1276" w:type="dxa"/>
            <w:vAlign w:val="center"/>
          </w:tcPr>
          <w:p w14:paraId="0F33B6A0">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w:t>
            </w:r>
            <w:r>
              <w:rPr>
                <w:rFonts w:hint="eastAsia" w:ascii="Times New Roman" w:hAnsi="Times New Roman" w:eastAsia="宋体" w:cs="Times New Roman"/>
                <w:color w:val="auto"/>
                <w:szCs w:val="21"/>
              </w:rPr>
              <w:t>4-4</w:t>
            </w:r>
            <w:r>
              <w:rPr>
                <w:rFonts w:hint="eastAsia" w:ascii="Times New Roman" w:hAnsi="Times New Roman" w:eastAsia="宋体" w:cs="Times New Roman"/>
                <w:color w:val="auto"/>
                <w:szCs w:val="21"/>
                <w:lang w:val="en-US" w:eastAsia="zh-CN"/>
              </w:rPr>
              <w:t>,</w:t>
            </w:r>
          </w:p>
          <w:p w14:paraId="5D079CE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7-3，8-1</w:t>
            </w:r>
          </w:p>
        </w:tc>
        <w:tc>
          <w:tcPr>
            <w:tcW w:w="708" w:type="dxa"/>
            <w:vAlign w:val="center"/>
          </w:tcPr>
          <w:p w14:paraId="081B2FD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4</w:t>
            </w:r>
          </w:p>
        </w:tc>
        <w:tc>
          <w:tcPr>
            <w:tcW w:w="851" w:type="dxa"/>
            <w:vAlign w:val="center"/>
          </w:tcPr>
          <w:p w14:paraId="1606665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设计性</w:t>
            </w:r>
          </w:p>
        </w:tc>
        <w:tc>
          <w:tcPr>
            <w:tcW w:w="908" w:type="dxa"/>
            <w:vAlign w:val="center"/>
          </w:tcPr>
          <w:p w14:paraId="0E90729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四选二</w:t>
            </w:r>
          </w:p>
        </w:tc>
      </w:tr>
      <w:tr w14:paraId="0661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577" w:type="dxa"/>
            <w:vAlign w:val="center"/>
          </w:tcPr>
          <w:p w14:paraId="5E47007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p>
        </w:tc>
        <w:tc>
          <w:tcPr>
            <w:tcW w:w="1610" w:type="dxa"/>
            <w:vAlign w:val="center"/>
          </w:tcPr>
          <w:p w14:paraId="64EA9B8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教育实验研究方案设计</w:t>
            </w:r>
          </w:p>
        </w:tc>
        <w:tc>
          <w:tcPr>
            <w:tcW w:w="3260" w:type="dxa"/>
            <w:vAlign w:val="center"/>
          </w:tcPr>
          <w:p w14:paraId="175DFF10">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内容：以小组为单位，进行教育实验方案设计。</w:t>
            </w:r>
          </w:p>
          <w:p w14:paraId="0C0EBAF1">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要求：选题适当，实验目的明确，实验假设和统计假设表述正确，自变量取值水平及实验处理合理，因变量分解及测量方法科学，提高实验效度的措施有效。</w:t>
            </w:r>
          </w:p>
        </w:tc>
        <w:tc>
          <w:tcPr>
            <w:tcW w:w="1276" w:type="dxa"/>
            <w:vAlign w:val="center"/>
          </w:tcPr>
          <w:p w14:paraId="2C2676E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4-4，7-3，8-1</w:t>
            </w:r>
          </w:p>
        </w:tc>
        <w:tc>
          <w:tcPr>
            <w:tcW w:w="708" w:type="dxa"/>
            <w:vAlign w:val="center"/>
          </w:tcPr>
          <w:p w14:paraId="5AAB92F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4</w:t>
            </w:r>
          </w:p>
        </w:tc>
        <w:tc>
          <w:tcPr>
            <w:tcW w:w="851" w:type="dxa"/>
            <w:vAlign w:val="center"/>
          </w:tcPr>
          <w:p w14:paraId="0331156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设计性</w:t>
            </w:r>
          </w:p>
        </w:tc>
        <w:tc>
          <w:tcPr>
            <w:tcW w:w="908" w:type="dxa"/>
            <w:vAlign w:val="center"/>
          </w:tcPr>
          <w:p w14:paraId="0D0EA87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四选二</w:t>
            </w:r>
          </w:p>
        </w:tc>
      </w:tr>
      <w:tr w14:paraId="16F1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577" w:type="dxa"/>
            <w:vAlign w:val="center"/>
          </w:tcPr>
          <w:p w14:paraId="753C1FA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p>
        </w:tc>
        <w:tc>
          <w:tcPr>
            <w:tcW w:w="1610" w:type="dxa"/>
            <w:vAlign w:val="center"/>
          </w:tcPr>
          <w:p w14:paraId="1E98692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教育叙事研究方案设计</w:t>
            </w:r>
          </w:p>
        </w:tc>
        <w:tc>
          <w:tcPr>
            <w:tcW w:w="3260" w:type="dxa"/>
            <w:vAlign w:val="center"/>
          </w:tcPr>
          <w:p w14:paraId="5807A5CF">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内容：以小组为单位，进行教育叙事研究方案设计。</w:t>
            </w:r>
          </w:p>
          <w:p w14:paraId="3870D476">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要求：问题界定明确，研究步骤清晰，方法使用恰当。</w:t>
            </w:r>
          </w:p>
        </w:tc>
        <w:tc>
          <w:tcPr>
            <w:tcW w:w="1276" w:type="dxa"/>
            <w:vAlign w:val="center"/>
          </w:tcPr>
          <w:p w14:paraId="01A443AB">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2-2，</w:t>
            </w:r>
            <w:r>
              <w:rPr>
                <w:rFonts w:hint="eastAsia" w:ascii="Times New Roman" w:hAnsi="Times New Roman" w:eastAsia="宋体" w:cs="Times New Roman"/>
                <w:color w:val="auto"/>
                <w:szCs w:val="21"/>
              </w:rPr>
              <w:t>4-4</w:t>
            </w:r>
          </w:p>
          <w:p w14:paraId="5B9379A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7-3，8-1</w:t>
            </w:r>
          </w:p>
        </w:tc>
        <w:tc>
          <w:tcPr>
            <w:tcW w:w="708" w:type="dxa"/>
            <w:vAlign w:val="center"/>
          </w:tcPr>
          <w:p w14:paraId="43AFAE46">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4</w:t>
            </w:r>
          </w:p>
        </w:tc>
        <w:tc>
          <w:tcPr>
            <w:tcW w:w="851" w:type="dxa"/>
            <w:vAlign w:val="center"/>
          </w:tcPr>
          <w:p w14:paraId="45BD97C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设计性</w:t>
            </w:r>
          </w:p>
        </w:tc>
        <w:tc>
          <w:tcPr>
            <w:tcW w:w="908" w:type="dxa"/>
            <w:vAlign w:val="center"/>
          </w:tcPr>
          <w:p w14:paraId="1573CFA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四选二</w:t>
            </w:r>
          </w:p>
        </w:tc>
      </w:tr>
      <w:tr w14:paraId="4DAD8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7" w:type="dxa"/>
            <w:vAlign w:val="center"/>
          </w:tcPr>
          <w:p w14:paraId="42D9C25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p>
        </w:tc>
        <w:tc>
          <w:tcPr>
            <w:tcW w:w="1610" w:type="dxa"/>
            <w:vAlign w:val="center"/>
          </w:tcPr>
          <w:p w14:paraId="37012EB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教育行动研究方案设计</w:t>
            </w:r>
          </w:p>
        </w:tc>
        <w:tc>
          <w:tcPr>
            <w:tcW w:w="3260" w:type="dxa"/>
            <w:vAlign w:val="center"/>
          </w:tcPr>
          <w:p w14:paraId="436900C9">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内容：结合教育实践，以小组为单位，讨论分析在小学教育教学实践中感到困惑的“现象”。选择一个合适的课题，进行教育行动研究方案设计。</w:t>
            </w:r>
          </w:p>
          <w:p w14:paraId="2E4FF99C">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要求：研究目的明确，问题界定清晰，研究计划详细具体，研究策略与方法科学合理。</w:t>
            </w:r>
          </w:p>
        </w:tc>
        <w:tc>
          <w:tcPr>
            <w:tcW w:w="1276" w:type="dxa"/>
            <w:vAlign w:val="center"/>
          </w:tcPr>
          <w:p w14:paraId="4D27A04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4-4，7-3，8-1</w:t>
            </w:r>
          </w:p>
        </w:tc>
        <w:tc>
          <w:tcPr>
            <w:tcW w:w="708" w:type="dxa"/>
            <w:vAlign w:val="center"/>
          </w:tcPr>
          <w:p w14:paraId="043D808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4</w:t>
            </w:r>
          </w:p>
        </w:tc>
        <w:tc>
          <w:tcPr>
            <w:tcW w:w="851" w:type="dxa"/>
            <w:vAlign w:val="center"/>
          </w:tcPr>
          <w:p w14:paraId="467819E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设计性</w:t>
            </w:r>
          </w:p>
        </w:tc>
        <w:tc>
          <w:tcPr>
            <w:tcW w:w="908" w:type="dxa"/>
            <w:vAlign w:val="center"/>
          </w:tcPr>
          <w:p w14:paraId="0887680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四选二</w:t>
            </w:r>
          </w:p>
        </w:tc>
      </w:tr>
    </w:tbl>
    <w:p w14:paraId="470D8DA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六、有关说明</w:t>
      </w:r>
    </w:p>
    <w:p w14:paraId="6E00C17E">
      <w:pPr>
        <w:spacing w:line="360" w:lineRule="auto"/>
        <w:ind w:firstLine="422" w:firstLineChars="200"/>
        <w:jc w:val="left"/>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（一）持续改进</w:t>
      </w:r>
    </w:p>
    <w:p w14:paraId="2E0BFFF4">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 xml:space="preserve"> 主讲教师利用指导学生教育见习、实习的机会，认真听取优秀毕业生对本课程教学改革的建议；根据基础教育改革与研究的需要，及时优化、调整教学内容。</w:t>
      </w:r>
    </w:p>
    <w:p w14:paraId="1D66ECD0">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 xml:space="preserve"> 开课过程中，通过课程群随时了解学生的学习反馈；开课过程中以及课程结束后一周内分别召开一次学生座谈会；同时，依据每学期学生评教结果，及时了解教学中存在的问题，持续改进教学方式方法。</w:t>
      </w:r>
    </w:p>
    <w:p w14:paraId="1097B1BF">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根据学生个人及小组合作项目作业完成情况，及时发现课程评价中存在的问题，不断优化课程评价方式。</w:t>
      </w:r>
    </w:p>
    <w:p w14:paraId="268A991F">
      <w:pPr>
        <w:spacing w:line="360" w:lineRule="auto"/>
        <w:ind w:firstLine="420" w:firstLineChars="200"/>
        <w:jc w:val="left"/>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4. </w:t>
      </w:r>
      <w:r>
        <w:rPr>
          <w:rFonts w:hint="eastAsia" w:ascii="Times New Roman" w:hAnsi="Times New Roman" w:eastAsia="宋体" w:cs="Times New Roman"/>
          <w:color w:val="auto"/>
          <w:szCs w:val="21"/>
        </w:rPr>
        <w:t>虚心听取领导、督导、教师听课评价意见和建议，努力提高教学质量。</w:t>
      </w:r>
    </w:p>
    <w:p w14:paraId="2E20FE99">
      <w:pPr>
        <w:spacing w:line="360" w:lineRule="auto"/>
        <w:ind w:firstLine="420" w:firstLineChars="200"/>
        <w:jc w:val="left"/>
        <w:rPr>
          <w:rFonts w:ascii="Times New Roman" w:hAnsi="Times New Roman" w:eastAsia="宋体" w:cs="Times New Roman"/>
          <w:color w:val="auto"/>
          <w:szCs w:val="21"/>
        </w:rPr>
      </w:pPr>
      <w:r>
        <w:rPr>
          <w:rFonts w:ascii="Times New Roman" w:hAnsi="Times New Roman" w:eastAsia="宋体" w:cs="Times New Roman"/>
          <w:color w:val="auto"/>
          <w:szCs w:val="21"/>
        </w:rPr>
        <w:t>5.</w:t>
      </w:r>
      <w:r>
        <w:rPr>
          <w:rFonts w:hint="eastAsia" w:ascii="Times New Roman" w:hAnsi="Times New Roman" w:eastAsia="宋体" w:cs="Times New Roman"/>
          <w:color w:val="auto"/>
          <w:szCs w:val="21"/>
        </w:rPr>
        <w:t xml:space="preserve"> 每一轮开课结束后，课程组召开研讨会，探讨课程教学中的盲点、难点和痛点问题，找准课程改革的切入点和教学质量的增长点，确保课程目标对毕业要求形成有力支撑。</w:t>
      </w:r>
    </w:p>
    <w:p w14:paraId="42D4003C">
      <w:pPr>
        <w:spacing w:line="360" w:lineRule="auto"/>
        <w:ind w:firstLine="422" w:firstLineChars="200"/>
        <w:jc w:val="left"/>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（二）建议教材</w:t>
      </w:r>
    </w:p>
    <w:p w14:paraId="5A19D0AB">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温忠麟主编《教育研究方法基础》，高等教育出版社，2</w:t>
      </w:r>
      <w:r>
        <w:rPr>
          <w:rFonts w:ascii="Times New Roman" w:hAnsi="Times New Roman" w:eastAsia="宋体" w:cs="Times New Roman"/>
          <w:color w:val="auto"/>
          <w:szCs w:val="21"/>
        </w:rPr>
        <w:t>017</w:t>
      </w:r>
      <w:r>
        <w:rPr>
          <w:rFonts w:hint="eastAsia" w:ascii="Times New Roman" w:hAnsi="Times New Roman" w:eastAsia="宋体" w:cs="Times New Roman"/>
          <w:color w:val="auto"/>
          <w:szCs w:val="21"/>
        </w:rPr>
        <w:t>年，第三版</w:t>
      </w:r>
    </w:p>
    <w:p w14:paraId="2B6705EA">
      <w:pPr>
        <w:spacing w:line="360" w:lineRule="auto"/>
        <w:ind w:firstLine="422" w:firstLineChars="200"/>
        <w:jc w:val="left"/>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（三）参考书目</w:t>
      </w:r>
    </w:p>
    <w:p w14:paraId="2A5ABB06">
      <w:pPr>
        <w:spacing w:line="360" w:lineRule="auto"/>
        <w:ind w:firstLine="420" w:firstLineChars="200"/>
        <w:jc w:val="left"/>
        <w:rPr>
          <w:rFonts w:ascii="Times New Roman" w:hAnsi="Times New Roman" w:eastAsia="宋体" w:cs="Times New Roman"/>
          <w:color w:val="auto"/>
          <w:szCs w:val="21"/>
        </w:rPr>
      </w:pPr>
      <w:r>
        <w:rPr>
          <w:rFonts w:ascii="Times New Roman" w:hAnsi="Times New Roman" w:eastAsia="宋体" w:cs="Times New Roman"/>
          <w:color w:val="auto"/>
          <w:szCs w:val="21"/>
        </w:rPr>
        <w:t>1．孙德芳等：小学教育科研方法，西南师范大学出版社，</w:t>
      </w: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019</w:t>
      </w:r>
      <w:r>
        <w:rPr>
          <w:rFonts w:hint="eastAsia" w:ascii="Times New Roman" w:hAnsi="Times New Roman" w:eastAsia="宋体" w:cs="Times New Roman"/>
          <w:color w:val="auto"/>
          <w:szCs w:val="21"/>
        </w:rPr>
        <w:t>年，第一版；</w:t>
      </w:r>
    </w:p>
    <w:p w14:paraId="75C5A6EC">
      <w:pPr>
        <w:spacing w:line="360" w:lineRule="auto"/>
        <w:ind w:firstLine="420" w:firstLineChars="200"/>
        <w:jc w:val="left"/>
        <w:rPr>
          <w:rFonts w:ascii="Times New Roman" w:hAnsi="Times New Roman" w:eastAsia="宋体" w:cs="Times New Roman"/>
          <w:color w:val="auto"/>
          <w:szCs w:val="21"/>
        </w:rPr>
      </w:pPr>
      <w:r>
        <w:rPr>
          <w:rFonts w:ascii="Times New Roman" w:hAnsi="Times New Roman" w:eastAsia="宋体" w:cs="Times New Roman"/>
          <w:color w:val="auto"/>
          <w:szCs w:val="21"/>
        </w:rPr>
        <w:t>2．张志杰等：教育科研方法，北京师范大学出版社，</w:t>
      </w: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018</w:t>
      </w:r>
      <w:r>
        <w:rPr>
          <w:rFonts w:hint="eastAsia" w:ascii="Times New Roman" w:hAnsi="Times New Roman" w:eastAsia="宋体" w:cs="Times New Roman"/>
          <w:color w:val="auto"/>
          <w:szCs w:val="21"/>
        </w:rPr>
        <w:t>年，第一版；</w:t>
      </w:r>
    </w:p>
    <w:p w14:paraId="3AA1B275">
      <w:pPr>
        <w:spacing w:line="360" w:lineRule="auto"/>
        <w:ind w:firstLine="420" w:firstLineChars="200"/>
        <w:jc w:val="left"/>
        <w:rPr>
          <w:rFonts w:ascii="Times New Roman" w:hAnsi="Times New Roman" w:eastAsia="宋体" w:cs="Times New Roman"/>
          <w:color w:val="auto"/>
          <w:szCs w:val="21"/>
        </w:rPr>
      </w:pPr>
      <w:r>
        <w:rPr>
          <w:rFonts w:ascii="Times New Roman" w:hAnsi="Times New Roman" w:eastAsia="宋体" w:cs="Times New Roman"/>
          <w:color w:val="auto"/>
          <w:szCs w:val="21"/>
        </w:rPr>
        <w:t>3. 胡中锋：教育科学方法，中国人民大学出版社，</w:t>
      </w: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018</w:t>
      </w:r>
      <w:r>
        <w:rPr>
          <w:rFonts w:hint="eastAsia" w:ascii="Times New Roman" w:hAnsi="Times New Roman" w:eastAsia="宋体" w:cs="Times New Roman"/>
          <w:color w:val="auto"/>
          <w:szCs w:val="21"/>
        </w:rPr>
        <w:t>年，第一</w:t>
      </w:r>
      <w:r>
        <w:rPr>
          <w:rFonts w:ascii="Times New Roman" w:hAnsi="Times New Roman" w:eastAsia="宋体" w:cs="Times New Roman"/>
          <w:color w:val="auto"/>
          <w:szCs w:val="21"/>
        </w:rPr>
        <w:t>版</w:t>
      </w:r>
      <w:r>
        <w:rPr>
          <w:rFonts w:hint="eastAsia" w:ascii="Times New Roman" w:hAnsi="Times New Roman" w:eastAsia="宋体" w:cs="Times New Roman"/>
          <w:color w:val="auto"/>
          <w:szCs w:val="21"/>
        </w:rPr>
        <w:t>；</w:t>
      </w:r>
    </w:p>
    <w:p w14:paraId="6847FCC1">
      <w:pPr>
        <w:spacing w:line="360" w:lineRule="auto"/>
        <w:ind w:firstLine="420" w:firstLineChars="200"/>
        <w:jc w:val="left"/>
        <w:rPr>
          <w:rFonts w:ascii="Times New Roman" w:hAnsi="Times New Roman" w:eastAsia="宋体" w:cs="Times New Roman"/>
          <w:color w:val="auto"/>
          <w:szCs w:val="21"/>
        </w:rPr>
      </w:pPr>
      <w:r>
        <w:rPr>
          <w:rFonts w:ascii="Times New Roman" w:hAnsi="Times New Roman" w:eastAsia="宋体" w:cs="Times New Roman"/>
          <w:color w:val="auto"/>
          <w:szCs w:val="21"/>
        </w:rPr>
        <w:t>4. 王红艳：小学教育研究方法，北京大学出版社，</w:t>
      </w: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019</w:t>
      </w:r>
      <w:r>
        <w:rPr>
          <w:rFonts w:hint="eastAsia" w:ascii="Times New Roman" w:hAnsi="Times New Roman" w:eastAsia="宋体" w:cs="Times New Roman"/>
          <w:color w:val="auto"/>
          <w:szCs w:val="21"/>
        </w:rPr>
        <w:t>年，第一版；</w:t>
      </w:r>
    </w:p>
    <w:p w14:paraId="2CB8788B">
      <w:pPr>
        <w:spacing w:line="360" w:lineRule="auto"/>
        <w:ind w:firstLine="420" w:firstLineChars="200"/>
        <w:jc w:val="left"/>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5. 荷兰芝等：教育研究方法，同济大学出版社，</w:t>
      </w:r>
      <w:r>
        <w:rPr>
          <w:rFonts w:hint="eastAsia" w:ascii="Times New Roman" w:hAnsi="Times New Roman" w:eastAsia="宋体" w:cs="Times New Roman"/>
          <w:color w:val="auto"/>
          <w:szCs w:val="21"/>
        </w:rPr>
        <w:t xml:space="preserve"> 2</w:t>
      </w:r>
      <w:r>
        <w:rPr>
          <w:rFonts w:ascii="Times New Roman" w:hAnsi="Times New Roman" w:eastAsia="宋体" w:cs="Times New Roman"/>
          <w:color w:val="auto"/>
          <w:szCs w:val="21"/>
        </w:rPr>
        <w:t>020</w:t>
      </w:r>
      <w:r>
        <w:rPr>
          <w:rFonts w:hint="eastAsia" w:ascii="Times New Roman" w:hAnsi="Times New Roman" w:eastAsia="宋体" w:cs="Times New Roman"/>
          <w:color w:val="auto"/>
          <w:szCs w:val="21"/>
        </w:rPr>
        <w:t>年，第一</w:t>
      </w:r>
      <w:r>
        <w:rPr>
          <w:rFonts w:ascii="Times New Roman" w:hAnsi="Times New Roman" w:eastAsia="宋体" w:cs="Times New Roman"/>
          <w:color w:val="auto"/>
          <w:szCs w:val="21"/>
        </w:rPr>
        <w:t>版</w:t>
      </w:r>
      <w:r>
        <w:rPr>
          <w:rFonts w:hint="eastAsia" w:ascii="Times New Roman" w:hAnsi="Times New Roman" w:eastAsia="宋体" w:cs="Times New Roman"/>
          <w:color w:val="auto"/>
          <w:szCs w:val="21"/>
          <w:lang w:eastAsia="zh-CN"/>
        </w:rPr>
        <w:t>。</w:t>
      </w:r>
    </w:p>
    <w:p w14:paraId="3BF52CB6">
      <w:pPr>
        <w:rPr>
          <w:color w:val="auto"/>
        </w:rPr>
      </w:pPr>
    </w:p>
    <w:p w14:paraId="47C10F25">
      <w:pPr>
        <w:rPr>
          <w:color w:val="auto"/>
        </w:rPr>
      </w:pPr>
    </w:p>
    <w:p w14:paraId="74E211D1">
      <w:pPr>
        <w:spacing w:line="360" w:lineRule="auto"/>
        <w:ind w:right="1200"/>
        <w:jc w:val="right"/>
        <w:rPr>
          <w:rFonts w:ascii="Times New Roman" w:hAnsi="Times New Roman" w:eastAsia="宋体" w:cs="Times New Roman"/>
          <w:color w:val="auto"/>
          <w:sz w:val="24"/>
        </w:rPr>
      </w:pPr>
      <w:r>
        <w:rPr>
          <w:rFonts w:hint="eastAsia" w:ascii="Times New Roman" w:hAnsi="Times New Roman" w:eastAsia="宋体" w:cs="Times New Roman"/>
          <w:color w:val="auto"/>
          <w:sz w:val="24"/>
        </w:rPr>
        <w:t>执 笔 人：</w:t>
      </w:r>
      <w:r>
        <w:rPr>
          <w:rFonts w:ascii="Times New Roman" w:hAnsi="Times New Roman" w:eastAsia="宋体" w:cs="Times New Roman"/>
          <w:color w:val="auto"/>
          <w:sz w:val="24"/>
        </w:rPr>
        <w:t xml:space="preserve"> </w:t>
      </w:r>
      <w:r>
        <w:rPr>
          <w:rFonts w:hint="eastAsia" w:ascii="Times New Roman" w:hAnsi="Times New Roman" w:eastAsia="宋体" w:cs="Times New Roman"/>
          <w:color w:val="auto"/>
          <w:sz w:val="24"/>
        </w:rPr>
        <w:t>潘金林</w:t>
      </w:r>
    </w:p>
    <w:p w14:paraId="1FD278D6">
      <w:pPr>
        <w:wordWrap w:val="0"/>
        <w:spacing w:line="360" w:lineRule="auto"/>
        <w:ind w:right="1200"/>
        <w:jc w:val="right"/>
        <w:rPr>
          <w:rFonts w:ascii="Times New Roman" w:hAnsi="Times New Roman" w:eastAsia="宋体" w:cs="Times New Roman"/>
          <w:color w:val="auto"/>
          <w:sz w:val="24"/>
        </w:rPr>
      </w:pPr>
      <w:r>
        <w:rPr>
          <w:rFonts w:hint="eastAsia" w:ascii="Times New Roman" w:hAnsi="Times New Roman" w:eastAsia="宋体" w:cs="Times New Roman"/>
          <w:color w:val="auto"/>
          <w:sz w:val="24"/>
        </w:rPr>
        <w:t>审 定 人：</w:t>
      </w:r>
      <w:r>
        <w:rPr>
          <w:rFonts w:ascii="Times New Roman" w:hAnsi="Times New Roman" w:eastAsia="宋体" w:cs="Times New Roman"/>
          <w:color w:val="auto"/>
          <w:sz w:val="24"/>
        </w:rPr>
        <w:t xml:space="preserve"> </w:t>
      </w:r>
      <w:r>
        <w:rPr>
          <w:rFonts w:hint="eastAsia" w:ascii="Times New Roman" w:hAnsi="Times New Roman" w:eastAsia="宋体" w:cs="Times New Roman"/>
          <w:color w:val="auto"/>
          <w:sz w:val="24"/>
        </w:rPr>
        <w:t xml:space="preserve">王 </w:t>
      </w:r>
      <w:r>
        <w:rPr>
          <w:rFonts w:ascii="Times New Roman" w:hAnsi="Times New Roman" w:eastAsia="宋体" w:cs="Times New Roman"/>
          <w:color w:val="auto"/>
          <w:sz w:val="24"/>
        </w:rPr>
        <w:t xml:space="preserve"> </w:t>
      </w:r>
      <w:r>
        <w:rPr>
          <w:rFonts w:hint="eastAsia" w:ascii="Times New Roman" w:hAnsi="Times New Roman" w:eastAsia="宋体" w:cs="Times New Roman"/>
          <w:color w:val="auto"/>
          <w:sz w:val="24"/>
        </w:rPr>
        <w:t>健</w:t>
      </w:r>
    </w:p>
    <w:p w14:paraId="68727199">
      <w:pPr>
        <w:spacing w:line="360" w:lineRule="auto"/>
        <w:ind w:right="1200"/>
        <w:jc w:val="right"/>
        <w:rPr>
          <w:rFonts w:ascii="Times New Roman" w:hAnsi="Times New Roman" w:eastAsia="宋体" w:cs="Times New Roman"/>
          <w:color w:val="auto"/>
          <w:sz w:val="24"/>
        </w:rPr>
      </w:pPr>
      <w:r>
        <w:rPr>
          <w:rFonts w:hint="eastAsia" w:ascii="Times New Roman" w:hAnsi="Times New Roman" w:eastAsia="宋体" w:cs="Times New Roman"/>
          <w:color w:val="auto"/>
          <w:sz w:val="24"/>
        </w:rPr>
        <w:t>审 批 人：</w:t>
      </w:r>
      <w:r>
        <w:rPr>
          <w:rFonts w:ascii="Times New Roman" w:hAnsi="Times New Roman" w:eastAsia="宋体" w:cs="Times New Roman"/>
          <w:color w:val="auto"/>
          <w:sz w:val="24"/>
        </w:rPr>
        <w:t xml:space="preserve"> </w:t>
      </w:r>
      <w:r>
        <w:rPr>
          <w:rFonts w:hint="eastAsia" w:ascii="Times New Roman" w:hAnsi="Times New Roman" w:eastAsia="宋体" w:cs="Times New Roman"/>
          <w:color w:val="auto"/>
          <w:sz w:val="24"/>
        </w:rPr>
        <w:t>张志欣</w:t>
      </w:r>
    </w:p>
    <w:p w14:paraId="097CDBD8">
      <w:pPr>
        <w:spacing w:line="360" w:lineRule="auto"/>
        <w:jc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lang w:eastAsia="zh-CN"/>
        </w:rPr>
        <w:t>批准时间：2025年7月1日</w:t>
      </w:r>
    </w:p>
    <w:p w14:paraId="160A981B">
      <w:pPr>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2F7A04D9">
      <w:pPr>
        <w:spacing w:line="360" w:lineRule="auto"/>
        <w:jc w:val="center"/>
        <w:outlineLvl w:val="0"/>
        <w:rPr>
          <w:rFonts w:hint="eastAsia" w:ascii="Times New Roman" w:hAnsi="Times New Roman" w:eastAsia="宋体" w:cs="Times New Roman"/>
          <w:b/>
          <w:sz w:val="44"/>
          <w:szCs w:val="44"/>
        </w:rPr>
      </w:pPr>
      <w:bookmarkStart w:id="304" w:name="_Toc24211"/>
      <w:bookmarkStart w:id="305" w:name="_Toc16958"/>
      <w:r>
        <w:rPr>
          <w:rFonts w:hint="eastAsia" w:ascii="Times New Roman" w:hAnsi="Times New Roman" w:eastAsia="宋体" w:cs="Times New Roman"/>
          <w:b/>
          <w:sz w:val="44"/>
          <w:szCs w:val="44"/>
        </w:rPr>
        <w:t>《小学班队管理》课程教学大纲</w:t>
      </w:r>
      <w:bookmarkEnd w:id="304"/>
      <w:bookmarkEnd w:id="305"/>
    </w:p>
    <w:p w14:paraId="7718C5C8">
      <w:pPr>
        <w:spacing w:line="360" w:lineRule="auto"/>
        <w:jc w:val="cente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（Class  Management）</w:t>
      </w:r>
    </w:p>
    <w:p w14:paraId="12B3715D">
      <w:pPr>
        <w:spacing w:line="360" w:lineRule="auto"/>
        <w:ind w:firstLine="482" w:firstLineChars="200"/>
        <w:jc w:val="left"/>
        <w:rPr>
          <w:rFonts w:hint="eastAsia" w:ascii="Times New Roman" w:hAnsi="Times New Roman" w:eastAsia="宋体" w:cs="Times New Roman"/>
          <w:b/>
          <w:color w:val="auto"/>
          <w:sz w:val="24"/>
          <w:szCs w:val="24"/>
          <w:lang w:eastAsia="zh-CN"/>
        </w:rPr>
      </w:pPr>
      <w:r>
        <w:rPr>
          <w:rFonts w:hint="eastAsia" w:ascii="Times New Roman" w:hAnsi="Times New Roman" w:eastAsia="宋体" w:cs="Times New Roman"/>
          <w:b/>
          <w:color w:val="auto"/>
          <w:sz w:val="24"/>
          <w:szCs w:val="24"/>
        </w:rPr>
        <w:t>课程名称：</w:t>
      </w:r>
      <w:r>
        <w:rPr>
          <w:rFonts w:hint="eastAsia" w:ascii="Times New Roman" w:hAnsi="Times New Roman" w:eastAsia="宋体" w:cs="Times New Roman"/>
          <w:b/>
          <w:color w:val="auto"/>
          <w:sz w:val="24"/>
          <w:szCs w:val="24"/>
          <w:lang w:val="en-US" w:eastAsia="zh-CN"/>
        </w:rPr>
        <w:t>小学班队管理</w:t>
      </w:r>
    </w:p>
    <w:p w14:paraId="0910B8E2">
      <w:pPr>
        <w:spacing w:line="360" w:lineRule="auto"/>
        <w:ind w:firstLine="482" w:firstLineChars="200"/>
        <w:jc w:val="left"/>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rPr>
        <w:t>课程代码：24010</w:t>
      </w:r>
      <w:r>
        <w:rPr>
          <w:rFonts w:hint="eastAsia" w:ascii="Times New Roman" w:hAnsi="Times New Roman" w:eastAsia="宋体" w:cs="Times New Roman"/>
          <w:b/>
          <w:color w:val="auto"/>
          <w:sz w:val="24"/>
          <w:szCs w:val="24"/>
          <w:lang w:val="en-US" w:eastAsia="zh-CN"/>
        </w:rPr>
        <w:t>13</w:t>
      </w:r>
    </w:p>
    <w:p w14:paraId="61915D23">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分：2</w:t>
      </w:r>
    </w:p>
    <w:p w14:paraId="20AEF9E8">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时：32</w:t>
      </w:r>
      <w:r>
        <w:rPr>
          <w:rFonts w:hint="eastAsia" w:ascii="Times New Roman" w:hAnsi="Times New Roman" w:eastAsia="宋体" w:cs="Times New Roman"/>
          <w:b/>
          <w:color w:val="auto"/>
          <w:sz w:val="24"/>
          <w:szCs w:val="24"/>
          <w:lang w:val="en-US" w:eastAsia="zh-CN"/>
        </w:rPr>
        <w:t>（其中，讲授学时24，实践学时8）</w:t>
      </w:r>
    </w:p>
    <w:p w14:paraId="73B60C39">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先修课程：小学心理学、教育原理、教育心理学、小学教育政策与法规</w:t>
      </w:r>
    </w:p>
    <w:p w14:paraId="29FFE9D5">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适用专业：小学教育</w:t>
      </w:r>
    </w:p>
    <w:p w14:paraId="5ED1C04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一、课程简介</w:t>
      </w:r>
    </w:p>
    <w:p w14:paraId="2FCAD1D7">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是小学教育专业的一门专业基础必修课程，对于学生形成班队组织与管理能力，落实立德树人根本任务具有重要作用。通过本课程的学习，学生进一步理解小学班队管理的目的和意义，掌握小学班队管理的系统理论和基本方法，形成新型的班队管理理念，具备制定班队管理计划、开展班队管理工作的能力，为其今后从事班主任工作和少先队工作奠定基础。</w:t>
      </w:r>
    </w:p>
    <w:p w14:paraId="5D0BB6CD">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二、课程目标</w:t>
      </w:r>
    </w:p>
    <w:p w14:paraId="2570B0D7">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5DE01644">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Times New Roman" w:hAnsi="Times New Roman" w:eastAsia="宋体" w:cs="Times New Roman"/>
          <w:b/>
          <w:color w:val="auto"/>
          <w:szCs w:val="21"/>
        </w:rPr>
      </w:pPr>
      <w:r>
        <w:rPr>
          <w:rFonts w:hint="eastAsia" w:ascii="Times New Roman" w:hAnsi="Times New Roman" w:eastAsia="宋体" w:cs="Times New Roman"/>
          <w:b/>
          <w:color w:val="auto"/>
          <w:szCs w:val="21"/>
        </w:rPr>
        <w:t>目标1：</w:t>
      </w:r>
      <w:r>
        <w:rPr>
          <w:rFonts w:hint="eastAsia" w:ascii="Times New Roman" w:hAnsi="Times New Roman" w:eastAsia="宋体" w:cs="Times New Roman"/>
          <w:b w:val="0"/>
          <w:bCs/>
          <w:color w:val="auto"/>
          <w:szCs w:val="21"/>
        </w:rPr>
        <w:t>理解小学班级和小学班队管理的特性，领会班队管理对学生发展的重要作用；熟悉班主任的职责和应具备的基本素养，明晰班主任的专业发展路径与方法，确立成长为优秀班主任的基本愿景。</w:t>
      </w:r>
    </w:p>
    <w:p w14:paraId="68998214">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Times New Roman" w:hAnsi="Times New Roman" w:eastAsia="宋体" w:cs="Times New Roman"/>
          <w:b w:val="0"/>
          <w:bCs/>
          <w:color w:val="auto"/>
          <w:szCs w:val="21"/>
        </w:rPr>
      </w:pPr>
      <w:r>
        <w:rPr>
          <w:rFonts w:hint="eastAsia" w:ascii="Times New Roman" w:hAnsi="Times New Roman" w:eastAsia="宋体" w:cs="Times New Roman"/>
          <w:b/>
          <w:color w:val="auto"/>
          <w:szCs w:val="21"/>
        </w:rPr>
        <w:t>目标2：</w:t>
      </w:r>
      <w:r>
        <w:rPr>
          <w:rFonts w:hint="eastAsia" w:ascii="Times New Roman" w:hAnsi="Times New Roman" w:eastAsia="宋体" w:cs="Times New Roman"/>
          <w:b w:val="0"/>
          <w:bCs/>
          <w:color w:val="auto"/>
          <w:szCs w:val="21"/>
        </w:rPr>
        <w:t>了解小学班队管理的主要内容，系统掌握班队常规、班队组织、班队活动、班队环境、学生问题行为、家校合作等方面管理的基本理论与方法，能够在工作实践中，科学制定班级工作计划和班队常规，具有合理组织和开展班队活动、创建班队文化的能力。</w:t>
      </w:r>
    </w:p>
    <w:p w14:paraId="428136C3">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Times New Roman" w:hAnsi="Times New Roman" w:eastAsia="宋体" w:cs="Times New Roman"/>
          <w:b w:val="0"/>
          <w:bCs/>
          <w:color w:val="auto"/>
          <w:szCs w:val="21"/>
        </w:rPr>
      </w:pPr>
      <w:r>
        <w:rPr>
          <w:rFonts w:hint="eastAsia" w:ascii="Times New Roman" w:hAnsi="Times New Roman" w:eastAsia="宋体" w:cs="Times New Roman"/>
          <w:b/>
          <w:color w:val="auto"/>
          <w:szCs w:val="21"/>
        </w:rPr>
        <w:t>目标3：</w:t>
      </w:r>
      <w:r>
        <w:rPr>
          <w:rFonts w:hint="eastAsia" w:ascii="Times New Roman" w:hAnsi="Times New Roman" w:eastAsia="宋体" w:cs="Times New Roman"/>
          <w:b w:val="0"/>
          <w:bCs/>
          <w:color w:val="auto"/>
          <w:szCs w:val="21"/>
        </w:rPr>
        <w:t>能够运用班队管理的理论与方法，分析班主任与不同类型学生的关系处理，及时觉察学生问题行并进行有效干预；能够与任课教师、学生、家长进行良好的沟通与合作。</w:t>
      </w:r>
    </w:p>
    <w:p w14:paraId="68AA5397">
      <w:pPr>
        <w:spacing w:before="156" w:beforeLines="50" w:after="156" w:afterLines="50" w:line="360" w:lineRule="auto"/>
        <w:ind w:firstLine="422" w:firstLineChars="200"/>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6348"/>
        <w:gridCol w:w="1191"/>
      </w:tblGrid>
      <w:tr w14:paraId="3507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vAlign w:val="center"/>
          </w:tcPr>
          <w:p w14:paraId="6955C369">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348" w:type="dxa"/>
            <w:vAlign w:val="center"/>
          </w:tcPr>
          <w:p w14:paraId="1A368124">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38050E6E">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50FDB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vAlign w:val="center"/>
          </w:tcPr>
          <w:p w14:paraId="615F0533">
            <w:pPr>
              <w:spacing w:line="276"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毕业要求2</w:t>
            </w:r>
          </w:p>
          <w:p w14:paraId="05819665">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教育情怀</w:t>
            </w:r>
          </w:p>
        </w:tc>
        <w:tc>
          <w:tcPr>
            <w:tcW w:w="6348" w:type="dxa"/>
            <w:vAlign w:val="center"/>
          </w:tcPr>
          <w:p w14:paraId="57736686">
            <w:pPr>
              <w:spacing w:line="276" w:lineRule="auto"/>
              <w:jc w:val="left"/>
              <w:rPr>
                <w:rFonts w:ascii="Times New Roman" w:hAnsi="Times New Roman" w:eastAsia="宋体" w:cs="Times New Roman"/>
                <w:color w:val="auto"/>
                <w:szCs w:val="21"/>
              </w:rPr>
            </w:pPr>
            <w:r>
              <w:rPr>
                <w:rFonts w:hint="eastAsia" w:ascii="宋体" w:hAnsi="宋体" w:eastAsia="宋体" w:cs="Times New Roman"/>
                <w:color w:val="auto"/>
                <w:spacing w:val="2"/>
                <w:kern w:val="0"/>
                <w:szCs w:val="21"/>
              </w:rPr>
              <w:t>指标点</w:t>
            </w:r>
            <w:r>
              <w:rPr>
                <w:rFonts w:ascii="宋体" w:hAnsi="宋体" w:eastAsia="宋体" w:cs="Times New Roman"/>
                <w:color w:val="auto"/>
                <w:spacing w:val="2"/>
                <w:kern w:val="0"/>
                <w:szCs w:val="21"/>
              </w:rPr>
              <w:t>2-2：【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191" w:type="dxa"/>
            <w:vAlign w:val="center"/>
          </w:tcPr>
          <w:p w14:paraId="0131079D">
            <w:pPr>
              <w:spacing w:line="276" w:lineRule="auto"/>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课程目标</w:t>
            </w:r>
            <w:r>
              <w:rPr>
                <w:rFonts w:hint="eastAsia" w:ascii="Times New Roman" w:hAnsi="Times New Roman" w:eastAsia="宋体" w:cs="Times New Roman"/>
                <w:color w:val="auto"/>
                <w:szCs w:val="21"/>
                <w:lang w:val="en-US" w:eastAsia="zh-CN"/>
              </w:rPr>
              <w:t>1</w:t>
            </w:r>
          </w:p>
        </w:tc>
      </w:tr>
      <w:tr w14:paraId="5183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vAlign w:val="center"/>
          </w:tcPr>
          <w:p w14:paraId="1BBA6BBE">
            <w:pPr>
              <w:spacing w:line="276"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毕业要求5</w:t>
            </w:r>
          </w:p>
          <w:p w14:paraId="712A0F89">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班级管理</w:t>
            </w:r>
          </w:p>
        </w:tc>
        <w:tc>
          <w:tcPr>
            <w:tcW w:w="6348" w:type="dxa"/>
            <w:vAlign w:val="center"/>
          </w:tcPr>
          <w:p w14:paraId="223A603F">
            <w:pPr>
              <w:spacing w:line="276" w:lineRule="auto"/>
              <w:jc w:val="left"/>
              <w:rPr>
                <w:rFonts w:hint="eastAsia" w:ascii="宋体" w:hAnsi="宋体" w:eastAsia="宋体" w:cs="Times New Roman"/>
                <w:color w:val="auto"/>
                <w:spacing w:val="2"/>
                <w:kern w:val="0"/>
                <w:szCs w:val="21"/>
              </w:rPr>
            </w:pPr>
            <w:r>
              <w:rPr>
                <w:rFonts w:hint="eastAsia" w:ascii="宋体" w:hAnsi="宋体" w:eastAsia="宋体" w:cs="Times New Roman"/>
                <w:color w:val="auto"/>
                <w:spacing w:val="2"/>
                <w:kern w:val="0"/>
                <w:szCs w:val="21"/>
              </w:rPr>
              <w:t>指标点5-1：【擅长班队管理】具有小学德育工作体验，树立育人为本、德育为先的理念，熟悉小学德育的基本原理与方法。获得小学班队组织与建设的体验。掌握小学班队组织与建设的工作规律和基本方法，具有班队建设和管理的基本能力。能够在工作实践中，利用技术手段收集学生成长过程的关键信息，建立学生成长电子档案，对学生进行综合素质评价，指导学生成长，关注学生生活，运用德育的理论和方法组织与指导班队活动。</w:t>
            </w:r>
          </w:p>
        </w:tc>
        <w:tc>
          <w:tcPr>
            <w:tcW w:w="1191" w:type="dxa"/>
            <w:vAlign w:val="center"/>
          </w:tcPr>
          <w:p w14:paraId="383A088C">
            <w:pPr>
              <w:spacing w:line="276" w:lineRule="auto"/>
              <w:jc w:val="left"/>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课程目标2</w:t>
            </w:r>
          </w:p>
        </w:tc>
      </w:tr>
      <w:tr w14:paraId="4F67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vAlign w:val="center"/>
          </w:tcPr>
          <w:p w14:paraId="0CAB786C">
            <w:pPr>
              <w:spacing w:line="276"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毕业要求6</w:t>
            </w:r>
          </w:p>
          <w:p w14:paraId="6FB3BE2A">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综合育人</w:t>
            </w:r>
          </w:p>
        </w:tc>
        <w:tc>
          <w:tcPr>
            <w:tcW w:w="6348" w:type="dxa"/>
            <w:vAlign w:val="center"/>
          </w:tcPr>
          <w:p w14:paraId="3B708C0C">
            <w:pPr>
              <w:spacing w:line="276" w:lineRule="auto"/>
              <w:jc w:val="left"/>
              <w:rPr>
                <w:rFonts w:hint="eastAsia" w:ascii="宋体" w:hAnsi="宋体" w:eastAsia="宋体" w:cs="Times New Roman"/>
                <w:color w:val="auto"/>
                <w:spacing w:val="2"/>
                <w:kern w:val="0"/>
                <w:szCs w:val="21"/>
                <w:lang w:eastAsia="zh-CN"/>
              </w:rPr>
            </w:pPr>
            <w:r>
              <w:rPr>
                <w:rFonts w:hint="eastAsia" w:ascii="宋体" w:hAnsi="宋体" w:eastAsia="宋体" w:cs="Times New Roman"/>
                <w:color w:val="auto"/>
                <w:spacing w:val="2"/>
                <w:kern w:val="0"/>
                <w:szCs w:val="21"/>
                <w:lang w:eastAsia="zh-CN"/>
              </w:rPr>
              <w:t>指标点6-3：【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3EA31B14">
            <w:pPr>
              <w:spacing w:line="276" w:lineRule="auto"/>
              <w:jc w:val="left"/>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课程目标2</w:t>
            </w:r>
          </w:p>
        </w:tc>
      </w:tr>
      <w:tr w14:paraId="6816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vAlign w:val="center"/>
          </w:tcPr>
          <w:p w14:paraId="619FE2EB">
            <w:pPr>
              <w:spacing w:line="276"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毕业要求</w:t>
            </w:r>
            <w:r>
              <w:rPr>
                <w:rFonts w:hint="eastAsia" w:ascii="Times New Roman" w:hAnsi="Times New Roman" w:eastAsia="宋体" w:cs="Times New Roman"/>
                <w:color w:val="auto"/>
                <w:szCs w:val="21"/>
                <w:lang w:val="en-US" w:eastAsia="zh-CN"/>
              </w:rPr>
              <w:t>8</w:t>
            </w:r>
          </w:p>
          <w:p w14:paraId="647BC731">
            <w:pPr>
              <w:spacing w:line="276" w:lineRule="auto"/>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沟通合作</w:t>
            </w:r>
          </w:p>
        </w:tc>
        <w:tc>
          <w:tcPr>
            <w:tcW w:w="6348" w:type="dxa"/>
            <w:vAlign w:val="center"/>
          </w:tcPr>
          <w:p w14:paraId="31400CBA">
            <w:pPr>
              <w:spacing w:line="276" w:lineRule="auto"/>
              <w:jc w:val="left"/>
              <w:rPr>
                <w:rFonts w:hint="eastAsia" w:ascii="Times New Roman" w:hAnsi="Times New Roman" w:eastAsia="宋体" w:cs="Times New Roman"/>
                <w:color w:val="auto"/>
                <w:szCs w:val="21"/>
                <w:lang w:eastAsia="zh-CN"/>
              </w:rPr>
            </w:pPr>
            <w:r>
              <w:rPr>
                <w:rFonts w:hint="eastAsia" w:ascii="宋体" w:hAnsi="宋体" w:eastAsia="宋体" w:cs="Times New Roman"/>
                <w:color w:val="auto"/>
                <w:kern w:val="0"/>
                <w:szCs w:val="21"/>
                <w:lang w:eastAsia="zh-CN"/>
              </w:rPr>
              <w:t>指标点8-2：【学会沟通交流】掌握人际沟通合作技能与方法，在教育教学实践中，能与学生和家长以及同行、同事、专家进行有效沟通与合作，实现共同发展。</w:t>
            </w:r>
          </w:p>
        </w:tc>
        <w:tc>
          <w:tcPr>
            <w:tcW w:w="1191" w:type="dxa"/>
            <w:vAlign w:val="center"/>
          </w:tcPr>
          <w:p w14:paraId="0134F7E4">
            <w:pPr>
              <w:spacing w:line="276" w:lineRule="auto"/>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课程目标2</w:t>
            </w:r>
            <w:r>
              <w:rPr>
                <w:rFonts w:hint="eastAsia" w:ascii="Times New Roman" w:hAnsi="Times New Roman" w:eastAsia="宋体" w:cs="Times New Roman"/>
                <w:color w:val="auto"/>
                <w:szCs w:val="21"/>
              </w:rPr>
              <w:t>课程目标</w:t>
            </w:r>
            <w:r>
              <w:rPr>
                <w:rFonts w:hint="eastAsia" w:ascii="Times New Roman" w:hAnsi="Times New Roman" w:eastAsia="宋体" w:cs="Times New Roman"/>
                <w:color w:val="auto"/>
                <w:szCs w:val="21"/>
                <w:lang w:val="en-US" w:eastAsia="zh-CN"/>
              </w:rPr>
              <w:t>3</w:t>
            </w:r>
          </w:p>
        </w:tc>
      </w:tr>
    </w:tbl>
    <w:p w14:paraId="4748E865">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53084A39">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理解小学班级</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少先队以及</w:t>
      </w:r>
      <w:r>
        <w:rPr>
          <w:rFonts w:hint="eastAsia" w:ascii="宋体" w:hAnsi="宋体" w:eastAsia="宋体" w:cs="Times New Roman"/>
          <w:color w:val="auto"/>
          <w:szCs w:val="21"/>
        </w:rPr>
        <w:t>小学班队管理的特性，领会班队管理对学生发展的重要作用</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自觉落实立德树人根本任务，促进学生健康成长</w:t>
      </w:r>
      <w:r>
        <w:rPr>
          <w:rFonts w:hint="eastAsia" w:ascii="宋体" w:hAnsi="宋体" w:eastAsia="宋体" w:cs="Times New Roman"/>
          <w:color w:val="auto"/>
          <w:szCs w:val="21"/>
        </w:rPr>
        <w:t>；熟悉班主任的职责和应具备的基本素养，明晰班主任的专业发展路径与方法，确立成长为优秀班主任的基本愿景</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做学生成长的“四个引路人”</w:t>
      </w:r>
      <w:r>
        <w:rPr>
          <w:rFonts w:hint="eastAsia" w:ascii="宋体" w:hAnsi="宋体" w:eastAsia="宋体" w:cs="Times New Roman"/>
          <w:color w:val="auto"/>
          <w:szCs w:val="21"/>
        </w:rPr>
        <w:t>。</w:t>
      </w:r>
    </w:p>
    <w:p w14:paraId="284A3359">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616"/>
        <w:gridCol w:w="1175"/>
        <w:gridCol w:w="3692"/>
        <w:gridCol w:w="1573"/>
        <w:gridCol w:w="438"/>
      </w:tblGrid>
      <w:tr w14:paraId="6497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14:paraId="41A0A1AB">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4A66F769">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1616" w:type="dxa"/>
            <w:vAlign w:val="center"/>
          </w:tcPr>
          <w:p w14:paraId="6B2E4C43">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75" w:type="dxa"/>
            <w:vAlign w:val="center"/>
          </w:tcPr>
          <w:p w14:paraId="6A308D5D">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63AC1FB2">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3692" w:type="dxa"/>
            <w:vAlign w:val="center"/>
          </w:tcPr>
          <w:p w14:paraId="5D48D39E">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573" w:type="dxa"/>
            <w:vAlign w:val="center"/>
          </w:tcPr>
          <w:p w14:paraId="4DEB3A13">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541FD766">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35CE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19454AD5">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1.小学班队与班队管理</w:t>
            </w:r>
          </w:p>
        </w:tc>
        <w:tc>
          <w:tcPr>
            <w:tcW w:w="1616" w:type="dxa"/>
            <w:vAlign w:val="center"/>
          </w:tcPr>
          <w:p w14:paraId="189091E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（1）小学班队概述</w:t>
            </w:r>
          </w:p>
          <w:p w14:paraId="0416348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（2）小学班队管理</w:t>
            </w:r>
          </w:p>
          <w:p w14:paraId="08AC854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（3）小学班队管理目标与计划</w:t>
            </w:r>
          </w:p>
        </w:tc>
        <w:tc>
          <w:tcPr>
            <w:tcW w:w="1175" w:type="dxa"/>
            <w:vAlign w:val="center"/>
          </w:tcPr>
          <w:p w14:paraId="5D8124FE">
            <w:pPr>
              <w:spacing w:line="240" w:lineRule="auto"/>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课程目标1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2</w:t>
            </w:r>
          </w:p>
        </w:tc>
        <w:tc>
          <w:tcPr>
            <w:tcW w:w="3692" w:type="dxa"/>
            <w:vAlign w:val="center"/>
          </w:tcPr>
          <w:p w14:paraId="168F7EE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1.</w:t>
            </w:r>
            <w:r>
              <w:rPr>
                <w:rFonts w:hint="eastAsia" w:ascii="宋体" w:hAnsi="宋体" w:eastAsia="宋体" w:cs="Times New Roman"/>
                <w:color w:val="auto"/>
                <w:szCs w:val="21"/>
              </w:rPr>
              <w:t>明确班级、班级管理的概念，树立班队管理主体多元化的意识；</w:t>
            </w:r>
          </w:p>
          <w:p w14:paraId="50F48730">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理解小学班级和小学班队管理的特征；</w:t>
            </w:r>
          </w:p>
          <w:p w14:paraId="471DF73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知道班级组织的发展现状与趋势；</w:t>
            </w:r>
          </w:p>
          <w:p w14:paraId="6840838C">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4.</w:t>
            </w:r>
            <w:r>
              <w:rPr>
                <w:rFonts w:hint="eastAsia" w:ascii="宋体" w:hAnsi="宋体" w:eastAsia="宋体" w:cs="Times New Roman"/>
                <w:color w:val="auto"/>
                <w:szCs w:val="21"/>
              </w:rPr>
              <w:t>理解与班级管理相关的理论，树立以理论指导班级管理实践的意识。</w:t>
            </w:r>
          </w:p>
        </w:tc>
        <w:tc>
          <w:tcPr>
            <w:tcW w:w="1573" w:type="dxa"/>
            <w:vAlign w:val="center"/>
          </w:tcPr>
          <w:p w14:paraId="29F038A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w:t>
            </w:r>
          </w:p>
          <w:p w14:paraId="495035BD">
            <w:pPr>
              <w:spacing w:line="240"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w:t>
            </w:r>
            <w:r>
              <w:rPr>
                <w:rFonts w:hint="eastAsia" w:ascii="宋体" w:hAnsi="宋体" w:eastAsia="宋体" w:cs="Times New Roman"/>
                <w:color w:val="auto"/>
                <w:szCs w:val="21"/>
                <w:lang w:val="en-US" w:eastAsia="zh-CN"/>
              </w:rPr>
              <w:t>课内实践</w:t>
            </w:r>
          </w:p>
          <w:p w14:paraId="3B991A85">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w:t>
            </w:r>
            <w:r>
              <w:rPr>
                <w:rFonts w:hint="eastAsia" w:ascii="宋体" w:hAnsi="宋体" w:eastAsia="宋体" w:cs="Times New Roman"/>
                <w:color w:val="auto"/>
                <w:szCs w:val="21"/>
                <w:lang w:val="en-US" w:eastAsia="zh-CN"/>
              </w:rPr>
              <w:t>单元</w:t>
            </w:r>
            <w:r>
              <w:rPr>
                <w:rFonts w:hint="eastAsia" w:ascii="宋体" w:hAnsi="宋体" w:eastAsia="宋体" w:cs="Times New Roman"/>
                <w:color w:val="auto"/>
                <w:szCs w:val="21"/>
              </w:rPr>
              <w:t>测验</w:t>
            </w:r>
          </w:p>
          <w:p w14:paraId="04B8D4CB">
            <w:pPr>
              <w:spacing w:line="240" w:lineRule="auto"/>
              <w:jc w:val="left"/>
              <w:rPr>
                <w:rFonts w:hint="eastAsia" w:ascii="宋体" w:hAnsi="宋体" w:eastAsia="宋体" w:cs="Times New Roman"/>
                <w:color w:val="auto"/>
                <w:szCs w:val="21"/>
              </w:rPr>
            </w:pPr>
          </w:p>
        </w:tc>
        <w:tc>
          <w:tcPr>
            <w:tcW w:w="438" w:type="dxa"/>
            <w:vAlign w:val="center"/>
          </w:tcPr>
          <w:p w14:paraId="41C82206">
            <w:pPr>
              <w:spacing w:line="240" w:lineRule="auto"/>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lang w:val="en-US" w:eastAsia="zh-CN"/>
              </w:rPr>
              <w:t>3</w:t>
            </w:r>
          </w:p>
        </w:tc>
      </w:tr>
      <w:tr w14:paraId="4C77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3E19AB61">
            <w:pPr>
              <w:spacing w:line="240" w:lineRule="auto"/>
              <w:jc w:val="center"/>
              <w:rPr>
                <w:rFonts w:hint="eastAsia" w:ascii="宋体" w:hAnsi="宋体" w:eastAsia="宋体" w:cs="Times New Roman"/>
                <w:color w:val="auto"/>
                <w:szCs w:val="21"/>
              </w:rPr>
            </w:pPr>
          </w:p>
        </w:tc>
        <w:tc>
          <w:tcPr>
            <w:tcW w:w="8494" w:type="dxa"/>
            <w:gridSpan w:val="5"/>
            <w:vAlign w:val="center"/>
          </w:tcPr>
          <w:p w14:paraId="79D07077">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理解“立德树人”的重要价值和意义，树立德育为先的理念；准确把握教育发展规律和学生身心发展规律。</w:t>
            </w:r>
          </w:p>
        </w:tc>
      </w:tr>
      <w:tr w14:paraId="1AD2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20DC3E59">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2.小学班队管理者</w:t>
            </w:r>
          </w:p>
        </w:tc>
        <w:tc>
          <w:tcPr>
            <w:tcW w:w="1616" w:type="dxa"/>
            <w:vAlign w:val="center"/>
          </w:tcPr>
          <w:p w14:paraId="3AF42D66">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（1）班队管理者的角色</w:t>
            </w:r>
          </w:p>
          <w:p w14:paraId="5C0D113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（2）班队管理者的领导力及素养</w:t>
            </w:r>
          </w:p>
          <w:p w14:paraId="4DEFF6B5">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（2）班队管理者的专业发展</w:t>
            </w:r>
          </w:p>
        </w:tc>
        <w:tc>
          <w:tcPr>
            <w:tcW w:w="1175" w:type="dxa"/>
            <w:vAlign w:val="center"/>
          </w:tcPr>
          <w:p w14:paraId="09D86F46">
            <w:pPr>
              <w:spacing w:line="240" w:lineRule="auto"/>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rPr>
              <w:t>课程目标1、</w:t>
            </w:r>
            <w:r>
              <w:rPr>
                <w:rFonts w:hint="eastAsia" w:ascii="宋体" w:hAnsi="宋体" w:eastAsia="宋体" w:cs="Times New Roman"/>
                <w:color w:val="auto"/>
                <w:szCs w:val="21"/>
                <w:lang w:val="en-US" w:eastAsia="zh-CN"/>
              </w:rPr>
              <w:t>2</w:t>
            </w:r>
          </w:p>
        </w:tc>
        <w:tc>
          <w:tcPr>
            <w:tcW w:w="3692" w:type="dxa"/>
            <w:vAlign w:val="center"/>
          </w:tcPr>
          <w:p w14:paraId="28DF54E6">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1.熟悉班主任的职责，明确班主任与其他班级管理主体的关系；理解班主任的职责边界；</w:t>
            </w:r>
          </w:p>
          <w:p w14:paraId="05B69B5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理解班主任与其管理对象——小学班级及小学生的关系，树立多重角色意识；</w:t>
            </w:r>
          </w:p>
          <w:p w14:paraId="1BCC8DA6">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了解班主任应享有的权利，坚定从事班主任工作的信心；</w:t>
            </w:r>
          </w:p>
          <w:p w14:paraId="7050B1A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4.</w:t>
            </w:r>
            <w:r>
              <w:rPr>
                <w:rFonts w:hint="eastAsia" w:ascii="宋体" w:hAnsi="宋体" w:eastAsia="宋体" w:cs="Times New Roman"/>
                <w:color w:val="auto"/>
                <w:szCs w:val="21"/>
              </w:rPr>
              <w:t>明确班主任应具备的基本素养，促进自我专业成长。</w:t>
            </w:r>
          </w:p>
        </w:tc>
        <w:tc>
          <w:tcPr>
            <w:tcW w:w="1573" w:type="dxa"/>
            <w:vAlign w:val="center"/>
          </w:tcPr>
          <w:p w14:paraId="514DDFBE">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w:t>
            </w:r>
          </w:p>
          <w:p w14:paraId="5A83433B">
            <w:pPr>
              <w:spacing w:line="240"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w:t>
            </w:r>
            <w:r>
              <w:rPr>
                <w:rFonts w:hint="eastAsia" w:ascii="宋体" w:hAnsi="宋体" w:eastAsia="宋体" w:cs="Times New Roman"/>
                <w:color w:val="auto"/>
                <w:szCs w:val="21"/>
                <w:lang w:val="en-US" w:eastAsia="zh-CN"/>
              </w:rPr>
              <w:t>课堂讨论</w:t>
            </w:r>
          </w:p>
          <w:p w14:paraId="4C76AF5A">
            <w:pPr>
              <w:spacing w:line="240"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3.平时作业</w:t>
            </w:r>
          </w:p>
          <w:p w14:paraId="78B726C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4</w:t>
            </w:r>
            <w:r>
              <w:rPr>
                <w:rFonts w:hint="eastAsia" w:ascii="宋体" w:hAnsi="宋体" w:eastAsia="宋体" w:cs="Times New Roman"/>
                <w:color w:val="auto"/>
                <w:szCs w:val="21"/>
              </w:rPr>
              <w:t>.</w:t>
            </w:r>
            <w:r>
              <w:rPr>
                <w:rFonts w:hint="eastAsia" w:ascii="宋体" w:hAnsi="宋体" w:eastAsia="宋体" w:cs="Times New Roman"/>
                <w:color w:val="auto"/>
                <w:szCs w:val="21"/>
                <w:lang w:val="en-US" w:eastAsia="zh-CN"/>
              </w:rPr>
              <w:t>单元</w:t>
            </w:r>
            <w:r>
              <w:rPr>
                <w:rFonts w:hint="eastAsia" w:ascii="宋体" w:hAnsi="宋体" w:eastAsia="宋体" w:cs="Times New Roman"/>
                <w:color w:val="auto"/>
                <w:szCs w:val="21"/>
              </w:rPr>
              <w:t>测验</w:t>
            </w:r>
          </w:p>
        </w:tc>
        <w:tc>
          <w:tcPr>
            <w:tcW w:w="438" w:type="dxa"/>
            <w:vAlign w:val="center"/>
          </w:tcPr>
          <w:p w14:paraId="25572278">
            <w:pPr>
              <w:spacing w:line="240" w:lineRule="auto"/>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lang w:val="en-US" w:eastAsia="zh-CN"/>
              </w:rPr>
              <w:t>3</w:t>
            </w:r>
          </w:p>
        </w:tc>
      </w:tr>
      <w:tr w14:paraId="0C56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083F775E">
            <w:pPr>
              <w:spacing w:line="240" w:lineRule="auto"/>
              <w:jc w:val="center"/>
              <w:rPr>
                <w:rFonts w:hint="eastAsia" w:ascii="宋体" w:hAnsi="宋体" w:eastAsia="宋体" w:cs="Times New Roman"/>
                <w:color w:val="auto"/>
                <w:szCs w:val="21"/>
              </w:rPr>
            </w:pPr>
          </w:p>
        </w:tc>
        <w:tc>
          <w:tcPr>
            <w:tcW w:w="8494" w:type="dxa"/>
            <w:gridSpan w:val="5"/>
            <w:vAlign w:val="center"/>
          </w:tcPr>
          <w:p w14:paraId="3AC59DD9">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培养和形成良好的教师职业道德规范，具有依法执教的意识，培育师范生成为有理想信念、有道德情操、有扎实学识、有仁爱之心的好教师。培养学生的职业认同感，认同教师职业的专业性与意义性，形成良好的职业理想与较强的敬业精神。</w:t>
            </w:r>
          </w:p>
        </w:tc>
      </w:tr>
      <w:tr w14:paraId="31B7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75680D50">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3.小学班队常规管理</w:t>
            </w:r>
          </w:p>
        </w:tc>
        <w:tc>
          <w:tcPr>
            <w:tcW w:w="1616" w:type="dxa"/>
            <w:vAlign w:val="center"/>
          </w:tcPr>
          <w:p w14:paraId="526AA830">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（1）小学班队规范的制定</w:t>
            </w:r>
          </w:p>
          <w:p w14:paraId="4851D9B1">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（2）小学班队常规教育</w:t>
            </w:r>
          </w:p>
          <w:p w14:paraId="3F6AB145">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（3）教育惩戒</w:t>
            </w:r>
          </w:p>
        </w:tc>
        <w:tc>
          <w:tcPr>
            <w:tcW w:w="1175" w:type="dxa"/>
            <w:vAlign w:val="center"/>
          </w:tcPr>
          <w:p w14:paraId="7B1F88D7">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r>
              <w:rPr>
                <w:rFonts w:hint="eastAsia" w:ascii="宋体" w:hAnsi="宋体" w:eastAsia="宋体" w:cs="Times New Roman"/>
                <w:color w:val="auto"/>
                <w:szCs w:val="21"/>
                <w:lang w:val="en-US" w:eastAsia="zh-CN"/>
              </w:rPr>
              <w:t>1、</w:t>
            </w:r>
            <w:r>
              <w:rPr>
                <w:rFonts w:hint="eastAsia" w:ascii="宋体" w:hAnsi="宋体" w:eastAsia="宋体" w:cs="Times New Roman"/>
                <w:color w:val="auto"/>
                <w:szCs w:val="21"/>
              </w:rPr>
              <w:t>2</w:t>
            </w:r>
          </w:p>
        </w:tc>
        <w:tc>
          <w:tcPr>
            <w:tcW w:w="3692" w:type="dxa"/>
            <w:vAlign w:val="center"/>
          </w:tcPr>
          <w:p w14:paraId="0B234D4B">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1.认识小学班队规范的类型与内容；</w:t>
            </w:r>
          </w:p>
          <w:p w14:paraId="34FFB960">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明确小学班队规范制定的要求；</w:t>
            </w:r>
          </w:p>
          <w:p w14:paraId="432983C9">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掌握小学班队常规教育的意义以及有效执行班规的策略；</w:t>
            </w:r>
          </w:p>
          <w:p w14:paraId="5FE5AEBC">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4.</w:t>
            </w:r>
            <w:r>
              <w:rPr>
                <w:rFonts w:hint="eastAsia" w:ascii="宋体" w:hAnsi="宋体" w:eastAsia="宋体" w:cs="Times New Roman"/>
                <w:color w:val="auto"/>
                <w:szCs w:val="21"/>
              </w:rPr>
              <w:t>理解教育惩戒的作用，知道教育惩戒的运用范围，在教育实践中能够合理运用教育惩戒</w:t>
            </w:r>
          </w:p>
        </w:tc>
        <w:tc>
          <w:tcPr>
            <w:tcW w:w="1573" w:type="dxa"/>
            <w:vAlign w:val="center"/>
          </w:tcPr>
          <w:p w14:paraId="6BE9B7E8">
            <w:pPr>
              <w:spacing w:line="240" w:lineRule="auto"/>
              <w:jc w:val="left"/>
              <w:rPr>
                <w:rFonts w:ascii="宋体" w:hAnsi="宋体" w:eastAsia="宋体" w:cs="Times New Roman"/>
                <w:color w:val="auto"/>
                <w:szCs w:val="21"/>
              </w:rPr>
            </w:pPr>
            <w:r>
              <w:rPr>
                <w:rFonts w:ascii="宋体" w:hAnsi="宋体" w:eastAsia="宋体" w:cs="Times New Roman"/>
                <w:color w:val="auto"/>
                <w:szCs w:val="21"/>
              </w:rPr>
              <w:t>1.多媒体教学</w:t>
            </w:r>
          </w:p>
          <w:p w14:paraId="02871D81">
            <w:pPr>
              <w:spacing w:line="240"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w:t>
            </w:r>
            <w:r>
              <w:rPr>
                <w:rFonts w:ascii="宋体" w:hAnsi="宋体" w:eastAsia="宋体" w:cs="Times New Roman"/>
                <w:color w:val="auto"/>
                <w:szCs w:val="21"/>
              </w:rPr>
              <w:t>.</w:t>
            </w:r>
            <w:r>
              <w:rPr>
                <w:rFonts w:hint="eastAsia" w:ascii="宋体" w:hAnsi="宋体" w:eastAsia="宋体" w:cs="Times New Roman"/>
                <w:color w:val="auto"/>
                <w:szCs w:val="21"/>
                <w:lang w:val="en-US" w:eastAsia="zh-CN"/>
              </w:rPr>
              <w:t>课内实践</w:t>
            </w:r>
          </w:p>
          <w:p w14:paraId="43906A7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3.单元</w:t>
            </w:r>
            <w:r>
              <w:rPr>
                <w:rFonts w:ascii="宋体" w:hAnsi="宋体" w:eastAsia="宋体" w:cs="Times New Roman"/>
                <w:color w:val="auto"/>
                <w:szCs w:val="21"/>
              </w:rPr>
              <w:t>测验</w:t>
            </w:r>
          </w:p>
        </w:tc>
        <w:tc>
          <w:tcPr>
            <w:tcW w:w="438" w:type="dxa"/>
            <w:vAlign w:val="center"/>
          </w:tcPr>
          <w:p w14:paraId="1650B837">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w:t>
            </w:r>
          </w:p>
        </w:tc>
      </w:tr>
      <w:tr w14:paraId="1B2E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71932C5D">
            <w:pPr>
              <w:spacing w:line="240" w:lineRule="auto"/>
              <w:jc w:val="center"/>
              <w:rPr>
                <w:rFonts w:hint="eastAsia" w:ascii="宋体" w:hAnsi="宋体" w:eastAsia="宋体" w:cs="Times New Roman"/>
                <w:color w:val="auto"/>
                <w:szCs w:val="21"/>
              </w:rPr>
            </w:pPr>
          </w:p>
        </w:tc>
        <w:tc>
          <w:tcPr>
            <w:tcW w:w="8494" w:type="dxa"/>
            <w:gridSpan w:val="5"/>
            <w:vAlign w:val="center"/>
          </w:tcPr>
          <w:p w14:paraId="3619E9E4">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了解教育惩戒的作用与运用范围，遵循教育规律，正确运用教育惩戒。</w:t>
            </w:r>
          </w:p>
        </w:tc>
      </w:tr>
      <w:tr w14:paraId="1552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667AEA73">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4.小学班队组织管理</w:t>
            </w:r>
          </w:p>
        </w:tc>
        <w:tc>
          <w:tcPr>
            <w:tcW w:w="1616" w:type="dxa"/>
            <w:vAlign w:val="center"/>
          </w:tcPr>
          <w:p w14:paraId="2782112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（1）小学班集体的形成</w:t>
            </w:r>
          </w:p>
          <w:p w14:paraId="56E80C0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（2）小学班队组织结构</w:t>
            </w:r>
          </w:p>
          <w:p w14:paraId="3B10C037">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（3）非正式群体的类型与教育</w:t>
            </w:r>
          </w:p>
        </w:tc>
        <w:tc>
          <w:tcPr>
            <w:tcW w:w="1175" w:type="dxa"/>
            <w:vAlign w:val="center"/>
          </w:tcPr>
          <w:p w14:paraId="0CAAE28A">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3692" w:type="dxa"/>
            <w:vAlign w:val="center"/>
          </w:tcPr>
          <w:p w14:paraId="05E743C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1.掌握班级和少先队的组织结构；</w:t>
            </w:r>
          </w:p>
          <w:p w14:paraId="73F540F1">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 xml:space="preserve">了解班队干部的产生方式与培养；            </w:t>
            </w:r>
          </w:p>
          <w:p w14:paraId="22513120">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掌握对非正式群体的教育策略。</w:t>
            </w:r>
          </w:p>
        </w:tc>
        <w:tc>
          <w:tcPr>
            <w:tcW w:w="1573" w:type="dxa"/>
            <w:vAlign w:val="center"/>
          </w:tcPr>
          <w:p w14:paraId="6BB6A7A4">
            <w:pPr>
              <w:spacing w:line="240" w:lineRule="auto"/>
              <w:jc w:val="left"/>
              <w:rPr>
                <w:rFonts w:ascii="宋体" w:hAnsi="宋体" w:eastAsia="宋体" w:cs="Times New Roman"/>
                <w:color w:val="auto"/>
                <w:szCs w:val="21"/>
              </w:rPr>
            </w:pPr>
            <w:r>
              <w:rPr>
                <w:rFonts w:ascii="宋体" w:hAnsi="宋体" w:eastAsia="宋体" w:cs="Times New Roman"/>
                <w:color w:val="auto"/>
                <w:szCs w:val="21"/>
              </w:rPr>
              <w:t>1.多媒体教学</w:t>
            </w:r>
          </w:p>
          <w:p w14:paraId="0978C757">
            <w:pPr>
              <w:spacing w:line="240"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w:t>
            </w:r>
            <w:r>
              <w:rPr>
                <w:rFonts w:ascii="宋体" w:hAnsi="宋体" w:eastAsia="宋体" w:cs="Times New Roman"/>
                <w:color w:val="auto"/>
                <w:szCs w:val="21"/>
              </w:rPr>
              <w:t>.</w:t>
            </w:r>
            <w:r>
              <w:rPr>
                <w:rFonts w:hint="eastAsia" w:ascii="宋体" w:hAnsi="宋体" w:eastAsia="宋体" w:cs="Times New Roman"/>
                <w:color w:val="auto"/>
                <w:szCs w:val="21"/>
                <w:lang w:val="en-US" w:eastAsia="zh-CN"/>
              </w:rPr>
              <w:t>课堂讨论</w:t>
            </w:r>
          </w:p>
          <w:p w14:paraId="6B895BD1">
            <w:pPr>
              <w:spacing w:line="240"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3.平时作业</w:t>
            </w:r>
          </w:p>
          <w:p w14:paraId="49D5F48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4.单元</w:t>
            </w:r>
            <w:r>
              <w:rPr>
                <w:rFonts w:ascii="宋体" w:hAnsi="宋体" w:eastAsia="宋体" w:cs="Times New Roman"/>
                <w:color w:val="auto"/>
                <w:szCs w:val="21"/>
              </w:rPr>
              <w:t>测验</w:t>
            </w:r>
          </w:p>
        </w:tc>
        <w:tc>
          <w:tcPr>
            <w:tcW w:w="438" w:type="dxa"/>
            <w:vAlign w:val="center"/>
          </w:tcPr>
          <w:p w14:paraId="708E11EA">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w:t>
            </w:r>
          </w:p>
        </w:tc>
      </w:tr>
      <w:tr w14:paraId="1549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0BC28D8E">
            <w:pPr>
              <w:spacing w:line="240" w:lineRule="auto"/>
              <w:jc w:val="center"/>
              <w:rPr>
                <w:rFonts w:hint="eastAsia" w:ascii="宋体" w:hAnsi="宋体" w:eastAsia="宋体" w:cs="Times New Roman"/>
                <w:color w:val="auto"/>
                <w:szCs w:val="21"/>
              </w:rPr>
            </w:pPr>
          </w:p>
        </w:tc>
        <w:tc>
          <w:tcPr>
            <w:tcW w:w="8494" w:type="dxa"/>
            <w:gridSpan w:val="5"/>
            <w:vAlign w:val="center"/>
          </w:tcPr>
          <w:p w14:paraId="41BD4692">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理解班队组织的价值和意义，坚定学好组织建设的意识并为之而努力。</w:t>
            </w:r>
          </w:p>
        </w:tc>
      </w:tr>
      <w:tr w14:paraId="13188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30B2686E">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5.小学班队</w:t>
            </w:r>
            <w:r>
              <w:rPr>
                <w:rFonts w:hint="eastAsia" w:ascii="宋体" w:hAnsi="宋体" w:eastAsia="宋体" w:cs="Times New Roman"/>
                <w:color w:val="auto"/>
                <w:szCs w:val="21"/>
                <w:lang w:val="en-US" w:eastAsia="zh-CN"/>
              </w:rPr>
              <w:t>活动</w:t>
            </w:r>
            <w:r>
              <w:rPr>
                <w:rFonts w:hint="eastAsia" w:ascii="宋体" w:hAnsi="宋体" w:eastAsia="宋体" w:cs="Times New Roman"/>
                <w:color w:val="auto"/>
                <w:szCs w:val="21"/>
              </w:rPr>
              <w:t>管理</w:t>
            </w:r>
          </w:p>
        </w:tc>
        <w:tc>
          <w:tcPr>
            <w:tcW w:w="1616" w:type="dxa"/>
            <w:vAlign w:val="center"/>
          </w:tcPr>
          <w:p w14:paraId="64A0316A">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（1）小学班队活动概述</w:t>
            </w:r>
          </w:p>
          <w:p w14:paraId="4CE7ED6D">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（2）小学班队活动的类型</w:t>
            </w:r>
          </w:p>
          <w:p w14:paraId="5EEF83F5">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（3）小学班队活动的设计与组织</w:t>
            </w:r>
          </w:p>
        </w:tc>
        <w:tc>
          <w:tcPr>
            <w:tcW w:w="1175" w:type="dxa"/>
            <w:vAlign w:val="center"/>
          </w:tcPr>
          <w:p w14:paraId="25A63ABA">
            <w:pPr>
              <w:spacing w:line="240" w:lineRule="auto"/>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课程目标1、2</w:t>
            </w:r>
          </w:p>
        </w:tc>
        <w:tc>
          <w:tcPr>
            <w:tcW w:w="3692" w:type="dxa"/>
            <w:vAlign w:val="center"/>
          </w:tcPr>
          <w:p w14:paraId="53C2962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1.理解班队活动的意义，提升对班队活动价值的认识；</w:t>
            </w:r>
          </w:p>
          <w:p w14:paraId="71625B8B">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初步掌握班队活动的方法和策略；</w:t>
            </w:r>
          </w:p>
          <w:p w14:paraId="17B3B5FE">
            <w:pPr>
              <w:spacing w:line="240" w:lineRule="auto"/>
              <w:jc w:val="left"/>
              <w:rPr>
                <w:rFonts w:hint="eastAsia" w:ascii="宋体" w:hAnsi="宋体" w:eastAsia="宋体" w:cs="Times New Roman"/>
                <w:color w:val="auto"/>
                <w:szCs w:val="21"/>
                <w:lang w:eastAsia="zh-CN"/>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能根据班级活动的特点及规律进行班队活动的设计</w:t>
            </w:r>
            <w:r>
              <w:rPr>
                <w:rFonts w:hint="eastAsia" w:ascii="宋体" w:hAnsi="宋体" w:eastAsia="宋体" w:cs="Times New Roman"/>
                <w:color w:val="auto"/>
                <w:szCs w:val="21"/>
                <w:lang w:eastAsia="zh-CN"/>
              </w:rPr>
              <w:t>。</w:t>
            </w:r>
          </w:p>
        </w:tc>
        <w:tc>
          <w:tcPr>
            <w:tcW w:w="1573" w:type="dxa"/>
            <w:vAlign w:val="center"/>
          </w:tcPr>
          <w:p w14:paraId="67F121A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w:t>
            </w:r>
          </w:p>
          <w:p w14:paraId="416FE390">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2.课内实践</w:t>
            </w:r>
          </w:p>
          <w:p w14:paraId="585DE377">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w:t>
            </w:r>
            <w:r>
              <w:rPr>
                <w:rFonts w:hint="eastAsia" w:ascii="宋体" w:hAnsi="宋体" w:eastAsia="宋体" w:cs="Times New Roman"/>
                <w:color w:val="auto"/>
                <w:szCs w:val="21"/>
                <w:lang w:val="en-US" w:eastAsia="zh-CN"/>
              </w:rPr>
              <w:t>单元</w:t>
            </w:r>
            <w:r>
              <w:rPr>
                <w:rFonts w:hint="eastAsia" w:ascii="宋体" w:hAnsi="宋体" w:eastAsia="宋体" w:cs="Times New Roman"/>
                <w:color w:val="auto"/>
                <w:szCs w:val="21"/>
              </w:rPr>
              <w:t>测验</w:t>
            </w:r>
          </w:p>
        </w:tc>
        <w:tc>
          <w:tcPr>
            <w:tcW w:w="438" w:type="dxa"/>
            <w:vAlign w:val="center"/>
          </w:tcPr>
          <w:p w14:paraId="24EC2A1E">
            <w:pPr>
              <w:spacing w:line="240" w:lineRule="auto"/>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lang w:val="en-US" w:eastAsia="zh-CN"/>
              </w:rPr>
              <w:t>3</w:t>
            </w:r>
          </w:p>
        </w:tc>
      </w:tr>
      <w:tr w14:paraId="299E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2FA2111B">
            <w:pPr>
              <w:spacing w:line="240" w:lineRule="auto"/>
              <w:jc w:val="center"/>
              <w:rPr>
                <w:rFonts w:hint="eastAsia" w:ascii="宋体" w:hAnsi="宋体" w:eastAsia="宋体" w:cs="Times New Roman"/>
                <w:color w:val="auto"/>
                <w:szCs w:val="21"/>
              </w:rPr>
            </w:pPr>
          </w:p>
        </w:tc>
        <w:tc>
          <w:tcPr>
            <w:tcW w:w="8494" w:type="dxa"/>
            <w:gridSpan w:val="5"/>
            <w:vAlign w:val="center"/>
          </w:tcPr>
          <w:p w14:paraId="7776F4E6">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理解“三全育人”的作用和价值，增强</w:t>
            </w:r>
            <w:r>
              <w:rPr>
                <w:rFonts w:hint="eastAsia" w:ascii="宋体" w:hAnsi="宋体" w:eastAsia="宋体" w:cs="Times New Roman"/>
                <w:color w:val="auto"/>
                <w:szCs w:val="21"/>
                <w:lang w:val="en-US" w:eastAsia="zh-CN"/>
              </w:rPr>
              <w:t>活动育人的意识</w:t>
            </w:r>
            <w:r>
              <w:rPr>
                <w:rFonts w:hint="eastAsia" w:ascii="宋体" w:hAnsi="宋体" w:eastAsia="宋体" w:cs="Times New Roman"/>
                <w:color w:val="auto"/>
                <w:szCs w:val="21"/>
              </w:rPr>
              <w:t>。</w:t>
            </w:r>
          </w:p>
        </w:tc>
      </w:tr>
      <w:tr w14:paraId="67CB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2FBE88B1">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6.小学班队环境管理</w:t>
            </w:r>
          </w:p>
        </w:tc>
        <w:tc>
          <w:tcPr>
            <w:tcW w:w="1616" w:type="dxa"/>
            <w:vAlign w:val="center"/>
          </w:tcPr>
          <w:p w14:paraId="48E7417E">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（1）教室环境布置</w:t>
            </w:r>
          </w:p>
          <w:p w14:paraId="5594F6A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（2）班队人际沟通</w:t>
            </w:r>
          </w:p>
          <w:p w14:paraId="2F92C746">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（3）班风建设</w:t>
            </w:r>
          </w:p>
        </w:tc>
        <w:tc>
          <w:tcPr>
            <w:tcW w:w="1175" w:type="dxa"/>
            <w:vAlign w:val="center"/>
          </w:tcPr>
          <w:p w14:paraId="2CF3A4E5">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3692" w:type="dxa"/>
            <w:vAlign w:val="center"/>
          </w:tcPr>
          <w:p w14:paraId="41D44B67">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1.了解班队环境管理的内容；</w:t>
            </w:r>
          </w:p>
          <w:p w14:paraId="74333CE7">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了解教室环境布置的要求；</w:t>
            </w:r>
          </w:p>
          <w:p w14:paraId="44347A3D">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掌握班队人际沟通方式及师生沟通中应注意的事项；</w:t>
            </w:r>
          </w:p>
          <w:p w14:paraId="7C03460B">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4.</w:t>
            </w:r>
            <w:r>
              <w:rPr>
                <w:rFonts w:hint="eastAsia" w:ascii="宋体" w:hAnsi="宋体" w:eastAsia="宋体" w:cs="Times New Roman"/>
                <w:color w:val="auto"/>
                <w:szCs w:val="21"/>
              </w:rPr>
              <w:t>掌握班风建设的要求。</w:t>
            </w:r>
          </w:p>
        </w:tc>
        <w:tc>
          <w:tcPr>
            <w:tcW w:w="1573" w:type="dxa"/>
            <w:vAlign w:val="center"/>
          </w:tcPr>
          <w:p w14:paraId="3BCA5F61">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w:t>
            </w:r>
          </w:p>
          <w:p w14:paraId="7C67E97D">
            <w:pPr>
              <w:spacing w:line="240"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rPr>
              <w:t>2.</w:t>
            </w:r>
            <w:r>
              <w:rPr>
                <w:rFonts w:hint="eastAsia" w:ascii="宋体" w:hAnsi="宋体" w:eastAsia="宋体" w:cs="Times New Roman"/>
                <w:color w:val="auto"/>
                <w:szCs w:val="21"/>
                <w:lang w:val="en-US" w:eastAsia="zh-CN"/>
              </w:rPr>
              <w:t>课堂讨论</w:t>
            </w:r>
          </w:p>
          <w:p w14:paraId="0F6E802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课内实践</w:t>
            </w:r>
          </w:p>
          <w:p w14:paraId="36123285">
            <w:pPr>
              <w:spacing w:line="240"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4.单元测验</w:t>
            </w:r>
          </w:p>
          <w:p w14:paraId="3A0A5BE3">
            <w:pPr>
              <w:spacing w:line="240"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5.学期考查</w:t>
            </w:r>
          </w:p>
        </w:tc>
        <w:tc>
          <w:tcPr>
            <w:tcW w:w="438" w:type="dxa"/>
            <w:vAlign w:val="center"/>
          </w:tcPr>
          <w:p w14:paraId="1D372678">
            <w:pPr>
              <w:spacing w:line="240" w:lineRule="auto"/>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lang w:val="en-US" w:eastAsia="zh-CN"/>
              </w:rPr>
              <w:t>3</w:t>
            </w:r>
          </w:p>
        </w:tc>
      </w:tr>
      <w:tr w14:paraId="24016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09389749">
            <w:pPr>
              <w:spacing w:line="240" w:lineRule="auto"/>
              <w:jc w:val="center"/>
              <w:rPr>
                <w:rFonts w:hint="eastAsia" w:ascii="宋体" w:hAnsi="宋体" w:eastAsia="宋体" w:cs="Times New Roman"/>
                <w:color w:val="auto"/>
                <w:szCs w:val="21"/>
              </w:rPr>
            </w:pPr>
          </w:p>
        </w:tc>
        <w:tc>
          <w:tcPr>
            <w:tcW w:w="8494" w:type="dxa"/>
            <w:gridSpan w:val="5"/>
            <w:vAlign w:val="center"/>
          </w:tcPr>
          <w:p w14:paraId="5B108669">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理解“立德树人”的意义，自觉探索儿童成长成才的规律</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增强文化育人的意识</w:t>
            </w:r>
            <w:r>
              <w:rPr>
                <w:rFonts w:hint="eastAsia" w:ascii="宋体" w:hAnsi="宋体" w:eastAsia="宋体" w:cs="Times New Roman"/>
                <w:color w:val="auto"/>
                <w:szCs w:val="21"/>
              </w:rPr>
              <w:t>。</w:t>
            </w:r>
          </w:p>
        </w:tc>
      </w:tr>
      <w:tr w14:paraId="01048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64067943">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7.学生问题行为管理</w:t>
            </w:r>
          </w:p>
        </w:tc>
        <w:tc>
          <w:tcPr>
            <w:tcW w:w="1616" w:type="dxa"/>
            <w:vAlign w:val="center"/>
          </w:tcPr>
          <w:p w14:paraId="0817E0A9">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（1）学生问题行为界定</w:t>
            </w:r>
          </w:p>
          <w:p w14:paraId="324FF177">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（2）学生常见问题行为及教育</w:t>
            </w:r>
          </w:p>
          <w:p w14:paraId="58C2AAD1">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（3）学生问题行为干预</w:t>
            </w:r>
          </w:p>
        </w:tc>
        <w:tc>
          <w:tcPr>
            <w:tcW w:w="1175" w:type="dxa"/>
            <w:vAlign w:val="center"/>
          </w:tcPr>
          <w:p w14:paraId="3F1FEE84">
            <w:pPr>
              <w:spacing w:line="240" w:lineRule="auto"/>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rPr>
              <w:t>课程目标1、</w:t>
            </w:r>
            <w:r>
              <w:rPr>
                <w:rFonts w:hint="eastAsia" w:ascii="宋体" w:hAnsi="宋体" w:eastAsia="宋体" w:cs="Times New Roman"/>
                <w:color w:val="auto"/>
                <w:szCs w:val="21"/>
                <w:lang w:val="en-US" w:eastAsia="zh-CN"/>
              </w:rPr>
              <w:t>3</w:t>
            </w:r>
          </w:p>
        </w:tc>
        <w:tc>
          <w:tcPr>
            <w:tcW w:w="3692" w:type="dxa"/>
            <w:vAlign w:val="center"/>
          </w:tcPr>
          <w:p w14:paraId="373D2AAA">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1.</w:t>
            </w:r>
            <w:r>
              <w:rPr>
                <w:rFonts w:hint="eastAsia" w:ascii="宋体" w:hAnsi="宋体" w:eastAsia="宋体" w:cs="Times New Roman"/>
                <w:color w:val="auto"/>
                <w:szCs w:val="21"/>
              </w:rPr>
              <w:t>了解常见的各类学生问题行为及其表现；</w:t>
            </w:r>
          </w:p>
          <w:p w14:paraId="0DDE0B77">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学会判断和分析各类学生问题行为产生的原因；</w:t>
            </w:r>
          </w:p>
          <w:p w14:paraId="404982A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掌握学生问题行为干预的步骤和各种方法；</w:t>
            </w:r>
          </w:p>
          <w:p w14:paraId="3ED7B16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4.</w:t>
            </w:r>
            <w:r>
              <w:rPr>
                <w:rFonts w:hint="eastAsia" w:ascii="宋体" w:hAnsi="宋体" w:eastAsia="宋体" w:cs="Times New Roman"/>
                <w:color w:val="auto"/>
                <w:szCs w:val="21"/>
              </w:rPr>
              <w:t>尝试提出解决各类学生问题行为的合理方案。</w:t>
            </w:r>
          </w:p>
        </w:tc>
        <w:tc>
          <w:tcPr>
            <w:tcW w:w="1573" w:type="dxa"/>
            <w:vAlign w:val="center"/>
          </w:tcPr>
          <w:p w14:paraId="726BDE0E">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w:t>
            </w:r>
          </w:p>
          <w:p w14:paraId="60B032A8">
            <w:pPr>
              <w:spacing w:line="240"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rPr>
              <w:t>2.</w:t>
            </w:r>
            <w:r>
              <w:rPr>
                <w:rFonts w:hint="eastAsia" w:ascii="宋体" w:hAnsi="宋体" w:eastAsia="宋体" w:cs="Times New Roman"/>
                <w:color w:val="auto"/>
                <w:szCs w:val="21"/>
                <w:lang w:val="en-US" w:eastAsia="zh-CN"/>
              </w:rPr>
              <w:t>课堂讨论</w:t>
            </w:r>
          </w:p>
          <w:p w14:paraId="0D6D98F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课内实践</w:t>
            </w:r>
          </w:p>
          <w:p w14:paraId="3193E53A">
            <w:pPr>
              <w:spacing w:line="240"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4.单元测验</w:t>
            </w:r>
          </w:p>
          <w:p w14:paraId="014B6A75">
            <w:pPr>
              <w:spacing w:line="240"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5.学期考查</w:t>
            </w:r>
          </w:p>
        </w:tc>
        <w:tc>
          <w:tcPr>
            <w:tcW w:w="438" w:type="dxa"/>
            <w:vAlign w:val="center"/>
          </w:tcPr>
          <w:p w14:paraId="631D95B1">
            <w:pPr>
              <w:spacing w:line="240" w:lineRule="auto"/>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lang w:val="en-US" w:eastAsia="zh-CN"/>
              </w:rPr>
              <w:t>3</w:t>
            </w:r>
          </w:p>
        </w:tc>
      </w:tr>
      <w:tr w14:paraId="1B36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24F212B8">
            <w:pPr>
              <w:spacing w:line="240" w:lineRule="auto"/>
              <w:jc w:val="center"/>
              <w:rPr>
                <w:rFonts w:hint="eastAsia" w:ascii="宋体" w:hAnsi="宋体" w:eastAsia="宋体" w:cs="Times New Roman"/>
                <w:color w:val="auto"/>
                <w:szCs w:val="21"/>
              </w:rPr>
            </w:pPr>
          </w:p>
        </w:tc>
        <w:tc>
          <w:tcPr>
            <w:tcW w:w="8494" w:type="dxa"/>
            <w:gridSpan w:val="5"/>
            <w:vAlign w:val="center"/>
          </w:tcPr>
          <w:p w14:paraId="75C4D543">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遵循教育规律和儿童身心发展，尊重儿童个性，培养和形成正确的学生观、教师观，提升关爱学生，公平公正对待学生的意识。</w:t>
            </w:r>
          </w:p>
        </w:tc>
      </w:tr>
      <w:tr w14:paraId="67DD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1237303B">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8.小学家校合作</w:t>
            </w:r>
          </w:p>
        </w:tc>
        <w:tc>
          <w:tcPr>
            <w:tcW w:w="1616" w:type="dxa"/>
            <w:vAlign w:val="center"/>
          </w:tcPr>
          <w:p w14:paraId="64A2B08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（1）家校合作的意义</w:t>
            </w:r>
          </w:p>
          <w:p w14:paraId="1455E7C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（2）班主任与家长沟通</w:t>
            </w:r>
          </w:p>
          <w:p w14:paraId="3CBD93FD">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（3）家校合作的方式</w:t>
            </w:r>
          </w:p>
        </w:tc>
        <w:tc>
          <w:tcPr>
            <w:tcW w:w="1175" w:type="dxa"/>
            <w:vAlign w:val="center"/>
          </w:tcPr>
          <w:p w14:paraId="4FE31445">
            <w:pPr>
              <w:spacing w:line="240" w:lineRule="auto"/>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rPr>
              <w:t>课程目标1、</w:t>
            </w:r>
            <w:r>
              <w:rPr>
                <w:rFonts w:hint="eastAsia" w:ascii="宋体" w:hAnsi="宋体" w:eastAsia="宋体" w:cs="Times New Roman"/>
                <w:color w:val="auto"/>
                <w:szCs w:val="21"/>
                <w:lang w:val="en-US" w:eastAsia="zh-CN"/>
              </w:rPr>
              <w:t>3</w:t>
            </w:r>
          </w:p>
        </w:tc>
        <w:tc>
          <w:tcPr>
            <w:tcW w:w="3692" w:type="dxa"/>
            <w:vAlign w:val="center"/>
          </w:tcPr>
          <w:p w14:paraId="376A198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1.</w:t>
            </w:r>
            <w:r>
              <w:rPr>
                <w:rFonts w:hint="eastAsia" w:ascii="宋体" w:hAnsi="宋体" w:eastAsia="宋体" w:cs="Times New Roman"/>
                <w:color w:val="auto"/>
                <w:szCs w:val="21"/>
              </w:rPr>
              <w:t>明确家校合作的意义；</w:t>
            </w:r>
          </w:p>
          <w:p w14:paraId="08DE90A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了解班主任与家长沟通的目的、方式及注意事项；</w:t>
            </w:r>
          </w:p>
          <w:p w14:paraId="3DD51485">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学会判断班主任与家长产生冲突的原因并尝试提出解决方案</w:t>
            </w:r>
          </w:p>
        </w:tc>
        <w:tc>
          <w:tcPr>
            <w:tcW w:w="1573" w:type="dxa"/>
            <w:vAlign w:val="center"/>
          </w:tcPr>
          <w:p w14:paraId="052D06AA">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w:t>
            </w:r>
          </w:p>
          <w:p w14:paraId="72674F7D">
            <w:pPr>
              <w:spacing w:line="240"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2.课堂讨论</w:t>
            </w:r>
          </w:p>
          <w:p w14:paraId="1EEF9B5C">
            <w:pPr>
              <w:spacing w:line="240"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3.学期考查</w:t>
            </w:r>
          </w:p>
        </w:tc>
        <w:tc>
          <w:tcPr>
            <w:tcW w:w="438" w:type="dxa"/>
            <w:vAlign w:val="center"/>
          </w:tcPr>
          <w:p w14:paraId="2B654A3A">
            <w:pPr>
              <w:spacing w:line="240" w:lineRule="auto"/>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lang w:val="en-US" w:eastAsia="zh-CN"/>
              </w:rPr>
              <w:t>3</w:t>
            </w:r>
          </w:p>
        </w:tc>
      </w:tr>
      <w:tr w14:paraId="1AA9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321895CE">
            <w:pPr>
              <w:spacing w:line="240" w:lineRule="auto"/>
              <w:jc w:val="center"/>
              <w:rPr>
                <w:rFonts w:hint="eastAsia" w:ascii="宋体" w:hAnsi="宋体" w:eastAsia="宋体" w:cs="Times New Roman"/>
                <w:color w:val="auto"/>
                <w:szCs w:val="21"/>
              </w:rPr>
            </w:pPr>
          </w:p>
        </w:tc>
        <w:tc>
          <w:tcPr>
            <w:tcW w:w="8494" w:type="dxa"/>
            <w:gridSpan w:val="5"/>
            <w:vAlign w:val="center"/>
          </w:tcPr>
          <w:p w14:paraId="7437C5BE">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深刻理解家校合作的意义，增强家校共育的大局意识、合作精神、敬业精神。</w:t>
            </w:r>
          </w:p>
        </w:tc>
      </w:tr>
    </w:tbl>
    <w:p w14:paraId="358C7E3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四、目标评价与成绩评定</w:t>
      </w:r>
    </w:p>
    <w:p w14:paraId="69D3A520">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7772BAF3">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9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1384"/>
        <w:gridCol w:w="1125"/>
        <w:gridCol w:w="1375"/>
        <w:gridCol w:w="1203"/>
        <w:gridCol w:w="1433"/>
        <w:gridCol w:w="1325"/>
      </w:tblGrid>
      <w:tr w14:paraId="3A24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restart"/>
            <w:vAlign w:val="center"/>
          </w:tcPr>
          <w:p w14:paraId="3FE7A67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6520" w:type="dxa"/>
            <w:gridSpan w:val="5"/>
            <w:vAlign w:val="center"/>
          </w:tcPr>
          <w:p w14:paraId="457CB38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325" w:type="dxa"/>
            <w:vMerge w:val="restart"/>
            <w:vAlign w:val="center"/>
          </w:tcPr>
          <w:p w14:paraId="07895F1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1ACA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continue"/>
            <w:vAlign w:val="center"/>
          </w:tcPr>
          <w:p w14:paraId="4F98CBB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1384" w:type="dxa"/>
            <w:vAlign w:val="center"/>
          </w:tcPr>
          <w:p w14:paraId="13CC105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1125" w:type="dxa"/>
            <w:vAlign w:val="center"/>
          </w:tcPr>
          <w:p w14:paraId="6F6BA83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平时作业</w:t>
            </w:r>
          </w:p>
        </w:tc>
        <w:tc>
          <w:tcPr>
            <w:tcW w:w="1375" w:type="dxa"/>
            <w:vAlign w:val="center"/>
          </w:tcPr>
          <w:p w14:paraId="0DF4428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lang w:eastAsia="zh-CN"/>
              </w:rPr>
            </w:pPr>
            <w:r>
              <w:rPr>
                <w:rFonts w:hint="eastAsia" w:ascii="宋体" w:hAnsi="宋体" w:eastAsia="宋体" w:cs="Times New Roman"/>
                <w:color w:val="auto"/>
                <w:szCs w:val="21"/>
                <w:lang w:val="en-US" w:eastAsia="zh-CN"/>
              </w:rPr>
              <w:t>课内实践</w:t>
            </w:r>
          </w:p>
        </w:tc>
        <w:tc>
          <w:tcPr>
            <w:tcW w:w="1203" w:type="dxa"/>
            <w:vAlign w:val="center"/>
          </w:tcPr>
          <w:p w14:paraId="17EA6D8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lang w:eastAsia="zh-CN"/>
              </w:rPr>
            </w:pPr>
            <w:r>
              <w:rPr>
                <w:rFonts w:hint="eastAsia" w:ascii="宋体" w:hAnsi="宋体" w:eastAsia="宋体" w:cs="Times New Roman"/>
                <w:color w:val="auto"/>
                <w:szCs w:val="21"/>
                <w:lang w:val="en-US" w:eastAsia="zh-CN"/>
              </w:rPr>
              <w:t>平时测验</w:t>
            </w:r>
          </w:p>
        </w:tc>
        <w:tc>
          <w:tcPr>
            <w:tcW w:w="1433" w:type="dxa"/>
            <w:vAlign w:val="center"/>
          </w:tcPr>
          <w:p w14:paraId="580E08D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Times New Roman"/>
                <w:color w:val="auto"/>
                <w:szCs w:val="21"/>
                <w:lang w:val="en-US"/>
              </w:rPr>
            </w:pPr>
            <w:r>
              <w:rPr>
                <w:rFonts w:hint="eastAsia" w:ascii="宋体" w:hAnsi="宋体" w:eastAsia="宋体" w:cs="Times New Roman"/>
                <w:color w:val="auto"/>
                <w:szCs w:val="21"/>
                <w:lang w:val="en-US" w:eastAsia="zh-CN"/>
              </w:rPr>
              <w:t>期末考试</w:t>
            </w:r>
          </w:p>
        </w:tc>
        <w:tc>
          <w:tcPr>
            <w:tcW w:w="1325" w:type="dxa"/>
            <w:vMerge w:val="continue"/>
            <w:vAlign w:val="center"/>
          </w:tcPr>
          <w:p w14:paraId="4BB5214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r>
      <w:tr w14:paraId="79A8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Align w:val="center"/>
          </w:tcPr>
          <w:p w14:paraId="135CD46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384" w:type="dxa"/>
            <w:vAlign w:val="center"/>
          </w:tcPr>
          <w:p w14:paraId="66FC1C0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25" w:type="dxa"/>
            <w:vAlign w:val="center"/>
          </w:tcPr>
          <w:p w14:paraId="23C67F4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375" w:type="dxa"/>
            <w:vAlign w:val="center"/>
          </w:tcPr>
          <w:p w14:paraId="070089A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03" w:type="dxa"/>
            <w:vAlign w:val="center"/>
          </w:tcPr>
          <w:p w14:paraId="6A80BD3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33" w:type="dxa"/>
            <w:vAlign w:val="center"/>
          </w:tcPr>
          <w:p w14:paraId="1516ED0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325" w:type="dxa"/>
            <w:vAlign w:val="center"/>
          </w:tcPr>
          <w:p w14:paraId="4688666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0</w:t>
            </w:r>
          </w:p>
        </w:tc>
      </w:tr>
      <w:tr w14:paraId="1B1A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Align w:val="center"/>
          </w:tcPr>
          <w:p w14:paraId="0512FAD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384" w:type="dxa"/>
            <w:vAlign w:val="center"/>
          </w:tcPr>
          <w:p w14:paraId="4D24B47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25" w:type="dxa"/>
            <w:vAlign w:val="center"/>
          </w:tcPr>
          <w:p w14:paraId="762ADD9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375" w:type="dxa"/>
            <w:vAlign w:val="center"/>
          </w:tcPr>
          <w:p w14:paraId="237AC9E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03" w:type="dxa"/>
            <w:vAlign w:val="center"/>
          </w:tcPr>
          <w:p w14:paraId="32146C3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33" w:type="dxa"/>
            <w:vAlign w:val="center"/>
          </w:tcPr>
          <w:p w14:paraId="4DDD64B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1325" w:type="dxa"/>
            <w:vAlign w:val="center"/>
          </w:tcPr>
          <w:p w14:paraId="191BC01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6</w:t>
            </w:r>
            <w:r>
              <w:rPr>
                <w:rFonts w:hint="eastAsia" w:ascii="宋体" w:hAnsi="宋体" w:eastAsia="宋体" w:cs="Times New Roman"/>
                <w:color w:val="auto"/>
                <w:szCs w:val="21"/>
              </w:rPr>
              <w:t>0</w:t>
            </w:r>
          </w:p>
        </w:tc>
      </w:tr>
      <w:tr w14:paraId="1C66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Align w:val="center"/>
          </w:tcPr>
          <w:p w14:paraId="0ABB470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1384" w:type="dxa"/>
            <w:vAlign w:val="center"/>
          </w:tcPr>
          <w:p w14:paraId="5AE915A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25" w:type="dxa"/>
            <w:vAlign w:val="center"/>
          </w:tcPr>
          <w:p w14:paraId="16CFA52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宋体" w:hAnsi="宋体" w:eastAsia="宋体" w:cs="Times New Roman"/>
                <w:color w:val="auto"/>
                <w:szCs w:val="21"/>
              </w:rPr>
            </w:pPr>
          </w:p>
        </w:tc>
        <w:tc>
          <w:tcPr>
            <w:tcW w:w="1375" w:type="dxa"/>
            <w:vAlign w:val="center"/>
          </w:tcPr>
          <w:p w14:paraId="7F3A540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03" w:type="dxa"/>
            <w:vAlign w:val="center"/>
          </w:tcPr>
          <w:p w14:paraId="687D440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33" w:type="dxa"/>
            <w:vAlign w:val="center"/>
          </w:tcPr>
          <w:p w14:paraId="1D71799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325" w:type="dxa"/>
            <w:vAlign w:val="center"/>
          </w:tcPr>
          <w:p w14:paraId="1B64BE6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0</w:t>
            </w:r>
          </w:p>
        </w:tc>
      </w:tr>
      <w:tr w14:paraId="53E5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Align w:val="center"/>
          </w:tcPr>
          <w:p w14:paraId="6EB9413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384" w:type="dxa"/>
            <w:vAlign w:val="center"/>
          </w:tcPr>
          <w:p w14:paraId="240CCCB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1125" w:type="dxa"/>
            <w:vAlign w:val="center"/>
          </w:tcPr>
          <w:p w14:paraId="7B07096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1375" w:type="dxa"/>
            <w:vAlign w:val="center"/>
          </w:tcPr>
          <w:p w14:paraId="648BA2C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1203" w:type="dxa"/>
            <w:vAlign w:val="center"/>
          </w:tcPr>
          <w:p w14:paraId="31C0A7B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1433" w:type="dxa"/>
            <w:vAlign w:val="center"/>
          </w:tcPr>
          <w:p w14:paraId="7D82E85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1325" w:type="dxa"/>
            <w:vAlign w:val="center"/>
          </w:tcPr>
          <w:p w14:paraId="46BAA78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44847848">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290737CD">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911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2A7C137">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78AC143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7C90C637">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7A94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4AA83E0">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7141" w:type="dxa"/>
            <w:vAlign w:val="center"/>
          </w:tcPr>
          <w:p w14:paraId="1C91D2F0">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w:t>
            </w:r>
            <w:r>
              <w:rPr>
                <w:rFonts w:hint="eastAsia" w:ascii="Times New Roman" w:hAnsi="Times New Roman" w:eastAsia="宋体" w:cs="Times New Roman"/>
                <w:color w:val="auto"/>
                <w:szCs w:val="21"/>
                <w:lang w:val="en-US" w:eastAsia="zh-CN"/>
              </w:rPr>
              <w:t>3</w:t>
            </w:r>
            <w:r>
              <w:rPr>
                <w:rFonts w:hint="eastAsia" w:ascii="Times New Roman" w:hAnsi="Times New Roman" w:eastAsia="宋体" w:cs="Times New Roman"/>
                <w:color w:val="auto"/>
                <w:szCs w:val="21"/>
              </w:rPr>
              <w:t>次，为小论文</w:t>
            </w:r>
            <w:r>
              <w:rPr>
                <w:rFonts w:hint="eastAsia" w:ascii="Times New Roman" w:hAnsi="Times New Roman" w:eastAsia="宋体" w:cs="Times New Roman"/>
                <w:color w:val="auto"/>
                <w:szCs w:val="21"/>
                <w:lang w:val="en-US" w:eastAsia="zh-CN"/>
              </w:rPr>
              <w:t>或讨论题</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论述的</w:t>
            </w:r>
            <w:r>
              <w:rPr>
                <w:rFonts w:hint="eastAsia" w:ascii="Times New Roman" w:hAnsi="Times New Roman" w:eastAsia="宋体" w:cs="Times New Roman"/>
                <w:color w:val="auto"/>
                <w:szCs w:val="21"/>
              </w:rPr>
              <w:t>逻辑性、</w:t>
            </w:r>
            <w:r>
              <w:rPr>
                <w:rFonts w:hint="eastAsia" w:ascii="Times New Roman" w:hAnsi="Times New Roman" w:eastAsia="宋体" w:cs="Times New Roman"/>
                <w:color w:val="auto"/>
                <w:szCs w:val="21"/>
                <w:lang w:val="en-US" w:eastAsia="zh-CN"/>
              </w:rPr>
              <w:t>充分</w:t>
            </w:r>
            <w:r>
              <w:rPr>
                <w:rFonts w:hint="eastAsia" w:ascii="Times New Roman" w:hAnsi="Times New Roman" w:eastAsia="宋体" w:cs="Times New Roman"/>
                <w:color w:val="auto"/>
                <w:szCs w:val="21"/>
              </w:rPr>
              <w:t>性及</w:t>
            </w:r>
            <w:r>
              <w:rPr>
                <w:rFonts w:hint="eastAsia" w:ascii="Times New Roman" w:hAnsi="Times New Roman" w:eastAsia="宋体" w:cs="Times New Roman"/>
                <w:color w:val="auto"/>
                <w:szCs w:val="21"/>
                <w:lang w:val="en-US" w:eastAsia="zh-CN"/>
              </w:rPr>
              <w:t>深刻</w:t>
            </w:r>
            <w:r>
              <w:rPr>
                <w:rFonts w:hint="eastAsia" w:ascii="Times New Roman" w:hAnsi="Times New Roman" w:eastAsia="宋体" w:cs="Times New Roman"/>
                <w:color w:val="auto"/>
                <w:szCs w:val="21"/>
              </w:rPr>
              <w:t>性为评分的主要依据。</w:t>
            </w:r>
          </w:p>
        </w:tc>
        <w:tc>
          <w:tcPr>
            <w:tcW w:w="0" w:type="auto"/>
            <w:vAlign w:val="center"/>
          </w:tcPr>
          <w:p w14:paraId="2155FB4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15</w:t>
            </w:r>
            <w:r>
              <w:rPr>
                <w:rFonts w:hint="eastAsia" w:ascii="Times New Roman" w:hAnsi="Times New Roman" w:eastAsia="宋体" w:cs="Times New Roman"/>
                <w:color w:val="auto"/>
                <w:szCs w:val="21"/>
              </w:rPr>
              <w:t>%</w:t>
            </w:r>
          </w:p>
        </w:tc>
      </w:tr>
      <w:tr w14:paraId="2AC2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CFD8EBB">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7141" w:type="dxa"/>
            <w:vAlign w:val="center"/>
          </w:tcPr>
          <w:p w14:paraId="665964D6">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一是课题考勤情况</w:t>
            </w:r>
            <w:r>
              <w:rPr>
                <w:rFonts w:ascii="宋体" w:hAnsi="宋体" w:eastAsia="宋体" w:cs="宋体"/>
                <w:color w:val="auto"/>
                <w:kern w:val="0"/>
                <w:szCs w:val="21"/>
                <w:lang w:bidi="ar"/>
              </w:rPr>
              <w:t>。</w:t>
            </w:r>
            <w:r>
              <w:rPr>
                <w:rFonts w:hint="eastAsia" w:ascii="Times New Roman" w:hAnsi="Times New Roman" w:eastAsia="宋体" w:cs="Times New Roman"/>
                <w:color w:val="auto"/>
                <w:szCs w:val="21"/>
              </w:rPr>
              <w:t>迟到一次扣2分，无故缺席一次扣5分，累计达</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次以上（不含</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次）取消课程成绩。</w:t>
            </w:r>
          </w:p>
          <w:p w14:paraId="0E7E5BD5">
            <w:pPr>
              <w:widowControl/>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二是</w:t>
            </w:r>
            <w:r>
              <w:rPr>
                <w:rFonts w:ascii="宋体" w:hAnsi="宋体" w:eastAsia="宋体" w:cs="宋体"/>
                <w:color w:val="auto"/>
                <w:kern w:val="0"/>
                <w:szCs w:val="21"/>
                <w:lang w:bidi="ar"/>
              </w:rPr>
              <w:t>课堂参与</w:t>
            </w:r>
            <w:r>
              <w:rPr>
                <w:rFonts w:hint="eastAsia" w:ascii="宋体" w:hAnsi="宋体" w:eastAsia="宋体" w:cs="宋体"/>
                <w:color w:val="auto"/>
                <w:kern w:val="0"/>
                <w:szCs w:val="21"/>
                <w:lang w:bidi="ar"/>
              </w:rPr>
              <w:t>情况。</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表现良好，按照对应的课程目标及权重给予评定</w:t>
            </w:r>
            <w:r>
              <w:rPr>
                <w:rFonts w:hint="eastAsia" w:ascii="宋体" w:hAnsi="宋体" w:eastAsia="宋体" w:cs="宋体"/>
                <w:color w:val="auto"/>
                <w:kern w:val="0"/>
                <w:szCs w:val="21"/>
                <w:lang w:bidi="ar"/>
              </w:rPr>
              <w:t>。</w:t>
            </w:r>
          </w:p>
        </w:tc>
        <w:tc>
          <w:tcPr>
            <w:tcW w:w="0" w:type="auto"/>
            <w:vAlign w:val="center"/>
          </w:tcPr>
          <w:p w14:paraId="2095B80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rPr>
              <w:t>0%</w:t>
            </w:r>
          </w:p>
        </w:tc>
      </w:tr>
      <w:tr w14:paraId="2FC8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F81FDF3">
            <w:pP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平时</w:t>
            </w:r>
            <w:r>
              <w:rPr>
                <w:rFonts w:hint="eastAsia" w:ascii="Times New Roman" w:hAnsi="Times New Roman" w:eastAsia="宋体" w:cs="Times New Roman"/>
                <w:color w:val="auto"/>
                <w:szCs w:val="21"/>
              </w:rPr>
              <w:t>测验</w:t>
            </w:r>
          </w:p>
        </w:tc>
        <w:tc>
          <w:tcPr>
            <w:tcW w:w="7141" w:type="dxa"/>
            <w:vAlign w:val="center"/>
          </w:tcPr>
          <w:p w14:paraId="38F85474">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val="en-US" w:eastAsia="zh-CN" w:bidi="ar"/>
              </w:rPr>
              <w:t>以客观题形式进行</w:t>
            </w:r>
            <w:r>
              <w:rPr>
                <w:rFonts w:hint="eastAsia" w:ascii="宋体" w:hAnsi="宋体" w:eastAsia="宋体" w:cs="宋体"/>
                <w:color w:val="auto"/>
                <w:kern w:val="0"/>
                <w:szCs w:val="21"/>
                <w:lang w:bidi="ar"/>
              </w:rPr>
              <w:t>线上进行测验，主要考查基础知识和基本理论的掌握，以题目的正确率为得分依据。</w:t>
            </w:r>
          </w:p>
        </w:tc>
        <w:tc>
          <w:tcPr>
            <w:tcW w:w="0" w:type="auto"/>
            <w:vAlign w:val="center"/>
          </w:tcPr>
          <w:p w14:paraId="29CCC5A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22DB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18007A4">
            <w:pP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课内实践</w:t>
            </w:r>
          </w:p>
        </w:tc>
        <w:tc>
          <w:tcPr>
            <w:tcW w:w="7141" w:type="dxa"/>
            <w:vAlign w:val="center"/>
          </w:tcPr>
          <w:p w14:paraId="17B1E2EA">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建立“小学班队管理课内实践项目库”，要求每个学生在项目库中选择</w:t>
            </w:r>
            <w:r>
              <w:rPr>
                <w:rFonts w:hint="eastAsia" w:ascii="宋体" w:hAnsi="宋体" w:eastAsia="宋体" w:cs="宋体"/>
                <w:color w:val="auto"/>
                <w:kern w:val="0"/>
                <w:szCs w:val="21"/>
                <w:lang w:val="en-US" w:eastAsia="zh-CN" w:bidi="ar"/>
              </w:rPr>
              <w:t>2个项目</w:t>
            </w:r>
            <w:r>
              <w:rPr>
                <w:rFonts w:hint="eastAsia" w:ascii="宋体" w:hAnsi="宋体" w:eastAsia="宋体" w:cs="宋体"/>
                <w:color w:val="auto"/>
                <w:kern w:val="0"/>
                <w:szCs w:val="21"/>
                <w:lang w:bidi="ar"/>
              </w:rPr>
              <w:t>完成</w:t>
            </w:r>
            <w:r>
              <w:rPr>
                <w:rFonts w:hint="eastAsia" w:ascii="宋体" w:hAnsi="宋体" w:eastAsia="宋体" w:cs="宋体"/>
                <w:color w:val="auto"/>
                <w:kern w:val="0"/>
                <w:szCs w:val="21"/>
                <w:lang w:val="en-US" w:eastAsia="zh-CN" w:bidi="ar"/>
              </w:rPr>
              <w:t>并提交</w:t>
            </w:r>
            <w:r>
              <w:rPr>
                <w:rFonts w:hint="eastAsia" w:ascii="宋体" w:hAnsi="宋体" w:eastAsia="宋体" w:cs="宋体"/>
                <w:color w:val="auto"/>
                <w:kern w:val="0"/>
                <w:szCs w:val="21"/>
                <w:lang w:bidi="ar"/>
              </w:rPr>
              <w:t>，每个项目需在1000字以上。</w:t>
            </w:r>
          </w:p>
        </w:tc>
        <w:tc>
          <w:tcPr>
            <w:tcW w:w="0" w:type="auto"/>
            <w:vAlign w:val="center"/>
          </w:tcPr>
          <w:p w14:paraId="1E5AF7A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15</w:t>
            </w:r>
            <w:r>
              <w:rPr>
                <w:rFonts w:hint="eastAsia" w:ascii="Times New Roman" w:hAnsi="Times New Roman" w:eastAsia="宋体" w:cs="Times New Roman"/>
                <w:color w:val="auto"/>
                <w:szCs w:val="21"/>
              </w:rPr>
              <w:t>%</w:t>
            </w:r>
          </w:p>
        </w:tc>
      </w:tr>
      <w:tr w14:paraId="7094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922961F">
            <w:pP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期末考试</w:t>
            </w:r>
          </w:p>
        </w:tc>
        <w:tc>
          <w:tcPr>
            <w:tcW w:w="7141" w:type="dxa"/>
            <w:vAlign w:val="center"/>
          </w:tcPr>
          <w:p w14:paraId="6EE611C7">
            <w:pPr>
              <w:spacing w:line="264" w:lineRule="auto"/>
              <w:jc w:val="left"/>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对所学内容的认识、理解和应用情况</w:t>
            </w:r>
          </w:p>
        </w:tc>
        <w:tc>
          <w:tcPr>
            <w:tcW w:w="0" w:type="auto"/>
            <w:vAlign w:val="center"/>
          </w:tcPr>
          <w:p w14:paraId="0B44FC6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w:t>
            </w:r>
            <w:r>
              <w:rPr>
                <w:rFonts w:hint="eastAsia" w:ascii="Times New Roman" w:hAnsi="Times New Roman" w:eastAsia="宋体" w:cs="Times New Roman"/>
                <w:color w:val="auto"/>
                <w:szCs w:val="21"/>
              </w:rPr>
              <w:t>0%</w:t>
            </w:r>
          </w:p>
        </w:tc>
      </w:tr>
      <w:tr w14:paraId="309D8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121B4D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55226CB3">
            <w:pPr>
              <w:jc w:val="left"/>
              <w:rPr>
                <w:rFonts w:ascii="Times New Roman" w:hAnsi="Times New Roman" w:eastAsia="宋体" w:cs="Times New Roman"/>
                <w:color w:val="auto"/>
                <w:szCs w:val="21"/>
              </w:rPr>
            </w:pPr>
          </w:p>
        </w:tc>
        <w:tc>
          <w:tcPr>
            <w:tcW w:w="0" w:type="auto"/>
            <w:vAlign w:val="center"/>
          </w:tcPr>
          <w:p w14:paraId="24B0E06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27348B89">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25D9D107">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6FE70A19">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b/>
          <w:color w:val="auto"/>
          <w:sz w:val="24"/>
          <w:szCs w:val="24"/>
        </w:rPr>
      </w:pPr>
      <w:r>
        <w:rPr>
          <w:rFonts w:ascii="宋体" w:hAnsi="宋体" w:eastAsia="宋体" w:cs="Times New Roman"/>
          <w:color w:val="auto"/>
          <w:szCs w:val="21"/>
        </w:rPr>
        <w:object>
          <v:shape id="_x0000_i1045" o:spt="75" type="#_x0000_t75" style="height:25pt;width:404.5pt;" o:ole="t" filled="f" o:preferrelative="t" stroked="f" coordsize="21600,21600">
            <v:path/>
            <v:fill on="f" focussize="0,0"/>
            <v:stroke on="f" joinstyle="miter"/>
            <v:imagedata r:id="rId10" o:title=""/>
            <o:lock v:ext="edit" aspectratio="t"/>
            <w10:wrap type="none"/>
            <w10:anchorlock/>
          </v:shape>
          <o:OLEObject Type="Embed" ProgID="Equation.3" ShapeID="_x0000_i1045" DrawAspect="Content" ObjectID="_1468075744" r:id="rId31">
            <o:LockedField>false</o:LockedField>
          </o:OLEObject>
        </w:object>
      </w:r>
      <w:r>
        <w:rPr>
          <w:rFonts w:hint="eastAsia" w:ascii="Times New Roman" w:hAnsi="Times New Roman" w:eastAsia="宋体" w:cs="Times New Roman"/>
          <w:b/>
          <w:color w:val="auto"/>
          <w:sz w:val="24"/>
          <w:szCs w:val="24"/>
        </w:rPr>
        <w:t>五、课程实践</w:t>
      </w:r>
    </w:p>
    <w:p w14:paraId="0D7B547A">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w:t>
      </w:r>
      <w:r>
        <w:rPr>
          <w:rFonts w:hint="eastAsia" w:ascii="宋体" w:hAnsi="宋体" w:eastAsia="宋体"/>
          <w:color w:val="auto"/>
          <w:szCs w:val="21"/>
          <w:lang w:val="en-US" w:eastAsia="zh-CN"/>
        </w:rPr>
        <w:t>24学时理论</w:t>
      </w:r>
      <w:r>
        <w:rPr>
          <w:rFonts w:hint="eastAsia" w:ascii="宋体" w:hAnsi="宋体" w:eastAsia="宋体"/>
          <w:color w:val="auto"/>
          <w:szCs w:val="21"/>
        </w:rPr>
        <w:t>教学的基础上，</w:t>
      </w:r>
      <w:r>
        <w:rPr>
          <w:rFonts w:hint="eastAsia" w:ascii="宋体" w:hAnsi="宋体" w:eastAsia="宋体"/>
          <w:color w:val="auto"/>
          <w:szCs w:val="21"/>
          <w:lang w:val="en-US" w:eastAsia="zh-CN"/>
        </w:rPr>
        <w:t>完成8学时的课内实践</w:t>
      </w:r>
      <w:r>
        <w:rPr>
          <w:rFonts w:hint="eastAsia" w:ascii="宋体" w:hAnsi="宋体" w:eastAsia="宋体"/>
          <w:color w:val="auto"/>
          <w:szCs w:val="21"/>
        </w:rPr>
        <w:t>。</w:t>
      </w:r>
    </w:p>
    <w:p w14:paraId="4F64754E">
      <w:pPr>
        <w:spacing w:line="276" w:lineRule="auto"/>
        <w:ind w:firstLine="422" w:firstLineChars="200"/>
        <w:jc w:val="center"/>
        <w:rPr>
          <w:rFonts w:hint="default"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课内实践活动安排</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885"/>
        <w:gridCol w:w="1136"/>
        <w:gridCol w:w="3286"/>
      </w:tblGrid>
      <w:tr w14:paraId="3BFB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5BF518E3">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2885" w:type="dxa"/>
            <w:vAlign w:val="center"/>
          </w:tcPr>
          <w:p w14:paraId="64C8975A">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1136" w:type="dxa"/>
            <w:vAlign w:val="center"/>
          </w:tcPr>
          <w:p w14:paraId="7E633E32">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3286" w:type="dxa"/>
            <w:vAlign w:val="center"/>
          </w:tcPr>
          <w:p w14:paraId="4055F096">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教学</w:t>
            </w:r>
            <w:r>
              <w:rPr>
                <w:rFonts w:hint="eastAsia" w:ascii="宋体" w:hAnsi="宋体" w:eastAsia="宋体" w:cs="宋体"/>
                <w:b/>
                <w:bCs/>
                <w:color w:val="auto"/>
                <w:szCs w:val="21"/>
              </w:rPr>
              <w:t>目标</w:t>
            </w:r>
          </w:p>
        </w:tc>
      </w:tr>
      <w:tr w14:paraId="5F9B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3A1F0D6A">
            <w:pPr>
              <w:spacing w:line="276"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班队常规管理</w:t>
            </w:r>
          </w:p>
        </w:tc>
        <w:tc>
          <w:tcPr>
            <w:tcW w:w="2885" w:type="dxa"/>
            <w:vAlign w:val="center"/>
          </w:tcPr>
          <w:p w14:paraId="545275CC">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了解小学班队常规，学习《中小学教育惩戒规则》，选择一个年级，制定一份班队常规或结合教育实践案例，谈谈如何正确进行教育惩戒</w:t>
            </w:r>
          </w:p>
        </w:tc>
        <w:tc>
          <w:tcPr>
            <w:tcW w:w="1136" w:type="dxa"/>
            <w:vAlign w:val="center"/>
          </w:tcPr>
          <w:p w14:paraId="7A7DE83A">
            <w:pPr>
              <w:spacing w:line="276"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课堂研讨与分享</w:t>
            </w:r>
          </w:p>
        </w:tc>
        <w:tc>
          <w:tcPr>
            <w:tcW w:w="3286" w:type="dxa"/>
            <w:vAlign w:val="center"/>
          </w:tcPr>
          <w:p w14:paraId="4028CE5B">
            <w:pPr>
              <w:spacing w:line="276" w:lineRule="auto"/>
              <w:jc w:val="left"/>
              <w:rPr>
                <w:rFonts w:hint="eastAsia" w:ascii="宋体" w:hAnsi="宋体" w:eastAsia="宋体" w:cs="宋体"/>
                <w:color w:val="auto"/>
                <w:szCs w:val="21"/>
                <w:lang w:eastAsia="zh-CN"/>
              </w:rPr>
            </w:pPr>
            <w:r>
              <w:rPr>
                <w:rFonts w:hint="eastAsia" w:ascii="宋体" w:hAnsi="宋体" w:eastAsia="宋体" w:cs="宋体"/>
                <w:color w:val="auto"/>
                <w:szCs w:val="21"/>
              </w:rPr>
              <w:t>1.学会制订班队常规，能够运用班队常规进行班级管理，掌握中小学教育惩戒规则，正确进行教育惩戒</w:t>
            </w:r>
            <w:r>
              <w:rPr>
                <w:rFonts w:hint="eastAsia" w:ascii="宋体" w:hAnsi="宋体" w:eastAsia="宋体" w:cs="宋体"/>
                <w:color w:val="auto"/>
                <w:szCs w:val="21"/>
                <w:lang w:eastAsia="zh-CN"/>
              </w:rPr>
              <w:t>；</w:t>
            </w:r>
          </w:p>
          <w:p w14:paraId="4B42E019">
            <w:pPr>
              <w:spacing w:line="276" w:lineRule="auto"/>
              <w:jc w:val="left"/>
              <w:rPr>
                <w:rFonts w:hint="eastAsia" w:ascii="宋体" w:hAnsi="宋体" w:eastAsia="宋体" w:cs="宋体"/>
                <w:color w:val="auto"/>
                <w:szCs w:val="21"/>
                <w:lang w:eastAsia="zh-CN"/>
              </w:rPr>
            </w:pPr>
            <w:r>
              <w:rPr>
                <w:rFonts w:hint="eastAsia" w:ascii="宋体" w:hAnsi="宋体" w:eastAsia="宋体" w:cs="宋体"/>
                <w:color w:val="auto"/>
                <w:szCs w:val="21"/>
              </w:rPr>
              <w:t>2.树立正确的教育观、教师观、学生观，遵守教育法律法规，进行班级管理</w:t>
            </w:r>
            <w:r>
              <w:rPr>
                <w:rFonts w:hint="eastAsia" w:ascii="宋体" w:hAnsi="宋体" w:eastAsia="宋体" w:cs="宋体"/>
                <w:color w:val="auto"/>
                <w:szCs w:val="21"/>
                <w:lang w:eastAsia="zh-CN"/>
              </w:rPr>
              <w:t>。</w:t>
            </w:r>
          </w:p>
        </w:tc>
      </w:tr>
      <w:tr w14:paraId="64B79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C44D770">
            <w:pPr>
              <w:spacing w:line="276"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班队活动管理</w:t>
            </w:r>
          </w:p>
        </w:tc>
        <w:tc>
          <w:tcPr>
            <w:tcW w:w="2885" w:type="dxa"/>
            <w:vAlign w:val="center"/>
          </w:tcPr>
          <w:p w14:paraId="7809EFBA">
            <w:pPr>
              <w:spacing w:line="276" w:lineRule="auto"/>
              <w:jc w:val="left"/>
              <w:rPr>
                <w:rFonts w:hint="default" w:ascii="宋体" w:hAnsi="宋体" w:eastAsia="宋体" w:cs="宋体"/>
                <w:color w:val="auto"/>
                <w:szCs w:val="21"/>
                <w:lang w:val="en-US" w:eastAsia="zh-CN"/>
              </w:rPr>
            </w:pPr>
            <w:r>
              <w:rPr>
                <w:rFonts w:hint="eastAsia" w:ascii="宋体" w:hAnsi="宋体" w:eastAsia="宋体" w:cs="宋体"/>
                <w:color w:val="auto"/>
                <w:szCs w:val="21"/>
              </w:rPr>
              <w:t>观看以小学竞选班长为主题的纪录片《请投我一票》，分析这次班队活动中反映出的一些问题</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并自选主题，设计“主题班会”活动方案</w:t>
            </w:r>
          </w:p>
        </w:tc>
        <w:tc>
          <w:tcPr>
            <w:tcW w:w="1136" w:type="dxa"/>
            <w:vAlign w:val="center"/>
          </w:tcPr>
          <w:p w14:paraId="303E9F25">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课堂研讨与分享</w:t>
            </w:r>
          </w:p>
        </w:tc>
        <w:tc>
          <w:tcPr>
            <w:tcW w:w="3286" w:type="dxa"/>
            <w:vAlign w:val="center"/>
          </w:tcPr>
          <w:p w14:paraId="0C6B8F03">
            <w:pPr>
              <w:spacing w:line="276" w:lineRule="auto"/>
              <w:jc w:val="left"/>
              <w:rPr>
                <w:rFonts w:hint="eastAsia" w:ascii="宋体" w:hAnsi="宋体" w:eastAsia="宋体" w:cs="宋体"/>
                <w:color w:val="auto"/>
                <w:szCs w:val="21"/>
                <w:lang w:eastAsia="zh-CN"/>
              </w:rPr>
            </w:pPr>
            <w:r>
              <w:rPr>
                <w:rFonts w:hint="eastAsia" w:ascii="宋体" w:hAnsi="宋体" w:eastAsia="宋体" w:cs="宋体"/>
                <w:color w:val="auto"/>
                <w:szCs w:val="21"/>
              </w:rPr>
              <w:t>1.学会组织班队活动</w:t>
            </w:r>
            <w:r>
              <w:rPr>
                <w:rFonts w:hint="eastAsia" w:ascii="宋体" w:hAnsi="宋体" w:eastAsia="宋体" w:cs="宋体"/>
                <w:color w:val="auto"/>
                <w:szCs w:val="21"/>
                <w:lang w:eastAsia="zh-CN"/>
              </w:rPr>
              <w:t>；</w:t>
            </w:r>
          </w:p>
          <w:p w14:paraId="656E307D">
            <w:pPr>
              <w:spacing w:line="276" w:lineRule="auto"/>
              <w:jc w:val="left"/>
              <w:rPr>
                <w:rFonts w:hint="eastAsia" w:ascii="宋体" w:hAnsi="宋体" w:eastAsia="宋体" w:cs="宋体"/>
                <w:color w:val="auto"/>
                <w:szCs w:val="21"/>
                <w:lang w:eastAsia="zh-CN"/>
              </w:rPr>
            </w:pPr>
            <w:r>
              <w:rPr>
                <w:rFonts w:hint="eastAsia" w:ascii="宋体" w:hAnsi="宋体" w:eastAsia="宋体" w:cs="宋体"/>
                <w:color w:val="auto"/>
                <w:szCs w:val="21"/>
              </w:rPr>
              <w:t>2.进一步理解活动育人的意义</w:t>
            </w:r>
            <w:r>
              <w:rPr>
                <w:rFonts w:hint="eastAsia" w:ascii="宋体" w:hAnsi="宋体" w:eastAsia="宋体" w:cs="宋体"/>
                <w:color w:val="auto"/>
                <w:szCs w:val="21"/>
                <w:lang w:eastAsia="zh-CN"/>
              </w:rPr>
              <w:t>；</w:t>
            </w:r>
          </w:p>
          <w:p w14:paraId="6D6C098F">
            <w:pPr>
              <w:spacing w:line="276" w:lineRule="auto"/>
              <w:jc w:val="left"/>
              <w:rPr>
                <w:rFonts w:hint="eastAsia" w:ascii="宋体" w:hAnsi="宋体" w:eastAsia="宋体" w:cs="宋体"/>
                <w:color w:val="auto"/>
                <w:szCs w:val="21"/>
                <w:lang w:eastAsia="zh-CN"/>
              </w:rPr>
            </w:pPr>
            <w:r>
              <w:rPr>
                <w:rFonts w:hint="eastAsia" w:ascii="宋体" w:hAnsi="宋体" w:eastAsia="宋体" w:cs="宋体"/>
                <w:color w:val="auto"/>
                <w:szCs w:val="21"/>
              </w:rPr>
              <w:t>3.深刻领会班主任素养对学生成长的重要性，提升努力成为“四有”好教师的意愿</w:t>
            </w:r>
            <w:r>
              <w:rPr>
                <w:rFonts w:hint="eastAsia" w:ascii="宋体" w:hAnsi="宋体" w:eastAsia="宋体" w:cs="宋体"/>
                <w:color w:val="auto"/>
                <w:szCs w:val="21"/>
                <w:lang w:eastAsia="zh-CN"/>
              </w:rPr>
              <w:t>。</w:t>
            </w:r>
          </w:p>
        </w:tc>
      </w:tr>
      <w:tr w14:paraId="46D6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1212" w:type="dxa"/>
            <w:vAlign w:val="center"/>
          </w:tcPr>
          <w:p w14:paraId="726FBE3B">
            <w:pPr>
              <w:spacing w:line="276"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班队环境管理</w:t>
            </w:r>
          </w:p>
        </w:tc>
        <w:tc>
          <w:tcPr>
            <w:tcW w:w="2885" w:type="dxa"/>
            <w:vAlign w:val="center"/>
          </w:tcPr>
          <w:p w14:paraId="43E1D1DF">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结合见习实习经历，谈谈班主任进行</w:t>
            </w:r>
            <w:r>
              <w:rPr>
                <w:rFonts w:hint="eastAsia" w:ascii="宋体" w:hAnsi="宋体" w:eastAsia="宋体" w:cs="宋体"/>
                <w:color w:val="auto"/>
                <w:szCs w:val="21"/>
                <w:lang w:val="en-US" w:eastAsia="zh-CN"/>
              </w:rPr>
              <w:t>班级环境创设应注意的问题</w:t>
            </w:r>
            <w:r>
              <w:rPr>
                <w:rFonts w:hint="eastAsia" w:ascii="宋体" w:hAnsi="宋体" w:eastAsia="宋体" w:cs="宋体"/>
                <w:color w:val="auto"/>
                <w:szCs w:val="21"/>
              </w:rPr>
              <w:t>。</w:t>
            </w:r>
          </w:p>
        </w:tc>
        <w:tc>
          <w:tcPr>
            <w:tcW w:w="1136" w:type="dxa"/>
            <w:vAlign w:val="center"/>
          </w:tcPr>
          <w:p w14:paraId="493D3C57">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课堂研讨与分享</w:t>
            </w:r>
          </w:p>
        </w:tc>
        <w:tc>
          <w:tcPr>
            <w:tcW w:w="3286" w:type="dxa"/>
            <w:vAlign w:val="center"/>
          </w:tcPr>
          <w:p w14:paraId="6E38E945">
            <w:pPr>
              <w:spacing w:line="276" w:lineRule="auto"/>
              <w:jc w:val="left"/>
              <w:rPr>
                <w:rFonts w:hint="default" w:ascii="宋体" w:hAnsi="宋体" w:eastAsia="宋体" w:cs="宋体"/>
                <w:color w:val="auto"/>
                <w:szCs w:val="21"/>
                <w:lang w:val="en-US" w:eastAsia="zh-CN"/>
              </w:rPr>
            </w:pPr>
            <w:r>
              <w:rPr>
                <w:rFonts w:hint="eastAsia" w:ascii="宋体" w:hAnsi="宋体" w:eastAsia="宋体" w:cs="宋体"/>
                <w:color w:val="auto"/>
                <w:szCs w:val="21"/>
              </w:rPr>
              <w:t>1.掌握</w:t>
            </w:r>
            <w:r>
              <w:rPr>
                <w:rFonts w:hint="eastAsia" w:ascii="宋体" w:hAnsi="宋体" w:eastAsia="宋体" w:cs="宋体"/>
                <w:color w:val="auto"/>
                <w:szCs w:val="21"/>
                <w:lang w:val="en-US" w:eastAsia="zh-CN"/>
              </w:rPr>
              <w:t>班级环境创设的要求与方法；</w:t>
            </w:r>
          </w:p>
          <w:p w14:paraId="4D40B7C3">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2.提高对教师职业特性的认识，增强</w:t>
            </w:r>
            <w:r>
              <w:rPr>
                <w:rFonts w:hint="eastAsia" w:ascii="宋体" w:hAnsi="宋体" w:eastAsia="宋体" w:cs="宋体"/>
                <w:color w:val="auto"/>
                <w:szCs w:val="21"/>
                <w:lang w:val="en-US" w:eastAsia="zh-CN"/>
              </w:rPr>
              <w:t>文化育人的意识。</w:t>
            </w:r>
          </w:p>
        </w:tc>
      </w:tr>
      <w:tr w14:paraId="21EA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2FBB613F">
            <w:pPr>
              <w:spacing w:line="276"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学生问题行为管理与家校沟通</w:t>
            </w:r>
          </w:p>
        </w:tc>
        <w:tc>
          <w:tcPr>
            <w:tcW w:w="2885" w:type="dxa"/>
            <w:vAlign w:val="center"/>
          </w:tcPr>
          <w:p w14:paraId="428E7F55">
            <w:pPr>
              <w:spacing w:line="276" w:lineRule="auto"/>
              <w:jc w:val="left"/>
              <w:rPr>
                <w:rFonts w:hint="default" w:ascii="宋体" w:hAnsi="宋体" w:eastAsia="宋体" w:cs="宋体"/>
                <w:color w:val="auto"/>
                <w:szCs w:val="21"/>
                <w:lang w:val="en-US" w:eastAsia="zh-CN"/>
              </w:rPr>
            </w:pPr>
            <w:r>
              <w:rPr>
                <w:rFonts w:hint="eastAsia" w:ascii="宋体" w:hAnsi="宋体" w:eastAsia="宋体" w:cs="宋体"/>
                <w:color w:val="auto"/>
                <w:szCs w:val="21"/>
              </w:rPr>
              <w:t>分析当前小学校园霸凌问题的表现、成因及应对策略</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并谈谈家校沟通存在的问题及应对</w:t>
            </w:r>
          </w:p>
        </w:tc>
        <w:tc>
          <w:tcPr>
            <w:tcW w:w="1136" w:type="dxa"/>
            <w:vAlign w:val="center"/>
          </w:tcPr>
          <w:p w14:paraId="6FB7CAB9">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课堂研讨与分享</w:t>
            </w:r>
          </w:p>
        </w:tc>
        <w:tc>
          <w:tcPr>
            <w:tcW w:w="3286" w:type="dxa"/>
            <w:vAlign w:val="center"/>
          </w:tcPr>
          <w:p w14:paraId="2D4EC59C">
            <w:pPr>
              <w:spacing w:line="276" w:lineRule="auto"/>
              <w:jc w:val="left"/>
              <w:rPr>
                <w:rFonts w:hint="default" w:ascii="宋体" w:hAnsi="宋体" w:eastAsia="宋体" w:cs="宋体"/>
                <w:color w:val="auto"/>
                <w:szCs w:val="21"/>
                <w:lang w:val="en-US" w:eastAsia="zh-CN"/>
              </w:rPr>
            </w:pPr>
            <w:r>
              <w:rPr>
                <w:rFonts w:hint="eastAsia" w:ascii="宋体" w:hAnsi="宋体" w:eastAsia="宋体" w:cs="宋体"/>
                <w:color w:val="auto"/>
                <w:szCs w:val="21"/>
              </w:rPr>
              <w:t>1.了解常见的学生问题行为，掌握处理学生问题行为的策略</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提升家校沟通技巧；</w:t>
            </w:r>
          </w:p>
          <w:p w14:paraId="78E91C28">
            <w:pPr>
              <w:spacing w:line="276" w:lineRule="auto"/>
              <w:jc w:val="left"/>
              <w:rPr>
                <w:rFonts w:hint="eastAsia" w:ascii="宋体" w:hAnsi="宋体" w:eastAsia="宋体" w:cs="宋体"/>
                <w:color w:val="auto"/>
                <w:szCs w:val="21"/>
                <w:lang w:eastAsia="zh-CN"/>
              </w:rPr>
            </w:pPr>
            <w:r>
              <w:rPr>
                <w:rFonts w:hint="eastAsia" w:ascii="宋体" w:hAnsi="宋体" w:eastAsia="宋体" w:cs="宋体"/>
                <w:color w:val="auto"/>
                <w:szCs w:val="21"/>
              </w:rPr>
              <w:t>2.增强从教的意愿，以及成为小学教师的荣耀感、责任感和使命感</w:t>
            </w:r>
            <w:r>
              <w:rPr>
                <w:rFonts w:hint="eastAsia" w:ascii="宋体" w:hAnsi="宋体" w:eastAsia="宋体" w:cs="宋体"/>
                <w:color w:val="auto"/>
                <w:szCs w:val="21"/>
                <w:lang w:eastAsia="zh-CN"/>
              </w:rPr>
              <w:t>。</w:t>
            </w:r>
          </w:p>
        </w:tc>
      </w:tr>
    </w:tbl>
    <w:p w14:paraId="62F4387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六、有关说明</w:t>
      </w:r>
    </w:p>
    <w:p w14:paraId="4E261234">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259535DA">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根据学生课堂教学中的反应、课后反馈、</w:t>
      </w:r>
      <w:r>
        <w:rPr>
          <w:rFonts w:hint="eastAsia" w:ascii="Times New Roman" w:hAnsi="Times New Roman" w:eastAsia="宋体" w:cs="Times New Roman"/>
          <w:color w:val="auto"/>
          <w:szCs w:val="21"/>
          <w:lang w:val="en-US" w:eastAsia="zh-CN"/>
        </w:rPr>
        <w:t>课内实践、</w:t>
      </w:r>
      <w:r>
        <w:rPr>
          <w:rFonts w:hint="eastAsia" w:ascii="Times New Roman" w:hAnsi="Times New Roman" w:eastAsia="宋体" w:cs="Times New Roman"/>
          <w:color w:val="auto"/>
          <w:szCs w:val="21"/>
        </w:rPr>
        <w:t>作业质量，以及领导、督导、教师同行等的听课情况，及时发现和改进教学中的不足之处，确保相应毕业要求指标点达成。</w:t>
      </w:r>
    </w:p>
    <w:p w14:paraId="6C1C984F">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712B953B">
      <w:pPr>
        <w:spacing w:line="360" w:lineRule="auto"/>
        <w:ind w:firstLine="420" w:firstLineChars="200"/>
        <w:jc w:val="left"/>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rPr>
        <w:t>沈佳琪</w:t>
      </w: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rPr>
        <w:t>小学班管队理，高等教育出版社，2021</w:t>
      </w:r>
      <w:r>
        <w:rPr>
          <w:rFonts w:hint="eastAsia" w:ascii="Times New Roman" w:hAnsi="Times New Roman" w:eastAsia="宋体" w:cs="Times New Roman"/>
          <w:bCs/>
          <w:color w:val="auto"/>
          <w:szCs w:val="21"/>
          <w:lang w:eastAsia="zh-CN"/>
        </w:rPr>
        <w:t>。</w:t>
      </w:r>
    </w:p>
    <w:p w14:paraId="077C9E80">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08F7DD8C">
      <w:pPr>
        <w:spacing w:line="360" w:lineRule="auto"/>
        <w:ind w:firstLine="420" w:firstLineChars="200"/>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1. 李镇西.我这样做班主任——李镇西30年班级管理精华. 漓江出版社，2018.</w:t>
      </w:r>
    </w:p>
    <w:p w14:paraId="757762B2">
      <w:pPr>
        <w:spacing w:line="360" w:lineRule="auto"/>
        <w:ind w:firstLine="420" w:firstLineChars="200"/>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 xml:space="preserve">2. 曹长德. 当代班级管理引论. 中国科学技术大学出版社, 2019. </w:t>
      </w:r>
    </w:p>
    <w:p w14:paraId="0AE17C94">
      <w:pPr>
        <w:spacing w:line="360" w:lineRule="auto"/>
        <w:ind w:firstLine="420" w:firstLineChars="200"/>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 xml:space="preserve">3. 王怀玉. 从班级到成长共同体：不一样的带班策略.华东师范大学出版社, 2019. </w:t>
      </w:r>
    </w:p>
    <w:p w14:paraId="2CB83A85">
      <w:pPr>
        <w:spacing w:line="360" w:lineRule="auto"/>
        <w:ind w:firstLine="420" w:firstLineChars="200"/>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4. 李明敏等. 班级管理原理与方法. 中国社会科学出版社, 2017.</w:t>
      </w:r>
    </w:p>
    <w:p w14:paraId="2B3BB7F5">
      <w:pPr>
        <w:spacing w:line="360" w:lineRule="auto"/>
        <w:ind w:firstLine="420" w:firstLineChars="200"/>
        <w:rPr>
          <w:rFonts w:hint="eastAsia"/>
          <w:color w:val="auto"/>
          <w:sz w:val="21"/>
          <w:szCs w:val="21"/>
        </w:rPr>
      </w:pPr>
      <w:r>
        <w:rPr>
          <w:rFonts w:hint="eastAsia" w:ascii="Times New Roman" w:hAnsi="Times New Roman" w:eastAsia="宋体" w:cs="Times New Roman"/>
          <w:bCs/>
          <w:color w:val="auto"/>
          <w:sz w:val="21"/>
          <w:szCs w:val="21"/>
        </w:rPr>
        <w:t>5. 李继秀, 陈小勤. 班级管理案例精选. 安徽大学出版社, 2018.</w:t>
      </w:r>
    </w:p>
    <w:p w14:paraId="39D6D01D">
      <w:pPr>
        <w:keepNext w:val="0"/>
        <w:keepLines w:val="0"/>
        <w:pageBreakBefore w:val="0"/>
        <w:widowControl w:val="0"/>
        <w:kinsoku/>
        <w:wordWrap w:val="0"/>
        <w:overflowPunct/>
        <w:topLinePunct w:val="0"/>
        <w:autoSpaceDE/>
        <w:autoSpaceDN/>
        <w:bidi w:val="0"/>
        <w:adjustRightInd/>
        <w:snapToGrid/>
        <w:spacing w:line="360" w:lineRule="auto"/>
        <w:ind w:right="1440"/>
        <w:jc w:val="righ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 xml:space="preserve">执 笔 人： </w:t>
      </w:r>
      <w:r>
        <w:rPr>
          <w:rFonts w:hint="eastAsia" w:ascii="Times New Roman" w:hAnsi="Times New Roman" w:eastAsia="宋体" w:cs="Times New Roman"/>
          <w:color w:val="auto"/>
          <w:sz w:val="21"/>
          <w:szCs w:val="21"/>
          <w:lang w:val="en-US" w:eastAsia="zh-CN"/>
        </w:rPr>
        <w:t>姚玉香</w:t>
      </w:r>
    </w:p>
    <w:p w14:paraId="00FAB005">
      <w:pPr>
        <w:keepNext w:val="0"/>
        <w:keepLines w:val="0"/>
        <w:pageBreakBefore w:val="0"/>
        <w:widowControl w:val="0"/>
        <w:kinsoku/>
        <w:wordWrap w:val="0"/>
        <w:overflowPunct/>
        <w:topLinePunct w:val="0"/>
        <w:autoSpaceDE/>
        <w:autoSpaceDN/>
        <w:bidi w:val="0"/>
        <w:adjustRightInd/>
        <w:snapToGrid/>
        <w:spacing w:line="360" w:lineRule="auto"/>
        <w:ind w:right="1440"/>
        <w:jc w:val="right"/>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审 定 人： 王</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健</w:t>
      </w:r>
    </w:p>
    <w:p w14:paraId="2C3F6E3C">
      <w:pPr>
        <w:keepNext w:val="0"/>
        <w:keepLines w:val="0"/>
        <w:pageBreakBefore w:val="0"/>
        <w:widowControl w:val="0"/>
        <w:kinsoku/>
        <w:overflowPunct/>
        <w:topLinePunct w:val="0"/>
        <w:autoSpaceDE/>
        <w:autoSpaceDN/>
        <w:bidi w:val="0"/>
        <w:adjustRightInd/>
        <w:snapToGrid/>
        <w:spacing w:line="360" w:lineRule="auto"/>
        <w:ind w:right="144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 批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张志欣</w:t>
      </w:r>
    </w:p>
    <w:p w14:paraId="1874B30A">
      <w:pPr>
        <w:keepNext w:val="0"/>
        <w:keepLines w:val="0"/>
        <w:pageBreakBefore w:val="0"/>
        <w:widowControl w:val="0"/>
        <w:kinsoku/>
        <w:overflowPunct/>
        <w:topLinePunct w:val="0"/>
        <w:autoSpaceDE/>
        <w:autoSpaceDN/>
        <w:bidi w:val="0"/>
        <w:adjustRightInd/>
        <w:snapToGrid/>
        <w:spacing w:line="360" w:lineRule="auto"/>
        <w:ind w:right="24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eastAsia="zh-CN"/>
        </w:rPr>
        <w:t>批准时间：2025年7月1日</w:t>
      </w:r>
    </w:p>
    <w:p w14:paraId="1DDF7417">
      <w:pPr>
        <w:spacing w:line="360" w:lineRule="auto"/>
        <w:jc w:val="center"/>
        <w:outlineLvl w:val="0"/>
        <w:rPr>
          <w:rFonts w:hint="eastAsia" w:ascii="Times New Roman" w:hAnsi="Times New Roman" w:eastAsia="宋体" w:cs="Times New Roman"/>
          <w:b/>
          <w:color w:val="auto"/>
          <w:sz w:val="44"/>
          <w:szCs w:val="44"/>
        </w:rPr>
      </w:pPr>
      <w:r>
        <w:rPr>
          <w:rFonts w:hint="eastAsia" w:ascii="等线" w:hAnsi="等线" w:eastAsia="等线" w:cs="等线"/>
          <w:color w:val="auto"/>
          <w:szCs w:val="44"/>
        </w:rPr>
        <w:br w:type="page"/>
      </w:r>
      <w:bookmarkStart w:id="306" w:name="_Toc10119"/>
      <w:bookmarkStart w:id="307" w:name="_Toc1149"/>
      <w:r>
        <w:rPr>
          <w:rFonts w:hint="eastAsia" w:ascii="Times New Roman" w:hAnsi="Times New Roman" w:eastAsia="宋体" w:cs="Times New Roman"/>
          <w:b/>
          <w:color w:val="auto"/>
          <w:sz w:val="44"/>
          <w:szCs w:val="44"/>
        </w:rPr>
        <w:t>《教师口语与礼仪》课程教学大纲</w:t>
      </w:r>
      <w:bookmarkEnd w:id="306"/>
    </w:p>
    <w:p w14:paraId="20754ACF">
      <w:pPr>
        <w:spacing w:line="360" w:lineRule="auto"/>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（Teachers' Spoken Language and Etiquette）</w:t>
      </w:r>
    </w:p>
    <w:p w14:paraId="4EC3A05E">
      <w:pPr>
        <w:spacing w:line="360" w:lineRule="auto"/>
        <w:jc w:val="center"/>
        <w:rPr>
          <w:rFonts w:ascii="Times New Roman" w:hAnsi="Times New Roman" w:eastAsia="宋体" w:cs="Times New Roman"/>
          <w:bCs/>
          <w:color w:val="auto"/>
          <w:sz w:val="21"/>
          <w:szCs w:val="21"/>
        </w:rPr>
      </w:pPr>
    </w:p>
    <w:p w14:paraId="41EC26B1">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w:t>
      </w:r>
      <w:r>
        <w:rPr>
          <w:rFonts w:hint="eastAsia" w:ascii="Times New Roman" w:hAnsi="Times New Roman" w:eastAsia="宋体" w:cs="Times New Roman"/>
          <w:bCs/>
          <w:color w:val="auto"/>
          <w:sz w:val="24"/>
        </w:rPr>
        <w:t>教师口语与礼仪</w:t>
      </w:r>
    </w:p>
    <w:p w14:paraId="1B952766">
      <w:pPr>
        <w:spacing w:line="360" w:lineRule="auto"/>
        <w:ind w:firstLine="482" w:firstLineChars="200"/>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w:t>
      </w:r>
      <w:r>
        <w:rPr>
          <w:rFonts w:hint="eastAsia" w:ascii="Times New Roman" w:hAnsi="Times New Roman" w:eastAsia="宋体" w:cs="Times New Roman"/>
          <w:bCs/>
          <w:color w:val="auto"/>
          <w:sz w:val="24"/>
        </w:rPr>
        <w:t>2401060</w:t>
      </w:r>
    </w:p>
    <w:p w14:paraId="44153864">
      <w:pPr>
        <w:spacing w:line="360" w:lineRule="auto"/>
        <w:ind w:firstLine="482" w:firstLineChars="200"/>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w:t>
      </w:r>
      <w:r>
        <w:rPr>
          <w:rFonts w:hint="eastAsia" w:ascii="Times New Roman" w:hAnsi="Times New Roman" w:eastAsia="宋体" w:cs="Times New Roman"/>
          <w:bCs/>
          <w:color w:val="auto"/>
          <w:sz w:val="24"/>
        </w:rPr>
        <w:t>1</w:t>
      </w:r>
    </w:p>
    <w:p w14:paraId="7D2120FA">
      <w:pPr>
        <w:spacing w:line="360" w:lineRule="auto"/>
        <w:ind w:firstLine="482" w:firstLineChars="200"/>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w:t>
      </w:r>
      <w:r>
        <w:rPr>
          <w:rFonts w:hint="eastAsia" w:ascii="Times New Roman" w:hAnsi="Times New Roman" w:eastAsia="宋体" w:cs="Times New Roman"/>
          <w:color w:val="auto"/>
          <w:kern w:val="0"/>
          <w:sz w:val="24"/>
        </w:rPr>
        <w:t>16</w:t>
      </w:r>
    </w:p>
    <w:p w14:paraId="7AFB100D">
      <w:pPr>
        <w:spacing w:line="360" w:lineRule="auto"/>
        <w:ind w:firstLine="482" w:firstLineChars="200"/>
        <w:rPr>
          <w:rFonts w:ascii="Times New Roman" w:hAnsi="Times New Roman" w:eastAsia="宋体" w:cs="Times New Roman"/>
          <w:bCs/>
          <w:color w:val="auto"/>
          <w:sz w:val="24"/>
        </w:rPr>
      </w:pPr>
      <w:r>
        <w:rPr>
          <w:rFonts w:hint="eastAsia" w:ascii="Times New Roman" w:hAnsi="Times New Roman" w:eastAsia="宋体" w:cs="Times New Roman"/>
          <w:b/>
          <w:color w:val="auto"/>
          <w:sz w:val="24"/>
        </w:rPr>
        <w:t>先修课程：</w:t>
      </w:r>
      <w:r>
        <w:rPr>
          <w:rFonts w:hint="eastAsia" w:ascii="Times New Roman" w:hAnsi="Times New Roman" w:eastAsia="宋体" w:cs="Times New Roman"/>
          <w:bCs/>
          <w:color w:val="auto"/>
          <w:sz w:val="24"/>
        </w:rPr>
        <w:t>教师职业道德、普通话训练</w:t>
      </w:r>
    </w:p>
    <w:p w14:paraId="0CA3BF08">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w:t>
      </w:r>
      <w:r>
        <w:rPr>
          <w:rFonts w:ascii="Times New Roman" w:hAnsi="Times New Roman" w:eastAsia="宋体" w:cs="Times New Roman"/>
          <w:color w:val="auto"/>
          <w:kern w:val="0"/>
          <w:sz w:val="24"/>
        </w:rPr>
        <w:t>小学教育</w:t>
      </w:r>
    </w:p>
    <w:p w14:paraId="52D9EF83">
      <w:pPr>
        <w:spacing w:line="360" w:lineRule="auto"/>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一、课程简介</w:t>
      </w:r>
    </w:p>
    <w:p w14:paraId="0C3469AB">
      <w:pPr>
        <w:autoSpaceDE w:val="0"/>
        <w:autoSpaceDN w:val="0"/>
        <w:adjustRightInd w:val="0"/>
        <w:spacing w:line="360" w:lineRule="auto"/>
        <w:ind w:firstLine="420" w:firstLineChars="200"/>
        <w:jc w:val="left"/>
        <w:rPr>
          <w:rFonts w:hint="eastAsia" w:ascii="宋体" w:hAnsi="宋体" w:eastAsia="宋体" w:cs="Times New Roman"/>
          <w:b/>
          <w:color w:val="auto"/>
          <w:sz w:val="18"/>
          <w:szCs w:val="18"/>
        </w:rPr>
      </w:pPr>
      <w:r>
        <w:rPr>
          <w:rFonts w:ascii="宋体" w:hAnsi="宋体" w:eastAsia="宋体" w:cs="宋体"/>
          <w:color w:val="auto"/>
          <w:sz w:val="21"/>
          <w:szCs w:val="21"/>
        </w:rPr>
        <w:t>本课程旨在培养师范生及在职教师的口语表达能力和职业礼仪素养，助力提升教学效果与职业形象。课程内容涵盖教师口语艺术（如普通话训练、课堂语言设计、演讲技巧）和职业礼仪规范（如仪态举止、着装礼仪、师生沟通礼仪等），结合教育心理学与真实教学场景，强化语言感染力与互动能力。通过理论讲解、案例分析、情境模拟及实践训练，学生将掌握清晰、得体、富有魅力的表达方式，塑造专业、亲切的教师形象，为未来教育教学工作奠定坚实基础。</w:t>
      </w:r>
    </w:p>
    <w:p w14:paraId="51C682DC">
      <w:pPr>
        <w:spacing w:line="360" w:lineRule="auto"/>
        <w:jc w:val="left"/>
        <w:rPr>
          <w:rFonts w:ascii="Times New Roman" w:hAnsi="Times New Roman" w:eastAsia="宋体" w:cs="Times New Roman"/>
          <w:color w:val="auto"/>
          <w:sz w:val="24"/>
        </w:rPr>
      </w:pPr>
      <w:r>
        <w:rPr>
          <w:rFonts w:hint="eastAsia" w:ascii="宋体" w:hAnsi="宋体" w:eastAsia="宋体" w:cs="Times New Roman"/>
          <w:b/>
          <w:color w:val="auto"/>
          <w:sz w:val="24"/>
        </w:rPr>
        <w:t>二</w:t>
      </w:r>
      <w:r>
        <w:rPr>
          <w:rFonts w:ascii="宋体" w:hAnsi="宋体" w:eastAsia="宋体" w:cs="Times New Roman"/>
          <w:b/>
          <w:color w:val="auto"/>
          <w:sz w:val="24"/>
        </w:rPr>
        <w:t>、课程目标</w:t>
      </w:r>
    </w:p>
    <w:p w14:paraId="47972589">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0C87DD07">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目标1.掌握普通话中的语流音变现象，掌握各种文体的朗读技巧，提高学生的普通话水平、礼仪标准和实际应用能力。</w:t>
      </w:r>
    </w:p>
    <w:p w14:paraId="53370A5E">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目标2.掌握教师教学口语、礼仪的特点，在课堂练习中正确使用各类教学语言和礼仪标准。</w:t>
      </w:r>
    </w:p>
    <w:p w14:paraId="0195942A">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目标3.熟知教师教育口语和礼仪的基本特点，能针对不同环境、不同对象使用教育语言和行为标准。</w:t>
      </w:r>
    </w:p>
    <w:p w14:paraId="6261C4D4">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目标4.熟悉教师职业口语、礼仪的特点和类型，提高应变能力。</w:t>
      </w:r>
    </w:p>
    <w:p w14:paraId="5BC8F459">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5523"/>
        <w:gridCol w:w="1191"/>
      </w:tblGrid>
      <w:tr w14:paraId="3872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63" w:type="dxa"/>
            <w:vAlign w:val="center"/>
          </w:tcPr>
          <w:p w14:paraId="4752DEE3">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5523" w:type="dxa"/>
            <w:vAlign w:val="center"/>
          </w:tcPr>
          <w:p w14:paraId="513D7B29">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3EAAC5C9">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52F6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1DA98863">
            <w:pPr>
              <w:autoSpaceDE w:val="0"/>
              <w:autoSpaceDN w:val="0"/>
              <w:rPr>
                <w:rFonts w:ascii="Times New Roman" w:hAnsi="Times New Roman" w:eastAsia="宋体" w:cs="Times New Roman"/>
                <w:color w:val="auto"/>
                <w:szCs w:val="21"/>
              </w:rPr>
            </w:pPr>
            <w:r>
              <w:rPr>
                <w:rFonts w:hint="eastAsia" w:ascii="宋体" w:hAnsi="宋体" w:cs="宋体"/>
                <w:b/>
                <w:bCs/>
                <w:color w:val="auto"/>
                <w:kern w:val="0"/>
                <w:szCs w:val="21"/>
              </w:rPr>
              <w:t>毕业要求2：</w:t>
            </w:r>
            <w:r>
              <w:rPr>
                <w:rFonts w:hint="eastAsia" w:ascii="宋体" w:hAnsi="宋体" w:cs="宋体"/>
                <w:b/>
                <w:bCs/>
                <w:color w:val="auto"/>
                <w:szCs w:val="21"/>
              </w:rPr>
              <w:t>教育情怀</w:t>
            </w:r>
          </w:p>
        </w:tc>
        <w:tc>
          <w:tcPr>
            <w:tcW w:w="5523" w:type="dxa"/>
            <w:vAlign w:val="center"/>
          </w:tcPr>
          <w:p w14:paraId="0BE2115D">
            <w:pPr>
              <w:spacing w:line="276" w:lineRule="auto"/>
              <w:jc w:val="left"/>
              <w:rPr>
                <w:rFonts w:hint="eastAsia" w:ascii="宋体" w:hAnsi="宋体" w:cs="宋体"/>
                <w:b w:val="0"/>
                <w:bCs w:val="0"/>
                <w:color w:val="auto"/>
                <w:szCs w:val="21"/>
              </w:rPr>
            </w:pPr>
            <w:r>
              <w:rPr>
                <w:rFonts w:hint="eastAsia" w:ascii="宋体" w:hAnsi="宋体" w:cs="宋体"/>
                <w:b w:val="0"/>
                <w:bCs w:val="0"/>
                <w:color w:val="auto"/>
                <w:szCs w:val="21"/>
              </w:rPr>
              <w:t>指标点2-3：【自身修养良好】具有较好的人文艺术底蕴与科学精神，言行举止符合教师职业标准，情感积极，人格健全，身心健康。</w:t>
            </w:r>
          </w:p>
        </w:tc>
        <w:tc>
          <w:tcPr>
            <w:tcW w:w="1191" w:type="dxa"/>
            <w:vAlign w:val="center"/>
          </w:tcPr>
          <w:p w14:paraId="7AC0D6A0">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课程目标1、2、3</w:t>
            </w:r>
          </w:p>
        </w:tc>
      </w:tr>
      <w:tr w14:paraId="3898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5F57B142">
            <w:pPr>
              <w:autoSpaceDE w:val="0"/>
              <w:autoSpaceDN w:val="0"/>
              <w:rPr>
                <w:rFonts w:hint="eastAsia" w:ascii="宋体" w:hAnsi="宋体" w:cs="宋体"/>
                <w:b/>
                <w:bCs/>
                <w:color w:val="auto"/>
                <w:kern w:val="0"/>
                <w:szCs w:val="21"/>
              </w:rPr>
            </w:pPr>
            <w:r>
              <w:rPr>
                <w:rFonts w:hint="eastAsia" w:ascii="宋体" w:hAnsi="宋体" w:cs="宋体"/>
                <w:b/>
                <w:bCs/>
                <w:color w:val="auto"/>
                <w:szCs w:val="21"/>
              </w:rPr>
              <w:t>毕业要求4：教学能力</w:t>
            </w:r>
          </w:p>
        </w:tc>
        <w:tc>
          <w:tcPr>
            <w:tcW w:w="5523" w:type="dxa"/>
            <w:vAlign w:val="center"/>
          </w:tcPr>
          <w:p w14:paraId="42382604">
            <w:pPr>
              <w:spacing w:line="276" w:lineRule="auto"/>
              <w:jc w:val="left"/>
              <w:rPr>
                <w:rFonts w:hint="eastAsia" w:ascii="宋体" w:hAnsi="宋体" w:cs="宋体" w:eastAsiaTheme="minorEastAsia"/>
                <w:b w:val="0"/>
                <w:bCs w:val="0"/>
                <w:color w:val="auto"/>
                <w:szCs w:val="21"/>
                <w:lang w:eastAsia="zh-CN"/>
              </w:rPr>
            </w:pPr>
            <w:r>
              <w:rPr>
                <w:rFonts w:hint="eastAsia" w:ascii="宋体" w:hAnsi="宋体" w:cs="宋体"/>
                <w:b w:val="0"/>
                <w:bCs w:val="0"/>
                <w:color w:val="auto"/>
                <w:szCs w:val="21"/>
                <w:lang w:eastAsia="zh-CN"/>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191" w:type="dxa"/>
            <w:vAlign w:val="center"/>
          </w:tcPr>
          <w:p w14:paraId="7F1736A6">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课程目标2、3、4</w:t>
            </w:r>
          </w:p>
        </w:tc>
      </w:tr>
      <w:tr w14:paraId="5D17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4D317349">
            <w:pPr>
              <w:autoSpaceDE w:val="0"/>
              <w:autoSpaceDN w:val="0"/>
              <w:rPr>
                <w:rFonts w:hint="eastAsia" w:ascii="宋体" w:hAnsi="宋体" w:cs="宋体"/>
                <w:b/>
                <w:bCs/>
                <w:color w:val="auto"/>
                <w:szCs w:val="21"/>
              </w:rPr>
            </w:pPr>
            <w:r>
              <w:rPr>
                <w:rFonts w:hint="eastAsia" w:ascii="宋体" w:hAnsi="宋体" w:cs="宋体"/>
                <w:b/>
                <w:bCs/>
                <w:color w:val="auto"/>
                <w:kern w:val="0"/>
                <w:szCs w:val="21"/>
              </w:rPr>
              <w:t>毕业要求8：</w:t>
            </w:r>
            <w:r>
              <w:rPr>
                <w:rFonts w:hint="eastAsia" w:ascii="宋体" w:hAnsi="宋体" w:cs="宋体"/>
                <w:b/>
                <w:bCs/>
                <w:color w:val="auto"/>
                <w:szCs w:val="21"/>
              </w:rPr>
              <w:t>沟通合作</w:t>
            </w:r>
          </w:p>
        </w:tc>
        <w:tc>
          <w:tcPr>
            <w:tcW w:w="5523" w:type="dxa"/>
            <w:vAlign w:val="center"/>
          </w:tcPr>
          <w:p w14:paraId="7D209D45">
            <w:pPr>
              <w:spacing w:line="276" w:lineRule="auto"/>
              <w:jc w:val="left"/>
              <w:rPr>
                <w:rFonts w:hint="eastAsia" w:ascii="宋体" w:hAnsi="宋体" w:cs="宋体" w:eastAsiaTheme="minorEastAsia"/>
                <w:b w:val="0"/>
                <w:bCs w:val="0"/>
                <w:color w:val="auto"/>
                <w:szCs w:val="21"/>
                <w:lang w:eastAsia="zh-CN"/>
              </w:rPr>
            </w:pPr>
            <w:r>
              <w:rPr>
                <w:rFonts w:hint="eastAsia" w:ascii="宋体" w:hAnsi="宋体" w:cs="宋体"/>
                <w:b w:val="0"/>
                <w:bCs w:val="0"/>
                <w:color w:val="auto"/>
                <w:szCs w:val="21"/>
                <w:lang w:eastAsia="zh-CN"/>
              </w:rPr>
              <w:t>指标点8-2：【学会沟通交流】掌握人际沟通合作技能与方法，在教育教学实践中，能与学生和家长以及同行、同事、专家进行有效沟通与合作，实现共同发展。</w:t>
            </w:r>
          </w:p>
        </w:tc>
        <w:tc>
          <w:tcPr>
            <w:tcW w:w="1191" w:type="dxa"/>
            <w:vAlign w:val="center"/>
          </w:tcPr>
          <w:p w14:paraId="673E5387">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课程目标1、2、4</w:t>
            </w:r>
          </w:p>
        </w:tc>
      </w:tr>
    </w:tbl>
    <w:p w14:paraId="649CA281">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68132C5E">
      <w:pPr>
        <w:spacing w:line="360" w:lineRule="auto"/>
        <w:ind w:firstLine="420" w:firstLineChars="200"/>
        <w:jc w:val="left"/>
        <w:rPr>
          <w:rFonts w:hint="eastAsia" w:ascii="宋体" w:hAnsi="宋体" w:eastAsia="宋体" w:cs="Times New Roman"/>
          <w:b/>
          <w:color w:val="auto"/>
          <w:sz w:val="21"/>
          <w:szCs w:val="21"/>
        </w:rPr>
      </w:pPr>
      <w:r>
        <w:rPr>
          <w:rFonts w:ascii="宋体" w:hAnsi="宋体" w:eastAsia="宋体" w:cs="宋体"/>
          <w:color w:val="auto"/>
          <w:sz w:val="21"/>
          <w:szCs w:val="21"/>
        </w:rPr>
        <w:t>课程坚持以立德树人为根本，将思想政治教育贯穿教学全过程，着力培养具有坚定政治立场、高尚师德修养和强烈社会责任感的未来教师。通过规范语言表达和职业礼仪训练，引导学生深刻理解国家通用语言文字的政治意义和文化价值，增强文化自信与民族认同；注重在语言艺术和礼仪规范中渗透"学高为师、身正为范"的师德传统，培养爱岗敬业、关爱学生的职业精神；在沟通技巧训练中强化诚信、尊重、平等的核心价值观，帮助学生树立正确的教育理念；结合真实教学情境的模拟实践，激发学生教育报国的使命担当，培养服务基层、奉献教育的家国情怀。课程致力于实现专业知识传授、教学能力培养与思想政治教育同向同行，为新时代基础教育培养德才兼备的合格师资。</w:t>
      </w:r>
    </w:p>
    <w:p w14:paraId="4299F581">
      <w:pPr>
        <w:spacing w:line="360" w:lineRule="auto"/>
        <w:jc w:val="left"/>
        <w:rPr>
          <w:rFonts w:hint="eastAsia" w:ascii="宋体" w:hAnsi="宋体" w:eastAsia="宋体" w:cs="Times New Roman"/>
          <w:b/>
          <w:color w:val="auto"/>
          <w:sz w:val="24"/>
        </w:rPr>
      </w:pPr>
      <w:r>
        <w:rPr>
          <w:rFonts w:hint="eastAsia" w:ascii="宋体" w:hAnsi="宋体"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2278"/>
        <w:gridCol w:w="1285"/>
        <w:gridCol w:w="2429"/>
        <w:gridCol w:w="1517"/>
        <w:gridCol w:w="438"/>
      </w:tblGrid>
      <w:tr w14:paraId="2712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Align w:val="center"/>
          </w:tcPr>
          <w:p w14:paraId="276C2A29">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7B9A27A1">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2278" w:type="dxa"/>
            <w:vAlign w:val="center"/>
          </w:tcPr>
          <w:p w14:paraId="63EF494B">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285" w:type="dxa"/>
            <w:vAlign w:val="center"/>
          </w:tcPr>
          <w:p w14:paraId="6DDB9B2F">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1CDD4B38">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2429" w:type="dxa"/>
            <w:vAlign w:val="center"/>
          </w:tcPr>
          <w:p w14:paraId="709B619B">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517" w:type="dxa"/>
            <w:vAlign w:val="center"/>
          </w:tcPr>
          <w:p w14:paraId="13FC7557">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572E5229">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6CC1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195AA710">
            <w:pPr>
              <w:spacing w:line="240" w:lineRule="auto"/>
              <w:jc w:val="center"/>
              <w:rPr>
                <w:rFonts w:hint="eastAsia" w:ascii="宋体" w:hAnsi="宋体" w:eastAsia="宋体" w:cs="Times New Roman"/>
                <w:color w:val="auto"/>
                <w:szCs w:val="21"/>
              </w:rPr>
            </w:pPr>
            <w:r>
              <w:rPr>
                <w:rFonts w:hint="eastAsia" w:ascii="Times New Roman" w:hAnsi="Times New Roman" w:eastAsia="宋体" w:cs="Times New Roman"/>
                <w:bCs/>
                <w:color w:val="auto"/>
                <w:szCs w:val="21"/>
              </w:rPr>
              <w:t>1</w:t>
            </w:r>
            <w:r>
              <w:rPr>
                <w:rFonts w:ascii="宋体" w:hAnsi="宋体" w:eastAsia="宋体" w:cs="宋体"/>
                <w:color w:val="auto"/>
                <w:szCs w:val="21"/>
              </w:rPr>
              <w:t>教师口语基础与职业定位</w:t>
            </w:r>
          </w:p>
        </w:tc>
        <w:tc>
          <w:tcPr>
            <w:tcW w:w="2278" w:type="dxa"/>
            <w:vAlign w:val="center"/>
          </w:tcPr>
          <w:p w14:paraId="45C7D05A">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教师口语的基本特征（教育性、规范性、艺术性）</w:t>
            </w:r>
            <w:r>
              <w:rPr>
                <w:rFonts w:ascii="宋体" w:hAnsi="宋体" w:eastAsia="宋体" w:cs="Times New Roman"/>
                <w:color w:val="auto"/>
                <w:szCs w:val="21"/>
              </w:rPr>
              <w:br w:type="textWrapping"/>
            </w:r>
            <w:r>
              <w:rPr>
                <w:rFonts w:hint="eastAsia" w:ascii="宋体" w:hAnsi="宋体" w:eastAsia="宋体" w:cs="Times New Roman"/>
                <w:color w:val="auto"/>
                <w:szCs w:val="21"/>
              </w:rPr>
              <w:t>（2）</w:t>
            </w:r>
            <w:r>
              <w:rPr>
                <w:rFonts w:ascii="宋体" w:hAnsi="宋体" w:eastAsia="宋体" w:cs="Times New Roman"/>
                <w:color w:val="auto"/>
                <w:szCs w:val="21"/>
              </w:rPr>
              <w:t>普通话正音训练（声韵调难点突破）</w:t>
            </w:r>
            <w:r>
              <w:rPr>
                <w:rFonts w:ascii="宋体" w:hAnsi="宋体" w:eastAsia="宋体" w:cs="Times New Roman"/>
                <w:color w:val="auto"/>
                <w:szCs w:val="21"/>
              </w:rPr>
              <w:br w:type="textWrapping"/>
            </w:r>
            <w:r>
              <w:rPr>
                <w:rFonts w:hint="eastAsia" w:ascii="宋体" w:hAnsi="宋体" w:eastAsia="宋体" w:cs="Times New Roman"/>
                <w:color w:val="auto"/>
                <w:szCs w:val="21"/>
              </w:rPr>
              <w:t>（3）</w:t>
            </w:r>
            <w:r>
              <w:rPr>
                <w:rFonts w:ascii="宋体" w:hAnsi="宋体" w:eastAsia="宋体" w:cs="Times New Roman"/>
                <w:color w:val="auto"/>
                <w:szCs w:val="21"/>
              </w:rPr>
              <w:t>师职业语言的社会责任与思政要求</w:t>
            </w:r>
          </w:p>
        </w:tc>
        <w:tc>
          <w:tcPr>
            <w:tcW w:w="1285" w:type="dxa"/>
            <w:vAlign w:val="center"/>
          </w:tcPr>
          <w:p w14:paraId="1D90E7BC">
            <w:pPr>
              <w:spacing w:line="240" w:lineRule="auto"/>
              <w:jc w:val="center"/>
              <w:rPr>
                <w:rFonts w:hint="eastAsia" w:ascii="宋体" w:hAnsi="宋体" w:eastAsia="宋体" w:cs="Times New Roman"/>
                <w:color w:val="auto"/>
                <w:szCs w:val="21"/>
              </w:rPr>
            </w:pPr>
            <w:r>
              <w:rPr>
                <w:rFonts w:ascii="Times New Roman" w:hAnsi="Times New Roman" w:eastAsia="宋体" w:cs="Times New Roman"/>
                <w:color w:val="auto"/>
                <w:szCs w:val="21"/>
              </w:rPr>
              <w:t>课程目标1</w:t>
            </w: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3</w:t>
            </w:r>
          </w:p>
        </w:tc>
        <w:tc>
          <w:tcPr>
            <w:tcW w:w="2429" w:type="dxa"/>
            <w:vAlign w:val="center"/>
          </w:tcPr>
          <w:p w14:paraId="5B16E55F">
            <w:pPr>
              <w:spacing w:line="240" w:lineRule="auto"/>
              <w:jc w:val="left"/>
              <w:rPr>
                <w:rFonts w:hint="eastAsia" w:ascii="宋体" w:hAnsi="宋体" w:eastAsia="宋体" w:cs="Times New Roman"/>
                <w:color w:val="auto"/>
                <w:szCs w:val="21"/>
              </w:rPr>
            </w:pPr>
            <w:r>
              <w:rPr>
                <w:rFonts w:hint="eastAsia" w:ascii="宋体" w:hAnsi="宋体" w:eastAsia="宋体" w:cs="宋体"/>
                <w:color w:val="auto"/>
                <w:szCs w:val="21"/>
              </w:rPr>
              <w:t>（1）</w:t>
            </w:r>
            <w:r>
              <w:rPr>
                <w:rFonts w:ascii="宋体" w:hAnsi="宋体" w:eastAsia="宋体" w:cs="宋体"/>
                <w:color w:val="auto"/>
                <w:szCs w:val="21"/>
              </w:rPr>
              <w:t>能准确辨析并纠正常见语音错误</w:t>
            </w:r>
            <w:r>
              <w:rPr>
                <w:rFonts w:ascii="宋体" w:hAnsi="宋体" w:eastAsia="宋体" w:cs="宋体"/>
                <w:color w:val="auto"/>
                <w:szCs w:val="21"/>
              </w:rPr>
              <w:br w:type="textWrapping"/>
            </w:r>
            <w:r>
              <w:rPr>
                <w:rFonts w:hint="eastAsia" w:ascii="宋体" w:hAnsi="宋体" w:eastAsia="宋体" w:cs="宋体"/>
                <w:color w:val="auto"/>
                <w:szCs w:val="21"/>
              </w:rPr>
              <w:t>（2）</w:t>
            </w:r>
            <w:r>
              <w:rPr>
                <w:rFonts w:ascii="宋体" w:hAnsi="宋体" w:eastAsia="宋体" w:cs="宋体"/>
                <w:color w:val="auto"/>
                <w:szCs w:val="21"/>
              </w:rPr>
              <w:t>理解教师语言对学生价值观的塑造作用</w:t>
            </w:r>
          </w:p>
        </w:tc>
        <w:tc>
          <w:tcPr>
            <w:tcW w:w="1517" w:type="dxa"/>
            <w:vAlign w:val="center"/>
          </w:tcPr>
          <w:p w14:paraId="186A51B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41CCC785">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2.多媒体教学3.课堂讨论</w:t>
            </w:r>
          </w:p>
          <w:p w14:paraId="680F197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438" w:type="dxa"/>
            <w:vAlign w:val="center"/>
          </w:tcPr>
          <w:p w14:paraId="26502C57">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3420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64722C69">
            <w:pPr>
              <w:spacing w:line="240" w:lineRule="auto"/>
              <w:jc w:val="center"/>
              <w:rPr>
                <w:rFonts w:hint="eastAsia" w:ascii="宋体" w:hAnsi="宋体" w:eastAsia="宋体" w:cs="Times New Roman"/>
                <w:color w:val="auto"/>
                <w:szCs w:val="21"/>
              </w:rPr>
            </w:pPr>
          </w:p>
        </w:tc>
        <w:tc>
          <w:tcPr>
            <w:tcW w:w="7947" w:type="dxa"/>
            <w:gridSpan w:val="5"/>
            <w:vAlign w:val="center"/>
          </w:tcPr>
          <w:p w14:paraId="0B1EB55A">
            <w:pPr>
              <w:spacing w:line="240" w:lineRule="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ascii="宋体" w:hAnsi="宋体" w:eastAsia="宋体" w:cs="宋体"/>
                <w:color w:val="auto"/>
                <w:szCs w:val="21"/>
              </w:rPr>
              <w:t>理论讲解、案例分析、情境模拟及实践训练，学生将掌握清晰、得体、富有魅力的表达方式，塑造专业、亲切的教师形象，为未来教育教学工作奠定坚实基础。</w:t>
            </w:r>
          </w:p>
        </w:tc>
      </w:tr>
      <w:tr w14:paraId="01C24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273AD53B">
            <w:pPr>
              <w:spacing w:line="240" w:lineRule="auto"/>
              <w:rPr>
                <w:rFonts w:hint="eastAsia" w:ascii="宋体" w:hAnsi="宋体" w:eastAsia="宋体" w:cs="Times New Roman"/>
                <w:color w:val="auto"/>
                <w:szCs w:val="21"/>
              </w:rPr>
            </w:pPr>
            <w:r>
              <w:rPr>
                <w:rFonts w:hint="eastAsia" w:ascii="Times New Roman" w:hAnsi="Times New Roman" w:eastAsia="宋体" w:cs="Times New Roman"/>
                <w:bCs/>
                <w:color w:val="auto"/>
                <w:szCs w:val="21"/>
              </w:rPr>
              <w:t>2.</w:t>
            </w:r>
            <w:r>
              <w:rPr>
                <w:rFonts w:ascii="宋体" w:hAnsi="宋体" w:eastAsia="宋体" w:cs="宋体"/>
                <w:color w:val="auto"/>
                <w:szCs w:val="21"/>
              </w:rPr>
              <w:t>课堂语言设计与教学感染力</w:t>
            </w:r>
          </w:p>
        </w:tc>
        <w:tc>
          <w:tcPr>
            <w:tcW w:w="2278" w:type="dxa"/>
            <w:vAlign w:val="center"/>
          </w:tcPr>
          <w:p w14:paraId="4DB18724">
            <w:pPr>
              <w:spacing w:line="240" w:lineRule="auto"/>
              <w:rPr>
                <w:rFonts w:hint="eastAsia" w:ascii="宋体" w:hAnsi="宋体" w:eastAsia="宋体" w:cs="Times New Roman"/>
                <w:color w:val="auto"/>
                <w:szCs w:val="21"/>
              </w:rPr>
            </w:pPr>
            <w:r>
              <w:rPr>
                <w:rFonts w:ascii="Times New Roman" w:hAnsi="Times New Roman" w:eastAsia="宋体" w:cs="Times New Roman"/>
                <w:color w:val="auto"/>
                <w:szCs w:val="21"/>
              </w:rPr>
              <w:t>（1）</w:t>
            </w:r>
            <w:r>
              <w:rPr>
                <w:rFonts w:ascii="宋体" w:hAnsi="宋体" w:eastAsia="宋体" w:cs="宋体"/>
                <w:color w:val="auto"/>
                <w:szCs w:val="21"/>
              </w:rPr>
              <w:t>教学语言的逻辑结构（导入、讲解、提问、反馈）</w:t>
            </w:r>
            <w:r>
              <w:rPr>
                <w:rFonts w:ascii="宋体" w:hAnsi="宋体" w:eastAsia="宋体" w:cs="宋体"/>
                <w:color w:val="auto"/>
                <w:szCs w:val="21"/>
              </w:rPr>
              <w:br w:type="textWrapping"/>
            </w:r>
            <w:r>
              <w:rPr>
                <w:rFonts w:hint="eastAsia" w:ascii="宋体" w:hAnsi="宋体" w:eastAsia="宋体" w:cs="宋体"/>
                <w:color w:val="auto"/>
                <w:szCs w:val="21"/>
              </w:rPr>
              <w:t>（2）</w:t>
            </w:r>
            <w:r>
              <w:rPr>
                <w:rFonts w:ascii="宋体" w:hAnsi="宋体" w:eastAsia="宋体" w:cs="宋体"/>
                <w:color w:val="auto"/>
                <w:szCs w:val="21"/>
              </w:rPr>
              <w:t>语气、节奏、重音的感染力训练</w:t>
            </w:r>
            <w:r>
              <w:rPr>
                <w:rFonts w:ascii="宋体" w:hAnsi="宋体" w:eastAsia="宋体" w:cs="宋体"/>
                <w:color w:val="auto"/>
                <w:szCs w:val="21"/>
              </w:rPr>
              <w:br w:type="textWrapping"/>
            </w:r>
            <w:r>
              <w:rPr>
                <w:rFonts w:hint="eastAsia" w:ascii="宋体" w:hAnsi="宋体" w:eastAsia="宋体" w:cs="宋体"/>
                <w:color w:val="auto"/>
                <w:szCs w:val="21"/>
              </w:rPr>
              <w:t>（3）</w:t>
            </w:r>
            <w:r>
              <w:rPr>
                <w:rFonts w:ascii="宋体" w:hAnsi="宋体" w:eastAsia="宋体" w:cs="宋体"/>
                <w:color w:val="auto"/>
                <w:szCs w:val="21"/>
              </w:rPr>
              <w:t>课程思政元素的自然融入技巧</w:t>
            </w:r>
          </w:p>
        </w:tc>
        <w:tc>
          <w:tcPr>
            <w:tcW w:w="1285" w:type="dxa"/>
            <w:vAlign w:val="center"/>
          </w:tcPr>
          <w:p w14:paraId="2E9A52C3">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课程目标1、2、3、4</w:t>
            </w:r>
          </w:p>
        </w:tc>
        <w:tc>
          <w:tcPr>
            <w:tcW w:w="2429" w:type="dxa"/>
            <w:vAlign w:val="center"/>
          </w:tcPr>
          <w:p w14:paraId="6754E47B">
            <w:pPr>
              <w:spacing w:line="240" w:lineRule="auto"/>
              <w:rPr>
                <w:rFonts w:hint="eastAsia" w:ascii="宋体" w:hAnsi="宋体" w:eastAsia="宋体" w:cs="Times New Roman"/>
                <w:color w:val="auto"/>
                <w:szCs w:val="21"/>
              </w:rPr>
            </w:pPr>
            <w:r>
              <w:rPr>
                <w:rFonts w:ascii="Times New Roman" w:hAnsi="Times New Roman" w:eastAsia="宋体" w:cs="Times New Roman"/>
                <w:color w:val="auto"/>
                <w:szCs w:val="21"/>
              </w:rPr>
              <w:t>（1）</w:t>
            </w:r>
            <w:r>
              <w:rPr>
                <w:rFonts w:ascii="宋体" w:hAnsi="宋体" w:eastAsia="宋体" w:cs="宋体"/>
                <w:color w:val="auto"/>
                <w:szCs w:val="21"/>
              </w:rPr>
              <w:t>能设计符合学段特点的教学语言片段</w:t>
            </w:r>
            <w:r>
              <w:rPr>
                <w:rFonts w:ascii="宋体" w:hAnsi="宋体" w:eastAsia="宋体" w:cs="宋体"/>
                <w:color w:val="auto"/>
                <w:szCs w:val="21"/>
              </w:rPr>
              <w:br w:type="textWrapping"/>
            </w:r>
            <w:r>
              <w:rPr>
                <w:rFonts w:hint="eastAsia" w:ascii="宋体" w:hAnsi="宋体" w:eastAsia="宋体" w:cs="宋体"/>
                <w:color w:val="auto"/>
                <w:szCs w:val="21"/>
              </w:rPr>
              <w:t>（2）</w:t>
            </w:r>
            <w:r>
              <w:rPr>
                <w:rFonts w:ascii="宋体" w:hAnsi="宋体" w:eastAsia="宋体" w:cs="宋体"/>
                <w:color w:val="auto"/>
                <w:szCs w:val="21"/>
              </w:rPr>
              <w:t>掌握通过语言传递正向价值观的方法</w:t>
            </w:r>
          </w:p>
        </w:tc>
        <w:tc>
          <w:tcPr>
            <w:tcW w:w="1517" w:type="dxa"/>
            <w:vAlign w:val="center"/>
          </w:tcPr>
          <w:p w14:paraId="3ECE3D31">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090E59F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2.多媒体教学3.课堂讨论</w:t>
            </w:r>
          </w:p>
          <w:p w14:paraId="069E386B">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438" w:type="dxa"/>
            <w:vAlign w:val="center"/>
          </w:tcPr>
          <w:p w14:paraId="7EE7129F">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199E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165CB858">
            <w:pPr>
              <w:spacing w:line="240" w:lineRule="auto"/>
              <w:jc w:val="center"/>
              <w:rPr>
                <w:rFonts w:hint="eastAsia" w:ascii="宋体" w:hAnsi="宋体" w:eastAsia="宋体" w:cs="Times New Roman"/>
                <w:color w:val="auto"/>
                <w:szCs w:val="21"/>
              </w:rPr>
            </w:pPr>
          </w:p>
        </w:tc>
        <w:tc>
          <w:tcPr>
            <w:tcW w:w="7947" w:type="dxa"/>
            <w:gridSpan w:val="5"/>
            <w:vAlign w:val="center"/>
          </w:tcPr>
          <w:p w14:paraId="7E18D48B">
            <w:pPr>
              <w:spacing w:line="240" w:lineRule="auto"/>
              <w:ind w:firstLine="422" w:firstLineChars="200"/>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ascii="宋体" w:hAnsi="宋体" w:eastAsia="宋体" w:cs="宋体"/>
                <w:color w:val="auto"/>
                <w:szCs w:val="21"/>
              </w:rPr>
              <w:t>理论讲解、案例分析、情境模拟及实践训练，学生将掌握清晰、得体、富有魅力的表达方式，塑造专业、亲切的教师形象，为未来教育教学工作奠定坚实基础。</w:t>
            </w:r>
          </w:p>
        </w:tc>
      </w:tr>
      <w:tr w14:paraId="73F5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055DE531">
            <w:pPr>
              <w:spacing w:line="240" w:lineRule="auto"/>
              <w:rPr>
                <w:rFonts w:hint="eastAsia" w:ascii="宋体" w:hAnsi="宋体" w:eastAsia="宋体" w:cs="Times New Roman"/>
                <w:color w:val="auto"/>
                <w:szCs w:val="21"/>
              </w:rPr>
            </w:pPr>
            <w:r>
              <w:rPr>
                <w:rFonts w:hint="eastAsia" w:ascii="Times New Roman" w:hAnsi="Times New Roman" w:eastAsia="宋体" w:cs="Times New Roman"/>
                <w:bCs/>
                <w:color w:val="auto"/>
                <w:szCs w:val="21"/>
              </w:rPr>
              <w:t>3.</w:t>
            </w:r>
            <w:r>
              <w:rPr>
                <w:rFonts w:ascii="宋体" w:hAnsi="宋体" w:eastAsia="宋体" w:cs="宋体"/>
                <w:color w:val="auto"/>
                <w:szCs w:val="21"/>
              </w:rPr>
              <w:t>师生沟通艺术与教育伦理</w:t>
            </w:r>
          </w:p>
        </w:tc>
        <w:tc>
          <w:tcPr>
            <w:tcW w:w="2278" w:type="dxa"/>
            <w:vAlign w:val="center"/>
          </w:tcPr>
          <w:p w14:paraId="7E2E37C7">
            <w:pPr>
              <w:spacing w:line="240" w:lineRule="auto"/>
              <w:rPr>
                <w:rFonts w:hint="eastAsia" w:ascii="宋体" w:hAnsi="宋体" w:eastAsia="宋体" w:cs="Times New Roman"/>
                <w:color w:val="auto"/>
                <w:szCs w:val="21"/>
              </w:rPr>
            </w:pPr>
            <w:r>
              <w:rPr>
                <w:rFonts w:ascii="Times New Roman" w:hAnsi="Times New Roman" w:eastAsia="宋体" w:cs="Times New Roman"/>
                <w:color w:val="auto"/>
                <w:szCs w:val="21"/>
              </w:rPr>
              <w:t>（1）</w:t>
            </w:r>
            <w:r>
              <w:rPr>
                <w:rFonts w:ascii="宋体" w:hAnsi="宋体" w:eastAsia="宋体" w:cs="宋体"/>
                <w:color w:val="auto"/>
                <w:szCs w:val="21"/>
              </w:rPr>
              <w:t>教育场景下的非暴力沟通（观察-感受-需求-请求）</w:t>
            </w:r>
            <w:r>
              <w:rPr>
                <w:rFonts w:ascii="宋体" w:hAnsi="宋体" w:eastAsia="宋体" w:cs="宋体"/>
                <w:color w:val="auto"/>
                <w:szCs w:val="21"/>
              </w:rPr>
              <w:br w:type="textWrapping"/>
            </w:r>
            <w:r>
              <w:rPr>
                <w:rFonts w:hint="eastAsia" w:ascii="宋体" w:hAnsi="宋体" w:eastAsia="宋体" w:cs="宋体"/>
                <w:color w:val="auto"/>
                <w:szCs w:val="21"/>
              </w:rPr>
              <w:t>（2）</w:t>
            </w:r>
            <w:r>
              <w:rPr>
                <w:rFonts w:ascii="宋体" w:hAnsi="宋体" w:eastAsia="宋体" w:cs="宋体"/>
                <w:color w:val="auto"/>
                <w:szCs w:val="21"/>
              </w:rPr>
              <w:t>批评与表扬的语言策略</w:t>
            </w:r>
            <w:r>
              <w:rPr>
                <w:rFonts w:hint="eastAsia" w:ascii="宋体" w:hAnsi="宋体" w:eastAsia="宋体" w:cs="宋体"/>
                <w:color w:val="auto"/>
                <w:szCs w:val="21"/>
              </w:rPr>
              <w:t>。</w:t>
            </w:r>
            <w:r>
              <w:rPr>
                <w:rFonts w:ascii="宋体" w:hAnsi="宋体" w:eastAsia="宋体" w:cs="宋体"/>
                <w:color w:val="auto"/>
                <w:szCs w:val="21"/>
              </w:rPr>
              <w:br w:type="textWrapping"/>
            </w:r>
            <w:r>
              <w:rPr>
                <w:rFonts w:hint="eastAsia" w:ascii="宋体" w:hAnsi="宋体" w:eastAsia="宋体" w:cs="宋体"/>
                <w:color w:val="auto"/>
                <w:szCs w:val="21"/>
              </w:rPr>
              <w:t>（3）</w:t>
            </w:r>
            <w:r>
              <w:rPr>
                <w:rFonts w:ascii="宋体" w:hAnsi="宋体" w:eastAsia="宋体" w:cs="宋体"/>
                <w:color w:val="auto"/>
                <w:szCs w:val="21"/>
              </w:rPr>
              <w:t>特殊学生群体的沟通禁忌（如留守儿童、特殊儿童）</w:t>
            </w:r>
          </w:p>
        </w:tc>
        <w:tc>
          <w:tcPr>
            <w:tcW w:w="1285" w:type="dxa"/>
            <w:vAlign w:val="center"/>
          </w:tcPr>
          <w:p w14:paraId="4E1EC939">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课程目标1、2、3、4</w:t>
            </w:r>
          </w:p>
        </w:tc>
        <w:tc>
          <w:tcPr>
            <w:tcW w:w="2429" w:type="dxa"/>
            <w:vAlign w:val="center"/>
          </w:tcPr>
          <w:p w14:paraId="0E1A7A55">
            <w:pPr>
              <w:spacing w:line="240" w:lineRule="auto"/>
              <w:rPr>
                <w:rFonts w:hint="eastAsia" w:ascii="宋体" w:hAnsi="宋体" w:eastAsia="宋体" w:cs="Times New Roman"/>
                <w:color w:val="auto"/>
                <w:szCs w:val="21"/>
              </w:rPr>
            </w:pPr>
            <w:r>
              <w:rPr>
                <w:rFonts w:hint="eastAsia" w:ascii="宋体" w:hAnsi="宋体" w:eastAsia="宋体" w:cs="宋体"/>
                <w:color w:val="auto"/>
                <w:szCs w:val="21"/>
              </w:rPr>
              <w:t>（1）</w:t>
            </w:r>
            <w:r>
              <w:rPr>
                <w:rFonts w:ascii="宋体" w:hAnsi="宋体" w:eastAsia="宋体" w:cs="宋体"/>
                <w:color w:val="auto"/>
                <w:szCs w:val="21"/>
              </w:rPr>
              <w:t>能运用尊重、平等的语言解决师生矛盾案例</w:t>
            </w:r>
            <w:r>
              <w:rPr>
                <w:rFonts w:ascii="宋体" w:hAnsi="宋体" w:eastAsia="宋体" w:cs="宋体"/>
                <w:color w:val="auto"/>
                <w:szCs w:val="21"/>
              </w:rPr>
              <w:br w:type="textWrapping"/>
            </w:r>
            <w:r>
              <w:rPr>
                <w:rFonts w:hint="eastAsia" w:ascii="宋体" w:hAnsi="宋体" w:eastAsia="宋体" w:cs="宋体"/>
                <w:color w:val="auto"/>
                <w:szCs w:val="21"/>
              </w:rPr>
              <w:t>（2）</w:t>
            </w:r>
            <w:r>
              <w:rPr>
                <w:rFonts w:ascii="宋体" w:hAnsi="宋体" w:eastAsia="宋体" w:cs="宋体"/>
                <w:color w:val="auto"/>
                <w:szCs w:val="21"/>
              </w:rPr>
              <w:t>形成保护学生心理健康的沟通意识</w:t>
            </w:r>
          </w:p>
        </w:tc>
        <w:tc>
          <w:tcPr>
            <w:tcW w:w="1517" w:type="dxa"/>
            <w:vAlign w:val="center"/>
          </w:tcPr>
          <w:p w14:paraId="28D3D490">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618E6F4D">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3050D8C1">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289840A7">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0CAD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1A0D3985">
            <w:pPr>
              <w:spacing w:line="240" w:lineRule="auto"/>
              <w:jc w:val="center"/>
              <w:rPr>
                <w:rFonts w:hint="eastAsia" w:ascii="宋体" w:hAnsi="宋体" w:eastAsia="宋体" w:cs="Times New Roman"/>
                <w:color w:val="auto"/>
                <w:szCs w:val="21"/>
              </w:rPr>
            </w:pPr>
          </w:p>
        </w:tc>
        <w:tc>
          <w:tcPr>
            <w:tcW w:w="7947" w:type="dxa"/>
            <w:gridSpan w:val="5"/>
            <w:vAlign w:val="center"/>
          </w:tcPr>
          <w:p w14:paraId="086458BE">
            <w:pPr>
              <w:spacing w:line="240" w:lineRule="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ascii="宋体" w:hAnsi="宋体" w:eastAsia="宋体" w:cs="宋体"/>
                <w:color w:val="auto"/>
                <w:szCs w:val="21"/>
              </w:rPr>
              <w:t>理论讲解、案例分析、情境模拟及实践训练，学生将掌握清晰、得体、富有魅力的表达方式，塑造专业、亲切的教师形象，为未来教育教学工作奠定坚实基础。</w:t>
            </w:r>
          </w:p>
        </w:tc>
      </w:tr>
      <w:tr w14:paraId="22C5D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4702AAD6">
            <w:pPr>
              <w:spacing w:line="240" w:lineRule="auto"/>
              <w:rPr>
                <w:rFonts w:hint="eastAsia" w:ascii="宋体" w:hAnsi="宋体" w:eastAsia="宋体" w:cs="Times New Roman"/>
                <w:color w:val="auto"/>
                <w:szCs w:val="21"/>
              </w:rPr>
            </w:pPr>
            <w:r>
              <w:rPr>
                <w:rFonts w:hint="eastAsia" w:ascii="Times New Roman" w:hAnsi="Times New Roman" w:eastAsia="宋体" w:cs="Times New Roman"/>
                <w:bCs/>
                <w:color w:val="auto"/>
                <w:szCs w:val="21"/>
              </w:rPr>
              <w:t>4.</w:t>
            </w:r>
            <w:r>
              <w:rPr>
                <w:rFonts w:ascii="宋体" w:hAnsi="宋体" w:eastAsia="宋体" w:cs="宋体"/>
                <w:color w:val="auto"/>
                <w:szCs w:val="21"/>
              </w:rPr>
              <w:t>教师仪态礼仪与职业形象</w:t>
            </w:r>
          </w:p>
        </w:tc>
        <w:tc>
          <w:tcPr>
            <w:tcW w:w="2278" w:type="dxa"/>
            <w:vAlign w:val="center"/>
          </w:tcPr>
          <w:p w14:paraId="4C60B72C">
            <w:pPr>
              <w:spacing w:line="240" w:lineRule="auto"/>
              <w:rPr>
                <w:rFonts w:hint="eastAsia" w:ascii="宋体" w:hAnsi="宋体" w:eastAsia="宋体" w:cs="Times New Roman"/>
                <w:color w:val="auto"/>
                <w:szCs w:val="21"/>
              </w:rPr>
            </w:pPr>
            <w:r>
              <w:rPr>
                <w:rFonts w:hint="eastAsia" w:ascii="宋体" w:hAnsi="宋体" w:eastAsia="宋体" w:cs="宋体"/>
                <w:color w:val="auto"/>
                <w:szCs w:val="21"/>
              </w:rPr>
              <w:t>（1）</w:t>
            </w:r>
            <w:r>
              <w:rPr>
                <w:rFonts w:ascii="宋体" w:hAnsi="宋体" w:eastAsia="宋体" w:cs="宋体"/>
                <w:color w:val="auto"/>
                <w:szCs w:val="21"/>
              </w:rPr>
              <w:t>教师着装TPO原则（时间、场合、身份）</w:t>
            </w:r>
            <w:r>
              <w:rPr>
                <w:rFonts w:ascii="宋体" w:hAnsi="宋体" w:eastAsia="宋体" w:cs="宋体"/>
                <w:color w:val="auto"/>
                <w:szCs w:val="21"/>
              </w:rPr>
              <w:br w:type="textWrapping"/>
            </w:r>
            <w:r>
              <w:rPr>
                <w:rFonts w:hint="eastAsia" w:ascii="宋体" w:hAnsi="宋体" w:eastAsia="宋体" w:cs="宋体"/>
                <w:color w:val="auto"/>
                <w:szCs w:val="21"/>
              </w:rPr>
              <w:t>（2）</w:t>
            </w:r>
            <w:r>
              <w:rPr>
                <w:rFonts w:ascii="宋体" w:hAnsi="宋体" w:eastAsia="宋体" w:cs="宋体"/>
                <w:color w:val="auto"/>
                <w:szCs w:val="21"/>
              </w:rPr>
              <w:t>站姿、手势、眼神的得体运用</w:t>
            </w:r>
            <w:r>
              <w:rPr>
                <w:rFonts w:ascii="宋体" w:hAnsi="宋体" w:eastAsia="宋体" w:cs="宋体"/>
                <w:color w:val="auto"/>
                <w:szCs w:val="21"/>
              </w:rPr>
              <w:br w:type="textWrapping"/>
            </w:r>
            <w:r>
              <w:rPr>
                <w:rFonts w:hint="eastAsia" w:ascii="宋体" w:hAnsi="宋体" w:eastAsia="宋体" w:cs="宋体"/>
                <w:color w:val="auto"/>
                <w:szCs w:val="21"/>
              </w:rPr>
              <w:t>（3）</w:t>
            </w:r>
            <w:r>
              <w:rPr>
                <w:rFonts w:ascii="宋体" w:hAnsi="宋体" w:eastAsia="宋体" w:cs="宋体"/>
                <w:color w:val="auto"/>
                <w:szCs w:val="21"/>
              </w:rPr>
              <w:t>线上线下教学场景的仪态差异</w:t>
            </w:r>
          </w:p>
        </w:tc>
        <w:tc>
          <w:tcPr>
            <w:tcW w:w="1285" w:type="dxa"/>
            <w:vAlign w:val="center"/>
          </w:tcPr>
          <w:p w14:paraId="355FEE3F">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2429" w:type="dxa"/>
            <w:vAlign w:val="center"/>
          </w:tcPr>
          <w:p w14:paraId="3C43C9DE">
            <w:pPr>
              <w:spacing w:line="240" w:lineRule="auto"/>
              <w:rPr>
                <w:rFonts w:hint="eastAsia" w:ascii="宋体" w:hAnsi="宋体" w:eastAsia="宋体" w:cs="Times New Roman"/>
                <w:color w:val="auto"/>
                <w:szCs w:val="21"/>
              </w:rPr>
            </w:pPr>
            <w:r>
              <w:rPr>
                <w:rFonts w:hint="eastAsia" w:ascii="宋体" w:hAnsi="宋体" w:eastAsia="宋体" w:cs="宋体"/>
                <w:color w:val="auto"/>
                <w:szCs w:val="21"/>
              </w:rPr>
              <w:t>（1）</w:t>
            </w:r>
            <w:r>
              <w:rPr>
                <w:rFonts w:ascii="宋体" w:hAnsi="宋体" w:eastAsia="宋体" w:cs="宋体"/>
                <w:color w:val="auto"/>
                <w:szCs w:val="21"/>
              </w:rPr>
              <w:t>能根据教学场景选择恰当的着装与仪态</w:t>
            </w:r>
            <w:r>
              <w:rPr>
                <w:rFonts w:ascii="宋体" w:hAnsi="宋体" w:eastAsia="宋体" w:cs="宋体"/>
                <w:color w:val="auto"/>
                <w:szCs w:val="21"/>
              </w:rPr>
              <w:br w:type="textWrapping"/>
            </w:r>
            <w:r>
              <w:rPr>
                <w:rFonts w:hint="eastAsia" w:ascii="宋体" w:hAnsi="宋体" w:eastAsia="宋体" w:cs="宋体"/>
                <w:color w:val="auto"/>
                <w:szCs w:val="21"/>
              </w:rPr>
              <w:t>（2）</w:t>
            </w:r>
            <w:r>
              <w:rPr>
                <w:rFonts w:ascii="宋体" w:hAnsi="宋体" w:eastAsia="宋体" w:cs="宋体"/>
                <w:color w:val="auto"/>
                <w:szCs w:val="21"/>
              </w:rPr>
              <w:t>通过微格教学视频完成仪态自评与改进</w:t>
            </w:r>
          </w:p>
        </w:tc>
        <w:tc>
          <w:tcPr>
            <w:tcW w:w="1517" w:type="dxa"/>
            <w:vAlign w:val="center"/>
          </w:tcPr>
          <w:p w14:paraId="0FA42178">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26A4A793">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15BD87F9">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23161F92">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2233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1B8D8D42">
            <w:pPr>
              <w:spacing w:line="240" w:lineRule="auto"/>
              <w:jc w:val="center"/>
              <w:rPr>
                <w:rFonts w:hint="eastAsia" w:ascii="宋体" w:hAnsi="宋体" w:eastAsia="宋体" w:cs="Times New Roman"/>
                <w:color w:val="auto"/>
                <w:szCs w:val="21"/>
              </w:rPr>
            </w:pPr>
          </w:p>
        </w:tc>
        <w:tc>
          <w:tcPr>
            <w:tcW w:w="7947" w:type="dxa"/>
            <w:gridSpan w:val="5"/>
            <w:vAlign w:val="center"/>
          </w:tcPr>
          <w:p w14:paraId="2070CB49">
            <w:pPr>
              <w:spacing w:line="240" w:lineRule="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ascii="宋体" w:hAnsi="宋体" w:eastAsia="宋体" w:cs="宋体"/>
                <w:color w:val="auto"/>
                <w:szCs w:val="21"/>
              </w:rPr>
              <w:t>理论讲解、案例分析、情境模拟及实践训练，学生将掌握清晰、得体、富有魅力的表达方式，塑造专业、亲切的教师形象，为未来教育教学工作奠定坚实基础。</w:t>
            </w:r>
          </w:p>
        </w:tc>
      </w:tr>
      <w:tr w14:paraId="2748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77464FDF">
            <w:pPr>
              <w:spacing w:line="240" w:lineRule="auto"/>
              <w:rPr>
                <w:rFonts w:hint="eastAsia" w:ascii="宋体" w:hAnsi="宋体" w:eastAsia="宋体" w:cs="Times New Roman"/>
                <w:color w:val="auto"/>
                <w:szCs w:val="21"/>
              </w:rPr>
            </w:pPr>
            <w:r>
              <w:rPr>
                <w:rFonts w:hint="eastAsia" w:ascii="Times New Roman" w:hAnsi="Times New Roman" w:eastAsia="宋体" w:cs="Times New Roman"/>
                <w:bCs/>
                <w:color w:val="auto"/>
                <w:szCs w:val="21"/>
              </w:rPr>
              <w:t>5.</w:t>
            </w:r>
            <w:r>
              <w:rPr>
                <w:rFonts w:ascii="宋体" w:hAnsi="宋体" w:eastAsia="宋体" w:cs="宋体"/>
                <w:color w:val="auto"/>
                <w:szCs w:val="21"/>
              </w:rPr>
              <w:t>校园礼仪与师德践行</w:t>
            </w:r>
          </w:p>
        </w:tc>
        <w:tc>
          <w:tcPr>
            <w:tcW w:w="2278" w:type="dxa"/>
            <w:vAlign w:val="center"/>
          </w:tcPr>
          <w:p w14:paraId="5F731CF0">
            <w:pPr>
              <w:spacing w:line="240" w:lineRule="auto"/>
              <w:jc w:val="left"/>
              <w:rPr>
                <w:rFonts w:hint="eastAsia" w:ascii="宋体" w:hAnsi="宋体" w:eastAsia="宋体" w:cs="Times New Roman"/>
                <w:color w:val="auto"/>
                <w:szCs w:val="21"/>
              </w:rPr>
            </w:pPr>
            <w:r>
              <w:rPr>
                <w:rFonts w:hint="eastAsia" w:ascii="宋体" w:hAnsi="宋体" w:eastAsia="宋体" w:cs="宋体"/>
                <w:color w:val="auto"/>
                <w:szCs w:val="21"/>
              </w:rPr>
              <w:t>（1）</w:t>
            </w:r>
            <w:r>
              <w:rPr>
                <w:rFonts w:ascii="宋体" w:hAnsi="宋体" w:eastAsia="宋体" w:cs="宋体"/>
                <w:color w:val="auto"/>
                <w:szCs w:val="21"/>
              </w:rPr>
              <w:t>师生/同事/家长交往礼仪（称呼、握手、座位等）</w:t>
            </w:r>
            <w:r>
              <w:rPr>
                <w:rFonts w:ascii="宋体" w:hAnsi="宋体" w:eastAsia="宋体" w:cs="宋体"/>
                <w:color w:val="auto"/>
                <w:szCs w:val="21"/>
              </w:rPr>
              <w:br w:type="textWrapping"/>
            </w:r>
            <w:r>
              <w:rPr>
                <w:rFonts w:hint="eastAsia" w:ascii="宋体" w:hAnsi="宋体" w:eastAsia="宋体" w:cs="宋体"/>
                <w:color w:val="auto"/>
                <w:szCs w:val="21"/>
              </w:rPr>
              <w:t>（2）</w:t>
            </w:r>
            <w:r>
              <w:rPr>
                <w:rFonts w:ascii="宋体" w:hAnsi="宋体" w:eastAsia="宋体" w:cs="宋体"/>
                <w:color w:val="auto"/>
                <w:szCs w:val="21"/>
              </w:rPr>
              <w:t>教研活动、家长会等场景的礼仪规范</w:t>
            </w:r>
            <w:r>
              <w:rPr>
                <w:rFonts w:ascii="宋体" w:hAnsi="宋体" w:eastAsia="宋体" w:cs="宋体"/>
                <w:color w:val="auto"/>
                <w:szCs w:val="21"/>
              </w:rPr>
              <w:br w:type="textWrapping"/>
            </w:r>
            <w:r>
              <w:rPr>
                <w:rFonts w:hint="eastAsia" w:ascii="宋体" w:hAnsi="宋体" w:eastAsia="宋体" w:cs="宋体"/>
                <w:color w:val="auto"/>
                <w:szCs w:val="21"/>
              </w:rPr>
              <w:t>（3）</w:t>
            </w:r>
            <w:r>
              <w:rPr>
                <w:rFonts w:ascii="宋体" w:hAnsi="宋体" w:eastAsia="宋体" w:cs="宋体"/>
                <w:color w:val="auto"/>
                <w:szCs w:val="21"/>
              </w:rPr>
              <w:t>礼仪背后的师德内涵（尊重、包容、专业性）</w:t>
            </w:r>
          </w:p>
        </w:tc>
        <w:tc>
          <w:tcPr>
            <w:tcW w:w="1285" w:type="dxa"/>
            <w:vAlign w:val="center"/>
          </w:tcPr>
          <w:p w14:paraId="5E2A1800">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课程目标1、2、3、4</w:t>
            </w:r>
          </w:p>
        </w:tc>
        <w:tc>
          <w:tcPr>
            <w:tcW w:w="2429" w:type="dxa"/>
            <w:vAlign w:val="center"/>
          </w:tcPr>
          <w:p w14:paraId="0FE798A9">
            <w:pPr>
              <w:spacing w:line="240" w:lineRule="auto"/>
              <w:rPr>
                <w:rFonts w:ascii="Times New Roman" w:hAnsi="Times New Roman" w:eastAsia="宋体" w:cs="Times New Roman"/>
                <w:color w:val="auto"/>
                <w:szCs w:val="21"/>
              </w:rPr>
            </w:pPr>
            <w:r>
              <w:rPr>
                <w:rFonts w:ascii="Times New Roman" w:hAnsi="Times New Roman" w:eastAsia="宋体" w:cs="Times New Roman"/>
                <w:color w:val="auto"/>
                <w:szCs w:val="21"/>
              </w:rPr>
              <w:t>（1）</w:t>
            </w:r>
            <w:r>
              <w:rPr>
                <w:rFonts w:ascii="宋体" w:hAnsi="宋体" w:eastAsia="宋体" w:cs="宋体"/>
                <w:color w:val="auto"/>
                <w:szCs w:val="21"/>
              </w:rPr>
              <w:t>能规范完成校园常见礼仪流程演示</w:t>
            </w:r>
            <w:r>
              <w:rPr>
                <w:rFonts w:ascii="宋体" w:hAnsi="宋体" w:eastAsia="宋体" w:cs="宋体"/>
                <w:color w:val="auto"/>
                <w:szCs w:val="21"/>
              </w:rPr>
              <w:br w:type="textWrapping"/>
            </w:r>
            <w:r>
              <w:rPr>
                <w:rFonts w:hint="eastAsia" w:ascii="宋体" w:hAnsi="宋体" w:eastAsia="宋体" w:cs="宋体"/>
                <w:color w:val="auto"/>
                <w:szCs w:val="21"/>
              </w:rPr>
              <w:t>（2）</w:t>
            </w:r>
            <w:r>
              <w:rPr>
                <w:rFonts w:ascii="宋体" w:hAnsi="宋体" w:eastAsia="宋体" w:cs="宋体"/>
                <w:color w:val="auto"/>
                <w:szCs w:val="21"/>
              </w:rPr>
              <w:t>理解礼仪行为对教育关系的促进作用 </w:t>
            </w:r>
          </w:p>
          <w:p w14:paraId="42D84B02">
            <w:pPr>
              <w:spacing w:line="240" w:lineRule="auto"/>
              <w:jc w:val="left"/>
              <w:rPr>
                <w:rFonts w:hint="eastAsia" w:ascii="宋体" w:hAnsi="宋体" w:eastAsia="宋体" w:cs="Times New Roman"/>
                <w:color w:val="auto"/>
                <w:szCs w:val="21"/>
              </w:rPr>
            </w:pPr>
          </w:p>
        </w:tc>
        <w:tc>
          <w:tcPr>
            <w:tcW w:w="1517" w:type="dxa"/>
            <w:vAlign w:val="center"/>
          </w:tcPr>
          <w:p w14:paraId="7EC26DBB">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03F88F41">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719C6EE0">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19568568">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0365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2A5504FE">
            <w:pPr>
              <w:spacing w:line="240" w:lineRule="auto"/>
              <w:jc w:val="center"/>
              <w:rPr>
                <w:rFonts w:hint="eastAsia" w:ascii="宋体" w:hAnsi="宋体" w:eastAsia="宋体" w:cs="Times New Roman"/>
                <w:color w:val="auto"/>
                <w:szCs w:val="21"/>
              </w:rPr>
            </w:pPr>
          </w:p>
        </w:tc>
        <w:tc>
          <w:tcPr>
            <w:tcW w:w="7947" w:type="dxa"/>
            <w:gridSpan w:val="5"/>
            <w:vAlign w:val="center"/>
          </w:tcPr>
          <w:p w14:paraId="1AAD3F65">
            <w:pPr>
              <w:spacing w:line="240" w:lineRule="auto"/>
              <w:ind w:firstLine="422" w:firstLineChars="200"/>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ascii="宋体" w:hAnsi="宋体" w:eastAsia="宋体" w:cs="宋体"/>
                <w:color w:val="auto"/>
                <w:szCs w:val="21"/>
              </w:rPr>
              <w:t>理论讲解、案例分析、情境模拟及实践训练，学生将掌握清晰、得体、富有魅力的表达方式，塑造专业、亲切的教师形象，为未来教育教学工作奠定坚实基础。</w:t>
            </w:r>
          </w:p>
        </w:tc>
      </w:tr>
      <w:tr w14:paraId="0FE3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72C54708">
            <w:pPr>
              <w:spacing w:line="240" w:lineRule="auto"/>
              <w:rPr>
                <w:rFonts w:hint="eastAsia" w:ascii="宋体" w:hAnsi="宋体" w:eastAsia="宋体" w:cs="Times New Roman"/>
                <w:color w:val="auto"/>
                <w:szCs w:val="21"/>
              </w:rPr>
            </w:pPr>
            <w:r>
              <w:rPr>
                <w:rFonts w:hint="eastAsia" w:ascii="Times New Roman" w:hAnsi="Times New Roman" w:eastAsia="宋体" w:cs="Times New Roman"/>
                <w:bCs/>
                <w:color w:val="auto"/>
                <w:szCs w:val="21"/>
              </w:rPr>
              <w:t>6.</w:t>
            </w:r>
            <w:r>
              <w:rPr>
                <w:rFonts w:ascii="宋体" w:hAnsi="宋体" w:eastAsia="宋体" w:cs="宋体"/>
                <w:color w:val="auto"/>
                <w:szCs w:val="21"/>
              </w:rPr>
              <w:t>演讲表达与思政宣讲能力</w:t>
            </w:r>
          </w:p>
        </w:tc>
        <w:tc>
          <w:tcPr>
            <w:tcW w:w="2278" w:type="dxa"/>
            <w:vAlign w:val="center"/>
          </w:tcPr>
          <w:p w14:paraId="41EDFA07">
            <w:pPr>
              <w:spacing w:line="240" w:lineRule="auto"/>
              <w:rPr>
                <w:rFonts w:hint="eastAsia" w:ascii="宋体" w:hAnsi="宋体" w:eastAsia="宋体" w:cs="Times New Roman"/>
                <w:color w:val="auto"/>
                <w:szCs w:val="21"/>
              </w:rPr>
            </w:pPr>
            <w:r>
              <w:rPr>
                <w:rFonts w:hint="eastAsia" w:ascii="宋体" w:hAnsi="宋体" w:eastAsia="宋体" w:cs="宋体"/>
                <w:color w:val="auto"/>
                <w:szCs w:val="21"/>
              </w:rPr>
              <w:t>(1)</w:t>
            </w:r>
            <w:r>
              <w:rPr>
                <w:rFonts w:ascii="宋体" w:hAnsi="宋体" w:eastAsia="宋体" w:cs="宋体"/>
                <w:color w:val="auto"/>
                <w:szCs w:val="21"/>
              </w:rPr>
              <w:t>教育主题演讲结构设计（故事化、数据化、共鸣点）</w:t>
            </w:r>
            <w:r>
              <w:rPr>
                <w:rFonts w:ascii="宋体" w:hAnsi="宋体" w:eastAsia="宋体" w:cs="宋体"/>
                <w:color w:val="auto"/>
                <w:szCs w:val="21"/>
              </w:rPr>
              <w:br w:type="textWrapping"/>
            </w:r>
            <w:r>
              <w:rPr>
                <w:rFonts w:hint="eastAsia" w:ascii="宋体" w:hAnsi="宋体" w:eastAsia="宋体" w:cs="宋体"/>
                <w:color w:val="auto"/>
                <w:szCs w:val="21"/>
              </w:rPr>
              <w:t>(2)</w:t>
            </w:r>
            <w:r>
              <w:rPr>
                <w:rFonts w:ascii="宋体" w:hAnsi="宋体" w:eastAsia="宋体" w:cs="宋体"/>
                <w:color w:val="auto"/>
                <w:szCs w:val="21"/>
              </w:rPr>
              <w:t>国旗下的讲话、主题班会等场景演练</w:t>
            </w:r>
            <w:r>
              <w:rPr>
                <w:rFonts w:ascii="宋体" w:hAnsi="宋体" w:eastAsia="宋体" w:cs="宋体"/>
                <w:color w:val="auto"/>
                <w:szCs w:val="21"/>
              </w:rPr>
              <w:br w:type="textWrapping"/>
            </w:r>
            <w:r>
              <w:rPr>
                <w:rFonts w:hint="eastAsia" w:ascii="宋体" w:hAnsi="宋体" w:eastAsia="宋体" w:cs="宋体"/>
                <w:color w:val="auto"/>
                <w:szCs w:val="21"/>
              </w:rPr>
              <w:t>(3)</w:t>
            </w:r>
            <w:r>
              <w:rPr>
                <w:rFonts w:ascii="宋体" w:hAnsi="宋体" w:eastAsia="宋体" w:cs="宋体"/>
                <w:color w:val="auto"/>
                <w:szCs w:val="21"/>
              </w:rPr>
              <w:t>将政策语言转化为学生易懂的表达</w:t>
            </w:r>
          </w:p>
        </w:tc>
        <w:tc>
          <w:tcPr>
            <w:tcW w:w="1285" w:type="dxa"/>
            <w:vAlign w:val="center"/>
          </w:tcPr>
          <w:p w14:paraId="619DBD67">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课程目标1、2、3、4</w:t>
            </w:r>
          </w:p>
        </w:tc>
        <w:tc>
          <w:tcPr>
            <w:tcW w:w="2429" w:type="dxa"/>
            <w:vAlign w:val="center"/>
          </w:tcPr>
          <w:p w14:paraId="7B77F09B">
            <w:pPr>
              <w:spacing w:line="240" w:lineRule="auto"/>
              <w:rPr>
                <w:rFonts w:ascii="Times New Roman" w:hAnsi="Times New Roman" w:eastAsia="宋体" w:cs="Times New Roman"/>
                <w:color w:val="auto"/>
                <w:szCs w:val="21"/>
              </w:rPr>
            </w:pPr>
            <w:r>
              <w:rPr>
                <w:rFonts w:ascii="Times New Roman" w:hAnsi="Times New Roman" w:eastAsia="宋体" w:cs="Times New Roman"/>
                <w:color w:val="auto"/>
                <w:szCs w:val="21"/>
              </w:rPr>
              <w:t>（1）</w:t>
            </w:r>
            <w:r>
              <w:rPr>
                <w:rFonts w:ascii="宋体" w:hAnsi="宋体" w:eastAsia="宋体" w:cs="宋体"/>
                <w:color w:val="auto"/>
                <w:szCs w:val="21"/>
              </w:rPr>
              <w:t>能完成5分钟具有思政教育意义的即兴演讲</w:t>
            </w:r>
            <w:r>
              <w:rPr>
                <w:rFonts w:ascii="宋体" w:hAnsi="宋体" w:eastAsia="宋体" w:cs="宋体"/>
                <w:color w:val="auto"/>
                <w:szCs w:val="21"/>
              </w:rPr>
              <w:br w:type="textWrapping"/>
            </w:r>
            <w:r>
              <w:rPr>
                <w:rFonts w:hint="eastAsia" w:ascii="宋体" w:hAnsi="宋体" w:eastAsia="宋体" w:cs="宋体"/>
                <w:color w:val="auto"/>
                <w:szCs w:val="21"/>
              </w:rPr>
              <w:t>（2）</w:t>
            </w:r>
            <w:r>
              <w:rPr>
                <w:rFonts w:ascii="宋体" w:hAnsi="宋体" w:eastAsia="宋体" w:cs="宋体"/>
                <w:color w:val="auto"/>
                <w:szCs w:val="21"/>
              </w:rPr>
              <w:t>掌握面向青少年的政治话语转化技巧  </w:t>
            </w:r>
          </w:p>
          <w:p w14:paraId="4356627E">
            <w:pPr>
              <w:spacing w:line="240" w:lineRule="auto"/>
              <w:jc w:val="left"/>
              <w:rPr>
                <w:rFonts w:hint="eastAsia" w:ascii="宋体" w:hAnsi="宋体" w:eastAsia="宋体" w:cs="Times New Roman"/>
                <w:color w:val="auto"/>
                <w:szCs w:val="21"/>
              </w:rPr>
            </w:pPr>
          </w:p>
        </w:tc>
        <w:tc>
          <w:tcPr>
            <w:tcW w:w="1517" w:type="dxa"/>
            <w:vAlign w:val="center"/>
          </w:tcPr>
          <w:p w14:paraId="640D6319">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709FA26D">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37272277">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7361F43D">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6D9A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2C76F867">
            <w:pPr>
              <w:spacing w:line="240" w:lineRule="auto"/>
              <w:jc w:val="center"/>
              <w:rPr>
                <w:rFonts w:hint="eastAsia" w:ascii="宋体" w:hAnsi="宋体" w:eastAsia="宋体" w:cs="Times New Roman"/>
                <w:color w:val="auto"/>
                <w:szCs w:val="21"/>
              </w:rPr>
            </w:pPr>
          </w:p>
        </w:tc>
        <w:tc>
          <w:tcPr>
            <w:tcW w:w="7947" w:type="dxa"/>
            <w:gridSpan w:val="5"/>
            <w:vAlign w:val="center"/>
          </w:tcPr>
          <w:p w14:paraId="6B246095">
            <w:pPr>
              <w:spacing w:line="240" w:lineRule="auto"/>
              <w:ind w:firstLine="422" w:firstLineChars="200"/>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ascii="宋体" w:hAnsi="宋体" w:eastAsia="宋体" w:cs="宋体"/>
                <w:color w:val="auto"/>
                <w:szCs w:val="21"/>
              </w:rPr>
              <w:t>理论讲解、案例分析、情境模拟及实践训练，学生将掌握清晰、得体、富有魅力的表达方式，塑造专业、亲切的教师形象，为未来教育教学工作奠定坚实基础。</w:t>
            </w:r>
          </w:p>
        </w:tc>
      </w:tr>
      <w:tr w14:paraId="41EF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7D98C002">
            <w:pPr>
              <w:spacing w:line="240" w:lineRule="auto"/>
              <w:rPr>
                <w:rFonts w:hint="eastAsia" w:ascii="宋体" w:hAnsi="宋体" w:eastAsia="宋体" w:cs="Times New Roman"/>
                <w:color w:val="auto"/>
                <w:szCs w:val="21"/>
              </w:rPr>
            </w:pPr>
            <w:r>
              <w:rPr>
                <w:rFonts w:hint="eastAsia" w:ascii="Times New Roman" w:hAnsi="Times New Roman" w:eastAsia="宋体" w:cs="Times New Roman"/>
                <w:bCs/>
                <w:color w:val="auto"/>
                <w:szCs w:val="21"/>
              </w:rPr>
              <w:t>7.</w:t>
            </w:r>
            <w:r>
              <w:rPr>
                <w:rFonts w:ascii="宋体" w:hAnsi="宋体" w:eastAsia="宋体" w:cs="宋体"/>
                <w:color w:val="auto"/>
                <w:szCs w:val="21"/>
              </w:rPr>
              <w:t>求职面试语言与职业发展</w:t>
            </w:r>
          </w:p>
        </w:tc>
        <w:tc>
          <w:tcPr>
            <w:tcW w:w="2278" w:type="dxa"/>
            <w:vAlign w:val="center"/>
          </w:tcPr>
          <w:p w14:paraId="680AFB05">
            <w:pPr>
              <w:spacing w:line="240" w:lineRule="auto"/>
              <w:rPr>
                <w:rFonts w:hint="eastAsia" w:ascii="宋体" w:hAnsi="宋体" w:eastAsia="宋体" w:cs="Times New Roman"/>
                <w:color w:val="auto"/>
                <w:szCs w:val="21"/>
              </w:rPr>
            </w:pPr>
            <w:r>
              <w:rPr>
                <w:rFonts w:ascii="Times New Roman" w:hAnsi="Times New Roman" w:eastAsia="宋体" w:cs="Times New Roman"/>
                <w:color w:val="auto"/>
                <w:szCs w:val="21"/>
              </w:rPr>
              <w:t>（1）</w:t>
            </w:r>
            <w:r>
              <w:rPr>
                <w:rFonts w:ascii="宋体" w:hAnsi="宋体" w:eastAsia="宋体" w:cs="宋体"/>
                <w:color w:val="auto"/>
                <w:szCs w:val="21"/>
              </w:rPr>
              <w:t>教师招聘面试常见题型解析</w:t>
            </w:r>
            <w:r>
              <w:rPr>
                <w:rFonts w:ascii="宋体" w:hAnsi="宋体" w:eastAsia="宋体" w:cs="宋体"/>
                <w:color w:val="auto"/>
                <w:szCs w:val="21"/>
              </w:rPr>
              <w:br w:type="textWrapping"/>
            </w:r>
            <w:r>
              <w:rPr>
                <w:rFonts w:hint="eastAsia" w:ascii="宋体" w:hAnsi="宋体" w:eastAsia="宋体" w:cs="宋体"/>
                <w:color w:val="auto"/>
                <w:szCs w:val="21"/>
              </w:rPr>
              <w:t>（2）</w:t>
            </w:r>
            <w:r>
              <w:rPr>
                <w:rFonts w:ascii="宋体" w:hAnsi="宋体" w:eastAsia="宋体" w:cs="宋体"/>
                <w:color w:val="auto"/>
                <w:szCs w:val="21"/>
              </w:rPr>
              <w:t>结构化回答技巧（STAR法则运用）</w:t>
            </w:r>
            <w:r>
              <w:rPr>
                <w:rFonts w:ascii="宋体" w:hAnsi="宋体" w:eastAsia="宋体" w:cs="宋体"/>
                <w:color w:val="auto"/>
                <w:szCs w:val="21"/>
              </w:rPr>
              <w:br w:type="textWrapping"/>
            </w:r>
            <w:r>
              <w:rPr>
                <w:rFonts w:hint="eastAsia" w:ascii="宋体" w:hAnsi="宋体" w:eastAsia="宋体" w:cs="宋体"/>
                <w:color w:val="auto"/>
                <w:szCs w:val="21"/>
              </w:rPr>
              <w:t>（3）</w:t>
            </w:r>
            <w:r>
              <w:rPr>
                <w:rFonts w:ascii="宋体" w:hAnsi="宋体" w:eastAsia="宋体" w:cs="宋体"/>
                <w:color w:val="auto"/>
                <w:szCs w:val="21"/>
              </w:rPr>
              <w:t>职业发展规划的语言表达 </w:t>
            </w:r>
          </w:p>
        </w:tc>
        <w:tc>
          <w:tcPr>
            <w:tcW w:w="1285" w:type="dxa"/>
            <w:vAlign w:val="center"/>
          </w:tcPr>
          <w:p w14:paraId="084CD70C">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课程目标1、2、3、4</w:t>
            </w:r>
          </w:p>
        </w:tc>
        <w:tc>
          <w:tcPr>
            <w:tcW w:w="2429" w:type="dxa"/>
            <w:vAlign w:val="center"/>
          </w:tcPr>
          <w:p w14:paraId="3C698BCA">
            <w:pPr>
              <w:spacing w:line="240" w:lineRule="auto"/>
              <w:rPr>
                <w:rFonts w:hint="eastAsia" w:ascii="宋体" w:hAnsi="宋体" w:eastAsia="宋体" w:cs="Times New Roman"/>
                <w:color w:val="auto"/>
                <w:szCs w:val="21"/>
              </w:rPr>
            </w:pPr>
            <w:r>
              <w:rPr>
                <w:rFonts w:ascii="Times New Roman" w:hAnsi="Times New Roman" w:eastAsia="宋体" w:cs="Times New Roman"/>
                <w:color w:val="auto"/>
                <w:szCs w:val="21"/>
              </w:rPr>
              <w:t>（1）</w:t>
            </w:r>
            <w:r>
              <w:rPr>
                <w:rFonts w:ascii="宋体" w:hAnsi="宋体" w:eastAsia="宋体" w:cs="宋体"/>
                <w:color w:val="auto"/>
                <w:szCs w:val="21"/>
              </w:rPr>
              <w:t>能流畅应对模拟教师招聘面试</w:t>
            </w:r>
            <w:r>
              <w:rPr>
                <w:rFonts w:ascii="宋体" w:hAnsi="宋体" w:eastAsia="宋体" w:cs="宋体"/>
                <w:color w:val="auto"/>
                <w:szCs w:val="21"/>
              </w:rPr>
              <w:br w:type="textWrapping"/>
            </w:r>
            <w:r>
              <w:rPr>
                <w:rFonts w:hint="eastAsia" w:ascii="宋体" w:hAnsi="宋体" w:eastAsia="宋体" w:cs="宋体"/>
                <w:color w:val="auto"/>
                <w:szCs w:val="21"/>
              </w:rPr>
              <w:t>（2）</w:t>
            </w:r>
            <w:r>
              <w:rPr>
                <w:rFonts w:ascii="宋体" w:hAnsi="宋体" w:eastAsia="宋体" w:cs="宋体"/>
                <w:color w:val="auto"/>
                <w:szCs w:val="21"/>
              </w:rPr>
              <w:t>清晰表达个人教育理念与职业追求 </w:t>
            </w:r>
          </w:p>
        </w:tc>
        <w:tc>
          <w:tcPr>
            <w:tcW w:w="1517" w:type="dxa"/>
            <w:vAlign w:val="center"/>
          </w:tcPr>
          <w:p w14:paraId="38248DD0">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6D613EB3">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46AF4693">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4D333E75">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561D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2C43E30C">
            <w:pPr>
              <w:spacing w:line="240" w:lineRule="auto"/>
              <w:jc w:val="center"/>
              <w:rPr>
                <w:rFonts w:hint="eastAsia" w:ascii="宋体" w:hAnsi="宋体" w:eastAsia="宋体" w:cs="Times New Roman"/>
                <w:color w:val="auto"/>
                <w:szCs w:val="21"/>
              </w:rPr>
            </w:pPr>
          </w:p>
        </w:tc>
        <w:tc>
          <w:tcPr>
            <w:tcW w:w="7947" w:type="dxa"/>
            <w:gridSpan w:val="5"/>
            <w:vAlign w:val="center"/>
          </w:tcPr>
          <w:p w14:paraId="436A0A64">
            <w:pPr>
              <w:spacing w:line="240" w:lineRule="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ascii="宋体" w:hAnsi="宋体" w:eastAsia="宋体" w:cs="宋体"/>
                <w:color w:val="auto"/>
                <w:szCs w:val="21"/>
              </w:rPr>
              <w:t>理论讲解、案例分析、情境模拟及实践训练，学生将掌握清晰、得体、富有魅力的表达方式，塑造专业、亲切的教师形象，为未来教育教学工作奠定坚实基础。</w:t>
            </w:r>
          </w:p>
        </w:tc>
      </w:tr>
      <w:tr w14:paraId="449E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474602B4">
            <w:pPr>
              <w:spacing w:line="240" w:lineRule="auto"/>
              <w:rPr>
                <w:rFonts w:hint="eastAsia" w:ascii="宋体" w:hAnsi="宋体" w:eastAsia="宋体" w:cs="Times New Roman"/>
                <w:color w:val="auto"/>
                <w:szCs w:val="21"/>
              </w:rPr>
            </w:pPr>
            <w:r>
              <w:rPr>
                <w:rFonts w:hint="eastAsia" w:ascii="Times New Roman" w:hAnsi="Times New Roman" w:eastAsia="宋体" w:cs="Times New Roman"/>
                <w:bCs/>
                <w:color w:val="auto"/>
                <w:szCs w:val="21"/>
              </w:rPr>
              <w:t>8.</w:t>
            </w:r>
            <w:r>
              <w:rPr>
                <w:rFonts w:ascii="宋体" w:hAnsi="宋体" w:eastAsia="宋体" w:cs="宋体"/>
                <w:color w:val="auto"/>
                <w:szCs w:val="21"/>
              </w:rPr>
              <w:t>综合实训与课程思政总结</w:t>
            </w:r>
          </w:p>
        </w:tc>
        <w:tc>
          <w:tcPr>
            <w:tcW w:w="2278" w:type="dxa"/>
            <w:vAlign w:val="center"/>
          </w:tcPr>
          <w:p w14:paraId="63E280B7">
            <w:pPr>
              <w:spacing w:line="240" w:lineRule="auto"/>
              <w:rPr>
                <w:rFonts w:ascii="Times New Roman" w:hAnsi="Times New Roman" w:eastAsia="宋体" w:cs="Times New Roman"/>
                <w:color w:val="auto"/>
                <w:szCs w:val="21"/>
              </w:rPr>
            </w:pPr>
            <w:r>
              <w:rPr>
                <w:rFonts w:ascii="Times New Roman" w:hAnsi="Times New Roman" w:eastAsia="宋体" w:cs="Times New Roman"/>
                <w:color w:val="auto"/>
                <w:szCs w:val="21"/>
              </w:rPr>
              <w:t>（1）能够简单使用Lingo</w:t>
            </w:r>
          </w:p>
          <w:p w14:paraId="0370D7B5">
            <w:pPr>
              <w:spacing w:line="240" w:lineRule="auto"/>
              <w:rPr>
                <w:rFonts w:ascii="Times New Roman" w:hAnsi="Times New Roman" w:eastAsia="宋体" w:cs="Times New Roman"/>
                <w:color w:val="auto"/>
                <w:szCs w:val="21"/>
              </w:rPr>
            </w:pPr>
            <w:r>
              <w:rPr>
                <w:rFonts w:ascii="Times New Roman" w:hAnsi="Times New Roman" w:eastAsia="宋体" w:cs="Times New Roman"/>
                <w:color w:val="auto"/>
                <w:szCs w:val="21"/>
              </w:rPr>
              <w:t>（2）能够简单使用Mathematica</w:t>
            </w:r>
          </w:p>
          <w:p w14:paraId="4CC8C3E4">
            <w:pPr>
              <w:spacing w:line="240" w:lineRule="auto"/>
              <w:rPr>
                <w:rFonts w:hint="eastAsia" w:ascii="宋体" w:hAnsi="宋体" w:eastAsia="宋体" w:cs="Times New Roman"/>
                <w:color w:val="auto"/>
                <w:szCs w:val="21"/>
              </w:rPr>
            </w:pPr>
            <w:r>
              <w:rPr>
                <w:rFonts w:ascii="Times New Roman" w:hAnsi="Times New Roman" w:eastAsia="宋体" w:cs="Times New Roman"/>
                <w:color w:val="auto"/>
                <w:szCs w:val="21"/>
              </w:rPr>
              <w:t>（3）能够简单使用Matlab</w:t>
            </w:r>
          </w:p>
        </w:tc>
        <w:tc>
          <w:tcPr>
            <w:tcW w:w="1285" w:type="dxa"/>
            <w:vAlign w:val="center"/>
          </w:tcPr>
          <w:p w14:paraId="4D0FDA3E">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课程目标1、2、3、4</w:t>
            </w:r>
          </w:p>
        </w:tc>
        <w:tc>
          <w:tcPr>
            <w:tcW w:w="2429" w:type="dxa"/>
            <w:vAlign w:val="center"/>
          </w:tcPr>
          <w:p w14:paraId="18D06937">
            <w:pPr>
              <w:spacing w:line="240" w:lineRule="auto"/>
              <w:rPr>
                <w:rFonts w:hint="eastAsia" w:ascii="宋体" w:hAnsi="宋体" w:eastAsia="宋体" w:cs="Times New Roman"/>
                <w:color w:val="auto"/>
                <w:szCs w:val="21"/>
              </w:rPr>
            </w:pPr>
            <w:r>
              <w:rPr>
                <w:rFonts w:ascii="Times New Roman" w:hAnsi="Times New Roman" w:eastAsia="宋体" w:cs="Times New Roman"/>
                <w:color w:val="auto"/>
                <w:szCs w:val="21"/>
              </w:rPr>
              <w:t>（1）</w:t>
            </w:r>
            <w:r>
              <w:rPr>
                <w:rFonts w:ascii="宋体" w:hAnsi="宋体" w:eastAsia="宋体" w:cs="宋体"/>
                <w:color w:val="auto"/>
                <w:szCs w:val="21"/>
              </w:rPr>
              <w:t>微课展示（融合语言表达、礼仪、思政元素）</w:t>
            </w:r>
            <w:r>
              <w:rPr>
                <w:rFonts w:ascii="宋体" w:hAnsi="宋体" w:eastAsia="宋体" w:cs="宋体"/>
                <w:color w:val="auto"/>
                <w:szCs w:val="21"/>
              </w:rPr>
              <w:br w:type="textWrapping"/>
            </w:r>
            <w:r>
              <w:rPr>
                <w:rFonts w:hint="eastAsia" w:ascii="宋体" w:hAnsi="宋体" w:eastAsia="宋体" w:cs="宋体"/>
                <w:color w:val="auto"/>
                <w:szCs w:val="21"/>
              </w:rPr>
              <w:t>（2）</w:t>
            </w:r>
            <w:r>
              <w:rPr>
                <w:rFonts w:ascii="宋体" w:hAnsi="宋体" w:eastAsia="宋体" w:cs="宋体"/>
                <w:color w:val="auto"/>
                <w:szCs w:val="21"/>
              </w:rPr>
              <w:t>教育热点事件中的语言与礼仪案例分析</w:t>
            </w:r>
            <w:r>
              <w:rPr>
                <w:rFonts w:ascii="宋体" w:hAnsi="宋体" w:eastAsia="宋体" w:cs="宋体"/>
                <w:color w:val="auto"/>
                <w:szCs w:val="21"/>
              </w:rPr>
              <w:br w:type="textWrapping"/>
            </w:r>
            <w:r>
              <w:rPr>
                <w:rFonts w:hint="eastAsia" w:ascii="宋体" w:hAnsi="宋体" w:eastAsia="宋体" w:cs="宋体"/>
                <w:color w:val="auto"/>
                <w:szCs w:val="21"/>
              </w:rPr>
              <w:t>（3）</w:t>
            </w:r>
            <w:r>
              <w:rPr>
                <w:rFonts w:ascii="宋体" w:hAnsi="宋体" w:eastAsia="宋体" w:cs="宋体"/>
                <w:color w:val="auto"/>
                <w:szCs w:val="21"/>
              </w:rPr>
              <w:t>教师职业认同感提升研讨</w:t>
            </w:r>
          </w:p>
        </w:tc>
        <w:tc>
          <w:tcPr>
            <w:tcW w:w="1517" w:type="dxa"/>
            <w:vAlign w:val="center"/>
          </w:tcPr>
          <w:p w14:paraId="0E612A3E">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409E3609">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108BC2E0">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5CBFC96A">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5D7F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1BB6AAA0">
            <w:pPr>
              <w:spacing w:line="240" w:lineRule="auto"/>
              <w:jc w:val="center"/>
              <w:rPr>
                <w:rFonts w:hint="eastAsia" w:ascii="宋体" w:hAnsi="宋体" w:eastAsia="宋体" w:cs="Times New Roman"/>
                <w:color w:val="auto"/>
                <w:szCs w:val="21"/>
              </w:rPr>
            </w:pPr>
          </w:p>
        </w:tc>
        <w:tc>
          <w:tcPr>
            <w:tcW w:w="7947" w:type="dxa"/>
            <w:gridSpan w:val="5"/>
            <w:vAlign w:val="center"/>
          </w:tcPr>
          <w:p w14:paraId="49BC7273">
            <w:pPr>
              <w:spacing w:line="240" w:lineRule="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ascii="宋体" w:hAnsi="宋体" w:eastAsia="宋体" w:cs="宋体"/>
                <w:color w:val="auto"/>
                <w:szCs w:val="21"/>
              </w:rPr>
              <w:t>理论讲解、案例分析、情境模拟及实践训练，学生将掌握清晰、得体、富有魅力的表达方式，塑造专业、亲切的教师形象，为未来教育教学工作奠定坚实基础。</w:t>
            </w:r>
          </w:p>
        </w:tc>
      </w:tr>
    </w:tbl>
    <w:p w14:paraId="2F4DA150">
      <w:pPr>
        <w:spacing w:line="360" w:lineRule="auto"/>
        <w:jc w:val="left"/>
        <w:rPr>
          <w:rFonts w:ascii="Times New Roman" w:hAnsi="Times New Roman" w:eastAsia="宋体" w:cs="Times New Roman"/>
          <w:color w:val="auto"/>
          <w:sz w:val="24"/>
        </w:rPr>
      </w:pPr>
      <w:r>
        <w:rPr>
          <w:rFonts w:hint="eastAsia" w:ascii="宋体" w:hAnsi="宋体" w:eastAsia="宋体" w:cs="Times New Roman"/>
          <w:b/>
          <w:color w:val="auto"/>
          <w:sz w:val="24"/>
        </w:rPr>
        <w:t>四、目标评价与成绩评定</w:t>
      </w:r>
    </w:p>
    <w:p w14:paraId="50325998">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36A40CC3">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2616"/>
        <w:gridCol w:w="3193"/>
        <w:gridCol w:w="1325"/>
      </w:tblGrid>
      <w:tr w14:paraId="311C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49" w:type="dxa"/>
            <w:vMerge w:val="restart"/>
            <w:vAlign w:val="center"/>
          </w:tcPr>
          <w:p w14:paraId="694CAF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5809" w:type="dxa"/>
            <w:gridSpan w:val="2"/>
            <w:vAlign w:val="center"/>
          </w:tcPr>
          <w:p w14:paraId="3DEF22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325" w:type="dxa"/>
            <w:vMerge w:val="restart"/>
            <w:vAlign w:val="center"/>
          </w:tcPr>
          <w:p w14:paraId="1A14F5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4BBC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Merge w:val="continue"/>
            <w:vAlign w:val="center"/>
          </w:tcPr>
          <w:p w14:paraId="345FA9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p>
        </w:tc>
        <w:tc>
          <w:tcPr>
            <w:tcW w:w="2616" w:type="dxa"/>
            <w:vAlign w:val="center"/>
          </w:tcPr>
          <w:p w14:paraId="54F028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3193" w:type="dxa"/>
            <w:vAlign w:val="center"/>
          </w:tcPr>
          <w:p w14:paraId="1C5266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1325" w:type="dxa"/>
            <w:vMerge w:val="continue"/>
            <w:vAlign w:val="center"/>
          </w:tcPr>
          <w:p w14:paraId="2021CCD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p>
        </w:tc>
      </w:tr>
      <w:tr w14:paraId="21B1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center"/>
          </w:tcPr>
          <w:p w14:paraId="1BDFC5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2616" w:type="dxa"/>
            <w:vAlign w:val="center"/>
          </w:tcPr>
          <w:p w14:paraId="72B9AB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10</w:t>
            </w:r>
          </w:p>
        </w:tc>
        <w:tc>
          <w:tcPr>
            <w:tcW w:w="3193" w:type="dxa"/>
            <w:vAlign w:val="center"/>
          </w:tcPr>
          <w:p w14:paraId="57EDB9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10</w:t>
            </w:r>
          </w:p>
        </w:tc>
        <w:tc>
          <w:tcPr>
            <w:tcW w:w="1325" w:type="dxa"/>
            <w:vAlign w:val="center"/>
          </w:tcPr>
          <w:p w14:paraId="55FB38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7FAC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center"/>
          </w:tcPr>
          <w:p w14:paraId="1EF4EE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2616" w:type="dxa"/>
            <w:vAlign w:val="center"/>
          </w:tcPr>
          <w:p w14:paraId="356673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10</w:t>
            </w:r>
          </w:p>
        </w:tc>
        <w:tc>
          <w:tcPr>
            <w:tcW w:w="3193" w:type="dxa"/>
            <w:vAlign w:val="center"/>
          </w:tcPr>
          <w:p w14:paraId="367C61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15</w:t>
            </w:r>
          </w:p>
        </w:tc>
        <w:tc>
          <w:tcPr>
            <w:tcW w:w="1325" w:type="dxa"/>
            <w:vAlign w:val="center"/>
          </w:tcPr>
          <w:p w14:paraId="5CC7FF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25</w:t>
            </w:r>
          </w:p>
        </w:tc>
      </w:tr>
      <w:tr w14:paraId="5FA9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center"/>
          </w:tcPr>
          <w:p w14:paraId="0D1783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2616" w:type="dxa"/>
            <w:vAlign w:val="center"/>
          </w:tcPr>
          <w:p w14:paraId="5A0B2C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5</w:t>
            </w:r>
          </w:p>
        </w:tc>
        <w:tc>
          <w:tcPr>
            <w:tcW w:w="3193" w:type="dxa"/>
            <w:vAlign w:val="center"/>
          </w:tcPr>
          <w:p w14:paraId="79BF3B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20</w:t>
            </w:r>
          </w:p>
        </w:tc>
        <w:tc>
          <w:tcPr>
            <w:tcW w:w="1325" w:type="dxa"/>
            <w:vAlign w:val="center"/>
          </w:tcPr>
          <w:p w14:paraId="386040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25</w:t>
            </w:r>
          </w:p>
        </w:tc>
      </w:tr>
      <w:tr w14:paraId="4551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center"/>
          </w:tcPr>
          <w:p w14:paraId="7ECA95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课程目标4</w:t>
            </w:r>
          </w:p>
        </w:tc>
        <w:tc>
          <w:tcPr>
            <w:tcW w:w="2616" w:type="dxa"/>
            <w:vAlign w:val="center"/>
          </w:tcPr>
          <w:p w14:paraId="3CC3FBB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5</w:t>
            </w:r>
          </w:p>
        </w:tc>
        <w:tc>
          <w:tcPr>
            <w:tcW w:w="3193" w:type="dxa"/>
            <w:vAlign w:val="center"/>
          </w:tcPr>
          <w:p w14:paraId="459BA0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25</w:t>
            </w:r>
          </w:p>
        </w:tc>
        <w:tc>
          <w:tcPr>
            <w:tcW w:w="1325" w:type="dxa"/>
            <w:vAlign w:val="center"/>
          </w:tcPr>
          <w:p w14:paraId="7E6A0BB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73B4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center"/>
          </w:tcPr>
          <w:p w14:paraId="61DFD6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2616" w:type="dxa"/>
            <w:vAlign w:val="center"/>
          </w:tcPr>
          <w:p w14:paraId="6331B4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30</w:t>
            </w:r>
          </w:p>
        </w:tc>
        <w:tc>
          <w:tcPr>
            <w:tcW w:w="3193" w:type="dxa"/>
            <w:vAlign w:val="center"/>
          </w:tcPr>
          <w:p w14:paraId="04E8F5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70</w:t>
            </w:r>
          </w:p>
        </w:tc>
        <w:tc>
          <w:tcPr>
            <w:tcW w:w="1325" w:type="dxa"/>
            <w:vAlign w:val="center"/>
          </w:tcPr>
          <w:p w14:paraId="781FB6C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71C0AE24">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07E587A7">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0BE0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36A20EB">
            <w:pPr>
              <w:jc w:val="both"/>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497DD8C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706" w:type="dxa"/>
            <w:vAlign w:val="center"/>
          </w:tcPr>
          <w:p w14:paraId="7BF1F21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74D8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B41B6C1">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7141" w:type="dxa"/>
            <w:vAlign w:val="center"/>
          </w:tcPr>
          <w:p w14:paraId="330CF88F">
            <w:pPr>
              <w:spacing w:line="276" w:lineRule="auto"/>
              <w:rPr>
                <w:rFonts w:hint="eastAsia" w:ascii="宋体" w:hAnsi="宋体" w:eastAsia="宋体" w:cs="宋体"/>
                <w:color w:val="auto"/>
                <w:szCs w:val="21"/>
              </w:rPr>
            </w:pPr>
            <w:r>
              <w:rPr>
                <w:rFonts w:hint="eastAsia" w:ascii="宋体" w:hAnsi="宋体" w:eastAsia="宋体" w:cs="宋体"/>
                <w:color w:val="auto"/>
                <w:szCs w:val="21"/>
              </w:rPr>
              <w:t>其中课堂考勤占20%，平时作业占80%。</w:t>
            </w:r>
          </w:p>
          <w:p w14:paraId="13A855C0">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课堂考勤：病假和事假一次扣5分，无故缺席一次扣10分，无故缺席累积达5次以上（不含5次）取消课程成绩。</w:t>
            </w:r>
          </w:p>
          <w:p w14:paraId="3BEE6B63">
            <w:pPr>
              <w:spacing w:line="264" w:lineRule="auto"/>
              <w:jc w:val="left"/>
              <w:rPr>
                <w:rFonts w:ascii="Times New Roman" w:hAnsi="Times New Roman" w:eastAsia="宋体" w:cs="Times New Roman"/>
                <w:color w:val="auto"/>
                <w:szCs w:val="21"/>
              </w:rPr>
            </w:pPr>
            <w:r>
              <w:rPr>
                <w:rFonts w:hint="eastAsia" w:ascii="宋体" w:hAnsi="宋体" w:eastAsia="宋体" w:cs="宋体"/>
                <w:color w:val="auto"/>
                <w:szCs w:val="21"/>
              </w:rPr>
              <w:t>平时作业：课后完成3次作业，主要考核学生对每节课知识点的复习、理解和掌握程度，计算全部作业的平均成绩。</w:t>
            </w:r>
          </w:p>
        </w:tc>
        <w:tc>
          <w:tcPr>
            <w:tcW w:w="706" w:type="dxa"/>
            <w:vAlign w:val="center"/>
          </w:tcPr>
          <w:p w14:paraId="449A772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w:t>
            </w:r>
          </w:p>
        </w:tc>
      </w:tr>
      <w:tr w14:paraId="4F61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1640D2B">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7141" w:type="dxa"/>
            <w:vAlign w:val="center"/>
          </w:tcPr>
          <w:p w14:paraId="3659F5A0">
            <w:pPr>
              <w:spacing w:line="264" w:lineRule="auto"/>
              <w:jc w:val="left"/>
              <w:rPr>
                <w:rFonts w:ascii="Times New Roman" w:hAnsi="Times New Roman" w:eastAsia="宋体" w:cs="Times New Roman"/>
                <w:color w:val="auto"/>
                <w:szCs w:val="21"/>
              </w:rPr>
            </w:pPr>
            <w:r>
              <w:rPr>
                <w:rFonts w:hint="eastAsia" w:ascii="宋体" w:hAnsi="宋体" w:eastAsia="宋体" w:cs="宋体"/>
                <w:color w:val="auto"/>
                <w:szCs w:val="21"/>
              </w:rPr>
              <w:t>主要考核学生对本课程知识的掌握，并考核其实际运用教师口语的能力。</w:t>
            </w:r>
          </w:p>
        </w:tc>
        <w:tc>
          <w:tcPr>
            <w:tcW w:w="706" w:type="dxa"/>
            <w:vAlign w:val="center"/>
          </w:tcPr>
          <w:p w14:paraId="3430CE2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70%</w:t>
            </w:r>
          </w:p>
        </w:tc>
      </w:tr>
      <w:tr w14:paraId="457E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75" w:type="dxa"/>
            <w:vAlign w:val="center"/>
          </w:tcPr>
          <w:p w14:paraId="61A779C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7141" w:type="dxa"/>
            <w:vAlign w:val="center"/>
          </w:tcPr>
          <w:p w14:paraId="70F6D9F8">
            <w:pPr>
              <w:jc w:val="left"/>
              <w:rPr>
                <w:rFonts w:ascii="Times New Roman" w:hAnsi="Times New Roman" w:eastAsia="宋体" w:cs="Times New Roman"/>
                <w:color w:val="auto"/>
                <w:szCs w:val="21"/>
              </w:rPr>
            </w:pPr>
          </w:p>
        </w:tc>
        <w:tc>
          <w:tcPr>
            <w:tcW w:w="706" w:type="dxa"/>
            <w:vAlign w:val="center"/>
          </w:tcPr>
          <w:p w14:paraId="4914FEC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29933650">
      <w:pPr>
        <w:numPr>
          <w:ilvl w:val="0"/>
          <w:numId w:val="0"/>
        </w:num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lang w:eastAsia="zh-CN"/>
        </w:rPr>
        <w:t>（</w:t>
      </w:r>
      <w:r>
        <w:rPr>
          <w:rFonts w:hint="eastAsia" w:ascii="宋体" w:hAnsi="宋体" w:eastAsia="宋体" w:cs="Times New Roman"/>
          <w:b/>
          <w:color w:val="auto"/>
          <w:szCs w:val="21"/>
          <w:lang w:val="en-US" w:eastAsia="zh-CN"/>
        </w:rPr>
        <w:t>三</w:t>
      </w:r>
      <w:r>
        <w:rPr>
          <w:rFonts w:hint="eastAsia" w:ascii="宋体" w:hAnsi="宋体" w:eastAsia="宋体" w:cs="Times New Roman"/>
          <w:b/>
          <w:color w:val="auto"/>
          <w:szCs w:val="21"/>
          <w:lang w:eastAsia="zh-CN"/>
        </w:rPr>
        <w:t>）</w:t>
      </w:r>
      <w:r>
        <w:rPr>
          <w:rFonts w:hint="eastAsia" w:ascii="宋体" w:hAnsi="宋体" w:eastAsia="宋体" w:cs="Times New Roman"/>
          <w:b/>
          <w:color w:val="auto"/>
          <w:szCs w:val="21"/>
        </w:rPr>
        <w:t>课程目标达成度计算方法</w:t>
      </w:r>
    </w:p>
    <w:p w14:paraId="0F9766AB">
      <w:pPr>
        <w:spacing w:line="360" w:lineRule="auto"/>
        <w:ind w:firstLine="480"/>
        <w:rPr>
          <w:rFonts w:hint="eastAsia" w:ascii="宋体" w:hAnsi="宋体" w:eastAsia="宋体" w:cs="Times New Roman"/>
          <w:color w:val="auto"/>
          <w:sz w:val="24"/>
        </w:rPr>
      </w:pPr>
      <w:r>
        <w:rPr>
          <w:rFonts w:ascii="宋体" w:hAnsi="宋体" w:eastAsia="宋体" w:cs="Times New Roman"/>
          <w:color w:val="auto"/>
          <w:sz w:val="24"/>
        </w:rPr>
        <w:t>所有课程目标均</w:t>
      </w:r>
      <w:r>
        <w:rPr>
          <w:rFonts w:hint="eastAsia" w:ascii="宋体" w:hAnsi="宋体" w:eastAsia="宋体" w:cs="Times New Roman"/>
          <w:color w:val="auto"/>
          <w:sz w:val="24"/>
        </w:rPr>
        <w:t>需</w:t>
      </w:r>
      <w:r>
        <w:rPr>
          <w:rFonts w:ascii="宋体" w:hAnsi="宋体" w:eastAsia="宋体" w:cs="Times New Roman"/>
          <w:color w:val="auto"/>
          <w:sz w:val="24"/>
        </w:rPr>
        <w:t>大于等于0.6，否则总评成绩不及格，需要补考或重</w:t>
      </w:r>
      <w:r>
        <w:rPr>
          <w:rFonts w:hint="eastAsia" w:ascii="宋体" w:hAnsi="宋体" w:eastAsia="宋体" w:cs="Times New Roman"/>
          <w:color w:val="auto"/>
          <w:sz w:val="24"/>
        </w:rPr>
        <w:t>修。</w:t>
      </w:r>
      <w:r>
        <w:rPr>
          <w:rFonts w:ascii="宋体" w:hAnsi="宋体" w:eastAsia="宋体" w:cs="Times New Roman"/>
          <w:color w:val="auto"/>
          <w:sz w:val="24"/>
        </w:rPr>
        <w:t>每</w:t>
      </w:r>
      <w:r>
        <w:rPr>
          <w:rFonts w:hint="eastAsia" w:ascii="宋体" w:hAnsi="宋体" w:eastAsia="宋体" w:cs="Times New Roman"/>
          <w:color w:val="auto"/>
          <w:sz w:val="24"/>
        </w:rPr>
        <w:t>门</w:t>
      </w:r>
      <w:r>
        <w:rPr>
          <w:rFonts w:ascii="宋体" w:hAnsi="宋体" w:eastAsia="宋体" w:cs="Times New Roman"/>
          <w:color w:val="auto"/>
          <w:sz w:val="24"/>
        </w:rPr>
        <w:t>课程目标</w:t>
      </w:r>
      <w:r>
        <w:rPr>
          <w:rFonts w:hint="eastAsia" w:ascii="宋体" w:hAnsi="宋体" w:eastAsia="宋体" w:cs="Times New Roman"/>
          <w:color w:val="auto"/>
          <w:sz w:val="24"/>
        </w:rPr>
        <w:t>总体</w:t>
      </w:r>
      <w:r>
        <w:rPr>
          <w:rFonts w:ascii="宋体" w:hAnsi="宋体" w:eastAsia="宋体" w:cs="Times New Roman"/>
          <w:color w:val="auto"/>
          <w:sz w:val="24"/>
        </w:rPr>
        <w:t>达成度计算方法如下：</w:t>
      </w:r>
    </w:p>
    <w:p w14:paraId="3E4A6C2A">
      <w:pPr>
        <w:spacing w:line="360" w:lineRule="auto"/>
        <w:rPr>
          <w:rFonts w:ascii="Book Antiqua" w:hAnsi="Book Antiqua" w:eastAsia="宋体" w:cs="Times New Roman"/>
          <w:b/>
          <w:color w:val="auto"/>
          <w:sz w:val="24"/>
        </w:rPr>
      </w:pPr>
      <w:r>
        <w:rPr>
          <w:rFonts w:ascii="宋体" w:hAnsi="宋体" w:eastAsia="宋体" w:cs="Times New Roman"/>
          <w:color w:val="auto"/>
          <w:sz w:val="24"/>
        </w:rPr>
        <w:drawing>
          <wp:inline distT="0" distB="0" distL="0" distR="0">
            <wp:extent cx="5104765" cy="280035"/>
            <wp:effectExtent l="0" t="0" r="635" b="5715"/>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pic:nvPicPr>
                  <pic:blipFill>
                    <a:blip r:embed="rId20">
                      <a:extLst>
                        <a:ext uri="{28A0092B-C50C-407E-A947-70E740481C1C}">
                          <a14:useLocalDpi xmlns:a14="http://schemas.microsoft.com/office/drawing/2010/main" val="0"/>
                        </a:ext>
                      </a:extLst>
                    </a:blip>
                    <a:srcRect/>
                    <a:stretch>
                      <a:fillRect/>
                    </a:stretch>
                  </pic:blipFill>
                  <pic:spPr>
                    <a:xfrm>
                      <a:off x="0" y="0"/>
                      <a:ext cx="5260978" cy="289238"/>
                    </a:xfrm>
                    <a:prstGeom prst="rect">
                      <a:avLst/>
                    </a:prstGeom>
                    <a:noFill/>
                    <a:ln>
                      <a:noFill/>
                    </a:ln>
                  </pic:spPr>
                </pic:pic>
              </a:graphicData>
            </a:graphic>
          </wp:inline>
        </w:drawing>
      </w:r>
    </w:p>
    <w:p w14:paraId="48244A05">
      <w:pPr>
        <w:spacing w:before="156" w:beforeLines="50" w:line="360" w:lineRule="auto"/>
        <w:jc w:val="left"/>
        <w:rPr>
          <w:rFonts w:ascii="Times New Roman" w:hAnsi="Times New Roman" w:eastAsia="宋体" w:cs="Times New Roman"/>
          <w:b/>
          <w:color w:val="auto"/>
          <w:sz w:val="24"/>
        </w:rPr>
      </w:pPr>
      <w:r>
        <w:rPr>
          <w:rFonts w:hint="eastAsia" w:ascii="宋体" w:hAnsi="宋体" w:eastAsia="宋体" w:cs="Times New Roman"/>
          <w:b/>
          <w:color w:val="auto"/>
          <w:sz w:val="24"/>
        </w:rPr>
        <w:t>五、</w:t>
      </w:r>
      <w:r>
        <w:rPr>
          <w:rFonts w:hint="eastAsia" w:ascii="Times New Roman" w:hAnsi="Times New Roman" w:eastAsia="宋体" w:cs="Times New Roman"/>
          <w:b/>
          <w:color w:val="auto"/>
          <w:sz w:val="24"/>
        </w:rPr>
        <w:t>课程实践</w:t>
      </w:r>
    </w:p>
    <w:p w14:paraId="33387596">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本课程在系统教学的基础上，以学生为主题，整合各类教育资源，科学设计实践活动，丰富教育教学形式，提升教育教学效果，从而实现思政育人。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3D86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6892AA2">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3407" w:type="dxa"/>
            <w:vAlign w:val="center"/>
          </w:tcPr>
          <w:p w14:paraId="37358575">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740" w:type="dxa"/>
            <w:vAlign w:val="center"/>
          </w:tcPr>
          <w:p w14:paraId="1B4DB5F8">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3160" w:type="dxa"/>
            <w:vAlign w:val="center"/>
          </w:tcPr>
          <w:p w14:paraId="0F4AA41E">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思政目标</w:t>
            </w:r>
          </w:p>
        </w:tc>
      </w:tr>
      <w:tr w14:paraId="755C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trPr>
        <w:tc>
          <w:tcPr>
            <w:tcW w:w="1212" w:type="dxa"/>
            <w:vAlign w:val="center"/>
          </w:tcPr>
          <w:p w14:paraId="09962393">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普通话</w:t>
            </w:r>
          </w:p>
          <w:p w14:paraId="77C5736A">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rPr>
              <w:t>语音</w:t>
            </w:r>
            <w:r>
              <w:rPr>
                <w:rFonts w:hint="eastAsia" w:ascii="宋体" w:hAnsi="宋体" w:eastAsia="宋体" w:cs="宋体"/>
                <w:color w:val="auto"/>
                <w:kern w:val="0"/>
                <w:sz w:val="21"/>
                <w:szCs w:val="21"/>
              </w:rPr>
              <w:t>训练</w:t>
            </w:r>
          </w:p>
        </w:tc>
        <w:tc>
          <w:tcPr>
            <w:tcW w:w="3407" w:type="dxa"/>
            <w:vAlign w:val="center"/>
          </w:tcPr>
          <w:p w14:paraId="6CE99374">
            <w:pPr>
              <w:spacing w:line="240" w:lineRule="auto"/>
              <w:ind w:firstLine="210" w:firstLineChars="100"/>
              <w:rPr>
                <w:rFonts w:hint="eastAsia" w:ascii="宋体" w:hAnsi="宋体" w:eastAsia="宋体" w:cs="宋体"/>
                <w:color w:val="auto"/>
                <w:sz w:val="21"/>
                <w:szCs w:val="21"/>
              </w:rPr>
            </w:pPr>
            <w:r>
              <w:rPr>
                <w:rFonts w:hint="eastAsia" w:ascii="宋体" w:hAnsi="宋体" w:eastAsia="宋体" w:cs="Times New Roman"/>
                <w:bCs/>
                <w:color w:val="auto"/>
                <w:sz w:val="21"/>
                <w:szCs w:val="21"/>
              </w:rPr>
              <w:t>声母、韵母、声调、吐字归音、语流音变等普通话语音基础知识训练。逐步认识和纠正发音、发声中存在的问题，掌握和运用科学的发音、发声方法。</w:t>
            </w:r>
          </w:p>
        </w:tc>
        <w:tc>
          <w:tcPr>
            <w:tcW w:w="740" w:type="dxa"/>
            <w:vAlign w:val="center"/>
          </w:tcPr>
          <w:p w14:paraId="57CAC35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课程实践作业</w:t>
            </w:r>
          </w:p>
        </w:tc>
        <w:tc>
          <w:tcPr>
            <w:tcW w:w="3160" w:type="dxa"/>
            <w:vAlign w:val="center"/>
          </w:tcPr>
          <w:p w14:paraId="18B51110">
            <w:pPr>
              <w:spacing w:line="240" w:lineRule="auto"/>
              <w:jc w:val="left"/>
              <w:rPr>
                <w:rFonts w:hint="eastAsia" w:ascii="宋体" w:hAnsi="宋体" w:eastAsia="宋体" w:cs="宋体"/>
                <w:color w:val="auto"/>
                <w:sz w:val="21"/>
                <w:szCs w:val="21"/>
              </w:rPr>
            </w:pPr>
            <w:r>
              <w:rPr>
                <w:rFonts w:ascii="宋体" w:hAnsi="宋体" w:eastAsia="宋体" w:cs="宋体"/>
                <w:color w:val="auto"/>
                <w:sz w:val="21"/>
                <w:szCs w:val="21"/>
              </w:rPr>
              <w:t>理论讲解、案例分析、情境模拟及实践训练，学生将掌握清晰、得体、富有魅力的表达方式，塑造专业、亲切的教师形象，为未来教育教学工作奠定坚实基础。</w:t>
            </w:r>
          </w:p>
        </w:tc>
      </w:tr>
      <w:tr w14:paraId="5D79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46543FC">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教师基本礼仪技能的要求</w:t>
            </w:r>
            <w:r>
              <w:rPr>
                <w:rFonts w:hint="eastAsia" w:ascii="宋体" w:hAnsi="宋体" w:eastAsia="宋体" w:cs="宋体"/>
                <w:color w:val="auto"/>
                <w:kern w:val="0"/>
                <w:sz w:val="21"/>
                <w:szCs w:val="21"/>
              </w:rPr>
              <w:t>训练</w:t>
            </w:r>
          </w:p>
        </w:tc>
        <w:tc>
          <w:tcPr>
            <w:tcW w:w="3407" w:type="dxa"/>
            <w:vAlign w:val="center"/>
          </w:tcPr>
          <w:p w14:paraId="6BEE1A4C">
            <w:pPr>
              <w:widowControl/>
              <w:spacing w:line="240" w:lineRule="auto"/>
              <w:ind w:firstLine="420" w:firstLineChars="200"/>
              <w:jc w:val="left"/>
              <w:rPr>
                <w:rFonts w:hint="eastAsia" w:ascii="宋体" w:hAnsi="宋体" w:eastAsia="宋体" w:cs="宋体"/>
                <w:color w:val="auto"/>
                <w:sz w:val="21"/>
                <w:szCs w:val="21"/>
              </w:rPr>
            </w:pPr>
            <w:r>
              <w:rPr>
                <w:rFonts w:hint="eastAsia" w:ascii="宋体" w:hAnsi="宋体" w:eastAsia="宋体" w:cs="Times New Roman"/>
                <w:bCs/>
                <w:color w:val="auto"/>
                <w:sz w:val="21"/>
                <w:szCs w:val="21"/>
              </w:rPr>
              <w:t>掌握复述、描述、评述、讲故事、态势语等一些基本技能的要求。通过训练，掌握各种技能、技巧。</w:t>
            </w:r>
            <w:r>
              <w:rPr>
                <w:rFonts w:hint="eastAsia" w:ascii="宋体" w:hAnsi="宋体" w:eastAsia="宋体" w:cs="宋体"/>
                <w:color w:val="auto"/>
                <w:sz w:val="21"/>
                <w:szCs w:val="21"/>
              </w:rPr>
              <w:t>能够熟练自如的运用各种技能。</w:t>
            </w:r>
          </w:p>
        </w:tc>
        <w:tc>
          <w:tcPr>
            <w:tcW w:w="740" w:type="dxa"/>
            <w:vAlign w:val="center"/>
          </w:tcPr>
          <w:p w14:paraId="2873CA46">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课程实践作业</w:t>
            </w:r>
          </w:p>
        </w:tc>
        <w:tc>
          <w:tcPr>
            <w:tcW w:w="3160" w:type="dxa"/>
            <w:vAlign w:val="center"/>
          </w:tcPr>
          <w:p w14:paraId="7D23B239">
            <w:pPr>
              <w:spacing w:line="240" w:lineRule="auto"/>
              <w:jc w:val="left"/>
              <w:rPr>
                <w:rFonts w:hint="eastAsia" w:ascii="宋体" w:hAnsi="宋体" w:eastAsia="宋体" w:cs="宋体"/>
                <w:color w:val="auto"/>
                <w:sz w:val="21"/>
                <w:szCs w:val="21"/>
              </w:rPr>
            </w:pPr>
            <w:r>
              <w:rPr>
                <w:rFonts w:ascii="宋体" w:hAnsi="宋体" w:eastAsia="宋体" w:cs="宋体"/>
                <w:color w:val="auto"/>
                <w:sz w:val="21"/>
                <w:szCs w:val="21"/>
              </w:rPr>
              <w:t>理论讲解、案例分析、情境模拟及实践训练，学生将掌握清晰、得体、富有魅力的表达方式，塑造专业、亲切的教师形象，为未来教育教学工作奠定坚实基础。</w:t>
            </w:r>
          </w:p>
        </w:tc>
      </w:tr>
      <w:tr w14:paraId="7612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C491355">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rPr>
              <w:t>教师教学口语训练</w:t>
            </w:r>
          </w:p>
        </w:tc>
        <w:tc>
          <w:tcPr>
            <w:tcW w:w="3407" w:type="dxa"/>
            <w:vAlign w:val="center"/>
          </w:tcPr>
          <w:p w14:paraId="6A774EE3">
            <w:pPr>
              <w:spacing w:line="24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导入语、提问语、过渡语、讲解语、评价语、应变语、小结语等各教学环节的用语技巧。能掌握幼儿教师教学语言的特点，在课堂模拟教学中正确使用各类教学语言。</w:t>
            </w:r>
          </w:p>
        </w:tc>
        <w:tc>
          <w:tcPr>
            <w:tcW w:w="740" w:type="dxa"/>
            <w:vAlign w:val="center"/>
          </w:tcPr>
          <w:p w14:paraId="7E1A3E57">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课程实践作业</w:t>
            </w:r>
          </w:p>
        </w:tc>
        <w:tc>
          <w:tcPr>
            <w:tcW w:w="3160" w:type="dxa"/>
            <w:vAlign w:val="center"/>
          </w:tcPr>
          <w:p w14:paraId="4FD694AD">
            <w:pPr>
              <w:spacing w:line="240" w:lineRule="auto"/>
              <w:jc w:val="left"/>
              <w:rPr>
                <w:rFonts w:hint="eastAsia" w:ascii="宋体" w:hAnsi="宋体" w:eastAsia="宋体" w:cs="宋体"/>
                <w:b/>
                <w:bCs/>
                <w:color w:val="auto"/>
                <w:sz w:val="21"/>
                <w:szCs w:val="21"/>
              </w:rPr>
            </w:pPr>
            <w:r>
              <w:rPr>
                <w:rFonts w:ascii="宋体" w:hAnsi="宋体" w:eastAsia="宋体" w:cs="宋体"/>
                <w:color w:val="auto"/>
                <w:sz w:val="21"/>
                <w:szCs w:val="21"/>
              </w:rPr>
              <w:t>理论讲解、案例分析、情境模拟及实践训练，学生将掌握清晰、得体、富有魅力的表达方式，塑造专业、亲切的教师形象，为未来教育教学工作奠定坚实基础。</w:t>
            </w:r>
          </w:p>
        </w:tc>
      </w:tr>
      <w:tr w14:paraId="3E07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43C92C4B">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rPr>
              <w:t>教师教育口语训练</w:t>
            </w:r>
          </w:p>
        </w:tc>
        <w:tc>
          <w:tcPr>
            <w:tcW w:w="3407" w:type="dxa"/>
            <w:vAlign w:val="center"/>
          </w:tcPr>
          <w:p w14:paraId="17B51FFA">
            <w:pPr>
              <w:spacing w:line="240" w:lineRule="auto"/>
              <w:ind w:firstLine="420" w:firstLineChars="200"/>
              <w:rPr>
                <w:rFonts w:hint="eastAsia" w:ascii="宋体" w:hAnsi="宋体" w:eastAsia="宋体" w:cs="宋体"/>
                <w:color w:val="auto"/>
                <w:sz w:val="21"/>
                <w:szCs w:val="21"/>
              </w:rPr>
            </w:pPr>
            <w:r>
              <w:rPr>
                <w:rFonts w:hint="eastAsia" w:ascii="宋体" w:hAnsi="宋体" w:eastAsia="宋体" w:cs="Times New Roman"/>
                <w:bCs/>
                <w:color w:val="auto"/>
                <w:sz w:val="21"/>
                <w:szCs w:val="21"/>
              </w:rPr>
              <w:t>掌握幼儿教育口语的特点、原则和要求。能根据不同教育情境准确、恰当地运用教育口语。</w:t>
            </w:r>
          </w:p>
        </w:tc>
        <w:tc>
          <w:tcPr>
            <w:tcW w:w="740" w:type="dxa"/>
            <w:vAlign w:val="center"/>
          </w:tcPr>
          <w:p w14:paraId="1A986E6C">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课程实践作业</w:t>
            </w:r>
          </w:p>
        </w:tc>
        <w:tc>
          <w:tcPr>
            <w:tcW w:w="3160" w:type="dxa"/>
            <w:vAlign w:val="center"/>
          </w:tcPr>
          <w:p w14:paraId="64D0EC57">
            <w:pPr>
              <w:spacing w:line="240" w:lineRule="auto"/>
              <w:jc w:val="left"/>
              <w:rPr>
                <w:rFonts w:hint="eastAsia" w:ascii="宋体" w:hAnsi="宋体" w:eastAsia="宋体" w:cs="宋体"/>
                <w:color w:val="auto"/>
                <w:sz w:val="21"/>
                <w:szCs w:val="21"/>
              </w:rPr>
            </w:pPr>
            <w:r>
              <w:rPr>
                <w:rFonts w:ascii="宋体" w:hAnsi="宋体" w:eastAsia="宋体" w:cs="宋体"/>
                <w:color w:val="auto"/>
                <w:sz w:val="21"/>
                <w:szCs w:val="21"/>
              </w:rPr>
              <w:t>理论讲解、案例分析、情境模拟及实践训练，学生将掌握清晰、得体、富有魅力的表达方式，塑造专业、亲切的教师形象，为未来教育教学工作奠定坚实基础。</w:t>
            </w:r>
          </w:p>
        </w:tc>
      </w:tr>
    </w:tbl>
    <w:p w14:paraId="63390B3A">
      <w:pPr>
        <w:spacing w:line="360" w:lineRule="auto"/>
        <w:jc w:val="left"/>
        <w:rPr>
          <w:rFonts w:hint="eastAsia" w:ascii="宋体" w:hAnsi="宋体" w:eastAsia="宋体" w:cs="Times New Roman"/>
          <w:b/>
          <w:color w:val="auto"/>
          <w:sz w:val="24"/>
        </w:rPr>
      </w:pPr>
    </w:p>
    <w:p w14:paraId="7DABBC47">
      <w:pPr>
        <w:spacing w:line="360" w:lineRule="auto"/>
        <w:jc w:val="left"/>
        <w:rPr>
          <w:rFonts w:ascii="Times New Roman" w:hAnsi="Times New Roman" w:eastAsia="宋体" w:cs="Times New Roman"/>
          <w:b/>
          <w:bCs/>
          <w:color w:val="auto"/>
          <w:sz w:val="24"/>
        </w:rPr>
      </w:pPr>
      <w:r>
        <w:rPr>
          <w:rFonts w:hint="eastAsia" w:ascii="宋体" w:hAnsi="宋体" w:eastAsia="宋体" w:cs="Times New Roman"/>
          <w:b/>
          <w:color w:val="auto"/>
          <w:sz w:val="24"/>
        </w:rPr>
        <w:t>六、有关说明</w:t>
      </w:r>
    </w:p>
    <w:p w14:paraId="4062DFF6">
      <w:pPr>
        <w:spacing w:line="360" w:lineRule="auto"/>
        <w:ind w:firstLine="422" w:firstLineChars="200"/>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（一）持续改进</w:t>
      </w:r>
    </w:p>
    <w:p w14:paraId="2C36B710">
      <w:pPr>
        <w:spacing w:line="360" w:lineRule="auto"/>
        <w:ind w:firstLine="420" w:firstLineChars="200"/>
        <w:rPr>
          <w:rFonts w:hint="eastAsia" w:ascii="宋体" w:hAnsi="宋体" w:eastAsia="宋体" w:cs="Times New Roman"/>
          <w:color w:val="auto"/>
          <w:sz w:val="21"/>
          <w:szCs w:val="21"/>
        </w:rPr>
      </w:pPr>
      <w:r>
        <w:rPr>
          <w:rFonts w:ascii="宋体" w:hAnsi="宋体" w:eastAsia="宋体" w:cs="Times New Roman"/>
          <w:color w:val="auto"/>
          <w:sz w:val="21"/>
          <w:szCs w:val="21"/>
        </w:rPr>
        <w:t>本课程根据学生作业、课堂讨论情况和学生、教学督导等方面</w:t>
      </w:r>
      <w:r>
        <w:rPr>
          <w:rFonts w:hint="eastAsia" w:ascii="宋体" w:hAnsi="宋体" w:eastAsia="宋体" w:cs="Times New Roman"/>
          <w:color w:val="auto"/>
          <w:sz w:val="21"/>
          <w:szCs w:val="21"/>
        </w:rPr>
        <w:t>的</w:t>
      </w:r>
      <w:r>
        <w:rPr>
          <w:rFonts w:ascii="宋体" w:hAnsi="宋体" w:eastAsia="宋体" w:cs="Times New Roman"/>
          <w:color w:val="auto"/>
          <w:sz w:val="21"/>
          <w:szCs w:val="21"/>
        </w:rPr>
        <w:t>反馈意见及时对教学中</w:t>
      </w:r>
      <w:r>
        <w:rPr>
          <w:rFonts w:hint="eastAsia" w:ascii="宋体" w:hAnsi="宋体" w:eastAsia="宋体" w:cs="Times New Roman"/>
          <w:color w:val="auto"/>
          <w:sz w:val="21"/>
          <w:szCs w:val="21"/>
        </w:rPr>
        <w:t>的</w:t>
      </w:r>
      <w:r>
        <w:rPr>
          <w:rFonts w:ascii="宋体" w:hAnsi="宋体" w:eastAsia="宋体" w:cs="Times New Roman"/>
          <w:color w:val="auto"/>
          <w:sz w:val="21"/>
          <w:szCs w:val="21"/>
        </w:rPr>
        <w:t>不足之处进行改进，并在下一轮课程教学中</w:t>
      </w:r>
      <w:r>
        <w:rPr>
          <w:rFonts w:hint="eastAsia" w:ascii="宋体" w:hAnsi="宋体" w:eastAsia="宋体" w:cs="Times New Roman"/>
          <w:color w:val="auto"/>
          <w:sz w:val="21"/>
          <w:szCs w:val="21"/>
        </w:rPr>
        <w:t>整改完善</w:t>
      </w:r>
      <w:r>
        <w:rPr>
          <w:rFonts w:ascii="宋体" w:hAnsi="宋体" w:eastAsia="宋体" w:cs="Times New Roman"/>
          <w:color w:val="auto"/>
          <w:sz w:val="21"/>
          <w:szCs w:val="21"/>
        </w:rPr>
        <w:t>，确保相应毕业要求指标点达成。</w:t>
      </w:r>
    </w:p>
    <w:p w14:paraId="4A199A5B">
      <w:pPr>
        <w:spacing w:line="360" w:lineRule="auto"/>
        <w:ind w:firstLine="422" w:firstLineChars="200"/>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（二）参考书目及学习资料</w:t>
      </w:r>
    </w:p>
    <w:p w14:paraId="53438214">
      <w:pPr>
        <w:spacing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1.教材</w:t>
      </w:r>
    </w:p>
    <w:p w14:paraId="5FE21E1E">
      <w:pPr>
        <w:spacing w:line="360" w:lineRule="auto"/>
        <w:ind w:firstLine="420" w:firstLineChars="200"/>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高林广.教师口语实训教程.北京：高等教育出版社，2016.</w:t>
      </w:r>
    </w:p>
    <w:p w14:paraId="00AA5179">
      <w:pPr>
        <w:spacing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2.教学参考书</w:t>
      </w:r>
    </w:p>
    <w:p w14:paraId="21044A01">
      <w:pPr>
        <w:spacing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陈国安、王海燕.新编教师口语——表达与训练.上海：华东师范大学出版社，</w:t>
      </w:r>
      <w:r>
        <w:rPr>
          <w:rFonts w:ascii="宋体" w:hAnsi="宋体" w:eastAsia="宋体" w:cs="Times New Roman"/>
          <w:color w:val="auto"/>
          <w:sz w:val="21"/>
          <w:szCs w:val="21"/>
        </w:rPr>
        <w:t>2007</w:t>
      </w:r>
      <w:r>
        <w:rPr>
          <w:rFonts w:hint="eastAsia" w:ascii="宋体" w:hAnsi="宋体" w:eastAsia="宋体" w:cs="Times New Roman"/>
          <w:color w:val="auto"/>
          <w:sz w:val="21"/>
          <w:szCs w:val="21"/>
        </w:rPr>
        <w:t>.</w:t>
      </w:r>
    </w:p>
    <w:p w14:paraId="3C97C0F0">
      <w:pPr>
        <w:spacing w:line="360" w:lineRule="auto"/>
        <w:ind w:firstLine="420" w:firstLineChars="200"/>
        <w:rPr>
          <w:rFonts w:ascii="Book Antiqua" w:hAnsi="Book Antiqua" w:eastAsia="宋体" w:cs="Times New Roman"/>
          <w:color w:val="auto"/>
          <w:sz w:val="21"/>
          <w:szCs w:val="21"/>
        </w:rPr>
      </w:pPr>
      <w:r>
        <w:rPr>
          <w:rFonts w:hint="eastAsia" w:ascii="Book Antiqua" w:hAnsi="Book Antiqua" w:eastAsia="宋体" w:cs="Times New Roman"/>
          <w:color w:val="auto"/>
          <w:sz w:val="21"/>
          <w:szCs w:val="21"/>
        </w:rPr>
        <w:t>江苏省普通话水平测试研究组.普通话水平测试指导用书(最新版）.北京：中国和平音像电子出版社，2013.</w:t>
      </w:r>
    </w:p>
    <w:p w14:paraId="24D17B7D">
      <w:pPr>
        <w:autoSpaceDE w:val="0"/>
        <w:autoSpaceDN w:val="0"/>
        <w:adjustRightInd w:val="0"/>
        <w:spacing w:line="360" w:lineRule="auto"/>
        <w:ind w:firstLine="420" w:firstLineChars="200"/>
        <w:jc w:val="left"/>
        <w:rPr>
          <w:rFonts w:hint="eastAsia" w:ascii="宋体" w:hAnsi="宋体" w:eastAsia="宋体" w:cs="Times New Roman"/>
          <w:color w:val="auto"/>
          <w:kern w:val="0"/>
          <w:sz w:val="21"/>
          <w:szCs w:val="18"/>
        </w:rPr>
      </w:pPr>
    </w:p>
    <w:p w14:paraId="137B205D">
      <w:pPr>
        <w:wordWrap w:val="0"/>
        <w:autoSpaceDE w:val="0"/>
        <w:autoSpaceDN w:val="0"/>
        <w:adjustRightInd w:val="0"/>
        <w:spacing w:line="360" w:lineRule="auto"/>
        <w:jc w:val="right"/>
        <w:rPr>
          <w:rFonts w:hint="eastAsia" w:ascii="宋体" w:hAnsi="宋体" w:eastAsia="宋体" w:cs="Times New Roman"/>
          <w:color w:val="auto"/>
          <w:kern w:val="0"/>
          <w:sz w:val="21"/>
          <w:szCs w:val="18"/>
        </w:rPr>
      </w:pPr>
      <w:r>
        <w:rPr>
          <w:rFonts w:hint="eastAsia" w:ascii="宋体" w:hAnsi="宋体" w:eastAsia="宋体" w:cs="Times New Roman"/>
          <w:color w:val="auto"/>
          <w:kern w:val="0"/>
          <w:sz w:val="21"/>
          <w:szCs w:val="18"/>
        </w:rPr>
        <w:t xml:space="preserve">                                  </w:t>
      </w:r>
      <w:r>
        <w:rPr>
          <w:rFonts w:hint="eastAsia" w:ascii="宋体" w:hAnsi="宋体" w:eastAsia="宋体" w:cs="Times New Roman"/>
          <w:color w:val="auto"/>
          <w:kern w:val="0"/>
          <w:sz w:val="21"/>
          <w:szCs w:val="18"/>
          <w:lang w:val="en-US" w:eastAsia="zh-CN"/>
        </w:rPr>
        <w:t xml:space="preserve">          </w:t>
      </w:r>
      <w:r>
        <w:rPr>
          <w:rFonts w:hint="eastAsia" w:ascii="宋体" w:hAnsi="宋体" w:eastAsia="宋体" w:cs="Times New Roman"/>
          <w:color w:val="auto"/>
          <w:kern w:val="0"/>
          <w:sz w:val="21"/>
          <w:szCs w:val="18"/>
        </w:rPr>
        <w:t xml:space="preserve">   </w:t>
      </w:r>
      <w:r>
        <w:rPr>
          <w:rFonts w:ascii="宋体" w:hAnsi="宋体" w:eastAsia="宋体" w:cs="Times New Roman"/>
          <w:color w:val="auto"/>
          <w:kern w:val="0"/>
          <w:sz w:val="21"/>
          <w:szCs w:val="18"/>
        </w:rPr>
        <w:t>执笔人：</w:t>
      </w:r>
      <w:r>
        <w:rPr>
          <w:rFonts w:hint="eastAsia" w:ascii="宋体" w:hAnsi="宋体" w:eastAsia="宋体" w:cs="Times New Roman"/>
          <w:color w:val="auto"/>
          <w:kern w:val="0"/>
          <w:sz w:val="21"/>
          <w:szCs w:val="18"/>
        </w:rPr>
        <w:t>李</w:t>
      </w:r>
      <w:r>
        <w:rPr>
          <w:rFonts w:hint="eastAsia" w:ascii="宋体" w:hAnsi="宋体" w:eastAsia="宋体" w:cs="Times New Roman"/>
          <w:color w:val="auto"/>
          <w:kern w:val="0"/>
          <w:sz w:val="21"/>
          <w:szCs w:val="18"/>
          <w:lang w:val="en-US" w:eastAsia="zh-CN"/>
        </w:rPr>
        <w:t xml:space="preserve">  </w:t>
      </w:r>
      <w:r>
        <w:rPr>
          <w:rFonts w:hint="eastAsia" w:ascii="宋体" w:hAnsi="宋体" w:eastAsia="宋体" w:cs="Times New Roman"/>
          <w:color w:val="auto"/>
          <w:kern w:val="0"/>
          <w:sz w:val="21"/>
          <w:szCs w:val="18"/>
        </w:rPr>
        <w:t xml:space="preserve">森  </w:t>
      </w:r>
    </w:p>
    <w:p w14:paraId="75953ADE">
      <w:pPr>
        <w:wordWrap w:val="0"/>
        <w:autoSpaceDE w:val="0"/>
        <w:autoSpaceDN w:val="0"/>
        <w:adjustRightInd w:val="0"/>
        <w:spacing w:line="360" w:lineRule="auto"/>
        <w:jc w:val="right"/>
        <w:rPr>
          <w:rFonts w:hint="eastAsia" w:ascii="宋体" w:hAnsi="宋体" w:eastAsia="宋体" w:cs="Times New Roman"/>
          <w:color w:val="auto"/>
          <w:kern w:val="0"/>
          <w:sz w:val="21"/>
          <w:szCs w:val="18"/>
        </w:rPr>
      </w:pPr>
      <w:r>
        <w:rPr>
          <w:rFonts w:hint="eastAsia" w:ascii="宋体" w:hAnsi="宋体" w:eastAsia="宋体" w:cs="Times New Roman"/>
          <w:color w:val="auto"/>
          <w:kern w:val="0"/>
          <w:sz w:val="21"/>
          <w:szCs w:val="18"/>
        </w:rPr>
        <w:t xml:space="preserve">                                    </w:t>
      </w:r>
      <w:r>
        <w:rPr>
          <w:rFonts w:hint="eastAsia" w:ascii="宋体" w:hAnsi="宋体" w:eastAsia="宋体" w:cs="Times New Roman"/>
          <w:color w:val="auto"/>
          <w:kern w:val="0"/>
          <w:sz w:val="21"/>
          <w:szCs w:val="18"/>
          <w:lang w:val="en-US" w:eastAsia="zh-CN"/>
        </w:rPr>
        <w:t xml:space="preserve">          </w:t>
      </w:r>
      <w:r>
        <w:rPr>
          <w:rFonts w:hint="eastAsia" w:ascii="宋体" w:hAnsi="宋体" w:eastAsia="宋体" w:cs="Times New Roman"/>
          <w:color w:val="auto"/>
          <w:kern w:val="0"/>
          <w:sz w:val="21"/>
          <w:szCs w:val="18"/>
        </w:rPr>
        <w:t xml:space="preserve"> 审定人：钱</w:t>
      </w:r>
      <w:r>
        <w:rPr>
          <w:rFonts w:hint="eastAsia" w:ascii="宋体" w:hAnsi="宋体" w:eastAsia="宋体" w:cs="Times New Roman"/>
          <w:color w:val="auto"/>
          <w:kern w:val="0"/>
          <w:sz w:val="21"/>
          <w:szCs w:val="18"/>
          <w:lang w:val="en-US" w:eastAsia="zh-CN"/>
        </w:rPr>
        <w:t xml:space="preserve">  </w:t>
      </w:r>
      <w:r>
        <w:rPr>
          <w:rFonts w:hint="eastAsia" w:ascii="宋体" w:hAnsi="宋体" w:eastAsia="宋体" w:cs="Times New Roman"/>
          <w:color w:val="auto"/>
          <w:kern w:val="0"/>
          <w:sz w:val="21"/>
          <w:szCs w:val="18"/>
        </w:rPr>
        <w:t xml:space="preserve">峰  </w:t>
      </w:r>
    </w:p>
    <w:p w14:paraId="7900417E">
      <w:pPr>
        <w:wordWrap w:val="0"/>
        <w:autoSpaceDE w:val="0"/>
        <w:autoSpaceDN w:val="0"/>
        <w:adjustRightInd w:val="0"/>
        <w:spacing w:line="360" w:lineRule="auto"/>
        <w:jc w:val="right"/>
        <w:rPr>
          <w:rFonts w:hint="eastAsia" w:ascii="宋体" w:hAnsi="宋体" w:eastAsia="宋体" w:cs="Times New Roman"/>
          <w:color w:val="auto"/>
          <w:kern w:val="0"/>
          <w:sz w:val="21"/>
          <w:szCs w:val="18"/>
        </w:rPr>
      </w:pPr>
      <w:r>
        <w:rPr>
          <w:rFonts w:hint="eastAsia" w:ascii="宋体" w:hAnsi="宋体" w:eastAsia="宋体" w:cs="Times New Roman"/>
          <w:color w:val="auto"/>
          <w:kern w:val="0"/>
          <w:sz w:val="21"/>
          <w:szCs w:val="18"/>
        </w:rPr>
        <w:t xml:space="preserve">                                     </w:t>
      </w:r>
      <w:r>
        <w:rPr>
          <w:rFonts w:hint="eastAsia" w:ascii="宋体" w:hAnsi="宋体" w:eastAsia="宋体" w:cs="Times New Roman"/>
          <w:color w:val="auto"/>
          <w:kern w:val="0"/>
          <w:sz w:val="21"/>
          <w:szCs w:val="18"/>
          <w:lang w:val="en-US" w:eastAsia="zh-CN"/>
        </w:rPr>
        <w:t xml:space="preserve">          </w:t>
      </w:r>
      <w:r>
        <w:rPr>
          <w:rFonts w:hint="eastAsia" w:ascii="宋体" w:hAnsi="宋体" w:eastAsia="宋体" w:cs="Times New Roman"/>
          <w:color w:val="auto"/>
          <w:kern w:val="0"/>
          <w:sz w:val="21"/>
          <w:szCs w:val="18"/>
        </w:rPr>
        <w:t xml:space="preserve">  审批人：王献东  </w:t>
      </w:r>
    </w:p>
    <w:p w14:paraId="19DD7FE1">
      <w:pPr>
        <w:autoSpaceDE w:val="0"/>
        <w:autoSpaceDN w:val="0"/>
        <w:adjustRightInd w:val="0"/>
        <w:spacing w:line="360" w:lineRule="auto"/>
        <w:jc w:val="right"/>
        <w:rPr>
          <w:rFonts w:ascii="Calibri" w:hAnsi="Calibri" w:eastAsia="宋体" w:cs="Times New Roman"/>
          <w:color w:val="auto"/>
          <w:kern w:val="0"/>
          <w:sz w:val="24"/>
          <w:szCs w:val="21"/>
        </w:rPr>
      </w:pPr>
      <w:r>
        <w:rPr>
          <w:rFonts w:hint="eastAsia" w:ascii="Calibri" w:hAnsi="Calibri" w:eastAsia="宋体" w:cs="Times New Roman"/>
          <w:color w:val="auto"/>
          <w:kern w:val="0"/>
          <w:sz w:val="21"/>
          <w:szCs w:val="18"/>
          <w:lang w:eastAsia="zh-CN"/>
        </w:rPr>
        <w:t>批准时间：2025年7月1日</w:t>
      </w:r>
      <w:r>
        <w:rPr>
          <w:rFonts w:ascii="Calibri" w:hAnsi="Calibri" w:eastAsia="宋体" w:cs="Times New Roman"/>
          <w:color w:val="auto"/>
          <w:kern w:val="0"/>
          <w:sz w:val="21"/>
          <w:szCs w:val="18"/>
        </w:rPr>
        <w:t xml:space="preserve"> </w:t>
      </w:r>
    </w:p>
    <w:p w14:paraId="617F8D03">
      <w:pPr>
        <w:rPr>
          <w:color w:val="auto"/>
        </w:rPr>
      </w:pPr>
    </w:p>
    <w:p w14:paraId="589C32CE">
      <w:pPr>
        <w:rPr>
          <w:rFonts w:hint="eastAsia" w:ascii="等线" w:hAnsi="等线" w:eastAsia="等线" w:cs="等线"/>
          <w:bCs/>
          <w:color w:val="auto"/>
          <w:szCs w:val="44"/>
        </w:rPr>
      </w:pPr>
      <w:r>
        <w:rPr>
          <w:rFonts w:hint="eastAsia" w:ascii="等线" w:hAnsi="等线" w:eastAsia="等线" w:cs="等线"/>
          <w:bCs/>
          <w:color w:val="auto"/>
          <w:szCs w:val="44"/>
        </w:rPr>
        <w:br w:type="page"/>
      </w:r>
    </w:p>
    <w:p w14:paraId="7B55F780">
      <w:pPr>
        <w:spacing w:line="360" w:lineRule="auto"/>
        <w:jc w:val="center"/>
        <w:outlineLvl w:val="0"/>
        <w:rPr>
          <w:rFonts w:hint="eastAsia" w:ascii="Times New Roman" w:hAnsi="Times New Roman" w:eastAsia="宋体" w:cs="Times New Roman"/>
          <w:b/>
          <w:color w:val="auto"/>
          <w:sz w:val="44"/>
          <w:szCs w:val="44"/>
        </w:rPr>
      </w:pPr>
      <w:bookmarkStart w:id="308" w:name="_Toc21889"/>
      <w:r>
        <w:rPr>
          <w:rFonts w:hint="eastAsia" w:ascii="Times New Roman" w:hAnsi="Times New Roman" w:eastAsia="宋体" w:cs="Times New Roman"/>
          <w:b/>
          <w:color w:val="auto"/>
          <w:sz w:val="44"/>
          <w:szCs w:val="44"/>
        </w:rPr>
        <w:t>《教育统计与测量》课程教学大纲</w:t>
      </w:r>
      <w:bookmarkEnd w:id="307"/>
      <w:bookmarkEnd w:id="308"/>
    </w:p>
    <w:p w14:paraId="2C04F492">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w:t>
      </w:r>
      <w:r>
        <w:rPr>
          <w:rFonts w:hint="eastAsia" w:ascii="Times New Roman" w:hAnsi="Times New Roman" w:eastAsia="宋体" w:cs="Times New Roman"/>
          <w:b/>
          <w:bCs/>
          <w:color w:val="auto"/>
          <w:sz w:val="28"/>
          <w:szCs w:val="28"/>
        </w:rPr>
        <w:t>Educational Statistics and Measurement</w:t>
      </w:r>
      <w:r>
        <w:rPr>
          <w:rFonts w:ascii="Times New Roman" w:hAnsi="Times New Roman" w:eastAsia="宋体" w:cs="Times New Roman"/>
          <w:b/>
          <w:bCs/>
          <w:color w:val="auto"/>
          <w:sz w:val="28"/>
          <w:szCs w:val="28"/>
        </w:rPr>
        <w:t>）</w:t>
      </w:r>
    </w:p>
    <w:p w14:paraId="55273D4F">
      <w:pPr>
        <w:spacing w:line="360" w:lineRule="auto"/>
        <w:jc w:val="center"/>
        <w:rPr>
          <w:rFonts w:ascii="Times New Roman" w:hAnsi="Times New Roman" w:eastAsia="宋体" w:cs="Times New Roman"/>
          <w:bCs/>
          <w:color w:val="auto"/>
          <w:sz w:val="21"/>
          <w:szCs w:val="21"/>
        </w:rPr>
      </w:pPr>
    </w:p>
    <w:p w14:paraId="5D67E959">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课程名称：教育统计与测量</w:t>
      </w:r>
    </w:p>
    <w:p w14:paraId="766FD984">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课程代码：2401015</w:t>
      </w:r>
    </w:p>
    <w:p w14:paraId="3BF88328">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分：2</w:t>
      </w:r>
    </w:p>
    <w:p w14:paraId="47CC6614">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时：32</w:t>
      </w:r>
    </w:p>
    <w:p w14:paraId="0774F139">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先修课程：无</w:t>
      </w:r>
    </w:p>
    <w:p w14:paraId="2C56D706">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适用专业：小学教育</w:t>
      </w:r>
    </w:p>
    <w:p w14:paraId="4C822280">
      <w:pPr>
        <w:spacing w:line="360" w:lineRule="auto"/>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一、课程简介</w:t>
      </w:r>
    </w:p>
    <w:p w14:paraId="37726B8E">
      <w:pPr>
        <w:spacing w:line="360" w:lineRule="auto"/>
        <w:ind w:firstLine="411" w:firstLineChars="196"/>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是小学教育专业的专业基础选修课。通过本课程的学习，加强学生对教育统计理论的认识；培养学生解决各种教育统计问题的能力；提高学生教育科研的基本能力；培养学生创新精神和实践能力，为后续《教育科学研究方法》等课程和毕业论文等实践环节以及未来分析与解决教育实际问题奠定基础。</w:t>
      </w:r>
    </w:p>
    <w:p w14:paraId="5EFBDEBC">
      <w:pPr>
        <w:spacing w:line="360" w:lineRule="auto"/>
        <w:rPr>
          <w:rFonts w:hint="eastAsia" w:ascii="宋体" w:hAnsi="宋体" w:eastAsia="宋体" w:cs="Times New Roman"/>
          <w:b/>
          <w:color w:val="auto"/>
          <w:sz w:val="24"/>
        </w:rPr>
      </w:pPr>
      <w:r>
        <w:rPr>
          <w:rFonts w:hint="eastAsia" w:ascii="宋体" w:hAnsi="宋体" w:eastAsia="宋体" w:cs="Times New Roman"/>
          <w:b/>
          <w:color w:val="auto"/>
          <w:sz w:val="24"/>
        </w:rPr>
        <w:t>二</w:t>
      </w:r>
      <w:r>
        <w:rPr>
          <w:rFonts w:ascii="宋体" w:hAnsi="宋体" w:eastAsia="宋体" w:cs="Times New Roman"/>
          <w:b/>
          <w:color w:val="auto"/>
          <w:sz w:val="24"/>
        </w:rPr>
        <w:t>、课程目标</w:t>
      </w:r>
    </w:p>
    <w:p w14:paraId="7F9CA83C">
      <w:pPr>
        <w:spacing w:line="360" w:lineRule="auto"/>
        <w:ind w:firstLine="442" w:firstLineChars="200"/>
        <w:rPr>
          <w:rFonts w:hint="eastAsia" w:ascii="宋体" w:hAnsi="宋体" w:eastAsia="宋体" w:cs="Times New Roman"/>
          <w:b/>
          <w:color w:val="auto"/>
          <w:sz w:val="22"/>
          <w:szCs w:val="22"/>
        </w:rPr>
      </w:pPr>
      <w:r>
        <w:rPr>
          <w:rFonts w:hint="eastAsia" w:ascii="宋体" w:hAnsi="宋体" w:eastAsia="宋体" w:cs="Times New Roman"/>
          <w:b/>
          <w:color w:val="auto"/>
          <w:sz w:val="22"/>
          <w:szCs w:val="22"/>
        </w:rPr>
        <w:t>（一）课程具体目标</w:t>
      </w:r>
    </w:p>
    <w:p w14:paraId="37EF131D">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1.</w:t>
      </w:r>
      <w:r>
        <w:rPr>
          <w:rFonts w:hint="eastAsia" w:ascii="Times New Roman" w:hAnsi="Times New Roman" w:eastAsia="宋体" w:cs="Times New Roman"/>
          <w:b/>
          <w:color w:val="auto"/>
          <w:szCs w:val="21"/>
        </w:rPr>
        <w:t xml:space="preserve"> </w:t>
      </w:r>
      <w:r>
        <w:rPr>
          <w:rFonts w:hint="eastAsia" w:ascii="Times New Roman" w:hAnsi="Times New Roman" w:eastAsia="宋体" w:cs="Times New Roman"/>
          <w:bCs/>
          <w:color w:val="auto"/>
          <w:szCs w:val="21"/>
        </w:rPr>
        <w:t>形成自然科学的思维品质</w:t>
      </w:r>
      <w:r>
        <w:rPr>
          <w:rFonts w:hint="eastAsia" w:ascii="宋体" w:hAnsi="宋体" w:eastAsia="宋体" w:cs="Times New Roman"/>
          <w:bCs/>
          <w:color w:val="auto"/>
          <w:kern w:val="0"/>
          <w:szCs w:val="20"/>
        </w:rPr>
        <w:t>；</w:t>
      </w:r>
    </w:p>
    <w:p w14:paraId="69BD0930">
      <w:pPr>
        <w:spacing w:line="360" w:lineRule="auto"/>
        <w:ind w:firstLine="422" w:firstLineChars="200"/>
        <w:rPr>
          <w:rFonts w:hint="eastAsia" w:ascii="宋体" w:hAnsi="宋体" w:eastAsia="宋体" w:cs="Times New Roman"/>
          <w:color w:val="auto"/>
          <w:kern w:val="0"/>
          <w:szCs w:val="20"/>
        </w:rPr>
      </w:pPr>
      <w:r>
        <w:rPr>
          <w:rFonts w:hint="eastAsia" w:ascii="Times New Roman" w:hAnsi="Times New Roman" w:eastAsia="宋体" w:cs="Times New Roman"/>
          <w:b/>
          <w:color w:val="auto"/>
          <w:szCs w:val="21"/>
        </w:rPr>
        <w:t xml:space="preserve">目标2. </w:t>
      </w:r>
      <w:r>
        <w:rPr>
          <w:rFonts w:hint="eastAsia" w:ascii="宋体" w:hAnsi="宋体" w:eastAsia="宋体" w:cs="Times New Roman"/>
          <w:color w:val="auto"/>
          <w:kern w:val="0"/>
          <w:szCs w:val="20"/>
        </w:rPr>
        <w:t>能运用教育统计分析和解决小学教育实践中的问题，形成一定的教学研究能力；</w:t>
      </w:r>
    </w:p>
    <w:p w14:paraId="1416657C">
      <w:pPr>
        <w:spacing w:line="360" w:lineRule="auto"/>
        <w:ind w:firstLine="422" w:firstLineChars="200"/>
        <w:rPr>
          <w:rFonts w:hint="eastAsia" w:ascii="宋体" w:hAnsi="宋体" w:eastAsia="宋体" w:cs="Times New Roman"/>
          <w:color w:val="auto"/>
          <w:kern w:val="0"/>
          <w:szCs w:val="20"/>
        </w:rPr>
      </w:pPr>
      <w:r>
        <w:rPr>
          <w:rFonts w:hint="eastAsia" w:ascii="Times New Roman" w:hAnsi="Times New Roman" w:eastAsia="宋体" w:cs="Times New Roman"/>
          <w:b/>
          <w:color w:val="auto"/>
          <w:szCs w:val="21"/>
        </w:rPr>
        <w:t>目标</w:t>
      </w:r>
      <w:r>
        <w:rPr>
          <w:rFonts w:hint="eastAsia" w:ascii="Times New Roman" w:hAnsi="Times New Roman" w:eastAsia="宋体" w:cs="Times New Roman"/>
          <w:b/>
          <w:color w:val="auto"/>
          <w:szCs w:val="21"/>
          <w:lang w:val="en-US" w:eastAsia="zh-CN"/>
        </w:rPr>
        <w:t>3</w:t>
      </w:r>
      <w:r>
        <w:rPr>
          <w:rFonts w:hint="eastAsia" w:ascii="Times New Roman" w:hAnsi="Times New Roman" w:eastAsia="宋体" w:cs="Times New Roman"/>
          <w:b/>
          <w:color w:val="auto"/>
          <w:szCs w:val="21"/>
        </w:rPr>
        <w:t xml:space="preserve">. </w:t>
      </w:r>
      <w:r>
        <w:rPr>
          <w:rFonts w:hint="eastAsia" w:ascii="宋体" w:hAnsi="宋体" w:eastAsia="宋体" w:cs="Times New Roman"/>
          <w:color w:val="auto"/>
          <w:kern w:val="0"/>
          <w:szCs w:val="20"/>
        </w:rPr>
        <w:t>能通过教育统计与测量的方法，形成一定的教育反思能力与意识。</w:t>
      </w:r>
    </w:p>
    <w:p w14:paraId="3A4000DE">
      <w:pPr>
        <w:spacing w:line="360" w:lineRule="auto"/>
        <w:ind w:firstLine="422" w:firstLineChars="200"/>
        <w:rPr>
          <w:rFonts w:hint="eastAsia" w:ascii="宋体" w:hAnsi="宋体" w:eastAsia="宋体" w:cs="Times New Roman"/>
          <w:b/>
          <w:color w:val="auto"/>
          <w:sz w:val="24"/>
        </w:rPr>
      </w:pPr>
      <w:r>
        <w:rPr>
          <w:rFonts w:hint="eastAsia" w:ascii="宋体" w:hAnsi="宋体" w:eastAsia="宋体" w:cs="Times New Roman"/>
          <w:b/>
          <w:color w:val="auto"/>
          <w:sz w:val="21"/>
          <w:szCs w:val="21"/>
        </w:rPr>
        <w:t>（二）课程目标与专业毕业要求的关系</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7946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46E0EAD">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5688" w:type="dxa"/>
            <w:vAlign w:val="center"/>
          </w:tcPr>
          <w:p w14:paraId="4D35EE5F">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29067F17">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57F5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vAlign w:val="center"/>
          </w:tcPr>
          <w:p w14:paraId="1C0DFAE5">
            <w:pPr>
              <w:spacing w:line="360" w:lineRule="auto"/>
              <w:jc w:val="left"/>
              <w:rPr>
                <w:rFonts w:hint="eastAsia" w:ascii="宋体" w:hAnsi="宋体" w:eastAsia="宋体" w:cs="Times New Roman"/>
                <w:b/>
                <w:bCs/>
                <w:color w:val="auto"/>
                <w:spacing w:val="-6"/>
                <w:szCs w:val="21"/>
              </w:rPr>
            </w:pPr>
            <w:r>
              <w:rPr>
                <w:rFonts w:hint="eastAsia" w:ascii="宋体" w:hAnsi="宋体" w:eastAsia="宋体" w:cs="Times New Roman"/>
                <w:b/>
                <w:bCs/>
                <w:color w:val="auto"/>
                <w:spacing w:val="-6"/>
                <w:szCs w:val="21"/>
              </w:rPr>
              <w:t>毕业要求3 学科素养</w:t>
            </w:r>
          </w:p>
        </w:tc>
        <w:tc>
          <w:tcPr>
            <w:tcW w:w="5688" w:type="dxa"/>
            <w:vAlign w:val="center"/>
          </w:tcPr>
          <w:p w14:paraId="5F5ED577">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Times New Roman"/>
                <w:b w:val="0"/>
                <w:bCs w:val="0"/>
                <w:color w:val="auto"/>
                <w:szCs w:val="21"/>
                <w:lang w:eastAsia="zh-CN"/>
              </w:rPr>
            </w:pPr>
            <w:r>
              <w:rPr>
                <w:rFonts w:hint="eastAsia" w:ascii="宋体" w:hAnsi="宋体" w:eastAsia="宋体" w:cs="Times New Roman"/>
                <w:b w:val="0"/>
                <w:bCs w:val="0"/>
                <w:color w:val="auto"/>
                <w:szCs w:val="21"/>
                <w:lang w:eastAsia="zh-CN"/>
              </w:rPr>
              <w:t>指标点3-1：【通识知识广博】具有小学教育本科专业相应的自然科学和人文社会科学知识素养。</w:t>
            </w:r>
          </w:p>
        </w:tc>
        <w:tc>
          <w:tcPr>
            <w:tcW w:w="1191" w:type="dxa"/>
            <w:shd w:val="clear" w:color="auto" w:fill="auto"/>
            <w:vAlign w:val="center"/>
          </w:tcPr>
          <w:p w14:paraId="543031DC">
            <w:pPr>
              <w:spacing w:line="36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r>
      <w:tr w14:paraId="7881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vAlign w:val="center"/>
          </w:tcPr>
          <w:p w14:paraId="08E901B3">
            <w:pPr>
              <w:spacing w:line="360" w:lineRule="auto"/>
              <w:jc w:val="left"/>
              <w:rPr>
                <w:rFonts w:hint="eastAsia" w:ascii="宋体" w:hAnsi="宋体" w:eastAsia="宋体" w:cs="Times New Roman"/>
                <w:b/>
                <w:bCs/>
                <w:color w:val="auto"/>
                <w:szCs w:val="21"/>
              </w:rPr>
            </w:pPr>
            <w:r>
              <w:rPr>
                <w:rFonts w:hint="eastAsia" w:ascii="宋体" w:hAnsi="宋体" w:eastAsia="宋体" w:cs="Times New Roman"/>
                <w:b/>
                <w:bCs/>
                <w:color w:val="auto"/>
                <w:spacing w:val="-6"/>
                <w:szCs w:val="21"/>
              </w:rPr>
              <w:t>毕业要求4 教学能力</w:t>
            </w:r>
          </w:p>
        </w:tc>
        <w:tc>
          <w:tcPr>
            <w:tcW w:w="5688" w:type="dxa"/>
            <w:vAlign w:val="center"/>
          </w:tcPr>
          <w:p w14:paraId="6DF2E766">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指标点4-4：【具备教学研究能力】掌握教育研究的基本方法，</w:t>
            </w:r>
          </w:p>
          <w:p w14:paraId="1AA416D0">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在教育教学实践中，结合小学教育教学实践进行研究，具有一定的教学研究能力。</w:t>
            </w:r>
          </w:p>
        </w:tc>
        <w:tc>
          <w:tcPr>
            <w:tcW w:w="1191" w:type="dxa"/>
            <w:shd w:val="clear" w:color="auto" w:fill="auto"/>
            <w:vAlign w:val="center"/>
          </w:tcPr>
          <w:p w14:paraId="240BECA0">
            <w:pPr>
              <w:spacing w:line="36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r>
      <w:tr w14:paraId="7AD3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B0184FC">
            <w:pPr>
              <w:spacing w:line="360" w:lineRule="auto"/>
              <w:jc w:val="left"/>
              <w:rPr>
                <w:rFonts w:hint="eastAsia" w:ascii="宋体" w:hAnsi="宋体" w:eastAsia="宋体" w:cs="Times New Roman"/>
                <w:b/>
                <w:bCs/>
                <w:color w:val="auto"/>
                <w:szCs w:val="21"/>
              </w:rPr>
            </w:pPr>
            <w:r>
              <w:rPr>
                <w:rFonts w:hint="eastAsia" w:ascii="宋体" w:hAnsi="宋体" w:eastAsia="宋体" w:cs="Times New Roman"/>
                <w:b/>
                <w:bCs/>
                <w:color w:val="auto"/>
                <w:spacing w:val="-6"/>
                <w:szCs w:val="21"/>
              </w:rPr>
              <w:t>毕业要求7 学会反思</w:t>
            </w:r>
          </w:p>
        </w:tc>
        <w:tc>
          <w:tcPr>
            <w:tcW w:w="5688" w:type="dxa"/>
            <w:vAlign w:val="center"/>
          </w:tcPr>
          <w:p w14:paraId="2457870C">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指标点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思考和见解。</w:t>
            </w:r>
          </w:p>
        </w:tc>
        <w:tc>
          <w:tcPr>
            <w:tcW w:w="1191" w:type="dxa"/>
            <w:vAlign w:val="center"/>
          </w:tcPr>
          <w:p w14:paraId="4CE4A67C">
            <w:pPr>
              <w:spacing w:line="36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r>
    </w:tbl>
    <w:p w14:paraId="26EE2E8E">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1A7CBCC1">
      <w:pPr>
        <w:keepNext w:val="0"/>
        <w:keepLines w:val="0"/>
        <w:pageBreakBefore w:val="0"/>
        <w:widowControl w:val="0"/>
        <w:kinsoku/>
        <w:wordWrap/>
        <w:overflowPunct/>
        <w:topLinePunct w:val="0"/>
        <w:autoSpaceDE/>
        <w:autoSpaceDN/>
        <w:bidi w:val="0"/>
        <w:adjustRightInd/>
        <w:snapToGrid/>
        <w:spacing w:line="360" w:lineRule="auto"/>
        <w:ind w:firstLine="411" w:firstLineChars="196"/>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促使学生在扎实掌握社会统计软件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4E4CE961">
      <w:pPr>
        <w:spacing w:line="360" w:lineRule="auto"/>
        <w:jc w:val="left"/>
        <w:rPr>
          <w:rFonts w:hint="eastAsia" w:ascii="宋体" w:hAnsi="宋体" w:eastAsia="宋体" w:cs="Times New Roman"/>
          <w:b/>
          <w:color w:val="auto"/>
          <w:sz w:val="24"/>
        </w:rPr>
      </w:pPr>
      <w:r>
        <w:rPr>
          <w:rFonts w:hint="eastAsia" w:ascii="宋体" w:hAnsi="宋体"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915"/>
        <w:gridCol w:w="1125"/>
        <w:gridCol w:w="3055"/>
        <w:gridCol w:w="1560"/>
        <w:gridCol w:w="438"/>
      </w:tblGrid>
      <w:tr w14:paraId="660E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7A2108B">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1F618A53">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1915" w:type="dxa"/>
            <w:vAlign w:val="center"/>
          </w:tcPr>
          <w:p w14:paraId="7C04664B">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25" w:type="dxa"/>
            <w:vAlign w:val="center"/>
          </w:tcPr>
          <w:p w14:paraId="4FD54AC6">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44A26DC3">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3055" w:type="dxa"/>
            <w:vAlign w:val="center"/>
          </w:tcPr>
          <w:p w14:paraId="2659B7E5">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560" w:type="dxa"/>
            <w:vAlign w:val="center"/>
          </w:tcPr>
          <w:p w14:paraId="5AF08ECD">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59A33AAB">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41CF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8C59AE6">
            <w:pPr>
              <w:numPr>
                <w:ilvl w:val="0"/>
                <w:numId w:val="19"/>
              </w:num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绪论</w:t>
            </w:r>
          </w:p>
        </w:tc>
        <w:tc>
          <w:tcPr>
            <w:tcW w:w="1915" w:type="dxa"/>
            <w:vAlign w:val="center"/>
          </w:tcPr>
          <w:p w14:paraId="2FD446D7">
            <w:pPr>
              <w:numPr>
                <w:ilvl w:val="0"/>
                <w:numId w:val="20"/>
              </w:num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教育统计与测量的意义、特点与内容</w:t>
            </w:r>
          </w:p>
          <w:p w14:paraId="7DAE8569">
            <w:pPr>
              <w:numPr>
                <w:ilvl w:val="0"/>
                <w:numId w:val="20"/>
              </w:num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教育统计与测量的基本概念‌‌</w:t>
            </w:r>
          </w:p>
        </w:tc>
        <w:tc>
          <w:tcPr>
            <w:tcW w:w="1125" w:type="dxa"/>
            <w:vAlign w:val="center"/>
          </w:tcPr>
          <w:p w14:paraId="2B410F26">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055" w:type="dxa"/>
            <w:vAlign w:val="center"/>
          </w:tcPr>
          <w:p w14:paraId="79EEDDF9">
            <w:pPr>
              <w:numPr>
                <w:ilvl w:val="0"/>
                <w:numId w:val="21"/>
              </w:num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认识教育统计与测量的意义，形成自觉学习的信箱；</w:t>
            </w:r>
          </w:p>
          <w:p w14:paraId="5BC689FF">
            <w:pPr>
              <w:numPr>
                <w:ilvl w:val="0"/>
                <w:numId w:val="21"/>
              </w:num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把握教育统计与测量的基本内容；</w:t>
            </w:r>
          </w:p>
          <w:p w14:paraId="6ED5442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（2）掌握教育统计与测量的基本概念</w:t>
            </w:r>
          </w:p>
        </w:tc>
        <w:tc>
          <w:tcPr>
            <w:tcW w:w="1560" w:type="dxa"/>
            <w:vAlign w:val="center"/>
          </w:tcPr>
          <w:p w14:paraId="06A49D4F">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74338D07">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2.多媒体教学3.课堂练习</w:t>
            </w:r>
          </w:p>
          <w:p w14:paraId="78B6419F">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438" w:type="dxa"/>
            <w:vAlign w:val="center"/>
          </w:tcPr>
          <w:p w14:paraId="0300692D">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58EB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344750D">
            <w:pPr>
              <w:spacing w:line="240" w:lineRule="auto"/>
              <w:jc w:val="center"/>
              <w:rPr>
                <w:rFonts w:hint="eastAsia" w:ascii="宋体" w:hAnsi="宋体" w:eastAsia="宋体" w:cs="Times New Roman"/>
                <w:color w:val="auto"/>
                <w:szCs w:val="21"/>
              </w:rPr>
            </w:pPr>
          </w:p>
        </w:tc>
        <w:tc>
          <w:tcPr>
            <w:tcW w:w="8093" w:type="dxa"/>
            <w:gridSpan w:val="5"/>
            <w:vAlign w:val="center"/>
          </w:tcPr>
          <w:p w14:paraId="044B543C">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尊重科学技术，形成初步的科学技术应用思想。</w:t>
            </w:r>
          </w:p>
        </w:tc>
      </w:tr>
      <w:tr w14:paraId="7163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2229334">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2.描述性分析</w:t>
            </w:r>
          </w:p>
        </w:tc>
        <w:tc>
          <w:tcPr>
            <w:tcW w:w="1915" w:type="dxa"/>
            <w:vAlign w:val="center"/>
          </w:tcPr>
          <w:p w14:paraId="13762176">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（1）频数统计（2）描述统计</w:t>
            </w:r>
          </w:p>
          <w:p w14:paraId="35EE711A">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（3）统计图表</w:t>
            </w:r>
          </w:p>
        </w:tc>
        <w:tc>
          <w:tcPr>
            <w:tcW w:w="1125" w:type="dxa"/>
            <w:vAlign w:val="center"/>
          </w:tcPr>
          <w:p w14:paraId="1775C5FE">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055" w:type="dxa"/>
            <w:vAlign w:val="center"/>
          </w:tcPr>
          <w:p w14:paraId="1C39690F">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（1）把握各类数据的频数分析的统计条件；</w:t>
            </w:r>
          </w:p>
          <w:p w14:paraId="6180185F">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（2）认识集中量数与差异量数的类别及使用条件；</w:t>
            </w:r>
          </w:p>
          <w:p w14:paraId="0A33EFFF">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（3）把握各类统计图表的使用条件与基本特征</w:t>
            </w:r>
          </w:p>
        </w:tc>
        <w:tc>
          <w:tcPr>
            <w:tcW w:w="1560" w:type="dxa"/>
            <w:vAlign w:val="center"/>
          </w:tcPr>
          <w:p w14:paraId="058ACA4E">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387FBC7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2.多媒体教学3.课堂练习</w:t>
            </w:r>
          </w:p>
          <w:p w14:paraId="176D3E67">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438" w:type="dxa"/>
            <w:vAlign w:val="center"/>
          </w:tcPr>
          <w:p w14:paraId="54FFB8DA">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w:t>
            </w:r>
          </w:p>
        </w:tc>
      </w:tr>
      <w:tr w14:paraId="6CFA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EB25464">
            <w:pPr>
              <w:spacing w:line="240" w:lineRule="auto"/>
              <w:jc w:val="center"/>
              <w:rPr>
                <w:rFonts w:hint="eastAsia" w:ascii="宋体" w:hAnsi="宋体" w:eastAsia="宋体" w:cs="Times New Roman"/>
                <w:color w:val="auto"/>
                <w:szCs w:val="21"/>
              </w:rPr>
            </w:pPr>
          </w:p>
        </w:tc>
        <w:tc>
          <w:tcPr>
            <w:tcW w:w="8093" w:type="dxa"/>
            <w:gridSpan w:val="5"/>
            <w:vAlign w:val="center"/>
          </w:tcPr>
          <w:p w14:paraId="6A5C2B69">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认识到人类社会中的不同类型的数据有不同的分布特点；掌握大千世界中一些看似杂乱的数据背后的规律。</w:t>
            </w:r>
          </w:p>
        </w:tc>
      </w:tr>
      <w:tr w14:paraId="69CF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1205" w:type="dxa"/>
            <w:vAlign w:val="center"/>
          </w:tcPr>
          <w:p w14:paraId="585BFBDC">
            <w:pPr>
              <w:spacing w:line="240" w:lineRule="auto"/>
              <w:rPr>
                <w:rFonts w:hint="eastAsia" w:ascii="宋体" w:hAnsi="宋体" w:eastAsia="宋体" w:cs="Times New Roman"/>
                <w:color w:val="auto"/>
                <w:szCs w:val="21"/>
              </w:rPr>
            </w:pPr>
            <w:r>
              <w:rPr>
                <w:rFonts w:hint="eastAsia" w:ascii="宋体" w:hAnsi="宋体" w:eastAsia="宋体" w:cs="Times New Roman"/>
                <w:color w:val="auto"/>
                <w:szCs w:val="21"/>
              </w:rPr>
              <w:t>3.概率与概率分布</w:t>
            </w:r>
          </w:p>
        </w:tc>
        <w:tc>
          <w:tcPr>
            <w:tcW w:w="1915" w:type="dxa"/>
            <w:vAlign w:val="center"/>
          </w:tcPr>
          <w:p w14:paraId="5BDA17FD">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（1）概率</w:t>
            </w:r>
          </w:p>
          <w:p w14:paraId="58D7226B">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（2）概率分布</w:t>
            </w:r>
          </w:p>
        </w:tc>
        <w:tc>
          <w:tcPr>
            <w:tcW w:w="1125" w:type="dxa"/>
            <w:vAlign w:val="center"/>
          </w:tcPr>
          <w:p w14:paraId="50505716">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055" w:type="dxa"/>
            <w:vAlign w:val="center"/>
          </w:tcPr>
          <w:p w14:paraId="3529B644">
            <w:pPr>
              <w:numPr>
                <w:ilvl w:val="0"/>
                <w:numId w:val="22"/>
              </w:num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理解与把握概率的概念</w:t>
            </w:r>
          </w:p>
          <w:p w14:paraId="1C422F4A">
            <w:pPr>
              <w:numPr>
                <w:ilvl w:val="0"/>
                <w:numId w:val="22"/>
              </w:num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把握各类概率分布的特征</w:t>
            </w:r>
          </w:p>
        </w:tc>
        <w:tc>
          <w:tcPr>
            <w:tcW w:w="1560" w:type="dxa"/>
            <w:vAlign w:val="center"/>
          </w:tcPr>
          <w:p w14:paraId="321CE28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192B3B2C">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2.多媒体教学3.课堂练习</w:t>
            </w:r>
          </w:p>
          <w:p w14:paraId="2A89D091">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438" w:type="dxa"/>
            <w:vAlign w:val="center"/>
          </w:tcPr>
          <w:p w14:paraId="04130C64">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4553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8BC7BB9">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4.参数</w:t>
            </w:r>
          </w:p>
          <w:p w14:paraId="01E330E4">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检验</w:t>
            </w:r>
          </w:p>
        </w:tc>
        <w:tc>
          <w:tcPr>
            <w:tcW w:w="1915" w:type="dxa"/>
            <w:vAlign w:val="center"/>
          </w:tcPr>
          <w:p w14:paraId="03D755A7">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（1）单样本t检验</w:t>
            </w:r>
          </w:p>
          <w:p w14:paraId="76FD8B55">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（2）独立样本t检验</w:t>
            </w:r>
          </w:p>
          <w:p w14:paraId="77D73E6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（3）相关样本t检验</w:t>
            </w:r>
          </w:p>
        </w:tc>
        <w:tc>
          <w:tcPr>
            <w:tcW w:w="1125" w:type="dxa"/>
            <w:vAlign w:val="center"/>
          </w:tcPr>
          <w:p w14:paraId="1781836F">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055" w:type="dxa"/>
            <w:vAlign w:val="center"/>
          </w:tcPr>
          <w:p w14:paraId="5E9BEB99">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（1）把握单样本t检验的适用条件；</w:t>
            </w:r>
          </w:p>
          <w:p w14:paraId="1EAA4837">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（2）把握独立样本t检验的适用条件；</w:t>
            </w:r>
          </w:p>
          <w:p w14:paraId="05A13496">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（3）把握相关样本t检验的适用条件</w:t>
            </w:r>
            <w:r>
              <w:rPr>
                <w:rFonts w:ascii="宋体" w:hAnsi="宋体" w:eastAsia="宋体" w:cs="Times New Roman"/>
                <w:color w:val="auto"/>
                <w:szCs w:val="21"/>
              </w:rPr>
              <w:t>。</w:t>
            </w:r>
          </w:p>
        </w:tc>
        <w:tc>
          <w:tcPr>
            <w:tcW w:w="1560" w:type="dxa"/>
            <w:vAlign w:val="center"/>
          </w:tcPr>
          <w:p w14:paraId="146B005D">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67F9A728">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w:t>
            </w:r>
            <w:r>
              <w:rPr>
                <w:rFonts w:hint="eastAsia" w:ascii="宋体" w:hAnsi="宋体" w:eastAsia="宋体" w:cs="Times New Roman"/>
                <w:color w:val="auto"/>
                <w:szCs w:val="21"/>
              </w:rPr>
              <w:t>3.课堂练习</w:t>
            </w:r>
          </w:p>
          <w:p w14:paraId="6F8E8C49">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4AA8B5CB">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w:t>
            </w:r>
          </w:p>
        </w:tc>
      </w:tr>
      <w:tr w14:paraId="612C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E612C75">
            <w:pPr>
              <w:spacing w:line="240" w:lineRule="auto"/>
              <w:jc w:val="center"/>
              <w:rPr>
                <w:rFonts w:hint="eastAsia" w:ascii="宋体" w:hAnsi="宋体" w:eastAsia="宋体" w:cs="Times New Roman"/>
                <w:color w:val="auto"/>
                <w:szCs w:val="21"/>
              </w:rPr>
            </w:pPr>
          </w:p>
        </w:tc>
        <w:tc>
          <w:tcPr>
            <w:tcW w:w="8093" w:type="dxa"/>
            <w:gridSpan w:val="5"/>
            <w:vAlign w:val="center"/>
          </w:tcPr>
          <w:p w14:paraId="10F34F10">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了解人类社会同一群体所简化为数据背后的内在关联；学会用科学的检验方法去认识教育现象与社会现象。</w:t>
            </w:r>
          </w:p>
        </w:tc>
      </w:tr>
      <w:tr w14:paraId="6B75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D1C3647">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5.方差分析</w:t>
            </w:r>
          </w:p>
        </w:tc>
        <w:tc>
          <w:tcPr>
            <w:tcW w:w="1915" w:type="dxa"/>
            <w:vAlign w:val="center"/>
          </w:tcPr>
          <w:p w14:paraId="0E5AE9F5">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（1）实验设计方式</w:t>
            </w:r>
          </w:p>
          <w:p w14:paraId="50CE1D4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（2）单因素完全随机设计的方差分析</w:t>
            </w:r>
          </w:p>
          <w:p w14:paraId="0E459B90">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（3）单因素重复测量设计的方差分析</w:t>
            </w:r>
          </w:p>
          <w:p w14:paraId="1F6D9F55">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（4）两因素完全随机设计的方差分析</w:t>
            </w:r>
          </w:p>
          <w:p w14:paraId="4B864650">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（5）两因素混合设计的方差分析</w:t>
            </w:r>
          </w:p>
        </w:tc>
        <w:tc>
          <w:tcPr>
            <w:tcW w:w="1125" w:type="dxa"/>
            <w:vAlign w:val="center"/>
          </w:tcPr>
          <w:p w14:paraId="79443B02">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055" w:type="dxa"/>
            <w:vAlign w:val="center"/>
          </w:tcPr>
          <w:p w14:paraId="4998B4A9">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（1）理解并掌握各种实验设计方式；</w:t>
            </w:r>
          </w:p>
          <w:p w14:paraId="025797D5">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（2）把</w:t>
            </w:r>
            <w:r>
              <w:rPr>
                <w:rFonts w:ascii="宋体" w:hAnsi="宋体" w:eastAsia="宋体" w:cs="Times New Roman"/>
                <w:color w:val="auto"/>
                <w:szCs w:val="21"/>
              </w:rPr>
              <w:t>解</w:t>
            </w:r>
            <w:r>
              <w:rPr>
                <w:rFonts w:hint="eastAsia" w:ascii="宋体" w:hAnsi="宋体" w:eastAsia="宋体" w:cs="Times New Roman"/>
                <w:color w:val="auto"/>
                <w:szCs w:val="21"/>
              </w:rPr>
              <w:t>各类实验设计的适用条件。</w:t>
            </w:r>
          </w:p>
        </w:tc>
        <w:tc>
          <w:tcPr>
            <w:tcW w:w="1560" w:type="dxa"/>
            <w:vAlign w:val="center"/>
          </w:tcPr>
          <w:p w14:paraId="75687116">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42C7475D">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w:t>
            </w:r>
            <w:r>
              <w:rPr>
                <w:rFonts w:hint="eastAsia" w:ascii="宋体" w:hAnsi="宋体" w:eastAsia="宋体" w:cs="Times New Roman"/>
                <w:color w:val="auto"/>
                <w:szCs w:val="21"/>
              </w:rPr>
              <w:t>3.课堂练习</w:t>
            </w:r>
          </w:p>
          <w:p w14:paraId="72099A9E">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757D8573">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w:t>
            </w:r>
          </w:p>
        </w:tc>
      </w:tr>
      <w:tr w14:paraId="32F6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438F2C4">
            <w:pPr>
              <w:spacing w:line="240" w:lineRule="auto"/>
              <w:jc w:val="center"/>
              <w:rPr>
                <w:rFonts w:hint="eastAsia" w:ascii="宋体" w:hAnsi="宋体" w:eastAsia="宋体" w:cs="Times New Roman"/>
                <w:color w:val="auto"/>
                <w:szCs w:val="21"/>
              </w:rPr>
            </w:pPr>
          </w:p>
        </w:tc>
        <w:tc>
          <w:tcPr>
            <w:tcW w:w="8093" w:type="dxa"/>
            <w:gridSpan w:val="5"/>
            <w:vAlign w:val="center"/>
          </w:tcPr>
          <w:p w14:paraId="67C60691">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认识到任何一种教育结果的发生之前，有众多不同的因素的影响；能用统计学的语言描述教育现象。</w:t>
            </w:r>
          </w:p>
        </w:tc>
      </w:tr>
      <w:tr w14:paraId="1F7D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3F5010F">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6.相关分析</w:t>
            </w:r>
          </w:p>
        </w:tc>
        <w:tc>
          <w:tcPr>
            <w:tcW w:w="1915" w:type="dxa"/>
            <w:vAlign w:val="center"/>
          </w:tcPr>
          <w:p w14:paraId="293675C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（1）积差相关（2）等级相关</w:t>
            </w:r>
          </w:p>
          <w:p w14:paraId="2950A776">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（3）品质相关</w:t>
            </w:r>
          </w:p>
          <w:p w14:paraId="163529BE">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（4）质与量相关</w:t>
            </w:r>
          </w:p>
          <w:p w14:paraId="108F29A1">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（5）偏相关</w:t>
            </w:r>
          </w:p>
        </w:tc>
        <w:tc>
          <w:tcPr>
            <w:tcW w:w="1125" w:type="dxa"/>
            <w:vAlign w:val="center"/>
          </w:tcPr>
          <w:p w14:paraId="5F3CC387">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055" w:type="dxa"/>
            <w:vAlign w:val="center"/>
          </w:tcPr>
          <w:p w14:paraId="3925FB2B">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掌握</w:t>
            </w:r>
            <w:r>
              <w:rPr>
                <w:rFonts w:hint="eastAsia" w:ascii="宋体" w:hAnsi="宋体" w:eastAsia="宋体" w:cs="Times New Roman"/>
                <w:color w:val="auto"/>
                <w:szCs w:val="21"/>
              </w:rPr>
              <w:t>相关的</w:t>
            </w:r>
            <w:r>
              <w:rPr>
                <w:rFonts w:ascii="宋体" w:hAnsi="宋体" w:eastAsia="宋体" w:cs="Times New Roman"/>
                <w:color w:val="auto"/>
                <w:szCs w:val="21"/>
              </w:rPr>
              <w:t>基本概念</w:t>
            </w:r>
            <w:r>
              <w:rPr>
                <w:rFonts w:hint="eastAsia" w:ascii="宋体" w:hAnsi="宋体" w:eastAsia="宋体" w:cs="Times New Roman"/>
                <w:color w:val="auto"/>
                <w:szCs w:val="21"/>
              </w:rPr>
              <w:t>和类型；</w:t>
            </w:r>
          </w:p>
          <w:p w14:paraId="01217465">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（2）把</w:t>
            </w:r>
            <w:r>
              <w:rPr>
                <w:rFonts w:ascii="宋体" w:hAnsi="宋体" w:eastAsia="宋体" w:cs="Times New Roman"/>
                <w:color w:val="auto"/>
                <w:szCs w:val="21"/>
              </w:rPr>
              <w:t>解</w:t>
            </w:r>
            <w:r>
              <w:rPr>
                <w:rFonts w:hint="eastAsia" w:ascii="宋体" w:hAnsi="宋体" w:eastAsia="宋体" w:cs="Times New Roman"/>
                <w:color w:val="auto"/>
                <w:szCs w:val="21"/>
              </w:rPr>
              <w:t>各类相关的适用条件。</w:t>
            </w:r>
          </w:p>
        </w:tc>
        <w:tc>
          <w:tcPr>
            <w:tcW w:w="1560" w:type="dxa"/>
            <w:vAlign w:val="center"/>
          </w:tcPr>
          <w:p w14:paraId="7B7AFD03">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38495061">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w:t>
            </w:r>
            <w:r>
              <w:rPr>
                <w:rFonts w:hint="eastAsia" w:ascii="宋体" w:hAnsi="宋体" w:eastAsia="宋体" w:cs="Times New Roman"/>
                <w:color w:val="auto"/>
                <w:szCs w:val="21"/>
              </w:rPr>
              <w:t>3.课堂练习</w:t>
            </w:r>
          </w:p>
          <w:p w14:paraId="6F9D7B04">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07854A3C">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1891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D3D507C">
            <w:pPr>
              <w:spacing w:line="240" w:lineRule="auto"/>
              <w:jc w:val="center"/>
              <w:rPr>
                <w:rFonts w:hint="eastAsia" w:ascii="宋体" w:hAnsi="宋体" w:eastAsia="宋体" w:cs="Times New Roman"/>
                <w:color w:val="auto"/>
                <w:szCs w:val="21"/>
              </w:rPr>
            </w:pPr>
          </w:p>
        </w:tc>
        <w:tc>
          <w:tcPr>
            <w:tcW w:w="8093" w:type="dxa"/>
            <w:gridSpan w:val="5"/>
            <w:vAlign w:val="center"/>
          </w:tcPr>
          <w:p w14:paraId="24457B24">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了解并学习历史上的统计学家对认识世界的那种孜孜以求的精神；掌握主要的相关分析手段背后所反映的社会现象之间的关系。</w:t>
            </w:r>
          </w:p>
        </w:tc>
      </w:tr>
      <w:tr w14:paraId="5135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FAF1593">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7.回归分析</w:t>
            </w:r>
          </w:p>
        </w:tc>
        <w:tc>
          <w:tcPr>
            <w:tcW w:w="1915" w:type="dxa"/>
            <w:vAlign w:val="center"/>
          </w:tcPr>
          <w:p w14:paraId="6ADB63E5">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（1）回归分析基本原理</w:t>
            </w:r>
          </w:p>
          <w:p w14:paraId="7D942A9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（2）各类回归分析</w:t>
            </w:r>
          </w:p>
        </w:tc>
        <w:tc>
          <w:tcPr>
            <w:tcW w:w="1125" w:type="dxa"/>
            <w:vAlign w:val="center"/>
          </w:tcPr>
          <w:p w14:paraId="38320FE9">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055" w:type="dxa"/>
            <w:vAlign w:val="center"/>
          </w:tcPr>
          <w:p w14:paraId="739934A2">
            <w:pPr>
              <w:numPr>
                <w:ilvl w:val="0"/>
                <w:numId w:val="23"/>
              </w:num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把握回归分析的基本原理</w:t>
            </w:r>
          </w:p>
          <w:p w14:paraId="578526A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（2）掌握各类回归分析的基本方法</w:t>
            </w:r>
          </w:p>
        </w:tc>
        <w:tc>
          <w:tcPr>
            <w:tcW w:w="1560" w:type="dxa"/>
            <w:vAlign w:val="center"/>
          </w:tcPr>
          <w:p w14:paraId="2A27F164">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59644951">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w:t>
            </w:r>
            <w:r>
              <w:rPr>
                <w:rFonts w:hint="eastAsia" w:ascii="宋体" w:hAnsi="宋体" w:eastAsia="宋体" w:cs="Times New Roman"/>
                <w:color w:val="auto"/>
                <w:szCs w:val="21"/>
              </w:rPr>
              <w:t>3.课堂练习</w:t>
            </w:r>
          </w:p>
          <w:p w14:paraId="775D86E8">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5A0D745B">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6193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34D5381">
            <w:pPr>
              <w:spacing w:line="240" w:lineRule="auto"/>
              <w:jc w:val="center"/>
              <w:rPr>
                <w:rFonts w:hint="eastAsia" w:ascii="宋体" w:hAnsi="宋体" w:eastAsia="宋体" w:cs="Times New Roman"/>
                <w:color w:val="auto"/>
                <w:szCs w:val="21"/>
              </w:rPr>
            </w:pPr>
          </w:p>
        </w:tc>
        <w:tc>
          <w:tcPr>
            <w:tcW w:w="8093" w:type="dxa"/>
            <w:gridSpan w:val="5"/>
            <w:vAlign w:val="center"/>
          </w:tcPr>
          <w:p w14:paraId="18892D18">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认识到教育和社会中的现象之间联系的复杂性，树立认识事物的联系观、发展观，形成建模思想。</w:t>
            </w:r>
          </w:p>
        </w:tc>
      </w:tr>
      <w:tr w14:paraId="7A41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A268A76">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8.非参数检验</w:t>
            </w:r>
          </w:p>
        </w:tc>
        <w:tc>
          <w:tcPr>
            <w:tcW w:w="1915" w:type="dxa"/>
            <w:vAlign w:val="center"/>
          </w:tcPr>
          <w:p w14:paraId="339ABA3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（1）计数数据的卡方分析</w:t>
            </w:r>
          </w:p>
          <w:p w14:paraId="51E6B8CE">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（2）连续数据的独立样本非参数检验</w:t>
            </w:r>
          </w:p>
          <w:p w14:paraId="1B4C9519">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（3）连续数据的相关样本非参数检验</w:t>
            </w:r>
          </w:p>
        </w:tc>
        <w:tc>
          <w:tcPr>
            <w:tcW w:w="1125" w:type="dxa"/>
            <w:vAlign w:val="center"/>
          </w:tcPr>
          <w:p w14:paraId="6400A6E3">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055" w:type="dxa"/>
            <w:vAlign w:val="center"/>
          </w:tcPr>
          <w:p w14:paraId="080F4542">
            <w:pPr>
              <w:numPr>
                <w:ilvl w:val="0"/>
                <w:numId w:val="24"/>
              </w:num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掌握卡方分析的适用条件</w:t>
            </w:r>
          </w:p>
          <w:p w14:paraId="4CE0B2F1">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w:t>
            </w:r>
            <w:r>
              <w:rPr>
                <w:rFonts w:hint="eastAsia" w:ascii="宋体" w:hAnsi="宋体" w:eastAsia="宋体" w:cs="Times New Roman"/>
                <w:color w:val="auto"/>
                <w:szCs w:val="21"/>
              </w:rPr>
              <w:t>掌握独立样本非参数检验的适用条件；</w:t>
            </w:r>
          </w:p>
          <w:p w14:paraId="633DA9B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w:t>
            </w:r>
            <w:r>
              <w:rPr>
                <w:rFonts w:hint="eastAsia" w:ascii="宋体" w:hAnsi="宋体" w:eastAsia="宋体" w:cs="Times New Roman"/>
                <w:color w:val="auto"/>
                <w:szCs w:val="21"/>
              </w:rPr>
              <w:t>掌握相关样本非参数检验的适用条件。</w:t>
            </w:r>
          </w:p>
        </w:tc>
        <w:tc>
          <w:tcPr>
            <w:tcW w:w="1560" w:type="dxa"/>
            <w:vAlign w:val="center"/>
          </w:tcPr>
          <w:p w14:paraId="4FA45CA5">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6F830240">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w:t>
            </w:r>
            <w:r>
              <w:rPr>
                <w:rFonts w:hint="eastAsia" w:ascii="宋体" w:hAnsi="宋体" w:eastAsia="宋体" w:cs="Times New Roman"/>
                <w:color w:val="auto"/>
                <w:szCs w:val="21"/>
              </w:rPr>
              <w:t>3.课堂练习</w:t>
            </w:r>
          </w:p>
          <w:p w14:paraId="0FFA4910">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0FD1AF60">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26A8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532C60C">
            <w:pPr>
              <w:spacing w:line="240" w:lineRule="auto"/>
              <w:jc w:val="center"/>
              <w:rPr>
                <w:rFonts w:hint="eastAsia" w:ascii="宋体" w:hAnsi="宋体" w:eastAsia="宋体" w:cs="Times New Roman"/>
                <w:color w:val="auto"/>
                <w:szCs w:val="21"/>
              </w:rPr>
            </w:pPr>
          </w:p>
        </w:tc>
        <w:tc>
          <w:tcPr>
            <w:tcW w:w="8093" w:type="dxa"/>
            <w:gridSpan w:val="5"/>
            <w:vAlign w:val="center"/>
          </w:tcPr>
          <w:p w14:paraId="47E4915A">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了解人类社会同一群体所简化为数据背后的内在关联；学会用科学的检验方法去认识教育现象与社会现象。</w:t>
            </w:r>
          </w:p>
        </w:tc>
      </w:tr>
      <w:tr w14:paraId="3524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C4FD812">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9.测验信效度分析</w:t>
            </w:r>
          </w:p>
        </w:tc>
        <w:tc>
          <w:tcPr>
            <w:tcW w:w="1915" w:type="dxa"/>
            <w:vAlign w:val="center"/>
          </w:tcPr>
          <w:p w14:paraId="5E2110E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（1）测验的信度分析</w:t>
            </w:r>
          </w:p>
          <w:p w14:paraId="3591D950">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（2）测验的效度分析</w:t>
            </w:r>
          </w:p>
        </w:tc>
        <w:tc>
          <w:tcPr>
            <w:tcW w:w="1125" w:type="dxa"/>
            <w:vAlign w:val="center"/>
          </w:tcPr>
          <w:p w14:paraId="374AADC7">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055" w:type="dxa"/>
            <w:vAlign w:val="center"/>
          </w:tcPr>
          <w:p w14:paraId="46F96B5B">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w:t>
            </w:r>
            <w:r>
              <w:rPr>
                <w:rFonts w:hint="eastAsia" w:ascii="宋体" w:hAnsi="宋体" w:eastAsia="宋体" w:cs="Times New Roman"/>
                <w:color w:val="auto"/>
                <w:szCs w:val="21"/>
              </w:rPr>
              <w:t>把握测量的信度与效度等测量学指标概念与类别；</w:t>
            </w:r>
          </w:p>
          <w:p w14:paraId="6998678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w:t>
            </w:r>
            <w:r>
              <w:rPr>
                <w:rFonts w:hint="eastAsia" w:ascii="宋体" w:hAnsi="宋体" w:eastAsia="宋体" w:cs="Times New Roman"/>
                <w:color w:val="auto"/>
                <w:szCs w:val="21"/>
              </w:rPr>
              <w:t>掌握测量的各类信度和效度检验的适用条件。</w:t>
            </w:r>
          </w:p>
        </w:tc>
        <w:tc>
          <w:tcPr>
            <w:tcW w:w="1560" w:type="dxa"/>
            <w:vAlign w:val="center"/>
          </w:tcPr>
          <w:p w14:paraId="16C7E42F">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0D899F84">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w:t>
            </w:r>
            <w:r>
              <w:rPr>
                <w:rFonts w:hint="eastAsia" w:ascii="宋体" w:hAnsi="宋体" w:eastAsia="宋体" w:cs="Times New Roman"/>
                <w:color w:val="auto"/>
                <w:szCs w:val="21"/>
              </w:rPr>
              <w:t>3.课堂练习</w:t>
            </w:r>
          </w:p>
          <w:p w14:paraId="73B94685">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25D345AB">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7834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272F963">
            <w:pPr>
              <w:spacing w:line="240" w:lineRule="auto"/>
              <w:jc w:val="center"/>
              <w:rPr>
                <w:rFonts w:hint="eastAsia" w:ascii="宋体" w:hAnsi="宋体" w:eastAsia="宋体" w:cs="Times New Roman"/>
                <w:color w:val="auto"/>
                <w:szCs w:val="21"/>
              </w:rPr>
            </w:pPr>
          </w:p>
        </w:tc>
        <w:tc>
          <w:tcPr>
            <w:tcW w:w="8093" w:type="dxa"/>
            <w:gridSpan w:val="5"/>
            <w:vAlign w:val="center"/>
          </w:tcPr>
          <w:p w14:paraId="1FD63823">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理解认识事物的规律需要依靠可靠的工具，了解判别可靠性的客观化标准。</w:t>
            </w:r>
          </w:p>
        </w:tc>
      </w:tr>
    </w:tbl>
    <w:p w14:paraId="12CFB804">
      <w:pPr>
        <w:spacing w:line="360" w:lineRule="auto"/>
        <w:jc w:val="left"/>
        <w:rPr>
          <w:rFonts w:ascii="Times New Roman" w:hAnsi="Times New Roman" w:eastAsia="宋体" w:cs="Times New Roman"/>
          <w:color w:val="auto"/>
          <w:sz w:val="24"/>
        </w:rPr>
      </w:pPr>
      <w:r>
        <w:rPr>
          <w:rFonts w:hint="eastAsia" w:ascii="宋体" w:hAnsi="宋体" w:eastAsia="宋体" w:cs="Times New Roman"/>
          <w:b/>
          <w:color w:val="auto"/>
          <w:sz w:val="24"/>
        </w:rPr>
        <w:t>四、目标评价与成绩评定</w:t>
      </w:r>
    </w:p>
    <w:p w14:paraId="45D329F3">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50FD2778">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481"/>
        <w:gridCol w:w="1481"/>
        <w:gridCol w:w="1481"/>
        <w:gridCol w:w="1483"/>
        <w:gridCol w:w="890"/>
      </w:tblGrid>
      <w:tr w14:paraId="1987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9" w:type="pct"/>
            <w:vMerge w:val="restart"/>
            <w:vAlign w:val="center"/>
          </w:tcPr>
          <w:p w14:paraId="1D49E1D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3477" w:type="pct"/>
            <w:gridSpan w:val="4"/>
            <w:vAlign w:val="center"/>
          </w:tcPr>
          <w:p w14:paraId="366994B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522" w:type="pct"/>
            <w:vMerge w:val="restart"/>
            <w:vAlign w:val="center"/>
          </w:tcPr>
          <w:p w14:paraId="0B7B701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45B0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vAlign w:val="center"/>
          </w:tcPr>
          <w:p w14:paraId="76C1E8C6">
            <w:pPr>
              <w:spacing w:line="360" w:lineRule="auto"/>
              <w:jc w:val="center"/>
              <w:rPr>
                <w:rFonts w:hint="eastAsia" w:ascii="宋体" w:hAnsi="宋体" w:eastAsia="宋体" w:cs="Times New Roman"/>
                <w:color w:val="auto"/>
                <w:szCs w:val="21"/>
              </w:rPr>
            </w:pPr>
          </w:p>
        </w:tc>
        <w:tc>
          <w:tcPr>
            <w:tcW w:w="869" w:type="pct"/>
            <w:vAlign w:val="center"/>
          </w:tcPr>
          <w:p w14:paraId="080BF29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869" w:type="pct"/>
            <w:vAlign w:val="center"/>
          </w:tcPr>
          <w:p w14:paraId="4D6530E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869" w:type="pct"/>
            <w:vAlign w:val="center"/>
          </w:tcPr>
          <w:p w14:paraId="3E11659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870" w:type="pct"/>
          </w:tcPr>
          <w:p w14:paraId="3C73CFC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自主学习</w:t>
            </w:r>
          </w:p>
        </w:tc>
        <w:tc>
          <w:tcPr>
            <w:tcW w:w="522" w:type="pct"/>
            <w:vMerge w:val="continue"/>
            <w:vAlign w:val="center"/>
          </w:tcPr>
          <w:p w14:paraId="41F7421D">
            <w:pPr>
              <w:spacing w:line="360" w:lineRule="auto"/>
              <w:jc w:val="center"/>
              <w:rPr>
                <w:rFonts w:hint="eastAsia" w:ascii="宋体" w:hAnsi="宋体" w:eastAsia="宋体" w:cs="Times New Roman"/>
                <w:color w:val="auto"/>
                <w:szCs w:val="21"/>
              </w:rPr>
            </w:pPr>
          </w:p>
        </w:tc>
      </w:tr>
      <w:tr w14:paraId="1EC19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111C422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869" w:type="pct"/>
            <w:vAlign w:val="center"/>
          </w:tcPr>
          <w:p w14:paraId="0422031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869" w:type="pct"/>
            <w:vAlign w:val="center"/>
          </w:tcPr>
          <w:p w14:paraId="27DE7DE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sym w:font="Wingdings 2" w:char="F050"/>
            </w:r>
          </w:p>
        </w:tc>
        <w:tc>
          <w:tcPr>
            <w:tcW w:w="869" w:type="pct"/>
            <w:vAlign w:val="center"/>
          </w:tcPr>
          <w:p w14:paraId="1D90BEE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870" w:type="pct"/>
          </w:tcPr>
          <w:p w14:paraId="54F7FE9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522" w:type="pct"/>
            <w:vAlign w:val="center"/>
          </w:tcPr>
          <w:p w14:paraId="48EF489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6172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034D984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869" w:type="pct"/>
            <w:vAlign w:val="center"/>
          </w:tcPr>
          <w:p w14:paraId="52D85EE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869" w:type="pct"/>
            <w:vAlign w:val="center"/>
          </w:tcPr>
          <w:p w14:paraId="51BD556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869" w:type="pct"/>
            <w:vAlign w:val="center"/>
          </w:tcPr>
          <w:p w14:paraId="6781411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870" w:type="pct"/>
          </w:tcPr>
          <w:p w14:paraId="64AA8A1C">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522" w:type="pct"/>
            <w:vAlign w:val="center"/>
          </w:tcPr>
          <w:p w14:paraId="7D8138F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1C21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shd w:val="clear" w:color="auto" w:fill="auto"/>
            <w:vAlign w:val="center"/>
          </w:tcPr>
          <w:p w14:paraId="069F484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869" w:type="pct"/>
            <w:shd w:val="clear" w:color="auto" w:fill="auto"/>
            <w:vAlign w:val="center"/>
          </w:tcPr>
          <w:p w14:paraId="27A4374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869" w:type="pct"/>
            <w:shd w:val="clear" w:color="auto" w:fill="auto"/>
            <w:vAlign w:val="center"/>
          </w:tcPr>
          <w:p w14:paraId="61E8E80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869" w:type="pct"/>
            <w:shd w:val="clear" w:color="auto" w:fill="auto"/>
            <w:vAlign w:val="center"/>
          </w:tcPr>
          <w:p w14:paraId="3F19EA1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870" w:type="pct"/>
            <w:shd w:val="clear" w:color="auto" w:fill="auto"/>
          </w:tcPr>
          <w:p w14:paraId="60378D1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522" w:type="pct"/>
            <w:shd w:val="clear" w:color="auto" w:fill="auto"/>
            <w:vAlign w:val="center"/>
          </w:tcPr>
          <w:p w14:paraId="4E2C7F6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30DD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443F318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869" w:type="pct"/>
            <w:vAlign w:val="center"/>
          </w:tcPr>
          <w:p w14:paraId="475CC5F7">
            <w:pPr>
              <w:spacing w:line="360" w:lineRule="auto"/>
              <w:jc w:val="center"/>
              <w:rPr>
                <w:rFonts w:hint="eastAsia" w:ascii="宋体" w:hAnsi="宋体" w:eastAsia="宋体" w:cs="Times New Roman"/>
                <w:color w:val="auto"/>
                <w:szCs w:val="21"/>
              </w:rPr>
            </w:pPr>
          </w:p>
        </w:tc>
        <w:tc>
          <w:tcPr>
            <w:tcW w:w="869" w:type="pct"/>
            <w:vAlign w:val="center"/>
          </w:tcPr>
          <w:p w14:paraId="4D23631B">
            <w:pPr>
              <w:spacing w:line="360" w:lineRule="auto"/>
              <w:jc w:val="center"/>
              <w:rPr>
                <w:rFonts w:hint="eastAsia" w:ascii="宋体" w:hAnsi="宋体" w:eastAsia="宋体" w:cs="Times New Roman"/>
                <w:color w:val="auto"/>
                <w:szCs w:val="21"/>
              </w:rPr>
            </w:pPr>
          </w:p>
        </w:tc>
        <w:tc>
          <w:tcPr>
            <w:tcW w:w="869" w:type="pct"/>
            <w:vAlign w:val="center"/>
          </w:tcPr>
          <w:p w14:paraId="619DDC7F">
            <w:pPr>
              <w:spacing w:line="360" w:lineRule="auto"/>
              <w:jc w:val="center"/>
              <w:rPr>
                <w:rFonts w:hint="eastAsia" w:ascii="宋体" w:hAnsi="宋体" w:eastAsia="宋体" w:cs="Times New Roman"/>
                <w:color w:val="auto"/>
                <w:szCs w:val="21"/>
              </w:rPr>
            </w:pPr>
          </w:p>
        </w:tc>
        <w:tc>
          <w:tcPr>
            <w:tcW w:w="870" w:type="pct"/>
          </w:tcPr>
          <w:p w14:paraId="0020DE3D">
            <w:pPr>
              <w:spacing w:line="360" w:lineRule="auto"/>
              <w:jc w:val="center"/>
              <w:rPr>
                <w:rFonts w:hint="eastAsia" w:ascii="宋体" w:hAnsi="宋体" w:eastAsia="宋体" w:cs="Times New Roman"/>
                <w:color w:val="auto"/>
                <w:szCs w:val="21"/>
              </w:rPr>
            </w:pPr>
          </w:p>
        </w:tc>
        <w:tc>
          <w:tcPr>
            <w:tcW w:w="522" w:type="pct"/>
            <w:vAlign w:val="center"/>
          </w:tcPr>
          <w:p w14:paraId="07FA856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3ABA2811">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129FEDF1">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p w14:paraId="1C780142">
      <w:pPr>
        <w:jc w:val="center"/>
        <w:rPr>
          <w:rFonts w:ascii="Times New Roman" w:hAnsi="Times New Roman" w:eastAsia="宋体" w:cs="Times New Roman"/>
          <w:b/>
          <w:bCs/>
          <w:color w:val="auto"/>
          <w:szCs w:val="21"/>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BD9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F3FB17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4988649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1087FBF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6722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2FF1697">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7141" w:type="dxa"/>
            <w:vAlign w:val="center"/>
          </w:tcPr>
          <w:p w14:paraId="3F128F8C">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平时作业共3次，包括参数检验、方差分析与回归分析等内容。</w:t>
            </w:r>
          </w:p>
        </w:tc>
        <w:tc>
          <w:tcPr>
            <w:tcW w:w="0" w:type="auto"/>
            <w:vAlign w:val="center"/>
          </w:tcPr>
          <w:p w14:paraId="4619CEE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w:t>
            </w:r>
          </w:p>
        </w:tc>
      </w:tr>
      <w:tr w14:paraId="0260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07634EC">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7141" w:type="dxa"/>
            <w:vAlign w:val="center"/>
          </w:tcPr>
          <w:p w14:paraId="11D90D91">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一是课题考勤情况</w:t>
            </w:r>
            <w:r>
              <w:rPr>
                <w:rFonts w:ascii="宋体" w:hAnsi="宋体" w:eastAsia="宋体" w:cs="宋体"/>
                <w:color w:val="auto"/>
                <w:kern w:val="0"/>
                <w:szCs w:val="21"/>
                <w:lang w:bidi="ar"/>
              </w:rPr>
              <w:t>。</w:t>
            </w:r>
            <w:r>
              <w:rPr>
                <w:rFonts w:hint="eastAsia" w:ascii="Times New Roman" w:hAnsi="Times New Roman" w:eastAsia="宋体" w:cs="Times New Roman"/>
                <w:color w:val="auto"/>
                <w:szCs w:val="21"/>
              </w:rPr>
              <w:t>迟到一次扣2分，无故缺席一次扣5分，累计达</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次以上（不含</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次）取消课程成绩。</w:t>
            </w:r>
          </w:p>
          <w:p w14:paraId="4EEA2042">
            <w:pPr>
              <w:widowControl/>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二是</w:t>
            </w:r>
            <w:r>
              <w:rPr>
                <w:rFonts w:ascii="宋体" w:hAnsi="宋体" w:eastAsia="宋体" w:cs="宋体"/>
                <w:color w:val="auto"/>
                <w:kern w:val="0"/>
                <w:szCs w:val="21"/>
                <w:lang w:bidi="ar"/>
              </w:rPr>
              <w:t>课堂参与</w:t>
            </w:r>
            <w:r>
              <w:rPr>
                <w:rFonts w:hint="eastAsia" w:ascii="宋体" w:hAnsi="宋体" w:eastAsia="宋体" w:cs="宋体"/>
                <w:color w:val="auto"/>
                <w:kern w:val="0"/>
                <w:szCs w:val="21"/>
                <w:lang w:bidi="ar"/>
              </w:rPr>
              <w:t>情况。</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表现良好，按照对应的课程目标及权重给予评定</w:t>
            </w:r>
            <w:r>
              <w:rPr>
                <w:rFonts w:hint="eastAsia" w:ascii="宋体" w:hAnsi="宋体" w:eastAsia="宋体" w:cs="宋体"/>
                <w:color w:val="auto"/>
                <w:kern w:val="0"/>
                <w:szCs w:val="21"/>
                <w:lang w:bidi="ar"/>
              </w:rPr>
              <w:t>。</w:t>
            </w:r>
          </w:p>
        </w:tc>
        <w:tc>
          <w:tcPr>
            <w:tcW w:w="0" w:type="auto"/>
            <w:vAlign w:val="center"/>
          </w:tcPr>
          <w:p w14:paraId="06E460B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53C0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90EA4B5">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自主学习</w:t>
            </w:r>
          </w:p>
        </w:tc>
        <w:tc>
          <w:tcPr>
            <w:tcW w:w="7141" w:type="dxa"/>
            <w:vAlign w:val="center"/>
          </w:tcPr>
          <w:p w14:paraId="01D19099">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5FA4E3B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4EB1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C895B1E">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7141" w:type="dxa"/>
            <w:vAlign w:val="center"/>
          </w:tcPr>
          <w:p w14:paraId="2C795D19">
            <w:pPr>
              <w:spacing w:line="264"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t>试卷题型包括</w:t>
            </w:r>
            <w:r>
              <w:rPr>
                <w:rFonts w:hint="eastAsia" w:ascii="Times New Roman" w:hAnsi="Times New Roman" w:eastAsia="宋体" w:cs="Times New Roman"/>
                <w:color w:val="auto"/>
                <w:szCs w:val="21"/>
              </w:rPr>
              <w:t>选择题</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操作题</w:t>
            </w:r>
            <w:r>
              <w:rPr>
                <w:rFonts w:ascii="Times New Roman" w:hAnsi="Times New Roman" w:eastAsia="宋体" w:cs="Times New Roman"/>
                <w:color w:val="auto"/>
                <w:szCs w:val="21"/>
              </w:rPr>
              <w:t>等，以卷面成绩的50%计入课程总成绩。其中考核</w:t>
            </w:r>
            <w:r>
              <w:rPr>
                <w:rFonts w:hint="eastAsia" w:ascii="Times New Roman" w:hAnsi="Times New Roman" w:eastAsia="宋体" w:cs="Times New Roman"/>
                <w:color w:val="auto"/>
                <w:szCs w:val="21"/>
              </w:rPr>
              <w:t>统计基本理论和知识型题目占5</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%；考核学生的统计计算题占5</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w:t>
            </w:r>
          </w:p>
        </w:tc>
        <w:tc>
          <w:tcPr>
            <w:tcW w:w="0" w:type="auto"/>
            <w:vAlign w:val="center"/>
          </w:tcPr>
          <w:p w14:paraId="46F561B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63A6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60A6D8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2917949A">
            <w:pPr>
              <w:jc w:val="left"/>
              <w:rPr>
                <w:rFonts w:ascii="Times New Roman" w:hAnsi="Times New Roman" w:eastAsia="宋体" w:cs="Times New Roman"/>
                <w:color w:val="auto"/>
                <w:szCs w:val="21"/>
              </w:rPr>
            </w:pPr>
          </w:p>
        </w:tc>
        <w:tc>
          <w:tcPr>
            <w:tcW w:w="0" w:type="auto"/>
            <w:vAlign w:val="center"/>
          </w:tcPr>
          <w:p w14:paraId="08ACAE4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77B717D3">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461A02FF">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6EF1C886">
      <w:pPr>
        <w:spacing w:before="156" w:beforeLines="50" w:line="360" w:lineRule="auto"/>
        <w:ind w:firstLine="420" w:firstLineChars="200"/>
        <w:jc w:val="left"/>
        <w:rPr>
          <w:rFonts w:ascii="Times New Roman" w:hAnsi="Times New Roman" w:eastAsia="宋体" w:cs="Times New Roman"/>
          <w:b/>
          <w:bCs/>
          <w:color w:val="auto"/>
          <w:sz w:val="24"/>
        </w:rPr>
      </w:pPr>
      <w:r>
        <w:rPr>
          <w:rFonts w:ascii="宋体" w:hAnsi="宋体" w:eastAsia="宋体" w:cs="Times New Roman"/>
          <w:color w:val="auto"/>
          <w:szCs w:val="21"/>
        </w:rPr>
        <w:object>
          <v:shape id="_x0000_i1046"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46" DrawAspect="Content" ObjectID="_1468075745" r:id="rId32">
            <o:LockedField>false</o:LockedField>
          </o:OLEObject>
        </w:object>
      </w:r>
      <w:r>
        <w:rPr>
          <w:rFonts w:hint="eastAsia" w:ascii="宋体" w:hAnsi="宋体" w:eastAsia="宋体" w:cs="Times New Roman"/>
          <w:b/>
          <w:color w:val="auto"/>
          <w:sz w:val="24"/>
        </w:rPr>
        <w:t>五、有关说明</w:t>
      </w:r>
    </w:p>
    <w:p w14:paraId="4CA6BF5B">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3407D782">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根据学生课堂教学中的反应、课后反馈、作业质量、答卷情况，以及领导、督导、教师同行等的听课情况，及时发现和改进教学中的不足之处，确保相应毕业要求指标点达成。</w:t>
      </w:r>
    </w:p>
    <w:p w14:paraId="2BE35AB6">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4C1BD2B5">
      <w:pPr>
        <w:spacing w:line="336"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戴海琦，张峰主编.心理与教育测量（第4版）.广州：暨南大学出版社，2018</w:t>
      </w:r>
      <w:r>
        <w:rPr>
          <w:rFonts w:ascii="Times New Roman" w:hAnsi="Times New Roman" w:eastAsia="宋体" w:cs="Times New Roman"/>
          <w:bCs/>
          <w:color w:val="auto"/>
          <w:szCs w:val="21"/>
        </w:rPr>
        <w:t>.</w:t>
      </w:r>
    </w:p>
    <w:p w14:paraId="626F3461">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5F396A24">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1.张厚粲、徐建平主编.现代心理与教育统计学（第5版）.北京：北京师范大学出版社，2020.</w:t>
      </w:r>
    </w:p>
    <w:p w14:paraId="38A9DF6A">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2.王孝玲，赵必华主编.新编教育统计学.北京：北京师范大学出版社，2023.</w:t>
      </w:r>
    </w:p>
    <w:p w14:paraId="67ECB468">
      <w:pPr>
        <w:spacing w:line="360" w:lineRule="auto"/>
        <w:jc w:val="righ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执笔人：巫文胜</w:t>
      </w:r>
    </w:p>
    <w:p w14:paraId="7ED1DDE2">
      <w:pPr>
        <w:spacing w:line="36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 xml:space="preserve">   审定人：王</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健</w:t>
      </w:r>
    </w:p>
    <w:p w14:paraId="543A1AB7">
      <w:pPr>
        <w:spacing w:line="360" w:lineRule="auto"/>
        <w:jc w:val="righ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审批人：张志欣</w:t>
      </w:r>
    </w:p>
    <w:p w14:paraId="258B95FF">
      <w:pPr>
        <w:spacing w:line="360" w:lineRule="auto"/>
        <w:jc w:val="righ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批准时间：2025年7月1日</w:t>
      </w:r>
    </w:p>
    <w:p w14:paraId="541FC2CF">
      <w:pPr>
        <w:rPr>
          <w:rFonts w:ascii="Times New Roman" w:hAnsi="Times New Roman" w:eastAsia="宋体" w:cs="Times New Roman"/>
          <w:color w:val="auto"/>
          <w:sz w:val="24"/>
        </w:rPr>
      </w:pPr>
      <w:r>
        <w:rPr>
          <w:rFonts w:ascii="Times New Roman" w:hAnsi="Times New Roman" w:eastAsia="宋体" w:cs="Times New Roman"/>
          <w:color w:val="auto"/>
          <w:sz w:val="24"/>
        </w:rPr>
        <w:br w:type="page"/>
      </w:r>
    </w:p>
    <w:p w14:paraId="6181615B">
      <w:pPr>
        <w:spacing w:line="360" w:lineRule="auto"/>
        <w:jc w:val="center"/>
        <w:outlineLvl w:val="0"/>
        <w:rPr>
          <w:rFonts w:hint="eastAsia" w:ascii="Times New Roman" w:hAnsi="Times New Roman" w:eastAsia="宋体" w:cs="Times New Roman"/>
          <w:b/>
          <w:color w:val="auto"/>
          <w:sz w:val="44"/>
          <w:szCs w:val="44"/>
        </w:rPr>
      </w:pPr>
      <w:bookmarkStart w:id="309" w:name="_Toc32000"/>
      <w:bookmarkStart w:id="310" w:name="_Toc25624"/>
      <w:bookmarkStart w:id="311" w:name="_Toc57017181"/>
      <w:bookmarkStart w:id="312" w:name="_Toc166164858"/>
      <w:r>
        <w:rPr>
          <w:rFonts w:hint="eastAsia" w:ascii="Times New Roman" w:hAnsi="Times New Roman" w:eastAsia="宋体" w:cs="Times New Roman"/>
          <w:b/>
          <w:color w:val="auto"/>
          <w:sz w:val="44"/>
          <w:szCs w:val="44"/>
        </w:rPr>
        <w:t>《中外基础教育改革热点》课程教学大纲</w:t>
      </w:r>
      <w:bookmarkEnd w:id="309"/>
      <w:bookmarkEnd w:id="310"/>
      <w:bookmarkEnd w:id="311"/>
      <w:bookmarkEnd w:id="312"/>
    </w:p>
    <w:p w14:paraId="3B80B7F3">
      <w:pPr>
        <w:autoSpaceDE w:val="0"/>
        <w:autoSpaceDN w:val="0"/>
        <w:adjustRightInd w:val="0"/>
        <w:spacing w:line="360" w:lineRule="auto"/>
        <w:jc w:val="center"/>
        <w:rPr>
          <w:rFonts w:ascii="Times New Roman" w:hAnsi="Times New Roman" w:eastAsia="黑体" w:cs="Times New Roman"/>
          <w:b/>
          <w:bCs/>
          <w:color w:val="auto"/>
          <w:kern w:val="0"/>
          <w:sz w:val="28"/>
          <w:szCs w:val="32"/>
        </w:rPr>
      </w:pPr>
      <w:r>
        <w:rPr>
          <w:rFonts w:ascii="Times New Roman" w:hAnsi="Times New Roman" w:eastAsia="宋体" w:cs="Times New Roman"/>
          <w:b/>
          <w:bCs/>
          <w:color w:val="auto"/>
          <w:kern w:val="0"/>
          <w:sz w:val="28"/>
          <w:szCs w:val="32"/>
        </w:rPr>
        <w:t>（</w:t>
      </w:r>
      <w:r>
        <w:rPr>
          <w:rFonts w:ascii="Times New Roman" w:hAnsi="Times New Roman" w:eastAsia="黑体" w:cs="Times New Roman"/>
          <w:b/>
          <w:bCs/>
          <w:color w:val="auto"/>
          <w:kern w:val="0"/>
          <w:sz w:val="28"/>
          <w:szCs w:val="32"/>
        </w:rPr>
        <w:t>Focus on Basic Research Reform in China and Foreign Countries</w:t>
      </w:r>
      <w:r>
        <w:rPr>
          <w:rFonts w:ascii="Times New Roman" w:hAnsi="Times New Roman" w:eastAsia="宋体" w:cs="Times New Roman"/>
          <w:b/>
          <w:bCs/>
          <w:color w:val="auto"/>
          <w:kern w:val="0"/>
          <w:sz w:val="28"/>
          <w:szCs w:val="32"/>
        </w:rPr>
        <w:t>）</w:t>
      </w:r>
      <w:bookmarkStart w:id="313" w:name="_Toc27847311"/>
    </w:p>
    <w:bookmarkEnd w:id="313"/>
    <w:p w14:paraId="5BFF5478">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textAlignment w:val="auto"/>
        <w:rPr>
          <w:rFonts w:hint="eastAsia" w:ascii="宋体" w:hAnsi="宋体" w:eastAsia="宋体" w:cs="Times New Roman"/>
          <w:b/>
          <w:bCs/>
          <w:color w:val="auto"/>
          <w:kern w:val="0"/>
          <w:sz w:val="21"/>
          <w:szCs w:val="21"/>
          <w:lang w:eastAsia="zh-CN"/>
        </w:rPr>
      </w:pPr>
    </w:p>
    <w:p w14:paraId="04773BF4">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宋体" w:hAnsi="宋体" w:eastAsia="宋体" w:cs="Times New Roman"/>
          <w:b/>
          <w:bCs/>
          <w:color w:val="auto"/>
          <w:kern w:val="0"/>
          <w:sz w:val="24"/>
          <w:szCs w:val="24"/>
          <w:lang w:eastAsia="zh-CN"/>
        </w:rPr>
      </w:pPr>
      <w:r>
        <w:rPr>
          <w:rFonts w:hint="eastAsia" w:ascii="宋体" w:hAnsi="宋体" w:eastAsia="宋体" w:cs="Times New Roman"/>
          <w:b/>
          <w:bCs/>
          <w:color w:val="auto"/>
          <w:kern w:val="0"/>
          <w:sz w:val="24"/>
          <w:szCs w:val="24"/>
          <w:lang w:eastAsia="zh-CN"/>
        </w:rPr>
        <w:t>课程名称：中外基础教育改革热点</w:t>
      </w:r>
    </w:p>
    <w:p w14:paraId="224F66C6">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ascii="Times New Roman" w:hAnsi="Times New Roman" w:eastAsia="宋体" w:cs="Times New Roman"/>
          <w:color w:val="auto"/>
          <w:kern w:val="0"/>
          <w:sz w:val="24"/>
          <w:szCs w:val="24"/>
        </w:rPr>
      </w:pPr>
      <w:r>
        <w:rPr>
          <w:rFonts w:ascii="宋体" w:hAnsi="宋体" w:eastAsia="宋体" w:cs="Times New Roman"/>
          <w:b/>
          <w:bCs/>
          <w:color w:val="auto"/>
          <w:kern w:val="0"/>
          <w:sz w:val="24"/>
          <w:szCs w:val="24"/>
        </w:rPr>
        <w:t>课程代码</w:t>
      </w:r>
      <w:r>
        <w:rPr>
          <w:rFonts w:ascii="宋体" w:hAnsi="宋体" w:eastAsia="宋体" w:cs="Times New Roman"/>
          <w:b/>
          <w:color w:val="auto"/>
          <w:kern w:val="0"/>
          <w:sz w:val="24"/>
          <w:szCs w:val="24"/>
        </w:rPr>
        <w:t>：</w:t>
      </w:r>
      <w:r>
        <w:rPr>
          <w:rFonts w:ascii="宋体" w:hAnsi="宋体" w:eastAsia="宋体" w:cs="Times New Roman"/>
          <w:b/>
          <w:bCs/>
          <w:color w:val="auto"/>
          <w:kern w:val="0"/>
          <w:sz w:val="24"/>
          <w:szCs w:val="24"/>
        </w:rPr>
        <w:t>2401016</w:t>
      </w:r>
    </w:p>
    <w:p w14:paraId="5B267A38">
      <w:pPr>
        <w:keepNext w:val="0"/>
        <w:keepLines w:val="0"/>
        <w:pageBreakBefore w:val="0"/>
        <w:widowControl w:val="0"/>
        <w:kinsoku/>
        <w:wordWrap/>
        <w:overflowPunct/>
        <w:topLinePunct w:val="0"/>
        <w:bidi w:val="0"/>
        <w:snapToGrid/>
        <w:spacing w:line="360" w:lineRule="auto"/>
        <w:ind w:firstLine="482" w:firstLineChars="200"/>
        <w:textAlignment w:val="auto"/>
        <w:rPr>
          <w:rFonts w:hint="eastAsia" w:ascii="宋体" w:hAnsi="宋体" w:eastAsia="宋体" w:cs="Times New Roman"/>
          <w:b/>
          <w:color w:val="auto"/>
          <w:kern w:val="0"/>
          <w:sz w:val="24"/>
          <w:szCs w:val="24"/>
        </w:rPr>
      </w:pPr>
      <w:r>
        <w:rPr>
          <w:rFonts w:ascii="宋体" w:hAnsi="宋体" w:eastAsia="宋体" w:cs="Times New Roman"/>
          <w:b/>
          <w:bCs/>
          <w:color w:val="auto"/>
          <w:kern w:val="0"/>
          <w:sz w:val="24"/>
          <w:szCs w:val="24"/>
        </w:rPr>
        <w:t>学    分：</w:t>
      </w:r>
      <w:r>
        <w:rPr>
          <w:rFonts w:hint="eastAsia" w:ascii="宋体" w:hAnsi="宋体" w:eastAsia="宋体" w:cs="Times New Roman"/>
          <w:b/>
          <w:bCs/>
          <w:color w:val="auto"/>
          <w:kern w:val="0"/>
          <w:sz w:val="24"/>
          <w:szCs w:val="24"/>
        </w:rPr>
        <w:t>2</w:t>
      </w:r>
    </w:p>
    <w:p w14:paraId="6E2B8A56">
      <w:pPr>
        <w:keepNext w:val="0"/>
        <w:keepLines w:val="0"/>
        <w:pageBreakBefore w:val="0"/>
        <w:widowControl w:val="0"/>
        <w:kinsoku/>
        <w:wordWrap/>
        <w:overflowPunct/>
        <w:topLinePunct w:val="0"/>
        <w:bidi w:val="0"/>
        <w:snapToGrid/>
        <w:spacing w:line="360" w:lineRule="auto"/>
        <w:ind w:firstLine="482" w:firstLineChars="200"/>
        <w:textAlignment w:val="auto"/>
        <w:rPr>
          <w:rFonts w:hint="eastAsia" w:ascii="宋体" w:hAnsi="宋体" w:eastAsia="宋体" w:cs="Times New Roman"/>
          <w:color w:val="auto"/>
          <w:kern w:val="0"/>
          <w:sz w:val="24"/>
          <w:szCs w:val="24"/>
        </w:rPr>
      </w:pPr>
      <w:r>
        <w:rPr>
          <w:rFonts w:ascii="宋体" w:hAnsi="宋体" w:eastAsia="宋体" w:cs="Times New Roman"/>
          <w:b/>
          <w:bCs/>
          <w:color w:val="auto"/>
          <w:kern w:val="0"/>
          <w:sz w:val="24"/>
          <w:szCs w:val="24"/>
        </w:rPr>
        <w:t>学    时：</w:t>
      </w:r>
      <w:r>
        <w:rPr>
          <w:rFonts w:hint="eastAsia" w:ascii="宋体" w:hAnsi="宋体" w:eastAsia="宋体" w:cs="Times New Roman"/>
          <w:b/>
          <w:bCs/>
          <w:color w:val="auto"/>
          <w:kern w:val="0"/>
          <w:sz w:val="24"/>
          <w:szCs w:val="24"/>
        </w:rPr>
        <w:t>32</w:t>
      </w:r>
      <w:r>
        <w:rPr>
          <w:rFonts w:ascii="宋体" w:hAnsi="宋体" w:eastAsia="宋体" w:cs="Times New Roman"/>
          <w:b/>
          <w:bCs/>
          <w:color w:val="auto"/>
          <w:kern w:val="0"/>
          <w:sz w:val="24"/>
          <w:szCs w:val="24"/>
        </w:rPr>
        <w:t xml:space="preserve"> </w:t>
      </w:r>
    </w:p>
    <w:p w14:paraId="1766F6D6">
      <w:pPr>
        <w:keepNext w:val="0"/>
        <w:keepLines w:val="0"/>
        <w:pageBreakBefore w:val="0"/>
        <w:widowControl w:val="0"/>
        <w:kinsoku/>
        <w:wordWrap/>
        <w:overflowPunct/>
        <w:topLinePunct w:val="0"/>
        <w:bidi w:val="0"/>
        <w:snapToGrid/>
        <w:spacing w:line="360" w:lineRule="auto"/>
        <w:ind w:firstLine="482" w:firstLineChars="200"/>
        <w:jc w:val="left"/>
        <w:textAlignment w:val="auto"/>
        <w:rPr>
          <w:rFonts w:hint="eastAsia" w:ascii="宋体" w:hAnsi="宋体" w:eastAsia="宋体" w:cs="Times New Roman"/>
          <w:color w:val="auto"/>
          <w:kern w:val="0"/>
          <w:sz w:val="24"/>
          <w:szCs w:val="24"/>
        </w:rPr>
      </w:pPr>
      <w:r>
        <w:rPr>
          <w:rFonts w:ascii="宋体" w:hAnsi="宋体" w:eastAsia="宋体" w:cs="Times New Roman"/>
          <w:b/>
          <w:bCs/>
          <w:color w:val="auto"/>
          <w:kern w:val="0"/>
          <w:sz w:val="24"/>
          <w:szCs w:val="24"/>
        </w:rPr>
        <w:t>先修课程：</w:t>
      </w:r>
      <w:r>
        <w:rPr>
          <w:rFonts w:hint="eastAsia" w:ascii="宋体" w:hAnsi="宋体" w:eastAsia="宋体" w:cs="Times New Roman"/>
          <w:b/>
          <w:bCs/>
          <w:color w:val="auto"/>
          <w:sz w:val="24"/>
          <w:szCs w:val="24"/>
          <w:lang w:val="zh-CN"/>
        </w:rPr>
        <w:t>教育原理、教育心理学、中外教育史、课程与教学论</w:t>
      </w:r>
    </w:p>
    <w:p w14:paraId="0F2854B5">
      <w:pPr>
        <w:keepNext w:val="0"/>
        <w:keepLines w:val="0"/>
        <w:pageBreakBefore w:val="0"/>
        <w:widowControl w:val="0"/>
        <w:kinsoku/>
        <w:wordWrap/>
        <w:overflowPunct/>
        <w:topLinePunct w:val="0"/>
        <w:bidi w:val="0"/>
        <w:snapToGrid/>
        <w:spacing w:line="360" w:lineRule="auto"/>
        <w:ind w:firstLine="482" w:firstLineChars="200"/>
        <w:textAlignment w:val="auto"/>
        <w:rPr>
          <w:rFonts w:ascii="Times New Roman" w:hAnsi="Times New Roman" w:eastAsia="宋体" w:cs="Times New Roman"/>
          <w:color w:val="auto"/>
          <w:kern w:val="0"/>
          <w:sz w:val="24"/>
          <w:szCs w:val="24"/>
        </w:rPr>
      </w:pPr>
      <w:r>
        <w:rPr>
          <w:rFonts w:ascii="宋体" w:hAnsi="宋体" w:eastAsia="宋体" w:cs="Times New Roman"/>
          <w:b/>
          <w:bCs/>
          <w:color w:val="auto"/>
          <w:kern w:val="0"/>
          <w:sz w:val="24"/>
          <w:szCs w:val="24"/>
        </w:rPr>
        <w:t>适用专业：</w:t>
      </w:r>
      <w:r>
        <w:rPr>
          <w:rFonts w:hint="eastAsia" w:ascii="宋体" w:hAnsi="宋体" w:eastAsia="宋体" w:cs="Times New Roman"/>
          <w:b/>
          <w:bCs/>
          <w:color w:val="auto"/>
          <w:kern w:val="0"/>
          <w:sz w:val="24"/>
          <w:szCs w:val="24"/>
        </w:rPr>
        <w:t>小学</w:t>
      </w:r>
      <w:r>
        <w:rPr>
          <w:rFonts w:ascii="宋体" w:hAnsi="宋体" w:eastAsia="宋体" w:cs="Times New Roman"/>
          <w:b/>
          <w:bCs/>
          <w:color w:val="auto"/>
          <w:kern w:val="0"/>
          <w:sz w:val="24"/>
          <w:szCs w:val="24"/>
        </w:rPr>
        <w:t xml:space="preserve">教育  </w:t>
      </w:r>
      <w:r>
        <w:rPr>
          <w:rFonts w:ascii="宋体" w:hAnsi="宋体" w:eastAsia="宋体" w:cs="Times New Roman"/>
          <w:color w:val="auto"/>
          <w:kern w:val="0"/>
          <w:sz w:val="24"/>
          <w:szCs w:val="24"/>
        </w:rPr>
        <w:t xml:space="preserve">                      </w:t>
      </w:r>
    </w:p>
    <w:p w14:paraId="59B36734">
      <w:pPr>
        <w:spacing w:line="360" w:lineRule="auto"/>
        <w:jc w:val="left"/>
        <w:rPr>
          <w:rFonts w:hint="eastAsia" w:ascii="Times New Roman" w:hAnsi="Times New Roman" w:eastAsia="宋体" w:cs="Times New Roman"/>
          <w:b/>
          <w:color w:val="auto"/>
          <w:sz w:val="24"/>
          <w:szCs w:val="24"/>
          <w:lang w:eastAsia="zh-CN"/>
        </w:rPr>
      </w:pPr>
      <w:r>
        <w:rPr>
          <w:rFonts w:hint="eastAsia" w:ascii="Times New Roman" w:hAnsi="Times New Roman" w:eastAsia="宋体" w:cs="Times New Roman"/>
          <w:b/>
          <w:color w:val="auto"/>
          <w:sz w:val="24"/>
          <w:szCs w:val="24"/>
          <w:lang w:eastAsia="zh-CN"/>
        </w:rPr>
        <w:t>一、</w:t>
      </w:r>
      <w:r>
        <w:rPr>
          <w:rFonts w:hint="eastAsia" w:ascii="Times New Roman" w:hAnsi="Times New Roman" w:eastAsia="宋体" w:cs="Times New Roman"/>
          <w:b/>
          <w:color w:val="auto"/>
          <w:sz w:val="24"/>
          <w:szCs w:val="24"/>
        </w:rPr>
        <w:t>课程</w:t>
      </w:r>
      <w:r>
        <w:rPr>
          <w:rFonts w:hint="eastAsia" w:ascii="Times New Roman" w:hAnsi="Times New Roman" w:eastAsia="宋体" w:cs="Times New Roman"/>
          <w:b/>
          <w:color w:val="auto"/>
          <w:sz w:val="24"/>
          <w:szCs w:val="24"/>
          <w:lang w:eastAsia="zh-CN"/>
        </w:rPr>
        <w:t>简介</w:t>
      </w:r>
    </w:p>
    <w:p w14:paraId="395C91D1">
      <w:pPr>
        <w:numPr>
          <w:ilvl w:val="0"/>
          <w:numId w:val="0"/>
        </w:numPr>
        <w:autoSpaceDE w:val="0"/>
        <w:autoSpaceDN w:val="0"/>
        <w:adjustRightInd w:val="0"/>
        <w:spacing w:after="160" w:line="360" w:lineRule="auto"/>
        <w:ind w:firstLine="42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1"/>
          <w:szCs w:val="21"/>
        </w:rPr>
        <w:t>本课程是小学教育本科专业一门专业选修课。课程旨在帮助学生理解基础教育改革现实意义和国内外改革所涉及的热点问题，提高小学教师的反思意识和开阔视野。通过本门课程的学习，学生能够了解世界上主要发达国家基础教育改革的时代背景，理解我国21世纪基础教育深化改革的现实意义；了解当前基础教育改革的主要内容，提高未来小学教师的发现问题、分析问题、研究问题的能力</w:t>
      </w:r>
      <w:r>
        <w:rPr>
          <w:rFonts w:hint="eastAsia" w:ascii="Times New Roman" w:hAnsi="Times New Roman" w:eastAsia="宋体" w:cs="Times New Roman"/>
          <w:color w:val="auto"/>
          <w:sz w:val="24"/>
          <w:szCs w:val="24"/>
        </w:rPr>
        <w:t>。</w:t>
      </w:r>
    </w:p>
    <w:p w14:paraId="2F52C0CA">
      <w:pPr>
        <w:spacing w:line="360" w:lineRule="auto"/>
        <w:jc w:val="left"/>
        <w:rPr>
          <w:rFonts w:hint="eastAsia" w:ascii="Times New Roman" w:hAnsi="Times New Roman" w:eastAsia="宋体" w:cs="Times New Roman"/>
          <w:b/>
          <w:color w:val="auto"/>
          <w:sz w:val="24"/>
          <w:szCs w:val="24"/>
        </w:rPr>
      </w:pPr>
      <w:bookmarkStart w:id="314" w:name="_Toc27847312"/>
      <w:r>
        <w:rPr>
          <w:rFonts w:hint="eastAsia" w:ascii="Times New Roman" w:hAnsi="Times New Roman" w:eastAsia="宋体" w:cs="Times New Roman"/>
          <w:b/>
          <w:color w:val="auto"/>
          <w:sz w:val="24"/>
          <w:szCs w:val="24"/>
        </w:rPr>
        <w:t>二、课程目标</w:t>
      </w:r>
      <w:bookmarkEnd w:id="314"/>
    </w:p>
    <w:p w14:paraId="14BAD24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kern w:val="0"/>
          <w:sz w:val="21"/>
          <w:szCs w:val="21"/>
          <w:lang w:eastAsia="zh-CN"/>
        </w:rPr>
      </w:pPr>
      <w:bookmarkStart w:id="315" w:name="_Toc27847313"/>
      <w:r>
        <w:rPr>
          <w:rFonts w:hint="eastAsia" w:ascii="宋体" w:hAnsi="宋体" w:eastAsia="宋体" w:cs="Times New Roman"/>
          <w:b/>
          <w:color w:val="auto"/>
          <w:kern w:val="0"/>
          <w:sz w:val="21"/>
          <w:szCs w:val="21"/>
          <w:lang w:eastAsia="zh-CN"/>
        </w:rPr>
        <w:t>（一）课程具体目标</w:t>
      </w:r>
      <w:bookmarkEnd w:id="315"/>
    </w:p>
    <w:p w14:paraId="5E2115C0">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b/>
          <w:color w:val="auto"/>
          <w:sz w:val="21"/>
          <w:szCs w:val="21"/>
        </w:rPr>
        <w:t>目标</w:t>
      </w:r>
      <w:r>
        <w:rPr>
          <w:rFonts w:ascii="Times New Roman" w:hAnsi="Times New Roman" w:eastAsia="宋体" w:cs="Times New Roman"/>
          <w:b/>
          <w:color w:val="auto"/>
          <w:sz w:val="21"/>
          <w:szCs w:val="21"/>
        </w:rPr>
        <w:t>1.</w:t>
      </w:r>
      <w:r>
        <w:rPr>
          <w:rFonts w:hint="eastAsia" w:ascii="Times New Roman" w:hAnsi="Times New Roman" w:eastAsia="宋体" w:cs="Times New Roman"/>
          <w:color w:val="auto"/>
          <w:sz w:val="21"/>
          <w:szCs w:val="21"/>
        </w:rPr>
        <w:t>了解社会转型对教育改革的含义与影响，理解我国21世纪基础教育改革的必要性，掌握基础教育改革研究中的热点问题，增强教育使命感和教师责任感。</w:t>
      </w:r>
    </w:p>
    <w:p w14:paraId="364C568B">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b/>
          <w:color w:val="auto"/>
          <w:sz w:val="21"/>
          <w:szCs w:val="21"/>
        </w:rPr>
        <w:t>目标2</w:t>
      </w:r>
      <w:r>
        <w:rPr>
          <w:rFonts w:ascii="Times New Roman" w:hAnsi="Times New Roman" w:eastAsia="宋体" w:cs="Times New Roman"/>
          <w:b/>
          <w:color w:val="auto"/>
          <w:sz w:val="21"/>
          <w:szCs w:val="21"/>
        </w:rPr>
        <w:t>.</w:t>
      </w:r>
      <w:r>
        <w:rPr>
          <w:rFonts w:hint="eastAsia" w:ascii="Times New Roman" w:hAnsi="Times New Roman" w:eastAsia="宋体" w:cs="Times New Roman"/>
          <w:color w:val="auto"/>
          <w:sz w:val="21"/>
          <w:szCs w:val="21"/>
        </w:rPr>
        <w:t>了</w:t>
      </w:r>
      <w:r>
        <w:rPr>
          <w:rFonts w:ascii="Times New Roman" w:hAnsi="Times New Roman" w:eastAsia="宋体" w:cs="Times New Roman"/>
          <w:color w:val="auto"/>
          <w:sz w:val="21"/>
          <w:szCs w:val="21"/>
        </w:rPr>
        <w:t>解国际视野中的基础教育改革概况</w:t>
      </w:r>
      <w:r>
        <w:rPr>
          <w:rFonts w:hint="eastAsia" w:ascii="Times New Roman" w:hAnsi="Times New Roman" w:eastAsia="宋体" w:cs="Times New Roman"/>
          <w:color w:val="auto"/>
          <w:sz w:val="21"/>
          <w:szCs w:val="21"/>
        </w:rPr>
        <w:t>，基本掌握西方主要国家基础教育改革的动向和发展趋势，牢固树立建设中国特色社会主义教育强国的自信心。</w:t>
      </w:r>
      <w:r>
        <w:rPr>
          <w:rFonts w:ascii="Times New Roman" w:hAnsi="Times New Roman" w:eastAsia="宋体" w:cs="Times New Roman"/>
          <w:color w:val="auto"/>
          <w:sz w:val="21"/>
          <w:szCs w:val="21"/>
        </w:rPr>
        <w:t xml:space="preserve"> </w:t>
      </w:r>
    </w:p>
    <w:p w14:paraId="29A0ECA3">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b/>
          <w:color w:val="auto"/>
          <w:sz w:val="21"/>
          <w:szCs w:val="21"/>
        </w:rPr>
        <w:t>目标3</w:t>
      </w:r>
      <w:r>
        <w:rPr>
          <w:rFonts w:ascii="Times New Roman" w:hAnsi="Times New Roman" w:eastAsia="宋体" w:cs="Times New Roman"/>
          <w:b/>
          <w:color w:val="auto"/>
          <w:sz w:val="21"/>
          <w:szCs w:val="21"/>
        </w:rPr>
        <w:t xml:space="preserve">. </w:t>
      </w:r>
      <w:r>
        <w:rPr>
          <w:rFonts w:hint="eastAsia" w:ascii="Times New Roman" w:hAnsi="Times New Roman" w:eastAsia="宋体" w:cs="Times New Roman"/>
          <w:color w:val="auto"/>
          <w:sz w:val="21"/>
          <w:szCs w:val="21"/>
        </w:rPr>
        <w:t>了解中国基础教育课程与教学改革的潮流、历史演进及政策分析，初步理解我国21世纪基础教育课程与教学改革中的基本问题及解决策略；掌握我国城乡基础教育改革中的主要热点问题及改革思路，增强教育危机意识。</w:t>
      </w:r>
    </w:p>
    <w:p w14:paraId="1DA2F066">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b/>
          <w:color w:val="auto"/>
          <w:sz w:val="21"/>
          <w:szCs w:val="21"/>
        </w:rPr>
        <w:t>目标4</w:t>
      </w:r>
      <w:r>
        <w:rPr>
          <w:rFonts w:ascii="Times New Roman" w:hAnsi="Times New Roman" w:eastAsia="宋体" w:cs="Times New Roman"/>
          <w:b/>
          <w:color w:val="auto"/>
          <w:sz w:val="21"/>
          <w:szCs w:val="21"/>
        </w:rPr>
        <w:t>.</w:t>
      </w:r>
      <w:r>
        <w:rPr>
          <w:rFonts w:ascii="Times New Roman" w:hAnsi="Times New Roman" w:eastAsia="宋体" w:cs="Times New Roman"/>
          <w:color w:val="auto"/>
          <w:sz w:val="21"/>
          <w:szCs w:val="21"/>
        </w:rPr>
        <w:t xml:space="preserve"> 能够通过自主</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合作</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探究的方式</w:t>
      </w:r>
      <w:r>
        <w:rPr>
          <w:rFonts w:hint="eastAsia" w:ascii="Times New Roman" w:hAnsi="Times New Roman" w:eastAsia="宋体" w:cs="Times New Roman"/>
          <w:color w:val="auto"/>
          <w:sz w:val="21"/>
          <w:szCs w:val="21"/>
        </w:rPr>
        <w:t>分析中外主要国家</w:t>
      </w:r>
      <w:r>
        <w:rPr>
          <w:rFonts w:ascii="Times New Roman" w:hAnsi="Times New Roman" w:eastAsia="宋体" w:cs="Times New Roman"/>
          <w:color w:val="auto"/>
          <w:sz w:val="21"/>
          <w:szCs w:val="21"/>
        </w:rPr>
        <w:t>基础教育改革的</w:t>
      </w:r>
      <w:r>
        <w:rPr>
          <w:rFonts w:hint="eastAsia" w:ascii="Times New Roman" w:hAnsi="Times New Roman" w:eastAsia="宋体" w:cs="Times New Roman"/>
          <w:color w:val="auto"/>
          <w:sz w:val="21"/>
          <w:szCs w:val="21"/>
        </w:rPr>
        <w:t>缺陷，</w:t>
      </w:r>
      <w:r>
        <w:rPr>
          <w:rFonts w:ascii="Times New Roman" w:hAnsi="Times New Roman" w:eastAsia="宋体" w:cs="Times New Roman"/>
          <w:color w:val="auto"/>
          <w:sz w:val="21"/>
          <w:szCs w:val="21"/>
        </w:rPr>
        <w:t>形成独立的分析判断能力</w:t>
      </w:r>
      <w:r>
        <w:rPr>
          <w:rFonts w:hint="eastAsia" w:ascii="Times New Roman" w:hAnsi="Times New Roman" w:eastAsia="宋体" w:cs="Times New Roman"/>
          <w:color w:val="auto"/>
          <w:sz w:val="21"/>
          <w:szCs w:val="21"/>
        </w:rPr>
        <w:t>和问题研究能力。</w:t>
      </w:r>
    </w:p>
    <w:p w14:paraId="0EED41F7">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kern w:val="0"/>
          <w:sz w:val="21"/>
          <w:szCs w:val="21"/>
          <w:lang w:eastAsia="zh-CN"/>
        </w:rPr>
      </w:pPr>
      <w:bookmarkStart w:id="316" w:name="_Toc27847314"/>
      <w:r>
        <w:rPr>
          <w:rFonts w:hint="eastAsia" w:ascii="宋体" w:hAnsi="宋体" w:eastAsia="宋体" w:cs="Times New Roman"/>
          <w:b/>
          <w:color w:val="auto"/>
          <w:kern w:val="0"/>
          <w:sz w:val="21"/>
          <w:szCs w:val="21"/>
          <w:lang w:eastAsia="zh-CN"/>
        </w:rPr>
        <w:t>（</w:t>
      </w:r>
      <w:r>
        <w:rPr>
          <w:rFonts w:hint="eastAsia" w:ascii="宋体" w:hAnsi="宋体" w:eastAsia="宋体" w:cs="Times New Roman"/>
          <w:b/>
          <w:color w:val="auto"/>
          <w:kern w:val="0"/>
          <w:sz w:val="21"/>
          <w:szCs w:val="21"/>
          <w:lang w:val="en-US" w:eastAsia="zh-CN"/>
        </w:rPr>
        <w:t>二</w:t>
      </w:r>
      <w:r>
        <w:rPr>
          <w:rFonts w:hint="eastAsia" w:ascii="宋体" w:hAnsi="宋体" w:eastAsia="宋体" w:cs="Times New Roman"/>
          <w:b/>
          <w:color w:val="auto"/>
          <w:kern w:val="0"/>
          <w:sz w:val="21"/>
          <w:szCs w:val="21"/>
          <w:lang w:eastAsia="zh-CN"/>
        </w:rPr>
        <w:t>）课程目标与专业毕业要求的关系</w:t>
      </w:r>
      <w:bookmarkEnd w:id="316"/>
    </w:p>
    <w:tbl>
      <w:tblPr>
        <w:tblStyle w:val="15"/>
        <w:tblW w:w="8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5839"/>
        <w:gridCol w:w="1339"/>
      </w:tblGrid>
      <w:tr w14:paraId="130F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11" w:type="dxa"/>
            <w:vAlign w:val="center"/>
          </w:tcPr>
          <w:p w14:paraId="3F084A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bCs/>
                <w:color w:val="auto"/>
                <w:sz w:val="21"/>
                <w:szCs w:val="21"/>
                <w:lang w:eastAsia="zh-CN"/>
              </w:rPr>
            </w:pPr>
            <w:r>
              <w:rPr>
                <w:rFonts w:hint="eastAsia" w:ascii="宋体" w:hAnsi="宋体" w:eastAsia="宋体" w:cs="Times New Roman"/>
                <w:b/>
                <w:bCs/>
                <w:color w:val="auto"/>
                <w:sz w:val="21"/>
                <w:szCs w:val="21"/>
                <w:lang w:val="en-US" w:eastAsia="zh-CN"/>
              </w:rPr>
              <w:t>毕业要求</w:t>
            </w:r>
          </w:p>
        </w:tc>
        <w:tc>
          <w:tcPr>
            <w:tcW w:w="5839" w:type="dxa"/>
            <w:vAlign w:val="center"/>
          </w:tcPr>
          <w:p w14:paraId="2EF2F4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bCs/>
                <w:color w:val="auto"/>
                <w:sz w:val="21"/>
                <w:szCs w:val="21"/>
                <w:lang w:val="en-US" w:eastAsia="zh-CN"/>
              </w:rPr>
            </w:pPr>
            <w:r>
              <w:rPr>
                <w:rFonts w:hint="eastAsia" w:ascii="宋体" w:hAnsi="宋体" w:eastAsia="宋体" w:cs="Times New Roman"/>
                <w:b/>
                <w:bCs/>
                <w:color w:val="auto"/>
                <w:sz w:val="21"/>
                <w:szCs w:val="21"/>
                <w:lang w:val="en-US" w:eastAsia="zh-CN"/>
              </w:rPr>
              <w:t>毕业要求指标点</w:t>
            </w:r>
          </w:p>
        </w:tc>
        <w:tc>
          <w:tcPr>
            <w:tcW w:w="1339" w:type="dxa"/>
            <w:vAlign w:val="center"/>
          </w:tcPr>
          <w:p w14:paraId="1FABE1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Times New Roman"/>
                <w:b/>
                <w:bCs/>
                <w:color w:val="auto"/>
                <w:sz w:val="21"/>
                <w:szCs w:val="21"/>
                <w:lang w:val="en-US" w:eastAsia="zh-CN"/>
              </w:rPr>
            </w:pPr>
            <w:r>
              <w:rPr>
                <w:rFonts w:hint="eastAsia" w:ascii="宋体" w:hAnsi="宋体" w:eastAsia="宋体" w:cs="Times New Roman"/>
                <w:b/>
                <w:bCs/>
                <w:color w:val="auto"/>
                <w:sz w:val="21"/>
                <w:szCs w:val="21"/>
                <w:lang w:val="en-US" w:eastAsia="zh-CN"/>
              </w:rPr>
              <w:t>课程目标</w:t>
            </w:r>
          </w:p>
        </w:tc>
      </w:tr>
      <w:tr w14:paraId="5972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511" w:type="dxa"/>
            <w:vMerge w:val="restart"/>
            <w:vAlign w:val="center"/>
          </w:tcPr>
          <w:p w14:paraId="607D0519">
            <w:pPr>
              <w:spacing w:after="160" w:line="24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毕业要求7</w:t>
            </w:r>
          </w:p>
          <w:p w14:paraId="19D74023">
            <w:pPr>
              <w:spacing w:after="160" w:line="240" w:lineRule="auto"/>
              <w:jc w:val="center"/>
              <w:rPr>
                <w:rFonts w:hint="eastAsia" w:ascii="宋体" w:hAnsi="宋体" w:eastAsia="宋体" w:cs="Times New Roman"/>
                <w:b w:val="0"/>
                <w:bCs w:val="0"/>
                <w:color w:val="auto"/>
                <w:kern w:val="0"/>
                <w:sz w:val="21"/>
                <w:szCs w:val="21"/>
              </w:rPr>
            </w:pPr>
            <w:r>
              <w:rPr>
                <w:rFonts w:hint="eastAsia" w:ascii="宋体" w:hAnsi="宋体" w:eastAsia="宋体" w:cs="宋体"/>
                <w:b w:val="0"/>
                <w:bCs w:val="0"/>
                <w:color w:val="auto"/>
                <w:sz w:val="21"/>
                <w:szCs w:val="21"/>
                <w:lang w:val="en-US" w:eastAsia="zh-CN"/>
              </w:rPr>
              <w:t>学会反思</w:t>
            </w:r>
          </w:p>
        </w:tc>
        <w:tc>
          <w:tcPr>
            <w:tcW w:w="5839" w:type="dxa"/>
            <w:vAlign w:val="center"/>
          </w:tcPr>
          <w:p w14:paraId="71C4430C">
            <w:pPr>
              <w:keepNext w:val="0"/>
              <w:keepLines w:val="0"/>
              <w:pageBreakBefore w:val="0"/>
              <w:widowControl w:val="0"/>
              <w:kinsoku/>
              <w:wordWrap/>
              <w:overflowPunct/>
              <w:topLinePunct w:val="0"/>
              <w:autoSpaceDE w:val="0"/>
              <w:autoSpaceDN w:val="0"/>
              <w:bidi w:val="0"/>
              <w:adjustRightInd w:val="0"/>
              <w:snapToGrid/>
              <w:spacing w:line="312" w:lineRule="auto"/>
              <w:jc w:val="left"/>
              <w:textAlignment w:val="auto"/>
              <w:rPr>
                <w:rFonts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rPr>
              <w:t>指标点7-1：【教育视野开阔】积极关注基础教育领域的国内外交流进展，了解国内外基础教育改革发展的动态，具有宽广的教育视野，能够主动适应新时代和教育发展需求。</w:t>
            </w:r>
          </w:p>
        </w:tc>
        <w:tc>
          <w:tcPr>
            <w:tcW w:w="1339" w:type="dxa"/>
            <w:shd w:val="clear" w:color="auto" w:fill="auto"/>
            <w:vAlign w:val="center"/>
          </w:tcPr>
          <w:p w14:paraId="5B922B4E">
            <w:pPr>
              <w:spacing w:after="160"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课程目标</w:t>
            </w:r>
          </w:p>
          <w:p w14:paraId="26C8681E">
            <w:pPr>
              <w:spacing w:after="160" w:line="240" w:lineRule="auto"/>
              <w:jc w:val="center"/>
              <w:rPr>
                <w:rFonts w:hint="eastAsia" w:ascii="宋体" w:hAnsi="宋体" w:eastAsia="宋体" w:cs="宋体"/>
                <w:b w:val="0"/>
                <w:bCs w:val="0"/>
                <w:color w:val="auto"/>
                <w:kern w:val="2"/>
                <w:sz w:val="21"/>
                <w:szCs w:val="21"/>
                <w:lang w:val="en-US" w:eastAsia="zh" w:bidi="ar-SA"/>
              </w:rPr>
            </w:pPr>
            <w:r>
              <w:rPr>
                <w:rFonts w:hint="eastAsia" w:ascii="宋体" w:hAnsi="宋体" w:eastAsia="宋体" w:cs="宋体"/>
                <w:b w:val="0"/>
                <w:bCs w:val="0"/>
                <w:color w:val="auto"/>
                <w:sz w:val="21"/>
                <w:szCs w:val="21"/>
              </w:rPr>
              <w:t>1</w:t>
            </w:r>
            <w:r>
              <w:rPr>
                <w:rFonts w:hint="eastAsia" w:ascii="宋体" w:hAnsi="宋体" w:eastAsia="宋体" w:cs="宋体"/>
                <w:b w:val="0"/>
                <w:bCs w:val="0"/>
                <w:color w:val="auto"/>
                <w:sz w:val="21"/>
                <w:szCs w:val="21"/>
                <w:lang w:eastAsia="zh"/>
              </w:rPr>
              <w:t>、2</w:t>
            </w:r>
          </w:p>
        </w:tc>
      </w:tr>
      <w:tr w14:paraId="5F2E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11" w:type="dxa"/>
            <w:vMerge w:val="continue"/>
            <w:vAlign w:val="center"/>
          </w:tcPr>
          <w:p w14:paraId="29F6B39E">
            <w:pPr>
              <w:spacing w:after="160" w:line="240" w:lineRule="auto"/>
              <w:rPr>
                <w:rFonts w:hint="eastAsia" w:ascii="宋体" w:hAnsi="宋体" w:eastAsia="宋体" w:cs="Times New Roman"/>
                <w:b w:val="0"/>
                <w:bCs w:val="0"/>
                <w:color w:val="auto"/>
                <w:spacing w:val="2"/>
                <w:kern w:val="0"/>
                <w:sz w:val="21"/>
                <w:szCs w:val="21"/>
              </w:rPr>
            </w:pPr>
          </w:p>
        </w:tc>
        <w:tc>
          <w:tcPr>
            <w:tcW w:w="5839" w:type="dxa"/>
          </w:tcPr>
          <w:p w14:paraId="78558684">
            <w:pPr>
              <w:keepNext w:val="0"/>
              <w:keepLines w:val="0"/>
              <w:pageBreakBefore w:val="0"/>
              <w:widowControl w:val="0"/>
              <w:kinsoku/>
              <w:wordWrap/>
              <w:overflowPunct/>
              <w:topLinePunct w:val="0"/>
              <w:autoSpaceDE w:val="0"/>
              <w:autoSpaceDN w:val="0"/>
              <w:bidi w:val="0"/>
              <w:adjustRightInd w:val="0"/>
              <w:snapToGrid/>
              <w:spacing w:line="312" w:lineRule="auto"/>
              <w:jc w:val="left"/>
              <w:textAlignment w:val="auto"/>
              <w:rPr>
                <w:rFonts w:hint="eastAsia" w:ascii="Times New Roman" w:hAnsi="宋体" w:eastAsia="宋体" w:cs="Times New Roman"/>
                <w:b w:val="0"/>
                <w:bCs w:val="0"/>
                <w:color w:val="auto"/>
                <w:kern w:val="0"/>
                <w:sz w:val="21"/>
                <w:szCs w:val="21"/>
              </w:rPr>
            </w:pPr>
            <w:r>
              <w:rPr>
                <w:rFonts w:hint="eastAsia" w:ascii="宋体" w:hAnsi="宋体" w:eastAsia="宋体" w:cs="宋体"/>
                <w:b w:val="0"/>
                <w:bCs w:val="0"/>
                <w:color w:val="auto"/>
                <w:kern w:val="0"/>
                <w:sz w:val="21"/>
                <w:szCs w:val="21"/>
              </w:rPr>
              <w:t>指标点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39" w:type="dxa"/>
            <w:shd w:val="clear" w:color="auto" w:fill="auto"/>
            <w:vAlign w:val="center"/>
          </w:tcPr>
          <w:p w14:paraId="21694F48">
            <w:pPr>
              <w:spacing w:after="160"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课程目标</w:t>
            </w:r>
          </w:p>
          <w:p w14:paraId="14A8BC20">
            <w:pPr>
              <w:spacing w:after="160" w:line="240" w:lineRule="auto"/>
              <w:jc w:val="center"/>
              <w:rPr>
                <w:rFonts w:hint="eastAsia" w:ascii="宋体" w:hAnsi="宋体" w:eastAsia="宋体" w:cs="宋体"/>
                <w:b w:val="0"/>
                <w:bCs w:val="0"/>
                <w:color w:val="auto"/>
                <w:kern w:val="2"/>
                <w:sz w:val="21"/>
                <w:szCs w:val="21"/>
                <w:lang w:val="en-US" w:eastAsia="zh" w:bidi="ar-SA"/>
              </w:rPr>
            </w:pPr>
            <w:r>
              <w:rPr>
                <w:rFonts w:hint="eastAsia" w:ascii="宋体" w:hAnsi="宋体" w:eastAsia="宋体" w:cs="宋体"/>
                <w:b w:val="0"/>
                <w:bCs w:val="0"/>
                <w:color w:val="auto"/>
                <w:sz w:val="21"/>
                <w:szCs w:val="21"/>
              </w:rPr>
              <w:t>3</w:t>
            </w:r>
            <w:r>
              <w:rPr>
                <w:rFonts w:hint="eastAsia" w:ascii="宋体" w:hAnsi="宋体" w:eastAsia="宋体" w:cs="宋体"/>
                <w:b w:val="0"/>
                <w:bCs w:val="0"/>
                <w:color w:val="auto"/>
                <w:sz w:val="21"/>
                <w:szCs w:val="21"/>
                <w:lang w:eastAsia="zh"/>
              </w:rPr>
              <w:t>、4</w:t>
            </w:r>
          </w:p>
        </w:tc>
      </w:tr>
    </w:tbl>
    <w:p w14:paraId="6D32A9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Times New Roman"/>
          <w:b/>
          <w:color w:val="auto"/>
          <w:kern w:val="0"/>
          <w:sz w:val="21"/>
          <w:szCs w:val="21"/>
          <w:lang w:val="en-US" w:eastAsia="zh-CN"/>
        </w:rPr>
      </w:pPr>
      <w:r>
        <w:rPr>
          <w:rFonts w:hint="eastAsia" w:ascii="宋体" w:hAnsi="宋体" w:eastAsia="宋体" w:cs="Times New Roman"/>
          <w:b/>
          <w:color w:val="auto"/>
          <w:kern w:val="0"/>
          <w:sz w:val="24"/>
        </w:rPr>
        <w:t xml:space="preserve">   </w:t>
      </w:r>
      <w:r>
        <w:rPr>
          <w:rFonts w:hint="eastAsia" w:ascii="宋体" w:hAnsi="宋体" w:eastAsia="宋体" w:cs="Times New Roman"/>
          <w:b/>
          <w:color w:val="auto"/>
          <w:kern w:val="0"/>
          <w:sz w:val="21"/>
          <w:szCs w:val="21"/>
          <w:lang w:eastAsia="zh-CN"/>
        </w:rPr>
        <w:t>（</w:t>
      </w:r>
      <w:r>
        <w:rPr>
          <w:rFonts w:hint="eastAsia" w:ascii="宋体" w:hAnsi="宋体" w:eastAsia="宋体" w:cs="Times New Roman"/>
          <w:b/>
          <w:color w:val="auto"/>
          <w:kern w:val="0"/>
          <w:sz w:val="21"/>
          <w:szCs w:val="21"/>
          <w:lang w:val="en-US" w:eastAsia="zh-CN"/>
        </w:rPr>
        <w:t>三</w:t>
      </w:r>
      <w:r>
        <w:rPr>
          <w:rFonts w:hint="eastAsia" w:ascii="宋体" w:hAnsi="宋体" w:eastAsia="宋体" w:cs="Times New Roman"/>
          <w:b/>
          <w:color w:val="auto"/>
          <w:kern w:val="0"/>
          <w:sz w:val="21"/>
          <w:szCs w:val="21"/>
          <w:lang w:eastAsia="zh-CN"/>
        </w:rPr>
        <w:t>）</w:t>
      </w:r>
      <w:r>
        <w:rPr>
          <w:rFonts w:hint="eastAsia" w:ascii="宋体" w:hAnsi="宋体" w:eastAsia="宋体" w:cs="Times New Roman"/>
          <w:b/>
          <w:color w:val="auto"/>
          <w:kern w:val="0"/>
          <w:sz w:val="21"/>
          <w:szCs w:val="21"/>
        </w:rPr>
        <w:t xml:space="preserve"> </w:t>
      </w:r>
      <w:r>
        <w:rPr>
          <w:rFonts w:hint="eastAsia" w:ascii="宋体" w:hAnsi="宋体" w:eastAsia="宋体" w:cs="Times New Roman"/>
          <w:b/>
          <w:color w:val="auto"/>
          <w:kern w:val="0"/>
          <w:sz w:val="21"/>
          <w:szCs w:val="21"/>
          <w:lang w:val="en-US" w:eastAsia="zh-CN"/>
        </w:rPr>
        <w:t>课程思政目标</w:t>
      </w:r>
    </w:p>
    <w:p w14:paraId="0E6E6CC0">
      <w:pPr>
        <w:spacing w:after="160" w:line="360" w:lineRule="auto"/>
        <w:ind w:firstLine="420" w:firstLineChars="200"/>
        <w:rPr>
          <w:rFonts w:hint="eastAsia" w:ascii="宋体" w:hAnsi="宋体" w:eastAsia="宋体" w:cs="Times New Roman"/>
          <w:b w:val="0"/>
          <w:bCs/>
          <w:color w:val="auto"/>
          <w:kern w:val="0"/>
          <w:sz w:val="21"/>
          <w:szCs w:val="21"/>
          <w:lang w:val="en-US" w:eastAsia="zh-CN"/>
        </w:rPr>
      </w:pPr>
      <w:r>
        <w:rPr>
          <w:rFonts w:hint="eastAsia" w:ascii="宋体" w:hAnsi="宋体" w:eastAsia="宋体" w:cs="Times New Roman"/>
          <w:b w:val="0"/>
          <w:bCs/>
          <w:color w:val="auto"/>
          <w:kern w:val="0"/>
          <w:sz w:val="21"/>
          <w:szCs w:val="21"/>
          <w:lang w:val="en-US" w:eastAsia="zh-CN"/>
        </w:rPr>
        <w:t>用马克思主义观点剖析人类历史发展规律，理解我国新时代社会转型及教育改革需求；明确基础教育要以人民为中心、发展教育要促进人的全面发展等基本治国理念；用马克思辩证唯物主义的观点全面分析国外基础教育改革的历史背景，以客观开放的心态吸收借鉴国外先进教育改革经验；坚持中国特色社会主义文化自信。</w:t>
      </w:r>
    </w:p>
    <w:p w14:paraId="702B1999">
      <w:pPr>
        <w:spacing w:line="360" w:lineRule="auto"/>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三、</w:t>
      </w:r>
      <w:r>
        <w:rPr>
          <w:rFonts w:hint="eastAsia" w:ascii="Times New Roman" w:hAnsi="Times New Roman" w:eastAsia="宋体" w:cs="Times New Roman"/>
          <w:b/>
          <w:color w:val="auto"/>
          <w:sz w:val="24"/>
          <w:szCs w:val="24"/>
        </w:rPr>
        <w:t>教学内容与预期学习成效</w:t>
      </w:r>
    </w:p>
    <w:tbl>
      <w:tblPr>
        <w:tblStyle w:val="16"/>
        <w:tblW w:w="9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2758"/>
        <w:gridCol w:w="1092"/>
        <w:gridCol w:w="2285"/>
        <w:gridCol w:w="1748"/>
        <w:gridCol w:w="508"/>
      </w:tblGrid>
      <w:tr w14:paraId="6169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Align w:val="center"/>
          </w:tcPr>
          <w:p w14:paraId="36172375">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w:t>
            </w:r>
          </w:p>
          <w:p w14:paraId="5652F5F6">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单元</w:t>
            </w:r>
          </w:p>
        </w:tc>
        <w:tc>
          <w:tcPr>
            <w:tcW w:w="2758" w:type="dxa"/>
            <w:vAlign w:val="center"/>
          </w:tcPr>
          <w:p w14:paraId="3323B7D6">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知识点</w:t>
            </w:r>
          </w:p>
        </w:tc>
        <w:tc>
          <w:tcPr>
            <w:tcW w:w="1092" w:type="dxa"/>
            <w:vAlign w:val="center"/>
          </w:tcPr>
          <w:p w14:paraId="3AA33FA7">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对应</w:t>
            </w:r>
          </w:p>
          <w:p w14:paraId="04FDC6B8">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课程目标</w:t>
            </w:r>
          </w:p>
        </w:tc>
        <w:tc>
          <w:tcPr>
            <w:tcW w:w="2285" w:type="dxa"/>
            <w:vAlign w:val="center"/>
          </w:tcPr>
          <w:p w14:paraId="3AD727E8">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预期学习成效</w:t>
            </w:r>
          </w:p>
        </w:tc>
        <w:tc>
          <w:tcPr>
            <w:tcW w:w="1748" w:type="dxa"/>
            <w:vAlign w:val="center"/>
          </w:tcPr>
          <w:p w14:paraId="2F849F55">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实现环节</w:t>
            </w:r>
          </w:p>
        </w:tc>
        <w:tc>
          <w:tcPr>
            <w:tcW w:w="508" w:type="dxa"/>
            <w:vAlign w:val="center"/>
          </w:tcPr>
          <w:p w14:paraId="75E4A86C">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学时</w:t>
            </w:r>
          </w:p>
        </w:tc>
      </w:tr>
      <w:tr w14:paraId="1A11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restart"/>
            <w:vAlign w:val="center"/>
          </w:tcPr>
          <w:p w14:paraId="7C86246A">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kern w:val="0"/>
                <w:sz w:val="21"/>
                <w:szCs w:val="21"/>
                <w:lang w:val="en-US" w:eastAsia="zh-CN" w:bidi="ar"/>
              </w:rPr>
              <w:t>社会转型与各国基础教育改革</w:t>
            </w:r>
          </w:p>
        </w:tc>
        <w:tc>
          <w:tcPr>
            <w:tcW w:w="2758" w:type="dxa"/>
            <w:vAlign w:val="center"/>
          </w:tcPr>
          <w:p w14:paraId="2D0AEB0A">
            <w:pPr>
              <w:widowControl/>
              <w:spacing w:line="240" w:lineRule="auto"/>
              <w:jc w:val="left"/>
              <w:textAlignment w:val="center"/>
              <w:rPr>
                <w:rFonts w:hint="eastAsia" w:ascii="宋体" w:hAnsi="宋体" w:eastAsia="宋体" w:cs="Times New Roman"/>
                <w:color w:val="auto"/>
                <w:sz w:val="21"/>
                <w:szCs w:val="21"/>
              </w:rPr>
            </w:pPr>
            <w:r>
              <w:rPr>
                <w:rFonts w:ascii="宋体" w:hAnsi="宋体" w:eastAsia="宋体" w:cs="Times New Roman"/>
                <w:color w:val="auto"/>
                <w:kern w:val="0"/>
                <w:sz w:val="21"/>
                <w:szCs w:val="21"/>
                <w:lang w:val="en-US" w:eastAsia="zh-CN" w:bidi="ar"/>
              </w:rPr>
              <w:t>（1）社会转型的含义与特征</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（2）基础教育改革的必要性及政策分析</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（3）基础教育改革的问题及策略</w:t>
            </w:r>
          </w:p>
        </w:tc>
        <w:tc>
          <w:tcPr>
            <w:tcW w:w="1092" w:type="dxa"/>
            <w:vAlign w:val="center"/>
          </w:tcPr>
          <w:p w14:paraId="278FC70B">
            <w:pPr>
              <w:widowControl/>
              <w:spacing w:line="240" w:lineRule="auto"/>
              <w:jc w:val="center"/>
              <w:textAlignment w:val="center"/>
              <w:rPr>
                <w:rFonts w:hint="default" w:ascii="宋体" w:hAnsi="宋体" w:eastAsia="宋体" w:cs="Times New Roman"/>
                <w:color w:val="auto"/>
                <w:sz w:val="21"/>
                <w:szCs w:val="21"/>
                <w:lang w:val="en-US" w:eastAsia="zh-CN"/>
              </w:rPr>
            </w:pPr>
            <w:r>
              <w:rPr>
                <w:rFonts w:hint="eastAsia" w:ascii="宋体" w:hAnsi="宋体" w:eastAsia="宋体" w:cs="Times New Roman"/>
                <w:color w:val="auto"/>
                <w:kern w:val="0"/>
                <w:sz w:val="21"/>
                <w:szCs w:val="21"/>
                <w:lang w:val="en-US" w:eastAsia="zh-CN" w:bidi="ar"/>
              </w:rPr>
              <w:t>课程目标1</w:t>
            </w:r>
          </w:p>
        </w:tc>
        <w:tc>
          <w:tcPr>
            <w:tcW w:w="2285" w:type="dxa"/>
            <w:vAlign w:val="center"/>
          </w:tcPr>
          <w:p w14:paraId="434F46CB">
            <w:pPr>
              <w:widowControl/>
              <w:spacing w:line="240" w:lineRule="auto"/>
              <w:jc w:val="left"/>
              <w:textAlignment w:val="center"/>
              <w:rPr>
                <w:rFonts w:hint="eastAsia" w:ascii="宋体" w:hAnsi="宋体" w:eastAsia="宋体" w:cs="Times New Roman"/>
                <w:color w:val="auto"/>
                <w:sz w:val="21"/>
                <w:szCs w:val="21"/>
              </w:rPr>
            </w:pPr>
            <w:r>
              <w:rPr>
                <w:rFonts w:ascii="宋体" w:hAnsi="宋体" w:eastAsia="宋体" w:cs="Times New Roman"/>
                <w:color w:val="auto"/>
                <w:kern w:val="0"/>
                <w:sz w:val="21"/>
                <w:szCs w:val="21"/>
                <w:lang w:val="en-US" w:eastAsia="zh-CN" w:bidi="ar"/>
              </w:rPr>
              <w:t>（1）了解社会转型的含义与特征</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（2）理解社会转型与基础教育改革的关系</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（3）掌握基础教育改革的问题及策略</w:t>
            </w:r>
          </w:p>
        </w:tc>
        <w:tc>
          <w:tcPr>
            <w:tcW w:w="1748" w:type="dxa"/>
            <w:vAlign w:val="center"/>
          </w:tcPr>
          <w:p w14:paraId="4D4251E1">
            <w:pPr>
              <w:pStyle w:val="14"/>
              <w:widowControl/>
              <w:spacing w:beforeAutospacing="0" w:after="0" w:afterAutospacing="0" w:line="240" w:lineRule="auto"/>
              <w:ind w:left="0" w:right="0" w:firstLine="0"/>
              <w:jc w:val="left"/>
              <w:rPr>
                <w:rFonts w:ascii="-webkit-standard" w:hAnsi="-webkit-standard" w:eastAsia="-webkit-standard" w:cs="-webkit-standard"/>
                <w:i w:val="0"/>
                <w:caps w:val="0"/>
                <w:color w:val="auto"/>
                <w:spacing w:val="0"/>
                <w:sz w:val="21"/>
                <w:szCs w:val="21"/>
                <w:u w:val="none"/>
              </w:rPr>
            </w:pPr>
            <w:r>
              <w:rPr>
                <w:rFonts w:hint="eastAsia" w:ascii="宋体" w:hAnsi="宋体" w:eastAsia="宋体" w:cs="宋体"/>
                <w:i w:val="0"/>
                <w:caps w:val="0"/>
                <w:color w:val="auto"/>
                <w:spacing w:val="0"/>
                <w:sz w:val="21"/>
                <w:szCs w:val="21"/>
                <w:u w:val="none"/>
              </w:rPr>
              <w:t>1.线上学习</w:t>
            </w:r>
          </w:p>
          <w:p w14:paraId="7C2A6CCD">
            <w:pPr>
              <w:pStyle w:val="14"/>
              <w:widowControl/>
              <w:spacing w:beforeAutospacing="0" w:after="0" w:afterAutospacing="0" w:line="240" w:lineRule="auto"/>
              <w:ind w:left="0" w:right="0" w:firstLine="0"/>
              <w:jc w:val="left"/>
              <w:rPr>
                <w:rFonts w:hint="eastAsia" w:ascii="宋体" w:hAnsi="宋体" w:eastAsia="宋体" w:cs="宋体"/>
                <w:i w:val="0"/>
                <w:caps w:val="0"/>
                <w:color w:val="auto"/>
                <w:spacing w:val="0"/>
                <w:sz w:val="21"/>
                <w:szCs w:val="21"/>
                <w:u w:val="none"/>
              </w:rPr>
            </w:pPr>
            <w:r>
              <w:rPr>
                <w:rFonts w:hint="eastAsia" w:ascii="宋体" w:hAnsi="宋体" w:eastAsia="宋体" w:cs="宋体"/>
                <w:i w:val="0"/>
                <w:caps w:val="0"/>
                <w:color w:val="auto"/>
                <w:spacing w:val="0"/>
                <w:sz w:val="21"/>
                <w:szCs w:val="21"/>
                <w:u w:val="none"/>
              </w:rPr>
              <w:t>2.多媒体教学</w:t>
            </w:r>
          </w:p>
          <w:p w14:paraId="1FB6B0E9">
            <w:pPr>
              <w:pStyle w:val="14"/>
              <w:widowControl/>
              <w:spacing w:beforeAutospacing="0" w:after="0" w:afterAutospacing="0" w:line="240" w:lineRule="auto"/>
              <w:ind w:left="0" w:right="0" w:firstLine="0"/>
              <w:jc w:val="left"/>
              <w:rPr>
                <w:rFonts w:hint="default" w:ascii="-webkit-standard" w:hAnsi="-webkit-standard" w:eastAsia="-webkit-standard" w:cs="-webkit-standard"/>
                <w:i w:val="0"/>
                <w:caps w:val="0"/>
                <w:color w:val="auto"/>
                <w:spacing w:val="0"/>
                <w:sz w:val="21"/>
                <w:szCs w:val="21"/>
                <w:u w:val="none"/>
              </w:rPr>
            </w:pPr>
            <w:r>
              <w:rPr>
                <w:rFonts w:hint="eastAsia" w:ascii="宋体" w:hAnsi="宋体" w:eastAsia="宋体" w:cs="宋体"/>
                <w:i w:val="0"/>
                <w:caps w:val="0"/>
                <w:color w:val="auto"/>
                <w:spacing w:val="0"/>
                <w:sz w:val="21"/>
                <w:szCs w:val="21"/>
                <w:u w:val="none"/>
              </w:rPr>
              <w:t>3.课堂讨论</w:t>
            </w:r>
          </w:p>
          <w:p w14:paraId="33644F48">
            <w:pPr>
              <w:pStyle w:val="14"/>
              <w:widowControl/>
              <w:spacing w:beforeAutospacing="0" w:after="0" w:afterAutospacing="0" w:line="240" w:lineRule="auto"/>
              <w:ind w:left="0" w:right="0" w:firstLine="0"/>
              <w:jc w:val="left"/>
              <w:rPr>
                <w:rFonts w:hint="eastAsia" w:ascii="宋体" w:hAnsi="宋体" w:eastAsia="宋体" w:cs="Times New Roman"/>
                <w:color w:val="auto"/>
                <w:sz w:val="21"/>
                <w:szCs w:val="21"/>
              </w:rPr>
            </w:pPr>
            <w:r>
              <w:rPr>
                <w:rFonts w:hint="eastAsia" w:ascii="宋体" w:hAnsi="宋体" w:eastAsia="宋体" w:cs="宋体"/>
                <w:i w:val="0"/>
                <w:caps w:val="0"/>
                <w:color w:val="auto"/>
                <w:spacing w:val="0"/>
                <w:sz w:val="21"/>
                <w:szCs w:val="21"/>
                <w:u w:val="none"/>
              </w:rPr>
              <w:t>4.单元测验</w:t>
            </w:r>
          </w:p>
        </w:tc>
        <w:tc>
          <w:tcPr>
            <w:tcW w:w="508" w:type="dxa"/>
            <w:vAlign w:val="center"/>
          </w:tcPr>
          <w:p w14:paraId="27FC93DA">
            <w:pPr>
              <w:widowControl/>
              <w:spacing w:line="240" w:lineRule="auto"/>
              <w:jc w:val="center"/>
              <w:textAlignment w:val="center"/>
              <w:rPr>
                <w:rFonts w:hint="eastAsia" w:ascii="宋体" w:hAnsi="宋体" w:eastAsia="宋体" w:cs="Times New Roman"/>
                <w:color w:val="auto"/>
                <w:sz w:val="21"/>
                <w:szCs w:val="21"/>
                <w:lang w:eastAsia="zh-CN"/>
              </w:rPr>
            </w:pPr>
            <w:r>
              <w:rPr>
                <w:rFonts w:hint="eastAsia" w:ascii="宋体" w:hAnsi="宋体" w:eastAsia="宋体" w:cs="Times New Roman"/>
                <w:color w:val="auto"/>
                <w:kern w:val="0"/>
                <w:sz w:val="21"/>
                <w:szCs w:val="21"/>
                <w:lang w:val="en-US" w:eastAsia="zh-CN" w:bidi="ar"/>
              </w:rPr>
              <w:t>2</w:t>
            </w:r>
          </w:p>
        </w:tc>
      </w:tr>
      <w:tr w14:paraId="7F83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vAlign w:val="center"/>
          </w:tcPr>
          <w:p w14:paraId="2074DB6E">
            <w:pPr>
              <w:spacing w:line="240" w:lineRule="auto"/>
              <w:jc w:val="center"/>
              <w:rPr>
                <w:rFonts w:hint="eastAsia" w:ascii="宋体" w:hAnsi="宋体" w:eastAsia="宋体" w:cs="Times New Roman"/>
                <w:color w:val="auto"/>
                <w:sz w:val="21"/>
                <w:szCs w:val="21"/>
              </w:rPr>
            </w:pPr>
          </w:p>
        </w:tc>
        <w:tc>
          <w:tcPr>
            <w:tcW w:w="8391" w:type="dxa"/>
            <w:gridSpan w:val="5"/>
            <w:vAlign w:val="center"/>
          </w:tcPr>
          <w:p w14:paraId="3DAA361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b w:val="0"/>
                <w:bCs/>
                <w:color w:val="auto"/>
                <w:sz w:val="21"/>
                <w:szCs w:val="21"/>
              </w:rPr>
              <w:t>用马克思主义观点剖析人类历史发展规律，理解我国新时代社会转型及教育改革需求；明确基础教育要以人民为中心、发展教育要促进人的全面发展等基本治国理念。</w:t>
            </w:r>
          </w:p>
        </w:tc>
      </w:tr>
      <w:tr w14:paraId="208D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restart"/>
            <w:vAlign w:val="center"/>
          </w:tcPr>
          <w:p w14:paraId="4720B1B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2.美国基础教育改革热点</w:t>
            </w:r>
          </w:p>
        </w:tc>
        <w:tc>
          <w:tcPr>
            <w:tcW w:w="2758" w:type="dxa"/>
            <w:vAlign w:val="center"/>
          </w:tcPr>
          <w:p w14:paraId="5640C5EF">
            <w:pPr>
              <w:widowControl/>
              <w:spacing w:line="240" w:lineRule="auto"/>
              <w:jc w:val="left"/>
              <w:textAlignment w:val="center"/>
              <w:rPr>
                <w:rFonts w:hint="eastAsia" w:ascii="宋体" w:hAnsi="宋体" w:eastAsia="宋体" w:cs="Times New Roman"/>
                <w:color w:val="auto"/>
                <w:sz w:val="21"/>
                <w:szCs w:val="21"/>
              </w:rPr>
            </w:pPr>
            <w:r>
              <w:rPr>
                <w:rFonts w:ascii="宋体" w:hAnsi="宋体" w:eastAsia="宋体" w:cs="Times New Roman"/>
                <w:color w:val="auto"/>
                <w:kern w:val="0"/>
                <w:sz w:val="21"/>
                <w:szCs w:val="21"/>
                <w:lang w:val="en-US" w:eastAsia="zh-CN" w:bidi="ar"/>
              </w:rPr>
              <w:t>（1）美国基础教育改革的进程</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（2）美国基础教育改革的问题</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（3）美国基础教育改革的现实意义</w:t>
            </w:r>
          </w:p>
        </w:tc>
        <w:tc>
          <w:tcPr>
            <w:tcW w:w="1092" w:type="dxa"/>
            <w:vAlign w:val="center"/>
          </w:tcPr>
          <w:p w14:paraId="7195DD4C">
            <w:pPr>
              <w:widowControl/>
              <w:spacing w:line="240" w:lineRule="auto"/>
              <w:jc w:val="center"/>
              <w:textAlignment w:val="center"/>
              <w:rPr>
                <w:rFonts w:hint="eastAsia" w:ascii="宋体" w:hAnsi="宋体" w:eastAsia="宋体" w:cs="Times New Roman"/>
                <w:color w:val="auto"/>
                <w:sz w:val="21"/>
                <w:szCs w:val="21"/>
                <w:lang w:eastAsia="zh-CN"/>
              </w:rPr>
            </w:pPr>
            <w:r>
              <w:rPr>
                <w:rFonts w:hint="eastAsia" w:ascii="宋体" w:hAnsi="宋体" w:eastAsia="宋体" w:cs="Times New Roman"/>
                <w:color w:val="auto"/>
                <w:kern w:val="0"/>
                <w:sz w:val="21"/>
                <w:szCs w:val="21"/>
                <w:lang w:val="en-US" w:eastAsia="zh-CN" w:bidi="ar"/>
              </w:rPr>
              <w:t>课程目标2、4</w:t>
            </w:r>
          </w:p>
        </w:tc>
        <w:tc>
          <w:tcPr>
            <w:tcW w:w="2285" w:type="dxa"/>
            <w:vAlign w:val="center"/>
          </w:tcPr>
          <w:p w14:paraId="190F854F">
            <w:pPr>
              <w:widowControl/>
              <w:spacing w:line="240" w:lineRule="auto"/>
              <w:jc w:val="left"/>
              <w:textAlignment w:val="center"/>
              <w:rPr>
                <w:rFonts w:hint="eastAsia" w:ascii="宋体" w:hAnsi="宋体" w:eastAsia="宋体" w:cs="Times New Roman"/>
                <w:color w:val="auto"/>
                <w:sz w:val="21"/>
                <w:szCs w:val="21"/>
              </w:rPr>
            </w:pPr>
            <w:r>
              <w:rPr>
                <w:rFonts w:ascii="宋体" w:hAnsi="宋体" w:eastAsia="宋体" w:cs="Times New Roman"/>
                <w:color w:val="auto"/>
                <w:kern w:val="0"/>
                <w:sz w:val="21"/>
                <w:szCs w:val="21"/>
                <w:lang w:val="en-US" w:eastAsia="zh-CN" w:bidi="ar"/>
              </w:rPr>
              <w:t>（1）了解美国基础教育改革的概况</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（2）掌握美国基础教育的精神实质及对中国的启示</w:t>
            </w:r>
          </w:p>
        </w:tc>
        <w:tc>
          <w:tcPr>
            <w:tcW w:w="1748" w:type="dxa"/>
            <w:vAlign w:val="center"/>
          </w:tcPr>
          <w:p w14:paraId="156315F5">
            <w:pPr>
              <w:pStyle w:val="14"/>
              <w:widowControl/>
              <w:spacing w:beforeAutospacing="0" w:after="0" w:afterAutospacing="0" w:line="240" w:lineRule="auto"/>
              <w:ind w:left="0" w:right="0" w:firstLine="0"/>
              <w:jc w:val="left"/>
              <w:rPr>
                <w:rFonts w:ascii="-webkit-standard" w:hAnsi="-webkit-standard" w:eastAsia="-webkit-standard" w:cs="-webkit-standard"/>
                <w:i w:val="0"/>
                <w:caps w:val="0"/>
                <w:color w:val="auto"/>
                <w:spacing w:val="0"/>
                <w:sz w:val="21"/>
                <w:szCs w:val="21"/>
                <w:u w:val="none"/>
              </w:rPr>
            </w:pPr>
            <w:r>
              <w:rPr>
                <w:rFonts w:hint="eastAsia" w:ascii="宋体" w:hAnsi="宋体" w:eastAsia="宋体" w:cs="宋体"/>
                <w:i w:val="0"/>
                <w:caps w:val="0"/>
                <w:color w:val="auto"/>
                <w:spacing w:val="0"/>
                <w:sz w:val="21"/>
                <w:szCs w:val="21"/>
                <w:u w:val="none"/>
              </w:rPr>
              <w:t>1.线上学习</w:t>
            </w:r>
          </w:p>
          <w:p w14:paraId="1D60BD9D">
            <w:pPr>
              <w:pStyle w:val="14"/>
              <w:widowControl/>
              <w:spacing w:beforeAutospacing="0" w:after="0" w:afterAutospacing="0" w:line="240" w:lineRule="auto"/>
              <w:ind w:left="0" w:right="0" w:firstLine="0"/>
              <w:jc w:val="left"/>
              <w:rPr>
                <w:rFonts w:hint="eastAsia" w:ascii="宋体" w:hAnsi="宋体" w:eastAsia="宋体" w:cs="宋体"/>
                <w:i w:val="0"/>
                <w:caps w:val="0"/>
                <w:color w:val="auto"/>
                <w:spacing w:val="0"/>
                <w:sz w:val="21"/>
                <w:szCs w:val="21"/>
                <w:u w:val="none"/>
              </w:rPr>
            </w:pPr>
            <w:r>
              <w:rPr>
                <w:rFonts w:hint="eastAsia" w:ascii="宋体" w:hAnsi="宋体" w:eastAsia="宋体" w:cs="宋体"/>
                <w:i w:val="0"/>
                <w:caps w:val="0"/>
                <w:color w:val="auto"/>
                <w:spacing w:val="0"/>
                <w:sz w:val="21"/>
                <w:szCs w:val="21"/>
                <w:u w:val="none"/>
              </w:rPr>
              <w:t>2.多媒体教学</w:t>
            </w:r>
          </w:p>
          <w:p w14:paraId="5AD385B5">
            <w:pPr>
              <w:pStyle w:val="14"/>
              <w:widowControl/>
              <w:spacing w:beforeAutospacing="0" w:after="0" w:afterAutospacing="0" w:line="240" w:lineRule="auto"/>
              <w:ind w:left="0" w:right="0" w:firstLine="0"/>
              <w:jc w:val="left"/>
              <w:rPr>
                <w:rFonts w:hint="default" w:ascii="-webkit-standard" w:hAnsi="-webkit-standard" w:eastAsia="-webkit-standard" w:cs="-webkit-standard"/>
                <w:i w:val="0"/>
                <w:caps w:val="0"/>
                <w:color w:val="auto"/>
                <w:spacing w:val="0"/>
                <w:sz w:val="21"/>
                <w:szCs w:val="21"/>
                <w:u w:val="none"/>
              </w:rPr>
            </w:pPr>
            <w:r>
              <w:rPr>
                <w:rFonts w:hint="eastAsia" w:ascii="宋体" w:hAnsi="宋体" w:eastAsia="宋体" w:cs="宋体"/>
                <w:i w:val="0"/>
                <w:caps w:val="0"/>
                <w:color w:val="auto"/>
                <w:spacing w:val="0"/>
                <w:sz w:val="21"/>
                <w:szCs w:val="21"/>
                <w:u w:val="none"/>
              </w:rPr>
              <w:t>3.课堂讨论</w:t>
            </w:r>
          </w:p>
          <w:p w14:paraId="18A55D68">
            <w:pPr>
              <w:pStyle w:val="14"/>
              <w:widowControl/>
              <w:spacing w:beforeAutospacing="0" w:after="0" w:afterAutospacing="0" w:line="240" w:lineRule="auto"/>
              <w:ind w:left="0" w:right="0" w:firstLine="0"/>
              <w:jc w:val="left"/>
              <w:rPr>
                <w:rFonts w:hint="default" w:ascii="-webkit-standard" w:hAnsi="-webkit-standard" w:eastAsia="-webkit-standard" w:cs="-webkit-standard"/>
                <w:i w:val="0"/>
                <w:caps w:val="0"/>
                <w:color w:val="auto"/>
                <w:spacing w:val="0"/>
                <w:sz w:val="21"/>
                <w:szCs w:val="21"/>
                <w:u w:val="none"/>
              </w:rPr>
            </w:pPr>
            <w:r>
              <w:rPr>
                <w:rFonts w:hint="eastAsia" w:ascii="宋体" w:hAnsi="宋体" w:eastAsia="宋体" w:cs="宋体"/>
                <w:i w:val="0"/>
                <w:caps w:val="0"/>
                <w:color w:val="auto"/>
                <w:spacing w:val="0"/>
                <w:sz w:val="21"/>
                <w:szCs w:val="21"/>
                <w:u w:val="none"/>
              </w:rPr>
              <w:t>4.单元测验</w:t>
            </w:r>
          </w:p>
          <w:p w14:paraId="35026FA0">
            <w:pPr>
              <w:widowControl/>
              <w:spacing w:line="240" w:lineRule="auto"/>
              <w:jc w:val="center"/>
              <w:textAlignment w:val="center"/>
              <w:rPr>
                <w:rFonts w:hint="eastAsia" w:ascii="宋体" w:hAnsi="宋体" w:eastAsia="宋体" w:cs="Times New Roman"/>
                <w:color w:val="auto"/>
                <w:sz w:val="21"/>
                <w:szCs w:val="21"/>
              </w:rPr>
            </w:pPr>
          </w:p>
        </w:tc>
        <w:tc>
          <w:tcPr>
            <w:tcW w:w="508" w:type="dxa"/>
            <w:vAlign w:val="center"/>
          </w:tcPr>
          <w:p w14:paraId="2974CEBC">
            <w:pPr>
              <w:widowControl/>
              <w:spacing w:line="240" w:lineRule="auto"/>
              <w:jc w:val="center"/>
              <w:textAlignment w:val="center"/>
              <w:rPr>
                <w:rFonts w:hint="eastAsia" w:ascii="宋体" w:hAnsi="宋体" w:eastAsia="宋体" w:cs="Times New Roman"/>
                <w:color w:val="auto"/>
                <w:sz w:val="21"/>
                <w:szCs w:val="21"/>
                <w:lang w:eastAsia="zh-CN"/>
              </w:rPr>
            </w:pPr>
            <w:r>
              <w:rPr>
                <w:rFonts w:hint="eastAsia" w:ascii="宋体" w:hAnsi="宋体" w:eastAsia="宋体" w:cs="Times New Roman"/>
                <w:color w:val="auto"/>
                <w:kern w:val="0"/>
                <w:sz w:val="21"/>
                <w:szCs w:val="21"/>
                <w:lang w:val="en-US" w:eastAsia="zh-CN" w:bidi="ar"/>
              </w:rPr>
              <w:t>4</w:t>
            </w:r>
          </w:p>
        </w:tc>
      </w:tr>
      <w:tr w14:paraId="37FA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vAlign w:val="center"/>
          </w:tcPr>
          <w:p w14:paraId="6BC7BDF0">
            <w:pPr>
              <w:spacing w:line="240" w:lineRule="auto"/>
              <w:jc w:val="center"/>
              <w:rPr>
                <w:rFonts w:hint="eastAsia" w:ascii="宋体" w:hAnsi="宋体" w:eastAsia="宋体" w:cs="Times New Roman"/>
                <w:color w:val="auto"/>
                <w:sz w:val="21"/>
                <w:szCs w:val="21"/>
              </w:rPr>
            </w:pPr>
          </w:p>
        </w:tc>
        <w:tc>
          <w:tcPr>
            <w:tcW w:w="8391" w:type="dxa"/>
            <w:gridSpan w:val="5"/>
            <w:vAlign w:val="center"/>
          </w:tcPr>
          <w:p w14:paraId="7017252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用马克思辩证唯物主义的观点全面分析美国基础教育改革的历史背景，以客观开放的心态吸收借鉴国外先进教育改革经验；坚持中国特色社会主义文化自信。</w:t>
            </w:r>
          </w:p>
        </w:tc>
      </w:tr>
      <w:tr w14:paraId="1737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restart"/>
            <w:vAlign w:val="center"/>
          </w:tcPr>
          <w:p w14:paraId="26DFB91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3.英国基础教育改革热点</w:t>
            </w:r>
          </w:p>
        </w:tc>
        <w:tc>
          <w:tcPr>
            <w:tcW w:w="2758" w:type="dxa"/>
            <w:vAlign w:val="center"/>
          </w:tcPr>
          <w:p w14:paraId="181F5A5F">
            <w:pPr>
              <w:widowControl/>
              <w:spacing w:line="240" w:lineRule="auto"/>
              <w:jc w:val="left"/>
              <w:textAlignment w:val="center"/>
              <w:rPr>
                <w:rFonts w:hint="eastAsia" w:ascii="宋体" w:hAnsi="宋体" w:eastAsia="宋体" w:cs="Times New Roman"/>
                <w:color w:val="auto"/>
                <w:sz w:val="21"/>
                <w:szCs w:val="21"/>
              </w:rPr>
            </w:pPr>
            <w:r>
              <w:rPr>
                <w:rFonts w:ascii="宋体" w:hAnsi="宋体" w:eastAsia="宋体" w:cs="Times New Roman"/>
                <w:color w:val="auto"/>
                <w:kern w:val="0"/>
                <w:sz w:val="21"/>
                <w:szCs w:val="21"/>
                <w:lang w:val="en-US" w:eastAsia="zh-CN" w:bidi="ar"/>
              </w:rPr>
              <w:t>（1）英国基础教育改革的进程</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（2）英国基础教育改革的问题</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（3）英国基础教育改革的现实意义</w:t>
            </w:r>
          </w:p>
        </w:tc>
        <w:tc>
          <w:tcPr>
            <w:tcW w:w="1092" w:type="dxa"/>
            <w:vAlign w:val="center"/>
          </w:tcPr>
          <w:p w14:paraId="28B97830">
            <w:pPr>
              <w:widowControl/>
              <w:spacing w:line="240" w:lineRule="auto"/>
              <w:jc w:val="left"/>
              <w:textAlignment w:val="center"/>
              <w:rPr>
                <w:rFonts w:hint="eastAsia" w:ascii="宋体" w:hAnsi="宋体" w:eastAsia="宋体" w:cs="Times New Roman"/>
                <w:color w:val="auto"/>
                <w:sz w:val="21"/>
                <w:szCs w:val="21"/>
              </w:rPr>
            </w:pPr>
            <w:r>
              <w:rPr>
                <w:rFonts w:hint="eastAsia" w:ascii="宋体" w:hAnsi="宋体" w:eastAsia="宋体" w:cs="Times New Roman"/>
                <w:color w:val="auto"/>
                <w:kern w:val="0"/>
                <w:sz w:val="21"/>
                <w:szCs w:val="21"/>
                <w:lang w:val="en-US" w:eastAsia="zh-CN" w:bidi="ar"/>
              </w:rPr>
              <w:t>课程目标2、4</w:t>
            </w:r>
          </w:p>
        </w:tc>
        <w:tc>
          <w:tcPr>
            <w:tcW w:w="2285" w:type="dxa"/>
            <w:vAlign w:val="center"/>
          </w:tcPr>
          <w:p w14:paraId="1E1DF735">
            <w:pPr>
              <w:widowControl/>
              <w:spacing w:line="240" w:lineRule="auto"/>
              <w:jc w:val="left"/>
              <w:textAlignment w:val="center"/>
              <w:rPr>
                <w:rFonts w:hint="eastAsia" w:ascii="宋体" w:hAnsi="宋体" w:eastAsia="宋体" w:cs="Times New Roman"/>
                <w:color w:val="auto"/>
                <w:sz w:val="21"/>
                <w:szCs w:val="21"/>
              </w:rPr>
            </w:pPr>
            <w:r>
              <w:rPr>
                <w:rFonts w:ascii="宋体" w:hAnsi="宋体" w:eastAsia="宋体" w:cs="Times New Roman"/>
                <w:color w:val="auto"/>
                <w:kern w:val="0"/>
                <w:sz w:val="21"/>
                <w:szCs w:val="21"/>
                <w:lang w:val="en-US" w:eastAsia="zh-CN" w:bidi="ar"/>
              </w:rPr>
              <w:t>（1）了解英国基础教育改革的概况</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（2）掌握英国基础教育的精神实质及对中国的启示</w:t>
            </w:r>
          </w:p>
        </w:tc>
        <w:tc>
          <w:tcPr>
            <w:tcW w:w="1748" w:type="dxa"/>
            <w:vAlign w:val="center"/>
          </w:tcPr>
          <w:p w14:paraId="45F5C0F4">
            <w:pPr>
              <w:pStyle w:val="14"/>
              <w:widowControl/>
              <w:spacing w:beforeAutospacing="0" w:after="0" w:afterAutospacing="0" w:line="240" w:lineRule="auto"/>
              <w:ind w:left="0" w:right="0" w:firstLine="0"/>
              <w:jc w:val="left"/>
              <w:rPr>
                <w:rFonts w:ascii="-webkit-standard" w:hAnsi="-webkit-standard" w:eastAsia="-webkit-standard" w:cs="-webkit-standard"/>
                <w:i w:val="0"/>
                <w:caps w:val="0"/>
                <w:color w:val="auto"/>
                <w:spacing w:val="0"/>
                <w:sz w:val="21"/>
                <w:szCs w:val="21"/>
                <w:u w:val="none"/>
              </w:rPr>
            </w:pPr>
            <w:r>
              <w:rPr>
                <w:rFonts w:hint="eastAsia" w:ascii="宋体" w:hAnsi="宋体" w:eastAsia="宋体" w:cs="宋体"/>
                <w:i w:val="0"/>
                <w:caps w:val="0"/>
                <w:color w:val="auto"/>
                <w:spacing w:val="0"/>
                <w:sz w:val="21"/>
                <w:szCs w:val="21"/>
                <w:u w:val="none"/>
              </w:rPr>
              <w:t>1.线上学习</w:t>
            </w:r>
          </w:p>
          <w:p w14:paraId="39EC84EF">
            <w:pPr>
              <w:pStyle w:val="14"/>
              <w:widowControl/>
              <w:spacing w:beforeAutospacing="0" w:after="0" w:afterAutospacing="0" w:line="240" w:lineRule="auto"/>
              <w:ind w:left="0" w:right="0" w:firstLine="0"/>
              <w:jc w:val="left"/>
              <w:rPr>
                <w:rFonts w:hint="eastAsia" w:ascii="宋体" w:hAnsi="宋体" w:eastAsia="宋体" w:cs="宋体"/>
                <w:i w:val="0"/>
                <w:caps w:val="0"/>
                <w:color w:val="auto"/>
                <w:spacing w:val="0"/>
                <w:sz w:val="21"/>
                <w:szCs w:val="21"/>
                <w:u w:val="none"/>
              </w:rPr>
            </w:pPr>
            <w:r>
              <w:rPr>
                <w:rFonts w:hint="eastAsia" w:ascii="宋体" w:hAnsi="宋体" w:eastAsia="宋体" w:cs="宋体"/>
                <w:i w:val="0"/>
                <w:caps w:val="0"/>
                <w:color w:val="auto"/>
                <w:spacing w:val="0"/>
                <w:sz w:val="21"/>
                <w:szCs w:val="21"/>
                <w:u w:val="none"/>
              </w:rPr>
              <w:t>2.多媒体教学</w:t>
            </w:r>
          </w:p>
          <w:p w14:paraId="303A2BC5">
            <w:pPr>
              <w:pStyle w:val="14"/>
              <w:widowControl/>
              <w:spacing w:beforeAutospacing="0" w:after="0" w:afterAutospacing="0" w:line="240" w:lineRule="auto"/>
              <w:ind w:left="0" w:right="0" w:firstLine="0"/>
              <w:jc w:val="left"/>
              <w:rPr>
                <w:rFonts w:hint="default" w:ascii="-webkit-standard" w:hAnsi="-webkit-standard" w:eastAsia="-webkit-standard" w:cs="-webkit-standard"/>
                <w:i w:val="0"/>
                <w:caps w:val="0"/>
                <w:color w:val="auto"/>
                <w:spacing w:val="0"/>
                <w:sz w:val="21"/>
                <w:szCs w:val="21"/>
                <w:u w:val="none"/>
              </w:rPr>
            </w:pPr>
            <w:r>
              <w:rPr>
                <w:rFonts w:hint="eastAsia" w:ascii="宋体" w:hAnsi="宋体" w:eastAsia="宋体" w:cs="宋体"/>
                <w:i w:val="0"/>
                <w:caps w:val="0"/>
                <w:color w:val="auto"/>
                <w:spacing w:val="0"/>
                <w:sz w:val="21"/>
                <w:szCs w:val="21"/>
                <w:u w:val="none"/>
              </w:rPr>
              <w:t>3.课堂讨论</w:t>
            </w:r>
          </w:p>
          <w:p w14:paraId="0479D2D0">
            <w:pPr>
              <w:widowControl/>
              <w:spacing w:line="240" w:lineRule="auto"/>
              <w:jc w:val="left"/>
              <w:textAlignment w:val="center"/>
              <w:rPr>
                <w:rFonts w:hint="eastAsia" w:ascii="宋体" w:hAnsi="宋体" w:eastAsia="宋体" w:cs="Times New Roman"/>
                <w:color w:val="auto"/>
                <w:sz w:val="21"/>
                <w:szCs w:val="21"/>
              </w:rPr>
            </w:pPr>
            <w:r>
              <w:rPr>
                <w:rFonts w:hint="eastAsia" w:ascii="宋体" w:hAnsi="宋体" w:eastAsia="宋体" w:cs="宋体"/>
                <w:i w:val="0"/>
                <w:caps w:val="0"/>
                <w:color w:val="auto"/>
                <w:spacing w:val="0"/>
                <w:sz w:val="21"/>
                <w:szCs w:val="21"/>
                <w:u w:val="none"/>
              </w:rPr>
              <w:t>4.单元测验</w:t>
            </w:r>
          </w:p>
        </w:tc>
        <w:tc>
          <w:tcPr>
            <w:tcW w:w="508" w:type="dxa"/>
            <w:vAlign w:val="center"/>
          </w:tcPr>
          <w:p w14:paraId="59D82964">
            <w:pPr>
              <w:widowControl/>
              <w:spacing w:line="240" w:lineRule="auto"/>
              <w:jc w:val="left"/>
              <w:textAlignment w:val="center"/>
              <w:rPr>
                <w:rFonts w:hint="eastAsia" w:ascii="宋体" w:hAnsi="宋体" w:eastAsia="宋体" w:cs="Times New Roman"/>
                <w:color w:val="auto"/>
                <w:sz w:val="21"/>
                <w:szCs w:val="21"/>
              </w:rPr>
            </w:pPr>
            <w:r>
              <w:rPr>
                <w:rFonts w:hint="eastAsia" w:ascii="宋体" w:hAnsi="宋体" w:eastAsia="宋体" w:cs="Times New Roman"/>
                <w:color w:val="auto"/>
                <w:kern w:val="0"/>
                <w:sz w:val="21"/>
                <w:szCs w:val="21"/>
                <w:lang w:val="en-US" w:eastAsia="zh-CN" w:bidi="ar"/>
              </w:rPr>
              <w:t>2</w:t>
            </w:r>
          </w:p>
        </w:tc>
      </w:tr>
      <w:tr w14:paraId="35FB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vAlign w:val="center"/>
          </w:tcPr>
          <w:p w14:paraId="2214F278">
            <w:pPr>
              <w:spacing w:line="240" w:lineRule="auto"/>
              <w:jc w:val="center"/>
              <w:rPr>
                <w:rFonts w:hint="eastAsia" w:ascii="宋体" w:hAnsi="宋体" w:eastAsia="宋体" w:cs="Times New Roman"/>
                <w:color w:val="auto"/>
                <w:sz w:val="21"/>
                <w:szCs w:val="21"/>
              </w:rPr>
            </w:pPr>
          </w:p>
        </w:tc>
        <w:tc>
          <w:tcPr>
            <w:tcW w:w="8391" w:type="dxa"/>
            <w:gridSpan w:val="5"/>
            <w:vAlign w:val="center"/>
          </w:tcPr>
          <w:p w14:paraId="7D2165D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用马克思辩证唯物主义的观点全面分析英国基础教育改革的历史背景，以客观开放的心态吸收借鉴国外先进教育改革经验；坚持中国特色社会主义文化自信。</w:t>
            </w:r>
          </w:p>
        </w:tc>
      </w:tr>
      <w:tr w14:paraId="078E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restart"/>
            <w:vAlign w:val="center"/>
          </w:tcPr>
          <w:p w14:paraId="37CFC78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b w:val="0"/>
                <w:bCs w:val="0"/>
                <w:color w:val="auto"/>
                <w:kern w:val="0"/>
                <w:sz w:val="21"/>
                <w:szCs w:val="21"/>
                <w:lang w:val="en-US" w:eastAsia="zh-CN" w:bidi="ar"/>
              </w:rPr>
              <w:t>日本基础教育改革热点</w:t>
            </w:r>
          </w:p>
        </w:tc>
        <w:tc>
          <w:tcPr>
            <w:tcW w:w="2758" w:type="dxa"/>
            <w:vAlign w:val="center"/>
          </w:tcPr>
          <w:p w14:paraId="65E60560">
            <w:pPr>
              <w:widowControl/>
              <w:spacing w:line="240" w:lineRule="auto"/>
              <w:jc w:val="left"/>
              <w:textAlignment w:val="center"/>
              <w:rPr>
                <w:rFonts w:hint="eastAsia" w:ascii="宋体" w:hAnsi="宋体" w:eastAsia="宋体" w:cs="Times New Roman"/>
                <w:color w:val="auto"/>
                <w:sz w:val="21"/>
                <w:szCs w:val="21"/>
              </w:rPr>
            </w:pPr>
            <w:r>
              <w:rPr>
                <w:rFonts w:ascii="宋体" w:hAnsi="宋体" w:eastAsia="宋体" w:cs="Times New Roman"/>
                <w:color w:val="auto"/>
                <w:kern w:val="0"/>
                <w:sz w:val="21"/>
                <w:szCs w:val="21"/>
                <w:lang w:val="en-US" w:eastAsia="zh-CN" w:bidi="ar"/>
              </w:rPr>
              <w:t>（1）日本基础教育改革的进程</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（2）日本基础教育改革的问题</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（3）日本基础教育改革的现实意义</w:t>
            </w:r>
          </w:p>
        </w:tc>
        <w:tc>
          <w:tcPr>
            <w:tcW w:w="1092" w:type="dxa"/>
            <w:vAlign w:val="center"/>
          </w:tcPr>
          <w:p w14:paraId="1A6936D4">
            <w:pPr>
              <w:widowControl/>
              <w:spacing w:line="240" w:lineRule="auto"/>
              <w:jc w:val="center"/>
              <w:textAlignment w:val="center"/>
              <w:rPr>
                <w:rFonts w:hint="eastAsia" w:ascii="宋体" w:hAnsi="宋体" w:eastAsia="宋体" w:cs="Times New Roman"/>
                <w:color w:val="auto"/>
                <w:sz w:val="21"/>
                <w:szCs w:val="21"/>
              </w:rPr>
            </w:pPr>
            <w:r>
              <w:rPr>
                <w:rFonts w:hint="eastAsia" w:ascii="宋体" w:hAnsi="宋体" w:eastAsia="宋体" w:cs="Times New Roman"/>
                <w:color w:val="auto"/>
                <w:kern w:val="0"/>
                <w:sz w:val="21"/>
                <w:szCs w:val="21"/>
                <w:lang w:val="en-US" w:eastAsia="zh-CN" w:bidi="ar"/>
              </w:rPr>
              <w:t>课程目标2、4</w:t>
            </w:r>
          </w:p>
        </w:tc>
        <w:tc>
          <w:tcPr>
            <w:tcW w:w="2285" w:type="dxa"/>
            <w:vAlign w:val="center"/>
          </w:tcPr>
          <w:p w14:paraId="0A978364">
            <w:pPr>
              <w:widowControl/>
              <w:spacing w:line="240" w:lineRule="auto"/>
              <w:jc w:val="left"/>
              <w:textAlignment w:val="center"/>
              <w:rPr>
                <w:rFonts w:hint="eastAsia" w:ascii="宋体" w:hAnsi="宋体" w:eastAsia="宋体" w:cs="Times New Roman"/>
                <w:color w:val="auto"/>
                <w:sz w:val="21"/>
                <w:szCs w:val="21"/>
              </w:rPr>
            </w:pPr>
            <w:r>
              <w:rPr>
                <w:rFonts w:ascii="宋体" w:hAnsi="宋体" w:eastAsia="宋体" w:cs="Times New Roman"/>
                <w:color w:val="auto"/>
                <w:kern w:val="0"/>
                <w:sz w:val="21"/>
                <w:szCs w:val="21"/>
                <w:lang w:val="en-US" w:eastAsia="zh-CN" w:bidi="ar"/>
              </w:rPr>
              <w:t>（1）了解日本基础教育改革的概况</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（2）掌握日本基础教育的精神实质及对中国的启示</w:t>
            </w:r>
          </w:p>
        </w:tc>
        <w:tc>
          <w:tcPr>
            <w:tcW w:w="1748" w:type="dxa"/>
            <w:vAlign w:val="center"/>
          </w:tcPr>
          <w:p w14:paraId="7B5CDDAE">
            <w:pPr>
              <w:pStyle w:val="14"/>
              <w:widowControl/>
              <w:spacing w:beforeAutospacing="0" w:after="0" w:afterAutospacing="0" w:line="240" w:lineRule="auto"/>
              <w:ind w:left="0" w:right="0" w:firstLine="0"/>
              <w:jc w:val="left"/>
              <w:rPr>
                <w:rFonts w:ascii="-webkit-standard" w:hAnsi="-webkit-standard" w:eastAsia="-webkit-standard" w:cs="-webkit-standard"/>
                <w:i w:val="0"/>
                <w:caps w:val="0"/>
                <w:color w:val="auto"/>
                <w:spacing w:val="0"/>
                <w:sz w:val="21"/>
                <w:szCs w:val="21"/>
                <w:u w:val="none"/>
              </w:rPr>
            </w:pPr>
            <w:r>
              <w:rPr>
                <w:rFonts w:hint="eastAsia" w:ascii="宋体" w:hAnsi="宋体" w:eastAsia="宋体" w:cs="宋体"/>
                <w:i w:val="0"/>
                <w:caps w:val="0"/>
                <w:color w:val="auto"/>
                <w:spacing w:val="0"/>
                <w:sz w:val="21"/>
                <w:szCs w:val="21"/>
                <w:u w:val="none"/>
              </w:rPr>
              <w:t>1.线上学习</w:t>
            </w:r>
          </w:p>
          <w:p w14:paraId="6F0323DE">
            <w:pPr>
              <w:pStyle w:val="14"/>
              <w:widowControl/>
              <w:spacing w:beforeAutospacing="0" w:after="0" w:afterAutospacing="0" w:line="240" w:lineRule="auto"/>
              <w:ind w:left="0" w:right="0" w:firstLine="0"/>
              <w:jc w:val="left"/>
              <w:rPr>
                <w:rFonts w:hint="eastAsia" w:ascii="宋体" w:hAnsi="宋体" w:eastAsia="宋体" w:cs="宋体"/>
                <w:i w:val="0"/>
                <w:caps w:val="0"/>
                <w:color w:val="auto"/>
                <w:spacing w:val="0"/>
                <w:sz w:val="21"/>
                <w:szCs w:val="21"/>
                <w:u w:val="none"/>
              </w:rPr>
            </w:pPr>
            <w:r>
              <w:rPr>
                <w:rFonts w:hint="eastAsia" w:ascii="宋体" w:hAnsi="宋体" w:eastAsia="宋体" w:cs="宋体"/>
                <w:i w:val="0"/>
                <w:caps w:val="0"/>
                <w:color w:val="auto"/>
                <w:spacing w:val="0"/>
                <w:sz w:val="21"/>
                <w:szCs w:val="21"/>
                <w:u w:val="none"/>
              </w:rPr>
              <w:t>2.多媒体教学</w:t>
            </w:r>
          </w:p>
          <w:p w14:paraId="2298241F">
            <w:pPr>
              <w:pStyle w:val="14"/>
              <w:widowControl/>
              <w:spacing w:beforeAutospacing="0" w:after="0" w:afterAutospacing="0" w:line="240" w:lineRule="auto"/>
              <w:ind w:left="0" w:right="0" w:firstLine="0"/>
              <w:jc w:val="left"/>
              <w:rPr>
                <w:rFonts w:hint="default" w:ascii="-webkit-standard" w:hAnsi="-webkit-standard" w:eastAsia="-webkit-standard" w:cs="-webkit-standard"/>
                <w:i w:val="0"/>
                <w:caps w:val="0"/>
                <w:color w:val="auto"/>
                <w:spacing w:val="0"/>
                <w:sz w:val="21"/>
                <w:szCs w:val="21"/>
                <w:u w:val="none"/>
              </w:rPr>
            </w:pPr>
            <w:r>
              <w:rPr>
                <w:rFonts w:hint="eastAsia" w:ascii="宋体" w:hAnsi="宋体" w:eastAsia="宋体" w:cs="宋体"/>
                <w:i w:val="0"/>
                <w:caps w:val="0"/>
                <w:color w:val="auto"/>
                <w:spacing w:val="0"/>
                <w:sz w:val="21"/>
                <w:szCs w:val="21"/>
                <w:u w:val="none"/>
              </w:rPr>
              <w:t>3.课堂讨论</w:t>
            </w:r>
          </w:p>
          <w:p w14:paraId="5D11E513">
            <w:pPr>
              <w:widowControl/>
              <w:spacing w:line="240" w:lineRule="auto"/>
              <w:jc w:val="both"/>
              <w:textAlignment w:val="center"/>
              <w:rPr>
                <w:rFonts w:hint="eastAsia" w:ascii="宋体" w:hAnsi="宋体" w:eastAsia="宋体" w:cs="Times New Roman"/>
                <w:color w:val="auto"/>
                <w:sz w:val="21"/>
                <w:szCs w:val="21"/>
              </w:rPr>
            </w:pPr>
            <w:r>
              <w:rPr>
                <w:rFonts w:hint="eastAsia" w:ascii="宋体" w:hAnsi="宋体" w:eastAsia="宋体" w:cs="宋体"/>
                <w:i w:val="0"/>
                <w:caps w:val="0"/>
                <w:color w:val="auto"/>
                <w:spacing w:val="0"/>
                <w:sz w:val="21"/>
                <w:szCs w:val="21"/>
                <w:u w:val="none"/>
              </w:rPr>
              <w:t>4.单元测验</w:t>
            </w:r>
          </w:p>
        </w:tc>
        <w:tc>
          <w:tcPr>
            <w:tcW w:w="508" w:type="dxa"/>
            <w:vAlign w:val="center"/>
          </w:tcPr>
          <w:p w14:paraId="1098BCF0">
            <w:pPr>
              <w:widowControl/>
              <w:spacing w:line="240" w:lineRule="auto"/>
              <w:jc w:val="center"/>
              <w:textAlignment w:val="center"/>
              <w:rPr>
                <w:rFonts w:hint="eastAsia" w:ascii="宋体" w:hAnsi="宋体" w:eastAsia="宋体" w:cs="Times New Roman"/>
                <w:color w:val="auto"/>
                <w:sz w:val="21"/>
                <w:szCs w:val="21"/>
              </w:rPr>
            </w:pPr>
            <w:r>
              <w:rPr>
                <w:rFonts w:hint="eastAsia" w:ascii="宋体" w:hAnsi="宋体" w:eastAsia="宋体" w:cs="Times New Roman"/>
                <w:color w:val="auto"/>
                <w:kern w:val="0"/>
                <w:sz w:val="21"/>
                <w:szCs w:val="21"/>
                <w:lang w:val="en-US" w:eastAsia="zh-CN" w:bidi="ar"/>
              </w:rPr>
              <w:t>4</w:t>
            </w:r>
          </w:p>
        </w:tc>
      </w:tr>
      <w:tr w14:paraId="3011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vAlign w:val="center"/>
          </w:tcPr>
          <w:p w14:paraId="5BE798C1">
            <w:pPr>
              <w:spacing w:line="240" w:lineRule="auto"/>
              <w:jc w:val="center"/>
              <w:rPr>
                <w:rFonts w:hint="eastAsia" w:ascii="宋体" w:hAnsi="宋体" w:eastAsia="宋体" w:cs="Times New Roman"/>
                <w:color w:val="auto"/>
                <w:sz w:val="21"/>
                <w:szCs w:val="21"/>
              </w:rPr>
            </w:pPr>
          </w:p>
        </w:tc>
        <w:tc>
          <w:tcPr>
            <w:tcW w:w="8391" w:type="dxa"/>
            <w:gridSpan w:val="5"/>
            <w:vAlign w:val="center"/>
          </w:tcPr>
          <w:p w14:paraId="0A6BF6F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用马克思辩证唯物主义的观点全面分析日本基础教育改革的历史背景，以客观开放的心态吸收借鉴国外先进教育改革经验；坚持中国特色社会主义文化自信。</w:t>
            </w:r>
          </w:p>
        </w:tc>
      </w:tr>
      <w:tr w14:paraId="71B5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restart"/>
            <w:vAlign w:val="center"/>
          </w:tcPr>
          <w:p w14:paraId="38770E1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5.中国基础教育课程改革</w:t>
            </w:r>
          </w:p>
        </w:tc>
        <w:tc>
          <w:tcPr>
            <w:tcW w:w="2758" w:type="dxa"/>
            <w:vAlign w:val="center"/>
          </w:tcPr>
          <w:p w14:paraId="7EE97157">
            <w:pPr>
              <w:widowControl/>
              <w:spacing w:line="240" w:lineRule="auto"/>
              <w:jc w:val="left"/>
              <w:textAlignment w:val="center"/>
              <w:rPr>
                <w:rFonts w:hint="eastAsia" w:ascii="宋体" w:hAnsi="宋体" w:eastAsia="宋体" w:cs="Times New Roman"/>
                <w:color w:val="auto"/>
                <w:sz w:val="21"/>
                <w:szCs w:val="21"/>
              </w:rPr>
            </w:pPr>
            <w:r>
              <w:rPr>
                <w:rFonts w:ascii="宋体" w:hAnsi="宋体" w:eastAsia="宋体" w:cs="Times New Roman"/>
                <w:color w:val="auto"/>
                <w:kern w:val="0"/>
                <w:sz w:val="21"/>
                <w:szCs w:val="21"/>
                <w:lang w:val="en-US" w:eastAsia="zh-CN" w:bidi="ar"/>
              </w:rPr>
              <w:t>（1）基础教育课程改革的国际潮流</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（2）我国基础教育课程改革的历史演进</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（3）我国基础教育课程改革的政策分析</w:t>
            </w:r>
          </w:p>
        </w:tc>
        <w:tc>
          <w:tcPr>
            <w:tcW w:w="1092" w:type="dxa"/>
            <w:vAlign w:val="center"/>
          </w:tcPr>
          <w:p w14:paraId="7B6D1F8F">
            <w:pPr>
              <w:widowControl/>
              <w:spacing w:line="240" w:lineRule="auto"/>
              <w:jc w:val="center"/>
              <w:textAlignment w:val="center"/>
              <w:rPr>
                <w:rFonts w:hint="default" w:ascii="宋体" w:hAnsi="宋体" w:eastAsia="宋体" w:cs="Times New Roman"/>
                <w:color w:val="auto"/>
                <w:sz w:val="21"/>
                <w:szCs w:val="21"/>
                <w:lang w:val="en-US" w:eastAsia="zh-CN"/>
              </w:rPr>
            </w:pPr>
            <w:r>
              <w:rPr>
                <w:rFonts w:hint="eastAsia" w:ascii="宋体" w:hAnsi="宋体" w:eastAsia="宋体" w:cs="Times New Roman"/>
                <w:color w:val="auto"/>
                <w:kern w:val="0"/>
                <w:sz w:val="21"/>
                <w:szCs w:val="21"/>
                <w:lang w:val="en-US" w:eastAsia="zh-CN" w:bidi="ar"/>
              </w:rPr>
              <w:t>课程目标3、4</w:t>
            </w:r>
          </w:p>
        </w:tc>
        <w:tc>
          <w:tcPr>
            <w:tcW w:w="2285" w:type="dxa"/>
            <w:vAlign w:val="center"/>
          </w:tcPr>
          <w:p w14:paraId="5E1241A5">
            <w:pPr>
              <w:widowControl/>
              <w:spacing w:line="240" w:lineRule="auto"/>
              <w:jc w:val="left"/>
              <w:textAlignment w:val="center"/>
              <w:rPr>
                <w:rFonts w:hint="eastAsia" w:ascii="宋体" w:hAnsi="宋体" w:eastAsia="宋体" w:cs="Times New Roman"/>
                <w:color w:val="auto"/>
                <w:sz w:val="21"/>
                <w:szCs w:val="21"/>
                <w:lang w:eastAsia="zh-CN"/>
              </w:rPr>
            </w:pPr>
            <w:r>
              <w:rPr>
                <w:rFonts w:ascii="宋体" w:hAnsi="宋体" w:eastAsia="宋体" w:cs="Times New Roman"/>
                <w:color w:val="auto"/>
                <w:kern w:val="0"/>
                <w:sz w:val="21"/>
                <w:szCs w:val="21"/>
                <w:lang w:val="en-US" w:eastAsia="zh-CN" w:bidi="ar"/>
              </w:rPr>
              <w:t>（1）了解基础教育课程改革的国际潮流</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（2）理解我国基础教育课程改革的历史演进</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（3）掌握基础教育课程改革的政策及执行</w:t>
            </w:r>
          </w:p>
        </w:tc>
        <w:tc>
          <w:tcPr>
            <w:tcW w:w="1748" w:type="dxa"/>
            <w:vAlign w:val="center"/>
          </w:tcPr>
          <w:p w14:paraId="53D82E52">
            <w:pPr>
              <w:pStyle w:val="14"/>
              <w:widowControl/>
              <w:spacing w:beforeAutospacing="0" w:after="0" w:afterAutospacing="0" w:line="240" w:lineRule="auto"/>
              <w:ind w:left="0" w:right="0" w:firstLine="0"/>
              <w:jc w:val="left"/>
              <w:rPr>
                <w:rFonts w:ascii="-webkit-standard" w:hAnsi="-webkit-standard" w:eastAsia="-webkit-standard" w:cs="-webkit-standard"/>
                <w:i w:val="0"/>
                <w:caps w:val="0"/>
                <w:color w:val="auto"/>
                <w:spacing w:val="0"/>
                <w:sz w:val="21"/>
                <w:szCs w:val="21"/>
                <w:u w:val="none"/>
              </w:rPr>
            </w:pPr>
            <w:r>
              <w:rPr>
                <w:rFonts w:hint="eastAsia" w:ascii="宋体" w:hAnsi="宋体" w:eastAsia="宋体" w:cs="宋体"/>
                <w:i w:val="0"/>
                <w:caps w:val="0"/>
                <w:color w:val="auto"/>
                <w:spacing w:val="0"/>
                <w:sz w:val="21"/>
                <w:szCs w:val="21"/>
                <w:u w:val="none"/>
              </w:rPr>
              <w:t>1.线上学习</w:t>
            </w:r>
          </w:p>
          <w:p w14:paraId="23670D99">
            <w:pPr>
              <w:pStyle w:val="14"/>
              <w:widowControl/>
              <w:spacing w:beforeAutospacing="0" w:after="0" w:afterAutospacing="0" w:line="240" w:lineRule="auto"/>
              <w:ind w:left="0" w:right="0" w:firstLine="0"/>
              <w:jc w:val="left"/>
              <w:rPr>
                <w:rFonts w:hint="eastAsia" w:ascii="宋体" w:hAnsi="宋体" w:eastAsia="宋体" w:cs="宋体"/>
                <w:i w:val="0"/>
                <w:caps w:val="0"/>
                <w:color w:val="auto"/>
                <w:spacing w:val="0"/>
                <w:sz w:val="21"/>
                <w:szCs w:val="21"/>
                <w:u w:val="none"/>
              </w:rPr>
            </w:pPr>
            <w:r>
              <w:rPr>
                <w:rFonts w:hint="eastAsia" w:ascii="宋体" w:hAnsi="宋体" w:eastAsia="宋体" w:cs="宋体"/>
                <w:i w:val="0"/>
                <w:caps w:val="0"/>
                <w:color w:val="auto"/>
                <w:spacing w:val="0"/>
                <w:sz w:val="21"/>
                <w:szCs w:val="21"/>
                <w:u w:val="none"/>
              </w:rPr>
              <w:t>2.多媒体教学</w:t>
            </w:r>
          </w:p>
          <w:p w14:paraId="080C761F">
            <w:pPr>
              <w:pStyle w:val="14"/>
              <w:widowControl/>
              <w:spacing w:beforeAutospacing="0" w:after="0" w:afterAutospacing="0" w:line="240" w:lineRule="auto"/>
              <w:ind w:left="0" w:right="0" w:firstLine="0"/>
              <w:jc w:val="left"/>
              <w:rPr>
                <w:rFonts w:hint="default" w:ascii="-webkit-standard" w:hAnsi="-webkit-standard" w:eastAsia="-webkit-standard" w:cs="-webkit-standard"/>
                <w:i w:val="0"/>
                <w:caps w:val="0"/>
                <w:color w:val="auto"/>
                <w:spacing w:val="0"/>
                <w:sz w:val="21"/>
                <w:szCs w:val="21"/>
                <w:u w:val="none"/>
              </w:rPr>
            </w:pPr>
            <w:r>
              <w:rPr>
                <w:rFonts w:hint="eastAsia" w:ascii="宋体" w:hAnsi="宋体" w:eastAsia="宋体" w:cs="宋体"/>
                <w:i w:val="0"/>
                <w:caps w:val="0"/>
                <w:color w:val="auto"/>
                <w:spacing w:val="0"/>
                <w:sz w:val="21"/>
                <w:szCs w:val="21"/>
                <w:u w:val="none"/>
              </w:rPr>
              <w:t>3.课堂讨论</w:t>
            </w:r>
          </w:p>
          <w:p w14:paraId="7F707409">
            <w:pPr>
              <w:widowControl/>
              <w:spacing w:line="240" w:lineRule="auto"/>
              <w:jc w:val="both"/>
              <w:textAlignment w:val="center"/>
              <w:rPr>
                <w:rFonts w:hint="eastAsia" w:ascii="宋体" w:hAnsi="宋体" w:eastAsia="宋体" w:cs="Times New Roman"/>
                <w:color w:val="auto"/>
                <w:sz w:val="21"/>
                <w:szCs w:val="21"/>
              </w:rPr>
            </w:pPr>
            <w:r>
              <w:rPr>
                <w:rFonts w:hint="eastAsia" w:ascii="宋体" w:hAnsi="宋体" w:eastAsia="宋体" w:cs="宋体"/>
                <w:i w:val="0"/>
                <w:caps w:val="0"/>
                <w:color w:val="auto"/>
                <w:spacing w:val="0"/>
                <w:sz w:val="21"/>
                <w:szCs w:val="21"/>
                <w:u w:val="none"/>
              </w:rPr>
              <w:t>4.单元测验</w:t>
            </w:r>
          </w:p>
        </w:tc>
        <w:tc>
          <w:tcPr>
            <w:tcW w:w="508" w:type="dxa"/>
            <w:vAlign w:val="center"/>
          </w:tcPr>
          <w:p w14:paraId="7BF01C6E">
            <w:pPr>
              <w:widowControl/>
              <w:spacing w:line="240" w:lineRule="auto"/>
              <w:jc w:val="center"/>
              <w:textAlignment w:val="center"/>
              <w:rPr>
                <w:rFonts w:hint="eastAsia" w:ascii="宋体" w:hAnsi="宋体" w:eastAsia="宋体" w:cs="Times New Roman"/>
                <w:color w:val="auto"/>
                <w:sz w:val="21"/>
                <w:szCs w:val="21"/>
                <w:lang w:eastAsia="zh-CN"/>
              </w:rPr>
            </w:pPr>
            <w:r>
              <w:rPr>
                <w:rFonts w:hint="eastAsia" w:ascii="宋体" w:hAnsi="宋体" w:eastAsia="宋体" w:cs="Times New Roman"/>
                <w:color w:val="auto"/>
                <w:kern w:val="0"/>
                <w:sz w:val="21"/>
                <w:szCs w:val="21"/>
                <w:lang w:val="en-US" w:eastAsia="zh-CN" w:bidi="ar"/>
              </w:rPr>
              <w:t>4</w:t>
            </w:r>
          </w:p>
        </w:tc>
      </w:tr>
      <w:tr w14:paraId="4C889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vAlign w:val="center"/>
          </w:tcPr>
          <w:p w14:paraId="2563C77F">
            <w:pPr>
              <w:spacing w:line="240" w:lineRule="auto"/>
              <w:jc w:val="center"/>
              <w:rPr>
                <w:rFonts w:hint="eastAsia" w:ascii="宋体" w:hAnsi="宋体" w:eastAsia="宋体" w:cs="Times New Roman"/>
                <w:color w:val="auto"/>
                <w:sz w:val="21"/>
                <w:szCs w:val="21"/>
              </w:rPr>
            </w:pPr>
          </w:p>
        </w:tc>
        <w:tc>
          <w:tcPr>
            <w:tcW w:w="8391" w:type="dxa"/>
            <w:gridSpan w:val="5"/>
            <w:vAlign w:val="center"/>
          </w:tcPr>
          <w:p w14:paraId="595BB08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 xml:space="preserve"> 以历史唯物主义观点全面分析基础教育课程改革的国际动向，坚持把服务中华民族伟大复兴作为我国基础教育改革的重要历史使命；坚持基础教育的社会主义办学方向，培养全面发展的中国人。</w:t>
            </w:r>
          </w:p>
        </w:tc>
      </w:tr>
      <w:tr w14:paraId="550E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restart"/>
            <w:vAlign w:val="center"/>
          </w:tcPr>
          <w:p w14:paraId="0E76926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6.中国基础教育课堂教学改革</w:t>
            </w:r>
          </w:p>
        </w:tc>
        <w:tc>
          <w:tcPr>
            <w:tcW w:w="2758" w:type="dxa"/>
            <w:vAlign w:val="center"/>
          </w:tcPr>
          <w:p w14:paraId="1F3B6B95">
            <w:pPr>
              <w:widowControl/>
              <w:spacing w:line="240" w:lineRule="auto"/>
              <w:jc w:val="center"/>
              <w:textAlignment w:val="center"/>
              <w:rPr>
                <w:rFonts w:hint="eastAsia" w:ascii="宋体" w:hAnsi="宋体" w:eastAsia="宋体" w:cs="Times New Roman"/>
                <w:color w:val="auto"/>
                <w:sz w:val="21"/>
                <w:szCs w:val="21"/>
              </w:rPr>
            </w:pPr>
            <w:r>
              <w:rPr>
                <w:rFonts w:ascii="宋体" w:hAnsi="宋体" w:eastAsia="宋体" w:cs="Times New Roman"/>
                <w:color w:val="auto"/>
                <w:kern w:val="0"/>
                <w:sz w:val="21"/>
                <w:szCs w:val="21"/>
                <w:lang w:val="en-US" w:eastAsia="zh-CN" w:bidi="ar"/>
              </w:rPr>
              <w:t>（1）基础教育课堂教学目标</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（2）基础教育课堂教学过程</w:t>
            </w:r>
            <w:r>
              <w:rPr>
                <w:rFonts w:ascii="宋体" w:hAnsi="宋体" w:eastAsia="宋体" w:cs="Times New Roman"/>
                <w:color w:val="auto"/>
                <w:kern w:val="0"/>
                <w:sz w:val="21"/>
                <w:szCs w:val="21"/>
                <w:lang w:val="en-US" w:eastAsia="zh-CN" w:bidi="ar"/>
              </w:rPr>
              <w:br w:type="textWrapping"/>
            </w:r>
            <w:r>
              <w:rPr>
                <w:rFonts w:ascii="宋体" w:hAnsi="宋体" w:eastAsia="宋体" w:cs="Times New Roman"/>
                <w:color w:val="auto"/>
                <w:kern w:val="0"/>
                <w:sz w:val="21"/>
                <w:szCs w:val="21"/>
                <w:lang w:val="en-US" w:eastAsia="zh-CN" w:bidi="ar"/>
              </w:rPr>
              <w:t>（3）基础教育课堂师生关系</w:t>
            </w:r>
          </w:p>
        </w:tc>
        <w:tc>
          <w:tcPr>
            <w:tcW w:w="1092" w:type="dxa"/>
            <w:vAlign w:val="center"/>
          </w:tcPr>
          <w:p w14:paraId="23960617">
            <w:pPr>
              <w:widowControl/>
              <w:spacing w:line="240" w:lineRule="auto"/>
              <w:jc w:val="center"/>
              <w:textAlignment w:val="center"/>
              <w:rPr>
                <w:rFonts w:hint="eastAsia" w:ascii="宋体" w:hAnsi="宋体" w:eastAsia="宋体" w:cs="Times New Roman"/>
                <w:color w:val="auto"/>
                <w:sz w:val="21"/>
                <w:szCs w:val="21"/>
              </w:rPr>
            </w:pPr>
            <w:r>
              <w:rPr>
                <w:rFonts w:hint="eastAsia" w:ascii="宋体" w:hAnsi="宋体" w:eastAsia="宋体" w:cs="Times New Roman"/>
                <w:color w:val="auto"/>
                <w:kern w:val="0"/>
                <w:sz w:val="21"/>
                <w:szCs w:val="21"/>
                <w:lang w:val="en-US" w:eastAsia="zh-CN" w:bidi="ar"/>
              </w:rPr>
              <w:t>课程目标3、4</w:t>
            </w:r>
          </w:p>
        </w:tc>
        <w:tc>
          <w:tcPr>
            <w:tcW w:w="2285" w:type="dxa"/>
            <w:vAlign w:val="center"/>
          </w:tcPr>
          <w:p w14:paraId="4C279997">
            <w:pPr>
              <w:widowControl/>
              <w:spacing w:line="240" w:lineRule="auto"/>
              <w:jc w:val="left"/>
              <w:textAlignment w:val="center"/>
              <w:rPr>
                <w:rFonts w:ascii="宋体" w:hAnsi="宋体" w:eastAsia="宋体" w:cs="Times New Roman"/>
                <w:color w:val="auto"/>
                <w:kern w:val="0"/>
                <w:sz w:val="21"/>
                <w:szCs w:val="21"/>
                <w:lang w:val="en-US" w:eastAsia="zh-CN" w:bidi="ar"/>
              </w:rPr>
            </w:pPr>
            <w:r>
              <w:rPr>
                <w:rFonts w:ascii="宋体" w:hAnsi="宋体" w:eastAsia="宋体" w:cs="Times New Roman"/>
                <w:color w:val="auto"/>
                <w:kern w:val="0"/>
                <w:sz w:val="21"/>
                <w:szCs w:val="21"/>
                <w:lang w:val="en-US" w:eastAsia="zh-CN" w:bidi="ar"/>
              </w:rPr>
              <w:t>（1）理解基础教育课堂教学的目标的选择和过程，树立正确的师生观</w:t>
            </w:r>
          </w:p>
          <w:p w14:paraId="50198B71">
            <w:pPr>
              <w:widowControl/>
              <w:spacing w:line="240" w:lineRule="auto"/>
              <w:jc w:val="left"/>
              <w:textAlignment w:val="center"/>
              <w:rPr>
                <w:rFonts w:hint="eastAsia" w:ascii="宋体" w:hAnsi="宋体" w:eastAsia="宋体" w:cs="Times New Roman"/>
                <w:color w:val="auto"/>
                <w:sz w:val="21"/>
                <w:szCs w:val="21"/>
              </w:rPr>
            </w:pPr>
            <w:r>
              <w:rPr>
                <w:rFonts w:ascii="宋体" w:hAnsi="宋体" w:eastAsia="宋体" w:cs="Times New Roman"/>
                <w:color w:val="auto"/>
                <w:kern w:val="0"/>
                <w:sz w:val="21"/>
                <w:szCs w:val="21"/>
                <w:lang w:val="en-US" w:eastAsia="zh-CN" w:bidi="ar"/>
              </w:rPr>
              <w:t>（2）掌握教学过程的设计</w:t>
            </w:r>
          </w:p>
        </w:tc>
        <w:tc>
          <w:tcPr>
            <w:tcW w:w="1748" w:type="dxa"/>
            <w:vAlign w:val="center"/>
          </w:tcPr>
          <w:p w14:paraId="7C9691AC">
            <w:pPr>
              <w:pStyle w:val="14"/>
              <w:widowControl/>
              <w:spacing w:beforeAutospacing="0" w:after="0" w:afterAutospacing="0" w:line="240" w:lineRule="auto"/>
              <w:ind w:left="0" w:right="0" w:firstLine="0"/>
              <w:jc w:val="left"/>
              <w:rPr>
                <w:rFonts w:ascii="-webkit-standard" w:hAnsi="-webkit-standard" w:eastAsia="-webkit-standard" w:cs="-webkit-standard"/>
                <w:i w:val="0"/>
                <w:caps w:val="0"/>
                <w:color w:val="auto"/>
                <w:spacing w:val="0"/>
                <w:sz w:val="21"/>
                <w:szCs w:val="21"/>
                <w:u w:val="none"/>
              </w:rPr>
            </w:pPr>
            <w:r>
              <w:rPr>
                <w:rFonts w:hint="eastAsia" w:ascii="宋体" w:hAnsi="宋体" w:eastAsia="宋体" w:cs="宋体"/>
                <w:i w:val="0"/>
                <w:caps w:val="0"/>
                <w:color w:val="auto"/>
                <w:spacing w:val="0"/>
                <w:sz w:val="21"/>
                <w:szCs w:val="21"/>
                <w:u w:val="none"/>
              </w:rPr>
              <w:t>1.线上学习</w:t>
            </w:r>
          </w:p>
          <w:p w14:paraId="56F536C1">
            <w:pPr>
              <w:pStyle w:val="14"/>
              <w:widowControl/>
              <w:spacing w:beforeAutospacing="0" w:after="0" w:afterAutospacing="0" w:line="240" w:lineRule="auto"/>
              <w:ind w:left="0" w:right="0" w:firstLine="0"/>
              <w:jc w:val="left"/>
              <w:rPr>
                <w:rFonts w:hint="eastAsia" w:ascii="宋体" w:hAnsi="宋体" w:eastAsia="宋体" w:cs="宋体"/>
                <w:i w:val="0"/>
                <w:caps w:val="0"/>
                <w:color w:val="auto"/>
                <w:spacing w:val="0"/>
                <w:sz w:val="21"/>
                <w:szCs w:val="21"/>
                <w:u w:val="none"/>
              </w:rPr>
            </w:pPr>
            <w:r>
              <w:rPr>
                <w:rFonts w:hint="eastAsia" w:ascii="宋体" w:hAnsi="宋体" w:eastAsia="宋体" w:cs="宋体"/>
                <w:i w:val="0"/>
                <w:caps w:val="0"/>
                <w:color w:val="auto"/>
                <w:spacing w:val="0"/>
                <w:sz w:val="21"/>
                <w:szCs w:val="21"/>
                <w:u w:val="none"/>
              </w:rPr>
              <w:t>2.多媒体教学</w:t>
            </w:r>
          </w:p>
          <w:p w14:paraId="55A54938">
            <w:pPr>
              <w:pStyle w:val="14"/>
              <w:widowControl/>
              <w:spacing w:beforeAutospacing="0" w:after="0" w:afterAutospacing="0" w:line="240" w:lineRule="auto"/>
              <w:ind w:left="0" w:right="0" w:firstLine="0"/>
              <w:jc w:val="left"/>
              <w:rPr>
                <w:rFonts w:hint="default" w:ascii="-webkit-standard" w:hAnsi="-webkit-standard" w:eastAsia="-webkit-standard" w:cs="-webkit-standard"/>
                <w:i w:val="0"/>
                <w:caps w:val="0"/>
                <w:color w:val="auto"/>
                <w:spacing w:val="0"/>
                <w:sz w:val="21"/>
                <w:szCs w:val="21"/>
                <w:u w:val="none"/>
              </w:rPr>
            </w:pPr>
            <w:r>
              <w:rPr>
                <w:rFonts w:hint="eastAsia" w:ascii="宋体" w:hAnsi="宋体" w:eastAsia="宋体" w:cs="宋体"/>
                <w:i w:val="0"/>
                <w:caps w:val="0"/>
                <w:color w:val="auto"/>
                <w:spacing w:val="0"/>
                <w:sz w:val="21"/>
                <w:szCs w:val="21"/>
                <w:u w:val="none"/>
              </w:rPr>
              <w:t>3.课堂讨论</w:t>
            </w:r>
          </w:p>
          <w:p w14:paraId="6A83C042">
            <w:pPr>
              <w:widowControl/>
              <w:spacing w:line="240" w:lineRule="auto"/>
              <w:jc w:val="both"/>
              <w:textAlignment w:val="center"/>
              <w:rPr>
                <w:rFonts w:hint="default" w:ascii="宋体" w:hAnsi="宋体" w:eastAsia="宋体" w:cs="Times New Roman"/>
                <w:color w:val="auto"/>
                <w:sz w:val="21"/>
                <w:szCs w:val="21"/>
                <w:lang w:val="en-US" w:eastAsia="zh-CN"/>
              </w:rPr>
            </w:pPr>
            <w:r>
              <w:rPr>
                <w:rFonts w:hint="eastAsia" w:ascii="宋体" w:hAnsi="宋体" w:eastAsia="宋体" w:cs="宋体"/>
                <w:i w:val="0"/>
                <w:caps w:val="0"/>
                <w:color w:val="auto"/>
                <w:spacing w:val="0"/>
                <w:sz w:val="21"/>
                <w:szCs w:val="21"/>
                <w:u w:val="none"/>
              </w:rPr>
              <w:t>4.单元测验</w:t>
            </w:r>
          </w:p>
        </w:tc>
        <w:tc>
          <w:tcPr>
            <w:tcW w:w="508" w:type="dxa"/>
            <w:vAlign w:val="center"/>
          </w:tcPr>
          <w:p w14:paraId="77C4A4F2">
            <w:pPr>
              <w:widowControl/>
              <w:spacing w:line="240" w:lineRule="auto"/>
              <w:jc w:val="center"/>
              <w:textAlignment w:val="center"/>
              <w:rPr>
                <w:rFonts w:hint="eastAsia" w:ascii="宋体" w:hAnsi="宋体" w:eastAsia="宋体" w:cs="Times New Roman"/>
                <w:color w:val="auto"/>
                <w:sz w:val="21"/>
                <w:szCs w:val="21"/>
                <w:lang w:eastAsia="zh-CN"/>
              </w:rPr>
            </w:pPr>
            <w:r>
              <w:rPr>
                <w:rFonts w:hint="eastAsia" w:ascii="宋体" w:hAnsi="宋体" w:eastAsia="宋体" w:cs="Times New Roman"/>
                <w:color w:val="auto"/>
                <w:kern w:val="0"/>
                <w:sz w:val="21"/>
                <w:szCs w:val="21"/>
                <w:lang w:val="en-US" w:eastAsia="zh-CN" w:bidi="ar"/>
              </w:rPr>
              <w:t>4</w:t>
            </w:r>
          </w:p>
        </w:tc>
      </w:tr>
      <w:tr w14:paraId="12A10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vAlign w:val="center"/>
          </w:tcPr>
          <w:p w14:paraId="2C937B03">
            <w:pPr>
              <w:spacing w:line="240" w:lineRule="auto"/>
              <w:jc w:val="center"/>
              <w:rPr>
                <w:rFonts w:hint="eastAsia" w:ascii="宋体" w:hAnsi="宋体" w:eastAsia="宋体" w:cs="Times New Roman"/>
                <w:color w:val="auto"/>
                <w:sz w:val="21"/>
                <w:szCs w:val="21"/>
              </w:rPr>
            </w:pPr>
          </w:p>
        </w:tc>
        <w:tc>
          <w:tcPr>
            <w:tcW w:w="8391" w:type="dxa"/>
            <w:gridSpan w:val="5"/>
            <w:vAlign w:val="center"/>
          </w:tcPr>
          <w:p w14:paraId="3630B88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树立课堂是育人第一阵地的观念，始终坚持“上好每一堂课”的好老师的标准。</w:t>
            </w:r>
          </w:p>
        </w:tc>
      </w:tr>
    </w:tbl>
    <w:p w14:paraId="67D0FA0B">
      <w:pPr>
        <w:spacing w:line="360" w:lineRule="auto"/>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四、目标评价与成绩评定</w:t>
      </w:r>
    </w:p>
    <w:p w14:paraId="29533160">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（一）课程目标评价方式</w:t>
      </w:r>
    </w:p>
    <w:p w14:paraId="180FE3E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根据总体设计，用于评价各课程目标的评价方式如</w:t>
      </w:r>
      <w:r>
        <w:rPr>
          <w:rFonts w:hint="eastAsia" w:ascii="Times New Roman" w:hAnsi="Times New Roman" w:eastAsia="宋体" w:cs="Times New Roman"/>
          <w:color w:val="auto"/>
          <w:sz w:val="21"/>
          <w:szCs w:val="21"/>
          <w:lang w:val="en-US" w:eastAsia="zh-CN"/>
        </w:rPr>
        <w:t>下表</w:t>
      </w:r>
      <w:r>
        <w:rPr>
          <w:rFonts w:ascii="Times New Roman" w:hAnsi="Times New Roman" w:eastAsia="宋体" w:cs="Times New Roman"/>
          <w:color w:val="auto"/>
          <w:sz w:val="21"/>
          <w:szCs w:val="21"/>
        </w:rPr>
        <w:t>所示。</w:t>
      </w:r>
    </w:p>
    <w:tbl>
      <w:tblPr>
        <w:tblStyle w:val="16"/>
        <w:tblW w:w="8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2074"/>
        <w:gridCol w:w="2281"/>
        <w:gridCol w:w="1819"/>
        <w:gridCol w:w="1284"/>
      </w:tblGrid>
      <w:tr w14:paraId="616D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Merge w:val="restart"/>
            <w:vAlign w:val="center"/>
          </w:tcPr>
          <w:p w14:paraId="21A3D56A">
            <w:pPr>
              <w:spacing w:line="360" w:lineRule="auto"/>
              <w:jc w:val="center"/>
              <w:rPr>
                <w:rFonts w:hint="eastAsia" w:ascii="宋体" w:hAnsi="宋体" w:eastAsia="宋体" w:cs="Times New Roman"/>
                <w:color w:val="auto"/>
                <w:sz w:val="21"/>
                <w:szCs w:val="21"/>
              </w:rPr>
            </w:pPr>
          </w:p>
          <w:p w14:paraId="3B17959C">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w:t>
            </w:r>
          </w:p>
        </w:tc>
        <w:tc>
          <w:tcPr>
            <w:tcW w:w="6174" w:type="dxa"/>
            <w:gridSpan w:val="3"/>
            <w:vAlign w:val="center"/>
          </w:tcPr>
          <w:p w14:paraId="1CF0CFC4">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评价与成绩评定方法</w:t>
            </w:r>
          </w:p>
        </w:tc>
        <w:tc>
          <w:tcPr>
            <w:tcW w:w="1284" w:type="dxa"/>
            <w:vMerge w:val="restart"/>
            <w:vAlign w:val="center"/>
          </w:tcPr>
          <w:p w14:paraId="06688C00">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分值</w:t>
            </w:r>
          </w:p>
        </w:tc>
      </w:tr>
      <w:tr w14:paraId="5C403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Merge w:val="continue"/>
            <w:vAlign w:val="center"/>
          </w:tcPr>
          <w:p w14:paraId="564B2B72">
            <w:pPr>
              <w:spacing w:line="360" w:lineRule="auto"/>
              <w:jc w:val="center"/>
              <w:rPr>
                <w:rFonts w:hint="eastAsia" w:ascii="宋体" w:hAnsi="宋体" w:eastAsia="宋体" w:cs="Times New Roman"/>
                <w:color w:val="auto"/>
                <w:sz w:val="21"/>
                <w:szCs w:val="21"/>
              </w:rPr>
            </w:pPr>
          </w:p>
        </w:tc>
        <w:tc>
          <w:tcPr>
            <w:tcW w:w="2074" w:type="dxa"/>
            <w:vAlign w:val="center"/>
          </w:tcPr>
          <w:p w14:paraId="16E34B0D">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出勤与</w:t>
            </w:r>
            <w:r>
              <w:rPr>
                <w:rFonts w:hint="eastAsia" w:ascii="宋体" w:hAnsi="宋体" w:eastAsia="宋体" w:cs="Times New Roman"/>
                <w:color w:val="auto"/>
                <w:sz w:val="21"/>
                <w:szCs w:val="21"/>
              </w:rPr>
              <w:t>课堂表现</w:t>
            </w:r>
          </w:p>
        </w:tc>
        <w:tc>
          <w:tcPr>
            <w:tcW w:w="2281" w:type="dxa"/>
            <w:vAlign w:val="center"/>
          </w:tcPr>
          <w:p w14:paraId="3476C883">
            <w:pPr>
              <w:spacing w:line="360" w:lineRule="auto"/>
              <w:jc w:val="cente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平时作业</w:t>
            </w:r>
          </w:p>
        </w:tc>
        <w:tc>
          <w:tcPr>
            <w:tcW w:w="1819" w:type="dxa"/>
            <w:vAlign w:val="center"/>
          </w:tcPr>
          <w:p w14:paraId="477B1607">
            <w:pPr>
              <w:spacing w:line="360" w:lineRule="auto"/>
              <w:jc w:val="center"/>
              <w:rPr>
                <w:rFonts w:hint="default" w:ascii="宋体" w:hAnsi="宋体" w:eastAsia="宋体" w:cs="Times New Roman"/>
                <w:color w:val="auto"/>
                <w:sz w:val="21"/>
                <w:szCs w:val="21"/>
                <w:lang w:val="en-US"/>
              </w:rPr>
            </w:pPr>
            <w:r>
              <w:rPr>
                <w:rFonts w:hint="eastAsia" w:ascii="宋体" w:hAnsi="宋体" w:eastAsia="宋体" w:cs="Times New Roman"/>
                <w:color w:val="auto"/>
                <w:sz w:val="21"/>
                <w:szCs w:val="21"/>
                <w:lang w:val="en-US" w:eastAsia="zh-CN"/>
              </w:rPr>
              <w:t>期末考试</w:t>
            </w:r>
          </w:p>
        </w:tc>
        <w:tc>
          <w:tcPr>
            <w:tcW w:w="1284" w:type="dxa"/>
            <w:vMerge w:val="continue"/>
            <w:vAlign w:val="center"/>
          </w:tcPr>
          <w:p w14:paraId="7933474E">
            <w:pPr>
              <w:spacing w:line="360" w:lineRule="auto"/>
              <w:jc w:val="center"/>
              <w:rPr>
                <w:rFonts w:hint="eastAsia" w:ascii="宋体" w:hAnsi="宋体" w:eastAsia="宋体" w:cs="Times New Roman"/>
                <w:color w:val="auto"/>
                <w:sz w:val="21"/>
                <w:szCs w:val="21"/>
              </w:rPr>
            </w:pPr>
          </w:p>
        </w:tc>
      </w:tr>
      <w:tr w14:paraId="4679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Align w:val="center"/>
          </w:tcPr>
          <w:p w14:paraId="4B939E16">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w:t>
            </w:r>
          </w:p>
        </w:tc>
        <w:tc>
          <w:tcPr>
            <w:tcW w:w="2074" w:type="dxa"/>
            <w:vAlign w:val="center"/>
          </w:tcPr>
          <w:p w14:paraId="7ED29AF8">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2281" w:type="dxa"/>
            <w:vAlign w:val="center"/>
          </w:tcPr>
          <w:p w14:paraId="420772E7">
            <w:pPr>
              <w:spacing w:line="360" w:lineRule="auto"/>
              <w:jc w:val="center"/>
              <w:rPr>
                <w:rFonts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1819" w:type="dxa"/>
            <w:vAlign w:val="center"/>
          </w:tcPr>
          <w:p w14:paraId="7F697391">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1284" w:type="dxa"/>
            <w:vAlign w:val="center"/>
          </w:tcPr>
          <w:p w14:paraId="6350868B">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2</w:t>
            </w:r>
            <w:r>
              <w:rPr>
                <w:rFonts w:hint="eastAsia" w:ascii="宋体" w:hAnsi="宋体" w:eastAsia="宋体" w:cs="Times New Roman"/>
                <w:color w:val="auto"/>
                <w:sz w:val="21"/>
                <w:szCs w:val="21"/>
              </w:rPr>
              <w:t>0</w:t>
            </w:r>
          </w:p>
        </w:tc>
      </w:tr>
      <w:tr w14:paraId="4A4D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Align w:val="center"/>
          </w:tcPr>
          <w:p w14:paraId="0CB5C316">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课程目标2</w:t>
            </w:r>
          </w:p>
        </w:tc>
        <w:tc>
          <w:tcPr>
            <w:tcW w:w="2074" w:type="dxa"/>
            <w:vAlign w:val="center"/>
          </w:tcPr>
          <w:p w14:paraId="57E88898">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2281" w:type="dxa"/>
            <w:vAlign w:val="center"/>
          </w:tcPr>
          <w:p w14:paraId="1813ED3B">
            <w:pPr>
              <w:spacing w:line="360" w:lineRule="auto"/>
              <w:jc w:val="center"/>
              <w:rPr>
                <w:rFonts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1819" w:type="dxa"/>
            <w:vAlign w:val="center"/>
          </w:tcPr>
          <w:p w14:paraId="608202EA">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1284" w:type="dxa"/>
            <w:vAlign w:val="center"/>
          </w:tcPr>
          <w:p w14:paraId="3E832490">
            <w:pPr>
              <w:spacing w:line="360" w:lineRule="auto"/>
              <w:jc w:val="center"/>
              <w:rPr>
                <w:rFonts w:hint="default" w:ascii="宋体" w:hAnsi="宋体" w:eastAsia="宋体" w:cs="Times New Roman"/>
                <w:color w:val="auto"/>
                <w:sz w:val="21"/>
                <w:szCs w:val="21"/>
                <w:lang w:val="en-US"/>
              </w:rPr>
            </w:pPr>
            <w:r>
              <w:rPr>
                <w:rFonts w:hint="eastAsia" w:ascii="宋体" w:hAnsi="宋体" w:eastAsia="宋体" w:cs="Times New Roman"/>
                <w:color w:val="auto"/>
                <w:sz w:val="21"/>
                <w:szCs w:val="21"/>
                <w:lang w:val="en-US" w:eastAsia="zh-CN"/>
              </w:rPr>
              <w:t>20</w:t>
            </w:r>
          </w:p>
        </w:tc>
      </w:tr>
      <w:tr w14:paraId="50D9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Align w:val="center"/>
          </w:tcPr>
          <w:p w14:paraId="73B1E224">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课程目标3</w:t>
            </w:r>
          </w:p>
        </w:tc>
        <w:tc>
          <w:tcPr>
            <w:tcW w:w="2074" w:type="dxa"/>
            <w:vAlign w:val="center"/>
          </w:tcPr>
          <w:p w14:paraId="4D1DD6AB">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2281" w:type="dxa"/>
            <w:vAlign w:val="center"/>
          </w:tcPr>
          <w:p w14:paraId="232C1010">
            <w:pPr>
              <w:spacing w:line="360" w:lineRule="auto"/>
              <w:jc w:val="center"/>
              <w:rPr>
                <w:rFonts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1819" w:type="dxa"/>
            <w:vAlign w:val="center"/>
          </w:tcPr>
          <w:p w14:paraId="6A614D62">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1284" w:type="dxa"/>
            <w:vAlign w:val="center"/>
          </w:tcPr>
          <w:p w14:paraId="027FE415">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4</w:t>
            </w:r>
            <w:r>
              <w:rPr>
                <w:rFonts w:hint="eastAsia" w:ascii="宋体" w:hAnsi="宋体" w:eastAsia="宋体" w:cs="Times New Roman"/>
                <w:color w:val="auto"/>
                <w:sz w:val="21"/>
                <w:szCs w:val="21"/>
              </w:rPr>
              <w:t>0</w:t>
            </w:r>
          </w:p>
        </w:tc>
      </w:tr>
      <w:tr w14:paraId="4297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Align w:val="center"/>
          </w:tcPr>
          <w:p w14:paraId="5130BE78">
            <w:pPr>
              <w:spacing w:line="360" w:lineRule="auto"/>
              <w:jc w:val="center"/>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课程目标4</w:t>
            </w:r>
          </w:p>
        </w:tc>
        <w:tc>
          <w:tcPr>
            <w:tcW w:w="2074" w:type="dxa"/>
            <w:vAlign w:val="center"/>
          </w:tcPr>
          <w:p w14:paraId="077302EE">
            <w:pPr>
              <w:spacing w:line="360" w:lineRule="auto"/>
              <w:jc w:val="center"/>
              <w:rPr>
                <w:rFonts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2281" w:type="dxa"/>
            <w:vAlign w:val="center"/>
          </w:tcPr>
          <w:p w14:paraId="416348A4">
            <w:pPr>
              <w:spacing w:line="360" w:lineRule="auto"/>
              <w:jc w:val="center"/>
              <w:rPr>
                <w:rFonts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1819" w:type="dxa"/>
            <w:vAlign w:val="center"/>
          </w:tcPr>
          <w:p w14:paraId="6583742C">
            <w:pPr>
              <w:spacing w:line="360" w:lineRule="auto"/>
              <w:jc w:val="center"/>
              <w:rPr>
                <w:rFonts w:ascii="宋体" w:hAnsi="宋体" w:eastAsia="宋体" w:cs="Times New Roman"/>
                <w:color w:val="auto"/>
                <w:sz w:val="21"/>
                <w:szCs w:val="21"/>
              </w:rPr>
            </w:pPr>
          </w:p>
        </w:tc>
        <w:tc>
          <w:tcPr>
            <w:tcW w:w="1284" w:type="dxa"/>
            <w:vAlign w:val="center"/>
          </w:tcPr>
          <w:p w14:paraId="4565089F">
            <w:pPr>
              <w:spacing w:line="360" w:lineRule="auto"/>
              <w:jc w:val="center"/>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20</w:t>
            </w:r>
          </w:p>
        </w:tc>
      </w:tr>
      <w:tr w14:paraId="08D6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Align w:val="center"/>
          </w:tcPr>
          <w:p w14:paraId="47990B65">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合计</w:t>
            </w:r>
          </w:p>
        </w:tc>
        <w:tc>
          <w:tcPr>
            <w:tcW w:w="2074" w:type="dxa"/>
            <w:vAlign w:val="center"/>
          </w:tcPr>
          <w:p w14:paraId="6DEB50AB">
            <w:pPr>
              <w:spacing w:line="360" w:lineRule="auto"/>
              <w:jc w:val="center"/>
              <w:rPr>
                <w:rFonts w:hint="eastAsia" w:ascii="宋体" w:hAnsi="宋体" w:eastAsia="宋体" w:cs="Times New Roman"/>
                <w:color w:val="auto"/>
                <w:sz w:val="21"/>
                <w:szCs w:val="21"/>
              </w:rPr>
            </w:pPr>
          </w:p>
        </w:tc>
        <w:tc>
          <w:tcPr>
            <w:tcW w:w="2281" w:type="dxa"/>
            <w:vAlign w:val="center"/>
          </w:tcPr>
          <w:p w14:paraId="614DF5BB">
            <w:pPr>
              <w:spacing w:line="360" w:lineRule="auto"/>
              <w:jc w:val="center"/>
              <w:rPr>
                <w:rFonts w:hint="eastAsia" w:ascii="宋体" w:hAnsi="宋体" w:eastAsia="宋体" w:cs="Times New Roman"/>
                <w:color w:val="auto"/>
                <w:sz w:val="21"/>
                <w:szCs w:val="21"/>
              </w:rPr>
            </w:pPr>
          </w:p>
        </w:tc>
        <w:tc>
          <w:tcPr>
            <w:tcW w:w="1819" w:type="dxa"/>
            <w:vAlign w:val="center"/>
          </w:tcPr>
          <w:p w14:paraId="555E8DA2">
            <w:pPr>
              <w:spacing w:line="360" w:lineRule="auto"/>
              <w:jc w:val="center"/>
              <w:rPr>
                <w:rFonts w:hint="eastAsia" w:ascii="宋体" w:hAnsi="宋体" w:eastAsia="宋体" w:cs="Times New Roman"/>
                <w:color w:val="auto"/>
                <w:sz w:val="21"/>
                <w:szCs w:val="21"/>
              </w:rPr>
            </w:pPr>
          </w:p>
        </w:tc>
        <w:tc>
          <w:tcPr>
            <w:tcW w:w="1284" w:type="dxa"/>
            <w:vAlign w:val="center"/>
          </w:tcPr>
          <w:p w14:paraId="54AA70CD">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100</w:t>
            </w:r>
          </w:p>
        </w:tc>
      </w:tr>
    </w:tbl>
    <w:p w14:paraId="69C3AF1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（二）成绩评定细则</w:t>
      </w:r>
    </w:p>
    <w:p w14:paraId="71A01F6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各部分的评价方式和成绩评定的细则</w:t>
      </w:r>
      <w:r>
        <w:rPr>
          <w:rFonts w:hint="eastAsia" w:ascii="Times New Roman" w:hAnsi="Times New Roman" w:eastAsia="宋体" w:cs="Times New Roman"/>
          <w:color w:val="auto"/>
          <w:sz w:val="21"/>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6754"/>
        <w:gridCol w:w="706"/>
      </w:tblGrid>
      <w:tr w14:paraId="5012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Align w:val="center"/>
          </w:tcPr>
          <w:p w14:paraId="759972E7">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评价方式</w:t>
            </w:r>
          </w:p>
        </w:tc>
        <w:tc>
          <w:tcPr>
            <w:tcW w:w="6754" w:type="dxa"/>
            <w:vAlign w:val="center"/>
          </w:tcPr>
          <w:p w14:paraId="1649B4A7">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评定细则</w:t>
            </w:r>
          </w:p>
        </w:tc>
        <w:tc>
          <w:tcPr>
            <w:tcW w:w="0" w:type="auto"/>
            <w:vAlign w:val="center"/>
          </w:tcPr>
          <w:p w14:paraId="2DB3CBC3">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占比</w:t>
            </w:r>
          </w:p>
        </w:tc>
      </w:tr>
      <w:tr w14:paraId="45B1E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Align w:val="center"/>
          </w:tcPr>
          <w:p w14:paraId="0C289C60">
            <w:pP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平时作业</w:t>
            </w:r>
          </w:p>
        </w:tc>
        <w:tc>
          <w:tcPr>
            <w:tcW w:w="6754" w:type="dxa"/>
            <w:vAlign w:val="center"/>
          </w:tcPr>
          <w:p w14:paraId="307A25B9">
            <w:pPr>
              <w:spacing w:line="264" w:lineRule="auto"/>
              <w:jc w:val="lef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平时作业：课后完成</w:t>
            </w: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rPr>
              <w:t>次作业，主要考核学生对基本理论的理解和掌握程度，计算全部作业的平均成绩。</w:t>
            </w:r>
          </w:p>
        </w:tc>
        <w:tc>
          <w:tcPr>
            <w:tcW w:w="0" w:type="auto"/>
            <w:vAlign w:val="center"/>
          </w:tcPr>
          <w:p w14:paraId="5648E50F">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30</w:t>
            </w:r>
            <w:r>
              <w:rPr>
                <w:rFonts w:hint="eastAsia" w:ascii="Times New Roman" w:hAnsi="Times New Roman" w:eastAsia="宋体" w:cs="Times New Roman"/>
                <w:color w:val="auto"/>
                <w:sz w:val="21"/>
                <w:szCs w:val="21"/>
              </w:rPr>
              <w:t>%</w:t>
            </w:r>
          </w:p>
        </w:tc>
      </w:tr>
      <w:tr w14:paraId="0E1D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Align w:val="center"/>
          </w:tcPr>
          <w:p w14:paraId="649A929C">
            <w:pP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出勤与</w:t>
            </w:r>
            <w:r>
              <w:rPr>
                <w:rFonts w:hint="eastAsia" w:ascii="Times New Roman" w:hAnsi="Times New Roman" w:eastAsia="宋体" w:cs="Times New Roman"/>
                <w:color w:val="auto"/>
                <w:sz w:val="21"/>
                <w:szCs w:val="21"/>
              </w:rPr>
              <w:t>课堂表现</w:t>
            </w:r>
          </w:p>
        </w:tc>
        <w:tc>
          <w:tcPr>
            <w:tcW w:w="6754" w:type="dxa"/>
            <w:vAlign w:val="center"/>
          </w:tcPr>
          <w:p w14:paraId="723C3089">
            <w:pPr>
              <w:widowControl/>
              <w:spacing w:line="264" w:lineRule="auto"/>
              <w:jc w:val="left"/>
              <w:rPr>
                <w:rFonts w:ascii="Times New Roman" w:hAnsi="Times New Roman" w:eastAsia="宋体" w:cs="Times New Roman"/>
                <w:color w:val="auto"/>
                <w:sz w:val="21"/>
                <w:szCs w:val="21"/>
              </w:rPr>
            </w:pPr>
            <w:r>
              <w:rPr>
                <w:rFonts w:hint="eastAsia" w:ascii="宋体" w:hAnsi="宋体" w:eastAsia="宋体" w:cs="宋体"/>
                <w:color w:val="auto"/>
                <w:kern w:val="0"/>
                <w:sz w:val="21"/>
                <w:szCs w:val="21"/>
                <w:lang w:bidi="ar"/>
              </w:rPr>
              <w:t>一是课题考勤情况</w:t>
            </w:r>
            <w:r>
              <w:rPr>
                <w:rFonts w:ascii="宋体" w:hAnsi="宋体" w:eastAsia="宋体" w:cs="宋体"/>
                <w:color w:val="auto"/>
                <w:kern w:val="0"/>
                <w:sz w:val="21"/>
                <w:szCs w:val="21"/>
                <w:lang w:bidi="ar"/>
              </w:rPr>
              <w:t>。</w:t>
            </w:r>
            <w:r>
              <w:rPr>
                <w:rFonts w:hint="eastAsia" w:ascii="Times New Roman" w:hAnsi="Times New Roman" w:eastAsia="宋体" w:cs="Times New Roman"/>
                <w:color w:val="auto"/>
                <w:sz w:val="21"/>
                <w:szCs w:val="21"/>
              </w:rPr>
              <w:t>迟到一次扣2分，无故缺席一次扣5分，累计达</w:t>
            </w:r>
            <w:r>
              <w:rPr>
                <w:rFonts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rPr>
              <w:t>次以上（不含</w:t>
            </w:r>
            <w:r>
              <w:rPr>
                <w:rFonts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rPr>
              <w:t>次）取消课程成绩。</w:t>
            </w:r>
          </w:p>
          <w:p w14:paraId="3872D5E4">
            <w:pPr>
              <w:widowControl/>
              <w:spacing w:line="264" w:lineRule="auto"/>
              <w:jc w:val="lef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二是</w:t>
            </w:r>
            <w:r>
              <w:rPr>
                <w:rFonts w:ascii="宋体" w:hAnsi="宋体" w:eastAsia="宋体" w:cs="宋体"/>
                <w:color w:val="auto"/>
                <w:kern w:val="0"/>
                <w:sz w:val="21"/>
                <w:szCs w:val="21"/>
                <w:lang w:bidi="ar"/>
              </w:rPr>
              <w:t>课堂参与</w:t>
            </w:r>
            <w:r>
              <w:rPr>
                <w:rFonts w:hint="eastAsia" w:ascii="宋体" w:hAnsi="宋体" w:eastAsia="宋体" w:cs="宋体"/>
                <w:color w:val="auto"/>
                <w:kern w:val="0"/>
                <w:sz w:val="21"/>
                <w:szCs w:val="21"/>
                <w:lang w:bidi="ar"/>
              </w:rPr>
              <w:t>情况。</w:t>
            </w:r>
            <w:r>
              <w:rPr>
                <w:rFonts w:ascii="宋体" w:hAnsi="宋体" w:eastAsia="宋体" w:cs="宋体"/>
                <w:color w:val="auto"/>
                <w:kern w:val="0"/>
                <w:sz w:val="21"/>
                <w:szCs w:val="21"/>
                <w:lang w:bidi="ar"/>
              </w:rPr>
              <w:t>主要指课上教师随机提问、组织课堂讨论等，观察学生参与程度</w:t>
            </w:r>
            <w:r>
              <w:rPr>
                <w:rFonts w:hint="eastAsia" w:ascii="宋体" w:hAnsi="宋体" w:eastAsia="宋体" w:cs="宋体"/>
                <w:color w:val="auto"/>
                <w:kern w:val="0"/>
                <w:sz w:val="21"/>
                <w:szCs w:val="21"/>
                <w:lang w:bidi="ar"/>
              </w:rPr>
              <w:t>，</w:t>
            </w:r>
            <w:r>
              <w:rPr>
                <w:rFonts w:ascii="宋体" w:hAnsi="宋体" w:eastAsia="宋体" w:cs="宋体"/>
                <w:color w:val="auto"/>
                <w:kern w:val="0"/>
                <w:sz w:val="21"/>
                <w:szCs w:val="21"/>
                <w:lang w:bidi="ar"/>
              </w:rPr>
              <w:t>表现良好，按照对应的课程目标及权重给予评定</w:t>
            </w:r>
            <w:r>
              <w:rPr>
                <w:rFonts w:hint="eastAsia" w:ascii="宋体" w:hAnsi="宋体" w:eastAsia="宋体" w:cs="宋体"/>
                <w:color w:val="auto"/>
                <w:kern w:val="0"/>
                <w:sz w:val="21"/>
                <w:szCs w:val="21"/>
                <w:lang w:bidi="ar"/>
              </w:rPr>
              <w:t>。</w:t>
            </w:r>
          </w:p>
        </w:tc>
        <w:tc>
          <w:tcPr>
            <w:tcW w:w="0" w:type="auto"/>
            <w:vAlign w:val="center"/>
          </w:tcPr>
          <w:p w14:paraId="75FEC364">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rPr>
              <w:t>0%</w:t>
            </w:r>
          </w:p>
        </w:tc>
      </w:tr>
      <w:tr w14:paraId="3B76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Align w:val="center"/>
          </w:tcPr>
          <w:p w14:paraId="6C2E290B">
            <w:pP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期末考试</w:t>
            </w:r>
          </w:p>
        </w:tc>
        <w:tc>
          <w:tcPr>
            <w:tcW w:w="6754" w:type="dxa"/>
            <w:vAlign w:val="center"/>
          </w:tcPr>
          <w:p w14:paraId="1CE04E5B">
            <w:pPr>
              <w:spacing w:line="264" w:lineRule="auto"/>
              <w:jc w:val="left"/>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开卷题型包括论述题和案例分析题。</w:t>
            </w:r>
          </w:p>
        </w:tc>
        <w:tc>
          <w:tcPr>
            <w:tcW w:w="0" w:type="auto"/>
            <w:vAlign w:val="center"/>
          </w:tcPr>
          <w:p w14:paraId="63090A5C">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rPr>
              <w:t>0%</w:t>
            </w:r>
          </w:p>
        </w:tc>
      </w:tr>
      <w:tr w14:paraId="624C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062" w:type="dxa"/>
            <w:vAlign w:val="center"/>
          </w:tcPr>
          <w:p w14:paraId="63B4219B">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合计</w:t>
            </w:r>
          </w:p>
        </w:tc>
        <w:tc>
          <w:tcPr>
            <w:tcW w:w="6754" w:type="dxa"/>
            <w:vAlign w:val="center"/>
          </w:tcPr>
          <w:p w14:paraId="4D4FE7DD">
            <w:pPr>
              <w:jc w:val="left"/>
              <w:rPr>
                <w:rFonts w:ascii="Times New Roman" w:hAnsi="Times New Roman" w:eastAsia="宋体" w:cs="Times New Roman"/>
                <w:color w:val="auto"/>
                <w:sz w:val="21"/>
                <w:szCs w:val="21"/>
              </w:rPr>
            </w:pPr>
          </w:p>
        </w:tc>
        <w:tc>
          <w:tcPr>
            <w:tcW w:w="0" w:type="auto"/>
            <w:vAlign w:val="center"/>
          </w:tcPr>
          <w:p w14:paraId="598519C3">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100%</w:t>
            </w:r>
          </w:p>
        </w:tc>
      </w:tr>
    </w:tbl>
    <w:p w14:paraId="5E42415C">
      <w:pPr>
        <w:jc w:val="center"/>
        <w:rPr>
          <w:rFonts w:hint="eastAsia" w:ascii="Times New Roman" w:hAnsi="Times New Roman" w:eastAsia="宋体" w:cs="Times New Roman"/>
          <w:b/>
          <w:bCs/>
          <w:color w:val="auto"/>
          <w:szCs w:val="21"/>
        </w:rPr>
      </w:pPr>
    </w:p>
    <w:p w14:paraId="4D425C0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bCs/>
          <w:color w:val="auto"/>
          <w:sz w:val="21"/>
          <w:szCs w:val="21"/>
        </w:rPr>
      </w:pPr>
      <w:r>
        <w:rPr>
          <w:rFonts w:hint="eastAsia" w:ascii="宋体" w:hAnsi="宋体" w:eastAsia="宋体" w:cs="Times New Roman"/>
          <w:b/>
          <w:bCs/>
          <w:color w:val="auto"/>
          <w:sz w:val="21"/>
          <w:szCs w:val="21"/>
        </w:rPr>
        <w:t>（</w:t>
      </w:r>
      <w:r>
        <w:rPr>
          <w:rFonts w:hint="eastAsia" w:ascii="宋体" w:hAnsi="宋体" w:eastAsia="宋体" w:cs="Times New Roman"/>
          <w:b/>
          <w:bCs/>
          <w:color w:val="auto"/>
          <w:sz w:val="21"/>
          <w:szCs w:val="21"/>
          <w:lang w:val="en-US" w:eastAsia="zh-CN"/>
        </w:rPr>
        <w:t>三</w:t>
      </w:r>
      <w:r>
        <w:rPr>
          <w:rFonts w:hint="eastAsia" w:ascii="宋体" w:hAnsi="宋体" w:eastAsia="宋体" w:cs="Times New Roman"/>
          <w:b/>
          <w:bCs/>
          <w:color w:val="auto"/>
          <w:sz w:val="21"/>
          <w:szCs w:val="21"/>
        </w:rPr>
        <w:t>）</w:t>
      </w:r>
      <w:r>
        <w:rPr>
          <w:rFonts w:ascii="宋体" w:hAnsi="宋体" w:eastAsia="宋体" w:cs="Times New Roman"/>
          <w:b/>
          <w:bCs/>
          <w:color w:val="auto"/>
          <w:sz w:val="21"/>
          <w:szCs w:val="21"/>
        </w:rPr>
        <w:t>课程目标达成度计算方法</w:t>
      </w:r>
    </w:p>
    <w:p w14:paraId="05D09F2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所有课程目标均</w:t>
      </w:r>
      <w:r>
        <w:rPr>
          <w:rFonts w:hint="eastAsia" w:ascii="宋体" w:hAnsi="宋体" w:eastAsia="宋体" w:cs="Times New Roman"/>
          <w:color w:val="auto"/>
          <w:sz w:val="21"/>
          <w:szCs w:val="21"/>
        </w:rPr>
        <w:t>需</w:t>
      </w:r>
      <w:r>
        <w:rPr>
          <w:rFonts w:ascii="宋体" w:hAnsi="宋体" w:eastAsia="宋体" w:cs="Times New Roman"/>
          <w:color w:val="auto"/>
          <w:sz w:val="21"/>
          <w:szCs w:val="21"/>
        </w:rPr>
        <w:t>大于等于0.6，否则总评成绩不及格，需要补考或重</w:t>
      </w:r>
      <w:r>
        <w:rPr>
          <w:rFonts w:hint="eastAsia" w:ascii="宋体" w:hAnsi="宋体" w:eastAsia="宋体" w:cs="Times New Roman"/>
          <w:color w:val="auto"/>
          <w:sz w:val="21"/>
          <w:szCs w:val="21"/>
        </w:rPr>
        <w:t>修。</w:t>
      </w:r>
      <w:r>
        <w:rPr>
          <w:rFonts w:ascii="宋体" w:hAnsi="宋体" w:eastAsia="宋体" w:cs="Times New Roman"/>
          <w:color w:val="auto"/>
          <w:sz w:val="21"/>
          <w:szCs w:val="21"/>
        </w:rPr>
        <w:t>每</w:t>
      </w:r>
      <w:r>
        <w:rPr>
          <w:rFonts w:hint="eastAsia" w:ascii="宋体" w:hAnsi="宋体" w:eastAsia="宋体" w:cs="Times New Roman"/>
          <w:color w:val="auto"/>
          <w:sz w:val="21"/>
          <w:szCs w:val="21"/>
        </w:rPr>
        <w:t>门</w:t>
      </w:r>
      <w:r>
        <w:rPr>
          <w:rFonts w:ascii="宋体" w:hAnsi="宋体" w:eastAsia="宋体" w:cs="Times New Roman"/>
          <w:color w:val="auto"/>
          <w:sz w:val="21"/>
          <w:szCs w:val="21"/>
        </w:rPr>
        <w:t>课程目标</w:t>
      </w:r>
      <w:r>
        <w:rPr>
          <w:rFonts w:hint="eastAsia" w:ascii="宋体" w:hAnsi="宋体" w:eastAsia="宋体" w:cs="Times New Roman"/>
          <w:color w:val="auto"/>
          <w:sz w:val="21"/>
          <w:szCs w:val="21"/>
        </w:rPr>
        <w:t>总体</w:t>
      </w:r>
      <w:r>
        <w:rPr>
          <w:rFonts w:ascii="宋体" w:hAnsi="宋体" w:eastAsia="宋体" w:cs="Times New Roman"/>
          <w:color w:val="auto"/>
          <w:sz w:val="21"/>
          <w:szCs w:val="21"/>
        </w:rPr>
        <w:t>达成度计算方法如下：</w:t>
      </w:r>
    </w:p>
    <w:p w14:paraId="2F76809F">
      <w:pPr>
        <w:spacing w:after="160" w:line="360" w:lineRule="auto"/>
        <w:rPr>
          <w:rFonts w:hint="eastAsia" w:ascii="宋体" w:hAnsi="宋体" w:eastAsia="宋体" w:cs="Times New Roman"/>
          <w:color w:val="auto"/>
          <w:sz w:val="24"/>
        </w:rPr>
      </w:pPr>
      <w:r>
        <w:rPr>
          <w:rFonts w:ascii="宋体" w:hAnsi="宋体" w:eastAsia="宋体" w:cs="Times New Roman"/>
          <w:color w:val="auto"/>
          <w:sz w:val="24"/>
        </w:rPr>
        <w:drawing>
          <wp:inline distT="0" distB="0" distL="0" distR="0">
            <wp:extent cx="5274310" cy="33718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29590280">
      <w:pPr>
        <w:spacing w:line="360" w:lineRule="auto"/>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五</w:t>
      </w:r>
      <w:r>
        <w:rPr>
          <w:rFonts w:hint="eastAsia" w:ascii="Times New Roman" w:hAnsi="Times New Roman" w:eastAsia="宋体" w:cs="Times New Roman"/>
          <w:b/>
          <w:color w:val="auto"/>
          <w:sz w:val="24"/>
          <w:szCs w:val="24"/>
        </w:rPr>
        <w:t>、有关说明</w:t>
      </w:r>
    </w:p>
    <w:p w14:paraId="56C1A411">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Times New Roman"/>
          <w:b/>
          <w:color w:val="auto"/>
          <w:sz w:val="21"/>
          <w:szCs w:val="21"/>
        </w:rPr>
      </w:pPr>
      <w:bookmarkStart w:id="317" w:name="_Toc27847328"/>
      <w:r>
        <w:rPr>
          <w:rFonts w:hint="eastAsia" w:ascii="宋体" w:hAnsi="宋体" w:eastAsia="宋体" w:cs="Times New Roman"/>
          <w:b/>
          <w:color w:val="auto"/>
          <w:sz w:val="21"/>
          <w:szCs w:val="21"/>
        </w:rPr>
        <w:t>（一）持续改进</w:t>
      </w:r>
      <w:bookmarkEnd w:id="317"/>
    </w:p>
    <w:p w14:paraId="5DC0098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 提倡改革教学方法，强调应用现代化教学手段，如课件、互联网教学和网络答疑。</w:t>
      </w:r>
    </w:p>
    <w:p w14:paraId="2B3A425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rPr>
        <w:t xml:space="preserve"> </w:t>
      </w:r>
      <w:r>
        <w:rPr>
          <w:rFonts w:ascii="Times New Roman" w:hAnsi="Times New Roman" w:eastAsia="宋体" w:cs="Times New Roman"/>
          <w:color w:val="auto"/>
          <w:sz w:val="21"/>
          <w:szCs w:val="21"/>
        </w:rPr>
        <w:t>合理安排教学课时，加强课堂提问、小组讨论</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社会调查环节</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旨在</w:t>
      </w:r>
      <w:r>
        <w:rPr>
          <w:rFonts w:hint="eastAsia" w:ascii="Times New Roman" w:hAnsi="Times New Roman" w:eastAsia="宋体" w:cs="Times New Roman"/>
          <w:color w:val="auto"/>
          <w:sz w:val="21"/>
          <w:szCs w:val="21"/>
        </w:rPr>
        <w:t>促进</w:t>
      </w:r>
      <w:r>
        <w:rPr>
          <w:rFonts w:ascii="Times New Roman" w:hAnsi="Times New Roman" w:eastAsia="宋体" w:cs="Times New Roman"/>
          <w:color w:val="auto"/>
          <w:sz w:val="21"/>
          <w:szCs w:val="21"/>
        </w:rPr>
        <w:t>学生</w:t>
      </w:r>
      <w:r>
        <w:rPr>
          <w:rFonts w:hint="eastAsia" w:ascii="Times New Roman" w:hAnsi="Times New Roman" w:eastAsia="宋体" w:cs="Times New Roman"/>
          <w:color w:val="auto"/>
          <w:sz w:val="21"/>
          <w:szCs w:val="21"/>
        </w:rPr>
        <w:t>反思基础教育改革热点问题，培养批判性思维能力。</w:t>
      </w:r>
    </w:p>
    <w:p w14:paraId="75106D6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3．教学内容密切联系</w:t>
      </w:r>
      <w:r>
        <w:rPr>
          <w:rFonts w:hint="eastAsia" w:ascii="Times New Roman" w:hAnsi="Times New Roman" w:eastAsia="宋体" w:cs="Times New Roman"/>
          <w:color w:val="auto"/>
          <w:sz w:val="21"/>
          <w:szCs w:val="21"/>
        </w:rPr>
        <w:t>当前</w:t>
      </w:r>
      <w:r>
        <w:rPr>
          <w:rFonts w:ascii="Times New Roman" w:hAnsi="Times New Roman" w:eastAsia="宋体" w:cs="Times New Roman"/>
          <w:color w:val="auto"/>
          <w:sz w:val="21"/>
          <w:szCs w:val="21"/>
        </w:rPr>
        <w:t>的社会热点。</w:t>
      </w:r>
    </w:p>
    <w:p w14:paraId="124117A7">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Times New Roman"/>
          <w:b/>
          <w:color w:val="auto"/>
          <w:sz w:val="21"/>
          <w:szCs w:val="21"/>
        </w:rPr>
      </w:pPr>
      <w:bookmarkStart w:id="318" w:name="_Toc27847329"/>
      <w:r>
        <w:rPr>
          <w:rFonts w:hint="eastAsia" w:ascii="宋体" w:hAnsi="宋体" w:eastAsia="宋体" w:cs="Times New Roman"/>
          <w:b/>
          <w:color w:val="auto"/>
          <w:sz w:val="21"/>
          <w:szCs w:val="21"/>
        </w:rPr>
        <w:t>（二）</w:t>
      </w:r>
      <w:r>
        <w:rPr>
          <w:rFonts w:hint="eastAsia" w:ascii="宋体" w:hAnsi="宋体" w:eastAsia="宋体" w:cs="Times New Roman"/>
          <w:b/>
          <w:color w:val="auto"/>
          <w:sz w:val="21"/>
          <w:szCs w:val="21"/>
          <w:lang w:val="en-US" w:eastAsia="zh-CN"/>
        </w:rPr>
        <w:t>建议教材</w:t>
      </w:r>
      <w:bookmarkEnd w:id="318"/>
    </w:p>
    <w:p w14:paraId="211C543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张荣伟. 我们需要怎样的教育——中国基础教育改革概论.</w:t>
      </w:r>
      <w:r>
        <w:rPr>
          <w:rFonts w:ascii="Times New Roman" w:hAnsi="Times New Roman" w:eastAsia="宋体" w:cs="Times New Roman"/>
          <w:color w:val="auto"/>
          <w:kern w:val="0"/>
          <w:sz w:val="21"/>
          <w:szCs w:val="21"/>
        </w:rPr>
        <w:t xml:space="preserve"> </w:t>
      </w:r>
      <w:r>
        <w:rPr>
          <w:rFonts w:hint="eastAsia" w:ascii="Times New Roman" w:hAnsi="Times New Roman" w:eastAsia="宋体" w:cs="Times New Roman"/>
          <w:color w:val="auto"/>
          <w:kern w:val="0"/>
          <w:sz w:val="21"/>
          <w:szCs w:val="21"/>
        </w:rPr>
        <w:t>北京： 教育科学出版社</w:t>
      </w:r>
      <w:r>
        <w:rPr>
          <w:rFonts w:hint="eastAsia" w:ascii="宋体" w:hAnsi="宋体" w:eastAsia="宋体" w:cs="Times New Roman"/>
          <w:color w:val="auto"/>
          <w:sz w:val="21"/>
          <w:szCs w:val="21"/>
        </w:rPr>
        <w:t>.</w:t>
      </w:r>
      <w:r>
        <w:rPr>
          <w:rFonts w:ascii="Times New Roman" w:hAnsi="Times New Roman" w:eastAsia="宋体" w:cs="Times New Roman"/>
          <w:color w:val="auto"/>
          <w:kern w:val="0"/>
          <w:sz w:val="21"/>
          <w:szCs w:val="21"/>
        </w:rPr>
        <w:t>20</w:t>
      </w:r>
      <w:r>
        <w:rPr>
          <w:rFonts w:hint="eastAsia" w:ascii="Times New Roman" w:hAnsi="Times New Roman" w:eastAsia="宋体" w:cs="Times New Roman"/>
          <w:color w:val="auto"/>
          <w:kern w:val="0"/>
          <w:sz w:val="21"/>
          <w:szCs w:val="21"/>
        </w:rPr>
        <w:t>18.</w:t>
      </w:r>
    </w:p>
    <w:p w14:paraId="49625A79">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Times New Roman"/>
          <w:color w:val="auto"/>
          <w:sz w:val="21"/>
          <w:szCs w:val="21"/>
          <w:lang w:val="en-US" w:eastAsia="zh-CN"/>
        </w:rPr>
      </w:pPr>
      <w:r>
        <w:rPr>
          <w:rFonts w:hint="eastAsia" w:ascii="宋体" w:hAnsi="宋体" w:eastAsia="宋体" w:cs="Times New Roman"/>
          <w:b/>
          <w:bCs/>
          <w:color w:val="auto"/>
          <w:sz w:val="21"/>
          <w:szCs w:val="21"/>
          <w:lang w:eastAsia="zh-CN"/>
        </w:rPr>
        <w:t>（</w:t>
      </w:r>
      <w:r>
        <w:rPr>
          <w:rFonts w:hint="eastAsia" w:ascii="宋体" w:hAnsi="宋体" w:eastAsia="宋体" w:cs="Times New Roman"/>
          <w:b/>
          <w:bCs/>
          <w:color w:val="auto"/>
          <w:sz w:val="21"/>
          <w:szCs w:val="21"/>
          <w:lang w:val="en-US" w:eastAsia="zh-CN"/>
        </w:rPr>
        <w:t>三</w:t>
      </w:r>
      <w:r>
        <w:rPr>
          <w:rFonts w:hint="eastAsia" w:ascii="宋体" w:hAnsi="宋体" w:eastAsia="宋体" w:cs="Times New Roman"/>
          <w:b/>
          <w:bCs/>
          <w:color w:val="auto"/>
          <w:sz w:val="21"/>
          <w:szCs w:val="21"/>
          <w:lang w:eastAsia="zh-CN"/>
        </w:rPr>
        <w:t>）</w:t>
      </w:r>
      <w:r>
        <w:rPr>
          <w:rFonts w:hint="eastAsia" w:ascii="宋体" w:hAnsi="宋体" w:eastAsia="宋体" w:cs="Times New Roman"/>
          <w:b/>
          <w:bCs/>
          <w:color w:val="auto"/>
          <w:sz w:val="21"/>
          <w:szCs w:val="21"/>
          <w:lang w:val="en-US" w:eastAsia="zh-CN"/>
        </w:rPr>
        <w:t>参考书目</w:t>
      </w:r>
    </w:p>
    <w:p w14:paraId="23D00F0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HYPERLINK "https://book.jd.com/writer/%E5%AE%8B%E4%B9%83%E5%BA%86_1.html" \t "_blank" </w:instrText>
      </w:r>
      <w:r>
        <w:rPr>
          <w:rFonts w:hint="eastAsia" w:ascii="宋体" w:hAnsi="宋体" w:eastAsia="宋体" w:cs="宋体"/>
          <w:b w:val="0"/>
          <w:bCs w:val="0"/>
          <w:color w:val="auto"/>
          <w:sz w:val="21"/>
          <w:szCs w:val="21"/>
        </w:rPr>
        <w:fldChar w:fldCharType="separate"/>
      </w:r>
      <w:bookmarkStart w:id="319" w:name="_Toc27847331"/>
      <w:r>
        <w:rPr>
          <w:rFonts w:hint="eastAsia" w:ascii="宋体" w:hAnsi="宋体" w:eastAsia="宋体" w:cs="宋体"/>
          <w:b w:val="0"/>
          <w:bCs w:val="0"/>
          <w:color w:val="auto"/>
          <w:sz w:val="21"/>
          <w:szCs w:val="21"/>
        </w:rPr>
        <w:t>宋乃庆</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sz w:val="21"/>
          <w:szCs w:val="21"/>
        </w:rPr>
        <w:t>，</w:t>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HYPERLINK "https://book.jd.com/writer/%E6%9D%8E%E6%A3%AE_1.html" \t "_blank"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李森</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sz w:val="21"/>
          <w:szCs w:val="21"/>
        </w:rPr>
        <w:t>，</w:t>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HYPERLINK "https://book.jd.com/writer/%E6%9C%B1%E5%BE%B7%E5%85%A8_1.html" \t "_blank"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朱德全</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sz w:val="21"/>
          <w:szCs w:val="21"/>
        </w:rPr>
        <w:t>.中国基础教育改革与发展.高等教育出版社.2018.</w:t>
      </w:r>
      <w:bookmarkEnd w:id="319"/>
    </w:p>
    <w:p w14:paraId="7FDD0875">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Times New Roman"/>
          <w:color w:val="auto"/>
          <w:sz w:val="21"/>
          <w:szCs w:val="21"/>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rPr>
        <w:t>王晓</w:t>
      </w:r>
      <w:r>
        <w:rPr>
          <w:rFonts w:hint="eastAsia" w:ascii="宋体" w:hAnsi="宋体" w:eastAsia="宋体" w:cs="Times New Roman"/>
          <w:color w:val="auto"/>
          <w:sz w:val="21"/>
          <w:szCs w:val="21"/>
        </w:rPr>
        <w:t>辉、赵莉.</w:t>
      </w:r>
      <w:r>
        <w:rPr>
          <w:rFonts w:ascii="宋体" w:hAnsi="宋体" w:eastAsia="宋体" w:cs="Times New Roman"/>
          <w:color w:val="auto"/>
          <w:sz w:val="21"/>
          <w:szCs w:val="21"/>
        </w:rPr>
        <w:t>中</w:t>
      </w:r>
      <w:r>
        <w:rPr>
          <w:rFonts w:hint="eastAsia" w:ascii="宋体" w:hAnsi="宋体" w:eastAsia="宋体" w:cs="Times New Roman"/>
          <w:color w:val="auto"/>
          <w:sz w:val="21"/>
          <w:szCs w:val="21"/>
        </w:rPr>
        <w:t>外</w:t>
      </w:r>
      <w:r>
        <w:rPr>
          <w:rFonts w:ascii="宋体" w:hAnsi="宋体" w:eastAsia="宋体" w:cs="Times New Roman"/>
          <w:color w:val="auto"/>
          <w:sz w:val="21"/>
          <w:szCs w:val="21"/>
        </w:rPr>
        <w:t>基础教育改革与发展</w:t>
      </w:r>
      <w:r>
        <w:rPr>
          <w:rFonts w:hint="eastAsia" w:ascii="宋体" w:hAnsi="宋体" w:eastAsia="宋体" w:cs="Times New Roman"/>
          <w:color w:val="auto"/>
          <w:sz w:val="21"/>
          <w:szCs w:val="21"/>
        </w:rPr>
        <w:t>.中央广播电视大学出版社.2017.</w:t>
      </w:r>
    </w:p>
    <w:p w14:paraId="1D2DEF45">
      <w:pPr>
        <w:keepNext w:val="0"/>
        <w:keepLines w:val="0"/>
        <w:pageBreakBefore w:val="0"/>
        <w:widowControl w:val="0"/>
        <w:kinsoku/>
        <w:wordWrap/>
        <w:overflowPunct/>
        <w:topLinePunct w:val="0"/>
        <w:autoSpaceDE w:val="0"/>
        <w:autoSpaceDN w:val="0"/>
        <w:bidi w:val="0"/>
        <w:adjustRightInd w:val="0"/>
        <w:snapToGrid w:val="0"/>
        <w:spacing w:line="360" w:lineRule="auto"/>
        <w:jc w:val="right"/>
        <w:textAlignment w:val="auto"/>
        <w:rPr>
          <w:rFonts w:hint="eastAsia" w:ascii="宋体" w:hAnsi="宋体" w:eastAsia="宋体" w:cs="Times New Roman"/>
          <w:color w:val="auto"/>
          <w:kern w:val="0"/>
          <w:sz w:val="21"/>
          <w:szCs w:val="18"/>
        </w:rPr>
      </w:pPr>
      <w:r>
        <w:rPr>
          <w:rFonts w:hint="eastAsia" w:ascii="宋体" w:hAnsi="宋体" w:eastAsia="宋体" w:cs="Times New Roman"/>
          <w:color w:val="auto"/>
          <w:kern w:val="0"/>
          <w:sz w:val="24"/>
          <w:szCs w:val="21"/>
        </w:rPr>
        <w:t xml:space="preserve">                                   </w:t>
      </w:r>
      <w:r>
        <w:rPr>
          <w:rFonts w:ascii="宋体" w:hAnsi="宋体" w:eastAsia="宋体" w:cs="Times New Roman"/>
          <w:color w:val="auto"/>
          <w:kern w:val="0"/>
          <w:sz w:val="21"/>
          <w:szCs w:val="18"/>
        </w:rPr>
        <w:t>执笔人：</w:t>
      </w:r>
      <w:r>
        <w:rPr>
          <w:rFonts w:hint="eastAsia" w:ascii="宋体" w:hAnsi="宋体" w:eastAsia="宋体" w:cs="Times New Roman"/>
          <w:color w:val="auto"/>
          <w:kern w:val="0"/>
          <w:sz w:val="21"/>
          <w:szCs w:val="18"/>
        </w:rPr>
        <w:t>赵振杰</w:t>
      </w:r>
    </w:p>
    <w:p w14:paraId="0640F2FA">
      <w:pPr>
        <w:keepNext w:val="0"/>
        <w:keepLines w:val="0"/>
        <w:pageBreakBefore w:val="0"/>
        <w:widowControl w:val="0"/>
        <w:kinsoku/>
        <w:wordWrap/>
        <w:overflowPunct/>
        <w:topLinePunct w:val="0"/>
        <w:autoSpaceDE w:val="0"/>
        <w:autoSpaceDN w:val="0"/>
        <w:bidi w:val="0"/>
        <w:adjustRightInd w:val="0"/>
        <w:snapToGrid w:val="0"/>
        <w:spacing w:line="360" w:lineRule="auto"/>
        <w:jc w:val="right"/>
        <w:textAlignment w:val="auto"/>
        <w:rPr>
          <w:rFonts w:hint="eastAsia" w:ascii="宋体" w:hAnsi="宋体" w:eastAsia="宋体" w:cs="Times New Roman"/>
          <w:color w:val="auto"/>
          <w:kern w:val="0"/>
          <w:sz w:val="21"/>
          <w:szCs w:val="18"/>
        </w:rPr>
      </w:pPr>
      <w:r>
        <w:rPr>
          <w:rFonts w:hint="eastAsia" w:ascii="宋体" w:hAnsi="宋体" w:eastAsia="宋体" w:cs="Times New Roman"/>
          <w:color w:val="auto"/>
          <w:kern w:val="0"/>
          <w:sz w:val="21"/>
          <w:szCs w:val="18"/>
        </w:rPr>
        <w:t xml:space="preserve">                                    审定人：王  健</w:t>
      </w:r>
    </w:p>
    <w:p w14:paraId="04B60A2F">
      <w:pPr>
        <w:keepNext w:val="0"/>
        <w:keepLines w:val="0"/>
        <w:pageBreakBefore w:val="0"/>
        <w:widowControl w:val="0"/>
        <w:kinsoku/>
        <w:wordWrap/>
        <w:overflowPunct/>
        <w:topLinePunct w:val="0"/>
        <w:autoSpaceDE w:val="0"/>
        <w:autoSpaceDN w:val="0"/>
        <w:bidi w:val="0"/>
        <w:adjustRightInd w:val="0"/>
        <w:snapToGrid w:val="0"/>
        <w:spacing w:line="360" w:lineRule="auto"/>
        <w:jc w:val="right"/>
        <w:textAlignment w:val="auto"/>
        <w:rPr>
          <w:rFonts w:hint="eastAsia" w:ascii="宋体" w:hAnsi="宋体" w:eastAsia="宋体" w:cs="Times New Roman"/>
          <w:color w:val="auto"/>
          <w:kern w:val="0"/>
          <w:sz w:val="21"/>
          <w:szCs w:val="18"/>
        </w:rPr>
      </w:pPr>
      <w:r>
        <w:rPr>
          <w:rFonts w:hint="eastAsia" w:ascii="宋体" w:hAnsi="宋体" w:eastAsia="宋体" w:cs="Times New Roman"/>
          <w:color w:val="auto"/>
          <w:kern w:val="0"/>
          <w:sz w:val="21"/>
          <w:szCs w:val="18"/>
        </w:rPr>
        <w:t xml:space="preserve">                                     审批人：张志欣</w:t>
      </w:r>
    </w:p>
    <w:p w14:paraId="56B16ABD">
      <w:pPr>
        <w:keepNext w:val="0"/>
        <w:keepLines w:val="0"/>
        <w:pageBreakBefore w:val="0"/>
        <w:widowControl w:val="0"/>
        <w:kinsoku/>
        <w:wordWrap/>
        <w:overflowPunct/>
        <w:topLinePunct w:val="0"/>
        <w:autoSpaceDE w:val="0"/>
        <w:autoSpaceDN w:val="0"/>
        <w:bidi w:val="0"/>
        <w:adjustRightInd w:val="0"/>
        <w:snapToGrid w:val="0"/>
        <w:spacing w:line="360" w:lineRule="auto"/>
        <w:jc w:val="right"/>
        <w:textAlignment w:val="auto"/>
        <w:rPr>
          <w:rFonts w:hint="eastAsia" w:ascii="宋体" w:hAnsi="宋体" w:eastAsia="宋体" w:cs="Times New Roman"/>
          <w:color w:val="auto"/>
          <w:kern w:val="0"/>
          <w:sz w:val="24"/>
          <w:szCs w:val="21"/>
          <w:lang w:eastAsia="zh-CN"/>
        </w:rPr>
      </w:pPr>
      <w:r>
        <w:rPr>
          <w:rFonts w:hint="eastAsia" w:ascii="宋体" w:hAnsi="宋体" w:eastAsia="宋体" w:cs="Times New Roman"/>
          <w:color w:val="auto"/>
          <w:kern w:val="0"/>
          <w:sz w:val="21"/>
          <w:szCs w:val="18"/>
          <w:lang w:eastAsia="zh-CN"/>
        </w:rPr>
        <w:t>批准时间：2025年7月1日</w:t>
      </w:r>
    </w:p>
    <w:p w14:paraId="1377A34E">
      <w:pPr>
        <w:spacing w:after="160" w:line="278" w:lineRule="auto"/>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6FC0B123">
      <w:pPr>
        <w:spacing w:line="360" w:lineRule="auto"/>
        <w:jc w:val="center"/>
        <w:outlineLvl w:val="0"/>
        <w:rPr>
          <w:rFonts w:hint="eastAsia" w:ascii="Times New Roman" w:hAnsi="Times New Roman" w:eastAsia="宋体" w:cs="Times New Roman"/>
          <w:b/>
          <w:color w:val="auto"/>
          <w:sz w:val="44"/>
          <w:szCs w:val="44"/>
        </w:rPr>
      </w:pPr>
      <w:bookmarkStart w:id="320" w:name="_Toc20843"/>
      <w:bookmarkStart w:id="321" w:name="_Toc11950"/>
      <w:bookmarkStart w:id="322" w:name="_Toc57017183"/>
      <w:r>
        <w:rPr>
          <w:rFonts w:hint="eastAsia" w:ascii="Times New Roman" w:hAnsi="Times New Roman" w:eastAsia="宋体" w:cs="Times New Roman"/>
          <w:b/>
          <w:color w:val="auto"/>
          <w:sz w:val="44"/>
          <w:szCs w:val="44"/>
        </w:rPr>
        <w:t>《教育哲学》课程教学大纲</w:t>
      </w:r>
      <w:bookmarkEnd w:id="320"/>
      <w:bookmarkEnd w:id="321"/>
    </w:p>
    <w:p w14:paraId="4E5888B2">
      <w:pPr>
        <w:spacing w:line="360" w:lineRule="auto"/>
        <w:jc w:val="center"/>
        <w:rPr>
          <w:rFonts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rPr>
        <w:t>（</w:t>
      </w:r>
      <w:r>
        <w:rPr>
          <w:rFonts w:ascii="Times New Roman" w:hAnsi="Times New Roman" w:eastAsia="宋体" w:cs="Times New Roman"/>
          <w:b/>
          <w:bCs/>
          <w:color w:val="auto"/>
          <w:sz w:val="28"/>
          <w:szCs w:val="28"/>
        </w:rPr>
        <w:t>Philosophy of Education</w:t>
      </w:r>
      <w:r>
        <w:rPr>
          <w:rFonts w:hint="eastAsia" w:ascii="Times New Roman" w:hAnsi="Times New Roman" w:eastAsia="宋体" w:cs="Times New Roman"/>
          <w:b/>
          <w:bCs/>
          <w:color w:val="auto"/>
          <w:sz w:val="28"/>
          <w:szCs w:val="28"/>
        </w:rPr>
        <w:t>）</w:t>
      </w:r>
    </w:p>
    <w:p w14:paraId="28E9D2C8">
      <w:pPr>
        <w:spacing w:line="360" w:lineRule="auto"/>
        <w:ind w:firstLine="422" w:firstLineChars="200"/>
        <w:rPr>
          <w:rFonts w:hint="eastAsia" w:ascii="宋体" w:hAnsi="宋体"/>
          <w:b/>
          <w:color w:val="auto"/>
          <w:sz w:val="21"/>
          <w:szCs w:val="24"/>
        </w:rPr>
      </w:pPr>
    </w:p>
    <w:p w14:paraId="2E281E17">
      <w:pPr>
        <w:spacing w:line="360" w:lineRule="auto"/>
        <w:ind w:firstLine="482" w:firstLineChars="200"/>
        <w:rPr>
          <w:rFonts w:hint="eastAsia" w:ascii="宋体" w:hAnsi="宋体"/>
          <w:color w:val="auto"/>
          <w:sz w:val="24"/>
          <w:szCs w:val="32"/>
        </w:rPr>
      </w:pPr>
      <w:r>
        <w:rPr>
          <w:rFonts w:hint="eastAsia" w:ascii="宋体" w:hAnsi="宋体"/>
          <w:b/>
          <w:color w:val="auto"/>
          <w:sz w:val="24"/>
          <w:szCs w:val="32"/>
        </w:rPr>
        <w:t>课程代码</w:t>
      </w:r>
      <w:r>
        <w:rPr>
          <w:rFonts w:hint="eastAsia" w:ascii="宋体" w:hAnsi="宋体"/>
          <w:color w:val="auto"/>
          <w:sz w:val="24"/>
          <w:szCs w:val="32"/>
        </w:rPr>
        <w:t>：</w:t>
      </w:r>
      <w:r>
        <w:rPr>
          <w:rFonts w:ascii="宋体" w:hAnsi="宋体"/>
          <w:color w:val="auto"/>
          <w:sz w:val="24"/>
          <w:szCs w:val="32"/>
        </w:rPr>
        <w:t>2401017</w:t>
      </w:r>
    </w:p>
    <w:p w14:paraId="54171678">
      <w:pPr>
        <w:spacing w:line="360" w:lineRule="auto"/>
        <w:ind w:firstLine="482" w:firstLineChars="200"/>
        <w:rPr>
          <w:rFonts w:hint="eastAsia" w:ascii="宋体" w:hAnsi="宋体"/>
          <w:color w:val="auto"/>
          <w:sz w:val="24"/>
          <w:szCs w:val="32"/>
        </w:rPr>
      </w:pPr>
      <w:r>
        <w:rPr>
          <w:rFonts w:hint="eastAsia" w:ascii="宋体" w:hAnsi="宋体"/>
          <w:b/>
          <w:color w:val="auto"/>
          <w:sz w:val="24"/>
          <w:szCs w:val="32"/>
        </w:rPr>
        <w:t>学分</w:t>
      </w:r>
      <w:r>
        <w:rPr>
          <w:rFonts w:hint="eastAsia" w:ascii="宋体" w:hAnsi="宋体"/>
          <w:color w:val="auto"/>
          <w:sz w:val="24"/>
          <w:szCs w:val="32"/>
        </w:rPr>
        <w:t>：</w:t>
      </w:r>
      <w:r>
        <w:rPr>
          <w:rFonts w:ascii="宋体" w:hAnsi="宋体"/>
          <w:color w:val="auto"/>
          <w:sz w:val="24"/>
          <w:szCs w:val="32"/>
        </w:rPr>
        <w:t>2</w:t>
      </w:r>
    </w:p>
    <w:p w14:paraId="14C5E9B0">
      <w:pPr>
        <w:spacing w:line="360" w:lineRule="auto"/>
        <w:ind w:firstLine="482" w:firstLineChars="200"/>
        <w:rPr>
          <w:rFonts w:hint="eastAsia" w:ascii="宋体" w:hAnsi="宋体"/>
          <w:color w:val="auto"/>
          <w:sz w:val="24"/>
          <w:szCs w:val="32"/>
        </w:rPr>
      </w:pPr>
      <w:r>
        <w:rPr>
          <w:rFonts w:hint="eastAsia" w:ascii="宋体" w:hAnsi="宋体"/>
          <w:b/>
          <w:color w:val="auto"/>
          <w:sz w:val="24"/>
          <w:szCs w:val="32"/>
        </w:rPr>
        <w:t>学时</w:t>
      </w:r>
      <w:r>
        <w:rPr>
          <w:rFonts w:hint="eastAsia" w:ascii="宋体" w:hAnsi="宋体"/>
          <w:color w:val="auto"/>
          <w:sz w:val="24"/>
          <w:szCs w:val="32"/>
        </w:rPr>
        <w:t>：</w:t>
      </w:r>
      <w:r>
        <w:rPr>
          <w:rFonts w:ascii="宋体" w:hAnsi="宋体"/>
          <w:color w:val="auto"/>
          <w:sz w:val="24"/>
          <w:szCs w:val="32"/>
        </w:rPr>
        <w:t>32</w:t>
      </w:r>
    </w:p>
    <w:p w14:paraId="07A2D497">
      <w:pPr>
        <w:spacing w:line="360" w:lineRule="auto"/>
        <w:ind w:firstLine="482" w:firstLineChars="200"/>
        <w:rPr>
          <w:rFonts w:ascii="宋体"/>
          <w:color w:val="auto"/>
          <w:sz w:val="24"/>
          <w:szCs w:val="32"/>
        </w:rPr>
      </w:pPr>
      <w:r>
        <w:rPr>
          <w:rFonts w:hint="eastAsia" w:ascii="宋体" w:hAnsi="宋体"/>
          <w:b/>
          <w:color w:val="auto"/>
          <w:sz w:val="24"/>
          <w:szCs w:val="32"/>
        </w:rPr>
        <w:t>先修课程</w:t>
      </w:r>
      <w:r>
        <w:rPr>
          <w:rFonts w:hint="eastAsia" w:ascii="宋体" w:hAnsi="宋体"/>
          <w:color w:val="auto"/>
          <w:sz w:val="24"/>
          <w:szCs w:val="32"/>
        </w:rPr>
        <w:t>：中外教育史、教育原理</w:t>
      </w:r>
    </w:p>
    <w:p w14:paraId="0CC25B8E">
      <w:pPr>
        <w:spacing w:line="360" w:lineRule="auto"/>
        <w:ind w:firstLine="482" w:firstLineChars="200"/>
        <w:rPr>
          <w:rFonts w:ascii="宋体"/>
          <w:color w:val="auto"/>
          <w:sz w:val="24"/>
          <w:szCs w:val="32"/>
        </w:rPr>
      </w:pPr>
      <w:r>
        <w:rPr>
          <w:rFonts w:hint="eastAsia" w:ascii="宋体" w:hAnsi="宋体"/>
          <w:b/>
          <w:color w:val="auto"/>
          <w:sz w:val="24"/>
          <w:szCs w:val="32"/>
        </w:rPr>
        <w:t>适用专业</w:t>
      </w:r>
      <w:r>
        <w:rPr>
          <w:rFonts w:hint="eastAsia" w:ascii="宋体" w:hAnsi="宋体"/>
          <w:color w:val="auto"/>
          <w:sz w:val="24"/>
          <w:szCs w:val="32"/>
        </w:rPr>
        <w:t>：小学教育</w:t>
      </w:r>
    </w:p>
    <w:p w14:paraId="42DBD5F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hint="eastAsia" w:ascii="宋体" w:hAnsi="宋体"/>
          <w:b/>
          <w:color w:val="auto"/>
          <w:sz w:val="22"/>
          <w:szCs w:val="22"/>
        </w:rPr>
      </w:pPr>
      <w:r>
        <w:rPr>
          <w:rFonts w:hint="eastAsia" w:ascii="宋体" w:hAnsi="宋体"/>
          <w:b/>
          <w:color w:val="auto"/>
          <w:sz w:val="24"/>
          <w:szCs w:val="24"/>
          <w:lang w:val="en-US" w:eastAsia="zh-CN"/>
        </w:rPr>
        <w:t>一</w:t>
      </w:r>
      <w:r>
        <w:rPr>
          <w:rFonts w:hint="eastAsia" w:ascii="宋体" w:hAnsi="宋体"/>
          <w:b/>
          <w:color w:val="auto"/>
          <w:sz w:val="24"/>
          <w:szCs w:val="24"/>
        </w:rPr>
        <w:t>、课程简介</w:t>
      </w:r>
    </w:p>
    <w:p w14:paraId="06ACCC0A">
      <w:pPr>
        <w:spacing w:line="360" w:lineRule="auto"/>
        <w:ind w:firstLine="420" w:firstLineChars="200"/>
        <w:rPr>
          <w:rFonts w:hint="eastAsia" w:ascii="宋体" w:hAnsi="宋体"/>
          <w:color w:val="auto"/>
          <w:szCs w:val="21"/>
        </w:rPr>
      </w:pPr>
      <w:r>
        <w:rPr>
          <w:rFonts w:hint="eastAsia" w:ascii="宋体" w:hAnsi="宋体"/>
          <w:color w:val="auto"/>
          <w:szCs w:val="21"/>
        </w:rPr>
        <w:t>本课程是小学教育专业选修课程，是运用哲学的观念、思维方法分析、阐释教育问题的专业基础课。课程从教育实践出发以培养教师的教育人格与教育智慧为宗旨，通过本课程的学习，使学生初步掌握哲学的思维方法分析教育现象的能力，提高教育哲学作为人文学科对教师自身素质发展的价值与意义，尤其是批判性思维的意识，进而更好的处理教育理想与教育行动的关系、教师职业和日常生活的关系。</w:t>
      </w:r>
    </w:p>
    <w:p w14:paraId="2E1C448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hint="eastAsia" w:ascii="宋体" w:hAnsi="宋体"/>
          <w:b/>
          <w:color w:val="auto"/>
          <w:sz w:val="24"/>
          <w:szCs w:val="24"/>
          <w:lang w:val="en-US" w:eastAsia="zh-CN"/>
        </w:rPr>
      </w:pPr>
      <w:r>
        <w:rPr>
          <w:rFonts w:hint="eastAsia" w:ascii="宋体" w:hAnsi="宋体"/>
          <w:b/>
          <w:color w:val="auto"/>
          <w:sz w:val="24"/>
          <w:szCs w:val="24"/>
          <w:lang w:val="en-US" w:eastAsia="zh-CN"/>
        </w:rPr>
        <w:t>二、课程目标</w:t>
      </w:r>
    </w:p>
    <w:p w14:paraId="0D7E6915">
      <w:pPr>
        <w:adjustRightInd w:val="0"/>
        <w:snapToGrid w:val="0"/>
        <w:spacing w:line="360" w:lineRule="auto"/>
        <w:ind w:firstLine="316" w:firstLineChars="150"/>
        <w:rPr>
          <w:rFonts w:ascii="宋体"/>
          <w:b/>
          <w:color w:val="auto"/>
          <w:szCs w:val="21"/>
        </w:rPr>
      </w:pPr>
      <w:r>
        <w:rPr>
          <w:rFonts w:hint="eastAsia" w:ascii="宋体" w:hAnsi="宋体"/>
          <w:b/>
          <w:color w:val="auto"/>
          <w:szCs w:val="21"/>
        </w:rPr>
        <w:t>（一）课程具体目标</w:t>
      </w:r>
    </w:p>
    <w:p w14:paraId="45920346">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目标</w:t>
      </w:r>
      <w:r>
        <w:rPr>
          <w:rFonts w:ascii="宋体" w:hAnsi="宋体"/>
          <w:color w:val="auto"/>
          <w:szCs w:val="21"/>
        </w:rPr>
        <w:t>1.</w:t>
      </w:r>
      <w:r>
        <w:rPr>
          <w:rFonts w:hint="eastAsia" w:ascii="宋体" w:hAnsi="宋体"/>
          <w:color w:val="auto"/>
          <w:szCs w:val="21"/>
        </w:rPr>
        <w:t>全面系统地了解教育哲学基本知识，深入理解教育哲学特别是建构教育哲学的基本理论观点，初步掌握教育哲学的理论方法。</w:t>
      </w:r>
    </w:p>
    <w:p w14:paraId="0D947A8F">
      <w:pPr>
        <w:adjustRightInd w:val="0"/>
        <w:snapToGrid w:val="0"/>
        <w:spacing w:line="360" w:lineRule="auto"/>
        <w:ind w:firstLine="420" w:firstLineChars="200"/>
        <w:rPr>
          <w:rFonts w:ascii="宋体"/>
          <w:color w:val="auto"/>
          <w:szCs w:val="21"/>
        </w:rPr>
      </w:pPr>
      <w:r>
        <w:rPr>
          <w:rFonts w:hint="eastAsia" w:ascii="宋体" w:hAnsi="宋体"/>
          <w:color w:val="auto"/>
          <w:szCs w:val="21"/>
        </w:rPr>
        <w:t>目标2</w:t>
      </w:r>
      <w:r>
        <w:rPr>
          <w:rFonts w:ascii="宋体" w:hAnsi="宋体"/>
          <w:color w:val="auto"/>
          <w:szCs w:val="21"/>
        </w:rPr>
        <w:t>.</w:t>
      </w:r>
      <w:r>
        <w:rPr>
          <w:rFonts w:hint="eastAsia" w:ascii="宋体" w:hAnsi="宋体"/>
          <w:color w:val="auto"/>
          <w:szCs w:val="21"/>
        </w:rPr>
        <w:t>引导师范生思考教育的根本目的与价值、反思教育实践问题，认识学生、认识教师专业，引导师范生树立正确的教育观、教师观和学生观。</w:t>
      </w:r>
    </w:p>
    <w:p w14:paraId="142E8988">
      <w:pPr>
        <w:adjustRightInd w:val="0"/>
        <w:snapToGrid w:val="0"/>
        <w:spacing w:line="360" w:lineRule="auto"/>
        <w:ind w:firstLine="420" w:firstLineChars="200"/>
        <w:rPr>
          <w:rFonts w:ascii="宋体"/>
          <w:color w:val="auto"/>
          <w:szCs w:val="21"/>
        </w:rPr>
      </w:pPr>
      <w:r>
        <w:rPr>
          <w:rFonts w:hint="eastAsia" w:ascii="宋体" w:hAnsi="宋体"/>
          <w:color w:val="auto"/>
          <w:szCs w:val="21"/>
        </w:rPr>
        <w:t>目标</w:t>
      </w:r>
      <w:r>
        <w:rPr>
          <w:rFonts w:ascii="宋体" w:hAnsi="宋体"/>
          <w:color w:val="auto"/>
          <w:szCs w:val="21"/>
        </w:rPr>
        <w:t>3.</w:t>
      </w:r>
      <w:r>
        <w:rPr>
          <w:rFonts w:hint="eastAsia" w:ascii="宋体" w:hAnsi="宋体"/>
          <w:color w:val="auto"/>
          <w:szCs w:val="21"/>
        </w:rPr>
        <w:t>针对日常教育教学活动和过程的分析与审视，养成师范生反思、乐思、善思的思维品质和思维习惯，提升他们的教育反思意识与能力。</w:t>
      </w:r>
    </w:p>
    <w:p w14:paraId="585EE81E">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目标</w:t>
      </w:r>
      <w:r>
        <w:rPr>
          <w:rFonts w:ascii="宋体" w:hAnsi="宋体"/>
          <w:color w:val="auto"/>
          <w:szCs w:val="21"/>
        </w:rPr>
        <w:t>4</w:t>
      </w:r>
      <w:r>
        <w:rPr>
          <w:rFonts w:ascii="宋体"/>
          <w:color w:val="auto"/>
          <w:szCs w:val="21"/>
        </w:rPr>
        <w:t>.</w:t>
      </w:r>
      <w:r>
        <w:rPr>
          <w:rFonts w:hint="eastAsia" w:ascii="宋体" w:hAnsi="宋体"/>
          <w:color w:val="auto"/>
          <w:szCs w:val="21"/>
        </w:rPr>
        <w:t>形成对教育教学科学合理的理念和价值观，形成和发展优秀的教育人格和卓越的教师品质，逐步成长为研究型、智慧型教师。</w:t>
      </w:r>
    </w:p>
    <w:p w14:paraId="4BFBAC33">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b/>
          <w:bCs/>
          <w:color w:val="auto"/>
          <w:szCs w:val="21"/>
        </w:rPr>
      </w:pPr>
      <w:r>
        <w:rPr>
          <w:rFonts w:hint="eastAsia" w:ascii="Times New Roman" w:hAnsi="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5911"/>
        <w:gridCol w:w="1469"/>
      </w:tblGrid>
      <w:tr w14:paraId="0AAF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Align w:val="center"/>
          </w:tcPr>
          <w:p w14:paraId="110A108C">
            <w:pPr>
              <w:spacing w:line="360" w:lineRule="auto"/>
              <w:jc w:val="center"/>
              <w:rPr>
                <w:rFonts w:ascii="Times New Roman" w:hAnsi="Times New Roman"/>
                <w:b/>
                <w:bCs/>
                <w:color w:val="auto"/>
                <w:kern w:val="0"/>
                <w:szCs w:val="21"/>
              </w:rPr>
            </w:pPr>
            <w:r>
              <w:rPr>
                <w:rFonts w:hint="eastAsia" w:ascii="Times New Roman" w:hAnsi="Times New Roman"/>
                <w:b/>
                <w:bCs/>
                <w:color w:val="auto"/>
                <w:kern w:val="0"/>
                <w:szCs w:val="21"/>
              </w:rPr>
              <w:t>毕业要求</w:t>
            </w:r>
          </w:p>
        </w:tc>
        <w:tc>
          <w:tcPr>
            <w:tcW w:w="5911" w:type="dxa"/>
            <w:vAlign w:val="center"/>
          </w:tcPr>
          <w:p w14:paraId="4A29938A">
            <w:pPr>
              <w:spacing w:line="360" w:lineRule="auto"/>
              <w:jc w:val="center"/>
              <w:rPr>
                <w:rFonts w:ascii="Times New Roman" w:hAnsi="Times New Roman"/>
                <w:b/>
                <w:bCs/>
                <w:color w:val="auto"/>
                <w:kern w:val="0"/>
                <w:szCs w:val="21"/>
              </w:rPr>
            </w:pPr>
            <w:r>
              <w:rPr>
                <w:rFonts w:hint="eastAsia" w:ascii="Times New Roman" w:hAnsi="Times New Roman"/>
                <w:b/>
                <w:bCs/>
                <w:color w:val="auto"/>
                <w:kern w:val="0"/>
                <w:szCs w:val="21"/>
              </w:rPr>
              <w:t>毕业要求指标点</w:t>
            </w:r>
          </w:p>
        </w:tc>
        <w:tc>
          <w:tcPr>
            <w:tcW w:w="1469" w:type="dxa"/>
            <w:vAlign w:val="center"/>
          </w:tcPr>
          <w:p w14:paraId="380DF651">
            <w:pPr>
              <w:spacing w:line="360" w:lineRule="auto"/>
              <w:jc w:val="center"/>
              <w:rPr>
                <w:rFonts w:ascii="Times New Roman" w:hAnsi="Times New Roman"/>
                <w:b/>
                <w:bCs/>
                <w:color w:val="auto"/>
                <w:kern w:val="0"/>
                <w:szCs w:val="21"/>
              </w:rPr>
            </w:pPr>
            <w:r>
              <w:rPr>
                <w:rFonts w:hint="eastAsia" w:ascii="Times New Roman" w:hAnsi="Times New Roman"/>
                <w:b/>
                <w:bCs/>
                <w:color w:val="auto"/>
                <w:kern w:val="0"/>
                <w:szCs w:val="21"/>
              </w:rPr>
              <w:t>课程目标</w:t>
            </w:r>
          </w:p>
        </w:tc>
      </w:tr>
      <w:tr w14:paraId="5B24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Align w:val="center"/>
          </w:tcPr>
          <w:p w14:paraId="336D464D">
            <w:pPr>
              <w:spacing w:line="276" w:lineRule="auto"/>
              <w:jc w:val="center"/>
              <w:rPr>
                <w:rFonts w:hint="eastAsia" w:ascii="Times New Roman" w:hAnsi="Times New Roman"/>
                <w:b/>
                <w:bCs/>
                <w:color w:val="auto"/>
                <w:kern w:val="0"/>
                <w:szCs w:val="21"/>
              </w:rPr>
            </w:pPr>
            <w:r>
              <w:rPr>
                <w:rFonts w:hint="eastAsia" w:ascii="Times New Roman" w:hAnsi="Times New Roman"/>
                <w:b/>
                <w:bCs/>
                <w:color w:val="auto"/>
                <w:kern w:val="0"/>
                <w:szCs w:val="21"/>
              </w:rPr>
              <w:t>毕业要求1</w:t>
            </w:r>
          </w:p>
          <w:p w14:paraId="01EE8CAB">
            <w:pPr>
              <w:spacing w:line="276" w:lineRule="auto"/>
              <w:jc w:val="center"/>
              <w:rPr>
                <w:rFonts w:ascii="Times New Roman" w:hAnsi="Times New Roman"/>
                <w:b/>
                <w:bCs/>
                <w:color w:val="auto"/>
                <w:kern w:val="0"/>
                <w:szCs w:val="21"/>
              </w:rPr>
            </w:pPr>
            <w:r>
              <w:rPr>
                <w:rFonts w:hint="eastAsia" w:ascii="Times New Roman" w:hAnsi="Times New Roman"/>
                <w:b/>
                <w:bCs/>
                <w:color w:val="auto"/>
                <w:kern w:val="0"/>
                <w:szCs w:val="21"/>
              </w:rPr>
              <w:t>师德规范</w:t>
            </w:r>
          </w:p>
        </w:tc>
        <w:tc>
          <w:tcPr>
            <w:tcW w:w="5911" w:type="dxa"/>
            <w:vAlign w:val="center"/>
          </w:tcPr>
          <w:p w14:paraId="37972256">
            <w:pPr>
              <w:spacing w:line="276" w:lineRule="auto"/>
              <w:jc w:val="left"/>
              <w:rPr>
                <w:rFonts w:ascii="Times New Roman" w:hAnsi="Times New Roman"/>
                <w:b w:val="0"/>
                <w:bCs w:val="0"/>
                <w:color w:val="auto"/>
                <w:kern w:val="0"/>
                <w:szCs w:val="21"/>
              </w:rPr>
            </w:pPr>
            <w:r>
              <w:rPr>
                <w:rFonts w:hint="eastAsia" w:ascii="Times New Roman" w:hAnsi="Times New Roman"/>
                <w:b w:val="0"/>
                <w:bCs w:val="0"/>
                <w:color w:val="auto"/>
                <w:kern w:val="0"/>
                <w:szCs w:val="21"/>
              </w:rPr>
              <w:t>指标点</w:t>
            </w:r>
            <w:r>
              <w:rPr>
                <w:rFonts w:ascii="Times New Roman" w:hAnsi="Times New Roman"/>
                <w:b w:val="0"/>
                <w:bCs w:val="0"/>
                <w:color w:val="auto"/>
                <w:kern w:val="0"/>
                <w:szCs w:val="21"/>
              </w:rPr>
              <w:t>1-1：【理想信念坚定】了解我国国情及国际局势，深刻理解新时代中国特色社会主义思想内涵；认同中国特色社会主义，贯彻党的教育方针，自觉践行社会主义核心价值观；认同教师劳动的价值，树立职业理想，立志成为有理想信念、有道德情操、有扎实学识、有仁爱之心受学生爱戴的好老师。</w:t>
            </w:r>
          </w:p>
        </w:tc>
        <w:tc>
          <w:tcPr>
            <w:tcW w:w="1469" w:type="dxa"/>
            <w:vAlign w:val="center"/>
          </w:tcPr>
          <w:p w14:paraId="3C0D0926">
            <w:pPr>
              <w:spacing w:line="276" w:lineRule="auto"/>
              <w:jc w:val="left"/>
              <w:rPr>
                <w:rFonts w:ascii="Times New Roman" w:hAnsi="Times New Roman"/>
                <w:color w:val="auto"/>
                <w:kern w:val="0"/>
                <w:szCs w:val="21"/>
              </w:rPr>
            </w:pPr>
            <w:r>
              <w:rPr>
                <w:rFonts w:hint="eastAsia" w:ascii="Times New Roman" w:hAnsi="Times New Roman"/>
                <w:color w:val="auto"/>
                <w:kern w:val="0"/>
                <w:szCs w:val="21"/>
              </w:rPr>
              <w:t>课程目标2</w:t>
            </w:r>
          </w:p>
        </w:tc>
      </w:tr>
      <w:tr w14:paraId="7049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Align w:val="center"/>
          </w:tcPr>
          <w:p w14:paraId="2FD7D758">
            <w:pPr>
              <w:spacing w:line="276" w:lineRule="auto"/>
              <w:jc w:val="center"/>
              <w:rPr>
                <w:rFonts w:hint="eastAsia" w:ascii="Times New Roman" w:hAnsi="Times New Roman"/>
                <w:b/>
                <w:bCs/>
                <w:color w:val="auto"/>
                <w:kern w:val="0"/>
                <w:szCs w:val="21"/>
              </w:rPr>
            </w:pPr>
            <w:r>
              <w:rPr>
                <w:rFonts w:hint="eastAsia" w:ascii="Times New Roman" w:hAnsi="Times New Roman"/>
                <w:b/>
                <w:bCs/>
                <w:color w:val="auto"/>
                <w:kern w:val="0"/>
                <w:szCs w:val="21"/>
              </w:rPr>
              <w:t>毕业要求2</w:t>
            </w:r>
          </w:p>
          <w:p w14:paraId="2C1AB5FF">
            <w:pPr>
              <w:spacing w:line="276" w:lineRule="auto"/>
              <w:jc w:val="center"/>
              <w:rPr>
                <w:rFonts w:ascii="Times New Roman" w:hAnsi="Times New Roman"/>
                <w:b/>
                <w:bCs/>
                <w:color w:val="auto"/>
                <w:kern w:val="0"/>
                <w:szCs w:val="21"/>
              </w:rPr>
            </w:pPr>
            <w:r>
              <w:rPr>
                <w:rFonts w:hint="eastAsia" w:ascii="Times New Roman" w:hAnsi="Times New Roman"/>
                <w:b/>
                <w:bCs/>
                <w:color w:val="auto"/>
                <w:kern w:val="0"/>
                <w:szCs w:val="21"/>
              </w:rPr>
              <w:t>教育情怀</w:t>
            </w:r>
          </w:p>
        </w:tc>
        <w:tc>
          <w:tcPr>
            <w:tcW w:w="5911" w:type="dxa"/>
            <w:vAlign w:val="center"/>
          </w:tcPr>
          <w:p w14:paraId="17C4CDBB">
            <w:pPr>
              <w:spacing w:line="276" w:lineRule="auto"/>
              <w:jc w:val="left"/>
              <w:rPr>
                <w:rFonts w:ascii="Times New Roman" w:hAnsi="Times New Roman"/>
                <w:b w:val="0"/>
                <w:bCs w:val="0"/>
                <w:color w:val="auto"/>
                <w:kern w:val="0"/>
                <w:szCs w:val="21"/>
              </w:rPr>
            </w:pPr>
            <w:r>
              <w:rPr>
                <w:rFonts w:hint="eastAsia" w:ascii="宋体" w:hAnsi="宋体"/>
                <w:b w:val="0"/>
                <w:bCs w:val="0"/>
                <w:color w:val="auto"/>
                <w:spacing w:val="2"/>
                <w:kern w:val="0"/>
                <w:szCs w:val="21"/>
              </w:rPr>
              <w:t>指标点</w:t>
            </w:r>
            <w:r>
              <w:rPr>
                <w:rFonts w:ascii="宋体" w:hAnsi="宋体"/>
                <w:b w:val="0"/>
                <w:bCs w:val="0"/>
                <w:color w:val="auto"/>
                <w:spacing w:val="2"/>
                <w:kern w:val="0"/>
                <w:szCs w:val="21"/>
              </w:rPr>
              <w:t>2-2：【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469" w:type="dxa"/>
            <w:vAlign w:val="center"/>
          </w:tcPr>
          <w:p w14:paraId="74154D75">
            <w:pPr>
              <w:spacing w:line="276" w:lineRule="auto"/>
              <w:jc w:val="left"/>
              <w:rPr>
                <w:rFonts w:ascii="Times New Roman" w:hAnsi="Times New Roman"/>
                <w:color w:val="auto"/>
                <w:kern w:val="0"/>
                <w:szCs w:val="21"/>
              </w:rPr>
            </w:pPr>
            <w:r>
              <w:rPr>
                <w:rFonts w:hint="eastAsia" w:ascii="Times New Roman" w:hAnsi="Times New Roman"/>
                <w:color w:val="auto"/>
                <w:kern w:val="0"/>
                <w:szCs w:val="21"/>
              </w:rPr>
              <w:t>课程目标4</w:t>
            </w:r>
          </w:p>
        </w:tc>
      </w:tr>
      <w:tr w14:paraId="5C25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Align w:val="center"/>
          </w:tcPr>
          <w:p w14:paraId="1B9A2293">
            <w:pPr>
              <w:spacing w:line="276" w:lineRule="auto"/>
              <w:jc w:val="center"/>
              <w:rPr>
                <w:rFonts w:hint="eastAsia" w:ascii="Times New Roman" w:hAnsi="Times New Roman"/>
                <w:b/>
                <w:bCs/>
                <w:color w:val="auto"/>
                <w:kern w:val="0"/>
                <w:szCs w:val="21"/>
              </w:rPr>
            </w:pPr>
            <w:r>
              <w:rPr>
                <w:rFonts w:hint="eastAsia" w:ascii="Times New Roman" w:hAnsi="Times New Roman"/>
                <w:b/>
                <w:bCs/>
                <w:color w:val="auto"/>
                <w:kern w:val="0"/>
                <w:szCs w:val="21"/>
              </w:rPr>
              <w:t>毕业要求4</w:t>
            </w:r>
          </w:p>
          <w:p w14:paraId="4B52F8EB">
            <w:pPr>
              <w:spacing w:line="276" w:lineRule="auto"/>
              <w:jc w:val="center"/>
              <w:rPr>
                <w:rFonts w:ascii="Times New Roman" w:hAnsi="Times New Roman"/>
                <w:b/>
                <w:bCs/>
                <w:color w:val="auto"/>
                <w:kern w:val="0"/>
                <w:szCs w:val="21"/>
              </w:rPr>
            </w:pPr>
            <w:r>
              <w:rPr>
                <w:rFonts w:hint="eastAsia" w:ascii="Times New Roman" w:hAnsi="Times New Roman"/>
                <w:b/>
                <w:bCs/>
                <w:color w:val="auto"/>
                <w:kern w:val="0"/>
                <w:szCs w:val="21"/>
              </w:rPr>
              <w:t>教学能力</w:t>
            </w:r>
          </w:p>
        </w:tc>
        <w:tc>
          <w:tcPr>
            <w:tcW w:w="5911" w:type="dxa"/>
            <w:vAlign w:val="center"/>
          </w:tcPr>
          <w:p w14:paraId="492438CC">
            <w:pPr>
              <w:spacing w:line="276" w:lineRule="auto"/>
              <w:jc w:val="left"/>
              <w:rPr>
                <w:rFonts w:hint="eastAsia" w:ascii="Times New Roman" w:hAnsi="Times New Roman" w:eastAsiaTheme="minorEastAsia"/>
                <w:b w:val="0"/>
                <w:bCs w:val="0"/>
                <w:color w:val="auto"/>
                <w:kern w:val="0"/>
                <w:szCs w:val="21"/>
                <w:lang w:eastAsia="zh-CN"/>
              </w:rPr>
            </w:pPr>
            <w:r>
              <w:rPr>
                <w:rFonts w:hint="eastAsia" w:ascii="宋体" w:hAnsi="宋体"/>
                <w:b w:val="0"/>
                <w:bCs w:val="0"/>
                <w:color w:val="auto"/>
                <w:spacing w:val="2"/>
                <w:kern w:val="0"/>
                <w:szCs w:val="21"/>
                <w:lang w:eastAsia="zh-CN"/>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469" w:type="dxa"/>
            <w:vAlign w:val="center"/>
          </w:tcPr>
          <w:p w14:paraId="0DA3B365">
            <w:pPr>
              <w:spacing w:line="276" w:lineRule="auto"/>
              <w:jc w:val="left"/>
              <w:rPr>
                <w:rFonts w:ascii="Times New Roman" w:hAnsi="Times New Roman"/>
                <w:color w:val="auto"/>
                <w:kern w:val="0"/>
                <w:szCs w:val="21"/>
              </w:rPr>
            </w:pPr>
            <w:r>
              <w:rPr>
                <w:rFonts w:hint="eastAsia" w:ascii="Times New Roman" w:hAnsi="Times New Roman"/>
                <w:color w:val="auto"/>
                <w:kern w:val="0"/>
                <w:szCs w:val="21"/>
              </w:rPr>
              <w:t>课程目标1</w:t>
            </w:r>
          </w:p>
        </w:tc>
      </w:tr>
      <w:tr w14:paraId="23C1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Align w:val="center"/>
          </w:tcPr>
          <w:p w14:paraId="3EF05F09">
            <w:pPr>
              <w:spacing w:line="276" w:lineRule="auto"/>
              <w:jc w:val="center"/>
              <w:rPr>
                <w:rFonts w:hint="eastAsia" w:ascii="Times New Roman" w:hAnsi="Times New Roman"/>
                <w:b/>
                <w:bCs/>
                <w:color w:val="auto"/>
                <w:kern w:val="0"/>
                <w:szCs w:val="21"/>
              </w:rPr>
            </w:pPr>
            <w:r>
              <w:rPr>
                <w:rFonts w:hint="eastAsia" w:ascii="Times New Roman" w:hAnsi="Times New Roman"/>
                <w:b/>
                <w:bCs/>
                <w:color w:val="auto"/>
                <w:kern w:val="0"/>
                <w:szCs w:val="21"/>
              </w:rPr>
              <w:t>毕业要求7</w:t>
            </w:r>
          </w:p>
          <w:p w14:paraId="319763D5">
            <w:pPr>
              <w:spacing w:line="276" w:lineRule="auto"/>
              <w:jc w:val="center"/>
              <w:rPr>
                <w:rFonts w:ascii="Times New Roman" w:hAnsi="Times New Roman"/>
                <w:b/>
                <w:bCs/>
                <w:color w:val="auto"/>
                <w:kern w:val="0"/>
                <w:szCs w:val="21"/>
              </w:rPr>
            </w:pPr>
            <w:r>
              <w:rPr>
                <w:rFonts w:hint="eastAsia" w:ascii="Times New Roman" w:hAnsi="Times New Roman"/>
                <w:b/>
                <w:bCs/>
                <w:color w:val="auto"/>
                <w:kern w:val="0"/>
                <w:szCs w:val="21"/>
              </w:rPr>
              <w:t>学会反思</w:t>
            </w:r>
          </w:p>
        </w:tc>
        <w:tc>
          <w:tcPr>
            <w:tcW w:w="5911" w:type="dxa"/>
            <w:vAlign w:val="center"/>
          </w:tcPr>
          <w:p w14:paraId="17DDAA8A">
            <w:pPr>
              <w:spacing w:line="276" w:lineRule="auto"/>
              <w:jc w:val="left"/>
              <w:rPr>
                <w:rFonts w:ascii="Times New Roman" w:hAnsi="Times New Roman"/>
                <w:b w:val="0"/>
                <w:bCs w:val="0"/>
                <w:color w:val="auto"/>
                <w:kern w:val="0"/>
                <w:szCs w:val="21"/>
              </w:rPr>
            </w:pPr>
            <w:r>
              <w:rPr>
                <w:rFonts w:hint="eastAsia" w:ascii="宋体" w:hAnsi="宋体"/>
                <w:b w:val="0"/>
                <w:bCs w:val="0"/>
                <w:color w:val="auto"/>
                <w:kern w:val="0"/>
                <w:szCs w:val="21"/>
              </w:rPr>
              <w:t>指标点</w:t>
            </w:r>
            <w:r>
              <w:rPr>
                <w:rFonts w:ascii="宋体" w:hAnsi="宋体"/>
                <w:b w:val="0"/>
                <w:bCs w:val="0"/>
                <w:color w:val="auto"/>
                <w:kern w:val="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469" w:type="dxa"/>
            <w:vAlign w:val="center"/>
          </w:tcPr>
          <w:p w14:paraId="2DE4208A">
            <w:pPr>
              <w:spacing w:line="276" w:lineRule="auto"/>
              <w:jc w:val="left"/>
              <w:rPr>
                <w:rFonts w:ascii="Times New Roman" w:hAnsi="Times New Roman"/>
                <w:color w:val="auto"/>
                <w:kern w:val="0"/>
                <w:szCs w:val="21"/>
              </w:rPr>
            </w:pPr>
            <w:r>
              <w:rPr>
                <w:rFonts w:hint="eastAsia" w:ascii="Times New Roman" w:hAnsi="Times New Roman"/>
                <w:color w:val="auto"/>
                <w:kern w:val="0"/>
                <w:szCs w:val="21"/>
              </w:rPr>
              <w:t>课程目标3</w:t>
            </w:r>
          </w:p>
        </w:tc>
      </w:tr>
    </w:tbl>
    <w:p w14:paraId="405BB8D7">
      <w:pPr>
        <w:spacing w:before="156" w:beforeLines="50" w:line="360" w:lineRule="auto"/>
        <w:ind w:firstLine="211" w:firstLineChars="100"/>
        <w:jc w:val="left"/>
        <w:rPr>
          <w:rFonts w:hint="eastAsia" w:ascii="宋体" w:hAnsi="宋体"/>
          <w:b/>
          <w:color w:val="auto"/>
          <w:szCs w:val="21"/>
        </w:rPr>
      </w:pPr>
      <w:r>
        <w:rPr>
          <w:rFonts w:hint="eastAsia" w:ascii="宋体" w:hAnsi="宋体"/>
          <w:b/>
          <w:color w:val="auto"/>
          <w:szCs w:val="21"/>
        </w:rPr>
        <w:t>（三）课程思政目标</w:t>
      </w:r>
    </w:p>
    <w:p w14:paraId="19CEF556">
      <w:pPr>
        <w:spacing w:line="360" w:lineRule="auto"/>
        <w:ind w:firstLine="420" w:firstLineChars="200"/>
        <w:rPr>
          <w:rFonts w:ascii="宋体"/>
          <w:color w:val="auto"/>
          <w:szCs w:val="21"/>
        </w:rPr>
      </w:pPr>
      <w:r>
        <w:rPr>
          <w:rFonts w:hint="eastAsia" w:ascii="宋体"/>
          <w:color w:val="auto"/>
          <w:szCs w:val="21"/>
        </w:rPr>
        <w:t>遵循师范培养目标和新时代教师需求，通过学生对教育哲学的学习，全面系统地掌握教育哲学基本知识、观点和方法，并能够指导学生认识学生、认识教师专业，引导师范生树立正确的教育观、教师观和学生观进而培养学生形成和发展优秀的教育人格和卓越的教师品质</w:t>
      </w:r>
    </w:p>
    <w:p w14:paraId="33A6A6EE">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hint="eastAsia" w:ascii="宋体" w:hAnsi="宋体"/>
          <w:b/>
          <w:color w:val="auto"/>
          <w:sz w:val="24"/>
          <w:szCs w:val="24"/>
          <w:lang w:val="en-US" w:eastAsia="zh-CN"/>
        </w:rPr>
      </w:pPr>
      <w:r>
        <w:rPr>
          <w:rFonts w:hint="eastAsia" w:ascii="宋体" w:hAnsi="宋体"/>
          <w:b/>
          <w:color w:val="auto"/>
          <w:sz w:val="24"/>
          <w:szCs w:val="24"/>
          <w:lang w:val="en-US" w:eastAsia="zh-CN"/>
        </w:rPr>
        <w:t>四、教学内容与预期学习成效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467"/>
        <w:gridCol w:w="152"/>
        <w:gridCol w:w="1007"/>
        <w:gridCol w:w="135"/>
        <w:gridCol w:w="3261"/>
        <w:gridCol w:w="187"/>
        <w:gridCol w:w="1372"/>
        <w:gridCol w:w="142"/>
        <w:gridCol w:w="372"/>
      </w:tblGrid>
      <w:tr w14:paraId="06BE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Align w:val="center"/>
          </w:tcPr>
          <w:p w14:paraId="1B5EC5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kern w:val="0"/>
                <w:szCs w:val="21"/>
              </w:rPr>
            </w:pPr>
            <w:r>
              <w:rPr>
                <w:rFonts w:hint="eastAsia" w:ascii="宋体" w:hAnsi="宋体"/>
                <w:b/>
                <w:color w:val="auto"/>
                <w:kern w:val="0"/>
                <w:szCs w:val="21"/>
              </w:rPr>
              <w:t>知识</w:t>
            </w:r>
          </w:p>
          <w:p w14:paraId="1DC27C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kern w:val="0"/>
                <w:szCs w:val="21"/>
              </w:rPr>
            </w:pPr>
            <w:r>
              <w:rPr>
                <w:rFonts w:hint="eastAsia" w:ascii="宋体" w:hAnsi="宋体"/>
                <w:b/>
                <w:color w:val="auto"/>
                <w:kern w:val="0"/>
                <w:szCs w:val="21"/>
              </w:rPr>
              <w:t>单元</w:t>
            </w:r>
          </w:p>
        </w:tc>
        <w:tc>
          <w:tcPr>
            <w:tcW w:w="1467" w:type="dxa"/>
            <w:vAlign w:val="center"/>
          </w:tcPr>
          <w:p w14:paraId="49218B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kern w:val="0"/>
                <w:szCs w:val="21"/>
              </w:rPr>
            </w:pPr>
            <w:r>
              <w:rPr>
                <w:rFonts w:hint="eastAsia" w:ascii="宋体" w:hAnsi="宋体"/>
                <w:b/>
                <w:color w:val="auto"/>
                <w:kern w:val="0"/>
                <w:szCs w:val="21"/>
              </w:rPr>
              <w:t>知识点</w:t>
            </w:r>
          </w:p>
        </w:tc>
        <w:tc>
          <w:tcPr>
            <w:tcW w:w="1159" w:type="dxa"/>
            <w:gridSpan w:val="2"/>
            <w:vAlign w:val="center"/>
          </w:tcPr>
          <w:p w14:paraId="26EBFB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kern w:val="0"/>
                <w:szCs w:val="21"/>
              </w:rPr>
            </w:pPr>
            <w:r>
              <w:rPr>
                <w:rFonts w:hint="eastAsia" w:ascii="宋体" w:hAnsi="宋体"/>
                <w:b/>
                <w:color w:val="auto"/>
                <w:kern w:val="0"/>
                <w:szCs w:val="21"/>
              </w:rPr>
              <w:t>对应</w:t>
            </w:r>
          </w:p>
          <w:p w14:paraId="462898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kern w:val="0"/>
                <w:szCs w:val="21"/>
              </w:rPr>
            </w:pPr>
            <w:r>
              <w:rPr>
                <w:rFonts w:hint="eastAsia" w:ascii="宋体" w:hAnsi="宋体"/>
                <w:b/>
                <w:color w:val="auto"/>
                <w:kern w:val="0"/>
                <w:szCs w:val="21"/>
              </w:rPr>
              <w:t>课程目标</w:t>
            </w:r>
          </w:p>
        </w:tc>
        <w:tc>
          <w:tcPr>
            <w:tcW w:w="3583" w:type="dxa"/>
            <w:gridSpan w:val="3"/>
            <w:vAlign w:val="center"/>
          </w:tcPr>
          <w:p w14:paraId="1E69B8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kern w:val="0"/>
                <w:szCs w:val="21"/>
              </w:rPr>
            </w:pPr>
            <w:r>
              <w:rPr>
                <w:rFonts w:hint="eastAsia" w:ascii="宋体" w:hAnsi="宋体"/>
                <w:b/>
                <w:color w:val="auto"/>
                <w:kern w:val="0"/>
                <w:szCs w:val="21"/>
              </w:rPr>
              <w:t>预期学习成效</w:t>
            </w:r>
          </w:p>
        </w:tc>
        <w:tc>
          <w:tcPr>
            <w:tcW w:w="1372" w:type="dxa"/>
            <w:vAlign w:val="center"/>
          </w:tcPr>
          <w:p w14:paraId="58DA86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kern w:val="0"/>
                <w:szCs w:val="21"/>
              </w:rPr>
            </w:pPr>
            <w:r>
              <w:rPr>
                <w:rFonts w:hint="eastAsia" w:ascii="宋体" w:hAnsi="宋体"/>
                <w:b/>
                <w:color w:val="auto"/>
                <w:kern w:val="0"/>
                <w:szCs w:val="21"/>
              </w:rPr>
              <w:t>实现环节</w:t>
            </w:r>
          </w:p>
        </w:tc>
        <w:tc>
          <w:tcPr>
            <w:tcW w:w="514" w:type="dxa"/>
            <w:gridSpan w:val="2"/>
            <w:vAlign w:val="center"/>
          </w:tcPr>
          <w:p w14:paraId="5275A8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kern w:val="0"/>
                <w:szCs w:val="21"/>
              </w:rPr>
            </w:pPr>
            <w:r>
              <w:rPr>
                <w:rFonts w:hint="eastAsia" w:ascii="宋体" w:hAnsi="宋体"/>
                <w:b/>
                <w:color w:val="auto"/>
                <w:kern w:val="0"/>
                <w:szCs w:val="21"/>
              </w:rPr>
              <w:t>学时</w:t>
            </w:r>
          </w:p>
        </w:tc>
      </w:tr>
      <w:tr w14:paraId="4259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60F2C1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1.</w:t>
            </w:r>
            <w:r>
              <w:rPr>
                <w:rFonts w:hint="eastAsia"/>
                <w:color w:val="auto"/>
                <w:kern w:val="0"/>
                <w:szCs w:val="21"/>
              </w:rPr>
              <w:t xml:space="preserve"> </w:t>
            </w:r>
            <w:r>
              <w:rPr>
                <w:rFonts w:hint="eastAsia" w:ascii="宋体" w:hAnsi="宋体"/>
                <w:color w:val="auto"/>
                <w:kern w:val="0"/>
                <w:szCs w:val="21"/>
              </w:rPr>
              <w:t>绪论</w:t>
            </w:r>
          </w:p>
        </w:tc>
        <w:tc>
          <w:tcPr>
            <w:tcW w:w="1467" w:type="dxa"/>
            <w:vAlign w:val="center"/>
          </w:tcPr>
          <w:p w14:paraId="5BF8245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（1）教育哲学的研究对象与性质</w:t>
            </w:r>
          </w:p>
          <w:p w14:paraId="59975A4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（2）教育哲学的价值</w:t>
            </w:r>
          </w:p>
          <w:p w14:paraId="1E6F178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（3）教育哲学的研究与教学方法</w:t>
            </w:r>
          </w:p>
        </w:tc>
        <w:tc>
          <w:tcPr>
            <w:tcW w:w="1159" w:type="dxa"/>
            <w:gridSpan w:val="2"/>
            <w:vAlign w:val="center"/>
          </w:tcPr>
          <w:p w14:paraId="26E595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课程目标1</w:t>
            </w:r>
          </w:p>
        </w:tc>
        <w:tc>
          <w:tcPr>
            <w:tcW w:w="3583" w:type="dxa"/>
            <w:gridSpan w:val="3"/>
            <w:vAlign w:val="center"/>
          </w:tcPr>
          <w:p w14:paraId="50985C4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（1）了解教育哲学课程的性质、目标与学习要求；</w:t>
            </w:r>
          </w:p>
          <w:p w14:paraId="0018D87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（2）辨识教育哲学的研究对象，理解教育哲学的四种基本性质；</w:t>
            </w:r>
          </w:p>
          <w:p w14:paraId="54357B2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（3）理解教育哲学的教育实践价值、政策价值和研究价值；</w:t>
            </w:r>
          </w:p>
          <w:p w14:paraId="22C1DE1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（4）理解中国教育哲学的研究和教学为什么要以马克思主义为指导以及如何以马克思主义为指导</w:t>
            </w:r>
          </w:p>
          <w:p w14:paraId="0272AAF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（5）培养初步的对于教育哲学学科的积极态度和价值认同教学重点：认识教育哲学的学科属性</w:t>
            </w:r>
          </w:p>
        </w:tc>
        <w:tc>
          <w:tcPr>
            <w:tcW w:w="1372" w:type="dxa"/>
            <w:vAlign w:val="center"/>
          </w:tcPr>
          <w:p w14:paraId="0415BAE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1.自主学习</w:t>
            </w:r>
          </w:p>
          <w:p w14:paraId="50B0A68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2.多媒体教学</w:t>
            </w:r>
          </w:p>
          <w:p w14:paraId="63D9DFB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3.课堂讨论</w:t>
            </w:r>
          </w:p>
        </w:tc>
        <w:tc>
          <w:tcPr>
            <w:tcW w:w="514" w:type="dxa"/>
            <w:gridSpan w:val="2"/>
            <w:vAlign w:val="center"/>
          </w:tcPr>
          <w:p w14:paraId="38697F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2</w:t>
            </w:r>
          </w:p>
        </w:tc>
      </w:tr>
      <w:tr w14:paraId="71D6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7FD7C3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p>
        </w:tc>
        <w:tc>
          <w:tcPr>
            <w:tcW w:w="8095" w:type="dxa"/>
            <w:gridSpan w:val="9"/>
            <w:vAlign w:val="center"/>
          </w:tcPr>
          <w:p w14:paraId="1367027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b/>
                <w:color w:val="auto"/>
                <w:kern w:val="0"/>
                <w:szCs w:val="21"/>
              </w:rPr>
              <w:t>课程思政目标：</w:t>
            </w:r>
            <w:r>
              <w:rPr>
                <w:rFonts w:hint="eastAsia" w:ascii="宋体" w:hAnsi="宋体"/>
                <w:color w:val="auto"/>
                <w:kern w:val="0"/>
                <w:szCs w:val="21"/>
              </w:rPr>
              <w:t>把马克思主义哲学中的辩证唯物主义和历史唯物主义基本观点融入教育哲学概念和基本理论中，弥补学生哲学素养的不足，并对“哲学是时代精神的精华”做出新时代背景下的阐释。</w:t>
            </w:r>
          </w:p>
        </w:tc>
      </w:tr>
      <w:tr w14:paraId="3E72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4AD71A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2.</w:t>
            </w:r>
            <w:r>
              <w:rPr>
                <w:rFonts w:hint="eastAsia"/>
                <w:color w:val="auto"/>
                <w:kern w:val="0"/>
                <w:szCs w:val="21"/>
              </w:rPr>
              <w:t xml:space="preserve"> </w:t>
            </w:r>
            <w:r>
              <w:rPr>
                <w:rFonts w:hint="eastAsia" w:ascii="宋体" w:hAnsi="宋体"/>
                <w:color w:val="auto"/>
                <w:kern w:val="0"/>
                <w:szCs w:val="21"/>
              </w:rPr>
              <w:t>教育哲学的历史发展</w:t>
            </w:r>
          </w:p>
        </w:tc>
        <w:tc>
          <w:tcPr>
            <w:tcW w:w="1467" w:type="dxa"/>
            <w:vAlign w:val="center"/>
          </w:tcPr>
          <w:p w14:paraId="3915517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（1）中国教育哲学的历史发展</w:t>
            </w:r>
          </w:p>
          <w:p w14:paraId="01E3703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（2）西方教育哲学的历史发展</w:t>
            </w:r>
          </w:p>
          <w:p w14:paraId="0D54BEF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（3）马克思主义哲学的形成与发展</w:t>
            </w:r>
          </w:p>
        </w:tc>
        <w:tc>
          <w:tcPr>
            <w:tcW w:w="1159" w:type="dxa"/>
            <w:gridSpan w:val="2"/>
            <w:vAlign w:val="center"/>
          </w:tcPr>
          <w:p w14:paraId="072F64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课程目标1</w:t>
            </w:r>
          </w:p>
        </w:tc>
        <w:tc>
          <w:tcPr>
            <w:tcW w:w="3583" w:type="dxa"/>
            <w:gridSpan w:val="3"/>
            <w:vAlign w:val="center"/>
          </w:tcPr>
          <w:p w14:paraId="4024C2A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（1）了解中国教育哲学历史发展的主要脉络，初步理解我国古代几种主要的教育哲学传统；</w:t>
            </w:r>
          </w:p>
          <w:p w14:paraId="5D4C571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（2）了解西方教育哲学历史发展的主要脉络，批判性地认识实用主义教育哲学、存在主义教育哲学、分析教育哲学及后现代教育哲学思潮产生的社会背景、主要观点、学术影响和理论局限；</w:t>
            </w:r>
          </w:p>
          <w:p w14:paraId="54B5D8C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（3）系统了解马克思主义经典作家有关教育问题的重要哲学论述，理解马克思主义教育哲学思想在西方、苏联和我国的传播与发展。</w:t>
            </w:r>
          </w:p>
          <w:p w14:paraId="5F4B53A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（4）重点理解十八大以来习近平总书记有关教育问题的重要论述，深度思考如何进一步继承和发展马克思主义教育哲学思想，构建中国特色、中国风格和中国气派的教育哲学体系。</w:t>
            </w:r>
          </w:p>
        </w:tc>
        <w:tc>
          <w:tcPr>
            <w:tcW w:w="1372" w:type="dxa"/>
            <w:vAlign w:val="center"/>
          </w:tcPr>
          <w:p w14:paraId="67D5921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1.自主学习</w:t>
            </w:r>
          </w:p>
          <w:p w14:paraId="0753A8A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2.多媒体教学</w:t>
            </w:r>
          </w:p>
          <w:p w14:paraId="68D5884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3.课堂讨论</w:t>
            </w:r>
          </w:p>
        </w:tc>
        <w:tc>
          <w:tcPr>
            <w:tcW w:w="514" w:type="dxa"/>
            <w:gridSpan w:val="2"/>
            <w:vAlign w:val="center"/>
          </w:tcPr>
          <w:p w14:paraId="62D91E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2</w:t>
            </w:r>
          </w:p>
        </w:tc>
      </w:tr>
      <w:tr w14:paraId="62E0D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583901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p>
        </w:tc>
        <w:tc>
          <w:tcPr>
            <w:tcW w:w="8095" w:type="dxa"/>
            <w:gridSpan w:val="9"/>
            <w:vAlign w:val="center"/>
          </w:tcPr>
          <w:p w14:paraId="1E028CD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b/>
                <w:color w:val="auto"/>
                <w:kern w:val="0"/>
                <w:szCs w:val="21"/>
              </w:rPr>
              <w:t>课程思政目标：</w:t>
            </w:r>
            <w:r>
              <w:rPr>
                <w:rFonts w:hint="eastAsia" w:ascii="宋体" w:hAnsi="宋体"/>
                <w:color w:val="auto"/>
                <w:kern w:val="0"/>
                <w:szCs w:val="21"/>
              </w:rPr>
              <w:t>通过研究和阐发中国教育哲学蕴含的中国智慧，增强文化自信；通过理解十八大以来习近平总书记有关教育问题的重要论述，深度思考如何进一步继承和发展马克思主义教育哲学思想，构建中国特色、中国风格和中国气派的教育哲学。</w:t>
            </w:r>
          </w:p>
        </w:tc>
      </w:tr>
      <w:tr w14:paraId="530B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6611D6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3.</w:t>
            </w:r>
            <w:r>
              <w:rPr>
                <w:rFonts w:hint="eastAsia"/>
                <w:color w:val="auto"/>
                <w:kern w:val="0"/>
                <w:szCs w:val="21"/>
              </w:rPr>
              <w:t xml:space="preserve"> </w:t>
            </w:r>
            <w:r>
              <w:rPr>
                <w:rFonts w:hint="eastAsia" w:ascii="宋体" w:hAnsi="宋体"/>
                <w:color w:val="auto"/>
                <w:kern w:val="0"/>
                <w:szCs w:val="21"/>
              </w:rPr>
              <w:t>教育的本质</w:t>
            </w:r>
          </w:p>
        </w:tc>
        <w:tc>
          <w:tcPr>
            <w:tcW w:w="1467" w:type="dxa"/>
            <w:vAlign w:val="center"/>
          </w:tcPr>
          <w:p w14:paraId="5564FA8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（1）教育概念的语言分析</w:t>
            </w:r>
          </w:p>
          <w:p w14:paraId="1DEB941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（2）教育与相关概念的辨析</w:t>
            </w:r>
          </w:p>
          <w:p w14:paraId="719CECA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（3）教育的本质与理想</w:t>
            </w:r>
          </w:p>
        </w:tc>
        <w:tc>
          <w:tcPr>
            <w:tcW w:w="1159" w:type="dxa"/>
            <w:gridSpan w:val="2"/>
            <w:vAlign w:val="center"/>
          </w:tcPr>
          <w:p w14:paraId="2C309D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课程目标1、2、4</w:t>
            </w:r>
          </w:p>
        </w:tc>
        <w:tc>
          <w:tcPr>
            <w:tcW w:w="3583" w:type="dxa"/>
            <w:gridSpan w:val="3"/>
            <w:vAlign w:val="center"/>
          </w:tcPr>
          <w:p w14:paraId="60091DF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（1）了解教育概念的日常意义、定义类型以及主要的隐喻；</w:t>
            </w:r>
          </w:p>
          <w:p w14:paraId="58CF1C7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（2）从理论上和实践上能够把握教育概念与教学、学习、训练、宣传等的区别与联系；</w:t>
            </w:r>
          </w:p>
          <w:p w14:paraId="1C83E09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（3）理解教育本质认识的社会性和历史性，重点掌握习近平总书记有关教育一般本质和中国特色社会主义教育本质的重要论述；</w:t>
            </w:r>
          </w:p>
          <w:p w14:paraId="0A4CC9A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（4）掌握新时代中国特色社会主义良好教育的标准，理解教育的理想是人的自由全面发展。</w:t>
            </w:r>
          </w:p>
        </w:tc>
        <w:tc>
          <w:tcPr>
            <w:tcW w:w="1372" w:type="dxa"/>
            <w:vAlign w:val="center"/>
          </w:tcPr>
          <w:p w14:paraId="3EE073E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1.</w:t>
            </w:r>
            <w:r>
              <w:rPr>
                <w:rFonts w:hint="eastAsia" w:ascii="宋体" w:hAnsi="宋体"/>
                <w:color w:val="auto"/>
                <w:kern w:val="0"/>
                <w:szCs w:val="21"/>
              </w:rPr>
              <w:t>自主</w:t>
            </w:r>
            <w:r>
              <w:rPr>
                <w:rFonts w:ascii="宋体" w:hAnsi="宋体"/>
                <w:color w:val="auto"/>
                <w:kern w:val="0"/>
                <w:szCs w:val="21"/>
              </w:rPr>
              <w:t>学习</w:t>
            </w:r>
          </w:p>
          <w:p w14:paraId="43CBC1F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2.多媒体教学</w:t>
            </w:r>
          </w:p>
          <w:p w14:paraId="7ADCA7B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3.课堂讨论</w:t>
            </w:r>
          </w:p>
        </w:tc>
        <w:tc>
          <w:tcPr>
            <w:tcW w:w="514" w:type="dxa"/>
            <w:gridSpan w:val="2"/>
            <w:vAlign w:val="center"/>
          </w:tcPr>
          <w:p w14:paraId="7E1A53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2</w:t>
            </w:r>
          </w:p>
        </w:tc>
      </w:tr>
      <w:tr w14:paraId="69A8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7EE3B0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p>
        </w:tc>
        <w:tc>
          <w:tcPr>
            <w:tcW w:w="8095" w:type="dxa"/>
            <w:gridSpan w:val="9"/>
            <w:vAlign w:val="center"/>
          </w:tcPr>
          <w:p w14:paraId="7FEE07A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b/>
                <w:color w:val="auto"/>
                <w:kern w:val="0"/>
                <w:szCs w:val="21"/>
              </w:rPr>
              <w:t>课程思政目标：</w:t>
            </w:r>
            <w:r>
              <w:rPr>
                <w:rFonts w:hint="eastAsia" w:ascii="宋体" w:hAnsi="宋体"/>
                <w:color w:val="auto"/>
                <w:kern w:val="0"/>
                <w:szCs w:val="21"/>
              </w:rPr>
              <w:t>用习近平总书记关于教育重要论述中关于“立德树人”思想分析中外历史上对教育本质的不同理解差异，以及新时代对教育本质理解所发生的变化，使学生通过对比深入思考哲学视域内的教育内涵。使学生从更深的意义上思考师范生所承担的育人使命，增强职业敬畏感和神圣感。</w:t>
            </w:r>
          </w:p>
        </w:tc>
      </w:tr>
      <w:tr w14:paraId="3F0B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008405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4.</w:t>
            </w:r>
            <w:r>
              <w:rPr>
                <w:rFonts w:hint="eastAsia"/>
                <w:color w:val="auto"/>
                <w:kern w:val="0"/>
                <w:szCs w:val="21"/>
              </w:rPr>
              <w:t xml:space="preserve"> </w:t>
            </w:r>
            <w:r>
              <w:rPr>
                <w:rFonts w:hint="eastAsia" w:ascii="宋体" w:hAnsi="宋体"/>
                <w:color w:val="auto"/>
                <w:kern w:val="0"/>
                <w:szCs w:val="21"/>
              </w:rPr>
              <w:t>人性论与教育</w:t>
            </w:r>
          </w:p>
        </w:tc>
        <w:tc>
          <w:tcPr>
            <w:tcW w:w="1467" w:type="dxa"/>
            <w:vAlign w:val="center"/>
          </w:tcPr>
          <w:p w14:paraId="63DB3F7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（1）人性论概述</w:t>
            </w:r>
          </w:p>
          <w:p w14:paraId="6D1E0B0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（2）人性论与教育的关系</w:t>
            </w:r>
          </w:p>
          <w:p w14:paraId="349AC2B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（3）当代教育中的人性问题与责任</w:t>
            </w:r>
          </w:p>
        </w:tc>
        <w:tc>
          <w:tcPr>
            <w:tcW w:w="1159" w:type="dxa"/>
            <w:gridSpan w:val="2"/>
            <w:vAlign w:val="center"/>
          </w:tcPr>
          <w:p w14:paraId="302CF4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课程目标1、2、3</w:t>
            </w:r>
          </w:p>
        </w:tc>
        <w:tc>
          <w:tcPr>
            <w:tcW w:w="3583" w:type="dxa"/>
            <w:gridSpan w:val="3"/>
            <w:vAlign w:val="center"/>
          </w:tcPr>
          <w:p w14:paraId="47A5C1B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（1）了解中外历史上的人性论主张，掌握马克思主义在人性问题上的基本立场、观点和方法，理解它们之间的联系与本质差别；</w:t>
            </w:r>
          </w:p>
          <w:p w14:paraId="3D05276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（2）理解不同的人性论假设与儿童观、教育方法和教育管理实践之间的内在关联，并辩证地看待不同人性论对教育实践的影响；</w:t>
            </w:r>
          </w:p>
          <w:p w14:paraId="09C479E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（3）从实际出发，分析当代教育实践中存在的人性论问题，理解“以人为本”的内涵以及现代教育的人性关怀。</w:t>
            </w:r>
          </w:p>
        </w:tc>
        <w:tc>
          <w:tcPr>
            <w:tcW w:w="1372" w:type="dxa"/>
            <w:vAlign w:val="center"/>
          </w:tcPr>
          <w:p w14:paraId="518629B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1.</w:t>
            </w:r>
            <w:r>
              <w:rPr>
                <w:rFonts w:hint="eastAsia" w:ascii="宋体" w:hAnsi="宋体"/>
                <w:color w:val="auto"/>
                <w:kern w:val="0"/>
                <w:szCs w:val="21"/>
              </w:rPr>
              <w:t>自主</w:t>
            </w:r>
            <w:r>
              <w:rPr>
                <w:rFonts w:ascii="宋体" w:hAnsi="宋体"/>
                <w:color w:val="auto"/>
                <w:kern w:val="0"/>
                <w:szCs w:val="21"/>
              </w:rPr>
              <w:t>学习</w:t>
            </w:r>
          </w:p>
          <w:p w14:paraId="22FB99F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2.多媒体教学</w:t>
            </w:r>
          </w:p>
          <w:p w14:paraId="294F5B7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3.课堂讨论</w:t>
            </w:r>
          </w:p>
          <w:p w14:paraId="64740AC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4.</w:t>
            </w:r>
            <w:r>
              <w:rPr>
                <w:rFonts w:hint="eastAsia" w:ascii="宋体" w:hAnsi="宋体"/>
                <w:color w:val="auto"/>
                <w:kern w:val="0"/>
                <w:szCs w:val="21"/>
              </w:rPr>
              <w:t>小组合作与汇报</w:t>
            </w:r>
          </w:p>
        </w:tc>
        <w:tc>
          <w:tcPr>
            <w:tcW w:w="514" w:type="dxa"/>
            <w:gridSpan w:val="2"/>
            <w:vAlign w:val="center"/>
          </w:tcPr>
          <w:p w14:paraId="52CDDF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4</w:t>
            </w:r>
          </w:p>
        </w:tc>
      </w:tr>
      <w:tr w14:paraId="1759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2D6F4C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p>
        </w:tc>
        <w:tc>
          <w:tcPr>
            <w:tcW w:w="8095" w:type="dxa"/>
            <w:gridSpan w:val="9"/>
            <w:vAlign w:val="center"/>
          </w:tcPr>
          <w:p w14:paraId="21DF876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b/>
                <w:color w:val="auto"/>
                <w:kern w:val="0"/>
                <w:szCs w:val="21"/>
              </w:rPr>
              <w:t>课程思政目标：</w:t>
            </w:r>
            <w:r>
              <w:rPr>
                <w:rFonts w:hint="eastAsia" w:ascii="宋体" w:hAnsi="宋体"/>
                <w:color w:val="auto"/>
                <w:kern w:val="0"/>
                <w:szCs w:val="21"/>
              </w:rPr>
              <w:t>通过对人本身问题的追问和反思，深入理解人性论与教育活动的内在联系，坚持以人为本的原则，树立正确的学生观，促进每一个学生健康、和谐与可持续发展。</w:t>
            </w:r>
          </w:p>
        </w:tc>
      </w:tr>
      <w:tr w14:paraId="49C7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680A06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5.</w:t>
            </w:r>
            <w:r>
              <w:rPr>
                <w:rFonts w:hint="eastAsia"/>
                <w:color w:val="auto"/>
                <w:kern w:val="0"/>
                <w:szCs w:val="21"/>
              </w:rPr>
              <w:t xml:space="preserve"> </w:t>
            </w:r>
            <w:r>
              <w:rPr>
                <w:rFonts w:hint="eastAsia" w:ascii="宋体" w:hAnsi="宋体"/>
                <w:color w:val="auto"/>
                <w:kern w:val="0"/>
                <w:szCs w:val="21"/>
              </w:rPr>
              <w:t>认识论与教育</w:t>
            </w:r>
          </w:p>
        </w:tc>
        <w:tc>
          <w:tcPr>
            <w:tcW w:w="1467" w:type="dxa"/>
            <w:vAlign w:val="center"/>
          </w:tcPr>
          <w:p w14:paraId="63A3E5E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（1）认识论概述</w:t>
            </w:r>
          </w:p>
          <w:p w14:paraId="21B76B8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（2）知识的性质、类型与课程</w:t>
            </w:r>
          </w:p>
          <w:p w14:paraId="14A575D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（3）教育中的批判性思维</w:t>
            </w:r>
          </w:p>
        </w:tc>
        <w:tc>
          <w:tcPr>
            <w:tcW w:w="1159" w:type="dxa"/>
            <w:gridSpan w:val="2"/>
            <w:vAlign w:val="center"/>
          </w:tcPr>
          <w:p w14:paraId="2AA556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课程目标1、3、4</w:t>
            </w:r>
          </w:p>
        </w:tc>
        <w:tc>
          <w:tcPr>
            <w:tcW w:w="3583" w:type="dxa"/>
            <w:gridSpan w:val="3"/>
            <w:vAlign w:val="center"/>
          </w:tcPr>
          <w:p w14:paraId="23F521B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（1）了解和评析中国传统和西方认识论，深入理解马克思主义认识论；</w:t>
            </w:r>
          </w:p>
          <w:p w14:paraId="0E1BCE9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（2）了解知识的性质与学科性质，掌握知识类型与课程建构的规律，理解课程建构和教育教学中的知识选择；</w:t>
            </w:r>
          </w:p>
          <w:p w14:paraId="5BD2220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（3）理解批判性思维的概念及其与创造力培养的关系，把握批判性思维的教与学的原则要求；</w:t>
            </w:r>
          </w:p>
          <w:p w14:paraId="2770E50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（4）能够就当前我国课程与教学改革中的若干问题从认识论视角进行分析。</w:t>
            </w:r>
          </w:p>
        </w:tc>
        <w:tc>
          <w:tcPr>
            <w:tcW w:w="1372" w:type="dxa"/>
            <w:vAlign w:val="center"/>
          </w:tcPr>
          <w:p w14:paraId="310E052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1.</w:t>
            </w:r>
            <w:r>
              <w:rPr>
                <w:rFonts w:hint="eastAsia" w:ascii="宋体" w:hAnsi="宋体"/>
                <w:color w:val="auto"/>
                <w:kern w:val="0"/>
                <w:szCs w:val="21"/>
              </w:rPr>
              <w:t>自主</w:t>
            </w:r>
            <w:r>
              <w:rPr>
                <w:rFonts w:ascii="宋体" w:hAnsi="宋体"/>
                <w:color w:val="auto"/>
                <w:kern w:val="0"/>
                <w:szCs w:val="21"/>
              </w:rPr>
              <w:t>学习</w:t>
            </w:r>
          </w:p>
          <w:p w14:paraId="01E8359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2.多媒体教学</w:t>
            </w:r>
          </w:p>
          <w:p w14:paraId="445D5AF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3.课堂讨论</w:t>
            </w:r>
          </w:p>
        </w:tc>
        <w:tc>
          <w:tcPr>
            <w:tcW w:w="514" w:type="dxa"/>
            <w:gridSpan w:val="2"/>
            <w:vAlign w:val="center"/>
          </w:tcPr>
          <w:p w14:paraId="4C789A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3</w:t>
            </w:r>
          </w:p>
        </w:tc>
      </w:tr>
      <w:tr w14:paraId="3BCC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118A7D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p>
        </w:tc>
        <w:tc>
          <w:tcPr>
            <w:tcW w:w="8095" w:type="dxa"/>
            <w:gridSpan w:val="9"/>
            <w:vAlign w:val="center"/>
          </w:tcPr>
          <w:p w14:paraId="08FBB7F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b/>
                <w:color w:val="auto"/>
                <w:kern w:val="0"/>
                <w:szCs w:val="21"/>
              </w:rPr>
              <w:t>课程思政目标：</w:t>
            </w:r>
            <w:r>
              <w:rPr>
                <w:rFonts w:hint="eastAsia" w:ascii="宋体" w:hAnsi="宋体"/>
                <w:color w:val="auto"/>
                <w:kern w:val="0"/>
                <w:szCs w:val="21"/>
              </w:rPr>
              <w:t>使师范生从唯物主义出发，辩证地、历史地按照事物本身去认识事物，并进行主动的、持续的和审慎的思考，养成批判性思维。同时，使学生在理解知识真正内涵的基础上进一步把握知识的承载者所具有的国家性质和民族意义，增强学生掌握知识服务人类、服务国家、服务社会的伦理自觉性。</w:t>
            </w:r>
          </w:p>
        </w:tc>
      </w:tr>
      <w:tr w14:paraId="3F99C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26120B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6.</w:t>
            </w:r>
            <w:r>
              <w:rPr>
                <w:rFonts w:hint="eastAsia"/>
                <w:color w:val="auto"/>
                <w:kern w:val="0"/>
                <w:szCs w:val="21"/>
              </w:rPr>
              <w:t xml:space="preserve"> </w:t>
            </w:r>
            <w:r>
              <w:rPr>
                <w:rFonts w:hint="eastAsia" w:ascii="宋体" w:hAnsi="宋体"/>
                <w:color w:val="auto"/>
                <w:kern w:val="0"/>
                <w:szCs w:val="21"/>
              </w:rPr>
              <w:t>价值论与教育</w:t>
            </w:r>
          </w:p>
        </w:tc>
        <w:tc>
          <w:tcPr>
            <w:tcW w:w="1467" w:type="dxa"/>
            <w:vAlign w:val="center"/>
          </w:tcPr>
          <w:p w14:paraId="1D47CFC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（1）价值论概述</w:t>
            </w:r>
          </w:p>
          <w:p w14:paraId="66FBD4F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（2）教育价值</w:t>
            </w:r>
          </w:p>
          <w:p w14:paraId="662624B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（3）价值教育的理论与实践</w:t>
            </w:r>
          </w:p>
        </w:tc>
        <w:tc>
          <w:tcPr>
            <w:tcW w:w="1159" w:type="dxa"/>
            <w:gridSpan w:val="2"/>
            <w:vAlign w:val="center"/>
          </w:tcPr>
          <w:p w14:paraId="605AFB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课程目标1、2、3</w:t>
            </w:r>
          </w:p>
        </w:tc>
        <w:tc>
          <w:tcPr>
            <w:tcW w:w="3583" w:type="dxa"/>
            <w:gridSpan w:val="3"/>
            <w:vAlign w:val="center"/>
          </w:tcPr>
          <w:p w14:paraId="1D7C108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（1）了解价值和价值论的基本概念；</w:t>
            </w:r>
          </w:p>
          <w:p w14:paraId="3B93692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（2）理解中国传统价值论、西方主要的价值思潮，重点学习和掌握马克思主义价值思想；</w:t>
            </w:r>
          </w:p>
          <w:p w14:paraId="2134FF8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（3）理解教育价值的概念、类型和秩序，能够结合实际理解教育价值冲突的本质是教育价值排序的不同，把握当代中国教育改革的基本价值取向；</w:t>
            </w:r>
          </w:p>
          <w:p w14:paraId="093B2D5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（4）理解价值教育的概念及在人的全面自由发展中的作用，批判性地看待20世纪英美主要的价值教育思想，重点掌握新时代我国社会主义核心价值观教育的主要内容和途径。</w:t>
            </w:r>
          </w:p>
        </w:tc>
        <w:tc>
          <w:tcPr>
            <w:tcW w:w="1372" w:type="dxa"/>
            <w:vAlign w:val="center"/>
          </w:tcPr>
          <w:p w14:paraId="3E4739E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1.</w:t>
            </w:r>
            <w:r>
              <w:rPr>
                <w:rFonts w:hint="eastAsia" w:ascii="宋体" w:hAnsi="宋体"/>
                <w:color w:val="auto"/>
                <w:kern w:val="0"/>
                <w:szCs w:val="21"/>
              </w:rPr>
              <w:t>自主</w:t>
            </w:r>
            <w:r>
              <w:rPr>
                <w:rFonts w:ascii="宋体" w:hAnsi="宋体"/>
                <w:color w:val="auto"/>
                <w:kern w:val="0"/>
                <w:szCs w:val="21"/>
              </w:rPr>
              <w:t>学习</w:t>
            </w:r>
          </w:p>
          <w:p w14:paraId="4D84F77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2.多媒体教学</w:t>
            </w:r>
          </w:p>
          <w:p w14:paraId="01171C1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3.课堂讨论</w:t>
            </w:r>
          </w:p>
          <w:p w14:paraId="6E9DD2E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p>
        </w:tc>
        <w:tc>
          <w:tcPr>
            <w:tcW w:w="514" w:type="dxa"/>
            <w:gridSpan w:val="2"/>
            <w:vAlign w:val="center"/>
          </w:tcPr>
          <w:p w14:paraId="37B1EB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3</w:t>
            </w:r>
          </w:p>
        </w:tc>
      </w:tr>
      <w:tr w14:paraId="4858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0A1A96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p>
        </w:tc>
        <w:tc>
          <w:tcPr>
            <w:tcW w:w="8095" w:type="dxa"/>
            <w:gridSpan w:val="9"/>
            <w:vAlign w:val="center"/>
          </w:tcPr>
          <w:p w14:paraId="38FC766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b/>
                <w:color w:val="auto"/>
                <w:kern w:val="0"/>
                <w:szCs w:val="21"/>
              </w:rPr>
              <w:t>课程思政目标：</w:t>
            </w:r>
            <w:r>
              <w:rPr>
                <w:rFonts w:hint="eastAsia" w:ascii="宋体" w:hAnsi="宋体"/>
                <w:color w:val="auto"/>
                <w:kern w:val="0"/>
                <w:szCs w:val="21"/>
              </w:rPr>
              <w:t>通过把握当代中国教育改革的基本价值取向，使师范生在未来的教育教学实践中推进价值教育实践，更好地完成立德树人根本任务。同时加强对师范生的核心主义价值观教育，为其扣好第一粒扣子。</w:t>
            </w:r>
          </w:p>
        </w:tc>
      </w:tr>
      <w:tr w14:paraId="57F9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7361C6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7.</w:t>
            </w:r>
            <w:r>
              <w:rPr>
                <w:rFonts w:hint="eastAsia"/>
                <w:color w:val="auto"/>
                <w:kern w:val="0"/>
                <w:szCs w:val="21"/>
              </w:rPr>
              <w:t xml:space="preserve"> </w:t>
            </w:r>
            <w:r>
              <w:rPr>
                <w:rFonts w:hint="eastAsia" w:ascii="宋体" w:hAnsi="宋体"/>
                <w:color w:val="auto"/>
                <w:kern w:val="0"/>
                <w:szCs w:val="21"/>
              </w:rPr>
              <w:t>伦理学与教育</w:t>
            </w:r>
          </w:p>
        </w:tc>
        <w:tc>
          <w:tcPr>
            <w:tcW w:w="1467" w:type="dxa"/>
            <w:vAlign w:val="center"/>
          </w:tcPr>
          <w:p w14:paraId="0903FBE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（1）伦理学概述</w:t>
            </w:r>
          </w:p>
          <w:p w14:paraId="78E2F12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（2）道德教育的伦理学基础</w:t>
            </w:r>
          </w:p>
          <w:p w14:paraId="35496BA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（3）教育活动中的伦理问题</w:t>
            </w:r>
          </w:p>
        </w:tc>
        <w:tc>
          <w:tcPr>
            <w:tcW w:w="1159" w:type="dxa"/>
            <w:gridSpan w:val="2"/>
            <w:vAlign w:val="center"/>
          </w:tcPr>
          <w:p w14:paraId="5CB30E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课程目标1、2、3</w:t>
            </w:r>
          </w:p>
        </w:tc>
        <w:tc>
          <w:tcPr>
            <w:tcW w:w="3583" w:type="dxa"/>
            <w:gridSpan w:val="3"/>
            <w:vAlign w:val="center"/>
          </w:tcPr>
          <w:p w14:paraId="5C3B61A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（1）了解中国传统的伦理学、西方伦理学的主要流派，重点学习和掌握马克思主义伦理学；</w:t>
            </w:r>
          </w:p>
          <w:p w14:paraId="6D1D0E6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（2）理解道德教育的伦理学基础，包括德性伦理学、功利主义伦理学、义务论伦理学、元伦理学；</w:t>
            </w:r>
          </w:p>
          <w:p w14:paraId="0EBEE9C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（3）能够结合实际分析教育活动中的伦理问题。</w:t>
            </w:r>
          </w:p>
        </w:tc>
        <w:tc>
          <w:tcPr>
            <w:tcW w:w="1372" w:type="dxa"/>
            <w:vAlign w:val="center"/>
          </w:tcPr>
          <w:p w14:paraId="4D1C298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1.</w:t>
            </w:r>
            <w:r>
              <w:rPr>
                <w:rFonts w:hint="eastAsia" w:ascii="宋体" w:hAnsi="宋体"/>
                <w:color w:val="auto"/>
                <w:kern w:val="0"/>
                <w:szCs w:val="21"/>
              </w:rPr>
              <w:t>自主</w:t>
            </w:r>
            <w:r>
              <w:rPr>
                <w:rFonts w:ascii="宋体" w:hAnsi="宋体"/>
                <w:color w:val="auto"/>
                <w:kern w:val="0"/>
                <w:szCs w:val="21"/>
              </w:rPr>
              <w:t>学习</w:t>
            </w:r>
          </w:p>
          <w:p w14:paraId="4C71E18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2.多媒体教学</w:t>
            </w:r>
          </w:p>
          <w:p w14:paraId="47E5EEC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3.课堂讨论</w:t>
            </w:r>
          </w:p>
          <w:p w14:paraId="5B072AD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4.</w:t>
            </w:r>
            <w:r>
              <w:rPr>
                <w:rFonts w:hint="eastAsia" w:ascii="宋体" w:hAnsi="宋体"/>
                <w:color w:val="auto"/>
                <w:kern w:val="0"/>
                <w:szCs w:val="21"/>
              </w:rPr>
              <w:t>小组合作与汇报</w:t>
            </w:r>
          </w:p>
        </w:tc>
        <w:tc>
          <w:tcPr>
            <w:tcW w:w="514" w:type="dxa"/>
            <w:gridSpan w:val="2"/>
            <w:vAlign w:val="center"/>
          </w:tcPr>
          <w:p w14:paraId="3D03DB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3</w:t>
            </w:r>
          </w:p>
        </w:tc>
      </w:tr>
      <w:tr w14:paraId="237F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262B52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p>
        </w:tc>
        <w:tc>
          <w:tcPr>
            <w:tcW w:w="8095" w:type="dxa"/>
            <w:gridSpan w:val="9"/>
            <w:vAlign w:val="center"/>
          </w:tcPr>
          <w:p w14:paraId="670E1D1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b/>
                <w:color w:val="auto"/>
                <w:kern w:val="0"/>
                <w:szCs w:val="21"/>
              </w:rPr>
              <w:t>课程思政目标：</w:t>
            </w:r>
            <w:r>
              <w:rPr>
                <w:rFonts w:hint="eastAsia" w:ascii="宋体" w:hAnsi="宋体"/>
                <w:color w:val="auto"/>
                <w:kern w:val="0"/>
                <w:szCs w:val="21"/>
              </w:rPr>
              <w:t>引导师范生对教育活动进行全面的伦理审视，保障教师专业操守，提升教育专业自信。</w:t>
            </w:r>
          </w:p>
        </w:tc>
      </w:tr>
      <w:tr w14:paraId="6037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7C31DF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8.</w:t>
            </w:r>
            <w:r>
              <w:rPr>
                <w:rFonts w:hint="eastAsia"/>
                <w:color w:val="auto"/>
                <w:kern w:val="0"/>
                <w:szCs w:val="21"/>
              </w:rPr>
              <w:t xml:space="preserve"> </w:t>
            </w:r>
            <w:r>
              <w:rPr>
                <w:rFonts w:hint="eastAsia" w:ascii="宋体" w:hAnsi="宋体"/>
                <w:color w:val="auto"/>
                <w:kern w:val="0"/>
                <w:szCs w:val="21"/>
              </w:rPr>
              <w:t>美学与教育</w:t>
            </w:r>
          </w:p>
        </w:tc>
        <w:tc>
          <w:tcPr>
            <w:tcW w:w="1467" w:type="dxa"/>
            <w:vAlign w:val="center"/>
          </w:tcPr>
          <w:p w14:paraId="204EF18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（1）美学概述</w:t>
            </w:r>
          </w:p>
          <w:p w14:paraId="0F944F9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（2）美育的美学基础</w:t>
            </w:r>
          </w:p>
          <w:p w14:paraId="47BEFAC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（3）美育与人的创造性培养</w:t>
            </w:r>
          </w:p>
        </w:tc>
        <w:tc>
          <w:tcPr>
            <w:tcW w:w="1159" w:type="dxa"/>
            <w:gridSpan w:val="2"/>
            <w:vAlign w:val="center"/>
          </w:tcPr>
          <w:p w14:paraId="04A755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课程目标1、3</w:t>
            </w:r>
          </w:p>
        </w:tc>
        <w:tc>
          <w:tcPr>
            <w:tcW w:w="3583" w:type="dxa"/>
            <w:gridSpan w:val="3"/>
            <w:vAlign w:val="center"/>
          </w:tcPr>
          <w:p w14:paraId="2282F66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（1）了解中国传统的美学思想、西方主要的美学思想以及马克思主义的美学思想，理解美的多样性以及美学理论的丰富性；</w:t>
            </w:r>
          </w:p>
          <w:p w14:paraId="1532AB0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（2）理解美育的美学基础，包括美的需要与美育的必要性、美的特性与美育的特性以及美与美育的多样性等；</w:t>
            </w:r>
          </w:p>
          <w:p w14:paraId="53D8D3F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（3）理解审美素养与人的创造性之间的内在关联，学会用美的眼光来审视教育实践活动</w:t>
            </w:r>
            <w:r>
              <w:rPr>
                <w:rFonts w:ascii="宋体" w:hAnsi="宋体"/>
                <w:color w:val="auto"/>
                <w:kern w:val="0"/>
                <w:szCs w:val="21"/>
              </w:rPr>
              <w:t>。</w:t>
            </w:r>
          </w:p>
        </w:tc>
        <w:tc>
          <w:tcPr>
            <w:tcW w:w="1372" w:type="dxa"/>
            <w:vAlign w:val="center"/>
          </w:tcPr>
          <w:p w14:paraId="40484DB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1.</w:t>
            </w:r>
            <w:bookmarkStart w:id="323" w:name="OLE_LINK7"/>
            <w:r>
              <w:rPr>
                <w:rFonts w:hint="eastAsia" w:ascii="宋体" w:hAnsi="宋体"/>
                <w:color w:val="auto"/>
                <w:kern w:val="0"/>
                <w:szCs w:val="21"/>
              </w:rPr>
              <w:t>自主</w:t>
            </w:r>
            <w:bookmarkEnd w:id="323"/>
            <w:r>
              <w:rPr>
                <w:rFonts w:ascii="宋体" w:hAnsi="宋体"/>
                <w:color w:val="auto"/>
                <w:kern w:val="0"/>
                <w:szCs w:val="21"/>
              </w:rPr>
              <w:t>学习</w:t>
            </w:r>
          </w:p>
          <w:p w14:paraId="30DA856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2.多媒体教学</w:t>
            </w:r>
          </w:p>
          <w:p w14:paraId="4A3BA58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3.课堂讨论</w:t>
            </w:r>
          </w:p>
        </w:tc>
        <w:tc>
          <w:tcPr>
            <w:tcW w:w="514" w:type="dxa"/>
            <w:gridSpan w:val="2"/>
            <w:vAlign w:val="center"/>
          </w:tcPr>
          <w:p w14:paraId="6D4A8E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3</w:t>
            </w:r>
          </w:p>
        </w:tc>
      </w:tr>
      <w:tr w14:paraId="7940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4AAE98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p>
        </w:tc>
        <w:tc>
          <w:tcPr>
            <w:tcW w:w="8095" w:type="dxa"/>
            <w:gridSpan w:val="9"/>
            <w:vAlign w:val="center"/>
          </w:tcPr>
          <w:p w14:paraId="2726095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b/>
                <w:color w:val="auto"/>
                <w:kern w:val="0"/>
                <w:szCs w:val="21"/>
              </w:rPr>
              <w:t>课程思政目标：</w:t>
            </w:r>
            <w:r>
              <w:rPr>
                <w:rFonts w:hint="eastAsia" w:ascii="宋体" w:hAnsi="宋体"/>
                <w:color w:val="auto"/>
                <w:kern w:val="0"/>
                <w:szCs w:val="21"/>
              </w:rPr>
              <w:t>通过对美的沉思以及美育问题的讨论，提升师范生的审美素养与创造力，同时传播中国美学精神，从而促进师范生的全面发展和健全人格的养成。</w:t>
            </w:r>
          </w:p>
        </w:tc>
      </w:tr>
      <w:tr w14:paraId="55E0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29EE90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9.</w:t>
            </w:r>
            <w:r>
              <w:rPr>
                <w:rFonts w:hint="eastAsia"/>
                <w:color w:val="auto"/>
                <w:kern w:val="0"/>
                <w:szCs w:val="21"/>
              </w:rPr>
              <w:t xml:space="preserve"> </w:t>
            </w:r>
            <w:r>
              <w:rPr>
                <w:rFonts w:hint="eastAsia" w:ascii="宋体" w:hAnsi="宋体"/>
                <w:color w:val="auto"/>
                <w:kern w:val="0"/>
                <w:szCs w:val="21"/>
              </w:rPr>
              <w:t>社会哲学与教育</w:t>
            </w:r>
          </w:p>
        </w:tc>
        <w:tc>
          <w:tcPr>
            <w:tcW w:w="1467" w:type="dxa"/>
            <w:vAlign w:val="center"/>
          </w:tcPr>
          <w:p w14:paraId="4027EB5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（1）社会哲学概述</w:t>
            </w:r>
          </w:p>
          <w:p w14:paraId="567C032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（2）良好的社会秩序与教育</w:t>
            </w:r>
          </w:p>
          <w:p w14:paraId="6E90EE5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（3）公民意识与公民教育</w:t>
            </w:r>
          </w:p>
        </w:tc>
        <w:tc>
          <w:tcPr>
            <w:tcW w:w="1159" w:type="dxa"/>
            <w:gridSpan w:val="2"/>
            <w:vAlign w:val="center"/>
          </w:tcPr>
          <w:p w14:paraId="49155C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课程目标1、3、4</w:t>
            </w:r>
          </w:p>
        </w:tc>
        <w:tc>
          <w:tcPr>
            <w:tcW w:w="3583" w:type="dxa"/>
            <w:gridSpan w:val="3"/>
            <w:vAlign w:val="center"/>
          </w:tcPr>
          <w:p w14:paraId="5394DC7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（1）继承和弘扬中国传统的社会哲学思想，在了解和借鉴西方社会哲学思想的基础上，确立马克思主义的历史唯物主义社会哲学思想；</w:t>
            </w:r>
          </w:p>
          <w:p w14:paraId="10DB88F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（2）辩证理解个人自由与社会秩序的关系，以及我国良好社会秩序建设的思想基础和价值追求，自觉而有效地开展促进良好社会秩序的教育；</w:t>
            </w:r>
          </w:p>
          <w:p w14:paraId="5122589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（3）立足于我国建设民主法治的社会主义国家，开展社会主义公民教育，培养社会主义的合格公民，成为社会主义的建设者和接班人。</w:t>
            </w:r>
          </w:p>
        </w:tc>
        <w:tc>
          <w:tcPr>
            <w:tcW w:w="1372" w:type="dxa"/>
            <w:vAlign w:val="center"/>
          </w:tcPr>
          <w:p w14:paraId="2DADE2D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1.</w:t>
            </w:r>
            <w:r>
              <w:rPr>
                <w:rFonts w:hint="eastAsia" w:ascii="宋体" w:hAnsi="宋体"/>
                <w:color w:val="auto"/>
                <w:kern w:val="0"/>
                <w:szCs w:val="21"/>
              </w:rPr>
              <w:t>自主</w:t>
            </w:r>
            <w:r>
              <w:rPr>
                <w:rFonts w:ascii="宋体" w:hAnsi="宋体"/>
                <w:color w:val="auto"/>
                <w:kern w:val="0"/>
                <w:szCs w:val="21"/>
              </w:rPr>
              <w:t>学习</w:t>
            </w:r>
          </w:p>
          <w:p w14:paraId="02E506B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2.多媒体教学</w:t>
            </w:r>
          </w:p>
          <w:p w14:paraId="27403AF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3.课堂讨论</w:t>
            </w:r>
          </w:p>
        </w:tc>
        <w:tc>
          <w:tcPr>
            <w:tcW w:w="514" w:type="dxa"/>
            <w:gridSpan w:val="2"/>
            <w:vAlign w:val="center"/>
          </w:tcPr>
          <w:p w14:paraId="662288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3</w:t>
            </w:r>
          </w:p>
        </w:tc>
      </w:tr>
      <w:tr w14:paraId="5DBD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0F9593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p>
        </w:tc>
        <w:tc>
          <w:tcPr>
            <w:tcW w:w="8095" w:type="dxa"/>
            <w:gridSpan w:val="9"/>
            <w:vAlign w:val="center"/>
          </w:tcPr>
          <w:p w14:paraId="78367F4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b/>
                <w:color w:val="auto"/>
                <w:kern w:val="0"/>
                <w:szCs w:val="21"/>
              </w:rPr>
              <w:t>课程思政目标：</w:t>
            </w:r>
            <w:r>
              <w:rPr>
                <w:rFonts w:hint="eastAsia" w:ascii="宋体" w:hAnsi="宋体"/>
                <w:color w:val="auto"/>
                <w:kern w:val="0"/>
                <w:szCs w:val="21"/>
              </w:rPr>
              <w:t>使师范生在继承和弘扬中国传统的社会哲学思想，在了解和借鉴西方社会哲学思想的基础上，确立马克思主义的历史唯物主义社会哲学思想；理解我国良好社会秩序建设的思想基础和价值追求，自觉而有效地开展促进良好社会秩序的教育，培养社会主义的合格公民，成为社会主义的建设者和接班人。</w:t>
            </w:r>
          </w:p>
        </w:tc>
      </w:tr>
      <w:tr w14:paraId="07AB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58E624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10.</w:t>
            </w:r>
            <w:r>
              <w:rPr>
                <w:rFonts w:hint="eastAsia"/>
                <w:color w:val="auto"/>
                <w:kern w:val="0"/>
                <w:szCs w:val="21"/>
              </w:rPr>
              <w:t xml:space="preserve"> </w:t>
            </w:r>
            <w:r>
              <w:rPr>
                <w:rFonts w:hint="eastAsia" w:ascii="宋体" w:hAnsi="宋体"/>
                <w:color w:val="auto"/>
                <w:kern w:val="0"/>
                <w:szCs w:val="21"/>
              </w:rPr>
              <w:t>文化哲学与教育</w:t>
            </w:r>
          </w:p>
        </w:tc>
        <w:tc>
          <w:tcPr>
            <w:tcW w:w="1467" w:type="dxa"/>
            <w:vAlign w:val="center"/>
          </w:tcPr>
          <w:p w14:paraId="0FFFF58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（1）文化哲学概述</w:t>
            </w:r>
          </w:p>
          <w:p w14:paraId="697C357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（2）教育的文化基础与责任</w:t>
            </w:r>
          </w:p>
          <w:p w14:paraId="5D1BA06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（3）全球化背景下的文化多样性教育</w:t>
            </w:r>
          </w:p>
        </w:tc>
        <w:tc>
          <w:tcPr>
            <w:tcW w:w="1159" w:type="dxa"/>
            <w:gridSpan w:val="2"/>
            <w:vAlign w:val="center"/>
          </w:tcPr>
          <w:p w14:paraId="07E61D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课程目标1、2、3</w:t>
            </w:r>
          </w:p>
          <w:p w14:paraId="220DA3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p>
        </w:tc>
        <w:tc>
          <w:tcPr>
            <w:tcW w:w="3583" w:type="dxa"/>
            <w:gridSpan w:val="3"/>
            <w:vAlign w:val="center"/>
          </w:tcPr>
          <w:p w14:paraId="003BF46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（1）了解中国古代、西方的文化哲学思想，理解马克思主义文化哲学；</w:t>
            </w:r>
          </w:p>
          <w:p w14:paraId="171C422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（2）理解教育的文化基础与责任，特别关注如何通过教育促进文化传统的继承与弘扬；</w:t>
            </w:r>
          </w:p>
          <w:p w14:paraId="32229C2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（3）理解多元文化背景下民族文化认同遭遇的挑战及其教育行动要点；</w:t>
            </w:r>
          </w:p>
          <w:p w14:paraId="74CC442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（4）树立文化多样性以及文化交流、文化对话的态度和价值观念。</w:t>
            </w:r>
          </w:p>
        </w:tc>
        <w:tc>
          <w:tcPr>
            <w:tcW w:w="1372" w:type="dxa"/>
            <w:vAlign w:val="center"/>
          </w:tcPr>
          <w:p w14:paraId="5B6092D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bookmarkStart w:id="324" w:name="OLE_LINK6"/>
            <w:r>
              <w:rPr>
                <w:rFonts w:ascii="宋体" w:hAnsi="宋体"/>
                <w:color w:val="auto"/>
                <w:kern w:val="0"/>
                <w:szCs w:val="21"/>
              </w:rPr>
              <w:t>1.</w:t>
            </w:r>
            <w:r>
              <w:rPr>
                <w:rFonts w:hint="eastAsia" w:ascii="宋体" w:hAnsi="宋体"/>
                <w:color w:val="auto"/>
                <w:kern w:val="0"/>
                <w:szCs w:val="21"/>
              </w:rPr>
              <w:t>自主</w:t>
            </w:r>
            <w:r>
              <w:rPr>
                <w:rFonts w:ascii="宋体" w:hAnsi="宋体"/>
                <w:color w:val="auto"/>
                <w:kern w:val="0"/>
                <w:szCs w:val="21"/>
              </w:rPr>
              <w:t>学习</w:t>
            </w:r>
          </w:p>
          <w:p w14:paraId="22EE454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2.多媒体教学</w:t>
            </w:r>
          </w:p>
          <w:p w14:paraId="29E59D3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ascii="宋体" w:hAnsi="宋体"/>
                <w:color w:val="auto"/>
                <w:kern w:val="0"/>
                <w:szCs w:val="21"/>
              </w:rPr>
              <w:t>3.课堂讨论</w:t>
            </w:r>
            <w:bookmarkEnd w:id="324"/>
          </w:p>
        </w:tc>
        <w:tc>
          <w:tcPr>
            <w:tcW w:w="514" w:type="dxa"/>
            <w:gridSpan w:val="2"/>
            <w:vAlign w:val="center"/>
          </w:tcPr>
          <w:p w14:paraId="68CC7B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3</w:t>
            </w:r>
          </w:p>
        </w:tc>
      </w:tr>
      <w:tr w14:paraId="4D40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6407E0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p>
        </w:tc>
        <w:tc>
          <w:tcPr>
            <w:tcW w:w="8095" w:type="dxa"/>
            <w:gridSpan w:val="9"/>
            <w:vAlign w:val="center"/>
          </w:tcPr>
          <w:p w14:paraId="1D4DD06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b/>
                <w:color w:val="auto"/>
                <w:kern w:val="0"/>
                <w:szCs w:val="21"/>
              </w:rPr>
              <w:t>课程思政目标：</w:t>
            </w:r>
            <w:r>
              <w:rPr>
                <w:rFonts w:hint="eastAsia" w:ascii="宋体" w:hAnsi="宋体"/>
                <w:color w:val="auto"/>
                <w:kern w:val="0"/>
                <w:szCs w:val="21"/>
              </w:rPr>
              <w:t>传承和弘扬中国优秀文化传统，培养具有传统文化素养的人，通过教育变革培养青年一代的文化自信和文化自觉，为中华民族文化保留优秀的基因，培育新的文化生命力。</w:t>
            </w:r>
          </w:p>
        </w:tc>
      </w:tr>
      <w:tr w14:paraId="4674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203" w:type="dxa"/>
            <w:vMerge w:val="restart"/>
            <w:vAlign w:val="center"/>
          </w:tcPr>
          <w:p w14:paraId="46E503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r>
              <w:rPr>
                <w:rFonts w:hint="eastAsia" w:ascii="宋体" w:hAnsi="宋体"/>
                <w:color w:val="auto"/>
                <w:kern w:val="0"/>
                <w:szCs w:val="21"/>
              </w:rPr>
              <w:t>11.</w:t>
            </w:r>
            <w:r>
              <w:rPr>
                <w:rFonts w:hint="eastAsia"/>
                <w:color w:val="auto"/>
                <w:kern w:val="0"/>
                <w:szCs w:val="21"/>
              </w:rPr>
              <w:t xml:space="preserve"> </w:t>
            </w:r>
            <w:r>
              <w:rPr>
                <w:rFonts w:hint="eastAsia" w:ascii="宋体" w:hAnsi="宋体"/>
                <w:color w:val="auto"/>
                <w:kern w:val="0"/>
                <w:szCs w:val="21"/>
              </w:rPr>
              <w:t>教育哲学与教师发展</w:t>
            </w:r>
          </w:p>
        </w:tc>
        <w:tc>
          <w:tcPr>
            <w:tcW w:w="1619" w:type="dxa"/>
            <w:gridSpan w:val="2"/>
            <w:vAlign w:val="center"/>
          </w:tcPr>
          <w:p w14:paraId="5AD0080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（1）卓越教师的教育哲学</w:t>
            </w:r>
          </w:p>
          <w:p w14:paraId="79D0904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color w:val="auto"/>
                <w:kern w:val="0"/>
                <w:szCs w:val="21"/>
              </w:rPr>
              <w:t>（2）教育哲学与教师专业发展</w:t>
            </w:r>
          </w:p>
          <w:p w14:paraId="513B627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auto"/>
                <w:kern w:val="0"/>
                <w:szCs w:val="21"/>
              </w:rPr>
            </w:pPr>
            <w:r>
              <w:rPr>
                <w:rFonts w:hint="eastAsia" w:ascii="宋体" w:hAnsi="宋体"/>
                <w:color w:val="auto"/>
                <w:kern w:val="0"/>
                <w:szCs w:val="21"/>
              </w:rPr>
              <w:t>（3）建构教师个人教育哲学</w:t>
            </w:r>
          </w:p>
        </w:tc>
        <w:tc>
          <w:tcPr>
            <w:tcW w:w="1142" w:type="dxa"/>
            <w:gridSpan w:val="2"/>
            <w:vAlign w:val="center"/>
          </w:tcPr>
          <w:p w14:paraId="6E3E0A8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Cs/>
                <w:color w:val="auto"/>
                <w:kern w:val="0"/>
                <w:szCs w:val="21"/>
              </w:rPr>
            </w:pPr>
            <w:r>
              <w:rPr>
                <w:rFonts w:hint="eastAsia" w:ascii="宋体" w:hAnsi="宋体"/>
                <w:bCs/>
                <w:color w:val="auto"/>
                <w:kern w:val="0"/>
                <w:szCs w:val="21"/>
              </w:rPr>
              <w:t>课程目标2、3、4</w:t>
            </w:r>
          </w:p>
        </w:tc>
        <w:tc>
          <w:tcPr>
            <w:tcW w:w="3261" w:type="dxa"/>
            <w:vAlign w:val="center"/>
          </w:tcPr>
          <w:p w14:paraId="5D26FB4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kern w:val="0"/>
                <w:szCs w:val="21"/>
              </w:rPr>
            </w:pPr>
            <w:r>
              <w:rPr>
                <w:rFonts w:hint="eastAsia" w:ascii="宋体" w:hAnsi="宋体"/>
                <w:bCs/>
                <w:color w:val="auto"/>
                <w:kern w:val="0"/>
                <w:szCs w:val="21"/>
              </w:rPr>
              <w:t>（</w:t>
            </w:r>
            <w:r>
              <w:rPr>
                <w:rFonts w:hint="eastAsia" w:ascii="宋体" w:hAnsi="宋体"/>
                <w:color w:val="auto"/>
                <w:kern w:val="0"/>
                <w:szCs w:val="21"/>
              </w:rPr>
              <w:t>1）理解教育哲学作为一种实践哲学，只有与教育实践的主体（教师）相结合，才能发挥实践作用；</w:t>
            </w:r>
          </w:p>
          <w:p w14:paraId="3B8337B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auto"/>
                <w:kern w:val="0"/>
                <w:szCs w:val="21"/>
              </w:rPr>
            </w:pPr>
            <w:r>
              <w:rPr>
                <w:rFonts w:hint="eastAsia" w:ascii="宋体" w:hAnsi="宋体"/>
                <w:color w:val="auto"/>
                <w:kern w:val="0"/>
                <w:szCs w:val="21"/>
              </w:rPr>
              <w:t>（2）理解教师成长与哲学之思的内在联系，理解教育哲学的实践意义在于让教师拥有反思实践的理论态度；</w:t>
            </w:r>
          </w:p>
        </w:tc>
        <w:tc>
          <w:tcPr>
            <w:tcW w:w="1701" w:type="dxa"/>
            <w:gridSpan w:val="3"/>
            <w:vAlign w:val="center"/>
          </w:tcPr>
          <w:p w14:paraId="33FCA47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Cs/>
                <w:color w:val="auto"/>
                <w:kern w:val="0"/>
                <w:szCs w:val="21"/>
              </w:rPr>
            </w:pPr>
            <w:r>
              <w:rPr>
                <w:rFonts w:hint="eastAsia" w:ascii="宋体" w:hAnsi="宋体"/>
                <w:bCs/>
                <w:color w:val="auto"/>
                <w:kern w:val="0"/>
                <w:szCs w:val="21"/>
              </w:rPr>
              <w:t>1.自主学习</w:t>
            </w:r>
          </w:p>
          <w:p w14:paraId="7E3F672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Cs/>
                <w:color w:val="auto"/>
                <w:kern w:val="0"/>
                <w:szCs w:val="21"/>
              </w:rPr>
            </w:pPr>
            <w:r>
              <w:rPr>
                <w:rFonts w:hint="eastAsia" w:ascii="宋体" w:hAnsi="宋体"/>
                <w:bCs/>
                <w:color w:val="auto"/>
                <w:kern w:val="0"/>
                <w:szCs w:val="21"/>
              </w:rPr>
              <w:t>2.多媒体教学</w:t>
            </w:r>
          </w:p>
          <w:p w14:paraId="6164A31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Cs/>
                <w:color w:val="auto"/>
                <w:kern w:val="0"/>
                <w:szCs w:val="21"/>
              </w:rPr>
            </w:pPr>
            <w:r>
              <w:rPr>
                <w:rFonts w:hint="eastAsia" w:ascii="宋体" w:hAnsi="宋体"/>
                <w:bCs/>
                <w:color w:val="auto"/>
                <w:kern w:val="0"/>
                <w:szCs w:val="21"/>
              </w:rPr>
              <w:t>3.课堂讨论</w:t>
            </w:r>
          </w:p>
          <w:p w14:paraId="6CD1D9C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auto"/>
                <w:kern w:val="0"/>
                <w:szCs w:val="21"/>
              </w:rPr>
            </w:pPr>
            <w:r>
              <w:rPr>
                <w:rFonts w:hint="eastAsia" w:ascii="宋体" w:hAnsi="宋体"/>
                <w:bCs/>
                <w:color w:val="auto"/>
                <w:kern w:val="0"/>
                <w:szCs w:val="21"/>
              </w:rPr>
              <w:t>4.小组合作</w:t>
            </w:r>
          </w:p>
        </w:tc>
        <w:tc>
          <w:tcPr>
            <w:tcW w:w="372" w:type="dxa"/>
            <w:vAlign w:val="center"/>
          </w:tcPr>
          <w:p w14:paraId="499DD15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auto"/>
                <w:kern w:val="0"/>
                <w:szCs w:val="21"/>
              </w:rPr>
            </w:pPr>
            <w:r>
              <w:rPr>
                <w:rFonts w:hint="eastAsia" w:ascii="宋体" w:hAnsi="宋体"/>
                <w:b/>
                <w:color w:val="auto"/>
                <w:kern w:val="0"/>
                <w:szCs w:val="21"/>
              </w:rPr>
              <w:t>4</w:t>
            </w:r>
          </w:p>
        </w:tc>
      </w:tr>
      <w:tr w14:paraId="5ED0D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203" w:type="dxa"/>
            <w:vMerge w:val="continue"/>
            <w:vAlign w:val="center"/>
          </w:tcPr>
          <w:p w14:paraId="0399C5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kern w:val="0"/>
                <w:szCs w:val="21"/>
              </w:rPr>
            </w:pPr>
          </w:p>
        </w:tc>
        <w:tc>
          <w:tcPr>
            <w:tcW w:w="7723" w:type="dxa"/>
            <w:gridSpan w:val="8"/>
            <w:vAlign w:val="center"/>
          </w:tcPr>
          <w:p w14:paraId="3D42E2D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auto"/>
                <w:kern w:val="0"/>
                <w:szCs w:val="21"/>
              </w:rPr>
            </w:pPr>
            <w:r>
              <w:rPr>
                <w:rFonts w:hint="eastAsia" w:ascii="宋体" w:hAnsi="宋体"/>
                <w:b/>
                <w:color w:val="auto"/>
                <w:kern w:val="0"/>
                <w:szCs w:val="21"/>
              </w:rPr>
              <w:t>课程思政目标：</w:t>
            </w:r>
            <w:r>
              <w:rPr>
                <w:rFonts w:hint="eastAsia" w:ascii="宋体" w:hAnsi="宋体"/>
                <w:color w:val="auto"/>
                <w:kern w:val="0"/>
                <w:szCs w:val="21"/>
              </w:rPr>
              <w:t>指导师范生学会以哲学方式思考教师的境遇与相关问题，拥有反思实践的能力（哲学态度）。增强其对专业的热爱和坚持，从而深刻认识教师所承担的国家使命、社会期待和民族重托，立志成为“四有”好老师。</w:t>
            </w:r>
          </w:p>
        </w:tc>
        <w:tc>
          <w:tcPr>
            <w:tcW w:w="372" w:type="dxa"/>
            <w:vAlign w:val="center"/>
          </w:tcPr>
          <w:p w14:paraId="4A05E28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auto"/>
                <w:kern w:val="0"/>
                <w:szCs w:val="21"/>
              </w:rPr>
            </w:pPr>
          </w:p>
        </w:tc>
      </w:tr>
    </w:tbl>
    <w:p w14:paraId="639DC382">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hint="eastAsia" w:ascii="宋体" w:hAnsi="宋体"/>
          <w:b/>
          <w:color w:val="auto"/>
          <w:sz w:val="24"/>
          <w:szCs w:val="24"/>
          <w:lang w:val="en-US" w:eastAsia="zh-CN"/>
        </w:rPr>
      </w:pPr>
      <w:r>
        <w:rPr>
          <w:rFonts w:hint="eastAsia" w:ascii="宋体" w:hAnsi="宋体"/>
          <w:b/>
          <w:color w:val="auto"/>
          <w:sz w:val="24"/>
          <w:szCs w:val="24"/>
          <w:lang w:val="en-US" w:eastAsia="zh-CN"/>
        </w:rPr>
        <w:t>五、目标评价与成绩评定</w:t>
      </w:r>
    </w:p>
    <w:p w14:paraId="3662470A">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Times New Roman" w:hAnsi="Times New Roman"/>
          <w:b/>
          <w:color w:val="auto"/>
          <w:szCs w:val="21"/>
        </w:rPr>
      </w:pPr>
      <w:r>
        <w:rPr>
          <w:rFonts w:hint="eastAsia" w:ascii="Times New Roman" w:hAnsi="Times New Roman"/>
          <w:b/>
          <w:color w:val="auto"/>
          <w:szCs w:val="21"/>
        </w:rPr>
        <w:t>（一）课程目标评价方式</w:t>
      </w:r>
    </w:p>
    <w:p w14:paraId="734C2B4A">
      <w:pPr>
        <w:spacing w:line="360" w:lineRule="auto"/>
        <w:ind w:firstLine="420" w:firstLineChars="200"/>
        <w:jc w:val="left"/>
        <w:rPr>
          <w:rFonts w:ascii="Times New Roman" w:hAnsi="Times New Roman"/>
          <w:color w:val="auto"/>
          <w:szCs w:val="21"/>
        </w:rPr>
      </w:pPr>
      <w:r>
        <w:rPr>
          <w:rFonts w:hint="eastAsia" w:ascii="Times New Roman" w:hAnsi="Times New Roman"/>
          <w:color w:val="auto"/>
          <w:szCs w:val="21"/>
        </w:rPr>
        <w:t>根据总体设计，用于评价各课程目标的评价方式</w:t>
      </w:r>
      <w:r>
        <w:rPr>
          <w:rFonts w:hint="eastAsia" w:ascii="Times New Roman" w:hAnsi="Times New Roman"/>
          <w:color w:val="auto"/>
          <w:szCs w:val="21"/>
          <w:lang w:eastAsia="zh-CN"/>
        </w:rPr>
        <w:t>如下表所示</w:t>
      </w:r>
      <w:r>
        <w:rPr>
          <w:rFonts w:ascii="Times New Roman" w:hAnsi="Times New Roman"/>
          <w:color w:val="auto"/>
          <w:szCs w:val="21"/>
        </w:rPr>
        <w:t>。</w:t>
      </w:r>
    </w:p>
    <w:tbl>
      <w:tblPr>
        <w:tblStyle w:val="16"/>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686"/>
        <w:gridCol w:w="1056"/>
        <w:gridCol w:w="1440"/>
        <w:gridCol w:w="851"/>
      </w:tblGrid>
      <w:tr w14:paraId="4886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59D92900">
            <w:pPr>
              <w:spacing w:line="360" w:lineRule="auto"/>
              <w:jc w:val="center"/>
              <w:rPr>
                <w:rFonts w:hint="eastAsia" w:ascii="宋体" w:hAnsi="宋体"/>
                <w:color w:val="auto"/>
                <w:kern w:val="0"/>
                <w:szCs w:val="21"/>
              </w:rPr>
            </w:pPr>
            <w:r>
              <w:rPr>
                <w:rFonts w:hint="eastAsia" w:ascii="宋体" w:hAnsi="宋体"/>
                <w:color w:val="auto"/>
                <w:kern w:val="0"/>
                <w:szCs w:val="21"/>
              </w:rPr>
              <w:t>课程目标</w:t>
            </w:r>
          </w:p>
        </w:tc>
        <w:tc>
          <w:tcPr>
            <w:tcW w:w="6294" w:type="dxa"/>
            <w:gridSpan w:val="5"/>
            <w:vAlign w:val="center"/>
          </w:tcPr>
          <w:p w14:paraId="7B06DC48">
            <w:pPr>
              <w:spacing w:line="360" w:lineRule="auto"/>
              <w:jc w:val="center"/>
              <w:rPr>
                <w:rFonts w:hint="eastAsia" w:ascii="宋体" w:hAnsi="宋体"/>
                <w:color w:val="auto"/>
                <w:kern w:val="0"/>
                <w:szCs w:val="21"/>
              </w:rPr>
            </w:pPr>
            <w:r>
              <w:rPr>
                <w:rFonts w:hint="eastAsia" w:ascii="宋体" w:hAnsi="宋体"/>
                <w:color w:val="auto"/>
                <w:kern w:val="0"/>
                <w:szCs w:val="21"/>
              </w:rPr>
              <w:t>评价与成绩评定方法</w:t>
            </w:r>
          </w:p>
        </w:tc>
        <w:tc>
          <w:tcPr>
            <w:tcW w:w="851" w:type="dxa"/>
            <w:vMerge w:val="restart"/>
            <w:vAlign w:val="center"/>
          </w:tcPr>
          <w:p w14:paraId="513DBCF4">
            <w:pPr>
              <w:spacing w:line="360" w:lineRule="auto"/>
              <w:jc w:val="center"/>
              <w:rPr>
                <w:rFonts w:hint="eastAsia" w:ascii="宋体" w:hAnsi="宋体"/>
                <w:color w:val="auto"/>
                <w:kern w:val="0"/>
                <w:szCs w:val="21"/>
              </w:rPr>
            </w:pPr>
            <w:r>
              <w:rPr>
                <w:rFonts w:hint="eastAsia" w:ascii="宋体" w:hAnsi="宋体"/>
                <w:color w:val="auto"/>
                <w:kern w:val="0"/>
                <w:szCs w:val="21"/>
              </w:rPr>
              <w:t>分值</w:t>
            </w:r>
          </w:p>
        </w:tc>
      </w:tr>
      <w:tr w14:paraId="48CC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1C5ED5B">
            <w:pPr>
              <w:spacing w:line="360" w:lineRule="auto"/>
              <w:jc w:val="center"/>
              <w:rPr>
                <w:rFonts w:hint="eastAsia" w:ascii="宋体" w:hAnsi="宋体"/>
                <w:color w:val="auto"/>
                <w:kern w:val="0"/>
                <w:szCs w:val="21"/>
              </w:rPr>
            </w:pPr>
          </w:p>
        </w:tc>
        <w:tc>
          <w:tcPr>
            <w:tcW w:w="0" w:type="auto"/>
            <w:vAlign w:val="center"/>
          </w:tcPr>
          <w:p w14:paraId="512FA721">
            <w:pPr>
              <w:spacing w:line="360" w:lineRule="auto"/>
              <w:jc w:val="center"/>
              <w:rPr>
                <w:rFonts w:hint="eastAsia" w:ascii="宋体" w:hAnsi="宋体"/>
                <w:color w:val="auto"/>
                <w:kern w:val="0"/>
                <w:szCs w:val="21"/>
              </w:rPr>
            </w:pPr>
            <w:r>
              <w:rPr>
                <w:rFonts w:hint="eastAsia" w:ascii="宋体" w:hAnsi="宋体"/>
                <w:color w:val="auto"/>
                <w:kern w:val="0"/>
                <w:szCs w:val="21"/>
              </w:rPr>
              <w:t>平时作业</w:t>
            </w:r>
          </w:p>
        </w:tc>
        <w:tc>
          <w:tcPr>
            <w:tcW w:w="0" w:type="auto"/>
            <w:vAlign w:val="center"/>
          </w:tcPr>
          <w:p w14:paraId="2C2B8C8F">
            <w:pPr>
              <w:spacing w:line="360" w:lineRule="auto"/>
              <w:jc w:val="center"/>
              <w:rPr>
                <w:rFonts w:hint="eastAsia" w:ascii="宋体" w:hAnsi="宋体"/>
                <w:color w:val="auto"/>
                <w:kern w:val="0"/>
                <w:szCs w:val="21"/>
              </w:rPr>
            </w:pPr>
            <w:r>
              <w:rPr>
                <w:rFonts w:hint="eastAsia" w:ascii="宋体" w:hAnsi="宋体"/>
                <w:color w:val="auto"/>
                <w:kern w:val="0"/>
                <w:szCs w:val="21"/>
              </w:rPr>
              <w:t>课堂表现</w:t>
            </w:r>
          </w:p>
        </w:tc>
        <w:tc>
          <w:tcPr>
            <w:tcW w:w="0" w:type="auto"/>
            <w:vAlign w:val="center"/>
          </w:tcPr>
          <w:p w14:paraId="1DBC0F2F">
            <w:pPr>
              <w:spacing w:line="360" w:lineRule="auto"/>
              <w:jc w:val="center"/>
              <w:rPr>
                <w:rFonts w:hint="eastAsia" w:ascii="宋体" w:hAnsi="宋体"/>
                <w:color w:val="auto"/>
                <w:kern w:val="0"/>
                <w:szCs w:val="21"/>
              </w:rPr>
            </w:pPr>
            <w:r>
              <w:rPr>
                <w:rFonts w:hint="eastAsia" w:ascii="宋体" w:hAnsi="宋体"/>
                <w:color w:val="auto"/>
                <w:kern w:val="0"/>
                <w:szCs w:val="21"/>
              </w:rPr>
              <w:t>小组讨论与汇报</w:t>
            </w:r>
          </w:p>
        </w:tc>
        <w:tc>
          <w:tcPr>
            <w:tcW w:w="0" w:type="auto"/>
            <w:vAlign w:val="center"/>
          </w:tcPr>
          <w:p w14:paraId="529F519E">
            <w:pPr>
              <w:spacing w:line="360" w:lineRule="auto"/>
              <w:jc w:val="center"/>
              <w:rPr>
                <w:rFonts w:hint="eastAsia" w:ascii="宋体" w:hAnsi="宋体"/>
                <w:color w:val="auto"/>
                <w:kern w:val="0"/>
                <w:szCs w:val="21"/>
              </w:rPr>
            </w:pPr>
            <w:r>
              <w:rPr>
                <w:rFonts w:hint="eastAsia" w:ascii="宋体" w:hAnsi="宋体"/>
                <w:color w:val="auto"/>
                <w:kern w:val="0"/>
                <w:szCs w:val="21"/>
              </w:rPr>
              <w:t>期末考试</w:t>
            </w:r>
          </w:p>
        </w:tc>
        <w:tc>
          <w:tcPr>
            <w:tcW w:w="1440" w:type="dxa"/>
          </w:tcPr>
          <w:p w14:paraId="450B088B">
            <w:pPr>
              <w:spacing w:line="360" w:lineRule="auto"/>
              <w:jc w:val="center"/>
              <w:rPr>
                <w:rFonts w:hint="eastAsia" w:ascii="宋体" w:hAnsi="宋体"/>
                <w:color w:val="auto"/>
                <w:kern w:val="0"/>
                <w:szCs w:val="21"/>
              </w:rPr>
            </w:pPr>
            <w:r>
              <w:rPr>
                <w:rFonts w:hint="eastAsia" w:ascii="宋体" w:hAnsi="宋体"/>
                <w:color w:val="auto"/>
                <w:kern w:val="0"/>
                <w:szCs w:val="21"/>
              </w:rPr>
              <w:t>自主学习</w:t>
            </w:r>
          </w:p>
        </w:tc>
        <w:tc>
          <w:tcPr>
            <w:tcW w:w="851" w:type="dxa"/>
            <w:vMerge w:val="continue"/>
            <w:vAlign w:val="center"/>
          </w:tcPr>
          <w:p w14:paraId="535396C9">
            <w:pPr>
              <w:spacing w:line="360" w:lineRule="auto"/>
              <w:jc w:val="center"/>
              <w:rPr>
                <w:rFonts w:hint="eastAsia" w:ascii="宋体" w:hAnsi="宋体"/>
                <w:color w:val="auto"/>
                <w:kern w:val="0"/>
                <w:szCs w:val="21"/>
              </w:rPr>
            </w:pPr>
          </w:p>
        </w:tc>
      </w:tr>
      <w:tr w14:paraId="328A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6438FBD">
            <w:pPr>
              <w:spacing w:line="360" w:lineRule="auto"/>
              <w:jc w:val="center"/>
              <w:rPr>
                <w:rFonts w:hint="eastAsia" w:ascii="宋体" w:hAnsi="宋体"/>
                <w:color w:val="auto"/>
                <w:kern w:val="0"/>
                <w:szCs w:val="21"/>
              </w:rPr>
            </w:pPr>
            <w:r>
              <w:rPr>
                <w:rFonts w:hint="eastAsia" w:ascii="宋体" w:hAnsi="宋体"/>
                <w:color w:val="auto"/>
                <w:kern w:val="0"/>
                <w:szCs w:val="21"/>
              </w:rPr>
              <w:t>课程目标1</w:t>
            </w:r>
          </w:p>
        </w:tc>
        <w:tc>
          <w:tcPr>
            <w:tcW w:w="0" w:type="auto"/>
            <w:vAlign w:val="center"/>
          </w:tcPr>
          <w:p w14:paraId="48EE3C7F">
            <w:pPr>
              <w:spacing w:line="360" w:lineRule="auto"/>
              <w:jc w:val="center"/>
              <w:rPr>
                <w:rFonts w:hint="eastAsia" w:ascii="宋体" w:hAnsi="宋体"/>
                <w:color w:val="auto"/>
                <w:kern w:val="0"/>
                <w:szCs w:val="21"/>
              </w:rPr>
            </w:pPr>
            <w:r>
              <w:rPr>
                <w:rFonts w:ascii="宋体" w:hAnsi="宋体"/>
                <w:color w:val="auto"/>
                <w:kern w:val="0"/>
                <w:szCs w:val="21"/>
              </w:rPr>
              <w:sym w:font="Wingdings 2" w:char="F050"/>
            </w:r>
          </w:p>
        </w:tc>
        <w:tc>
          <w:tcPr>
            <w:tcW w:w="0" w:type="auto"/>
            <w:vAlign w:val="center"/>
          </w:tcPr>
          <w:p w14:paraId="7693B11F">
            <w:pPr>
              <w:spacing w:line="360" w:lineRule="auto"/>
              <w:jc w:val="center"/>
              <w:rPr>
                <w:rFonts w:hint="eastAsia" w:ascii="宋体" w:hAnsi="宋体"/>
                <w:color w:val="auto"/>
                <w:kern w:val="0"/>
                <w:szCs w:val="21"/>
              </w:rPr>
            </w:pPr>
            <w:r>
              <w:rPr>
                <w:rFonts w:ascii="宋体" w:hAnsi="宋体"/>
                <w:color w:val="auto"/>
                <w:kern w:val="0"/>
                <w:szCs w:val="21"/>
              </w:rPr>
              <w:sym w:font="Wingdings 2" w:char="F050"/>
            </w:r>
          </w:p>
        </w:tc>
        <w:tc>
          <w:tcPr>
            <w:tcW w:w="0" w:type="auto"/>
            <w:vAlign w:val="center"/>
          </w:tcPr>
          <w:p w14:paraId="1AFEDC10">
            <w:pPr>
              <w:spacing w:line="360" w:lineRule="auto"/>
              <w:jc w:val="center"/>
              <w:rPr>
                <w:rFonts w:hint="eastAsia" w:ascii="宋体" w:hAnsi="宋体"/>
                <w:color w:val="auto"/>
                <w:kern w:val="0"/>
                <w:szCs w:val="21"/>
              </w:rPr>
            </w:pPr>
          </w:p>
        </w:tc>
        <w:tc>
          <w:tcPr>
            <w:tcW w:w="0" w:type="auto"/>
            <w:vAlign w:val="center"/>
          </w:tcPr>
          <w:p w14:paraId="3E4D1792">
            <w:pPr>
              <w:spacing w:line="360" w:lineRule="auto"/>
              <w:jc w:val="center"/>
              <w:rPr>
                <w:rFonts w:hint="eastAsia" w:ascii="宋体" w:hAnsi="宋体"/>
                <w:color w:val="auto"/>
                <w:kern w:val="0"/>
                <w:szCs w:val="21"/>
              </w:rPr>
            </w:pPr>
            <w:r>
              <w:rPr>
                <w:rFonts w:ascii="宋体" w:hAnsi="宋体"/>
                <w:color w:val="auto"/>
                <w:kern w:val="0"/>
                <w:szCs w:val="21"/>
              </w:rPr>
              <w:sym w:font="Wingdings 2" w:char="F050"/>
            </w:r>
          </w:p>
        </w:tc>
        <w:tc>
          <w:tcPr>
            <w:tcW w:w="1440" w:type="dxa"/>
          </w:tcPr>
          <w:p w14:paraId="2E8E1A00">
            <w:pPr>
              <w:spacing w:line="360" w:lineRule="auto"/>
              <w:jc w:val="center"/>
              <w:rPr>
                <w:rFonts w:hint="eastAsia" w:ascii="宋体" w:hAnsi="宋体"/>
                <w:color w:val="auto"/>
                <w:kern w:val="0"/>
                <w:szCs w:val="21"/>
              </w:rPr>
            </w:pPr>
            <w:r>
              <w:rPr>
                <w:rFonts w:ascii="宋体" w:hAnsi="宋体"/>
                <w:color w:val="auto"/>
                <w:kern w:val="0"/>
                <w:szCs w:val="21"/>
              </w:rPr>
              <w:sym w:font="Wingdings 2" w:char="F050"/>
            </w:r>
          </w:p>
        </w:tc>
        <w:tc>
          <w:tcPr>
            <w:tcW w:w="851" w:type="dxa"/>
            <w:vAlign w:val="center"/>
          </w:tcPr>
          <w:p w14:paraId="1C88434D">
            <w:pPr>
              <w:spacing w:line="360" w:lineRule="auto"/>
              <w:jc w:val="center"/>
              <w:rPr>
                <w:rFonts w:hint="eastAsia" w:ascii="宋体" w:hAnsi="宋体"/>
                <w:color w:val="auto"/>
                <w:kern w:val="0"/>
                <w:szCs w:val="21"/>
              </w:rPr>
            </w:pPr>
            <w:r>
              <w:rPr>
                <w:rFonts w:hint="eastAsia" w:ascii="宋体" w:hAnsi="宋体"/>
                <w:color w:val="auto"/>
                <w:kern w:val="0"/>
                <w:szCs w:val="21"/>
              </w:rPr>
              <w:t>25</w:t>
            </w:r>
          </w:p>
        </w:tc>
      </w:tr>
      <w:tr w14:paraId="1AEF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9E3AC27">
            <w:pPr>
              <w:spacing w:line="360" w:lineRule="auto"/>
              <w:jc w:val="center"/>
              <w:rPr>
                <w:rFonts w:hint="eastAsia" w:ascii="宋体" w:hAnsi="宋体"/>
                <w:color w:val="auto"/>
                <w:kern w:val="0"/>
                <w:szCs w:val="21"/>
              </w:rPr>
            </w:pPr>
            <w:r>
              <w:rPr>
                <w:rFonts w:hint="eastAsia" w:ascii="宋体" w:hAnsi="宋体"/>
                <w:color w:val="auto"/>
                <w:kern w:val="0"/>
                <w:szCs w:val="21"/>
              </w:rPr>
              <w:t>课程目标2</w:t>
            </w:r>
          </w:p>
        </w:tc>
        <w:tc>
          <w:tcPr>
            <w:tcW w:w="0" w:type="auto"/>
            <w:vAlign w:val="center"/>
          </w:tcPr>
          <w:p w14:paraId="7E4FF7AE">
            <w:pPr>
              <w:spacing w:line="360" w:lineRule="auto"/>
              <w:jc w:val="center"/>
              <w:rPr>
                <w:rFonts w:hint="eastAsia" w:ascii="宋体" w:hAnsi="宋体"/>
                <w:color w:val="auto"/>
                <w:kern w:val="0"/>
                <w:szCs w:val="21"/>
              </w:rPr>
            </w:pPr>
            <w:r>
              <w:rPr>
                <w:rFonts w:ascii="宋体" w:hAnsi="宋体"/>
                <w:color w:val="auto"/>
                <w:kern w:val="0"/>
                <w:szCs w:val="21"/>
              </w:rPr>
              <w:sym w:font="Wingdings 2" w:char="F050"/>
            </w:r>
          </w:p>
        </w:tc>
        <w:tc>
          <w:tcPr>
            <w:tcW w:w="0" w:type="auto"/>
            <w:vAlign w:val="center"/>
          </w:tcPr>
          <w:p w14:paraId="5CDDD229">
            <w:pPr>
              <w:spacing w:line="360" w:lineRule="auto"/>
              <w:jc w:val="center"/>
              <w:rPr>
                <w:rFonts w:hint="eastAsia" w:ascii="宋体" w:hAnsi="宋体"/>
                <w:color w:val="auto"/>
                <w:kern w:val="0"/>
                <w:szCs w:val="21"/>
              </w:rPr>
            </w:pPr>
            <w:r>
              <w:rPr>
                <w:rFonts w:ascii="宋体" w:hAnsi="宋体"/>
                <w:color w:val="auto"/>
                <w:kern w:val="0"/>
                <w:szCs w:val="21"/>
              </w:rPr>
              <w:sym w:font="Wingdings 2" w:char="F050"/>
            </w:r>
          </w:p>
        </w:tc>
        <w:tc>
          <w:tcPr>
            <w:tcW w:w="0" w:type="auto"/>
            <w:vAlign w:val="center"/>
          </w:tcPr>
          <w:p w14:paraId="44D443CA">
            <w:pPr>
              <w:spacing w:line="360" w:lineRule="auto"/>
              <w:jc w:val="center"/>
              <w:rPr>
                <w:rFonts w:hint="eastAsia" w:ascii="宋体" w:hAnsi="宋体"/>
                <w:color w:val="auto"/>
                <w:kern w:val="0"/>
                <w:szCs w:val="21"/>
              </w:rPr>
            </w:pPr>
          </w:p>
        </w:tc>
        <w:tc>
          <w:tcPr>
            <w:tcW w:w="0" w:type="auto"/>
            <w:vAlign w:val="center"/>
          </w:tcPr>
          <w:p w14:paraId="1E396E82">
            <w:pPr>
              <w:spacing w:line="360" w:lineRule="auto"/>
              <w:jc w:val="center"/>
              <w:rPr>
                <w:rFonts w:hint="eastAsia" w:ascii="宋体" w:hAnsi="宋体"/>
                <w:color w:val="auto"/>
                <w:kern w:val="0"/>
                <w:szCs w:val="21"/>
              </w:rPr>
            </w:pPr>
            <w:r>
              <w:rPr>
                <w:rFonts w:ascii="宋体" w:hAnsi="宋体"/>
                <w:color w:val="auto"/>
                <w:kern w:val="0"/>
                <w:szCs w:val="21"/>
              </w:rPr>
              <w:sym w:font="Wingdings 2" w:char="F050"/>
            </w:r>
          </w:p>
        </w:tc>
        <w:tc>
          <w:tcPr>
            <w:tcW w:w="1440" w:type="dxa"/>
          </w:tcPr>
          <w:p w14:paraId="1C5127B4">
            <w:pPr>
              <w:spacing w:line="360" w:lineRule="auto"/>
              <w:jc w:val="center"/>
              <w:rPr>
                <w:rFonts w:hint="eastAsia" w:ascii="宋体" w:hAnsi="宋体"/>
                <w:color w:val="auto"/>
                <w:kern w:val="0"/>
                <w:szCs w:val="21"/>
              </w:rPr>
            </w:pPr>
            <w:r>
              <w:rPr>
                <w:rFonts w:ascii="宋体" w:hAnsi="宋体"/>
                <w:color w:val="auto"/>
                <w:kern w:val="0"/>
                <w:szCs w:val="21"/>
              </w:rPr>
              <w:sym w:font="Wingdings 2" w:char="F050"/>
            </w:r>
          </w:p>
        </w:tc>
        <w:tc>
          <w:tcPr>
            <w:tcW w:w="851" w:type="dxa"/>
            <w:vAlign w:val="center"/>
          </w:tcPr>
          <w:p w14:paraId="706CD9E3">
            <w:pPr>
              <w:spacing w:line="360" w:lineRule="auto"/>
              <w:jc w:val="center"/>
              <w:rPr>
                <w:rFonts w:hint="eastAsia" w:ascii="宋体" w:hAnsi="宋体"/>
                <w:color w:val="auto"/>
                <w:kern w:val="0"/>
                <w:szCs w:val="21"/>
              </w:rPr>
            </w:pPr>
            <w:r>
              <w:rPr>
                <w:rFonts w:hint="eastAsia" w:ascii="宋体" w:hAnsi="宋体"/>
                <w:color w:val="auto"/>
                <w:kern w:val="0"/>
                <w:szCs w:val="21"/>
              </w:rPr>
              <w:t>25</w:t>
            </w:r>
          </w:p>
        </w:tc>
      </w:tr>
      <w:tr w14:paraId="61B7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CB81B4C">
            <w:pPr>
              <w:spacing w:line="360" w:lineRule="auto"/>
              <w:jc w:val="center"/>
              <w:rPr>
                <w:rFonts w:hint="eastAsia" w:ascii="宋体" w:hAnsi="宋体"/>
                <w:color w:val="auto"/>
                <w:kern w:val="0"/>
                <w:szCs w:val="21"/>
              </w:rPr>
            </w:pPr>
            <w:r>
              <w:rPr>
                <w:rFonts w:hint="eastAsia" w:ascii="宋体" w:hAnsi="宋体"/>
                <w:color w:val="auto"/>
                <w:kern w:val="0"/>
                <w:szCs w:val="21"/>
              </w:rPr>
              <w:t>课程目标3</w:t>
            </w:r>
          </w:p>
        </w:tc>
        <w:tc>
          <w:tcPr>
            <w:tcW w:w="0" w:type="auto"/>
            <w:vAlign w:val="center"/>
          </w:tcPr>
          <w:p w14:paraId="3DFC3848">
            <w:pPr>
              <w:spacing w:line="360" w:lineRule="auto"/>
              <w:jc w:val="center"/>
              <w:rPr>
                <w:rFonts w:hint="eastAsia" w:ascii="宋体" w:hAnsi="宋体"/>
                <w:color w:val="auto"/>
                <w:kern w:val="0"/>
                <w:szCs w:val="21"/>
              </w:rPr>
            </w:pPr>
            <w:r>
              <w:rPr>
                <w:rFonts w:ascii="宋体" w:hAnsi="宋体"/>
                <w:color w:val="auto"/>
                <w:kern w:val="0"/>
                <w:szCs w:val="21"/>
              </w:rPr>
              <w:sym w:font="Wingdings 2" w:char="F050"/>
            </w:r>
          </w:p>
        </w:tc>
        <w:tc>
          <w:tcPr>
            <w:tcW w:w="0" w:type="auto"/>
            <w:vAlign w:val="center"/>
          </w:tcPr>
          <w:p w14:paraId="1007FDCC">
            <w:pPr>
              <w:spacing w:line="360" w:lineRule="auto"/>
              <w:jc w:val="center"/>
              <w:rPr>
                <w:rFonts w:hint="eastAsia" w:ascii="宋体" w:hAnsi="宋体"/>
                <w:color w:val="auto"/>
                <w:kern w:val="0"/>
                <w:szCs w:val="21"/>
              </w:rPr>
            </w:pPr>
            <w:r>
              <w:rPr>
                <w:rFonts w:ascii="宋体" w:hAnsi="宋体"/>
                <w:color w:val="auto"/>
                <w:kern w:val="0"/>
                <w:szCs w:val="21"/>
              </w:rPr>
              <w:sym w:font="Wingdings 2" w:char="F050"/>
            </w:r>
          </w:p>
        </w:tc>
        <w:tc>
          <w:tcPr>
            <w:tcW w:w="0" w:type="auto"/>
            <w:vAlign w:val="center"/>
          </w:tcPr>
          <w:p w14:paraId="1DA03435">
            <w:pPr>
              <w:spacing w:line="360" w:lineRule="auto"/>
              <w:jc w:val="center"/>
              <w:rPr>
                <w:rFonts w:hint="eastAsia" w:ascii="宋体" w:hAnsi="宋体"/>
                <w:color w:val="auto"/>
                <w:kern w:val="0"/>
                <w:szCs w:val="21"/>
              </w:rPr>
            </w:pPr>
            <w:r>
              <w:rPr>
                <w:rFonts w:ascii="宋体" w:hAnsi="宋体"/>
                <w:color w:val="auto"/>
                <w:kern w:val="0"/>
                <w:szCs w:val="21"/>
              </w:rPr>
              <w:sym w:font="Wingdings 2" w:char="F050"/>
            </w:r>
          </w:p>
        </w:tc>
        <w:tc>
          <w:tcPr>
            <w:tcW w:w="0" w:type="auto"/>
            <w:vAlign w:val="center"/>
          </w:tcPr>
          <w:p w14:paraId="25FF9877">
            <w:pPr>
              <w:spacing w:line="360" w:lineRule="auto"/>
              <w:jc w:val="center"/>
              <w:rPr>
                <w:rFonts w:hint="eastAsia" w:ascii="宋体" w:hAnsi="宋体"/>
                <w:color w:val="auto"/>
                <w:kern w:val="0"/>
                <w:szCs w:val="21"/>
              </w:rPr>
            </w:pPr>
            <w:r>
              <w:rPr>
                <w:rFonts w:ascii="宋体" w:hAnsi="宋体"/>
                <w:color w:val="auto"/>
                <w:kern w:val="0"/>
                <w:szCs w:val="21"/>
              </w:rPr>
              <w:sym w:font="Wingdings 2" w:char="F050"/>
            </w:r>
          </w:p>
        </w:tc>
        <w:tc>
          <w:tcPr>
            <w:tcW w:w="1440" w:type="dxa"/>
          </w:tcPr>
          <w:p w14:paraId="5988E472">
            <w:pPr>
              <w:spacing w:line="360" w:lineRule="auto"/>
              <w:jc w:val="center"/>
              <w:rPr>
                <w:rFonts w:hint="eastAsia" w:ascii="宋体" w:hAnsi="宋体"/>
                <w:color w:val="auto"/>
                <w:kern w:val="0"/>
                <w:szCs w:val="21"/>
              </w:rPr>
            </w:pPr>
          </w:p>
        </w:tc>
        <w:tc>
          <w:tcPr>
            <w:tcW w:w="851" w:type="dxa"/>
            <w:vAlign w:val="center"/>
          </w:tcPr>
          <w:p w14:paraId="73B0D3BC">
            <w:pPr>
              <w:spacing w:line="360" w:lineRule="auto"/>
              <w:jc w:val="center"/>
              <w:rPr>
                <w:rFonts w:hint="eastAsia" w:ascii="宋体" w:hAnsi="宋体"/>
                <w:color w:val="auto"/>
                <w:kern w:val="0"/>
                <w:szCs w:val="21"/>
              </w:rPr>
            </w:pPr>
            <w:r>
              <w:rPr>
                <w:rFonts w:hint="eastAsia" w:ascii="宋体" w:hAnsi="宋体"/>
                <w:color w:val="auto"/>
                <w:kern w:val="0"/>
                <w:szCs w:val="21"/>
              </w:rPr>
              <w:t>25</w:t>
            </w:r>
          </w:p>
        </w:tc>
      </w:tr>
      <w:tr w14:paraId="4C86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2C6D801">
            <w:pPr>
              <w:spacing w:line="360" w:lineRule="auto"/>
              <w:jc w:val="center"/>
              <w:rPr>
                <w:rFonts w:hint="eastAsia" w:ascii="宋体" w:hAnsi="宋体"/>
                <w:color w:val="auto"/>
                <w:kern w:val="0"/>
                <w:szCs w:val="21"/>
              </w:rPr>
            </w:pPr>
            <w:r>
              <w:rPr>
                <w:rFonts w:hint="eastAsia" w:ascii="宋体" w:hAnsi="宋体"/>
                <w:color w:val="auto"/>
                <w:kern w:val="0"/>
                <w:szCs w:val="21"/>
              </w:rPr>
              <w:t>课程目标4</w:t>
            </w:r>
          </w:p>
        </w:tc>
        <w:tc>
          <w:tcPr>
            <w:tcW w:w="0" w:type="auto"/>
            <w:vAlign w:val="center"/>
          </w:tcPr>
          <w:p w14:paraId="01598039">
            <w:pPr>
              <w:spacing w:line="360" w:lineRule="auto"/>
              <w:jc w:val="center"/>
              <w:rPr>
                <w:rFonts w:hint="eastAsia" w:ascii="宋体" w:hAnsi="宋体"/>
                <w:color w:val="auto"/>
                <w:kern w:val="0"/>
                <w:szCs w:val="21"/>
              </w:rPr>
            </w:pPr>
            <w:r>
              <w:rPr>
                <w:rFonts w:ascii="宋体" w:hAnsi="宋体"/>
                <w:color w:val="auto"/>
                <w:kern w:val="0"/>
                <w:szCs w:val="21"/>
              </w:rPr>
              <w:sym w:font="Wingdings 2" w:char="F050"/>
            </w:r>
          </w:p>
        </w:tc>
        <w:tc>
          <w:tcPr>
            <w:tcW w:w="0" w:type="auto"/>
            <w:vAlign w:val="center"/>
          </w:tcPr>
          <w:p w14:paraId="6198C6B9">
            <w:pPr>
              <w:spacing w:line="360" w:lineRule="auto"/>
              <w:jc w:val="center"/>
              <w:rPr>
                <w:rFonts w:hint="eastAsia" w:ascii="宋体" w:hAnsi="宋体"/>
                <w:color w:val="auto"/>
                <w:kern w:val="0"/>
                <w:szCs w:val="21"/>
              </w:rPr>
            </w:pPr>
            <w:r>
              <w:rPr>
                <w:rFonts w:ascii="宋体" w:hAnsi="宋体"/>
                <w:color w:val="auto"/>
                <w:kern w:val="0"/>
                <w:szCs w:val="21"/>
              </w:rPr>
              <w:sym w:font="Wingdings 2" w:char="F050"/>
            </w:r>
          </w:p>
        </w:tc>
        <w:tc>
          <w:tcPr>
            <w:tcW w:w="0" w:type="auto"/>
            <w:vAlign w:val="center"/>
          </w:tcPr>
          <w:p w14:paraId="3D0C9401">
            <w:pPr>
              <w:spacing w:line="360" w:lineRule="auto"/>
              <w:jc w:val="center"/>
              <w:rPr>
                <w:rFonts w:hint="eastAsia" w:ascii="宋体" w:hAnsi="宋体"/>
                <w:color w:val="auto"/>
                <w:kern w:val="0"/>
                <w:szCs w:val="21"/>
              </w:rPr>
            </w:pPr>
            <w:r>
              <w:rPr>
                <w:rFonts w:ascii="宋体" w:hAnsi="宋体"/>
                <w:color w:val="auto"/>
                <w:kern w:val="0"/>
                <w:szCs w:val="21"/>
              </w:rPr>
              <w:sym w:font="Wingdings 2" w:char="F050"/>
            </w:r>
          </w:p>
        </w:tc>
        <w:tc>
          <w:tcPr>
            <w:tcW w:w="0" w:type="auto"/>
            <w:vAlign w:val="center"/>
          </w:tcPr>
          <w:p w14:paraId="2696C5C7">
            <w:pPr>
              <w:spacing w:line="360" w:lineRule="auto"/>
              <w:jc w:val="center"/>
              <w:rPr>
                <w:rFonts w:hint="eastAsia" w:ascii="宋体" w:hAnsi="宋体"/>
                <w:color w:val="auto"/>
                <w:kern w:val="0"/>
                <w:szCs w:val="21"/>
              </w:rPr>
            </w:pPr>
            <w:r>
              <w:rPr>
                <w:rFonts w:hint="eastAsia" w:ascii="宋体" w:hAnsi="宋体"/>
                <w:color w:val="auto"/>
                <w:kern w:val="0"/>
                <w:szCs w:val="21"/>
              </w:rPr>
              <w:sym w:font="Wingdings 2" w:char="F050"/>
            </w:r>
          </w:p>
        </w:tc>
        <w:tc>
          <w:tcPr>
            <w:tcW w:w="1440" w:type="dxa"/>
          </w:tcPr>
          <w:p w14:paraId="012E2DDA">
            <w:pPr>
              <w:spacing w:line="360" w:lineRule="auto"/>
              <w:jc w:val="center"/>
              <w:rPr>
                <w:rFonts w:hint="eastAsia" w:ascii="宋体" w:hAnsi="宋体"/>
                <w:color w:val="auto"/>
                <w:kern w:val="0"/>
                <w:szCs w:val="21"/>
              </w:rPr>
            </w:pPr>
            <w:r>
              <w:rPr>
                <w:rFonts w:ascii="宋体" w:hAnsi="宋体"/>
                <w:color w:val="auto"/>
                <w:kern w:val="0"/>
                <w:szCs w:val="21"/>
              </w:rPr>
              <w:sym w:font="Wingdings 2" w:char="F050"/>
            </w:r>
          </w:p>
        </w:tc>
        <w:tc>
          <w:tcPr>
            <w:tcW w:w="851" w:type="dxa"/>
            <w:vAlign w:val="center"/>
          </w:tcPr>
          <w:p w14:paraId="63A1AD67">
            <w:pPr>
              <w:spacing w:line="360" w:lineRule="auto"/>
              <w:jc w:val="center"/>
              <w:rPr>
                <w:rFonts w:hint="eastAsia" w:ascii="宋体" w:hAnsi="宋体"/>
                <w:color w:val="auto"/>
                <w:kern w:val="0"/>
                <w:szCs w:val="21"/>
              </w:rPr>
            </w:pPr>
            <w:r>
              <w:rPr>
                <w:rFonts w:hint="eastAsia" w:ascii="宋体" w:hAnsi="宋体"/>
                <w:color w:val="auto"/>
                <w:kern w:val="0"/>
                <w:szCs w:val="21"/>
              </w:rPr>
              <w:t>25</w:t>
            </w:r>
          </w:p>
        </w:tc>
      </w:tr>
      <w:tr w14:paraId="7645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60D1F5D">
            <w:pPr>
              <w:spacing w:line="360" w:lineRule="auto"/>
              <w:jc w:val="center"/>
              <w:rPr>
                <w:rFonts w:hint="eastAsia" w:ascii="宋体" w:hAnsi="宋体"/>
                <w:color w:val="auto"/>
                <w:kern w:val="0"/>
                <w:szCs w:val="21"/>
              </w:rPr>
            </w:pPr>
            <w:r>
              <w:rPr>
                <w:rFonts w:hint="eastAsia" w:ascii="宋体" w:hAnsi="宋体"/>
                <w:color w:val="auto"/>
                <w:kern w:val="0"/>
                <w:szCs w:val="21"/>
              </w:rPr>
              <w:t>合计</w:t>
            </w:r>
          </w:p>
        </w:tc>
        <w:tc>
          <w:tcPr>
            <w:tcW w:w="0" w:type="auto"/>
            <w:vAlign w:val="center"/>
          </w:tcPr>
          <w:p w14:paraId="50791265">
            <w:pPr>
              <w:spacing w:line="360" w:lineRule="auto"/>
              <w:jc w:val="center"/>
              <w:rPr>
                <w:rFonts w:hint="eastAsia" w:ascii="宋体" w:hAnsi="宋体"/>
                <w:color w:val="auto"/>
                <w:kern w:val="0"/>
                <w:szCs w:val="21"/>
              </w:rPr>
            </w:pPr>
          </w:p>
        </w:tc>
        <w:tc>
          <w:tcPr>
            <w:tcW w:w="0" w:type="auto"/>
            <w:vAlign w:val="center"/>
          </w:tcPr>
          <w:p w14:paraId="4FC37DD7">
            <w:pPr>
              <w:spacing w:line="360" w:lineRule="auto"/>
              <w:jc w:val="center"/>
              <w:rPr>
                <w:rFonts w:hint="eastAsia" w:ascii="宋体" w:hAnsi="宋体"/>
                <w:color w:val="auto"/>
                <w:kern w:val="0"/>
                <w:szCs w:val="21"/>
              </w:rPr>
            </w:pPr>
          </w:p>
        </w:tc>
        <w:tc>
          <w:tcPr>
            <w:tcW w:w="0" w:type="auto"/>
            <w:vAlign w:val="center"/>
          </w:tcPr>
          <w:p w14:paraId="19BF7015">
            <w:pPr>
              <w:spacing w:line="360" w:lineRule="auto"/>
              <w:jc w:val="center"/>
              <w:rPr>
                <w:rFonts w:hint="eastAsia" w:ascii="宋体" w:hAnsi="宋体"/>
                <w:color w:val="auto"/>
                <w:kern w:val="0"/>
                <w:szCs w:val="21"/>
              </w:rPr>
            </w:pPr>
          </w:p>
        </w:tc>
        <w:tc>
          <w:tcPr>
            <w:tcW w:w="0" w:type="auto"/>
            <w:vAlign w:val="center"/>
          </w:tcPr>
          <w:p w14:paraId="603B9A56">
            <w:pPr>
              <w:spacing w:line="360" w:lineRule="auto"/>
              <w:jc w:val="center"/>
              <w:rPr>
                <w:rFonts w:hint="eastAsia" w:ascii="宋体" w:hAnsi="宋体"/>
                <w:color w:val="auto"/>
                <w:kern w:val="0"/>
                <w:szCs w:val="21"/>
              </w:rPr>
            </w:pPr>
          </w:p>
        </w:tc>
        <w:tc>
          <w:tcPr>
            <w:tcW w:w="1440" w:type="dxa"/>
          </w:tcPr>
          <w:p w14:paraId="699CC4BC">
            <w:pPr>
              <w:spacing w:line="360" w:lineRule="auto"/>
              <w:jc w:val="center"/>
              <w:rPr>
                <w:rFonts w:hint="eastAsia" w:ascii="宋体" w:hAnsi="宋体"/>
                <w:color w:val="auto"/>
                <w:kern w:val="0"/>
                <w:szCs w:val="21"/>
              </w:rPr>
            </w:pPr>
          </w:p>
        </w:tc>
        <w:tc>
          <w:tcPr>
            <w:tcW w:w="851" w:type="dxa"/>
            <w:vAlign w:val="center"/>
          </w:tcPr>
          <w:p w14:paraId="3E3444ED">
            <w:pPr>
              <w:spacing w:line="360" w:lineRule="auto"/>
              <w:jc w:val="center"/>
              <w:rPr>
                <w:rFonts w:hint="eastAsia" w:ascii="宋体" w:hAnsi="宋体"/>
                <w:color w:val="auto"/>
                <w:kern w:val="0"/>
                <w:szCs w:val="21"/>
              </w:rPr>
            </w:pPr>
            <w:r>
              <w:rPr>
                <w:rFonts w:hint="eastAsia" w:ascii="宋体" w:hAnsi="宋体"/>
                <w:color w:val="auto"/>
                <w:kern w:val="0"/>
                <w:szCs w:val="21"/>
              </w:rPr>
              <w:t>100</w:t>
            </w:r>
          </w:p>
        </w:tc>
      </w:tr>
    </w:tbl>
    <w:p w14:paraId="527A999C">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b/>
          <w:color w:val="auto"/>
          <w:szCs w:val="21"/>
        </w:rPr>
      </w:pPr>
      <w:r>
        <w:rPr>
          <w:rFonts w:hint="eastAsia" w:ascii="Times New Roman" w:hAnsi="Times New Roman"/>
          <w:b/>
          <w:color w:val="auto"/>
          <w:szCs w:val="21"/>
        </w:rPr>
        <w:t>（二）成绩评定细则</w:t>
      </w:r>
    </w:p>
    <w:p w14:paraId="4463D38F">
      <w:pPr>
        <w:spacing w:line="360" w:lineRule="auto"/>
        <w:ind w:firstLine="420" w:firstLineChars="200"/>
        <w:jc w:val="left"/>
        <w:rPr>
          <w:rFonts w:ascii="Times New Roman" w:hAnsi="Times New Roman"/>
          <w:color w:val="auto"/>
          <w:szCs w:val="21"/>
        </w:rPr>
      </w:pPr>
      <w:r>
        <w:rPr>
          <w:rFonts w:hint="eastAsia" w:ascii="Times New Roman" w:hAnsi="Times New Roman"/>
          <w:color w:val="auto"/>
          <w:szCs w:val="21"/>
        </w:rPr>
        <w:t>各部分的评价方式和成绩评定的细则</w:t>
      </w:r>
      <w:r>
        <w:rPr>
          <w:rFonts w:hint="eastAsia" w:ascii="Times New Roman" w:hAnsi="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0DC3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5CFD87D3">
            <w:pPr>
              <w:jc w:val="center"/>
              <w:rPr>
                <w:rFonts w:ascii="Times New Roman" w:hAnsi="Times New Roman"/>
                <w:b/>
                <w:bCs/>
                <w:color w:val="auto"/>
                <w:kern w:val="0"/>
                <w:szCs w:val="21"/>
              </w:rPr>
            </w:pPr>
            <w:r>
              <w:rPr>
                <w:rFonts w:hint="eastAsia" w:ascii="Times New Roman" w:hAnsi="Times New Roman"/>
                <w:b/>
                <w:bCs/>
                <w:color w:val="auto"/>
                <w:kern w:val="0"/>
                <w:szCs w:val="21"/>
              </w:rPr>
              <w:t>评价方式</w:t>
            </w:r>
          </w:p>
        </w:tc>
        <w:tc>
          <w:tcPr>
            <w:tcW w:w="6924" w:type="dxa"/>
            <w:vAlign w:val="center"/>
          </w:tcPr>
          <w:p w14:paraId="05508C1D">
            <w:pPr>
              <w:jc w:val="center"/>
              <w:rPr>
                <w:rFonts w:ascii="Times New Roman" w:hAnsi="Times New Roman"/>
                <w:b/>
                <w:bCs/>
                <w:color w:val="auto"/>
                <w:kern w:val="0"/>
                <w:szCs w:val="21"/>
              </w:rPr>
            </w:pPr>
            <w:r>
              <w:rPr>
                <w:rFonts w:hint="eastAsia" w:ascii="Times New Roman" w:hAnsi="Times New Roman"/>
                <w:b/>
                <w:bCs/>
                <w:color w:val="auto"/>
                <w:kern w:val="0"/>
                <w:szCs w:val="21"/>
              </w:rPr>
              <w:t>评定细则</w:t>
            </w:r>
          </w:p>
        </w:tc>
        <w:tc>
          <w:tcPr>
            <w:tcW w:w="0" w:type="auto"/>
            <w:vAlign w:val="center"/>
          </w:tcPr>
          <w:p w14:paraId="7E1BDB92">
            <w:pPr>
              <w:jc w:val="center"/>
              <w:rPr>
                <w:rFonts w:ascii="Times New Roman" w:hAnsi="Times New Roman"/>
                <w:b/>
                <w:bCs/>
                <w:color w:val="auto"/>
                <w:kern w:val="0"/>
                <w:szCs w:val="21"/>
              </w:rPr>
            </w:pPr>
            <w:r>
              <w:rPr>
                <w:rFonts w:hint="eastAsia" w:ascii="Times New Roman" w:hAnsi="Times New Roman"/>
                <w:b/>
                <w:bCs/>
                <w:color w:val="auto"/>
                <w:kern w:val="0"/>
                <w:szCs w:val="21"/>
              </w:rPr>
              <w:t>占比</w:t>
            </w:r>
          </w:p>
        </w:tc>
      </w:tr>
      <w:tr w14:paraId="1E4E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B9C4462">
            <w:pPr>
              <w:rPr>
                <w:rFonts w:ascii="Times New Roman" w:hAnsi="Times New Roman"/>
                <w:color w:val="auto"/>
                <w:kern w:val="0"/>
                <w:szCs w:val="21"/>
              </w:rPr>
            </w:pPr>
            <w:r>
              <w:rPr>
                <w:rFonts w:hint="eastAsia" w:ascii="Times New Roman" w:hAnsi="Times New Roman"/>
                <w:color w:val="auto"/>
                <w:kern w:val="0"/>
                <w:szCs w:val="21"/>
              </w:rPr>
              <w:t>平时作业</w:t>
            </w:r>
          </w:p>
        </w:tc>
        <w:tc>
          <w:tcPr>
            <w:tcW w:w="6924" w:type="dxa"/>
            <w:vAlign w:val="center"/>
          </w:tcPr>
          <w:p w14:paraId="54F81A00">
            <w:pPr>
              <w:spacing w:line="264" w:lineRule="auto"/>
              <w:jc w:val="left"/>
              <w:rPr>
                <w:rFonts w:ascii="Times New Roman" w:hAnsi="Times New Roman"/>
                <w:color w:val="auto"/>
                <w:kern w:val="0"/>
                <w:szCs w:val="21"/>
              </w:rPr>
            </w:pPr>
            <w:r>
              <w:rPr>
                <w:rFonts w:hint="eastAsia" w:ascii="Times New Roman" w:hAnsi="Times New Roman"/>
                <w:color w:val="auto"/>
                <w:kern w:val="0"/>
                <w:szCs w:val="21"/>
              </w:rPr>
              <w:t>平时作业共3次，一为教育自传，学期初即提供《教育自传》参考资料和要求，要求每位学生以自己成长史为基点，反思自身受教育过程的特点，反思优点与不足，深化自身教育价值观，书写内容、反思深度情况将作为评分的主要依据。二为两次小论文，以小论文的规范性、逻辑性、创新性及整洁性为评分的主要依据。</w:t>
            </w:r>
          </w:p>
        </w:tc>
        <w:tc>
          <w:tcPr>
            <w:tcW w:w="0" w:type="auto"/>
            <w:vAlign w:val="center"/>
          </w:tcPr>
          <w:p w14:paraId="4D0A46E5">
            <w:pPr>
              <w:jc w:val="center"/>
              <w:rPr>
                <w:rFonts w:ascii="Times New Roman" w:hAnsi="Times New Roman"/>
                <w:color w:val="auto"/>
                <w:kern w:val="0"/>
                <w:szCs w:val="21"/>
              </w:rPr>
            </w:pPr>
            <w:r>
              <w:rPr>
                <w:rFonts w:hint="eastAsia" w:ascii="Times New Roman" w:hAnsi="Times New Roman"/>
                <w:color w:val="auto"/>
                <w:kern w:val="0"/>
                <w:szCs w:val="21"/>
              </w:rPr>
              <w:t>20%</w:t>
            </w:r>
          </w:p>
        </w:tc>
      </w:tr>
      <w:tr w14:paraId="0ECC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472986E6">
            <w:pPr>
              <w:rPr>
                <w:rFonts w:ascii="Times New Roman" w:hAnsi="Times New Roman"/>
                <w:color w:val="auto"/>
                <w:kern w:val="0"/>
                <w:szCs w:val="21"/>
              </w:rPr>
            </w:pPr>
            <w:r>
              <w:rPr>
                <w:rFonts w:hint="eastAsia" w:ascii="Times New Roman" w:hAnsi="Times New Roman"/>
                <w:color w:val="auto"/>
                <w:kern w:val="0"/>
                <w:szCs w:val="21"/>
              </w:rPr>
              <w:t>课堂表现</w:t>
            </w:r>
          </w:p>
        </w:tc>
        <w:tc>
          <w:tcPr>
            <w:tcW w:w="6924" w:type="dxa"/>
            <w:vAlign w:val="center"/>
          </w:tcPr>
          <w:p w14:paraId="1F29016B">
            <w:pPr>
              <w:widowControl/>
              <w:spacing w:line="264" w:lineRule="auto"/>
              <w:jc w:val="left"/>
              <w:rPr>
                <w:rFonts w:ascii="Times New Roman" w:hAnsi="Times New Roman"/>
                <w:color w:val="auto"/>
                <w:kern w:val="0"/>
                <w:szCs w:val="21"/>
              </w:rPr>
            </w:pPr>
            <w:r>
              <w:rPr>
                <w:rFonts w:hint="eastAsia" w:ascii="宋体" w:hAnsi="宋体" w:cs="宋体"/>
                <w:color w:val="auto"/>
                <w:kern w:val="0"/>
                <w:szCs w:val="21"/>
                <w:lang w:bidi="ar"/>
              </w:rPr>
              <w:t>一是课题考勤情况</w:t>
            </w:r>
            <w:r>
              <w:rPr>
                <w:rFonts w:ascii="宋体" w:hAnsi="宋体" w:cs="宋体"/>
                <w:color w:val="auto"/>
                <w:kern w:val="0"/>
                <w:szCs w:val="21"/>
                <w:lang w:bidi="ar"/>
              </w:rPr>
              <w:t>。</w:t>
            </w:r>
            <w:r>
              <w:rPr>
                <w:rFonts w:hint="eastAsia" w:ascii="Times New Roman" w:hAnsi="Times New Roman"/>
                <w:color w:val="auto"/>
                <w:kern w:val="0"/>
                <w:szCs w:val="21"/>
              </w:rPr>
              <w:t>迟到一次扣2分，无故缺席一次扣5分，累计达</w:t>
            </w:r>
            <w:r>
              <w:rPr>
                <w:rFonts w:ascii="Times New Roman" w:hAnsi="Times New Roman"/>
                <w:color w:val="auto"/>
                <w:kern w:val="0"/>
                <w:szCs w:val="21"/>
              </w:rPr>
              <w:t>3</w:t>
            </w:r>
            <w:r>
              <w:rPr>
                <w:rFonts w:hint="eastAsia" w:ascii="Times New Roman" w:hAnsi="Times New Roman"/>
                <w:color w:val="auto"/>
                <w:kern w:val="0"/>
                <w:szCs w:val="21"/>
              </w:rPr>
              <w:t>次以上（不含</w:t>
            </w:r>
            <w:r>
              <w:rPr>
                <w:rFonts w:ascii="Times New Roman" w:hAnsi="Times New Roman"/>
                <w:color w:val="auto"/>
                <w:kern w:val="0"/>
                <w:szCs w:val="21"/>
              </w:rPr>
              <w:t>3</w:t>
            </w:r>
            <w:r>
              <w:rPr>
                <w:rFonts w:hint="eastAsia" w:ascii="Times New Roman" w:hAnsi="Times New Roman"/>
                <w:color w:val="auto"/>
                <w:kern w:val="0"/>
                <w:szCs w:val="21"/>
              </w:rPr>
              <w:t>次）取消课程成绩。</w:t>
            </w:r>
          </w:p>
          <w:p w14:paraId="032833E0">
            <w:pPr>
              <w:widowControl/>
              <w:spacing w:line="264" w:lineRule="auto"/>
              <w:jc w:val="left"/>
              <w:rPr>
                <w:rFonts w:ascii="Times New Roman" w:hAnsi="Times New Roman"/>
                <w:color w:val="auto"/>
                <w:kern w:val="0"/>
                <w:szCs w:val="21"/>
              </w:rPr>
            </w:pPr>
            <w:r>
              <w:rPr>
                <w:rFonts w:hint="eastAsia" w:ascii="Times New Roman" w:hAnsi="Times New Roman"/>
                <w:color w:val="auto"/>
                <w:kern w:val="0"/>
                <w:szCs w:val="21"/>
              </w:rPr>
              <w:t>二是</w:t>
            </w:r>
            <w:r>
              <w:rPr>
                <w:rFonts w:ascii="宋体" w:hAnsi="宋体" w:cs="宋体"/>
                <w:color w:val="auto"/>
                <w:kern w:val="0"/>
                <w:szCs w:val="21"/>
                <w:lang w:bidi="ar"/>
              </w:rPr>
              <w:t>课堂参与</w:t>
            </w:r>
            <w:r>
              <w:rPr>
                <w:rFonts w:hint="eastAsia" w:ascii="宋体" w:hAnsi="宋体" w:cs="宋体"/>
                <w:color w:val="auto"/>
                <w:kern w:val="0"/>
                <w:szCs w:val="21"/>
                <w:lang w:bidi="ar"/>
              </w:rPr>
              <w:t>情况。</w:t>
            </w:r>
            <w:r>
              <w:rPr>
                <w:rFonts w:ascii="宋体" w:hAnsi="宋体" w:cs="宋体"/>
                <w:color w:val="auto"/>
                <w:kern w:val="0"/>
                <w:szCs w:val="21"/>
                <w:lang w:bidi="ar"/>
              </w:rPr>
              <w:t>主要指课上教师随机提问、组织课堂讨论等，观察学生参与程度</w:t>
            </w:r>
            <w:r>
              <w:rPr>
                <w:rFonts w:hint="eastAsia" w:ascii="宋体" w:hAnsi="宋体" w:cs="宋体"/>
                <w:color w:val="auto"/>
                <w:kern w:val="0"/>
                <w:szCs w:val="21"/>
                <w:lang w:bidi="ar"/>
              </w:rPr>
              <w:t>，</w:t>
            </w:r>
            <w:r>
              <w:rPr>
                <w:rFonts w:ascii="宋体" w:hAnsi="宋体" w:cs="宋体"/>
                <w:color w:val="auto"/>
                <w:kern w:val="0"/>
                <w:szCs w:val="21"/>
                <w:lang w:bidi="ar"/>
              </w:rPr>
              <w:t>表现良好，按照对应的课程目标及权重给予评定</w:t>
            </w:r>
            <w:r>
              <w:rPr>
                <w:rFonts w:hint="eastAsia" w:ascii="宋体" w:hAnsi="宋体" w:cs="宋体"/>
                <w:color w:val="auto"/>
                <w:kern w:val="0"/>
                <w:szCs w:val="21"/>
                <w:lang w:bidi="ar"/>
              </w:rPr>
              <w:t>。</w:t>
            </w:r>
          </w:p>
        </w:tc>
        <w:tc>
          <w:tcPr>
            <w:tcW w:w="0" w:type="auto"/>
            <w:vAlign w:val="center"/>
          </w:tcPr>
          <w:p w14:paraId="385ACF39">
            <w:pPr>
              <w:jc w:val="center"/>
              <w:rPr>
                <w:rFonts w:ascii="Times New Roman" w:hAnsi="Times New Roman"/>
                <w:color w:val="auto"/>
                <w:kern w:val="0"/>
                <w:szCs w:val="21"/>
              </w:rPr>
            </w:pPr>
            <w:r>
              <w:rPr>
                <w:rFonts w:hint="eastAsia" w:ascii="Times New Roman" w:hAnsi="Times New Roman"/>
                <w:color w:val="auto"/>
                <w:kern w:val="0"/>
                <w:szCs w:val="21"/>
              </w:rPr>
              <w:t>10%</w:t>
            </w:r>
          </w:p>
        </w:tc>
      </w:tr>
      <w:tr w14:paraId="4DC8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59A5411F">
            <w:pPr>
              <w:rPr>
                <w:rFonts w:ascii="Times New Roman" w:hAnsi="Times New Roman"/>
                <w:color w:val="auto"/>
                <w:kern w:val="0"/>
                <w:szCs w:val="21"/>
              </w:rPr>
            </w:pPr>
            <w:r>
              <w:rPr>
                <w:rFonts w:hint="eastAsia" w:ascii="Times New Roman" w:hAnsi="Times New Roman"/>
                <w:color w:val="auto"/>
                <w:kern w:val="0"/>
                <w:szCs w:val="21"/>
              </w:rPr>
              <w:t>小组讨论与汇报</w:t>
            </w:r>
          </w:p>
        </w:tc>
        <w:tc>
          <w:tcPr>
            <w:tcW w:w="6924" w:type="dxa"/>
            <w:vAlign w:val="center"/>
          </w:tcPr>
          <w:p w14:paraId="33C01848">
            <w:pPr>
              <w:widowControl/>
              <w:spacing w:line="264"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小组讨论与回报主要包括人性论与教育、伦理学与教育、哲学教师专业发展等内容以小组形式回报，评定主要以、内容、PPT制作、个人参与度、小组合作度、演讲水平等作为成绩评定标准。</w:t>
            </w:r>
          </w:p>
        </w:tc>
        <w:tc>
          <w:tcPr>
            <w:tcW w:w="0" w:type="auto"/>
            <w:vAlign w:val="center"/>
          </w:tcPr>
          <w:p w14:paraId="6B7049B6">
            <w:pPr>
              <w:jc w:val="center"/>
              <w:rPr>
                <w:rFonts w:ascii="Times New Roman" w:hAnsi="Times New Roman"/>
                <w:color w:val="auto"/>
                <w:kern w:val="0"/>
                <w:szCs w:val="21"/>
              </w:rPr>
            </w:pPr>
            <w:r>
              <w:rPr>
                <w:rFonts w:hint="eastAsia" w:ascii="Times New Roman" w:hAnsi="Times New Roman"/>
                <w:color w:val="auto"/>
                <w:kern w:val="0"/>
                <w:szCs w:val="21"/>
              </w:rPr>
              <w:t>10%</w:t>
            </w:r>
          </w:p>
        </w:tc>
      </w:tr>
      <w:tr w14:paraId="2363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281C1DEB">
            <w:pPr>
              <w:rPr>
                <w:rFonts w:ascii="Times New Roman" w:hAnsi="Times New Roman"/>
                <w:color w:val="auto"/>
                <w:kern w:val="0"/>
                <w:szCs w:val="21"/>
              </w:rPr>
            </w:pPr>
            <w:r>
              <w:rPr>
                <w:rFonts w:hint="eastAsia" w:ascii="Times New Roman" w:hAnsi="Times New Roman"/>
                <w:color w:val="auto"/>
                <w:kern w:val="0"/>
                <w:szCs w:val="21"/>
              </w:rPr>
              <w:t>自主学习</w:t>
            </w:r>
          </w:p>
        </w:tc>
        <w:tc>
          <w:tcPr>
            <w:tcW w:w="6924" w:type="dxa"/>
            <w:vAlign w:val="center"/>
          </w:tcPr>
          <w:p w14:paraId="59B48DD9">
            <w:pPr>
              <w:spacing w:line="264" w:lineRule="auto"/>
              <w:jc w:val="left"/>
              <w:rPr>
                <w:rFonts w:ascii="Times New Roman" w:hAnsi="Times New Roman"/>
                <w:color w:val="auto"/>
                <w:kern w:val="0"/>
                <w:szCs w:val="21"/>
              </w:rPr>
            </w:pPr>
            <w:r>
              <w:rPr>
                <w:rFonts w:hint="eastAsia" w:ascii="Times New Roman" w:hAnsi="Times New Roman"/>
                <w:color w:val="auto"/>
                <w:kern w:val="0"/>
                <w:szCs w:val="21"/>
              </w:rPr>
              <w:t>学生在在线开放课程中完成课前自主学习，系统记录其学习经历，主要包括学习通参与讨论的数量、资料阅读的情况等行为。期末收集所有学生的学习数据，以完成所有要求的学习项目为满分，按比例折算出学生的得分。</w:t>
            </w:r>
          </w:p>
        </w:tc>
        <w:tc>
          <w:tcPr>
            <w:tcW w:w="0" w:type="auto"/>
            <w:vAlign w:val="center"/>
          </w:tcPr>
          <w:p w14:paraId="7EB290A0">
            <w:pPr>
              <w:jc w:val="center"/>
              <w:rPr>
                <w:rFonts w:ascii="Times New Roman" w:hAnsi="Times New Roman"/>
                <w:color w:val="auto"/>
                <w:kern w:val="0"/>
                <w:szCs w:val="21"/>
              </w:rPr>
            </w:pPr>
            <w:r>
              <w:rPr>
                <w:rFonts w:hint="eastAsia" w:ascii="Times New Roman" w:hAnsi="Times New Roman"/>
                <w:color w:val="auto"/>
                <w:kern w:val="0"/>
                <w:szCs w:val="21"/>
              </w:rPr>
              <w:t>10%</w:t>
            </w:r>
          </w:p>
        </w:tc>
      </w:tr>
      <w:tr w14:paraId="7D70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180BD33">
            <w:pPr>
              <w:rPr>
                <w:rFonts w:ascii="Times New Roman" w:hAnsi="Times New Roman"/>
                <w:color w:val="auto"/>
                <w:kern w:val="0"/>
                <w:szCs w:val="21"/>
              </w:rPr>
            </w:pPr>
            <w:r>
              <w:rPr>
                <w:rFonts w:hint="eastAsia" w:ascii="Times New Roman" w:hAnsi="Times New Roman"/>
                <w:color w:val="auto"/>
                <w:kern w:val="0"/>
                <w:szCs w:val="21"/>
              </w:rPr>
              <w:t>期末考试</w:t>
            </w:r>
          </w:p>
        </w:tc>
        <w:tc>
          <w:tcPr>
            <w:tcW w:w="6924" w:type="dxa"/>
            <w:vAlign w:val="center"/>
          </w:tcPr>
          <w:p w14:paraId="32E71EE7">
            <w:pPr>
              <w:spacing w:line="264" w:lineRule="auto"/>
              <w:jc w:val="left"/>
              <w:rPr>
                <w:rFonts w:ascii="Times New Roman" w:hAnsi="Times New Roman"/>
                <w:color w:val="auto"/>
                <w:kern w:val="0"/>
                <w:szCs w:val="21"/>
              </w:rPr>
            </w:pPr>
            <w:r>
              <w:rPr>
                <w:rFonts w:ascii="Times New Roman" w:hAnsi="Times New Roman"/>
                <w:color w:val="auto"/>
                <w:kern w:val="0"/>
                <w:szCs w:val="21"/>
              </w:rPr>
              <w:t>试卷题型包括</w:t>
            </w:r>
            <w:r>
              <w:rPr>
                <w:rFonts w:hint="eastAsia" w:ascii="Times New Roman" w:hAnsi="Times New Roman"/>
                <w:color w:val="auto"/>
                <w:kern w:val="0"/>
                <w:szCs w:val="21"/>
              </w:rPr>
              <w:t>论述题</w:t>
            </w:r>
            <w:r>
              <w:rPr>
                <w:rFonts w:ascii="Times New Roman" w:hAnsi="Times New Roman"/>
                <w:color w:val="auto"/>
                <w:kern w:val="0"/>
                <w:szCs w:val="21"/>
              </w:rPr>
              <w:t>等，以卷面成绩的50%计入课程总成绩。</w:t>
            </w:r>
            <w:r>
              <w:rPr>
                <w:rFonts w:hint="eastAsia" w:ascii="Times New Roman" w:hAnsi="Times New Roman"/>
                <w:color w:val="auto"/>
                <w:kern w:val="0"/>
                <w:szCs w:val="21"/>
              </w:rPr>
              <w:t>开卷，题考核学生对基本理论知识的掌握自己运用基本理论知识进行综合分析的能力。基本理论知识占50%，运用基本论知识进行综合分析占50%。</w:t>
            </w:r>
          </w:p>
        </w:tc>
        <w:tc>
          <w:tcPr>
            <w:tcW w:w="0" w:type="auto"/>
            <w:vAlign w:val="center"/>
          </w:tcPr>
          <w:p w14:paraId="6799416F">
            <w:pPr>
              <w:jc w:val="center"/>
              <w:rPr>
                <w:rFonts w:ascii="Times New Roman" w:hAnsi="Times New Roman"/>
                <w:color w:val="auto"/>
                <w:kern w:val="0"/>
                <w:szCs w:val="21"/>
              </w:rPr>
            </w:pPr>
            <w:r>
              <w:rPr>
                <w:rFonts w:hint="eastAsia" w:ascii="Times New Roman" w:hAnsi="Times New Roman"/>
                <w:color w:val="auto"/>
                <w:kern w:val="0"/>
                <w:szCs w:val="21"/>
              </w:rPr>
              <w:t>50%</w:t>
            </w:r>
          </w:p>
        </w:tc>
      </w:tr>
      <w:tr w14:paraId="6A55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13D0986">
            <w:pPr>
              <w:jc w:val="center"/>
              <w:rPr>
                <w:rFonts w:ascii="Times New Roman" w:hAnsi="Times New Roman"/>
                <w:b/>
                <w:bCs/>
                <w:color w:val="auto"/>
                <w:kern w:val="0"/>
                <w:szCs w:val="21"/>
              </w:rPr>
            </w:pPr>
            <w:r>
              <w:rPr>
                <w:rFonts w:hint="eastAsia" w:ascii="Times New Roman" w:hAnsi="Times New Roman"/>
                <w:b/>
                <w:bCs/>
                <w:color w:val="auto"/>
                <w:kern w:val="0"/>
                <w:szCs w:val="21"/>
              </w:rPr>
              <w:t>合计</w:t>
            </w:r>
          </w:p>
        </w:tc>
        <w:tc>
          <w:tcPr>
            <w:tcW w:w="0" w:type="auto"/>
            <w:vAlign w:val="center"/>
          </w:tcPr>
          <w:p w14:paraId="2DA333D2">
            <w:pPr>
              <w:jc w:val="left"/>
              <w:rPr>
                <w:rFonts w:ascii="Times New Roman" w:hAnsi="Times New Roman"/>
                <w:color w:val="auto"/>
                <w:kern w:val="0"/>
                <w:szCs w:val="21"/>
              </w:rPr>
            </w:pPr>
          </w:p>
        </w:tc>
        <w:tc>
          <w:tcPr>
            <w:tcW w:w="0" w:type="auto"/>
            <w:vAlign w:val="center"/>
          </w:tcPr>
          <w:p w14:paraId="6907C678">
            <w:pPr>
              <w:jc w:val="center"/>
              <w:rPr>
                <w:rFonts w:ascii="Times New Roman" w:hAnsi="Times New Roman"/>
                <w:color w:val="auto"/>
                <w:kern w:val="0"/>
                <w:szCs w:val="21"/>
              </w:rPr>
            </w:pPr>
            <w:r>
              <w:rPr>
                <w:rFonts w:hint="eastAsia" w:ascii="Times New Roman" w:hAnsi="Times New Roman"/>
                <w:color w:val="auto"/>
                <w:kern w:val="0"/>
                <w:szCs w:val="21"/>
              </w:rPr>
              <w:t>100%</w:t>
            </w:r>
          </w:p>
        </w:tc>
      </w:tr>
    </w:tbl>
    <w:p w14:paraId="7A6D6601">
      <w:pPr>
        <w:spacing w:before="156" w:beforeLines="50" w:line="360" w:lineRule="auto"/>
        <w:ind w:firstLine="422" w:firstLineChars="200"/>
        <w:jc w:val="left"/>
        <w:rPr>
          <w:rFonts w:ascii="Times New Roman" w:hAnsi="Times New Roman"/>
          <w:b/>
          <w:color w:val="auto"/>
          <w:szCs w:val="21"/>
        </w:rPr>
      </w:pPr>
      <w:r>
        <w:rPr>
          <w:rFonts w:hint="eastAsia" w:ascii="Times New Roman" w:hAnsi="Times New Roman"/>
          <w:b/>
          <w:color w:val="auto"/>
          <w:szCs w:val="21"/>
        </w:rPr>
        <w:t>（三）课程目标达成度计算方法</w:t>
      </w:r>
    </w:p>
    <w:p w14:paraId="51EF3EC1">
      <w:pPr>
        <w:spacing w:line="360" w:lineRule="auto"/>
        <w:ind w:firstLine="411" w:firstLineChars="196"/>
        <w:jc w:val="left"/>
        <w:rPr>
          <w:rFonts w:hint="eastAsia" w:ascii="宋体" w:hAnsi="宋体"/>
          <w:color w:val="auto"/>
          <w:szCs w:val="21"/>
        </w:rPr>
      </w:pPr>
      <w:r>
        <w:rPr>
          <w:rFonts w:hint="eastAsia" w:ascii="宋体" w:hAnsi="宋体"/>
          <w:color w:val="auto"/>
          <w:szCs w:val="21"/>
        </w:rPr>
        <w:t>所有课程目标均需大于等于</w:t>
      </w:r>
      <w:r>
        <w:rPr>
          <w:rFonts w:ascii="宋体" w:hAnsi="宋体"/>
          <w:color w:val="auto"/>
          <w:szCs w:val="21"/>
        </w:rPr>
        <w:t>0.6，否则总评成绩不及格，需要补考或重修。每门课程目标总体达成度计算方法如下：</w:t>
      </w:r>
    </w:p>
    <w:p w14:paraId="62475ED5">
      <w:pPr>
        <w:spacing w:line="360" w:lineRule="auto"/>
        <w:rPr>
          <w:rFonts w:hint="eastAsia" w:ascii="宋体" w:hAnsi="宋体"/>
          <w:b/>
          <w:color w:val="auto"/>
          <w:szCs w:val="21"/>
        </w:rPr>
      </w:pPr>
      <w:r>
        <w:rPr>
          <w:rFonts w:ascii="宋体" w:hAnsi="宋体"/>
          <w:color w:val="auto"/>
          <w:szCs w:val="21"/>
        </w:rPr>
        <w:object>
          <v:shape id="_x0000_i1047"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47" DrawAspect="Content" ObjectID="_1468075746" r:id="rId33">
            <o:LockedField>false</o:LockedField>
          </o:OLEObject>
        </w:object>
      </w:r>
    </w:p>
    <w:p w14:paraId="670E00B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hint="eastAsia" w:ascii="宋体" w:hAnsi="宋体"/>
          <w:b/>
          <w:color w:val="auto"/>
          <w:sz w:val="24"/>
          <w:szCs w:val="24"/>
          <w:lang w:val="en-US" w:eastAsia="zh-CN"/>
        </w:rPr>
      </w:pPr>
      <w:r>
        <w:rPr>
          <w:rFonts w:hint="eastAsia" w:ascii="宋体" w:hAnsi="宋体"/>
          <w:b/>
          <w:color w:val="auto"/>
          <w:sz w:val="24"/>
          <w:szCs w:val="24"/>
          <w:lang w:val="en-US" w:eastAsia="zh-CN"/>
        </w:rPr>
        <w:t>六、有关说明</w:t>
      </w:r>
    </w:p>
    <w:p w14:paraId="1F3E8FE7">
      <w:pPr>
        <w:spacing w:before="156" w:beforeLines="50" w:line="360" w:lineRule="auto"/>
        <w:ind w:firstLine="422" w:firstLineChars="200"/>
        <w:jc w:val="left"/>
        <w:rPr>
          <w:rFonts w:ascii="Times New Roman" w:hAnsi="Times New Roman"/>
          <w:b/>
          <w:color w:val="auto"/>
          <w:szCs w:val="21"/>
        </w:rPr>
      </w:pPr>
      <w:r>
        <w:rPr>
          <w:rFonts w:hint="eastAsia" w:ascii="Times New Roman" w:hAnsi="Times New Roman"/>
          <w:b/>
          <w:color w:val="auto"/>
          <w:szCs w:val="21"/>
        </w:rPr>
        <w:t>（一）持续改进</w:t>
      </w:r>
    </w:p>
    <w:p w14:paraId="3E234A77">
      <w:pPr>
        <w:spacing w:line="300" w:lineRule="auto"/>
        <w:ind w:firstLine="420" w:firstLineChars="200"/>
        <w:rPr>
          <w:rFonts w:ascii="Calibri" w:hAnsi="Calibri"/>
          <w:color w:val="auto"/>
          <w:szCs w:val="21"/>
        </w:rPr>
      </w:pPr>
      <w:r>
        <w:rPr>
          <w:rFonts w:hint="eastAsia" w:ascii="Calibri" w:hAnsi="Calibri"/>
          <w:color w:val="auto"/>
          <w:szCs w:val="21"/>
        </w:rPr>
        <w:t>本课程根据学生作业、课堂讨论、教学环节、平时考核情况和学生、教学督导等的反馈，及时对教学中的不足之处进行改进，并在下一轮课程教学中整改完善，确保相应毕业要求指标点达成。</w:t>
      </w:r>
    </w:p>
    <w:p w14:paraId="6AEC7DE3">
      <w:pPr>
        <w:spacing w:before="156" w:beforeLines="50" w:line="360" w:lineRule="auto"/>
        <w:ind w:firstLine="422" w:firstLineChars="200"/>
        <w:jc w:val="left"/>
        <w:rPr>
          <w:rFonts w:ascii="Times New Roman" w:hAnsi="Times New Roman"/>
          <w:b/>
          <w:color w:val="auto"/>
          <w:szCs w:val="21"/>
        </w:rPr>
      </w:pPr>
      <w:r>
        <w:rPr>
          <w:rFonts w:hint="eastAsia" w:ascii="Times New Roman" w:hAnsi="Times New Roman"/>
          <w:b/>
          <w:color w:val="auto"/>
          <w:szCs w:val="21"/>
        </w:rPr>
        <w:t>（二）参考书目及学习资料</w:t>
      </w:r>
    </w:p>
    <w:p w14:paraId="0DA65252">
      <w:pPr>
        <w:spacing w:line="360" w:lineRule="auto"/>
        <w:ind w:firstLine="411" w:firstLineChars="196"/>
        <w:jc w:val="left"/>
        <w:rPr>
          <w:rFonts w:hint="eastAsia" w:ascii="宋体" w:hAnsi="宋体"/>
          <w:color w:val="auto"/>
          <w:szCs w:val="21"/>
        </w:rPr>
      </w:pPr>
      <w:r>
        <w:rPr>
          <w:rFonts w:ascii="宋体" w:hAnsi="宋体"/>
          <w:color w:val="auto"/>
          <w:szCs w:val="21"/>
        </w:rPr>
        <w:t>1.</w:t>
      </w:r>
      <w:r>
        <w:rPr>
          <w:rFonts w:hint="eastAsia" w:ascii="宋体" w:hAnsi="宋体"/>
          <w:color w:val="auto"/>
          <w:szCs w:val="21"/>
        </w:rPr>
        <w:t>教材</w:t>
      </w:r>
    </w:p>
    <w:p w14:paraId="40B0DA26">
      <w:pPr>
        <w:spacing w:line="360" w:lineRule="auto"/>
        <w:ind w:firstLine="411" w:firstLineChars="196"/>
        <w:jc w:val="left"/>
        <w:rPr>
          <w:rFonts w:hint="eastAsia" w:ascii="宋体" w:hAnsi="宋体"/>
          <w:color w:val="auto"/>
          <w:szCs w:val="21"/>
        </w:rPr>
      </w:pPr>
      <w:r>
        <w:rPr>
          <w:rFonts w:hint="eastAsia" w:ascii="宋体" w:hAnsi="宋体"/>
          <w:color w:val="auto"/>
          <w:szCs w:val="21"/>
        </w:rPr>
        <w:t>石中英</w:t>
      </w:r>
      <w:r>
        <w:rPr>
          <w:rFonts w:ascii="宋体" w:hAnsi="宋体"/>
          <w:color w:val="auto"/>
          <w:szCs w:val="21"/>
        </w:rPr>
        <w:t>.</w:t>
      </w:r>
      <w:r>
        <w:rPr>
          <w:rFonts w:hint="eastAsia" w:ascii="宋体" w:hAnsi="宋体"/>
          <w:color w:val="auto"/>
          <w:szCs w:val="21"/>
        </w:rPr>
        <w:t>教育哲学</w:t>
      </w:r>
      <w:r>
        <w:rPr>
          <w:rFonts w:ascii="宋体" w:hAnsi="宋体"/>
          <w:color w:val="auto"/>
          <w:szCs w:val="21"/>
        </w:rPr>
        <w:t>.</w:t>
      </w:r>
      <w:r>
        <w:rPr>
          <w:rFonts w:hint="eastAsia" w:ascii="宋体" w:hAnsi="宋体"/>
          <w:color w:val="auto"/>
          <w:szCs w:val="21"/>
        </w:rPr>
        <w:t>高等教育出版社，</w:t>
      </w:r>
      <w:r>
        <w:rPr>
          <w:rFonts w:ascii="宋体" w:hAnsi="宋体"/>
          <w:color w:val="auto"/>
          <w:szCs w:val="21"/>
        </w:rPr>
        <w:t>2019.</w:t>
      </w:r>
      <w:r>
        <w:rPr>
          <w:rFonts w:hint="eastAsia" w:ascii="宋体" w:hAnsi="宋体"/>
          <w:color w:val="auto"/>
          <w:szCs w:val="21"/>
        </w:rPr>
        <w:t>（马工程教材）</w:t>
      </w:r>
    </w:p>
    <w:p w14:paraId="5BADACC9">
      <w:pPr>
        <w:spacing w:line="360" w:lineRule="auto"/>
        <w:ind w:firstLine="411" w:firstLineChars="196"/>
        <w:jc w:val="left"/>
        <w:rPr>
          <w:rFonts w:hint="eastAsia" w:ascii="宋体" w:hAnsi="宋体"/>
          <w:color w:val="auto"/>
          <w:szCs w:val="21"/>
        </w:rPr>
      </w:pPr>
      <w:r>
        <w:rPr>
          <w:rFonts w:ascii="宋体" w:hAnsi="宋体"/>
          <w:color w:val="auto"/>
          <w:szCs w:val="21"/>
        </w:rPr>
        <w:t>2.</w:t>
      </w:r>
      <w:r>
        <w:rPr>
          <w:rFonts w:hint="eastAsia" w:ascii="宋体" w:hAnsi="宋体"/>
          <w:color w:val="auto"/>
          <w:szCs w:val="21"/>
        </w:rPr>
        <w:t>教学参考书</w:t>
      </w:r>
    </w:p>
    <w:p w14:paraId="30CA71B6">
      <w:pPr>
        <w:spacing w:line="360" w:lineRule="auto"/>
        <w:ind w:firstLine="411" w:firstLineChars="196"/>
        <w:jc w:val="left"/>
        <w:rPr>
          <w:rFonts w:hint="eastAsia" w:ascii="宋体" w:hAnsi="宋体"/>
          <w:color w:val="auto"/>
          <w:szCs w:val="21"/>
        </w:rPr>
      </w:pPr>
      <w:r>
        <w:rPr>
          <w:rFonts w:hint="eastAsia" w:ascii="宋体" w:hAnsi="宋体"/>
          <w:color w:val="auto"/>
          <w:szCs w:val="21"/>
        </w:rPr>
        <w:t>于伟</w:t>
      </w:r>
      <w:r>
        <w:rPr>
          <w:rFonts w:ascii="宋体" w:hAnsi="宋体"/>
          <w:color w:val="auto"/>
          <w:szCs w:val="21"/>
        </w:rPr>
        <w:t>.</w:t>
      </w:r>
      <w:r>
        <w:rPr>
          <w:rFonts w:hint="eastAsia" w:ascii="宋体" w:hAnsi="宋体"/>
          <w:color w:val="auto"/>
          <w:szCs w:val="21"/>
        </w:rPr>
        <w:t>教育哲学</w:t>
      </w:r>
      <w:r>
        <w:rPr>
          <w:rFonts w:ascii="宋体" w:hAnsi="宋体"/>
          <w:color w:val="auto"/>
          <w:szCs w:val="21"/>
        </w:rPr>
        <w:t>.</w:t>
      </w:r>
      <w:r>
        <w:rPr>
          <w:rFonts w:hint="eastAsia" w:ascii="宋体" w:hAnsi="宋体"/>
          <w:color w:val="auto"/>
          <w:szCs w:val="21"/>
        </w:rPr>
        <w:t>北京师范大学出版社，</w:t>
      </w:r>
      <w:r>
        <w:rPr>
          <w:rFonts w:ascii="宋体" w:hAnsi="宋体"/>
          <w:color w:val="auto"/>
          <w:szCs w:val="21"/>
        </w:rPr>
        <w:t>2016.</w:t>
      </w:r>
    </w:p>
    <w:p w14:paraId="61793306">
      <w:pPr>
        <w:spacing w:line="360" w:lineRule="auto"/>
        <w:ind w:firstLine="411" w:firstLineChars="196"/>
        <w:jc w:val="left"/>
        <w:rPr>
          <w:rFonts w:hint="eastAsia" w:ascii="宋体" w:hAnsi="宋体"/>
          <w:color w:val="auto"/>
          <w:szCs w:val="21"/>
        </w:rPr>
      </w:pPr>
      <w:r>
        <w:rPr>
          <w:rFonts w:hint="eastAsia" w:ascii="宋体" w:hAnsi="宋体"/>
          <w:color w:val="auto"/>
          <w:szCs w:val="21"/>
        </w:rPr>
        <w:t>郝文武</w:t>
      </w:r>
      <w:r>
        <w:rPr>
          <w:rFonts w:ascii="宋体" w:hAnsi="宋体"/>
          <w:color w:val="auto"/>
          <w:szCs w:val="21"/>
        </w:rPr>
        <w:t>.</w:t>
      </w:r>
      <w:r>
        <w:rPr>
          <w:rFonts w:hint="eastAsia" w:ascii="宋体" w:hAnsi="宋体"/>
          <w:color w:val="auto"/>
          <w:szCs w:val="21"/>
        </w:rPr>
        <w:t>教育哲学</w:t>
      </w:r>
      <w:r>
        <w:rPr>
          <w:rFonts w:ascii="宋体" w:hAnsi="宋体"/>
          <w:color w:val="auto"/>
          <w:szCs w:val="21"/>
        </w:rPr>
        <w:t>.</w:t>
      </w:r>
      <w:r>
        <w:rPr>
          <w:rFonts w:hint="eastAsia" w:ascii="宋体" w:hAnsi="宋体"/>
          <w:color w:val="auto"/>
          <w:szCs w:val="21"/>
        </w:rPr>
        <w:t>人民教育出版社，</w:t>
      </w:r>
      <w:r>
        <w:rPr>
          <w:rFonts w:ascii="宋体" w:hAnsi="宋体"/>
          <w:color w:val="auto"/>
          <w:szCs w:val="21"/>
        </w:rPr>
        <w:t>2011.</w:t>
      </w:r>
    </w:p>
    <w:p w14:paraId="01A75A34">
      <w:pPr>
        <w:spacing w:line="360" w:lineRule="auto"/>
        <w:ind w:firstLine="411" w:firstLineChars="196"/>
        <w:jc w:val="left"/>
        <w:rPr>
          <w:rFonts w:hint="eastAsia" w:ascii="宋体" w:hAnsi="宋体"/>
          <w:color w:val="auto"/>
          <w:szCs w:val="21"/>
        </w:rPr>
      </w:pPr>
      <w:r>
        <w:rPr>
          <w:rFonts w:hint="eastAsia" w:ascii="宋体" w:hAnsi="宋体"/>
          <w:color w:val="auto"/>
          <w:szCs w:val="21"/>
        </w:rPr>
        <w:t xml:space="preserve">刘铁芳.什么是好的教育-学校教育的哲学阐释.高等教育出版社，2014. </w:t>
      </w:r>
    </w:p>
    <w:p w14:paraId="0C3C3B62">
      <w:pPr>
        <w:spacing w:line="360" w:lineRule="auto"/>
        <w:ind w:firstLine="411" w:firstLineChars="196"/>
        <w:jc w:val="left"/>
        <w:rPr>
          <w:rFonts w:hint="eastAsia" w:ascii="宋体" w:hAnsi="宋体"/>
          <w:color w:val="auto"/>
          <w:szCs w:val="21"/>
        </w:rPr>
      </w:pPr>
      <w:r>
        <w:rPr>
          <w:rFonts w:hint="eastAsia" w:ascii="宋体" w:hAnsi="宋体"/>
          <w:color w:val="auto"/>
          <w:szCs w:val="21"/>
        </w:rPr>
        <w:t>黄济.教育哲学通论.山西教育出版社,1998.</w:t>
      </w:r>
    </w:p>
    <w:p w14:paraId="7DBEE4CF">
      <w:pPr>
        <w:spacing w:line="360" w:lineRule="auto"/>
        <w:ind w:firstLine="411" w:firstLineChars="196"/>
        <w:jc w:val="left"/>
        <w:rPr>
          <w:rFonts w:hint="eastAsia" w:ascii="宋体" w:hAnsi="宋体"/>
          <w:color w:val="auto"/>
          <w:szCs w:val="21"/>
        </w:rPr>
      </w:pPr>
      <w:r>
        <w:rPr>
          <w:rFonts w:hint="eastAsia" w:ascii="宋体" w:hAnsi="宋体"/>
          <w:color w:val="auto"/>
          <w:szCs w:val="21"/>
        </w:rPr>
        <w:t>陆有铨.现代西方教育哲学.北京大学出版社,2012.</w:t>
      </w:r>
    </w:p>
    <w:p w14:paraId="1F5CC61C">
      <w:pPr>
        <w:spacing w:line="360" w:lineRule="auto"/>
        <w:ind w:firstLine="411" w:firstLineChars="196"/>
        <w:jc w:val="left"/>
        <w:rPr>
          <w:rFonts w:hint="eastAsia" w:ascii="宋体" w:hAnsi="宋体"/>
          <w:color w:val="auto"/>
          <w:szCs w:val="21"/>
        </w:rPr>
      </w:pPr>
      <w:r>
        <w:rPr>
          <w:rFonts w:hint="eastAsia" w:ascii="宋体" w:hAnsi="宋体"/>
          <w:color w:val="auto"/>
          <w:szCs w:val="21"/>
        </w:rPr>
        <w:t>张楚廷.教育哲学[M].教育科学出版社,2006.</w:t>
      </w:r>
    </w:p>
    <w:p w14:paraId="4528E76E">
      <w:pPr>
        <w:spacing w:line="360" w:lineRule="auto"/>
        <w:ind w:firstLine="411" w:firstLineChars="196"/>
        <w:jc w:val="left"/>
        <w:rPr>
          <w:rFonts w:hint="eastAsia" w:ascii="宋体" w:hAnsi="宋体"/>
          <w:color w:val="auto"/>
          <w:szCs w:val="21"/>
        </w:rPr>
      </w:pPr>
      <w:r>
        <w:rPr>
          <w:rFonts w:hint="eastAsia" w:ascii="宋体" w:hAnsi="宋体"/>
          <w:color w:val="auto"/>
          <w:szCs w:val="21"/>
        </w:rPr>
        <w:t>王坤庆.教育哲学——一种哲学价值论视角的研究.华中师大学出版社,2006.</w:t>
      </w:r>
    </w:p>
    <w:p w14:paraId="4D4336D6">
      <w:pPr>
        <w:spacing w:line="360" w:lineRule="auto"/>
        <w:ind w:firstLine="411" w:firstLineChars="196"/>
        <w:jc w:val="left"/>
        <w:rPr>
          <w:rFonts w:hint="eastAsia" w:ascii="宋体" w:hAnsi="宋体"/>
          <w:color w:val="auto"/>
          <w:szCs w:val="21"/>
        </w:rPr>
      </w:pPr>
      <w:r>
        <w:rPr>
          <w:rFonts w:hint="eastAsia" w:ascii="宋体" w:hAnsi="宋体"/>
          <w:color w:val="auto"/>
          <w:szCs w:val="21"/>
        </w:rPr>
        <w:t>萨瓦特尔.教育的价值.北京大学出版社,2012.</w:t>
      </w:r>
    </w:p>
    <w:p w14:paraId="269B7B59">
      <w:pPr>
        <w:spacing w:line="360" w:lineRule="auto"/>
        <w:ind w:firstLine="411" w:firstLineChars="196"/>
        <w:jc w:val="left"/>
        <w:rPr>
          <w:rFonts w:hint="eastAsia" w:ascii="宋体" w:hAnsi="宋体"/>
          <w:color w:val="auto"/>
          <w:szCs w:val="21"/>
        </w:rPr>
      </w:pPr>
      <w:r>
        <w:rPr>
          <w:rFonts w:hint="eastAsia" w:ascii="宋体" w:hAnsi="宋体"/>
          <w:color w:val="auto"/>
          <w:szCs w:val="21"/>
        </w:rPr>
        <w:t>冯建军等.教育哲学[M].武汉大学出版社,2011.</w:t>
      </w:r>
    </w:p>
    <w:p w14:paraId="35D7C360">
      <w:pPr>
        <w:spacing w:line="300" w:lineRule="auto"/>
        <w:rPr>
          <w:rFonts w:ascii="宋体"/>
          <w:color w:val="auto"/>
          <w:szCs w:val="21"/>
        </w:rPr>
      </w:pPr>
    </w:p>
    <w:p w14:paraId="316EFCA3">
      <w:pPr>
        <w:autoSpaceDE w:val="0"/>
        <w:autoSpaceDN w:val="0"/>
        <w:adjustRightInd w:val="0"/>
        <w:spacing w:line="300" w:lineRule="auto"/>
        <w:ind w:firstLine="5670" w:firstLineChars="2700"/>
        <w:jc w:val="left"/>
        <w:rPr>
          <w:rFonts w:ascii="宋体"/>
          <w:color w:val="auto"/>
          <w:kern w:val="0"/>
          <w:szCs w:val="21"/>
        </w:rPr>
      </w:pPr>
      <w:r>
        <w:rPr>
          <w:rFonts w:hint="eastAsia" w:ascii="宋体" w:hAnsi="宋体"/>
          <w:color w:val="auto"/>
          <w:kern w:val="0"/>
          <w:szCs w:val="21"/>
        </w:rPr>
        <w:t>执笔人：刘</w:t>
      </w:r>
      <w:r>
        <w:rPr>
          <w:rFonts w:hint="eastAsia" w:ascii="宋体" w:hAnsi="宋体"/>
          <w:color w:val="auto"/>
          <w:kern w:val="0"/>
          <w:szCs w:val="21"/>
          <w:lang w:val="en-US" w:eastAsia="zh-CN"/>
        </w:rPr>
        <w:t xml:space="preserve">  </w:t>
      </w:r>
      <w:r>
        <w:rPr>
          <w:rFonts w:hint="eastAsia" w:ascii="宋体" w:hAnsi="宋体"/>
          <w:color w:val="auto"/>
          <w:kern w:val="0"/>
          <w:szCs w:val="21"/>
        </w:rPr>
        <w:t>丽</w:t>
      </w:r>
    </w:p>
    <w:p w14:paraId="09DECCFD">
      <w:pPr>
        <w:autoSpaceDE w:val="0"/>
        <w:autoSpaceDN w:val="0"/>
        <w:adjustRightInd w:val="0"/>
        <w:spacing w:line="300" w:lineRule="auto"/>
        <w:ind w:firstLine="5670" w:firstLineChars="2700"/>
        <w:jc w:val="left"/>
        <w:rPr>
          <w:rFonts w:ascii="宋体"/>
          <w:color w:val="auto"/>
          <w:kern w:val="0"/>
          <w:szCs w:val="21"/>
        </w:rPr>
      </w:pPr>
      <w:r>
        <w:rPr>
          <w:rFonts w:hint="eastAsia" w:ascii="宋体" w:hAnsi="宋体"/>
          <w:color w:val="auto"/>
          <w:kern w:val="0"/>
          <w:szCs w:val="21"/>
        </w:rPr>
        <w:t>审定人：王</w:t>
      </w:r>
      <w:r>
        <w:rPr>
          <w:rFonts w:hint="eastAsia" w:ascii="宋体" w:hAnsi="宋体"/>
          <w:color w:val="auto"/>
          <w:kern w:val="0"/>
          <w:szCs w:val="21"/>
          <w:lang w:val="en-US" w:eastAsia="zh-CN"/>
        </w:rPr>
        <w:t xml:space="preserve">  </w:t>
      </w:r>
      <w:r>
        <w:rPr>
          <w:rFonts w:hint="eastAsia" w:ascii="宋体" w:hAnsi="宋体"/>
          <w:color w:val="auto"/>
          <w:kern w:val="0"/>
          <w:szCs w:val="21"/>
        </w:rPr>
        <w:t>健</w:t>
      </w:r>
    </w:p>
    <w:p w14:paraId="436ABC3C">
      <w:pPr>
        <w:autoSpaceDE w:val="0"/>
        <w:autoSpaceDN w:val="0"/>
        <w:adjustRightInd w:val="0"/>
        <w:spacing w:line="300" w:lineRule="auto"/>
        <w:ind w:firstLine="5670" w:firstLineChars="2700"/>
        <w:jc w:val="left"/>
        <w:rPr>
          <w:rFonts w:hint="eastAsia" w:ascii="宋体" w:hAnsi="宋体"/>
          <w:color w:val="auto"/>
          <w:kern w:val="0"/>
          <w:szCs w:val="21"/>
        </w:rPr>
      </w:pPr>
      <w:r>
        <w:rPr>
          <w:rFonts w:hint="eastAsia" w:ascii="宋体" w:hAnsi="宋体"/>
          <w:color w:val="auto"/>
          <w:kern w:val="0"/>
          <w:szCs w:val="21"/>
        </w:rPr>
        <w:t>审批人：张志欣</w:t>
      </w:r>
    </w:p>
    <w:p w14:paraId="70C417B8">
      <w:pPr>
        <w:autoSpaceDE w:val="0"/>
        <w:autoSpaceDN w:val="0"/>
        <w:adjustRightInd w:val="0"/>
        <w:spacing w:line="300" w:lineRule="auto"/>
        <w:ind w:firstLine="5670" w:firstLineChars="2700"/>
        <w:jc w:val="left"/>
        <w:rPr>
          <w:rFonts w:hint="eastAsia" w:ascii="宋体" w:hAnsi="宋体" w:eastAsiaTheme="minorEastAsia"/>
          <w:color w:val="auto"/>
          <w:kern w:val="0"/>
          <w:szCs w:val="21"/>
          <w:lang w:eastAsia="zh-CN"/>
        </w:rPr>
      </w:pPr>
      <w:r>
        <w:rPr>
          <w:rFonts w:hint="eastAsia" w:ascii="宋体" w:hAnsi="宋体"/>
          <w:color w:val="auto"/>
          <w:kern w:val="0"/>
          <w:szCs w:val="21"/>
          <w:lang w:eastAsia="zh-CN"/>
        </w:rPr>
        <w:t>批准时间：2025年7月1日</w:t>
      </w:r>
    </w:p>
    <w:p w14:paraId="2DCEEA73">
      <w:pPr>
        <w:rPr>
          <w:rFonts w:hint="eastAsia" w:ascii="宋体" w:hAnsi="宋体"/>
          <w:color w:val="auto"/>
          <w:kern w:val="0"/>
          <w:sz w:val="24"/>
        </w:rPr>
      </w:pPr>
      <w:r>
        <w:rPr>
          <w:rFonts w:hint="eastAsia" w:ascii="宋体" w:hAnsi="宋体"/>
          <w:color w:val="auto"/>
          <w:kern w:val="0"/>
          <w:sz w:val="24"/>
        </w:rPr>
        <w:br w:type="page"/>
      </w:r>
    </w:p>
    <w:bookmarkEnd w:id="322"/>
    <w:p w14:paraId="3CCF556A">
      <w:pPr>
        <w:spacing w:line="360" w:lineRule="auto"/>
        <w:jc w:val="center"/>
        <w:outlineLvl w:val="0"/>
        <w:rPr>
          <w:rFonts w:hint="eastAsia" w:ascii="Times New Roman" w:hAnsi="Times New Roman" w:eastAsia="宋体" w:cs="Times New Roman"/>
          <w:b/>
          <w:color w:val="auto"/>
          <w:sz w:val="44"/>
          <w:szCs w:val="44"/>
        </w:rPr>
      </w:pPr>
      <w:bookmarkStart w:id="325" w:name="_Toc29380667"/>
      <w:bookmarkStart w:id="326" w:name="_Toc5609"/>
      <w:bookmarkStart w:id="327" w:name="_Toc14955"/>
      <w:r>
        <w:rPr>
          <w:rFonts w:hint="eastAsia" w:ascii="Times New Roman" w:hAnsi="Times New Roman" w:eastAsia="宋体" w:cs="Times New Roman"/>
          <w:b/>
          <w:color w:val="auto"/>
          <w:sz w:val="44"/>
          <w:szCs w:val="44"/>
        </w:rPr>
        <w:t>《教育社会学》课程与教学大纲</w:t>
      </w:r>
      <w:bookmarkEnd w:id="325"/>
      <w:bookmarkEnd w:id="326"/>
      <w:bookmarkEnd w:id="327"/>
    </w:p>
    <w:p w14:paraId="790CA224">
      <w:pPr>
        <w:spacing w:line="360" w:lineRule="auto"/>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(sociology of education</w:t>
      </w:r>
      <w:r>
        <w:rPr>
          <w:rFonts w:hint="eastAsia" w:ascii="Times New Roman" w:hAnsi="Times New Roman" w:eastAsia="宋体" w:cs="Times New Roman"/>
          <w:b/>
          <w:color w:val="auto"/>
          <w:sz w:val="28"/>
          <w:szCs w:val="28"/>
        </w:rPr>
        <w:t>)</w:t>
      </w:r>
    </w:p>
    <w:p w14:paraId="64E845E7">
      <w:pPr>
        <w:spacing w:line="360" w:lineRule="auto"/>
        <w:ind w:firstLine="422" w:firstLineChars="200"/>
        <w:jc w:val="left"/>
        <w:rPr>
          <w:rFonts w:ascii="Times New Roman" w:hAnsi="Times New Roman" w:eastAsia="宋体" w:cs="Times New Roman"/>
          <w:b/>
          <w:color w:val="auto"/>
          <w:sz w:val="21"/>
          <w:szCs w:val="21"/>
        </w:rPr>
      </w:pPr>
    </w:p>
    <w:p w14:paraId="3DCEA322">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课程名称：教育社会学</w:t>
      </w:r>
    </w:p>
    <w:p w14:paraId="3B551EA0">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课程代码：2401018</w:t>
      </w:r>
    </w:p>
    <w:p w14:paraId="4B84C0B5">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分：2</w:t>
      </w:r>
    </w:p>
    <w:p w14:paraId="3EE1BEC3">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时：32</w:t>
      </w:r>
    </w:p>
    <w:p w14:paraId="756024F7">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先修课程：小学教育专业导论与职业发展</w:t>
      </w:r>
    </w:p>
    <w:p w14:paraId="047707AD">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适用专业：小学教育</w:t>
      </w:r>
    </w:p>
    <w:p w14:paraId="50A8C7FE">
      <w:pPr>
        <w:keepNext w:val="0"/>
        <w:keepLines w:val="0"/>
        <w:pageBreakBefore w:val="0"/>
        <w:widowControl w:val="0"/>
        <w:numPr>
          <w:ilvl w:val="0"/>
          <w:numId w:val="25"/>
        </w:numPr>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课程简介</w:t>
      </w:r>
    </w:p>
    <w:p w14:paraId="760D430C">
      <w:pPr>
        <w:spacing w:line="360" w:lineRule="auto"/>
        <w:jc w:val="left"/>
        <w:rPr>
          <w:rFonts w:hint="eastAsia" w:ascii="宋体" w:hAnsi="宋体" w:eastAsia="宋体" w:cs="Times New Roman"/>
          <w:bCs/>
          <w:color w:val="auto"/>
          <w:sz w:val="21"/>
          <w:szCs w:val="21"/>
        </w:rPr>
      </w:pPr>
      <w:r>
        <w:rPr>
          <w:rFonts w:hint="eastAsia" w:ascii="Times New Roman" w:hAnsi="Times New Roman" w:eastAsia="宋体" w:cs="Times New Roman"/>
          <w:b/>
          <w:color w:val="auto"/>
          <w:sz w:val="24"/>
        </w:rPr>
        <w:t xml:space="preserve">    </w:t>
      </w:r>
      <w:r>
        <w:rPr>
          <w:rFonts w:hint="eastAsia" w:ascii="Times New Roman" w:hAnsi="Times New Roman" w:eastAsia="宋体" w:cs="Times New Roman"/>
          <w:bCs/>
          <w:color w:val="auto"/>
          <w:sz w:val="21"/>
          <w:szCs w:val="21"/>
        </w:rPr>
        <w:t>本课程是小学教育专业选修课程。课程的主要任务是通过展示社会学的独特研究视角与经典研究成果，培养学生分析社会问题和社会现象的学科意识，提高其作为教师的综合人文社科素养，以及对人类一般社会活动的认知能力。</w:t>
      </w:r>
    </w:p>
    <w:p w14:paraId="75D21326">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二、课程目标</w:t>
      </w:r>
    </w:p>
    <w:p w14:paraId="1735994F">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7E4732F4">
      <w:pPr>
        <w:spacing w:line="360" w:lineRule="auto"/>
        <w:ind w:firstLine="422" w:firstLineChars="200"/>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1.</w:t>
      </w:r>
      <w:r>
        <w:rPr>
          <w:rFonts w:hint="eastAsia" w:ascii="Times New Roman" w:hAnsi="Times New Roman" w:eastAsia="宋体" w:cs="Times New Roman"/>
          <w:b/>
          <w:color w:val="auto"/>
          <w:szCs w:val="21"/>
        </w:rPr>
        <w:t xml:space="preserve"> </w:t>
      </w:r>
      <w:r>
        <w:rPr>
          <w:rFonts w:hint="eastAsia" w:ascii="宋体" w:hAnsi="宋体" w:eastAsia="宋体" w:cs="Times New Roman"/>
          <w:color w:val="auto"/>
          <w:sz w:val="24"/>
        </w:rPr>
        <w:t>掌握教育社会学的学科性质、研究对象、基本概念，建立教育社会学的研究视角和学科意识。</w:t>
      </w:r>
    </w:p>
    <w:p w14:paraId="0C7AB0E2">
      <w:pPr>
        <w:spacing w:line="360" w:lineRule="auto"/>
        <w:ind w:firstLine="422" w:firstLineChars="200"/>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目标2</w:t>
      </w:r>
      <w:r>
        <w:rPr>
          <w:rFonts w:ascii="Times New Roman" w:hAnsi="Times New Roman" w:eastAsia="宋体" w:cs="Times New Roman"/>
          <w:b/>
          <w:color w:val="auto"/>
          <w:szCs w:val="21"/>
        </w:rPr>
        <w:t>.</w:t>
      </w:r>
      <w:r>
        <w:rPr>
          <w:rFonts w:ascii="Times New Roman" w:hAnsi="Times New Roman" w:eastAsia="宋体" w:cs="Times New Roman"/>
          <w:color w:val="auto"/>
          <w:szCs w:val="21"/>
        </w:rPr>
        <w:t xml:space="preserve"> </w:t>
      </w:r>
      <w:r>
        <w:rPr>
          <w:rFonts w:hint="eastAsia" w:ascii="宋体" w:hAnsi="宋体" w:eastAsia="宋体" w:cs="Times New Roman"/>
          <w:color w:val="auto"/>
          <w:sz w:val="24"/>
        </w:rPr>
        <w:t>理解社会系统的运行规则，掌握分析社会问题的教育社会学理论。</w:t>
      </w:r>
    </w:p>
    <w:p w14:paraId="59E0737D">
      <w:pPr>
        <w:spacing w:line="360" w:lineRule="auto"/>
        <w:ind w:firstLine="422" w:firstLineChars="200"/>
        <w:jc w:val="left"/>
        <w:rPr>
          <w:rFonts w:hint="eastAsia" w:ascii="宋体" w:hAnsi="宋体" w:eastAsia="宋体" w:cs="Times New Roman"/>
          <w:color w:val="auto"/>
          <w:sz w:val="24"/>
        </w:rPr>
      </w:pPr>
      <w:r>
        <w:rPr>
          <w:rFonts w:hint="eastAsia" w:ascii="Times New Roman" w:hAnsi="Times New Roman" w:eastAsia="宋体" w:cs="Times New Roman"/>
          <w:b/>
          <w:color w:val="auto"/>
          <w:szCs w:val="21"/>
        </w:rPr>
        <w:t>目标3</w:t>
      </w:r>
      <w:r>
        <w:rPr>
          <w:rFonts w:hint="eastAsia" w:ascii="Times New Roman" w:hAnsi="Times New Roman" w:eastAsia="宋体" w:cs="Times New Roman"/>
          <w:b/>
          <w:color w:val="auto"/>
          <w:kern w:val="0"/>
          <w:szCs w:val="21"/>
        </w:rPr>
        <w:t>．</w:t>
      </w:r>
      <w:r>
        <w:rPr>
          <w:rFonts w:ascii="Times New Roman" w:hAnsi="Times New Roman" w:eastAsia="宋体" w:cs="Times New Roman"/>
          <w:color w:val="auto"/>
          <w:szCs w:val="21"/>
        </w:rPr>
        <w:t xml:space="preserve"> </w:t>
      </w:r>
      <w:r>
        <w:rPr>
          <w:rFonts w:hint="eastAsia" w:ascii="宋体" w:hAnsi="宋体" w:eastAsia="宋体" w:cs="Times New Roman"/>
          <w:color w:val="auto"/>
          <w:sz w:val="24"/>
        </w:rPr>
        <w:t>理解社会化、社会角色、社会群体等社会良性运动规律的微观分析，理解个体在社会中的作用，建立分析问题的教育社会学视角和意识。</w:t>
      </w:r>
    </w:p>
    <w:p w14:paraId="12BB74C1">
      <w:pPr>
        <w:spacing w:line="360" w:lineRule="auto"/>
        <w:ind w:firstLine="422" w:firstLineChars="200"/>
        <w:rPr>
          <w:rFonts w:hint="eastAsia" w:ascii="宋体" w:hAnsi="等线" w:eastAsia="宋体" w:cs="Times New Roman"/>
          <w:color w:val="auto"/>
          <w:sz w:val="24"/>
        </w:rPr>
      </w:pPr>
      <w:r>
        <w:rPr>
          <w:rFonts w:hint="eastAsia" w:ascii="宋体" w:hAnsi="宋体" w:eastAsia="宋体" w:cs="Times New Roman"/>
          <w:b/>
          <w:bCs/>
          <w:color w:val="auto"/>
          <w:szCs w:val="21"/>
        </w:rPr>
        <w:t>目标</w:t>
      </w:r>
      <w:r>
        <w:rPr>
          <w:rFonts w:ascii="宋体" w:hAnsi="宋体" w:eastAsia="宋体" w:cs="Times New Roman"/>
          <w:b/>
          <w:bCs/>
          <w:color w:val="auto"/>
          <w:szCs w:val="21"/>
        </w:rPr>
        <w:t>4.</w:t>
      </w:r>
      <w:r>
        <w:rPr>
          <w:rFonts w:hint="eastAsia" w:ascii="宋体" w:hAnsi="宋体" w:eastAsia="宋体" w:cs="Times New Roman"/>
          <w:color w:val="auto"/>
          <w:sz w:val="24"/>
        </w:rPr>
        <w:t>理解宏观范围内的社会组织、社会分层、社会流动等教育社会学基础问题，掌握使用教育社会学方法分析思考一般社会现象的基本能力。</w:t>
      </w:r>
    </w:p>
    <w:p w14:paraId="3C7ACAA2">
      <w:pPr>
        <w:spacing w:line="360" w:lineRule="auto"/>
        <w:ind w:firstLine="422" w:firstLineChars="200"/>
        <w:rPr>
          <w:rFonts w:hint="eastAsia" w:ascii="宋体" w:hAnsi="等线" w:eastAsia="宋体" w:cs="Times New Roman"/>
          <w:color w:val="auto"/>
          <w:sz w:val="24"/>
        </w:rPr>
      </w:pPr>
      <w:r>
        <w:rPr>
          <w:rFonts w:hint="eastAsia" w:ascii="宋体" w:hAnsi="宋体" w:eastAsia="宋体" w:cs="Times New Roman"/>
          <w:b/>
          <w:bCs/>
          <w:color w:val="auto"/>
          <w:szCs w:val="21"/>
        </w:rPr>
        <w:t>目标</w:t>
      </w:r>
      <w:r>
        <w:rPr>
          <w:rFonts w:ascii="宋体" w:hAnsi="宋体" w:eastAsia="宋体" w:cs="Times New Roman"/>
          <w:b/>
          <w:bCs/>
          <w:color w:val="auto"/>
          <w:szCs w:val="21"/>
        </w:rPr>
        <w:t>5.</w:t>
      </w:r>
      <w:r>
        <w:rPr>
          <w:rFonts w:hint="eastAsia" w:ascii="宋体" w:hAnsi="宋体" w:eastAsia="宋体" w:cs="Times New Roman"/>
          <w:color w:val="auto"/>
          <w:sz w:val="24"/>
        </w:rPr>
        <w:t>理解社会良性运行规律的反向研究教育社会学问题，掌握使用教育社会学方法分析和思考社会问题、社会控制等教育现象的能力。</w:t>
      </w:r>
    </w:p>
    <w:p w14:paraId="4DBC7D5F">
      <w:pPr>
        <w:spacing w:line="360" w:lineRule="auto"/>
        <w:ind w:firstLine="422" w:firstLineChars="200"/>
        <w:rPr>
          <w:rFonts w:hint="eastAsia" w:ascii="宋体" w:hAnsi="宋体" w:eastAsia="宋体" w:cs="Times New Roman"/>
          <w:color w:val="auto"/>
          <w:sz w:val="24"/>
        </w:rPr>
      </w:pPr>
      <w:r>
        <w:rPr>
          <w:rFonts w:hint="eastAsia" w:ascii="宋体" w:hAnsi="宋体" w:eastAsia="宋体" w:cs="Times New Roman"/>
          <w:b/>
          <w:bCs/>
          <w:color w:val="auto"/>
          <w:szCs w:val="21"/>
        </w:rPr>
        <w:t>目标</w:t>
      </w:r>
      <w:r>
        <w:rPr>
          <w:rFonts w:ascii="宋体" w:hAnsi="宋体" w:eastAsia="宋体" w:cs="Times New Roman"/>
          <w:b/>
          <w:bCs/>
          <w:color w:val="auto"/>
          <w:szCs w:val="21"/>
        </w:rPr>
        <w:t>6.</w:t>
      </w:r>
      <w:r>
        <w:rPr>
          <w:rFonts w:hint="eastAsia" w:ascii="宋体" w:hAnsi="宋体" w:eastAsia="宋体" w:cs="Times New Roman"/>
          <w:color w:val="auto"/>
          <w:sz w:val="24"/>
        </w:rPr>
        <w:t>了解研究社会运行的常用手段，掌握教育社会学调查和社会问题研究的方法。</w:t>
      </w:r>
    </w:p>
    <w:p w14:paraId="53227B27">
      <w:pPr>
        <w:numPr>
          <w:ilvl w:val="0"/>
          <w:numId w:val="0"/>
        </w:numPr>
        <w:spacing w:line="360" w:lineRule="auto"/>
        <w:ind w:leftChars="0" w:firstLine="422" w:firstLineChars="200"/>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lang w:eastAsia="zh-CN"/>
        </w:rPr>
        <w:t>（</w:t>
      </w:r>
      <w:r>
        <w:rPr>
          <w:rFonts w:hint="eastAsia" w:ascii="Times New Roman" w:hAnsi="Times New Roman" w:eastAsia="宋体" w:cs="Times New Roman"/>
          <w:b/>
          <w:bCs/>
          <w:color w:val="auto"/>
          <w:szCs w:val="21"/>
          <w:lang w:val="en-US" w:eastAsia="zh-CN"/>
        </w:rPr>
        <w:t>二</w:t>
      </w:r>
      <w:r>
        <w:rPr>
          <w:rFonts w:hint="eastAsia" w:ascii="Times New Roman" w:hAnsi="Times New Roman" w:eastAsia="宋体" w:cs="Times New Roman"/>
          <w:b/>
          <w:bCs/>
          <w:color w:val="auto"/>
          <w:szCs w:val="21"/>
          <w:lang w:eastAsia="zh-CN"/>
        </w:rPr>
        <w:t>）</w:t>
      </w:r>
      <w:r>
        <w:rPr>
          <w:rFonts w:hint="eastAsia" w:ascii="Times New Roman" w:hAnsi="Times New Roman" w:eastAsia="宋体" w:cs="Times New Roman"/>
          <w:b/>
          <w:bCs/>
          <w:color w:val="auto"/>
          <w:szCs w:val="21"/>
        </w:rPr>
        <w:t>课程目标及其对毕业要求指标点的支撑</w:t>
      </w:r>
    </w:p>
    <w:p w14:paraId="04D39F29">
      <w:pPr>
        <w:numPr>
          <w:ilvl w:val="0"/>
          <w:numId w:val="0"/>
        </w:numPr>
        <w:spacing w:line="360" w:lineRule="auto"/>
        <w:ind w:leftChars="0"/>
        <w:rPr>
          <w:rFonts w:hint="eastAsia" w:ascii="Times New Roman" w:hAnsi="Times New Roman" w:eastAsia="宋体" w:cs="Times New Roman"/>
          <w:b/>
          <w:bCs/>
          <w:color w:val="auto"/>
          <w:szCs w:val="21"/>
        </w:rPr>
      </w:pPr>
    </w:p>
    <w:tbl>
      <w:tblPr>
        <w:tblStyle w:val="16"/>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6406"/>
        <w:gridCol w:w="1281"/>
      </w:tblGrid>
      <w:tr w14:paraId="75CF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vAlign w:val="center"/>
          </w:tcPr>
          <w:p w14:paraId="6CDB789B">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406" w:type="dxa"/>
            <w:vAlign w:val="center"/>
          </w:tcPr>
          <w:p w14:paraId="3AAED2A9">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281" w:type="dxa"/>
            <w:vAlign w:val="center"/>
          </w:tcPr>
          <w:p w14:paraId="5FD47D14">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6E3E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vAlign w:val="center"/>
          </w:tcPr>
          <w:p w14:paraId="24C19489">
            <w:pPr>
              <w:spacing w:line="276" w:lineRule="auto"/>
              <w:jc w:val="center"/>
              <w:rPr>
                <w:rFonts w:hint="eastAsia" w:ascii="Times New Roman" w:hAnsi="Times New Roman" w:eastAsia="宋体" w:cs="Times New Roman"/>
                <w:b/>
                <w:bCs/>
                <w:color w:val="auto"/>
                <w:szCs w:val="21"/>
                <w:lang w:eastAsia="zh"/>
              </w:rPr>
            </w:pPr>
            <w:r>
              <w:rPr>
                <w:rFonts w:hint="eastAsia" w:ascii="Times New Roman" w:hAnsi="Times New Roman" w:eastAsia="宋体" w:cs="Times New Roman"/>
                <w:b/>
                <w:bCs/>
                <w:color w:val="auto"/>
                <w:szCs w:val="21"/>
              </w:rPr>
              <w:t>毕业要求4</w:t>
            </w:r>
            <w:r>
              <w:rPr>
                <w:rFonts w:hint="eastAsia" w:ascii="Times New Roman" w:hAnsi="Times New Roman" w:eastAsia="宋体" w:cs="Times New Roman"/>
                <w:b/>
                <w:bCs/>
                <w:color w:val="auto"/>
                <w:szCs w:val="21"/>
                <w:lang w:eastAsia="zh"/>
              </w:rPr>
              <w:t>.</w:t>
            </w:r>
          </w:p>
          <w:p w14:paraId="4A2EDFAA">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教学能力</w:t>
            </w:r>
          </w:p>
        </w:tc>
        <w:tc>
          <w:tcPr>
            <w:tcW w:w="6406" w:type="dxa"/>
            <w:vAlign w:val="center"/>
          </w:tcPr>
          <w:p w14:paraId="03474957">
            <w:pPr>
              <w:spacing w:line="276" w:lineRule="auto"/>
              <w:jc w:val="left"/>
              <w:rPr>
                <w:rFonts w:hint="eastAsia" w:ascii="宋体" w:hAnsi="宋体" w:eastAsia="宋体" w:cs="Times New Roman"/>
                <w:b w:val="0"/>
                <w:bCs w:val="0"/>
                <w:color w:val="auto"/>
                <w:spacing w:val="2"/>
                <w:kern w:val="0"/>
                <w:szCs w:val="21"/>
              </w:rPr>
            </w:pPr>
            <w:r>
              <w:rPr>
                <w:rFonts w:hint="eastAsia" w:ascii="宋体" w:hAnsi="宋体" w:eastAsia="宋体" w:cs="Times New Roman"/>
                <w:b w:val="0"/>
                <w:bCs w:val="0"/>
                <w:color w:val="auto"/>
                <w:spacing w:val="2"/>
                <w:kern w:val="0"/>
                <w:szCs w:val="21"/>
              </w:rPr>
              <w:t>指</w:t>
            </w:r>
            <w:r>
              <w:rPr>
                <w:rFonts w:ascii="宋体" w:hAnsi="宋体" w:eastAsia="宋体" w:cs="Times New Roman"/>
                <w:b w:val="0"/>
                <w:bCs w:val="0"/>
                <w:color w:val="auto"/>
                <w:spacing w:val="2"/>
                <w:kern w:val="0"/>
                <w:szCs w:val="21"/>
              </w:rPr>
              <w:t>标点</w:t>
            </w:r>
            <w:r>
              <w:rPr>
                <w:rFonts w:hint="eastAsia" w:ascii="宋体" w:hAnsi="宋体" w:eastAsia="宋体" w:cs="Times New Roman"/>
                <w:b w:val="0"/>
                <w:bCs w:val="0"/>
                <w:color w:val="auto"/>
                <w:spacing w:val="2"/>
                <w:kern w:val="0"/>
                <w:szCs w:val="21"/>
                <w:lang w:eastAsia="zh"/>
              </w:rPr>
              <w:t>4-1:【教育教学知识牢固】掌握教育教学基本理论知识，熟悉所教学科课程标准和教材、教学内容。掌握教师教有知识、学科教学知识和现代信息技术，具有主动适应信息化、人工智能等新技术变革积极有效开展教育教学的意识。</w:t>
            </w:r>
          </w:p>
        </w:tc>
        <w:tc>
          <w:tcPr>
            <w:tcW w:w="1281" w:type="dxa"/>
            <w:vAlign w:val="center"/>
          </w:tcPr>
          <w:p w14:paraId="488BC2D8">
            <w:pPr>
              <w:spacing w:line="276"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p>
          <w:p w14:paraId="60D53425">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
              </w:rPr>
              <w:t>1</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2、3</w:t>
            </w:r>
          </w:p>
        </w:tc>
      </w:tr>
      <w:tr w14:paraId="03A7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vAlign w:val="center"/>
          </w:tcPr>
          <w:p w14:paraId="2F8F76B1">
            <w:pPr>
              <w:adjustRightInd w:val="0"/>
              <w:snapToGrid w:val="0"/>
              <w:spacing w:line="276" w:lineRule="auto"/>
              <w:jc w:val="center"/>
              <w:rPr>
                <w:rFonts w:ascii="宋体" w:hAnsi="Calibri" w:eastAsia="宋体" w:cs="Times New Roman"/>
                <w:b/>
                <w:bCs/>
                <w:color w:val="auto"/>
                <w:kern w:val="0"/>
                <w:szCs w:val="21"/>
              </w:rPr>
            </w:pPr>
            <w:r>
              <w:rPr>
                <w:rFonts w:hint="eastAsia" w:ascii="宋体" w:hAnsi="宋体" w:eastAsia="宋体" w:cs="Times New Roman"/>
                <w:b/>
                <w:bCs/>
                <w:color w:val="auto"/>
                <w:kern w:val="0"/>
                <w:szCs w:val="21"/>
              </w:rPr>
              <w:t>毕业要求</w:t>
            </w:r>
            <w:r>
              <w:rPr>
                <w:rFonts w:ascii="宋体" w:hAnsi="宋体" w:eastAsia="宋体" w:cs="Times New Roman"/>
                <w:b/>
                <w:bCs/>
                <w:color w:val="auto"/>
                <w:kern w:val="0"/>
                <w:szCs w:val="21"/>
              </w:rPr>
              <w:t>7</w:t>
            </w:r>
            <w:r>
              <w:rPr>
                <w:rFonts w:ascii="宋体" w:hAnsi="Calibri" w:eastAsia="宋体" w:cs="Times New Roman"/>
                <w:b/>
                <w:bCs/>
                <w:color w:val="auto"/>
                <w:kern w:val="0"/>
                <w:szCs w:val="21"/>
              </w:rPr>
              <w:t>.</w:t>
            </w:r>
          </w:p>
          <w:p w14:paraId="669117B3">
            <w:pPr>
              <w:adjustRightInd w:val="0"/>
              <w:snapToGrid w:val="0"/>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学会反思</w:t>
            </w:r>
          </w:p>
        </w:tc>
        <w:tc>
          <w:tcPr>
            <w:tcW w:w="6406" w:type="dxa"/>
            <w:vAlign w:val="center"/>
          </w:tcPr>
          <w:p w14:paraId="674720BE">
            <w:pPr>
              <w:spacing w:line="276" w:lineRule="auto"/>
              <w:jc w:val="left"/>
              <w:rPr>
                <w:rFonts w:hint="eastAsia" w:ascii="宋体" w:hAnsi="宋体" w:eastAsia="宋体" w:cs="Times New Roman"/>
                <w:b w:val="0"/>
                <w:bCs w:val="0"/>
                <w:color w:val="auto"/>
                <w:szCs w:val="21"/>
                <w:lang w:eastAsia="zh-CN"/>
              </w:rPr>
            </w:pPr>
            <w:r>
              <w:rPr>
                <w:rFonts w:hint="eastAsia" w:ascii="宋体" w:hAnsi="宋体" w:eastAsia="宋体" w:cs="Times New Roman"/>
                <w:b w:val="0"/>
                <w:bCs w:val="0"/>
                <w:color w:val="auto"/>
                <w:kern w:val="0"/>
                <w:sz w:val="20"/>
                <w:szCs w:val="21"/>
                <w:lang w:eastAsia="zh-CN"/>
              </w:rPr>
              <w:t>指标点7-1：【教育视野开阔】积极关注基础教育领域的国内外交流进展，了解国内外基础教育改革发展的动态，具有宽广的教育视野，能够主动适应新时代和教育发展需求。</w:t>
            </w:r>
          </w:p>
          <w:p w14:paraId="2EBFF663">
            <w:pPr>
              <w:shd w:val="clear" w:color="auto" w:fill="FFFFFF"/>
              <w:adjustRightInd w:val="0"/>
              <w:snapToGrid w:val="0"/>
              <w:spacing w:line="276" w:lineRule="auto"/>
              <w:jc w:val="left"/>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指标点</w:t>
            </w:r>
            <w:r>
              <w:rPr>
                <w:rFonts w:ascii="宋体" w:hAnsi="宋体" w:eastAsia="宋体" w:cs="Times New Roman"/>
                <w:b w:val="0"/>
                <w:bCs w:val="0"/>
                <w:color w:val="auto"/>
                <w:szCs w:val="21"/>
              </w:rPr>
              <w:t>7</w:t>
            </w:r>
            <w:r>
              <w:rPr>
                <w:rFonts w:ascii="宋体" w:hAnsi="Calibri" w:eastAsia="宋体" w:cs="Times New Roman"/>
                <w:b w:val="0"/>
                <w:bCs w:val="0"/>
                <w:color w:val="auto"/>
                <w:szCs w:val="21"/>
              </w:rPr>
              <w:t>-</w:t>
            </w:r>
            <w:r>
              <w:rPr>
                <w:rFonts w:ascii="宋体" w:hAnsi="宋体" w:eastAsia="宋体" w:cs="Times New Roman"/>
                <w:b w:val="0"/>
                <w:bCs w:val="0"/>
                <w:color w:val="auto"/>
                <w:szCs w:val="21"/>
              </w:rPr>
              <w:t>3</w:t>
            </w:r>
            <w:r>
              <w:rPr>
                <w:rFonts w:hint="eastAsia" w:ascii="宋体" w:hAnsi="宋体" w:eastAsia="宋体" w:cs="Times New Roman"/>
                <w:b w:val="0"/>
                <w:bCs w:val="0"/>
                <w:color w:val="auto"/>
                <w:szCs w:val="21"/>
              </w:rPr>
              <w:t>：初步掌握反思方法和技能，具有一定创新意识，运用批判性思维方法，学会发现、分析和解决小学教育实践中的问题。</w:t>
            </w:r>
          </w:p>
        </w:tc>
        <w:tc>
          <w:tcPr>
            <w:tcW w:w="1281" w:type="dxa"/>
            <w:vAlign w:val="center"/>
          </w:tcPr>
          <w:p w14:paraId="35A03B3A">
            <w:pPr>
              <w:adjustRightInd w:val="0"/>
              <w:snapToGrid w:val="0"/>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课程目标</w:t>
            </w:r>
          </w:p>
          <w:p w14:paraId="155BF3E2">
            <w:pPr>
              <w:numPr>
                <w:ilvl w:val="0"/>
                <w:numId w:val="0"/>
              </w:numPr>
              <w:adjustRightInd w:val="0"/>
              <w:snapToGrid w:val="0"/>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4、5、6</w:t>
            </w:r>
          </w:p>
        </w:tc>
      </w:tr>
    </w:tbl>
    <w:p w14:paraId="58D35B72">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35353ACB">
      <w:pPr>
        <w:spacing w:line="360" w:lineRule="auto"/>
        <w:ind w:firstLine="420" w:firstLineChars="200"/>
        <w:jc w:val="left"/>
        <w:rPr>
          <w:rFonts w:hint="eastAsia" w:ascii="宋体" w:hAnsi="宋体" w:eastAsia="宋体" w:cs="Times New Roman"/>
          <w:color w:val="auto"/>
          <w:szCs w:val="21"/>
        </w:rPr>
      </w:pPr>
      <w:r>
        <w:rPr>
          <w:rFonts w:hint="eastAsia" w:ascii="宋体" w:hAnsi="宋体" w:eastAsia="宋体" w:cs="Times New Roman"/>
          <w:color w:val="auto"/>
          <w:szCs w:val="21"/>
        </w:rPr>
        <w:t>在系统了解教育社会学的学科知识基础上，学习掌握对现实教育问题的社会学观察视角和思想理念，深入了解教育对个人成长的重要意义，理解教育公平与社会正义的重要性；增进自身专业使命感与社会责任感，关注并参与解决现实社会中存在的各种教育不平等问题；弘扬社会主义核心价值观，通过教育促进社会和谐与进步；培养国际视野，理解全球化背景下的教育交流与合作，增进中华民族文化自信。</w:t>
      </w:r>
    </w:p>
    <w:p w14:paraId="15666035">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732"/>
        <w:gridCol w:w="1133"/>
        <w:gridCol w:w="2684"/>
        <w:gridCol w:w="1106"/>
        <w:gridCol w:w="438"/>
      </w:tblGrid>
      <w:tr w14:paraId="7E8F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385971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w:t>
            </w:r>
          </w:p>
          <w:p w14:paraId="07020BE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单元</w:t>
            </w:r>
          </w:p>
        </w:tc>
        <w:tc>
          <w:tcPr>
            <w:tcW w:w="2732" w:type="dxa"/>
            <w:vAlign w:val="center"/>
          </w:tcPr>
          <w:p w14:paraId="749029E8">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知识点</w:t>
            </w:r>
          </w:p>
        </w:tc>
        <w:tc>
          <w:tcPr>
            <w:tcW w:w="1133" w:type="dxa"/>
            <w:vAlign w:val="center"/>
          </w:tcPr>
          <w:p w14:paraId="59A4ACEE">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对应</w:t>
            </w:r>
          </w:p>
          <w:p w14:paraId="1D8B05D9">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课程目标</w:t>
            </w:r>
          </w:p>
        </w:tc>
        <w:tc>
          <w:tcPr>
            <w:tcW w:w="2684" w:type="dxa"/>
            <w:vAlign w:val="center"/>
          </w:tcPr>
          <w:p w14:paraId="796C1212">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预期学习成效</w:t>
            </w:r>
          </w:p>
        </w:tc>
        <w:tc>
          <w:tcPr>
            <w:tcW w:w="1106" w:type="dxa"/>
            <w:vAlign w:val="center"/>
          </w:tcPr>
          <w:p w14:paraId="41FE3E3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实现环节</w:t>
            </w:r>
          </w:p>
        </w:tc>
        <w:tc>
          <w:tcPr>
            <w:tcW w:w="438" w:type="dxa"/>
            <w:vAlign w:val="center"/>
          </w:tcPr>
          <w:p w14:paraId="51A6942F">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学时</w:t>
            </w:r>
          </w:p>
        </w:tc>
      </w:tr>
      <w:tr w14:paraId="4D0F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86F894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第一章</w:t>
            </w:r>
          </w:p>
          <w:p w14:paraId="19F17B7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宋体"/>
                <w:color w:val="auto"/>
                <w:kern w:val="0"/>
                <w:sz w:val="21"/>
                <w:szCs w:val="21"/>
              </w:rPr>
              <w:t>教育社会学概论</w:t>
            </w:r>
          </w:p>
        </w:tc>
        <w:tc>
          <w:tcPr>
            <w:tcW w:w="2732" w:type="dxa"/>
            <w:vAlign w:val="center"/>
          </w:tcPr>
          <w:p w14:paraId="601AAA4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1.教育社会学的学科性质、研究对象、学科功能和学科边界；</w:t>
            </w:r>
          </w:p>
          <w:p w14:paraId="7A0306AF">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2.教育社会学的概念、教育社会学研究的方法论；</w:t>
            </w:r>
          </w:p>
          <w:p w14:paraId="61245DCF">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宋体"/>
                <w:color w:val="auto"/>
                <w:kern w:val="0"/>
                <w:sz w:val="21"/>
                <w:szCs w:val="21"/>
              </w:rPr>
              <w:t>3.教育社会学的研究视角和学科意识。</w:t>
            </w:r>
          </w:p>
        </w:tc>
        <w:tc>
          <w:tcPr>
            <w:tcW w:w="1133" w:type="dxa"/>
            <w:vAlign w:val="center"/>
          </w:tcPr>
          <w:p w14:paraId="4B2FC05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w:t>
            </w:r>
          </w:p>
        </w:tc>
        <w:tc>
          <w:tcPr>
            <w:tcW w:w="2684" w:type="dxa"/>
            <w:vAlign w:val="center"/>
          </w:tcPr>
          <w:p w14:paraId="01F1AF68">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1.了解教育社会学的学科性质、研究对象、学科功能和学科边界；</w:t>
            </w:r>
          </w:p>
          <w:p w14:paraId="2FE2E34D">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2.理解教育社会学的概念、教育社会学研究的方法论；</w:t>
            </w:r>
          </w:p>
          <w:p w14:paraId="2E36D57F">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宋体"/>
                <w:color w:val="auto"/>
                <w:kern w:val="0"/>
                <w:sz w:val="21"/>
                <w:szCs w:val="21"/>
              </w:rPr>
              <w:t>3.掌握教育社会学的研究视角和学科意识。</w:t>
            </w:r>
          </w:p>
        </w:tc>
        <w:tc>
          <w:tcPr>
            <w:tcW w:w="1106" w:type="dxa"/>
            <w:vAlign w:val="center"/>
          </w:tcPr>
          <w:p w14:paraId="08A92F6C">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教师讲授</w:t>
            </w:r>
          </w:p>
          <w:p w14:paraId="5D8D043F">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课堂讨论</w:t>
            </w:r>
          </w:p>
        </w:tc>
        <w:tc>
          <w:tcPr>
            <w:tcW w:w="438" w:type="dxa"/>
            <w:vAlign w:val="center"/>
          </w:tcPr>
          <w:p w14:paraId="05E8BFB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p>
        </w:tc>
      </w:tr>
      <w:tr w14:paraId="4B82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6BAFF7E">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5EE857DE">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 xml:space="preserve"> </w:t>
            </w:r>
          </w:p>
          <w:p w14:paraId="127FCA59">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增进自身专业使命感与社会责任感，运用社会学视角审视教育问题，关注并乐于参与解决现实社会中存在的各种教育不平等问题。</w:t>
            </w:r>
          </w:p>
        </w:tc>
      </w:tr>
      <w:tr w14:paraId="3F5D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9348A6A">
            <w:pPr>
              <w:keepNext w:val="0"/>
              <w:keepLines w:val="0"/>
              <w:pageBreakBefore w:val="0"/>
              <w:widowControl/>
              <w:kinsoku/>
              <w:wordWrap/>
              <w:overflowPunct/>
              <w:topLinePunct w:val="0"/>
              <w:autoSpaceDE/>
              <w:autoSpaceDN/>
              <w:bidi w:val="0"/>
              <w:snapToGrid w:val="0"/>
              <w:spacing w:line="24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第二章</w:t>
            </w:r>
          </w:p>
          <w:p w14:paraId="1FAF00AB">
            <w:pPr>
              <w:keepNext w:val="0"/>
              <w:keepLines w:val="0"/>
              <w:pageBreakBefore w:val="0"/>
              <w:widowControl/>
              <w:kinsoku/>
              <w:wordWrap/>
              <w:overflowPunct/>
              <w:topLinePunct w:val="0"/>
              <w:autoSpaceDE/>
              <w:autoSpaceDN/>
              <w:bidi w:val="0"/>
              <w:snapToGrid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宋体"/>
                <w:color w:val="auto"/>
                <w:kern w:val="0"/>
                <w:sz w:val="21"/>
                <w:szCs w:val="21"/>
              </w:rPr>
              <w:t>教育社会学的历史与发展</w:t>
            </w:r>
          </w:p>
        </w:tc>
        <w:tc>
          <w:tcPr>
            <w:tcW w:w="2732" w:type="dxa"/>
            <w:vAlign w:val="center"/>
          </w:tcPr>
          <w:p w14:paraId="17B952C7">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1.中外教育社会学的产生和发展历程；</w:t>
            </w:r>
          </w:p>
          <w:p w14:paraId="3BA947AD">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2.我国教育社会学所面临的理论创新困境与突破路径；</w:t>
            </w:r>
          </w:p>
          <w:p w14:paraId="682F9834">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3.迪尔凯姆与教育社会学创建的相关内容。</w:t>
            </w:r>
          </w:p>
        </w:tc>
        <w:tc>
          <w:tcPr>
            <w:tcW w:w="1133" w:type="dxa"/>
            <w:vAlign w:val="center"/>
          </w:tcPr>
          <w:p w14:paraId="04EEF35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课程目标2</w:t>
            </w:r>
          </w:p>
        </w:tc>
        <w:tc>
          <w:tcPr>
            <w:tcW w:w="2684" w:type="dxa"/>
            <w:vAlign w:val="center"/>
          </w:tcPr>
          <w:p w14:paraId="5DFADC8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1.了解中外教育社会学的产生和发展历程；</w:t>
            </w:r>
          </w:p>
          <w:p w14:paraId="7BEBD5AD">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2.理解我国教育社会学所面临的理论创新困境与突破路径；</w:t>
            </w:r>
          </w:p>
          <w:p w14:paraId="10C3D1F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宋体"/>
                <w:color w:val="auto"/>
                <w:kern w:val="0"/>
                <w:sz w:val="21"/>
                <w:szCs w:val="21"/>
              </w:rPr>
              <w:t>3.掌握迪尔凯姆与教育社会学创建的相关内容。</w:t>
            </w:r>
          </w:p>
        </w:tc>
        <w:tc>
          <w:tcPr>
            <w:tcW w:w="1106" w:type="dxa"/>
            <w:vAlign w:val="center"/>
          </w:tcPr>
          <w:p w14:paraId="435A4F9D">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教师讲授</w:t>
            </w:r>
          </w:p>
          <w:p w14:paraId="7AAD08EE">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小组分享</w:t>
            </w:r>
          </w:p>
        </w:tc>
        <w:tc>
          <w:tcPr>
            <w:tcW w:w="438" w:type="dxa"/>
            <w:vAlign w:val="center"/>
          </w:tcPr>
          <w:p w14:paraId="5B3C9CE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p>
        </w:tc>
      </w:tr>
      <w:tr w14:paraId="686D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32FE15E">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0EE5D4B4">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 xml:space="preserve"> </w:t>
            </w:r>
          </w:p>
          <w:p w14:paraId="221DB31E">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拥有国际视野，关注中国教育现实，树立中华文化自信。</w:t>
            </w:r>
          </w:p>
        </w:tc>
      </w:tr>
      <w:tr w14:paraId="6289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00D920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第三章</w:t>
            </w:r>
          </w:p>
          <w:p w14:paraId="429AB9E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教育社会学的理论流派</w:t>
            </w:r>
          </w:p>
        </w:tc>
        <w:tc>
          <w:tcPr>
            <w:tcW w:w="2732" w:type="dxa"/>
            <w:vAlign w:val="center"/>
          </w:tcPr>
          <w:p w14:paraId="44DA860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1.互动论教育社会学理论的基本主张、代表人物及经典研究；</w:t>
            </w:r>
          </w:p>
          <w:p w14:paraId="0E544303">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2.功能论教育社会学理论的基本主张、代表人物及经典研究；</w:t>
            </w:r>
          </w:p>
          <w:p w14:paraId="519B91B8">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3.冲突论教育社会学理论的基本主张、代表人物及经典研究。</w:t>
            </w:r>
          </w:p>
        </w:tc>
        <w:tc>
          <w:tcPr>
            <w:tcW w:w="1133" w:type="dxa"/>
            <w:vAlign w:val="center"/>
          </w:tcPr>
          <w:p w14:paraId="5832328F">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课程目标3</w:t>
            </w:r>
          </w:p>
        </w:tc>
        <w:tc>
          <w:tcPr>
            <w:tcW w:w="2684" w:type="dxa"/>
            <w:vAlign w:val="center"/>
          </w:tcPr>
          <w:p w14:paraId="18CA755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1.了解互动论教育社会学理论的基本主张、代表人物及经典研究；</w:t>
            </w:r>
          </w:p>
          <w:p w14:paraId="2A033DFA">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2.理解功能论教育社会学理论的基本主张、代表人物及经典研究；</w:t>
            </w:r>
          </w:p>
          <w:p w14:paraId="5787FE13">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宋体"/>
                <w:color w:val="auto"/>
                <w:kern w:val="0"/>
                <w:sz w:val="21"/>
                <w:szCs w:val="21"/>
              </w:rPr>
              <w:t>3.掌握冲突论教育社会学理论的基本主张、代表人物及经典研究。</w:t>
            </w:r>
          </w:p>
        </w:tc>
        <w:tc>
          <w:tcPr>
            <w:tcW w:w="1106" w:type="dxa"/>
            <w:vAlign w:val="center"/>
          </w:tcPr>
          <w:p w14:paraId="172B04F5">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教师讲授</w:t>
            </w:r>
          </w:p>
          <w:p w14:paraId="6869ED9D">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小组分享</w:t>
            </w:r>
          </w:p>
        </w:tc>
        <w:tc>
          <w:tcPr>
            <w:tcW w:w="438" w:type="dxa"/>
            <w:vAlign w:val="center"/>
          </w:tcPr>
          <w:p w14:paraId="42CD8C3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p>
        </w:tc>
      </w:tr>
      <w:tr w14:paraId="1B34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3A6F4F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47105EA7">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 xml:space="preserve"> </w:t>
            </w:r>
          </w:p>
          <w:p w14:paraId="5A0C0BFA">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放眼世界，拓展国际视野，关注人类共同体所共同关注的教育公平；形成理性分析的社会学思维。</w:t>
            </w:r>
          </w:p>
        </w:tc>
      </w:tr>
      <w:tr w14:paraId="4B796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F365A7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第四章</w:t>
            </w:r>
          </w:p>
          <w:p w14:paraId="4125D4F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教育与个体社会化</w:t>
            </w:r>
          </w:p>
        </w:tc>
        <w:tc>
          <w:tcPr>
            <w:tcW w:w="2732" w:type="dxa"/>
            <w:vAlign w:val="center"/>
          </w:tcPr>
          <w:p w14:paraId="6367CAF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1.个体社会学的基本类型与主要理论；</w:t>
            </w:r>
          </w:p>
          <w:p w14:paraId="1FE156C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2.个体社会化的主要内容；</w:t>
            </w:r>
          </w:p>
          <w:p w14:paraId="22CA8787">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3.教育在个体社会化中的作用。</w:t>
            </w:r>
          </w:p>
        </w:tc>
        <w:tc>
          <w:tcPr>
            <w:tcW w:w="1133" w:type="dxa"/>
            <w:vAlign w:val="center"/>
          </w:tcPr>
          <w:p w14:paraId="4EBE163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课程目标3</w:t>
            </w:r>
          </w:p>
        </w:tc>
        <w:tc>
          <w:tcPr>
            <w:tcW w:w="2684" w:type="dxa"/>
            <w:vAlign w:val="center"/>
          </w:tcPr>
          <w:p w14:paraId="6D672374">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1.了解个体社会学的基本类型与主要理论；</w:t>
            </w:r>
          </w:p>
          <w:p w14:paraId="28C8136D">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2.理解个体社会化的主要内容；</w:t>
            </w:r>
          </w:p>
          <w:p w14:paraId="1E9E00D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3.掌握教育在个体社会化中的作用。</w:t>
            </w:r>
          </w:p>
        </w:tc>
        <w:tc>
          <w:tcPr>
            <w:tcW w:w="1106" w:type="dxa"/>
            <w:vAlign w:val="center"/>
          </w:tcPr>
          <w:p w14:paraId="2E93BD9B">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教师讲授</w:t>
            </w:r>
          </w:p>
          <w:p w14:paraId="74DDBA4C">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小组分享</w:t>
            </w:r>
          </w:p>
        </w:tc>
        <w:tc>
          <w:tcPr>
            <w:tcW w:w="438" w:type="dxa"/>
            <w:vAlign w:val="center"/>
          </w:tcPr>
          <w:p w14:paraId="7940F163">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p>
        </w:tc>
      </w:tr>
      <w:tr w14:paraId="0A1F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B45B5B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0C58EC93">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 xml:space="preserve"> </w:t>
            </w:r>
          </w:p>
          <w:p w14:paraId="4A7874A1">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以社会主义核心价值观中的</w:t>
            </w:r>
            <w:r>
              <w:rPr>
                <w:rFonts w:ascii="宋体" w:hAnsi="宋体" w:eastAsia="宋体" w:cs="Times New Roman"/>
                <w:color w:val="auto"/>
                <w:sz w:val="21"/>
                <w:szCs w:val="21"/>
              </w:rPr>
              <w:t>爱国、敬业、诚信、友善</w:t>
            </w:r>
            <w:r>
              <w:rPr>
                <w:rFonts w:hint="eastAsia" w:ascii="宋体" w:hAnsi="宋体" w:eastAsia="宋体" w:cs="Times New Roman"/>
                <w:color w:val="auto"/>
                <w:sz w:val="21"/>
                <w:szCs w:val="21"/>
              </w:rPr>
              <w:t>来作为</w:t>
            </w:r>
            <w:r>
              <w:rPr>
                <w:rFonts w:ascii="宋体" w:hAnsi="宋体" w:eastAsia="宋体" w:cs="Times New Roman"/>
                <w:color w:val="auto"/>
                <w:sz w:val="21"/>
                <w:szCs w:val="21"/>
              </w:rPr>
              <w:t>公民个人层面的价值准则</w:t>
            </w:r>
            <w:r>
              <w:rPr>
                <w:rFonts w:hint="eastAsia" w:ascii="宋体" w:hAnsi="宋体" w:eastAsia="宋体" w:cs="Times New Roman"/>
                <w:color w:val="auto"/>
                <w:sz w:val="21"/>
                <w:szCs w:val="21"/>
              </w:rPr>
              <w:t>，提升公民素养，为国育才，为党育人。</w:t>
            </w:r>
          </w:p>
        </w:tc>
      </w:tr>
      <w:tr w14:paraId="5B33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85AD429">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第五章</w:t>
            </w:r>
          </w:p>
          <w:p w14:paraId="68CC97D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教育与社会民主</w:t>
            </w:r>
          </w:p>
        </w:tc>
        <w:tc>
          <w:tcPr>
            <w:tcW w:w="2732" w:type="dxa"/>
            <w:vAlign w:val="center"/>
          </w:tcPr>
          <w:p w14:paraId="0BE8EFEA">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1.民主的概念和历史发展；</w:t>
            </w:r>
          </w:p>
          <w:p w14:paraId="0248A653">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2.民主教育与教育民主；</w:t>
            </w:r>
          </w:p>
          <w:p w14:paraId="3821681D">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3.民主教育与民主素质研究的两种理论视角；</w:t>
            </w:r>
          </w:p>
          <w:p w14:paraId="74A3EF9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4.我国高中生民主素质与学校民主教育的现状。</w:t>
            </w:r>
          </w:p>
        </w:tc>
        <w:tc>
          <w:tcPr>
            <w:tcW w:w="1133" w:type="dxa"/>
            <w:vAlign w:val="center"/>
          </w:tcPr>
          <w:p w14:paraId="502B302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课程目标3</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4</w:t>
            </w:r>
          </w:p>
        </w:tc>
        <w:tc>
          <w:tcPr>
            <w:tcW w:w="2684" w:type="dxa"/>
            <w:vAlign w:val="center"/>
          </w:tcPr>
          <w:p w14:paraId="23E3EA5E">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1.了解民主的概念和历史发展；</w:t>
            </w:r>
          </w:p>
          <w:p w14:paraId="79A2DE94">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2.区分民主教育与教育民主；</w:t>
            </w:r>
          </w:p>
          <w:p w14:paraId="7841CA13">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3.理解民主教育与民主素质研究的两种理论视角；</w:t>
            </w:r>
          </w:p>
          <w:p w14:paraId="7CBE58F8">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4.掌握我国高中生民主素质与学校民主教育的现状。</w:t>
            </w:r>
          </w:p>
        </w:tc>
        <w:tc>
          <w:tcPr>
            <w:tcW w:w="1106" w:type="dxa"/>
            <w:vAlign w:val="center"/>
          </w:tcPr>
          <w:p w14:paraId="2D680E71">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教师讲授</w:t>
            </w:r>
          </w:p>
          <w:p w14:paraId="0BFED1B5">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小组模拟</w:t>
            </w:r>
          </w:p>
        </w:tc>
        <w:tc>
          <w:tcPr>
            <w:tcW w:w="438" w:type="dxa"/>
            <w:vAlign w:val="center"/>
          </w:tcPr>
          <w:p w14:paraId="49BFB943">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p>
        </w:tc>
      </w:tr>
      <w:tr w14:paraId="4AFF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1BE925E">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1701F1E6">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 xml:space="preserve"> </w:t>
            </w:r>
          </w:p>
          <w:p w14:paraId="40A9BE8D">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践行社会主义核心价值观，强化提升公民民主素养的意识,立志发展素质教育。</w:t>
            </w:r>
          </w:p>
        </w:tc>
      </w:tr>
      <w:tr w14:paraId="6511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2C539C8">
            <w:pPr>
              <w:keepNext w:val="0"/>
              <w:keepLines w:val="0"/>
              <w:pageBreakBefore w:val="0"/>
              <w:widowControl/>
              <w:kinsoku/>
              <w:wordWrap/>
              <w:overflowPunct/>
              <w:topLinePunct w:val="0"/>
              <w:autoSpaceDE/>
              <w:autoSpaceDN/>
              <w:bidi w:val="0"/>
              <w:snapToGrid w:val="0"/>
              <w:spacing w:line="24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第六章</w:t>
            </w:r>
          </w:p>
          <w:p w14:paraId="57D9EFA4">
            <w:pPr>
              <w:keepNext w:val="0"/>
              <w:keepLines w:val="0"/>
              <w:pageBreakBefore w:val="0"/>
              <w:widowControl/>
              <w:kinsoku/>
              <w:wordWrap/>
              <w:overflowPunct/>
              <w:topLinePunct w:val="0"/>
              <w:autoSpaceDE/>
              <w:autoSpaceDN/>
              <w:bidi w:val="0"/>
              <w:snapToGrid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宋体"/>
                <w:color w:val="auto"/>
                <w:kern w:val="0"/>
                <w:sz w:val="21"/>
                <w:szCs w:val="21"/>
              </w:rPr>
              <w:t>教育与社会分层、社会流动</w:t>
            </w:r>
          </w:p>
        </w:tc>
        <w:tc>
          <w:tcPr>
            <w:tcW w:w="2732" w:type="dxa"/>
            <w:vAlign w:val="center"/>
          </w:tcPr>
          <w:p w14:paraId="5ECB556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1.社会流动与教育的关系；</w:t>
            </w:r>
          </w:p>
          <w:p w14:paraId="3997F65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2.社会分层理论以及两种类型的教育机会均等概念；</w:t>
            </w:r>
          </w:p>
          <w:p w14:paraId="15D1F146">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3.社会分层与教育机会均等的经典研究。</w:t>
            </w:r>
          </w:p>
        </w:tc>
        <w:tc>
          <w:tcPr>
            <w:tcW w:w="1133" w:type="dxa"/>
            <w:vAlign w:val="center"/>
          </w:tcPr>
          <w:p w14:paraId="3221CE7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课程目标4</w:t>
            </w:r>
          </w:p>
        </w:tc>
        <w:tc>
          <w:tcPr>
            <w:tcW w:w="2684" w:type="dxa"/>
            <w:vAlign w:val="center"/>
          </w:tcPr>
          <w:p w14:paraId="55FA825F">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1.了解社会流动与教育的关系；</w:t>
            </w:r>
          </w:p>
          <w:p w14:paraId="066859DF">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2.理解社会分层理论以及两种类型的教育机会均等概念；</w:t>
            </w:r>
          </w:p>
          <w:p w14:paraId="4B229DA7">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宋体"/>
                <w:color w:val="auto"/>
                <w:kern w:val="0"/>
                <w:sz w:val="21"/>
                <w:szCs w:val="21"/>
              </w:rPr>
              <w:t>3.掌握社会分层与教育机会均等的经典研究。</w:t>
            </w:r>
          </w:p>
        </w:tc>
        <w:tc>
          <w:tcPr>
            <w:tcW w:w="1106" w:type="dxa"/>
            <w:vAlign w:val="center"/>
          </w:tcPr>
          <w:p w14:paraId="0A06E71D">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教师讲授</w:t>
            </w:r>
          </w:p>
          <w:p w14:paraId="45DCF609">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案例分析</w:t>
            </w:r>
          </w:p>
          <w:p w14:paraId="48D7A171">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课堂交流</w:t>
            </w:r>
          </w:p>
        </w:tc>
        <w:tc>
          <w:tcPr>
            <w:tcW w:w="438" w:type="dxa"/>
            <w:vAlign w:val="center"/>
          </w:tcPr>
          <w:p w14:paraId="135954A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p>
        </w:tc>
      </w:tr>
      <w:tr w14:paraId="71FE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4D13D59">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4A2B70FF">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 xml:space="preserve"> </w:t>
            </w:r>
          </w:p>
          <w:p w14:paraId="7F9AD587">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理性看待教育不平等不均衡现象；端正教育观，平等地对待来自不同家庭的每一位学生；关心关注城乡教育差距下的教育不平衡问题；积极帮助弱势群体子女公平普惠地接受教育指导或教育服务。</w:t>
            </w:r>
          </w:p>
        </w:tc>
      </w:tr>
      <w:tr w14:paraId="715F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5B8642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第七章</w:t>
            </w:r>
          </w:p>
          <w:p w14:paraId="4EBFFA03">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学校的社会学分析</w:t>
            </w:r>
          </w:p>
        </w:tc>
        <w:tc>
          <w:tcPr>
            <w:tcW w:w="2732" w:type="dxa"/>
            <w:vAlign w:val="center"/>
          </w:tcPr>
          <w:p w14:paraId="35E736E8">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1.学校是一种制度化的社会组织；</w:t>
            </w:r>
          </w:p>
          <w:p w14:paraId="023238C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2.学校组织文化以及学校组织中的各种亚文化；</w:t>
            </w:r>
          </w:p>
          <w:p w14:paraId="5BB7E8C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3.学生越轨行为的表现、成因与对策。</w:t>
            </w:r>
          </w:p>
        </w:tc>
        <w:tc>
          <w:tcPr>
            <w:tcW w:w="1133" w:type="dxa"/>
            <w:vAlign w:val="center"/>
          </w:tcPr>
          <w:p w14:paraId="39690723">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课程目标4</w:t>
            </w:r>
          </w:p>
        </w:tc>
        <w:tc>
          <w:tcPr>
            <w:tcW w:w="2684" w:type="dxa"/>
            <w:vAlign w:val="center"/>
          </w:tcPr>
          <w:p w14:paraId="0D439E16">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1.了解学校是一种制度化的社会组织；</w:t>
            </w:r>
          </w:p>
          <w:p w14:paraId="761479B2">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2.理解学校组织文化以及学校组织中的各种亚文化；</w:t>
            </w:r>
          </w:p>
          <w:p w14:paraId="0A8D9B5A">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3.掌握学生越轨行为的表现、成因与对策。</w:t>
            </w:r>
          </w:p>
        </w:tc>
        <w:tc>
          <w:tcPr>
            <w:tcW w:w="1106" w:type="dxa"/>
            <w:vAlign w:val="center"/>
          </w:tcPr>
          <w:p w14:paraId="74325593">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教师讲授</w:t>
            </w:r>
          </w:p>
          <w:p w14:paraId="4A09EE73">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案例分析</w:t>
            </w:r>
          </w:p>
          <w:p w14:paraId="7A0D89F7">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小组分享</w:t>
            </w:r>
          </w:p>
        </w:tc>
        <w:tc>
          <w:tcPr>
            <w:tcW w:w="438" w:type="dxa"/>
            <w:vAlign w:val="center"/>
          </w:tcPr>
          <w:p w14:paraId="7472C0E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p>
        </w:tc>
      </w:tr>
      <w:tr w14:paraId="6776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02F814E">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39803A85">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 xml:space="preserve"> </w:t>
            </w:r>
          </w:p>
          <w:p w14:paraId="0751C81A">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理性看待学生行为失范（包括越轨和违法），倡导我国社会中主流价值观，引导学生健康成长，符合我国社会及新时代的期待和要求。</w:t>
            </w:r>
          </w:p>
        </w:tc>
      </w:tr>
      <w:tr w14:paraId="55A7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0DE95C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第八章</w:t>
            </w:r>
          </w:p>
          <w:p w14:paraId="3625A88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班级的社会学分析</w:t>
            </w:r>
          </w:p>
        </w:tc>
        <w:tc>
          <w:tcPr>
            <w:tcW w:w="2732" w:type="dxa"/>
            <w:vAlign w:val="center"/>
          </w:tcPr>
          <w:p w14:paraId="5DBEE85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1.班级的社会属性；</w:t>
            </w:r>
          </w:p>
          <w:p w14:paraId="7FE4D66D">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2.班级群体的定位分析以及对班级进行组织分析的不足；</w:t>
            </w:r>
          </w:p>
          <w:p w14:paraId="09031EF8">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3.班集体组织与建设的相关理论与对策。</w:t>
            </w:r>
          </w:p>
        </w:tc>
        <w:tc>
          <w:tcPr>
            <w:tcW w:w="1133" w:type="dxa"/>
            <w:vAlign w:val="center"/>
          </w:tcPr>
          <w:p w14:paraId="57C7BDE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课程目标5</w:t>
            </w:r>
          </w:p>
        </w:tc>
        <w:tc>
          <w:tcPr>
            <w:tcW w:w="2684" w:type="dxa"/>
            <w:vAlign w:val="center"/>
          </w:tcPr>
          <w:p w14:paraId="24CC138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1.了解班级的社会属性；</w:t>
            </w:r>
          </w:p>
          <w:p w14:paraId="441674D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2.理解班级群体的定位分析以及对班级进行组织分析的不足；</w:t>
            </w:r>
          </w:p>
          <w:p w14:paraId="55CB5E47">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宋体"/>
                <w:color w:val="auto"/>
                <w:kern w:val="0"/>
                <w:sz w:val="21"/>
                <w:szCs w:val="21"/>
              </w:rPr>
              <w:t>3.掌握班集体组织与建设的相关理论与对策。</w:t>
            </w:r>
          </w:p>
        </w:tc>
        <w:tc>
          <w:tcPr>
            <w:tcW w:w="1106" w:type="dxa"/>
            <w:vAlign w:val="center"/>
          </w:tcPr>
          <w:p w14:paraId="75ECB5C3">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教师讲授</w:t>
            </w:r>
          </w:p>
          <w:p w14:paraId="1505F03B">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案例分析</w:t>
            </w:r>
          </w:p>
          <w:p w14:paraId="1FDDBA9D">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课堂交流</w:t>
            </w:r>
          </w:p>
        </w:tc>
        <w:tc>
          <w:tcPr>
            <w:tcW w:w="438" w:type="dxa"/>
            <w:vAlign w:val="center"/>
          </w:tcPr>
          <w:p w14:paraId="184CCED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p>
        </w:tc>
      </w:tr>
      <w:tr w14:paraId="4B11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C61A958">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69AA4871">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课程思政目标：</w:t>
            </w:r>
          </w:p>
          <w:p w14:paraId="44AA0F16">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 xml:space="preserve"> 树立社会学视角审视班级、班级组织与建设；引导学生通过不同职务体验民主管理并建设班集体；强化通过优良班风文化建设引导非正式组织、非正式结构等的健康发展。</w:t>
            </w:r>
          </w:p>
        </w:tc>
      </w:tr>
      <w:tr w14:paraId="12FB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D0FB5D3">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bookmarkStart w:id="328" w:name="_Hlk184664434"/>
            <w:r>
              <w:rPr>
                <w:rFonts w:hint="eastAsia" w:ascii="宋体" w:hAnsi="宋体" w:eastAsia="宋体" w:cs="Times New Roman"/>
                <w:color w:val="auto"/>
                <w:sz w:val="21"/>
                <w:szCs w:val="21"/>
              </w:rPr>
              <w:t>第九章</w:t>
            </w:r>
          </w:p>
          <w:p w14:paraId="5EBF51C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课程的社会学分析</w:t>
            </w:r>
          </w:p>
        </w:tc>
        <w:tc>
          <w:tcPr>
            <w:tcW w:w="2732" w:type="dxa"/>
            <w:vAlign w:val="center"/>
          </w:tcPr>
          <w:p w14:paraId="6CB0BE9E">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1.课程类型与课程社会学的产生与发展历程；</w:t>
            </w:r>
          </w:p>
          <w:p w14:paraId="538D9B4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2.课程研究的社会学范式；</w:t>
            </w:r>
          </w:p>
          <w:p w14:paraId="7A89B6C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3.后现代课程观的特征价值与理论缺陷。</w:t>
            </w:r>
          </w:p>
        </w:tc>
        <w:tc>
          <w:tcPr>
            <w:tcW w:w="1133" w:type="dxa"/>
            <w:vAlign w:val="center"/>
          </w:tcPr>
          <w:p w14:paraId="1036941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课程目标6</w:t>
            </w:r>
          </w:p>
        </w:tc>
        <w:tc>
          <w:tcPr>
            <w:tcW w:w="2684" w:type="dxa"/>
            <w:vAlign w:val="center"/>
          </w:tcPr>
          <w:p w14:paraId="18DB0FA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1.了解课程类型与课程社会学的产生与发展历程；</w:t>
            </w:r>
          </w:p>
          <w:p w14:paraId="26F3DAA6">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2.理解课程研究的社会学范式；</w:t>
            </w:r>
          </w:p>
          <w:p w14:paraId="53A5E64E">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宋体"/>
                <w:color w:val="auto"/>
                <w:kern w:val="0"/>
                <w:sz w:val="21"/>
                <w:szCs w:val="21"/>
              </w:rPr>
              <w:t>3.掌握后现代课程观的特征价值与理论缺陷。</w:t>
            </w:r>
          </w:p>
        </w:tc>
        <w:tc>
          <w:tcPr>
            <w:tcW w:w="1106" w:type="dxa"/>
            <w:vAlign w:val="center"/>
          </w:tcPr>
          <w:p w14:paraId="1E811614">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教师讲授</w:t>
            </w:r>
          </w:p>
          <w:p w14:paraId="5938CBA4">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案例分析</w:t>
            </w:r>
          </w:p>
          <w:p w14:paraId="72E92C44">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课堂交流</w:t>
            </w:r>
          </w:p>
        </w:tc>
        <w:tc>
          <w:tcPr>
            <w:tcW w:w="438" w:type="dxa"/>
            <w:vAlign w:val="center"/>
          </w:tcPr>
          <w:p w14:paraId="765416C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p>
        </w:tc>
      </w:tr>
      <w:tr w14:paraId="3D691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907115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7F31D02F">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 xml:space="preserve"> </w:t>
            </w:r>
          </w:p>
          <w:p w14:paraId="350C8C24">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能够辩证地理解课程的社会本质，理解课程在现代社会的重要价值，增进教师和学生对于课程的适应性，积极迎接新课程。</w:t>
            </w:r>
          </w:p>
        </w:tc>
      </w:tr>
      <w:bookmarkEnd w:id="328"/>
      <w:tr w14:paraId="3BDD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4CA349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第十章</w:t>
            </w:r>
          </w:p>
          <w:p w14:paraId="5C4FDCE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教学的社会学分析</w:t>
            </w:r>
          </w:p>
        </w:tc>
        <w:tc>
          <w:tcPr>
            <w:tcW w:w="2732" w:type="dxa"/>
            <w:vAlign w:val="center"/>
          </w:tcPr>
          <w:p w14:paraId="7EDB0453">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1.教学的职业地位与影响因素；</w:t>
            </w:r>
          </w:p>
          <w:p w14:paraId="3341E60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2.教学中教师角色，包括教师权威和教师专业化、教师压力与职业倦怠等；</w:t>
            </w:r>
          </w:p>
          <w:p w14:paraId="022185F7">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3.教学中的学生角色；</w:t>
            </w:r>
          </w:p>
          <w:p w14:paraId="5B1D00C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4.影响教学效果的社会因素。</w:t>
            </w:r>
          </w:p>
        </w:tc>
        <w:tc>
          <w:tcPr>
            <w:tcW w:w="1133" w:type="dxa"/>
            <w:vAlign w:val="center"/>
          </w:tcPr>
          <w:p w14:paraId="02B417B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课程目标6</w:t>
            </w:r>
          </w:p>
        </w:tc>
        <w:tc>
          <w:tcPr>
            <w:tcW w:w="2684" w:type="dxa"/>
            <w:vAlign w:val="center"/>
          </w:tcPr>
          <w:p w14:paraId="51FF435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1.了解教学的职业地位与影响因素；</w:t>
            </w:r>
          </w:p>
          <w:p w14:paraId="48C640D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2.理解教学中教师角色，包括教师权威和教师专业化、教师压力与职业倦怠等；</w:t>
            </w:r>
          </w:p>
          <w:p w14:paraId="78B31EDF">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3.理解教学中的学生角色；</w:t>
            </w:r>
          </w:p>
          <w:p w14:paraId="4029D8E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宋体"/>
                <w:color w:val="auto"/>
                <w:kern w:val="0"/>
                <w:sz w:val="21"/>
                <w:szCs w:val="21"/>
              </w:rPr>
              <w:t>4.掌握影响教学效果的社会因素。</w:t>
            </w:r>
          </w:p>
        </w:tc>
        <w:tc>
          <w:tcPr>
            <w:tcW w:w="1106" w:type="dxa"/>
            <w:vAlign w:val="center"/>
          </w:tcPr>
          <w:p w14:paraId="20739FC4">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案例分析</w:t>
            </w:r>
          </w:p>
          <w:p w14:paraId="0EC4E75E">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课堂交流</w:t>
            </w:r>
          </w:p>
        </w:tc>
        <w:tc>
          <w:tcPr>
            <w:tcW w:w="438" w:type="dxa"/>
            <w:vAlign w:val="center"/>
          </w:tcPr>
          <w:p w14:paraId="32ECA75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p>
        </w:tc>
      </w:tr>
      <w:tr w14:paraId="2D30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7B947D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5A064ED6">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 xml:space="preserve"> </w:t>
            </w:r>
          </w:p>
          <w:p w14:paraId="3F0B3D03">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努力提升</w:t>
            </w:r>
            <w:r>
              <w:rPr>
                <w:rFonts w:ascii="宋体" w:hAnsi="宋体" w:eastAsia="宋体" w:cs="Times New Roman"/>
                <w:color w:val="auto"/>
                <w:sz w:val="21"/>
                <w:szCs w:val="21"/>
              </w:rPr>
              <w:t>作为学生个体社会化承担者的</w:t>
            </w:r>
            <w:r>
              <w:rPr>
                <w:rFonts w:hint="eastAsia" w:ascii="宋体" w:hAnsi="宋体" w:eastAsia="宋体" w:cs="Times New Roman"/>
                <w:color w:val="auto"/>
                <w:sz w:val="21"/>
                <w:szCs w:val="21"/>
              </w:rPr>
              <w:t>专业</w:t>
            </w:r>
            <w:r>
              <w:rPr>
                <w:rFonts w:ascii="宋体" w:hAnsi="宋体" w:eastAsia="宋体" w:cs="Times New Roman"/>
                <w:color w:val="auto"/>
                <w:sz w:val="21"/>
                <w:szCs w:val="21"/>
              </w:rPr>
              <w:t>素质</w:t>
            </w:r>
            <w:r>
              <w:rPr>
                <w:rFonts w:hint="eastAsia" w:ascii="宋体" w:hAnsi="宋体" w:eastAsia="宋体" w:cs="Times New Roman"/>
                <w:color w:val="auto"/>
                <w:sz w:val="21"/>
                <w:szCs w:val="21"/>
              </w:rPr>
              <w:t>；增强教师的权能、提高待遇和尊重，减轻教师非教学负担，努力形成优秀人才争相从教、教师人人尽展其才、好老师不断涌现的良好局面。</w:t>
            </w:r>
          </w:p>
        </w:tc>
      </w:tr>
    </w:tbl>
    <w:p w14:paraId="1D41CF25">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四、目标评价与成绩评定</w:t>
      </w:r>
    </w:p>
    <w:p w14:paraId="00B47AD6">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（一）课程目标评价方式</w:t>
      </w:r>
    </w:p>
    <w:p w14:paraId="26D926A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根据总体设计，用于评价各课程目标的评价方式</w:t>
      </w:r>
      <w:r>
        <w:rPr>
          <w:rFonts w:hint="eastAsia" w:ascii="Times New Roman" w:hAnsi="Times New Roman" w:eastAsia="宋体" w:cs="Times New Roman"/>
          <w:color w:val="auto"/>
          <w:sz w:val="21"/>
          <w:szCs w:val="21"/>
          <w:lang w:eastAsia="zh-CN"/>
        </w:rPr>
        <w:t>如下表所示</w:t>
      </w:r>
      <w:r>
        <w:rPr>
          <w:rFonts w:ascii="Times New Roman" w:hAnsi="Times New Roman" w:eastAsia="宋体" w:cs="Times New Roman"/>
          <w:color w:val="auto"/>
          <w:sz w:val="21"/>
          <w:szCs w:val="21"/>
        </w:rPr>
        <w:t>。</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1842"/>
        <w:gridCol w:w="2207"/>
        <w:gridCol w:w="2360"/>
        <w:gridCol w:w="720"/>
      </w:tblGrid>
      <w:tr w14:paraId="2ACD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4AAE097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3"/>
            <w:vAlign w:val="center"/>
          </w:tcPr>
          <w:p w14:paraId="11AF05C9">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720" w:type="dxa"/>
            <w:vMerge w:val="restart"/>
            <w:vAlign w:val="center"/>
          </w:tcPr>
          <w:p w14:paraId="027DAFCA">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0FBF9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80B84A9">
            <w:pPr>
              <w:spacing w:line="360" w:lineRule="auto"/>
              <w:jc w:val="center"/>
              <w:rPr>
                <w:rFonts w:hint="eastAsia" w:ascii="宋体" w:hAnsi="宋体" w:eastAsia="宋体" w:cs="Times New Roman"/>
                <w:szCs w:val="21"/>
              </w:rPr>
            </w:pPr>
          </w:p>
        </w:tc>
        <w:tc>
          <w:tcPr>
            <w:tcW w:w="1842" w:type="dxa"/>
            <w:vAlign w:val="center"/>
          </w:tcPr>
          <w:p w14:paraId="5CED1D56">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2207" w:type="dxa"/>
            <w:vAlign w:val="center"/>
          </w:tcPr>
          <w:p w14:paraId="71B9773A">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2360" w:type="dxa"/>
            <w:vAlign w:val="center"/>
          </w:tcPr>
          <w:p w14:paraId="274E327E">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720" w:type="dxa"/>
            <w:vMerge w:val="continue"/>
            <w:vAlign w:val="center"/>
          </w:tcPr>
          <w:p w14:paraId="7DF3DF04">
            <w:pPr>
              <w:spacing w:line="360" w:lineRule="auto"/>
              <w:jc w:val="center"/>
              <w:rPr>
                <w:rFonts w:hint="eastAsia" w:ascii="宋体" w:hAnsi="宋体" w:eastAsia="宋体" w:cs="Times New Roman"/>
                <w:szCs w:val="21"/>
              </w:rPr>
            </w:pPr>
          </w:p>
        </w:tc>
      </w:tr>
      <w:tr w14:paraId="4FEB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C757E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842" w:type="dxa"/>
            <w:vAlign w:val="center"/>
          </w:tcPr>
          <w:p w14:paraId="51848D90">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207" w:type="dxa"/>
            <w:vAlign w:val="center"/>
          </w:tcPr>
          <w:p w14:paraId="47E4A5B9">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360" w:type="dxa"/>
            <w:vAlign w:val="center"/>
          </w:tcPr>
          <w:p w14:paraId="5AFA2643">
            <w:pPr>
              <w:spacing w:line="360" w:lineRule="auto"/>
              <w:jc w:val="center"/>
              <w:rPr>
                <w:rFonts w:hint="eastAsia" w:ascii="宋体" w:hAnsi="宋体" w:eastAsia="宋体" w:cs="Times New Roman"/>
                <w:szCs w:val="21"/>
              </w:rPr>
            </w:pPr>
          </w:p>
        </w:tc>
        <w:tc>
          <w:tcPr>
            <w:tcW w:w="720" w:type="dxa"/>
            <w:vAlign w:val="center"/>
          </w:tcPr>
          <w:p w14:paraId="499ABA59">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10</w:t>
            </w:r>
          </w:p>
        </w:tc>
      </w:tr>
      <w:tr w14:paraId="4905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237F1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842" w:type="dxa"/>
            <w:vAlign w:val="center"/>
          </w:tcPr>
          <w:p w14:paraId="0CCECC9B">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207" w:type="dxa"/>
            <w:vAlign w:val="center"/>
          </w:tcPr>
          <w:p w14:paraId="2E6F9FA6">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360" w:type="dxa"/>
            <w:vAlign w:val="center"/>
          </w:tcPr>
          <w:p w14:paraId="107DE536">
            <w:pPr>
              <w:spacing w:line="360" w:lineRule="auto"/>
              <w:jc w:val="center"/>
              <w:rPr>
                <w:rFonts w:hint="eastAsia" w:ascii="宋体" w:hAnsi="宋体" w:eastAsia="宋体" w:cs="Times New Roman"/>
                <w:szCs w:val="21"/>
              </w:rPr>
            </w:pPr>
          </w:p>
        </w:tc>
        <w:tc>
          <w:tcPr>
            <w:tcW w:w="720" w:type="dxa"/>
            <w:vAlign w:val="center"/>
          </w:tcPr>
          <w:p w14:paraId="48CF0529">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10</w:t>
            </w:r>
          </w:p>
        </w:tc>
      </w:tr>
      <w:tr w14:paraId="53D3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A6407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842" w:type="dxa"/>
            <w:vAlign w:val="center"/>
          </w:tcPr>
          <w:p w14:paraId="6E04D09A">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207" w:type="dxa"/>
            <w:vAlign w:val="center"/>
          </w:tcPr>
          <w:p w14:paraId="286D430B">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360" w:type="dxa"/>
            <w:vAlign w:val="center"/>
          </w:tcPr>
          <w:p w14:paraId="771954A0">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720" w:type="dxa"/>
            <w:vAlign w:val="center"/>
          </w:tcPr>
          <w:p w14:paraId="21D06C33">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2</w:t>
            </w:r>
            <w:r>
              <w:rPr>
                <w:rFonts w:ascii="宋体" w:hAnsi="宋体" w:eastAsia="宋体" w:cs="Times New Roman"/>
                <w:kern w:val="0"/>
                <w:szCs w:val="21"/>
              </w:rPr>
              <w:t>0</w:t>
            </w:r>
          </w:p>
        </w:tc>
      </w:tr>
      <w:tr w14:paraId="215D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5" w:type="dxa"/>
            <w:vAlign w:val="center"/>
          </w:tcPr>
          <w:p w14:paraId="795A1F95">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842" w:type="dxa"/>
            <w:vAlign w:val="center"/>
          </w:tcPr>
          <w:p w14:paraId="117A7E9C">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207" w:type="dxa"/>
            <w:vAlign w:val="center"/>
          </w:tcPr>
          <w:p w14:paraId="58C29F3D">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360" w:type="dxa"/>
            <w:vAlign w:val="center"/>
          </w:tcPr>
          <w:p w14:paraId="3693F2D0">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720" w:type="dxa"/>
            <w:vAlign w:val="center"/>
          </w:tcPr>
          <w:p w14:paraId="64D6D95F">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25</w:t>
            </w:r>
          </w:p>
        </w:tc>
      </w:tr>
      <w:tr w14:paraId="7F3C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5" w:type="dxa"/>
            <w:vAlign w:val="center"/>
          </w:tcPr>
          <w:p w14:paraId="2D50F3E4">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课程目标</w:t>
            </w:r>
            <w:r>
              <w:rPr>
                <w:rFonts w:ascii="宋体" w:hAnsi="宋体" w:eastAsia="宋体" w:cs="Times New Roman"/>
                <w:kern w:val="0"/>
                <w:szCs w:val="21"/>
              </w:rPr>
              <w:t>5</w:t>
            </w:r>
          </w:p>
        </w:tc>
        <w:tc>
          <w:tcPr>
            <w:tcW w:w="1842" w:type="dxa"/>
            <w:vAlign w:val="center"/>
          </w:tcPr>
          <w:p w14:paraId="15A94500">
            <w:pPr>
              <w:spacing w:line="360" w:lineRule="auto"/>
              <w:ind w:firstLine="420" w:firstLineChars="200"/>
              <w:jc w:val="both"/>
              <w:rPr>
                <w:rFonts w:hint="eastAsia" w:ascii="宋体" w:hAnsi="宋体" w:eastAsia="宋体" w:cs="Times New Roman"/>
                <w:szCs w:val="21"/>
              </w:rPr>
            </w:pPr>
            <w:r>
              <w:rPr>
                <w:rFonts w:hint="eastAsia" w:ascii="宋体" w:hAnsi="宋体" w:eastAsia="宋体" w:cs="Times New Roman"/>
                <w:szCs w:val="21"/>
              </w:rPr>
              <w:t>√</w:t>
            </w:r>
          </w:p>
        </w:tc>
        <w:tc>
          <w:tcPr>
            <w:tcW w:w="2207" w:type="dxa"/>
            <w:vAlign w:val="center"/>
          </w:tcPr>
          <w:p w14:paraId="42026BE5">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360" w:type="dxa"/>
            <w:vAlign w:val="center"/>
          </w:tcPr>
          <w:p w14:paraId="6C5553A3">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720" w:type="dxa"/>
            <w:vAlign w:val="center"/>
          </w:tcPr>
          <w:p w14:paraId="20768E46">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25</w:t>
            </w:r>
          </w:p>
        </w:tc>
      </w:tr>
      <w:tr w14:paraId="5C5F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5" w:type="dxa"/>
            <w:vAlign w:val="center"/>
          </w:tcPr>
          <w:p w14:paraId="5ECC08B8">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课程目标</w:t>
            </w:r>
            <w:r>
              <w:rPr>
                <w:rFonts w:ascii="宋体" w:hAnsi="宋体" w:eastAsia="宋体" w:cs="Times New Roman"/>
                <w:kern w:val="0"/>
                <w:szCs w:val="21"/>
              </w:rPr>
              <w:t>6</w:t>
            </w:r>
          </w:p>
        </w:tc>
        <w:tc>
          <w:tcPr>
            <w:tcW w:w="1842" w:type="dxa"/>
            <w:vAlign w:val="center"/>
          </w:tcPr>
          <w:p w14:paraId="547772F4">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207" w:type="dxa"/>
            <w:vAlign w:val="center"/>
          </w:tcPr>
          <w:p w14:paraId="6B562CEF">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360" w:type="dxa"/>
            <w:vAlign w:val="center"/>
          </w:tcPr>
          <w:p w14:paraId="7159754A">
            <w:pPr>
              <w:spacing w:line="360" w:lineRule="auto"/>
              <w:jc w:val="center"/>
              <w:rPr>
                <w:rFonts w:hint="eastAsia" w:ascii="宋体" w:hAnsi="宋体" w:eastAsia="宋体" w:cs="Times New Roman"/>
                <w:szCs w:val="21"/>
              </w:rPr>
            </w:pPr>
          </w:p>
        </w:tc>
        <w:tc>
          <w:tcPr>
            <w:tcW w:w="720" w:type="dxa"/>
            <w:vAlign w:val="center"/>
          </w:tcPr>
          <w:p w14:paraId="0FF59B9C">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10</w:t>
            </w:r>
          </w:p>
        </w:tc>
      </w:tr>
      <w:tr w14:paraId="7736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4E64C0">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842" w:type="dxa"/>
            <w:vAlign w:val="center"/>
          </w:tcPr>
          <w:p w14:paraId="5E7BF157">
            <w:pPr>
              <w:spacing w:line="360" w:lineRule="auto"/>
              <w:jc w:val="center"/>
              <w:rPr>
                <w:rFonts w:hint="eastAsia" w:ascii="宋体" w:hAnsi="宋体" w:eastAsia="宋体" w:cs="Times New Roman"/>
                <w:szCs w:val="21"/>
              </w:rPr>
            </w:pPr>
          </w:p>
        </w:tc>
        <w:tc>
          <w:tcPr>
            <w:tcW w:w="2207" w:type="dxa"/>
            <w:vAlign w:val="center"/>
          </w:tcPr>
          <w:p w14:paraId="7B6A8F77">
            <w:pPr>
              <w:spacing w:line="360" w:lineRule="auto"/>
              <w:jc w:val="center"/>
              <w:rPr>
                <w:rFonts w:hint="eastAsia" w:ascii="宋体" w:hAnsi="宋体" w:eastAsia="宋体" w:cs="Times New Roman"/>
                <w:szCs w:val="21"/>
              </w:rPr>
            </w:pPr>
          </w:p>
        </w:tc>
        <w:tc>
          <w:tcPr>
            <w:tcW w:w="2360" w:type="dxa"/>
            <w:vAlign w:val="center"/>
          </w:tcPr>
          <w:p w14:paraId="48A584AE">
            <w:pPr>
              <w:spacing w:line="360" w:lineRule="auto"/>
              <w:jc w:val="center"/>
              <w:rPr>
                <w:rFonts w:hint="eastAsia" w:ascii="宋体" w:hAnsi="宋体" w:eastAsia="宋体" w:cs="Times New Roman"/>
                <w:szCs w:val="21"/>
              </w:rPr>
            </w:pPr>
          </w:p>
        </w:tc>
        <w:tc>
          <w:tcPr>
            <w:tcW w:w="720" w:type="dxa"/>
            <w:vAlign w:val="center"/>
          </w:tcPr>
          <w:p w14:paraId="10DFDD3B">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08692CF3">
      <w:pPr>
        <w:spacing w:before="156" w:beforeLines="50" w:line="360" w:lineRule="auto"/>
        <w:ind w:firstLine="422" w:firstLineChars="200"/>
        <w:jc w:val="left"/>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（二）成绩评定细则</w:t>
      </w:r>
    </w:p>
    <w:p w14:paraId="45EE0872">
      <w:pPr>
        <w:spacing w:line="360" w:lineRule="auto"/>
        <w:ind w:firstLine="420" w:firstLineChars="200"/>
        <w:jc w:val="lef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各部分的评价方式和成绩评定的细则</w:t>
      </w:r>
      <w:r>
        <w:rPr>
          <w:rFonts w:hint="eastAsia" w:ascii="Times New Roman" w:hAnsi="Times New Roman" w:eastAsia="宋体" w:cs="Times New Roman"/>
          <w:color w:val="auto"/>
          <w:sz w:val="21"/>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6701"/>
        <w:gridCol w:w="638"/>
      </w:tblGrid>
      <w:tr w14:paraId="239B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vAlign w:val="center"/>
          </w:tcPr>
          <w:p w14:paraId="013FB5AC">
            <w:pPr>
              <w:spacing w:line="360" w:lineRule="auto"/>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评价方式</w:t>
            </w:r>
          </w:p>
        </w:tc>
        <w:tc>
          <w:tcPr>
            <w:tcW w:w="6701" w:type="dxa"/>
            <w:vAlign w:val="center"/>
          </w:tcPr>
          <w:p w14:paraId="04292589">
            <w:pPr>
              <w:spacing w:line="360" w:lineRule="auto"/>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评定细则</w:t>
            </w:r>
          </w:p>
        </w:tc>
        <w:tc>
          <w:tcPr>
            <w:tcW w:w="0" w:type="auto"/>
            <w:tcBorders>
              <w:bottom w:val="single" w:color="auto" w:sz="4" w:space="0"/>
            </w:tcBorders>
            <w:vAlign w:val="center"/>
          </w:tcPr>
          <w:p w14:paraId="3991A607">
            <w:pPr>
              <w:spacing w:line="360" w:lineRule="auto"/>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占比</w:t>
            </w:r>
          </w:p>
        </w:tc>
      </w:tr>
      <w:tr w14:paraId="0E6F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vAlign w:val="center"/>
          </w:tcPr>
          <w:p w14:paraId="14450699">
            <w:pPr>
              <w:spacing w:line="400" w:lineRule="exact"/>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课堂考勤</w:t>
            </w:r>
          </w:p>
        </w:tc>
        <w:tc>
          <w:tcPr>
            <w:tcW w:w="6701" w:type="dxa"/>
            <w:tcBorders>
              <w:right w:val="single" w:color="auto" w:sz="4" w:space="0"/>
            </w:tcBorders>
            <w:vAlign w:val="center"/>
          </w:tcPr>
          <w:p w14:paraId="371ACD8F">
            <w:pPr>
              <w:widowControl/>
              <w:adjustRightInd w:val="0"/>
              <w:snapToGrid w:val="0"/>
              <w:spacing w:line="400" w:lineRule="exact"/>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病假和事假一次扣</w:t>
            </w:r>
            <w:r>
              <w:rPr>
                <w:rFonts w:ascii="宋体" w:hAnsi="宋体" w:eastAsia="宋体" w:cs="宋体"/>
                <w:color w:val="auto"/>
                <w:kern w:val="0"/>
                <w:sz w:val="21"/>
                <w:szCs w:val="21"/>
              </w:rPr>
              <w:t>3</w:t>
            </w:r>
            <w:r>
              <w:rPr>
                <w:rFonts w:hint="eastAsia" w:ascii="宋体" w:hAnsi="宋体" w:eastAsia="宋体" w:cs="宋体"/>
                <w:color w:val="auto"/>
                <w:kern w:val="0"/>
                <w:sz w:val="21"/>
                <w:szCs w:val="21"/>
              </w:rPr>
              <w:t>分，无故缺席一次扣</w:t>
            </w:r>
            <w:r>
              <w:rPr>
                <w:rFonts w:ascii="宋体" w:hAnsi="宋体" w:eastAsia="宋体" w:cs="宋体"/>
                <w:color w:val="auto"/>
                <w:kern w:val="0"/>
                <w:sz w:val="21"/>
                <w:szCs w:val="21"/>
              </w:rPr>
              <w:t>5</w:t>
            </w:r>
            <w:r>
              <w:rPr>
                <w:rFonts w:hint="eastAsia" w:ascii="宋体" w:hAnsi="宋体" w:eastAsia="宋体" w:cs="宋体"/>
                <w:color w:val="auto"/>
                <w:kern w:val="0"/>
                <w:sz w:val="21"/>
                <w:szCs w:val="21"/>
              </w:rPr>
              <w:t>分，无辜缺席累计达</w:t>
            </w:r>
            <w:r>
              <w:rPr>
                <w:rFonts w:ascii="宋体" w:hAnsi="宋体" w:eastAsia="宋体" w:cs="宋体"/>
                <w:color w:val="auto"/>
                <w:kern w:val="0"/>
                <w:sz w:val="21"/>
                <w:szCs w:val="21"/>
              </w:rPr>
              <w:t>3</w:t>
            </w:r>
            <w:r>
              <w:rPr>
                <w:rFonts w:hint="eastAsia" w:ascii="宋体" w:hAnsi="宋体" w:eastAsia="宋体" w:cs="宋体"/>
                <w:color w:val="auto"/>
                <w:kern w:val="0"/>
                <w:sz w:val="21"/>
                <w:szCs w:val="21"/>
              </w:rPr>
              <w:t>次以上</w:t>
            </w:r>
            <w:r>
              <w:rPr>
                <w:rFonts w:ascii="宋体" w:hAnsi="宋体" w:eastAsia="宋体" w:cs="宋体"/>
                <w:color w:val="auto"/>
                <w:kern w:val="0"/>
                <w:sz w:val="21"/>
                <w:szCs w:val="21"/>
              </w:rPr>
              <w:t>(</w:t>
            </w:r>
            <w:r>
              <w:rPr>
                <w:rFonts w:hint="eastAsia" w:ascii="宋体" w:hAnsi="宋体" w:eastAsia="宋体" w:cs="宋体"/>
                <w:color w:val="auto"/>
                <w:kern w:val="0"/>
                <w:sz w:val="21"/>
                <w:szCs w:val="21"/>
              </w:rPr>
              <w:t>不含</w:t>
            </w:r>
            <w:r>
              <w:rPr>
                <w:rFonts w:ascii="宋体" w:hAnsi="宋体" w:eastAsia="宋体" w:cs="宋体"/>
                <w:color w:val="auto"/>
                <w:kern w:val="0"/>
                <w:sz w:val="21"/>
                <w:szCs w:val="21"/>
              </w:rPr>
              <w:t>3</w:t>
            </w:r>
            <w:r>
              <w:rPr>
                <w:rFonts w:hint="eastAsia" w:ascii="宋体" w:hAnsi="宋体" w:eastAsia="宋体" w:cs="宋体"/>
                <w:color w:val="auto"/>
                <w:kern w:val="0"/>
                <w:sz w:val="21"/>
                <w:szCs w:val="21"/>
              </w:rPr>
              <w:t>次</w:t>
            </w:r>
            <w:r>
              <w:rPr>
                <w:rFonts w:ascii="宋体" w:hAnsi="宋体" w:eastAsia="宋体" w:cs="宋体"/>
                <w:color w:val="auto"/>
                <w:kern w:val="0"/>
                <w:sz w:val="21"/>
                <w:szCs w:val="21"/>
              </w:rPr>
              <w:t>)</w:t>
            </w:r>
            <w:r>
              <w:rPr>
                <w:rFonts w:hint="eastAsia" w:ascii="宋体" w:hAnsi="宋体" w:eastAsia="宋体" w:cs="宋体"/>
                <w:color w:val="auto"/>
                <w:kern w:val="0"/>
                <w:sz w:val="21"/>
                <w:szCs w:val="21"/>
              </w:rPr>
              <w:t>取消课程成绩。</w:t>
            </w:r>
          </w:p>
        </w:tc>
        <w:tc>
          <w:tcPr>
            <w:tcW w:w="0" w:type="auto"/>
            <w:tcBorders>
              <w:left w:val="single" w:color="auto" w:sz="4" w:space="0"/>
              <w:bottom w:val="single" w:color="auto" w:sz="4" w:space="0"/>
              <w:right w:val="single" w:color="auto" w:sz="4" w:space="0"/>
            </w:tcBorders>
            <w:shd w:val="clear" w:color="auto" w:fill="FFFFFF" w:themeFill="background1"/>
            <w:vAlign w:val="center"/>
          </w:tcPr>
          <w:p w14:paraId="1A4CC6B6">
            <w:pPr>
              <w:spacing w:line="400" w:lineRule="exact"/>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10%</w:t>
            </w:r>
          </w:p>
        </w:tc>
      </w:tr>
      <w:tr w14:paraId="3EDC4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vAlign w:val="center"/>
          </w:tcPr>
          <w:p w14:paraId="76DDBAD6">
            <w:pPr>
              <w:spacing w:line="400" w:lineRule="exact"/>
              <w:jc w:val="center"/>
              <w:rPr>
                <w:rFonts w:hint="eastAsia" w:ascii="宋体" w:hAnsi="宋体" w:eastAsia="宋体" w:cs="Times New Roman"/>
                <w:color w:val="auto"/>
                <w:sz w:val="21"/>
                <w:szCs w:val="21"/>
              </w:rPr>
            </w:pPr>
            <w:r>
              <w:rPr>
                <w:rFonts w:hint="eastAsia" w:ascii="宋体" w:hAnsi="宋体" w:eastAsia="宋体" w:cs="宋体"/>
                <w:color w:val="auto"/>
                <w:kern w:val="0"/>
                <w:sz w:val="21"/>
                <w:szCs w:val="21"/>
              </w:rPr>
              <w:t>课堂表现</w:t>
            </w:r>
          </w:p>
        </w:tc>
        <w:tc>
          <w:tcPr>
            <w:tcW w:w="6701" w:type="dxa"/>
            <w:tcBorders>
              <w:right w:val="single" w:color="auto" w:sz="4" w:space="0"/>
            </w:tcBorders>
            <w:vAlign w:val="center"/>
          </w:tcPr>
          <w:p w14:paraId="33558F91">
            <w:pPr>
              <w:widowControl/>
              <w:adjustRightInd w:val="0"/>
              <w:snapToGrid w:val="0"/>
              <w:spacing w:line="400" w:lineRule="exact"/>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每章组织进行</w:t>
            </w:r>
            <w:r>
              <w:rPr>
                <w:rFonts w:ascii="宋体" w:hAnsi="宋体" w:eastAsia="宋体" w:cs="宋体"/>
                <w:color w:val="auto"/>
                <w:kern w:val="0"/>
                <w:sz w:val="21"/>
                <w:szCs w:val="21"/>
              </w:rPr>
              <w:t>1-3</w:t>
            </w:r>
            <w:r>
              <w:rPr>
                <w:rFonts w:hint="eastAsia" w:ascii="宋体" w:hAnsi="宋体" w:eastAsia="宋体" w:cs="宋体"/>
                <w:color w:val="auto"/>
                <w:kern w:val="0"/>
                <w:sz w:val="21"/>
                <w:szCs w:val="21"/>
              </w:rPr>
              <w:t>次讨论，主要考核学生对知识的理解与思考情况。根据回答给出相应分数。</w:t>
            </w:r>
          </w:p>
        </w:tc>
        <w:tc>
          <w:tcPr>
            <w:tcW w:w="0" w:type="auto"/>
            <w:tcBorders>
              <w:left w:val="single" w:color="auto" w:sz="4" w:space="0"/>
              <w:bottom w:val="single" w:color="auto" w:sz="4" w:space="0"/>
              <w:right w:val="single" w:color="auto" w:sz="4" w:space="0"/>
            </w:tcBorders>
            <w:shd w:val="clear" w:color="auto" w:fill="FFFFFF" w:themeFill="background1"/>
            <w:vAlign w:val="center"/>
          </w:tcPr>
          <w:p w14:paraId="74716FD6">
            <w:pPr>
              <w:spacing w:line="400" w:lineRule="exact"/>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10%</w:t>
            </w:r>
          </w:p>
        </w:tc>
      </w:tr>
      <w:tr w14:paraId="5211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vAlign w:val="center"/>
          </w:tcPr>
          <w:p w14:paraId="2495B237">
            <w:pPr>
              <w:spacing w:line="400" w:lineRule="exact"/>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平时作业</w:t>
            </w:r>
          </w:p>
        </w:tc>
        <w:tc>
          <w:tcPr>
            <w:tcW w:w="6701" w:type="dxa"/>
            <w:tcBorders>
              <w:right w:val="single" w:color="auto" w:sz="4" w:space="0"/>
            </w:tcBorders>
            <w:vAlign w:val="center"/>
          </w:tcPr>
          <w:p w14:paraId="1DE2C0D9">
            <w:pPr>
              <w:widowControl/>
              <w:adjustRightInd w:val="0"/>
              <w:snapToGrid w:val="0"/>
              <w:spacing w:line="400" w:lineRule="exact"/>
              <w:jc w:val="left"/>
              <w:rPr>
                <w:rFonts w:hint="eastAsia" w:ascii="宋体" w:hAnsi="宋体" w:eastAsia="宋体" w:cs="宋体"/>
                <w:color w:val="auto"/>
                <w:kern w:val="0"/>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次书面作业，主要考核学生运用社会学理论分析问题的能力。</w:t>
            </w:r>
          </w:p>
        </w:tc>
        <w:tc>
          <w:tcPr>
            <w:tcW w:w="0" w:type="auto"/>
            <w:tcBorders>
              <w:left w:val="single" w:color="auto" w:sz="4" w:space="0"/>
              <w:bottom w:val="single" w:color="auto" w:sz="4" w:space="0"/>
              <w:right w:val="single" w:color="auto" w:sz="4" w:space="0"/>
            </w:tcBorders>
            <w:shd w:val="clear" w:color="auto" w:fill="FFFFFF" w:themeFill="background1"/>
            <w:vAlign w:val="center"/>
          </w:tcPr>
          <w:p w14:paraId="1F0D08A5">
            <w:pPr>
              <w:spacing w:line="400" w:lineRule="exact"/>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20%</w:t>
            </w:r>
          </w:p>
        </w:tc>
      </w:tr>
      <w:tr w14:paraId="04B6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vAlign w:val="center"/>
          </w:tcPr>
          <w:p w14:paraId="3F851959">
            <w:pPr>
              <w:adjustRightInd w:val="0"/>
              <w:snapToGrid w:val="0"/>
              <w:spacing w:line="400" w:lineRule="exact"/>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期末考试</w:t>
            </w:r>
          </w:p>
        </w:tc>
        <w:tc>
          <w:tcPr>
            <w:tcW w:w="6701" w:type="dxa"/>
            <w:vAlign w:val="center"/>
          </w:tcPr>
          <w:p w14:paraId="702A36A2">
            <w:pPr>
              <w:adjustRightInd w:val="0"/>
              <w:snapToGrid w:val="0"/>
              <w:spacing w:line="400" w:lineRule="exact"/>
              <w:rPr>
                <w:rFonts w:hint="eastAsia" w:ascii="宋体" w:hAnsi="宋体" w:eastAsia="宋体" w:cs="宋体"/>
                <w:color w:val="auto"/>
                <w:kern w:val="0"/>
                <w:sz w:val="21"/>
                <w:szCs w:val="21"/>
                <w:lang w:bidi="ar"/>
              </w:rPr>
            </w:pPr>
            <w:r>
              <w:rPr>
                <w:rFonts w:hint="eastAsia" w:ascii="宋体" w:hAnsi="宋体" w:eastAsia="宋体" w:cs="Times New Roman"/>
                <w:color w:val="auto"/>
                <w:sz w:val="21"/>
                <w:szCs w:val="21"/>
              </w:rPr>
              <w:t>试卷题型包括填空题、简答题、论述题，以卷面成绩的</w:t>
            </w:r>
            <w:r>
              <w:rPr>
                <w:rFonts w:ascii="宋体" w:hAnsi="宋体" w:eastAsia="宋体" w:cs="Times New Roman"/>
                <w:color w:val="auto"/>
                <w:sz w:val="21"/>
                <w:szCs w:val="21"/>
              </w:rPr>
              <w:t>60%</w:t>
            </w:r>
            <w:r>
              <w:rPr>
                <w:rFonts w:hint="eastAsia" w:ascii="宋体" w:hAnsi="宋体" w:eastAsia="宋体" w:cs="Times New Roman"/>
                <w:color w:val="auto"/>
                <w:sz w:val="21"/>
                <w:szCs w:val="21"/>
              </w:rPr>
              <w:t>计入课程总成绩。其中：考核基本概念知识型题目占</w:t>
            </w:r>
            <w:r>
              <w:rPr>
                <w:rFonts w:ascii="宋体" w:hAnsi="宋体" w:eastAsia="宋体" w:cs="Times New Roman"/>
                <w:color w:val="auto"/>
                <w:sz w:val="21"/>
                <w:szCs w:val="21"/>
              </w:rPr>
              <w:t>30%</w:t>
            </w:r>
            <w:r>
              <w:rPr>
                <w:rFonts w:hint="eastAsia" w:ascii="宋体" w:hAnsi="宋体" w:eastAsia="宋体" w:cs="Times New Roman"/>
                <w:color w:val="auto"/>
                <w:sz w:val="21"/>
                <w:szCs w:val="21"/>
              </w:rPr>
              <w:t>；考核基本知识理解占</w:t>
            </w:r>
            <w:r>
              <w:rPr>
                <w:rFonts w:ascii="宋体" w:hAnsi="宋体" w:eastAsia="宋体" w:cs="Times New Roman"/>
                <w:color w:val="auto"/>
                <w:sz w:val="21"/>
                <w:szCs w:val="21"/>
              </w:rPr>
              <w:t>30%</w:t>
            </w:r>
            <w:r>
              <w:rPr>
                <w:rFonts w:hint="eastAsia" w:ascii="宋体" w:hAnsi="宋体" w:eastAsia="宋体" w:cs="Times New Roman"/>
                <w:color w:val="auto"/>
                <w:sz w:val="21"/>
                <w:szCs w:val="21"/>
              </w:rPr>
              <w:t>；考核综合运用能力占</w:t>
            </w:r>
            <w:r>
              <w:rPr>
                <w:rFonts w:ascii="宋体" w:hAnsi="宋体" w:eastAsia="宋体" w:cs="Times New Roman"/>
                <w:color w:val="auto"/>
                <w:sz w:val="21"/>
                <w:szCs w:val="21"/>
              </w:rPr>
              <w:t>40%</w:t>
            </w:r>
            <w:r>
              <w:rPr>
                <w:rFonts w:hint="eastAsia" w:ascii="宋体" w:hAnsi="宋体" w:eastAsia="宋体" w:cs="Times New Roman"/>
                <w:color w:val="auto"/>
                <w:sz w:val="21"/>
                <w:szCs w:val="21"/>
              </w:rPr>
              <w:t>。</w:t>
            </w:r>
          </w:p>
        </w:tc>
        <w:tc>
          <w:tcPr>
            <w:tcW w:w="0" w:type="auto"/>
            <w:tcBorders>
              <w:top w:val="single" w:color="auto" w:sz="4" w:space="0"/>
            </w:tcBorders>
            <w:vAlign w:val="center"/>
          </w:tcPr>
          <w:p w14:paraId="1E7EE222">
            <w:pPr>
              <w:spacing w:line="400" w:lineRule="exact"/>
              <w:jc w:val="center"/>
              <w:rPr>
                <w:rFonts w:hint="eastAsia" w:ascii="宋体" w:hAnsi="宋体" w:eastAsia="宋体" w:cs="Times New Roman"/>
                <w:color w:val="auto"/>
                <w:sz w:val="21"/>
                <w:szCs w:val="21"/>
              </w:rPr>
            </w:pPr>
            <w:r>
              <w:rPr>
                <w:rFonts w:ascii="宋体" w:hAnsi="宋体" w:eastAsia="宋体" w:cs="Times New Roman"/>
                <w:color w:val="auto"/>
                <w:sz w:val="21"/>
                <w:szCs w:val="21"/>
              </w:rPr>
              <w:t>60%</w:t>
            </w:r>
          </w:p>
        </w:tc>
      </w:tr>
      <w:tr w14:paraId="7EFC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15" w:type="dxa"/>
            <w:vAlign w:val="center"/>
          </w:tcPr>
          <w:p w14:paraId="55499921">
            <w:pPr>
              <w:spacing w:line="400" w:lineRule="exact"/>
              <w:jc w:val="center"/>
              <w:rPr>
                <w:rFonts w:hint="eastAsia" w:ascii="宋体" w:hAnsi="宋体" w:eastAsia="宋体" w:cs="Times New Roman"/>
                <w:b/>
                <w:bCs/>
                <w:color w:val="auto"/>
                <w:sz w:val="21"/>
                <w:szCs w:val="21"/>
              </w:rPr>
            </w:pPr>
            <w:r>
              <w:rPr>
                <w:rFonts w:hint="eastAsia" w:ascii="宋体" w:hAnsi="宋体" w:eastAsia="宋体" w:cs="Times New Roman"/>
                <w:b/>
                <w:bCs/>
                <w:color w:val="auto"/>
                <w:sz w:val="21"/>
                <w:szCs w:val="21"/>
              </w:rPr>
              <w:t>合计</w:t>
            </w:r>
          </w:p>
        </w:tc>
        <w:tc>
          <w:tcPr>
            <w:tcW w:w="6701" w:type="dxa"/>
            <w:vAlign w:val="center"/>
          </w:tcPr>
          <w:p w14:paraId="03846CF8">
            <w:pPr>
              <w:spacing w:line="400" w:lineRule="exact"/>
              <w:jc w:val="left"/>
              <w:rPr>
                <w:rFonts w:hint="eastAsia" w:ascii="宋体" w:hAnsi="宋体" w:eastAsia="宋体" w:cs="Times New Roman"/>
                <w:color w:val="auto"/>
                <w:sz w:val="21"/>
                <w:szCs w:val="21"/>
              </w:rPr>
            </w:pPr>
          </w:p>
        </w:tc>
        <w:tc>
          <w:tcPr>
            <w:tcW w:w="0" w:type="auto"/>
            <w:vAlign w:val="center"/>
          </w:tcPr>
          <w:p w14:paraId="0A5521BE">
            <w:pPr>
              <w:spacing w:line="400" w:lineRule="exact"/>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100%</w:t>
            </w:r>
          </w:p>
        </w:tc>
      </w:tr>
    </w:tbl>
    <w:p w14:paraId="286F8097">
      <w:pPr>
        <w:spacing w:line="360" w:lineRule="auto"/>
        <w:ind w:firstLine="422" w:firstLineChars="200"/>
        <w:jc w:val="left"/>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（三）课程目标达成度计算方法</w:t>
      </w:r>
    </w:p>
    <w:p w14:paraId="58A4F1B4">
      <w:pPr>
        <w:spacing w:line="360" w:lineRule="auto"/>
        <w:ind w:firstLine="411" w:firstLineChars="196"/>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所有课程目标均需大于等于</w:t>
      </w:r>
      <w:r>
        <w:rPr>
          <w:rFonts w:ascii="宋体" w:hAnsi="宋体" w:eastAsia="宋体" w:cs="Times New Roman"/>
          <w:color w:val="auto"/>
          <w:sz w:val="21"/>
          <w:szCs w:val="21"/>
        </w:rPr>
        <w:t>0.6，否则总评成绩不及格，需要补考或重修。每门课程目标总体达成度计算方法如下：</w:t>
      </w:r>
    </w:p>
    <w:p w14:paraId="103F29C1">
      <w:pPr>
        <w:spacing w:before="156" w:beforeLines="50" w:line="360" w:lineRule="auto"/>
        <w:ind w:firstLine="420" w:firstLineChars="200"/>
        <w:jc w:val="left"/>
        <w:rPr>
          <w:rFonts w:ascii="Times New Roman" w:hAnsi="Times New Roman" w:eastAsia="宋体" w:cs="Times New Roman"/>
          <w:b/>
          <w:color w:val="auto"/>
          <w:sz w:val="21"/>
          <w:szCs w:val="21"/>
        </w:rPr>
      </w:pPr>
      <w:r>
        <w:rPr>
          <w:rFonts w:ascii="宋体" w:hAnsi="宋体" w:eastAsia="宋体" w:cs="Times New Roman"/>
          <w:color w:val="auto"/>
          <w:sz w:val="21"/>
          <w:szCs w:val="21"/>
        </w:rPr>
        <w:object>
          <v:shape id="_x0000_i1048"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48" DrawAspect="Content" ObjectID="_1468075747" r:id="rId34">
            <o:LockedField>false</o:LockedField>
          </o:OLEObject>
        </w:object>
      </w:r>
      <w:r>
        <w:rPr>
          <w:rFonts w:hint="eastAsia" w:ascii="Times New Roman" w:hAnsi="Times New Roman" w:eastAsia="宋体" w:cs="Times New Roman"/>
          <w:b/>
          <w:color w:val="auto"/>
          <w:sz w:val="24"/>
        </w:rPr>
        <w:t>五、课程实践</w:t>
      </w:r>
      <w:r>
        <w:rPr>
          <w:rFonts w:hint="eastAsia" w:ascii="Times New Roman" w:hAnsi="Times New Roman" w:eastAsia="宋体" w:cs="Times New Roman"/>
          <w:bCs/>
          <w:color w:val="auto"/>
          <w:sz w:val="21"/>
          <w:szCs w:val="21"/>
        </w:rPr>
        <w:t>（利用第二课堂，不占总学时）</w:t>
      </w:r>
    </w:p>
    <w:p w14:paraId="623198BE">
      <w:pPr>
        <w:spacing w:after="156" w:afterLines="5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本课程在系统教学的基础上，以学生为主题，整合各类教育资源，科学设计实践活动，丰富教育教学形式，提升教育教学效果，从而实现思政育人。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945"/>
        <w:gridCol w:w="1202"/>
        <w:gridCol w:w="3160"/>
      </w:tblGrid>
      <w:tr w14:paraId="09A4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3D3F6705">
            <w:pPr>
              <w:spacing w:line="24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活动主题</w:t>
            </w:r>
          </w:p>
        </w:tc>
        <w:tc>
          <w:tcPr>
            <w:tcW w:w="2945" w:type="dxa"/>
            <w:vAlign w:val="center"/>
          </w:tcPr>
          <w:p w14:paraId="44601118">
            <w:pPr>
              <w:spacing w:line="24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活动内容</w:t>
            </w:r>
          </w:p>
        </w:tc>
        <w:tc>
          <w:tcPr>
            <w:tcW w:w="1202" w:type="dxa"/>
            <w:vAlign w:val="center"/>
          </w:tcPr>
          <w:p w14:paraId="347C9D3C">
            <w:pPr>
              <w:spacing w:line="24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活动方式</w:t>
            </w:r>
          </w:p>
        </w:tc>
        <w:tc>
          <w:tcPr>
            <w:tcW w:w="3160" w:type="dxa"/>
            <w:vAlign w:val="center"/>
          </w:tcPr>
          <w:p w14:paraId="2BA8E6A2">
            <w:pPr>
              <w:spacing w:line="24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思政目标</w:t>
            </w:r>
          </w:p>
        </w:tc>
      </w:tr>
      <w:tr w14:paraId="35035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1212" w:type="dxa"/>
            <w:vAlign w:val="center"/>
          </w:tcPr>
          <w:p w14:paraId="09E35B1C">
            <w:pPr>
              <w:spacing w:line="276"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班干部的选举方法</w:t>
            </w:r>
          </w:p>
        </w:tc>
        <w:tc>
          <w:tcPr>
            <w:tcW w:w="2945" w:type="dxa"/>
            <w:vAlign w:val="center"/>
          </w:tcPr>
          <w:p w14:paraId="722B0701">
            <w:pPr>
              <w:spacing w:line="276"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讨论班级民主管理</w:t>
            </w:r>
          </w:p>
        </w:tc>
        <w:tc>
          <w:tcPr>
            <w:tcW w:w="1202" w:type="dxa"/>
            <w:vAlign w:val="center"/>
          </w:tcPr>
          <w:p w14:paraId="77B8964A">
            <w:pPr>
              <w:spacing w:line="276"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班会活动</w:t>
            </w:r>
          </w:p>
        </w:tc>
        <w:tc>
          <w:tcPr>
            <w:tcW w:w="3160" w:type="dxa"/>
            <w:vAlign w:val="center"/>
          </w:tcPr>
          <w:p w14:paraId="7F6A887E">
            <w:pPr>
              <w:spacing w:line="276"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置身真实情景、亲身体验班级民主管理</w:t>
            </w:r>
          </w:p>
        </w:tc>
      </w:tr>
      <w:tr w14:paraId="3C34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5BCC3B76">
            <w:pPr>
              <w:spacing w:line="276"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教师工作压力观察</w:t>
            </w:r>
          </w:p>
        </w:tc>
        <w:tc>
          <w:tcPr>
            <w:tcW w:w="2945" w:type="dxa"/>
            <w:vAlign w:val="center"/>
          </w:tcPr>
          <w:p w14:paraId="4511FCBA">
            <w:pPr>
              <w:spacing w:line="276"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利用见习等事件观察一线教师的工作压力状况及其应对</w:t>
            </w:r>
          </w:p>
        </w:tc>
        <w:tc>
          <w:tcPr>
            <w:tcW w:w="1202" w:type="dxa"/>
            <w:vAlign w:val="center"/>
          </w:tcPr>
          <w:p w14:paraId="5E1943C2">
            <w:pPr>
              <w:spacing w:line="276"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课外调查</w:t>
            </w:r>
          </w:p>
        </w:tc>
        <w:tc>
          <w:tcPr>
            <w:tcW w:w="3160" w:type="dxa"/>
            <w:vAlign w:val="center"/>
          </w:tcPr>
          <w:p w14:paraId="0A4961AA">
            <w:pPr>
              <w:spacing w:line="276"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体验教师文化，感受尊师崇教、竞相从师的社会文化氛围的得来不易。</w:t>
            </w:r>
          </w:p>
        </w:tc>
      </w:tr>
    </w:tbl>
    <w:p w14:paraId="45B0B64D">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六、有关说明</w:t>
      </w:r>
    </w:p>
    <w:p w14:paraId="274E9346">
      <w:pPr>
        <w:spacing w:line="360" w:lineRule="auto"/>
        <w:ind w:firstLine="422" w:firstLineChars="200"/>
        <w:jc w:val="left"/>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（一）持续改进</w:t>
      </w:r>
    </w:p>
    <w:p w14:paraId="0C749C1B">
      <w:pPr>
        <w:adjustRightInd w:val="0"/>
        <w:snapToGrid w:val="0"/>
        <w:spacing w:line="360" w:lineRule="auto"/>
        <w:ind w:firstLine="420" w:firstLineChars="200"/>
        <w:rPr>
          <w:rFonts w:ascii="Times New Roman" w:hAnsi="Times New Roman" w:eastAsia="宋体" w:cs="Times New Roman"/>
          <w:b/>
          <w:color w:val="auto"/>
          <w:sz w:val="21"/>
          <w:szCs w:val="21"/>
        </w:rPr>
      </w:pPr>
      <w:r>
        <w:rPr>
          <w:rFonts w:hint="eastAsia" w:ascii="Calibri" w:hAnsi="Calibri" w:eastAsia="宋体" w:cs="Times New Roman"/>
          <w:color w:val="auto"/>
          <w:sz w:val="21"/>
          <w:szCs w:val="21"/>
        </w:rPr>
        <w:t>本课程根据学生作业、课堂讨论、教学环节、平时考核情况和学生、教学督导等的反馈，及时对教学中的不足之处进行改进，并在下一轮课程教学中整改完善，确保相应毕业要求指标点达成。</w:t>
      </w:r>
    </w:p>
    <w:p w14:paraId="709569B5">
      <w:pPr>
        <w:spacing w:line="360" w:lineRule="auto"/>
        <w:ind w:firstLine="422" w:firstLineChars="200"/>
        <w:jc w:val="left"/>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（二）建议教材</w:t>
      </w:r>
    </w:p>
    <w:p w14:paraId="2F0543E9">
      <w:pPr>
        <w:spacing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马和民，教育社会学基础，中国人民大学出版社，2022.</w:t>
      </w:r>
    </w:p>
    <w:p w14:paraId="780AFE8F">
      <w:pPr>
        <w:spacing w:line="360" w:lineRule="auto"/>
        <w:ind w:firstLine="422" w:firstLineChars="200"/>
        <w:jc w:val="left"/>
        <w:rPr>
          <w:color w:val="auto"/>
          <w:sz w:val="21"/>
          <w:szCs w:val="21"/>
        </w:rPr>
      </w:pPr>
      <w:r>
        <w:rPr>
          <w:rFonts w:hint="eastAsia" w:ascii="Times New Roman" w:hAnsi="Times New Roman" w:eastAsia="宋体" w:cs="Times New Roman"/>
          <w:b/>
          <w:color w:val="auto"/>
          <w:sz w:val="21"/>
          <w:szCs w:val="21"/>
        </w:rPr>
        <w:t>（三）参考书目</w:t>
      </w:r>
    </w:p>
    <w:p w14:paraId="58D4A7A3">
      <w:pPr>
        <w:spacing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1.吴康宁，教育社会学，人民教育出版社，2021</w:t>
      </w:r>
    </w:p>
    <w:p w14:paraId="7130036F">
      <w:pPr>
        <w:spacing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2.钱民辉，教育社会学概论（第四版），北京大学出版社，2021.</w:t>
      </w:r>
    </w:p>
    <w:p w14:paraId="5A00B6C1">
      <w:pPr>
        <w:spacing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3.雷通群.</w:t>
      </w:r>
      <w:r>
        <w:rPr>
          <w:rFonts w:hint="eastAsia"/>
          <w:color w:val="auto"/>
          <w:sz w:val="21"/>
          <w:szCs w:val="21"/>
        </w:rPr>
        <w:t xml:space="preserve"> </w:t>
      </w:r>
      <w:r>
        <w:rPr>
          <w:rFonts w:hint="eastAsia" w:ascii="宋体" w:hAnsi="宋体" w:eastAsia="宋体" w:cs="Times New Roman"/>
          <w:color w:val="auto"/>
          <w:sz w:val="21"/>
          <w:szCs w:val="21"/>
        </w:rPr>
        <w:t>教育社会学，厦门大学出版社，2021.</w:t>
      </w:r>
    </w:p>
    <w:p w14:paraId="686FE6A6">
      <w:pPr>
        <w:spacing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4.许瑞、刘惠珍，教育社会学，北京师范大学出版社，2010</w:t>
      </w:r>
    </w:p>
    <w:p w14:paraId="27F054A9">
      <w:pPr>
        <w:spacing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5.珍妮•H•巴兰坦、弗洛伊德•M•哈马克、詹妮•斯图伯，教育社会学——一种系统分析的方法，商务印书馆，2017</w:t>
      </w:r>
    </w:p>
    <w:p w14:paraId="49EC8F84">
      <w:pPr>
        <w:spacing w:line="360" w:lineRule="auto"/>
        <w:ind w:left="420" w:left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6.丹尼尔•U•莱文、瑞依娜•F•莱文，教育社会学，中国人民大学出版社，2016.</w:t>
      </w:r>
    </w:p>
    <w:p w14:paraId="134A96AB">
      <w:pPr>
        <w:spacing w:line="360" w:lineRule="auto"/>
        <w:ind w:left="420" w:leftChars="200"/>
        <w:rPr>
          <w:rFonts w:ascii="Times New Roman" w:hAnsi="Times New Roman" w:eastAsia="宋体" w:cs="Times New Roman"/>
          <w:bCs/>
          <w:color w:val="auto"/>
          <w:sz w:val="21"/>
          <w:szCs w:val="21"/>
        </w:rPr>
      </w:pPr>
      <w:r>
        <w:rPr>
          <w:rFonts w:hint="eastAsia" w:ascii="宋体" w:hAnsi="宋体" w:eastAsia="宋体" w:cs="Times New Roman"/>
          <w:color w:val="auto"/>
          <w:sz w:val="21"/>
          <w:szCs w:val="21"/>
        </w:rPr>
        <w:t>7.郑杭生</w:t>
      </w:r>
      <w:r>
        <w:rPr>
          <w:rFonts w:ascii="宋体" w:hAnsi="等线" w:eastAsia="宋体" w:cs="Times New Roman"/>
          <w:color w:val="auto"/>
          <w:sz w:val="21"/>
          <w:szCs w:val="21"/>
        </w:rPr>
        <w:t>.</w:t>
      </w:r>
      <w:r>
        <w:rPr>
          <w:rFonts w:hint="eastAsia" w:ascii="宋体" w:hAnsi="宋体" w:eastAsia="宋体" w:cs="Times New Roman"/>
          <w:color w:val="auto"/>
          <w:sz w:val="21"/>
          <w:szCs w:val="21"/>
        </w:rPr>
        <w:t>社会学概论新修</w:t>
      </w:r>
      <w:r>
        <w:rPr>
          <w:rFonts w:ascii="宋体" w:hAnsi="宋体" w:eastAsia="宋体" w:cs="Times New Roman"/>
          <w:color w:val="auto"/>
          <w:sz w:val="21"/>
          <w:szCs w:val="21"/>
        </w:rPr>
        <w:t>[M].</w:t>
      </w:r>
      <w:r>
        <w:rPr>
          <w:rFonts w:hint="eastAsia" w:ascii="宋体" w:hAnsi="宋体" w:eastAsia="宋体" w:cs="Times New Roman"/>
          <w:color w:val="auto"/>
          <w:sz w:val="21"/>
          <w:szCs w:val="21"/>
        </w:rPr>
        <w:t>北京：中国人民大学出版社，</w:t>
      </w:r>
      <w:r>
        <w:rPr>
          <w:rFonts w:ascii="宋体" w:hAnsi="宋体" w:eastAsia="宋体" w:cs="Times New Roman"/>
          <w:color w:val="auto"/>
          <w:sz w:val="21"/>
          <w:szCs w:val="21"/>
        </w:rPr>
        <w:t>2016</w:t>
      </w:r>
      <w:r>
        <w:rPr>
          <w:rFonts w:ascii="宋体" w:hAnsi="等线" w:eastAsia="宋体" w:cs="Times New Roman"/>
          <w:color w:val="auto"/>
          <w:sz w:val="21"/>
          <w:szCs w:val="21"/>
        </w:rPr>
        <w:t>.</w:t>
      </w:r>
    </w:p>
    <w:p w14:paraId="2F82DE30">
      <w:pPr>
        <w:spacing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8.</w:t>
      </w:r>
      <w:r>
        <w:rPr>
          <w:rFonts w:ascii="宋体" w:hAnsi="宋体" w:eastAsia="宋体" w:cs="Times New Roman"/>
          <w:color w:val="auto"/>
          <w:sz w:val="21"/>
          <w:szCs w:val="21"/>
        </w:rPr>
        <w:t>[</w:t>
      </w:r>
      <w:r>
        <w:rPr>
          <w:rFonts w:hint="eastAsia" w:ascii="宋体" w:hAnsi="宋体" w:eastAsia="宋体" w:cs="Times New Roman"/>
          <w:color w:val="auto"/>
          <w:sz w:val="21"/>
          <w:szCs w:val="21"/>
        </w:rPr>
        <w:t>美</w:t>
      </w:r>
      <w:r>
        <w:rPr>
          <w:rFonts w:ascii="宋体" w:hAnsi="宋体" w:eastAsia="宋体" w:cs="Times New Roman"/>
          <w:color w:val="auto"/>
          <w:sz w:val="21"/>
          <w:szCs w:val="21"/>
        </w:rPr>
        <w:t>]</w:t>
      </w:r>
      <w:r>
        <w:rPr>
          <w:rFonts w:hint="eastAsia" w:ascii="宋体" w:hAnsi="宋体" w:eastAsia="宋体" w:cs="Times New Roman"/>
          <w:color w:val="auto"/>
          <w:sz w:val="21"/>
          <w:szCs w:val="21"/>
        </w:rPr>
        <w:t>戴维·波普诺</w:t>
      </w:r>
      <w:r>
        <w:rPr>
          <w:rFonts w:ascii="宋体" w:hAnsi="等线" w:eastAsia="宋体" w:cs="Times New Roman"/>
          <w:color w:val="auto"/>
          <w:sz w:val="21"/>
          <w:szCs w:val="21"/>
        </w:rPr>
        <w:t>.</w:t>
      </w:r>
      <w:r>
        <w:rPr>
          <w:rFonts w:hint="eastAsia" w:ascii="宋体" w:hAnsi="宋体" w:eastAsia="宋体" w:cs="Times New Roman"/>
          <w:color w:val="auto"/>
          <w:sz w:val="21"/>
          <w:szCs w:val="21"/>
        </w:rPr>
        <w:t>社会学（第十一版）</w:t>
      </w:r>
      <w:r>
        <w:rPr>
          <w:rFonts w:ascii="宋体" w:hAnsi="宋体" w:eastAsia="宋体" w:cs="Times New Roman"/>
          <w:color w:val="auto"/>
          <w:sz w:val="21"/>
          <w:szCs w:val="21"/>
        </w:rPr>
        <w:t xml:space="preserve"> [M].</w:t>
      </w:r>
      <w:r>
        <w:rPr>
          <w:rFonts w:hint="eastAsia" w:ascii="宋体" w:hAnsi="宋体" w:eastAsia="宋体" w:cs="Times New Roman"/>
          <w:color w:val="auto"/>
          <w:sz w:val="21"/>
          <w:szCs w:val="21"/>
        </w:rPr>
        <w:t>李强等译，北京：中国人民大学出版社，</w:t>
      </w:r>
      <w:r>
        <w:rPr>
          <w:rFonts w:ascii="宋体" w:hAnsi="宋体" w:eastAsia="宋体" w:cs="Times New Roman"/>
          <w:color w:val="auto"/>
          <w:sz w:val="21"/>
          <w:szCs w:val="21"/>
        </w:rPr>
        <w:t>2007.</w:t>
      </w:r>
    </w:p>
    <w:p w14:paraId="4A929687">
      <w:pPr>
        <w:spacing w:line="360" w:lineRule="auto"/>
        <w:ind w:left="239" w:leftChars="114" w:firstLine="210" w:firstLineChars="100"/>
        <w:rPr>
          <w:rFonts w:hint="eastAsia" w:ascii="宋体" w:hAnsi="宋体" w:eastAsia="宋体" w:cs="Times New Roman"/>
          <w:color w:val="auto"/>
          <w:sz w:val="21"/>
          <w:szCs w:val="21"/>
        </w:rPr>
      </w:pPr>
      <w:r>
        <w:rPr>
          <w:rFonts w:hint="eastAsia" w:ascii="宋体" w:hAnsi="等线" w:eastAsia="宋体" w:cs="Times New Roman"/>
          <w:color w:val="auto"/>
          <w:sz w:val="21"/>
          <w:szCs w:val="21"/>
        </w:rPr>
        <w:t>9.[美]理查德</w:t>
      </w:r>
      <w:r>
        <w:rPr>
          <w:rFonts w:hint="eastAsia" w:ascii="宋体" w:hAnsi="宋体" w:eastAsia="宋体" w:cs="Times New Roman"/>
          <w:color w:val="auto"/>
          <w:sz w:val="21"/>
          <w:szCs w:val="21"/>
        </w:rPr>
        <w:t>·拉赫曼.历史社会学概论 [M].赵莉妍译, 北京：商务印书馆，2017.</w:t>
      </w:r>
    </w:p>
    <w:p w14:paraId="74A590A2">
      <w:pPr>
        <w:spacing w:line="360" w:lineRule="auto"/>
        <w:ind w:left="239" w:leftChars="114" w:firstLine="210" w:firstLineChars="100"/>
        <w:rPr>
          <w:rFonts w:hint="eastAsia" w:ascii="宋体" w:hAnsi="宋体" w:eastAsia="宋体" w:cs="Times New Roman"/>
          <w:color w:val="auto"/>
          <w:sz w:val="21"/>
          <w:szCs w:val="21"/>
        </w:rPr>
      </w:pPr>
      <w:r>
        <w:rPr>
          <w:rFonts w:hint="eastAsia" w:ascii="宋体" w:hAnsi="宋体" w:eastAsia="宋体" w:cs="Times New Roman"/>
          <w:color w:val="auto"/>
          <w:sz w:val="21"/>
          <w:szCs w:val="21"/>
        </w:rPr>
        <w:t>10.王永起.社会学研究方法新探，北京：中国书籍出版社，2016.11</w:t>
      </w:r>
    </w:p>
    <w:p w14:paraId="3DA3519A">
      <w:pPr>
        <w:spacing w:line="360" w:lineRule="auto"/>
        <w:ind w:left="239" w:leftChars="114" w:firstLine="210" w:firstLineChars="100"/>
        <w:rPr>
          <w:color w:val="auto"/>
          <w:sz w:val="21"/>
          <w:szCs w:val="21"/>
        </w:rPr>
      </w:pPr>
      <w:r>
        <w:rPr>
          <w:rFonts w:hint="eastAsia" w:ascii="宋体" w:hAnsi="宋体" w:eastAsia="宋体" w:cs="Times New Roman"/>
          <w:color w:val="auto"/>
          <w:sz w:val="21"/>
          <w:szCs w:val="21"/>
        </w:rPr>
        <w:t>11.徐祥运，刘杰编著.社会学概论（第4版），大连：东北财经大学出版社，2015.02</w:t>
      </w:r>
    </w:p>
    <w:p w14:paraId="3000EA23">
      <w:pPr>
        <w:keepNext w:val="0"/>
        <w:keepLines w:val="0"/>
        <w:pageBreakBefore w:val="0"/>
        <w:widowControl w:val="0"/>
        <w:kinsoku/>
        <w:overflowPunct/>
        <w:topLinePunct w:val="0"/>
        <w:autoSpaceDE/>
        <w:autoSpaceDN/>
        <w:bidi w:val="0"/>
        <w:adjustRightInd/>
        <w:snapToGrid/>
        <w:spacing w:line="360" w:lineRule="auto"/>
        <w:ind w:right="0"/>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 xml:space="preserve">            执 笔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张文娟</w:t>
      </w:r>
    </w:p>
    <w:p w14:paraId="2E23110A">
      <w:pPr>
        <w:keepNext w:val="0"/>
        <w:keepLines w:val="0"/>
        <w:pageBreakBefore w:val="0"/>
        <w:widowControl w:val="0"/>
        <w:kinsoku/>
        <w:wordWrap w:val="0"/>
        <w:overflowPunct/>
        <w:topLinePunct w:val="0"/>
        <w:autoSpaceDE/>
        <w:autoSpaceDN/>
        <w:bidi w:val="0"/>
        <w:adjustRightInd/>
        <w:snapToGrid/>
        <w:spacing w:line="360" w:lineRule="auto"/>
        <w:ind w:right="0"/>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rPr>
        <w:t>审 定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王</w:t>
      </w:r>
      <w:r>
        <w:rPr>
          <w:rFonts w:hint="eastAsia"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rPr>
        <w:t>健</w:t>
      </w:r>
    </w:p>
    <w:p w14:paraId="12517BAF">
      <w:pPr>
        <w:keepNext w:val="0"/>
        <w:keepLines w:val="0"/>
        <w:pageBreakBefore w:val="0"/>
        <w:widowControl w:val="0"/>
        <w:kinsoku/>
        <w:overflowPunct/>
        <w:topLinePunct w:val="0"/>
        <w:autoSpaceDE/>
        <w:autoSpaceDN/>
        <w:bidi w:val="0"/>
        <w:adjustRightInd/>
        <w:snapToGrid/>
        <w:spacing w:line="360" w:lineRule="auto"/>
        <w:ind w:right="0"/>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批 人：张志欣</w:t>
      </w:r>
    </w:p>
    <w:p w14:paraId="5B02B440">
      <w:pPr>
        <w:keepNext w:val="0"/>
        <w:keepLines w:val="0"/>
        <w:pageBreakBefore w:val="0"/>
        <w:widowControl w:val="0"/>
        <w:kinsoku/>
        <w:overflowPunct/>
        <w:topLinePunct w:val="0"/>
        <w:autoSpaceDE/>
        <w:autoSpaceDN/>
        <w:bidi w:val="0"/>
        <w:adjustRightInd/>
        <w:snapToGrid/>
        <w:spacing w:line="360" w:lineRule="auto"/>
        <w:ind w:right="0"/>
        <w:jc w:val="right"/>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 xml:space="preserve">                           </w:t>
      </w:r>
      <w:r>
        <w:rPr>
          <w:rFonts w:hint="eastAsia" w:ascii="Times New Roman" w:hAnsi="Times New Roman" w:eastAsia="宋体" w:cs="Times New Roman"/>
          <w:color w:val="auto"/>
          <w:szCs w:val="21"/>
          <w:lang w:eastAsia="zh-CN"/>
        </w:rPr>
        <w:t>批准时间：2025年7月1日</w:t>
      </w:r>
    </w:p>
    <w:p w14:paraId="11C9E6A0">
      <w:pPr>
        <w:rPr>
          <w:rFonts w:ascii="Times New Roman" w:hAnsi="Times New Roman" w:eastAsia="宋体" w:cs="Times New Roman"/>
          <w:color w:val="auto"/>
          <w:szCs w:val="21"/>
        </w:rPr>
      </w:pPr>
      <w:r>
        <w:rPr>
          <w:rFonts w:ascii="Times New Roman" w:hAnsi="Times New Roman" w:eastAsia="宋体" w:cs="Times New Roman"/>
          <w:color w:val="auto"/>
          <w:szCs w:val="21"/>
        </w:rPr>
        <w:br w:type="page"/>
      </w:r>
    </w:p>
    <w:p w14:paraId="09A146C5">
      <w:pPr>
        <w:spacing w:line="360" w:lineRule="auto"/>
        <w:jc w:val="center"/>
        <w:outlineLvl w:val="0"/>
        <w:rPr>
          <w:rFonts w:hint="eastAsia" w:ascii="Times New Roman" w:hAnsi="Times New Roman" w:eastAsia="宋体" w:cs="Times New Roman"/>
          <w:b/>
          <w:color w:val="auto"/>
          <w:sz w:val="44"/>
          <w:szCs w:val="44"/>
        </w:rPr>
      </w:pPr>
      <w:bookmarkStart w:id="329" w:name="_Toc25064592"/>
      <w:bookmarkStart w:id="330" w:name="_Toc23522"/>
      <w:bookmarkStart w:id="331" w:name="_Toc14249"/>
      <w:r>
        <w:rPr>
          <w:rFonts w:hint="eastAsia" w:ascii="Times New Roman" w:hAnsi="Times New Roman" w:eastAsia="宋体" w:cs="Times New Roman"/>
          <w:b/>
          <w:color w:val="auto"/>
          <w:sz w:val="44"/>
          <w:szCs w:val="44"/>
        </w:rPr>
        <w:t>《家校社协同</w:t>
      </w:r>
      <w:bookmarkEnd w:id="329"/>
      <w:r>
        <w:rPr>
          <w:rFonts w:hint="eastAsia" w:ascii="Times New Roman" w:hAnsi="Times New Roman" w:eastAsia="宋体" w:cs="Times New Roman"/>
          <w:b/>
          <w:color w:val="auto"/>
          <w:sz w:val="44"/>
          <w:szCs w:val="44"/>
        </w:rPr>
        <w:t>育人》课程教学大纲</w:t>
      </w:r>
      <w:bookmarkEnd w:id="330"/>
      <w:bookmarkEnd w:id="331"/>
    </w:p>
    <w:p w14:paraId="0B24A15A">
      <w:pPr>
        <w:spacing w:line="360" w:lineRule="auto"/>
        <w:jc w:val="center"/>
        <w:rPr>
          <w:rFonts w:hint="eastAsia" w:ascii="宋体" w:hAnsi="宋体" w:eastAsia="宋体" w:cs="Times New Roman"/>
          <w:b/>
          <w:color w:val="auto"/>
          <w:sz w:val="28"/>
          <w:szCs w:val="28"/>
        </w:rPr>
      </w:pPr>
      <w:r>
        <w:rPr>
          <w:rFonts w:ascii="Times New Roman" w:hAnsi="Times New Roman" w:eastAsia="宋体" w:cs="Times New Roman"/>
          <w:b/>
          <w:color w:val="auto"/>
          <w:sz w:val="28"/>
          <w:szCs w:val="28"/>
        </w:rPr>
        <w:t>（Family and Community Education）</w:t>
      </w:r>
    </w:p>
    <w:p w14:paraId="174EAC80">
      <w:pPr>
        <w:spacing w:line="360" w:lineRule="auto"/>
        <w:jc w:val="center"/>
        <w:rPr>
          <w:rFonts w:hint="eastAsia" w:ascii="宋体" w:hAnsi="宋体" w:eastAsia="宋体" w:cs="Times New Roman"/>
          <w:b/>
          <w:color w:val="auto"/>
          <w:sz w:val="21"/>
          <w:szCs w:val="21"/>
        </w:rPr>
      </w:pPr>
    </w:p>
    <w:p w14:paraId="403C63D2">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课程名称：</w:t>
      </w:r>
      <w:r>
        <w:rPr>
          <w:rFonts w:hint="eastAsia" w:ascii="宋体" w:hAnsi="宋体" w:eastAsia="宋体" w:cs="Times New Roman"/>
          <w:b/>
          <w:color w:val="auto"/>
          <w:sz w:val="24"/>
          <w:szCs w:val="24"/>
        </w:rPr>
        <w:t>家校社协同育人</w:t>
      </w:r>
    </w:p>
    <w:p w14:paraId="67CE4767">
      <w:pPr>
        <w:snapToGrid w:val="0"/>
        <w:spacing w:line="360" w:lineRule="auto"/>
        <w:ind w:firstLine="472" w:firstLineChars="196"/>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w:t>
      </w:r>
      <w:r>
        <w:rPr>
          <w:rFonts w:ascii="Times New Roman" w:hAnsi="Times New Roman" w:eastAsia="宋体" w:cs="Times New Roman"/>
          <w:b/>
          <w:color w:val="auto"/>
          <w:sz w:val="24"/>
          <w:szCs w:val="24"/>
        </w:rPr>
        <w:t>2401061</w:t>
      </w:r>
    </w:p>
    <w:p w14:paraId="442C7E69">
      <w:pPr>
        <w:snapToGrid w:val="0"/>
        <w:spacing w:line="360" w:lineRule="auto"/>
        <w:ind w:firstLine="472" w:firstLineChars="196"/>
        <w:rPr>
          <w:rFonts w:hint="eastAsia" w:ascii="宋体" w:hAnsi="宋体" w:eastAsia="宋体" w:cs="Times New Roman"/>
          <w:b/>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分：</w:t>
      </w:r>
      <w:r>
        <w:rPr>
          <w:rFonts w:hint="eastAsia" w:ascii="宋体" w:hAnsi="宋体" w:eastAsia="宋体" w:cs="Times New Roman"/>
          <w:b/>
          <w:color w:val="auto"/>
          <w:sz w:val="24"/>
          <w:szCs w:val="24"/>
        </w:rPr>
        <w:t>2</w:t>
      </w:r>
    </w:p>
    <w:p w14:paraId="7E714F24">
      <w:pPr>
        <w:snapToGrid w:val="0"/>
        <w:spacing w:line="360" w:lineRule="auto"/>
        <w:ind w:firstLine="472" w:firstLineChars="196"/>
        <w:rPr>
          <w:rFonts w:ascii="宋体" w:hAnsi="宋体" w:eastAsia="宋体" w:cs="Times New Roman"/>
          <w:b/>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时：</w:t>
      </w:r>
      <w:r>
        <w:rPr>
          <w:rFonts w:hint="eastAsia" w:ascii="宋体" w:hAnsi="宋体" w:eastAsia="宋体" w:cs="Times New Roman"/>
          <w:b/>
          <w:color w:val="auto"/>
          <w:sz w:val="24"/>
          <w:szCs w:val="24"/>
        </w:rPr>
        <w:t>3</w:t>
      </w:r>
      <w:r>
        <w:rPr>
          <w:rFonts w:ascii="宋体" w:hAnsi="宋体" w:eastAsia="宋体" w:cs="Times New Roman"/>
          <w:b/>
          <w:color w:val="auto"/>
          <w:sz w:val="24"/>
          <w:szCs w:val="24"/>
        </w:rPr>
        <w:t>2</w:t>
      </w:r>
    </w:p>
    <w:p w14:paraId="0CAE3CBC">
      <w:pPr>
        <w:snapToGrid w:val="0"/>
        <w:spacing w:line="360" w:lineRule="auto"/>
        <w:ind w:firstLine="472" w:firstLineChars="196"/>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先修课程：</w:t>
      </w:r>
      <w:r>
        <w:rPr>
          <w:rFonts w:hint="eastAsia" w:ascii="宋体" w:hAnsi="宋体" w:eastAsia="宋体" w:cs="Times New Roman"/>
          <w:b/>
          <w:color w:val="auto"/>
          <w:sz w:val="24"/>
          <w:szCs w:val="24"/>
        </w:rPr>
        <w:t>教育原理、教育心理学</w:t>
      </w:r>
    </w:p>
    <w:p w14:paraId="65D7955B">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适用专业：小学教育</w:t>
      </w:r>
    </w:p>
    <w:p w14:paraId="1A89C33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r>
        <w:rPr>
          <w:rFonts w:hint="eastAsia" w:ascii="宋体" w:hAnsi="宋体" w:eastAsia="宋体" w:cs="Times New Roman"/>
          <w:b/>
          <w:color w:val="auto"/>
          <w:sz w:val="24"/>
        </w:rPr>
        <w:t>一、课程简介</w:t>
      </w:r>
    </w:p>
    <w:p w14:paraId="1708520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b/>
          <w:color w:val="auto"/>
          <w:szCs w:val="21"/>
        </w:rPr>
      </w:pPr>
      <w:r>
        <w:rPr>
          <w:rFonts w:hint="eastAsia" w:ascii="宋体" w:hAnsi="宋体" w:eastAsia="宋体" w:cs="Times New Roman"/>
          <w:color w:val="auto"/>
          <w:szCs w:val="21"/>
        </w:rPr>
        <w:t>《家校社协同育人》是小学教育专业的一门专业选修课，是一门实践性和理论性并重的基础课程，该课程主要涉及家庭与社区教育的一些基本概念和基本理论，立足中国儿童家庭与社区教育发展的实际，关注</w:t>
      </w:r>
      <w:r>
        <w:rPr>
          <w:rFonts w:ascii="宋体" w:hAnsi="宋体" w:eastAsia="宋体" w:cs="Times New Roman"/>
          <w:color w:val="auto"/>
          <w:szCs w:val="21"/>
        </w:rPr>
        <w:t>当前家庭教育发展的具体情况，总结近些年中国家庭教育的发展历程与经验启示，介绍中国家庭教育的现状、父母教育理念的更新、家庭教育的立法进程、</w:t>
      </w:r>
      <w:r>
        <w:rPr>
          <w:rFonts w:hint="eastAsia" w:ascii="宋体" w:hAnsi="宋体" w:eastAsia="宋体" w:cs="Times New Roman"/>
          <w:color w:val="auto"/>
          <w:szCs w:val="21"/>
        </w:rPr>
        <w:t>“</w:t>
      </w:r>
      <w:r>
        <w:rPr>
          <w:rFonts w:ascii="宋体" w:hAnsi="宋体" w:eastAsia="宋体" w:cs="Times New Roman"/>
          <w:color w:val="auto"/>
          <w:szCs w:val="21"/>
        </w:rPr>
        <w:t>二孩时代</w:t>
      </w:r>
      <w:r>
        <w:rPr>
          <w:rFonts w:hint="eastAsia" w:ascii="宋体" w:hAnsi="宋体" w:eastAsia="宋体" w:cs="Times New Roman"/>
          <w:color w:val="auto"/>
          <w:szCs w:val="21"/>
        </w:rPr>
        <w:t>”的</w:t>
      </w:r>
      <w:r>
        <w:rPr>
          <w:rFonts w:ascii="宋体" w:hAnsi="宋体" w:eastAsia="宋体" w:cs="Times New Roman"/>
          <w:color w:val="auto"/>
          <w:szCs w:val="21"/>
        </w:rPr>
        <w:t>隔代教养</w:t>
      </w:r>
      <w:r>
        <w:rPr>
          <w:rFonts w:hint="eastAsia" w:ascii="宋体" w:hAnsi="宋体" w:eastAsia="宋体" w:cs="Times New Roman"/>
          <w:color w:val="auto"/>
          <w:szCs w:val="21"/>
        </w:rPr>
        <w:t>等</w:t>
      </w:r>
      <w:r>
        <w:rPr>
          <w:rFonts w:ascii="宋体" w:hAnsi="宋体" w:eastAsia="宋体" w:cs="Times New Roman"/>
          <w:color w:val="auto"/>
          <w:szCs w:val="21"/>
        </w:rPr>
        <w:t>诸多现象、家风家训与中国传统优秀家教文化的弘扬等内容，为</w:t>
      </w:r>
      <w:r>
        <w:rPr>
          <w:rFonts w:hint="eastAsia" w:ascii="宋体" w:hAnsi="宋体" w:eastAsia="宋体" w:cs="Times New Roman"/>
          <w:color w:val="auto"/>
          <w:szCs w:val="21"/>
        </w:rPr>
        <w:t>小学</w:t>
      </w:r>
      <w:r>
        <w:rPr>
          <w:rFonts w:ascii="宋体" w:hAnsi="宋体" w:eastAsia="宋体" w:cs="Times New Roman"/>
          <w:color w:val="auto"/>
          <w:szCs w:val="21"/>
        </w:rPr>
        <w:t>教育专业学生掌握</w:t>
      </w:r>
      <w:r>
        <w:rPr>
          <w:rFonts w:hint="eastAsia" w:ascii="宋体" w:hAnsi="宋体" w:eastAsia="宋体" w:cs="Times New Roman"/>
          <w:color w:val="auto"/>
          <w:szCs w:val="21"/>
        </w:rPr>
        <w:t>、理解</w:t>
      </w:r>
      <w:r>
        <w:rPr>
          <w:rFonts w:ascii="宋体" w:hAnsi="宋体" w:eastAsia="宋体" w:cs="Times New Roman"/>
          <w:color w:val="auto"/>
          <w:szCs w:val="21"/>
        </w:rPr>
        <w:t>和开展家庭与社区教育提供理论学习</w:t>
      </w:r>
      <w:r>
        <w:rPr>
          <w:rFonts w:hint="eastAsia" w:ascii="宋体" w:hAnsi="宋体" w:eastAsia="宋体" w:cs="Times New Roman"/>
          <w:color w:val="auto"/>
          <w:szCs w:val="21"/>
        </w:rPr>
        <w:t>帮助。</w:t>
      </w:r>
    </w:p>
    <w:p w14:paraId="353F0612">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4"/>
        </w:rPr>
      </w:pPr>
      <w:r>
        <w:rPr>
          <w:rFonts w:hint="eastAsia" w:ascii="宋体" w:hAnsi="宋体" w:eastAsia="宋体" w:cs="Times New Roman"/>
          <w:b/>
          <w:color w:val="auto"/>
          <w:sz w:val="24"/>
        </w:rPr>
        <w:t>二</w:t>
      </w:r>
      <w:r>
        <w:rPr>
          <w:rFonts w:ascii="宋体" w:hAnsi="宋体" w:eastAsia="宋体" w:cs="Times New Roman"/>
          <w:b/>
          <w:color w:val="auto"/>
          <w:sz w:val="24"/>
        </w:rPr>
        <w:t>、课程目标</w:t>
      </w:r>
    </w:p>
    <w:p w14:paraId="4DD8B73B">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0DFA3258">
      <w:pPr>
        <w:keepNext w:val="0"/>
        <w:keepLines w:val="0"/>
        <w:pageBreakBefore w:val="0"/>
        <w:widowControl w:val="0"/>
        <w:kinsoku/>
        <w:wordWrap/>
        <w:overflowPunct/>
        <w:topLinePunct w:val="0"/>
        <w:autoSpaceDE/>
        <w:autoSpaceDN/>
        <w:bidi w:val="0"/>
        <w:adjustRightInd/>
        <w:snapToGrid w:val="0"/>
        <w:spacing w:line="360" w:lineRule="auto"/>
        <w:ind w:firstLine="413" w:firstLineChars="196"/>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1.</w:t>
      </w:r>
      <w:r>
        <w:rPr>
          <w:rFonts w:hint="eastAsia" w:ascii="Times New Roman" w:hAnsi="Times New Roman" w:eastAsia="宋体" w:cs="Times New Roman"/>
          <w:b/>
          <w:color w:val="auto"/>
          <w:szCs w:val="21"/>
        </w:rPr>
        <w:t xml:space="preserve"> </w:t>
      </w:r>
      <w:r>
        <w:rPr>
          <w:rFonts w:hint="eastAsia" w:ascii="宋体" w:hAnsi="宋体" w:eastAsia="宋体" w:cs="Times New Roman"/>
          <w:color w:val="auto"/>
          <w:szCs w:val="21"/>
        </w:rPr>
        <w:t>了解本课程以及家庭教育的理论知识及实践，了解中国在家庭教育方面的优秀传统文化及当前面临的育人现实问题。</w:t>
      </w:r>
    </w:p>
    <w:p w14:paraId="526A20A0">
      <w:pPr>
        <w:keepNext w:val="0"/>
        <w:keepLines w:val="0"/>
        <w:pageBreakBefore w:val="0"/>
        <w:widowControl w:val="0"/>
        <w:kinsoku/>
        <w:wordWrap/>
        <w:overflowPunct/>
        <w:topLinePunct w:val="0"/>
        <w:autoSpaceDE/>
        <w:autoSpaceDN/>
        <w:bidi w:val="0"/>
        <w:adjustRightIn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目标2</w:t>
      </w:r>
      <w:r>
        <w:rPr>
          <w:rFonts w:ascii="Times New Roman" w:hAnsi="Times New Roman" w:eastAsia="宋体" w:cs="Times New Roman"/>
          <w:b/>
          <w:color w:val="auto"/>
          <w:szCs w:val="21"/>
        </w:rPr>
        <w:t>.</w:t>
      </w:r>
      <w:r>
        <w:rPr>
          <w:rFonts w:ascii="Times New Roman" w:hAnsi="Times New Roman" w:eastAsia="宋体" w:cs="Times New Roman"/>
          <w:color w:val="auto"/>
          <w:szCs w:val="21"/>
        </w:rPr>
        <w:t xml:space="preserve"> </w:t>
      </w:r>
      <w:r>
        <w:rPr>
          <w:rFonts w:hint="eastAsia" w:ascii="宋体" w:hAnsi="宋体" w:eastAsia="宋体" w:cs="Times New Roman"/>
          <w:color w:val="auto"/>
          <w:szCs w:val="21"/>
        </w:rPr>
        <w:t>树立科学的儿童观、具备保护儿童权利的意识；树立家校社协同育人的思想观念；树立家庭教育的法制观念和职业职责意识。</w:t>
      </w:r>
    </w:p>
    <w:p w14:paraId="4C727EFA">
      <w:pPr>
        <w:keepNext w:val="0"/>
        <w:keepLines w:val="0"/>
        <w:pageBreakBefore w:val="0"/>
        <w:widowControl w:val="0"/>
        <w:kinsoku/>
        <w:wordWrap/>
        <w:overflowPunct/>
        <w:topLinePunct w:val="0"/>
        <w:autoSpaceDE/>
        <w:autoSpaceDN/>
        <w:bidi w:val="0"/>
        <w:adjustRightIn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目标3</w:t>
      </w:r>
      <w:r>
        <w:rPr>
          <w:rFonts w:hint="eastAsia" w:ascii="Times New Roman" w:hAnsi="Times New Roman" w:eastAsia="宋体" w:cs="Times New Roman"/>
          <w:b/>
          <w:color w:val="auto"/>
          <w:kern w:val="0"/>
          <w:szCs w:val="21"/>
        </w:rPr>
        <w:t>．</w:t>
      </w:r>
      <w:r>
        <w:rPr>
          <w:rFonts w:hint="eastAsia" w:ascii="宋体" w:hAnsi="宋体" w:eastAsia="宋体" w:cs="Times New Roman"/>
          <w:color w:val="auto"/>
          <w:szCs w:val="21"/>
        </w:rPr>
        <w:t>具备了解儿童，具备家校社协同育人的知识、能力和技巧。</w:t>
      </w:r>
      <w:r>
        <w:rPr>
          <w:rFonts w:ascii="Times New Roman" w:hAnsi="Times New Roman" w:eastAsia="宋体" w:cs="Times New Roman"/>
          <w:color w:val="auto"/>
          <w:szCs w:val="21"/>
        </w:rPr>
        <w:t xml:space="preserve"> </w:t>
      </w:r>
    </w:p>
    <w:p w14:paraId="5F7E2964">
      <w:pPr>
        <w:keepNext w:val="0"/>
        <w:keepLines w:val="0"/>
        <w:pageBreakBefore w:val="0"/>
        <w:widowControl w:val="0"/>
        <w:kinsoku/>
        <w:wordWrap/>
        <w:overflowPunct/>
        <w:topLinePunct w:val="0"/>
        <w:autoSpaceDE/>
        <w:autoSpaceDN/>
        <w:bidi w:val="0"/>
        <w:adjustRightIn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6309"/>
        <w:gridCol w:w="1191"/>
      </w:tblGrid>
      <w:tr w14:paraId="4C15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7" w:type="dxa"/>
            <w:vAlign w:val="center"/>
          </w:tcPr>
          <w:p w14:paraId="0606C2BD">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309" w:type="dxa"/>
            <w:vAlign w:val="center"/>
          </w:tcPr>
          <w:p w14:paraId="4C69853B">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07290799">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01EF0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7" w:type="dxa"/>
            <w:vAlign w:val="center"/>
          </w:tcPr>
          <w:p w14:paraId="6445B30D">
            <w:pPr>
              <w:spacing w:line="276" w:lineRule="auto"/>
              <w:jc w:val="center"/>
              <w:rPr>
                <w:rFonts w:ascii="宋体" w:hAnsi="宋体" w:eastAsia="宋体" w:cs="Times New Roman"/>
                <w:b/>
                <w:bCs/>
                <w:color w:val="auto"/>
                <w:szCs w:val="21"/>
              </w:rPr>
            </w:pPr>
            <w:r>
              <w:rPr>
                <w:rFonts w:ascii="宋体" w:hAnsi="宋体" w:eastAsia="宋体" w:cs="Times New Roman"/>
                <w:b/>
                <w:bCs/>
                <w:color w:val="auto"/>
                <w:szCs w:val="21"/>
              </w:rPr>
              <w:t>毕业要求6</w:t>
            </w:r>
          </w:p>
          <w:p w14:paraId="61766212">
            <w:pPr>
              <w:spacing w:line="276" w:lineRule="auto"/>
              <w:jc w:val="center"/>
              <w:rPr>
                <w:rFonts w:ascii="Times New Roman" w:hAnsi="Times New Roman" w:eastAsia="宋体" w:cs="Times New Roman"/>
                <w:b/>
                <w:bCs/>
                <w:color w:val="auto"/>
                <w:szCs w:val="21"/>
              </w:rPr>
            </w:pPr>
            <w:r>
              <w:rPr>
                <w:rFonts w:ascii="宋体" w:hAnsi="宋体" w:eastAsia="宋体" w:cs="Times New Roman"/>
                <w:b/>
                <w:bCs/>
                <w:color w:val="auto"/>
                <w:szCs w:val="21"/>
              </w:rPr>
              <w:t>综合育人</w:t>
            </w:r>
          </w:p>
        </w:tc>
        <w:tc>
          <w:tcPr>
            <w:tcW w:w="6309" w:type="dxa"/>
            <w:vAlign w:val="center"/>
          </w:tcPr>
          <w:p w14:paraId="159D355E">
            <w:pPr>
              <w:spacing w:line="276" w:lineRule="auto"/>
              <w:jc w:val="left"/>
              <w:rPr>
                <w:rFonts w:ascii="Times New Roman" w:hAnsi="Times New Roman" w:eastAsia="宋体" w:cs="Times New Roman"/>
                <w:color w:val="auto"/>
                <w:szCs w:val="21"/>
              </w:rPr>
            </w:pPr>
            <w:r>
              <w:rPr>
                <w:rFonts w:ascii="宋体" w:hAnsi="宋体" w:eastAsia="宋体" w:cs="Times New Roman"/>
                <w:b/>
                <w:bCs/>
                <w:color w:val="auto"/>
                <w:szCs w:val="21"/>
              </w:rPr>
              <w:t>指标点6-3：</w:t>
            </w:r>
            <w:r>
              <w:rPr>
                <w:rFonts w:hint="eastAsia" w:ascii="宋体" w:hAnsi="宋体" w:eastAsia="宋体" w:cs="Times New Roman"/>
                <w:color w:val="auto"/>
                <w:szCs w:val="21"/>
              </w:rPr>
              <w:t>【善于文化与活动育人】了解课外活动组织和管理知识，掌握学校文化和各类课外教育活动的育人内涵和方法，参与组织主题教育、少先队活动和社团活动，促进小学生全面、健康发展</w:t>
            </w:r>
          </w:p>
        </w:tc>
        <w:tc>
          <w:tcPr>
            <w:tcW w:w="1191" w:type="dxa"/>
            <w:vAlign w:val="center"/>
          </w:tcPr>
          <w:p w14:paraId="4B150F0B">
            <w:pPr>
              <w:spacing w:line="276" w:lineRule="auto"/>
              <w:jc w:val="left"/>
              <w:rPr>
                <w:rFonts w:ascii="Times New Roman" w:hAnsi="Times New Roman" w:eastAsia="宋体" w:cs="Times New Roman"/>
                <w:color w:val="auto"/>
                <w:szCs w:val="21"/>
              </w:rPr>
            </w:pPr>
            <w:r>
              <w:rPr>
                <w:rFonts w:hint="eastAsia" w:ascii="宋体" w:hAnsi="宋体" w:eastAsia="宋体" w:cs="Times New Roman"/>
                <w:color w:val="auto"/>
                <w:szCs w:val="21"/>
              </w:rPr>
              <w:t>课程目标2</w:t>
            </w:r>
          </w:p>
        </w:tc>
      </w:tr>
      <w:tr w14:paraId="5F68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477" w:type="dxa"/>
            <w:vAlign w:val="center"/>
          </w:tcPr>
          <w:p w14:paraId="5D8674D7">
            <w:pPr>
              <w:spacing w:line="276"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毕业要求8</w:t>
            </w:r>
          </w:p>
          <w:p w14:paraId="49CC6C0C">
            <w:pPr>
              <w:spacing w:line="276" w:lineRule="auto"/>
              <w:jc w:val="center"/>
              <w:rPr>
                <w:rFonts w:ascii="Times New Roman" w:hAnsi="Times New Roman" w:eastAsia="宋体" w:cs="Times New Roman"/>
                <w:b/>
                <w:bCs/>
                <w:color w:val="auto"/>
                <w:szCs w:val="21"/>
              </w:rPr>
            </w:pPr>
            <w:r>
              <w:rPr>
                <w:rFonts w:hint="eastAsia" w:ascii="宋体" w:hAnsi="宋体" w:eastAsia="宋体" w:cs="Times New Roman"/>
                <w:b/>
                <w:bCs/>
                <w:color w:val="auto"/>
                <w:szCs w:val="21"/>
              </w:rPr>
              <w:t>沟通合作</w:t>
            </w:r>
          </w:p>
        </w:tc>
        <w:tc>
          <w:tcPr>
            <w:tcW w:w="6309" w:type="dxa"/>
            <w:shd w:val="clear" w:color="auto" w:fill="auto"/>
            <w:vAlign w:val="center"/>
          </w:tcPr>
          <w:p w14:paraId="4259ECB1">
            <w:pPr>
              <w:snapToGrid w:val="0"/>
              <w:spacing w:line="288" w:lineRule="auto"/>
              <w:rPr>
                <w:rFonts w:hint="eastAsia" w:ascii="宋体" w:hAnsi="宋体" w:eastAsia="宋体" w:cs="Times New Roman"/>
                <w:color w:val="auto"/>
                <w:szCs w:val="21"/>
              </w:rPr>
            </w:pPr>
            <w:r>
              <w:rPr>
                <w:rFonts w:ascii="宋体" w:hAnsi="宋体" w:eastAsia="宋体" w:cs="Times New Roman"/>
                <w:b/>
                <w:bCs/>
                <w:color w:val="auto"/>
                <w:szCs w:val="21"/>
              </w:rPr>
              <w:t>指标点8-2：</w:t>
            </w:r>
            <w:r>
              <w:rPr>
                <w:rFonts w:hint="eastAsia" w:ascii="宋体" w:hAnsi="宋体" w:eastAsia="宋体" w:cs="Times New Roman"/>
                <w:color w:val="auto"/>
                <w:szCs w:val="21"/>
              </w:rPr>
              <w:t>【学会沟通交流】掌握人际沟通合作技能与方法，能与学生和家长以及同行、同事、专家进行有效沟通与合作，实现共同发展。</w:t>
            </w:r>
          </w:p>
        </w:tc>
        <w:tc>
          <w:tcPr>
            <w:tcW w:w="1191" w:type="dxa"/>
            <w:vAlign w:val="center"/>
          </w:tcPr>
          <w:p w14:paraId="0EDA151A">
            <w:pPr>
              <w:spacing w:line="276" w:lineRule="auto"/>
              <w:jc w:val="left"/>
              <w:rPr>
                <w:rFonts w:ascii="Times New Roman" w:hAnsi="Times New Roman" w:eastAsia="宋体" w:cs="Times New Roman"/>
                <w:color w:val="auto"/>
                <w:szCs w:val="21"/>
              </w:rPr>
            </w:pPr>
            <w:r>
              <w:rPr>
                <w:rFonts w:hint="eastAsia" w:ascii="宋体" w:hAnsi="宋体" w:eastAsia="宋体" w:cs="Times New Roman"/>
                <w:color w:val="auto"/>
                <w:szCs w:val="21"/>
              </w:rPr>
              <w:t>课程目标</w:t>
            </w:r>
            <w:r>
              <w:rPr>
                <w:rFonts w:ascii="宋体" w:hAnsi="宋体" w:eastAsia="宋体" w:cs="Times New Roman"/>
                <w:color w:val="auto"/>
                <w:szCs w:val="21"/>
              </w:rPr>
              <w:t>3</w:t>
            </w:r>
          </w:p>
        </w:tc>
      </w:tr>
    </w:tbl>
    <w:p w14:paraId="3ADC576B">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3212753F">
      <w:pPr>
        <w:spacing w:line="360" w:lineRule="auto"/>
        <w:ind w:firstLine="420" w:firstLineChars="200"/>
        <w:jc w:val="left"/>
        <w:rPr>
          <w:rFonts w:hint="eastAsia" w:ascii="宋体" w:hAnsi="宋体" w:eastAsia="宋体" w:cs="Times New Roman"/>
          <w:color w:val="auto"/>
          <w:szCs w:val="21"/>
        </w:rPr>
      </w:pPr>
      <w:r>
        <w:rPr>
          <w:rFonts w:hint="eastAsia" w:ascii="宋体" w:hAnsi="宋体" w:eastAsia="宋体" w:cs="Times New Roman"/>
          <w:color w:val="auto"/>
          <w:szCs w:val="21"/>
        </w:rPr>
        <w:t>引导学生树立关心现实教育需求、关怀儿童的理念；弘扬师德师爱，增强儿童权益保护意识；强化儿童教育的法制观念，认识到教师自身专业职责，做家庭教育政策的贯彻</w:t>
      </w:r>
      <w:r>
        <w:rPr>
          <w:rFonts w:hint="eastAsia" w:ascii="宋体" w:hAnsi="宋体" w:eastAsia="宋体" w:cs="Times New Roman"/>
          <w:color w:val="auto"/>
          <w:szCs w:val="21"/>
          <w:lang w:val="en-US" w:eastAsia="zh-CN"/>
        </w:rPr>
        <w:t>者</w:t>
      </w:r>
      <w:r>
        <w:rPr>
          <w:rFonts w:hint="eastAsia" w:ascii="宋体" w:hAnsi="宋体" w:eastAsia="宋体" w:cs="Times New Roman"/>
          <w:color w:val="auto"/>
          <w:szCs w:val="21"/>
        </w:rPr>
        <w:t>和践行者；厚植中华优秀传统文化，宣传优良家教家风家训等文化；立足人口政策现实，积极为家庭提供教育指导服务。</w:t>
      </w:r>
    </w:p>
    <w:p w14:paraId="0928AF68">
      <w:pPr>
        <w:spacing w:line="360" w:lineRule="auto"/>
        <w:jc w:val="left"/>
        <w:rPr>
          <w:rFonts w:hint="eastAsia" w:ascii="宋体" w:hAnsi="宋体" w:eastAsia="宋体" w:cs="Times New Roman"/>
          <w:b/>
          <w:color w:val="auto"/>
          <w:sz w:val="24"/>
        </w:rPr>
      </w:pPr>
      <w:r>
        <w:rPr>
          <w:rFonts w:hint="eastAsia" w:ascii="宋体" w:hAnsi="宋体"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507"/>
        <w:gridCol w:w="1362"/>
        <w:gridCol w:w="2555"/>
        <w:gridCol w:w="1231"/>
        <w:gridCol w:w="438"/>
      </w:tblGrid>
      <w:tr w14:paraId="2E0B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8DDE12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7312793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2507" w:type="dxa"/>
            <w:vAlign w:val="center"/>
          </w:tcPr>
          <w:p w14:paraId="26C219A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362" w:type="dxa"/>
            <w:vAlign w:val="center"/>
          </w:tcPr>
          <w:p w14:paraId="7F5F560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0773A75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2555" w:type="dxa"/>
            <w:vAlign w:val="center"/>
          </w:tcPr>
          <w:p w14:paraId="7AE70D4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231" w:type="dxa"/>
            <w:vAlign w:val="center"/>
          </w:tcPr>
          <w:p w14:paraId="0CF4DC0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28AA730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783C6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251EB6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p w14:paraId="7220093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1.“家校社合作共育”概述</w:t>
            </w:r>
          </w:p>
        </w:tc>
        <w:tc>
          <w:tcPr>
            <w:tcW w:w="2507" w:type="dxa"/>
            <w:vAlign w:val="center"/>
          </w:tcPr>
          <w:p w14:paraId="520E5ED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（1）“家校社合作共育”课程介绍</w:t>
            </w:r>
          </w:p>
          <w:p w14:paraId="0C59529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（2）学习“家校社合作共育”的意义和方法</w:t>
            </w:r>
          </w:p>
        </w:tc>
        <w:tc>
          <w:tcPr>
            <w:tcW w:w="1362" w:type="dxa"/>
            <w:vAlign w:val="center"/>
          </w:tcPr>
          <w:p w14:paraId="59C3628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目标</w:t>
            </w:r>
            <w:r>
              <w:rPr>
                <w:rFonts w:hint="eastAsia" w:ascii="宋体" w:hAnsi="宋体" w:eastAsia="宋体" w:cs="Times New Roman"/>
                <w:color w:val="auto"/>
                <w:szCs w:val="21"/>
                <w:lang w:val="en-US" w:eastAsia="zh-CN"/>
              </w:rPr>
              <w:t>1、2、3</w:t>
            </w:r>
          </w:p>
        </w:tc>
        <w:tc>
          <w:tcPr>
            <w:tcW w:w="2555" w:type="dxa"/>
            <w:vAlign w:val="center"/>
          </w:tcPr>
          <w:p w14:paraId="37A864F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1</w:t>
            </w:r>
            <w:r>
              <w:rPr>
                <w:rFonts w:ascii="宋体" w:hAnsi="宋体" w:eastAsia="宋体" w:cs="Times New Roman"/>
                <w:color w:val="auto"/>
                <w:szCs w:val="21"/>
              </w:rPr>
              <w:t>）</w:t>
            </w:r>
            <w:r>
              <w:rPr>
                <w:rFonts w:hint="eastAsia" w:ascii="宋体" w:hAnsi="宋体" w:eastAsia="宋体" w:cs="Times New Roman"/>
                <w:color w:val="auto"/>
                <w:szCs w:val="21"/>
              </w:rPr>
              <w:t>了解“家校社合作共育”这门课程的学科归属</w:t>
            </w:r>
          </w:p>
          <w:p w14:paraId="7998D8A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2</w:t>
            </w:r>
            <w:r>
              <w:rPr>
                <w:rFonts w:ascii="宋体" w:hAnsi="宋体" w:eastAsia="宋体" w:cs="Times New Roman"/>
                <w:color w:val="auto"/>
                <w:szCs w:val="21"/>
              </w:rPr>
              <w:t>）</w:t>
            </w:r>
            <w:r>
              <w:rPr>
                <w:rFonts w:hint="eastAsia" w:ascii="宋体" w:hAnsi="宋体" w:eastAsia="宋体" w:cs="Times New Roman"/>
                <w:color w:val="auto"/>
                <w:szCs w:val="21"/>
              </w:rPr>
              <w:t>能够理解“家校社合作共育”的意义、掌握其方法</w:t>
            </w:r>
          </w:p>
        </w:tc>
        <w:tc>
          <w:tcPr>
            <w:tcW w:w="1231" w:type="dxa"/>
            <w:vAlign w:val="center"/>
          </w:tcPr>
          <w:p w14:paraId="77BB82BC">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课堂讲授</w:t>
            </w:r>
          </w:p>
          <w:p w14:paraId="6F935603">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学生分享</w:t>
            </w:r>
          </w:p>
        </w:tc>
        <w:tc>
          <w:tcPr>
            <w:tcW w:w="438" w:type="dxa"/>
            <w:vAlign w:val="center"/>
          </w:tcPr>
          <w:p w14:paraId="0257AAB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6898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056994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55423930">
            <w:pPr>
              <w:keepNext w:val="0"/>
              <w:keepLines w:val="0"/>
              <w:pageBreakBefore w:val="0"/>
              <w:widowControl w:val="0"/>
              <w:kinsoku/>
              <w:wordWrap/>
              <w:overflowPunct/>
              <w:topLinePunct w:val="0"/>
              <w:autoSpaceDE/>
              <w:autoSpaceDN/>
              <w:bidi w:val="0"/>
              <w:adjustRightInd/>
              <w:snapToGrid w:val="0"/>
              <w:spacing w:line="240" w:lineRule="auto"/>
              <w:ind w:firstLine="413" w:firstLineChars="196"/>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家校社合作育人是社会主义教育价值观念的具体表现和集中反映，能够树立宏观的家校社合作育人的理念。 </w:t>
            </w:r>
          </w:p>
        </w:tc>
      </w:tr>
      <w:tr w14:paraId="2F0B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77619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中国家庭教育的现状与特点</w:t>
            </w:r>
          </w:p>
        </w:tc>
        <w:tc>
          <w:tcPr>
            <w:tcW w:w="2507" w:type="dxa"/>
            <w:vAlign w:val="center"/>
          </w:tcPr>
          <w:p w14:paraId="58C4DDBD">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中国家庭教育的现状及特点：</w:t>
            </w:r>
            <w:r>
              <w:rPr>
                <w:rFonts w:ascii="宋体" w:hAnsi="宋体" w:eastAsia="宋体" w:cs="Times New Roman"/>
                <w:color w:val="auto"/>
                <w:szCs w:val="21"/>
              </w:rPr>
              <w:t>政府主导力度越来越大</w:t>
            </w:r>
            <w:r>
              <w:rPr>
                <w:rFonts w:hint="eastAsia" w:ascii="宋体" w:hAnsi="宋体" w:eastAsia="宋体" w:cs="Times New Roman"/>
                <w:color w:val="auto"/>
                <w:szCs w:val="21"/>
              </w:rPr>
              <w:t>；</w:t>
            </w:r>
            <w:r>
              <w:rPr>
                <w:rFonts w:ascii="宋体" w:hAnsi="宋体" w:eastAsia="宋体" w:cs="Times New Roman"/>
                <w:color w:val="auto"/>
                <w:szCs w:val="21"/>
              </w:rPr>
              <w:t>社会各方支持力度日趋加大</w:t>
            </w:r>
            <w:r>
              <w:rPr>
                <w:rFonts w:hint="eastAsia" w:ascii="宋体" w:hAnsi="宋体" w:eastAsia="宋体" w:cs="Times New Roman"/>
                <w:color w:val="auto"/>
                <w:szCs w:val="21"/>
              </w:rPr>
              <w:t>；</w:t>
            </w:r>
            <w:r>
              <w:rPr>
                <w:rFonts w:ascii="宋体" w:hAnsi="宋体" w:eastAsia="宋体" w:cs="Times New Roman"/>
                <w:color w:val="auto"/>
                <w:szCs w:val="21"/>
              </w:rPr>
              <w:t>家校社合作成为普遍追求</w:t>
            </w:r>
            <w:r>
              <w:rPr>
                <w:rFonts w:hint="eastAsia" w:ascii="宋体" w:hAnsi="宋体" w:eastAsia="宋体" w:cs="Times New Roman"/>
                <w:color w:val="auto"/>
                <w:szCs w:val="21"/>
              </w:rPr>
              <w:t>；</w:t>
            </w:r>
            <w:r>
              <w:rPr>
                <w:rFonts w:ascii="宋体" w:hAnsi="宋体" w:eastAsia="宋体" w:cs="Times New Roman"/>
                <w:color w:val="auto"/>
                <w:szCs w:val="21"/>
              </w:rPr>
              <w:t>家庭教育立法进入加速期</w:t>
            </w:r>
            <w:r>
              <w:rPr>
                <w:rFonts w:hint="eastAsia" w:ascii="宋体" w:hAnsi="宋体" w:eastAsia="宋体" w:cs="Times New Roman"/>
                <w:color w:val="auto"/>
                <w:szCs w:val="21"/>
              </w:rPr>
              <w:t>；</w:t>
            </w:r>
            <w:r>
              <w:rPr>
                <w:rFonts w:ascii="宋体" w:hAnsi="宋体" w:eastAsia="宋体" w:cs="Times New Roman"/>
                <w:color w:val="auto"/>
                <w:szCs w:val="21"/>
              </w:rPr>
              <w:t>强化父母的主体责任</w:t>
            </w:r>
            <w:r>
              <w:rPr>
                <w:rFonts w:hint="eastAsia" w:ascii="宋体" w:hAnsi="宋体" w:eastAsia="宋体" w:cs="Times New Roman"/>
                <w:color w:val="auto"/>
                <w:szCs w:val="21"/>
              </w:rPr>
              <w:t>；家</w:t>
            </w:r>
            <w:r>
              <w:rPr>
                <w:rFonts w:ascii="宋体" w:hAnsi="宋体" w:eastAsia="宋体" w:cs="Times New Roman"/>
                <w:color w:val="auto"/>
                <w:szCs w:val="21"/>
              </w:rPr>
              <w:t>庭教育指导进入新媒体时代</w:t>
            </w:r>
            <w:r>
              <w:rPr>
                <w:rFonts w:hint="eastAsia" w:ascii="宋体" w:hAnsi="宋体" w:eastAsia="宋体" w:cs="Times New Roman"/>
                <w:color w:val="auto"/>
                <w:szCs w:val="21"/>
              </w:rPr>
              <w:t>；</w:t>
            </w:r>
            <w:r>
              <w:rPr>
                <w:rFonts w:ascii="宋体" w:hAnsi="宋体" w:eastAsia="宋体" w:cs="Times New Roman"/>
                <w:color w:val="auto"/>
                <w:szCs w:val="21"/>
              </w:rPr>
              <w:t>家文化开始复兴</w:t>
            </w:r>
            <w:r>
              <w:rPr>
                <w:rFonts w:hint="eastAsia" w:ascii="宋体" w:hAnsi="宋体" w:eastAsia="宋体" w:cs="Times New Roman"/>
                <w:color w:val="auto"/>
                <w:szCs w:val="21"/>
              </w:rPr>
              <w:t>。</w:t>
            </w:r>
          </w:p>
        </w:tc>
        <w:tc>
          <w:tcPr>
            <w:tcW w:w="1362" w:type="dxa"/>
            <w:vAlign w:val="center"/>
          </w:tcPr>
          <w:p w14:paraId="137B833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目标</w:t>
            </w:r>
            <w:r>
              <w:rPr>
                <w:rFonts w:hint="eastAsia" w:ascii="宋体" w:hAnsi="宋体" w:eastAsia="宋体" w:cs="Times New Roman"/>
                <w:color w:val="auto"/>
                <w:szCs w:val="21"/>
                <w:lang w:val="en-US" w:eastAsia="zh-CN"/>
              </w:rPr>
              <w:t>1、2、3</w:t>
            </w:r>
          </w:p>
        </w:tc>
        <w:tc>
          <w:tcPr>
            <w:tcW w:w="2555" w:type="dxa"/>
            <w:vAlign w:val="center"/>
          </w:tcPr>
          <w:p w14:paraId="04658982">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了解中国现阶段家庭教育的现状，领会家庭教育特点。</w:t>
            </w:r>
          </w:p>
        </w:tc>
        <w:tc>
          <w:tcPr>
            <w:tcW w:w="1231" w:type="dxa"/>
            <w:vAlign w:val="center"/>
          </w:tcPr>
          <w:p w14:paraId="4659005D">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案例观摩</w:t>
            </w:r>
          </w:p>
          <w:p w14:paraId="5F6FDC34">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小组讨论</w:t>
            </w:r>
          </w:p>
        </w:tc>
        <w:tc>
          <w:tcPr>
            <w:tcW w:w="438" w:type="dxa"/>
            <w:vAlign w:val="center"/>
          </w:tcPr>
          <w:p w14:paraId="615FB0B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1DBB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9AEDE0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7487EDD5">
            <w:pPr>
              <w:keepNext w:val="0"/>
              <w:keepLines w:val="0"/>
              <w:pageBreakBefore w:val="0"/>
              <w:widowControl w:val="0"/>
              <w:kinsoku/>
              <w:wordWrap/>
              <w:overflowPunct/>
              <w:topLinePunct w:val="0"/>
              <w:autoSpaceDE/>
              <w:autoSpaceDN/>
              <w:bidi w:val="0"/>
              <w:adjustRightInd/>
              <w:snapToGrid w:val="0"/>
              <w:spacing w:line="240" w:lineRule="auto"/>
              <w:ind w:firstLine="413" w:firstLineChars="196"/>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树立关心现实教育需求、关怀儿童的教育理念，形成调查研究的教学与研究习惯，基于事实能够科学地开展自己的教育教学工作。</w:t>
            </w:r>
          </w:p>
        </w:tc>
      </w:tr>
      <w:tr w14:paraId="113F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DC9DF5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p w14:paraId="3BDFC5B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家庭教育理论的发展与创新</w:t>
            </w:r>
          </w:p>
        </w:tc>
        <w:tc>
          <w:tcPr>
            <w:tcW w:w="2507" w:type="dxa"/>
            <w:vAlign w:val="center"/>
          </w:tcPr>
          <w:p w14:paraId="12B1240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家庭教育理论中的核心概念与基本内容</w:t>
            </w:r>
          </w:p>
          <w:p w14:paraId="30C0B20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不同阶段的家庭教育理论发展</w:t>
            </w:r>
          </w:p>
          <w:p w14:paraId="6B7AB64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当代家庭教育理论的新发展</w:t>
            </w:r>
          </w:p>
          <w:p w14:paraId="5DB04FD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家庭教育理论发展存在的主要问题</w:t>
            </w:r>
          </w:p>
          <w:p w14:paraId="4FF3907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（5）</w:t>
            </w:r>
            <w:r>
              <w:rPr>
                <w:rFonts w:ascii="宋体" w:hAnsi="宋体" w:eastAsia="宋体" w:cs="Times New Roman"/>
                <w:color w:val="auto"/>
                <w:szCs w:val="21"/>
              </w:rPr>
              <w:t>家庭教育理论的研究趋势</w:t>
            </w:r>
          </w:p>
        </w:tc>
        <w:tc>
          <w:tcPr>
            <w:tcW w:w="1362" w:type="dxa"/>
            <w:vAlign w:val="center"/>
          </w:tcPr>
          <w:p w14:paraId="4DFB241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目标</w:t>
            </w:r>
            <w:r>
              <w:rPr>
                <w:rFonts w:hint="eastAsia" w:ascii="宋体" w:hAnsi="宋体" w:eastAsia="宋体" w:cs="Times New Roman"/>
                <w:color w:val="auto"/>
                <w:szCs w:val="21"/>
                <w:lang w:val="en-US" w:eastAsia="zh-CN"/>
              </w:rPr>
              <w:t>1、2、3</w:t>
            </w:r>
          </w:p>
        </w:tc>
        <w:tc>
          <w:tcPr>
            <w:tcW w:w="2555" w:type="dxa"/>
            <w:vAlign w:val="center"/>
          </w:tcPr>
          <w:p w14:paraId="36A54D6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（1）掌握</w:t>
            </w:r>
            <w:r>
              <w:rPr>
                <w:rFonts w:ascii="宋体" w:hAnsi="宋体" w:eastAsia="宋体" w:cs="Times New Roman"/>
                <w:color w:val="auto"/>
                <w:szCs w:val="21"/>
              </w:rPr>
              <w:t>家庭教育理论中的核心概念与基本内容</w:t>
            </w:r>
          </w:p>
          <w:p w14:paraId="7E97D66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（2）理解</w:t>
            </w:r>
            <w:r>
              <w:rPr>
                <w:rFonts w:ascii="宋体" w:hAnsi="宋体" w:eastAsia="宋体" w:cs="Times New Roman"/>
                <w:color w:val="auto"/>
                <w:szCs w:val="21"/>
              </w:rPr>
              <w:t>不同阶段的家庭教育理论发展</w:t>
            </w:r>
          </w:p>
          <w:p w14:paraId="22088FF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（3）了解</w:t>
            </w:r>
            <w:r>
              <w:rPr>
                <w:rFonts w:ascii="宋体" w:hAnsi="宋体" w:eastAsia="宋体" w:cs="Times New Roman"/>
                <w:color w:val="auto"/>
                <w:szCs w:val="21"/>
              </w:rPr>
              <w:t>当代家庭教育理论的新发展</w:t>
            </w:r>
          </w:p>
          <w:p w14:paraId="3D880E9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（4）了解</w:t>
            </w:r>
            <w:r>
              <w:rPr>
                <w:rFonts w:ascii="宋体" w:hAnsi="宋体" w:eastAsia="宋体" w:cs="Times New Roman"/>
                <w:color w:val="auto"/>
                <w:szCs w:val="21"/>
              </w:rPr>
              <w:t>家庭教育理论发展存在的主要问题</w:t>
            </w:r>
          </w:p>
          <w:p w14:paraId="27A557A2">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（5）了解</w:t>
            </w:r>
            <w:r>
              <w:rPr>
                <w:rFonts w:ascii="宋体" w:hAnsi="宋体" w:eastAsia="宋体" w:cs="Times New Roman"/>
                <w:color w:val="auto"/>
                <w:szCs w:val="21"/>
              </w:rPr>
              <w:t>家庭教育理论的研究趋势</w:t>
            </w:r>
          </w:p>
        </w:tc>
        <w:tc>
          <w:tcPr>
            <w:tcW w:w="1231" w:type="dxa"/>
            <w:vAlign w:val="center"/>
          </w:tcPr>
          <w:p w14:paraId="0D1F96FB">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课堂讲授</w:t>
            </w:r>
          </w:p>
          <w:p w14:paraId="0FEFC658">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学生分享</w:t>
            </w:r>
          </w:p>
        </w:tc>
        <w:tc>
          <w:tcPr>
            <w:tcW w:w="438" w:type="dxa"/>
            <w:vAlign w:val="center"/>
          </w:tcPr>
          <w:p w14:paraId="7C98E96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1236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284868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412A6374">
            <w:pPr>
              <w:keepNext w:val="0"/>
              <w:keepLines w:val="0"/>
              <w:pageBreakBefore w:val="0"/>
              <w:widowControl w:val="0"/>
              <w:kinsoku/>
              <w:wordWrap/>
              <w:overflowPunct/>
              <w:topLinePunct w:val="0"/>
              <w:autoSpaceDE/>
              <w:autoSpaceDN/>
              <w:bidi w:val="0"/>
              <w:adjustRightInd/>
              <w:snapToGrid w:val="0"/>
              <w:spacing w:line="240" w:lineRule="auto"/>
              <w:ind w:firstLine="413" w:firstLineChars="196"/>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胸怀家国、关注中国现实，形成调查研究的教学与研究习惯，基于事实能够科学地开展自己的教育教学工作。</w:t>
            </w:r>
          </w:p>
        </w:tc>
      </w:tr>
      <w:tr w14:paraId="558B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057FC8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家庭教育的立法进程</w:t>
            </w:r>
          </w:p>
        </w:tc>
        <w:tc>
          <w:tcPr>
            <w:tcW w:w="2507" w:type="dxa"/>
            <w:vAlign w:val="center"/>
          </w:tcPr>
          <w:p w14:paraId="1A8036F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家庭教育法的背景和意义</w:t>
            </w:r>
          </w:p>
          <w:p w14:paraId="43C96C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家庭教育立法的现状与进展</w:t>
            </w:r>
          </w:p>
          <w:p w14:paraId="215D3B5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制定家庭教育法的思路与重点</w:t>
            </w:r>
          </w:p>
        </w:tc>
        <w:tc>
          <w:tcPr>
            <w:tcW w:w="1362" w:type="dxa"/>
            <w:vAlign w:val="center"/>
          </w:tcPr>
          <w:p w14:paraId="10B9762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目标</w:t>
            </w:r>
            <w:r>
              <w:rPr>
                <w:rFonts w:hint="eastAsia" w:ascii="宋体" w:hAnsi="宋体" w:eastAsia="宋体" w:cs="Times New Roman"/>
                <w:color w:val="auto"/>
                <w:szCs w:val="21"/>
                <w:lang w:val="en-US" w:eastAsia="zh-CN"/>
              </w:rPr>
              <w:t>1、2、3</w:t>
            </w:r>
          </w:p>
        </w:tc>
        <w:tc>
          <w:tcPr>
            <w:tcW w:w="2555" w:type="dxa"/>
            <w:vAlign w:val="center"/>
          </w:tcPr>
          <w:p w14:paraId="35F6AD4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1</w:t>
            </w:r>
            <w:r>
              <w:rPr>
                <w:rFonts w:ascii="宋体" w:hAnsi="宋体" w:eastAsia="宋体" w:cs="Times New Roman"/>
                <w:color w:val="auto"/>
                <w:szCs w:val="21"/>
              </w:rPr>
              <w:t>）</w:t>
            </w:r>
            <w:r>
              <w:rPr>
                <w:rFonts w:hint="eastAsia" w:ascii="宋体" w:hAnsi="宋体" w:eastAsia="宋体" w:cs="Times New Roman"/>
                <w:color w:val="auto"/>
                <w:szCs w:val="21"/>
              </w:rPr>
              <w:t>了解《</w:t>
            </w:r>
            <w:r>
              <w:rPr>
                <w:rFonts w:ascii="宋体" w:hAnsi="宋体" w:eastAsia="宋体" w:cs="Times New Roman"/>
                <w:color w:val="auto"/>
                <w:szCs w:val="21"/>
              </w:rPr>
              <w:t>家庭教育</w:t>
            </w:r>
            <w:r>
              <w:rPr>
                <w:rFonts w:hint="eastAsia" w:ascii="宋体" w:hAnsi="宋体" w:eastAsia="宋体" w:cs="Times New Roman"/>
                <w:color w:val="auto"/>
                <w:szCs w:val="21"/>
              </w:rPr>
              <w:t>促进</w:t>
            </w:r>
            <w:r>
              <w:rPr>
                <w:rFonts w:ascii="宋体" w:hAnsi="宋体" w:eastAsia="宋体" w:cs="Times New Roman"/>
                <w:color w:val="auto"/>
                <w:szCs w:val="21"/>
              </w:rPr>
              <w:t>法</w:t>
            </w:r>
            <w:r>
              <w:rPr>
                <w:rFonts w:hint="eastAsia" w:ascii="宋体" w:hAnsi="宋体" w:eastAsia="宋体" w:cs="Times New Roman"/>
                <w:color w:val="auto"/>
                <w:szCs w:val="21"/>
              </w:rPr>
              <w:t>》等国家立法</w:t>
            </w:r>
            <w:r>
              <w:rPr>
                <w:rFonts w:ascii="宋体" w:hAnsi="宋体" w:eastAsia="宋体" w:cs="Times New Roman"/>
                <w:color w:val="auto"/>
                <w:szCs w:val="21"/>
              </w:rPr>
              <w:t>背景和意义</w:t>
            </w:r>
          </w:p>
          <w:p w14:paraId="53635BD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2</w:t>
            </w:r>
            <w:r>
              <w:rPr>
                <w:rFonts w:ascii="宋体" w:hAnsi="宋体" w:eastAsia="宋体" w:cs="Times New Roman"/>
                <w:color w:val="auto"/>
                <w:szCs w:val="21"/>
              </w:rPr>
              <w:t>）</w:t>
            </w:r>
            <w:r>
              <w:rPr>
                <w:rFonts w:hint="eastAsia" w:ascii="宋体" w:hAnsi="宋体" w:eastAsia="宋体" w:cs="Times New Roman"/>
                <w:color w:val="auto"/>
                <w:szCs w:val="21"/>
              </w:rPr>
              <w:t>明确我国</w:t>
            </w:r>
            <w:r>
              <w:rPr>
                <w:rFonts w:ascii="宋体" w:hAnsi="宋体" w:eastAsia="宋体" w:cs="Times New Roman"/>
                <w:color w:val="auto"/>
                <w:szCs w:val="21"/>
              </w:rPr>
              <w:t>家庭教育立法的现状与进展</w:t>
            </w:r>
          </w:p>
          <w:p w14:paraId="25C6D3B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 w:val="24"/>
              </w:rPr>
            </w:pPr>
            <w:r>
              <w:rPr>
                <w:rFonts w:ascii="宋体" w:hAnsi="宋体" w:eastAsia="宋体" w:cs="Times New Roman"/>
                <w:color w:val="auto"/>
                <w:szCs w:val="21"/>
              </w:rPr>
              <w:t>（</w:t>
            </w:r>
            <w:r>
              <w:rPr>
                <w:rFonts w:hint="eastAsia" w:ascii="宋体" w:hAnsi="宋体" w:eastAsia="宋体" w:cs="Times New Roman"/>
                <w:color w:val="auto"/>
                <w:szCs w:val="21"/>
              </w:rPr>
              <w:t>3</w:t>
            </w:r>
            <w:r>
              <w:rPr>
                <w:rFonts w:ascii="宋体" w:hAnsi="宋体" w:eastAsia="宋体" w:cs="Times New Roman"/>
                <w:color w:val="auto"/>
                <w:szCs w:val="21"/>
              </w:rPr>
              <w:t>）</w:t>
            </w:r>
            <w:r>
              <w:rPr>
                <w:rFonts w:hint="eastAsia" w:ascii="宋体" w:hAnsi="宋体" w:eastAsia="宋体" w:cs="Times New Roman"/>
                <w:color w:val="auto"/>
                <w:szCs w:val="21"/>
              </w:rPr>
              <w:t>理解我国</w:t>
            </w:r>
            <w:r>
              <w:rPr>
                <w:rFonts w:ascii="宋体" w:hAnsi="宋体" w:eastAsia="宋体" w:cs="Times New Roman"/>
                <w:color w:val="auto"/>
                <w:szCs w:val="21"/>
              </w:rPr>
              <w:t>制定家庭教育法的思路与重点</w:t>
            </w:r>
          </w:p>
          <w:p w14:paraId="57B41AEB">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p>
        </w:tc>
        <w:tc>
          <w:tcPr>
            <w:tcW w:w="1231" w:type="dxa"/>
            <w:vAlign w:val="center"/>
          </w:tcPr>
          <w:p w14:paraId="33799F9C">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自我学习</w:t>
            </w:r>
          </w:p>
          <w:p w14:paraId="5BECEF46">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课堂分享</w:t>
            </w:r>
          </w:p>
        </w:tc>
        <w:tc>
          <w:tcPr>
            <w:tcW w:w="438" w:type="dxa"/>
            <w:vAlign w:val="center"/>
          </w:tcPr>
          <w:p w14:paraId="2BA434D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5813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C3200A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554F2389">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树立儿童教育法制观念，明确自身教师家庭教育指导的责任，能够成为国家家庭教育政策的贯彻者和践行者。 </w:t>
            </w:r>
          </w:p>
        </w:tc>
      </w:tr>
      <w:tr w14:paraId="3899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BC078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5</w:t>
            </w:r>
            <w:r>
              <w:rPr>
                <w:rFonts w:ascii="宋体" w:hAnsi="宋体" w:eastAsia="宋体" w:cs="Times New Roman"/>
                <w:color w:val="auto"/>
                <w:szCs w:val="21"/>
              </w:rPr>
              <w:t>中国家庭教育中的儿童权利保护</w:t>
            </w:r>
          </w:p>
        </w:tc>
        <w:tc>
          <w:tcPr>
            <w:tcW w:w="2507" w:type="dxa"/>
            <w:vAlign w:val="center"/>
          </w:tcPr>
          <w:p w14:paraId="21E17E81">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中国儿童权利及其家庭教育中的权利保护</w:t>
            </w:r>
          </w:p>
        </w:tc>
        <w:tc>
          <w:tcPr>
            <w:tcW w:w="1362" w:type="dxa"/>
            <w:vAlign w:val="center"/>
          </w:tcPr>
          <w:p w14:paraId="62BEDAA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目标</w:t>
            </w:r>
            <w:r>
              <w:rPr>
                <w:rFonts w:hint="eastAsia" w:ascii="宋体" w:hAnsi="宋体" w:eastAsia="宋体" w:cs="Times New Roman"/>
                <w:color w:val="auto"/>
                <w:szCs w:val="21"/>
                <w:lang w:val="en-US" w:eastAsia="zh-CN"/>
              </w:rPr>
              <w:t>1、2、3</w:t>
            </w:r>
          </w:p>
        </w:tc>
        <w:tc>
          <w:tcPr>
            <w:tcW w:w="2555" w:type="dxa"/>
            <w:vAlign w:val="center"/>
          </w:tcPr>
          <w:p w14:paraId="4ED61C1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（1）明确我国</w:t>
            </w:r>
            <w:r>
              <w:rPr>
                <w:rFonts w:ascii="宋体" w:hAnsi="宋体" w:eastAsia="宋体" w:cs="Times New Roman"/>
                <w:color w:val="auto"/>
                <w:szCs w:val="21"/>
              </w:rPr>
              <w:t>政策和法规</w:t>
            </w:r>
            <w:r>
              <w:rPr>
                <w:rFonts w:hint="eastAsia" w:ascii="宋体" w:hAnsi="宋体" w:eastAsia="宋体" w:cs="Times New Roman"/>
                <w:color w:val="auto"/>
                <w:szCs w:val="21"/>
              </w:rPr>
              <w:t>规定的儿童权利及其教师责任</w:t>
            </w:r>
          </w:p>
          <w:p w14:paraId="06FFA04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（2）能够通过自身行动贯彻落实我国儿童权利保护</w:t>
            </w:r>
          </w:p>
          <w:p w14:paraId="17B39C8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w:t>
            </w:r>
            <w:r>
              <w:rPr>
                <w:rFonts w:hint="eastAsia" w:ascii="宋体" w:hAnsi="宋体" w:eastAsia="宋体" w:cs="Times New Roman"/>
                <w:color w:val="auto"/>
                <w:szCs w:val="21"/>
              </w:rPr>
              <w:t>）学会指导</w:t>
            </w:r>
            <w:r>
              <w:rPr>
                <w:rFonts w:ascii="宋体" w:hAnsi="宋体" w:eastAsia="宋体" w:cs="Times New Roman"/>
                <w:color w:val="auto"/>
                <w:szCs w:val="21"/>
              </w:rPr>
              <w:t>家庭教育中的儿童权利保护</w:t>
            </w:r>
          </w:p>
        </w:tc>
        <w:tc>
          <w:tcPr>
            <w:tcW w:w="1231" w:type="dxa"/>
            <w:vAlign w:val="center"/>
          </w:tcPr>
          <w:p w14:paraId="6089BD3D">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案例观摩</w:t>
            </w:r>
          </w:p>
        </w:tc>
        <w:tc>
          <w:tcPr>
            <w:tcW w:w="438" w:type="dxa"/>
            <w:vAlign w:val="center"/>
          </w:tcPr>
          <w:p w14:paraId="1F2DBC3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2698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5CEBAE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66E627F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树立正确的儿童观，树立儿童权利保护意识、教育法律观念，强化教师职业信念，弘扬师德、师爱，爱护儿童，帮助儿童健康快乐成长。</w:t>
            </w:r>
          </w:p>
        </w:tc>
      </w:tr>
      <w:tr w14:paraId="6903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C4F868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Times New Roman"/>
                <w:b/>
                <w:bCs/>
                <w:color w:val="auto"/>
                <w:szCs w:val="21"/>
              </w:rPr>
            </w:pPr>
            <w:r>
              <w:rPr>
                <w:rFonts w:hint="eastAsia" w:ascii="宋体" w:hAnsi="宋体" w:eastAsia="宋体" w:cs="Times New Roman"/>
                <w:color w:val="auto"/>
                <w:szCs w:val="21"/>
              </w:rPr>
              <w:t>6.</w:t>
            </w:r>
            <w:r>
              <w:rPr>
                <w:rFonts w:ascii="宋体" w:hAnsi="宋体" w:eastAsia="宋体" w:cs="Times New Roman"/>
                <w:color w:val="auto"/>
                <w:szCs w:val="21"/>
              </w:rPr>
              <w:t>独生子女和二孩政策</w:t>
            </w:r>
            <w:r>
              <w:rPr>
                <w:rFonts w:hint="eastAsia" w:ascii="宋体" w:hAnsi="宋体" w:eastAsia="宋体" w:cs="Times New Roman"/>
                <w:color w:val="auto"/>
                <w:szCs w:val="21"/>
              </w:rPr>
              <w:t>及其对</w:t>
            </w:r>
            <w:r>
              <w:rPr>
                <w:rFonts w:ascii="宋体" w:hAnsi="宋体" w:eastAsia="宋体" w:cs="Times New Roman"/>
                <w:color w:val="auto"/>
                <w:szCs w:val="21"/>
              </w:rPr>
              <w:t>家庭教育的影响</w:t>
            </w:r>
          </w:p>
          <w:p w14:paraId="21E8C2F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tc>
        <w:tc>
          <w:tcPr>
            <w:tcW w:w="2507" w:type="dxa"/>
            <w:vAlign w:val="center"/>
          </w:tcPr>
          <w:p w14:paraId="798C09A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（1）家庭的结构类型</w:t>
            </w:r>
          </w:p>
          <w:p w14:paraId="0C5AD43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 w:val="24"/>
              </w:rPr>
            </w:pPr>
            <w:r>
              <w:rPr>
                <w:rFonts w:hint="eastAsia" w:ascii="宋体" w:hAnsi="宋体" w:eastAsia="宋体" w:cs="Times New Roman"/>
                <w:color w:val="auto"/>
                <w:szCs w:val="21"/>
              </w:rPr>
              <w:t>（2）现阶段少子化时代的家庭教育现状</w:t>
            </w:r>
          </w:p>
        </w:tc>
        <w:tc>
          <w:tcPr>
            <w:tcW w:w="1362" w:type="dxa"/>
            <w:vAlign w:val="center"/>
          </w:tcPr>
          <w:p w14:paraId="138BEA5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目标</w:t>
            </w:r>
            <w:r>
              <w:rPr>
                <w:rFonts w:hint="eastAsia" w:ascii="宋体" w:hAnsi="宋体" w:eastAsia="宋体" w:cs="Times New Roman"/>
                <w:color w:val="auto"/>
                <w:szCs w:val="21"/>
                <w:lang w:val="en-US" w:eastAsia="zh-CN"/>
              </w:rPr>
              <w:t>1、2、3</w:t>
            </w:r>
          </w:p>
        </w:tc>
        <w:tc>
          <w:tcPr>
            <w:tcW w:w="2555" w:type="dxa"/>
            <w:vAlign w:val="center"/>
          </w:tcPr>
          <w:p w14:paraId="79AAEE5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（1）掌握家庭的结构类型</w:t>
            </w:r>
          </w:p>
          <w:p w14:paraId="2D856EE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（2）了解现阶段少子化时代特点：独生子女和二孩政策</w:t>
            </w:r>
          </w:p>
          <w:p w14:paraId="72FD10F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（3）家庭教育的结构动力学分析及思考</w:t>
            </w:r>
          </w:p>
        </w:tc>
        <w:tc>
          <w:tcPr>
            <w:tcW w:w="1231" w:type="dxa"/>
            <w:vAlign w:val="center"/>
          </w:tcPr>
          <w:p w14:paraId="71802379">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学生分享</w:t>
            </w:r>
          </w:p>
        </w:tc>
        <w:tc>
          <w:tcPr>
            <w:tcW w:w="438" w:type="dxa"/>
            <w:vAlign w:val="center"/>
          </w:tcPr>
          <w:p w14:paraId="5BDDDA0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4748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E3E29A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71CFADB9">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胸怀家国、关注现实，责任担当，能够认识到自身的教师社会责任。</w:t>
            </w:r>
          </w:p>
        </w:tc>
      </w:tr>
      <w:tr w14:paraId="4111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382163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7.</w:t>
            </w:r>
            <w:r>
              <w:rPr>
                <w:rFonts w:ascii="宋体" w:hAnsi="宋体" w:eastAsia="宋体" w:cs="Times New Roman"/>
                <w:color w:val="auto"/>
                <w:szCs w:val="21"/>
              </w:rPr>
              <w:t>家庭中祖辈参与教养的现状与特点</w:t>
            </w:r>
          </w:p>
          <w:p w14:paraId="709AD20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tc>
        <w:tc>
          <w:tcPr>
            <w:tcW w:w="2507" w:type="dxa"/>
            <w:vAlign w:val="center"/>
          </w:tcPr>
          <w:p w14:paraId="7E777FF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家庭中常见的家庭教养模式</w:t>
            </w:r>
          </w:p>
          <w:p w14:paraId="497661C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家庭教养中祖辈参与</w:t>
            </w:r>
            <w:r>
              <w:rPr>
                <w:rFonts w:hint="eastAsia" w:ascii="宋体" w:hAnsi="宋体" w:eastAsia="宋体" w:cs="Times New Roman"/>
                <w:color w:val="auto"/>
                <w:szCs w:val="21"/>
              </w:rPr>
              <w:t>教养的意义、现状、问题及建议</w:t>
            </w:r>
          </w:p>
        </w:tc>
        <w:tc>
          <w:tcPr>
            <w:tcW w:w="1362" w:type="dxa"/>
            <w:vAlign w:val="center"/>
          </w:tcPr>
          <w:p w14:paraId="5D92112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目标</w:t>
            </w:r>
            <w:r>
              <w:rPr>
                <w:rFonts w:hint="eastAsia" w:ascii="宋体" w:hAnsi="宋体" w:eastAsia="宋体" w:cs="Times New Roman"/>
                <w:color w:val="auto"/>
                <w:szCs w:val="21"/>
                <w:lang w:val="en-US" w:eastAsia="zh-CN"/>
              </w:rPr>
              <w:t>1、2、3</w:t>
            </w:r>
          </w:p>
        </w:tc>
        <w:tc>
          <w:tcPr>
            <w:tcW w:w="2555" w:type="dxa"/>
            <w:vAlign w:val="center"/>
          </w:tcPr>
          <w:p w14:paraId="47A889F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1</w:t>
            </w:r>
            <w:r>
              <w:rPr>
                <w:rFonts w:ascii="宋体" w:hAnsi="宋体" w:eastAsia="宋体" w:cs="Times New Roman"/>
                <w:color w:val="auto"/>
                <w:szCs w:val="21"/>
              </w:rPr>
              <w:t>）</w:t>
            </w:r>
            <w:r>
              <w:rPr>
                <w:rFonts w:hint="eastAsia" w:ascii="宋体" w:hAnsi="宋体" w:eastAsia="宋体" w:cs="Times New Roman"/>
                <w:color w:val="auto"/>
                <w:szCs w:val="21"/>
              </w:rPr>
              <w:t>掌握</w:t>
            </w:r>
            <w:r>
              <w:rPr>
                <w:rFonts w:ascii="宋体" w:hAnsi="宋体" w:eastAsia="宋体" w:cs="Times New Roman"/>
                <w:color w:val="auto"/>
                <w:szCs w:val="21"/>
              </w:rPr>
              <w:t>家庭中常见的家庭教养模式</w:t>
            </w:r>
          </w:p>
          <w:p w14:paraId="27C1942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2</w:t>
            </w:r>
            <w:r>
              <w:rPr>
                <w:rFonts w:ascii="宋体" w:hAnsi="宋体" w:eastAsia="宋体" w:cs="Times New Roman"/>
                <w:color w:val="auto"/>
                <w:szCs w:val="21"/>
              </w:rPr>
              <w:t>）</w:t>
            </w:r>
            <w:r>
              <w:rPr>
                <w:rFonts w:hint="eastAsia" w:ascii="宋体" w:hAnsi="宋体" w:eastAsia="宋体" w:cs="Times New Roman"/>
                <w:color w:val="auto"/>
                <w:szCs w:val="21"/>
              </w:rPr>
              <w:t>理解</w:t>
            </w:r>
            <w:r>
              <w:rPr>
                <w:rFonts w:ascii="宋体" w:hAnsi="宋体" w:eastAsia="宋体" w:cs="Times New Roman"/>
                <w:color w:val="auto"/>
                <w:szCs w:val="21"/>
              </w:rPr>
              <w:t>中国家庭教养中祖辈参与教养的</w:t>
            </w:r>
            <w:r>
              <w:rPr>
                <w:rFonts w:hint="eastAsia" w:ascii="宋体" w:hAnsi="宋体" w:eastAsia="宋体" w:cs="Times New Roman"/>
                <w:color w:val="auto"/>
                <w:szCs w:val="21"/>
              </w:rPr>
              <w:t>意义、</w:t>
            </w:r>
            <w:r>
              <w:rPr>
                <w:rFonts w:ascii="宋体" w:hAnsi="宋体" w:eastAsia="宋体" w:cs="Times New Roman"/>
                <w:color w:val="auto"/>
                <w:szCs w:val="21"/>
              </w:rPr>
              <w:t>现状、问题及建议</w:t>
            </w:r>
          </w:p>
        </w:tc>
        <w:tc>
          <w:tcPr>
            <w:tcW w:w="1231" w:type="dxa"/>
            <w:vAlign w:val="center"/>
          </w:tcPr>
          <w:p w14:paraId="485EA58B">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学生分享</w:t>
            </w:r>
          </w:p>
        </w:tc>
        <w:tc>
          <w:tcPr>
            <w:tcW w:w="438" w:type="dxa"/>
            <w:vAlign w:val="center"/>
          </w:tcPr>
          <w:p w14:paraId="7201907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601C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0713F0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238C8022">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w:t>
            </w:r>
            <w:r>
              <w:rPr>
                <w:rFonts w:ascii="宋体" w:hAnsi="宋体" w:eastAsia="宋体" w:cs="Times New Roman"/>
                <w:color w:val="auto"/>
                <w:szCs w:val="21"/>
              </w:rPr>
              <w:t>胸怀家国、</w:t>
            </w:r>
            <w:r>
              <w:rPr>
                <w:rFonts w:hint="eastAsia" w:ascii="宋体" w:hAnsi="宋体" w:eastAsia="宋体" w:cs="Times New Roman"/>
                <w:color w:val="auto"/>
                <w:szCs w:val="21"/>
              </w:rPr>
              <w:t>关注现实，责任担当，能够认识到自身作为教师的社会责任。</w:t>
            </w:r>
          </w:p>
        </w:tc>
      </w:tr>
      <w:tr w14:paraId="1EC6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D3BE02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Times New Roman"/>
                <w:b/>
                <w:bCs/>
                <w:color w:val="auto"/>
                <w:sz w:val="24"/>
              </w:rPr>
            </w:pPr>
            <w:r>
              <w:rPr>
                <w:rFonts w:hint="eastAsia" w:ascii="宋体" w:hAnsi="宋体" w:eastAsia="宋体" w:cs="Times New Roman"/>
                <w:color w:val="auto"/>
                <w:szCs w:val="21"/>
              </w:rPr>
              <w:t>8.</w:t>
            </w:r>
            <w:r>
              <w:rPr>
                <w:rFonts w:ascii="宋体" w:hAnsi="宋体" w:eastAsia="宋体" w:cs="Times New Roman"/>
                <w:color w:val="auto"/>
                <w:szCs w:val="21"/>
              </w:rPr>
              <w:t>家风家训与中国传统家教文化的弘扬</w:t>
            </w:r>
          </w:p>
          <w:p w14:paraId="3D12D91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tc>
        <w:tc>
          <w:tcPr>
            <w:tcW w:w="2507" w:type="dxa"/>
            <w:vAlign w:val="center"/>
          </w:tcPr>
          <w:p w14:paraId="171E0AB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（1）中国传统家训文化及其研究进展</w:t>
            </w:r>
          </w:p>
          <w:p w14:paraId="768CCD8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（2）中国优秀家风及其建设研究</w:t>
            </w:r>
          </w:p>
        </w:tc>
        <w:tc>
          <w:tcPr>
            <w:tcW w:w="1362" w:type="dxa"/>
            <w:vAlign w:val="center"/>
          </w:tcPr>
          <w:p w14:paraId="12B60B8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目标</w:t>
            </w:r>
            <w:r>
              <w:rPr>
                <w:rFonts w:hint="eastAsia" w:ascii="宋体" w:hAnsi="宋体" w:eastAsia="宋体" w:cs="Times New Roman"/>
                <w:color w:val="auto"/>
                <w:szCs w:val="21"/>
                <w:lang w:val="en-US" w:eastAsia="zh-CN"/>
              </w:rPr>
              <w:t>1、2、3</w:t>
            </w:r>
          </w:p>
        </w:tc>
        <w:tc>
          <w:tcPr>
            <w:tcW w:w="2555" w:type="dxa"/>
            <w:vAlign w:val="center"/>
          </w:tcPr>
          <w:p w14:paraId="6CE56FE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1</w:t>
            </w:r>
            <w:r>
              <w:rPr>
                <w:rFonts w:ascii="宋体" w:hAnsi="宋体" w:eastAsia="宋体" w:cs="Times New Roman"/>
                <w:color w:val="auto"/>
                <w:szCs w:val="21"/>
              </w:rPr>
              <w:t>）</w:t>
            </w:r>
            <w:r>
              <w:rPr>
                <w:rFonts w:hint="eastAsia" w:ascii="宋体" w:hAnsi="宋体" w:eastAsia="宋体" w:cs="Times New Roman"/>
                <w:color w:val="auto"/>
                <w:szCs w:val="21"/>
              </w:rPr>
              <w:t>理解中国传统家训文化及其研究进展</w:t>
            </w:r>
          </w:p>
          <w:p w14:paraId="390277F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 w:val="24"/>
              </w:rPr>
            </w:pPr>
            <w:r>
              <w:rPr>
                <w:rFonts w:ascii="宋体" w:hAnsi="宋体" w:eastAsia="宋体" w:cs="Times New Roman"/>
                <w:color w:val="auto"/>
                <w:szCs w:val="21"/>
              </w:rPr>
              <w:t>（</w:t>
            </w:r>
            <w:r>
              <w:rPr>
                <w:rFonts w:hint="eastAsia" w:ascii="宋体" w:hAnsi="宋体" w:eastAsia="宋体" w:cs="Times New Roman"/>
                <w:color w:val="auto"/>
                <w:szCs w:val="21"/>
              </w:rPr>
              <w:t>2）理解中国优秀家风及其建设研究</w:t>
            </w:r>
          </w:p>
        </w:tc>
        <w:tc>
          <w:tcPr>
            <w:tcW w:w="1231" w:type="dxa"/>
            <w:vAlign w:val="center"/>
          </w:tcPr>
          <w:p w14:paraId="2EC0F534">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案例观摩</w:t>
            </w:r>
          </w:p>
          <w:p w14:paraId="3B8BA7C1">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课堂交流</w:t>
            </w:r>
          </w:p>
        </w:tc>
        <w:tc>
          <w:tcPr>
            <w:tcW w:w="438" w:type="dxa"/>
            <w:vAlign w:val="center"/>
          </w:tcPr>
          <w:p w14:paraId="77AF651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4E3CC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F8F05B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3CDB905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植根中华优秀传统文化，厚植爱国主义情怀，传承中华优秀传统文化尤其是家教家风，为国育人、为党育人。</w:t>
            </w:r>
          </w:p>
        </w:tc>
      </w:tr>
      <w:tr w14:paraId="5D44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C756BA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 w:val="21"/>
                <w:szCs w:val="21"/>
              </w:rPr>
              <w:t>9.</w:t>
            </w:r>
            <w:r>
              <w:rPr>
                <w:rFonts w:ascii="宋体" w:hAnsi="宋体" w:eastAsia="宋体" w:cs="Times New Roman"/>
                <w:color w:val="auto"/>
                <w:sz w:val="21"/>
                <w:szCs w:val="21"/>
              </w:rPr>
              <w:t>亲子共读实践</w:t>
            </w:r>
          </w:p>
        </w:tc>
        <w:tc>
          <w:tcPr>
            <w:tcW w:w="2507" w:type="dxa"/>
            <w:vAlign w:val="center"/>
          </w:tcPr>
          <w:p w14:paraId="0FB0B7A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bookmarkStart w:id="332" w:name="_Hlk151567357"/>
            <w:r>
              <w:rPr>
                <w:rFonts w:hint="eastAsia" w:ascii="宋体" w:hAnsi="宋体" w:eastAsia="宋体" w:cs="Times New Roman"/>
                <w:color w:val="auto"/>
                <w:szCs w:val="21"/>
              </w:rPr>
              <w:t>（1）</w:t>
            </w:r>
            <w:r>
              <w:rPr>
                <w:rFonts w:ascii="宋体" w:hAnsi="宋体" w:eastAsia="宋体" w:cs="Times New Roman"/>
                <w:color w:val="auto"/>
                <w:szCs w:val="21"/>
              </w:rPr>
              <w:t>亲子共读的特点</w:t>
            </w:r>
            <w:r>
              <w:rPr>
                <w:rFonts w:hint="eastAsia" w:ascii="宋体" w:hAnsi="宋体" w:eastAsia="宋体" w:cs="Times New Roman"/>
                <w:color w:val="auto"/>
                <w:szCs w:val="21"/>
              </w:rPr>
              <w:t>、方式</w:t>
            </w:r>
          </w:p>
          <w:p w14:paraId="0983039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 w:val="24"/>
              </w:rPr>
            </w:pPr>
            <w:r>
              <w:rPr>
                <w:rFonts w:hint="eastAsia" w:ascii="宋体" w:hAnsi="宋体" w:eastAsia="宋体" w:cs="Times New Roman"/>
                <w:color w:val="auto"/>
                <w:szCs w:val="21"/>
              </w:rPr>
              <w:t>（2）亲子共读的现存问题及社会探索</w:t>
            </w:r>
            <w:bookmarkEnd w:id="332"/>
          </w:p>
        </w:tc>
        <w:tc>
          <w:tcPr>
            <w:tcW w:w="1362" w:type="dxa"/>
            <w:vAlign w:val="center"/>
          </w:tcPr>
          <w:p w14:paraId="022CD9D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目标</w:t>
            </w:r>
            <w:r>
              <w:rPr>
                <w:rFonts w:hint="eastAsia" w:ascii="宋体" w:hAnsi="宋体" w:eastAsia="宋体" w:cs="Times New Roman"/>
                <w:color w:val="auto"/>
                <w:szCs w:val="21"/>
                <w:lang w:val="en-US" w:eastAsia="zh-CN"/>
              </w:rPr>
              <w:t>1、2、3</w:t>
            </w:r>
          </w:p>
        </w:tc>
        <w:tc>
          <w:tcPr>
            <w:tcW w:w="2555" w:type="dxa"/>
            <w:vAlign w:val="center"/>
          </w:tcPr>
          <w:p w14:paraId="0DAD28B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（1）掌握</w:t>
            </w:r>
            <w:r>
              <w:rPr>
                <w:rFonts w:ascii="宋体" w:hAnsi="宋体" w:eastAsia="宋体" w:cs="Times New Roman"/>
                <w:color w:val="auto"/>
                <w:szCs w:val="21"/>
              </w:rPr>
              <w:t>亲子共读的特点</w:t>
            </w:r>
            <w:r>
              <w:rPr>
                <w:rFonts w:hint="eastAsia" w:ascii="宋体" w:hAnsi="宋体" w:eastAsia="宋体" w:cs="Times New Roman"/>
                <w:color w:val="auto"/>
                <w:szCs w:val="21"/>
              </w:rPr>
              <w:t>、方式</w:t>
            </w:r>
          </w:p>
          <w:p w14:paraId="46FF4BF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（2）了解亲子共读的现存问题及社会探索</w:t>
            </w:r>
          </w:p>
          <w:p w14:paraId="4B11697E">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p>
        </w:tc>
        <w:tc>
          <w:tcPr>
            <w:tcW w:w="1231" w:type="dxa"/>
            <w:vAlign w:val="center"/>
          </w:tcPr>
          <w:p w14:paraId="7608D3CC">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学生调查</w:t>
            </w:r>
          </w:p>
          <w:p w14:paraId="4BB22ED2">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课堂交流</w:t>
            </w:r>
          </w:p>
        </w:tc>
        <w:tc>
          <w:tcPr>
            <w:tcW w:w="438" w:type="dxa"/>
            <w:vAlign w:val="center"/>
          </w:tcPr>
          <w:p w14:paraId="0DBB15E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0686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05" w:type="dxa"/>
            <w:vMerge w:val="continue"/>
            <w:vAlign w:val="center"/>
          </w:tcPr>
          <w:p w14:paraId="2AE967A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573AD18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关心教育现实、立足社会实践，积极投身儿童教育事业，积极为家庭提供教育指导服务。</w:t>
            </w:r>
          </w:p>
        </w:tc>
      </w:tr>
    </w:tbl>
    <w:p w14:paraId="75C0BFE3">
      <w:pPr>
        <w:spacing w:line="360" w:lineRule="auto"/>
        <w:jc w:val="left"/>
        <w:rPr>
          <w:rFonts w:ascii="Times New Roman" w:hAnsi="Times New Roman" w:eastAsia="宋体" w:cs="Times New Roman"/>
          <w:color w:val="auto"/>
          <w:sz w:val="24"/>
        </w:rPr>
      </w:pPr>
      <w:r>
        <w:rPr>
          <w:rFonts w:hint="eastAsia" w:ascii="宋体" w:hAnsi="宋体" w:eastAsia="宋体" w:cs="Times New Roman"/>
          <w:b/>
          <w:color w:val="auto"/>
          <w:sz w:val="24"/>
        </w:rPr>
        <w:t>四、目标评价与成绩评定</w:t>
      </w:r>
    </w:p>
    <w:p w14:paraId="7E8E50F6">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34C4E3FB">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p w14:paraId="5B21CE84">
      <w:pPr>
        <w:spacing w:line="360" w:lineRule="auto"/>
        <w:ind w:firstLine="420" w:firstLineChars="200"/>
        <w:jc w:val="left"/>
        <w:rPr>
          <w:rFonts w:ascii="Times New Roman" w:hAnsi="Times New Roman" w:eastAsia="宋体" w:cs="Times New Roman"/>
          <w:color w:val="auto"/>
          <w:szCs w:val="21"/>
        </w:rPr>
      </w:pPr>
    </w:p>
    <w:p w14:paraId="11548D05">
      <w:pPr>
        <w:spacing w:line="360" w:lineRule="auto"/>
        <w:ind w:firstLine="420" w:firstLineChars="200"/>
        <w:jc w:val="left"/>
        <w:rPr>
          <w:rFonts w:ascii="Times New Roman" w:hAnsi="Times New Roman" w:eastAsia="宋体" w:cs="Times New Roman"/>
          <w:color w:val="auto"/>
          <w:szCs w:val="21"/>
        </w:rPr>
      </w:pP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0"/>
        <w:gridCol w:w="1834"/>
        <w:gridCol w:w="1834"/>
        <w:gridCol w:w="1834"/>
        <w:gridCol w:w="1032"/>
      </w:tblGrid>
      <w:tr w14:paraId="30F8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5C76A4C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0" w:type="auto"/>
            <w:gridSpan w:val="3"/>
            <w:vAlign w:val="center"/>
          </w:tcPr>
          <w:p w14:paraId="4E48DF1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37FBC51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0024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D963EFD">
            <w:pPr>
              <w:spacing w:line="360" w:lineRule="auto"/>
              <w:jc w:val="center"/>
              <w:rPr>
                <w:rFonts w:hint="eastAsia" w:ascii="宋体" w:hAnsi="宋体" w:eastAsia="宋体" w:cs="Times New Roman"/>
                <w:color w:val="auto"/>
                <w:szCs w:val="21"/>
              </w:rPr>
            </w:pPr>
          </w:p>
        </w:tc>
        <w:tc>
          <w:tcPr>
            <w:tcW w:w="1834" w:type="dxa"/>
            <w:vAlign w:val="center"/>
          </w:tcPr>
          <w:p w14:paraId="0752A98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1834" w:type="dxa"/>
            <w:vAlign w:val="center"/>
          </w:tcPr>
          <w:p w14:paraId="769E91E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1834" w:type="dxa"/>
            <w:vAlign w:val="center"/>
          </w:tcPr>
          <w:p w14:paraId="6FD2FED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0" w:type="auto"/>
            <w:vMerge w:val="continue"/>
            <w:vAlign w:val="center"/>
          </w:tcPr>
          <w:p w14:paraId="78E1D7A0">
            <w:pPr>
              <w:spacing w:line="360" w:lineRule="auto"/>
              <w:jc w:val="center"/>
              <w:rPr>
                <w:rFonts w:hint="eastAsia" w:ascii="宋体" w:hAnsi="宋体" w:eastAsia="宋体" w:cs="Times New Roman"/>
                <w:color w:val="auto"/>
                <w:szCs w:val="21"/>
              </w:rPr>
            </w:pPr>
          </w:p>
        </w:tc>
      </w:tr>
      <w:tr w14:paraId="375C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65303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834" w:type="dxa"/>
            <w:vAlign w:val="center"/>
          </w:tcPr>
          <w:p w14:paraId="559D0DD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834" w:type="dxa"/>
          </w:tcPr>
          <w:p w14:paraId="7532FA8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834" w:type="dxa"/>
            <w:vAlign w:val="center"/>
          </w:tcPr>
          <w:p w14:paraId="50458F4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0" w:type="auto"/>
            <w:vAlign w:val="center"/>
          </w:tcPr>
          <w:p w14:paraId="48C144E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3251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412AF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834" w:type="dxa"/>
            <w:vAlign w:val="center"/>
          </w:tcPr>
          <w:p w14:paraId="138F2C9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834" w:type="dxa"/>
          </w:tcPr>
          <w:p w14:paraId="4F94DEF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834" w:type="dxa"/>
            <w:vAlign w:val="center"/>
          </w:tcPr>
          <w:p w14:paraId="06A2582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0" w:type="auto"/>
            <w:vAlign w:val="center"/>
          </w:tcPr>
          <w:p w14:paraId="04540AD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1D3C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F05B8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1834" w:type="dxa"/>
            <w:vAlign w:val="center"/>
          </w:tcPr>
          <w:p w14:paraId="712F3DE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834" w:type="dxa"/>
          </w:tcPr>
          <w:p w14:paraId="3231F56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834" w:type="dxa"/>
            <w:vAlign w:val="center"/>
          </w:tcPr>
          <w:p w14:paraId="72D4A5F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0" w:type="auto"/>
            <w:vAlign w:val="center"/>
          </w:tcPr>
          <w:p w14:paraId="236CA46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3709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6FA70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834" w:type="dxa"/>
            <w:vAlign w:val="center"/>
          </w:tcPr>
          <w:p w14:paraId="67DCD91D">
            <w:pPr>
              <w:spacing w:line="360" w:lineRule="auto"/>
              <w:jc w:val="center"/>
              <w:rPr>
                <w:rFonts w:hint="eastAsia" w:ascii="宋体" w:hAnsi="宋体" w:eastAsia="宋体" w:cs="Times New Roman"/>
                <w:color w:val="auto"/>
                <w:szCs w:val="21"/>
              </w:rPr>
            </w:pPr>
          </w:p>
        </w:tc>
        <w:tc>
          <w:tcPr>
            <w:tcW w:w="1834" w:type="dxa"/>
            <w:vAlign w:val="center"/>
          </w:tcPr>
          <w:p w14:paraId="457D488F">
            <w:pPr>
              <w:spacing w:line="360" w:lineRule="auto"/>
              <w:jc w:val="center"/>
              <w:rPr>
                <w:rFonts w:hint="eastAsia" w:ascii="宋体" w:hAnsi="宋体" w:eastAsia="宋体" w:cs="Times New Roman"/>
                <w:color w:val="auto"/>
                <w:szCs w:val="21"/>
              </w:rPr>
            </w:pPr>
          </w:p>
        </w:tc>
        <w:tc>
          <w:tcPr>
            <w:tcW w:w="1834" w:type="dxa"/>
            <w:vAlign w:val="center"/>
          </w:tcPr>
          <w:p w14:paraId="16E6A443">
            <w:pPr>
              <w:spacing w:line="360" w:lineRule="auto"/>
              <w:jc w:val="center"/>
              <w:rPr>
                <w:rFonts w:hint="eastAsia" w:ascii="宋体" w:hAnsi="宋体" w:eastAsia="宋体" w:cs="Times New Roman"/>
                <w:color w:val="auto"/>
                <w:szCs w:val="21"/>
              </w:rPr>
            </w:pPr>
          </w:p>
        </w:tc>
        <w:tc>
          <w:tcPr>
            <w:tcW w:w="0" w:type="auto"/>
            <w:vAlign w:val="center"/>
          </w:tcPr>
          <w:p w14:paraId="755B521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3EC4ED60">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23D356EA">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6434"/>
        <w:gridCol w:w="706"/>
      </w:tblGrid>
      <w:tr w14:paraId="6901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14:paraId="67FA92C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434" w:type="dxa"/>
            <w:vAlign w:val="center"/>
          </w:tcPr>
          <w:p w14:paraId="12DEE37F">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0BCA3FE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13C7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14:paraId="71C669CA">
            <w:pPr>
              <w:snapToGrid w:val="0"/>
              <w:spacing w:line="288" w:lineRule="auto"/>
              <w:jc w:val="center"/>
              <w:rPr>
                <w:rFonts w:ascii="Times New Roman" w:hAnsi="Times New Roman" w:eastAsia="宋体" w:cs="Times New Roman"/>
                <w:color w:val="auto"/>
                <w:szCs w:val="21"/>
              </w:rPr>
            </w:pPr>
            <w:r>
              <w:rPr>
                <w:rFonts w:hint="eastAsia" w:ascii="宋体" w:hAnsi="宋体" w:eastAsia="宋体" w:cs="Times New Roman"/>
                <w:color w:val="auto"/>
                <w:szCs w:val="21"/>
              </w:rPr>
              <w:t>课堂表现及</w:t>
            </w:r>
            <w:r>
              <w:rPr>
                <w:rFonts w:ascii="宋体" w:hAnsi="宋体" w:eastAsia="宋体" w:cs="Times New Roman"/>
                <w:color w:val="auto"/>
                <w:szCs w:val="21"/>
              </w:rPr>
              <w:t>平时作业</w:t>
            </w:r>
          </w:p>
        </w:tc>
        <w:tc>
          <w:tcPr>
            <w:tcW w:w="6434" w:type="dxa"/>
            <w:vAlign w:val="center"/>
          </w:tcPr>
          <w:p w14:paraId="63D5548E">
            <w:pPr>
              <w:snapToGrid w:val="0"/>
              <w:spacing w:line="288" w:lineRule="auto"/>
              <w:rPr>
                <w:rFonts w:hint="eastAsia" w:ascii="宋体" w:hAnsi="宋体" w:eastAsia="宋体" w:cs="Times New Roman"/>
                <w:color w:val="auto"/>
                <w:szCs w:val="21"/>
              </w:rPr>
            </w:pPr>
            <w:r>
              <w:rPr>
                <w:rFonts w:hint="eastAsia" w:ascii="宋体" w:hAnsi="宋体" w:eastAsia="宋体" w:cs="Times New Roman"/>
                <w:color w:val="auto"/>
                <w:szCs w:val="21"/>
              </w:rPr>
              <w:t>课堂表现占</w:t>
            </w:r>
            <w:r>
              <w:rPr>
                <w:rFonts w:ascii="宋体" w:hAnsi="宋体" w:eastAsia="宋体" w:cs="Times New Roman"/>
                <w:color w:val="auto"/>
                <w:szCs w:val="21"/>
              </w:rPr>
              <w:t>4</w:t>
            </w:r>
            <w:r>
              <w:rPr>
                <w:rFonts w:hint="eastAsia" w:ascii="宋体" w:hAnsi="宋体" w:eastAsia="宋体" w:cs="Times New Roman"/>
                <w:color w:val="auto"/>
                <w:szCs w:val="21"/>
              </w:rPr>
              <w:t>0%，平时作业占</w:t>
            </w:r>
            <w:r>
              <w:rPr>
                <w:rFonts w:ascii="宋体" w:hAnsi="宋体" w:eastAsia="宋体" w:cs="Times New Roman"/>
                <w:color w:val="auto"/>
                <w:szCs w:val="21"/>
              </w:rPr>
              <w:t>6</w:t>
            </w:r>
            <w:r>
              <w:rPr>
                <w:rFonts w:hint="eastAsia" w:ascii="宋体" w:hAnsi="宋体" w:eastAsia="宋体" w:cs="Times New Roman"/>
                <w:color w:val="auto"/>
                <w:szCs w:val="21"/>
              </w:rPr>
              <w:t>0%。</w:t>
            </w:r>
          </w:p>
          <w:p w14:paraId="0A19B444">
            <w:pPr>
              <w:snapToGrid w:val="0"/>
              <w:spacing w:line="288" w:lineRule="auto"/>
              <w:rPr>
                <w:rFonts w:hint="eastAsia" w:ascii="宋体" w:hAnsi="宋体" w:eastAsia="宋体" w:cs="Times New Roman"/>
                <w:color w:val="auto"/>
                <w:szCs w:val="21"/>
              </w:rPr>
            </w:pPr>
            <w:r>
              <w:rPr>
                <w:rFonts w:hint="eastAsia" w:ascii="宋体" w:hAnsi="宋体" w:eastAsia="宋体" w:cs="Times New Roman"/>
                <w:color w:val="auto"/>
                <w:szCs w:val="21"/>
              </w:rPr>
              <w:t>课堂表现：课堂考勤和课上表现。</w:t>
            </w:r>
          </w:p>
          <w:p w14:paraId="17253EAA">
            <w:pPr>
              <w:spacing w:line="264" w:lineRule="auto"/>
              <w:jc w:val="left"/>
              <w:rPr>
                <w:rFonts w:ascii="Times New Roman" w:hAnsi="Times New Roman" w:eastAsia="宋体" w:cs="Times New Roman"/>
                <w:color w:val="auto"/>
                <w:szCs w:val="21"/>
              </w:rPr>
            </w:pPr>
            <w:r>
              <w:rPr>
                <w:rFonts w:hint="eastAsia" w:ascii="宋体" w:hAnsi="宋体" w:eastAsia="宋体" w:cs="Times New Roman"/>
                <w:color w:val="auto"/>
                <w:szCs w:val="21"/>
              </w:rPr>
              <w:t>平时作业：</w:t>
            </w:r>
            <w:r>
              <w:rPr>
                <w:rFonts w:ascii="宋体" w:hAnsi="宋体" w:eastAsia="宋体" w:cs="Times New Roman"/>
                <w:color w:val="auto"/>
                <w:szCs w:val="21"/>
              </w:rPr>
              <w:t>主要考核学生对知识点的理解和</w:t>
            </w:r>
            <w:r>
              <w:rPr>
                <w:rFonts w:hint="eastAsia" w:ascii="宋体" w:hAnsi="宋体" w:eastAsia="宋体" w:cs="Times New Roman"/>
                <w:color w:val="auto"/>
                <w:szCs w:val="21"/>
              </w:rPr>
              <w:t>应用</w:t>
            </w:r>
            <w:r>
              <w:rPr>
                <w:rFonts w:ascii="宋体" w:hAnsi="宋体" w:eastAsia="宋体" w:cs="Times New Roman"/>
                <w:color w:val="auto"/>
                <w:szCs w:val="21"/>
              </w:rPr>
              <w:t>。</w:t>
            </w:r>
          </w:p>
        </w:tc>
        <w:tc>
          <w:tcPr>
            <w:tcW w:w="0" w:type="auto"/>
            <w:vAlign w:val="center"/>
          </w:tcPr>
          <w:p w14:paraId="0AE1CED0">
            <w:pPr>
              <w:jc w:val="center"/>
              <w:rPr>
                <w:rFonts w:ascii="Times New Roman" w:hAnsi="Times New Roman" w:eastAsia="宋体" w:cs="Times New Roman"/>
                <w:color w:val="auto"/>
                <w:szCs w:val="21"/>
              </w:rPr>
            </w:pPr>
            <w:r>
              <w:rPr>
                <w:rFonts w:ascii="宋体" w:hAnsi="宋体" w:eastAsia="宋体" w:cs="Times New Roman"/>
                <w:color w:val="auto"/>
                <w:szCs w:val="21"/>
              </w:rPr>
              <w:t>40%</w:t>
            </w:r>
          </w:p>
        </w:tc>
      </w:tr>
      <w:tr w14:paraId="797E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14:paraId="6D59CABF">
            <w:pPr>
              <w:snapToGrid w:val="0"/>
              <w:spacing w:line="288" w:lineRule="auto"/>
              <w:jc w:val="center"/>
              <w:rPr>
                <w:rFonts w:hint="eastAsia" w:ascii="宋体" w:hAnsi="宋体" w:eastAsia="宋体" w:cs="Times New Roman"/>
                <w:color w:val="auto"/>
                <w:szCs w:val="21"/>
              </w:rPr>
            </w:pPr>
            <w:r>
              <w:rPr>
                <w:rFonts w:ascii="宋体" w:hAnsi="宋体" w:eastAsia="宋体" w:cs="Times New Roman"/>
                <w:color w:val="auto"/>
                <w:szCs w:val="21"/>
              </w:rPr>
              <w:t>期末考试</w:t>
            </w:r>
          </w:p>
          <w:p w14:paraId="28C3E664">
            <w:pPr>
              <w:jc w:val="center"/>
              <w:rPr>
                <w:rFonts w:ascii="Times New Roman" w:hAnsi="Times New Roman" w:eastAsia="宋体" w:cs="Times New Roman"/>
                <w:color w:val="auto"/>
                <w:szCs w:val="21"/>
              </w:rPr>
            </w:pPr>
            <w:r>
              <w:rPr>
                <w:rFonts w:hint="eastAsia" w:ascii="宋体" w:hAnsi="宋体" w:eastAsia="宋体" w:cs="Times New Roman"/>
                <w:color w:val="auto"/>
                <w:szCs w:val="21"/>
              </w:rPr>
              <w:t>卷面</w:t>
            </w:r>
            <w:r>
              <w:rPr>
                <w:rFonts w:ascii="宋体" w:hAnsi="宋体" w:eastAsia="宋体" w:cs="Times New Roman"/>
                <w:color w:val="auto"/>
                <w:szCs w:val="21"/>
              </w:rPr>
              <w:t>成绩</w:t>
            </w:r>
          </w:p>
        </w:tc>
        <w:tc>
          <w:tcPr>
            <w:tcW w:w="6434" w:type="dxa"/>
            <w:vAlign w:val="center"/>
          </w:tcPr>
          <w:p w14:paraId="7E6A5E78">
            <w:pPr>
              <w:widowControl/>
              <w:spacing w:line="264" w:lineRule="auto"/>
              <w:jc w:val="left"/>
              <w:rPr>
                <w:rFonts w:ascii="Times New Roman" w:hAnsi="Times New Roman" w:eastAsia="宋体" w:cs="Times New Roman"/>
                <w:color w:val="auto"/>
                <w:szCs w:val="21"/>
              </w:rPr>
            </w:pPr>
            <w:r>
              <w:rPr>
                <w:rFonts w:hint="eastAsia" w:ascii="宋体" w:hAnsi="宋体" w:eastAsia="宋体" w:cs="Times New Roman"/>
                <w:color w:val="auto"/>
                <w:szCs w:val="21"/>
              </w:rPr>
              <w:t>开卷</w:t>
            </w:r>
            <w:r>
              <w:rPr>
                <w:rFonts w:ascii="宋体" w:hAnsi="宋体" w:eastAsia="宋体" w:cs="Times New Roman"/>
                <w:color w:val="auto"/>
                <w:szCs w:val="21"/>
              </w:rPr>
              <w:t>题型包括</w:t>
            </w:r>
            <w:r>
              <w:rPr>
                <w:rFonts w:hint="eastAsia" w:ascii="宋体" w:hAnsi="宋体" w:eastAsia="宋体" w:cs="Times New Roman"/>
                <w:color w:val="auto"/>
                <w:szCs w:val="21"/>
              </w:rPr>
              <w:t>材料</w:t>
            </w:r>
            <w:r>
              <w:rPr>
                <w:rFonts w:ascii="宋体" w:hAnsi="宋体" w:eastAsia="宋体" w:cs="Times New Roman"/>
                <w:color w:val="auto"/>
                <w:szCs w:val="21"/>
              </w:rPr>
              <w:t>分析题</w:t>
            </w:r>
            <w:r>
              <w:rPr>
                <w:rFonts w:hint="eastAsia" w:ascii="宋体" w:hAnsi="宋体" w:eastAsia="宋体" w:cs="Times New Roman"/>
                <w:color w:val="auto"/>
                <w:szCs w:val="21"/>
              </w:rPr>
              <w:t>、论述题</w:t>
            </w:r>
            <w:r>
              <w:rPr>
                <w:rFonts w:ascii="宋体" w:hAnsi="宋体" w:eastAsia="宋体" w:cs="Times New Roman"/>
                <w:color w:val="auto"/>
                <w:szCs w:val="21"/>
              </w:rPr>
              <w:t>等，以卷面成绩的60%计入课程总成绩。</w:t>
            </w:r>
          </w:p>
        </w:tc>
        <w:tc>
          <w:tcPr>
            <w:tcW w:w="0" w:type="auto"/>
            <w:vAlign w:val="center"/>
          </w:tcPr>
          <w:p w14:paraId="51B7211F">
            <w:pPr>
              <w:jc w:val="center"/>
              <w:rPr>
                <w:rFonts w:ascii="Times New Roman" w:hAnsi="Times New Roman" w:eastAsia="宋体" w:cs="Times New Roman"/>
                <w:color w:val="auto"/>
                <w:szCs w:val="21"/>
              </w:rPr>
            </w:pPr>
            <w:r>
              <w:rPr>
                <w:rFonts w:ascii="宋体" w:hAnsi="宋体" w:eastAsia="宋体" w:cs="Times New Roman"/>
                <w:color w:val="auto"/>
                <w:szCs w:val="21"/>
              </w:rPr>
              <w:t>60%</w:t>
            </w:r>
          </w:p>
        </w:tc>
      </w:tr>
      <w:tr w14:paraId="2396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82" w:type="dxa"/>
            <w:vAlign w:val="center"/>
          </w:tcPr>
          <w:p w14:paraId="0551B8C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6434" w:type="dxa"/>
            <w:vAlign w:val="center"/>
          </w:tcPr>
          <w:p w14:paraId="2B2A46B1">
            <w:pPr>
              <w:jc w:val="left"/>
              <w:rPr>
                <w:rFonts w:ascii="Times New Roman" w:hAnsi="Times New Roman" w:eastAsia="宋体" w:cs="Times New Roman"/>
                <w:color w:val="auto"/>
                <w:szCs w:val="21"/>
              </w:rPr>
            </w:pPr>
          </w:p>
        </w:tc>
        <w:tc>
          <w:tcPr>
            <w:tcW w:w="0" w:type="auto"/>
            <w:vAlign w:val="center"/>
          </w:tcPr>
          <w:p w14:paraId="0FE6C81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54D179FF">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034201E2">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6D8810E9">
      <w:pPr>
        <w:spacing w:before="156" w:beforeLines="50" w:line="360" w:lineRule="auto"/>
        <w:ind w:firstLine="420" w:firstLineChars="200"/>
        <w:jc w:val="left"/>
        <w:rPr>
          <w:rFonts w:ascii="Times New Roman" w:hAnsi="Times New Roman" w:eastAsia="宋体" w:cs="Times New Roman"/>
          <w:b/>
          <w:color w:val="auto"/>
          <w:sz w:val="24"/>
        </w:rPr>
      </w:pPr>
      <w:r>
        <w:rPr>
          <w:rFonts w:ascii="宋体" w:hAnsi="宋体" w:eastAsia="宋体" w:cs="Times New Roman"/>
          <w:color w:val="auto"/>
          <w:szCs w:val="21"/>
        </w:rPr>
        <w:object>
          <v:shape id="_x0000_i1049"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49" DrawAspect="Content" ObjectID="_1468075748" r:id="rId35">
            <o:LockedField>false</o:LockedField>
          </o:OLEObject>
        </w:object>
      </w:r>
      <w:r>
        <w:rPr>
          <w:rFonts w:hint="eastAsia" w:ascii="宋体" w:hAnsi="宋体" w:eastAsia="宋体" w:cs="Times New Roman"/>
          <w:b/>
          <w:color w:val="auto"/>
          <w:sz w:val="24"/>
        </w:rPr>
        <w:t>五、</w:t>
      </w:r>
      <w:r>
        <w:rPr>
          <w:rFonts w:hint="eastAsia" w:ascii="Times New Roman" w:hAnsi="Times New Roman" w:eastAsia="宋体" w:cs="Times New Roman"/>
          <w:b/>
          <w:color w:val="auto"/>
          <w:sz w:val="24"/>
        </w:rPr>
        <w:t>课程实践</w:t>
      </w:r>
      <w:r>
        <w:rPr>
          <w:rFonts w:hint="eastAsia" w:ascii="Times New Roman" w:hAnsi="Times New Roman" w:eastAsia="宋体" w:cs="Times New Roman"/>
          <w:bCs/>
          <w:color w:val="auto"/>
          <w:sz w:val="24"/>
        </w:rPr>
        <w:t>（利用第二课堂，不占总学时）</w:t>
      </w:r>
    </w:p>
    <w:p w14:paraId="17FDB442">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本课程在系统教学的基础上，以学生为主题，整合各类教育资源，科学设计实践活动，丰富教育教学形式，提升教育教学效果，从而实现思政育人。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2A04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3BB3EFBF">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3407" w:type="dxa"/>
            <w:vAlign w:val="center"/>
          </w:tcPr>
          <w:p w14:paraId="0101420A">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740" w:type="dxa"/>
            <w:vAlign w:val="center"/>
          </w:tcPr>
          <w:p w14:paraId="284F3055">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3160" w:type="dxa"/>
            <w:vAlign w:val="center"/>
          </w:tcPr>
          <w:p w14:paraId="00FDF74A">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思政目标</w:t>
            </w:r>
          </w:p>
        </w:tc>
      </w:tr>
      <w:tr w14:paraId="608F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895B205">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不同类型家庭及其家庭教育现状观察</w:t>
            </w:r>
          </w:p>
        </w:tc>
        <w:tc>
          <w:tcPr>
            <w:tcW w:w="3407" w:type="dxa"/>
            <w:vAlign w:val="center"/>
          </w:tcPr>
          <w:p w14:paraId="71DB1D24">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观察了解中小学生的家庭类型、家长教育需求；观察了解现实中的中小学生所遭遇到的儿童权利保护不当或不完善之处的种种表现。</w:t>
            </w:r>
          </w:p>
        </w:tc>
        <w:tc>
          <w:tcPr>
            <w:tcW w:w="740" w:type="dxa"/>
            <w:vAlign w:val="center"/>
          </w:tcPr>
          <w:p w14:paraId="7DF9D82C">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实践观察</w:t>
            </w:r>
          </w:p>
        </w:tc>
        <w:tc>
          <w:tcPr>
            <w:tcW w:w="3160" w:type="dxa"/>
            <w:vAlign w:val="center"/>
          </w:tcPr>
          <w:p w14:paraId="74E717FA">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关心关注教育现实，提升专业责任感及家庭教育法制责任意识，积极投身儿童教育事业，愿意为家庭提供教育指导服务。</w:t>
            </w:r>
          </w:p>
        </w:tc>
      </w:tr>
      <w:tr w14:paraId="3A68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06A19724">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家乡所在地的优秀家教家书家风家训</w:t>
            </w:r>
          </w:p>
        </w:tc>
        <w:tc>
          <w:tcPr>
            <w:tcW w:w="3407" w:type="dxa"/>
            <w:vAlign w:val="center"/>
          </w:tcPr>
          <w:p w14:paraId="002FEB64">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搜集并学习家乡所在地的红色家书；讲述家乡所在地涌现出的优秀家教、家风、家训等优秀典型；观察小学校园中的儿童有关有中华优秀传统文化类的读本情况</w:t>
            </w:r>
          </w:p>
        </w:tc>
        <w:tc>
          <w:tcPr>
            <w:tcW w:w="740" w:type="dxa"/>
            <w:vAlign w:val="center"/>
          </w:tcPr>
          <w:p w14:paraId="49660E5B">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案例观摩</w:t>
            </w:r>
          </w:p>
          <w:p w14:paraId="6B418748">
            <w:pPr>
              <w:spacing w:line="276" w:lineRule="auto"/>
              <w:jc w:val="center"/>
              <w:rPr>
                <w:rFonts w:hint="eastAsia" w:ascii="宋体" w:hAnsi="宋体" w:eastAsia="宋体" w:cs="宋体"/>
                <w:color w:val="auto"/>
                <w:szCs w:val="21"/>
              </w:rPr>
            </w:pPr>
          </w:p>
          <w:p w14:paraId="4BEFD5A8">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学生分享</w:t>
            </w:r>
          </w:p>
        </w:tc>
        <w:tc>
          <w:tcPr>
            <w:tcW w:w="3160" w:type="dxa"/>
            <w:vAlign w:val="center"/>
          </w:tcPr>
          <w:p w14:paraId="4AE47BA7">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传承并弘扬中华优秀传统文化中的责任担当、孝行义举等文化基因或红色文化基因</w:t>
            </w:r>
          </w:p>
        </w:tc>
      </w:tr>
    </w:tbl>
    <w:p w14:paraId="3549307D">
      <w:pPr>
        <w:spacing w:line="360" w:lineRule="auto"/>
        <w:jc w:val="left"/>
        <w:rPr>
          <w:rFonts w:ascii="Times New Roman" w:hAnsi="Times New Roman" w:eastAsia="宋体" w:cs="Times New Roman"/>
          <w:b/>
          <w:bCs/>
          <w:color w:val="auto"/>
          <w:sz w:val="24"/>
        </w:rPr>
      </w:pPr>
      <w:r>
        <w:rPr>
          <w:rFonts w:hint="eastAsia" w:ascii="宋体" w:hAnsi="宋体" w:eastAsia="宋体" w:cs="Times New Roman"/>
          <w:b/>
          <w:color w:val="auto"/>
          <w:sz w:val="24"/>
        </w:rPr>
        <w:t>六、有关说明</w:t>
      </w:r>
    </w:p>
    <w:p w14:paraId="53D5EE2C">
      <w:pPr>
        <w:snapToGrid w:val="0"/>
        <w:spacing w:line="360" w:lineRule="auto"/>
        <w:ind w:firstLine="422" w:firstLineChars="20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511EE1C1">
      <w:pPr>
        <w:snapToGrid w:val="0"/>
        <w:spacing w:line="360" w:lineRule="auto"/>
        <w:ind w:firstLine="411" w:firstLineChars="196"/>
        <w:rPr>
          <w:rFonts w:ascii="Times New Roman" w:hAnsi="Times New Roman" w:eastAsia="宋体" w:cs="Times New Roman"/>
          <w:b/>
          <w:color w:val="auto"/>
          <w:szCs w:val="21"/>
        </w:rPr>
      </w:pPr>
      <w:r>
        <w:rPr>
          <w:rFonts w:ascii="宋体" w:hAnsi="宋体" w:eastAsia="宋体" w:cs="Times New Roman"/>
          <w:color w:val="auto"/>
          <w:szCs w:val="21"/>
        </w:rPr>
        <w:t>本课程根据学生作业、课堂讨论、平时考核情况和学生、教学督导等</w:t>
      </w:r>
      <w:r>
        <w:rPr>
          <w:rFonts w:hint="eastAsia" w:ascii="宋体" w:hAnsi="宋体" w:eastAsia="宋体" w:cs="Times New Roman"/>
          <w:color w:val="auto"/>
          <w:szCs w:val="21"/>
        </w:rPr>
        <w:t>的</w:t>
      </w:r>
      <w:r>
        <w:rPr>
          <w:rFonts w:ascii="宋体" w:hAnsi="宋体" w:eastAsia="宋体" w:cs="Times New Roman"/>
          <w:color w:val="auto"/>
          <w:szCs w:val="21"/>
        </w:rPr>
        <w:t>反馈，及时对教学中</w:t>
      </w:r>
      <w:r>
        <w:rPr>
          <w:rFonts w:hint="eastAsia" w:ascii="宋体" w:hAnsi="宋体" w:eastAsia="宋体" w:cs="Times New Roman"/>
          <w:color w:val="auto"/>
          <w:szCs w:val="21"/>
        </w:rPr>
        <w:t>的</w:t>
      </w:r>
      <w:r>
        <w:rPr>
          <w:rFonts w:ascii="宋体" w:hAnsi="宋体" w:eastAsia="宋体" w:cs="Times New Roman"/>
          <w:color w:val="auto"/>
          <w:szCs w:val="21"/>
        </w:rPr>
        <w:t>不足之处进行改进，并在下一轮课程教学中</w:t>
      </w:r>
      <w:r>
        <w:rPr>
          <w:rFonts w:hint="eastAsia" w:ascii="宋体" w:hAnsi="宋体" w:eastAsia="宋体" w:cs="Times New Roman"/>
          <w:color w:val="auto"/>
          <w:szCs w:val="21"/>
        </w:rPr>
        <w:t>整改完善</w:t>
      </w:r>
      <w:r>
        <w:rPr>
          <w:rFonts w:ascii="宋体" w:hAnsi="宋体" w:eastAsia="宋体" w:cs="Times New Roman"/>
          <w:color w:val="auto"/>
          <w:szCs w:val="21"/>
        </w:rPr>
        <w:t>，确保相应毕业要求指标点达成。</w:t>
      </w:r>
    </w:p>
    <w:p w14:paraId="28C785CD">
      <w:pPr>
        <w:snapToGrid w:val="0"/>
        <w:spacing w:line="360" w:lineRule="auto"/>
        <w:ind w:firstLine="422" w:firstLineChars="20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0964D767">
      <w:pPr>
        <w:snapToGrid w:val="0"/>
        <w:spacing w:line="360" w:lineRule="auto"/>
        <w:ind w:firstLine="420" w:firstLineChars="200"/>
        <w:rPr>
          <w:rFonts w:ascii="Times New Roman" w:hAnsi="Times New Roman" w:eastAsia="宋体" w:cs="Times New Roman"/>
          <w:bCs/>
          <w:color w:val="auto"/>
          <w:szCs w:val="21"/>
        </w:rPr>
      </w:pPr>
      <w:r>
        <w:rPr>
          <w:rFonts w:hint="eastAsia" w:ascii="宋体" w:hAnsi="宋体" w:eastAsia="宋体" w:cs="Times New Roman"/>
          <w:color w:val="auto"/>
          <w:szCs w:val="21"/>
        </w:rPr>
        <w:t>孙云晓，</w:t>
      </w:r>
      <w:r>
        <w:rPr>
          <w:rFonts w:ascii="宋体" w:hAnsi="宋体" w:eastAsia="宋体" w:cs="Times New Roman"/>
          <w:color w:val="auto"/>
          <w:szCs w:val="21"/>
        </w:rPr>
        <w:t>家校合作共育：中国家庭教育的新趋势</w:t>
      </w:r>
      <w:r>
        <w:rPr>
          <w:rFonts w:hint="eastAsia" w:ascii="宋体" w:hAnsi="宋体" w:eastAsia="宋体" w:cs="Times New Roman"/>
          <w:color w:val="auto"/>
          <w:szCs w:val="21"/>
        </w:rPr>
        <w:t>，北京：中国人民大学出版社，20</w:t>
      </w:r>
      <w:r>
        <w:rPr>
          <w:rFonts w:ascii="宋体" w:hAnsi="宋体" w:eastAsia="宋体" w:cs="Times New Roman"/>
          <w:color w:val="auto"/>
          <w:szCs w:val="21"/>
        </w:rPr>
        <w:t>20</w:t>
      </w:r>
      <w:r>
        <w:rPr>
          <w:rFonts w:hint="eastAsia" w:ascii="宋体" w:hAnsi="宋体" w:eastAsia="宋体" w:cs="Times New Roman"/>
          <w:color w:val="auto"/>
          <w:szCs w:val="21"/>
        </w:rPr>
        <w:t>.</w:t>
      </w:r>
      <w:r>
        <w:rPr>
          <w:rFonts w:ascii="宋体" w:hAnsi="宋体" w:eastAsia="宋体" w:cs="Times New Roman"/>
          <w:color w:val="auto"/>
          <w:szCs w:val="21"/>
        </w:rPr>
        <w:t>10.</w:t>
      </w:r>
    </w:p>
    <w:p w14:paraId="7CA83A4B">
      <w:pPr>
        <w:numPr>
          <w:ilvl w:val="0"/>
          <w:numId w:val="0"/>
        </w:num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lang w:eastAsia="zh-CN"/>
        </w:rPr>
        <w:t>（</w:t>
      </w:r>
      <w:r>
        <w:rPr>
          <w:rFonts w:hint="eastAsia" w:ascii="宋体" w:hAnsi="宋体" w:eastAsia="宋体" w:cs="Times New Roman"/>
          <w:b/>
          <w:color w:val="auto"/>
          <w:szCs w:val="21"/>
          <w:lang w:val="en-US" w:eastAsia="zh-CN"/>
        </w:rPr>
        <w:t>三</w:t>
      </w:r>
      <w:r>
        <w:rPr>
          <w:rFonts w:hint="eastAsia" w:ascii="宋体" w:hAnsi="宋体" w:eastAsia="宋体" w:cs="Times New Roman"/>
          <w:b/>
          <w:color w:val="auto"/>
          <w:szCs w:val="21"/>
          <w:lang w:eastAsia="zh-CN"/>
        </w:rPr>
        <w:t>）</w:t>
      </w:r>
      <w:r>
        <w:rPr>
          <w:rFonts w:hint="eastAsia" w:ascii="宋体" w:hAnsi="宋体" w:eastAsia="宋体" w:cs="Times New Roman"/>
          <w:b/>
          <w:color w:val="auto"/>
          <w:szCs w:val="21"/>
        </w:rPr>
        <w:t>参考书目</w:t>
      </w:r>
    </w:p>
    <w:p w14:paraId="5CD1521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rPr>
      </w:pPr>
      <w:bookmarkStart w:id="333" w:name="_Hlk151829643"/>
      <w:r>
        <w:rPr>
          <w:rFonts w:hint="eastAsia" w:ascii="宋体" w:hAnsi="宋体" w:eastAsia="宋体"/>
          <w:color w:val="auto"/>
        </w:rPr>
        <w:t>1.李家成，学校家庭社区协同育人研究，国家开放大学出版社，2023.</w:t>
      </w:r>
    </w:p>
    <w:p w14:paraId="65465C1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rPr>
      </w:pPr>
      <w:r>
        <w:rPr>
          <w:rFonts w:hint="eastAsia" w:ascii="宋体" w:hAnsi="宋体" w:eastAsia="宋体"/>
          <w:color w:val="auto"/>
        </w:rPr>
        <w:t>2.张竹林，教师家庭教育制导能力建设论，上海：华东师范大学出版社，2</w:t>
      </w:r>
      <w:r>
        <w:rPr>
          <w:rFonts w:ascii="宋体" w:hAnsi="宋体" w:eastAsia="宋体"/>
          <w:color w:val="auto"/>
        </w:rPr>
        <w:t>021.</w:t>
      </w:r>
    </w:p>
    <w:p w14:paraId="57470F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rPr>
      </w:pPr>
      <w:r>
        <w:rPr>
          <w:rFonts w:hint="eastAsia" w:ascii="宋体" w:hAnsi="宋体" w:eastAsia="宋体"/>
          <w:color w:val="auto"/>
        </w:rPr>
        <w:t>3.</w:t>
      </w:r>
      <w:r>
        <w:rPr>
          <w:rFonts w:ascii="宋体" w:hAnsi="宋体" w:eastAsia="宋体"/>
          <w:color w:val="auto"/>
        </w:rPr>
        <w:t>吴重涵，王梅雾，张俊</w:t>
      </w:r>
      <w:r>
        <w:rPr>
          <w:rFonts w:hint="eastAsia" w:ascii="宋体" w:hAnsi="宋体" w:eastAsia="宋体"/>
          <w:color w:val="auto"/>
        </w:rPr>
        <w:t>，</w:t>
      </w:r>
      <w:bookmarkEnd w:id="333"/>
      <w:r>
        <w:rPr>
          <w:rFonts w:hint="eastAsia" w:ascii="宋体" w:hAnsi="宋体" w:eastAsia="宋体"/>
          <w:color w:val="auto"/>
        </w:rPr>
        <w:t>国际视野与本土行动：家校合作的经验和行动指南，</w:t>
      </w:r>
      <w:bookmarkStart w:id="334" w:name="_Hlk151829651"/>
      <w:r>
        <w:rPr>
          <w:rFonts w:hint="eastAsia" w:ascii="宋体" w:hAnsi="宋体" w:eastAsia="宋体"/>
          <w:color w:val="auto"/>
        </w:rPr>
        <w:t>江西教育出版社，2</w:t>
      </w:r>
      <w:r>
        <w:rPr>
          <w:rFonts w:ascii="宋体" w:hAnsi="宋体" w:eastAsia="宋体"/>
          <w:color w:val="auto"/>
        </w:rPr>
        <w:t>012</w:t>
      </w:r>
      <w:bookmarkEnd w:id="334"/>
      <w:r>
        <w:rPr>
          <w:rFonts w:hint="eastAsia" w:ascii="宋体" w:hAnsi="宋体" w:eastAsia="宋体"/>
          <w:color w:val="auto"/>
        </w:rPr>
        <w:t>.</w:t>
      </w:r>
    </w:p>
    <w:p w14:paraId="5C1A6BB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rPr>
      </w:pPr>
      <w:r>
        <w:rPr>
          <w:rFonts w:hint="eastAsia" w:ascii="宋体" w:hAnsi="宋体" w:eastAsia="宋体"/>
          <w:color w:val="auto"/>
        </w:rPr>
        <w:t>4．</w:t>
      </w:r>
      <w:r>
        <w:rPr>
          <w:rFonts w:ascii="宋体" w:hAnsi="宋体" w:eastAsia="宋体"/>
          <w:color w:val="auto"/>
        </w:rPr>
        <w:t>吴重涵，王梅雾，张俊，</w:t>
      </w:r>
      <w:r>
        <w:rPr>
          <w:rFonts w:hint="eastAsia" w:ascii="宋体" w:hAnsi="宋体" w:eastAsia="宋体"/>
          <w:color w:val="auto"/>
        </w:rPr>
        <w:t>家校合作：理论、经验与行动，江西教育出版社，2</w:t>
      </w:r>
      <w:r>
        <w:rPr>
          <w:rFonts w:ascii="宋体" w:hAnsi="宋体" w:eastAsia="宋体"/>
          <w:color w:val="auto"/>
        </w:rPr>
        <w:t>013</w:t>
      </w:r>
      <w:r>
        <w:rPr>
          <w:rFonts w:hint="eastAsia" w:ascii="宋体" w:hAnsi="宋体" w:eastAsia="宋体"/>
          <w:color w:val="auto"/>
        </w:rPr>
        <w:t>.</w:t>
      </w:r>
    </w:p>
    <w:p w14:paraId="7CA382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rPr>
      </w:pPr>
      <w:r>
        <w:rPr>
          <w:rFonts w:hint="eastAsia" w:ascii="宋体" w:hAnsi="宋体" w:eastAsia="宋体"/>
          <w:color w:val="auto"/>
        </w:rPr>
        <w:t>5.</w:t>
      </w:r>
      <w:r>
        <w:rPr>
          <w:rFonts w:ascii="宋体" w:hAnsi="宋体" w:eastAsia="宋体"/>
          <w:color w:val="auto"/>
        </w:rPr>
        <w:t>Joyce L. Epstein; Mavis G. Sanders; Steven B. Sheldon</w:t>
      </w:r>
      <w:r>
        <w:rPr>
          <w:rFonts w:hint="eastAsia" w:ascii="宋体" w:hAnsi="宋体" w:eastAsia="宋体"/>
          <w:color w:val="auto"/>
        </w:rPr>
        <w:t>，学校、家庭和社区合作伙伴：行动手册，江西教育出版社，2</w:t>
      </w:r>
      <w:r>
        <w:rPr>
          <w:rFonts w:ascii="宋体" w:hAnsi="宋体" w:eastAsia="宋体"/>
          <w:color w:val="auto"/>
        </w:rPr>
        <w:t>012</w:t>
      </w:r>
      <w:r>
        <w:rPr>
          <w:rFonts w:hint="eastAsia" w:ascii="宋体" w:hAnsi="宋体" w:eastAsia="宋体"/>
          <w:color w:val="auto"/>
        </w:rPr>
        <w:t>。</w:t>
      </w:r>
    </w:p>
    <w:p w14:paraId="27E1CAE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b/>
          <w:bCs/>
          <w:color w:val="auto"/>
        </w:rPr>
      </w:pPr>
      <w:r>
        <w:rPr>
          <w:rFonts w:hint="eastAsia" w:ascii="宋体" w:hAnsi="宋体" w:eastAsia="宋体"/>
          <w:b/>
          <w:bCs/>
          <w:color w:val="auto"/>
        </w:rPr>
        <w:t>国家新近政策</w:t>
      </w:r>
    </w:p>
    <w:p w14:paraId="1C3305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rPr>
      </w:pPr>
      <w:r>
        <w:rPr>
          <w:rFonts w:hint="eastAsia" w:ascii="宋体" w:hAnsi="宋体" w:eastAsia="宋体"/>
          <w:color w:val="auto"/>
        </w:rPr>
        <w:t>1.教育部，加快推动“教联体”建设 凝聚全社会育人合力，http://www.moe.gov.cn/jyb_xwfb/s5148/202411/t20241101_1160298.html</w:t>
      </w:r>
    </w:p>
    <w:p w14:paraId="6C7133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rPr>
      </w:pPr>
      <w:r>
        <w:rPr>
          <w:rFonts w:hint="eastAsia" w:ascii="宋体" w:hAnsi="宋体" w:eastAsia="宋体"/>
          <w:color w:val="auto"/>
        </w:rPr>
        <w:t>2.教育部等联合印发《家校社协同育人“教联体”工作方案》2024年.</w:t>
      </w:r>
    </w:p>
    <w:p w14:paraId="4DCAF26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rPr>
      </w:pPr>
      <w:r>
        <w:rPr>
          <w:rFonts w:hint="eastAsia" w:ascii="宋体" w:hAnsi="宋体" w:eastAsia="宋体"/>
          <w:color w:val="auto"/>
        </w:rPr>
        <w:t>3.</w:t>
      </w:r>
      <w:r>
        <w:rPr>
          <w:color w:val="auto"/>
        </w:rPr>
        <w:fldChar w:fldCharType="begin"/>
      </w:r>
      <w:r>
        <w:rPr>
          <w:color w:val="auto"/>
        </w:rPr>
        <w:instrText xml:space="preserve"> HYPERLINK "http://www.moe.gov.cn/jyb_xwfb/s5148/202411/t20241102_1160413.html" </w:instrText>
      </w:r>
      <w:r>
        <w:rPr>
          <w:color w:val="auto"/>
        </w:rPr>
        <w:fldChar w:fldCharType="separate"/>
      </w:r>
      <w:r>
        <w:rPr>
          <w:rStyle w:val="19"/>
          <w:rFonts w:ascii="宋体" w:hAnsi="宋体" w:eastAsia="宋体"/>
          <w:color w:val="auto"/>
          <w:u w:val="none"/>
        </w:rPr>
        <w:t>构建协同育人“教联体” 共画学生成长“同心圆”——专家解读《家校社协同育人“教联体”工作方案》 - 中华人民共和国教育部政府门户网站</w:t>
      </w:r>
      <w:r>
        <w:rPr>
          <w:rStyle w:val="19"/>
          <w:rFonts w:ascii="宋体" w:hAnsi="宋体" w:eastAsia="宋体"/>
          <w:color w:val="auto"/>
          <w:u w:val="none"/>
        </w:rPr>
        <w:fldChar w:fldCharType="end"/>
      </w:r>
      <w:r>
        <w:rPr>
          <w:rFonts w:hint="eastAsia" w:ascii="宋体" w:hAnsi="宋体" w:eastAsia="宋体"/>
          <w:color w:val="auto"/>
        </w:rPr>
        <w:t>http://www.moe.gov.cn/jyb_xwfb/s5148/202411/t20241102_1160413.html</w:t>
      </w:r>
    </w:p>
    <w:p w14:paraId="7DC2785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rPr>
      </w:pPr>
      <w:r>
        <w:rPr>
          <w:rFonts w:hint="eastAsia" w:ascii="宋体" w:hAnsi="宋体" w:eastAsia="宋体"/>
          <w:color w:val="auto"/>
        </w:rPr>
        <w:t>4.</w:t>
      </w:r>
      <w:r>
        <w:rPr>
          <w:color w:val="auto"/>
        </w:rPr>
        <w:fldChar w:fldCharType="begin"/>
      </w:r>
      <w:r>
        <w:rPr>
          <w:color w:val="auto"/>
        </w:rPr>
        <w:instrText xml:space="preserve"> HYPERLINK "http://www.moe.gov.cn/jyb_sjzl/sjzl_zcfg/zcfg_qtxgfl/202110/t20211025_574749.html" </w:instrText>
      </w:r>
      <w:r>
        <w:rPr>
          <w:color w:val="auto"/>
        </w:rPr>
        <w:fldChar w:fldCharType="separate"/>
      </w:r>
      <w:r>
        <w:rPr>
          <w:rStyle w:val="19"/>
          <w:rFonts w:ascii="宋体" w:hAnsi="宋体" w:eastAsia="宋体"/>
          <w:color w:val="auto"/>
          <w:u w:val="none"/>
        </w:rPr>
        <w:t>中华人民共和国家庭教育促进法 - 中华人民共和国教育部政府门户网站</w:t>
      </w:r>
      <w:r>
        <w:rPr>
          <w:rStyle w:val="19"/>
          <w:rFonts w:ascii="宋体" w:hAnsi="宋体" w:eastAsia="宋体"/>
          <w:color w:val="auto"/>
          <w:u w:val="none"/>
        </w:rPr>
        <w:fldChar w:fldCharType="end"/>
      </w:r>
      <w:r>
        <w:rPr>
          <w:color w:val="auto"/>
        </w:rPr>
        <w:fldChar w:fldCharType="begin"/>
      </w:r>
      <w:r>
        <w:rPr>
          <w:color w:val="auto"/>
        </w:rPr>
        <w:instrText xml:space="preserve"> HYPERLINK "http://www.moe.gov.cn/jyb_sjzl/sjzl_zcfg/zcfg_qtxgfl/202110/t20211025_574749.html" </w:instrText>
      </w:r>
      <w:r>
        <w:rPr>
          <w:color w:val="auto"/>
        </w:rPr>
        <w:fldChar w:fldCharType="separate"/>
      </w:r>
      <w:r>
        <w:rPr>
          <w:rStyle w:val="19"/>
          <w:rFonts w:hint="eastAsia" w:ascii="宋体" w:hAnsi="宋体" w:eastAsia="宋体"/>
          <w:color w:val="auto"/>
          <w:u w:val="none"/>
        </w:rPr>
        <w:t>http://www.moe.gov.cn/jyb_sjzl/sjzl_zcfg/zcfg_qtxgfl/202110/t20211025_574749.html</w:t>
      </w:r>
      <w:r>
        <w:rPr>
          <w:rStyle w:val="19"/>
          <w:rFonts w:hint="eastAsia" w:ascii="宋体" w:hAnsi="宋体" w:eastAsia="宋体"/>
          <w:color w:val="auto"/>
          <w:u w:val="none"/>
        </w:rPr>
        <w:fldChar w:fldCharType="end"/>
      </w:r>
    </w:p>
    <w:p w14:paraId="288F8569">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olor w:val="auto"/>
        </w:rPr>
      </w:pPr>
      <w:r>
        <w:rPr>
          <w:rFonts w:hint="eastAsia" w:ascii="宋体" w:hAnsi="宋体" w:eastAsia="宋体"/>
          <w:color w:val="auto"/>
        </w:rPr>
        <w:t>5.</w:t>
      </w:r>
      <w:r>
        <w:rPr>
          <w:color w:val="auto"/>
        </w:rPr>
        <w:fldChar w:fldCharType="begin"/>
      </w:r>
      <w:r>
        <w:rPr>
          <w:color w:val="auto"/>
        </w:rPr>
        <w:instrText xml:space="preserve"> HYPERLINK "http://www.moe.gov.cn/jyb_sjzl/sjzl_zcfg/zcfg_qtxgfl/202110/t20211025_574798.html" </w:instrText>
      </w:r>
      <w:r>
        <w:rPr>
          <w:color w:val="auto"/>
        </w:rPr>
        <w:fldChar w:fldCharType="separate"/>
      </w:r>
      <w:r>
        <w:rPr>
          <w:rStyle w:val="19"/>
          <w:rFonts w:ascii="宋体" w:hAnsi="宋体" w:eastAsia="宋体"/>
          <w:color w:val="auto"/>
          <w:u w:val="none"/>
        </w:rPr>
        <w:t>中华人民共和国未成年人保护法 - 中华人民共和国教育部政府门户网站</w:t>
      </w:r>
      <w:r>
        <w:rPr>
          <w:rStyle w:val="19"/>
          <w:rFonts w:ascii="宋体" w:hAnsi="宋体" w:eastAsia="宋体"/>
          <w:color w:val="auto"/>
          <w:u w:val="none"/>
        </w:rPr>
        <w:fldChar w:fldCharType="end"/>
      </w:r>
      <w:r>
        <w:rPr>
          <w:rFonts w:hint="eastAsia" w:ascii="宋体" w:hAnsi="宋体" w:eastAsia="宋体"/>
          <w:color w:val="auto"/>
        </w:rPr>
        <w:t>http://www.moe.gov.cn/jyb_sjzl/sjzl_zcfg/zcfg_qtxgfl/202110/t20211025_574798.html</w:t>
      </w:r>
    </w:p>
    <w:p w14:paraId="2CDE44E4">
      <w:pPr>
        <w:keepNext w:val="0"/>
        <w:keepLines w:val="0"/>
        <w:pageBreakBefore w:val="0"/>
        <w:widowControl w:val="0"/>
        <w:kinsoku/>
        <w:wordWrap/>
        <w:overflowPunct/>
        <w:topLinePunct w:val="0"/>
        <w:autoSpaceDE/>
        <w:autoSpaceDN/>
        <w:bidi w:val="0"/>
        <w:adjustRightInd/>
        <w:snapToGrid w:val="0"/>
        <w:spacing w:line="312" w:lineRule="auto"/>
        <w:ind w:firstLine="4830" w:firstLineChars="230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执 笔 人：</w:t>
      </w:r>
      <w:r>
        <w:rPr>
          <w:rFonts w:ascii="Times New Roman" w:hAnsi="Times New Roman" w:eastAsia="宋体" w:cs="Times New Roman"/>
          <w:color w:val="auto"/>
          <w:sz w:val="21"/>
          <w:szCs w:val="21"/>
        </w:rPr>
        <w:t xml:space="preserve"> </w:t>
      </w:r>
      <w:r>
        <w:rPr>
          <w:rFonts w:hint="eastAsia" w:ascii="宋体" w:hAnsi="宋体" w:eastAsia="宋体" w:cs="Times New Roman"/>
          <w:color w:val="auto"/>
          <w:sz w:val="21"/>
          <w:szCs w:val="21"/>
        </w:rPr>
        <w:t>张文娟</w:t>
      </w:r>
    </w:p>
    <w:p w14:paraId="6605A914">
      <w:pPr>
        <w:keepNext w:val="0"/>
        <w:keepLines w:val="0"/>
        <w:pageBreakBefore w:val="0"/>
        <w:widowControl w:val="0"/>
        <w:kinsoku/>
        <w:wordWrap/>
        <w:overflowPunct/>
        <w:topLinePunct w:val="0"/>
        <w:autoSpaceDE/>
        <w:autoSpaceDN/>
        <w:bidi w:val="0"/>
        <w:adjustRightInd/>
        <w:spacing w:line="312" w:lineRule="auto"/>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                                              审 定 人：</w:t>
      </w:r>
      <w:r>
        <w:rPr>
          <w:rFonts w:ascii="Times New Roman" w:hAnsi="Times New Roman" w:eastAsia="宋体" w:cs="Times New Roman"/>
          <w:color w:val="auto"/>
          <w:sz w:val="21"/>
          <w:szCs w:val="21"/>
        </w:rPr>
        <w:t xml:space="preserve"> </w:t>
      </w:r>
      <w:r>
        <w:rPr>
          <w:rFonts w:hint="eastAsia" w:ascii="宋体" w:hAnsi="宋体" w:eastAsia="宋体" w:cs="Times New Roman"/>
          <w:color w:val="auto"/>
          <w:sz w:val="21"/>
          <w:szCs w:val="21"/>
        </w:rPr>
        <w:t>张志欣</w:t>
      </w:r>
    </w:p>
    <w:p w14:paraId="023464B2">
      <w:pPr>
        <w:keepNext w:val="0"/>
        <w:keepLines w:val="0"/>
        <w:pageBreakBefore w:val="0"/>
        <w:widowControl w:val="0"/>
        <w:kinsoku/>
        <w:wordWrap/>
        <w:overflowPunct/>
        <w:topLinePunct w:val="0"/>
        <w:autoSpaceDE/>
        <w:autoSpaceDN/>
        <w:bidi w:val="0"/>
        <w:adjustRightInd/>
        <w:snapToGrid w:val="0"/>
        <w:spacing w:line="312" w:lineRule="auto"/>
        <w:ind w:firstLine="4830" w:firstLineChars="230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 批 人：</w:t>
      </w:r>
      <w:r>
        <w:rPr>
          <w:rFonts w:hint="eastAsia" w:ascii="Times New Roman" w:hAnsi="Times New Roman" w:eastAsia="宋体" w:cs="Times New Roman"/>
          <w:color w:val="auto"/>
          <w:sz w:val="21"/>
          <w:szCs w:val="21"/>
          <w:lang w:val="en-US" w:eastAsia="zh-CN"/>
        </w:rPr>
        <w:t xml:space="preserve"> </w:t>
      </w:r>
      <w:r>
        <w:rPr>
          <w:rFonts w:hint="eastAsia" w:ascii="宋体" w:hAnsi="宋体" w:eastAsia="宋体" w:cs="Times New Roman"/>
          <w:color w:val="auto"/>
          <w:sz w:val="21"/>
          <w:szCs w:val="21"/>
        </w:rPr>
        <w:t>崔</w:t>
      </w:r>
      <w:r>
        <w:rPr>
          <w:rFonts w:hint="eastAsia" w:ascii="宋体" w:hAnsi="宋体" w:eastAsia="宋体" w:cs="Times New Roman"/>
          <w:color w:val="auto"/>
          <w:sz w:val="21"/>
          <w:szCs w:val="21"/>
          <w:lang w:val="en-US" w:eastAsia="zh-CN"/>
        </w:rPr>
        <w:t xml:space="preserve">  </w:t>
      </w:r>
      <w:r>
        <w:rPr>
          <w:rFonts w:hint="eastAsia" w:ascii="宋体" w:hAnsi="宋体" w:eastAsia="宋体" w:cs="Times New Roman"/>
          <w:color w:val="auto"/>
          <w:sz w:val="21"/>
          <w:szCs w:val="21"/>
        </w:rPr>
        <w:t>涛</w:t>
      </w:r>
      <w:r>
        <w:rPr>
          <w:rFonts w:ascii="Times New Roman" w:hAnsi="Times New Roman" w:eastAsia="宋体" w:cs="Times New Roman"/>
          <w:color w:val="auto"/>
          <w:sz w:val="21"/>
          <w:szCs w:val="21"/>
        </w:rPr>
        <w:t xml:space="preserve"> </w:t>
      </w:r>
    </w:p>
    <w:p w14:paraId="2F07C0E1">
      <w:pPr>
        <w:keepNext w:val="0"/>
        <w:keepLines w:val="0"/>
        <w:pageBreakBefore w:val="0"/>
        <w:widowControl w:val="0"/>
        <w:kinsoku/>
        <w:wordWrap/>
        <w:overflowPunct/>
        <w:topLinePunct w:val="0"/>
        <w:autoSpaceDE/>
        <w:autoSpaceDN/>
        <w:bidi w:val="0"/>
        <w:adjustRightInd/>
        <w:snapToGrid w:val="0"/>
        <w:spacing w:line="312" w:lineRule="auto"/>
        <w:ind w:firstLine="4200" w:firstLineChars="2000"/>
        <w:jc w:val="right"/>
        <w:textAlignment w:val="auto"/>
        <w:rPr>
          <w:rFonts w:hint="eastAsia" w:ascii="宋体" w:hAnsi="宋体"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批准时间：2025年7月1日</w:t>
      </w:r>
    </w:p>
    <w:p w14:paraId="577F44C4">
      <w:pPr>
        <w:rPr>
          <w:rFonts w:hint="eastAsia" w:ascii="宋体" w:hAnsi="宋体" w:eastAsia="宋体" w:cs="Times New Roman"/>
          <w:color w:val="auto"/>
          <w:sz w:val="24"/>
        </w:rPr>
      </w:pPr>
      <w:r>
        <w:rPr>
          <w:rFonts w:hint="eastAsia" w:ascii="宋体" w:hAnsi="宋体" w:eastAsia="宋体" w:cs="Times New Roman"/>
          <w:color w:val="auto"/>
          <w:sz w:val="24"/>
        </w:rPr>
        <w:br w:type="page"/>
      </w:r>
    </w:p>
    <w:p w14:paraId="487DF98E">
      <w:pPr>
        <w:spacing w:line="360" w:lineRule="auto"/>
        <w:jc w:val="center"/>
        <w:outlineLvl w:val="0"/>
        <w:rPr>
          <w:rFonts w:hint="eastAsia" w:ascii="Times New Roman" w:hAnsi="Times New Roman" w:eastAsia="宋体" w:cs="Times New Roman"/>
          <w:b/>
          <w:color w:val="auto"/>
          <w:sz w:val="44"/>
          <w:szCs w:val="44"/>
        </w:rPr>
      </w:pPr>
      <w:bookmarkStart w:id="335" w:name="_Toc1416"/>
      <w:bookmarkStart w:id="336" w:name="_Toc17845"/>
      <w:bookmarkStart w:id="337" w:name="_Toc57017185"/>
      <w:r>
        <w:rPr>
          <w:rFonts w:hint="eastAsia" w:ascii="Times New Roman" w:hAnsi="Times New Roman" w:eastAsia="宋体" w:cs="Times New Roman"/>
          <w:b/>
          <w:color w:val="auto"/>
          <w:sz w:val="44"/>
          <w:szCs w:val="44"/>
        </w:rPr>
        <w:t>《中外教育名著导读》课程教学大纲</w:t>
      </w:r>
      <w:bookmarkEnd w:id="335"/>
      <w:bookmarkEnd w:id="336"/>
      <w:bookmarkEnd w:id="337"/>
    </w:p>
    <w:p w14:paraId="23DB9B13">
      <w:pPr>
        <w:spacing w:line="360" w:lineRule="auto"/>
        <w:jc w:val="center"/>
        <w:rPr>
          <w:rFonts w:ascii="Times New Roman" w:hAnsi="Times New Roman" w:eastAsia="宋体" w:cs="Times New Roman"/>
          <w:b/>
          <w:bCs/>
          <w:color w:val="auto"/>
          <w:sz w:val="28"/>
          <w:szCs w:val="30"/>
        </w:rPr>
      </w:pPr>
      <w:r>
        <w:rPr>
          <w:rFonts w:ascii="Times New Roman" w:hAnsi="Times New Roman" w:eastAsia="宋体" w:cs="Times New Roman"/>
          <w:b/>
          <w:bCs/>
          <w:color w:val="auto"/>
          <w:sz w:val="28"/>
          <w:szCs w:val="30"/>
        </w:rPr>
        <w:t>（Introduction to Chinese and Foreign Educational Classics）</w:t>
      </w:r>
    </w:p>
    <w:p w14:paraId="3AD8DD40">
      <w:pPr>
        <w:spacing w:line="360" w:lineRule="auto"/>
        <w:ind w:firstLine="422" w:firstLineChars="200"/>
        <w:jc w:val="left"/>
        <w:rPr>
          <w:rFonts w:ascii="Times New Roman" w:hAnsi="Times New Roman" w:eastAsia="宋体" w:cs="Times New Roman"/>
          <w:b/>
          <w:color w:val="auto"/>
          <w:sz w:val="21"/>
          <w:szCs w:val="21"/>
        </w:rPr>
      </w:pPr>
    </w:p>
    <w:p w14:paraId="26E57E24">
      <w:pPr>
        <w:spacing w:line="360" w:lineRule="auto"/>
        <w:ind w:firstLine="482" w:firstLineChars="200"/>
        <w:jc w:val="left"/>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课程名称：</w:t>
      </w:r>
      <w:r>
        <w:rPr>
          <w:rFonts w:hint="eastAsia" w:ascii="Times New Roman" w:hAnsi="Times New Roman" w:eastAsia="宋体" w:cs="Times New Roman"/>
          <w:b/>
          <w:color w:val="auto"/>
          <w:sz w:val="24"/>
          <w:szCs w:val="24"/>
        </w:rPr>
        <w:t>中外教育名著导读</w:t>
      </w:r>
    </w:p>
    <w:p w14:paraId="7B4EC04C">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w:t>
      </w:r>
      <w:r>
        <w:rPr>
          <w:rFonts w:ascii="Times New Roman" w:hAnsi="Times New Roman" w:eastAsia="宋体" w:cs="Times New Roman"/>
          <w:color w:val="auto"/>
          <w:sz w:val="24"/>
          <w:szCs w:val="24"/>
        </w:rPr>
        <w:t>2401020</w:t>
      </w:r>
    </w:p>
    <w:p w14:paraId="17342191">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分：</w:t>
      </w:r>
      <w:r>
        <w:rPr>
          <w:rFonts w:hint="eastAsia" w:ascii="Times New Roman" w:hAnsi="Times New Roman" w:eastAsia="宋体" w:cs="Times New Roman"/>
          <w:color w:val="auto"/>
          <w:sz w:val="24"/>
          <w:szCs w:val="24"/>
        </w:rPr>
        <w:t>2</w:t>
      </w:r>
    </w:p>
    <w:p w14:paraId="45F87830">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时：</w:t>
      </w:r>
      <w:r>
        <w:rPr>
          <w:rFonts w:hint="eastAsia" w:ascii="Times New Roman" w:hAnsi="Times New Roman" w:eastAsia="宋体" w:cs="Times New Roman"/>
          <w:color w:val="auto"/>
          <w:sz w:val="24"/>
          <w:szCs w:val="24"/>
        </w:rPr>
        <w:t>32</w:t>
      </w:r>
    </w:p>
    <w:p w14:paraId="6827B256">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先修课程：</w:t>
      </w:r>
      <w:r>
        <w:rPr>
          <w:rFonts w:hint="eastAsia" w:ascii="Times New Roman" w:hAnsi="Times New Roman" w:eastAsia="宋体" w:cs="Times New Roman"/>
          <w:bCs/>
          <w:color w:val="auto"/>
          <w:sz w:val="24"/>
          <w:szCs w:val="24"/>
        </w:rPr>
        <w:t>教育原理、中国教育史、外国教育史</w:t>
      </w:r>
    </w:p>
    <w:p w14:paraId="55F17278">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适用专业：</w:t>
      </w:r>
      <w:r>
        <w:rPr>
          <w:rFonts w:hint="eastAsia" w:ascii="Times New Roman" w:hAnsi="Times New Roman" w:eastAsia="宋体" w:cs="Times New Roman"/>
          <w:color w:val="auto"/>
          <w:sz w:val="24"/>
          <w:szCs w:val="24"/>
        </w:rPr>
        <w:t>小学教育</w:t>
      </w:r>
    </w:p>
    <w:p w14:paraId="1A737451">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360" w:lineRule="auto"/>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一、课程简介</w:t>
      </w:r>
    </w:p>
    <w:p w14:paraId="040B45D6">
      <w:pPr>
        <w:numPr>
          <w:ilvl w:val="0"/>
          <w:numId w:val="0"/>
        </w:numPr>
        <w:spacing w:line="360" w:lineRule="auto"/>
        <w:ind w:firstLine="420" w:firstLineChars="20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课程是小学教育专业的一门专业基础选修课。开设本课程，旨在促使学生通过阅读一些中外教育名著，更真实清晰地了解教育史上的重要教育思想，理解其思想实质和教育家们思考问题的立场、方法及时代背景；能运用马克思主义的思想观点、立场、方法来分析历史上中外教育家们的教育思想，取其精华，去其糟粕。学生在掌握中外教育名著理论精华和特色的基础上，能把传统思想精华与现代教育改革有机结合，丰富中国特色现代教育理论和实践。牢固学生专业思想，养成热爱祖国，热爱教育事业的情操。</w:t>
      </w:r>
    </w:p>
    <w:p w14:paraId="3F82C9EE">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360" w:lineRule="auto"/>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二、课程目标</w:t>
      </w:r>
    </w:p>
    <w:p w14:paraId="1789893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（一）课程具体目标</w:t>
      </w:r>
    </w:p>
    <w:p w14:paraId="126240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目标1</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掌握中外著名教育家的主要教育思想及代表性作品。</w:t>
      </w:r>
    </w:p>
    <w:p w14:paraId="5E5BC9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目标2</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了解中外教育名著的写作背景，把握其思想实质和教育家们分析问题的立场、方法，自觉树立科学的教育理念</w:t>
      </w:r>
    </w:p>
    <w:p w14:paraId="024BC1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目标</w:t>
      </w:r>
      <w:r>
        <w:rPr>
          <w:rFonts w:ascii="Times New Roman" w:hAnsi="Times New Roman" w:eastAsia="宋体" w:cs="Times New Roman"/>
          <w:color w:val="auto"/>
          <w:sz w:val="21"/>
          <w:szCs w:val="21"/>
        </w:rPr>
        <w:t xml:space="preserve">3. </w:t>
      </w:r>
      <w:r>
        <w:rPr>
          <w:rFonts w:hint="eastAsia" w:ascii="Times New Roman" w:hAnsi="Times New Roman" w:eastAsia="宋体" w:cs="Times New Roman"/>
          <w:color w:val="auto"/>
          <w:sz w:val="21"/>
          <w:szCs w:val="21"/>
        </w:rPr>
        <w:t>了解古今中外教育家教育思想的现实意义，通过知古识今，洋为中用，更好地分析和思考当前我国教育改革的实际问题，增强教育的革新意识</w:t>
      </w:r>
    </w:p>
    <w:p w14:paraId="2F5A8A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目标</w:t>
      </w:r>
      <w:r>
        <w:rPr>
          <w:rFonts w:ascii="Times New Roman" w:hAnsi="Times New Roman" w:eastAsia="宋体" w:cs="Times New Roman"/>
          <w:color w:val="auto"/>
          <w:sz w:val="21"/>
          <w:szCs w:val="21"/>
        </w:rPr>
        <w:t xml:space="preserve">4. </w:t>
      </w:r>
      <w:r>
        <w:rPr>
          <w:rFonts w:hint="eastAsia" w:ascii="Times New Roman" w:hAnsi="Times New Roman" w:eastAsia="宋体" w:cs="Times New Roman"/>
          <w:color w:val="auto"/>
          <w:sz w:val="21"/>
          <w:szCs w:val="21"/>
        </w:rPr>
        <w:t>掌握一定的阅读方法，养成良好的阅读习惯，增强分析、批判和创新能力。</w:t>
      </w:r>
    </w:p>
    <w:p w14:paraId="3F745A63">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B89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DBC579C">
            <w:pPr>
              <w:spacing w:line="360" w:lineRule="auto"/>
              <w:jc w:val="center"/>
              <w:rPr>
                <w:rFonts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毕业要求</w:t>
            </w:r>
          </w:p>
        </w:tc>
        <w:tc>
          <w:tcPr>
            <w:tcW w:w="5688" w:type="dxa"/>
            <w:vAlign w:val="center"/>
          </w:tcPr>
          <w:p w14:paraId="6D79FF18">
            <w:pPr>
              <w:spacing w:line="360" w:lineRule="auto"/>
              <w:jc w:val="center"/>
              <w:rPr>
                <w:rFonts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毕业要求指标点</w:t>
            </w:r>
          </w:p>
        </w:tc>
        <w:tc>
          <w:tcPr>
            <w:tcW w:w="1191" w:type="dxa"/>
            <w:vAlign w:val="center"/>
          </w:tcPr>
          <w:p w14:paraId="7C3C2CA2">
            <w:pPr>
              <w:spacing w:line="360" w:lineRule="auto"/>
              <w:jc w:val="center"/>
              <w:rPr>
                <w:rFonts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课程目标</w:t>
            </w:r>
          </w:p>
        </w:tc>
      </w:tr>
      <w:tr w14:paraId="1BF8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A57536C">
            <w:pPr>
              <w:spacing w:line="276" w:lineRule="auto"/>
              <w:jc w:val="left"/>
              <w:rPr>
                <w:rFonts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毕业要求2教育情怀</w:t>
            </w:r>
          </w:p>
        </w:tc>
        <w:tc>
          <w:tcPr>
            <w:tcW w:w="5688" w:type="dxa"/>
            <w:vAlign w:val="center"/>
          </w:tcPr>
          <w:p w14:paraId="1328279C">
            <w:pPr>
              <w:spacing w:line="276" w:lineRule="auto"/>
              <w:jc w:val="left"/>
              <w:rPr>
                <w:rFonts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rPr>
              <w:t>指标点2-3：【自身修养良好】具有较好的人文艺术底蕴与科学精神，言行举止符合教师职业标准，情感积极，人格健全，身心健康。</w:t>
            </w:r>
          </w:p>
        </w:tc>
        <w:tc>
          <w:tcPr>
            <w:tcW w:w="1191" w:type="dxa"/>
            <w:vAlign w:val="center"/>
          </w:tcPr>
          <w:p w14:paraId="06844931">
            <w:pPr>
              <w:spacing w:line="276" w:lineRule="auto"/>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课程目标1、4</w:t>
            </w:r>
          </w:p>
        </w:tc>
      </w:tr>
      <w:tr w14:paraId="7B85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A7E9D0F">
            <w:pPr>
              <w:spacing w:line="276" w:lineRule="auto"/>
              <w:jc w:val="left"/>
              <w:rPr>
                <w:rFonts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毕业要求3学科素养</w:t>
            </w:r>
          </w:p>
        </w:tc>
        <w:tc>
          <w:tcPr>
            <w:tcW w:w="5688" w:type="dxa"/>
            <w:vAlign w:val="center"/>
          </w:tcPr>
          <w:p w14:paraId="565C2283">
            <w:pPr>
              <w:spacing w:line="276" w:lineRule="auto"/>
              <w:jc w:val="left"/>
              <w:rPr>
                <w:rFonts w:hint="eastAsia" w:ascii="Times New Roman" w:hAnsi="Times New Roman" w:eastAsia="宋体" w:cs="Times New Roman"/>
                <w:b w:val="0"/>
                <w:bCs w:val="0"/>
                <w:color w:val="auto"/>
                <w:kern w:val="0"/>
                <w:sz w:val="21"/>
                <w:szCs w:val="21"/>
                <w:lang w:eastAsia="zh-CN"/>
              </w:rPr>
            </w:pPr>
            <w:r>
              <w:rPr>
                <w:rFonts w:hint="eastAsia" w:ascii="宋体" w:hAnsi="宋体" w:eastAsia="宋体" w:cs="Times New Roman"/>
                <w:b w:val="0"/>
                <w:bCs w:val="0"/>
                <w:color w:val="auto"/>
                <w:spacing w:val="2"/>
                <w:kern w:val="0"/>
                <w:sz w:val="21"/>
                <w:szCs w:val="21"/>
                <w:lang w:eastAsia="zh-CN"/>
              </w:rPr>
              <w:t>指标点3-1：【通识知识广博】具有小学教育本科专业相应的自然科学和人文社会科学知识素养。</w:t>
            </w:r>
          </w:p>
        </w:tc>
        <w:tc>
          <w:tcPr>
            <w:tcW w:w="1191" w:type="dxa"/>
            <w:vAlign w:val="center"/>
          </w:tcPr>
          <w:p w14:paraId="27A4E22B">
            <w:pPr>
              <w:spacing w:line="276" w:lineRule="auto"/>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课程目标1、2</w:t>
            </w:r>
          </w:p>
        </w:tc>
      </w:tr>
      <w:tr w14:paraId="418F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5A6A7A7">
            <w:pPr>
              <w:spacing w:line="276" w:lineRule="auto"/>
              <w:jc w:val="left"/>
              <w:rPr>
                <w:rFonts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毕业要求7学会反思</w:t>
            </w:r>
          </w:p>
        </w:tc>
        <w:tc>
          <w:tcPr>
            <w:tcW w:w="5688" w:type="dxa"/>
            <w:vAlign w:val="center"/>
          </w:tcPr>
          <w:p w14:paraId="6B57B41A">
            <w:pPr>
              <w:spacing w:line="276" w:lineRule="auto"/>
              <w:jc w:val="left"/>
              <w:rPr>
                <w:rFonts w:ascii="Times New Roman" w:hAnsi="Times New Roman" w:eastAsia="宋体" w:cs="Times New Roman"/>
                <w:b w:val="0"/>
                <w:bCs w:val="0"/>
                <w:color w:val="auto"/>
                <w:kern w:val="0"/>
                <w:sz w:val="21"/>
                <w:szCs w:val="21"/>
              </w:rPr>
            </w:pPr>
            <w:r>
              <w:rPr>
                <w:rFonts w:hint="eastAsia" w:ascii="宋体" w:hAnsi="宋体" w:eastAsia="宋体" w:cs="Times New Roman"/>
                <w:b w:val="0"/>
                <w:bCs w:val="0"/>
                <w:color w:val="auto"/>
                <w:kern w:val="0"/>
                <w:sz w:val="21"/>
                <w:szCs w:val="21"/>
                <w:lang w:eastAsia="zh-CN"/>
              </w:rPr>
              <w:t>指标点7-1：【教育视野开阔】积极关注基础教育领域的国内外交流进展，了解国内外基础教育改革发展的动态，具有宽广的教育视野，能够主动适应新时代和教育发展需求。</w:t>
            </w:r>
          </w:p>
        </w:tc>
        <w:tc>
          <w:tcPr>
            <w:tcW w:w="1191" w:type="dxa"/>
            <w:vAlign w:val="center"/>
          </w:tcPr>
          <w:p w14:paraId="1EA52BD4">
            <w:pPr>
              <w:spacing w:line="276" w:lineRule="auto"/>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课程目标3</w:t>
            </w:r>
          </w:p>
        </w:tc>
      </w:tr>
    </w:tbl>
    <w:p w14:paraId="2C5F2D99">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360" w:lineRule="auto"/>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1752"/>
        <w:gridCol w:w="1134"/>
        <w:gridCol w:w="3339"/>
        <w:gridCol w:w="1481"/>
        <w:gridCol w:w="438"/>
      </w:tblGrid>
      <w:tr w14:paraId="45C9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5A6515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知识</w:t>
            </w:r>
          </w:p>
          <w:p w14:paraId="72E4B4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单元</w:t>
            </w:r>
          </w:p>
        </w:tc>
        <w:tc>
          <w:tcPr>
            <w:tcW w:w="1752" w:type="dxa"/>
            <w:vAlign w:val="center"/>
          </w:tcPr>
          <w:p w14:paraId="4AEFDE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知识点</w:t>
            </w:r>
          </w:p>
        </w:tc>
        <w:tc>
          <w:tcPr>
            <w:tcW w:w="1134" w:type="dxa"/>
            <w:vAlign w:val="center"/>
          </w:tcPr>
          <w:p w14:paraId="6F2F9E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对应</w:t>
            </w:r>
          </w:p>
          <w:p w14:paraId="10F23A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课程目标</w:t>
            </w:r>
          </w:p>
        </w:tc>
        <w:tc>
          <w:tcPr>
            <w:tcW w:w="3339" w:type="dxa"/>
            <w:vAlign w:val="center"/>
          </w:tcPr>
          <w:p w14:paraId="37C0F9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预期学习成效</w:t>
            </w:r>
          </w:p>
        </w:tc>
        <w:tc>
          <w:tcPr>
            <w:tcW w:w="1481" w:type="dxa"/>
            <w:vAlign w:val="center"/>
          </w:tcPr>
          <w:p w14:paraId="01212B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实现环节</w:t>
            </w:r>
          </w:p>
        </w:tc>
        <w:tc>
          <w:tcPr>
            <w:tcW w:w="438" w:type="dxa"/>
            <w:vAlign w:val="center"/>
          </w:tcPr>
          <w:p w14:paraId="708F55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学时</w:t>
            </w:r>
          </w:p>
        </w:tc>
      </w:tr>
      <w:tr w14:paraId="7003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restart"/>
            <w:vAlign w:val="center"/>
          </w:tcPr>
          <w:p w14:paraId="4EF6AC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w:t>
            </w:r>
            <w:r>
              <w:rPr>
                <w:rFonts w:hint="eastAsia" w:ascii="Times New Roman" w:hAnsi="Times New Roman" w:eastAsia="宋体" w:cs="Times New Roman"/>
                <w:color w:val="auto"/>
                <w:kern w:val="0"/>
                <w:sz w:val="21"/>
                <w:szCs w:val="21"/>
              </w:rPr>
              <w:t xml:space="preserve"> </w:t>
            </w:r>
            <w:r>
              <w:rPr>
                <w:rFonts w:hint="eastAsia" w:ascii="宋体" w:hAnsi="宋体" w:eastAsia="宋体" w:cs="Times New Roman"/>
                <w:color w:val="auto"/>
                <w:kern w:val="0"/>
                <w:sz w:val="21"/>
                <w:szCs w:val="21"/>
              </w:rPr>
              <w:t>导读概述</w:t>
            </w:r>
          </w:p>
        </w:tc>
        <w:tc>
          <w:tcPr>
            <w:tcW w:w="1752" w:type="dxa"/>
            <w:vAlign w:val="center"/>
          </w:tcPr>
          <w:p w14:paraId="68519B3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（1）什么是教育经典名著</w:t>
            </w:r>
          </w:p>
          <w:p w14:paraId="1DBC17B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（2）阅读教育经典名著的方法</w:t>
            </w:r>
          </w:p>
        </w:tc>
        <w:tc>
          <w:tcPr>
            <w:tcW w:w="1134" w:type="dxa"/>
            <w:vAlign w:val="center"/>
          </w:tcPr>
          <w:p w14:paraId="53E5E0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课程目标1、4</w:t>
            </w:r>
          </w:p>
        </w:tc>
        <w:tc>
          <w:tcPr>
            <w:tcW w:w="3339" w:type="dxa"/>
            <w:vAlign w:val="center"/>
          </w:tcPr>
          <w:p w14:paraId="34E3853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（1）了解什么是教育经典名著</w:t>
            </w:r>
          </w:p>
          <w:p w14:paraId="177A779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（2）明确阅读教育经典名著的意义</w:t>
            </w:r>
          </w:p>
          <w:p w14:paraId="504A587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（3）掌握教育经典名著的方法</w:t>
            </w:r>
          </w:p>
        </w:tc>
        <w:tc>
          <w:tcPr>
            <w:tcW w:w="1481" w:type="dxa"/>
            <w:vAlign w:val="center"/>
          </w:tcPr>
          <w:p w14:paraId="4F31603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1.线上学习</w:t>
            </w:r>
          </w:p>
          <w:p w14:paraId="34450FA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2.多媒体教学3.课堂讨论</w:t>
            </w:r>
          </w:p>
          <w:p w14:paraId="58761BD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4.单元测验</w:t>
            </w:r>
          </w:p>
        </w:tc>
        <w:tc>
          <w:tcPr>
            <w:tcW w:w="438" w:type="dxa"/>
            <w:vAlign w:val="center"/>
          </w:tcPr>
          <w:p w14:paraId="4616B3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w:t>
            </w:r>
          </w:p>
        </w:tc>
      </w:tr>
      <w:tr w14:paraId="4BCD6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continue"/>
            <w:vAlign w:val="center"/>
          </w:tcPr>
          <w:p w14:paraId="5B63A6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p>
        </w:tc>
        <w:tc>
          <w:tcPr>
            <w:tcW w:w="8144" w:type="dxa"/>
            <w:gridSpan w:val="5"/>
            <w:vAlign w:val="center"/>
          </w:tcPr>
          <w:p w14:paraId="18F6B6B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b/>
                <w:color w:val="auto"/>
                <w:kern w:val="0"/>
                <w:sz w:val="21"/>
                <w:szCs w:val="21"/>
              </w:rPr>
              <w:t>课程思政目标：</w:t>
            </w:r>
            <w:r>
              <w:rPr>
                <w:rFonts w:hint="eastAsia" w:ascii="宋体" w:hAnsi="宋体" w:eastAsia="宋体" w:cs="Times New Roman"/>
                <w:color w:val="auto"/>
                <w:kern w:val="0"/>
                <w:sz w:val="21"/>
                <w:szCs w:val="21"/>
              </w:rPr>
              <w:t>把马克思主义经典理论和习近平新时代中国特色社会主义思想等马克思主义中国化的最新理论成果融入课程内容，树牢“四个意识”，坚定“四个自信”，坚决做到“两个维护”，立志肩负起民族复兴的时代重任。</w:t>
            </w:r>
          </w:p>
        </w:tc>
      </w:tr>
      <w:tr w14:paraId="4531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restart"/>
            <w:vAlign w:val="center"/>
          </w:tcPr>
          <w:p w14:paraId="22D187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w:t>
            </w:r>
            <w:r>
              <w:rPr>
                <w:rFonts w:hint="eastAsia" w:ascii="Times New Roman" w:hAnsi="Times New Roman" w:eastAsia="宋体" w:cs="Times New Roman"/>
                <w:color w:val="auto"/>
                <w:kern w:val="0"/>
                <w:sz w:val="21"/>
                <w:szCs w:val="21"/>
              </w:rPr>
              <w:t xml:space="preserve"> </w:t>
            </w:r>
            <w:r>
              <w:rPr>
                <w:rFonts w:hint="eastAsia" w:ascii="宋体" w:hAnsi="宋体" w:eastAsia="宋体" w:cs="Times New Roman"/>
                <w:color w:val="auto"/>
                <w:kern w:val="0"/>
                <w:sz w:val="21"/>
                <w:szCs w:val="21"/>
              </w:rPr>
              <w:t>中国古代教育名著导读</w:t>
            </w:r>
          </w:p>
        </w:tc>
        <w:tc>
          <w:tcPr>
            <w:tcW w:w="1752" w:type="dxa"/>
            <w:vAlign w:val="center"/>
          </w:tcPr>
          <w:p w14:paraId="5B37936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（1）《论语》导读</w:t>
            </w:r>
          </w:p>
          <w:p w14:paraId="7E1EDCC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（2）《学记》导读</w:t>
            </w:r>
          </w:p>
          <w:p w14:paraId="010818D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（3）《勉学》导读</w:t>
            </w:r>
          </w:p>
          <w:p w14:paraId="2EAD5DC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（4）《师说》导读</w:t>
            </w:r>
          </w:p>
        </w:tc>
        <w:tc>
          <w:tcPr>
            <w:tcW w:w="1134" w:type="dxa"/>
            <w:vAlign w:val="center"/>
          </w:tcPr>
          <w:p w14:paraId="4BF255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课程目标1、2、3、4</w:t>
            </w:r>
          </w:p>
        </w:tc>
        <w:tc>
          <w:tcPr>
            <w:tcW w:w="3339" w:type="dxa"/>
            <w:vAlign w:val="center"/>
          </w:tcPr>
          <w:p w14:paraId="2AC0874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（1）了解《论语》《学记》《勉学》《师说》的内容和孔子、颜之推、韩愈的教育思想</w:t>
            </w:r>
          </w:p>
          <w:p w14:paraId="371214B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（2）理解《论语》《学记》《勉学》《师说》中的教育观和它们的历史地位</w:t>
            </w:r>
          </w:p>
          <w:p w14:paraId="4BB1A89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（3）掌握其思想精髓</w:t>
            </w:r>
          </w:p>
          <w:p w14:paraId="799D893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（4）能联系实际，探寻教育思想的现代意义</w:t>
            </w:r>
          </w:p>
        </w:tc>
        <w:tc>
          <w:tcPr>
            <w:tcW w:w="1481" w:type="dxa"/>
            <w:vAlign w:val="center"/>
          </w:tcPr>
          <w:p w14:paraId="2BA5CD1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1.线上学习</w:t>
            </w:r>
          </w:p>
          <w:p w14:paraId="12B9913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2.多媒体教学3.课堂讨论</w:t>
            </w:r>
          </w:p>
          <w:p w14:paraId="7403FA9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4.单元测验</w:t>
            </w:r>
          </w:p>
        </w:tc>
        <w:tc>
          <w:tcPr>
            <w:tcW w:w="438" w:type="dxa"/>
            <w:vAlign w:val="center"/>
          </w:tcPr>
          <w:p w14:paraId="57B13B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8</w:t>
            </w:r>
          </w:p>
        </w:tc>
      </w:tr>
      <w:tr w14:paraId="1435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continue"/>
            <w:vAlign w:val="center"/>
          </w:tcPr>
          <w:p w14:paraId="1F9070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p>
        </w:tc>
        <w:tc>
          <w:tcPr>
            <w:tcW w:w="8144" w:type="dxa"/>
            <w:gridSpan w:val="5"/>
            <w:vAlign w:val="center"/>
          </w:tcPr>
          <w:p w14:paraId="0331451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b/>
                <w:color w:val="auto"/>
                <w:kern w:val="0"/>
                <w:sz w:val="21"/>
                <w:szCs w:val="21"/>
              </w:rPr>
              <w:t>课程思政目标：</w:t>
            </w:r>
            <w:r>
              <w:rPr>
                <w:rFonts w:hint="eastAsia" w:ascii="宋体" w:hAnsi="宋体" w:eastAsia="宋体" w:cs="Times New Roman"/>
                <w:color w:val="auto"/>
                <w:kern w:val="0"/>
                <w:sz w:val="21"/>
                <w:szCs w:val="21"/>
              </w:rPr>
              <w:t>以教育家为榜样，忠诚人民教育事业，进一步巩固专业思想，乐于从事“太阳底下最光辉的事业”，把青春和智慧献给教育事业。</w:t>
            </w:r>
          </w:p>
        </w:tc>
      </w:tr>
      <w:tr w14:paraId="2B40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restart"/>
            <w:vAlign w:val="center"/>
          </w:tcPr>
          <w:p w14:paraId="5C29D7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3.</w:t>
            </w:r>
            <w:r>
              <w:rPr>
                <w:rFonts w:hint="eastAsia" w:ascii="Times New Roman" w:hAnsi="Times New Roman" w:eastAsia="宋体" w:cs="Times New Roman"/>
                <w:color w:val="auto"/>
                <w:kern w:val="0"/>
                <w:sz w:val="21"/>
                <w:szCs w:val="21"/>
              </w:rPr>
              <w:t xml:space="preserve"> </w:t>
            </w:r>
            <w:r>
              <w:rPr>
                <w:rFonts w:hint="eastAsia" w:ascii="宋体" w:hAnsi="宋体" w:eastAsia="宋体" w:cs="Times New Roman"/>
                <w:color w:val="auto"/>
                <w:kern w:val="0"/>
                <w:sz w:val="21"/>
                <w:szCs w:val="21"/>
              </w:rPr>
              <w:t>中国近现代教育名著导读</w:t>
            </w:r>
          </w:p>
        </w:tc>
        <w:tc>
          <w:tcPr>
            <w:tcW w:w="1752" w:type="dxa"/>
            <w:vAlign w:val="center"/>
          </w:tcPr>
          <w:p w14:paraId="4C335B1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（1）《就任北京大学校长之演说》导读</w:t>
            </w:r>
          </w:p>
          <w:p w14:paraId="693A349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（2）《大学一解》导读</w:t>
            </w:r>
          </w:p>
          <w:p w14:paraId="7901017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（3）《创造的教育》导读</w:t>
            </w:r>
          </w:p>
          <w:p w14:paraId="36A10B7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（4）《为什么读书》导读</w:t>
            </w:r>
          </w:p>
        </w:tc>
        <w:tc>
          <w:tcPr>
            <w:tcW w:w="1134" w:type="dxa"/>
            <w:vAlign w:val="center"/>
          </w:tcPr>
          <w:p w14:paraId="5B40BB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课程目标1、2、3、4</w:t>
            </w:r>
          </w:p>
        </w:tc>
        <w:tc>
          <w:tcPr>
            <w:tcW w:w="3339" w:type="dxa"/>
            <w:vAlign w:val="center"/>
          </w:tcPr>
          <w:p w14:paraId="5D5E5D3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（1）了解蔡元培、梅贻琦、陶行知、胡适的教育思想</w:t>
            </w:r>
          </w:p>
          <w:p w14:paraId="082B554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（2）理解《就任北京大学校长之演说》《大学一解》《创造的教育》《为什么读书》中的教育观</w:t>
            </w:r>
          </w:p>
          <w:p w14:paraId="0172A0F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（3）掌握其思想精髓</w:t>
            </w:r>
          </w:p>
          <w:p w14:paraId="2596E5D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（4）能联系实际，探寻其教育思想的现代意义</w:t>
            </w:r>
          </w:p>
        </w:tc>
        <w:tc>
          <w:tcPr>
            <w:tcW w:w="1481" w:type="dxa"/>
            <w:vAlign w:val="center"/>
          </w:tcPr>
          <w:p w14:paraId="28FC8AC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1.线上学习</w:t>
            </w:r>
          </w:p>
          <w:p w14:paraId="7B65BF1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2.多媒体教学3.课堂讨论</w:t>
            </w:r>
          </w:p>
          <w:p w14:paraId="095FB02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4.单元测验</w:t>
            </w:r>
          </w:p>
        </w:tc>
        <w:tc>
          <w:tcPr>
            <w:tcW w:w="438" w:type="dxa"/>
            <w:vAlign w:val="center"/>
          </w:tcPr>
          <w:p w14:paraId="36F68B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8</w:t>
            </w:r>
          </w:p>
        </w:tc>
      </w:tr>
      <w:tr w14:paraId="4A44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continue"/>
            <w:vAlign w:val="center"/>
          </w:tcPr>
          <w:p w14:paraId="6A34A2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p>
        </w:tc>
        <w:tc>
          <w:tcPr>
            <w:tcW w:w="8144" w:type="dxa"/>
            <w:gridSpan w:val="5"/>
            <w:vAlign w:val="center"/>
          </w:tcPr>
          <w:p w14:paraId="00474C3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b/>
                <w:color w:val="auto"/>
                <w:kern w:val="0"/>
                <w:sz w:val="21"/>
                <w:szCs w:val="21"/>
              </w:rPr>
              <w:t>课程思政目标：</w:t>
            </w:r>
            <w:r>
              <w:rPr>
                <w:rFonts w:hint="eastAsia" w:ascii="宋体" w:hAnsi="宋体" w:eastAsia="宋体" w:cs="Times New Roman"/>
                <w:color w:val="auto"/>
                <w:kern w:val="0"/>
                <w:sz w:val="21"/>
                <w:szCs w:val="21"/>
              </w:rPr>
              <w:t>继承祖国优秀教育遗产，增强民族自尊心和自信心。厚植爱国主义情怀，传承中华优秀传统文化，弘扬以爱国主义为核心的民族精神和以改革创新为核心的时代精神。</w:t>
            </w:r>
          </w:p>
        </w:tc>
      </w:tr>
      <w:tr w14:paraId="4527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restart"/>
            <w:vAlign w:val="center"/>
          </w:tcPr>
          <w:p w14:paraId="4B6937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4.</w:t>
            </w:r>
            <w:r>
              <w:rPr>
                <w:rFonts w:hint="eastAsia" w:ascii="Times New Roman" w:hAnsi="Times New Roman" w:eastAsia="宋体" w:cs="Times New Roman"/>
                <w:color w:val="auto"/>
                <w:kern w:val="0"/>
                <w:sz w:val="21"/>
                <w:szCs w:val="21"/>
              </w:rPr>
              <w:t xml:space="preserve"> </w:t>
            </w:r>
            <w:r>
              <w:rPr>
                <w:rFonts w:hint="eastAsia" w:ascii="宋体" w:hAnsi="宋体" w:eastAsia="宋体" w:cs="Times New Roman"/>
                <w:color w:val="auto"/>
                <w:kern w:val="0"/>
                <w:sz w:val="21"/>
                <w:szCs w:val="21"/>
              </w:rPr>
              <w:t>西方古代教育名著导读</w:t>
            </w:r>
          </w:p>
        </w:tc>
        <w:tc>
          <w:tcPr>
            <w:tcW w:w="1752" w:type="dxa"/>
            <w:vAlign w:val="center"/>
          </w:tcPr>
          <w:p w14:paraId="1E91E93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（1）《大教学论》导读</w:t>
            </w:r>
          </w:p>
          <w:p w14:paraId="5EABBB9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（2）《教育漫话》导读</w:t>
            </w:r>
          </w:p>
          <w:p w14:paraId="7D4871E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（3）《爱弥儿》导读</w:t>
            </w:r>
          </w:p>
          <w:p w14:paraId="5F47D51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（4）《普通教育学》导读</w:t>
            </w:r>
          </w:p>
        </w:tc>
        <w:tc>
          <w:tcPr>
            <w:tcW w:w="1134" w:type="dxa"/>
            <w:vAlign w:val="center"/>
          </w:tcPr>
          <w:p w14:paraId="61C773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课程目标1、2、3、4</w:t>
            </w:r>
          </w:p>
        </w:tc>
        <w:tc>
          <w:tcPr>
            <w:tcW w:w="3339" w:type="dxa"/>
            <w:vAlign w:val="center"/>
          </w:tcPr>
          <w:p w14:paraId="3BAAD26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（1）了解夸美纽斯、洛克、卢梭、赫尔巴特的教育思想</w:t>
            </w:r>
          </w:p>
          <w:p w14:paraId="2355C19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（2）理解《大教学论》《教育漫话》《爱弥儿》《普通教育学》中的教育观</w:t>
            </w:r>
          </w:p>
          <w:p w14:paraId="2BF1468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（3）掌握其思想精髓</w:t>
            </w:r>
          </w:p>
          <w:p w14:paraId="622A8B9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（4）能联系实际，探寻教育思想的现代意义</w:t>
            </w:r>
          </w:p>
        </w:tc>
        <w:tc>
          <w:tcPr>
            <w:tcW w:w="1481" w:type="dxa"/>
            <w:vAlign w:val="center"/>
          </w:tcPr>
          <w:p w14:paraId="153B148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1.线上学习</w:t>
            </w:r>
          </w:p>
          <w:p w14:paraId="16902B2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2.多媒体教学3.课堂讨论</w:t>
            </w:r>
          </w:p>
          <w:p w14:paraId="33D37CE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4.单元测验</w:t>
            </w:r>
          </w:p>
        </w:tc>
        <w:tc>
          <w:tcPr>
            <w:tcW w:w="438" w:type="dxa"/>
            <w:vAlign w:val="center"/>
          </w:tcPr>
          <w:p w14:paraId="536AD9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8</w:t>
            </w:r>
          </w:p>
        </w:tc>
      </w:tr>
      <w:tr w14:paraId="32E6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continue"/>
            <w:vAlign w:val="center"/>
          </w:tcPr>
          <w:p w14:paraId="1C5772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p>
        </w:tc>
        <w:tc>
          <w:tcPr>
            <w:tcW w:w="8144" w:type="dxa"/>
            <w:gridSpan w:val="5"/>
            <w:vAlign w:val="center"/>
          </w:tcPr>
          <w:p w14:paraId="61D491B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b/>
                <w:color w:val="auto"/>
                <w:kern w:val="0"/>
                <w:sz w:val="21"/>
                <w:szCs w:val="21"/>
              </w:rPr>
              <w:t>课程思政目标：</w:t>
            </w:r>
            <w:r>
              <w:rPr>
                <w:rFonts w:hint="eastAsia" w:ascii="宋体" w:hAnsi="宋体" w:eastAsia="宋体" w:cs="Times New Roman"/>
                <w:color w:val="auto"/>
                <w:kern w:val="0"/>
                <w:sz w:val="21"/>
                <w:szCs w:val="21"/>
              </w:rPr>
              <w:t>践行教育家精神，学习其乐思、善思的精神树立经师与人师统一的大先生。</w:t>
            </w:r>
          </w:p>
        </w:tc>
      </w:tr>
      <w:tr w14:paraId="1A3E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restart"/>
            <w:vAlign w:val="center"/>
          </w:tcPr>
          <w:p w14:paraId="50F19C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5.</w:t>
            </w:r>
            <w:r>
              <w:rPr>
                <w:rFonts w:hint="eastAsia" w:ascii="Times New Roman" w:hAnsi="Times New Roman" w:eastAsia="宋体" w:cs="Times New Roman"/>
                <w:color w:val="auto"/>
                <w:kern w:val="0"/>
                <w:sz w:val="21"/>
                <w:szCs w:val="21"/>
              </w:rPr>
              <w:t xml:space="preserve"> </w:t>
            </w:r>
            <w:r>
              <w:rPr>
                <w:rFonts w:hint="eastAsia" w:ascii="宋体" w:hAnsi="宋体" w:eastAsia="宋体" w:cs="Times New Roman"/>
                <w:color w:val="auto"/>
                <w:kern w:val="0"/>
                <w:sz w:val="21"/>
                <w:szCs w:val="21"/>
              </w:rPr>
              <w:t>西方近现代教育名著导读</w:t>
            </w:r>
          </w:p>
        </w:tc>
        <w:tc>
          <w:tcPr>
            <w:tcW w:w="1752" w:type="dxa"/>
            <w:vAlign w:val="center"/>
          </w:tcPr>
          <w:p w14:paraId="6001274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（1）《民主主义与教育》导读</w:t>
            </w:r>
          </w:p>
          <w:p w14:paraId="274C290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（2）《静悄悄的革命》导读</w:t>
            </w:r>
          </w:p>
          <w:p w14:paraId="2FCEDCC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（3）《学会生存——教育世界的今天和明天》导读</w:t>
            </w:r>
          </w:p>
        </w:tc>
        <w:tc>
          <w:tcPr>
            <w:tcW w:w="1134" w:type="dxa"/>
            <w:vAlign w:val="center"/>
          </w:tcPr>
          <w:p w14:paraId="2DF822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课程目标1、2、3</w:t>
            </w:r>
          </w:p>
        </w:tc>
        <w:tc>
          <w:tcPr>
            <w:tcW w:w="3339" w:type="dxa"/>
            <w:vAlign w:val="center"/>
          </w:tcPr>
          <w:p w14:paraId="23478D7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（1）了解杜威、佐藤学、埃德加·富尔的教育思想</w:t>
            </w:r>
          </w:p>
          <w:p w14:paraId="0B0A738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（2）理解《民主主义与教育》《静悄悄的革命》《学会生存》中的教育观</w:t>
            </w:r>
          </w:p>
          <w:p w14:paraId="2AFFF55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（3）掌握其思想精髓</w:t>
            </w:r>
          </w:p>
          <w:p w14:paraId="3872D90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（4）能联系实际，探寻教育思想的现代意义</w:t>
            </w:r>
          </w:p>
        </w:tc>
        <w:tc>
          <w:tcPr>
            <w:tcW w:w="1481" w:type="dxa"/>
            <w:vAlign w:val="center"/>
          </w:tcPr>
          <w:p w14:paraId="28FCA8A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1.线上学习</w:t>
            </w:r>
          </w:p>
          <w:p w14:paraId="7FDED09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2.多媒体教学3.课堂讨论</w:t>
            </w:r>
          </w:p>
          <w:p w14:paraId="21F59E2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4.单元测验</w:t>
            </w:r>
          </w:p>
        </w:tc>
        <w:tc>
          <w:tcPr>
            <w:tcW w:w="438" w:type="dxa"/>
            <w:vAlign w:val="center"/>
          </w:tcPr>
          <w:p w14:paraId="66C121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7</w:t>
            </w:r>
          </w:p>
        </w:tc>
      </w:tr>
      <w:tr w14:paraId="50D0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continue"/>
            <w:vAlign w:val="center"/>
          </w:tcPr>
          <w:p w14:paraId="61F67A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kern w:val="0"/>
                <w:sz w:val="21"/>
                <w:szCs w:val="21"/>
              </w:rPr>
            </w:pPr>
          </w:p>
        </w:tc>
        <w:tc>
          <w:tcPr>
            <w:tcW w:w="8144" w:type="dxa"/>
            <w:gridSpan w:val="5"/>
            <w:vAlign w:val="center"/>
          </w:tcPr>
          <w:p w14:paraId="47B39E6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kern w:val="0"/>
                <w:sz w:val="21"/>
                <w:szCs w:val="21"/>
              </w:rPr>
            </w:pPr>
            <w:r>
              <w:rPr>
                <w:rFonts w:hint="eastAsia" w:ascii="宋体" w:hAnsi="宋体" w:eastAsia="宋体" w:cs="Times New Roman"/>
                <w:b/>
                <w:color w:val="auto"/>
                <w:kern w:val="0"/>
                <w:sz w:val="21"/>
                <w:szCs w:val="21"/>
              </w:rPr>
              <w:t>课程思政目标：</w:t>
            </w:r>
            <w:r>
              <w:rPr>
                <w:rFonts w:hint="eastAsia" w:ascii="宋体" w:hAnsi="宋体" w:eastAsia="宋体" w:cs="Times New Roman"/>
                <w:bCs/>
                <w:color w:val="auto"/>
                <w:kern w:val="0"/>
                <w:sz w:val="21"/>
                <w:szCs w:val="21"/>
              </w:rPr>
              <w:t>学习教育家与践行教育家精神，树立楷模先知的四有好教师。</w:t>
            </w:r>
          </w:p>
        </w:tc>
      </w:tr>
    </w:tbl>
    <w:p w14:paraId="73D72681">
      <w:pPr>
        <w:spacing w:line="360" w:lineRule="auto"/>
        <w:jc w:val="left"/>
        <w:rPr>
          <w:rFonts w:ascii="Times New Roman" w:hAnsi="Times New Roman" w:eastAsia="宋体" w:cs="Times New Roman"/>
          <w:color w:val="auto"/>
          <w:sz w:val="24"/>
        </w:rPr>
      </w:pPr>
      <w:r>
        <w:rPr>
          <w:rFonts w:hint="eastAsia" w:ascii="宋体" w:hAnsi="宋体" w:eastAsia="宋体" w:cs="Times New Roman"/>
          <w:b/>
          <w:color w:val="auto"/>
          <w:sz w:val="24"/>
        </w:rPr>
        <w:t>四、目标评价与成绩评定</w:t>
      </w:r>
    </w:p>
    <w:p w14:paraId="1FED14D5">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6544ED7E">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664"/>
        <w:gridCol w:w="1134"/>
        <w:gridCol w:w="1418"/>
        <w:gridCol w:w="1134"/>
        <w:gridCol w:w="1276"/>
        <w:gridCol w:w="992"/>
      </w:tblGrid>
      <w:tr w14:paraId="294D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7DA164C">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w:t>
            </w:r>
          </w:p>
        </w:tc>
        <w:tc>
          <w:tcPr>
            <w:tcW w:w="6626" w:type="dxa"/>
            <w:gridSpan w:val="5"/>
            <w:vAlign w:val="center"/>
          </w:tcPr>
          <w:p w14:paraId="34963EAC">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评价与成绩评定方法</w:t>
            </w:r>
          </w:p>
        </w:tc>
        <w:tc>
          <w:tcPr>
            <w:tcW w:w="992" w:type="dxa"/>
            <w:vMerge w:val="restart"/>
            <w:vAlign w:val="center"/>
          </w:tcPr>
          <w:p w14:paraId="02EF16E4">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分值</w:t>
            </w:r>
          </w:p>
        </w:tc>
      </w:tr>
      <w:tr w14:paraId="397A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2D28B592">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p>
        </w:tc>
        <w:tc>
          <w:tcPr>
            <w:tcW w:w="1664" w:type="dxa"/>
            <w:vAlign w:val="center"/>
          </w:tcPr>
          <w:p w14:paraId="0DCA6075">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平时作业</w:t>
            </w:r>
          </w:p>
        </w:tc>
        <w:tc>
          <w:tcPr>
            <w:tcW w:w="1134" w:type="dxa"/>
            <w:vAlign w:val="center"/>
          </w:tcPr>
          <w:p w14:paraId="27E327BF">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课堂表现</w:t>
            </w:r>
          </w:p>
        </w:tc>
        <w:tc>
          <w:tcPr>
            <w:tcW w:w="1418" w:type="dxa"/>
            <w:vAlign w:val="center"/>
          </w:tcPr>
          <w:p w14:paraId="5078898D">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单元测验</w:t>
            </w:r>
          </w:p>
        </w:tc>
        <w:tc>
          <w:tcPr>
            <w:tcW w:w="1134" w:type="dxa"/>
            <w:vAlign w:val="center"/>
          </w:tcPr>
          <w:p w14:paraId="3B41C4C8">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自主学习</w:t>
            </w:r>
          </w:p>
        </w:tc>
        <w:tc>
          <w:tcPr>
            <w:tcW w:w="1276" w:type="dxa"/>
            <w:vAlign w:val="center"/>
          </w:tcPr>
          <w:p w14:paraId="65270F56">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期末考试</w:t>
            </w:r>
          </w:p>
        </w:tc>
        <w:tc>
          <w:tcPr>
            <w:tcW w:w="992" w:type="dxa"/>
            <w:vMerge w:val="continue"/>
            <w:vAlign w:val="center"/>
          </w:tcPr>
          <w:p w14:paraId="2684388D">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p>
        </w:tc>
      </w:tr>
      <w:tr w14:paraId="1AE2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0DD8C02">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课程目标1</w:t>
            </w:r>
          </w:p>
        </w:tc>
        <w:tc>
          <w:tcPr>
            <w:tcW w:w="1664" w:type="dxa"/>
            <w:vAlign w:val="center"/>
          </w:tcPr>
          <w:p w14:paraId="6E50FAEC">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134" w:type="dxa"/>
            <w:vAlign w:val="center"/>
          </w:tcPr>
          <w:p w14:paraId="33B7138A">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418" w:type="dxa"/>
            <w:vAlign w:val="center"/>
          </w:tcPr>
          <w:p w14:paraId="11756CE1">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134" w:type="dxa"/>
            <w:vAlign w:val="center"/>
          </w:tcPr>
          <w:p w14:paraId="60DE9BC0">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76" w:type="dxa"/>
            <w:vAlign w:val="center"/>
          </w:tcPr>
          <w:p w14:paraId="5709EE70">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w:t>
            </w:r>
            <w:r>
              <w:rPr>
                <w:rFonts w:ascii="宋体" w:hAnsi="宋体" w:eastAsia="宋体" w:cs="Times New Roman"/>
                <w:color w:val="auto"/>
                <w:kern w:val="0"/>
                <w:sz w:val="20"/>
                <w:szCs w:val="21"/>
              </w:rPr>
              <w:sym w:font="Wingdings 2" w:char="F050"/>
            </w:r>
          </w:p>
        </w:tc>
        <w:tc>
          <w:tcPr>
            <w:tcW w:w="992" w:type="dxa"/>
            <w:vAlign w:val="center"/>
          </w:tcPr>
          <w:p w14:paraId="330D28C9">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20</w:t>
            </w:r>
          </w:p>
        </w:tc>
      </w:tr>
      <w:tr w14:paraId="11D7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FA13C24">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课程目标2</w:t>
            </w:r>
          </w:p>
        </w:tc>
        <w:tc>
          <w:tcPr>
            <w:tcW w:w="1664" w:type="dxa"/>
            <w:vAlign w:val="center"/>
          </w:tcPr>
          <w:p w14:paraId="678D2A3C">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134" w:type="dxa"/>
            <w:vAlign w:val="center"/>
          </w:tcPr>
          <w:p w14:paraId="2D9A3510">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418" w:type="dxa"/>
            <w:vAlign w:val="center"/>
          </w:tcPr>
          <w:p w14:paraId="0FF2648F">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p>
        </w:tc>
        <w:tc>
          <w:tcPr>
            <w:tcW w:w="1134" w:type="dxa"/>
            <w:vAlign w:val="center"/>
          </w:tcPr>
          <w:p w14:paraId="610868D6">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76" w:type="dxa"/>
            <w:vAlign w:val="center"/>
          </w:tcPr>
          <w:p w14:paraId="1AAABE00">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992" w:type="dxa"/>
            <w:vAlign w:val="center"/>
          </w:tcPr>
          <w:p w14:paraId="2347BAD4">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30</w:t>
            </w:r>
          </w:p>
        </w:tc>
      </w:tr>
      <w:tr w14:paraId="3458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20DB1B3">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课程目标3</w:t>
            </w:r>
          </w:p>
        </w:tc>
        <w:tc>
          <w:tcPr>
            <w:tcW w:w="1664" w:type="dxa"/>
            <w:vAlign w:val="center"/>
          </w:tcPr>
          <w:p w14:paraId="6266CEA2">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134" w:type="dxa"/>
            <w:vAlign w:val="center"/>
          </w:tcPr>
          <w:p w14:paraId="1D11F5F2">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p>
        </w:tc>
        <w:tc>
          <w:tcPr>
            <w:tcW w:w="1418" w:type="dxa"/>
            <w:vAlign w:val="center"/>
          </w:tcPr>
          <w:p w14:paraId="55150E45">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134" w:type="dxa"/>
            <w:vAlign w:val="center"/>
          </w:tcPr>
          <w:p w14:paraId="23D1403D">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p>
        </w:tc>
        <w:tc>
          <w:tcPr>
            <w:tcW w:w="1276" w:type="dxa"/>
            <w:vAlign w:val="center"/>
          </w:tcPr>
          <w:p w14:paraId="2D9A2F77">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992" w:type="dxa"/>
            <w:vAlign w:val="center"/>
          </w:tcPr>
          <w:p w14:paraId="0F1BB0C4">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30</w:t>
            </w:r>
          </w:p>
        </w:tc>
      </w:tr>
      <w:tr w14:paraId="14D7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4CBAA43">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课程目标4</w:t>
            </w:r>
          </w:p>
        </w:tc>
        <w:tc>
          <w:tcPr>
            <w:tcW w:w="1664" w:type="dxa"/>
            <w:vAlign w:val="center"/>
          </w:tcPr>
          <w:p w14:paraId="244FB71D">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134" w:type="dxa"/>
            <w:vAlign w:val="center"/>
          </w:tcPr>
          <w:p w14:paraId="2130A728">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418" w:type="dxa"/>
            <w:vAlign w:val="center"/>
          </w:tcPr>
          <w:p w14:paraId="62897847">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p>
        </w:tc>
        <w:tc>
          <w:tcPr>
            <w:tcW w:w="1134" w:type="dxa"/>
            <w:vAlign w:val="center"/>
          </w:tcPr>
          <w:p w14:paraId="4ED83853">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76" w:type="dxa"/>
            <w:vAlign w:val="center"/>
          </w:tcPr>
          <w:p w14:paraId="57F59DA5">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992" w:type="dxa"/>
            <w:vAlign w:val="center"/>
          </w:tcPr>
          <w:p w14:paraId="04ADA673">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20</w:t>
            </w:r>
          </w:p>
        </w:tc>
      </w:tr>
      <w:tr w14:paraId="7854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197A9CE">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合计</w:t>
            </w:r>
          </w:p>
        </w:tc>
        <w:tc>
          <w:tcPr>
            <w:tcW w:w="1664" w:type="dxa"/>
            <w:vAlign w:val="center"/>
          </w:tcPr>
          <w:p w14:paraId="5259F5AA">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p>
        </w:tc>
        <w:tc>
          <w:tcPr>
            <w:tcW w:w="1134" w:type="dxa"/>
            <w:vAlign w:val="center"/>
          </w:tcPr>
          <w:p w14:paraId="60324C94">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p>
        </w:tc>
        <w:tc>
          <w:tcPr>
            <w:tcW w:w="1418" w:type="dxa"/>
            <w:vAlign w:val="center"/>
          </w:tcPr>
          <w:p w14:paraId="04B0B118">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p>
        </w:tc>
        <w:tc>
          <w:tcPr>
            <w:tcW w:w="1134" w:type="dxa"/>
            <w:vAlign w:val="center"/>
          </w:tcPr>
          <w:p w14:paraId="0986ABB5">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p>
        </w:tc>
        <w:tc>
          <w:tcPr>
            <w:tcW w:w="1276" w:type="dxa"/>
            <w:vAlign w:val="center"/>
          </w:tcPr>
          <w:p w14:paraId="0E75E4E5">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p>
        </w:tc>
        <w:tc>
          <w:tcPr>
            <w:tcW w:w="992" w:type="dxa"/>
            <w:vAlign w:val="center"/>
          </w:tcPr>
          <w:p w14:paraId="5BDAEA20">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100</w:t>
            </w:r>
          </w:p>
        </w:tc>
      </w:tr>
    </w:tbl>
    <w:p w14:paraId="634A4AA9">
      <w:pPr>
        <w:spacing w:before="156" w:beforeLines="50" w:line="360" w:lineRule="auto"/>
        <w:ind w:firstLine="422" w:firstLineChars="200"/>
        <w:jc w:val="left"/>
        <w:rPr>
          <w:rFonts w:ascii="Times New Roman" w:hAnsi="Times New Roman" w:eastAsia="宋体" w:cs="Times New Roman"/>
          <w:b/>
          <w:color w:val="auto"/>
          <w:szCs w:val="21"/>
        </w:rPr>
      </w:pPr>
      <w:bookmarkStart w:id="338" w:name="OLE_LINK1"/>
      <w:r>
        <w:rPr>
          <w:rFonts w:hint="eastAsia" w:ascii="Times New Roman" w:hAnsi="Times New Roman" w:eastAsia="宋体" w:cs="Times New Roman"/>
          <w:b/>
          <w:color w:val="auto"/>
          <w:szCs w:val="21"/>
        </w:rPr>
        <w:t>（二）成绩评定细则</w:t>
      </w:r>
    </w:p>
    <w:p w14:paraId="341F0E56">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bookmarkEnd w:id="338"/>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6485"/>
        <w:gridCol w:w="683"/>
      </w:tblGrid>
      <w:tr w14:paraId="1F49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14:paraId="0EEDD84C">
            <w:pPr>
              <w:jc w:val="center"/>
              <w:rPr>
                <w:rFonts w:ascii="Times New Roman" w:hAnsi="Times New Roman" w:eastAsia="宋体" w:cs="Times New Roman"/>
                <w:b/>
                <w:bCs/>
                <w:color w:val="auto"/>
                <w:kern w:val="0"/>
                <w:sz w:val="20"/>
                <w:szCs w:val="21"/>
              </w:rPr>
            </w:pPr>
            <w:r>
              <w:rPr>
                <w:rFonts w:hint="eastAsia" w:ascii="Times New Roman" w:hAnsi="Times New Roman" w:eastAsia="宋体" w:cs="Times New Roman"/>
                <w:b/>
                <w:bCs/>
                <w:color w:val="auto"/>
                <w:kern w:val="0"/>
                <w:sz w:val="20"/>
                <w:szCs w:val="21"/>
              </w:rPr>
              <w:t>评价方式</w:t>
            </w:r>
          </w:p>
        </w:tc>
        <w:tc>
          <w:tcPr>
            <w:tcW w:w="6485" w:type="dxa"/>
            <w:vAlign w:val="center"/>
          </w:tcPr>
          <w:p w14:paraId="558FA556">
            <w:pPr>
              <w:jc w:val="center"/>
              <w:rPr>
                <w:rFonts w:ascii="Times New Roman" w:hAnsi="Times New Roman" w:eastAsia="宋体" w:cs="Times New Roman"/>
                <w:b/>
                <w:bCs/>
                <w:color w:val="auto"/>
                <w:kern w:val="0"/>
                <w:sz w:val="20"/>
                <w:szCs w:val="21"/>
              </w:rPr>
            </w:pPr>
            <w:r>
              <w:rPr>
                <w:rFonts w:hint="eastAsia" w:ascii="Times New Roman" w:hAnsi="Times New Roman" w:eastAsia="宋体" w:cs="Times New Roman"/>
                <w:b/>
                <w:bCs/>
                <w:color w:val="auto"/>
                <w:kern w:val="0"/>
                <w:sz w:val="20"/>
                <w:szCs w:val="21"/>
              </w:rPr>
              <w:t>评定细则</w:t>
            </w:r>
          </w:p>
        </w:tc>
        <w:tc>
          <w:tcPr>
            <w:tcW w:w="0" w:type="auto"/>
            <w:vAlign w:val="center"/>
          </w:tcPr>
          <w:p w14:paraId="02C6CA42">
            <w:pPr>
              <w:jc w:val="center"/>
              <w:rPr>
                <w:rFonts w:ascii="Times New Roman" w:hAnsi="Times New Roman" w:eastAsia="宋体" w:cs="Times New Roman"/>
                <w:b/>
                <w:bCs/>
                <w:color w:val="auto"/>
                <w:kern w:val="0"/>
                <w:sz w:val="20"/>
                <w:szCs w:val="21"/>
              </w:rPr>
            </w:pPr>
            <w:r>
              <w:rPr>
                <w:rFonts w:hint="eastAsia" w:ascii="Times New Roman" w:hAnsi="Times New Roman" w:eastAsia="宋体" w:cs="Times New Roman"/>
                <w:b/>
                <w:bCs/>
                <w:color w:val="auto"/>
                <w:kern w:val="0"/>
                <w:sz w:val="20"/>
                <w:szCs w:val="21"/>
              </w:rPr>
              <w:t>占比</w:t>
            </w:r>
          </w:p>
        </w:tc>
      </w:tr>
      <w:tr w14:paraId="130E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14:paraId="746F4340">
            <w:pP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平时作业</w:t>
            </w:r>
          </w:p>
        </w:tc>
        <w:tc>
          <w:tcPr>
            <w:tcW w:w="6485" w:type="dxa"/>
            <w:vAlign w:val="center"/>
          </w:tcPr>
          <w:p w14:paraId="6B73ED40">
            <w:pPr>
              <w:spacing w:line="264" w:lineRule="auto"/>
              <w:jc w:val="left"/>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平时作业共3次，一为读书笔记，学期初即提供阅读书目，要求每位学生至少选择一本认真阅读并作读书笔记，读书笔记完成情况将作为评分的主要依据。二为小组汇报，三为小论文，以小论文的规范性、逻辑性、创新性及整洁性为评分的主要依据。</w:t>
            </w:r>
          </w:p>
        </w:tc>
        <w:tc>
          <w:tcPr>
            <w:tcW w:w="0" w:type="auto"/>
            <w:vAlign w:val="center"/>
          </w:tcPr>
          <w:p w14:paraId="5961ABF5">
            <w:pPr>
              <w:jc w:val="cente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20%</w:t>
            </w:r>
          </w:p>
        </w:tc>
      </w:tr>
      <w:tr w14:paraId="5188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14:paraId="34DBCA62">
            <w:pP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课堂表现</w:t>
            </w:r>
          </w:p>
        </w:tc>
        <w:tc>
          <w:tcPr>
            <w:tcW w:w="6485" w:type="dxa"/>
            <w:vAlign w:val="center"/>
          </w:tcPr>
          <w:p w14:paraId="6EEFEB97">
            <w:pPr>
              <w:widowControl/>
              <w:spacing w:line="264" w:lineRule="auto"/>
              <w:jc w:val="left"/>
              <w:rPr>
                <w:rFonts w:ascii="Times New Roman" w:hAnsi="Times New Roman" w:eastAsia="宋体" w:cs="Times New Roman"/>
                <w:color w:val="auto"/>
                <w:kern w:val="0"/>
                <w:sz w:val="20"/>
                <w:szCs w:val="21"/>
              </w:rPr>
            </w:pPr>
            <w:r>
              <w:rPr>
                <w:rFonts w:hint="eastAsia" w:ascii="宋体" w:hAnsi="宋体" w:eastAsia="宋体" w:cs="宋体"/>
                <w:color w:val="auto"/>
                <w:kern w:val="0"/>
                <w:sz w:val="20"/>
                <w:szCs w:val="21"/>
                <w:lang w:bidi="ar"/>
              </w:rPr>
              <w:t>一是课题考勤情况</w:t>
            </w:r>
            <w:r>
              <w:rPr>
                <w:rFonts w:ascii="宋体" w:hAnsi="宋体" w:eastAsia="宋体" w:cs="宋体"/>
                <w:color w:val="auto"/>
                <w:kern w:val="0"/>
                <w:sz w:val="20"/>
                <w:szCs w:val="21"/>
                <w:lang w:bidi="ar"/>
              </w:rPr>
              <w:t>。</w:t>
            </w:r>
            <w:r>
              <w:rPr>
                <w:rFonts w:hint="eastAsia" w:ascii="Times New Roman" w:hAnsi="Times New Roman" w:eastAsia="宋体" w:cs="Times New Roman"/>
                <w:color w:val="auto"/>
                <w:kern w:val="0"/>
                <w:sz w:val="20"/>
                <w:szCs w:val="21"/>
              </w:rPr>
              <w:t>迟到一次扣2分，无故缺席一次扣5分，累计达</w:t>
            </w:r>
            <w:r>
              <w:rPr>
                <w:rFonts w:ascii="Times New Roman" w:hAnsi="Times New Roman" w:eastAsia="宋体" w:cs="Times New Roman"/>
                <w:color w:val="auto"/>
                <w:kern w:val="0"/>
                <w:sz w:val="20"/>
                <w:szCs w:val="21"/>
              </w:rPr>
              <w:t>3</w:t>
            </w:r>
            <w:r>
              <w:rPr>
                <w:rFonts w:hint="eastAsia" w:ascii="Times New Roman" w:hAnsi="Times New Roman" w:eastAsia="宋体" w:cs="Times New Roman"/>
                <w:color w:val="auto"/>
                <w:kern w:val="0"/>
                <w:sz w:val="20"/>
                <w:szCs w:val="21"/>
              </w:rPr>
              <w:t>次以上（不含</w:t>
            </w:r>
            <w:r>
              <w:rPr>
                <w:rFonts w:ascii="Times New Roman" w:hAnsi="Times New Roman" w:eastAsia="宋体" w:cs="Times New Roman"/>
                <w:color w:val="auto"/>
                <w:kern w:val="0"/>
                <w:sz w:val="20"/>
                <w:szCs w:val="21"/>
              </w:rPr>
              <w:t>3</w:t>
            </w:r>
            <w:r>
              <w:rPr>
                <w:rFonts w:hint="eastAsia" w:ascii="Times New Roman" w:hAnsi="Times New Roman" w:eastAsia="宋体" w:cs="Times New Roman"/>
                <w:color w:val="auto"/>
                <w:kern w:val="0"/>
                <w:sz w:val="20"/>
                <w:szCs w:val="21"/>
              </w:rPr>
              <w:t>次）取消课程成绩。</w:t>
            </w:r>
          </w:p>
          <w:p w14:paraId="052DDF78">
            <w:pPr>
              <w:widowControl/>
              <w:spacing w:line="264" w:lineRule="auto"/>
              <w:jc w:val="left"/>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二是</w:t>
            </w:r>
            <w:r>
              <w:rPr>
                <w:rFonts w:ascii="宋体" w:hAnsi="宋体" w:eastAsia="宋体" w:cs="宋体"/>
                <w:color w:val="auto"/>
                <w:kern w:val="0"/>
                <w:sz w:val="20"/>
                <w:szCs w:val="21"/>
                <w:lang w:bidi="ar"/>
              </w:rPr>
              <w:t>课堂参与</w:t>
            </w:r>
            <w:r>
              <w:rPr>
                <w:rFonts w:hint="eastAsia" w:ascii="宋体" w:hAnsi="宋体" w:eastAsia="宋体" w:cs="宋体"/>
                <w:color w:val="auto"/>
                <w:kern w:val="0"/>
                <w:sz w:val="20"/>
                <w:szCs w:val="21"/>
                <w:lang w:bidi="ar"/>
              </w:rPr>
              <w:t>情况。</w:t>
            </w:r>
            <w:r>
              <w:rPr>
                <w:rFonts w:ascii="宋体" w:hAnsi="宋体" w:eastAsia="宋体" w:cs="宋体"/>
                <w:color w:val="auto"/>
                <w:kern w:val="0"/>
                <w:sz w:val="20"/>
                <w:szCs w:val="21"/>
                <w:lang w:bidi="ar"/>
              </w:rPr>
              <w:t>主要指课上教师随机提问、组织课堂讨论等，观察学生参与程度</w:t>
            </w:r>
            <w:r>
              <w:rPr>
                <w:rFonts w:hint="eastAsia" w:ascii="宋体" w:hAnsi="宋体" w:eastAsia="宋体" w:cs="宋体"/>
                <w:color w:val="auto"/>
                <w:kern w:val="0"/>
                <w:sz w:val="20"/>
                <w:szCs w:val="21"/>
                <w:lang w:bidi="ar"/>
              </w:rPr>
              <w:t>，</w:t>
            </w:r>
            <w:r>
              <w:rPr>
                <w:rFonts w:ascii="宋体" w:hAnsi="宋体" w:eastAsia="宋体" w:cs="宋体"/>
                <w:color w:val="auto"/>
                <w:kern w:val="0"/>
                <w:sz w:val="20"/>
                <w:szCs w:val="21"/>
                <w:lang w:bidi="ar"/>
              </w:rPr>
              <w:t>表现良好，按照对应的课程目标及权重给予评定</w:t>
            </w:r>
            <w:r>
              <w:rPr>
                <w:rFonts w:hint="eastAsia" w:ascii="宋体" w:hAnsi="宋体" w:eastAsia="宋体" w:cs="宋体"/>
                <w:color w:val="auto"/>
                <w:kern w:val="0"/>
                <w:sz w:val="20"/>
                <w:szCs w:val="21"/>
                <w:lang w:bidi="ar"/>
              </w:rPr>
              <w:t>。</w:t>
            </w:r>
          </w:p>
        </w:tc>
        <w:tc>
          <w:tcPr>
            <w:tcW w:w="0" w:type="auto"/>
            <w:vAlign w:val="center"/>
          </w:tcPr>
          <w:p w14:paraId="4BE2A961">
            <w:pPr>
              <w:jc w:val="cente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10%</w:t>
            </w:r>
          </w:p>
        </w:tc>
      </w:tr>
      <w:tr w14:paraId="64E5B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14:paraId="05CFABB2">
            <w:pP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单元测验</w:t>
            </w:r>
          </w:p>
        </w:tc>
        <w:tc>
          <w:tcPr>
            <w:tcW w:w="6485" w:type="dxa"/>
            <w:vAlign w:val="center"/>
          </w:tcPr>
          <w:p w14:paraId="0AFA6E6F">
            <w:pPr>
              <w:widowControl/>
              <w:spacing w:line="264" w:lineRule="auto"/>
              <w:jc w:val="left"/>
              <w:rPr>
                <w:rFonts w:hint="eastAsia" w:ascii="宋体" w:hAnsi="宋体" w:eastAsia="宋体" w:cs="宋体"/>
                <w:color w:val="auto"/>
                <w:kern w:val="0"/>
                <w:sz w:val="20"/>
                <w:szCs w:val="21"/>
                <w:lang w:bidi="ar"/>
              </w:rPr>
            </w:pPr>
            <w:r>
              <w:rPr>
                <w:rFonts w:hint="eastAsia" w:ascii="宋体" w:hAnsi="宋体" w:eastAsia="宋体" w:cs="宋体"/>
                <w:color w:val="auto"/>
                <w:kern w:val="0"/>
                <w:sz w:val="20"/>
                <w:szCs w:val="21"/>
                <w:lang w:bidi="ar"/>
              </w:rPr>
              <w:t>每单元在线上进行测验，主要考查基础知识和基本理论的掌握，以题目的正确率为得分依据。</w:t>
            </w:r>
          </w:p>
        </w:tc>
        <w:tc>
          <w:tcPr>
            <w:tcW w:w="0" w:type="auto"/>
            <w:vAlign w:val="center"/>
          </w:tcPr>
          <w:p w14:paraId="446B5697">
            <w:pPr>
              <w:jc w:val="cente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10%</w:t>
            </w:r>
          </w:p>
        </w:tc>
      </w:tr>
      <w:tr w14:paraId="4C37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14:paraId="5B97FA16">
            <w:pP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自主学习</w:t>
            </w:r>
          </w:p>
        </w:tc>
        <w:tc>
          <w:tcPr>
            <w:tcW w:w="6485" w:type="dxa"/>
            <w:vAlign w:val="center"/>
          </w:tcPr>
          <w:p w14:paraId="7061FBCD">
            <w:pPr>
              <w:spacing w:line="264" w:lineRule="auto"/>
              <w:jc w:val="left"/>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7A05D131">
            <w:pPr>
              <w:jc w:val="cente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10%</w:t>
            </w:r>
          </w:p>
        </w:tc>
      </w:tr>
      <w:tr w14:paraId="41A3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14:paraId="0113F575">
            <w:pP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期末考试</w:t>
            </w:r>
          </w:p>
        </w:tc>
        <w:tc>
          <w:tcPr>
            <w:tcW w:w="6485" w:type="dxa"/>
            <w:vAlign w:val="center"/>
          </w:tcPr>
          <w:p w14:paraId="75BC36E8">
            <w:pPr>
              <w:spacing w:line="264" w:lineRule="auto"/>
              <w:jc w:val="left"/>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以课程论文方式进行，主要测查学生对于中外教育名著的了解程度和理解程度占50%；对当代中国教育教学改革的关注意识、反思能力和创新精神占50%。</w:t>
            </w:r>
          </w:p>
        </w:tc>
        <w:tc>
          <w:tcPr>
            <w:tcW w:w="0" w:type="auto"/>
            <w:vAlign w:val="center"/>
          </w:tcPr>
          <w:p w14:paraId="50936555">
            <w:pPr>
              <w:jc w:val="cente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50%</w:t>
            </w:r>
          </w:p>
        </w:tc>
      </w:tr>
      <w:tr w14:paraId="60F9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128" w:type="dxa"/>
            <w:vAlign w:val="center"/>
          </w:tcPr>
          <w:p w14:paraId="2FF7B009">
            <w:pPr>
              <w:jc w:val="center"/>
              <w:rPr>
                <w:rFonts w:ascii="Times New Roman" w:hAnsi="Times New Roman" w:eastAsia="宋体" w:cs="Times New Roman"/>
                <w:b/>
                <w:bCs/>
                <w:color w:val="auto"/>
                <w:kern w:val="0"/>
                <w:sz w:val="20"/>
                <w:szCs w:val="21"/>
              </w:rPr>
            </w:pPr>
            <w:r>
              <w:rPr>
                <w:rFonts w:hint="eastAsia" w:ascii="Times New Roman" w:hAnsi="Times New Roman" w:eastAsia="宋体" w:cs="Times New Roman"/>
                <w:b/>
                <w:bCs/>
                <w:color w:val="auto"/>
                <w:kern w:val="0"/>
                <w:sz w:val="20"/>
                <w:szCs w:val="21"/>
              </w:rPr>
              <w:t>合计</w:t>
            </w:r>
          </w:p>
        </w:tc>
        <w:tc>
          <w:tcPr>
            <w:tcW w:w="6485" w:type="dxa"/>
            <w:vAlign w:val="center"/>
          </w:tcPr>
          <w:p w14:paraId="4C290CC8">
            <w:pPr>
              <w:jc w:val="left"/>
              <w:rPr>
                <w:rFonts w:ascii="Times New Roman" w:hAnsi="Times New Roman" w:eastAsia="宋体" w:cs="Times New Roman"/>
                <w:color w:val="auto"/>
                <w:kern w:val="0"/>
                <w:sz w:val="20"/>
                <w:szCs w:val="21"/>
              </w:rPr>
            </w:pPr>
          </w:p>
        </w:tc>
        <w:tc>
          <w:tcPr>
            <w:tcW w:w="0" w:type="auto"/>
            <w:vAlign w:val="center"/>
          </w:tcPr>
          <w:p w14:paraId="5DDC2162">
            <w:pPr>
              <w:jc w:val="cente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100%</w:t>
            </w:r>
          </w:p>
        </w:tc>
      </w:tr>
    </w:tbl>
    <w:p w14:paraId="5FA76EB9">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354F8899">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473823CF">
      <w:pPr>
        <w:spacing w:before="156" w:beforeLines="50" w:line="360" w:lineRule="auto"/>
        <w:ind w:firstLine="420" w:firstLineChars="200"/>
        <w:jc w:val="left"/>
        <w:rPr>
          <w:rFonts w:hint="eastAsia" w:ascii="宋体" w:hAnsi="宋体" w:eastAsia="宋体" w:cs="Times New Roman"/>
          <w:color w:val="auto"/>
          <w:sz w:val="18"/>
          <w:szCs w:val="18"/>
        </w:rPr>
      </w:pPr>
      <w:r>
        <w:rPr>
          <w:rFonts w:ascii="宋体" w:hAnsi="宋体" w:eastAsia="宋体" w:cs="Times New Roman"/>
          <w:color w:val="auto"/>
          <w:szCs w:val="21"/>
        </w:rPr>
        <w:object>
          <v:shape id="_x0000_i1050"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50" DrawAspect="Content" ObjectID="_1468075749" r:id="rId36">
            <o:LockedField>false</o:LockedField>
          </o:OLEObject>
        </w:object>
      </w:r>
    </w:p>
    <w:p w14:paraId="4FC287F3">
      <w:pPr>
        <w:spacing w:line="360" w:lineRule="auto"/>
        <w:rPr>
          <w:rFonts w:hint="eastAsia" w:ascii="宋体" w:hAnsi="宋体" w:eastAsia="宋体" w:cs="Times New Roman"/>
          <w:b/>
          <w:color w:val="auto"/>
          <w:sz w:val="28"/>
          <w:szCs w:val="28"/>
        </w:rPr>
      </w:pPr>
      <w:r>
        <w:rPr>
          <w:rFonts w:hint="eastAsia" w:ascii="宋体" w:hAnsi="宋体" w:eastAsia="宋体" w:cs="Times New Roman"/>
          <w:b/>
          <w:color w:val="auto"/>
          <w:sz w:val="28"/>
          <w:szCs w:val="28"/>
          <w:lang w:val="en-US" w:eastAsia="zh-CN"/>
        </w:rPr>
        <w:t>五</w:t>
      </w:r>
      <w:r>
        <w:rPr>
          <w:rFonts w:ascii="宋体" w:hAnsi="宋体" w:eastAsia="宋体" w:cs="Times New Roman"/>
          <w:b/>
          <w:color w:val="auto"/>
          <w:sz w:val="28"/>
          <w:szCs w:val="28"/>
        </w:rPr>
        <w:t>、</w:t>
      </w:r>
      <w:r>
        <w:rPr>
          <w:rFonts w:hint="eastAsia" w:ascii="宋体" w:hAnsi="宋体" w:eastAsia="宋体" w:cs="Times New Roman"/>
          <w:b/>
          <w:color w:val="auto"/>
          <w:sz w:val="28"/>
          <w:szCs w:val="28"/>
        </w:rPr>
        <w:t>有关说明</w:t>
      </w:r>
    </w:p>
    <w:p w14:paraId="74E6679D">
      <w:pPr>
        <w:spacing w:line="360" w:lineRule="auto"/>
        <w:ind w:firstLine="422" w:firstLineChars="200"/>
        <w:rPr>
          <w:rFonts w:hint="eastAsia" w:ascii="宋体" w:hAnsi="宋体" w:eastAsia="宋体" w:cs="Times New Roman"/>
          <w:b/>
          <w:bCs/>
          <w:color w:val="auto"/>
          <w:sz w:val="21"/>
          <w:szCs w:val="21"/>
        </w:rPr>
      </w:pPr>
      <w:r>
        <w:rPr>
          <w:rFonts w:hint="eastAsia" w:ascii="宋体" w:hAnsi="宋体" w:eastAsia="宋体" w:cs="Times New Roman"/>
          <w:b/>
          <w:bCs/>
          <w:color w:val="auto"/>
          <w:sz w:val="21"/>
          <w:szCs w:val="21"/>
        </w:rPr>
        <w:t>（一）持续改进</w:t>
      </w:r>
    </w:p>
    <w:p w14:paraId="4621F948">
      <w:pPr>
        <w:spacing w:line="360" w:lineRule="auto"/>
        <w:ind w:firstLine="420" w:firstLineChars="200"/>
        <w:rPr>
          <w:rFonts w:hint="eastAsia" w:ascii="宋体" w:hAnsi="宋体" w:eastAsia="宋体" w:cs="Times New Roman"/>
          <w:color w:val="auto"/>
          <w:sz w:val="21"/>
          <w:szCs w:val="21"/>
        </w:rPr>
      </w:pPr>
      <w:r>
        <w:rPr>
          <w:rFonts w:ascii="宋体" w:hAnsi="宋体" w:eastAsia="宋体" w:cs="Times New Roman"/>
          <w:color w:val="auto"/>
          <w:sz w:val="21"/>
          <w:szCs w:val="21"/>
        </w:rPr>
        <w:t>本课程根据学生作业、课堂讨论、考核情况和学生、教学督导等</w:t>
      </w:r>
      <w:r>
        <w:rPr>
          <w:rFonts w:hint="eastAsia" w:ascii="宋体" w:hAnsi="宋体" w:eastAsia="宋体" w:cs="Times New Roman"/>
          <w:color w:val="auto"/>
          <w:sz w:val="21"/>
          <w:szCs w:val="21"/>
        </w:rPr>
        <w:t>的</w:t>
      </w:r>
      <w:r>
        <w:rPr>
          <w:rFonts w:ascii="宋体" w:hAnsi="宋体" w:eastAsia="宋体" w:cs="Times New Roman"/>
          <w:color w:val="auto"/>
          <w:sz w:val="21"/>
          <w:szCs w:val="21"/>
        </w:rPr>
        <w:t>反馈，及时对教学中</w:t>
      </w:r>
      <w:r>
        <w:rPr>
          <w:rFonts w:hint="eastAsia" w:ascii="宋体" w:hAnsi="宋体" w:eastAsia="宋体" w:cs="Times New Roman"/>
          <w:color w:val="auto"/>
          <w:sz w:val="21"/>
          <w:szCs w:val="21"/>
        </w:rPr>
        <w:t>的</w:t>
      </w:r>
      <w:r>
        <w:rPr>
          <w:rFonts w:ascii="宋体" w:hAnsi="宋体" w:eastAsia="宋体" w:cs="Times New Roman"/>
          <w:color w:val="auto"/>
          <w:sz w:val="21"/>
          <w:szCs w:val="21"/>
        </w:rPr>
        <w:t>不足之处进行改进，并在下一轮课程教学中</w:t>
      </w:r>
      <w:r>
        <w:rPr>
          <w:rFonts w:hint="eastAsia" w:ascii="宋体" w:hAnsi="宋体" w:eastAsia="宋体" w:cs="Times New Roman"/>
          <w:color w:val="auto"/>
          <w:sz w:val="21"/>
          <w:szCs w:val="21"/>
        </w:rPr>
        <w:t>整改完善</w:t>
      </w:r>
      <w:r>
        <w:rPr>
          <w:rFonts w:ascii="宋体" w:hAnsi="宋体" w:eastAsia="宋体" w:cs="Times New Roman"/>
          <w:color w:val="auto"/>
          <w:sz w:val="21"/>
          <w:szCs w:val="21"/>
        </w:rPr>
        <w:t>，确保相应毕业要求指标点达成。</w:t>
      </w:r>
    </w:p>
    <w:p w14:paraId="206513C1">
      <w:pPr>
        <w:spacing w:line="360" w:lineRule="auto"/>
        <w:ind w:firstLine="422" w:firstLineChars="200"/>
        <w:rPr>
          <w:rFonts w:hint="eastAsia" w:ascii="宋体" w:hAnsi="宋体" w:eastAsia="宋体" w:cs="Times New Roman"/>
          <w:b/>
          <w:color w:val="auto"/>
          <w:sz w:val="21"/>
          <w:szCs w:val="21"/>
        </w:rPr>
      </w:pPr>
      <w:bookmarkStart w:id="339" w:name="_Toc27847345"/>
      <w:r>
        <w:rPr>
          <w:rFonts w:hint="eastAsia" w:ascii="宋体" w:hAnsi="宋体" w:eastAsia="宋体" w:cs="Times New Roman"/>
          <w:b/>
          <w:color w:val="auto"/>
          <w:sz w:val="21"/>
          <w:szCs w:val="21"/>
        </w:rPr>
        <w:t>（二）</w:t>
      </w:r>
      <w:r>
        <w:rPr>
          <w:rFonts w:ascii="宋体" w:hAnsi="宋体" w:eastAsia="宋体" w:cs="Times New Roman"/>
          <w:b/>
          <w:color w:val="auto"/>
          <w:sz w:val="21"/>
          <w:szCs w:val="21"/>
        </w:rPr>
        <w:t>参考书目及学习资料</w:t>
      </w:r>
      <w:bookmarkEnd w:id="339"/>
    </w:p>
    <w:p w14:paraId="60B3895C">
      <w:pPr>
        <w:spacing w:line="360" w:lineRule="auto"/>
        <w:ind w:firstLine="422" w:firstLineChars="200"/>
        <w:rPr>
          <w:rFonts w:hint="eastAsia" w:ascii="宋体" w:hAnsi="宋体" w:eastAsia="宋体" w:cs="Times New Roman"/>
          <w:b/>
          <w:bCs/>
          <w:color w:val="auto"/>
          <w:sz w:val="21"/>
          <w:szCs w:val="21"/>
        </w:rPr>
      </w:pPr>
      <w:r>
        <w:rPr>
          <w:rFonts w:hint="eastAsia" w:ascii="宋体" w:hAnsi="宋体" w:eastAsia="宋体" w:cs="Times New Roman"/>
          <w:b/>
          <w:bCs/>
          <w:color w:val="auto"/>
          <w:sz w:val="21"/>
          <w:szCs w:val="21"/>
        </w:rPr>
        <w:t>1</w:t>
      </w:r>
      <w:r>
        <w:rPr>
          <w:rFonts w:ascii="宋体" w:hAnsi="宋体" w:eastAsia="宋体" w:cs="Times New Roman"/>
          <w:b/>
          <w:bCs/>
          <w:color w:val="auto"/>
          <w:sz w:val="21"/>
          <w:szCs w:val="21"/>
        </w:rPr>
        <w:t>.</w:t>
      </w:r>
      <w:r>
        <w:rPr>
          <w:rFonts w:hint="eastAsia" w:ascii="宋体" w:hAnsi="宋体" w:eastAsia="宋体" w:cs="Times New Roman"/>
          <w:b/>
          <w:bCs/>
          <w:color w:val="auto"/>
          <w:sz w:val="21"/>
          <w:szCs w:val="21"/>
        </w:rPr>
        <w:t>教材</w:t>
      </w:r>
    </w:p>
    <w:p w14:paraId="62A97BBE">
      <w:pPr>
        <w:spacing w:line="360" w:lineRule="auto"/>
        <w:ind w:firstLine="420" w:firstLineChars="200"/>
        <w:jc w:val="lef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肖朗.中外教育名著选读.</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北京：高等教育出版社，20</w:t>
      </w:r>
      <w:r>
        <w:rPr>
          <w:rFonts w:ascii="Times New Roman" w:hAnsi="Times New Roman" w:eastAsia="宋体" w:cs="Times New Roman"/>
          <w:color w:val="auto"/>
          <w:sz w:val="21"/>
          <w:szCs w:val="21"/>
        </w:rPr>
        <w:t>09.</w:t>
      </w:r>
    </w:p>
    <w:p w14:paraId="1AFD0264">
      <w:pPr>
        <w:spacing w:line="360" w:lineRule="auto"/>
        <w:ind w:firstLine="422" w:firstLineChars="200"/>
        <w:rPr>
          <w:rFonts w:hint="eastAsia" w:ascii="宋体" w:hAnsi="宋体" w:eastAsia="宋体" w:cs="Times New Roman"/>
          <w:b/>
          <w:bCs/>
          <w:color w:val="auto"/>
          <w:sz w:val="21"/>
          <w:szCs w:val="21"/>
        </w:rPr>
      </w:pPr>
      <w:r>
        <w:rPr>
          <w:rFonts w:hint="eastAsia" w:ascii="宋体" w:hAnsi="宋体" w:eastAsia="宋体" w:cs="Times New Roman"/>
          <w:b/>
          <w:bCs/>
          <w:color w:val="auto"/>
          <w:sz w:val="21"/>
          <w:szCs w:val="21"/>
        </w:rPr>
        <w:t>2</w:t>
      </w:r>
      <w:r>
        <w:rPr>
          <w:rFonts w:ascii="宋体" w:hAnsi="宋体" w:eastAsia="宋体" w:cs="Times New Roman"/>
          <w:b/>
          <w:bCs/>
          <w:color w:val="auto"/>
          <w:sz w:val="21"/>
          <w:szCs w:val="21"/>
        </w:rPr>
        <w:t>.</w:t>
      </w:r>
      <w:r>
        <w:rPr>
          <w:rFonts w:hint="eastAsia" w:ascii="宋体" w:hAnsi="宋体" w:eastAsia="宋体" w:cs="Times New Roman"/>
          <w:b/>
          <w:bCs/>
          <w:color w:val="auto"/>
          <w:sz w:val="21"/>
          <w:szCs w:val="21"/>
        </w:rPr>
        <w:t>教学参考书</w:t>
      </w:r>
    </w:p>
    <w:p w14:paraId="77516C0C">
      <w:pPr>
        <w:spacing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周洪宇.教育经典导读.华中科技大学出版社,2013.</w:t>
      </w:r>
    </w:p>
    <w:p w14:paraId="09AB11A2">
      <w:pPr>
        <w:spacing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华东师范大学教育系</w:t>
      </w:r>
      <w:r>
        <w:rPr>
          <w:rFonts w:ascii="宋体" w:hAnsi="宋体" w:eastAsia="宋体" w:cs="Times New Roman"/>
          <w:color w:val="auto"/>
          <w:sz w:val="21"/>
          <w:szCs w:val="21"/>
        </w:rPr>
        <w:t xml:space="preserve">. </w:t>
      </w:r>
      <w:r>
        <w:rPr>
          <w:rFonts w:hint="eastAsia" w:ascii="宋体" w:hAnsi="宋体" w:eastAsia="宋体" w:cs="Times New Roman"/>
          <w:color w:val="auto"/>
          <w:sz w:val="21"/>
          <w:szCs w:val="21"/>
        </w:rPr>
        <w:t>教育文选</w:t>
      </w:r>
      <w:r>
        <w:rPr>
          <w:rFonts w:ascii="宋体" w:hAnsi="宋体" w:eastAsia="宋体" w:cs="Times New Roman"/>
          <w:color w:val="auto"/>
          <w:sz w:val="21"/>
          <w:szCs w:val="21"/>
        </w:rPr>
        <w:t xml:space="preserve">. </w:t>
      </w:r>
      <w:r>
        <w:rPr>
          <w:rFonts w:hint="eastAsia" w:ascii="宋体" w:hAnsi="宋体" w:eastAsia="宋体" w:cs="Times New Roman"/>
          <w:color w:val="auto"/>
          <w:sz w:val="21"/>
          <w:szCs w:val="21"/>
        </w:rPr>
        <w:t>北京</w:t>
      </w:r>
      <w:r>
        <w:rPr>
          <w:rFonts w:ascii="宋体" w:hAnsi="宋体" w:eastAsia="宋体" w:cs="Times New Roman"/>
          <w:color w:val="auto"/>
          <w:sz w:val="21"/>
          <w:szCs w:val="21"/>
        </w:rPr>
        <w:t xml:space="preserve">: </w:t>
      </w:r>
      <w:r>
        <w:rPr>
          <w:rFonts w:hint="eastAsia" w:ascii="宋体" w:hAnsi="宋体" w:eastAsia="宋体" w:cs="Times New Roman"/>
          <w:color w:val="auto"/>
          <w:sz w:val="21"/>
          <w:szCs w:val="21"/>
        </w:rPr>
        <w:t>人民教育出版社</w:t>
      </w:r>
      <w:r>
        <w:rPr>
          <w:rFonts w:ascii="宋体" w:hAnsi="宋体" w:eastAsia="宋体" w:cs="Times New Roman"/>
          <w:color w:val="auto"/>
          <w:sz w:val="21"/>
          <w:szCs w:val="21"/>
        </w:rPr>
        <w:t>, 2007.</w:t>
      </w:r>
    </w:p>
    <w:p w14:paraId="02D01E57">
      <w:pPr>
        <w:spacing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褚慧芳</w:t>
      </w:r>
      <w:r>
        <w:rPr>
          <w:rFonts w:ascii="宋体" w:hAnsi="宋体" w:eastAsia="宋体" w:cs="Times New Roman"/>
          <w:color w:val="auto"/>
          <w:sz w:val="21"/>
          <w:szCs w:val="21"/>
        </w:rPr>
        <w:t>.</w:t>
      </w:r>
      <w:r>
        <w:rPr>
          <w:rFonts w:hint="eastAsia" w:ascii="宋体" w:hAnsi="宋体" w:eastAsia="宋体" w:cs="Times New Roman"/>
          <w:color w:val="auto"/>
          <w:sz w:val="21"/>
          <w:szCs w:val="21"/>
        </w:rPr>
        <w:t>外国教育名著导读</w:t>
      </w:r>
      <w:r>
        <w:rPr>
          <w:rFonts w:ascii="宋体" w:hAnsi="宋体" w:eastAsia="宋体" w:cs="Times New Roman"/>
          <w:color w:val="auto"/>
          <w:sz w:val="21"/>
          <w:szCs w:val="21"/>
        </w:rPr>
        <w:t>.</w:t>
      </w:r>
      <w:r>
        <w:rPr>
          <w:rFonts w:hint="eastAsia" w:ascii="宋体" w:hAnsi="宋体" w:eastAsia="宋体" w:cs="Times New Roman"/>
          <w:color w:val="auto"/>
          <w:sz w:val="21"/>
          <w:szCs w:val="21"/>
        </w:rPr>
        <w:t>北京：人民教育出版社</w:t>
      </w:r>
      <w:r>
        <w:rPr>
          <w:rFonts w:ascii="宋体" w:hAnsi="宋体" w:eastAsia="宋体" w:cs="Times New Roman"/>
          <w:color w:val="auto"/>
          <w:sz w:val="21"/>
          <w:szCs w:val="21"/>
        </w:rPr>
        <w:t>，2009.</w:t>
      </w:r>
    </w:p>
    <w:p w14:paraId="0528A2B6">
      <w:pPr>
        <w:spacing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张瑞璠，王承绪</w:t>
      </w:r>
      <w:r>
        <w:rPr>
          <w:rFonts w:ascii="宋体" w:hAnsi="宋体" w:eastAsia="宋体" w:cs="Times New Roman"/>
          <w:color w:val="auto"/>
          <w:sz w:val="21"/>
          <w:szCs w:val="21"/>
        </w:rPr>
        <w:t>.</w:t>
      </w:r>
      <w:r>
        <w:rPr>
          <w:rFonts w:hint="eastAsia" w:ascii="宋体" w:hAnsi="宋体" w:eastAsia="宋体" w:cs="Times New Roman"/>
          <w:color w:val="auto"/>
          <w:sz w:val="21"/>
          <w:szCs w:val="21"/>
        </w:rPr>
        <w:t>中外教育比较史纲</w:t>
      </w:r>
      <w:r>
        <w:rPr>
          <w:rFonts w:ascii="宋体" w:hAnsi="宋体" w:eastAsia="宋体" w:cs="Times New Roman"/>
          <w:color w:val="auto"/>
          <w:sz w:val="21"/>
          <w:szCs w:val="21"/>
        </w:rPr>
        <w:t>.</w:t>
      </w:r>
      <w:r>
        <w:rPr>
          <w:rFonts w:hint="eastAsia" w:ascii="宋体" w:hAnsi="宋体" w:eastAsia="宋体" w:cs="Times New Roman"/>
          <w:color w:val="auto"/>
          <w:sz w:val="21"/>
          <w:szCs w:val="21"/>
        </w:rPr>
        <w:t>济南：山东教育出版社</w:t>
      </w:r>
      <w:r>
        <w:rPr>
          <w:rFonts w:ascii="宋体" w:hAnsi="宋体" w:eastAsia="宋体" w:cs="Times New Roman"/>
          <w:color w:val="auto"/>
          <w:sz w:val="21"/>
          <w:szCs w:val="21"/>
        </w:rPr>
        <w:t>，2001.</w:t>
      </w:r>
    </w:p>
    <w:p w14:paraId="02F6CEF4">
      <w:pPr>
        <w:autoSpaceDE w:val="0"/>
        <w:autoSpaceDN w:val="0"/>
        <w:adjustRightInd w:val="0"/>
        <w:spacing w:line="360" w:lineRule="auto"/>
        <w:ind w:firstLine="4620" w:firstLineChars="2200"/>
        <w:jc w:val="righ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执笔人：</w:t>
      </w:r>
      <w:r>
        <w:rPr>
          <w:rFonts w:hint="eastAsia" w:ascii="宋体" w:hAnsi="宋体" w:eastAsia="宋体" w:cs="Times New Roman"/>
          <w:color w:val="auto"/>
          <w:kern w:val="0"/>
          <w:sz w:val="21"/>
          <w:szCs w:val="21"/>
        </w:rPr>
        <w:t>刘</w:t>
      </w:r>
      <w:r>
        <w:rPr>
          <w:rFonts w:hint="eastAsia" w:ascii="宋体" w:hAnsi="宋体" w:eastAsia="宋体" w:cs="Times New Roman"/>
          <w:color w:val="auto"/>
          <w:kern w:val="0"/>
          <w:sz w:val="21"/>
          <w:szCs w:val="21"/>
          <w:lang w:val="en-US" w:eastAsia="zh-CN"/>
        </w:rPr>
        <w:t xml:space="preserve">  </w:t>
      </w:r>
      <w:r>
        <w:rPr>
          <w:rFonts w:hint="eastAsia" w:ascii="宋体" w:hAnsi="宋体" w:eastAsia="宋体" w:cs="Times New Roman"/>
          <w:color w:val="auto"/>
          <w:kern w:val="0"/>
          <w:sz w:val="21"/>
          <w:szCs w:val="21"/>
        </w:rPr>
        <w:t>丽</w:t>
      </w:r>
    </w:p>
    <w:p w14:paraId="516E1EE7">
      <w:pPr>
        <w:autoSpaceDE w:val="0"/>
        <w:autoSpaceDN w:val="0"/>
        <w:adjustRightInd w:val="0"/>
        <w:spacing w:line="360" w:lineRule="auto"/>
        <w:ind w:firstLine="4620" w:firstLineChars="2200"/>
        <w:jc w:val="righ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审定人：王  健</w:t>
      </w:r>
    </w:p>
    <w:p w14:paraId="08A45E51">
      <w:pPr>
        <w:autoSpaceDE w:val="0"/>
        <w:autoSpaceDN w:val="0"/>
        <w:adjustRightInd w:val="0"/>
        <w:spacing w:line="360" w:lineRule="auto"/>
        <w:ind w:firstLine="4620" w:firstLineChars="2200"/>
        <w:jc w:val="righ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审批人：张志欣</w:t>
      </w:r>
    </w:p>
    <w:p w14:paraId="24C2F735">
      <w:pPr>
        <w:spacing w:line="360" w:lineRule="auto"/>
        <w:ind w:firstLine="4200" w:firstLineChars="2000"/>
        <w:jc w:val="right"/>
        <w:rPr>
          <w:rFonts w:hint="eastAsia" w:eastAsia="宋体"/>
          <w:color w:val="auto"/>
          <w:sz w:val="21"/>
          <w:szCs w:val="21"/>
          <w:lang w:eastAsia="zh-CN"/>
        </w:rPr>
      </w:pPr>
      <w:r>
        <w:rPr>
          <w:rFonts w:hint="eastAsia" w:ascii="宋体" w:hAnsi="宋体" w:eastAsia="宋体" w:cs="Times New Roman"/>
          <w:color w:val="auto"/>
          <w:kern w:val="0"/>
          <w:sz w:val="21"/>
          <w:szCs w:val="21"/>
          <w:lang w:eastAsia="zh-CN"/>
        </w:rPr>
        <w:t>批准时间：2025年7月1日</w:t>
      </w:r>
    </w:p>
    <w:p w14:paraId="6692856B">
      <w:pPr>
        <w:widowControl/>
        <w:jc w:val="left"/>
        <w:rPr>
          <w:rFonts w:ascii="Calibri" w:hAnsi="Calibri" w:eastAsia="宋体" w:cs="Times New Roman"/>
          <w:color w:val="auto"/>
        </w:rPr>
      </w:pPr>
      <w:r>
        <w:rPr>
          <w:rFonts w:ascii="Calibri" w:hAnsi="Calibri" w:eastAsia="宋体" w:cs="Times New Roman"/>
          <w:color w:val="auto"/>
        </w:rPr>
        <w:br w:type="page"/>
      </w:r>
    </w:p>
    <w:p w14:paraId="2F4DD4B4">
      <w:pPr>
        <w:spacing w:line="360" w:lineRule="auto"/>
        <w:jc w:val="center"/>
        <w:outlineLvl w:val="0"/>
        <w:rPr>
          <w:rFonts w:hint="eastAsia" w:ascii="Times New Roman" w:hAnsi="Times New Roman" w:eastAsia="宋体" w:cs="Times New Roman"/>
          <w:b/>
          <w:color w:val="auto"/>
          <w:sz w:val="44"/>
          <w:szCs w:val="44"/>
        </w:rPr>
      </w:pPr>
      <w:bookmarkStart w:id="340" w:name="_Toc26795"/>
      <w:bookmarkStart w:id="341" w:name="_Toc13329"/>
      <w:r>
        <w:rPr>
          <w:rFonts w:hint="eastAsia" w:ascii="Times New Roman" w:hAnsi="Times New Roman" w:eastAsia="宋体" w:cs="Times New Roman"/>
          <w:b/>
          <w:color w:val="auto"/>
          <w:sz w:val="44"/>
          <w:szCs w:val="44"/>
        </w:rPr>
        <w:t>《课堂观察与模拟教学》课程教学大纲</w:t>
      </w:r>
      <w:bookmarkEnd w:id="340"/>
      <w:bookmarkEnd w:id="341"/>
    </w:p>
    <w:p w14:paraId="57E5C83E">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（Classroom Observation and Simulation Teaching）</w:t>
      </w:r>
    </w:p>
    <w:p w14:paraId="253FDDF9">
      <w:pPr>
        <w:spacing w:line="360" w:lineRule="auto"/>
        <w:jc w:val="center"/>
        <w:rPr>
          <w:rFonts w:ascii="Times New Roman" w:hAnsi="Times New Roman" w:eastAsia="宋体" w:cs="Times New Roman"/>
          <w:bCs/>
          <w:color w:val="auto"/>
          <w:sz w:val="21"/>
          <w:szCs w:val="21"/>
        </w:rPr>
      </w:pPr>
    </w:p>
    <w:p w14:paraId="1E335F11">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课程名称：课堂观察与模拟教学</w:t>
      </w:r>
    </w:p>
    <w:p w14:paraId="33D2DF33">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w:t>
      </w:r>
      <w:r>
        <w:rPr>
          <w:rFonts w:ascii="Times New Roman" w:hAnsi="Times New Roman" w:eastAsia="宋体" w:cs="Times New Roman"/>
          <w:b/>
          <w:color w:val="auto"/>
          <w:sz w:val="24"/>
        </w:rPr>
        <w:t>2401021</w:t>
      </w:r>
    </w:p>
    <w:p w14:paraId="3BC98111">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学</w:t>
      </w:r>
      <w:r>
        <w:rPr>
          <w:rFonts w:ascii="Times New Roman" w:hAnsi="Times New Roman" w:eastAsia="宋体" w:cs="Times New Roman"/>
          <w:b/>
          <w:color w:val="auto"/>
          <w:sz w:val="24"/>
        </w:rPr>
        <w:t xml:space="preserve">    分：2</w:t>
      </w:r>
    </w:p>
    <w:p w14:paraId="3C694557">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学</w:t>
      </w:r>
      <w:r>
        <w:rPr>
          <w:rFonts w:ascii="Times New Roman" w:hAnsi="Times New Roman" w:eastAsia="宋体" w:cs="Times New Roman"/>
          <w:b/>
          <w:color w:val="auto"/>
          <w:sz w:val="24"/>
        </w:rPr>
        <w:t xml:space="preserve">    时：32 （其中：讲授学时16， 实践学时16）</w:t>
      </w:r>
    </w:p>
    <w:p w14:paraId="2D95DE1E">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先修课程：教育心理学、课程与教学论、小学语文/数学课程标准与教材分析、小学语文/数学教学设计与实施</w:t>
      </w:r>
    </w:p>
    <w:p w14:paraId="6976F19F">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适用专业：小学教育</w:t>
      </w:r>
    </w:p>
    <w:p w14:paraId="5C34B56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4"/>
        </w:rPr>
      </w:pPr>
      <w:r>
        <w:rPr>
          <w:rFonts w:hint="eastAsia" w:ascii="Times New Roman" w:hAnsi="Times New Roman" w:eastAsia="宋体" w:cs="Times New Roman"/>
          <w:b/>
          <w:color w:val="auto"/>
          <w:sz w:val="24"/>
        </w:rPr>
        <w:t>一、课程简介</w:t>
      </w:r>
    </w:p>
    <w:p w14:paraId="6D2009CE">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是小学教育专业的一门专业基础必修课程。通过本课程的学习，学生能熟练掌握课程观察的方法和技能，能够从课堂观察中借鉴他人的课堂教学与管理经验；掌握模拟教学的一般原理和基本技能，具备较强的模拟教学能力，为将来从事小学教学工作做好准备。</w:t>
      </w:r>
    </w:p>
    <w:p w14:paraId="0125186E">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4"/>
        </w:rPr>
      </w:pPr>
      <w:r>
        <w:rPr>
          <w:rFonts w:hint="eastAsia" w:ascii="Times New Roman" w:hAnsi="Times New Roman" w:eastAsia="宋体" w:cs="Times New Roman"/>
          <w:b/>
          <w:color w:val="auto"/>
          <w:sz w:val="24"/>
        </w:rPr>
        <w:t>二、课程目标</w:t>
      </w:r>
    </w:p>
    <w:p w14:paraId="0726D95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786D1DA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w:t>
      </w:r>
      <w:r>
        <w:rPr>
          <w:rFonts w:ascii="Times New Roman" w:hAnsi="Times New Roman" w:eastAsia="宋体" w:cs="Times New Roman"/>
          <w:color w:val="auto"/>
          <w:szCs w:val="21"/>
        </w:rPr>
        <w:t>1. 理解课堂观察的内涵</w:t>
      </w:r>
      <w:r>
        <w:rPr>
          <w:rFonts w:hint="eastAsia" w:ascii="Times New Roman" w:hAnsi="Times New Roman" w:eastAsia="宋体" w:cs="Times New Roman"/>
          <w:color w:val="auto"/>
          <w:szCs w:val="21"/>
        </w:rPr>
        <w:t>和</w:t>
      </w:r>
      <w:r>
        <w:rPr>
          <w:rFonts w:ascii="Times New Roman" w:hAnsi="Times New Roman" w:eastAsia="宋体" w:cs="Times New Roman"/>
          <w:color w:val="auto"/>
          <w:szCs w:val="21"/>
        </w:rPr>
        <w:t>意义，了解课堂观察的类型与方法，掌握课堂观察的基本技能，能够运用科学的方法深入现场进行全方位的课堂观察，能够撰写规范的课堂观察报告，能够从课堂观察中吸取经验教训，</w:t>
      </w:r>
      <w:r>
        <w:rPr>
          <w:rFonts w:hint="eastAsia" w:ascii="Times New Roman" w:hAnsi="Times New Roman" w:eastAsia="宋体" w:cs="Times New Roman"/>
          <w:color w:val="auto"/>
          <w:szCs w:val="21"/>
        </w:rPr>
        <w:t>为</w:t>
      </w:r>
      <w:r>
        <w:rPr>
          <w:rFonts w:ascii="Times New Roman" w:hAnsi="Times New Roman" w:eastAsia="宋体" w:cs="Times New Roman"/>
          <w:color w:val="auto"/>
          <w:szCs w:val="21"/>
        </w:rPr>
        <w:t>自己</w:t>
      </w:r>
      <w:r>
        <w:rPr>
          <w:rFonts w:hint="eastAsia" w:ascii="Times New Roman" w:hAnsi="Times New Roman" w:eastAsia="宋体" w:cs="Times New Roman"/>
          <w:color w:val="auto"/>
          <w:szCs w:val="21"/>
        </w:rPr>
        <w:t>今后</w:t>
      </w:r>
      <w:r>
        <w:rPr>
          <w:rFonts w:ascii="Times New Roman" w:hAnsi="Times New Roman" w:eastAsia="宋体" w:cs="Times New Roman"/>
          <w:color w:val="auto"/>
          <w:szCs w:val="21"/>
        </w:rPr>
        <w:t>课堂教学</w:t>
      </w:r>
      <w:r>
        <w:rPr>
          <w:rFonts w:hint="eastAsia" w:ascii="Times New Roman" w:hAnsi="Times New Roman" w:eastAsia="宋体" w:cs="Times New Roman"/>
          <w:color w:val="auto"/>
          <w:szCs w:val="21"/>
        </w:rPr>
        <w:t>提供借鉴</w:t>
      </w:r>
      <w:r>
        <w:rPr>
          <w:rFonts w:ascii="Times New Roman" w:hAnsi="Times New Roman" w:eastAsia="宋体" w:cs="Times New Roman"/>
          <w:color w:val="auto"/>
          <w:szCs w:val="21"/>
        </w:rPr>
        <w:t>。</w:t>
      </w:r>
    </w:p>
    <w:p w14:paraId="0D183BD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w:t>
      </w:r>
      <w:r>
        <w:rPr>
          <w:rFonts w:ascii="Times New Roman" w:hAnsi="Times New Roman" w:eastAsia="宋体" w:cs="Times New Roman"/>
          <w:color w:val="auto"/>
          <w:szCs w:val="21"/>
        </w:rPr>
        <w:t>2.理解模拟教学的内涵，理解模拟教学对于师范生专业发展的意义，</w:t>
      </w:r>
      <w:r>
        <w:rPr>
          <w:rFonts w:hint="eastAsia" w:ascii="Times New Roman" w:hAnsi="Times New Roman" w:eastAsia="宋体" w:cs="Times New Roman"/>
          <w:color w:val="auto"/>
          <w:szCs w:val="21"/>
        </w:rPr>
        <w:t>理解</w:t>
      </w:r>
      <w:r>
        <w:rPr>
          <w:rFonts w:ascii="Times New Roman" w:hAnsi="Times New Roman" w:eastAsia="宋体" w:cs="Times New Roman"/>
          <w:color w:val="auto"/>
          <w:szCs w:val="21"/>
        </w:rPr>
        <w:t>模拟教学的原则，掌握模拟教学的方法，了解模拟教学的一般流程，能够运用现代教学理念开展模拟教学，具有较强的模拟教学能力，能对自己的模拟教学进行正确的评价并作出相应的改进。</w:t>
      </w:r>
    </w:p>
    <w:p w14:paraId="75BD96E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w:t>
      </w:r>
      <w:r>
        <w:rPr>
          <w:rFonts w:ascii="Times New Roman" w:hAnsi="Times New Roman" w:eastAsia="宋体" w:cs="Times New Roman"/>
          <w:color w:val="auto"/>
          <w:szCs w:val="21"/>
        </w:rPr>
        <w:t>3.具有较强的研究能力和反思能力。</w:t>
      </w:r>
      <w:r>
        <w:rPr>
          <w:rFonts w:hint="eastAsia" w:ascii="Times New Roman" w:hAnsi="Times New Roman" w:eastAsia="宋体" w:cs="Times New Roman"/>
          <w:color w:val="auto"/>
          <w:szCs w:val="21"/>
        </w:rPr>
        <w:t>养成</w:t>
      </w:r>
      <w:r>
        <w:rPr>
          <w:rFonts w:ascii="Times New Roman" w:hAnsi="Times New Roman" w:eastAsia="宋体" w:cs="Times New Roman"/>
          <w:color w:val="auto"/>
          <w:szCs w:val="21"/>
        </w:rPr>
        <w:t>严谨、踏实的学习和教学态度</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愿意与他人分享自己的课堂观察和模拟教学经验，能够主动寻求同学和老师的帮助，具有强烈的团队合作意识。</w:t>
      </w:r>
    </w:p>
    <w:p w14:paraId="0553F5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lang w:eastAsia="zh-CN"/>
        </w:rPr>
        <w:t>（</w:t>
      </w:r>
      <w:r>
        <w:rPr>
          <w:rFonts w:hint="eastAsia" w:ascii="Times New Roman" w:hAnsi="Times New Roman" w:eastAsia="宋体" w:cs="Times New Roman"/>
          <w:b/>
          <w:bCs/>
          <w:color w:val="auto"/>
          <w:szCs w:val="21"/>
          <w:lang w:val="en-US" w:eastAsia="zh-CN"/>
        </w:rPr>
        <w:t>二</w:t>
      </w:r>
      <w:r>
        <w:rPr>
          <w:rFonts w:hint="eastAsia" w:ascii="Times New Roman" w:hAnsi="Times New Roman" w:eastAsia="宋体" w:cs="Times New Roman"/>
          <w:b/>
          <w:bCs/>
          <w:color w:val="auto"/>
          <w:szCs w:val="21"/>
          <w:lang w:eastAsia="zh-CN"/>
        </w:rPr>
        <w:t>）</w:t>
      </w:r>
      <w:r>
        <w:rPr>
          <w:rFonts w:hint="eastAsia" w:ascii="Times New Roman" w:hAnsi="Times New Roman" w:eastAsia="宋体" w:cs="Times New Roman"/>
          <w:b/>
          <w:bCs/>
          <w:color w:val="auto"/>
          <w:szCs w:val="21"/>
        </w:rPr>
        <w:t>课程目标及其对毕业要求指标点的支撑</w:t>
      </w:r>
    </w:p>
    <w:p w14:paraId="4A26320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auto"/>
          <w:szCs w:val="21"/>
        </w:rPr>
      </w:pPr>
    </w:p>
    <w:p w14:paraId="78D6389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auto"/>
          <w:szCs w:val="21"/>
        </w:rPr>
      </w:pP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095"/>
        <w:gridCol w:w="1327"/>
      </w:tblGrid>
      <w:tr w14:paraId="1C0A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01090B3F">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095" w:type="dxa"/>
            <w:vAlign w:val="center"/>
          </w:tcPr>
          <w:p w14:paraId="53012097">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327" w:type="dxa"/>
            <w:vAlign w:val="center"/>
          </w:tcPr>
          <w:p w14:paraId="6D4C1D3E">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5E69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71B3CA43">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r>
              <w:rPr>
                <w:rFonts w:ascii="Times New Roman" w:hAnsi="Times New Roman" w:eastAsia="宋体" w:cs="Times New Roman"/>
                <w:b/>
                <w:bCs/>
                <w:color w:val="auto"/>
                <w:szCs w:val="21"/>
              </w:rPr>
              <w:t>4</w:t>
            </w:r>
          </w:p>
          <w:p w14:paraId="622AC933">
            <w:pPr>
              <w:spacing w:line="276" w:lineRule="auto"/>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教学能力</w:t>
            </w:r>
          </w:p>
        </w:tc>
        <w:tc>
          <w:tcPr>
            <w:tcW w:w="6095" w:type="dxa"/>
            <w:vAlign w:val="center"/>
          </w:tcPr>
          <w:p w14:paraId="1E75A11E">
            <w:pPr>
              <w:spacing w:line="276" w:lineRule="auto"/>
              <w:jc w:val="left"/>
              <w:rPr>
                <w:rFonts w:hint="eastAsia" w:ascii="Times New Roman" w:hAnsi="Times New Roman" w:eastAsia="宋体" w:cs="Times New Roman"/>
                <w:b w:val="0"/>
                <w:bCs w:val="0"/>
                <w:color w:val="auto"/>
                <w:szCs w:val="21"/>
                <w:lang w:eastAsia="zh-CN"/>
              </w:rPr>
            </w:pPr>
            <w:r>
              <w:rPr>
                <w:rFonts w:hint="eastAsia" w:ascii="宋体" w:hAnsi="宋体" w:eastAsia="宋体" w:cs="Times New Roman"/>
                <w:b w:val="0"/>
                <w:bCs w:val="0"/>
                <w:color w:val="auto"/>
                <w:spacing w:val="2"/>
                <w:kern w:val="0"/>
                <w:szCs w:val="21"/>
                <w:lang w:eastAsia="zh-CN"/>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21B2AB7B">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2</w:t>
            </w:r>
          </w:p>
        </w:tc>
      </w:tr>
      <w:tr w14:paraId="270D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08EC9CF0">
            <w:pPr>
              <w:spacing w:line="276" w:lineRule="auto"/>
              <w:jc w:val="center"/>
              <w:rPr>
                <w:rFonts w:ascii="Times New Roman" w:hAnsi="Times New Roman" w:eastAsia="宋体" w:cs="Times New Roman"/>
                <w:b/>
                <w:bCs/>
                <w:color w:val="auto"/>
                <w:szCs w:val="21"/>
              </w:rPr>
            </w:pPr>
          </w:p>
        </w:tc>
        <w:tc>
          <w:tcPr>
            <w:tcW w:w="6095" w:type="dxa"/>
            <w:vAlign w:val="center"/>
          </w:tcPr>
          <w:p w14:paraId="784D5DEE">
            <w:pPr>
              <w:spacing w:line="276" w:lineRule="auto"/>
              <w:jc w:val="left"/>
              <w:rPr>
                <w:rFonts w:ascii="Times New Roman" w:hAnsi="Times New Roman" w:eastAsia="宋体" w:cs="Times New Roman"/>
                <w:b w:val="0"/>
                <w:bCs w:val="0"/>
                <w:color w:val="auto"/>
                <w:szCs w:val="21"/>
              </w:rPr>
            </w:pPr>
            <w:r>
              <w:rPr>
                <w:rFonts w:hint="eastAsia" w:ascii="Times New Roman" w:hAnsi="Times New Roman" w:eastAsia="宋体" w:cs="Times New Roman"/>
                <w:b w:val="0"/>
                <w:bCs w:val="0"/>
                <w:color w:val="auto"/>
                <w:szCs w:val="21"/>
              </w:rPr>
              <w:t>指标点</w:t>
            </w:r>
            <w:r>
              <w:rPr>
                <w:rFonts w:ascii="Times New Roman" w:hAnsi="Times New Roman" w:eastAsia="宋体" w:cs="Times New Roman"/>
                <w:b w:val="0"/>
                <w:bCs w:val="0"/>
                <w:color w:val="auto"/>
                <w:szCs w:val="21"/>
              </w:rPr>
              <w:t>4-4：【具备教学研究能力】掌握教育研究的基本方法，在教育教学实践中，结合小学教育教学实践进行研究，具有一定的教学研究能力。</w:t>
            </w:r>
          </w:p>
        </w:tc>
        <w:tc>
          <w:tcPr>
            <w:tcW w:w="1327" w:type="dxa"/>
            <w:vAlign w:val="center"/>
          </w:tcPr>
          <w:p w14:paraId="4B195CE2">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1</w:t>
            </w:r>
          </w:p>
        </w:tc>
      </w:tr>
      <w:tr w14:paraId="699A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65E2EDD9">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r>
              <w:rPr>
                <w:rFonts w:ascii="Times New Roman" w:hAnsi="Times New Roman" w:eastAsia="宋体" w:cs="Times New Roman"/>
                <w:b/>
                <w:bCs/>
                <w:color w:val="auto"/>
                <w:szCs w:val="21"/>
              </w:rPr>
              <w:t>7</w:t>
            </w:r>
          </w:p>
          <w:p w14:paraId="41700076">
            <w:pPr>
              <w:spacing w:line="276" w:lineRule="auto"/>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学会反思</w:t>
            </w:r>
          </w:p>
        </w:tc>
        <w:tc>
          <w:tcPr>
            <w:tcW w:w="6095" w:type="dxa"/>
            <w:vAlign w:val="center"/>
          </w:tcPr>
          <w:p w14:paraId="00CE7A2D">
            <w:pPr>
              <w:spacing w:line="276" w:lineRule="auto"/>
              <w:jc w:val="left"/>
              <w:rPr>
                <w:rFonts w:hint="eastAsia" w:ascii="Times New Roman" w:hAnsi="Times New Roman" w:eastAsia="宋体" w:cs="Times New Roman"/>
                <w:b w:val="0"/>
                <w:bCs w:val="0"/>
                <w:color w:val="auto"/>
                <w:szCs w:val="21"/>
                <w:lang w:eastAsia="zh-CN"/>
              </w:rPr>
            </w:pPr>
            <w:r>
              <w:rPr>
                <w:rFonts w:hint="eastAsia" w:ascii="宋体" w:hAnsi="宋体" w:eastAsia="宋体" w:cs="Times New Roman"/>
                <w:b w:val="0"/>
                <w:bCs w:val="0"/>
                <w:color w:val="auto"/>
                <w:spacing w:val="2"/>
                <w:kern w:val="0"/>
                <w:szCs w:val="21"/>
                <w:lang w:eastAsia="zh-CN"/>
              </w:rPr>
              <w:t>指标点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27" w:type="dxa"/>
            <w:vAlign w:val="center"/>
          </w:tcPr>
          <w:p w14:paraId="0C31B285">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3</w:t>
            </w:r>
          </w:p>
        </w:tc>
      </w:tr>
    </w:tbl>
    <w:p w14:paraId="5E5D934C">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46E8C3FE">
      <w:pPr>
        <w:spacing w:line="360" w:lineRule="auto"/>
        <w:ind w:firstLine="411" w:firstLineChars="196"/>
        <w:jc w:val="left"/>
        <w:rPr>
          <w:rFonts w:hint="eastAsia" w:ascii="宋体" w:hAnsi="宋体" w:eastAsia="宋体" w:cs="Times New Roman"/>
          <w:color w:val="auto"/>
          <w:szCs w:val="21"/>
        </w:rPr>
      </w:pPr>
      <w:r>
        <w:rPr>
          <w:rFonts w:ascii="宋体" w:hAnsi="宋体" w:eastAsia="宋体" w:cs="Times New Roman"/>
          <w:color w:val="auto"/>
          <w:szCs w:val="21"/>
        </w:rPr>
        <w:t>以“四有”好老师的标准要求自己，进一步巩固专业思想</w:t>
      </w:r>
      <w:r>
        <w:rPr>
          <w:rFonts w:hint="eastAsia" w:ascii="宋体" w:hAnsi="宋体" w:eastAsia="宋体" w:cs="Times New Roman"/>
          <w:color w:val="auto"/>
          <w:szCs w:val="21"/>
        </w:rPr>
        <w:t>，</w:t>
      </w:r>
      <w:r>
        <w:rPr>
          <w:rFonts w:ascii="宋体" w:hAnsi="宋体" w:eastAsia="宋体" w:cs="Times New Roman"/>
          <w:color w:val="auto"/>
          <w:szCs w:val="21"/>
        </w:rPr>
        <w:t>体会数学的严谨性，养成严谨治学的态度</w:t>
      </w:r>
      <w:r>
        <w:rPr>
          <w:rFonts w:hint="eastAsia" w:ascii="宋体" w:hAnsi="宋体" w:eastAsia="宋体" w:cs="Times New Roman"/>
          <w:color w:val="auto"/>
          <w:szCs w:val="21"/>
        </w:rPr>
        <w:t>，</w:t>
      </w:r>
      <w:r>
        <w:rPr>
          <w:rFonts w:ascii="宋体" w:hAnsi="宋体" w:eastAsia="宋体" w:cs="Times New Roman"/>
          <w:color w:val="auto"/>
          <w:szCs w:val="21"/>
        </w:rPr>
        <w:t>掌握科学、严谨的学习方法</w:t>
      </w:r>
      <w:r>
        <w:rPr>
          <w:rFonts w:hint="eastAsia" w:ascii="宋体" w:hAnsi="宋体" w:eastAsia="宋体" w:cs="Times New Roman"/>
          <w:color w:val="auto"/>
          <w:szCs w:val="21"/>
        </w:rPr>
        <w:t>，</w:t>
      </w:r>
      <w:r>
        <w:rPr>
          <w:rFonts w:ascii="宋体" w:hAnsi="宋体" w:eastAsia="宋体" w:cs="Times New Roman"/>
          <w:color w:val="auto"/>
          <w:szCs w:val="21"/>
        </w:rPr>
        <w:t>强化学习意识，注重创新精神和实践能力的提升</w:t>
      </w:r>
      <w:r>
        <w:rPr>
          <w:rFonts w:hint="eastAsia" w:ascii="宋体" w:hAnsi="宋体" w:eastAsia="宋体" w:cs="Times New Roman"/>
          <w:color w:val="auto"/>
          <w:szCs w:val="21"/>
        </w:rPr>
        <w:t>，</w:t>
      </w:r>
      <w:r>
        <w:rPr>
          <w:rFonts w:ascii="宋体" w:hAnsi="宋体" w:eastAsia="宋体" w:cs="Times New Roman"/>
          <w:color w:val="auto"/>
          <w:szCs w:val="21"/>
        </w:rPr>
        <w:t>树立全面的评价理念</w:t>
      </w:r>
      <w:r>
        <w:rPr>
          <w:rFonts w:hint="eastAsia" w:ascii="宋体" w:hAnsi="宋体" w:eastAsia="宋体" w:cs="Times New Roman"/>
          <w:color w:val="auto"/>
          <w:szCs w:val="21"/>
        </w:rPr>
        <w:t>，</w:t>
      </w:r>
      <w:r>
        <w:rPr>
          <w:rFonts w:ascii="宋体" w:hAnsi="宋体" w:eastAsia="宋体" w:cs="Times New Roman"/>
          <w:color w:val="auto"/>
          <w:szCs w:val="21"/>
        </w:rPr>
        <w:t>增强团队合作的意识，争做“四有”好老师。</w:t>
      </w:r>
    </w:p>
    <w:p w14:paraId="6AB3CB0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三、教学内容与预期学习成效</w:t>
      </w:r>
    </w:p>
    <w:tbl>
      <w:tblPr>
        <w:tblStyle w:val="16"/>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957"/>
        <w:gridCol w:w="1091"/>
        <w:gridCol w:w="3250"/>
        <w:gridCol w:w="1370"/>
        <w:gridCol w:w="442"/>
      </w:tblGrid>
      <w:tr w14:paraId="16E1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0E7FB624">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547B2F36">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1957" w:type="dxa"/>
            <w:vAlign w:val="center"/>
          </w:tcPr>
          <w:p w14:paraId="14CF03EF">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091" w:type="dxa"/>
            <w:vAlign w:val="center"/>
          </w:tcPr>
          <w:p w14:paraId="64D6AF14">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1B078881">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3250" w:type="dxa"/>
            <w:vAlign w:val="center"/>
          </w:tcPr>
          <w:p w14:paraId="0B0C8878">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370" w:type="dxa"/>
            <w:vAlign w:val="center"/>
          </w:tcPr>
          <w:p w14:paraId="7ADC21A2">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42" w:type="dxa"/>
            <w:vAlign w:val="center"/>
          </w:tcPr>
          <w:p w14:paraId="6A032CF9">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1E49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5B60CB69">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w:t>
            </w:r>
            <w:r>
              <w:rPr>
                <w:rFonts w:hint="eastAsia"/>
                <w:color w:val="auto"/>
              </w:rPr>
              <w:t xml:space="preserve"> </w:t>
            </w:r>
            <w:r>
              <w:rPr>
                <w:rFonts w:hint="eastAsia" w:ascii="宋体" w:hAnsi="宋体" w:eastAsia="宋体" w:cs="Times New Roman"/>
                <w:color w:val="auto"/>
                <w:szCs w:val="21"/>
              </w:rPr>
              <w:t>课堂观察与模拟教学概述</w:t>
            </w:r>
          </w:p>
        </w:tc>
        <w:tc>
          <w:tcPr>
            <w:tcW w:w="1957" w:type="dxa"/>
            <w:vAlign w:val="center"/>
          </w:tcPr>
          <w:p w14:paraId="2B686B50">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⑴课堂观察与模拟教学的内涵</w:t>
            </w:r>
          </w:p>
          <w:p w14:paraId="5FE9B2AE">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⑵课堂观察与模拟教学的意义</w:t>
            </w:r>
          </w:p>
          <w:p w14:paraId="23789627">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⑶课堂观察与模拟教学的任务</w:t>
            </w:r>
          </w:p>
        </w:tc>
        <w:tc>
          <w:tcPr>
            <w:tcW w:w="1091" w:type="dxa"/>
            <w:vAlign w:val="center"/>
          </w:tcPr>
          <w:p w14:paraId="642520F2">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250" w:type="dxa"/>
            <w:vAlign w:val="center"/>
          </w:tcPr>
          <w:p w14:paraId="7F6DC86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1）理解课堂观察与模拟教学的内涵</w:t>
            </w:r>
          </w:p>
          <w:p w14:paraId="31AD946C">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2）明确课堂观察与模拟教学的意义</w:t>
            </w:r>
          </w:p>
          <w:p w14:paraId="6B23C2E1">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3）了解课堂观察的任务</w:t>
            </w:r>
          </w:p>
        </w:tc>
        <w:tc>
          <w:tcPr>
            <w:tcW w:w="1370" w:type="dxa"/>
            <w:vAlign w:val="center"/>
          </w:tcPr>
          <w:p w14:paraId="55F83529">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2E1C56D0">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103B3924">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.自主学习</w:t>
            </w:r>
          </w:p>
        </w:tc>
        <w:tc>
          <w:tcPr>
            <w:tcW w:w="442" w:type="dxa"/>
            <w:vAlign w:val="center"/>
          </w:tcPr>
          <w:p w14:paraId="4B0BC9CF">
            <w:pPr>
              <w:spacing w:line="240" w:lineRule="auto"/>
              <w:jc w:val="center"/>
              <w:rPr>
                <w:rFonts w:hint="eastAsia" w:ascii="宋体" w:hAnsi="宋体" w:eastAsia="宋体" w:cs="Times New Roman"/>
                <w:color w:val="auto"/>
                <w:szCs w:val="21"/>
              </w:rPr>
            </w:pPr>
            <w:r>
              <w:rPr>
                <w:rFonts w:ascii="宋体" w:hAnsi="宋体" w:eastAsia="宋体" w:cs="Times New Roman"/>
                <w:color w:val="auto"/>
                <w:szCs w:val="21"/>
              </w:rPr>
              <w:t>2</w:t>
            </w:r>
          </w:p>
        </w:tc>
      </w:tr>
      <w:tr w14:paraId="2201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206" w:type="dxa"/>
            <w:vMerge w:val="continue"/>
            <w:vAlign w:val="center"/>
          </w:tcPr>
          <w:p w14:paraId="120C18D6">
            <w:pPr>
              <w:spacing w:line="240" w:lineRule="auto"/>
              <w:jc w:val="center"/>
              <w:rPr>
                <w:rFonts w:hint="eastAsia" w:ascii="宋体" w:hAnsi="宋体" w:eastAsia="宋体" w:cs="Times New Roman"/>
                <w:color w:val="auto"/>
                <w:szCs w:val="21"/>
              </w:rPr>
            </w:pPr>
          </w:p>
        </w:tc>
        <w:tc>
          <w:tcPr>
            <w:tcW w:w="8110" w:type="dxa"/>
            <w:gridSpan w:val="5"/>
            <w:vAlign w:val="center"/>
          </w:tcPr>
          <w:p w14:paraId="7521853B">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ascii="宋体" w:hAnsi="宋体" w:eastAsia="宋体" w:cs="Times New Roman"/>
                <w:color w:val="auto"/>
                <w:szCs w:val="21"/>
              </w:rPr>
              <w:t>体会数学的严谨性，养成严谨治学的态度</w:t>
            </w:r>
            <w:r>
              <w:rPr>
                <w:rFonts w:hint="eastAsia" w:ascii="宋体" w:hAnsi="宋体" w:eastAsia="宋体" w:cs="Times New Roman"/>
                <w:color w:val="auto"/>
                <w:szCs w:val="21"/>
              </w:rPr>
              <w:t>，</w:t>
            </w:r>
            <w:r>
              <w:rPr>
                <w:rFonts w:ascii="宋体" w:hAnsi="宋体" w:eastAsia="宋体" w:cs="Times New Roman"/>
                <w:color w:val="auto"/>
                <w:szCs w:val="21"/>
              </w:rPr>
              <w:t>争做“四有”好老师。</w:t>
            </w:r>
          </w:p>
        </w:tc>
      </w:tr>
      <w:tr w14:paraId="3ACB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1206" w:type="dxa"/>
            <w:vMerge w:val="restart"/>
            <w:vAlign w:val="center"/>
          </w:tcPr>
          <w:p w14:paraId="22C87838">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w:t>
            </w:r>
            <w:r>
              <w:rPr>
                <w:rFonts w:hint="eastAsia"/>
                <w:color w:val="auto"/>
              </w:rPr>
              <w:t xml:space="preserve"> </w:t>
            </w:r>
            <w:r>
              <w:rPr>
                <w:rFonts w:hint="eastAsia" w:ascii="宋体" w:hAnsi="宋体" w:eastAsia="宋体" w:cs="Times New Roman"/>
                <w:color w:val="auto"/>
                <w:szCs w:val="21"/>
              </w:rPr>
              <w:t>课堂观察的类型与方法</w:t>
            </w:r>
          </w:p>
        </w:tc>
        <w:tc>
          <w:tcPr>
            <w:tcW w:w="1957" w:type="dxa"/>
            <w:vAlign w:val="center"/>
          </w:tcPr>
          <w:p w14:paraId="7FB8D34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⑴课堂观察的类型</w:t>
            </w:r>
          </w:p>
          <w:p w14:paraId="708D7FCA">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⑵课堂观察的方法</w:t>
            </w:r>
          </w:p>
        </w:tc>
        <w:tc>
          <w:tcPr>
            <w:tcW w:w="1091" w:type="dxa"/>
            <w:vAlign w:val="center"/>
          </w:tcPr>
          <w:p w14:paraId="7F6C491D">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课程目标1、3</w:t>
            </w:r>
          </w:p>
        </w:tc>
        <w:tc>
          <w:tcPr>
            <w:tcW w:w="3250" w:type="dxa"/>
            <w:vAlign w:val="center"/>
          </w:tcPr>
          <w:p w14:paraId="783DCA8D">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1）了解课堂观察的基本类型及特点</w:t>
            </w:r>
          </w:p>
          <w:p w14:paraId="75908E8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2）掌握常用的课堂观察方法</w:t>
            </w:r>
          </w:p>
        </w:tc>
        <w:tc>
          <w:tcPr>
            <w:tcW w:w="1370" w:type="dxa"/>
            <w:vAlign w:val="center"/>
          </w:tcPr>
          <w:p w14:paraId="45B82B3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455E4E3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4DEB9C80">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.自主学习</w:t>
            </w:r>
          </w:p>
        </w:tc>
        <w:tc>
          <w:tcPr>
            <w:tcW w:w="442" w:type="dxa"/>
            <w:vAlign w:val="center"/>
          </w:tcPr>
          <w:p w14:paraId="62DFB264">
            <w:pPr>
              <w:spacing w:line="240" w:lineRule="auto"/>
              <w:jc w:val="center"/>
              <w:rPr>
                <w:rFonts w:hint="eastAsia" w:ascii="宋体" w:hAnsi="宋体" w:eastAsia="宋体" w:cs="Times New Roman"/>
                <w:color w:val="auto"/>
                <w:szCs w:val="21"/>
              </w:rPr>
            </w:pPr>
            <w:r>
              <w:rPr>
                <w:rFonts w:ascii="宋体" w:hAnsi="宋体" w:eastAsia="宋体" w:cs="Times New Roman"/>
                <w:color w:val="auto"/>
                <w:szCs w:val="21"/>
              </w:rPr>
              <w:t>2</w:t>
            </w:r>
          </w:p>
        </w:tc>
      </w:tr>
      <w:tr w14:paraId="0C8F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206" w:type="dxa"/>
            <w:vMerge w:val="continue"/>
            <w:vAlign w:val="center"/>
          </w:tcPr>
          <w:p w14:paraId="2C5F9F07">
            <w:pPr>
              <w:spacing w:line="240" w:lineRule="auto"/>
              <w:jc w:val="center"/>
              <w:rPr>
                <w:rFonts w:hint="eastAsia" w:ascii="宋体" w:hAnsi="宋体" w:eastAsia="宋体" w:cs="Times New Roman"/>
                <w:color w:val="auto"/>
                <w:szCs w:val="21"/>
              </w:rPr>
            </w:pPr>
          </w:p>
        </w:tc>
        <w:tc>
          <w:tcPr>
            <w:tcW w:w="8110" w:type="dxa"/>
            <w:gridSpan w:val="5"/>
            <w:vAlign w:val="center"/>
          </w:tcPr>
          <w:p w14:paraId="6B649406">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w:t>
            </w:r>
            <w:r>
              <w:rPr>
                <w:rFonts w:ascii="宋体" w:hAnsi="宋体" w:eastAsia="宋体" w:cs="Times New Roman"/>
                <w:color w:val="auto"/>
                <w:szCs w:val="21"/>
              </w:rPr>
              <w:t>1）掌握科学、严谨的学习方法。</w:t>
            </w:r>
            <w:r>
              <w:rPr>
                <w:rFonts w:hint="eastAsia" w:ascii="宋体" w:hAnsi="宋体" w:eastAsia="宋体" w:cs="Times New Roman"/>
                <w:color w:val="auto"/>
                <w:szCs w:val="21"/>
              </w:rPr>
              <w:t>（</w:t>
            </w:r>
            <w:r>
              <w:rPr>
                <w:rFonts w:ascii="宋体" w:hAnsi="宋体" w:eastAsia="宋体" w:cs="Times New Roman"/>
                <w:color w:val="auto"/>
                <w:szCs w:val="21"/>
              </w:rPr>
              <w:t>2）</w:t>
            </w:r>
            <w:r>
              <w:rPr>
                <w:rFonts w:hint="eastAsia" w:ascii="宋体" w:hAnsi="宋体" w:eastAsia="宋体" w:cs="Times New Roman"/>
                <w:color w:val="auto"/>
                <w:szCs w:val="21"/>
              </w:rPr>
              <w:t>养成</w:t>
            </w:r>
            <w:r>
              <w:rPr>
                <w:rFonts w:ascii="宋体" w:hAnsi="宋体" w:eastAsia="宋体" w:cs="Times New Roman"/>
                <w:color w:val="auto"/>
                <w:szCs w:val="21"/>
              </w:rPr>
              <w:t>学习他人先进理念和教学经验的意识。</w:t>
            </w:r>
          </w:p>
        </w:tc>
      </w:tr>
      <w:tr w14:paraId="71D3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7EA5020D">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w:t>
            </w:r>
            <w:r>
              <w:rPr>
                <w:rFonts w:hint="eastAsia"/>
                <w:color w:val="auto"/>
              </w:rPr>
              <w:t xml:space="preserve"> </w:t>
            </w:r>
            <w:r>
              <w:rPr>
                <w:rFonts w:hint="eastAsia" w:ascii="宋体" w:hAnsi="宋体" w:eastAsia="宋体" w:cs="Times New Roman"/>
                <w:color w:val="auto"/>
                <w:szCs w:val="21"/>
              </w:rPr>
              <w:t>课堂观察的实施</w:t>
            </w:r>
          </w:p>
        </w:tc>
        <w:tc>
          <w:tcPr>
            <w:tcW w:w="1957" w:type="dxa"/>
            <w:vAlign w:val="center"/>
          </w:tcPr>
          <w:p w14:paraId="1B4CB099">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⑴课堂观察的准备</w:t>
            </w:r>
          </w:p>
          <w:p w14:paraId="681FAB6E">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⑵课堂观察的具体实施</w:t>
            </w:r>
          </w:p>
          <w:p w14:paraId="2200909A">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⑶课堂观察报告的撰写</w:t>
            </w:r>
          </w:p>
        </w:tc>
        <w:tc>
          <w:tcPr>
            <w:tcW w:w="1091" w:type="dxa"/>
            <w:vAlign w:val="center"/>
          </w:tcPr>
          <w:p w14:paraId="0AB81E2B">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r>
              <w:rPr>
                <w:rFonts w:ascii="宋体" w:hAnsi="宋体" w:eastAsia="宋体" w:cs="Times New Roman"/>
                <w:color w:val="auto"/>
                <w:szCs w:val="21"/>
              </w:rPr>
              <w:t>1</w:t>
            </w:r>
            <w:r>
              <w:rPr>
                <w:rFonts w:hint="eastAsia" w:ascii="宋体" w:hAnsi="宋体" w:eastAsia="宋体" w:cs="Times New Roman"/>
                <w:color w:val="auto"/>
                <w:szCs w:val="21"/>
              </w:rPr>
              <w:t>、3</w:t>
            </w:r>
          </w:p>
        </w:tc>
        <w:tc>
          <w:tcPr>
            <w:tcW w:w="3250" w:type="dxa"/>
            <w:vAlign w:val="center"/>
          </w:tcPr>
          <w:p w14:paraId="546A104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1）知道如何做好课堂观察的准备</w:t>
            </w:r>
          </w:p>
          <w:p w14:paraId="03FEE6D6">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2）能够运用科学的方法开展课堂观察</w:t>
            </w:r>
          </w:p>
          <w:p w14:paraId="64EA42F5">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3）能够撰写较为全面课堂观察报告</w:t>
            </w:r>
          </w:p>
        </w:tc>
        <w:tc>
          <w:tcPr>
            <w:tcW w:w="1370" w:type="dxa"/>
            <w:vAlign w:val="center"/>
          </w:tcPr>
          <w:p w14:paraId="0A179915">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4658799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4B3C9FB1">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.观察实践</w:t>
            </w:r>
          </w:p>
          <w:p w14:paraId="6FC7385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ascii="宋体" w:hAnsi="宋体" w:eastAsia="宋体" w:cs="Times New Roman"/>
                <w:color w:val="auto"/>
                <w:szCs w:val="21"/>
              </w:rPr>
              <w:t>自主学习</w:t>
            </w:r>
          </w:p>
        </w:tc>
        <w:tc>
          <w:tcPr>
            <w:tcW w:w="442" w:type="dxa"/>
            <w:vAlign w:val="center"/>
          </w:tcPr>
          <w:p w14:paraId="48C96927">
            <w:pPr>
              <w:spacing w:line="240" w:lineRule="auto"/>
              <w:jc w:val="center"/>
              <w:rPr>
                <w:rFonts w:hint="eastAsia" w:ascii="宋体" w:hAnsi="宋体" w:eastAsia="宋体" w:cs="Times New Roman"/>
                <w:color w:val="auto"/>
                <w:szCs w:val="21"/>
              </w:rPr>
            </w:pPr>
            <w:r>
              <w:rPr>
                <w:rFonts w:ascii="宋体" w:hAnsi="宋体" w:eastAsia="宋体" w:cs="Times New Roman"/>
                <w:color w:val="auto"/>
                <w:szCs w:val="21"/>
              </w:rPr>
              <w:t>12</w:t>
            </w:r>
          </w:p>
        </w:tc>
      </w:tr>
      <w:tr w14:paraId="2956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206" w:type="dxa"/>
            <w:vMerge w:val="continue"/>
            <w:vAlign w:val="center"/>
          </w:tcPr>
          <w:p w14:paraId="6490948E">
            <w:pPr>
              <w:spacing w:line="240" w:lineRule="auto"/>
              <w:jc w:val="center"/>
              <w:rPr>
                <w:rFonts w:hint="eastAsia" w:ascii="宋体" w:hAnsi="宋体" w:eastAsia="宋体" w:cs="Times New Roman"/>
                <w:color w:val="auto"/>
                <w:szCs w:val="21"/>
              </w:rPr>
            </w:pPr>
          </w:p>
        </w:tc>
        <w:tc>
          <w:tcPr>
            <w:tcW w:w="8110" w:type="dxa"/>
            <w:gridSpan w:val="5"/>
            <w:vAlign w:val="center"/>
          </w:tcPr>
          <w:p w14:paraId="199FFA68">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w:t>
            </w:r>
            <w:r>
              <w:rPr>
                <w:rFonts w:ascii="宋体" w:hAnsi="宋体" w:eastAsia="宋体" w:cs="Times New Roman"/>
                <w:color w:val="auto"/>
                <w:szCs w:val="21"/>
              </w:rPr>
              <w:t>1）学习优秀教师的教学经验和专业情怀。</w:t>
            </w:r>
            <w:r>
              <w:rPr>
                <w:rFonts w:hint="eastAsia" w:ascii="宋体" w:hAnsi="宋体" w:eastAsia="宋体" w:cs="Times New Roman"/>
                <w:color w:val="auto"/>
                <w:szCs w:val="21"/>
              </w:rPr>
              <w:t>（</w:t>
            </w:r>
            <w:r>
              <w:rPr>
                <w:rFonts w:ascii="宋体" w:hAnsi="宋体" w:eastAsia="宋体" w:cs="Times New Roman"/>
                <w:color w:val="auto"/>
                <w:szCs w:val="21"/>
              </w:rPr>
              <w:t>2）养成踏实、严谨的学习习惯。</w:t>
            </w:r>
          </w:p>
        </w:tc>
      </w:tr>
      <w:tr w14:paraId="08E5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206" w:type="dxa"/>
            <w:vMerge w:val="restart"/>
            <w:vAlign w:val="center"/>
          </w:tcPr>
          <w:p w14:paraId="6B17F9D7">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color w:val="auto"/>
              </w:rPr>
              <w:t xml:space="preserve"> </w:t>
            </w:r>
            <w:r>
              <w:rPr>
                <w:rFonts w:hint="eastAsia" w:ascii="宋体" w:hAnsi="宋体" w:eastAsia="宋体" w:cs="Times New Roman"/>
                <w:color w:val="auto"/>
                <w:szCs w:val="21"/>
              </w:rPr>
              <w:t>模拟教学的原则</w:t>
            </w:r>
          </w:p>
        </w:tc>
        <w:tc>
          <w:tcPr>
            <w:tcW w:w="1957" w:type="dxa"/>
            <w:vAlign w:val="center"/>
          </w:tcPr>
          <w:p w14:paraId="11D8978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⑴影响模拟教学的主要因素</w:t>
            </w:r>
          </w:p>
          <w:p w14:paraId="3D390701">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⑵模拟教学的一般原则</w:t>
            </w:r>
          </w:p>
        </w:tc>
        <w:tc>
          <w:tcPr>
            <w:tcW w:w="1091" w:type="dxa"/>
            <w:vAlign w:val="center"/>
          </w:tcPr>
          <w:p w14:paraId="4FCE94B8">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课程目标2、3</w:t>
            </w:r>
          </w:p>
        </w:tc>
        <w:tc>
          <w:tcPr>
            <w:tcW w:w="3250" w:type="dxa"/>
            <w:vAlign w:val="center"/>
          </w:tcPr>
          <w:p w14:paraId="432C2B2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1）了解影响模拟教学的主要因素</w:t>
            </w:r>
          </w:p>
          <w:p w14:paraId="107FC4D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2）理解模拟教学应遵循的一般原则</w:t>
            </w:r>
          </w:p>
          <w:p w14:paraId="10AE5D5F">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3）明确模拟教学的基本要求</w:t>
            </w:r>
          </w:p>
        </w:tc>
        <w:tc>
          <w:tcPr>
            <w:tcW w:w="1370" w:type="dxa"/>
            <w:vAlign w:val="center"/>
          </w:tcPr>
          <w:p w14:paraId="0C40B80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29E0354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196833F1">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.模拟教学</w:t>
            </w:r>
          </w:p>
          <w:p w14:paraId="4D9D6DE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ascii="宋体" w:hAnsi="宋体" w:eastAsia="宋体" w:cs="Times New Roman"/>
                <w:color w:val="auto"/>
                <w:szCs w:val="21"/>
              </w:rPr>
              <w:t>自主学习</w:t>
            </w:r>
          </w:p>
        </w:tc>
        <w:tc>
          <w:tcPr>
            <w:tcW w:w="442" w:type="dxa"/>
            <w:vAlign w:val="center"/>
          </w:tcPr>
          <w:p w14:paraId="2B8E3074">
            <w:pPr>
              <w:spacing w:line="240" w:lineRule="auto"/>
              <w:jc w:val="center"/>
              <w:rPr>
                <w:rFonts w:hint="eastAsia" w:ascii="宋体" w:hAnsi="宋体" w:eastAsia="宋体" w:cs="Times New Roman"/>
                <w:color w:val="auto"/>
                <w:szCs w:val="21"/>
              </w:rPr>
            </w:pPr>
            <w:r>
              <w:rPr>
                <w:rFonts w:ascii="宋体" w:hAnsi="宋体" w:eastAsia="宋体" w:cs="Times New Roman"/>
                <w:color w:val="auto"/>
                <w:szCs w:val="21"/>
              </w:rPr>
              <w:t>2</w:t>
            </w:r>
          </w:p>
        </w:tc>
      </w:tr>
      <w:tr w14:paraId="7511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6BD5E6F1">
            <w:pPr>
              <w:spacing w:line="240" w:lineRule="auto"/>
              <w:jc w:val="center"/>
              <w:rPr>
                <w:rFonts w:hint="eastAsia" w:ascii="宋体" w:hAnsi="宋体" w:eastAsia="宋体" w:cs="Times New Roman"/>
                <w:color w:val="auto"/>
                <w:szCs w:val="21"/>
              </w:rPr>
            </w:pPr>
          </w:p>
        </w:tc>
        <w:tc>
          <w:tcPr>
            <w:tcW w:w="8110" w:type="dxa"/>
            <w:gridSpan w:val="5"/>
            <w:vAlign w:val="center"/>
          </w:tcPr>
          <w:p w14:paraId="0809A52A">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w:t>
            </w:r>
            <w:r>
              <w:rPr>
                <w:rFonts w:ascii="宋体" w:hAnsi="宋体" w:eastAsia="宋体" w:cs="Times New Roman"/>
                <w:color w:val="auto"/>
                <w:szCs w:val="21"/>
              </w:rPr>
              <w:t>1）强化学习意识，注重创新精神和实践能力的提升。</w:t>
            </w:r>
            <w:r>
              <w:rPr>
                <w:rFonts w:hint="eastAsia" w:ascii="宋体" w:hAnsi="宋体" w:eastAsia="宋体" w:cs="Times New Roman"/>
                <w:color w:val="auto"/>
                <w:szCs w:val="21"/>
              </w:rPr>
              <w:t>（</w:t>
            </w:r>
            <w:r>
              <w:rPr>
                <w:rFonts w:ascii="宋体" w:hAnsi="宋体" w:eastAsia="宋体" w:cs="Times New Roman"/>
                <w:color w:val="auto"/>
                <w:szCs w:val="21"/>
              </w:rPr>
              <w:t>2）提高专业学习的严谨性。</w:t>
            </w:r>
          </w:p>
        </w:tc>
      </w:tr>
      <w:tr w14:paraId="1FBE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1206" w:type="dxa"/>
            <w:vMerge w:val="restart"/>
            <w:vAlign w:val="center"/>
          </w:tcPr>
          <w:p w14:paraId="4B075DE7">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w:t>
            </w:r>
            <w:r>
              <w:rPr>
                <w:rFonts w:ascii="宋体" w:hAnsi="宋体" w:eastAsia="宋体" w:cs="Times New Roman"/>
                <w:color w:val="auto"/>
                <w:szCs w:val="21"/>
              </w:rPr>
              <w:t>.</w:t>
            </w:r>
            <w:r>
              <w:rPr>
                <w:rFonts w:hint="eastAsia"/>
                <w:color w:val="auto"/>
              </w:rPr>
              <w:t xml:space="preserve"> </w:t>
            </w:r>
            <w:r>
              <w:rPr>
                <w:rFonts w:hint="eastAsia" w:ascii="宋体" w:hAnsi="宋体" w:eastAsia="宋体" w:cs="Times New Roman"/>
                <w:color w:val="auto"/>
                <w:szCs w:val="21"/>
              </w:rPr>
              <w:t>模拟教学的流程</w:t>
            </w:r>
          </w:p>
        </w:tc>
        <w:tc>
          <w:tcPr>
            <w:tcW w:w="1957" w:type="dxa"/>
            <w:vAlign w:val="center"/>
          </w:tcPr>
          <w:p w14:paraId="74AA3690">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⑴模拟教学的一般流程</w:t>
            </w:r>
          </w:p>
          <w:p w14:paraId="40FC35BD">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⑵模拟教学案例分析</w:t>
            </w:r>
          </w:p>
        </w:tc>
        <w:tc>
          <w:tcPr>
            <w:tcW w:w="1091" w:type="dxa"/>
            <w:vAlign w:val="center"/>
          </w:tcPr>
          <w:p w14:paraId="26A65E37">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课程目标2、3</w:t>
            </w:r>
          </w:p>
        </w:tc>
        <w:tc>
          <w:tcPr>
            <w:tcW w:w="3250" w:type="dxa"/>
            <w:vAlign w:val="center"/>
          </w:tcPr>
          <w:p w14:paraId="5779338E">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1）了解模拟教学的一般流程</w:t>
            </w:r>
          </w:p>
          <w:p w14:paraId="5FBBA4AD">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2）知道如何进行有效的模拟教学</w:t>
            </w:r>
          </w:p>
          <w:p w14:paraId="3CA975BC">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3）能较好地进行模拟教学</w:t>
            </w:r>
          </w:p>
        </w:tc>
        <w:tc>
          <w:tcPr>
            <w:tcW w:w="1370" w:type="dxa"/>
            <w:vAlign w:val="center"/>
          </w:tcPr>
          <w:p w14:paraId="4C1694EC">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195C039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7A029A3C">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.模拟教学</w:t>
            </w:r>
          </w:p>
          <w:p w14:paraId="50E3DC9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ascii="宋体" w:hAnsi="宋体" w:eastAsia="宋体" w:cs="Times New Roman"/>
                <w:color w:val="auto"/>
                <w:szCs w:val="21"/>
              </w:rPr>
              <w:t>自主学习</w:t>
            </w:r>
          </w:p>
        </w:tc>
        <w:tc>
          <w:tcPr>
            <w:tcW w:w="442" w:type="dxa"/>
            <w:vAlign w:val="center"/>
          </w:tcPr>
          <w:p w14:paraId="5092832B">
            <w:pPr>
              <w:spacing w:line="240" w:lineRule="auto"/>
              <w:jc w:val="center"/>
              <w:rPr>
                <w:rFonts w:hint="eastAsia" w:ascii="宋体" w:hAnsi="宋体" w:eastAsia="宋体" w:cs="Times New Roman"/>
                <w:color w:val="auto"/>
                <w:szCs w:val="21"/>
              </w:rPr>
            </w:pPr>
            <w:r>
              <w:rPr>
                <w:rFonts w:ascii="宋体" w:hAnsi="宋体" w:eastAsia="宋体" w:cs="Times New Roman"/>
                <w:color w:val="auto"/>
                <w:szCs w:val="21"/>
              </w:rPr>
              <w:t>2</w:t>
            </w:r>
          </w:p>
        </w:tc>
      </w:tr>
      <w:tr w14:paraId="052B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77EBC715">
            <w:pPr>
              <w:spacing w:line="240" w:lineRule="auto"/>
              <w:jc w:val="center"/>
              <w:rPr>
                <w:rFonts w:hint="eastAsia" w:ascii="宋体" w:hAnsi="宋体" w:eastAsia="宋体" w:cs="Times New Roman"/>
                <w:color w:val="auto"/>
                <w:szCs w:val="21"/>
              </w:rPr>
            </w:pPr>
          </w:p>
        </w:tc>
        <w:tc>
          <w:tcPr>
            <w:tcW w:w="8110" w:type="dxa"/>
            <w:gridSpan w:val="5"/>
            <w:vAlign w:val="center"/>
          </w:tcPr>
          <w:p w14:paraId="2B415A21">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w:t>
            </w:r>
            <w:r>
              <w:rPr>
                <w:rFonts w:ascii="宋体" w:hAnsi="宋体" w:eastAsia="宋体" w:cs="Times New Roman"/>
                <w:color w:val="auto"/>
                <w:szCs w:val="21"/>
              </w:rPr>
              <w:t>1）增强团队合作意识与沟通表达能力。</w:t>
            </w:r>
            <w:r>
              <w:rPr>
                <w:rFonts w:hint="eastAsia" w:ascii="宋体" w:hAnsi="宋体" w:eastAsia="宋体" w:cs="Times New Roman"/>
                <w:color w:val="auto"/>
                <w:szCs w:val="21"/>
              </w:rPr>
              <w:t>（</w:t>
            </w:r>
            <w:r>
              <w:rPr>
                <w:rFonts w:ascii="宋体" w:hAnsi="宋体" w:eastAsia="宋体" w:cs="Times New Roman"/>
                <w:color w:val="auto"/>
                <w:szCs w:val="21"/>
              </w:rPr>
              <w:t>2）养成虚心学习和不断进取的意识。</w:t>
            </w:r>
          </w:p>
        </w:tc>
      </w:tr>
      <w:tr w14:paraId="4F4C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jc w:val="center"/>
        </w:trPr>
        <w:tc>
          <w:tcPr>
            <w:tcW w:w="1206" w:type="dxa"/>
            <w:vMerge w:val="restart"/>
            <w:vAlign w:val="center"/>
          </w:tcPr>
          <w:p w14:paraId="6F17103D">
            <w:pPr>
              <w:spacing w:line="240" w:lineRule="auto"/>
              <w:jc w:val="center"/>
              <w:rPr>
                <w:rFonts w:hint="eastAsia" w:ascii="宋体" w:hAnsi="宋体" w:eastAsia="宋体" w:cs="Times New Roman"/>
                <w:color w:val="auto"/>
                <w:szCs w:val="21"/>
              </w:rPr>
            </w:pPr>
            <w:r>
              <w:rPr>
                <w:rFonts w:ascii="宋体" w:hAnsi="宋体" w:eastAsia="宋体" w:cs="Times New Roman"/>
                <w:color w:val="auto"/>
                <w:szCs w:val="21"/>
              </w:rPr>
              <w:t>6.</w:t>
            </w:r>
            <w:r>
              <w:rPr>
                <w:rFonts w:hint="eastAsia"/>
                <w:color w:val="auto"/>
              </w:rPr>
              <w:t xml:space="preserve"> 模拟教学的训练与指导</w:t>
            </w:r>
          </w:p>
        </w:tc>
        <w:tc>
          <w:tcPr>
            <w:tcW w:w="1957" w:type="dxa"/>
            <w:vAlign w:val="center"/>
          </w:tcPr>
          <w:p w14:paraId="62D6EA5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⑴模拟教学训练</w:t>
            </w:r>
          </w:p>
          <w:p w14:paraId="69E836DC">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⑵模拟教学指导</w:t>
            </w:r>
          </w:p>
        </w:tc>
        <w:tc>
          <w:tcPr>
            <w:tcW w:w="1091" w:type="dxa"/>
            <w:vAlign w:val="center"/>
          </w:tcPr>
          <w:p w14:paraId="0C8D856B">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课程目标2、3</w:t>
            </w:r>
          </w:p>
        </w:tc>
        <w:tc>
          <w:tcPr>
            <w:tcW w:w="3250" w:type="dxa"/>
            <w:vAlign w:val="center"/>
          </w:tcPr>
          <w:p w14:paraId="2C44182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1）能够在理论的指导下开展经常性的模拟教学训练</w:t>
            </w:r>
          </w:p>
          <w:p w14:paraId="4B5ECE61">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2）较为熟练地掌握模拟教学的技能</w:t>
            </w:r>
          </w:p>
          <w:p w14:paraId="0F204D0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3）能虚心听取老师和同学们的建议</w:t>
            </w:r>
          </w:p>
        </w:tc>
        <w:tc>
          <w:tcPr>
            <w:tcW w:w="1370" w:type="dxa"/>
            <w:vAlign w:val="center"/>
          </w:tcPr>
          <w:p w14:paraId="65372389">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0F5B287F">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372D4EED">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.模拟教学</w:t>
            </w:r>
          </w:p>
          <w:p w14:paraId="6039BC2D">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ascii="宋体" w:hAnsi="宋体" w:eastAsia="宋体" w:cs="Times New Roman"/>
                <w:color w:val="auto"/>
                <w:szCs w:val="21"/>
              </w:rPr>
              <w:t>自主学习</w:t>
            </w:r>
          </w:p>
        </w:tc>
        <w:tc>
          <w:tcPr>
            <w:tcW w:w="442" w:type="dxa"/>
            <w:vAlign w:val="center"/>
          </w:tcPr>
          <w:p w14:paraId="21F501A3">
            <w:pPr>
              <w:spacing w:line="240" w:lineRule="auto"/>
              <w:jc w:val="center"/>
              <w:rPr>
                <w:rFonts w:hint="eastAsia" w:ascii="宋体" w:hAnsi="宋体" w:eastAsia="宋体" w:cs="Times New Roman"/>
                <w:color w:val="auto"/>
                <w:szCs w:val="21"/>
              </w:rPr>
            </w:pPr>
            <w:r>
              <w:rPr>
                <w:rFonts w:ascii="宋体" w:hAnsi="宋体" w:eastAsia="宋体" w:cs="Times New Roman"/>
                <w:color w:val="auto"/>
                <w:szCs w:val="21"/>
              </w:rPr>
              <w:t>10</w:t>
            </w:r>
          </w:p>
        </w:tc>
      </w:tr>
      <w:tr w14:paraId="2BFC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457BB598">
            <w:pPr>
              <w:spacing w:line="240" w:lineRule="auto"/>
              <w:jc w:val="center"/>
              <w:rPr>
                <w:rFonts w:hint="eastAsia" w:ascii="宋体" w:hAnsi="宋体" w:eastAsia="宋体" w:cs="Times New Roman"/>
                <w:color w:val="auto"/>
                <w:szCs w:val="21"/>
              </w:rPr>
            </w:pPr>
          </w:p>
        </w:tc>
        <w:tc>
          <w:tcPr>
            <w:tcW w:w="8110" w:type="dxa"/>
            <w:gridSpan w:val="5"/>
            <w:vAlign w:val="center"/>
          </w:tcPr>
          <w:p w14:paraId="35F2503A">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w:t>
            </w:r>
            <w:r>
              <w:rPr>
                <w:rFonts w:ascii="宋体" w:hAnsi="宋体" w:eastAsia="宋体" w:cs="Times New Roman"/>
                <w:color w:val="auto"/>
                <w:szCs w:val="21"/>
              </w:rPr>
              <w:t>1）增强团队合作意识。</w:t>
            </w:r>
            <w:r>
              <w:rPr>
                <w:rFonts w:hint="eastAsia" w:ascii="宋体" w:hAnsi="宋体" w:eastAsia="宋体" w:cs="Times New Roman"/>
                <w:color w:val="auto"/>
                <w:szCs w:val="21"/>
              </w:rPr>
              <w:t>（</w:t>
            </w:r>
            <w:r>
              <w:rPr>
                <w:rFonts w:ascii="宋体" w:hAnsi="宋体" w:eastAsia="宋体" w:cs="Times New Roman"/>
                <w:color w:val="auto"/>
                <w:szCs w:val="21"/>
              </w:rPr>
              <w:t>2）养成坚持不懈的意志品质，进一步巩固专业思想。</w:t>
            </w:r>
          </w:p>
        </w:tc>
      </w:tr>
      <w:tr w14:paraId="46E7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jc w:val="center"/>
        </w:trPr>
        <w:tc>
          <w:tcPr>
            <w:tcW w:w="1206" w:type="dxa"/>
            <w:vMerge w:val="restart"/>
            <w:vAlign w:val="center"/>
          </w:tcPr>
          <w:p w14:paraId="12432BAD">
            <w:pPr>
              <w:spacing w:line="240" w:lineRule="auto"/>
              <w:jc w:val="center"/>
              <w:rPr>
                <w:rFonts w:hint="eastAsia" w:ascii="宋体" w:hAnsi="宋体" w:eastAsia="宋体" w:cs="Times New Roman"/>
                <w:color w:val="auto"/>
                <w:szCs w:val="21"/>
              </w:rPr>
            </w:pPr>
            <w:r>
              <w:rPr>
                <w:rFonts w:ascii="宋体" w:hAnsi="宋体" w:eastAsia="宋体" w:cs="Times New Roman"/>
                <w:color w:val="auto"/>
                <w:szCs w:val="21"/>
              </w:rPr>
              <w:t>7.</w:t>
            </w:r>
            <w:r>
              <w:rPr>
                <w:rFonts w:hint="eastAsia"/>
                <w:color w:val="auto"/>
              </w:rPr>
              <w:t xml:space="preserve"> </w:t>
            </w:r>
            <w:r>
              <w:rPr>
                <w:rFonts w:hint="eastAsia" w:ascii="宋体" w:hAnsi="宋体" w:eastAsia="宋体" w:cs="Times New Roman"/>
                <w:color w:val="auto"/>
                <w:szCs w:val="21"/>
              </w:rPr>
              <w:t>模拟教学的评价</w:t>
            </w:r>
          </w:p>
        </w:tc>
        <w:tc>
          <w:tcPr>
            <w:tcW w:w="1957" w:type="dxa"/>
            <w:vAlign w:val="center"/>
          </w:tcPr>
          <w:p w14:paraId="35EF4DA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⑴模拟教学的评价标准</w:t>
            </w:r>
          </w:p>
          <w:p w14:paraId="38822C20">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⑵模拟教学的评价方法</w:t>
            </w:r>
          </w:p>
        </w:tc>
        <w:tc>
          <w:tcPr>
            <w:tcW w:w="1091" w:type="dxa"/>
            <w:vAlign w:val="center"/>
          </w:tcPr>
          <w:p w14:paraId="74E38D28">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课程目标2、3</w:t>
            </w:r>
          </w:p>
        </w:tc>
        <w:tc>
          <w:tcPr>
            <w:tcW w:w="3250" w:type="dxa"/>
            <w:vAlign w:val="center"/>
          </w:tcPr>
          <w:p w14:paraId="58AB26F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1）明确模拟教学的评价标准</w:t>
            </w:r>
          </w:p>
          <w:p w14:paraId="3902160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2）知道如何开展模拟教学评价</w:t>
            </w:r>
          </w:p>
          <w:p w14:paraId="201353D9">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3）能在全面评价的基础上进一步改进模拟教学</w:t>
            </w:r>
          </w:p>
        </w:tc>
        <w:tc>
          <w:tcPr>
            <w:tcW w:w="1370" w:type="dxa"/>
            <w:vAlign w:val="center"/>
          </w:tcPr>
          <w:p w14:paraId="20846EBF">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139950BC">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7BBAEA60">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.模拟教学</w:t>
            </w:r>
          </w:p>
          <w:p w14:paraId="4CBE59EA">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ascii="宋体" w:hAnsi="宋体" w:eastAsia="宋体" w:cs="Times New Roman"/>
                <w:color w:val="auto"/>
                <w:szCs w:val="21"/>
              </w:rPr>
              <w:t>自主学习</w:t>
            </w:r>
          </w:p>
        </w:tc>
        <w:tc>
          <w:tcPr>
            <w:tcW w:w="442" w:type="dxa"/>
            <w:vAlign w:val="center"/>
          </w:tcPr>
          <w:p w14:paraId="3D8C355B">
            <w:pPr>
              <w:spacing w:line="240" w:lineRule="auto"/>
              <w:jc w:val="center"/>
              <w:rPr>
                <w:rFonts w:hint="eastAsia" w:ascii="宋体" w:hAnsi="宋体" w:eastAsia="宋体" w:cs="Times New Roman"/>
                <w:color w:val="auto"/>
                <w:szCs w:val="21"/>
              </w:rPr>
            </w:pPr>
            <w:r>
              <w:rPr>
                <w:rFonts w:ascii="宋体" w:hAnsi="宋体" w:eastAsia="宋体" w:cs="Times New Roman"/>
                <w:color w:val="auto"/>
                <w:szCs w:val="21"/>
              </w:rPr>
              <w:t>2</w:t>
            </w:r>
          </w:p>
        </w:tc>
      </w:tr>
      <w:tr w14:paraId="6D2E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06" w:type="dxa"/>
            <w:vMerge w:val="continue"/>
            <w:vAlign w:val="center"/>
          </w:tcPr>
          <w:p w14:paraId="457AFA8F">
            <w:pPr>
              <w:spacing w:line="240" w:lineRule="auto"/>
              <w:jc w:val="center"/>
              <w:rPr>
                <w:rFonts w:hint="eastAsia" w:ascii="宋体" w:hAnsi="宋体" w:eastAsia="宋体" w:cs="Times New Roman"/>
                <w:color w:val="auto"/>
                <w:szCs w:val="21"/>
              </w:rPr>
            </w:pPr>
          </w:p>
        </w:tc>
        <w:tc>
          <w:tcPr>
            <w:tcW w:w="8110" w:type="dxa"/>
            <w:gridSpan w:val="5"/>
            <w:vAlign w:val="center"/>
          </w:tcPr>
          <w:p w14:paraId="19EB2674">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w:t>
            </w:r>
            <w:r>
              <w:rPr>
                <w:rFonts w:ascii="宋体" w:hAnsi="宋体" w:eastAsia="宋体" w:cs="Times New Roman"/>
                <w:color w:val="auto"/>
                <w:szCs w:val="21"/>
              </w:rPr>
              <w:t>1）树立全面的评价理念。</w:t>
            </w:r>
            <w:r>
              <w:rPr>
                <w:rFonts w:hint="eastAsia" w:ascii="宋体" w:hAnsi="宋体" w:eastAsia="宋体" w:cs="Times New Roman"/>
                <w:color w:val="auto"/>
                <w:szCs w:val="21"/>
              </w:rPr>
              <w:t>（</w:t>
            </w:r>
            <w:r>
              <w:rPr>
                <w:rFonts w:ascii="宋体" w:hAnsi="宋体" w:eastAsia="宋体" w:cs="Times New Roman"/>
                <w:color w:val="auto"/>
                <w:szCs w:val="21"/>
              </w:rPr>
              <w:t>2）增强团队合作的意识。</w:t>
            </w:r>
          </w:p>
        </w:tc>
      </w:tr>
    </w:tbl>
    <w:p w14:paraId="6AC97EF6">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四、目标评价与成绩评定</w:t>
      </w:r>
    </w:p>
    <w:p w14:paraId="4F188FB7">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7C4E2C21">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1545"/>
        <w:gridCol w:w="1405"/>
        <w:gridCol w:w="1405"/>
        <w:gridCol w:w="1405"/>
        <w:gridCol w:w="846"/>
      </w:tblGrid>
      <w:tr w14:paraId="6BE5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0" w:type="auto"/>
            <w:vMerge w:val="restart"/>
            <w:vAlign w:val="center"/>
          </w:tcPr>
          <w:p w14:paraId="3D564BA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0" w:type="auto"/>
            <w:gridSpan w:val="4"/>
            <w:vAlign w:val="center"/>
          </w:tcPr>
          <w:p w14:paraId="32A1064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6679DB7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1D912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continue"/>
            <w:vAlign w:val="center"/>
          </w:tcPr>
          <w:p w14:paraId="6CA0D4CE">
            <w:pPr>
              <w:spacing w:line="360" w:lineRule="auto"/>
              <w:jc w:val="center"/>
              <w:rPr>
                <w:rFonts w:hint="eastAsia" w:ascii="宋体" w:hAnsi="宋体" w:eastAsia="宋体" w:cs="Times New Roman"/>
                <w:color w:val="auto"/>
                <w:szCs w:val="21"/>
              </w:rPr>
            </w:pPr>
          </w:p>
        </w:tc>
        <w:tc>
          <w:tcPr>
            <w:tcW w:w="0" w:type="auto"/>
            <w:vAlign w:val="center"/>
          </w:tcPr>
          <w:p w14:paraId="7110D28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作业</w:t>
            </w:r>
            <w:r>
              <w:rPr>
                <w:rFonts w:ascii="宋体" w:hAnsi="宋体" w:eastAsia="宋体" w:cs="Times New Roman"/>
                <w:color w:val="auto"/>
                <w:szCs w:val="21"/>
              </w:rPr>
              <w:t>+考勤</w:t>
            </w:r>
          </w:p>
        </w:tc>
        <w:tc>
          <w:tcPr>
            <w:tcW w:w="0" w:type="auto"/>
            <w:vAlign w:val="center"/>
          </w:tcPr>
          <w:p w14:paraId="2D6A64D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0" w:type="auto"/>
            <w:vAlign w:val="center"/>
          </w:tcPr>
          <w:p w14:paraId="65AB11B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课内实践</w:t>
            </w:r>
          </w:p>
        </w:tc>
        <w:tc>
          <w:tcPr>
            <w:tcW w:w="0" w:type="auto"/>
            <w:vAlign w:val="center"/>
          </w:tcPr>
          <w:p w14:paraId="6ED3D7F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0" w:type="auto"/>
            <w:vMerge w:val="continue"/>
            <w:vAlign w:val="center"/>
          </w:tcPr>
          <w:p w14:paraId="501054C7">
            <w:pPr>
              <w:spacing w:line="360" w:lineRule="auto"/>
              <w:jc w:val="center"/>
              <w:rPr>
                <w:rFonts w:hint="eastAsia" w:ascii="宋体" w:hAnsi="宋体" w:eastAsia="宋体" w:cs="Times New Roman"/>
                <w:color w:val="auto"/>
                <w:szCs w:val="21"/>
              </w:rPr>
            </w:pPr>
          </w:p>
        </w:tc>
      </w:tr>
      <w:tr w14:paraId="7501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0" w:type="auto"/>
            <w:vAlign w:val="center"/>
          </w:tcPr>
          <w:p w14:paraId="64582C6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0" w:type="auto"/>
            <w:vAlign w:val="center"/>
          </w:tcPr>
          <w:p w14:paraId="25ABB519">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74F3F79">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642D20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0C815FC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5A43C5A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25</w:t>
            </w:r>
          </w:p>
        </w:tc>
      </w:tr>
      <w:tr w14:paraId="733F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5D41428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0" w:type="auto"/>
            <w:vAlign w:val="center"/>
          </w:tcPr>
          <w:p w14:paraId="2BA199D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197CFC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80AFD1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089CB95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F802CB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50</w:t>
            </w:r>
          </w:p>
        </w:tc>
      </w:tr>
      <w:tr w14:paraId="534B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74D7FB5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0" w:type="auto"/>
            <w:vAlign w:val="center"/>
          </w:tcPr>
          <w:p w14:paraId="1CD1C16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5F43D1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5D8848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0E62165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3FF46C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25</w:t>
            </w:r>
          </w:p>
        </w:tc>
      </w:tr>
      <w:tr w14:paraId="79D4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1985FB0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0" w:type="auto"/>
            <w:vAlign w:val="center"/>
          </w:tcPr>
          <w:p w14:paraId="43FD105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20</w:t>
            </w:r>
          </w:p>
        </w:tc>
        <w:tc>
          <w:tcPr>
            <w:tcW w:w="0" w:type="auto"/>
            <w:vAlign w:val="center"/>
          </w:tcPr>
          <w:p w14:paraId="5E67D12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0</w:t>
            </w:r>
          </w:p>
        </w:tc>
        <w:tc>
          <w:tcPr>
            <w:tcW w:w="0" w:type="auto"/>
            <w:vAlign w:val="center"/>
          </w:tcPr>
          <w:p w14:paraId="4FCFF4A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0</w:t>
            </w:r>
          </w:p>
        </w:tc>
        <w:tc>
          <w:tcPr>
            <w:tcW w:w="0" w:type="auto"/>
            <w:vAlign w:val="center"/>
          </w:tcPr>
          <w:p w14:paraId="77E96D9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w:t>
            </w:r>
            <w:r>
              <w:rPr>
                <w:rFonts w:ascii="宋体" w:hAnsi="宋体" w:eastAsia="宋体" w:cs="Times New Roman"/>
                <w:color w:val="auto"/>
                <w:szCs w:val="21"/>
              </w:rPr>
              <w:t>0</w:t>
            </w:r>
          </w:p>
        </w:tc>
        <w:tc>
          <w:tcPr>
            <w:tcW w:w="0" w:type="auto"/>
            <w:vAlign w:val="center"/>
          </w:tcPr>
          <w:p w14:paraId="511DA87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7B308417">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0F485C12">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6774"/>
        <w:gridCol w:w="706"/>
      </w:tblGrid>
      <w:tr w14:paraId="219A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4A969D5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774" w:type="dxa"/>
            <w:vAlign w:val="center"/>
          </w:tcPr>
          <w:p w14:paraId="0F1E81E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206A1AFD">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47EB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3291697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作业</w:t>
            </w:r>
            <w:r>
              <w:rPr>
                <w:rFonts w:ascii="Times New Roman" w:hAnsi="Times New Roman" w:eastAsia="宋体" w:cs="Times New Roman"/>
                <w:color w:val="auto"/>
                <w:szCs w:val="21"/>
              </w:rPr>
              <w:t>+考勤</w:t>
            </w:r>
          </w:p>
        </w:tc>
        <w:tc>
          <w:tcPr>
            <w:tcW w:w="6774" w:type="dxa"/>
            <w:vAlign w:val="center"/>
          </w:tcPr>
          <w:p w14:paraId="0F88E70F">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平时作业共3次，平时总评</w:t>
            </w:r>
            <w:r>
              <w:rPr>
                <w:rFonts w:ascii="Times New Roman" w:hAnsi="Times New Roman" w:eastAsia="宋体" w:cs="Times New Roman"/>
                <w:color w:val="auto"/>
                <w:szCs w:val="21"/>
              </w:rPr>
              <w:t>=作业平均—考勤扣分，旷课1次扣5分，事假一次扣2分，迟到1次扣1分，病假不扣分（但病假次数达本学期总授课学时的1/3以上者不得参加考核）。</w:t>
            </w:r>
          </w:p>
        </w:tc>
        <w:tc>
          <w:tcPr>
            <w:tcW w:w="0" w:type="auto"/>
            <w:vAlign w:val="center"/>
          </w:tcPr>
          <w:p w14:paraId="1214ED9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0%</w:t>
            </w:r>
          </w:p>
        </w:tc>
      </w:tr>
      <w:tr w14:paraId="0D3A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2C5E381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6774" w:type="dxa"/>
            <w:vAlign w:val="center"/>
          </w:tcPr>
          <w:p w14:paraId="359B339C">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课堂表现。</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按照对应的课程目标及权重给予评定</w:t>
            </w:r>
            <w:r>
              <w:rPr>
                <w:rFonts w:hint="eastAsia" w:ascii="宋体" w:hAnsi="宋体" w:eastAsia="宋体" w:cs="宋体"/>
                <w:color w:val="auto"/>
                <w:kern w:val="0"/>
                <w:szCs w:val="21"/>
                <w:lang w:bidi="ar"/>
              </w:rPr>
              <w:t>。</w:t>
            </w:r>
          </w:p>
        </w:tc>
        <w:tc>
          <w:tcPr>
            <w:tcW w:w="0" w:type="auto"/>
            <w:vAlign w:val="center"/>
          </w:tcPr>
          <w:p w14:paraId="1E17AC4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6C74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083F24A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课内实践</w:t>
            </w:r>
          </w:p>
        </w:tc>
        <w:tc>
          <w:tcPr>
            <w:tcW w:w="6774" w:type="dxa"/>
            <w:vAlign w:val="center"/>
          </w:tcPr>
          <w:p w14:paraId="796EB1C6">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认真完成</w:t>
            </w:r>
            <w:r>
              <w:rPr>
                <w:rFonts w:ascii="宋体" w:hAnsi="宋体" w:eastAsia="宋体" w:cs="宋体"/>
                <w:color w:val="auto"/>
                <w:kern w:val="0"/>
                <w:szCs w:val="21"/>
                <w:lang w:bidi="ar"/>
              </w:rPr>
              <w:t>5个项目的课内实践，</w:t>
            </w:r>
            <w:r>
              <w:rPr>
                <w:rFonts w:hint="eastAsia" w:ascii="宋体" w:hAnsi="宋体" w:eastAsia="宋体" w:cs="宋体"/>
                <w:color w:val="auto"/>
                <w:kern w:val="0"/>
                <w:szCs w:val="21"/>
                <w:lang w:bidi="ar"/>
              </w:rPr>
              <w:t>在充分观摩学习的基础上</w:t>
            </w:r>
            <w:r>
              <w:rPr>
                <w:rFonts w:ascii="宋体" w:hAnsi="宋体" w:eastAsia="宋体" w:cs="宋体"/>
                <w:color w:val="auto"/>
                <w:kern w:val="0"/>
                <w:szCs w:val="21"/>
                <w:lang w:bidi="ar"/>
              </w:rPr>
              <w:t>，</w:t>
            </w:r>
            <w:r>
              <w:rPr>
                <w:rFonts w:hint="eastAsia" w:ascii="宋体" w:hAnsi="宋体" w:eastAsia="宋体" w:cs="宋体"/>
                <w:color w:val="auto"/>
                <w:kern w:val="0"/>
                <w:szCs w:val="21"/>
                <w:lang w:bidi="ar"/>
              </w:rPr>
              <w:t>开展全面的课堂观察和持续的模拟教学训练</w:t>
            </w:r>
            <w:r>
              <w:rPr>
                <w:rFonts w:ascii="宋体" w:hAnsi="宋体" w:eastAsia="宋体" w:cs="宋体"/>
                <w:color w:val="auto"/>
                <w:kern w:val="0"/>
                <w:szCs w:val="21"/>
                <w:lang w:bidi="ar"/>
              </w:rPr>
              <w:t>。</w:t>
            </w:r>
            <w:r>
              <w:rPr>
                <w:rFonts w:hint="eastAsia" w:ascii="宋体" w:hAnsi="宋体" w:eastAsia="宋体" w:cs="宋体"/>
                <w:color w:val="auto"/>
                <w:kern w:val="0"/>
                <w:szCs w:val="21"/>
                <w:lang w:bidi="ar"/>
              </w:rPr>
              <w:t>实行组内互评与教师评价相结合的方式。</w:t>
            </w:r>
            <w:r>
              <w:rPr>
                <w:rFonts w:ascii="宋体" w:hAnsi="宋体" w:eastAsia="宋体" w:cs="宋体"/>
                <w:color w:val="auto"/>
                <w:kern w:val="0"/>
                <w:szCs w:val="21"/>
                <w:lang w:bidi="ar"/>
              </w:rPr>
              <w:t>4个项目成绩取平均分作为课内实践分。</w:t>
            </w:r>
          </w:p>
        </w:tc>
        <w:tc>
          <w:tcPr>
            <w:tcW w:w="0" w:type="auto"/>
            <w:vAlign w:val="center"/>
          </w:tcPr>
          <w:p w14:paraId="26A6EA3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0%</w:t>
            </w:r>
          </w:p>
        </w:tc>
      </w:tr>
      <w:tr w14:paraId="5110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467DF25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6774" w:type="dxa"/>
            <w:vAlign w:val="center"/>
          </w:tcPr>
          <w:p w14:paraId="68C65110">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利用教育实习的机会，完成一份课堂观察报告；选择一个小学数学教学内容，提交一份小学数学模拟教学视频</w:t>
            </w:r>
            <w:r>
              <w:rPr>
                <w:rFonts w:ascii="Times New Roman" w:hAnsi="Times New Roman" w:eastAsia="宋体" w:cs="Times New Roman"/>
                <w:color w:val="auto"/>
                <w:szCs w:val="21"/>
              </w:rPr>
              <w:t>。</w:t>
            </w:r>
          </w:p>
        </w:tc>
        <w:tc>
          <w:tcPr>
            <w:tcW w:w="0" w:type="auto"/>
            <w:vAlign w:val="center"/>
          </w:tcPr>
          <w:p w14:paraId="1B20B6C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67D8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16" w:type="dxa"/>
            <w:vAlign w:val="center"/>
          </w:tcPr>
          <w:p w14:paraId="7CAE3E3B">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6774" w:type="dxa"/>
            <w:vAlign w:val="center"/>
          </w:tcPr>
          <w:p w14:paraId="43965E3C">
            <w:pPr>
              <w:jc w:val="left"/>
              <w:rPr>
                <w:rFonts w:ascii="Times New Roman" w:hAnsi="Times New Roman" w:eastAsia="宋体" w:cs="Times New Roman"/>
                <w:color w:val="auto"/>
                <w:szCs w:val="21"/>
              </w:rPr>
            </w:pPr>
          </w:p>
        </w:tc>
        <w:tc>
          <w:tcPr>
            <w:tcW w:w="0" w:type="auto"/>
            <w:vAlign w:val="center"/>
          </w:tcPr>
          <w:p w14:paraId="7AAA06E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7B465371">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53FC20AB">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22F04174">
      <w:pPr>
        <w:spacing w:before="156" w:beforeLines="50" w:line="360" w:lineRule="auto"/>
        <w:ind w:firstLine="420" w:firstLineChars="200"/>
        <w:jc w:val="left"/>
        <w:rPr>
          <w:rFonts w:hint="eastAsia" w:ascii="Times New Roman" w:hAnsi="Times New Roman" w:eastAsia="宋体" w:cs="Times New Roman"/>
          <w:b/>
          <w:color w:val="auto"/>
          <w:sz w:val="24"/>
        </w:rPr>
      </w:pPr>
      <w:r>
        <w:rPr>
          <w:rFonts w:ascii="宋体" w:hAnsi="宋体" w:eastAsia="宋体" w:cs="Times New Roman"/>
          <w:color w:val="auto"/>
          <w:szCs w:val="21"/>
        </w:rPr>
        <w:object>
          <v:shape id="_x0000_i1051"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51" DrawAspect="Content" ObjectID="_1468075750" r:id="rId37">
            <o:LockedField>false</o:LockedField>
          </o:OLEObject>
        </w:object>
      </w:r>
      <w:r>
        <w:rPr>
          <w:rFonts w:hint="eastAsia" w:ascii="Times New Roman" w:hAnsi="Times New Roman" w:eastAsia="宋体" w:cs="Times New Roman"/>
          <w:b/>
          <w:color w:val="auto"/>
          <w:sz w:val="24"/>
        </w:rPr>
        <w:t>五、课内实践</w:t>
      </w:r>
    </w:p>
    <w:p w14:paraId="760BD2D5">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本课程在理论教学的基础上，安排了4个课内实践项目（共</w:t>
      </w:r>
      <w:r>
        <w:rPr>
          <w:rFonts w:ascii="宋体" w:hAnsi="宋体" w:eastAsia="宋体"/>
          <w:color w:val="auto"/>
          <w:szCs w:val="21"/>
        </w:rPr>
        <w:t>16</w:t>
      </w:r>
      <w:r>
        <w:rPr>
          <w:rFonts w:hint="eastAsia" w:ascii="宋体" w:hAnsi="宋体" w:eastAsia="宋体"/>
          <w:color w:val="auto"/>
          <w:szCs w:val="21"/>
        </w:rPr>
        <w:t>学时），体现了理论与实践的结合，强化对学生的课程思政。</w:t>
      </w:r>
    </w:p>
    <w:p w14:paraId="0369C4EC">
      <w:pPr>
        <w:spacing w:after="156" w:afterLines="50" w:line="360" w:lineRule="auto"/>
        <w:ind w:firstLine="420" w:firstLineChars="200"/>
        <w:rPr>
          <w:rFonts w:hint="eastAsia" w:ascii="宋体" w:hAnsi="宋体" w:eastAsia="宋体"/>
          <w:color w:val="auto"/>
          <w:szCs w:val="21"/>
        </w:rPr>
      </w:pPr>
    </w:p>
    <w:p w14:paraId="4C64BEC5">
      <w:pPr>
        <w:spacing w:after="156" w:afterLines="50" w:line="360" w:lineRule="auto"/>
        <w:ind w:firstLine="420" w:firstLineChars="200"/>
        <w:rPr>
          <w:rFonts w:hint="eastAsia" w:ascii="宋体" w:hAnsi="宋体" w:eastAsia="宋体"/>
          <w:color w:val="auto"/>
          <w:szCs w:val="21"/>
        </w:rPr>
      </w:pPr>
    </w:p>
    <w:tbl>
      <w:tblPr>
        <w:tblStyle w:val="3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3475"/>
        <w:gridCol w:w="1200"/>
        <w:gridCol w:w="2520"/>
      </w:tblGrid>
      <w:tr w14:paraId="250B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324" w:type="dxa"/>
            <w:vAlign w:val="center"/>
          </w:tcPr>
          <w:p w14:paraId="3C0A4D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3475" w:type="dxa"/>
            <w:vAlign w:val="center"/>
          </w:tcPr>
          <w:p w14:paraId="725BDF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1200" w:type="dxa"/>
            <w:vAlign w:val="center"/>
          </w:tcPr>
          <w:p w14:paraId="49A874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2520" w:type="dxa"/>
            <w:vAlign w:val="center"/>
          </w:tcPr>
          <w:p w14:paraId="5E84BB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w:t>思政目标</w:t>
            </w:r>
          </w:p>
        </w:tc>
      </w:tr>
      <w:tr w14:paraId="70E6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1324" w:type="dxa"/>
            <w:vAlign w:val="center"/>
          </w:tcPr>
          <w:p w14:paraId="449F75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设计课堂</w:t>
            </w:r>
            <w:r>
              <w:rPr>
                <w:rFonts w:ascii="宋体" w:hAnsi="宋体" w:eastAsia="宋体" w:cs="Times New Roman"/>
                <w:color w:val="auto"/>
                <w:szCs w:val="21"/>
              </w:rPr>
              <w:t>观察记录表</w:t>
            </w:r>
          </w:p>
        </w:tc>
        <w:tc>
          <w:tcPr>
            <w:tcW w:w="3475" w:type="dxa"/>
            <w:vAlign w:val="center"/>
          </w:tcPr>
          <w:p w14:paraId="345FB71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确定3</w:t>
            </w:r>
            <w:r>
              <w:rPr>
                <w:rFonts w:ascii="宋体" w:hAnsi="宋体" w:eastAsia="宋体" w:cs="Times New Roman"/>
                <w:color w:val="auto"/>
                <w:szCs w:val="21"/>
              </w:rPr>
              <w:t>-4</w:t>
            </w:r>
            <w:r>
              <w:rPr>
                <w:rFonts w:hint="eastAsia" w:ascii="宋体" w:hAnsi="宋体" w:eastAsia="宋体" w:cs="Times New Roman"/>
                <w:color w:val="auto"/>
                <w:szCs w:val="21"/>
              </w:rPr>
              <w:t>个</w:t>
            </w:r>
            <w:r>
              <w:rPr>
                <w:rFonts w:ascii="宋体" w:hAnsi="宋体" w:eastAsia="宋体" w:cs="Times New Roman"/>
                <w:color w:val="auto"/>
                <w:szCs w:val="21"/>
              </w:rPr>
              <w:t>课堂观察主题，以小组为单位，设计课堂观察记录表。</w:t>
            </w:r>
          </w:p>
        </w:tc>
        <w:tc>
          <w:tcPr>
            <w:tcW w:w="1200" w:type="dxa"/>
            <w:vAlign w:val="center"/>
          </w:tcPr>
          <w:p w14:paraId="56FEA7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研讨</w:t>
            </w:r>
          </w:p>
          <w:p w14:paraId="02714B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设计</w:t>
            </w:r>
          </w:p>
        </w:tc>
        <w:tc>
          <w:tcPr>
            <w:tcW w:w="2520" w:type="dxa"/>
            <w:vAlign w:val="center"/>
          </w:tcPr>
          <w:p w14:paraId="4F5E54C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体会数学的严谨性，养成严谨治学的态度，争做“四有”好老师。</w:t>
            </w:r>
          </w:p>
        </w:tc>
      </w:tr>
      <w:tr w14:paraId="574C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24" w:type="dxa"/>
            <w:vAlign w:val="center"/>
          </w:tcPr>
          <w:p w14:paraId="172E5D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课堂观察</w:t>
            </w:r>
          </w:p>
          <w:p w14:paraId="602E49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t>实施</w:t>
            </w:r>
          </w:p>
        </w:tc>
        <w:tc>
          <w:tcPr>
            <w:tcW w:w="3475" w:type="dxa"/>
            <w:vAlign w:val="center"/>
          </w:tcPr>
          <w:p w14:paraId="6ABF7BA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在</w:t>
            </w:r>
            <w:r>
              <w:rPr>
                <w:rFonts w:ascii="宋体" w:hAnsi="宋体" w:eastAsia="宋体" w:cs="Times New Roman"/>
                <w:color w:val="auto"/>
                <w:szCs w:val="21"/>
              </w:rPr>
              <w:t>充分准备</w:t>
            </w:r>
            <w:r>
              <w:rPr>
                <w:rFonts w:hint="eastAsia" w:ascii="宋体" w:hAnsi="宋体" w:eastAsia="宋体" w:cs="Times New Roman"/>
                <w:color w:val="auto"/>
                <w:szCs w:val="21"/>
              </w:rPr>
              <w:t>的</w:t>
            </w:r>
            <w:r>
              <w:rPr>
                <w:rFonts w:ascii="宋体" w:hAnsi="宋体" w:eastAsia="宋体" w:cs="Times New Roman"/>
                <w:color w:val="auto"/>
                <w:szCs w:val="21"/>
              </w:rPr>
              <w:t>基础上，</w:t>
            </w:r>
            <w:r>
              <w:rPr>
                <w:rFonts w:hint="eastAsia" w:ascii="宋体" w:hAnsi="宋体" w:eastAsia="宋体" w:cs="Times New Roman"/>
                <w:color w:val="auto"/>
                <w:szCs w:val="21"/>
              </w:rPr>
              <w:t>深入小学</w:t>
            </w:r>
            <w:r>
              <w:rPr>
                <w:rFonts w:ascii="宋体" w:hAnsi="宋体" w:eastAsia="宋体" w:cs="Times New Roman"/>
                <w:color w:val="auto"/>
                <w:szCs w:val="21"/>
              </w:rPr>
              <w:t>课堂</w:t>
            </w:r>
            <w:r>
              <w:rPr>
                <w:rFonts w:hint="eastAsia" w:ascii="宋体" w:hAnsi="宋体" w:eastAsia="宋体" w:cs="Times New Roman"/>
                <w:color w:val="auto"/>
                <w:szCs w:val="21"/>
              </w:rPr>
              <w:t>进行</w:t>
            </w:r>
            <w:r>
              <w:rPr>
                <w:rFonts w:ascii="宋体" w:hAnsi="宋体" w:eastAsia="宋体" w:cs="Times New Roman"/>
                <w:color w:val="auto"/>
                <w:szCs w:val="21"/>
              </w:rPr>
              <w:t>课堂观察</w:t>
            </w:r>
            <w:r>
              <w:rPr>
                <w:rFonts w:hint="eastAsia" w:ascii="宋体" w:hAnsi="宋体" w:eastAsia="宋体" w:cs="Times New Roman"/>
                <w:color w:val="auto"/>
                <w:szCs w:val="21"/>
              </w:rPr>
              <w:t>，做好</w:t>
            </w:r>
            <w:r>
              <w:rPr>
                <w:rFonts w:ascii="宋体" w:hAnsi="宋体" w:eastAsia="宋体" w:cs="Times New Roman"/>
                <w:color w:val="auto"/>
                <w:szCs w:val="21"/>
              </w:rPr>
              <w:t>观察记录，并提交</w:t>
            </w:r>
            <w:r>
              <w:rPr>
                <w:rFonts w:hint="eastAsia" w:ascii="宋体" w:hAnsi="宋体" w:eastAsia="宋体" w:cs="Times New Roman"/>
                <w:color w:val="auto"/>
                <w:szCs w:val="21"/>
              </w:rPr>
              <w:t>3-4个</w:t>
            </w:r>
            <w:r>
              <w:rPr>
                <w:rFonts w:ascii="宋体" w:hAnsi="宋体" w:eastAsia="宋体" w:cs="Times New Roman"/>
                <w:color w:val="auto"/>
                <w:szCs w:val="21"/>
              </w:rPr>
              <w:t>相应的课堂观察报告。</w:t>
            </w:r>
          </w:p>
        </w:tc>
        <w:tc>
          <w:tcPr>
            <w:tcW w:w="1200" w:type="dxa"/>
            <w:vAlign w:val="center"/>
          </w:tcPr>
          <w:p w14:paraId="4EF847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研讨</w:t>
            </w:r>
          </w:p>
          <w:p w14:paraId="25E5A1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观察</w:t>
            </w:r>
          </w:p>
        </w:tc>
        <w:tc>
          <w:tcPr>
            <w:tcW w:w="2520" w:type="dxa"/>
            <w:vAlign w:val="center"/>
          </w:tcPr>
          <w:p w14:paraId="7580551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掌握科学、严谨的学习方法</w:t>
            </w:r>
            <w:r>
              <w:rPr>
                <w:rFonts w:hint="eastAsia" w:ascii="宋体" w:hAnsi="宋体" w:eastAsia="宋体" w:cs="Times New Roman"/>
                <w:color w:val="auto"/>
                <w:szCs w:val="21"/>
              </w:rPr>
              <w:t>,</w:t>
            </w:r>
            <w:r>
              <w:rPr>
                <w:rFonts w:ascii="宋体" w:hAnsi="宋体" w:eastAsia="宋体" w:cs="Times New Roman"/>
                <w:color w:val="auto"/>
                <w:szCs w:val="21"/>
              </w:rPr>
              <w:t>养成学习他人先进理念和教学经验的意识。</w:t>
            </w:r>
          </w:p>
        </w:tc>
      </w:tr>
      <w:tr w14:paraId="30F5E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324" w:type="dxa"/>
            <w:vAlign w:val="center"/>
          </w:tcPr>
          <w:p w14:paraId="0F20E7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课堂观察</w:t>
            </w:r>
          </w:p>
          <w:p w14:paraId="3F627E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t>交流</w:t>
            </w:r>
          </w:p>
        </w:tc>
        <w:tc>
          <w:tcPr>
            <w:tcW w:w="3475" w:type="dxa"/>
            <w:vAlign w:val="center"/>
          </w:tcPr>
          <w:p w14:paraId="4092D32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围绕课堂</w:t>
            </w:r>
            <w:r>
              <w:rPr>
                <w:rFonts w:ascii="宋体" w:hAnsi="宋体" w:eastAsia="宋体" w:cs="Times New Roman"/>
                <w:color w:val="auto"/>
                <w:szCs w:val="21"/>
              </w:rPr>
              <w:t>观察的实际情况进行研讨、交流，分享观察体会，</w:t>
            </w:r>
            <w:r>
              <w:rPr>
                <w:rFonts w:hint="eastAsia" w:ascii="宋体" w:hAnsi="宋体" w:eastAsia="宋体" w:cs="Times New Roman"/>
                <w:color w:val="auto"/>
                <w:szCs w:val="21"/>
              </w:rPr>
              <w:t>探讨课堂</w:t>
            </w:r>
            <w:r>
              <w:rPr>
                <w:rFonts w:ascii="宋体" w:hAnsi="宋体" w:eastAsia="宋体" w:cs="Times New Roman"/>
                <w:color w:val="auto"/>
                <w:szCs w:val="21"/>
              </w:rPr>
              <w:t>教学经验</w:t>
            </w:r>
            <w:r>
              <w:rPr>
                <w:rFonts w:hint="eastAsia" w:ascii="宋体" w:hAnsi="宋体" w:eastAsia="宋体" w:cs="Times New Roman"/>
                <w:color w:val="auto"/>
                <w:szCs w:val="21"/>
              </w:rPr>
              <w:t>。</w:t>
            </w:r>
          </w:p>
        </w:tc>
        <w:tc>
          <w:tcPr>
            <w:tcW w:w="1200" w:type="dxa"/>
            <w:vAlign w:val="center"/>
          </w:tcPr>
          <w:p w14:paraId="5BBBD1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研讨</w:t>
            </w:r>
          </w:p>
          <w:p w14:paraId="4F6663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交流</w:t>
            </w:r>
          </w:p>
        </w:tc>
        <w:tc>
          <w:tcPr>
            <w:tcW w:w="2520" w:type="dxa"/>
            <w:vAlign w:val="center"/>
          </w:tcPr>
          <w:p w14:paraId="25F7DD6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增强团队合作意识与沟通表达能力</w:t>
            </w:r>
            <w:r>
              <w:rPr>
                <w:rFonts w:hint="eastAsia" w:ascii="宋体" w:hAnsi="宋体" w:eastAsia="宋体" w:cs="Times New Roman"/>
                <w:color w:val="auto"/>
                <w:szCs w:val="21"/>
              </w:rPr>
              <w:t>,</w:t>
            </w:r>
            <w:r>
              <w:rPr>
                <w:rFonts w:ascii="宋体" w:hAnsi="宋体" w:eastAsia="宋体" w:cs="Times New Roman"/>
                <w:color w:val="auto"/>
                <w:szCs w:val="21"/>
              </w:rPr>
              <w:t>养成虚心学习和不断进取的意识。</w:t>
            </w:r>
          </w:p>
        </w:tc>
      </w:tr>
      <w:tr w14:paraId="405B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324" w:type="dxa"/>
            <w:vAlign w:val="center"/>
          </w:tcPr>
          <w:p w14:paraId="345407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模拟教学</w:t>
            </w:r>
          </w:p>
          <w:p w14:paraId="65E23F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训练</w:t>
            </w:r>
          </w:p>
        </w:tc>
        <w:tc>
          <w:tcPr>
            <w:tcW w:w="3475" w:type="dxa"/>
            <w:vAlign w:val="center"/>
          </w:tcPr>
          <w:p w14:paraId="33A79B3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选择</w:t>
            </w:r>
            <w:r>
              <w:rPr>
                <w:rFonts w:ascii="宋体" w:hAnsi="宋体" w:eastAsia="宋体" w:cs="Times New Roman"/>
                <w:color w:val="auto"/>
                <w:szCs w:val="21"/>
              </w:rPr>
              <w:t>3-5</w:t>
            </w:r>
            <w:r>
              <w:rPr>
                <w:rFonts w:hint="eastAsia" w:ascii="宋体" w:hAnsi="宋体" w:eastAsia="宋体" w:cs="Times New Roman"/>
                <w:color w:val="auto"/>
                <w:szCs w:val="21"/>
              </w:rPr>
              <w:t>个</w:t>
            </w:r>
            <w:r>
              <w:rPr>
                <w:rFonts w:ascii="宋体" w:hAnsi="宋体" w:eastAsia="宋体" w:cs="Times New Roman"/>
                <w:color w:val="auto"/>
                <w:szCs w:val="21"/>
              </w:rPr>
              <w:t>小学教学内容</w:t>
            </w:r>
            <w:r>
              <w:rPr>
                <w:rFonts w:hint="eastAsia" w:ascii="宋体" w:hAnsi="宋体" w:eastAsia="宋体" w:cs="Times New Roman"/>
                <w:color w:val="auto"/>
                <w:szCs w:val="21"/>
              </w:rPr>
              <w:t>，</w:t>
            </w:r>
            <w:r>
              <w:rPr>
                <w:rFonts w:ascii="宋体" w:hAnsi="宋体" w:eastAsia="宋体" w:cs="Times New Roman"/>
                <w:color w:val="auto"/>
                <w:szCs w:val="21"/>
              </w:rPr>
              <w:t>先</w:t>
            </w:r>
            <w:r>
              <w:rPr>
                <w:rFonts w:hint="eastAsia" w:ascii="宋体" w:hAnsi="宋体" w:eastAsia="宋体" w:cs="Times New Roman"/>
                <w:color w:val="auto"/>
                <w:szCs w:val="21"/>
              </w:rPr>
              <w:t>进行教学设计，然后</w:t>
            </w:r>
            <w:r>
              <w:rPr>
                <w:rFonts w:ascii="宋体" w:hAnsi="宋体" w:eastAsia="宋体" w:cs="Times New Roman"/>
                <w:color w:val="auto"/>
                <w:szCs w:val="21"/>
              </w:rPr>
              <w:t>模拟教学</w:t>
            </w:r>
            <w:r>
              <w:rPr>
                <w:rFonts w:hint="eastAsia" w:ascii="宋体" w:hAnsi="宋体" w:eastAsia="宋体" w:cs="Times New Roman"/>
                <w:color w:val="auto"/>
                <w:szCs w:val="21"/>
              </w:rPr>
              <w:t>。</w:t>
            </w:r>
          </w:p>
        </w:tc>
        <w:tc>
          <w:tcPr>
            <w:tcW w:w="1200" w:type="dxa"/>
            <w:vAlign w:val="center"/>
          </w:tcPr>
          <w:p w14:paraId="3FFAD2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设计</w:t>
            </w:r>
          </w:p>
          <w:p w14:paraId="145B9E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训练</w:t>
            </w:r>
          </w:p>
        </w:tc>
        <w:tc>
          <w:tcPr>
            <w:tcW w:w="2520" w:type="dxa"/>
            <w:vAlign w:val="center"/>
          </w:tcPr>
          <w:p w14:paraId="19E6A53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增强团队合作意识</w:t>
            </w:r>
            <w:r>
              <w:rPr>
                <w:rFonts w:hint="eastAsia" w:ascii="宋体" w:hAnsi="宋体" w:eastAsia="宋体" w:cs="Times New Roman"/>
                <w:color w:val="auto"/>
                <w:szCs w:val="21"/>
              </w:rPr>
              <w:t>,</w:t>
            </w:r>
            <w:r>
              <w:rPr>
                <w:rFonts w:ascii="宋体" w:hAnsi="宋体" w:eastAsia="宋体" w:cs="Times New Roman"/>
                <w:color w:val="auto"/>
                <w:szCs w:val="21"/>
              </w:rPr>
              <w:t>养成坚持不懈的意志品质，进一步巩固专业思想</w:t>
            </w:r>
            <w:r>
              <w:rPr>
                <w:rFonts w:hint="eastAsia" w:ascii="宋体" w:hAnsi="宋体" w:eastAsia="宋体" w:cs="Times New Roman"/>
                <w:color w:val="auto"/>
                <w:szCs w:val="21"/>
              </w:rPr>
              <w:t>,增强专业自信心。</w:t>
            </w:r>
          </w:p>
        </w:tc>
      </w:tr>
      <w:tr w14:paraId="7875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324" w:type="dxa"/>
            <w:vAlign w:val="center"/>
          </w:tcPr>
          <w:p w14:paraId="59E0BB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color w:val="auto"/>
                <w:szCs w:val="21"/>
              </w:rPr>
            </w:pPr>
            <w:r>
              <w:rPr>
                <w:rFonts w:hint="eastAsia" w:ascii="宋体" w:hAnsi="宋体" w:eastAsia="宋体" w:cs="Times New Roman"/>
                <w:color w:val="auto"/>
                <w:szCs w:val="21"/>
              </w:rPr>
              <w:t>模拟</w:t>
            </w:r>
            <w:r>
              <w:rPr>
                <w:rFonts w:ascii="宋体" w:hAnsi="宋体" w:eastAsia="宋体" w:cs="Times New Roman"/>
                <w:color w:val="auto"/>
                <w:szCs w:val="21"/>
              </w:rPr>
              <w:t>教学</w:t>
            </w:r>
          </w:p>
          <w:p w14:paraId="221576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t>交流</w:t>
            </w:r>
          </w:p>
        </w:tc>
        <w:tc>
          <w:tcPr>
            <w:tcW w:w="3475" w:type="dxa"/>
            <w:vAlign w:val="center"/>
          </w:tcPr>
          <w:p w14:paraId="2C719F7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围绕自己</w:t>
            </w:r>
            <w:r>
              <w:rPr>
                <w:rFonts w:ascii="宋体" w:hAnsi="宋体" w:eastAsia="宋体" w:cs="Times New Roman"/>
                <w:color w:val="auto"/>
                <w:szCs w:val="21"/>
              </w:rPr>
              <w:t>和其他同学的模拟教学进行</w:t>
            </w:r>
            <w:r>
              <w:rPr>
                <w:rFonts w:hint="eastAsia" w:ascii="宋体" w:hAnsi="宋体" w:eastAsia="宋体" w:cs="Times New Roman"/>
                <w:color w:val="auto"/>
                <w:szCs w:val="21"/>
              </w:rPr>
              <w:t>研讨</w:t>
            </w:r>
            <w:r>
              <w:rPr>
                <w:rFonts w:ascii="宋体" w:hAnsi="宋体" w:eastAsia="宋体" w:cs="Times New Roman"/>
                <w:color w:val="auto"/>
                <w:szCs w:val="21"/>
              </w:rPr>
              <w:t>、交流，</w:t>
            </w:r>
            <w:r>
              <w:rPr>
                <w:rFonts w:hint="eastAsia" w:ascii="宋体" w:hAnsi="宋体" w:eastAsia="宋体" w:cs="Times New Roman"/>
                <w:color w:val="auto"/>
                <w:szCs w:val="21"/>
              </w:rPr>
              <w:t>从而</w:t>
            </w:r>
            <w:r>
              <w:rPr>
                <w:rFonts w:ascii="宋体" w:hAnsi="宋体" w:eastAsia="宋体" w:cs="Times New Roman"/>
                <w:color w:val="auto"/>
                <w:szCs w:val="21"/>
              </w:rPr>
              <w:t>进一步</w:t>
            </w:r>
            <w:r>
              <w:rPr>
                <w:rFonts w:hint="eastAsia" w:ascii="宋体" w:hAnsi="宋体" w:eastAsia="宋体" w:cs="Times New Roman"/>
                <w:color w:val="auto"/>
                <w:szCs w:val="21"/>
              </w:rPr>
              <w:t>提高</w:t>
            </w:r>
            <w:r>
              <w:rPr>
                <w:rFonts w:ascii="宋体" w:hAnsi="宋体" w:eastAsia="宋体" w:cs="Times New Roman"/>
                <w:color w:val="auto"/>
                <w:szCs w:val="21"/>
              </w:rPr>
              <w:t>教学能力</w:t>
            </w:r>
            <w:r>
              <w:rPr>
                <w:rFonts w:hint="eastAsia" w:ascii="宋体" w:hAnsi="宋体" w:eastAsia="宋体" w:cs="Times New Roman"/>
                <w:color w:val="auto"/>
                <w:szCs w:val="21"/>
              </w:rPr>
              <w:t>。</w:t>
            </w:r>
          </w:p>
        </w:tc>
        <w:tc>
          <w:tcPr>
            <w:tcW w:w="1200" w:type="dxa"/>
            <w:vAlign w:val="center"/>
          </w:tcPr>
          <w:p w14:paraId="1DFE8F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研讨</w:t>
            </w:r>
          </w:p>
          <w:p w14:paraId="49E4B4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交流</w:t>
            </w:r>
          </w:p>
        </w:tc>
        <w:tc>
          <w:tcPr>
            <w:tcW w:w="2520" w:type="dxa"/>
            <w:vAlign w:val="center"/>
          </w:tcPr>
          <w:p w14:paraId="65EE0CF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树立全面的评价理念</w:t>
            </w:r>
            <w:r>
              <w:rPr>
                <w:rFonts w:hint="eastAsia" w:ascii="宋体" w:hAnsi="宋体" w:eastAsia="宋体" w:cs="Times New Roman"/>
                <w:color w:val="auto"/>
                <w:szCs w:val="21"/>
              </w:rPr>
              <w:t>,</w:t>
            </w:r>
            <w:r>
              <w:rPr>
                <w:rFonts w:ascii="宋体" w:hAnsi="宋体" w:eastAsia="宋体" w:cs="Times New Roman"/>
                <w:color w:val="auto"/>
                <w:szCs w:val="21"/>
              </w:rPr>
              <w:t>增强团队合作的意识。</w:t>
            </w:r>
          </w:p>
        </w:tc>
      </w:tr>
    </w:tbl>
    <w:p w14:paraId="4F49041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六、有关说明</w:t>
      </w:r>
    </w:p>
    <w:p w14:paraId="3F2F59B9">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（一）持续改进</w:t>
      </w:r>
    </w:p>
    <w:p w14:paraId="1691E6DA">
      <w:pPr>
        <w:keepNext w:val="0"/>
        <w:keepLines w:val="0"/>
        <w:pageBreakBefore w:val="0"/>
        <w:widowControl w:val="0"/>
        <w:kinsoku/>
        <w:wordWrap/>
        <w:overflowPunct/>
        <w:topLinePunct w:val="0"/>
        <w:autoSpaceDE/>
        <w:autoSpaceDN/>
        <w:bidi w:val="0"/>
        <w:adjustRightInd/>
        <w:snapToGrid/>
        <w:spacing w:line="312" w:lineRule="auto"/>
        <w:ind w:firstLine="525" w:firstLineChars="25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本课程根据学生作业、课堂讨论、实践环节和学生、教学督导等的反馈，及时对教学中的不足之处进行改进，并在下一轮课程教学中整改完善，确保相应毕业要求指标点达成。</w:t>
      </w:r>
    </w:p>
    <w:p w14:paraId="7651E819">
      <w:pPr>
        <w:keepNext w:val="0"/>
        <w:keepLines w:val="0"/>
        <w:pageBreakBefore w:val="0"/>
        <w:widowControl w:val="0"/>
        <w:kinsoku/>
        <w:wordWrap/>
        <w:overflowPunct/>
        <w:topLinePunct w:val="0"/>
        <w:autoSpaceDE/>
        <w:autoSpaceDN/>
        <w:bidi w:val="0"/>
        <w:adjustRightInd/>
        <w:snapToGrid/>
        <w:spacing w:line="312" w:lineRule="auto"/>
        <w:ind w:firstLine="527" w:firstLineChars="250"/>
        <w:jc w:val="left"/>
        <w:textAlignment w:val="auto"/>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（二）建议教材</w:t>
      </w:r>
    </w:p>
    <w:p w14:paraId="3F41FC0C">
      <w:pPr>
        <w:keepNext w:val="0"/>
        <w:keepLines w:val="0"/>
        <w:pageBreakBefore w:val="0"/>
        <w:widowControl w:val="0"/>
        <w:kinsoku/>
        <w:wordWrap/>
        <w:overflowPunct/>
        <w:topLinePunct w:val="0"/>
        <w:autoSpaceDE/>
        <w:autoSpaceDN/>
        <w:bidi w:val="0"/>
        <w:adjustRightInd/>
        <w:snapToGrid/>
        <w:spacing w:line="312" w:lineRule="auto"/>
        <w:ind w:firstLine="525" w:firstLineChars="250"/>
        <w:jc w:val="left"/>
        <w:textAlignment w:val="auto"/>
        <w:rPr>
          <w:rFonts w:ascii="Times New Roman" w:hAnsi="Times New Roman" w:eastAsia="宋体" w:cs="Times New Roman"/>
          <w:bCs/>
          <w:color w:val="auto"/>
          <w:sz w:val="21"/>
          <w:szCs w:val="21"/>
        </w:rPr>
      </w:pPr>
      <w:r>
        <w:rPr>
          <w:rFonts w:hint="eastAsia" w:ascii="宋体" w:hAnsi="宋体" w:eastAsia="宋体" w:cs="Times New Roman"/>
          <w:color w:val="auto"/>
          <w:sz w:val="21"/>
          <w:szCs w:val="21"/>
        </w:rPr>
        <w:t>沈毅，崔允漷</w:t>
      </w:r>
      <w:r>
        <w:rPr>
          <w:rFonts w:ascii="宋体" w:hAnsi="宋体" w:eastAsia="宋体" w:cs="Times New Roman"/>
          <w:color w:val="auto"/>
          <w:sz w:val="21"/>
          <w:szCs w:val="21"/>
        </w:rPr>
        <w:t>.课堂观察：走向专业的听评课.上海：华东师范大学大学出版社.2008.</w:t>
      </w:r>
    </w:p>
    <w:p w14:paraId="616F20AA">
      <w:pPr>
        <w:keepNext w:val="0"/>
        <w:keepLines w:val="0"/>
        <w:pageBreakBefore w:val="0"/>
        <w:widowControl w:val="0"/>
        <w:kinsoku/>
        <w:wordWrap/>
        <w:overflowPunct/>
        <w:topLinePunct w:val="0"/>
        <w:autoSpaceDE/>
        <w:autoSpaceDN/>
        <w:bidi w:val="0"/>
        <w:adjustRightInd/>
        <w:snapToGrid/>
        <w:spacing w:line="312" w:lineRule="auto"/>
        <w:ind w:firstLine="527" w:firstLineChars="250"/>
        <w:jc w:val="left"/>
        <w:textAlignment w:val="auto"/>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（三）参考书目</w:t>
      </w:r>
    </w:p>
    <w:p w14:paraId="7F44FE75">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w:t>
      </w:r>
      <w:r>
        <w:rPr>
          <w:rFonts w:hint="eastAsia" w:ascii="宋体" w:hAnsi="宋体" w:eastAsia="宋体" w:cs="Times New Roman"/>
          <w:color w:val="auto"/>
          <w:sz w:val="21"/>
          <w:szCs w:val="21"/>
        </w:rPr>
        <w:t>教育部.义务教育</w:t>
      </w:r>
      <w:r>
        <w:rPr>
          <w:rFonts w:ascii="宋体" w:hAnsi="宋体" w:eastAsia="宋体" w:cs="Times New Roman"/>
          <w:color w:val="auto"/>
          <w:sz w:val="21"/>
          <w:szCs w:val="21"/>
        </w:rPr>
        <w:t>数学课程标准</w:t>
      </w:r>
      <w:r>
        <w:rPr>
          <w:rFonts w:hint="eastAsia" w:ascii="宋体" w:hAnsi="宋体" w:eastAsia="宋体" w:cs="Times New Roman"/>
          <w:color w:val="auto"/>
          <w:sz w:val="21"/>
          <w:szCs w:val="21"/>
        </w:rPr>
        <w:t>（20</w:t>
      </w:r>
      <w:r>
        <w:rPr>
          <w:rFonts w:ascii="宋体" w:hAnsi="宋体" w:eastAsia="宋体" w:cs="Times New Roman"/>
          <w:color w:val="auto"/>
          <w:sz w:val="21"/>
          <w:szCs w:val="21"/>
        </w:rPr>
        <w:t>22</w:t>
      </w:r>
      <w:r>
        <w:rPr>
          <w:rFonts w:hint="eastAsia" w:ascii="宋体" w:hAnsi="宋体" w:eastAsia="宋体" w:cs="Times New Roman"/>
          <w:color w:val="auto"/>
          <w:sz w:val="21"/>
          <w:szCs w:val="21"/>
        </w:rPr>
        <w:t>年</w:t>
      </w:r>
      <w:r>
        <w:rPr>
          <w:rFonts w:ascii="宋体" w:hAnsi="宋体" w:eastAsia="宋体" w:cs="Times New Roman"/>
          <w:color w:val="auto"/>
          <w:sz w:val="21"/>
          <w:szCs w:val="21"/>
        </w:rPr>
        <w:t>版）</w:t>
      </w:r>
      <w:r>
        <w:rPr>
          <w:rFonts w:hint="eastAsia" w:ascii="宋体" w:hAnsi="宋体" w:eastAsia="宋体" w:cs="Times New Roman"/>
          <w:color w:val="auto"/>
          <w:sz w:val="21"/>
          <w:szCs w:val="21"/>
        </w:rPr>
        <w:t>.北京：北京师范</w:t>
      </w:r>
      <w:r>
        <w:rPr>
          <w:rFonts w:ascii="宋体" w:hAnsi="宋体" w:eastAsia="宋体" w:cs="Times New Roman"/>
          <w:color w:val="auto"/>
          <w:sz w:val="21"/>
          <w:szCs w:val="21"/>
        </w:rPr>
        <w:t>大学</w:t>
      </w:r>
      <w:r>
        <w:rPr>
          <w:rFonts w:hint="eastAsia" w:ascii="宋体" w:hAnsi="宋体" w:eastAsia="宋体" w:cs="Times New Roman"/>
          <w:color w:val="auto"/>
          <w:sz w:val="21"/>
          <w:szCs w:val="21"/>
        </w:rPr>
        <w:t>大学出版社.20</w:t>
      </w:r>
      <w:r>
        <w:rPr>
          <w:rFonts w:ascii="宋体" w:hAnsi="宋体" w:eastAsia="宋体" w:cs="Times New Roman"/>
          <w:color w:val="auto"/>
          <w:sz w:val="21"/>
          <w:szCs w:val="21"/>
        </w:rPr>
        <w:t>22</w:t>
      </w:r>
      <w:r>
        <w:rPr>
          <w:rFonts w:hint="eastAsia" w:ascii="宋体" w:hAnsi="宋体" w:eastAsia="宋体" w:cs="Times New Roman"/>
          <w:color w:val="auto"/>
          <w:sz w:val="21"/>
          <w:szCs w:val="21"/>
        </w:rPr>
        <w:t>.</w:t>
      </w:r>
    </w:p>
    <w:p w14:paraId="14E2D381">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r>
        <w:rPr>
          <w:rFonts w:ascii="宋体" w:hAnsi="宋体" w:eastAsia="宋体" w:cs="Times New Roman"/>
          <w:color w:val="auto"/>
          <w:sz w:val="21"/>
          <w:szCs w:val="21"/>
        </w:rPr>
        <w:t>.</w:t>
      </w:r>
      <w:r>
        <w:rPr>
          <w:rFonts w:hint="eastAsia" w:ascii="Times New Roman" w:hAnsi="Times New Roman" w:eastAsia="宋体" w:cs="Times New Roman"/>
          <w:bCs/>
          <w:color w:val="auto"/>
          <w:sz w:val="21"/>
          <w:szCs w:val="21"/>
        </w:rPr>
        <w:t xml:space="preserve"> 陈瑶</w:t>
      </w:r>
      <w:r>
        <w:rPr>
          <w:rFonts w:ascii="Times New Roman" w:hAnsi="Times New Roman" w:eastAsia="宋体" w:cs="Times New Roman"/>
          <w:bCs/>
          <w:color w:val="auto"/>
          <w:sz w:val="21"/>
          <w:szCs w:val="21"/>
        </w:rPr>
        <w:t>.课堂观察指导.北京：教育科学出版社，</w:t>
      </w:r>
      <w:r>
        <w:rPr>
          <w:rFonts w:hint="eastAsia" w:ascii="Times New Roman" w:hAnsi="Times New Roman" w:eastAsia="宋体" w:cs="Times New Roman"/>
          <w:bCs/>
          <w:color w:val="auto"/>
          <w:sz w:val="21"/>
          <w:szCs w:val="21"/>
        </w:rPr>
        <w:t>2</w:t>
      </w:r>
      <w:r>
        <w:rPr>
          <w:rFonts w:ascii="Times New Roman" w:hAnsi="Times New Roman" w:eastAsia="宋体" w:cs="Times New Roman"/>
          <w:bCs/>
          <w:color w:val="auto"/>
          <w:sz w:val="21"/>
          <w:szCs w:val="21"/>
        </w:rPr>
        <w:t>003.</w:t>
      </w:r>
    </w:p>
    <w:p w14:paraId="5CD8BF39">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3.[加]F.迈克尔•康纳利，D.琼•克兰迪宁.教师成为课程研究者——经验叙事.刘良华，等译.杭州：浙江教育出版社，2004.</w:t>
      </w:r>
    </w:p>
    <w:p w14:paraId="022CD2DD">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4.[美]Renee Campoy.课堂问题分析与解决——成为反思型教师。赵清梅，等译.北京:中国轻工业出版社,2007.</w:t>
      </w:r>
    </w:p>
    <w:p w14:paraId="2EFDB100">
      <w:pPr>
        <w:keepNext w:val="0"/>
        <w:keepLines w:val="0"/>
        <w:pageBreakBefore w:val="0"/>
        <w:widowControl w:val="0"/>
        <w:kinsoku/>
        <w:overflowPunct/>
        <w:topLinePunct w:val="0"/>
        <w:autoSpaceDE/>
        <w:autoSpaceDN/>
        <w:bidi w:val="0"/>
        <w:adjustRightInd/>
        <w:snapToGrid/>
        <w:spacing w:line="360" w:lineRule="auto"/>
        <w:ind w:right="0" w:firstLine="0" w:firstLineChars="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执 笔 人：谢国忠</w:t>
      </w:r>
    </w:p>
    <w:p w14:paraId="557C13BB">
      <w:pPr>
        <w:keepNext w:val="0"/>
        <w:keepLines w:val="0"/>
        <w:pageBreakBefore w:val="0"/>
        <w:widowControl w:val="0"/>
        <w:kinsoku/>
        <w:wordWrap w:val="0"/>
        <w:overflowPunct/>
        <w:topLinePunct w:val="0"/>
        <w:autoSpaceDE/>
        <w:autoSpaceDN/>
        <w:bidi w:val="0"/>
        <w:adjustRightInd/>
        <w:snapToGrid/>
        <w:spacing w:line="360" w:lineRule="auto"/>
        <w:ind w:right="0" w:firstLine="0" w:firstLineChars="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审 定 人：王</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健</w:t>
      </w:r>
    </w:p>
    <w:p w14:paraId="140DD8C2">
      <w:pPr>
        <w:keepNext w:val="0"/>
        <w:keepLines w:val="0"/>
        <w:pageBreakBefore w:val="0"/>
        <w:widowControl w:val="0"/>
        <w:kinsoku/>
        <w:overflowPunct/>
        <w:topLinePunct w:val="0"/>
        <w:autoSpaceDE/>
        <w:autoSpaceDN/>
        <w:bidi w:val="0"/>
        <w:adjustRightInd/>
        <w:snapToGrid/>
        <w:spacing w:line="360" w:lineRule="auto"/>
        <w:ind w:right="0" w:firstLine="0" w:firstLineChars="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审 批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张志欣</w:t>
      </w:r>
    </w:p>
    <w:p w14:paraId="72414C90">
      <w:pPr>
        <w:keepNext w:val="0"/>
        <w:keepLines w:val="0"/>
        <w:pageBreakBefore w:val="0"/>
        <w:widowControl w:val="0"/>
        <w:kinsoku/>
        <w:overflowPunct/>
        <w:topLinePunct w:val="0"/>
        <w:autoSpaceDE/>
        <w:autoSpaceDN/>
        <w:bidi w:val="0"/>
        <w:adjustRightInd/>
        <w:snapToGrid/>
        <w:spacing w:line="360" w:lineRule="auto"/>
        <w:ind w:right="0" w:firstLine="0" w:firstLineChars="0"/>
        <w:jc w:val="righ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批准时间：2025年7月1日</w:t>
      </w:r>
    </w:p>
    <w:p w14:paraId="4E231218">
      <w:pPr>
        <w:rPr>
          <w:color w:val="auto"/>
        </w:rPr>
      </w:pPr>
    </w:p>
    <w:p w14:paraId="3279FE35">
      <w:pPr>
        <w:rPr>
          <w:color w:val="auto"/>
        </w:rPr>
      </w:pPr>
    </w:p>
    <w:p w14:paraId="0D1A08C8">
      <w:pPr>
        <w:widowControl/>
        <w:jc w:val="left"/>
        <w:rPr>
          <w:rFonts w:hint="eastAsia" w:ascii="宋体" w:hAnsi="宋体" w:eastAsia="宋体" w:cs="Times New Roman"/>
          <w:color w:val="auto"/>
          <w:kern w:val="0"/>
          <w:sz w:val="24"/>
          <w:szCs w:val="21"/>
        </w:rPr>
      </w:pPr>
      <w:r>
        <w:rPr>
          <w:rFonts w:ascii="宋体" w:hAnsi="宋体" w:eastAsia="宋体" w:cs="Times New Roman"/>
          <w:color w:val="auto"/>
          <w:kern w:val="0"/>
          <w:sz w:val="24"/>
          <w:szCs w:val="21"/>
        </w:rPr>
        <w:br w:type="page"/>
      </w:r>
    </w:p>
    <w:p w14:paraId="464AC6DB">
      <w:pPr>
        <w:spacing w:line="360" w:lineRule="auto"/>
        <w:jc w:val="center"/>
        <w:outlineLvl w:val="0"/>
        <w:rPr>
          <w:rFonts w:hint="eastAsia" w:ascii="Times New Roman" w:hAnsi="Times New Roman" w:eastAsia="宋体" w:cs="Times New Roman"/>
          <w:b/>
          <w:color w:val="auto"/>
          <w:sz w:val="44"/>
          <w:szCs w:val="44"/>
        </w:rPr>
      </w:pPr>
      <w:bookmarkStart w:id="342" w:name="_Toc2935"/>
      <w:bookmarkStart w:id="343" w:name="_Toc15677"/>
      <w:r>
        <w:rPr>
          <w:rFonts w:hint="eastAsia" w:ascii="Times New Roman" w:hAnsi="Times New Roman" w:eastAsia="宋体" w:cs="Times New Roman"/>
          <w:b/>
          <w:color w:val="auto"/>
          <w:sz w:val="44"/>
          <w:szCs w:val="44"/>
        </w:rPr>
        <w:t>《校本课程开发》课程教学大纲</w:t>
      </w:r>
      <w:bookmarkEnd w:id="342"/>
      <w:bookmarkEnd w:id="343"/>
    </w:p>
    <w:p w14:paraId="3DBB8A90">
      <w:pPr>
        <w:spacing w:line="360" w:lineRule="auto"/>
        <w:jc w:val="center"/>
        <w:rPr>
          <w:rFonts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rPr>
        <w:t>（Development of School-based Curriculum）</w:t>
      </w:r>
    </w:p>
    <w:p w14:paraId="5EBF8955">
      <w:pPr>
        <w:spacing w:line="360" w:lineRule="auto"/>
        <w:jc w:val="center"/>
        <w:rPr>
          <w:rFonts w:ascii="Times New Roman" w:hAnsi="Times New Roman" w:eastAsia="宋体" w:cs="Times New Roman"/>
          <w:bCs/>
          <w:color w:val="auto"/>
          <w:sz w:val="21"/>
          <w:szCs w:val="21"/>
        </w:rPr>
      </w:pPr>
    </w:p>
    <w:p w14:paraId="7504659B">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w:t>
      </w:r>
      <w:r>
        <w:rPr>
          <w:rFonts w:hint="eastAsia" w:ascii="Times New Roman" w:hAnsi="Times New Roman" w:eastAsia="宋体" w:cs="Times New Roman"/>
          <w:bCs/>
          <w:color w:val="auto"/>
          <w:sz w:val="24"/>
        </w:rPr>
        <w:t>校本课程开发</w:t>
      </w:r>
      <w:r>
        <w:rPr>
          <w:rFonts w:ascii="Times New Roman" w:hAnsi="Times New Roman" w:eastAsia="宋体" w:cs="Times New Roman"/>
          <w:bCs/>
          <w:color w:val="auto"/>
          <w:sz w:val="24"/>
        </w:rPr>
        <w:t xml:space="preserve"> </w:t>
      </w:r>
    </w:p>
    <w:p w14:paraId="44BAE272">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w:t>
      </w:r>
      <w:r>
        <w:rPr>
          <w:rFonts w:hint="eastAsia" w:ascii="Times New Roman" w:hAnsi="Times New Roman" w:eastAsia="宋体" w:cs="Times New Roman"/>
          <w:bCs/>
          <w:color w:val="auto"/>
          <w:sz w:val="24"/>
        </w:rPr>
        <w:t>2401022</w:t>
      </w:r>
    </w:p>
    <w:p w14:paraId="508E020F">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w:t>
      </w:r>
      <w:r>
        <w:rPr>
          <w:rFonts w:hint="eastAsia" w:ascii="Times New Roman" w:hAnsi="Times New Roman" w:eastAsia="宋体" w:cs="Times New Roman"/>
          <w:bCs/>
          <w:color w:val="auto"/>
          <w:sz w:val="24"/>
        </w:rPr>
        <w:t>2</w:t>
      </w:r>
    </w:p>
    <w:p w14:paraId="72F1E0B3">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w:t>
      </w:r>
      <w:r>
        <w:rPr>
          <w:rFonts w:hint="eastAsia" w:ascii="Times New Roman" w:hAnsi="Times New Roman" w:eastAsia="宋体" w:cs="Times New Roman"/>
          <w:bCs/>
          <w:color w:val="auto"/>
          <w:sz w:val="24"/>
        </w:rPr>
        <w:t>32</w:t>
      </w:r>
    </w:p>
    <w:p w14:paraId="44461868">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w:t>
      </w:r>
      <w:r>
        <w:rPr>
          <w:rFonts w:hint="eastAsia" w:ascii="Times New Roman" w:hAnsi="Times New Roman" w:eastAsia="宋体" w:cs="Times New Roman"/>
          <w:bCs/>
          <w:color w:val="auto"/>
          <w:sz w:val="24"/>
        </w:rPr>
        <w:t>教育原理、课程与教学论</w:t>
      </w:r>
    </w:p>
    <w:p w14:paraId="50231E7A">
      <w:pPr>
        <w:spacing w:line="360" w:lineRule="auto"/>
        <w:ind w:firstLine="482" w:firstLineChars="200"/>
        <w:jc w:val="left"/>
        <w:rPr>
          <w:rFonts w:ascii="Times New Roman" w:hAnsi="Times New Roman" w:eastAsia="宋体" w:cs="Times New Roman"/>
          <w:bCs/>
          <w:color w:val="auto"/>
          <w:sz w:val="24"/>
        </w:rPr>
      </w:pPr>
      <w:r>
        <w:rPr>
          <w:rFonts w:hint="eastAsia" w:ascii="Times New Roman" w:hAnsi="Times New Roman" w:eastAsia="宋体" w:cs="Times New Roman"/>
          <w:b/>
          <w:color w:val="auto"/>
          <w:sz w:val="24"/>
        </w:rPr>
        <w:t>适用专业：</w:t>
      </w:r>
      <w:r>
        <w:rPr>
          <w:rFonts w:hint="eastAsia" w:ascii="Times New Roman" w:hAnsi="Times New Roman" w:eastAsia="宋体" w:cs="Times New Roman"/>
          <w:bCs/>
          <w:color w:val="auto"/>
          <w:sz w:val="24"/>
        </w:rPr>
        <w:t>师范学院</w:t>
      </w:r>
    </w:p>
    <w:p w14:paraId="52C1950D">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4"/>
        </w:rPr>
      </w:pPr>
      <w:r>
        <w:rPr>
          <w:rFonts w:hint="eastAsia" w:ascii="Times New Roman" w:hAnsi="Times New Roman" w:eastAsia="宋体" w:cs="Times New Roman"/>
          <w:b/>
          <w:color w:val="auto"/>
          <w:sz w:val="24"/>
        </w:rPr>
        <w:t>一、课程简介</w:t>
      </w:r>
    </w:p>
    <w:p w14:paraId="6780010A">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是小学教育专业的专业基础选修课。通过本课程的学习使学生了解校本课程的基本理念，国内外校本课程开发的经验，掌握校本课程开发中的相关理论问题和具体实践操作的步骤和方法，明确校本课程资源开发的一般原理和具体做法，并从校本课程开发中对教师专业发展的要求来寻找自己的不足，从而为在教学实践中能有效地进行校本课程开发打下理论和实践基础。</w:t>
      </w:r>
    </w:p>
    <w:p w14:paraId="34B4DD5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二、课程目标</w:t>
      </w:r>
    </w:p>
    <w:p w14:paraId="199CEE83">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3476D422">
      <w:pPr>
        <w:spacing w:line="360" w:lineRule="auto"/>
        <w:ind w:firstLine="482"/>
        <w:jc w:val="left"/>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 </w:t>
      </w:r>
      <w:r>
        <w:rPr>
          <w:rFonts w:hint="eastAsia" w:ascii="Times New Roman" w:hAnsi="Times New Roman" w:eastAsia="宋体" w:cs="Times New Roman"/>
          <w:b/>
          <w:bCs/>
          <w:color w:val="auto"/>
          <w:szCs w:val="21"/>
        </w:rPr>
        <w:t>目标1.</w:t>
      </w:r>
      <w:r>
        <w:rPr>
          <w:rFonts w:hint="eastAsia" w:ascii="Times New Roman" w:hAnsi="Times New Roman" w:eastAsia="宋体" w:cs="Times New Roman"/>
          <w:color w:val="auto"/>
          <w:szCs w:val="21"/>
        </w:rPr>
        <w:t xml:space="preserve"> 掌握校本课程开发的理论基础知识，了解校本课程开发的国内外经验，增强本课程学习所需的知识基础。</w:t>
      </w:r>
    </w:p>
    <w:p w14:paraId="4DB4ED33">
      <w:pPr>
        <w:spacing w:line="360" w:lineRule="auto"/>
        <w:ind w:firstLine="482"/>
        <w:jc w:val="left"/>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 xml:space="preserve">目标2. </w:t>
      </w:r>
      <w:r>
        <w:rPr>
          <w:rFonts w:hint="eastAsia" w:ascii="Times New Roman" w:hAnsi="Times New Roman" w:eastAsia="宋体" w:cs="Times New Roman"/>
          <w:color w:val="auto"/>
          <w:szCs w:val="21"/>
        </w:rPr>
        <w:t>学生能够立足实践，领悟校本课程开发所应树立的崭新课程与教育教学理念，掌握科学的校本课程开发方法（研制、开发、实施、管理与评价等），培养和锻炼学生的实践能力和创新能力。</w:t>
      </w:r>
    </w:p>
    <w:p w14:paraId="30FC96FE">
      <w:pPr>
        <w:spacing w:line="360" w:lineRule="auto"/>
        <w:ind w:firstLine="482"/>
        <w:jc w:val="left"/>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目标3.</w:t>
      </w:r>
      <w:r>
        <w:rPr>
          <w:rFonts w:hint="eastAsia" w:ascii="Times New Roman" w:hAnsi="Times New Roman" w:eastAsia="宋体" w:cs="Times New Roman"/>
          <w:color w:val="auto"/>
          <w:szCs w:val="21"/>
        </w:rPr>
        <w:t xml:space="preserve"> 让学生亲身感受和体验校本课程开发对我国基础教育的影响，从而培养他们积极地学习态度和学习方法。同时进一步夯实他们的专业思想，是他们热爱小学教师这个职业，对小学教育事业产生深厚的情感，并愿意为教育事业奋斗终身。</w:t>
      </w:r>
    </w:p>
    <w:p w14:paraId="65396377">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目标4.</w:t>
      </w:r>
      <w:r>
        <w:rPr>
          <w:rFonts w:hint="eastAsia" w:ascii="Times New Roman" w:hAnsi="Times New Roman" w:eastAsia="宋体" w:cs="Times New Roman"/>
          <w:color w:val="auto"/>
          <w:szCs w:val="21"/>
        </w:rPr>
        <w:t xml:space="preserve"> 能明确校本课程管理和评价的一般原理和具体做法，能够在管理和评价中学会反思，运用批判的思维分析和解决问题。</w:t>
      </w:r>
    </w:p>
    <w:p w14:paraId="65A9BA39">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 xml:space="preserve">目标5. </w:t>
      </w:r>
      <w:r>
        <w:rPr>
          <w:rFonts w:hint="eastAsia" w:ascii="Times New Roman" w:hAnsi="Times New Roman" w:eastAsia="宋体" w:cs="Times New Roman"/>
          <w:color w:val="auto"/>
          <w:szCs w:val="21"/>
        </w:rPr>
        <w:t>明确校本课程开发对教师的意义和要求，并能从校本课程开发中对教师专业发展的要求来寻找自己的不足，从而为在教学实践中能有效地进行校本课程开发打下理论和实践基础。</w:t>
      </w:r>
    </w:p>
    <w:p w14:paraId="3B5A0F6C">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5799"/>
        <w:gridCol w:w="1191"/>
      </w:tblGrid>
      <w:tr w14:paraId="1710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vAlign w:val="center"/>
          </w:tcPr>
          <w:p w14:paraId="090E7F99">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5799" w:type="dxa"/>
            <w:vAlign w:val="center"/>
          </w:tcPr>
          <w:p w14:paraId="0C41D080">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53E86FA7">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6CCA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vAlign w:val="center"/>
          </w:tcPr>
          <w:p w14:paraId="647AC98D">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毕业要求3学科素养</w:t>
            </w:r>
          </w:p>
        </w:tc>
        <w:tc>
          <w:tcPr>
            <w:tcW w:w="5799" w:type="dxa"/>
            <w:vAlign w:val="center"/>
          </w:tcPr>
          <w:p w14:paraId="55930F32">
            <w:pPr>
              <w:spacing w:line="276" w:lineRule="auto"/>
              <w:jc w:val="left"/>
              <w:rPr>
                <w:rFonts w:hint="eastAsia" w:ascii="宋体" w:hAnsi="宋体" w:eastAsia="宋体" w:cs="Times New Roman"/>
                <w:b w:val="0"/>
                <w:bCs w:val="0"/>
                <w:color w:val="auto"/>
                <w:spacing w:val="2"/>
                <w:kern w:val="0"/>
                <w:szCs w:val="21"/>
                <w:lang w:eastAsia="zh"/>
              </w:rPr>
            </w:pPr>
            <w:r>
              <w:rPr>
                <w:rFonts w:hint="eastAsia" w:ascii="宋体" w:hAnsi="宋体" w:eastAsia="宋体" w:cs="Times New Roman"/>
                <w:b w:val="0"/>
                <w:bCs w:val="0"/>
                <w:color w:val="auto"/>
                <w:spacing w:val="2"/>
                <w:kern w:val="0"/>
                <w:szCs w:val="21"/>
              </w:rPr>
              <w:t>指标点</w:t>
            </w:r>
            <w:r>
              <w:rPr>
                <w:rFonts w:ascii="宋体" w:hAnsi="宋体" w:eastAsia="宋体" w:cs="Times New Roman"/>
                <w:b w:val="0"/>
                <w:bCs w:val="0"/>
                <w:color w:val="auto"/>
                <w:spacing w:val="2"/>
                <w:kern w:val="0"/>
                <w:szCs w:val="21"/>
              </w:rPr>
              <w:t>3-</w:t>
            </w:r>
            <w:r>
              <w:rPr>
                <w:rFonts w:hint="eastAsia" w:ascii="宋体" w:hAnsi="宋体" w:eastAsia="宋体" w:cs="Times New Roman"/>
                <w:b w:val="0"/>
                <w:bCs w:val="0"/>
                <w:color w:val="auto"/>
                <w:spacing w:val="2"/>
                <w:kern w:val="0"/>
                <w:szCs w:val="21"/>
                <w:lang w:eastAsia="zh"/>
              </w:rPr>
              <w:t>3</w:t>
            </w:r>
            <w:r>
              <w:rPr>
                <w:rFonts w:ascii="宋体" w:hAnsi="宋体" w:eastAsia="宋体" w:cs="Times New Roman"/>
                <w:b w:val="0"/>
                <w:bCs w:val="0"/>
                <w:color w:val="auto"/>
                <w:spacing w:val="2"/>
                <w:kern w:val="0"/>
                <w:szCs w:val="21"/>
              </w:rPr>
              <w:t>：</w:t>
            </w:r>
            <w:r>
              <w:rPr>
                <w:rFonts w:hint="eastAsia" w:ascii="宋体" w:hAnsi="宋体" w:eastAsia="宋体" w:cs="Times New Roman"/>
                <w:b w:val="0"/>
                <w:bCs w:val="0"/>
                <w:color w:val="auto"/>
                <w:spacing w:val="2"/>
                <w:kern w:val="0"/>
                <w:szCs w:val="21"/>
                <w:lang w:eastAsia="zh"/>
              </w:rPr>
              <w:t>【注重知识整合】了解所教学科与小学其他学科及与社会实践、小学生生活实践之间的联系，了解学科整合在小学教育中的价值，具有跨学科解决问题的意识和能力，能指导综合性学科教学活动。</w:t>
            </w:r>
          </w:p>
        </w:tc>
        <w:tc>
          <w:tcPr>
            <w:tcW w:w="1191" w:type="dxa"/>
            <w:vAlign w:val="center"/>
          </w:tcPr>
          <w:p w14:paraId="591A04AE">
            <w:pPr>
              <w:spacing w:line="276"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p>
          <w:p w14:paraId="05BADD5D">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w:t>
            </w:r>
          </w:p>
        </w:tc>
      </w:tr>
      <w:tr w14:paraId="03AA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vAlign w:val="center"/>
          </w:tcPr>
          <w:p w14:paraId="418004DF">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毕业要求4</w:t>
            </w:r>
          </w:p>
          <w:p w14:paraId="46154EA9">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教学能力</w:t>
            </w:r>
          </w:p>
        </w:tc>
        <w:tc>
          <w:tcPr>
            <w:tcW w:w="5799" w:type="dxa"/>
            <w:vAlign w:val="center"/>
          </w:tcPr>
          <w:p w14:paraId="3A777CCA">
            <w:pPr>
              <w:spacing w:line="276" w:lineRule="auto"/>
              <w:jc w:val="left"/>
              <w:rPr>
                <w:rFonts w:hint="eastAsia" w:ascii="宋体" w:hAnsi="宋体" w:eastAsia="宋体" w:cs="Times New Roman"/>
                <w:b w:val="0"/>
                <w:bCs w:val="0"/>
                <w:color w:val="auto"/>
                <w:spacing w:val="2"/>
                <w:kern w:val="0"/>
                <w:szCs w:val="21"/>
              </w:rPr>
            </w:pPr>
            <w:r>
              <w:rPr>
                <w:rFonts w:hint="eastAsia" w:ascii="宋体" w:hAnsi="宋体" w:eastAsia="宋体" w:cs="Times New Roman"/>
                <w:b w:val="0"/>
                <w:bCs w:val="0"/>
                <w:color w:val="auto"/>
                <w:spacing w:val="2"/>
                <w:kern w:val="0"/>
                <w:szCs w:val="21"/>
              </w:rPr>
              <w:t>指</w:t>
            </w:r>
            <w:r>
              <w:rPr>
                <w:rFonts w:ascii="宋体" w:hAnsi="宋体" w:eastAsia="宋体" w:cs="Times New Roman"/>
                <w:b w:val="0"/>
                <w:bCs w:val="0"/>
                <w:color w:val="auto"/>
                <w:spacing w:val="2"/>
                <w:kern w:val="0"/>
                <w:szCs w:val="21"/>
              </w:rPr>
              <w:t>标点</w:t>
            </w:r>
            <w:r>
              <w:rPr>
                <w:rFonts w:hint="eastAsia" w:ascii="宋体" w:hAnsi="宋体" w:eastAsia="宋体" w:cs="Times New Roman"/>
                <w:b w:val="0"/>
                <w:bCs w:val="0"/>
                <w:color w:val="auto"/>
                <w:spacing w:val="2"/>
                <w:kern w:val="0"/>
                <w:szCs w:val="21"/>
                <w:lang w:eastAsia="zh"/>
              </w:rPr>
              <w:t>4-1:【教育教学知识牢固】掌握教育教学基本理论知识，熟悉所教学科课程标准和教材、教学内容。掌握教师教有知识、学科教学知识和现代信息技术，具有主动适应信息化、人工智能等新技术变革积极有效开展教育教学的意识。</w:t>
            </w:r>
          </w:p>
        </w:tc>
        <w:tc>
          <w:tcPr>
            <w:tcW w:w="1191" w:type="dxa"/>
            <w:vAlign w:val="center"/>
          </w:tcPr>
          <w:p w14:paraId="6550D99E">
            <w:pPr>
              <w:spacing w:line="276"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p>
          <w:p w14:paraId="14FB3198">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
              </w:rPr>
              <w:t>1</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2、3</w:t>
            </w:r>
          </w:p>
        </w:tc>
      </w:tr>
    </w:tbl>
    <w:p w14:paraId="37DABA56">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5D2B3CF2">
      <w:pPr>
        <w:spacing w:line="360" w:lineRule="auto"/>
        <w:ind w:firstLine="420" w:firstLineChars="200"/>
        <w:jc w:val="left"/>
        <w:rPr>
          <w:rFonts w:hint="eastAsia" w:ascii="宋体" w:hAnsi="宋体" w:eastAsia="宋体" w:cs="Times New Roman"/>
          <w:color w:val="auto"/>
          <w:szCs w:val="21"/>
        </w:rPr>
      </w:pPr>
      <w:r>
        <w:rPr>
          <w:rFonts w:hint="eastAsia" w:ascii="宋体" w:hAnsi="宋体" w:eastAsia="宋体" w:cs="Times New Roman"/>
          <w:color w:val="auto"/>
          <w:szCs w:val="21"/>
        </w:rPr>
        <w:t>继承中华优秀教师文化、彰显时代教育要求、发扬工匠精神，充分挖掘地方资源优势并将其融入校本课程，传承并弘扬中华优秀传统文化，增强运用课程积极发挥课程育人作用的思想意识，努力成为新时代高素质专业化教师队伍中的一员，为国育才，为党育人。关心关注本土本地的课程改革的新要求、新进展，用笃行创新的躬耕态度做好教书育人工作，唤醒并不断增强课程开发及课程领导意识，通过实际行动积极践行新课改与新课标中的新任务新要求。</w:t>
      </w:r>
    </w:p>
    <w:p w14:paraId="5ECE0999">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三、教学内容与预期学习成效</w:t>
      </w:r>
    </w:p>
    <w:tbl>
      <w:tblPr>
        <w:tblStyle w:val="16"/>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2672"/>
        <w:gridCol w:w="1292"/>
        <w:gridCol w:w="2533"/>
        <w:gridCol w:w="1158"/>
        <w:gridCol w:w="438"/>
      </w:tblGrid>
      <w:tr w14:paraId="74F2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21530B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09F95D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2672" w:type="dxa"/>
            <w:vAlign w:val="center"/>
          </w:tcPr>
          <w:p w14:paraId="3E95BA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292" w:type="dxa"/>
            <w:vAlign w:val="center"/>
          </w:tcPr>
          <w:p w14:paraId="112258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6D9A2B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2533" w:type="dxa"/>
            <w:vAlign w:val="center"/>
          </w:tcPr>
          <w:p w14:paraId="4E93AD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158" w:type="dxa"/>
            <w:vAlign w:val="center"/>
          </w:tcPr>
          <w:p w14:paraId="127CFD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601DDE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199A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1069C2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导论：校本课程开发概述</w:t>
            </w:r>
          </w:p>
        </w:tc>
        <w:tc>
          <w:tcPr>
            <w:tcW w:w="2672" w:type="dxa"/>
            <w:vAlign w:val="center"/>
          </w:tcPr>
          <w:p w14:paraId="4444CDD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（1）校本课程开发的兴起</w:t>
            </w:r>
          </w:p>
          <w:p w14:paraId="1E98DE3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（2）校本课程开发的涵义</w:t>
            </w:r>
          </w:p>
          <w:p w14:paraId="699281A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（3）校本课程开发的意义</w:t>
            </w:r>
          </w:p>
          <w:p w14:paraId="3485E0E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（4）校本课程开发的现状</w:t>
            </w:r>
          </w:p>
        </w:tc>
        <w:tc>
          <w:tcPr>
            <w:tcW w:w="1292" w:type="dxa"/>
            <w:vAlign w:val="center"/>
          </w:tcPr>
          <w:p w14:paraId="0F11DE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2533" w:type="dxa"/>
            <w:vAlign w:val="center"/>
          </w:tcPr>
          <w:p w14:paraId="3BA2F2B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（1）理解校本课程开发的涵义。</w:t>
            </w:r>
          </w:p>
          <w:p w14:paraId="7546E3B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（2）了解校本课程开发的兴起、发展与现状。</w:t>
            </w:r>
          </w:p>
          <w:p w14:paraId="2145458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Cs/>
                <w:color w:val="auto"/>
                <w:szCs w:val="21"/>
              </w:rPr>
              <w:t>（3）掌握校本课程开发的意义。</w:t>
            </w:r>
          </w:p>
        </w:tc>
        <w:tc>
          <w:tcPr>
            <w:tcW w:w="1158" w:type="dxa"/>
            <w:vAlign w:val="center"/>
          </w:tcPr>
          <w:p w14:paraId="7988429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教师讲授</w:t>
            </w:r>
          </w:p>
          <w:p w14:paraId="7B70C90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课堂讨论</w:t>
            </w:r>
          </w:p>
        </w:tc>
        <w:tc>
          <w:tcPr>
            <w:tcW w:w="438" w:type="dxa"/>
            <w:vAlign w:val="center"/>
          </w:tcPr>
          <w:p w14:paraId="30DC97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4A30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4B7BD5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68C60A1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w:t>
            </w:r>
          </w:p>
          <w:p w14:paraId="107DEE6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明确课程政策要求，增强运用课程积极发挥课程育人作用的思想意识，为国育才，为党育人。</w:t>
            </w:r>
          </w:p>
        </w:tc>
      </w:tr>
      <w:tr w14:paraId="0237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3DB0B9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课程管理体制的变革</w:t>
            </w:r>
          </w:p>
        </w:tc>
        <w:tc>
          <w:tcPr>
            <w:tcW w:w="2672" w:type="dxa"/>
            <w:vAlign w:val="center"/>
          </w:tcPr>
          <w:p w14:paraId="3FD4E32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1.教学内容</w:t>
            </w:r>
          </w:p>
          <w:p w14:paraId="651C69A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（1）外国课程管理体制的经验</w:t>
            </w:r>
          </w:p>
          <w:p w14:paraId="0E0CFA0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（2）中国课程管理体制的经验</w:t>
            </w:r>
          </w:p>
        </w:tc>
        <w:tc>
          <w:tcPr>
            <w:tcW w:w="1292" w:type="dxa"/>
            <w:vAlign w:val="center"/>
          </w:tcPr>
          <w:p w14:paraId="22E02B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课程目标1、3</w:t>
            </w:r>
          </w:p>
        </w:tc>
        <w:tc>
          <w:tcPr>
            <w:tcW w:w="2533" w:type="dxa"/>
            <w:vAlign w:val="center"/>
          </w:tcPr>
          <w:p w14:paraId="0CF52C4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（1）了解国外课程管理体制的基本经验。</w:t>
            </w:r>
          </w:p>
          <w:p w14:paraId="34B0734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（2）了解中国课程管理体制的经验和弊端。</w:t>
            </w:r>
          </w:p>
          <w:p w14:paraId="7042B88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（3）理解三级课程管理体制及其价值。</w:t>
            </w:r>
          </w:p>
        </w:tc>
        <w:tc>
          <w:tcPr>
            <w:tcW w:w="1158" w:type="dxa"/>
            <w:vAlign w:val="center"/>
          </w:tcPr>
          <w:p w14:paraId="4AAD7E5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分组查阅</w:t>
            </w:r>
          </w:p>
          <w:p w14:paraId="7CD58A8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课堂分享</w:t>
            </w:r>
          </w:p>
        </w:tc>
        <w:tc>
          <w:tcPr>
            <w:tcW w:w="438" w:type="dxa"/>
            <w:vAlign w:val="center"/>
          </w:tcPr>
          <w:p w14:paraId="273047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5EB1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1F2E7B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554B8F0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w:t>
            </w:r>
          </w:p>
          <w:p w14:paraId="4EBA5DE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增强社会责任感与课程主体意识，既具有国际视野，也进一步增强我国课程文化自信。</w:t>
            </w:r>
          </w:p>
        </w:tc>
      </w:tr>
      <w:tr w14:paraId="3FC8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4DDAE90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校本课程开发的特征</w:t>
            </w:r>
          </w:p>
        </w:tc>
        <w:tc>
          <w:tcPr>
            <w:tcW w:w="2672" w:type="dxa"/>
            <w:vAlign w:val="center"/>
          </w:tcPr>
          <w:p w14:paraId="6229BC5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（1）校本课程开发的特点</w:t>
            </w:r>
          </w:p>
          <w:p w14:paraId="762BC59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（2）校本课程开发的关键要素</w:t>
            </w:r>
          </w:p>
          <w:p w14:paraId="084876E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（3）校本课程开发的独特价值</w:t>
            </w:r>
          </w:p>
        </w:tc>
        <w:tc>
          <w:tcPr>
            <w:tcW w:w="1292" w:type="dxa"/>
            <w:vAlign w:val="center"/>
          </w:tcPr>
          <w:p w14:paraId="5F06E4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2533" w:type="dxa"/>
            <w:vAlign w:val="center"/>
          </w:tcPr>
          <w:p w14:paraId="2675CEE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（1）理解校本课程开发的特征。</w:t>
            </w:r>
          </w:p>
          <w:p w14:paraId="108FAC0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（2）了解校本课程开发的独特价值。</w:t>
            </w:r>
          </w:p>
          <w:p w14:paraId="72C6FA7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（3）掌握校本课程开发的关键要素。</w:t>
            </w:r>
          </w:p>
        </w:tc>
        <w:tc>
          <w:tcPr>
            <w:tcW w:w="1158" w:type="dxa"/>
            <w:vAlign w:val="center"/>
          </w:tcPr>
          <w:p w14:paraId="56832EA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案例观摩</w:t>
            </w:r>
          </w:p>
          <w:p w14:paraId="01A16F8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课堂交流</w:t>
            </w:r>
          </w:p>
        </w:tc>
        <w:tc>
          <w:tcPr>
            <w:tcW w:w="438" w:type="dxa"/>
            <w:vAlign w:val="center"/>
          </w:tcPr>
          <w:p w14:paraId="29410E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6966E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0E0DDE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4512411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w:t>
            </w:r>
          </w:p>
          <w:p w14:paraId="6856EA4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乐于关注我国基础教育课程改革新动态，愿意学习我国各地各校的校本课程开发的中国经验。</w:t>
            </w:r>
          </w:p>
        </w:tc>
      </w:tr>
      <w:tr w14:paraId="4CC3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2C975F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Times New Roman" w:hAnsi="Times New Roman" w:eastAsia="宋体" w:cs="Times New Roman"/>
                <w:color w:val="auto"/>
                <w:szCs w:val="21"/>
              </w:rPr>
              <w:t>校本课程开发的模式</w:t>
            </w:r>
          </w:p>
        </w:tc>
        <w:tc>
          <w:tcPr>
            <w:tcW w:w="2672" w:type="dxa"/>
            <w:vAlign w:val="center"/>
          </w:tcPr>
          <w:p w14:paraId="462807C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（1）校本课程开发的可能形态</w:t>
            </w:r>
          </w:p>
          <w:p w14:paraId="1906709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Cs/>
                <w:color w:val="auto"/>
                <w:szCs w:val="21"/>
              </w:rPr>
              <w:t>（2）校本课程开发的具体方式</w:t>
            </w:r>
          </w:p>
        </w:tc>
        <w:tc>
          <w:tcPr>
            <w:tcW w:w="1292" w:type="dxa"/>
            <w:vAlign w:val="center"/>
          </w:tcPr>
          <w:p w14:paraId="2719E0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2533" w:type="dxa"/>
            <w:vAlign w:val="center"/>
          </w:tcPr>
          <w:p w14:paraId="26CCC01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（1）了解课程开发的多元分类标准和不同类型。</w:t>
            </w:r>
          </w:p>
          <w:p w14:paraId="17F2D0A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（2）掌握课程选择、课程整合、课程创编等三种开发活动的实践样式，并能在实践中自由运用。</w:t>
            </w:r>
          </w:p>
        </w:tc>
        <w:tc>
          <w:tcPr>
            <w:tcW w:w="1158" w:type="dxa"/>
            <w:vAlign w:val="center"/>
          </w:tcPr>
          <w:p w14:paraId="593B98B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教师讲授</w:t>
            </w:r>
          </w:p>
          <w:p w14:paraId="5E5F977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案例观摩</w:t>
            </w:r>
          </w:p>
          <w:p w14:paraId="1441FC3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课堂交流</w:t>
            </w:r>
          </w:p>
        </w:tc>
        <w:tc>
          <w:tcPr>
            <w:tcW w:w="438" w:type="dxa"/>
            <w:vAlign w:val="center"/>
          </w:tcPr>
          <w:p w14:paraId="42763B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296F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78E0EE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681BB7E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w:t>
            </w:r>
          </w:p>
          <w:p w14:paraId="0A6A41E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体验教师校本课程开发中不断创新的工匠精神，传承并弘扬中国教育家精神。</w:t>
            </w:r>
          </w:p>
        </w:tc>
      </w:tr>
      <w:tr w14:paraId="6AEA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48A433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Times New Roman" w:hAnsi="Times New Roman" w:eastAsia="宋体" w:cs="Times New Roman"/>
                <w:color w:val="auto"/>
                <w:szCs w:val="21"/>
              </w:rPr>
              <w:t>校本课程开发的条件</w:t>
            </w:r>
          </w:p>
        </w:tc>
        <w:tc>
          <w:tcPr>
            <w:tcW w:w="2672" w:type="dxa"/>
            <w:vAlign w:val="center"/>
          </w:tcPr>
          <w:p w14:paraId="5E4E2AD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（1）校本课程开发的影响因素</w:t>
            </w:r>
          </w:p>
          <w:p w14:paraId="77CF1E3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（2）校长与学校教育哲学</w:t>
            </w:r>
          </w:p>
          <w:p w14:paraId="5FC85F6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（3）教师与个人教育信念</w:t>
            </w:r>
          </w:p>
        </w:tc>
        <w:tc>
          <w:tcPr>
            <w:tcW w:w="1292" w:type="dxa"/>
            <w:vAlign w:val="center"/>
          </w:tcPr>
          <w:p w14:paraId="2500F0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2533" w:type="dxa"/>
            <w:vAlign w:val="center"/>
          </w:tcPr>
          <w:p w14:paraId="3023928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（1）理解影响校本课程开发的因素。</w:t>
            </w:r>
          </w:p>
          <w:p w14:paraId="5FB9815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（2）了解校长在校本课程开发中的重要性。</w:t>
            </w:r>
          </w:p>
          <w:p w14:paraId="6AA3ABD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（4）掌握教师参与校本课程开发的条件。</w:t>
            </w:r>
          </w:p>
        </w:tc>
        <w:tc>
          <w:tcPr>
            <w:tcW w:w="1158" w:type="dxa"/>
            <w:vAlign w:val="center"/>
          </w:tcPr>
          <w:p w14:paraId="24042AA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案例观摩</w:t>
            </w:r>
          </w:p>
          <w:p w14:paraId="4EE5107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小组辩论</w:t>
            </w:r>
          </w:p>
        </w:tc>
        <w:tc>
          <w:tcPr>
            <w:tcW w:w="438" w:type="dxa"/>
            <w:vAlign w:val="center"/>
          </w:tcPr>
          <w:p w14:paraId="44B4E6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2184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51EAF7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3E1D08F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w:t>
            </w:r>
          </w:p>
          <w:p w14:paraId="7AEE42C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强化课程开发的主体意识，自觉借助课程弘扬中华优秀传统文化，文化自信。</w:t>
            </w:r>
          </w:p>
        </w:tc>
      </w:tr>
      <w:tr w14:paraId="5031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74ECA5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Times New Roman" w:hAnsi="Times New Roman" w:eastAsia="宋体" w:cs="Times New Roman"/>
                <w:color w:val="auto"/>
                <w:szCs w:val="21"/>
              </w:rPr>
              <w:t>校本课程开发的资源</w:t>
            </w:r>
          </w:p>
        </w:tc>
        <w:tc>
          <w:tcPr>
            <w:tcW w:w="2672" w:type="dxa"/>
            <w:vAlign w:val="center"/>
          </w:tcPr>
          <w:p w14:paraId="35A48A2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（1）课程资源的类型与选择</w:t>
            </w:r>
          </w:p>
          <w:p w14:paraId="04548C6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（2）物质课程资源的开发与利用</w:t>
            </w:r>
          </w:p>
          <w:p w14:paraId="457F0CF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Cs/>
                <w:color w:val="auto"/>
                <w:szCs w:val="21"/>
              </w:rPr>
              <w:t>（3）人力资源的开发与利用</w:t>
            </w:r>
          </w:p>
        </w:tc>
        <w:tc>
          <w:tcPr>
            <w:tcW w:w="1292" w:type="dxa"/>
            <w:vAlign w:val="center"/>
          </w:tcPr>
          <w:p w14:paraId="36216D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2533" w:type="dxa"/>
            <w:vAlign w:val="center"/>
          </w:tcPr>
          <w:p w14:paraId="3B7DED9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（1）了解课程资源的类型以及课程资源选择的原则与路径。</w:t>
            </w:r>
          </w:p>
          <w:p w14:paraId="690FD84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（2）明确校本课程开发中有哪些物质和人力资源可以利用，掌握物质和人力资源开发和利用中应注意的一些问题，并结合案例明确如何在各学科教学课程与教学中选择和使用物质、人力资源。</w:t>
            </w:r>
          </w:p>
        </w:tc>
        <w:tc>
          <w:tcPr>
            <w:tcW w:w="1158" w:type="dxa"/>
            <w:vAlign w:val="center"/>
          </w:tcPr>
          <w:p w14:paraId="1FE9C8C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实践观察</w:t>
            </w:r>
          </w:p>
          <w:p w14:paraId="66C86D1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课堂讨论</w:t>
            </w:r>
          </w:p>
        </w:tc>
        <w:tc>
          <w:tcPr>
            <w:tcW w:w="438" w:type="dxa"/>
            <w:vAlign w:val="center"/>
          </w:tcPr>
          <w:p w14:paraId="320DA2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6</w:t>
            </w:r>
          </w:p>
        </w:tc>
      </w:tr>
      <w:tr w14:paraId="6166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141BC3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0832D25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w:t>
            </w:r>
          </w:p>
          <w:p w14:paraId="20BBD85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增进文化自信，充分挖掘地方资源优势并将其融入校本课程，实现课程育人的宗旨。</w:t>
            </w:r>
          </w:p>
        </w:tc>
      </w:tr>
      <w:tr w14:paraId="672A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40B981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开发校本课程的操作策略</w:t>
            </w:r>
          </w:p>
        </w:tc>
        <w:tc>
          <w:tcPr>
            <w:tcW w:w="2672" w:type="dxa"/>
            <w:vAlign w:val="center"/>
          </w:tcPr>
          <w:p w14:paraId="27AD487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（1）校本课程开发的流程</w:t>
            </w:r>
          </w:p>
          <w:p w14:paraId="6CA4D9D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Cs/>
                <w:color w:val="auto"/>
                <w:szCs w:val="21"/>
              </w:rPr>
              <w:t>（2）校本课程开发的三种取向</w:t>
            </w:r>
          </w:p>
        </w:tc>
        <w:tc>
          <w:tcPr>
            <w:tcW w:w="1292" w:type="dxa"/>
            <w:vAlign w:val="center"/>
          </w:tcPr>
          <w:p w14:paraId="0B4568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2533" w:type="dxa"/>
            <w:vAlign w:val="center"/>
          </w:tcPr>
          <w:p w14:paraId="00D6BD3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（1）掌握校本课程开发的流程，尤其是校本课程方案的制定和设计的基本途径，为未来校本课程开发实践打下基础。</w:t>
            </w:r>
          </w:p>
          <w:p w14:paraId="4924AEA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（2）深刻理解校本课程开发的三种取向，实践中能根据实际情况灵活运用。</w:t>
            </w:r>
          </w:p>
        </w:tc>
        <w:tc>
          <w:tcPr>
            <w:tcW w:w="1158" w:type="dxa"/>
            <w:vAlign w:val="center"/>
          </w:tcPr>
          <w:p w14:paraId="1F4D432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教师讲授</w:t>
            </w:r>
          </w:p>
          <w:p w14:paraId="7216894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小组合作</w:t>
            </w:r>
          </w:p>
        </w:tc>
        <w:tc>
          <w:tcPr>
            <w:tcW w:w="438" w:type="dxa"/>
            <w:vAlign w:val="center"/>
          </w:tcPr>
          <w:p w14:paraId="659D85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6</w:t>
            </w:r>
          </w:p>
        </w:tc>
      </w:tr>
      <w:tr w14:paraId="255C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5AA913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235E92D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w:t>
            </w:r>
          </w:p>
          <w:p w14:paraId="7E33D41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bookmarkStart w:id="344" w:name="_Hlk184661792"/>
            <w:r>
              <w:rPr>
                <w:rFonts w:hint="eastAsia" w:ascii="宋体" w:hAnsi="宋体" w:eastAsia="宋体" w:cs="Times New Roman"/>
                <w:color w:val="auto"/>
                <w:szCs w:val="21"/>
              </w:rPr>
              <w:t>用工匠精神做好立德树人工作，用笃行创新的躬耕态度做好教书育人工作。</w:t>
            </w:r>
            <w:bookmarkEnd w:id="344"/>
          </w:p>
        </w:tc>
      </w:tr>
      <w:tr w14:paraId="7343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5F277A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Times New Roman" w:hAnsi="Times New Roman" w:eastAsia="宋体" w:cs="Times New Roman"/>
                <w:color w:val="auto"/>
                <w:szCs w:val="21"/>
              </w:rPr>
              <w:t>校本课程的管理与评价</w:t>
            </w:r>
          </w:p>
        </w:tc>
        <w:tc>
          <w:tcPr>
            <w:tcW w:w="2672" w:type="dxa"/>
            <w:vAlign w:val="center"/>
          </w:tcPr>
          <w:p w14:paraId="089F44C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（1）校本课程的管理</w:t>
            </w:r>
          </w:p>
          <w:p w14:paraId="611D1C4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（2）校本课程的评价</w:t>
            </w:r>
          </w:p>
          <w:p w14:paraId="34D338F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p>
        </w:tc>
        <w:tc>
          <w:tcPr>
            <w:tcW w:w="1292" w:type="dxa"/>
            <w:vAlign w:val="center"/>
          </w:tcPr>
          <w:p w14:paraId="263D66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课程目标4</w:t>
            </w:r>
          </w:p>
        </w:tc>
        <w:tc>
          <w:tcPr>
            <w:tcW w:w="2533" w:type="dxa"/>
            <w:vAlign w:val="center"/>
          </w:tcPr>
          <w:p w14:paraId="1C839FE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（1）了解校本课程管理与评价的价值观、主要内容、取向和模式。</w:t>
            </w:r>
          </w:p>
          <w:p w14:paraId="009A6FA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（2）掌握校本课程管理和评价的具体方法、原则，为在实践中有效管理和评价校本课程提供理论和实践指导。</w:t>
            </w:r>
          </w:p>
        </w:tc>
        <w:tc>
          <w:tcPr>
            <w:tcW w:w="1158" w:type="dxa"/>
            <w:vAlign w:val="center"/>
          </w:tcPr>
          <w:p w14:paraId="3FBA5AD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课堂学习</w:t>
            </w:r>
          </w:p>
          <w:p w14:paraId="6B3BF00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课例观察</w:t>
            </w:r>
          </w:p>
          <w:p w14:paraId="75732C0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p>
        </w:tc>
        <w:tc>
          <w:tcPr>
            <w:tcW w:w="438" w:type="dxa"/>
            <w:vAlign w:val="center"/>
          </w:tcPr>
          <w:p w14:paraId="5E6C13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754D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7F898B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5AA732B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w:t>
            </w:r>
          </w:p>
          <w:p w14:paraId="5B5209C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以评促教，以评促学，以评促改，以评促优，树立构建教育新生态的课程意识。</w:t>
            </w:r>
          </w:p>
        </w:tc>
      </w:tr>
      <w:tr w14:paraId="69B89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432F67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校本课程开发中的教师专业发展</w:t>
            </w:r>
          </w:p>
        </w:tc>
        <w:tc>
          <w:tcPr>
            <w:tcW w:w="2672" w:type="dxa"/>
            <w:vAlign w:val="center"/>
          </w:tcPr>
          <w:p w14:paraId="0C9C1C8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（1）校本课程开发对教师的意义和对教师的要求</w:t>
            </w:r>
          </w:p>
          <w:p w14:paraId="5BFFD33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（2）教师参与校本课程开发的影响因素和提高途径</w:t>
            </w:r>
          </w:p>
        </w:tc>
        <w:tc>
          <w:tcPr>
            <w:tcW w:w="1292" w:type="dxa"/>
            <w:vAlign w:val="center"/>
          </w:tcPr>
          <w:p w14:paraId="0056D3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课程目标5</w:t>
            </w:r>
          </w:p>
        </w:tc>
        <w:tc>
          <w:tcPr>
            <w:tcW w:w="2533" w:type="dxa"/>
            <w:vAlign w:val="center"/>
          </w:tcPr>
          <w:p w14:paraId="1DF12CC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（1）了解校本课程开发对教师的意义和对教师的要求。</w:t>
            </w:r>
          </w:p>
          <w:p w14:paraId="484FEC0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（2）掌握影响教师参与校本课程开发的因素。</w:t>
            </w:r>
          </w:p>
          <w:p w14:paraId="3D1E4B3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Cs/>
                <w:color w:val="auto"/>
                <w:szCs w:val="21"/>
              </w:rPr>
            </w:pPr>
            <w:r>
              <w:rPr>
                <w:rFonts w:hint="eastAsia" w:ascii="宋体" w:hAnsi="宋体" w:eastAsia="宋体" w:cs="Times New Roman"/>
                <w:bCs/>
                <w:color w:val="auto"/>
                <w:szCs w:val="21"/>
              </w:rPr>
              <w:t>（3）明确要实现有效的校本课程开发，就必须从教师培训、教育教学研究及校本教研入手来促进教师的专业发展。</w:t>
            </w:r>
          </w:p>
        </w:tc>
        <w:tc>
          <w:tcPr>
            <w:tcW w:w="1158" w:type="dxa"/>
            <w:vAlign w:val="center"/>
          </w:tcPr>
          <w:p w14:paraId="4E3951A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课堂讨论</w:t>
            </w:r>
          </w:p>
        </w:tc>
        <w:tc>
          <w:tcPr>
            <w:tcW w:w="438" w:type="dxa"/>
            <w:vAlign w:val="center"/>
          </w:tcPr>
          <w:p w14:paraId="07FF56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3459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6A39E4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4A024D8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w:t>
            </w:r>
          </w:p>
          <w:p w14:paraId="5565902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继承中华优秀教师文化、彰显时代教育要求，不断从“四有”好老师，到“四个引路人”和“四个相统一”，到“经师”和“人师”相统一的“大先生”，再到“中国特有的教育家精神”，自觉提升自我，成为新时代高素质专业化教师队伍中的一员。</w:t>
            </w:r>
          </w:p>
        </w:tc>
      </w:tr>
    </w:tbl>
    <w:p w14:paraId="64A9E1A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四、目标评价与成绩评定</w:t>
      </w:r>
    </w:p>
    <w:p w14:paraId="644190E3">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6B672022">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644"/>
        <w:gridCol w:w="1694"/>
        <w:gridCol w:w="1862"/>
        <w:gridCol w:w="1998"/>
      </w:tblGrid>
      <w:tr w14:paraId="68B3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10FEB83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5200" w:type="dxa"/>
            <w:gridSpan w:val="3"/>
            <w:vAlign w:val="center"/>
          </w:tcPr>
          <w:p w14:paraId="16EE31F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998" w:type="dxa"/>
            <w:vMerge w:val="restart"/>
            <w:vAlign w:val="center"/>
          </w:tcPr>
          <w:p w14:paraId="4B0061C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5881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4CEE9A2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1644" w:type="dxa"/>
            <w:vAlign w:val="center"/>
          </w:tcPr>
          <w:p w14:paraId="789DA03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1694" w:type="dxa"/>
            <w:vAlign w:val="center"/>
          </w:tcPr>
          <w:p w14:paraId="52183F1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1862" w:type="dxa"/>
            <w:vAlign w:val="center"/>
          </w:tcPr>
          <w:p w14:paraId="7AC0F9E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1998" w:type="dxa"/>
            <w:vMerge w:val="continue"/>
            <w:vAlign w:val="center"/>
          </w:tcPr>
          <w:p w14:paraId="5841345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r>
      <w:tr w14:paraId="1A8F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B19F50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644" w:type="dxa"/>
            <w:vAlign w:val="center"/>
          </w:tcPr>
          <w:p w14:paraId="7DDA8BC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694" w:type="dxa"/>
            <w:vAlign w:val="center"/>
          </w:tcPr>
          <w:p w14:paraId="4431108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862" w:type="dxa"/>
            <w:vAlign w:val="center"/>
          </w:tcPr>
          <w:p w14:paraId="09088B7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998" w:type="dxa"/>
            <w:vAlign w:val="center"/>
          </w:tcPr>
          <w:p w14:paraId="27DB13B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145C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A8B697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644" w:type="dxa"/>
            <w:vAlign w:val="center"/>
          </w:tcPr>
          <w:p w14:paraId="215AEA9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694" w:type="dxa"/>
            <w:vAlign w:val="center"/>
          </w:tcPr>
          <w:p w14:paraId="37E6078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862" w:type="dxa"/>
            <w:vAlign w:val="center"/>
          </w:tcPr>
          <w:p w14:paraId="7794BDF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998" w:type="dxa"/>
          </w:tcPr>
          <w:p w14:paraId="038B5C3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35B9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5D54C2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1644" w:type="dxa"/>
            <w:vAlign w:val="center"/>
          </w:tcPr>
          <w:p w14:paraId="22D7C4C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1694" w:type="dxa"/>
            <w:vAlign w:val="center"/>
          </w:tcPr>
          <w:p w14:paraId="4AA4876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862" w:type="dxa"/>
            <w:vAlign w:val="center"/>
          </w:tcPr>
          <w:p w14:paraId="2D933C3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998" w:type="dxa"/>
          </w:tcPr>
          <w:p w14:paraId="2CBEFB4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0D67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521493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课程目标4</w:t>
            </w:r>
          </w:p>
        </w:tc>
        <w:tc>
          <w:tcPr>
            <w:tcW w:w="1644" w:type="dxa"/>
            <w:vAlign w:val="center"/>
          </w:tcPr>
          <w:p w14:paraId="5903992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694" w:type="dxa"/>
            <w:vAlign w:val="center"/>
          </w:tcPr>
          <w:p w14:paraId="7A18426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862" w:type="dxa"/>
            <w:vAlign w:val="center"/>
          </w:tcPr>
          <w:p w14:paraId="3FE326C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1998" w:type="dxa"/>
          </w:tcPr>
          <w:p w14:paraId="19E5512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695C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E981E7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课程目标5</w:t>
            </w:r>
          </w:p>
        </w:tc>
        <w:tc>
          <w:tcPr>
            <w:tcW w:w="1644" w:type="dxa"/>
            <w:vAlign w:val="center"/>
          </w:tcPr>
          <w:p w14:paraId="0CD6788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694" w:type="dxa"/>
            <w:vAlign w:val="center"/>
          </w:tcPr>
          <w:p w14:paraId="1ADB9C9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862" w:type="dxa"/>
            <w:vAlign w:val="center"/>
          </w:tcPr>
          <w:p w14:paraId="006764A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1998" w:type="dxa"/>
          </w:tcPr>
          <w:p w14:paraId="6A3E0BE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6306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743262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644" w:type="dxa"/>
            <w:vAlign w:val="center"/>
          </w:tcPr>
          <w:p w14:paraId="561C4A5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1694" w:type="dxa"/>
            <w:vAlign w:val="center"/>
          </w:tcPr>
          <w:p w14:paraId="165BC13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1862" w:type="dxa"/>
            <w:vAlign w:val="center"/>
          </w:tcPr>
          <w:p w14:paraId="16E8169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1998" w:type="dxa"/>
          </w:tcPr>
          <w:p w14:paraId="2468C97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7BD19BD1">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33539943">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5"/>
        <w:tblW w:w="7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5701"/>
        <w:gridCol w:w="824"/>
      </w:tblGrid>
      <w:tr w14:paraId="0CDA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shd w:val="clear" w:color="auto" w:fill="FFFFFF"/>
            <w:vAlign w:val="center"/>
          </w:tcPr>
          <w:p w14:paraId="0236BE03">
            <w:pPr>
              <w:jc w:val="center"/>
              <w:rPr>
                <w:rFonts w:ascii="Times New Roman" w:hAnsi="Times New Roman" w:eastAsia="宋体" w:cs="Times New Roman"/>
                <w:b/>
                <w:bCs/>
                <w:color w:val="auto"/>
              </w:rPr>
            </w:pPr>
            <w:r>
              <w:rPr>
                <w:rFonts w:ascii="Times New Roman" w:hAnsi="Times New Roman" w:eastAsia="宋体" w:cs="Times New Roman"/>
                <w:b/>
                <w:bCs/>
                <w:color w:val="auto"/>
              </w:rPr>
              <w:t>评</w:t>
            </w:r>
            <w:r>
              <w:rPr>
                <w:rFonts w:hint="eastAsia" w:ascii="Times New Roman" w:hAnsi="Times New Roman" w:eastAsia="宋体" w:cs="Times New Roman"/>
                <w:b/>
                <w:bCs/>
                <w:color w:val="auto"/>
              </w:rPr>
              <w:t>定方式</w:t>
            </w:r>
          </w:p>
        </w:tc>
        <w:tc>
          <w:tcPr>
            <w:tcW w:w="5701" w:type="dxa"/>
            <w:shd w:val="clear" w:color="auto" w:fill="FFFFFF"/>
            <w:vAlign w:val="center"/>
          </w:tcPr>
          <w:p w14:paraId="092417BD">
            <w:pPr>
              <w:jc w:val="center"/>
              <w:rPr>
                <w:rFonts w:ascii="Times New Roman" w:hAnsi="Times New Roman" w:eastAsia="宋体" w:cs="Times New Roman"/>
                <w:b/>
                <w:bCs/>
                <w:color w:val="auto"/>
              </w:rPr>
            </w:pPr>
            <w:r>
              <w:rPr>
                <w:rFonts w:ascii="Times New Roman" w:hAnsi="Times New Roman" w:eastAsia="宋体" w:cs="Times New Roman"/>
                <w:b/>
                <w:bCs/>
                <w:color w:val="auto"/>
              </w:rPr>
              <w:t>评</w:t>
            </w:r>
            <w:r>
              <w:rPr>
                <w:rFonts w:hint="eastAsia" w:ascii="Times New Roman" w:hAnsi="Times New Roman" w:eastAsia="宋体" w:cs="Times New Roman"/>
                <w:b/>
                <w:bCs/>
                <w:color w:val="auto"/>
              </w:rPr>
              <w:t>定</w:t>
            </w:r>
            <w:r>
              <w:rPr>
                <w:rFonts w:ascii="Times New Roman" w:hAnsi="Times New Roman" w:eastAsia="宋体" w:cs="Times New Roman"/>
                <w:b/>
                <w:bCs/>
                <w:color w:val="auto"/>
              </w:rPr>
              <w:t>细则</w:t>
            </w:r>
          </w:p>
        </w:tc>
        <w:tc>
          <w:tcPr>
            <w:tcW w:w="824" w:type="dxa"/>
            <w:shd w:val="clear" w:color="auto" w:fill="FFFFFF"/>
            <w:vAlign w:val="center"/>
          </w:tcPr>
          <w:p w14:paraId="48AF6C4D">
            <w:pPr>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权重</w:t>
            </w:r>
          </w:p>
        </w:tc>
      </w:tr>
      <w:tr w14:paraId="202F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419" w:type="dxa"/>
            <w:vAlign w:val="center"/>
          </w:tcPr>
          <w:p w14:paraId="3CC96659">
            <w:pPr>
              <w:jc w:val="center"/>
              <w:rPr>
                <w:rFonts w:ascii="Times New Roman" w:hAnsi="Times New Roman" w:eastAsia="宋体" w:cs="Times New Roman"/>
                <w:color w:val="auto"/>
              </w:rPr>
            </w:pPr>
            <w:r>
              <w:rPr>
                <w:rFonts w:ascii="Times New Roman" w:hAnsi="Times New Roman" w:eastAsia="宋体" w:cs="Times New Roman"/>
                <w:color w:val="auto"/>
              </w:rPr>
              <w:t>平时作业</w:t>
            </w:r>
          </w:p>
        </w:tc>
        <w:tc>
          <w:tcPr>
            <w:tcW w:w="5701" w:type="dxa"/>
            <w:vAlign w:val="center"/>
          </w:tcPr>
          <w:p w14:paraId="156842BF">
            <w:pPr>
              <w:rPr>
                <w:rFonts w:ascii="Times New Roman" w:hAnsi="Times New Roman" w:eastAsia="宋体" w:cs="Times New Roman"/>
                <w:color w:val="auto"/>
              </w:rPr>
            </w:pPr>
            <w:r>
              <w:rPr>
                <w:rFonts w:hint="eastAsia" w:ascii="Times New Roman" w:hAnsi="Times New Roman" w:eastAsia="宋体" w:cs="Times New Roman"/>
                <w:color w:val="auto"/>
              </w:rPr>
              <w:t>三次书面作业，主要考察学生对所学知识的理解和应用</w:t>
            </w:r>
            <w:r>
              <w:rPr>
                <w:rFonts w:ascii="Times New Roman" w:hAnsi="Times New Roman" w:eastAsia="宋体" w:cs="Times New Roman"/>
                <w:color w:val="auto"/>
              </w:rPr>
              <w:t>，计算全部作业的平均成绩再按</w:t>
            </w:r>
            <w:r>
              <w:rPr>
                <w:rFonts w:hint="eastAsia" w:ascii="Times New Roman" w:hAnsi="Times New Roman" w:eastAsia="宋体" w:cs="Times New Roman"/>
                <w:color w:val="auto"/>
              </w:rPr>
              <w:t>2</w:t>
            </w:r>
            <w:r>
              <w:rPr>
                <w:rFonts w:ascii="Times New Roman" w:hAnsi="Times New Roman" w:eastAsia="宋体" w:cs="Times New Roman"/>
                <w:color w:val="auto"/>
              </w:rPr>
              <w:t>0%计入总成绩。</w:t>
            </w:r>
          </w:p>
        </w:tc>
        <w:tc>
          <w:tcPr>
            <w:tcW w:w="824" w:type="dxa"/>
            <w:vAlign w:val="center"/>
          </w:tcPr>
          <w:p w14:paraId="5BD547C4">
            <w:pPr>
              <w:rPr>
                <w:rFonts w:ascii="Times New Roman" w:hAnsi="Times New Roman" w:eastAsia="宋体" w:cs="Times New Roman"/>
                <w:color w:val="auto"/>
              </w:rPr>
            </w:pPr>
            <w:r>
              <w:rPr>
                <w:rFonts w:hint="eastAsia" w:ascii="Times New Roman" w:hAnsi="Times New Roman" w:eastAsia="宋体" w:cs="Times New Roman"/>
                <w:color w:val="auto"/>
              </w:rPr>
              <w:t>2</w:t>
            </w:r>
            <w:r>
              <w:rPr>
                <w:rFonts w:ascii="Times New Roman" w:hAnsi="Times New Roman" w:eastAsia="宋体" w:cs="Times New Roman"/>
                <w:color w:val="auto"/>
              </w:rPr>
              <w:t>0%</w:t>
            </w:r>
          </w:p>
        </w:tc>
      </w:tr>
      <w:tr w14:paraId="4B69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419" w:type="dxa"/>
            <w:vAlign w:val="center"/>
          </w:tcPr>
          <w:p w14:paraId="1B461622">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课堂表现</w:t>
            </w:r>
          </w:p>
        </w:tc>
        <w:tc>
          <w:tcPr>
            <w:tcW w:w="5701" w:type="dxa"/>
            <w:vAlign w:val="center"/>
          </w:tcPr>
          <w:p w14:paraId="6ACBC508">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在教学过程中，提问每位同学，根据回答问题情况给出相应分数，同时课堂组织小组讨论，根据每组同学表现给分，再</w:t>
            </w:r>
            <w:r>
              <w:rPr>
                <w:rFonts w:ascii="Times New Roman" w:hAnsi="Times New Roman" w:eastAsia="宋体" w:cs="Times New Roman"/>
                <w:color w:val="auto"/>
                <w:szCs w:val="21"/>
              </w:rPr>
              <w:t>结合平时</w:t>
            </w:r>
            <w:r>
              <w:rPr>
                <w:rFonts w:hint="eastAsia" w:ascii="Times New Roman" w:hAnsi="Times New Roman" w:eastAsia="宋体" w:cs="Times New Roman"/>
                <w:color w:val="auto"/>
                <w:szCs w:val="21"/>
              </w:rPr>
              <w:t>考勤</w:t>
            </w:r>
            <w:r>
              <w:rPr>
                <w:rFonts w:ascii="Times New Roman" w:hAnsi="Times New Roman" w:eastAsia="宋体" w:cs="Times New Roman"/>
                <w:color w:val="auto"/>
                <w:szCs w:val="21"/>
              </w:rPr>
              <w:t>，最后按</w:t>
            </w: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0%计入课程总成绩。</w:t>
            </w:r>
          </w:p>
        </w:tc>
        <w:tc>
          <w:tcPr>
            <w:tcW w:w="824" w:type="dxa"/>
            <w:vAlign w:val="center"/>
          </w:tcPr>
          <w:p w14:paraId="2652A3F7">
            <w:pPr>
              <w:rPr>
                <w:rFonts w:ascii="Times New Roman" w:hAnsi="Times New Roman" w:eastAsia="宋体" w:cs="Times New Roman"/>
                <w:color w:val="auto"/>
                <w:szCs w:val="21"/>
              </w:rPr>
            </w:pPr>
            <w:r>
              <w:rPr>
                <w:rFonts w:hint="eastAsia" w:ascii="Times New Roman" w:hAnsi="Times New Roman" w:eastAsia="宋体" w:cs="Times New Roman"/>
                <w:color w:val="auto"/>
              </w:rPr>
              <w:t>2</w:t>
            </w:r>
            <w:r>
              <w:rPr>
                <w:rFonts w:ascii="Times New Roman" w:hAnsi="Times New Roman" w:eastAsia="宋体" w:cs="Times New Roman"/>
                <w:color w:val="auto"/>
              </w:rPr>
              <w:t>0%</w:t>
            </w:r>
          </w:p>
        </w:tc>
      </w:tr>
      <w:tr w14:paraId="2AD1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419" w:type="dxa"/>
            <w:vAlign w:val="center"/>
          </w:tcPr>
          <w:p w14:paraId="07BF5CF2">
            <w:pPr>
              <w:jc w:val="center"/>
              <w:rPr>
                <w:rFonts w:ascii="Times New Roman" w:hAnsi="Times New Roman" w:eastAsia="宋体" w:cs="Times New Roman"/>
                <w:color w:val="auto"/>
              </w:rPr>
            </w:pPr>
            <w:r>
              <w:rPr>
                <w:rFonts w:ascii="Times New Roman" w:hAnsi="Times New Roman" w:eastAsia="宋体" w:cs="Times New Roman"/>
                <w:color w:val="auto"/>
              </w:rPr>
              <w:t>期末考试</w:t>
            </w:r>
          </w:p>
        </w:tc>
        <w:tc>
          <w:tcPr>
            <w:tcW w:w="5701" w:type="dxa"/>
            <w:vAlign w:val="center"/>
          </w:tcPr>
          <w:p w14:paraId="535D64AA">
            <w:pPr>
              <w:rPr>
                <w:rFonts w:ascii="Times New Roman" w:hAnsi="Times New Roman" w:eastAsia="宋体" w:cs="Times New Roman"/>
                <w:color w:val="auto"/>
                <w:szCs w:val="21"/>
              </w:rPr>
            </w:pPr>
            <w:r>
              <w:rPr>
                <w:rFonts w:ascii="Times New Roman" w:hAnsi="Times New Roman" w:eastAsia="宋体" w:cs="Times New Roman"/>
                <w:color w:val="auto"/>
                <w:szCs w:val="21"/>
              </w:rPr>
              <w:t>试卷题型包括</w:t>
            </w:r>
            <w:r>
              <w:rPr>
                <w:rFonts w:hint="eastAsia" w:ascii="Times New Roman" w:hAnsi="Times New Roman" w:eastAsia="宋体" w:cs="Times New Roman"/>
                <w:color w:val="auto"/>
                <w:szCs w:val="21"/>
              </w:rPr>
              <w:t>选择题</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名词解释</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简答题、论述题</w:t>
            </w:r>
            <w:r>
              <w:rPr>
                <w:rFonts w:ascii="Times New Roman" w:hAnsi="Times New Roman" w:eastAsia="宋体" w:cs="Times New Roman"/>
                <w:color w:val="auto"/>
                <w:szCs w:val="21"/>
              </w:rPr>
              <w:t>等，以卷面成绩的60%计入课程总成绩。</w:t>
            </w:r>
          </w:p>
        </w:tc>
        <w:tc>
          <w:tcPr>
            <w:tcW w:w="824" w:type="dxa"/>
            <w:vAlign w:val="center"/>
          </w:tcPr>
          <w:p w14:paraId="40EBA2CD">
            <w:pPr>
              <w:rPr>
                <w:rFonts w:ascii="Times New Roman" w:hAnsi="Times New Roman" w:eastAsia="宋体" w:cs="Times New Roman"/>
                <w:color w:val="auto"/>
                <w:szCs w:val="21"/>
              </w:rPr>
            </w:pPr>
            <w:r>
              <w:rPr>
                <w:rFonts w:ascii="Times New Roman" w:hAnsi="Times New Roman" w:eastAsia="宋体" w:cs="Times New Roman"/>
                <w:color w:val="auto"/>
              </w:rPr>
              <w:t>60%</w:t>
            </w:r>
          </w:p>
        </w:tc>
      </w:tr>
      <w:tr w14:paraId="3007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419" w:type="dxa"/>
            <w:vAlign w:val="center"/>
          </w:tcPr>
          <w:p w14:paraId="4023A000">
            <w:pPr>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合计</w:t>
            </w:r>
          </w:p>
        </w:tc>
        <w:tc>
          <w:tcPr>
            <w:tcW w:w="5701" w:type="dxa"/>
            <w:vAlign w:val="center"/>
          </w:tcPr>
          <w:p w14:paraId="31BDFC9D">
            <w:pPr>
              <w:rPr>
                <w:rFonts w:ascii="Times New Roman" w:hAnsi="Times New Roman" w:eastAsia="宋体" w:cs="Times New Roman"/>
                <w:color w:val="auto"/>
                <w:szCs w:val="21"/>
              </w:rPr>
            </w:pPr>
          </w:p>
        </w:tc>
        <w:tc>
          <w:tcPr>
            <w:tcW w:w="824" w:type="dxa"/>
            <w:vAlign w:val="center"/>
          </w:tcPr>
          <w:p w14:paraId="6090D9FE">
            <w:pPr>
              <w:rPr>
                <w:rFonts w:ascii="Times New Roman" w:hAnsi="Times New Roman" w:eastAsia="宋体" w:cs="Times New Roman"/>
                <w:color w:val="auto"/>
              </w:rPr>
            </w:pPr>
            <w:r>
              <w:rPr>
                <w:rFonts w:hint="eastAsia" w:ascii="Times New Roman" w:hAnsi="Times New Roman" w:eastAsia="宋体" w:cs="Times New Roman"/>
                <w:color w:val="auto"/>
              </w:rPr>
              <w:t>100%</w:t>
            </w:r>
          </w:p>
        </w:tc>
      </w:tr>
    </w:tbl>
    <w:p w14:paraId="344FAC4E">
      <w:pPr>
        <w:jc w:val="center"/>
        <w:rPr>
          <w:rFonts w:ascii="Times New Roman" w:hAnsi="Times New Roman" w:eastAsia="宋体" w:cs="Times New Roman"/>
          <w:b/>
          <w:bCs/>
          <w:color w:val="auto"/>
          <w:szCs w:val="21"/>
        </w:rPr>
      </w:pPr>
    </w:p>
    <w:p w14:paraId="6F91E8E0">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4B9FD096">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4265E311">
      <w:pPr>
        <w:spacing w:before="156" w:beforeLines="50" w:line="360" w:lineRule="auto"/>
        <w:ind w:firstLine="420" w:firstLineChars="200"/>
        <w:jc w:val="left"/>
        <w:rPr>
          <w:rFonts w:ascii="Times New Roman" w:hAnsi="Times New Roman" w:eastAsia="宋体" w:cs="Times New Roman"/>
          <w:b/>
          <w:color w:val="auto"/>
          <w:sz w:val="24"/>
        </w:rPr>
      </w:pPr>
      <w:r>
        <w:rPr>
          <w:rFonts w:ascii="宋体" w:hAnsi="宋体" w:eastAsia="宋体" w:cs="Times New Roman"/>
          <w:color w:val="auto"/>
          <w:szCs w:val="21"/>
        </w:rPr>
        <w:object>
          <v:shape id="_x0000_i1052"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52" DrawAspect="Content" ObjectID="_1468075751" r:id="rId38">
            <o:LockedField>false</o:LockedField>
          </o:OLEObject>
        </w:object>
      </w:r>
      <w:r>
        <w:rPr>
          <w:rFonts w:hint="eastAsia" w:ascii="Times New Roman" w:hAnsi="Times New Roman" w:eastAsia="宋体" w:cs="Times New Roman"/>
          <w:b/>
          <w:color w:val="auto"/>
          <w:sz w:val="24"/>
        </w:rPr>
        <w:t>五、课程实践</w:t>
      </w:r>
      <w:r>
        <w:rPr>
          <w:rFonts w:hint="eastAsia" w:ascii="Times New Roman" w:hAnsi="Times New Roman" w:eastAsia="宋体" w:cs="Times New Roman"/>
          <w:bCs/>
          <w:color w:val="auto"/>
          <w:sz w:val="24"/>
        </w:rPr>
        <w:t>（利用第二课堂，不占总学时）</w:t>
      </w:r>
    </w:p>
    <w:p w14:paraId="59C4ED0C">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本课程在系统教学的基础上，以学生为主题，整合各类教育资源，科学设计实践活动，丰富教育教学形式，提升教育教学效果，从而实现思政育人。</w:t>
      </w:r>
    </w:p>
    <w:tbl>
      <w:tblPr>
        <w:tblStyle w:val="3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4D5E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516A8D9E">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3407" w:type="dxa"/>
            <w:vAlign w:val="center"/>
          </w:tcPr>
          <w:p w14:paraId="7FC7B824">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740" w:type="dxa"/>
            <w:vAlign w:val="center"/>
          </w:tcPr>
          <w:p w14:paraId="2BF043CD">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3160" w:type="dxa"/>
            <w:vAlign w:val="center"/>
          </w:tcPr>
          <w:p w14:paraId="3B65D9BA">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思政目标</w:t>
            </w:r>
          </w:p>
        </w:tc>
      </w:tr>
      <w:tr w14:paraId="3C0E9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3F92C36E">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小学校本课程发现</w:t>
            </w:r>
          </w:p>
        </w:tc>
        <w:tc>
          <w:tcPr>
            <w:tcW w:w="3407" w:type="dxa"/>
            <w:vAlign w:val="center"/>
          </w:tcPr>
          <w:p w14:paraId="7C601FFC">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借助教育见习之机或日常观察，了解家乡所在地区的小学的校本课程</w:t>
            </w:r>
          </w:p>
        </w:tc>
        <w:tc>
          <w:tcPr>
            <w:tcW w:w="740" w:type="dxa"/>
            <w:vAlign w:val="center"/>
          </w:tcPr>
          <w:p w14:paraId="0EB7FC43">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调查报告</w:t>
            </w:r>
          </w:p>
        </w:tc>
        <w:tc>
          <w:tcPr>
            <w:tcW w:w="3160" w:type="dxa"/>
            <w:vAlign w:val="center"/>
          </w:tcPr>
          <w:p w14:paraId="4355579A">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关心关注本土本地的课程改革的新要求、新进展</w:t>
            </w:r>
          </w:p>
        </w:tc>
      </w:tr>
      <w:tr w14:paraId="67A0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15D5EADB">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教师的校本课程开发个案</w:t>
            </w:r>
          </w:p>
        </w:tc>
        <w:tc>
          <w:tcPr>
            <w:tcW w:w="3407" w:type="dxa"/>
            <w:vAlign w:val="center"/>
          </w:tcPr>
          <w:p w14:paraId="4A9F99FE">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观察记录小学学科教师的校本课程理解及开发情况</w:t>
            </w:r>
          </w:p>
        </w:tc>
        <w:tc>
          <w:tcPr>
            <w:tcW w:w="740" w:type="dxa"/>
            <w:vAlign w:val="center"/>
          </w:tcPr>
          <w:p w14:paraId="67E37538">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观察记录</w:t>
            </w:r>
          </w:p>
        </w:tc>
        <w:tc>
          <w:tcPr>
            <w:tcW w:w="3160" w:type="dxa"/>
            <w:vAlign w:val="center"/>
          </w:tcPr>
          <w:p w14:paraId="1C14DE48">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唤醒课程开发及课程领导意识，通过实际行动积极践行新课改与新课标。</w:t>
            </w:r>
          </w:p>
        </w:tc>
      </w:tr>
    </w:tbl>
    <w:p w14:paraId="3864B3A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六、有关说明</w:t>
      </w:r>
    </w:p>
    <w:p w14:paraId="0A4D6F35">
      <w:pPr>
        <w:spacing w:line="360" w:lineRule="auto"/>
        <w:ind w:firstLine="422" w:firstLineChars="200"/>
        <w:jc w:val="left"/>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（一）持续改进</w:t>
      </w:r>
    </w:p>
    <w:p w14:paraId="57AFEDB0">
      <w:pPr>
        <w:spacing w:line="360" w:lineRule="auto"/>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本课程根据学生作业、课堂讨论、平时考核情况和学生、教学督导等</w:t>
      </w:r>
      <w:r>
        <w:rPr>
          <w:rFonts w:hint="eastAsia" w:ascii="Times New Roman" w:hAnsi="Times New Roman" w:eastAsia="宋体" w:cs="Times New Roman"/>
          <w:color w:val="auto"/>
          <w:sz w:val="21"/>
          <w:szCs w:val="21"/>
        </w:rPr>
        <w:t>的</w:t>
      </w:r>
      <w:r>
        <w:rPr>
          <w:rFonts w:ascii="Times New Roman" w:hAnsi="Times New Roman" w:eastAsia="宋体" w:cs="Times New Roman"/>
          <w:color w:val="auto"/>
          <w:sz w:val="21"/>
          <w:szCs w:val="21"/>
        </w:rPr>
        <w:t>反馈，及时对教学中</w:t>
      </w:r>
      <w:r>
        <w:rPr>
          <w:rFonts w:hint="eastAsia" w:ascii="Times New Roman" w:hAnsi="Times New Roman" w:eastAsia="宋体" w:cs="Times New Roman"/>
          <w:color w:val="auto"/>
          <w:sz w:val="21"/>
          <w:szCs w:val="21"/>
        </w:rPr>
        <w:t>的</w:t>
      </w:r>
      <w:r>
        <w:rPr>
          <w:rFonts w:ascii="Times New Roman" w:hAnsi="Times New Roman" w:eastAsia="宋体" w:cs="Times New Roman"/>
          <w:color w:val="auto"/>
          <w:sz w:val="21"/>
          <w:szCs w:val="21"/>
        </w:rPr>
        <w:t>不足之处进行改进，并在下一轮课程教学中</w:t>
      </w:r>
      <w:r>
        <w:rPr>
          <w:rFonts w:hint="eastAsia" w:ascii="Times New Roman" w:hAnsi="Times New Roman" w:eastAsia="宋体" w:cs="Times New Roman"/>
          <w:color w:val="auto"/>
          <w:sz w:val="21"/>
          <w:szCs w:val="21"/>
        </w:rPr>
        <w:t>整改完善</w:t>
      </w:r>
      <w:r>
        <w:rPr>
          <w:rFonts w:ascii="Times New Roman" w:hAnsi="Times New Roman" w:eastAsia="宋体" w:cs="Times New Roman"/>
          <w:color w:val="auto"/>
          <w:sz w:val="21"/>
          <w:szCs w:val="21"/>
        </w:rPr>
        <w:t>，确保相应毕业要求指标点达成。</w:t>
      </w:r>
    </w:p>
    <w:p w14:paraId="133E63F0">
      <w:pPr>
        <w:spacing w:line="360" w:lineRule="auto"/>
        <w:ind w:firstLine="422" w:firstLineChars="200"/>
        <w:jc w:val="left"/>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（二）建议教材</w:t>
      </w:r>
    </w:p>
    <w:p w14:paraId="5B8CB059">
      <w:pPr>
        <w:spacing w:line="360" w:lineRule="auto"/>
        <w:ind w:firstLine="420" w:firstLineChars="200"/>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高慎英，《小学</w:t>
      </w:r>
      <w:bookmarkStart w:id="345" w:name="_Hlk184559674"/>
      <w:r>
        <w:rPr>
          <w:rFonts w:hint="eastAsia" w:ascii="宋体" w:hAnsi="宋体" w:eastAsia="宋体" w:cs="Times New Roman"/>
          <w:bCs/>
          <w:color w:val="auto"/>
          <w:sz w:val="21"/>
          <w:szCs w:val="21"/>
        </w:rPr>
        <w:t>校本课程开发</w:t>
      </w:r>
      <w:bookmarkEnd w:id="345"/>
      <w:r>
        <w:rPr>
          <w:rFonts w:hint="eastAsia" w:ascii="宋体" w:hAnsi="宋体" w:eastAsia="宋体" w:cs="Times New Roman"/>
          <w:bCs/>
          <w:color w:val="auto"/>
          <w:sz w:val="21"/>
          <w:szCs w:val="21"/>
        </w:rPr>
        <w:t>》，高等教育出版社，2017.6.</w:t>
      </w:r>
    </w:p>
    <w:p w14:paraId="3F562F15">
      <w:pPr>
        <w:spacing w:line="360" w:lineRule="auto"/>
        <w:ind w:firstLine="422" w:firstLineChars="200"/>
        <w:jc w:val="left"/>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（三）参考书目</w:t>
      </w:r>
    </w:p>
    <w:p w14:paraId="68590FEB">
      <w:pPr>
        <w:spacing w:line="360" w:lineRule="auto"/>
        <w:ind w:firstLine="420" w:firstLineChars="200"/>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1.罗生全、艾兴，中小学校本课程开发，西南大学出版社，2023.</w:t>
      </w:r>
    </w:p>
    <w:p w14:paraId="3BC49BAA">
      <w:pPr>
        <w:spacing w:line="360" w:lineRule="auto"/>
        <w:ind w:firstLine="420" w:firstLineChars="200"/>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2.李臣之，校本课程开发，北京师范大学出版社，2015.8.</w:t>
      </w:r>
    </w:p>
    <w:p w14:paraId="009494D0">
      <w:pPr>
        <w:spacing w:line="360" w:lineRule="auto"/>
        <w:ind w:firstLine="420" w:firstLineChars="200"/>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3.张华著，《课程与教学论》，上海教育出版社，2014.</w:t>
      </w:r>
    </w:p>
    <w:p w14:paraId="5F1DB10C">
      <w:pPr>
        <w:ind w:firstLine="420" w:firstLineChars="200"/>
        <w:rPr>
          <w:rFonts w:hint="eastAsia" w:ascii="宋体" w:hAnsi="宋体" w:eastAsia="宋体"/>
          <w:color w:val="auto"/>
          <w:sz w:val="21"/>
          <w:szCs w:val="21"/>
        </w:rPr>
      </w:pPr>
      <w:r>
        <w:rPr>
          <w:rFonts w:hint="eastAsia" w:ascii="宋体" w:hAnsi="宋体" w:eastAsia="宋体"/>
          <w:color w:val="auto"/>
          <w:sz w:val="21"/>
          <w:szCs w:val="21"/>
        </w:rPr>
        <w:t>4.</w:t>
      </w:r>
      <w:r>
        <w:rPr>
          <w:rFonts w:ascii="宋体" w:hAnsi="宋体" w:eastAsia="宋体"/>
          <w:color w:val="auto"/>
          <w:sz w:val="21"/>
          <w:szCs w:val="21"/>
        </w:rPr>
        <w:t>项家庆</w:t>
      </w:r>
      <w:r>
        <w:rPr>
          <w:rFonts w:hint="eastAsia" w:ascii="宋体" w:hAnsi="宋体" w:eastAsia="宋体"/>
          <w:color w:val="auto"/>
          <w:sz w:val="21"/>
          <w:szCs w:val="21"/>
        </w:rPr>
        <w:t>，</w:t>
      </w:r>
      <w:r>
        <w:rPr>
          <w:rFonts w:ascii="宋体" w:hAnsi="宋体" w:eastAsia="宋体"/>
          <w:color w:val="auto"/>
          <w:sz w:val="21"/>
          <w:szCs w:val="21"/>
        </w:rPr>
        <w:t>教你开发校本课程</w:t>
      </w:r>
      <w:r>
        <w:rPr>
          <w:rFonts w:hint="eastAsia" w:ascii="宋体" w:hAnsi="宋体" w:eastAsia="宋体"/>
          <w:color w:val="auto"/>
          <w:sz w:val="21"/>
          <w:szCs w:val="21"/>
        </w:rPr>
        <w:t>，</w:t>
      </w:r>
      <w:r>
        <w:rPr>
          <w:rFonts w:ascii="宋体" w:hAnsi="宋体" w:eastAsia="宋体"/>
          <w:color w:val="auto"/>
          <w:sz w:val="21"/>
          <w:szCs w:val="21"/>
        </w:rPr>
        <w:t>世界图书出版广东有限公司</w:t>
      </w:r>
      <w:r>
        <w:rPr>
          <w:rFonts w:hint="eastAsia" w:ascii="宋体" w:hAnsi="宋体" w:eastAsia="宋体"/>
          <w:color w:val="auto"/>
          <w:sz w:val="21"/>
          <w:szCs w:val="21"/>
        </w:rPr>
        <w:t>，</w:t>
      </w:r>
      <w:r>
        <w:rPr>
          <w:rFonts w:ascii="宋体" w:hAnsi="宋体" w:eastAsia="宋体"/>
          <w:color w:val="auto"/>
          <w:sz w:val="21"/>
          <w:szCs w:val="21"/>
        </w:rPr>
        <w:t>2012</w:t>
      </w:r>
      <w:r>
        <w:rPr>
          <w:rFonts w:hint="eastAsia" w:ascii="宋体" w:hAnsi="宋体" w:eastAsia="宋体"/>
          <w:color w:val="auto"/>
          <w:sz w:val="21"/>
          <w:szCs w:val="21"/>
        </w:rPr>
        <w:t>.</w:t>
      </w:r>
    </w:p>
    <w:p w14:paraId="111E1020">
      <w:pPr>
        <w:spacing w:line="360" w:lineRule="auto"/>
        <w:ind w:firstLine="420" w:firstLineChars="200"/>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5.钟启泉主编，《新课程的理念与创新——师范生读本》（第二版），高等教育出版社，2008.</w:t>
      </w:r>
    </w:p>
    <w:p w14:paraId="495D56BE">
      <w:pPr>
        <w:spacing w:line="360" w:lineRule="auto"/>
        <w:ind w:firstLine="420" w:firstLineChars="200"/>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6.崔允漷，《校本课程开发：课程故事》，华东师范大学出版社，2007.</w:t>
      </w:r>
    </w:p>
    <w:p w14:paraId="1CD59CEE">
      <w:pPr>
        <w:spacing w:line="360" w:lineRule="auto"/>
        <w:ind w:firstLine="420" w:firstLineChars="200"/>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7.施良方著，《课程理论》，教育科学出版社，1996.</w:t>
      </w:r>
    </w:p>
    <w:p w14:paraId="49F20B23">
      <w:pPr>
        <w:spacing w:line="360" w:lineRule="auto"/>
        <w:ind w:firstLine="420" w:firstLineChars="200"/>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8.吴刚平著，《校本课程开发》，四川教育出版社，2002.</w:t>
      </w:r>
    </w:p>
    <w:p w14:paraId="65A20BCA">
      <w:pPr>
        <w:spacing w:line="360" w:lineRule="auto"/>
        <w:ind w:firstLine="420" w:firstLineChars="200"/>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9.[美]泰勒著，《课程与教学的基本原理》，中国轻工业出版社，2008.</w:t>
      </w:r>
    </w:p>
    <w:p w14:paraId="14AB2891">
      <w:pPr>
        <w:spacing w:line="360" w:lineRule="auto"/>
        <w:ind w:firstLine="420" w:firstLineChars="200"/>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10.中小学校校本课程资源开发研究与实验课题组编著,《校本课程资源开发指南》，人民教育出版社，2004</w:t>
      </w:r>
      <w:r>
        <w:rPr>
          <w:rFonts w:ascii="宋体" w:hAnsi="宋体" w:eastAsia="宋体" w:cs="Times New Roman"/>
          <w:bCs/>
          <w:color w:val="auto"/>
          <w:sz w:val="21"/>
          <w:szCs w:val="21"/>
        </w:rPr>
        <w:t> </w:t>
      </w:r>
    </w:p>
    <w:p w14:paraId="053FF089">
      <w:pPr>
        <w:spacing w:line="360" w:lineRule="auto"/>
        <w:ind w:firstLine="420" w:firstLineChars="200"/>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11.王一军</w:t>
      </w:r>
      <w:r>
        <w:rPr>
          <w:rFonts w:ascii="宋体" w:hAnsi="宋体" w:eastAsia="宋体" w:cs="Times New Roman"/>
          <w:bCs/>
          <w:color w:val="auto"/>
          <w:sz w:val="21"/>
          <w:szCs w:val="21"/>
        </w:rPr>
        <w:t> 吕林海著</w:t>
      </w:r>
      <w:r>
        <w:rPr>
          <w:rFonts w:hint="eastAsia" w:ascii="宋体" w:hAnsi="宋体" w:eastAsia="宋体" w:cs="Times New Roman"/>
          <w:bCs/>
          <w:color w:val="auto"/>
          <w:sz w:val="21"/>
          <w:szCs w:val="21"/>
        </w:rPr>
        <w:t>,《校本课程开发：小学案例》,华东师范大学出版社，2009.</w:t>
      </w:r>
    </w:p>
    <w:p w14:paraId="526DDFB8">
      <w:pPr>
        <w:spacing w:line="360" w:lineRule="auto"/>
        <w:ind w:firstLine="420" w:firstLineChars="200"/>
        <w:jc w:val="left"/>
        <w:rPr>
          <w:color w:val="auto"/>
        </w:rPr>
      </w:pPr>
      <w:r>
        <w:rPr>
          <w:rFonts w:hint="eastAsia" w:ascii="宋体" w:hAnsi="宋体" w:eastAsia="宋体" w:cs="Times New Roman"/>
          <w:bCs/>
          <w:color w:val="auto"/>
          <w:sz w:val="21"/>
          <w:szCs w:val="21"/>
        </w:rPr>
        <w:t>12，本书编写组,</w:t>
      </w:r>
      <w:r>
        <w:rPr>
          <w:rFonts w:ascii="宋体" w:hAnsi="宋体" w:eastAsia="宋体" w:cs="Times New Roman"/>
          <w:bCs/>
          <w:color w:val="auto"/>
          <w:sz w:val="21"/>
          <w:szCs w:val="21"/>
        </w:rPr>
        <w:t>《新课改校本研究与课程新设计</w:t>
      </w:r>
      <w:r>
        <w:rPr>
          <w:rFonts w:hint="eastAsia" w:ascii="宋体" w:hAnsi="宋体" w:eastAsia="宋体" w:cs="Times New Roman"/>
          <w:bCs/>
          <w:color w:val="auto"/>
          <w:sz w:val="21"/>
          <w:szCs w:val="21"/>
        </w:rPr>
        <w:t>：校本课程开发案例</w:t>
      </w:r>
      <w:r>
        <w:rPr>
          <w:rFonts w:ascii="宋体" w:hAnsi="宋体" w:eastAsia="宋体" w:cs="Times New Roman"/>
          <w:bCs/>
          <w:color w:val="auto"/>
          <w:sz w:val="21"/>
          <w:szCs w:val="21"/>
        </w:rPr>
        <w:t>》</w:t>
      </w:r>
      <w:r>
        <w:rPr>
          <w:rFonts w:hint="eastAsia" w:ascii="宋体" w:hAnsi="宋体" w:eastAsia="宋体" w:cs="Times New Roman"/>
          <w:bCs/>
          <w:color w:val="auto"/>
          <w:sz w:val="21"/>
          <w:szCs w:val="21"/>
        </w:rPr>
        <w:t>，</w:t>
      </w:r>
      <w:r>
        <w:rPr>
          <w:rFonts w:ascii="宋体" w:hAnsi="宋体" w:eastAsia="宋体" w:cs="Times New Roman"/>
          <w:bCs/>
          <w:color w:val="auto"/>
          <w:sz w:val="21"/>
          <w:szCs w:val="21"/>
        </w:rPr>
        <w:t>人民日报出版社</w:t>
      </w:r>
      <w:r>
        <w:rPr>
          <w:rFonts w:hint="eastAsia" w:ascii="宋体" w:hAnsi="宋体" w:eastAsia="宋体" w:cs="Times New Roman"/>
          <w:bCs/>
          <w:color w:val="auto"/>
          <w:sz w:val="21"/>
          <w:szCs w:val="21"/>
        </w:rPr>
        <w:t>，2004.</w:t>
      </w:r>
    </w:p>
    <w:p w14:paraId="5C2C827D">
      <w:pPr>
        <w:keepNext w:val="0"/>
        <w:keepLines w:val="0"/>
        <w:pageBreakBefore w:val="0"/>
        <w:widowControl w:val="0"/>
        <w:kinsoku/>
        <w:overflowPunct/>
        <w:topLinePunct w:val="0"/>
        <w:autoSpaceDE/>
        <w:autoSpaceDN/>
        <w:bidi w:val="0"/>
        <w:adjustRightInd/>
        <w:snapToGrid/>
        <w:spacing w:line="360"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执 笔 人：张文娟</w:t>
      </w:r>
      <w:r>
        <w:rPr>
          <w:rFonts w:ascii="Times New Roman" w:hAnsi="Times New Roman" w:eastAsia="宋体" w:cs="Times New Roman"/>
          <w:color w:val="auto"/>
          <w:sz w:val="21"/>
          <w:szCs w:val="21"/>
        </w:rPr>
        <w:t xml:space="preserve"> </w:t>
      </w:r>
    </w:p>
    <w:p w14:paraId="3296DDC9">
      <w:pPr>
        <w:keepNext w:val="0"/>
        <w:keepLines w:val="0"/>
        <w:pageBreakBefore w:val="0"/>
        <w:widowControl w:val="0"/>
        <w:kinsoku/>
        <w:wordWrap w:val="0"/>
        <w:overflowPunct/>
        <w:topLinePunct w:val="0"/>
        <w:autoSpaceDE/>
        <w:autoSpaceDN/>
        <w:bidi w:val="0"/>
        <w:adjustRightInd/>
        <w:snapToGrid/>
        <w:spacing w:line="360"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 定 人：王</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健</w:t>
      </w:r>
    </w:p>
    <w:p w14:paraId="60C742D5">
      <w:pPr>
        <w:keepNext w:val="0"/>
        <w:keepLines w:val="0"/>
        <w:pageBreakBefore w:val="0"/>
        <w:widowControl w:val="0"/>
        <w:kinsoku/>
        <w:overflowPunct/>
        <w:topLinePunct w:val="0"/>
        <w:autoSpaceDE/>
        <w:autoSpaceDN/>
        <w:bidi w:val="0"/>
        <w:adjustRightInd/>
        <w:snapToGrid/>
        <w:spacing w:line="360"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 批 人：张志欣</w:t>
      </w:r>
    </w:p>
    <w:p w14:paraId="575BC4E9">
      <w:pPr>
        <w:keepNext w:val="0"/>
        <w:keepLines w:val="0"/>
        <w:pageBreakBefore w:val="0"/>
        <w:widowControl w:val="0"/>
        <w:kinsoku/>
        <w:overflowPunct/>
        <w:topLinePunct w:val="0"/>
        <w:autoSpaceDE/>
        <w:autoSpaceDN/>
        <w:bidi w:val="0"/>
        <w:adjustRightInd/>
        <w:snapToGrid/>
        <w:spacing w:line="360" w:lineRule="auto"/>
        <w:ind w:right="0"/>
        <w:jc w:val="righ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lang w:eastAsia="zh-CN"/>
        </w:rPr>
        <w:t>批准时间：2025年7月1日</w:t>
      </w:r>
    </w:p>
    <w:p w14:paraId="769E0F2F">
      <w:pPr>
        <w:rPr>
          <w:rFonts w:ascii="Times New Roman" w:hAnsi="Times New Roman" w:eastAsia="宋体" w:cs="Times New Roman"/>
          <w:color w:val="auto"/>
          <w:sz w:val="24"/>
        </w:rPr>
      </w:pPr>
      <w:r>
        <w:rPr>
          <w:rFonts w:hint="eastAsia" w:ascii="Times New Roman" w:hAnsi="Times New Roman" w:eastAsia="宋体" w:cs="Times New Roman"/>
          <w:color w:val="auto"/>
          <w:sz w:val="24"/>
        </w:rPr>
        <w:br w:type="page"/>
      </w:r>
    </w:p>
    <w:p w14:paraId="28B97789">
      <w:pPr>
        <w:spacing w:line="312" w:lineRule="auto"/>
        <w:jc w:val="center"/>
        <w:outlineLvl w:val="0"/>
        <w:rPr>
          <w:rStyle w:val="31"/>
          <w:color w:val="auto"/>
        </w:rPr>
      </w:pPr>
      <w:bookmarkStart w:id="346" w:name="_Toc6937"/>
      <w:bookmarkStart w:id="347" w:name="_Toc88340335"/>
      <w:bookmarkStart w:id="348" w:name="_Toc27635"/>
      <w:r>
        <w:rPr>
          <w:rStyle w:val="31"/>
          <w:rFonts w:hint="eastAsia"/>
          <w:color w:val="auto"/>
        </w:rPr>
        <w:t>《小学生心理辅导》课程教学大纲</w:t>
      </w:r>
      <w:bookmarkEnd w:id="346"/>
      <w:bookmarkEnd w:id="347"/>
      <w:bookmarkEnd w:id="348"/>
    </w:p>
    <w:p w14:paraId="6E2B872D">
      <w:pPr>
        <w:spacing w:line="312" w:lineRule="auto"/>
        <w:jc w:val="center"/>
        <w:rPr>
          <w:rFonts w:ascii="Times New Roman" w:hAnsi="Times New Roman" w:eastAsia="宋体" w:cs="Times New Roman"/>
          <w:b/>
          <w:bCs/>
          <w:color w:val="auto"/>
          <w:sz w:val="30"/>
        </w:rPr>
      </w:pPr>
      <w:r>
        <w:rPr>
          <w:rFonts w:ascii="Times New Roman" w:hAnsi="Times New Roman" w:eastAsia="宋体" w:cs="Times New Roman"/>
          <w:b/>
          <w:bCs/>
          <w:color w:val="auto"/>
          <w:sz w:val="30"/>
        </w:rPr>
        <w:t>（Psychological counseling for primary school students）</w:t>
      </w:r>
    </w:p>
    <w:p w14:paraId="16EDC355">
      <w:pPr>
        <w:spacing w:line="312" w:lineRule="auto"/>
        <w:jc w:val="center"/>
        <w:rPr>
          <w:rFonts w:ascii="Calibri" w:hAnsi="Calibri" w:eastAsia="黑体" w:cs="Times New Roman"/>
          <w:bCs/>
          <w:color w:val="auto"/>
          <w:sz w:val="21"/>
          <w:szCs w:val="18"/>
        </w:rPr>
      </w:pPr>
    </w:p>
    <w:p w14:paraId="44B390A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color w:val="auto"/>
          <w:sz w:val="24"/>
          <w:szCs w:val="24"/>
        </w:rPr>
      </w:pPr>
      <w:r>
        <w:rPr>
          <w:rFonts w:ascii="Times New Roman" w:hAnsi="Times New Roman" w:eastAsia="宋体" w:cs="Times New Roman"/>
          <w:b/>
          <w:bCs/>
          <w:color w:val="auto"/>
          <w:kern w:val="0"/>
          <w:sz w:val="24"/>
          <w:szCs w:val="24"/>
        </w:rPr>
        <w:t>课程代码：2401023</w:t>
      </w:r>
    </w:p>
    <w:p w14:paraId="37C1528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学    分：2</w:t>
      </w:r>
    </w:p>
    <w:p w14:paraId="0E87C23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学    时：32（其中：讲授学时24，课内实践学时8）</w:t>
      </w:r>
    </w:p>
    <w:p w14:paraId="27EA7BE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先修课程：小学心理学、教育心理学</w:t>
      </w:r>
    </w:p>
    <w:p w14:paraId="0931674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Calibri" w:hAnsi="Calibri" w:eastAsia="宋体" w:cs="Times New Roman"/>
          <w:b/>
          <w:bCs/>
          <w:color w:val="auto"/>
          <w:kern w:val="0"/>
          <w:sz w:val="24"/>
          <w:szCs w:val="24"/>
        </w:rPr>
      </w:pPr>
      <w:r>
        <w:rPr>
          <w:rFonts w:hint="eastAsia" w:ascii="Calibri" w:hAnsi="Calibri" w:eastAsia="宋体" w:cs="Times New Roman"/>
          <w:b/>
          <w:bCs/>
          <w:color w:val="auto"/>
          <w:kern w:val="0"/>
          <w:sz w:val="24"/>
          <w:szCs w:val="24"/>
        </w:rPr>
        <w:t>适用专业：</w:t>
      </w:r>
      <w:r>
        <w:rPr>
          <w:rFonts w:hint="eastAsia" w:ascii="Calibri" w:hAnsi="Calibri" w:eastAsia="宋体" w:cs="Times New Roman"/>
          <w:b/>
          <w:bCs/>
          <w:color w:val="auto"/>
          <w:sz w:val="24"/>
          <w:szCs w:val="24"/>
        </w:rPr>
        <w:t>小学教育</w:t>
      </w:r>
    </w:p>
    <w:p w14:paraId="27712B11">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ascii="Calibri" w:hAnsi="Calibri" w:eastAsia="宋体" w:cs="Times New Roman"/>
          <w:b/>
          <w:bCs/>
          <w:color w:val="auto"/>
          <w:kern w:val="0"/>
          <w:sz w:val="24"/>
          <w:szCs w:val="24"/>
        </w:rPr>
      </w:pPr>
      <w:r>
        <w:rPr>
          <w:rFonts w:hint="eastAsia" w:ascii="Calibri" w:hAnsi="Calibri" w:eastAsia="宋体" w:cs="Times New Roman"/>
          <w:b/>
          <w:bCs/>
          <w:color w:val="auto"/>
          <w:kern w:val="0"/>
          <w:sz w:val="24"/>
          <w:szCs w:val="24"/>
        </w:rPr>
        <w:t>一、课程简介</w:t>
      </w:r>
    </w:p>
    <w:p w14:paraId="3B8DF129">
      <w:pPr>
        <w:spacing w:line="360" w:lineRule="auto"/>
        <w:ind w:firstLine="420" w:firstLineChars="200"/>
        <w:rPr>
          <w:rFonts w:ascii="Calibri" w:hAnsi="Calibri" w:eastAsia="宋体" w:cs="Times New Roman"/>
          <w:color w:val="auto"/>
          <w:kern w:val="0"/>
          <w:sz w:val="21"/>
          <w:szCs w:val="21"/>
        </w:rPr>
      </w:pPr>
      <w:r>
        <w:rPr>
          <w:rFonts w:hint="eastAsia" w:ascii="Calibri" w:hAnsi="Calibri" w:eastAsia="宋体" w:cs="Times New Roman"/>
          <w:color w:val="auto"/>
          <w:kern w:val="0"/>
          <w:sz w:val="21"/>
          <w:szCs w:val="21"/>
        </w:rPr>
        <w:t>小学生心理辅导是小学教育专业的专业选修课程。课程通过对心理辅导技术的学习，结合小学生发展存在问题的研究，提高本专业学生的心理辅导的能力和操作技能。本课程的任务是掌握小学生心理辅导的基本概念和理论，学会心理辅导的基本方法，树立科学的心理辅导观，熟练运用小学生心理辅导规律和技术对小学生进行心理辅导。提高自己在生活和工作中的适应能力，能解决工作和生活中的各种心理健康问题。</w:t>
      </w:r>
    </w:p>
    <w:p w14:paraId="4F697E65">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hint="eastAsia" w:ascii="Calibri" w:hAnsi="Calibri" w:eastAsia="宋体" w:cs="Times New Roman"/>
          <w:b/>
          <w:bCs/>
          <w:color w:val="auto"/>
          <w:kern w:val="0"/>
          <w:sz w:val="24"/>
          <w:szCs w:val="24"/>
        </w:rPr>
      </w:pPr>
      <w:r>
        <w:rPr>
          <w:rFonts w:hint="eastAsia" w:ascii="Calibri" w:hAnsi="Calibri" w:eastAsia="宋体" w:cs="Times New Roman"/>
          <w:b/>
          <w:bCs/>
          <w:color w:val="auto"/>
          <w:kern w:val="0"/>
          <w:sz w:val="24"/>
          <w:szCs w:val="24"/>
        </w:rPr>
        <w:t>二、课程目标</w:t>
      </w:r>
    </w:p>
    <w:p w14:paraId="1D22D3FE">
      <w:pPr>
        <w:spacing w:line="360" w:lineRule="auto"/>
        <w:ind w:firstLine="422" w:firstLineChars="200"/>
        <w:rPr>
          <w:rFonts w:ascii="Calibri" w:hAnsi="Calibri" w:eastAsia="宋体" w:cs="Times New Roman"/>
          <w:b/>
          <w:color w:val="auto"/>
          <w:sz w:val="21"/>
          <w:szCs w:val="21"/>
        </w:rPr>
      </w:pPr>
      <w:r>
        <w:rPr>
          <w:rFonts w:hint="eastAsia" w:ascii="Calibri" w:hAnsi="Calibri" w:eastAsia="宋体" w:cs="Times New Roman"/>
          <w:b/>
          <w:color w:val="auto"/>
          <w:sz w:val="21"/>
          <w:szCs w:val="21"/>
        </w:rPr>
        <w:t>（一）课程具体目标</w:t>
      </w:r>
    </w:p>
    <w:p w14:paraId="5C2B6EF2">
      <w:pPr>
        <w:spacing w:line="360" w:lineRule="auto"/>
        <w:ind w:firstLine="420" w:firstLineChars="200"/>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目标1.阐释小学生心理辅导的目标和价值，形成以儿童发展为中心的辅导理念，分析小学儿童发展心理的规律，思政目标在于强化教师职业理念中的儿童中心思想，提高师范生的职业信念。</w:t>
      </w:r>
    </w:p>
    <w:p w14:paraId="094C122F">
      <w:pPr>
        <w:spacing w:line="360" w:lineRule="auto"/>
        <w:ind w:firstLine="420" w:firstLineChars="200"/>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目标2.尝试运用小学生心理辅导的理论，结合小学生心理辅导的主要技术，学会在小学生班队管理中设计团体辅导活动，思政目标是强化科学发展观，用学科发展的历史及对学科的流派的梳理培养科学精神。</w:t>
      </w:r>
    </w:p>
    <w:p w14:paraId="46624780">
      <w:pPr>
        <w:spacing w:line="360" w:lineRule="auto"/>
        <w:ind w:firstLine="420" w:firstLineChars="200"/>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目标3.学会分析小学生常见的心理问题，运用个别辅导技术设计辅导方案，在课内实践中验证方案的可行性</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思政目标是进一步提升教师职业素养，提高因材施教的能力。</w:t>
      </w:r>
    </w:p>
    <w:p w14:paraId="435DDCB5">
      <w:pPr>
        <w:spacing w:line="360" w:lineRule="auto"/>
        <w:ind w:firstLine="420" w:firstLineChars="200"/>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目标4.在课内实践过程中选择相应的小组活动形式，练习心理辅导的技能，获得团队活动体验，习得与学生、同伴和家长沟通的技能，思政目标是强调教育的生态观，师范生在活动中提升人际协调的能力和体验。</w:t>
      </w:r>
    </w:p>
    <w:p w14:paraId="02E8D21E">
      <w:pPr>
        <w:spacing w:line="360" w:lineRule="auto"/>
        <w:ind w:firstLine="422" w:firstLineChars="200"/>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6342"/>
        <w:gridCol w:w="1191"/>
      </w:tblGrid>
      <w:tr w14:paraId="3BEF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4" w:type="dxa"/>
            <w:vAlign w:val="center"/>
          </w:tcPr>
          <w:p w14:paraId="38D16B84">
            <w:pPr>
              <w:spacing w:line="360" w:lineRule="auto"/>
              <w:jc w:val="center"/>
              <w:rPr>
                <w:rFonts w:ascii="Times New Roman" w:hAnsi="Times New Roman" w:eastAsia="宋体" w:cs="Times New Roman"/>
                <w:b/>
                <w:bCs/>
                <w:color w:val="auto"/>
                <w:kern w:val="0"/>
                <w:sz w:val="20"/>
                <w:szCs w:val="21"/>
              </w:rPr>
            </w:pPr>
            <w:r>
              <w:rPr>
                <w:rFonts w:hint="eastAsia" w:ascii="Times New Roman" w:hAnsi="Times New Roman" w:eastAsia="宋体" w:cs="Times New Roman"/>
                <w:b/>
                <w:bCs/>
                <w:color w:val="auto"/>
                <w:kern w:val="0"/>
                <w:sz w:val="20"/>
                <w:szCs w:val="21"/>
              </w:rPr>
              <w:t>毕业要求</w:t>
            </w:r>
          </w:p>
        </w:tc>
        <w:tc>
          <w:tcPr>
            <w:tcW w:w="6342" w:type="dxa"/>
            <w:vAlign w:val="center"/>
          </w:tcPr>
          <w:p w14:paraId="55167DA6">
            <w:pPr>
              <w:spacing w:line="360" w:lineRule="auto"/>
              <w:jc w:val="center"/>
              <w:rPr>
                <w:rFonts w:ascii="Times New Roman" w:hAnsi="Times New Roman" w:eastAsia="宋体" w:cs="Times New Roman"/>
                <w:b/>
                <w:bCs/>
                <w:color w:val="auto"/>
                <w:kern w:val="0"/>
                <w:sz w:val="20"/>
                <w:szCs w:val="21"/>
              </w:rPr>
            </w:pPr>
            <w:r>
              <w:rPr>
                <w:rFonts w:hint="eastAsia" w:ascii="Times New Roman" w:hAnsi="Times New Roman" w:eastAsia="宋体" w:cs="Times New Roman"/>
                <w:b/>
                <w:bCs/>
                <w:color w:val="auto"/>
                <w:kern w:val="0"/>
                <w:sz w:val="20"/>
                <w:szCs w:val="21"/>
              </w:rPr>
              <w:t>毕业要求指标点</w:t>
            </w:r>
          </w:p>
        </w:tc>
        <w:tc>
          <w:tcPr>
            <w:tcW w:w="1191" w:type="dxa"/>
            <w:vAlign w:val="center"/>
          </w:tcPr>
          <w:p w14:paraId="5ADF19DA">
            <w:pPr>
              <w:spacing w:line="360" w:lineRule="auto"/>
              <w:jc w:val="center"/>
              <w:rPr>
                <w:rFonts w:ascii="Times New Roman" w:hAnsi="Times New Roman" w:eastAsia="宋体" w:cs="Times New Roman"/>
                <w:b/>
                <w:bCs/>
                <w:color w:val="auto"/>
                <w:kern w:val="0"/>
                <w:sz w:val="20"/>
                <w:szCs w:val="21"/>
              </w:rPr>
            </w:pPr>
            <w:r>
              <w:rPr>
                <w:rFonts w:hint="eastAsia" w:ascii="Times New Roman" w:hAnsi="Times New Roman" w:eastAsia="宋体" w:cs="Times New Roman"/>
                <w:b/>
                <w:bCs/>
                <w:color w:val="auto"/>
                <w:kern w:val="0"/>
                <w:sz w:val="20"/>
                <w:szCs w:val="21"/>
              </w:rPr>
              <w:t>课程目标</w:t>
            </w:r>
          </w:p>
        </w:tc>
      </w:tr>
      <w:tr w14:paraId="125C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4" w:type="dxa"/>
            <w:vAlign w:val="center"/>
          </w:tcPr>
          <w:p w14:paraId="4B625B60">
            <w:pPr>
              <w:spacing w:line="276" w:lineRule="auto"/>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毕业要求5</w:t>
            </w:r>
          </w:p>
          <w:p w14:paraId="73792B7B">
            <w:pPr>
              <w:spacing w:line="276" w:lineRule="auto"/>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班级管理</w:t>
            </w:r>
          </w:p>
        </w:tc>
        <w:tc>
          <w:tcPr>
            <w:tcW w:w="6342" w:type="dxa"/>
            <w:vAlign w:val="center"/>
          </w:tcPr>
          <w:p w14:paraId="0A85FA2F">
            <w:pPr>
              <w:spacing w:line="276" w:lineRule="auto"/>
              <w:jc w:val="left"/>
              <w:rPr>
                <w:rFonts w:ascii="Times New Roman" w:hAnsi="Times New Roman" w:eastAsia="宋体" w:cs="Times New Roman"/>
                <w:b w:val="0"/>
                <w:bCs w:val="0"/>
                <w:color w:val="auto"/>
                <w:kern w:val="0"/>
                <w:szCs w:val="21"/>
              </w:rPr>
            </w:pPr>
            <w:r>
              <w:rPr>
                <w:rFonts w:hint="eastAsia" w:ascii="Times New Roman" w:hAnsi="Times New Roman" w:eastAsia="宋体" w:cs="Times New Roman"/>
                <w:b w:val="0"/>
                <w:bCs w:val="0"/>
                <w:color w:val="auto"/>
                <w:kern w:val="0"/>
                <w:szCs w:val="21"/>
              </w:rPr>
              <w:t>指标点5-2：【重视身心健康教育】了解小学生身体、情感发展的特性和差异性，包括小学生日常卫生保健、传染病预防、意外伤害事故处理等相关知识，掌握面临特殊事件发生时保护学生的基本方法。获得小学心理健康教育指导体验，在教育教学实践中，参与组织与指导对小学生心理健康教育的科普宣传及心理辅导，掌握小学心理健康教育的基本方法。</w:t>
            </w:r>
          </w:p>
        </w:tc>
        <w:tc>
          <w:tcPr>
            <w:tcW w:w="1191" w:type="dxa"/>
            <w:vAlign w:val="center"/>
          </w:tcPr>
          <w:p w14:paraId="50DB9126">
            <w:pPr>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课程目标2、3</w:t>
            </w:r>
          </w:p>
        </w:tc>
      </w:tr>
      <w:tr w14:paraId="449DB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4" w:type="dxa"/>
            <w:vAlign w:val="center"/>
          </w:tcPr>
          <w:p w14:paraId="0F1EB0FE">
            <w:pPr>
              <w:spacing w:line="276" w:lineRule="auto"/>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毕业要求6</w:t>
            </w:r>
          </w:p>
          <w:p w14:paraId="785773B4">
            <w:pPr>
              <w:spacing w:line="276" w:lineRule="auto"/>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综合育人</w:t>
            </w:r>
          </w:p>
        </w:tc>
        <w:tc>
          <w:tcPr>
            <w:tcW w:w="6342" w:type="dxa"/>
            <w:vAlign w:val="center"/>
          </w:tcPr>
          <w:p w14:paraId="4DFEB7FA">
            <w:pPr>
              <w:spacing w:line="276" w:lineRule="auto"/>
              <w:jc w:val="left"/>
              <w:rPr>
                <w:rFonts w:hint="eastAsia" w:ascii="宋体" w:hAnsi="宋体" w:eastAsia="宋体" w:cs="Times New Roman"/>
                <w:b w:val="0"/>
                <w:bCs w:val="0"/>
                <w:color w:val="auto"/>
                <w:spacing w:val="2"/>
                <w:kern w:val="0"/>
                <w:szCs w:val="21"/>
              </w:rPr>
            </w:pPr>
            <w:r>
              <w:rPr>
                <w:rFonts w:hint="eastAsia" w:ascii="宋体" w:hAnsi="宋体" w:eastAsia="宋体" w:cs="Times New Roman"/>
                <w:b w:val="0"/>
                <w:bCs w:val="0"/>
                <w:color w:val="auto"/>
                <w:spacing w:val="2"/>
                <w:kern w:val="0"/>
                <w:szCs w:val="21"/>
              </w:rPr>
              <w:t>指标点6-1：【遵循身心规律】了解不同年龄以及有特殊需要的小学生的身心发展特点和规律、不同年龄小学生学习的特点，掌握小学生良好行为习惯养成的知识。</w:t>
            </w:r>
          </w:p>
          <w:p w14:paraId="3FE4C7C3">
            <w:pPr>
              <w:spacing w:line="276" w:lineRule="auto"/>
              <w:jc w:val="left"/>
              <w:rPr>
                <w:rFonts w:hint="eastAsia" w:ascii="Times New Roman" w:hAnsi="Times New Roman" w:eastAsia="宋体" w:cs="Times New Roman"/>
                <w:b w:val="0"/>
                <w:bCs w:val="0"/>
                <w:color w:val="auto"/>
                <w:kern w:val="0"/>
                <w:szCs w:val="21"/>
                <w:lang w:eastAsia="zh-CN"/>
              </w:rPr>
            </w:pPr>
            <w:r>
              <w:rPr>
                <w:rFonts w:hint="eastAsia" w:ascii="Times New Roman" w:hAnsi="Times New Roman" w:eastAsia="宋体" w:cs="Times New Roman"/>
                <w:b w:val="0"/>
                <w:bCs w:val="0"/>
                <w:color w:val="auto"/>
                <w:kern w:val="0"/>
                <w:szCs w:val="21"/>
                <w:lang w:eastAsia="zh-CN"/>
              </w:rPr>
              <w:t>指标点6-3：【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46D06ACB">
            <w:pPr>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课程目标1、4</w:t>
            </w:r>
          </w:p>
        </w:tc>
      </w:tr>
    </w:tbl>
    <w:p w14:paraId="2103D37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hint="eastAsia" w:ascii="宋体" w:hAnsi="宋体" w:eastAsia="宋体" w:cs="Times New Roman"/>
          <w:b/>
          <w:color w:val="auto"/>
          <w:sz w:val="24"/>
        </w:rPr>
      </w:pPr>
      <w:r>
        <w:rPr>
          <w:rFonts w:hint="eastAsia" w:ascii="Calibri" w:hAnsi="Calibri" w:eastAsia="宋体" w:cs="Times New Roman"/>
          <w:b/>
          <w:bCs/>
          <w:color w:val="auto"/>
          <w:kern w:val="0"/>
          <w:sz w:val="24"/>
          <w:szCs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2740"/>
        <w:gridCol w:w="1159"/>
        <w:gridCol w:w="2170"/>
        <w:gridCol w:w="171"/>
        <w:gridCol w:w="1339"/>
        <w:gridCol w:w="145"/>
        <w:gridCol w:w="369"/>
      </w:tblGrid>
      <w:tr w14:paraId="54E6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AD50567">
            <w:pPr>
              <w:spacing w:line="240" w:lineRule="auto"/>
              <w:jc w:val="center"/>
              <w:rPr>
                <w:rFonts w:hint="eastAsia" w:ascii="宋体" w:hAnsi="宋体" w:eastAsia="宋体" w:cs="Times New Roman"/>
                <w:b/>
                <w:color w:val="auto"/>
                <w:kern w:val="0"/>
                <w:sz w:val="20"/>
                <w:szCs w:val="21"/>
              </w:rPr>
            </w:pPr>
            <w:r>
              <w:rPr>
                <w:rFonts w:hint="eastAsia" w:ascii="宋体" w:hAnsi="宋体" w:eastAsia="宋体" w:cs="Times New Roman"/>
                <w:b/>
                <w:color w:val="auto"/>
                <w:kern w:val="0"/>
                <w:sz w:val="20"/>
                <w:szCs w:val="21"/>
              </w:rPr>
              <w:t>知识</w:t>
            </w:r>
          </w:p>
          <w:p w14:paraId="493D1397">
            <w:pPr>
              <w:spacing w:line="240" w:lineRule="auto"/>
              <w:jc w:val="center"/>
              <w:rPr>
                <w:rFonts w:hint="eastAsia" w:ascii="宋体" w:hAnsi="宋体" w:eastAsia="宋体" w:cs="Times New Roman"/>
                <w:b/>
                <w:color w:val="auto"/>
                <w:kern w:val="0"/>
                <w:sz w:val="20"/>
                <w:szCs w:val="21"/>
              </w:rPr>
            </w:pPr>
            <w:r>
              <w:rPr>
                <w:rFonts w:hint="eastAsia" w:ascii="宋体" w:hAnsi="宋体" w:eastAsia="宋体" w:cs="Times New Roman"/>
                <w:b/>
                <w:color w:val="auto"/>
                <w:kern w:val="0"/>
                <w:sz w:val="20"/>
                <w:szCs w:val="21"/>
              </w:rPr>
              <w:t>单元</w:t>
            </w:r>
          </w:p>
        </w:tc>
        <w:tc>
          <w:tcPr>
            <w:tcW w:w="2740" w:type="dxa"/>
            <w:vAlign w:val="center"/>
          </w:tcPr>
          <w:p w14:paraId="47255329">
            <w:pPr>
              <w:spacing w:line="240" w:lineRule="auto"/>
              <w:jc w:val="center"/>
              <w:rPr>
                <w:rFonts w:hint="eastAsia" w:ascii="宋体" w:hAnsi="宋体" w:eastAsia="宋体" w:cs="Times New Roman"/>
                <w:b/>
                <w:color w:val="auto"/>
                <w:kern w:val="0"/>
                <w:sz w:val="20"/>
                <w:szCs w:val="21"/>
              </w:rPr>
            </w:pPr>
            <w:r>
              <w:rPr>
                <w:rFonts w:hint="eastAsia" w:ascii="宋体" w:hAnsi="宋体" w:eastAsia="宋体" w:cs="Times New Roman"/>
                <w:b/>
                <w:color w:val="auto"/>
                <w:kern w:val="0"/>
                <w:sz w:val="20"/>
                <w:szCs w:val="21"/>
              </w:rPr>
              <w:t>知识点</w:t>
            </w:r>
          </w:p>
        </w:tc>
        <w:tc>
          <w:tcPr>
            <w:tcW w:w="1159" w:type="dxa"/>
            <w:vAlign w:val="center"/>
          </w:tcPr>
          <w:p w14:paraId="7DF4146C">
            <w:pPr>
              <w:spacing w:line="240" w:lineRule="auto"/>
              <w:jc w:val="center"/>
              <w:rPr>
                <w:rFonts w:hint="eastAsia" w:ascii="宋体" w:hAnsi="宋体" w:eastAsia="宋体" w:cs="Times New Roman"/>
                <w:b/>
                <w:color w:val="auto"/>
                <w:kern w:val="0"/>
                <w:sz w:val="20"/>
                <w:szCs w:val="21"/>
              </w:rPr>
            </w:pPr>
            <w:r>
              <w:rPr>
                <w:rFonts w:hint="eastAsia" w:ascii="宋体" w:hAnsi="宋体" w:eastAsia="宋体" w:cs="Times New Roman"/>
                <w:b/>
                <w:color w:val="auto"/>
                <w:kern w:val="0"/>
                <w:sz w:val="20"/>
                <w:szCs w:val="21"/>
              </w:rPr>
              <w:t>对应</w:t>
            </w:r>
          </w:p>
          <w:p w14:paraId="17C06CD9">
            <w:pPr>
              <w:spacing w:line="240" w:lineRule="auto"/>
              <w:jc w:val="center"/>
              <w:rPr>
                <w:rFonts w:hint="eastAsia" w:ascii="宋体" w:hAnsi="宋体" w:eastAsia="宋体" w:cs="Times New Roman"/>
                <w:b/>
                <w:color w:val="auto"/>
                <w:kern w:val="0"/>
                <w:sz w:val="20"/>
                <w:szCs w:val="21"/>
              </w:rPr>
            </w:pPr>
            <w:r>
              <w:rPr>
                <w:rFonts w:hint="eastAsia" w:ascii="宋体" w:hAnsi="宋体" w:eastAsia="宋体" w:cs="Times New Roman"/>
                <w:b/>
                <w:color w:val="auto"/>
                <w:kern w:val="0"/>
                <w:sz w:val="20"/>
                <w:szCs w:val="21"/>
              </w:rPr>
              <w:t>课程目标</w:t>
            </w:r>
          </w:p>
        </w:tc>
        <w:tc>
          <w:tcPr>
            <w:tcW w:w="2341" w:type="dxa"/>
            <w:gridSpan w:val="2"/>
            <w:vAlign w:val="center"/>
          </w:tcPr>
          <w:p w14:paraId="4C1C6CD1">
            <w:pPr>
              <w:spacing w:line="240" w:lineRule="auto"/>
              <w:jc w:val="center"/>
              <w:rPr>
                <w:rFonts w:hint="eastAsia" w:ascii="宋体" w:hAnsi="宋体" w:eastAsia="宋体" w:cs="Times New Roman"/>
                <w:b/>
                <w:color w:val="auto"/>
                <w:kern w:val="0"/>
                <w:sz w:val="20"/>
                <w:szCs w:val="21"/>
              </w:rPr>
            </w:pPr>
            <w:r>
              <w:rPr>
                <w:rFonts w:hint="eastAsia" w:ascii="宋体" w:hAnsi="宋体" w:eastAsia="宋体" w:cs="Times New Roman"/>
                <w:b/>
                <w:color w:val="auto"/>
                <w:kern w:val="0"/>
                <w:sz w:val="20"/>
                <w:szCs w:val="21"/>
              </w:rPr>
              <w:t>预期学习成效</w:t>
            </w:r>
          </w:p>
        </w:tc>
        <w:tc>
          <w:tcPr>
            <w:tcW w:w="1484" w:type="dxa"/>
            <w:gridSpan w:val="2"/>
            <w:vAlign w:val="center"/>
          </w:tcPr>
          <w:p w14:paraId="7987594D">
            <w:pPr>
              <w:spacing w:line="240" w:lineRule="auto"/>
              <w:jc w:val="center"/>
              <w:rPr>
                <w:rFonts w:hint="eastAsia" w:ascii="宋体" w:hAnsi="宋体" w:eastAsia="宋体" w:cs="Times New Roman"/>
                <w:b/>
                <w:color w:val="auto"/>
                <w:kern w:val="0"/>
                <w:sz w:val="20"/>
                <w:szCs w:val="21"/>
              </w:rPr>
            </w:pPr>
            <w:r>
              <w:rPr>
                <w:rFonts w:hint="eastAsia" w:ascii="宋体" w:hAnsi="宋体" w:eastAsia="宋体" w:cs="Times New Roman"/>
                <w:b/>
                <w:color w:val="auto"/>
                <w:kern w:val="0"/>
                <w:sz w:val="20"/>
                <w:szCs w:val="21"/>
              </w:rPr>
              <w:t>实现环节</w:t>
            </w:r>
          </w:p>
        </w:tc>
        <w:tc>
          <w:tcPr>
            <w:tcW w:w="369" w:type="dxa"/>
            <w:vAlign w:val="center"/>
          </w:tcPr>
          <w:p w14:paraId="5879D4D5">
            <w:pPr>
              <w:spacing w:line="240" w:lineRule="auto"/>
              <w:jc w:val="center"/>
              <w:rPr>
                <w:rFonts w:hint="eastAsia" w:ascii="宋体" w:hAnsi="宋体" w:eastAsia="宋体" w:cs="Times New Roman"/>
                <w:b/>
                <w:color w:val="auto"/>
                <w:kern w:val="0"/>
                <w:sz w:val="20"/>
                <w:szCs w:val="21"/>
              </w:rPr>
            </w:pPr>
            <w:r>
              <w:rPr>
                <w:rFonts w:hint="eastAsia" w:ascii="宋体" w:hAnsi="宋体" w:eastAsia="宋体" w:cs="Times New Roman"/>
                <w:b/>
                <w:color w:val="auto"/>
                <w:kern w:val="0"/>
                <w:sz w:val="20"/>
                <w:szCs w:val="21"/>
              </w:rPr>
              <w:t>学时</w:t>
            </w:r>
          </w:p>
        </w:tc>
      </w:tr>
      <w:tr w14:paraId="0CA0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8E9CB2A">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1.小学生心理辅导概述</w:t>
            </w:r>
          </w:p>
        </w:tc>
        <w:tc>
          <w:tcPr>
            <w:tcW w:w="2740" w:type="dxa"/>
            <w:vAlign w:val="center"/>
          </w:tcPr>
          <w:p w14:paraId="7C23ED62">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（1）小学生心理辅导的意义</w:t>
            </w:r>
          </w:p>
          <w:p w14:paraId="0956D4B9">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（2）小学生心理辅导的内涵</w:t>
            </w:r>
          </w:p>
          <w:p w14:paraId="632B6418">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（3）小学生心理辅导的目标</w:t>
            </w:r>
          </w:p>
          <w:p w14:paraId="12ABD0FA">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（4）小学生心理辅导的对象与内容</w:t>
            </w:r>
          </w:p>
          <w:p w14:paraId="647CBBA5">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（5）小学生心理辅导的原则</w:t>
            </w:r>
          </w:p>
        </w:tc>
        <w:tc>
          <w:tcPr>
            <w:tcW w:w="1159" w:type="dxa"/>
            <w:vAlign w:val="center"/>
          </w:tcPr>
          <w:p w14:paraId="203784F5">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课程目标1</w:t>
            </w:r>
          </w:p>
        </w:tc>
        <w:tc>
          <w:tcPr>
            <w:tcW w:w="2341" w:type="dxa"/>
            <w:gridSpan w:val="2"/>
            <w:vAlign w:val="center"/>
          </w:tcPr>
          <w:p w14:paraId="0CF46095">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（1）了解小学生心理辅导的意义，掌握小学生心理辅导的目标与对象；</w:t>
            </w:r>
          </w:p>
          <w:p w14:paraId="1629E2BD">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（2）理解小学生心理辅导的原则和内涵，形成正确的小学生心理辅导理念。</w:t>
            </w:r>
          </w:p>
        </w:tc>
        <w:tc>
          <w:tcPr>
            <w:tcW w:w="1484" w:type="dxa"/>
            <w:gridSpan w:val="2"/>
            <w:vAlign w:val="center"/>
          </w:tcPr>
          <w:p w14:paraId="5FEC1F63">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1.线上学习</w:t>
            </w:r>
          </w:p>
          <w:p w14:paraId="007CF1AF">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2.多媒体教学3.课堂讨论</w:t>
            </w:r>
          </w:p>
          <w:p w14:paraId="54507C72">
            <w:pPr>
              <w:spacing w:line="240" w:lineRule="auto"/>
              <w:jc w:val="left"/>
              <w:rPr>
                <w:rFonts w:hint="eastAsia" w:ascii="宋体" w:hAnsi="宋体" w:eastAsia="宋体" w:cs="Times New Roman"/>
                <w:color w:val="auto"/>
                <w:kern w:val="0"/>
                <w:szCs w:val="21"/>
              </w:rPr>
            </w:pPr>
          </w:p>
        </w:tc>
        <w:tc>
          <w:tcPr>
            <w:tcW w:w="369" w:type="dxa"/>
            <w:vAlign w:val="center"/>
          </w:tcPr>
          <w:p w14:paraId="2EC31242">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w:t>
            </w:r>
          </w:p>
        </w:tc>
      </w:tr>
      <w:tr w14:paraId="4CB8C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B12988D">
            <w:pPr>
              <w:spacing w:line="240" w:lineRule="auto"/>
              <w:jc w:val="center"/>
              <w:rPr>
                <w:rFonts w:hint="eastAsia" w:ascii="宋体" w:hAnsi="宋体" w:eastAsia="宋体" w:cs="Times New Roman"/>
                <w:color w:val="auto"/>
                <w:kern w:val="0"/>
                <w:szCs w:val="21"/>
              </w:rPr>
            </w:pPr>
          </w:p>
        </w:tc>
        <w:tc>
          <w:tcPr>
            <w:tcW w:w="8093" w:type="dxa"/>
            <w:gridSpan w:val="7"/>
            <w:vAlign w:val="center"/>
          </w:tcPr>
          <w:p w14:paraId="13736365">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建立“以人为本、立德树人”的教育价值观，并融入小学生心理辅导个案中。</w:t>
            </w:r>
          </w:p>
        </w:tc>
      </w:tr>
      <w:tr w14:paraId="4EAF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8533FE9">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w:t>
            </w:r>
            <w:r>
              <w:rPr>
                <w:rFonts w:hint="eastAsia" w:ascii="Times New Roman" w:hAnsi="Times New Roman" w:eastAsia="宋体" w:cs="Times New Roman"/>
                <w:color w:val="auto"/>
                <w:kern w:val="0"/>
                <w:szCs w:val="21"/>
              </w:rPr>
              <w:t xml:space="preserve"> </w:t>
            </w:r>
            <w:r>
              <w:rPr>
                <w:rFonts w:hint="eastAsia" w:ascii="宋体" w:hAnsi="宋体" w:eastAsia="宋体" w:cs="Times New Roman"/>
                <w:color w:val="auto"/>
                <w:kern w:val="0"/>
                <w:szCs w:val="21"/>
              </w:rPr>
              <w:t>小学生心理辅导的基本理论</w:t>
            </w:r>
          </w:p>
        </w:tc>
        <w:tc>
          <w:tcPr>
            <w:tcW w:w="2740" w:type="dxa"/>
            <w:vAlign w:val="center"/>
          </w:tcPr>
          <w:p w14:paraId="5CC7CDB2">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（1）精神分析理论</w:t>
            </w:r>
          </w:p>
          <w:p w14:paraId="782B0FC2">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（2）行为主义理论</w:t>
            </w:r>
          </w:p>
          <w:p w14:paraId="27088D79">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（3）理性情绪咨询理论</w:t>
            </w:r>
          </w:p>
          <w:p w14:paraId="0E282883">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（4）以人为中心的咨询理论</w:t>
            </w:r>
          </w:p>
          <w:p w14:paraId="35A6DCFE">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（5）群体动力理论</w:t>
            </w:r>
          </w:p>
        </w:tc>
        <w:tc>
          <w:tcPr>
            <w:tcW w:w="1159" w:type="dxa"/>
            <w:vAlign w:val="center"/>
          </w:tcPr>
          <w:p w14:paraId="5D78C6FA">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课程目标2、3</w:t>
            </w:r>
          </w:p>
        </w:tc>
        <w:tc>
          <w:tcPr>
            <w:tcW w:w="2341" w:type="dxa"/>
            <w:gridSpan w:val="2"/>
            <w:vAlign w:val="center"/>
          </w:tcPr>
          <w:p w14:paraId="7D764254">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（1）了解群体动力理论，理解各理论流派在小学生心理辅导中的适用性；</w:t>
            </w:r>
          </w:p>
          <w:p w14:paraId="3CDB84BB">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（2）掌握行为主义理论和理性情绪理论，能设计与相关理论相应的小学生心理辅导活动。</w:t>
            </w:r>
          </w:p>
        </w:tc>
        <w:tc>
          <w:tcPr>
            <w:tcW w:w="1484" w:type="dxa"/>
            <w:gridSpan w:val="2"/>
            <w:vAlign w:val="center"/>
          </w:tcPr>
          <w:p w14:paraId="4C7FC948">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1.线上学习</w:t>
            </w:r>
          </w:p>
          <w:p w14:paraId="5D59B6B5">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2.多媒体教学3.课堂讨论</w:t>
            </w:r>
          </w:p>
          <w:p w14:paraId="55C318A4">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4.课内实践</w:t>
            </w:r>
          </w:p>
        </w:tc>
        <w:tc>
          <w:tcPr>
            <w:tcW w:w="369" w:type="dxa"/>
            <w:vAlign w:val="center"/>
          </w:tcPr>
          <w:p w14:paraId="38953215">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w:t>
            </w:r>
          </w:p>
        </w:tc>
      </w:tr>
      <w:tr w14:paraId="1F34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DDFD469">
            <w:pPr>
              <w:spacing w:line="240" w:lineRule="auto"/>
              <w:jc w:val="center"/>
              <w:rPr>
                <w:rFonts w:hint="eastAsia" w:ascii="宋体" w:hAnsi="宋体" w:eastAsia="宋体" w:cs="Times New Roman"/>
                <w:color w:val="auto"/>
                <w:kern w:val="0"/>
                <w:szCs w:val="21"/>
              </w:rPr>
            </w:pPr>
          </w:p>
        </w:tc>
        <w:tc>
          <w:tcPr>
            <w:tcW w:w="8093" w:type="dxa"/>
            <w:gridSpan w:val="7"/>
            <w:vAlign w:val="center"/>
          </w:tcPr>
          <w:p w14:paraId="7EE480F4">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以全人的视角分析理论学习对小学生辅导的价值，进而形成正确的学生观、教育观。</w:t>
            </w:r>
          </w:p>
        </w:tc>
      </w:tr>
      <w:tr w14:paraId="0725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C265841">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w:t>
            </w:r>
            <w:r>
              <w:rPr>
                <w:rFonts w:hint="eastAsia" w:ascii="Times New Roman" w:hAnsi="Times New Roman" w:eastAsia="宋体" w:cs="Times New Roman"/>
                <w:color w:val="auto"/>
                <w:kern w:val="0"/>
                <w:szCs w:val="21"/>
              </w:rPr>
              <w:t xml:space="preserve"> </w:t>
            </w:r>
            <w:r>
              <w:rPr>
                <w:rFonts w:hint="eastAsia" w:ascii="宋体" w:hAnsi="宋体" w:eastAsia="宋体" w:cs="Times New Roman"/>
                <w:color w:val="auto"/>
                <w:kern w:val="0"/>
                <w:szCs w:val="21"/>
              </w:rPr>
              <w:t>小学生心理辅导的基本技术</w:t>
            </w:r>
          </w:p>
        </w:tc>
        <w:tc>
          <w:tcPr>
            <w:tcW w:w="2740" w:type="dxa"/>
            <w:vAlign w:val="center"/>
          </w:tcPr>
          <w:p w14:paraId="561479CC">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（1）心理辅导关系建立技术</w:t>
            </w:r>
          </w:p>
          <w:p w14:paraId="6A916C2F">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（2）晤谈技术</w:t>
            </w:r>
          </w:p>
          <w:p w14:paraId="67F0488C">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（3）心理评估技术</w:t>
            </w:r>
          </w:p>
        </w:tc>
        <w:tc>
          <w:tcPr>
            <w:tcW w:w="1159" w:type="dxa"/>
            <w:vAlign w:val="center"/>
          </w:tcPr>
          <w:p w14:paraId="081C1E45">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课程目标3、4</w:t>
            </w:r>
          </w:p>
        </w:tc>
        <w:tc>
          <w:tcPr>
            <w:tcW w:w="2341" w:type="dxa"/>
            <w:gridSpan w:val="2"/>
            <w:vAlign w:val="center"/>
          </w:tcPr>
          <w:p w14:paraId="39C1F6C3">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（1）了解上小学生心理辅导的基本技术的构成，理解心理辅导技术的流程；</w:t>
            </w:r>
          </w:p>
          <w:p w14:paraId="61246B6F">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（2）掌握心理辅导关系的建立、晤谈技术的基本要点，能运用心理评估技术对小学生进行初步的心理评估。</w:t>
            </w:r>
          </w:p>
        </w:tc>
        <w:tc>
          <w:tcPr>
            <w:tcW w:w="1484" w:type="dxa"/>
            <w:gridSpan w:val="2"/>
            <w:vAlign w:val="center"/>
          </w:tcPr>
          <w:p w14:paraId="4D3A5DEF">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1.线上学习</w:t>
            </w:r>
          </w:p>
          <w:p w14:paraId="53328725">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2.多媒体教学3.课堂讨论</w:t>
            </w:r>
          </w:p>
          <w:p w14:paraId="547770CE">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4.</w:t>
            </w:r>
            <w:r>
              <w:rPr>
                <w:rFonts w:hint="eastAsia" w:ascii="宋体" w:hAnsi="宋体" w:eastAsia="宋体" w:cs="Times New Roman"/>
                <w:color w:val="auto"/>
                <w:kern w:val="0"/>
                <w:szCs w:val="21"/>
              </w:rPr>
              <w:t>课内实践</w:t>
            </w:r>
          </w:p>
        </w:tc>
        <w:tc>
          <w:tcPr>
            <w:tcW w:w="369" w:type="dxa"/>
            <w:vAlign w:val="center"/>
          </w:tcPr>
          <w:p w14:paraId="052F6AED">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w:t>
            </w:r>
          </w:p>
        </w:tc>
      </w:tr>
      <w:tr w14:paraId="5A1F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EA8DE6D">
            <w:pPr>
              <w:spacing w:line="240" w:lineRule="auto"/>
              <w:jc w:val="center"/>
              <w:rPr>
                <w:rFonts w:hint="eastAsia" w:ascii="宋体" w:hAnsi="宋体" w:eastAsia="宋体" w:cs="Times New Roman"/>
                <w:color w:val="auto"/>
                <w:kern w:val="0"/>
                <w:szCs w:val="21"/>
              </w:rPr>
            </w:pPr>
          </w:p>
        </w:tc>
        <w:tc>
          <w:tcPr>
            <w:tcW w:w="8093" w:type="dxa"/>
            <w:gridSpan w:val="7"/>
            <w:vAlign w:val="center"/>
          </w:tcPr>
          <w:p w14:paraId="3F69D510">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了解小学生心理辅导的基本技术和流程，建立“民主、平等”的师生关系，培养德智体美劳全面发展的人。</w:t>
            </w:r>
          </w:p>
        </w:tc>
      </w:tr>
      <w:tr w14:paraId="458E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9B0C05D">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w:t>
            </w:r>
            <w:r>
              <w:rPr>
                <w:rFonts w:hint="eastAsia" w:ascii="Times New Roman" w:hAnsi="Times New Roman" w:eastAsia="宋体" w:cs="Times New Roman"/>
                <w:color w:val="auto"/>
                <w:kern w:val="0"/>
                <w:szCs w:val="21"/>
              </w:rPr>
              <w:t xml:space="preserve"> </w:t>
            </w:r>
            <w:r>
              <w:rPr>
                <w:rFonts w:hint="eastAsia" w:ascii="宋体" w:hAnsi="宋体" w:eastAsia="宋体" w:cs="Times New Roman"/>
                <w:color w:val="auto"/>
                <w:kern w:val="0"/>
                <w:szCs w:val="21"/>
              </w:rPr>
              <w:t>小学生常见的心理问题及其辅导</w:t>
            </w:r>
          </w:p>
        </w:tc>
        <w:tc>
          <w:tcPr>
            <w:tcW w:w="2740" w:type="dxa"/>
            <w:vAlign w:val="center"/>
          </w:tcPr>
          <w:p w14:paraId="5CD055C6">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（1）小学生认知心理问题及其辅导</w:t>
            </w:r>
          </w:p>
          <w:p w14:paraId="3F776A4A">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（2）小学生学习心理问题及其辅导</w:t>
            </w:r>
          </w:p>
          <w:p w14:paraId="63357F28">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（3）小学生人际交往心理问题及其辅导</w:t>
            </w:r>
          </w:p>
          <w:p w14:paraId="165C1F6A">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（4）小学生情绪、意志心理问题及其辅导</w:t>
            </w:r>
          </w:p>
        </w:tc>
        <w:tc>
          <w:tcPr>
            <w:tcW w:w="1159" w:type="dxa"/>
            <w:vAlign w:val="center"/>
          </w:tcPr>
          <w:p w14:paraId="672DDEFA">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课程目标3</w:t>
            </w:r>
          </w:p>
        </w:tc>
        <w:tc>
          <w:tcPr>
            <w:tcW w:w="2341" w:type="dxa"/>
            <w:gridSpan w:val="2"/>
            <w:vAlign w:val="center"/>
          </w:tcPr>
          <w:p w14:paraId="65D002DF">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（1）了解小学生常见的各类心理问题的表现，学会分析影响小学生心理问题的各类因素，并能提出辅导建议；</w:t>
            </w:r>
          </w:p>
          <w:p w14:paraId="780B0DFC">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（2）掌握小学生各类心理问题的辅导方法，能设计小学生心理问题辅导的方案并能加以实施。</w:t>
            </w:r>
          </w:p>
        </w:tc>
        <w:tc>
          <w:tcPr>
            <w:tcW w:w="1484" w:type="dxa"/>
            <w:gridSpan w:val="2"/>
            <w:vAlign w:val="center"/>
          </w:tcPr>
          <w:p w14:paraId="5B2468BE">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1.线上学习</w:t>
            </w:r>
          </w:p>
          <w:p w14:paraId="1ED325F4">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2.多媒体教学3.课堂讨论</w:t>
            </w:r>
          </w:p>
          <w:p w14:paraId="2563CED2">
            <w:pPr>
              <w:spacing w:line="240" w:lineRule="auto"/>
              <w:jc w:val="left"/>
              <w:rPr>
                <w:rFonts w:hint="eastAsia" w:ascii="宋体" w:hAnsi="宋体" w:eastAsia="宋体" w:cs="Times New Roman"/>
                <w:color w:val="auto"/>
                <w:kern w:val="0"/>
                <w:szCs w:val="21"/>
              </w:rPr>
            </w:pPr>
          </w:p>
        </w:tc>
        <w:tc>
          <w:tcPr>
            <w:tcW w:w="369" w:type="dxa"/>
            <w:vAlign w:val="center"/>
          </w:tcPr>
          <w:p w14:paraId="01020537">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w:t>
            </w:r>
          </w:p>
        </w:tc>
      </w:tr>
      <w:tr w14:paraId="6ECC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198AABD">
            <w:pPr>
              <w:spacing w:line="240" w:lineRule="auto"/>
              <w:jc w:val="center"/>
              <w:rPr>
                <w:rFonts w:hint="eastAsia" w:ascii="宋体" w:hAnsi="宋体" w:eastAsia="宋体" w:cs="Times New Roman"/>
                <w:color w:val="auto"/>
                <w:kern w:val="0"/>
                <w:szCs w:val="21"/>
              </w:rPr>
            </w:pPr>
          </w:p>
        </w:tc>
        <w:tc>
          <w:tcPr>
            <w:tcW w:w="8093" w:type="dxa"/>
            <w:gridSpan w:val="7"/>
            <w:vAlign w:val="center"/>
          </w:tcPr>
          <w:p w14:paraId="28DAD939">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通过了解小学生常见的心理问题，培养学生热爱教育事业和学生的情感，增强从事教育事业的责任感和使命感。</w:t>
            </w:r>
          </w:p>
        </w:tc>
      </w:tr>
      <w:tr w14:paraId="3398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730D66D">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5.</w:t>
            </w:r>
            <w:r>
              <w:rPr>
                <w:rFonts w:hint="eastAsia" w:ascii="Times New Roman" w:hAnsi="Times New Roman" w:eastAsia="宋体" w:cs="Times New Roman"/>
                <w:color w:val="auto"/>
                <w:kern w:val="0"/>
                <w:szCs w:val="21"/>
              </w:rPr>
              <w:t xml:space="preserve"> </w:t>
            </w:r>
            <w:r>
              <w:rPr>
                <w:rFonts w:hint="eastAsia" w:ascii="宋体" w:hAnsi="宋体" w:eastAsia="宋体" w:cs="Times New Roman"/>
                <w:color w:val="auto"/>
                <w:kern w:val="0"/>
                <w:szCs w:val="21"/>
              </w:rPr>
              <w:t>小学生问题行为的甄别与干预</w:t>
            </w:r>
          </w:p>
        </w:tc>
        <w:tc>
          <w:tcPr>
            <w:tcW w:w="2740" w:type="dxa"/>
            <w:vAlign w:val="center"/>
          </w:tcPr>
          <w:p w14:paraId="179EEA98">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（1）问题行为的概述</w:t>
            </w:r>
          </w:p>
          <w:p w14:paraId="469A7846">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（2）品行问题的甄别与干预</w:t>
            </w:r>
          </w:p>
          <w:p w14:paraId="2F04F1F8">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（3）不良行为习惯的甄别与干预</w:t>
            </w:r>
          </w:p>
          <w:p w14:paraId="6BC37715">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（4）退缩行为的甄别与干预（4）素质教育创新人才培养</w:t>
            </w:r>
          </w:p>
        </w:tc>
        <w:tc>
          <w:tcPr>
            <w:tcW w:w="1159" w:type="dxa"/>
            <w:vAlign w:val="center"/>
          </w:tcPr>
          <w:p w14:paraId="44BC3F1D">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课程目标3</w:t>
            </w:r>
          </w:p>
        </w:tc>
        <w:tc>
          <w:tcPr>
            <w:tcW w:w="2341" w:type="dxa"/>
            <w:gridSpan w:val="2"/>
            <w:vAlign w:val="center"/>
          </w:tcPr>
          <w:p w14:paraId="04CE1754">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（1）理解问题行为的涵义和分类，掌握各类问题行为的特征；</w:t>
            </w:r>
          </w:p>
          <w:p w14:paraId="7161922F">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（2）了解小学生问题各类问题行为的甄别方法，能针对不同的问题行为提出辅导建议。</w:t>
            </w:r>
          </w:p>
        </w:tc>
        <w:tc>
          <w:tcPr>
            <w:tcW w:w="1484" w:type="dxa"/>
            <w:gridSpan w:val="2"/>
            <w:vAlign w:val="center"/>
          </w:tcPr>
          <w:p w14:paraId="4731F668">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1.线上学习</w:t>
            </w:r>
          </w:p>
          <w:p w14:paraId="62C6CBD2">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2.多媒体教学3.课堂讨论</w:t>
            </w:r>
          </w:p>
          <w:p w14:paraId="7F862189">
            <w:pPr>
              <w:spacing w:line="240" w:lineRule="auto"/>
              <w:jc w:val="left"/>
              <w:rPr>
                <w:rFonts w:hint="eastAsia" w:ascii="宋体" w:hAnsi="宋体" w:eastAsia="宋体" w:cs="Times New Roman"/>
                <w:color w:val="auto"/>
                <w:kern w:val="0"/>
                <w:szCs w:val="21"/>
              </w:rPr>
            </w:pPr>
          </w:p>
        </w:tc>
        <w:tc>
          <w:tcPr>
            <w:tcW w:w="369" w:type="dxa"/>
            <w:vAlign w:val="center"/>
          </w:tcPr>
          <w:p w14:paraId="57C17456">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w:t>
            </w:r>
          </w:p>
        </w:tc>
      </w:tr>
      <w:tr w14:paraId="5943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DABD586">
            <w:pPr>
              <w:spacing w:line="240" w:lineRule="auto"/>
              <w:jc w:val="center"/>
              <w:rPr>
                <w:rFonts w:hint="eastAsia" w:ascii="宋体" w:hAnsi="宋体" w:eastAsia="宋体" w:cs="Times New Roman"/>
                <w:color w:val="auto"/>
                <w:kern w:val="0"/>
                <w:szCs w:val="21"/>
              </w:rPr>
            </w:pPr>
          </w:p>
        </w:tc>
        <w:tc>
          <w:tcPr>
            <w:tcW w:w="8093" w:type="dxa"/>
            <w:gridSpan w:val="7"/>
            <w:vAlign w:val="center"/>
          </w:tcPr>
          <w:p w14:paraId="142B3958">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通过对小学生问题行为的甄别与干预能够用整体观看待小学生问题行为与干预。</w:t>
            </w:r>
          </w:p>
        </w:tc>
      </w:tr>
      <w:tr w14:paraId="0A00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15BBDAB">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6.</w:t>
            </w:r>
            <w:r>
              <w:rPr>
                <w:rFonts w:hint="eastAsia" w:ascii="Times New Roman" w:hAnsi="Times New Roman" w:eastAsia="宋体" w:cs="Times New Roman"/>
                <w:color w:val="auto"/>
                <w:kern w:val="0"/>
                <w:szCs w:val="21"/>
              </w:rPr>
              <w:t xml:space="preserve"> </w:t>
            </w:r>
            <w:r>
              <w:rPr>
                <w:rFonts w:hint="eastAsia" w:ascii="宋体" w:hAnsi="宋体" w:eastAsia="宋体" w:cs="Times New Roman"/>
                <w:color w:val="auto"/>
                <w:kern w:val="0"/>
                <w:szCs w:val="21"/>
              </w:rPr>
              <w:t>小学生心理障碍的甄别与干预</w:t>
            </w:r>
          </w:p>
        </w:tc>
        <w:tc>
          <w:tcPr>
            <w:tcW w:w="2740" w:type="dxa"/>
            <w:vAlign w:val="center"/>
          </w:tcPr>
          <w:p w14:paraId="0787F52F">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（1）注意缺陷多动障碍的甄别与干预；</w:t>
            </w:r>
          </w:p>
          <w:p w14:paraId="05D5B810">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（2）品行障碍的甄别与干预；</w:t>
            </w:r>
          </w:p>
          <w:p w14:paraId="7302E2D3">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（3）小学生情感障碍的甄别与干预。</w:t>
            </w:r>
          </w:p>
          <w:p w14:paraId="50C4AE84">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（4）学习和交流障碍的甄别与干预；</w:t>
            </w:r>
          </w:p>
          <w:p w14:paraId="2467CD28">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（5）精神发育迟滞的甄别与干预；</w:t>
            </w:r>
          </w:p>
          <w:p w14:paraId="3D362AC8">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（6）自闭症的甄别。</w:t>
            </w:r>
          </w:p>
        </w:tc>
        <w:tc>
          <w:tcPr>
            <w:tcW w:w="1159" w:type="dxa"/>
            <w:vAlign w:val="center"/>
          </w:tcPr>
          <w:p w14:paraId="62141DC9">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课程目标3</w:t>
            </w:r>
          </w:p>
        </w:tc>
        <w:tc>
          <w:tcPr>
            <w:tcW w:w="2341" w:type="dxa"/>
            <w:gridSpan w:val="2"/>
            <w:vAlign w:val="center"/>
          </w:tcPr>
          <w:p w14:paraId="38C78DC6">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（1）掌握小学生常见的心理障碍分类及基本的甄别方法，并具有简单的干预能力；</w:t>
            </w:r>
          </w:p>
          <w:p w14:paraId="5A96B208">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（2）了解各类心理障碍的表现和影响因素，具备基本的心理干预意识。</w:t>
            </w:r>
          </w:p>
        </w:tc>
        <w:tc>
          <w:tcPr>
            <w:tcW w:w="1484" w:type="dxa"/>
            <w:gridSpan w:val="2"/>
            <w:vAlign w:val="center"/>
          </w:tcPr>
          <w:p w14:paraId="6238B339">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1.线上学习</w:t>
            </w:r>
          </w:p>
          <w:p w14:paraId="34407523">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2.多媒体教学3.课堂讨论</w:t>
            </w:r>
          </w:p>
          <w:p w14:paraId="27DA9AFB">
            <w:pPr>
              <w:spacing w:line="240" w:lineRule="auto"/>
              <w:jc w:val="left"/>
              <w:rPr>
                <w:rFonts w:hint="eastAsia" w:ascii="宋体" w:hAnsi="宋体" w:eastAsia="宋体" w:cs="Times New Roman"/>
                <w:color w:val="auto"/>
                <w:kern w:val="0"/>
                <w:szCs w:val="21"/>
              </w:rPr>
            </w:pPr>
          </w:p>
        </w:tc>
        <w:tc>
          <w:tcPr>
            <w:tcW w:w="369" w:type="dxa"/>
            <w:vAlign w:val="center"/>
          </w:tcPr>
          <w:p w14:paraId="08784BCE">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w:t>
            </w:r>
          </w:p>
        </w:tc>
      </w:tr>
      <w:tr w14:paraId="179B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C1D1F3A">
            <w:pPr>
              <w:spacing w:line="240" w:lineRule="auto"/>
              <w:jc w:val="center"/>
              <w:rPr>
                <w:rFonts w:hint="eastAsia" w:ascii="宋体" w:hAnsi="宋体" w:eastAsia="宋体" w:cs="Times New Roman"/>
                <w:color w:val="auto"/>
                <w:kern w:val="0"/>
                <w:szCs w:val="21"/>
              </w:rPr>
            </w:pPr>
          </w:p>
        </w:tc>
        <w:tc>
          <w:tcPr>
            <w:tcW w:w="8093" w:type="dxa"/>
            <w:gridSpan w:val="7"/>
            <w:vAlign w:val="center"/>
          </w:tcPr>
          <w:p w14:paraId="6443C9A3">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通过对小学生心理障碍的甄别与干预的学习，形成全面发展的教育观，确立从教信念。</w:t>
            </w:r>
          </w:p>
        </w:tc>
      </w:tr>
      <w:tr w14:paraId="7955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E3FAA0C">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7小学生游戏辅导</w:t>
            </w:r>
          </w:p>
        </w:tc>
        <w:tc>
          <w:tcPr>
            <w:tcW w:w="2740" w:type="dxa"/>
            <w:vAlign w:val="center"/>
          </w:tcPr>
          <w:p w14:paraId="2B6B6D98">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（1）游戏辅导的意义和主要理论</w:t>
            </w:r>
          </w:p>
          <w:p w14:paraId="535834E3">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（2）游戏辅导实施</w:t>
            </w:r>
          </w:p>
          <w:p w14:paraId="79F1CC0B">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（3）沙盘游戏辅导</w:t>
            </w:r>
          </w:p>
        </w:tc>
        <w:tc>
          <w:tcPr>
            <w:tcW w:w="1159" w:type="dxa"/>
            <w:vAlign w:val="center"/>
          </w:tcPr>
          <w:p w14:paraId="4C2DAB32">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课程目标1、2、3</w:t>
            </w:r>
          </w:p>
        </w:tc>
        <w:tc>
          <w:tcPr>
            <w:tcW w:w="2341" w:type="dxa"/>
            <w:gridSpan w:val="2"/>
            <w:vAlign w:val="center"/>
          </w:tcPr>
          <w:p w14:paraId="0F0D77E8">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（1）了解游戏辅导的意义和主要的游戏辅导理论，掌握游戏辅导的涵义和分类；</w:t>
            </w:r>
          </w:p>
          <w:p w14:paraId="12BDB17C">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（2）掌握几种主要的心理游戏辅导活动，能进行游戏设计和实施。</w:t>
            </w:r>
          </w:p>
        </w:tc>
        <w:tc>
          <w:tcPr>
            <w:tcW w:w="1484" w:type="dxa"/>
            <w:gridSpan w:val="2"/>
            <w:vAlign w:val="center"/>
          </w:tcPr>
          <w:p w14:paraId="124EB05A">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1.线上学习</w:t>
            </w:r>
          </w:p>
          <w:p w14:paraId="6FD0190D">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2.多媒体教学3.课堂讨论</w:t>
            </w:r>
          </w:p>
          <w:p w14:paraId="1D5DF5F2">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4.</w:t>
            </w:r>
            <w:r>
              <w:rPr>
                <w:rFonts w:hint="eastAsia" w:ascii="宋体" w:hAnsi="宋体" w:eastAsia="宋体" w:cs="Times New Roman"/>
                <w:color w:val="auto"/>
                <w:kern w:val="0"/>
                <w:szCs w:val="21"/>
              </w:rPr>
              <w:t>课内实践</w:t>
            </w:r>
          </w:p>
        </w:tc>
        <w:tc>
          <w:tcPr>
            <w:tcW w:w="369" w:type="dxa"/>
            <w:vAlign w:val="center"/>
          </w:tcPr>
          <w:p w14:paraId="38B0FFE2">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w:t>
            </w:r>
          </w:p>
        </w:tc>
      </w:tr>
      <w:tr w14:paraId="5216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A46C474">
            <w:pPr>
              <w:spacing w:line="240" w:lineRule="auto"/>
              <w:jc w:val="center"/>
              <w:rPr>
                <w:rFonts w:hint="eastAsia" w:ascii="宋体" w:hAnsi="宋体" w:eastAsia="宋体" w:cs="Times New Roman"/>
                <w:color w:val="auto"/>
                <w:kern w:val="0"/>
                <w:szCs w:val="21"/>
              </w:rPr>
            </w:pPr>
          </w:p>
        </w:tc>
        <w:tc>
          <w:tcPr>
            <w:tcW w:w="8093" w:type="dxa"/>
            <w:gridSpan w:val="7"/>
            <w:vAlign w:val="center"/>
          </w:tcPr>
          <w:p w14:paraId="67EB89E7">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了解小学生游戏辅导，用发展眼光看待学生的发展潜能。</w:t>
            </w:r>
          </w:p>
        </w:tc>
      </w:tr>
      <w:tr w14:paraId="7030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DCBE61E">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8.</w:t>
            </w:r>
            <w:r>
              <w:rPr>
                <w:rFonts w:hint="eastAsia" w:ascii="Times New Roman" w:hAnsi="Times New Roman" w:eastAsia="宋体" w:cs="Times New Roman"/>
                <w:color w:val="auto"/>
                <w:kern w:val="0"/>
                <w:szCs w:val="21"/>
              </w:rPr>
              <w:t xml:space="preserve"> </w:t>
            </w:r>
            <w:r>
              <w:rPr>
                <w:rFonts w:hint="eastAsia" w:ascii="宋体" w:hAnsi="宋体" w:eastAsia="宋体" w:cs="Times New Roman"/>
                <w:color w:val="auto"/>
                <w:kern w:val="0"/>
                <w:szCs w:val="21"/>
              </w:rPr>
              <w:t>小学生心理剧辅导</w:t>
            </w:r>
          </w:p>
        </w:tc>
        <w:tc>
          <w:tcPr>
            <w:tcW w:w="2740" w:type="dxa"/>
            <w:vAlign w:val="center"/>
          </w:tcPr>
          <w:p w14:paraId="5247E9A9">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（1）心理剧辅导的概述</w:t>
            </w:r>
          </w:p>
          <w:p w14:paraId="2BDBCD4A">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（2）小学生心理剧辅导的理论</w:t>
            </w:r>
          </w:p>
          <w:p w14:paraId="2A5F6202">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（3）小学生心理剧辅导的组织与实施</w:t>
            </w:r>
          </w:p>
        </w:tc>
        <w:tc>
          <w:tcPr>
            <w:tcW w:w="1159" w:type="dxa"/>
            <w:vAlign w:val="center"/>
          </w:tcPr>
          <w:p w14:paraId="283F9D34">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课程目标1、3、4</w:t>
            </w:r>
          </w:p>
        </w:tc>
        <w:tc>
          <w:tcPr>
            <w:tcW w:w="2341" w:type="dxa"/>
            <w:gridSpan w:val="2"/>
            <w:vAlign w:val="center"/>
          </w:tcPr>
          <w:p w14:paraId="2B7E8964">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（1）了解小学生心理剧辅导的理论，理解心理剧辅导的涵义和类型；</w:t>
            </w:r>
          </w:p>
          <w:p w14:paraId="30698F54">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（2）掌握小学生心理剧辅导的组织和实施过程，能在团队活动中组织开展心理剧活动。</w:t>
            </w:r>
          </w:p>
        </w:tc>
        <w:tc>
          <w:tcPr>
            <w:tcW w:w="1484" w:type="dxa"/>
            <w:gridSpan w:val="2"/>
            <w:vAlign w:val="center"/>
          </w:tcPr>
          <w:p w14:paraId="5CAC66BA">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1.线上学习</w:t>
            </w:r>
          </w:p>
          <w:p w14:paraId="5CEDC5E9">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2.多媒体教学3.课堂讨论</w:t>
            </w:r>
          </w:p>
          <w:p w14:paraId="28CE5B68">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4.</w:t>
            </w:r>
            <w:r>
              <w:rPr>
                <w:rFonts w:hint="eastAsia" w:ascii="宋体" w:hAnsi="宋体" w:eastAsia="宋体" w:cs="Times New Roman"/>
                <w:color w:val="auto"/>
                <w:kern w:val="0"/>
                <w:szCs w:val="21"/>
              </w:rPr>
              <w:t>课内实践</w:t>
            </w:r>
          </w:p>
        </w:tc>
        <w:tc>
          <w:tcPr>
            <w:tcW w:w="369" w:type="dxa"/>
            <w:vAlign w:val="center"/>
          </w:tcPr>
          <w:p w14:paraId="0F955D81">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w:t>
            </w:r>
          </w:p>
        </w:tc>
      </w:tr>
      <w:tr w14:paraId="1901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EBE870B">
            <w:pPr>
              <w:spacing w:line="240" w:lineRule="auto"/>
              <w:jc w:val="center"/>
              <w:rPr>
                <w:rFonts w:hint="eastAsia" w:ascii="宋体" w:hAnsi="宋体" w:eastAsia="宋体" w:cs="Times New Roman"/>
                <w:color w:val="auto"/>
                <w:kern w:val="0"/>
                <w:szCs w:val="21"/>
              </w:rPr>
            </w:pPr>
          </w:p>
        </w:tc>
        <w:tc>
          <w:tcPr>
            <w:tcW w:w="8093" w:type="dxa"/>
            <w:gridSpan w:val="7"/>
            <w:vAlign w:val="center"/>
          </w:tcPr>
          <w:p w14:paraId="0E4F7329">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color w:val="auto"/>
                <w:kern w:val="0"/>
                <w:szCs w:val="21"/>
              </w:rPr>
              <w:t>鼓励用积极关注方法来展示小学生心理辅导。</w:t>
            </w:r>
          </w:p>
        </w:tc>
      </w:tr>
      <w:tr w14:paraId="679C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087D772">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9.</w:t>
            </w:r>
            <w:r>
              <w:rPr>
                <w:rFonts w:hint="eastAsia" w:ascii="Times New Roman" w:hAnsi="Times New Roman" w:eastAsia="宋体" w:cs="Times New Roman"/>
                <w:color w:val="auto"/>
                <w:kern w:val="0"/>
                <w:szCs w:val="21"/>
              </w:rPr>
              <w:t xml:space="preserve"> </w:t>
            </w:r>
            <w:r>
              <w:rPr>
                <w:rFonts w:hint="eastAsia" w:ascii="宋体" w:hAnsi="宋体" w:eastAsia="宋体" w:cs="Times New Roman"/>
                <w:color w:val="auto"/>
                <w:kern w:val="0"/>
                <w:szCs w:val="21"/>
              </w:rPr>
              <w:t>小学生图文作品辅导</w:t>
            </w:r>
          </w:p>
        </w:tc>
        <w:tc>
          <w:tcPr>
            <w:tcW w:w="2740" w:type="dxa"/>
            <w:vAlign w:val="center"/>
          </w:tcPr>
          <w:p w14:paraId="266121B5">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（1）图文作品辅导的概述</w:t>
            </w:r>
          </w:p>
          <w:p w14:paraId="7756E8CE">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（2）小学生绘画心理辅导</w:t>
            </w:r>
          </w:p>
          <w:p w14:paraId="5C2E0EAF">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（3）小学生写作心理辅导</w:t>
            </w:r>
          </w:p>
          <w:p w14:paraId="6DF6467C">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（4）小学生阅读心理辅导</w:t>
            </w:r>
          </w:p>
        </w:tc>
        <w:tc>
          <w:tcPr>
            <w:tcW w:w="1159" w:type="dxa"/>
            <w:vAlign w:val="center"/>
          </w:tcPr>
          <w:p w14:paraId="1BFAE701">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课程目标3</w:t>
            </w:r>
          </w:p>
        </w:tc>
        <w:tc>
          <w:tcPr>
            <w:tcW w:w="2341" w:type="dxa"/>
            <w:gridSpan w:val="2"/>
            <w:vAlign w:val="center"/>
          </w:tcPr>
          <w:p w14:paraId="037CD0D5">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（1）了解小学生图文作品辅导的理论基础，掌握图文作品辅导的范围；</w:t>
            </w:r>
          </w:p>
          <w:p w14:paraId="66642915">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（2）能结合小学生的心理特点开展小学生的绘画、写作和阅读心理辅导。</w:t>
            </w:r>
          </w:p>
        </w:tc>
        <w:tc>
          <w:tcPr>
            <w:tcW w:w="1484" w:type="dxa"/>
            <w:gridSpan w:val="2"/>
            <w:vAlign w:val="center"/>
          </w:tcPr>
          <w:p w14:paraId="2B890331">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1.线上学习</w:t>
            </w:r>
          </w:p>
          <w:p w14:paraId="7D6AE243">
            <w:pPr>
              <w:spacing w:line="240" w:lineRule="auto"/>
              <w:jc w:val="left"/>
              <w:rPr>
                <w:rFonts w:ascii="宋体" w:hAnsi="宋体" w:eastAsia="宋体" w:cs="Times New Roman"/>
                <w:color w:val="auto"/>
                <w:kern w:val="0"/>
                <w:szCs w:val="21"/>
              </w:rPr>
            </w:pPr>
            <w:r>
              <w:rPr>
                <w:rFonts w:ascii="宋体" w:hAnsi="宋体" w:eastAsia="宋体" w:cs="Times New Roman"/>
                <w:color w:val="auto"/>
                <w:kern w:val="0"/>
                <w:szCs w:val="21"/>
              </w:rPr>
              <w:t>2.多媒体教学</w:t>
            </w:r>
          </w:p>
          <w:p w14:paraId="424C2C3E">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3.课堂讨论</w:t>
            </w:r>
          </w:p>
          <w:p w14:paraId="7F4A1E43">
            <w:pPr>
              <w:spacing w:line="240" w:lineRule="auto"/>
              <w:jc w:val="left"/>
              <w:rPr>
                <w:rFonts w:hint="eastAsia" w:ascii="宋体" w:hAnsi="宋体" w:eastAsia="宋体" w:cs="Times New Roman"/>
                <w:color w:val="auto"/>
                <w:kern w:val="0"/>
                <w:szCs w:val="21"/>
              </w:rPr>
            </w:pPr>
          </w:p>
        </w:tc>
        <w:tc>
          <w:tcPr>
            <w:tcW w:w="369" w:type="dxa"/>
            <w:vAlign w:val="center"/>
          </w:tcPr>
          <w:p w14:paraId="5977E514">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w:t>
            </w:r>
          </w:p>
        </w:tc>
      </w:tr>
      <w:tr w14:paraId="5C5F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83C7F7A">
            <w:pPr>
              <w:spacing w:line="240" w:lineRule="auto"/>
              <w:jc w:val="center"/>
              <w:rPr>
                <w:rFonts w:hint="eastAsia" w:ascii="宋体" w:hAnsi="宋体" w:eastAsia="宋体" w:cs="Times New Roman"/>
                <w:color w:val="auto"/>
                <w:kern w:val="0"/>
                <w:szCs w:val="21"/>
              </w:rPr>
            </w:pPr>
          </w:p>
        </w:tc>
        <w:tc>
          <w:tcPr>
            <w:tcW w:w="8093" w:type="dxa"/>
            <w:gridSpan w:val="7"/>
            <w:vAlign w:val="center"/>
          </w:tcPr>
          <w:p w14:paraId="73F36B12">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bCs/>
                <w:color w:val="auto"/>
                <w:kern w:val="0"/>
                <w:szCs w:val="21"/>
              </w:rPr>
              <w:t>树立正确的教师观、学生观并用发展的视角看待学生。</w:t>
            </w:r>
          </w:p>
        </w:tc>
      </w:tr>
      <w:tr w14:paraId="5DDC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7A96BBD">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10.</w:t>
            </w:r>
            <w:r>
              <w:rPr>
                <w:rFonts w:hint="eastAsia" w:ascii="Times New Roman" w:hAnsi="Times New Roman" w:eastAsia="宋体" w:cs="Times New Roman"/>
                <w:color w:val="auto"/>
                <w:kern w:val="0"/>
                <w:szCs w:val="21"/>
              </w:rPr>
              <w:t xml:space="preserve"> </w:t>
            </w:r>
            <w:r>
              <w:rPr>
                <w:rFonts w:hint="eastAsia" w:ascii="宋体" w:hAnsi="宋体" w:eastAsia="宋体" w:cs="Times New Roman"/>
                <w:color w:val="auto"/>
                <w:kern w:val="0"/>
                <w:szCs w:val="21"/>
              </w:rPr>
              <w:t>小学班级心理辅导活动课设计</w:t>
            </w:r>
          </w:p>
        </w:tc>
        <w:tc>
          <w:tcPr>
            <w:tcW w:w="2740" w:type="dxa"/>
            <w:vAlign w:val="center"/>
          </w:tcPr>
          <w:p w14:paraId="19972401">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（1）小学班级心理辅导活动课概述</w:t>
            </w:r>
          </w:p>
          <w:p w14:paraId="564CF4E2">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（2）小学班级心理辅导活动课设计</w:t>
            </w:r>
          </w:p>
          <w:p w14:paraId="615B569E">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（3）小学班级心理辅导活动课的实施与评价</w:t>
            </w:r>
          </w:p>
        </w:tc>
        <w:tc>
          <w:tcPr>
            <w:tcW w:w="1159" w:type="dxa"/>
            <w:vAlign w:val="center"/>
          </w:tcPr>
          <w:p w14:paraId="0816E769">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课程目标2、3</w:t>
            </w:r>
          </w:p>
          <w:p w14:paraId="71B84BDB">
            <w:pPr>
              <w:spacing w:line="240" w:lineRule="auto"/>
              <w:jc w:val="center"/>
              <w:rPr>
                <w:rFonts w:hint="eastAsia" w:ascii="宋体" w:hAnsi="宋体" w:eastAsia="宋体" w:cs="Times New Roman"/>
                <w:color w:val="auto"/>
                <w:kern w:val="0"/>
                <w:szCs w:val="21"/>
              </w:rPr>
            </w:pPr>
          </w:p>
        </w:tc>
        <w:tc>
          <w:tcPr>
            <w:tcW w:w="2341" w:type="dxa"/>
            <w:gridSpan w:val="2"/>
            <w:vAlign w:val="center"/>
          </w:tcPr>
          <w:p w14:paraId="464310E9">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（1）理解小学生班级心理辅导活动课的适用范围，掌握小学班级心理辅导活动课的开展要素；</w:t>
            </w:r>
          </w:p>
          <w:p w14:paraId="15EC9A55">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（2）会进行小学班级心理活动课的设计，并能开展实施，也能对小学班级心理活动课的开展情况进行合理评价。</w:t>
            </w:r>
          </w:p>
        </w:tc>
        <w:tc>
          <w:tcPr>
            <w:tcW w:w="1484" w:type="dxa"/>
            <w:gridSpan w:val="2"/>
            <w:vAlign w:val="center"/>
          </w:tcPr>
          <w:p w14:paraId="30E960A2">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1.线上学习</w:t>
            </w:r>
          </w:p>
          <w:p w14:paraId="042CF1B5">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2.多媒体教学3.课堂讨论</w:t>
            </w:r>
          </w:p>
          <w:p w14:paraId="4B4171D6">
            <w:pPr>
              <w:spacing w:line="240" w:lineRule="auto"/>
              <w:jc w:val="left"/>
              <w:rPr>
                <w:rFonts w:hint="eastAsia" w:ascii="宋体" w:hAnsi="宋体" w:eastAsia="宋体" w:cs="Times New Roman"/>
                <w:color w:val="auto"/>
                <w:kern w:val="0"/>
                <w:szCs w:val="21"/>
              </w:rPr>
            </w:pPr>
            <w:r>
              <w:rPr>
                <w:rFonts w:ascii="宋体" w:hAnsi="宋体" w:eastAsia="宋体" w:cs="Times New Roman"/>
                <w:color w:val="auto"/>
                <w:kern w:val="0"/>
                <w:szCs w:val="21"/>
              </w:rPr>
              <w:t>4.</w:t>
            </w:r>
            <w:r>
              <w:rPr>
                <w:rFonts w:hint="eastAsia" w:ascii="宋体" w:hAnsi="宋体" w:eastAsia="宋体" w:cs="Times New Roman"/>
                <w:color w:val="auto"/>
                <w:kern w:val="0"/>
                <w:szCs w:val="21"/>
              </w:rPr>
              <w:t>课内实践</w:t>
            </w:r>
          </w:p>
        </w:tc>
        <w:tc>
          <w:tcPr>
            <w:tcW w:w="369" w:type="dxa"/>
            <w:vAlign w:val="center"/>
          </w:tcPr>
          <w:p w14:paraId="28B90AB7">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w:t>
            </w:r>
          </w:p>
        </w:tc>
      </w:tr>
      <w:tr w14:paraId="6486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D50D466">
            <w:pPr>
              <w:spacing w:line="240" w:lineRule="auto"/>
              <w:jc w:val="center"/>
              <w:rPr>
                <w:rFonts w:hint="eastAsia" w:ascii="宋体" w:hAnsi="宋体" w:eastAsia="宋体" w:cs="Times New Roman"/>
                <w:color w:val="auto"/>
                <w:kern w:val="0"/>
                <w:szCs w:val="21"/>
              </w:rPr>
            </w:pPr>
          </w:p>
        </w:tc>
        <w:tc>
          <w:tcPr>
            <w:tcW w:w="8093" w:type="dxa"/>
            <w:gridSpan w:val="7"/>
            <w:vAlign w:val="center"/>
          </w:tcPr>
          <w:p w14:paraId="20F14F95">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bCs/>
                <w:color w:val="auto"/>
                <w:kern w:val="0"/>
                <w:szCs w:val="21"/>
              </w:rPr>
              <w:t>通过对小学生班级心理辅导活动设计，将思想政治教育与心理健康教育有机融合，引导小学生树立正确的世界观、人生观、价值观，培养他们良好的道德品质、社会责任感、爱国情怀和集体主义精神。</w:t>
            </w:r>
          </w:p>
        </w:tc>
      </w:tr>
      <w:tr w14:paraId="6156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5" w:type="dxa"/>
            <w:vMerge w:val="restart"/>
            <w:vAlign w:val="center"/>
          </w:tcPr>
          <w:p w14:paraId="221E820C">
            <w:pPr>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11. 小学生心理辅导的工作开展</w:t>
            </w:r>
          </w:p>
        </w:tc>
        <w:tc>
          <w:tcPr>
            <w:tcW w:w="2740" w:type="dxa"/>
            <w:vAlign w:val="center"/>
          </w:tcPr>
          <w:p w14:paraId="076FD7F6">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（1）小学生心理辅导的基本格局</w:t>
            </w:r>
          </w:p>
          <w:p w14:paraId="68BCA46C">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（2）小学生心理辅导教师的道德素养与专业素养</w:t>
            </w:r>
          </w:p>
          <w:p w14:paraId="27FCBBF2">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（3）小学生心理辅导室的创建</w:t>
            </w:r>
          </w:p>
          <w:p w14:paraId="25C2FE4B">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（4）小学生心理辅导档案的管理</w:t>
            </w:r>
          </w:p>
          <w:p w14:paraId="44A252BF">
            <w:pPr>
              <w:spacing w:line="240" w:lineRule="auto"/>
              <w:jc w:val="left"/>
              <w:rPr>
                <w:rFonts w:hint="eastAsia" w:ascii="宋体" w:hAnsi="宋体" w:eastAsia="宋体" w:cs="Times New Roman"/>
                <w:b/>
                <w:color w:val="auto"/>
                <w:kern w:val="0"/>
                <w:szCs w:val="21"/>
              </w:rPr>
            </w:pPr>
            <w:r>
              <w:rPr>
                <w:rFonts w:hint="eastAsia" w:ascii="宋体" w:hAnsi="宋体" w:eastAsia="宋体" w:cs="Times New Roman"/>
                <w:color w:val="auto"/>
                <w:kern w:val="0"/>
                <w:szCs w:val="21"/>
              </w:rPr>
              <w:t>（5）关于全员参与小学生心理辅导教育的展望</w:t>
            </w:r>
          </w:p>
        </w:tc>
        <w:tc>
          <w:tcPr>
            <w:tcW w:w="1159" w:type="dxa"/>
            <w:vAlign w:val="center"/>
          </w:tcPr>
          <w:p w14:paraId="224D3883">
            <w:pPr>
              <w:spacing w:line="240" w:lineRule="auto"/>
              <w:jc w:val="center"/>
              <w:rPr>
                <w:rFonts w:hint="eastAsia" w:ascii="宋体" w:hAnsi="宋体" w:eastAsia="宋体" w:cs="Times New Roman"/>
                <w:b/>
                <w:color w:val="auto"/>
                <w:kern w:val="0"/>
                <w:szCs w:val="21"/>
              </w:rPr>
            </w:pPr>
            <w:r>
              <w:rPr>
                <w:rFonts w:hint="eastAsia" w:ascii="宋体" w:hAnsi="宋体" w:eastAsia="宋体" w:cs="Times New Roman"/>
                <w:color w:val="auto"/>
                <w:kern w:val="0"/>
                <w:szCs w:val="21"/>
              </w:rPr>
              <w:t>课程目标2、3、4</w:t>
            </w:r>
          </w:p>
        </w:tc>
        <w:tc>
          <w:tcPr>
            <w:tcW w:w="2170" w:type="dxa"/>
            <w:vAlign w:val="center"/>
          </w:tcPr>
          <w:p w14:paraId="077DCC3D">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（1）了解小学生心理辅导教育的发展前景，知道小学生心理辅导的基本格局，掌握小学生心理辅导的教师的专业素养；</w:t>
            </w:r>
          </w:p>
          <w:p w14:paraId="0011010D">
            <w:pPr>
              <w:spacing w:line="240" w:lineRule="auto"/>
              <w:jc w:val="left"/>
              <w:rPr>
                <w:rFonts w:hint="eastAsia" w:ascii="宋体" w:hAnsi="宋体" w:eastAsia="宋体" w:cs="Times New Roman"/>
                <w:b/>
                <w:color w:val="auto"/>
                <w:kern w:val="0"/>
                <w:szCs w:val="21"/>
              </w:rPr>
            </w:pPr>
            <w:r>
              <w:rPr>
                <w:rFonts w:hint="eastAsia" w:ascii="宋体" w:hAnsi="宋体" w:eastAsia="宋体" w:cs="Times New Roman"/>
                <w:color w:val="auto"/>
                <w:kern w:val="0"/>
                <w:szCs w:val="21"/>
              </w:rPr>
              <w:t>（2）学会创建小学生心理辅导室，掌握小学生心理辅导档案的建立和管理方法。</w:t>
            </w:r>
          </w:p>
        </w:tc>
        <w:tc>
          <w:tcPr>
            <w:tcW w:w="1510" w:type="dxa"/>
            <w:gridSpan w:val="2"/>
            <w:vAlign w:val="center"/>
          </w:tcPr>
          <w:p w14:paraId="27620EBD">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1.线上学习</w:t>
            </w:r>
          </w:p>
          <w:p w14:paraId="77DC3948">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2.多媒体教学3.课堂讨论</w:t>
            </w:r>
          </w:p>
          <w:p w14:paraId="568E77B7">
            <w:pPr>
              <w:spacing w:line="240"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4.课内实践</w:t>
            </w:r>
          </w:p>
        </w:tc>
        <w:tc>
          <w:tcPr>
            <w:tcW w:w="514" w:type="dxa"/>
            <w:gridSpan w:val="2"/>
            <w:vAlign w:val="center"/>
          </w:tcPr>
          <w:p w14:paraId="32938B5C">
            <w:pPr>
              <w:spacing w:line="240" w:lineRule="auto"/>
              <w:jc w:val="left"/>
              <w:rPr>
                <w:rFonts w:hint="eastAsia" w:ascii="宋体" w:hAnsi="宋体" w:eastAsia="宋体" w:cs="Times New Roman"/>
                <w:b/>
                <w:color w:val="auto"/>
                <w:kern w:val="0"/>
                <w:szCs w:val="21"/>
              </w:rPr>
            </w:pPr>
            <w:r>
              <w:rPr>
                <w:rFonts w:hint="eastAsia" w:ascii="宋体" w:hAnsi="宋体" w:eastAsia="宋体" w:cs="Times New Roman"/>
                <w:b/>
                <w:color w:val="auto"/>
                <w:kern w:val="0"/>
                <w:szCs w:val="21"/>
              </w:rPr>
              <w:t>2</w:t>
            </w:r>
          </w:p>
        </w:tc>
      </w:tr>
      <w:tr w14:paraId="3F399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205" w:type="dxa"/>
            <w:vMerge w:val="continue"/>
            <w:vAlign w:val="center"/>
          </w:tcPr>
          <w:p w14:paraId="41280D9B">
            <w:pPr>
              <w:spacing w:line="240" w:lineRule="auto"/>
              <w:jc w:val="center"/>
              <w:rPr>
                <w:rFonts w:hint="eastAsia" w:ascii="宋体" w:hAnsi="宋体" w:eastAsia="宋体" w:cs="Times New Roman"/>
                <w:color w:val="auto"/>
                <w:kern w:val="0"/>
                <w:szCs w:val="21"/>
              </w:rPr>
            </w:pPr>
          </w:p>
        </w:tc>
        <w:tc>
          <w:tcPr>
            <w:tcW w:w="8093" w:type="dxa"/>
            <w:gridSpan w:val="7"/>
            <w:vAlign w:val="center"/>
          </w:tcPr>
          <w:p w14:paraId="389ECD60">
            <w:pPr>
              <w:spacing w:line="240" w:lineRule="auto"/>
              <w:jc w:val="left"/>
              <w:rPr>
                <w:rFonts w:hint="eastAsia" w:ascii="宋体" w:hAnsi="宋体" w:eastAsia="宋体" w:cs="Times New Roman"/>
                <w:b/>
                <w:color w:val="auto"/>
                <w:kern w:val="0"/>
                <w:szCs w:val="21"/>
              </w:rPr>
            </w:pPr>
            <w:r>
              <w:rPr>
                <w:rFonts w:hint="eastAsia" w:ascii="宋体" w:hAnsi="宋体" w:eastAsia="宋体" w:cs="Times New Roman"/>
                <w:b/>
                <w:color w:val="auto"/>
                <w:kern w:val="0"/>
                <w:szCs w:val="21"/>
              </w:rPr>
              <w:t>课程思政目标：</w:t>
            </w:r>
            <w:r>
              <w:rPr>
                <w:rFonts w:hint="eastAsia" w:ascii="宋体" w:hAnsi="宋体" w:eastAsia="宋体" w:cs="Times New Roman"/>
                <w:bCs/>
                <w:color w:val="auto"/>
                <w:kern w:val="0"/>
                <w:szCs w:val="21"/>
              </w:rPr>
              <w:t>通过多形式开展心理健康活动，培养学生教师道德和专业素养，力争成为四有好教师。</w:t>
            </w:r>
          </w:p>
        </w:tc>
      </w:tr>
    </w:tbl>
    <w:p w14:paraId="69C3DDF3">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hint="eastAsia" w:ascii="Calibri" w:hAnsi="Calibri" w:eastAsia="宋体" w:cs="Times New Roman"/>
          <w:b/>
          <w:bCs/>
          <w:color w:val="auto"/>
          <w:kern w:val="0"/>
          <w:sz w:val="24"/>
          <w:szCs w:val="24"/>
        </w:rPr>
      </w:pPr>
      <w:r>
        <w:rPr>
          <w:rFonts w:hint="eastAsia" w:ascii="Calibri" w:hAnsi="Calibri" w:eastAsia="宋体" w:cs="Times New Roman"/>
          <w:b/>
          <w:bCs/>
          <w:color w:val="auto"/>
          <w:kern w:val="0"/>
          <w:sz w:val="24"/>
          <w:szCs w:val="24"/>
        </w:rPr>
        <w:t>四、目标评价与成绩评定</w:t>
      </w:r>
    </w:p>
    <w:p w14:paraId="1A269AD5">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560E91E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097"/>
        <w:gridCol w:w="1134"/>
        <w:gridCol w:w="1410"/>
        <w:gridCol w:w="1284"/>
        <w:gridCol w:w="1417"/>
        <w:gridCol w:w="851"/>
      </w:tblGrid>
      <w:tr w14:paraId="40AA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0A74C24C">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w:t>
            </w:r>
          </w:p>
        </w:tc>
        <w:tc>
          <w:tcPr>
            <w:tcW w:w="6342" w:type="dxa"/>
            <w:gridSpan w:val="5"/>
            <w:vAlign w:val="center"/>
          </w:tcPr>
          <w:p w14:paraId="3C4E8AB7">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评价与成绩评定方法</w:t>
            </w:r>
          </w:p>
        </w:tc>
        <w:tc>
          <w:tcPr>
            <w:tcW w:w="851" w:type="dxa"/>
            <w:vMerge w:val="restart"/>
            <w:vAlign w:val="center"/>
          </w:tcPr>
          <w:p w14:paraId="2C2C75A9">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分值</w:t>
            </w:r>
          </w:p>
        </w:tc>
      </w:tr>
      <w:tr w14:paraId="58A9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9DA9FCB">
            <w:pPr>
              <w:spacing w:line="360" w:lineRule="auto"/>
              <w:jc w:val="center"/>
              <w:rPr>
                <w:rFonts w:hint="eastAsia" w:ascii="宋体" w:hAnsi="宋体" w:eastAsia="宋体" w:cs="Times New Roman"/>
                <w:color w:val="auto"/>
                <w:kern w:val="0"/>
                <w:sz w:val="20"/>
                <w:szCs w:val="21"/>
              </w:rPr>
            </w:pPr>
          </w:p>
        </w:tc>
        <w:tc>
          <w:tcPr>
            <w:tcW w:w="1097" w:type="dxa"/>
            <w:vAlign w:val="center"/>
          </w:tcPr>
          <w:p w14:paraId="0331194C">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平时作业</w:t>
            </w:r>
          </w:p>
        </w:tc>
        <w:tc>
          <w:tcPr>
            <w:tcW w:w="1134" w:type="dxa"/>
            <w:vAlign w:val="center"/>
          </w:tcPr>
          <w:p w14:paraId="0DA43754">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课堂表现</w:t>
            </w:r>
          </w:p>
        </w:tc>
        <w:tc>
          <w:tcPr>
            <w:tcW w:w="1410" w:type="dxa"/>
            <w:vAlign w:val="center"/>
          </w:tcPr>
          <w:p w14:paraId="6FEB4644">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课内实践</w:t>
            </w:r>
          </w:p>
        </w:tc>
        <w:tc>
          <w:tcPr>
            <w:tcW w:w="1284" w:type="dxa"/>
            <w:vAlign w:val="center"/>
          </w:tcPr>
          <w:p w14:paraId="2FF38AC0">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期末考试</w:t>
            </w:r>
          </w:p>
        </w:tc>
        <w:tc>
          <w:tcPr>
            <w:tcW w:w="1417" w:type="dxa"/>
          </w:tcPr>
          <w:p w14:paraId="2D1EBEE5">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自主学习</w:t>
            </w:r>
          </w:p>
        </w:tc>
        <w:tc>
          <w:tcPr>
            <w:tcW w:w="851" w:type="dxa"/>
            <w:vMerge w:val="continue"/>
            <w:vAlign w:val="center"/>
          </w:tcPr>
          <w:p w14:paraId="0F8E1430">
            <w:pPr>
              <w:spacing w:line="360" w:lineRule="auto"/>
              <w:jc w:val="center"/>
              <w:rPr>
                <w:rFonts w:hint="eastAsia" w:ascii="宋体" w:hAnsi="宋体" w:eastAsia="宋体" w:cs="Times New Roman"/>
                <w:color w:val="auto"/>
                <w:kern w:val="0"/>
                <w:sz w:val="20"/>
                <w:szCs w:val="21"/>
              </w:rPr>
            </w:pPr>
          </w:p>
        </w:tc>
      </w:tr>
      <w:tr w14:paraId="3E71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BBEB43F">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课程目标1</w:t>
            </w:r>
          </w:p>
        </w:tc>
        <w:tc>
          <w:tcPr>
            <w:tcW w:w="1097" w:type="dxa"/>
            <w:vAlign w:val="center"/>
          </w:tcPr>
          <w:p w14:paraId="0E15D2B2">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134" w:type="dxa"/>
            <w:vAlign w:val="center"/>
          </w:tcPr>
          <w:p w14:paraId="7640A93D">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410" w:type="dxa"/>
            <w:vAlign w:val="center"/>
          </w:tcPr>
          <w:p w14:paraId="29A97A4E">
            <w:pPr>
              <w:spacing w:line="360" w:lineRule="auto"/>
              <w:jc w:val="center"/>
              <w:rPr>
                <w:rFonts w:hint="eastAsia" w:ascii="宋体" w:hAnsi="宋体" w:eastAsia="宋体" w:cs="Times New Roman"/>
                <w:color w:val="auto"/>
                <w:kern w:val="0"/>
                <w:sz w:val="20"/>
                <w:szCs w:val="21"/>
              </w:rPr>
            </w:pPr>
          </w:p>
        </w:tc>
        <w:tc>
          <w:tcPr>
            <w:tcW w:w="1284" w:type="dxa"/>
            <w:vAlign w:val="center"/>
          </w:tcPr>
          <w:p w14:paraId="65C5C099">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417" w:type="dxa"/>
          </w:tcPr>
          <w:p w14:paraId="6E7AAB9C">
            <w:pPr>
              <w:spacing w:line="360" w:lineRule="auto"/>
              <w:jc w:val="center"/>
              <w:rPr>
                <w:rFonts w:hint="eastAsia" w:ascii="宋体" w:hAnsi="宋体" w:eastAsia="宋体" w:cs="Times New Roman"/>
                <w:color w:val="auto"/>
                <w:kern w:val="0"/>
                <w:sz w:val="20"/>
                <w:szCs w:val="21"/>
              </w:rPr>
            </w:pPr>
          </w:p>
        </w:tc>
        <w:tc>
          <w:tcPr>
            <w:tcW w:w="851" w:type="dxa"/>
            <w:vAlign w:val="center"/>
          </w:tcPr>
          <w:p w14:paraId="73166D70">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20</w:t>
            </w:r>
          </w:p>
        </w:tc>
      </w:tr>
      <w:tr w14:paraId="70DD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F607298">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课程目标2</w:t>
            </w:r>
          </w:p>
        </w:tc>
        <w:tc>
          <w:tcPr>
            <w:tcW w:w="1097" w:type="dxa"/>
            <w:vAlign w:val="center"/>
          </w:tcPr>
          <w:p w14:paraId="5218F2DB">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134" w:type="dxa"/>
            <w:vAlign w:val="center"/>
          </w:tcPr>
          <w:p w14:paraId="222999E5">
            <w:pPr>
              <w:spacing w:line="360" w:lineRule="auto"/>
              <w:jc w:val="center"/>
              <w:rPr>
                <w:rFonts w:hint="eastAsia" w:ascii="宋体" w:hAnsi="宋体" w:eastAsia="宋体" w:cs="Times New Roman"/>
                <w:color w:val="auto"/>
                <w:kern w:val="0"/>
                <w:sz w:val="20"/>
                <w:szCs w:val="21"/>
              </w:rPr>
            </w:pPr>
          </w:p>
        </w:tc>
        <w:tc>
          <w:tcPr>
            <w:tcW w:w="1410" w:type="dxa"/>
            <w:vAlign w:val="center"/>
          </w:tcPr>
          <w:p w14:paraId="3101B3F8">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r>
              <w:rPr>
                <w:rFonts w:ascii="宋体" w:hAnsi="宋体" w:eastAsia="宋体" w:cs="Times New Roman"/>
                <w:color w:val="auto"/>
                <w:kern w:val="0"/>
                <w:sz w:val="20"/>
                <w:szCs w:val="21"/>
              </w:rPr>
              <w:t></w:t>
            </w:r>
          </w:p>
        </w:tc>
        <w:tc>
          <w:tcPr>
            <w:tcW w:w="1284" w:type="dxa"/>
            <w:vAlign w:val="center"/>
          </w:tcPr>
          <w:p w14:paraId="2961F967">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417" w:type="dxa"/>
          </w:tcPr>
          <w:p w14:paraId="2EA9A2C2">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851" w:type="dxa"/>
            <w:vAlign w:val="center"/>
          </w:tcPr>
          <w:p w14:paraId="3CD5CB1D">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30</w:t>
            </w:r>
          </w:p>
        </w:tc>
      </w:tr>
      <w:tr w14:paraId="2CBB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A20887A">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课程目标3</w:t>
            </w:r>
          </w:p>
        </w:tc>
        <w:tc>
          <w:tcPr>
            <w:tcW w:w="1097" w:type="dxa"/>
            <w:vAlign w:val="center"/>
          </w:tcPr>
          <w:p w14:paraId="1D20703D">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134" w:type="dxa"/>
            <w:vAlign w:val="center"/>
          </w:tcPr>
          <w:p w14:paraId="007E8551">
            <w:pPr>
              <w:spacing w:line="360" w:lineRule="auto"/>
              <w:jc w:val="center"/>
              <w:rPr>
                <w:rFonts w:hint="eastAsia" w:ascii="宋体" w:hAnsi="宋体" w:eastAsia="宋体" w:cs="Times New Roman"/>
                <w:color w:val="auto"/>
                <w:kern w:val="0"/>
                <w:sz w:val="20"/>
                <w:szCs w:val="21"/>
              </w:rPr>
            </w:pPr>
          </w:p>
        </w:tc>
        <w:tc>
          <w:tcPr>
            <w:tcW w:w="1410" w:type="dxa"/>
            <w:vAlign w:val="center"/>
          </w:tcPr>
          <w:p w14:paraId="10CD2DE6">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84" w:type="dxa"/>
            <w:vAlign w:val="center"/>
          </w:tcPr>
          <w:p w14:paraId="2A66903F">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417" w:type="dxa"/>
          </w:tcPr>
          <w:p w14:paraId="3BB88F00">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851" w:type="dxa"/>
            <w:vAlign w:val="center"/>
          </w:tcPr>
          <w:p w14:paraId="3252C77C">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30</w:t>
            </w:r>
          </w:p>
        </w:tc>
      </w:tr>
      <w:tr w14:paraId="6796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4CF1991">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课程目标4</w:t>
            </w:r>
          </w:p>
        </w:tc>
        <w:tc>
          <w:tcPr>
            <w:tcW w:w="1097" w:type="dxa"/>
            <w:vAlign w:val="center"/>
          </w:tcPr>
          <w:p w14:paraId="0814985C">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134" w:type="dxa"/>
            <w:vAlign w:val="center"/>
          </w:tcPr>
          <w:p w14:paraId="1925BC3E">
            <w:pPr>
              <w:spacing w:line="360" w:lineRule="auto"/>
              <w:jc w:val="center"/>
              <w:rPr>
                <w:rFonts w:hint="eastAsia" w:ascii="宋体" w:hAnsi="宋体" w:eastAsia="宋体" w:cs="Times New Roman"/>
                <w:color w:val="auto"/>
                <w:kern w:val="0"/>
                <w:sz w:val="20"/>
                <w:szCs w:val="21"/>
              </w:rPr>
            </w:pPr>
          </w:p>
        </w:tc>
        <w:tc>
          <w:tcPr>
            <w:tcW w:w="1410" w:type="dxa"/>
            <w:vAlign w:val="center"/>
          </w:tcPr>
          <w:p w14:paraId="57B3608D">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84" w:type="dxa"/>
            <w:vAlign w:val="center"/>
          </w:tcPr>
          <w:p w14:paraId="178BECBF">
            <w:pPr>
              <w:spacing w:line="360" w:lineRule="auto"/>
              <w:jc w:val="center"/>
              <w:rPr>
                <w:rFonts w:hint="eastAsia" w:ascii="宋体" w:hAnsi="宋体" w:eastAsia="宋体" w:cs="Times New Roman"/>
                <w:color w:val="auto"/>
                <w:kern w:val="0"/>
                <w:sz w:val="20"/>
                <w:szCs w:val="21"/>
              </w:rPr>
            </w:pPr>
          </w:p>
        </w:tc>
        <w:tc>
          <w:tcPr>
            <w:tcW w:w="1417" w:type="dxa"/>
          </w:tcPr>
          <w:p w14:paraId="6E0627F6">
            <w:pPr>
              <w:spacing w:line="360" w:lineRule="auto"/>
              <w:jc w:val="center"/>
              <w:rPr>
                <w:rFonts w:hint="eastAsia" w:ascii="宋体" w:hAnsi="宋体" w:eastAsia="宋体" w:cs="Times New Roman"/>
                <w:color w:val="auto"/>
                <w:kern w:val="0"/>
                <w:sz w:val="20"/>
                <w:szCs w:val="21"/>
              </w:rPr>
            </w:pPr>
          </w:p>
        </w:tc>
        <w:tc>
          <w:tcPr>
            <w:tcW w:w="851" w:type="dxa"/>
            <w:vAlign w:val="center"/>
          </w:tcPr>
          <w:p w14:paraId="7D37FAA1">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20</w:t>
            </w:r>
          </w:p>
        </w:tc>
      </w:tr>
      <w:tr w14:paraId="2F0B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4EF01CA">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合计</w:t>
            </w:r>
          </w:p>
        </w:tc>
        <w:tc>
          <w:tcPr>
            <w:tcW w:w="1097" w:type="dxa"/>
            <w:vAlign w:val="center"/>
          </w:tcPr>
          <w:p w14:paraId="00247A81">
            <w:pPr>
              <w:spacing w:line="360" w:lineRule="auto"/>
              <w:jc w:val="center"/>
              <w:rPr>
                <w:rFonts w:hint="eastAsia" w:ascii="宋体" w:hAnsi="宋体" w:eastAsia="宋体" w:cs="Times New Roman"/>
                <w:color w:val="auto"/>
                <w:kern w:val="0"/>
                <w:sz w:val="20"/>
                <w:szCs w:val="21"/>
              </w:rPr>
            </w:pPr>
          </w:p>
        </w:tc>
        <w:tc>
          <w:tcPr>
            <w:tcW w:w="1134" w:type="dxa"/>
            <w:vAlign w:val="center"/>
          </w:tcPr>
          <w:p w14:paraId="127C4B5B">
            <w:pPr>
              <w:spacing w:line="360" w:lineRule="auto"/>
              <w:jc w:val="center"/>
              <w:rPr>
                <w:rFonts w:hint="eastAsia" w:ascii="宋体" w:hAnsi="宋体" w:eastAsia="宋体" w:cs="Times New Roman"/>
                <w:color w:val="auto"/>
                <w:kern w:val="0"/>
                <w:sz w:val="20"/>
                <w:szCs w:val="21"/>
              </w:rPr>
            </w:pPr>
          </w:p>
        </w:tc>
        <w:tc>
          <w:tcPr>
            <w:tcW w:w="1410" w:type="dxa"/>
            <w:vAlign w:val="center"/>
          </w:tcPr>
          <w:p w14:paraId="4563A725">
            <w:pPr>
              <w:spacing w:line="360" w:lineRule="auto"/>
              <w:jc w:val="center"/>
              <w:rPr>
                <w:rFonts w:hint="eastAsia" w:ascii="宋体" w:hAnsi="宋体" w:eastAsia="宋体" w:cs="Times New Roman"/>
                <w:color w:val="auto"/>
                <w:kern w:val="0"/>
                <w:sz w:val="20"/>
                <w:szCs w:val="21"/>
              </w:rPr>
            </w:pPr>
          </w:p>
        </w:tc>
        <w:tc>
          <w:tcPr>
            <w:tcW w:w="1284" w:type="dxa"/>
            <w:vAlign w:val="center"/>
          </w:tcPr>
          <w:p w14:paraId="1B100A6B">
            <w:pPr>
              <w:spacing w:line="360" w:lineRule="auto"/>
              <w:jc w:val="center"/>
              <w:rPr>
                <w:rFonts w:hint="eastAsia" w:ascii="宋体" w:hAnsi="宋体" w:eastAsia="宋体" w:cs="Times New Roman"/>
                <w:color w:val="auto"/>
                <w:kern w:val="0"/>
                <w:sz w:val="20"/>
                <w:szCs w:val="21"/>
              </w:rPr>
            </w:pPr>
          </w:p>
        </w:tc>
        <w:tc>
          <w:tcPr>
            <w:tcW w:w="1417" w:type="dxa"/>
          </w:tcPr>
          <w:p w14:paraId="516C7DF7">
            <w:pPr>
              <w:spacing w:line="360" w:lineRule="auto"/>
              <w:jc w:val="center"/>
              <w:rPr>
                <w:rFonts w:hint="eastAsia" w:ascii="宋体" w:hAnsi="宋体" w:eastAsia="宋体" w:cs="Times New Roman"/>
                <w:color w:val="auto"/>
                <w:kern w:val="0"/>
                <w:sz w:val="20"/>
                <w:szCs w:val="21"/>
              </w:rPr>
            </w:pPr>
          </w:p>
        </w:tc>
        <w:tc>
          <w:tcPr>
            <w:tcW w:w="851" w:type="dxa"/>
            <w:vAlign w:val="center"/>
          </w:tcPr>
          <w:p w14:paraId="4A29576E">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100</w:t>
            </w:r>
          </w:p>
        </w:tc>
      </w:tr>
    </w:tbl>
    <w:p w14:paraId="70862A12">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6608F3FD">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6356"/>
        <w:gridCol w:w="683"/>
      </w:tblGrid>
      <w:tr w14:paraId="32E1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Align w:val="center"/>
          </w:tcPr>
          <w:p w14:paraId="1091B905">
            <w:pPr>
              <w:jc w:val="center"/>
              <w:rPr>
                <w:rFonts w:ascii="Times New Roman" w:hAnsi="Times New Roman" w:eastAsia="宋体" w:cs="Times New Roman"/>
                <w:b/>
                <w:bCs/>
                <w:color w:val="auto"/>
                <w:kern w:val="0"/>
                <w:sz w:val="20"/>
                <w:szCs w:val="21"/>
              </w:rPr>
            </w:pPr>
            <w:r>
              <w:rPr>
                <w:rFonts w:hint="eastAsia" w:ascii="Times New Roman" w:hAnsi="Times New Roman" w:eastAsia="宋体" w:cs="Times New Roman"/>
                <w:b/>
                <w:bCs/>
                <w:color w:val="auto"/>
                <w:kern w:val="0"/>
                <w:sz w:val="20"/>
                <w:szCs w:val="21"/>
              </w:rPr>
              <w:t>评价方式</w:t>
            </w:r>
          </w:p>
        </w:tc>
        <w:tc>
          <w:tcPr>
            <w:tcW w:w="6356" w:type="dxa"/>
            <w:vAlign w:val="center"/>
          </w:tcPr>
          <w:p w14:paraId="4173BB2D">
            <w:pPr>
              <w:jc w:val="center"/>
              <w:rPr>
                <w:rFonts w:ascii="Times New Roman" w:hAnsi="Times New Roman" w:eastAsia="宋体" w:cs="Times New Roman"/>
                <w:b/>
                <w:bCs/>
                <w:color w:val="auto"/>
                <w:kern w:val="0"/>
                <w:sz w:val="20"/>
                <w:szCs w:val="21"/>
              </w:rPr>
            </w:pPr>
            <w:r>
              <w:rPr>
                <w:rFonts w:hint="eastAsia" w:ascii="Times New Roman" w:hAnsi="Times New Roman" w:eastAsia="宋体" w:cs="Times New Roman"/>
                <w:b/>
                <w:bCs/>
                <w:color w:val="auto"/>
                <w:kern w:val="0"/>
                <w:sz w:val="20"/>
                <w:szCs w:val="21"/>
              </w:rPr>
              <w:t>评定细则</w:t>
            </w:r>
          </w:p>
        </w:tc>
        <w:tc>
          <w:tcPr>
            <w:tcW w:w="0" w:type="auto"/>
            <w:vAlign w:val="center"/>
          </w:tcPr>
          <w:p w14:paraId="0FE081D5">
            <w:pPr>
              <w:jc w:val="center"/>
              <w:rPr>
                <w:rFonts w:ascii="Times New Roman" w:hAnsi="Times New Roman" w:eastAsia="宋体" w:cs="Times New Roman"/>
                <w:b/>
                <w:bCs/>
                <w:color w:val="auto"/>
                <w:kern w:val="0"/>
                <w:sz w:val="20"/>
                <w:szCs w:val="21"/>
              </w:rPr>
            </w:pPr>
            <w:r>
              <w:rPr>
                <w:rFonts w:hint="eastAsia" w:ascii="Times New Roman" w:hAnsi="Times New Roman" w:eastAsia="宋体" w:cs="Times New Roman"/>
                <w:b/>
                <w:bCs/>
                <w:color w:val="auto"/>
                <w:kern w:val="0"/>
                <w:sz w:val="20"/>
                <w:szCs w:val="21"/>
              </w:rPr>
              <w:t>占比</w:t>
            </w:r>
          </w:p>
        </w:tc>
      </w:tr>
      <w:tr w14:paraId="4A404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Align w:val="center"/>
          </w:tcPr>
          <w:p w14:paraId="11111E72">
            <w:pPr>
              <w:jc w:val="cente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平时作业</w:t>
            </w:r>
          </w:p>
        </w:tc>
        <w:tc>
          <w:tcPr>
            <w:tcW w:w="6356" w:type="dxa"/>
            <w:vAlign w:val="center"/>
          </w:tcPr>
          <w:p w14:paraId="58C9C418">
            <w:pPr>
              <w:spacing w:line="264" w:lineRule="auto"/>
              <w:jc w:val="left"/>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平时作业共3次，一为SCL-90心理健康自测，要求每位同学按照测了要求进行自测，分析自己的心理健康现状，提出策略。二代币制设计。根据行为主义治疗理论设计一个用代币制教育儿童不良行为的方案，主要考核标准为：不良行为表现、目标行为、代币系统设计、实施方案等。三为活动设计，完成一个五年级学生的以合作为主题的心理健康活动设计，评定内容包括活动主题、活动目标、活动过程、注意事项或反思。</w:t>
            </w:r>
          </w:p>
        </w:tc>
        <w:tc>
          <w:tcPr>
            <w:tcW w:w="0" w:type="auto"/>
            <w:vAlign w:val="center"/>
          </w:tcPr>
          <w:p w14:paraId="4F74ADE6">
            <w:pPr>
              <w:jc w:val="cente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10%</w:t>
            </w:r>
          </w:p>
        </w:tc>
      </w:tr>
      <w:tr w14:paraId="4FC8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Align w:val="center"/>
          </w:tcPr>
          <w:p w14:paraId="1E086F70">
            <w:pPr>
              <w:jc w:val="cente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课堂表现</w:t>
            </w:r>
          </w:p>
        </w:tc>
        <w:tc>
          <w:tcPr>
            <w:tcW w:w="6356" w:type="dxa"/>
            <w:vAlign w:val="center"/>
          </w:tcPr>
          <w:p w14:paraId="44A7E844">
            <w:pPr>
              <w:widowControl/>
              <w:spacing w:line="264" w:lineRule="auto"/>
              <w:jc w:val="left"/>
              <w:rPr>
                <w:rFonts w:ascii="Times New Roman" w:hAnsi="Times New Roman" w:eastAsia="宋体" w:cs="Times New Roman"/>
                <w:color w:val="auto"/>
                <w:kern w:val="0"/>
                <w:sz w:val="20"/>
                <w:szCs w:val="21"/>
              </w:rPr>
            </w:pPr>
            <w:r>
              <w:rPr>
                <w:rFonts w:hint="eastAsia" w:ascii="宋体" w:hAnsi="宋体" w:eastAsia="宋体" w:cs="宋体"/>
                <w:color w:val="auto"/>
                <w:kern w:val="0"/>
                <w:sz w:val="20"/>
                <w:szCs w:val="21"/>
                <w:lang w:bidi="ar"/>
              </w:rPr>
              <w:t>一是课题考勤情况</w:t>
            </w:r>
            <w:r>
              <w:rPr>
                <w:rFonts w:ascii="宋体" w:hAnsi="宋体" w:eastAsia="宋体" w:cs="宋体"/>
                <w:color w:val="auto"/>
                <w:kern w:val="0"/>
                <w:sz w:val="20"/>
                <w:szCs w:val="21"/>
                <w:lang w:bidi="ar"/>
              </w:rPr>
              <w:t>。</w:t>
            </w:r>
            <w:r>
              <w:rPr>
                <w:rFonts w:hint="eastAsia" w:ascii="Times New Roman" w:hAnsi="Times New Roman" w:eastAsia="宋体" w:cs="Times New Roman"/>
                <w:color w:val="auto"/>
                <w:kern w:val="0"/>
                <w:sz w:val="20"/>
                <w:szCs w:val="21"/>
              </w:rPr>
              <w:t>迟到一次扣2分，无故缺席一次扣5分，累计达</w:t>
            </w:r>
            <w:r>
              <w:rPr>
                <w:rFonts w:ascii="Times New Roman" w:hAnsi="Times New Roman" w:eastAsia="宋体" w:cs="Times New Roman"/>
                <w:color w:val="auto"/>
                <w:kern w:val="0"/>
                <w:sz w:val="20"/>
                <w:szCs w:val="21"/>
              </w:rPr>
              <w:t>3</w:t>
            </w:r>
            <w:r>
              <w:rPr>
                <w:rFonts w:hint="eastAsia" w:ascii="Times New Roman" w:hAnsi="Times New Roman" w:eastAsia="宋体" w:cs="Times New Roman"/>
                <w:color w:val="auto"/>
                <w:kern w:val="0"/>
                <w:sz w:val="20"/>
                <w:szCs w:val="21"/>
              </w:rPr>
              <w:t>次以上（不含</w:t>
            </w:r>
            <w:r>
              <w:rPr>
                <w:rFonts w:ascii="Times New Roman" w:hAnsi="Times New Roman" w:eastAsia="宋体" w:cs="Times New Roman"/>
                <w:color w:val="auto"/>
                <w:kern w:val="0"/>
                <w:sz w:val="20"/>
                <w:szCs w:val="21"/>
              </w:rPr>
              <w:t>3</w:t>
            </w:r>
            <w:r>
              <w:rPr>
                <w:rFonts w:hint="eastAsia" w:ascii="Times New Roman" w:hAnsi="Times New Roman" w:eastAsia="宋体" w:cs="Times New Roman"/>
                <w:color w:val="auto"/>
                <w:kern w:val="0"/>
                <w:sz w:val="20"/>
                <w:szCs w:val="21"/>
              </w:rPr>
              <w:t>次）取消课程成绩。</w:t>
            </w:r>
          </w:p>
          <w:p w14:paraId="7886449A">
            <w:pPr>
              <w:widowControl/>
              <w:spacing w:line="264" w:lineRule="auto"/>
              <w:jc w:val="left"/>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二是</w:t>
            </w:r>
            <w:r>
              <w:rPr>
                <w:rFonts w:ascii="宋体" w:hAnsi="宋体" w:eastAsia="宋体" w:cs="宋体"/>
                <w:color w:val="auto"/>
                <w:kern w:val="0"/>
                <w:sz w:val="20"/>
                <w:szCs w:val="21"/>
                <w:lang w:bidi="ar"/>
              </w:rPr>
              <w:t>课堂参与</w:t>
            </w:r>
            <w:r>
              <w:rPr>
                <w:rFonts w:hint="eastAsia" w:ascii="宋体" w:hAnsi="宋体" w:eastAsia="宋体" w:cs="宋体"/>
                <w:color w:val="auto"/>
                <w:kern w:val="0"/>
                <w:sz w:val="20"/>
                <w:szCs w:val="21"/>
                <w:lang w:bidi="ar"/>
              </w:rPr>
              <w:t>情况。</w:t>
            </w:r>
            <w:r>
              <w:rPr>
                <w:rFonts w:ascii="宋体" w:hAnsi="宋体" w:eastAsia="宋体" w:cs="宋体"/>
                <w:color w:val="auto"/>
                <w:kern w:val="0"/>
                <w:sz w:val="20"/>
                <w:szCs w:val="21"/>
                <w:lang w:bidi="ar"/>
              </w:rPr>
              <w:t>主要指课上教师随机提问、组织课堂讨论等，观察学生参与程度</w:t>
            </w:r>
            <w:r>
              <w:rPr>
                <w:rFonts w:hint="eastAsia" w:ascii="宋体" w:hAnsi="宋体" w:eastAsia="宋体" w:cs="宋体"/>
                <w:color w:val="auto"/>
                <w:kern w:val="0"/>
                <w:sz w:val="20"/>
                <w:szCs w:val="21"/>
                <w:lang w:bidi="ar"/>
              </w:rPr>
              <w:t>，</w:t>
            </w:r>
            <w:r>
              <w:rPr>
                <w:rFonts w:ascii="宋体" w:hAnsi="宋体" w:eastAsia="宋体" w:cs="宋体"/>
                <w:color w:val="auto"/>
                <w:kern w:val="0"/>
                <w:sz w:val="20"/>
                <w:szCs w:val="21"/>
                <w:lang w:bidi="ar"/>
              </w:rPr>
              <w:t>表现良好，按照对应的课程目标及权重给予评定</w:t>
            </w:r>
            <w:r>
              <w:rPr>
                <w:rFonts w:hint="eastAsia" w:ascii="宋体" w:hAnsi="宋体" w:eastAsia="宋体" w:cs="宋体"/>
                <w:color w:val="auto"/>
                <w:kern w:val="0"/>
                <w:sz w:val="20"/>
                <w:szCs w:val="21"/>
                <w:lang w:bidi="ar"/>
              </w:rPr>
              <w:t>。</w:t>
            </w:r>
          </w:p>
        </w:tc>
        <w:tc>
          <w:tcPr>
            <w:tcW w:w="0" w:type="auto"/>
            <w:vAlign w:val="center"/>
          </w:tcPr>
          <w:p w14:paraId="5202C839">
            <w:pPr>
              <w:jc w:val="cente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10%</w:t>
            </w:r>
          </w:p>
        </w:tc>
      </w:tr>
      <w:tr w14:paraId="4D25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Align w:val="center"/>
          </w:tcPr>
          <w:p w14:paraId="48682A9A">
            <w:pPr>
              <w:jc w:val="cente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课内实践</w:t>
            </w:r>
          </w:p>
        </w:tc>
        <w:tc>
          <w:tcPr>
            <w:tcW w:w="6356" w:type="dxa"/>
            <w:vAlign w:val="center"/>
          </w:tcPr>
          <w:p w14:paraId="5F37248B">
            <w:pPr>
              <w:widowControl/>
              <w:spacing w:line="264" w:lineRule="auto"/>
              <w:jc w:val="left"/>
              <w:rPr>
                <w:rFonts w:hint="eastAsia" w:ascii="宋体" w:hAnsi="宋体" w:eastAsia="宋体" w:cs="宋体"/>
                <w:color w:val="auto"/>
                <w:kern w:val="0"/>
                <w:sz w:val="20"/>
                <w:szCs w:val="21"/>
                <w:lang w:bidi="ar"/>
              </w:rPr>
            </w:pPr>
            <w:r>
              <w:rPr>
                <w:rFonts w:hint="eastAsia" w:ascii="宋体" w:hAnsi="宋体" w:eastAsia="宋体" w:cs="宋体"/>
                <w:color w:val="auto"/>
                <w:kern w:val="0"/>
                <w:sz w:val="20"/>
                <w:szCs w:val="21"/>
                <w:lang w:bidi="ar"/>
              </w:rPr>
              <w:t>完成4个课内实践活动，主要是学生对常用心理辅导技术的掌握和学生对合作学习、学习共同体的活动体验的表现，实践成绩平均后得到实践总评成绩，并按20%计入课程总成绩。</w:t>
            </w:r>
          </w:p>
        </w:tc>
        <w:tc>
          <w:tcPr>
            <w:tcW w:w="0" w:type="auto"/>
            <w:vAlign w:val="center"/>
          </w:tcPr>
          <w:p w14:paraId="6181D717">
            <w:pPr>
              <w:jc w:val="cente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20%</w:t>
            </w:r>
          </w:p>
        </w:tc>
      </w:tr>
      <w:tr w14:paraId="304E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Align w:val="center"/>
          </w:tcPr>
          <w:p w14:paraId="2F8A341D">
            <w:pPr>
              <w:jc w:val="cente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自主学习</w:t>
            </w:r>
          </w:p>
        </w:tc>
        <w:tc>
          <w:tcPr>
            <w:tcW w:w="6356" w:type="dxa"/>
            <w:vAlign w:val="center"/>
          </w:tcPr>
          <w:p w14:paraId="63FDFF72">
            <w:pPr>
              <w:spacing w:line="264" w:lineRule="auto"/>
              <w:jc w:val="left"/>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课后完成练习题，主要考核学生对每节课知识点的复习、理解和掌握程度，计算全部作业的平均成绩再按20%计入总成绩。</w:t>
            </w:r>
          </w:p>
        </w:tc>
        <w:tc>
          <w:tcPr>
            <w:tcW w:w="0" w:type="auto"/>
            <w:vAlign w:val="center"/>
          </w:tcPr>
          <w:p w14:paraId="223D9A1F">
            <w:pPr>
              <w:jc w:val="cente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10%</w:t>
            </w:r>
          </w:p>
        </w:tc>
      </w:tr>
      <w:tr w14:paraId="62E3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Align w:val="center"/>
          </w:tcPr>
          <w:p w14:paraId="4B86CD6E">
            <w:pPr>
              <w:jc w:val="cente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期末考试</w:t>
            </w:r>
          </w:p>
        </w:tc>
        <w:tc>
          <w:tcPr>
            <w:tcW w:w="6356" w:type="dxa"/>
            <w:vAlign w:val="center"/>
          </w:tcPr>
          <w:p w14:paraId="0D83C42A">
            <w:pPr>
              <w:spacing w:line="264" w:lineRule="auto"/>
              <w:jc w:val="left"/>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试卷题型简答题、案例分析和论述题，以卷面成绩的50%计入课程总成绩。其中考核小学生心理辅导的知识、理论占20%，小学生心理相关理论案例分析和应用占40%；以及小学生心理辅导的活动设计占40%。</w:t>
            </w:r>
          </w:p>
        </w:tc>
        <w:tc>
          <w:tcPr>
            <w:tcW w:w="0" w:type="auto"/>
            <w:vAlign w:val="center"/>
          </w:tcPr>
          <w:p w14:paraId="13093283">
            <w:pPr>
              <w:jc w:val="cente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50%</w:t>
            </w:r>
          </w:p>
        </w:tc>
      </w:tr>
      <w:tr w14:paraId="1CB7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57" w:type="dxa"/>
            <w:vAlign w:val="center"/>
          </w:tcPr>
          <w:p w14:paraId="4DF2F0D0">
            <w:pPr>
              <w:jc w:val="center"/>
              <w:rPr>
                <w:rFonts w:ascii="Times New Roman" w:hAnsi="Times New Roman" w:eastAsia="宋体" w:cs="Times New Roman"/>
                <w:b/>
                <w:bCs/>
                <w:color w:val="auto"/>
                <w:kern w:val="0"/>
                <w:sz w:val="20"/>
                <w:szCs w:val="21"/>
              </w:rPr>
            </w:pPr>
            <w:r>
              <w:rPr>
                <w:rFonts w:hint="eastAsia" w:ascii="Times New Roman" w:hAnsi="Times New Roman" w:eastAsia="宋体" w:cs="Times New Roman"/>
                <w:b/>
                <w:bCs/>
                <w:color w:val="auto"/>
                <w:kern w:val="0"/>
                <w:sz w:val="20"/>
                <w:szCs w:val="21"/>
              </w:rPr>
              <w:t>合计</w:t>
            </w:r>
          </w:p>
        </w:tc>
        <w:tc>
          <w:tcPr>
            <w:tcW w:w="6356" w:type="dxa"/>
            <w:vAlign w:val="center"/>
          </w:tcPr>
          <w:p w14:paraId="7C0D28A9">
            <w:pPr>
              <w:jc w:val="left"/>
              <w:rPr>
                <w:rFonts w:ascii="Times New Roman" w:hAnsi="Times New Roman" w:eastAsia="宋体" w:cs="Times New Roman"/>
                <w:color w:val="auto"/>
                <w:kern w:val="0"/>
                <w:sz w:val="20"/>
                <w:szCs w:val="21"/>
              </w:rPr>
            </w:pPr>
          </w:p>
        </w:tc>
        <w:tc>
          <w:tcPr>
            <w:tcW w:w="0" w:type="auto"/>
            <w:vAlign w:val="center"/>
          </w:tcPr>
          <w:p w14:paraId="1FDDD814">
            <w:pPr>
              <w:jc w:val="cente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100%</w:t>
            </w:r>
          </w:p>
        </w:tc>
      </w:tr>
    </w:tbl>
    <w:p w14:paraId="3B5F7C24">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592A540F">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47E79B44">
      <w:pPr>
        <w:spacing w:line="360" w:lineRule="auto"/>
        <w:rPr>
          <w:rFonts w:hint="eastAsia" w:ascii="宋体" w:hAnsi="宋体" w:eastAsia="宋体" w:cs="Times New Roman"/>
          <w:color w:val="auto"/>
          <w:szCs w:val="21"/>
        </w:rPr>
      </w:pPr>
      <w:r>
        <w:rPr>
          <w:rFonts w:ascii="宋体" w:hAnsi="宋体" w:eastAsia="宋体" w:cs="Times New Roman"/>
          <w:color w:val="auto"/>
          <w:szCs w:val="21"/>
        </w:rPr>
        <w:object>
          <v:shape id="_x0000_i1053"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53" DrawAspect="Content" ObjectID="_1468075752" r:id="rId39">
            <o:LockedField>false</o:LockedField>
          </o:OLEObject>
        </w:object>
      </w:r>
    </w:p>
    <w:p w14:paraId="1B3C550D">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hint="eastAsia" w:ascii="Calibri" w:hAnsi="Calibri" w:eastAsia="宋体" w:cs="Times New Roman"/>
          <w:b/>
          <w:bCs/>
          <w:color w:val="auto"/>
          <w:kern w:val="0"/>
          <w:sz w:val="24"/>
          <w:szCs w:val="24"/>
        </w:rPr>
      </w:pPr>
      <w:r>
        <w:rPr>
          <w:rFonts w:hint="eastAsia" w:ascii="Calibri" w:hAnsi="Calibri" w:eastAsia="宋体" w:cs="Times New Roman"/>
          <w:b/>
          <w:bCs/>
          <w:color w:val="auto"/>
          <w:kern w:val="0"/>
          <w:sz w:val="24"/>
          <w:szCs w:val="24"/>
        </w:rPr>
        <w:t>五、课内实验（实践）</w:t>
      </w: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517"/>
        <w:gridCol w:w="5951"/>
        <w:gridCol w:w="796"/>
      </w:tblGrid>
      <w:tr w14:paraId="03C88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FFFFFF"/>
            <w:vAlign w:val="center"/>
          </w:tcPr>
          <w:p w14:paraId="749782ED">
            <w:pPr>
              <w:spacing w:line="276" w:lineRule="auto"/>
              <w:jc w:val="center"/>
              <w:rPr>
                <w:rFonts w:ascii="Calibri" w:hAnsi="Calibri" w:eastAsia="宋体" w:cs="Times New Roman"/>
                <w:bCs/>
                <w:color w:val="auto"/>
                <w:spacing w:val="-20"/>
                <w:szCs w:val="21"/>
              </w:rPr>
            </w:pPr>
            <w:r>
              <w:rPr>
                <w:rFonts w:hint="eastAsia" w:ascii="Calibri" w:hAnsi="Calibri" w:eastAsia="宋体" w:cs="Times New Roman"/>
                <w:bCs/>
                <w:color w:val="auto"/>
                <w:spacing w:val="-20"/>
                <w:szCs w:val="21"/>
              </w:rPr>
              <w:t>序号</w:t>
            </w:r>
          </w:p>
        </w:tc>
        <w:tc>
          <w:tcPr>
            <w:tcW w:w="1517" w:type="dxa"/>
            <w:tcBorders>
              <w:top w:val="single" w:color="auto" w:sz="4" w:space="0"/>
              <w:left w:val="single" w:color="auto" w:sz="4" w:space="0"/>
              <w:bottom w:val="single" w:color="auto" w:sz="4" w:space="0"/>
              <w:right w:val="single" w:color="auto" w:sz="4" w:space="0"/>
            </w:tcBorders>
            <w:shd w:val="clear" w:color="auto" w:fill="FFFFFF"/>
            <w:vAlign w:val="center"/>
          </w:tcPr>
          <w:p w14:paraId="7386A891">
            <w:pPr>
              <w:spacing w:line="276" w:lineRule="auto"/>
              <w:jc w:val="center"/>
              <w:rPr>
                <w:rFonts w:ascii="Calibri" w:hAnsi="Calibri" w:eastAsia="宋体" w:cs="Times New Roman"/>
                <w:bCs/>
                <w:color w:val="auto"/>
                <w:szCs w:val="21"/>
              </w:rPr>
            </w:pPr>
            <w:r>
              <w:rPr>
                <w:rFonts w:hint="eastAsia" w:ascii="Calibri" w:hAnsi="Calibri" w:eastAsia="宋体" w:cs="Times New Roman"/>
                <w:bCs/>
                <w:color w:val="auto"/>
                <w:szCs w:val="21"/>
              </w:rPr>
              <w:t>项目名称</w:t>
            </w:r>
          </w:p>
        </w:tc>
        <w:tc>
          <w:tcPr>
            <w:tcW w:w="5951" w:type="dxa"/>
            <w:tcBorders>
              <w:top w:val="single" w:color="auto" w:sz="4" w:space="0"/>
              <w:left w:val="single" w:color="auto" w:sz="4" w:space="0"/>
              <w:bottom w:val="single" w:color="auto" w:sz="4" w:space="0"/>
              <w:right w:val="single" w:color="auto" w:sz="4" w:space="0"/>
            </w:tcBorders>
            <w:shd w:val="clear" w:color="auto" w:fill="FFFFFF"/>
            <w:vAlign w:val="center"/>
          </w:tcPr>
          <w:p w14:paraId="0FFDC73A">
            <w:pPr>
              <w:spacing w:line="276" w:lineRule="auto"/>
              <w:jc w:val="center"/>
              <w:rPr>
                <w:rFonts w:ascii="Calibri" w:hAnsi="Calibri" w:eastAsia="宋体" w:cs="Times New Roman"/>
                <w:bCs/>
                <w:color w:val="auto"/>
                <w:szCs w:val="21"/>
              </w:rPr>
            </w:pPr>
            <w:r>
              <w:rPr>
                <w:rFonts w:hint="eastAsia" w:ascii="Calibri" w:hAnsi="Calibri" w:eastAsia="宋体" w:cs="Times New Roman"/>
                <w:bCs/>
                <w:color w:val="auto"/>
                <w:szCs w:val="21"/>
              </w:rPr>
              <w:t>实践内容及要求</w:t>
            </w:r>
          </w:p>
        </w:tc>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14:paraId="15D0BBFD">
            <w:pPr>
              <w:spacing w:line="276" w:lineRule="auto"/>
              <w:jc w:val="center"/>
              <w:rPr>
                <w:rFonts w:ascii="Calibri" w:hAnsi="Calibri" w:eastAsia="宋体" w:cs="Times New Roman"/>
                <w:bCs/>
                <w:color w:val="auto"/>
                <w:szCs w:val="21"/>
              </w:rPr>
            </w:pPr>
            <w:r>
              <w:rPr>
                <w:rFonts w:hint="eastAsia" w:ascii="Calibri" w:hAnsi="Calibri" w:eastAsia="宋体" w:cs="Times New Roman"/>
                <w:bCs/>
                <w:color w:val="auto"/>
                <w:szCs w:val="21"/>
              </w:rPr>
              <w:t>学时</w:t>
            </w:r>
          </w:p>
        </w:tc>
      </w:tr>
      <w:tr w14:paraId="5DCF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F6567A5">
            <w:pPr>
              <w:spacing w:line="276" w:lineRule="auto"/>
              <w:jc w:val="center"/>
              <w:rPr>
                <w:rFonts w:hint="eastAsia" w:ascii="新宋体" w:hAnsi="新宋体" w:eastAsia="新宋体" w:cs="Times New Roman"/>
                <w:color w:val="auto"/>
                <w:szCs w:val="21"/>
              </w:rPr>
            </w:pPr>
            <w:r>
              <w:rPr>
                <w:rFonts w:hint="eastAsia" w:ascii="新宋体" w:hAnsi="新宋体" w:eastAsia="新宋体" w:cs="Times New Roman"/>
                <w:color w:val="auto"/>
                <w:szCs w:val="21"/>
              </w:rPr>
              <w:t>1</w:t>
            </w:r>
          </w:p>
        </w:tc>
        <w:tc>
          <w:tcPr>
            <w:tcW w:w="1517" w:type="dxa"/>
            <w:tcBorders>
              <w:top w:val="single" w:color="auto" w:sz="4" w:space="0"/>
              <w:left w:val="single" w:color="auto" w:sz="4" w:space="0"/>
              <w:bottom w:val="single" w:color="auto" w:sz="4" w:space="0"/>
              <w:right w:val="single" w:color="auto" w:sz="4" w:space="0"/>
            </w:tcBorders>
            <w:vAlign w:val="center"/>
          </w:tcPr>
          <w:p w14:paraId="30460AFF">
            <w:pPr>
              <w:adjustRightInd w:val="0"/>
              <w:spacing w:line="276" w:lineRule="auto"/>
              <w:jc w:val="center"/>
              <w:rPr>
                <w:rFonts w:hint="eastAsia" w:ascii="新宋体" w:hAnsi="新宋体" w:eastAsia="新宋体" w:cs="Times New Roman"/>
                <w:bCs/>
                <w:color w:val="auto"/>
                <w:szCs w:val="21"/>
              </w:rPr>
            </w:pPr>
            <w:r>
              <w:rPr>
                <w:rFonts w:hint="eastAsia" w:ascii="新宋体" w:hAnsi="新宋体" w:eastAsia="新宋体" w:cs="Times New Roman"/>
                <w:color w:val="auto"/>
                <w:szCs w:val="21"/>
              </w:rPr>
              <w:t>晤谈技术训练</w:t>
            </w:r>
          </w:p>
        </w:tc>
        <w:tc>
          <w:tcPr>
            <w:tcW w:w="5951" w:type="dxa"/>
            <w:tcBorders>
              <w:top w:val="single" w:color="auto" w:sz="4" w:space="0"/>
              <w:left w:val="single" w:color="auto" w:sz="4" w:space="0"/>
              <w:bottom w:val="single" w:color="auto" w:sz="4" w:space="0"/>
              <w:right w:val="single" w:color="auto" w:sz="4" w:space="0"/>
            </w:tcBorders>
            <w:vAlign w:val="center"/>
          </w:tcPr>
          <w:p w14:paraId="0A209B40">
            <w:pPr>
              <w:spacing w:line="276" w:lineRule="auto"/>
              <w:rPr>
                <w:rFonts w:hint="eastAsia" w:ascii="新宋体" w:hAnsi="新宋体" w:eastAsia="新宋体" w:cs="Times New Roman"/>
                <w:color w:val="auto"/>
                <w:szCs w:val="21"/>
              </w:rPr>
            </w:pPr>
            <w:r>
              <w:rPr>
                <w:rFonts w:hint="eastAsia" w:ascii="新宋体" w:hAnsi="新宋体" w:eastAsia="新宋体" w:cs="Times New Roman"/>
                <w:color w:val="auto"/>
                <w:szCs w:val="21"/>
              </w:rPr>
              <w:t>实践内容：根据要求设计小学生心理辅导的晤谈过程并进行模拟晤谈</w:t>
            </w:r>
          </w:p>
          <w:p w14:paraId="1FF0AC16">
            <w:pPr>
              <w:spacing w:line="276" w:lineRule="auto"/>
              <w:rPr>
                <w:rFonts w:hint="eastAsia" w:ascii="新宋体" w:hAnsi="新宋体" w:eastAsia="新宋体" w:cs="Times New Roman"/>
                <w:color w:val="auto"/>
                <w:szCs w:val="21"/>
              </w:rPr>
            </w:pPr>
            <w:r>
              <w:rPr>
                <w:rFonts w:hint="eastAsia" w:ascii="新宋体" w:hAnsi="新宋体" w:eastAsia="新宋体" w:cs="Times New Roman"/>
                <w:color w:val="auto"/>
                <w:szCs w:val="21"/>
              </w:rPr>
              <w:t>实践要求：（1）设计合理的晤谈提纲</w:t>
            </w:r>
          </w:p>
          <w:p w14:paraId="6F06868E">
            <w:pPr>
              <w:spacing w:line="276" w:lineRule="auto"/>
              <w:rPr>
                <w:rFonts w:hint="eastAsia" w:ascii="新宋体" w:hAnsi="新宋体" w:eastAsia="新宋体" w:cs="Times New Roman"/>
                <w:color w:val="auto"/>
                <w:szCs w:val="21"/>
              </w:rPr>
            </w:pPr>
            <w:r>
              <w:rPr>
                <w:rFonts w:hint="eastAsia" w:ascii="新宋体" w:hAnsi="新宋体" w:eastAsia="新宋体" w:cs="Times New Roman"/>
                <w:color w:val="auto"/>
                <w:szCs w:val="21"/>
              </w:rPr>
              <w:t>（2）与同学合作开展模拟晤谈并录像</w:t>
            </w:r>
          </w:p>
          <w:p w14:paraId="6864E920">
            <w:pPr>
              <w:spacing w:line="276" w:lineRule="auto"/>
              <w:rPr>
                <w:rFonts w:hint="eastAsia" w:ascii="新宋体" w:hAnsi="新宋体" w:eastAsia="新宋体" w:cs="Times New Roman"/>
                <w:color w:val="auto"/>
                <w:szCs w:val="21"/>
              </w:rPr>
            </w:pPr>
            <w:r>
              <w:rPr>
                <w:rFonts w:hint="eastAsia" w:ascii="新宋体" w:hAnsi="新宋体" w:eastAsia="新宋体" w:cs="Times New Roman"/>
                <w:color w:val="auto"/>
                <w:szCs w:val="21"/>
              </w:rPr>
              <w:t>（3）反复练习晤谈的各个步骤，直到熟练</w:t>
            </w:r>
          </w:p>
        </w:tc>
        <w:tc>
          <w:tcPr>
            <w:tcW w:w="796" w:type="dxa"/>
            <w:tcBorders>
              <w:top w:val="single" w:color="auto" w:sz="4" w:space="0"/>
              <w:left w:val="single" w:color="auto" w:sz="4" w:space="0"/>
              <w:bottom w:val="single" w:color="auto" w:sz="4" w:space="0"/>
              <w:right w:val="single" w:color="auto" w:sz="4" w:space="0"/>
            </w:tcBorders>
            <w:vAlign w:val="center"/>
          </w:tcPr>
          <w:p w14:paraId="02504E11">
            <w:pPr>
              <w:spacing w:line="276" w:lineRule="auto"/>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w:t>
            </w:r>
          </w:p>
        </w:tc>
      </w:tr>
      <w:tr w14:paraId="2265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7CD5BA0F">
            <w:pPr>
              <w:spacing w:line="276" w:lineRule="auto"/>
              <w:jc w:val="center"/>
              <w:rPr>
                <w:rFonts w:hint="eastAsia" w:ascii="新宋体" w:hAnsi="新宋体" w:eastAsia="新宋体" w:cs="Times New Roman"/>
                <w:color w:val="auto"/>
                <w:szCs w:val="21"/>
              </w:rPr>
            </w:pPr>
            <w:r>
              <w:rPr>
                <w:rFonts w:hint="eastAsia" w:ascii="新宋体" w:hAnsi="新宋体" w:eastAsia="新宋体" w:cs="Times New Roman"/>
                <w:color w:val="auto"/>
                <w:szCs w:val="21"/>
              </w:rPr>
              <w:t>2</w:t>
            </w:r>
          </w:p>
        </w:tc>
        <w:tc>
          <w:tcPr>
            <w:tcW w:w="1517" w:type="dxa"/>
            <w:tcBorders>
              <w:top w:val="single" w:color="auto" w:sz="4" w:space="0"/>
              <w:left w:val="single" w:color="auto" w:sz="4" w:space="0"/>
              <w:bottom w:val="single" w:color="auto" w:sz="4" w:space="0"/>
              <w:right w:val="single" w:color="auto" w:sz="4" w:space="0"/>
            </w:tcBorders>
            <w:vAlign w:val="center"/>
          </w:tcPr>
          <w:p w14:paraId="2E4FC8A9">
            <w:pPr>
              <w:adjustRightInd w:val="0"/>
              <w:spacing w:line="276" w:lineRule="auto"/>
              <w:jc w:val="center"/>
              <w:rPr>
                <w:rFonts w:hint="eastAsia" w:ascii="宋体" w:hAnsi="宋体" w:eastAsia="宋体" w:cs="Times New Roman"/>
                <w:bCs/>
                <w:color w:val="auto"/>
                <w:szCs w:val="21"/>
              </w:rPr>
            </w:pPr>
            <w:r>
              <w:rPr>
                <w:rFonts w:hint="eastAsia" w:ascii="宋体" w:hAnsi="宋体" w:eastAsia="宋体" w:cs="Times New Roman"/>
                <w:color w:val="auto"/>
                <w:szCs w:val="21"/>
              </w:rPr>
              <w:t>游戏辅导设计</w:t>
            </w:r>
          </w:p>
        </w:tc>
        <w:tc>
          <w:tcPr>
            <w:tcW w:w="5951" w:type="dxa"/>
            <w:tcBorders>
              <w:top w:val="single" w:color="auto" w:sz="4" w:space="0"/>
              <w:left w:val="single" w:color="auto" w:sz="4" w:space="0"/>
              <w:bottom w:val="single" w:color="auto" w:sz="4" w:space="0"/>
              <w:right w:val="single" w:color="auto" w:sz="4" w:space="0"/>
            </w:tcBorders>
            <w:vAlign w:val="center"/>
          </w:tcPr>
          <w:p w14:paraId="45D1D4EF">
            <w:pPr>
              <w:spacing w:line="276" w:lineRule="auto"/>
              <w:rPr>
                <w:rFonts w:hint="eastAsia" w:ascii="宋体" w:hAnsi="宋体" w:eastAsia="宋体" w:cs="Times New Roman"/>
                <w:color w:val="auto"/>
                <w:szCs w:val="21"/>
              </w:rPr>
            </w:pPr>
            <w:r>
              <w:rPr>
                <w:rFonts w:hint="eastAsia" w:ascii="宋体" w:hAnsi="宋体" w:eastAsia="宋体" w:cs="Times New Roman"/>
                <w:color w:val="auto"/>
                <w:szCs w:val="21"/>
              </w:rPr>
              <w:t>实践内容：设计一个符合小学生心理发展特点并能促进小学生心理发展的游戏，并能在小组内实施</w:t>
            </w:r>
          </w:p>
          <w:p w14:paraId="1DE2B0FD">
            <w:pPr>
              <w:spacing w:line="276" w:lineRule="auto"/>
              <w:rPr>
                <w:rFonts w:hint="eastAsia" w:ascii="宋体" w:hAnsi="宋体" w:eastAsia="宋体" w:cs="Times New Roman"/>
                <w:color w:val="auto"/>
                <w:szCs w:val="21"/>
              </w:rPr>
            </w:pPr>
            <w:r>
              <w:rPr>
                <w:rFonts w:hint="eastAsia" w:ascii="宋体" w:hAnsi="宋体" w:eastAsia="宋体" w:cs="Times New Roman"/>
                <w:color w:val="auto"/>
                <w:szCs w:val="21"/>
              </w:rPr>
              <w:t>实践要求：（1）游戏设计符合小学生心理特点，能针对性地对小学发展的某个方面进行辅导</w:t>
            </w:r>
          </w:p>
          <w:p w14:paraId="1CAC9D6C">
            <w:pPr>
              <w:spacing w:line="276" w:lineRule="auto"/>
              <w:rPr>
                <w:rFonts w:hint="eastAsia" w:ascii="宋体" w:hAnsi="宋体" w:eastAsia="宋体" w:cs="Times New Roman"/>
                <w:color w:val="auto"/>
                <w:szCs w:val="21"/>
              </w:rPr>
            </w:pPr>
            <w:r>
              <w:rPr>
                <w:rFonts w:hint="eastAsia" w:ascii="宋体" w:hAnsi="宋体" w:eastAsia="宋体" w:cs="Times New Roman"/>
                <w:color w:val="auto"/>
                <w:szCs w:val="21"/>
              </w:rPr>
              <w:t>（2）游戏安排时间合理，程序清楚，目标明确</w:t>
            </w:r>
          </w:p>
          <w:p w14:paraId="252004F7">
            <w:pPr>
              <w:spacing w:line="276" w:lineRule="auto"/>
              <w:rPr>
                <w:rFonts w:hint="eastAsia" w:ascii="宋体" w:hAnsi="宋体" w:eastAsia="宋体" w:cs="Times New Roman"/>
                <w:color w:val="auto"/>
                <w:szCs w:val="21"/>
              </w:rPr>
            </w:pPr>
            <w:r>
              <w:rPr>
                <w:rFonts w:hint="eastAsia" w:ascii="宋体" w:hAnsi="宋体" w:eastAsia="宋体" w:cs="Times New Roman"/>
                <w:color w:val="auto"/>
                <w:szCs w:val="21"/>
              </w:rPr>
              <w:t>（3）游戏实施过程清晰，组织安排恰当</w:t>
            </w:r>
          </w:p>
        </w:tc>
        <w:tc>
          <w:tcPr>
            <w:tcW w:w="796" w:type="dxa"/>
            <w:tcBorders>
              <w:top w:val="single" w:color="auto" w:sz="4" w:space="0"/>
              <w:left w:val="single" w:color="auto" w:sz="4" w:space="0"/>
              <w:bottom w:val="single" w:color="auto" w:sz="4" w:space="0"/>
              <w:right w:val="single" w:color="auto" w:sz="4" w:space="0"/>
            </w:tcBorders>
            <w:vAlign w:val="center"/>
          </w:tcPr>
          <w:p w14:paraId="586B2B34">
            <w:pPr>
              <w:spacing w:line="276" w:lineRule="auto"/>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w:t>
            </w:r>
          </w:p>
        </w:tc>
      </w:tr>
      <w:tr w14:paraId="6652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266A9A7D">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w:t>
            </w:r>
          </w:p>
        </w:tc>
        <w:tc>
          <w:tcPr>
            <w:tcW w:w="1517" w:type="dxa"/>
            <w:tcBorders>
              <w:top w:val="single" w:color="auto" w:sz="4" w:space="0"/>
              <w:left w:val="single" w:color="auto" w:sz="4" w:space="0"/>
              <w:bottom w:val="single" w:color="auto" w:sz="4" w:space="0"/>
              <w:right w:val="single" w:color="auto" w:sz="4" w:space="0"/>
            </w:tcBorders>
            <w:vAlign w:val="center"/>
          </w:tcPr>
          <w:p w14:paraId="62B57BA2">
            <w:pPr>
              <w:adjustRightInd w:val="0"/>
              <w:spacing w:line="276" w:lineRule="auto"/>
              <w:jc w:val="center"/>
              <w:rPr>
                <w:rFonts w:hint="eastAsia" w:ascii="宋体" w:hAnsi="宋体" w:eastAsia="宋体" w:cs="Times New Roman"/>
                <w:bCs/>
                <w:color w:val="auto"/>
                <w:szCs w:val="21"/>
              </w:rPr>
            </w:pPr>
            <w:r>
              <w:rPr>
                <w:rFonts w:hint="eastAsia" w:ascii="宋体" w:hAnsi="宋体" w:eastAsia="宋体" w:cs="Times New Roman"/>
                <w:color w:val="auto"/>
                <w:szCs w:val="21"/>
              </w:rPr>
              <w:t>心理剧展演</w:t>
            </w:r>
          </w:p>
        </w:tc>
        <w:tc>
          <w:tcPr>
            <w:tcW w:w="5951" w:type="dxa"/>
            <w:tcBorders>
              <w:top w:val="single" w:color="auto" w:sz="4" w:space="0"/>
              <w:left w:val="single" w:color="auto" w:sz="4" w:space="0"/>
              <w:bottom w:val="single" w:color="auto" w:sz="4" w:space="0"/>
              <w:right w:val="single" w:color="auto" w:sz="4" w:space="0"/>
            </w:tcBorders>
            <w:vAlign w:val="center"/>
          </w:tcPr>
          <w:p w14:paraId="6754E7F7">
            <w:pPr>
              <w:spacing w:line="276" w:lineRule="auto"/>
              <w:rPr>
                <w:rFonts w:hint="eastAsia" w:ascii="宋体" w:hAnsi="宋体" w:eastAsia="宋体" w:cs="Times New Roman"/>
                <w:color w:val="auto"/>
                <w:szCs w:val="21"/>
              </w:rPr>
            </w:pPr>
            <w:r>
              <w:rPr>
                <w:rFonts w:hint="eastAsia" w:ascii="宋体" w:hAnsi="宋体" w:eastAsia="宋体" w:cs="Times New Roman"/>
                <w:color w:val="auto"/>
                <w:szCs w:val="21"/>
              </w:rPr>
              <w:t>实践内容：小组合作创编一个心理剧并在演出</w:t>
            </w:r>
          </w:p>
          <w:p w14:paraId="3F53E112">
            <w:pPr>
              <w:spacing w:line="276" w:lineRule="auto"/>
              <w:rPr>
                <w:rFonts w:hint="eastAsia" w:ascii="宋体" w:hAnsi="宋体" w:eastAsia="宋体" w:cs="Times New Roman"/>
                <w:color w:val="auto"/>
                <w:szCs w:val="21"/>
              </w:rPr>
            </w:pPr>
            <w:r>
              <w:rPr>
                <w:rFonts w:hint="eastAsia" w:ascii="宋体" w:hAnsi="宋体" w:eastAsia="宋体" w:cs="Times New Roman"/>
                <w:color w:val="auto"/>
                <w:szCs w:val="21"/>
              </w:rPr>
              <w:t>实践要求：（1）心理剧创编由小组合作完成，内容符合小学生特点，形式符合心理剧要求</w:t>
            </w:r>
          </w:p>
          <w:p w14:paraId="0FEE506D">
            <w:pPr>
              <w:spacing w:line="276" w:lineRule="auto"/>
              <w:rPr>
                <w:rFonts w:hint="eastAsia" w:ascii="宋体" w:hAnsi="宋体" w:eastAsia="宋体" w:cs="Times New Roman"/>
                <w:color w:val="auto"/>
                <w:szCs w:val="21"/>
              </w:rPr>
            </w:pPr>
            <w:r>
              <w:rPr>
                <w:rFonts w:hint="eastAsia" w:ascii="宋体" w:hAnsi="宋体" w:eastAsia="宋体" w:cs="Times New Roman"/>
                <w:color w:val="auto"/>
                <w:szCs w:val="21"/>
              </w:rPr>
              <w:t>（2）各成员分工合理，能协同完成活动</w:t>
            </w:r>
          </w:p>
        </w:tc>
        <w:tc>
          <w:tcPr>
            <w:tcW w:w="796" w:type="dxa"/>
            <w:tcBorders>
              <w:top w:val="single" w:color="auto" w:sz="4" w:space="0"/>
              <w:left w:val="single" w:color="auto" w:sz="4" w:space="0"/>
              <w:bottom w:val="single" w:color="auto" w:sz="4" w:space="0"/>
              <w:right w:val="single" w:color="auto" w:sz="4" w:space="0"/>
            </w:tcBorders>
            <w:vAlign w:val="center"/>
          </w:tcPr>
          <w:p w14:paraId="449013C1">
            <w:pPr>
              <w:spacing w:line="276" w:lineRule="auto"/>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w:t>
            </w:r>
          </w:p>
        </w:tc>
      </w:tr>
      <w:tr w14:paraId="64AF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0C20E58F">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c>
          <w:tcPr>
            <w:tcW w:w="1517" w:type="dxa"/>
            <w:tcBorders>
              <w:top w:val="single" w:color="auto" w:sz="4" w:space="0"/>
              <w:left w:val="single" w:color="auto" w:sz="4" w:space="0"/>
              <w:bottom w:val="single" w:color="auto" w:sz="4" w:space="0"/>
              <w:right w:val="single" w:color="auto" w:sz="4" w:space="0"/>
            </w:tcBorders>
            <w:vAlign w:val="center"/>
          </w:tcPr>
          <w:p w14:paraId="65135293">
            <w:pPr>
              <w:adjustRightInd w:val="0"/>
              <w:spacing w:line="276" w:lineRule="auto"/>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模拟教学</w:t>
            </w:r>
          </w:p>
        </w:tc>
        <w:tc>
          <w:tcPr>
            <w:tcW w:w="5951" w:type="dxa"/>
            <w:tcBorders>
              <w:top w:val="single" w:color="auto" w:sz="4" w:space="0"/>
              <w:left w:val="single" w:color="auto" w:sz="4" w:space="0"/>
              <w:bottom w:val="single" w:color="auto" w:sz="4" w:space="0"/>
              <w:right w:val="single" w:color="auto" w:sz="4" w:space="0"/>
            </w:tcBorders>
            <w:vAlign w:val="center"/>
          </w:tcPr>
          <w:p w14:paraId="3153B103">
            <w:pPr>
              <w:spacing w:line="276" w:lineRule="auto"/>
              <w:rPr>
                <w:rFonts w:hint="eastAsia" w:ascii="宋体" w:hAnsi="宋体" w:eastAsia="宋体" w:cs="Times New Roman"/>
                <w:color w:val="auto"/>
                <w:szCs w:val="21"/>
              </w:rPr>
            </w:pPr>
            <w:r>
              <w:rPr>
                <w:rFonts w:hint="eastAsia" w:ascii="宋体" w:hAnsi="宋体" w:eastAsia="宋体" w:cs="Times New Roman"/>
                <w:color w:val="auto"/>
                <w:szCs w:val="21"/>
              </w:rPr>
              <w:t>实践内容：在微格教室完成心理一节心理辅导课的模拟教学</w:t>
            </w:r>
          </w:p>
          <w:p w14:paraId="72BA913C">
            <w:pPr>
              <w:spacing w:line="276" w:lineRule="auto"/>
              <w:rPr>
                <w:rFonts w:hint="eastAsia" w:ascii="宋体" w:hAnsi="宋体" w:eastAsia="宋体" w:cs="Times New Roman"/>
                <w:color w:val="auto"/>
                <w:szCs w:val="21"/>
              </w:rPr>
            </w:pPr>
            <w:r>
              <w:rPr>
                <w:rFonts w:hint="eastAsia" w:ascii="宋体" w:hAnsi="宋体" w:eastAsia="宋体" w:cs="Times New Roman"/>
                <w:color w:val="auto"/>
                <w:szCs w:val="21"/>
              </w:rPr>
              <w:t>实践要求：（1）模拟教学目标清楚、内容符合小学心理辅导课的要求</w:t>
            </w:r>
          </w:p>
          <w:p w14:paraId="7A62A022">
            <w:pPr>
              <w:spacing w:line="276" w:lineRule="auto"/>
              <w:rPr>
                <w:rFonts w:hint="eastAsia" w:ascii="宋体" w:hAnsi="宋体" w:eastAsia="宋体" w:cs="Times New Roman"/>
                <w:color w:val="auto"/>
                <w:szCs w:val="21"/>
              </w:rPr>
            </w:pPr>
            <w:r>
              <w:rPr>
                <w:rFonts w:hint="eastAsia" w:ascii="宋体" w:hAnsi="宋体" w:eastAsia="宋体" w:cs="Times New Roman"/>
                <w:color w:val="auto"/>
                <w:szCs w:val="21"/>
              </w:rPr>
              <w:t>（2）能对模拟教学进行自评和互评</w:t>
            </w:r>
          </w:p>
        </w:tc>
        <w:tc>
          <w:tcPr>
            <w:tcW w:w="796" w:type="dxa"/>
            <w:tcBorders>
              <w:top w:val="single" w:color="auto" w:sz="4" w:space="0"/>
              <w:left w:val="single" w:color="auto" w:sz="4" w:space="0"/>
              <w:bottom w:val="single" w:color="auto" w:sz="4" w:space="0"/>
              <w:right w:val="single" w:color="auto" w:sz="4" w:space="0"/>
            </w:tcBorders>
            <w:vAlign w:val="center"/>
          </w:tcPr>
          <w:p w14:paraId="34A62393">
            <w:pPr>
              <w:spacing w:line="276" w:lineRule="auto"/>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w:t>
            </w:r>
          </w:p>
        </w:tc>
      </w:tr>
      <w:tr w14:paraId="0212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24" w:type="dxa"/>
            <w:gridSpan w:val="2"/>
            <w:tcBorders>
              <w:top w:val="single" w:color="auto" w:sz="4" w:space="0"/>
              <w:left w:val="single" w:color="auto" w:sz="4" w:space="0"/>
              <w:bottom w:val="single" w:color="auto" w:sz="4" w:space="0"/>
              <w:right w:val="single" w:color="auto" w:sz="4" w:space="0"/>
            </w:tcBorders>
            <w:vAlign w:val="center"/>
          </w:tcPr>
          <w:p w14:paraId="3F08D8DA">
            <w:pPr>
              <w:adjustRightInd w:val="0"/>
              <w:spacing w:line="276" w:lineRule="auto"/>
              <w:jc w:val="center"/>
              <w:rPr>
                <w:rFonts w:hint="eastAsia" w:ascii="新宋体" w:hAnsi="新宋体" w:eastAsia="新宋体" w:cs="Times New Roman"/>
                <w:bCs/>
                <w:color w:val="auto"/>
                <w:szCs w:val="21"/>
              </w:rPr>
            </w:pPr>
            <w:r>
              <w:rPr>
                <w:rFonts w:hint="eastAsia" w:ascii="新宋体" w:hAnsi="新宋体" w:eastAsia="新宋体" w:cs="Times New Roman"/>
                <w:bCs/>
                <w:color w:val="auto"/>
                <w:szCs w:val="21"/>
              </w:rPr>
              <w:t>合计</w:t>
            </w:r>
          </w:p>
        </w:tc>
        <w:tc>
          <w:tcPr>
            <w:tcW w:w="5951" w:type="dxa"/>
            <w:tcBorders>
              <w:top w:val="single" w:color="auto" w:sz="4" w:space="0"/>
              <w:left w:val="single" w:color="auto" w:sz="4" w:space="0"/>
              <w:bottom w:val="single" w:color="auto" w:sz="4" w:space="0"/>
              <w:right w:val="single" w:color="auto" w:sz="4" w:space="0"/>
            </w:tcBorders>
            <w:vAlign w:val="center"/>
          </w:tcPr>
          <w:p w14:paraId="5173F77D">
            <w:pPr>
              <w:spacing w:line="276" w:lineRule="auto"/>
              <w:rPr>
                <w:rFonts w:hint="eastAsia" w:ascii="新宋体" w:hAnsi="新宋体" w:eastAsia="新宋体" w:cs="Times New Roman"/>
                <w:color w:val="auto"/>
                <w:szCs w:val="21"/>
              </w:rPr>
            </w:pPr>
          </w:p>
        </w:tc>
        <w:tc>
          <w:tcPr>
            <w:tcW w:w="796" w:type="dxa"/>
            <w:tcBorders>
              <w:top w:val="single" w:color="auto" w:sz="4" w:space="0"/>
              <w:left w:val="single" w:color="auto" w:sz="4" w:space="0"/>
              <w:bottom w:val="single" w:color="auto" w:sz="4" w:space="0"/>
              <w:right w:val="single" w:color="auto" w:sz="4" w:space="0"/>
            </w:tcBorders>
            <w:vAlign w:val="center"/>
          </w:tcPr>
          <w:p w14:paraId="68EA5D82">
            <w:pPr>
              <w:spacing w:line="276" w:lineRule="auto"/>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8</w:t>
            </w:r>
          </w:p>
        </w:tc>
      </w:tr>
    </w:tbl>
    <w:p w14:paraId="117C05C6">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hint="eastAsia" w:ascii="Calibri" w:hAnsi="Calibri" w:eastAsia="宋体" w:cs="Times New Roman"/>
          <w:b/>
          <w:bCs/>
          <w:color w:val="auto"/>
          <w:kern w:val="0"/>
          <w:sz w:val="24"/>
          <w:szCs w:val="24"/>
        </w:rPr>
      </w:pPr>
      <w:r>
        <w:rPr>
          <w:rFonts w:hint="eastAsia" w:ascii="Calibri" w:hAnsi="Calibri" w:eastAsia="宋体" w:cs="Times New Roman"/>
          <w:b/>
          <w:bCs/>
          <w:color w:val="auto"/>
          <w:kern w:val="0"/>
          <w:sz w:val="24"/>
          <w:szCs w:val="24"/>
        </w:rPr>
        <w:t>六、有关说明</w:t>
      </w:r>
    </w:p>
    <w:p w14:paraId="5DF640BE">
      <w:pPr>
        <w:spacing w:line="360" w:lineRule="auto"/>
        <w:ind w:firstLine="422" w:firstLineChars="200"/>
        <w:rPr>
          <w:rFonts w:ascii="Calibri" w:hAnsi="Calibri" w:eastAsia="宋体" w:cs="Times New Roman"/>
          <w:b/>
          <w:color w:val="auto"/>
          <w:sz w:val="21"/>
          <w:szCs w:val="21"/>
        </w:rPr>
      </w:pPr>
      <w:r>
        <w:rPr>
          <w:rFonts w:hint="eastAsia" w:ascii="Calibri" w:hAnsi="Calibri" w:eastAsia="宋体" w:cs="Times New Roman"/>
          <w:b/>
          <w:color w:val="auto"/>
          <w:sz w:val="21"/>
          <w:szCs w:val="21"/>
        </w:rPr>
        <w:t>（一）持续改进</w:t>
      </w:r>
    </w:p>
    <w:p w14:paraId="4B1E9243">
      <w:pPr>
        <w:spacing w:line="360" w:lineRule="auto"/>
        <w:ind w:firstLine="420" w:firstLineChars="200"/>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本课程根据学生作业、课堂讨论、实验环节、平时考核情况和学生、教学督导等的反馈，及时对教学中的不足之处进行改进，并在下一轮课程教学中整改完善，确保相应毕业要求指标点达成。</w:t>
      </w:r>
    </w:p>
    <w:p w14:paraId="58B2D510">
      <w:pPr>
        <w:spacing w:line="360" w:lineRule="auto"/>
        <w:ind w:firstLine="422" w:firstLineChars="200"/>
        <w:rPr>
          <w:rFonts w:ascii="Calibri" w:hAnsi="Calibri" w:eastAsia="宋体" w:cs="Times New Roman"/>
          <w:b/>
          <w:color w:val="auto"/>
          <w:sz w:val="21"/>
          <w:szCs w:val="21"/>
        </w:rPr>
      </w:pPr>
      <w:r>
        <w:rPr>
          <w:rFonts w:hint="eastAsia" w:ascii="Calibri" w:hAnsi="Calibri" w:eastAsia="宋体" w:cs="Times New Roman"/>
          <w:b/>
          <w:color w:val="auto"/>
          <w:sz w:val="21"/>
          <w:szCs w:val="21"/>
        </w:rPr>
        <w:t>（二）建议教材</w:t>
      </w:r>
    </w:p>
    <w:p w14:paraId="7108B6BC">
      <w:pPr>
        <w:spacing w:line="360" w:lineRule="auto"/>
        <w:ind w:firstLine="480" w:firstLineChars="200"/>
        <w:rPr>
          <w:rFonts w:hint="eastAsia" w:ascii="Calibri" w:hAnsi="Calibri" w:eastAsia="宋体" w:cs="Times New Roman"/>
          <w:color w:val="auto"/>
          <w:sz w:val="21"/>
          <w:szCs w:val="21"/>
        </w:rPr>
      </w:pPr>
      <w:r>
        <w:rPr>
          <w:rFonts w:ascii="Times New Roman" w:hAnsi="Times New Roman" w:eastAsia="宋体" w:cs="Times New Roman"/>
          <w:color w:val="auto"/>
          <w:kern w:val="0"/>
          <w:sz w:val="24"/>
          <w:szCs w:val="21"/>
        </w:rPr>
        <w:t>1. 惠中，邹萍. 小学心理辅导与健康，中国人民大学出版社，2021.</w:t>
      </w:r>
    </w:p>
    <w:p w14:paraId="6EDDFAFD">
      <w:pPr>
        <w:spacing w:line="360" w:lineRule="auto"/>
        <w:ind w:firstLine="422" w:firstLineChars="200"/>
        <w:rPr>
          <w:rFonts w:ascii="Calibri" w:hAnsi="Calibri" w:eastAsia="宋体" w:cs="Times New Roman"/>
          <w:b/>
          <w:color w:val="auto"/>
          <w:sz w:val="21"/>
          <w:szCs w:val="21"/>
        </w:rPr>
      </w:pPr>
      <w:r>
        <w:rPr>
          <w:rFonts w:hint="eastAsia" w:ascii="Calibri" w:hAnsi="Calibri" w:eastAsia="宋体" w:cs="Times New Roman"/>
          <w:b/>
          <w:color w:val="auto"/>
          <w:sz w:val="21"/>
          <w:szCs w:val="21"/>
        </w:rPr>
        <w:t>（</w:t>
      </w:r>
      <w:r>
        <w:rPr>
          <w:rFonts w:hint="eastAsia" w:ascii="Calibri" w:hAnsi="Calibri" w:eastAsia="宋体" w:cs="Times New Roman"/>
          <w:b/>
          <w:color w:val="auto"/>
          <w:sz w:val="21"/>
          <w:szCs w:val="21"/>
          <w:lang w:val="en-US" w:eastAsia="zh-CN"/>
        </w:rPr>
        <w:t>三</w:t>
      </w:r>
      <w:r>
        <w:rPr>
          <w:rFonts w:hint="eastAsia" w:ascii="Calibri" w:hAnsi="Calibri" w:eastAsia="宋体" w:cs="Times New Roman"/>
          <w:b/>
          <w:color w:val="auto"/>
          <w:sz w:val="21"/>
          <w:szCs w:val="21"/>
        </w:rPr>
        <w:t>）参考书目及学习资料</w:t>
      </w:r>
    </w:p>
    <w:p w14:paraId="54F2B644">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1.彭小虎，小学生心理辅导，华东师范大学出版社，2012</w:t>
      </w:r>
    </w:p>
    <w:p w14:paraId="7E47405E">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2.吴增强 主编，发展性心理辅导：理论与实务，上海科技教育出版社，2018</w:t>
      </w:r>
    </w:p>
    <w:p w14:paraId="0E7D450C">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3.刘慧贤，郝红英.小学生心理健康与辅导，教育科学出版社，2013</w:t>
      </w:r>
    </w:p>
    <w:p w14:paraId="76CE8A3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4.陶勑恒,郑洪利．小学生心理辅导（第二版）．高等教育出版社，2018．</w:t>
      </w:r>
    </w:p>
    <w:p w14:paraId="6C9A3ECB">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5.殷炳江．小学生心理健康教育．人民教育出版社，2003．</w:t>
      </w:r>
    </w:p>
    <w:p w14:paraId="7467DCAA">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6.</w:t>
      </w:r>
      <w:r>
        <w:rPr>
          <w:rFonts w:ascii="Times New Roman" w:hAnsi="Times New Roman" w:eastAsia="宋体" w:cs="Times New Roman"/>
          <w:color w:val="auto"/>
          <w:sz w:val="21"/>
          <w:szCs w:val="21"/>
        </w:rPr>
        <w:t xml:space="preserve"> </w:t>
      </w:r>
      <w:r>
        <w:rPr>
          <w:rFonts w:ascii="Times New Roman" w:hAnsi="Times New Roman" w:eastAsia="宋体" w:cs="Times New Roman"/>
          <w:color w:val="auto"/>
          <w:kern w:val="0"/>
          <w:sz w:val="21"/>
          <w:szCs w:val="21"/>
        </w:rPr>
        <w:t xml:space="preserve">张艺馨，小学生心理辅导与咨询 ，北京师范大学出版社，2013 </w:t>
      </w:r>
    </w:p>
    <w:p w14:paraId="4F896DC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 xml:space="preserve">7. 叶一舵著，中小学团体心理辅导活动350例（中小学心理健康教育案例丛书），福建教育出版社，2018 </w:t>
      </w:r>
    </w:p>
    <w:p w14:paraId="664452A9">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8.郭黎岩，小学生心理健康与辅导（第2版），高等教育出版社，2014</w:t>
      </w:r>
    </w:p>
    <w:p w14:paraId="66241D85">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9.H．T．Prout &amp; D.T.Brown 著、林丹华等译．儿童青少年心理咨询与治疗．中国轻工业出版社，2002．</w:t>
      </w:r>
    </w:p>
    <w:p w14:paraId="19D00763">
      <w:pPr>
        <w:autoSpaceDE w:val="0"/>
        <w:autoSpaceDN w:val="0"/>
        <w:adjustRightInd w:val="0"/>
        <w:spacing w:line="360" w:lineRule="auto"/>
        <w:ind w:firstLine="5460" w:firstLineChars="2600"/>
        <w:jc w:val="right"/>
        <w:rPr>
          <w:rFonts w:ascii="Calibri" w:hAnsi="Calibri" w:eastAsia="宋体" w:cs="Times New Roman"/>
          <w:color w:val="auto"/>
          <w:kern w:val="0"/>
          <w:sz w:val="21"/>
          <w:szCs w:val="21"/>
        </w:rPr>
      </w:pPr>
      <w:r>
        <w:rPr>
          <w:rFonts w:hint="eastAsia" w:ascii="Calibri" w:hAnsi="Calibri" w:eastAsia="宋体" w:cs="Times New Roman"/>
          <w:color w:val="auto"/>
          <w:kern w:val="0"/>
          <w:sz w:val="21"/>
          <w:szCs w:val="21"/>
        </w:rPr>
        <w:t>执笔人：刘</w:t>
      </w:r>
      <w:r>
        <w:rPr>
          <w:rFonts w:hint="eastAsia" w:ascii="Calibri" w:hAnsi="Calibri" w:eastAsia="宋体" w:cs="Times New Roman"/>
          <w:color w:val="auto"/>
          <w:kern w:val="0"/>
          <w:sz w:val="21"/>
          <w:szCs w:val="21"/>
          <w:lang w:val="en-US" w:eastAsia="zh-CN"/>
        </w:rPr>
        <w:t xml:space="preserve">  </w:t>
      </w:r>
      <w:r>
        <w:rPr>
          <w:rFonts w:hint="eastAsia" w:ascii="Calibri" w:hAnsi="Calibri" w:eastAsia="宋体" w:cs="Times New Roman"/>
          <w:color w:val="auto"/>
          <w:kern w:val="0"/>
          <w:sz w:val="21"/>
          <w:szCs w:val="21"/>
        </w:rPr>
        <w:t>丽</w:t>
      </w:r>
    </w:p>
    <w:p w14:paraId="5CB8303D">
      <w:pPr>
        <w:autoSpaceDE w:val="0"/>
        <w:autoSpaceDN w:val="0"/>
        <w:adjustRightInd w:val="0"/>
        <w:spacing w:line="360" w:lineRule="auto"/>
        <w:ind w:firstLine="5460" w:firstLineChars="2600"/>
        <w:jc w:val="right"/>
        <w:rPr>
          <w:rFonts w:ascii="Calibri" w:hAnsi="Calibri" w:eastAsia="宋体" w:cs="Times New Roman"/>
          <w:color w:val="auto"/>
          <w:kern w:val="0"/>
          <w:sz w:val="21"/>
          <w:szCs w:val="21"/>
        </w:rPr>
      </w:pPr>
      <w:r>
        <w:rPr>
          <w:rFonts w:hint="eastAsia" w:ascii="Calibri" w:hAnsi="Calibri" w:eastAsia="宋体" w:cs="Times New Roman"/>
          <w:color w:val="auto"/>
          <w:kern w:val="0"/>
          <w:sz w:val="21"/>
          <w:szCs w:val="21"/>
        </w:rPr>
        <w:t>审定人：王</w:t>
      </w:r>
      <w:r>
        <w:rPr>
          <w:rFonts w:hint="eastAsia" w:ascii="Calibri" w:hAnsi="Calibri" w:eastAsia="宋体" w:cs="Times New Roman"/>
          <w:color w:val="auto"/>
          <w:kern w:val="0"/>
          <w:sz w:val="21"/>
          <w:szCs w:val="21"/>
          <w:lang w:val="en-US" w:eastAsia="zh-CN"/>
        </w:rPr>
        <w:t xml:space="preserve">  </w:t>
      </w:r>
      <w:r>
        <w:rPr>
          <w:rFonts w:hint="eastAsia" w:ascii="Calibri" w:hAnsi="Calibri" w:eastAsia="宋体" w:cs="Times New Roman"/>
          <w:color w:val="auto"/>
          <w:kern w:val="0"/>
          <w:sz w:val="21"/>
          <w:szCs w:val="21"/>
        </w:rPr>
        <w:t>健</w:t>
      </w:r>
    </w:p>
    <w:p w14:paraId="211F74BF">
      <w:pPr>
        <w:autoSpaceDE w:val="0"/>
        <w:autoSpaceDN w:val="0"/>
        <w:adjustRightInd w:val="0"/>
        <w:spacing w:line="360" w:lineRule="auto"/>
        <w:ind w:firstLine="5460" w:firstLineChars="2600"/>
        <w:jc w:val="right"/>
        <w:rPr>
          <w:rFonts w:ascii="Calibri" w:hAnsi="Calibri" w:eastAsia="宋体" w:cs="Times New Roman"/>
          <w:color w:val="auto"/>
          <w:kern w:val="0"/>
          <w:sz w:val="21"/>
          <w:szCs w:val="21"/>
        </w:rPr>
      </w:pPr>
      <w:r>
        <w:rPr>
          <w:rFonts w:hint="eastAsia" w:ascii="Calibri" w:hAnsi="Calibri" w:eastAsia="宋体" w:cs="Times New Roman"/>
          <w:color w:val="auto"/>
          <w:kern w:val="0"/>
          <w:sz w:val="21"/>
          <w:szCs w:val="21"/>
        </w:rPr>
        <w:t>审批人：张志欣</w:t>
      </w:r>
    </w:p>
    <w:p w14:paraId="4ECE7C08">
      <w:pPr>
        <w:autoSpaceDE w:val="0"/>
        <w:autoSpaceDN w:val="0"/>
        <w:adjustRightInd w:val="0"/>
        <w:spacing w:line="360" w:lineRule="auto"/>
        <w:jc w:val="right"/>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批准时间：2025年7月1日</w:t>
      </w:r>
    </w:p>
    <w:p w14:paraId="62792508">
      <w:pPr>
        <w:rPr>
          <w:rFonts w:ascii="Times New Roman" w:hAnsi="Times New Roman" w:eastAsia="宋体" w:cs="Times New Roman"/>
          <w:color w:val="auto"/>
          <w:kern w:val="0"/>
          <w:sz w:val="24"/>
          <w:szCs w:val="21"/>
        </w:rPr>
      </w:pPr>
      <w:r>
        <w:rPr>
          <w:rFonts w:ascii="Times New Roman" w:hAnsi="Times New Roman" w:eastAsia="宋体" w:cs="Times New Roman"/>
          <w:color w:val="auto"/>
          <w:kern w:val="0"/>
          <w:sz w:val="24"/>
          <w:szCs w:val="21"/>
        </w:rPr>
        <w:br w:type="page"/>
      </w:r>
    </w:p>
    <w:p w14:paraId="5C8E93D9">
      <w:pPr>
        <w:spacing w:line="360" w:lineRule="auto"/>
        <w:jc w:val="center"/>
        <w:outlineLvl w:val="0"/>
        <w:rPr>
          <w:rFonts w:hint="eastAsia" w:ascii="Times New Roman" w:hAnsi="Times New Roman" w:eastAsia="宋体" w:cs="Times New Roman"/>
          <w:b/>
          <w:color w:val="auto"/>
          <w:sz w:val="44"/>
          <w:szCs w:val="44"/>
        </w:rPr>
      </w:pPr>
      <w:bookmarkStart w:id="349" w:name="_Toc1545"/>
      <w:bookmarkStart w:id="350" w:name="_Toc10081"/>
      <w:r>
        <w:rPr>
          <w:rFonts w:hint="eastAsia" w:ascii="Times New Roman" w:hAnsi="Times New Roman" w:eastAsia="宋体" w:cs="Times New Roman"/>
          <w:b/>
          <w:color w:val="auto"/>
          <w:sz w:val="44"/>
          <w:szCs w:val="44"/>
        </w:rPr>
        <w:t>《小学跨学科学习》课程教学大纲</w:t>
      </w:r>
      <w:bookmarkEnd w:id="349"/>
      <w:bookmarkEnd w:id="350"/>
    </w:p>
    <w:p w14:paraId="64CAD3E8">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w:t>
      </w:r>
      <w:r>
        <w:rPr>
          <w:rFonts w:hint="eastAsia" w:ascii="Times New Roman" w:hAnsi="Times New Roman" w:eastAsia="宋体" w:cs="Times New Roman"/>
          <w:b/>
          <w:bCs/>
          <w:color w:val="auto"/>
          <w:sz w:val="28"/>
          <w:szCs w:val="28"/>
        </w:rPr>
        <w:t>Interdisciplinary Learning in Primary School</w:t>
      </w:r>
      <w:r>
        <w:rPr>
          <w:rFonts w:ascii="Times New Roman" w:hAnsi="Times New Roman" w:eastAsia="宋体" w:cs="Times New Roman"/>
          <w:b/>
          <w:bCs/>
          <w:color w:val="auto"/>
          <w:sz w:val="28"/>
          <w:szCs w:val="28"/>
        </w:rPr>
        <w:t>）</w:t>
      </w:r>
    </w:p>
    <w:p w14:paraId="54305095">
      <w:pPr>
        <w:spacing w:line="360" w:lineRule="auto"/>
        <w:jc w:val="center"/>
        <w:rPr>
          <w:rFonts w:ascii="Times New Roman" w:hAnsi="Times New Roman" w:eastAsia="宋体" w:cs="Times New Roman"/>
          <w:bCs/>
          <w:color w:val="auto"/>
          <w:sz w:val="21"/>
          <w:szCs w:val="21"/>
        </w:rPr>
      </w:pPr>
    </w:p>
    <w:p w14:paraId="5C905425">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课程名称：小学跨学科学习</w:t>
      </w:r>
    </w:p>
    <w:p w14:paraId="27F8FE7D">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课程代码：2401062</w:t>
      </w:r>
    </w:p>
    <w:p w14:paraId="1647BC3B">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分：2</w:t>
      </w:r>
    </w:p>
    <w:p w14:paraId="590CED76">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时：32</w:t>
      </w:r>
    </w:p>
    <w:p w14:paraId="5FFEB363">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先修课程：小学心理学、教育原理、学科课程与教学论、教育心理学、学科课程标准与教材分析</w:t>
      </w:r>
    </w:p>
    <w:p w14:paraId="4934CFE8">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适用专业：小学教育</w:t>
      </w:r>
    </w:p>
    <w:p w14:paraId="7304BBF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r>
        <w:rPr>
          <w:rFonts w:hint="eastAsia" w:ascii="宋体" w:hAnsi="宋体" w:eastAsia="宋体" w:cs="Times New Roman"/>
          <w:b/>
          <w:color w:val="auto"/>
          <w:sz w:val="24"/>
        </w:rPr>
        <w:t>一、课程简介</w:t>
      </w:r>
    </w:p>
    <w:p w14:paraId="17ACB18E">
      <w:pPr>
        <w:spacing w:line="360" w:lineRule="auto"/>
        <w:ind w:firstLine="420" w:firstLineChars="200"/>
        <w:jc w:val="left"/>
        <w:rPr>
          <w:rFonts w:hint="eastAsia" w:ascii="宋体" w:hAnsi="宋体" w:eastAsia="宋体" w:cs="Times New Roman"/>
          <w:b/>
          <w:color w:val="auto"/>
          <w:szCs w:val="21"/>
        </w:rPr>
      </w:pPr>
      <w:r>
        <w:rPr>
          <w:rFonts w:hint="eastAsia" w:ascii="Times New Roman" w:hAnsi="Times New Roman" w:eastAsia="宋体" w:cs="Times New Roman"/>
          <w:color w:val="auto"/>
          <w:szCs w:val="21"/>
        </w:rPr>
        <w:t>本课程是小学教育专业的专业基础选修课。通过本课程的学习，学生在了解跨学科学习的背景、意义、类型的基础上，形成自觉主动的跨学科意识，真正理解为什么跨学科学习、跨学科究竟要跨什么；掌握跨学科学习设计与实施过程中的主题确定、目标确定、任务设计、评价设计，能够科学开展跨学科主题学习教研活动，将新课标理念落实到教育教学中。</w:t>
      </w:r>
    </w:p>
    <w:p w14:paraId="57244391">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4"/>
        </w:rPr>
      </w:pPr>
      <w:r>
        <w:rPr>
          <w:rFonts w:hint="eastAsia" w:ascii="宋体" w:hAnsi="宋体" w:eastAsia="宋体" w:cs="Times New Roman"/>
          <w:b/>
          <w:color w:val="auto"/>
          <w:sz w:val="24"/>
        </w:rPr>
        <w:t>二</w:t>
      </w:r>
      <w:r>
        <w:rPr>
          <w:rFonts w:ascii="宋体" w:hAnsi="宋体" w:eastAsia="宋体" w:cs="Times New Roman"/>
          <w:b/>
          <w:color w:val="auto"/>
          <w:sz w:val="24"/>
        </w:rPr>
        <w:t>、课程目标</w:t>
      </w:r>
    </w:p>
    <w:p w14:paraId="2540E73F">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45F41FFF">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 xml:space="preserve">目标1. </w:t>
      </w:r>
      <w:r>
        <w:rPr>
          <w:rFonts w:hint="eastAsia" w:ascii="Times New Roman" w:hAnsi="Times New Roman" w:eastAsia="宋体" w:cs="Times New Roman"/>
          <w:bCs/>
          <w:color w:val="auto"/>
          <w:szCs w:val="21"/>
        </w:rPr>
        <w:t>了解跨学科学习的概念、功能、类型；掌握跨学科学习设计与实施过程中的主题确定、目标确定、任务设计、评价设计的基础知识和基本原理。</w:t>
      </w:r>
    </w:p>
    <w:p w14:paraId="417C57BF">
      <w:pPr>
        <w:spacing w:line="360" w:lineRule="auto"/>
        <w:ind w:firstLine="422" w:firstLineChars="200"/>
        <w:jc w:val="left"/>
        <w:rPr>
          <w:rFonts w:ascii="Times New Roman" w:hAnsi="Times New Roman" w:eastAsia="宋体" w:cs="Times New Roman"/>
          <w:bCs/>
          <w:color w:val="auto"/>
          <w:szCs w:val="21"/>
        </w:rPr>
      </w:pPr>
      <w:r>
        <w:rPr>
          <w:rFonts w:hint="eastAsia" w:ascii="Times New Roman" w:hAnsi="Times New Roman" w:eastAsia="宋体" w:cs="Times New Roman"/>
          <w:b/>
          <w:color w:val="auto"/>
          <w:szCs w:val="21"/>
        </w:rPr>
        <w:t xml:space="preserve">目标2. </w:t>
      </w:r>
      <w:r>
        <w:rPr>
          <w:rFonts w:hint="eastAsia" w:ascii="Times New Roman" w:hAnsi="Times New Roman" w:eastAsia="宋体" w:cs="Times New Roman"/>
          <w:bCs/>
          <w:color w:val="auto"/>
          <w:szCs w:val="21"/>
        </w:rPr>
        <w:t>能够从小学生学习和发展的角度，主动加强学科间的内容关联，主动建立学科思想和方法的关联，并将其转化为有真实情境的、小学生能够主动介入的学习主题；能够科学开展跨学科主题学习教研活动。</w:t>
      </w:r>
    </w:p>
    <w:p w14:paraId="5A3F199F">
      <w:pPr>
        <w:spacing w:line="360" w:lineRule="auto"/>
        <w:ind w:firstLine="422" w:firstLineChars="200"/>
        <w:jc w:val="left"/>
        <w:rPr>
          <w:rFonts w:ascii="Times New Roman" w:hAnsi="Times New Roman" w:eastAsia="宋体" w:cs="Times New Roman"/>
          <w:bCs/>
          <w:color w:val="auto"/>
          <w:szCs w:val="21"/>
        </w:rPr>
      </w:pPr>
      <w:r>
        <w:rPr>
          <w:rFonts w:hint="eastAsia" w:ascii="Times New Roman" w:hAnsi="Times New Roman" w:eastAsia="宋体" w:cs="Times New Roman"/>
          <w:b/>
          <w:color w:val="auto"/>
          <w:szCs w:val="21"/>
        </w:rPr>
        <w:t xml:space="preserve">目标3. </w:t>
      </w:r>
      <w:r>
        <w:rPr>
          <w:rFonts w:hint="eastAsia" w:ascii="Times New Roman" w:hAnsi="Times New Roman" w:eastAsia="宋体" w:cs="Times New Roman"/>
          <w:bCs/>
          <w:color w:val="auto"/>
          <w:szCs w:val="21"/>
        </w:rPr>
        <w:t>理解跨学科学习的意义及重要性，明确跨学科学习的学科立场；通过关键问题解读、典型课例解析，真正理解为什么跨、跨什么、怎么跨，形成自觉主动的跨学科意识。</w:t>
      </w:r>
    </w:p>
    <w:p w14:paraId="41C6BD6E">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12CB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05E088B">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5688" w:type="dxa"/>
            <w:vAlign w:val="center"/>
          </w:tcPr>
          <w:p w14:paraId="327A7F55">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2073BA9F">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0C4B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68B1434">
            <w:pPr>
              <w:spacing w:line="276" w:lineRule="auto"/>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毕业要求3学科素养</w:t>
            </w:r>
          </w:p>
        </w:tc>
        <w:tc>
          <w:tcPr>
            <w:tcW w:w="5688" w:type="dxa"/>
            <w:vAlign w:val="center"/>
          </w:tcPr>
          <w:p w14:paraId="7092C9A2">
            <w:pPr>
              <w:spacing w:line="276" w:lineRule="auto"/>
              <w:jc w:val="left"/>
              <w:rPr>
                <w:rFonts w:ascii="Times New Roman" w:hAnsi="Times New Roman" w:eastAsia="宋体" w:cs="Times New Roman"/>
                <w:b w:val="0"/>
                <w:bCs w:val="0"/>
                <w:color w:val="auto"/>
                <w:szCs w:val="21"/>
              </w:rPr>
            </w:pPr>
            <w:r>
              <w:rPr>
                <w:rFonts w:hint="eastAsia" w:ascii="Times New Roman" w:hAnsi="Times New Roman" w:eastAsia="宋体" w:cs="Times New Roman"/>
                <w:b w:val="0"/>
                <w:bCs w:val="0"/>
                <w:color w:val="auto"/>
                <w:szCs w:val="21"/>
              </w:rPr>
              <w:t>指标点3-</w:t>
            </w:r>
            <w:r>
              <w:rPr>
                <w:rFonts w:hint="eastAsia" w:ascii="Times New Roman" w:hAnsi="Times New Roman" w:eastAsia="宋体" w:cs="Times New Roman"/>
                <w:b w:val="0"/>
                <w:bCs w:val="0"/>
                <w:color w:val="auto"/>
                <w:szCs w:val="21"/>
                <w:lang w:eastAsia="zh"/>
              </w:rPr>
              <w:t>3</w:t>
            </w:r>
            <w:r>
              <w:rPr>
                <w:rFonts w:hint="eastAsia" w:ascii="Times New Roman" w:hAnsi="Times New Roman" w:eastAsia="宋体" w:cs="Times New Roman"/>
                <w:b w:val="0"/>
                <w:bCs w:val="0"/>
                <w:color w:val="auto"/>
                <w:szCs w:val="21"/>
              </w:rPr>
              <w:t>：【注重知识整合】了解所教学科与其他学科及与社会实践、小学生生活实践之间的联系，了解学科整合的在小学教育中的价值，具有跨学科解决问题的意识和能力，能指导综合性学科教学活动。</w:t>
            </w:r>
          </w:p>
        </w:tc>
        <w:tc>
          <w:tcPr>
            <w:tcW w:w="1191" w:type="dxa"/>
            <w:vAlign w:val="center"/>
          </w:tcPr>
          <w:p w14:paraId="4A4E3546">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课程目标1</w:t>
            </w:r>
          </w:p>
          <w:p w14:paraId="355EAE26">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课程目标2课程目标3</w:t>
            </w:r>
          </w:p>
        </w:tc>
      </w:tr>
      <w:tr w14:paraId="564B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050D41F">
            <w:pPr>
              <w:spacing w:line="276" w:lineRule="auto"/>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毕业要求4教学能力</w:t>
            </w:r>
          </w:p>
        </w:tc>
        <w:tc>
          <w:tcPr>
            <w:tcW w:w="5688" w:type="dxa"/>
            <w:vAlign w:val="center"/>
          </w:tcPr>
          <w:p w14:paraId="47E69828">
            <w:pPr>
              <w:spacing w:line="276" w:lineRule="auto"/>
              <w:jc w:val="left"/>
              <w:rPr>
                <w:rFonts w:ascii="Times New Roman" w:hAnsi="Times New Roman" w:eastAsia="宋体" w:cs="Times New Roman"/>
                <w:b w:val="0"/>
                <w:bCs w:val="0"/>
                <w:color w:val="auto"/>
                <w:szCs w:val="21"/>
              </w:rPr>
            </w:pPr>
            <w:r>
              <w:rPr>
                <w:rFonts w:hint="eastAsia" w:ascii="宋体" w:hAnsi="宋体" w:eastAsia="宋体" w:cs="Times New Roman"/>
                <w:b w:val="0"/>
                <w:bCs w:val="0"/>
                <w:color w:val="auto"/>
                <w:spacing w:val="2"/>
                <w:kern w:val="0"/>
                <w:szCs w:val="21"/>
              </w:rPr>
              <w:t>指标点4-</w:t>
            </w:r>
            <w:r>
              <w:rPr>
                <w:rFonts w:hint="eastAsia" w:ascii="宋体" w:hAnsi="宋体" w:eastAsia="宋体" w:cs="Times New Roman"/>
                <w:b w:val="0"/>
                <w:bCs w:val="0"/>
                <w:color w:val="auto"/>
                <w:spacing w:val="2"/>
                <w:kern w:val="0"/>
                <w:szCs w:val="21"/>
                <w:lang w:eastAsia="zh"/>
              </w:rPr>
              <w:t>3</w:t>
            </w:r>
            <w:r>
              <w:rPr>
                <w:rFonts w:hint="eastAsia" w:ascii="宋体" w:hAnsi="宋体" w:eastAsia="宋体" w:cs="Times New Roman"/>
                <w:b w:val="0"/>
                <w:bCs w:val="0"/>
                <w:color w:val="auto"/>
                <w:spacing w:val="2"/>
                <w:kern w:val="0"/>
                <w:szCs w:val="21"/>
              </w:rPr>
              <w:t>：【教学实施与评价科学】掌握小学教师基本功技能，包括书写技能、沟通与表达技能、信息技术运用技能等。获得全面的小学教学体验，掌握学科教学的基本方法与策略，能独立进行教学设计、实施和评价。</w:t>
            </w:r>
          </w:p>
        </w:tc>
        <w:tc>
          <w:tcPr>
            <w:tcW w:w="1191" w:type="dxa"/>
            <w:vAlign w:val="center"/>
          </w:tcPr>
          <w:p w14:paraId="746809C6">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课程目标2</w:t>
            </w:r>
          </w:p>
        </w:tc>
      </w:tr>
    </w:tbl>
    <w:p w14:paraId="394C243C">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3916F35B">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深刻理解跨学科学习的价值、理念和本质特征，形成跨学科意识、终身学习意识与研究意识，努力成为“四有”好老师；积极响应国家对教师跨学科素养培育的要求，科学开展跨学科主题学习活动，将新课标理念落实到教育教学中。</w:t>
      </w:r>
    </w:p>
    <w:p w14:paraId="4082B091">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r>
        <w:rPr>
          <w:rFonts w:hint="eastAsia" w:ascii="宋体" w:hAnsi="宋体"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2800"/>
        <w:gridCol w:w="1184"/>
        <w:gridCol w:w="2316"/>
        <w:gridCol w:w="1490"/>
        <w:gridCol w:w="438"/>
      </w:tblGrid>
      <w:tr w14:paraId="373B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Align w:val="center"/>
          </w:tcPr>
          <w:p w14:paraId="70BC81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0AC472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2800" w:type="dxa"/>
            <w:vAlign w:val="center"/>
          </w:tcPr>
          <w:p w14:paraId="2D6FEA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84" w:type="dxa"/>
            <w:vAlign w:val="center"/>
          </w:tcPr>
          <w:p w14:paraId="39919A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21D334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2316" w:type="dxa"/>
            <w:vAlign w:val="center"/>
          </w:tcPr>
          <w:p w14:paraId="3EA3B2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490" w:type="dxa"/>
            <w:vAlign w:val="center"/>
          </w:tcPr>
          <w:p w14:paraId="28F2CA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054EB3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2BF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7618EF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1.跨学科学习的意义与功能</w:t>
            </w:r>
          </w:p>
        </w:tc>
        <w:tc>
          <w:tcPr>
            <w:tcW w:w="2800" w:type="dxa"/>
            <w:vAlign w:val="center"/>
          </w:tcPr>
          <w:p w14:paraId="35A9478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（1）跨学科学习的含义</w:t>
            </w:r>
          </w:p>
          <w:p w14:paraId="3A2A2F9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（2）设置跨学科学习的意义</w:t>
            </w:r>
          </w:p>
          <w:p w14:paraId="7F71292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（3）跨学科学习的功能</w:t>
            </w:r>
          </w:p>
          <w:p w14:paraId="33454AF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（4）跨学科学习的学科立场</w:t>
            </w:r>
          </w:p>
        </w:tc>
        <w:tc>
          <w:tcPr>
            <w:tcW w:w="1184" w:type="dxa"/>
            <w:vAlign w:val="center"/>
          </w:tcPr>
          <w:p w14:paraId="045A82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2316" w:type="dxa"/>
            <w:vAlign w:val="center"/>
          </w:tcPr>
          <w:p w14:paraId="1F5A04B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1.理解跨学科学习的概念表述；</w:t>
            </w:r>
          </w:p>
          <w:p w14:paraId="59C679D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2.了解跨学科学习的意义、功能与学科立场。</w:t>
            </w:r>
          </w:p>
        </w:tc>
        <w:tc>
          <w:tcPr>
            <w:tcW w:w="1490" w:type="dxa"/>
            <w:vAlign w:val="center"/>
          </w:tcPr>
          <w:p w14:paraId="2E3DD67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1.多媒体教学2.课堂讨论</w:t>
            </w:r>
          </w:p>
          <w:p w14:paraId="155A9D5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p>
        </w:tc>
        <w:tc>
          <w:tcPr>
            <w:tcW w:w="438" w:type="dxa"/>
            <w:vAlign w:val="center"/>
          </w:tcPr>
          <w:p w14:paraId="505370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7FAE8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2D8CB4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228" w:type="dxa"/>
            <w:gridSpan w:val="5"/>
            <w:vAlign w:val="center"/>
          </w:tcPr>
          <w:p w14:paraId="09F10DE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在中国式现代化、教育强国、人才强国背景下理解跨学科学习与时代新人培养的意义，结合我国人才素养要求，与时俱进，开拓创新，立志为中华民族伟大复兴培养高素质人才奠基。</w:t>
            </w:r>
          </w:p>
        </w:tc>
      </w:tr>
      <w:tr w14:paraId="3FAC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64B382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2.跨学科学习的基本类型、实施要点与进阶安排</w:t>
            </w:r>
          </w:p>
        </w:tc>
        <w:tc>
          <w:tcPr>
            <w:tcW w:w="2800" w:type="dxa"/>
            <w:vAlign w:val="center"/>
          </w:tcPr>
          <w:p w14:paraId="5598CEC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（1）跨学科学习的基本类型</w:t>
            </w:r>
          </w:p>
          <w:p w14:paraId="6240A57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（2）跨学科学习的实施要点</w:t>
            </w:r>
          </w:p>
          <w:p w14:paraId="6518C0E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（3）跨学科学习的进阶安排</w:t>
            </w:r>
          </w:p>
        </w:tc>
        <w:tc>
          <w:tcPr>
            <w:tcW w:w="1184" w:type="dxa"/>
            <w:vAlign w:val="center"/>
          </w:tcPr>
          <w:p w14:paraId="01ACAB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课程目标1、3</w:t>
            </w:r>
          </w:p>
        </w:tc>
        <w:tc>
          <w:tcPr>
            <w:tcW w:w="2316" w:type="dxa"/>
            <w:vAlign w:val="center"/>
          </w:tcPr>
          <w:p w14:paraId="583EB11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1.正确理解并掌握跨学科学习的基本类型与实施要点；</w:t>
            </w:r>
          </w:p>
          <w:p w14:paraId="781DA4C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2.理解跨学科学习进阶安排的含义、依据、基本思路与支持工具。</w:t>
            </w:r>
          </w:p>
        </w:tc>
        <w:tc>
          <w:tcPr>
            <w:tcW w:w="1490" w:type="dxa"/>
            <w:vAlign w:val="center"/>
          </w:tcPr>
          <w:p w14:paraId="2446CE0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4B5A4EF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2.多媒体教学3.课堂讨论</w:t>
            </w:r>
          </w:p>
          <w:p w14:paraId="62950A1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438" w:type="dxa"/>
            <w:vAlign w:val="center"/>
          </w:tcPr>
          <w:p w14:paraId="0AB0E7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4551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472741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228" w:type="dxa"/>
            <w:gridSpan w:val="5"/>
            <w:vAlign w:val="center"/>
          </w:tcPr>
          <w:p w14:paraId="481AC05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形成对跨学科学习的正确认识，理解跨学科学习的重要性。</w:t>
            </w:r>
          </w:p>
        </w:tc>
      </w:tr>
      <w:tr w14:paraId="3C7D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561DAB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3.跨学科学习的主题确定</w:t>
            </w:r>
          </w:p>
        </w:tc>
        <w:tc>
          <w:tcPr>
            <w:tcW w:w="2800" w:type="dxa"/>
            <w:vAlign w:val="center"/>
          </w:tcPr>
          <w:p w14:paraId="4B515D3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（1）确立主题的主要依据</w:t>
            </w:r>
          </w:p>
          <w:p w14:paraId="0B725A6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（2）主题应具备的重要特征</w:t>
            </w:r>
          </w:p>
          <w:p w14:paraId="3D03F81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（3）主题的表述要点</w:t>
            </w:r>
          </w:p>
        </w:tc>
        <w:tc>
          <w:tcPr>
            <w:tcW w:w="1184" w:type="dxa"/>
            <w:vAlign w:val="center"/>
          </w:tcPr>
          <w:p w14:paraId="5C5070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2316" w:type="dxa"/>
            <w:vAlign w:val="center"/>
          </w:tcPr>
          <w:p w14:paraId="14F128C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1.理解确立主题的主要依据；</w:t>
            </w:r>
          </w:p>
          <w:p w14:paraId="02B6C00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2.掌握主题应具备的主要特征；</w:t>
            </w:r>
          </w:p>
          <w:p w14:paraId="37F17C9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3.能够正确的进行主题表述。</w:t>
            </w:r>
          </w:p>
        </w:tc>
        <w:tc>
          <w:tcPr>
            <w:tcW w:w="1490" w:type="dxa"/>
            <w:vAlign w:val="center"/>
          </w:tcPr>
          <w:p w14:paraId="4644D77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1.线上学习</w:t>
            </w:r>
          </w:p>
          <w:p w14:paraId="5A09D1D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45C3B2A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7FAA1F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6</w:t>
            </w:r>
          </w:p>
        </w:tc>
      </w:tr>
      <w:tr w14:paraId="2525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2E2D57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228" w:type="dxa"/>
            <w:gridSpan w:val="5"/>
            <w:vAlign w:val="center"/>
          </w:tcPr>
          <w:p w14:paraId="1C95428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结合案例，理解跨学科学习的重要性以及教师开展跨学科教学应具备的素养，树立终身学习意识，努力成为“四有”好老师。</w:t>
            </w:r>
          </w:p>
        </w:tc>
      </w:tr>
      <w:tr w14:paraId="1EA9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199DC0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4.跨学科主题学习的目标确定</w:t>
            </w:r>
          </w:p>
        </w:tc>
        <w:tc>
          <w:tcPr>
            <w:tcW w:w="2800" w:type="dxa"/>
            <w:vAlign w:val="center"/>
          </w:tcPr>
          <w:p w14:paraId="53FBF8E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（1）确定目标的基本依据</w:t>
            </w:r>
          </w:p>
          <w:p w14:paraId="0488BF5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（2）目标的基本要点</w:t>
            </w:r>
          </w:p>
          <w:p w14:paraId="0D21250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（3）目标的表述方式</w:t>
            </w:r>
          </w:p>
        </w:tc>
        <w:tc>
          <w:tcPr>
            <w:tcW w:w="1184" w:type="dxa"/>
            <w:vAlign w:val="center"/>
          </w:tcPr>
          <w:p w14:paraId="4B964E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2316" w:type="dxa"/>
            <w:vAlign w:val="center"/>
          </w:tcPr>
          <w:p w14:paraId="60588B2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1.理解跨学科学习目标确定的基本依据；</w:t>
            </w:r>
          </w:p>
          <w:p w14:paraId="3FDEF16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2.掌握跨学科学习目标的基本要点与表述方式；</w:t>
            </w:r>
          </w:p>
          <w:p w14:paraId="66DF793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3.能够进行科学的目标表述。</w:t>
            </w:r>
          </w:p>
        </w:tc>
        <w:tc>
          <w:tcPr>
            <w:tcW w:w="1490" w:type="dxa"/>
            <w:vAlign w:val="center"/>
          </w:tcPr>
          <w:p w14:paraId="2639544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1.线上学习</w:t>
            </w:r>
          </w:p>
          <w:p w14:paraId="0062C47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6818DF0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1D31E8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6</w:t>
            </w:r>
          </w:p>
        </w:tc>
      </w:tr>
      <w:tr w14:paraId="3F13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5D8A3C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228" w:type="dxa"/>
            <w:gridSpan w:val="5"/>
            <w:vAlign w:val="center"/>
          </w:tcPr>
          <w:p w14:paraId="1B2D975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结合案例，理解跨学科学习的重要性以及教师开展跨学科教学应具备的素养，树立终身学习意识，努力成为“四有”好老师。</w:t>
            </w:r>
          </w:p>
        </w:tc>
      </w:tr>
      <w:tr w14:paraId="14D5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693AA3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5.跨学科学习的任务设计</w:t>
            </w:r>
          </w:p>
        </w:tc>
        <w:tc>
          <w:tcPr>
            <w:tcW w:w="2800" w:type="dxa"/>
            <w:vAlign w:val="center"/>
          </w:tcPr>
          <w:p w14:paraId="09972E5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（1）任务设计的依据</w:t>
            </w:r>
          </w:p>
          <w:p w14:paraId="07D8AA8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（2）任务设计的流程</w:t>
            </w:r>
          </w:p>
          <w:p w14:paraId="1E11B88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（3）任务设计自评</w:t>
            </w:r>
          </w:p>
        </w:tc>
        <w:tc>
          <w:tcPr>
            <w:tcW w:w="1184" w:type="dxa"/>
            <w:vAlign w:val="center"/>
          </w:tcPr>
          <w:p w14:paraId="28E01C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2316" w:type="dxa"/>
            <w:vAlign w:val="center"/>
          </w:tcPr>
          <w:p w14:paraId="38A1343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1.掌握跨学科学习任务设计的依据与流程；</w:t>
            </w:r>
          </w:p>
          <w:p w14:paraId="1B5C970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2.能够进行任务设计并进行自评。</w:t>
            </w:r>
          </w:p>
        </w:tc>
        <w:tc>
          <w:tcPr>
            <w:tcW w:w="1490" w:type="dxa"/>
            <w:vAlign w:val="center"/>
          </w:tcPr>
          <w:p w14:paraId="4A1B46E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1.线上学习</w:t>
            </w:r>
          </w:p>
          <w:p w14:paraId="137BF7D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15DED5F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20C3DB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6</w:t>
            </w:r>
          </w:p>
        </w:tc>
      </w:tr>
      <w:tr w14:paraId="11EC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6896B0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228" w:type="dxa"/>
            <w:gridSpan w:val="5"/>
            <w:vAlign w:val="center"/>
          </w:tcPr>
          <w:p w14:paraId="77EB1E0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结合案例，理解跨学科学习的重要性以及教师开展跨学科教学应具备的素养，树立终身学习意识，努力成为“四有”好老师。</w:t>
            </w:r>
          </w:p>
        </w:tc>
      </w:tr>
      <w:tr w14:paraId="124C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4BC2AE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6.跨学科学习的评价设计</w:t>
            </w:r>
          </w:p>
        </w:tc>
        <w:tc>
          <w:tcPr>
            <w:tcW w:w="2800" w:type="dxa"/>
            <w:vAlign w:val="center"/>
          </w:tcPr>
          <w:p w14:paraId="06BE087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（1）评价设计的基本依据</w:t>
            </w:r>
          </w:p>
          <w:p w14:paraId="435706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（2）评价设计要点</w:t>
            </w:r>
          </w:p>
          <w:p w14:paraId="7CAB184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（3）引导学生参与评价</w:t>
            </w:r>
          </w:p>
        </w:tc>
        <w:tc>
          <w:tcPr>
            <w:tcW w:w="1184" w:type="dxa"/>
            <w:vAlign w:val="center"/>
          </w:tcPr>
          <w:p w14:paraId="4ACFCA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2316" w:type="dxa"/>
            <w:vAlign w:val="center"/>
          </w:tcPr>
          <w:p w14:paraId="209BD88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1.理解跨学科学习评价设计的依据、掌握评价设计的要点；</w:t>
            </w:r>
          </w:p>
          <w:p w14:paraId="15CD719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2.能够引导学生参与评价。</w:t>
            </w:r>
          </w:p>
        </w:tc>
        <w:tc>
          <w:tcPr>
            <w:tcW w:w="1490" w:type="dxa"/>
            <w:vAlign w:val="center"/>
          </w:tcPr>
          <w:p w14:paraId="058B14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1.线上学习</w:t>
            </w:r>
          </w:p>
          <w:p w14:paraId="43A80FB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216FFD5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60575B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7054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0F6662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228" w:type="dxa"/>
            <w:gridSpan w:val="5"/>
            <w:vAlign w:val="center"/>
          </w:tcPr>
          <w:p w14:paraId="65D67BB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结合案例，理解跨学科学习的重要性以及教师开展跨学科教学应具备的素养，树立终身学习意识，努力成为“四有”好老师。</w:t>
            </w:r>
          </w:p>
        </w:tc>
      </w:tr>
      <w:tr w14:paraId="0BF9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63824D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7.跨学科学习的教研活动</w:t>
            </w:r>
          </w:p>
        </w:tc>
        <w:tc>
          <w:tcPr>
            <w:tcW w:w="2800" w:type="dxa"/>
            <w:vAlign w:val="center"/>
          </w:tcPr>
          <w:p w14:paraId="18E4056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（1）价值与难点</w:t>
            </w:r>
          </w:p>
          <w:p w14:paraId="7EAF714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（2）基本类型</w:t>
            </w:r>
          </w:p>
          <w:p w14:paraId="2B9A2B4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（3）基本流程和关键要素</w:t>
            </w:r>
          </w:p>
        </w:tc>
        <w:tc>
          <w:tcPr>
            <w:tcW w:w="1184" w:type="dxa"/>
            <w:vAlign w:val="center"/>
          </w:tcPr>
          <w:p w14:paraId="547B25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2316" w:type="dxa"/>
            <w:vAlign w:val="center"/>
          </w:tcPr>
          <w:p w14:paraId="1353B58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1.了解跨学科学习教研活动的价值与难点，掌握教研活动的类型与基本流程；</w:t>
            </w:r>
          </w:p>
          <w:p w14:paraId="0D679D6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2.能够开展跨学科学习教研活动；</w:t>
            </w:r>
          </w:p>
        </w:tc>
        <w:tc>
          <w:tcPr>
            <w:tcW w:w="1490" w:type="dxa"/>
            <w:vAlign w:val="center"/>
          </w:tcPr>
          <w:p w14:paraId="5B0DB24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1.线上学习</w:t>
            </w:r>
          </w:p>
          <w:p w14:paraId="377D73C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62CEC02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30AD85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70C4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0C0A96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228" w:type="dxa"/>
            <w:gridSpan w:val="5"/>
            <w:vAlign w:val="center"/>
          </w:tcPr>
          <w:p w14:paraId="0D4A26E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结合案例，理解开展跨学科学习教研活动的重要性，树立终身学习意识与研究意识，努力成为“四有”好老师。</w:t>
            </w:r>
          </w:p>
        </w:tc>
      </w:tr>
    </w:tbl>
    <w:p w14:paraId="2FA5B592">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r>
        <w:rPr>
          <w:rFonts w:hint="eastAsia" w:ascii="宋体" w:hAnsi="宋体" w:eastAsia="宋体" w:cs="Times New Roman"/>
          <w:b/>
          <w:color w:val="auto"/>
          <w:sz w:val="24"/>
        </w:rPr>
        <w:t>四、目标评价与成绩评定</w:t>
      </w:r>
    </w:p>
    <w:p w14:paraId="033363E8">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658C61CB">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140"/>
        <w:gridCol w:w="1110"/>
        <w:gridCol w:w="1425"/>
        <w:gridCol w:w="1170"/>
        <w:gridCol w:w="1575"/>
        <w:gridCol w:w="1140"/>
      </w:tblGrid>
      <w:tr w14:paraId="12F9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restart"/>
            <w:vAlign w:val="center"/>
          </w:tcPr>
          <w:p w14:paraId="2605451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6420" w:type="dxa"/>
            <w:gridSpan w:val="5"/>
            <w:vAlign w:val="center"/>
          </w:tcPr>
          <w:p w14:paraId="33393A9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140" w:type="dxa"/>
            <w:vMerge w:val="restart"/>
            <w:vAlign w:val="center"/>
          </w:tcPr>
          <w:p w14:paraId="358A3AA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5EE5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continue"/>
            <w:vAlign w:val="center"/>
          </w:tcPr>
          <w:p w14:paraId="192DE4C1">
            <w:pPr>
              <w:spacing w:line="360" w:lineRule="auto"/>
              <w:jc w:val="center"/>
              <w:rPr>
                <w:rFonts w:hint="eastAsia" w:ascii="宋体" w:hAnsi="宋体" w:eastAsia="宋体" w:cs="Times New Roman"/>
                <w:color w:val="auto"/>
                <w:szCs w:val="21"/>
              </w:rPr>
            </w:pPr>
          </w:p>
        </w:tc>
        <w:tc>
          <w:tcPr>
            <w:tcW w:w="1140" w:type="dxa"/>
            <w:vAlign w:val="center"/>
          </w:tcPr>
          <w:p w14:paraId="10AD81E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1110" w:type="dxa"/>
            <w:vAlign w:val="center"/>
          </w:tcPr>
          <w:p w14:paraId="6B5D40D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1425" w:type="dxa"/>
            <w:vAlign w:val="center"/>
          </w:tcPr>
          <w:p w14:paraId="738CCA8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单元测验</w:t>
            </w:r>
          </w:p>
        </w:tc>
        <w:tc>
          <w:tcPr>
            <w:tcW w:w="1170" w:type="dxa"/>
            <w:vAlign w:val="center"/>
          </w:tcPr>
          <w:p w14:paraId="7B434C4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1575" w:type="dxa"/>
          </w:tcPr>
          <w:p w14:paraId="5FD21D8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自主学习</w:t>
            </w:r>
          </w:p>
        </w:tc>
        <w:tc>
          <w:tcPr>
            <w:tcW w:w="1140" w:type="dxa"/>
            <w:vMerge w:val="continue"/>
            <w:vAlign w:val="center"/>
          </w:tcPr>
          <w:p w14:paraId="1AC3A6E0">
            <w:pPr>
              <w:spacing w:line="360" w:lineRule="auto"/>
              <w:jc w:val="center"/>
              <w:rPr>
                <w:rFonts w:hint="eastAsia" w:ascii="宋体" w:hAnsi="宋体" w:eastAsia="宋体" w:cs="Times New Roman"/>
                <w:color w:val="auto"/>
                <w:szCs w:val="21"/>
              </w:rPr>
            </w:pPr>
          </w:p>
        </w:tc>
      </w:tr>
      <w:tr w14:paraId="1BCC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2B9B003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140" w:type="dxa"/>
            <w:vAlign w:val="center"/>
          </w:tcPr>
          <w:p w14:paraId="7463795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10" w:type="dxa"/>
            <w:vAlign w:val="center"/>
          </w:tcPr>
          <w:p w14:paraId="2733167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25" w:type="dxa"/>
            <w:vAlign w:val="center"/>
          </w:tcPr>
          <w:p w14:paraId="6DF2741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70" w:type="dxa"/>
            <w:vAlign w:val="center"/>
          </w:tcPr>
          <w:p w14:paraId="095C05B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575" w:type="dxa"/>
          </w:tcPr>
          <w:p w14:paraId="2A5457C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40" w:type="dxa"/>
            <w:vAlign w:val="center"/>
          </w:tcPr>
          <w:p w14:paraId="00B7873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78DA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00FD2E9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140" w:type="dxa"/>
            <w:vAlign w:val="center"/>
          </w:tcPr>
          <w:p w14:paraId="0BF0E37C">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10" w:type="dxa"/>
            <w:vAlign w:val="center"/>
          </w:tcPr>
          <w:p w14:paraId="3353C39C">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25" w:type="dxa"/>
            <w:vAlign w:val="center"/>
          </w:tcPr>
          <w:p w14:paraId="2F83FDCE">
            <w:pPr>
              <w:spacing w:line="360" w:lineRule="auto"/>
              <w:jc w:val="center"/>
              <w:rPr>
                <w:rFonts w:hint="eastAsia" w:ascii="宋体" w:hAnsi="宋体" w:eastAsia="宋体" w:cs="Times New Roman"/>
                <w:color w:val="auto"/>
                <w:szCs w:val="21"/>
              </w:rPr>
            </w:pPr>
          </w:p>
        </w:tc>
        <w:tc>
          <w:tcPr>
            <w:tcW w:w="1170" w:type="dxa"/>
            <w:vAlign w:val="center"/>
          </w:tcPr>
          <w:p w14:paraId="75ACA24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575" w:type="dxa"/>
          </w:tcPr>
          <w:p w14:paraId="7ADA3A7B">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40" w:type="dxa"/>
            <w:vAlign w:val="center"/>
          </w:tcPr>
          <w:p w14:paraId="210285F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652E0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7D07568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1140" w:type="dxa"/>
            <w:vAlign w:val="center"/>
          </w:tcPr>
          <w:p w14:paraId="1D8FCFD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10" w:type="dxa"/>
            <w:vAlign w:val="center"/>
          </w:tcPr>
          <w:p w14:paraId="3126222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25" w:type="dxa"/>
            <w:vAlign w:val="center"/>
          </w:tcPr>
          <w:p w14:paraId="1EF84BD1">
            <w:pPr>
              <w:spacing w:line="360" w:lineRule="auto"/>
              <w:jc w:val="center"/>
              <w:rPr>
                <w:rFonts w:hint="eastAsia" w:ascii="宋体" w:hAnsi="宋体" w:eastAsia="宋体" w:cs="Times New Roman"/>
                <w:color w:val="auto"/>
                <w:szCs w:val="21"/>
              </w:rPr>
            </w:pPr>
          </w:p>
        </w:tc>
        <w:tc>
          <w:tcPr>
            <w:tcW w:w="1170" w:type="dxa"/>
            <w:vAlign w:val="center"/>
          </w:tcPr>
          <w:p w14:paraId="3681661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575" w:type="dxa"/>
          </w:tcPr>
          <w:p w14:paraId="1D377AE5">
            <w:pPr>
              <w:spacing w:line="360" w:lineRule="auto"/>
              <w:jc w:val="center"/>
              <w:rPr>
                <w:rFonts w:hint="eastAsia" w:ascii="宋体" w:hAnsi="宋体" w:eastAsia="宋体" w:cs="Times New Roman"/>
                <w:color w:val="auto"/>
                <w:szCs w:val="21"/>
              </w:rPr>
            </w:pPr>
          </w:p>
        </w:tc>
        <w:tc>
          <w:tcPr>
            <w:tcW w:w="1140" w:type="dxa"/>
            <w:vAlign w:val="center"/>
          </w:tcPr>
          <w:p w14:paraId="74726F8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512D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317D2BF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140" w:type="dxa"/>
            <w:vAlign w:val="center"/>
          </w:tcPr>
          <w:p w14:paraId="2A0D4800">
            <w:pPr>
              <w:spacing w:line="360" w:lineRule="auto"/>
              <w:jc w:val="center"/>
              <w:rPr>
                <w:rFonts w:hint="eastAsia" w:ascii="宋体" w:hAnsi="宋体" w:eastAsia="宋体" w:cs="Times New Roman"/>
                <w:color w:val="auto"/>
                <w:szCs w:val="21"/>
              </w:rPr>
            </w:pPr>
          </w:p>
        </w:tc>
        <w:tc>
          <w:tcPr>
            <w:tcW w:w="1110" w:type="dxa"/>
            <w:vAlign w:val="center"/>
          </w:tcPr>
          <w:p w14:paraId="5A8FFF97">
            <w:pPr>
              <w:spacing w:line="360" w:lineRule="auto"/>
              <w:jc w:val="center"/>
              <w:rPr>
                <w:rFonts w:hint="eastAsia" w:ascii="宋体" w:hAnsi="宋体" w:eastAsia="宋体" w:cs="Times New Roman"/>
                <w:color w:val="auto"/>
                <w:szCs w:val="21"/>
              </w:rPr>
            </w:pPr>
          </w:p>
        </w:tc>
        <w:tc>
          <w:tcPr>
            <w:tcW w:w="1425" w:type="dxa"/>
            <w:vAlign w:val="center"/>
          </w:tcPr>
          <w:p w14:paraId="614D2AA8">
            <w:pPr>
              <w:spacing w:line="360" w:lineRule="auto"/>
              <w:jc w:val="center"/>
              <w:rPr>
                <w:rFonts w:hint="eastAsia" w:ascii="宋体" w:hAnsi="宋体" w:eastAsia="宋体" w:cs="Times New Roman"/>
                <w:color w:val="auto"/>
                <w:szCs w:val="21"/>
              </w:rPr>
            </w:pPr>
          </w:p>
        </w:tc>
        <w:tc>
          <w:tcPr>
            <w:tcW w:w="1170" w:type="dxa"/>
            <w:vAlign w:val="center"/>
          </w:tcPr>
          <w:p w14:paraId="686A50F6">
            <w:pPr>
              <w:spacing w:line="360" w:lineRule="auto"/>
              <w:jc w:val="center"/>
              <w:rPr>
                <w:rFonts w:hint="eastAsia" w:ascii="宋体" w:hAnsi="宋体" w:eastAsia="宋体" w:cs="Times New Roman"/>
                <w:color w:val="auto"/>
                <w:szCs w:val="21"/>
              </w:rPr>
            </w:pPr>
          </w:p>
        </w:tc>
        <w:tc>
          <w:tcPr>
            <w:tcW w:w="1575" w:type="dxa"/>
          </w:tcPr>
          <w:p w14:paraId="51B0D6B7">
            <w:pPr>
              <w:spacing w:line="360" w:lineRule="auto"/>
              <w:jc w:val="center"/>
              <w:rPr>
                <w:rFonts w:hint="eastAsia" w:ascii="宋体" w:hAnsi="宋体" w:eastAsia="宋体" w:cs="Times New Roman"/>
                <w:color w:val="auto"/>
                <w:szCs w:val="21"/>
              </w:rPr>
            </w:pPr>
          </w:p>
        </w:tc>
        <w:tc>
          <w:tcPr>
            <w:tcW w:w="1140" w:type="dxa"/>
            <w:vAlign w:val="center"/>
          </w:tcPr>
          <w:p w14:paraId="082A132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61A6619B">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46FB6959">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A78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841EC6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6416B2D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55D794E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1C78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83946DA">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7141" w:type="dxa"/>
            <w:vAlign w:val="center"/>
          </w:tcPr>
          <w:p w14:paraId="185FBDB0">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平时作业即过程性考核：由1篇小论文、2篇实践活动报告组成，主要考查学生对所学知识的理解和应用。</w:t>
            </w:r>
          </w:p>
        </w:tc>
        <w:tc>
          <w:tcPr>
            <w:tcW w:w="0" w:type="auto"/>
            <w:vAlign w:val="center"/>
          </w:tcPr>
          <w:p w14:paraId="2BFCCE0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r>
      <w:tr w14:paraId="27BB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617F268">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7141" w:type="dxa"/>
            <w:vAlign w:val="center"/>
          </w:tcPr>
          <w:p w14:paraId="6FBB5951">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课堂考勤：迟到一次扣2分，事假一次扣3分，病假一次扣1分无故缺席一次扣5分，累计达3次以上（不含3次）取消课程成绩。</w:t>
            </w:r>
          </w:p>
          <w:p w14:paraId="015E7AF4">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课堂参与：在教学过程中，随机提问，根据回答情况进行评分，同时课堂组织小组讨论，根据每组同学表现给分。</w:t>
            </w:r>
          </w:p>
        </w:tc>
        <w:tc>
          <w:tcPr>
            <w:tcW w:w="0" w:type="auto"/>
            <w:vAlign w:val="center"/>
          </w:tcPr>
          <w:p w14:paraId="209FA64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r>
      <w:tr w14:paraId="3A45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6C0F450">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单元测验</w:t>
            </w:r>
          </w:p>
        </w:tc>
        <w:tc>
          <w:tcPr>
            <w:tcW w:w="7141" w:type="dxa"/>
            <w:vAlign w:val="center"/>
          </w:tcPr>
          <w:p w14:paraId="13698223">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对单元知识在线上进行测验，主要考查基础知识和基本理论的掌握，以题目的正确率为得分依据。</w:t>
            </w:r>
          </w:p>
        </w:tc>
        <w:tc>
          <w:tcPr>
            <w:tcW w:w="0" w:type="auto"/>
            <w:vAlign w:val="center"/>
          </w:tcPr>
          <w:p w14:paraId="51B2251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741E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6C720BD">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自主学习</w:t>
            </w:r>
          </w:p>
        </w:tc>
        <w:tc>
          <w:tcPr>
            <w:tcW w:w="7141" w:type="dxa"/>
            <w:vAlign w:val="center"/>
          </w:tcPr>
          <w:p w14:paraId="203F9D4C">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43822DA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5E31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EE2DA5C">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7141" w:type="dxa"/>
            <w:vAlign w:val="center"/>
          </w:tcPr>
          <w:p w14:paraId="1FDFC0E2">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试卷题型包括辨析、论述题案例分析题等，以卷面成绩的50%计入课程总成绩。其中考核跨学科主题学习理论和知识型题目占30%；考核学生运用基本理论知识进行分析能力的题型占30%；考核学生运用学与教的基本理论和知识进行教学设计的题型占40%。</w:t>
            </w:r>
          </w:p>
        </w:tc>
        <w:tc>
          <w:tcPr>
            <w:tcW w:w="0" w:type="auto"/>
            <w:vAlign w:val="center"/>
          </w:tcPr>
          <w:p w14:paraId="65F7603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0FB8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D4C86C2">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3BDA8B08">
            <w:pPr>
              <w:jc w:val="left"/>
              <w:rPr>
                <w:rFonts w:ascii="Times New Roman" w:hAnsi="Times New Roman" w:eastAsia="宋体" w:cs="Times New Roman"/>
                <w:color w:val="auto"/>
                <w:szCs w:val="21"/>
              </w:rPr>
            </w:pPr>
          </w:p>
        </w:tc>
        <w:tc>
          <w:tcPr>
            <w:tcW w:w="0" w:type="auto"/>
            <w:vAlign w:val="center"/>
          </w:tcPr>
          <w:p w14:paraId="4A14817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25F49DD2">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3457428D">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098008BE">
      <w:pPr>
        <w:spacing w:line="360" w:lineRule="auto"/>
        <w:ind w:firstLine="420" w:firstLineChars="200"/>
        <w:jc w:val="left"/>
        <w:rPr>
          <w:rFonts w:ascii="Times New Roman" w:hAnsi="Times New Roman" w:eastAsia="宋体" w:cs="Times New Roman"/>
          <w:b/>
          <w:bCs/>
          <w:color w:val="auto"/>
          <w:sz w:val="24"/>
        </w:rPr>
      </w:pPr>
      <w:r>
        <w:rPr>
          <w:rFonts w:ascii="宋体" w:hAnsi="宋体" w:eastAsia="宋体" w:cs="Times New Roman"/>
          <w:color w:val="auto"/>
          <w:szCs w:val="21"/>
        </w:rPr>
        <w:object>
          <v:shape id="_x0000_i1054"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54" DrawAspect="Content" ObjectID="_1468075753" r:id="rId40">
            <o:LockedField>false</o:LockedField>
          </o:OLEObject>
        </w:object>
      </w:r>
      <w:r>
        <w:rPr>
          <w:rFonts w:hint="eastAsia" w:ascii="宋体" w:hAnsi="宋体" w:eastAsia="宋体" w:cs="Times New Roman"/>
          <w:b/>
          <w:color w:val="auto"/>
          <w:sz w:val="24"/>
          <w:lang w:val="en-US" w:eastAsia="zh-CN"/>
        </w:rPr>
        <w:t>五</w:t>
      </w:r>
      <w:r>
        <w:rPr>
          <w:rFonts w:hint="eastAsia" w:ascii="宋体" w:hAnsi="宋体" w:eastAsia="宋体" w:cs="Times New Roman"/>
          <w:b/>
          <w:color w:val="auto"/>
          <w:sz w:val="24"/>
        </w:rPr>
        <w:t>、有关说明</w:t>
      </w:r>
    </w:p>
    <w:p w14:paraId="0FDC0A9D">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078FD53F">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根据学生课堂教学中的反应、课后反馈、作业质量、答卷情况，以及领导、督导、教师同行等的听课情况，及时发现和改进教学中的不足之处，确保相应毕业要求指标点达成。</w:t>
      </w:r>
    </w:p>
    <w:p w14:paraId="33F48BCF">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47A44756">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郭华等.跨学科主题学习.北京：教育科学出版社，2023.</w:t>
      </w:r>
    </w:p>
    <w:p w14:paraId="04517E7F">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456E6FDB">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1.王艳玲等. 跨学科主题学习设计与实施（小学数学）. 北京：教育科学出版社，2023.</w:t>
      </w:r>
    </w:p>
    <w:p w14:paraId="38C5F45C">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2.徐鹏. 跨学科主题学习设计与实施（小学语文）. 北京：教育科学出版社，2023.</w:t>
      </w:r>
    </w:p>
    <w:p w14:paraId="1D3C320F">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rPr>
      </w:pPr>
      <w:r>
        <w:rPr>
          <w:rFonts w:hint="eastAsia" w:ascii="Times New Roman" w:hAnsi="Times New Roman" w:eastAsia="宋体" w:cs="Times New Roman"/>
          <w:bCs/>
          <w:color w:val="auto"/>
          <w:szCs w:val="21"/>
        </w:rPr>
        <w:t>3.（美）阿卡西娅·M. 沃伦.跨学科项目式学习.孙明玉译.北京：中国青年出版社，2020</w:t>
      </w:r>
    </w:p>
    <w:p w14:paraId="1BFD2B83">
      <w:pPr>
        <w:keepNext w:val="0"/>
        <w:keepLines w:val="0"/>
        <w:pageBreakBefore w:val="0"/>
        <w:widowControl w:val="0"/>
        <w:kinsoku/>
        <w:wordWrap/>
        <w:overflowPunct/>
        <w:topLinePunct w:val="0"/>
        <w:autoSpaceDE/>
        <w:autoSpaceDN/>
        <w:bidi w:val="0"/>
        <w:adjustRightInd/>
        <w:snapToGrid/>
        <w:spacing w:line="312"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4"/>
        </w:rPr>
        <w:t xml:space="preserve">                                  </w:t>
      </w:r>
      <w:r>
        <w:rPr>
          <w:rFonts w:hint="eastAsia" w:ascii="Times New Roman" w:hAnsi="Times New Roman" w:eastAsia="宋体" w:cs="Times New Roman"/>
          <w:color w:val="auto"/>
          <w:sz w:val="21"/>
          <w:szCs w:val="21"/>
        </w:rPr>
        <w:t>执 笔 人：姚玉香</w:t>
      </w:r>
    </w:p>
    <w:p w14:paraId="5A7B0213">
      <w:pPr>
        <w:keepNext w:val="0"/>
        <w:keepLines w:val="0"/>
        <w:pageBreakBefore w:val="0"/>
        <w:widowControl w:val="0"/>
        <w:kinsoku/>
        <w:wordWrap/>
        <w:overflowPunct/>
        <w:topLinePunct w:val="0"/>
        <w:autoSpaceDE/>
        <w:autoSpaceDN/>
        <w:bidi w:val="0"/>
        <w:adjustRightInd/>
        <w:snapToGrid/>
        <w:spacing w:line="312"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                                        审 定 人： 王  健</w:t>
      </w:r>
    </w:p>
    <w:p w14:paraId="3C0B89AA">
      <w:pPr>
        <w:keepNext w:val="0"/>
        <w:keepLines w:val="0"/>
        <w:pageBreakBefore w:val="0"/>
        <w:widowControl w:val="0"/>
        <w:kinsoku/>
        <w:wordWrap/>
        <w:overflowPunct/>
        <w:topLinePunct w:val="0"/>
        <w:autoSpaceDE/>
        <w:autoSpaceDN/>
        <w:bidi w:val="0"/>
        <w:adjustRightInd/>
        <w:snapToGrid/>
        <w:spacing w:line="312"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 批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张志欣</w:t>
      </w:r>
    </w:p>
    <w:p w14:paraId="21AD14C7">
      <w:pPr>
        <w:keepNext w:val="0"/>
        <w:keepLines w:val="0"/>
        <w:pageBreakBefore w:val="0"/>
        <w:widowControl w:val="0"/>
        <w:kinsoku/>
        <w:wordWrap/>
        <w:overflowPunct/>
        <w:topLinePunct w:val="0"/>
        <w:autoSpaceDE/>
        <w:autoSpaceDN/>
        <w:bidi w:val="0"/>
        <w:adjustRightInd/>
        <w:snapToGrid/>
        <w:spacing w:line="312" w:lineRule="auto"/>
        <w:ind w:right="0"/>
        <w:jc w:val="righ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批准时间：2025年7月1日</w:t>
      </w:r>
    </w:p>
    <w:p w14:paraId="7105B994">
      <w:pPr>
        <w:rPr>
          <w:rFonts w:hint="eastAsia"/>
          <w:color w:val="auto"/>
        </w:rPr>
      </w:pPr>
      <w:r>
        <w:rPr>
          <w:rFonts w:hint="eastAsia"/>
          <w:color w:val="auto"/>
        </w:rPr>
        <w:br w:type="page"/>
      </w:r>
    </w:p>
    <w:p w14:paraId="03AD4440">
      <w:pPr>
        <w:spacing w:line="360" w:lineRule="auto"/>
        <w:jc w:val="center"/>
        <w:outlineLvl w:val="0"/>
        <w:rPr>
          <w:rFonts w:hint="eastAsia" w:ascii="Times New Roman" w:hAnsi="Times New Roman" w:eastAsia="宋体" w:cs="Times New Roman"/>
          <w:b/>
          <w:color w:val="auto"/>
          <w:sz w:val="44"/>
          <w:szCs w:val="44"/>
        </w:rPr>
      </w:pPr>
      <w:bookmarkStart w:id="351" w:name="_Toc19045"/>
      <w:bookmarkStart w:id="352" w:name="_Toc27554"/>
      <w:r>
        <w:rPr>
          <w:rFonts w:hint="eastAsia" w:ascii="Times New Roman" w:hAnsi="Times New Roman" w:eastAsia="宋体" w:cs="Times New Roman"/>
          <w:b/>
          <w:color w:val="auto"/>
          <w:sz w:val="44"/>
          <w:szCs w:val="44"/>
        </w:rPr>
        <w:t>《教育论文写作》课程教学大纲</w:t>
      </w:r>
      <w:bookmarkEnd w:id="351"/>
      <w:bookmarkEnd w:id="352"/>
      <w:r>
        <w:rPr>
          <w:rFonts w:hint="eastAsia" w:ascii="Times New Roman" w:hAnsi="Times New Roman" w:eastAsia="宋体" w:cs="Times New Roman"/>
          <w:b/>
          <w:color w:val="auto"/>
          <w:sz w:val="44"/>
          <w:szCs w:val="44"/>
        </w:rPr>
        <w:t xml:space="preserve"> </w:t>
      </w:r>
    </w:p>
    <w:p w14:paraId="29200ADE">
      <w:pPr>
        <w:spacing w:line="360" w:lineRule="auto"/>
        <w:jc w:val="center"/>
        <w:rPr>
          <w:rFonts w:ascii="Times New Roman" w:hAnsi="Times New Roman" w:eastAsia="宋体" w:cs="Times New Roman"/>
          <w:bCs/>
          <w:color w:val="auto"/>
          <w:sz w:val="32"/>
          <w:szCs w:val="32"/>
        </w:rPr>
      </w:pPr>
      <w:r>
        <w:rPr>
          <w:rFonts w:hint="eastAsia" w:ascii="Times New Roman" w:hAnsi="Times New Roman" w:eastAsia="宋体" w:cs="Times New Roman"/>
          <w:b/>
          <w:color w:val="auto"/>
          <w:sz w:val="32"/>
          <w:szCs w:val="32"/>
        </w:rPr>
        <w:t>（</w:t>
      </w:r>
      <w:r>
        <w:rPr>
          <w:rFonts w:ascii="Times New Roman" w:hAnsi="Times New Roman" w:eastAsia="宋体" w:cs="Times New Roman"/>
          <w:b/>
          <w:color w:val="auto"/>
          <w:sz w:val="32"/>
          <w:szCs w:val="32"/>
        </w:rPr>
        <w:t>Educational Thesis Writing）</w:t>
      </w:r>
    </w:p>
    <w:p w14:paraId="4D4DA24A">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课程名称：教育论文写作</w:t>
      </w:r>
    </w:p>
    <w:p w14:paraId="3657E134">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w:t>
      </w:r>
      <w:r>
        <w:rPr>
          <w:rFonts w:ascii="Times New Roman" w:hAnsi="Times New Roman" w:eastAsia="宋体" w:cs="Times New Roman"/>
          <w:b/>
          <w:color w:val="auto"/>
          <w:sz w:val="24"/>
          <w:szCs w:val="24"/>
        </w:rPr>
        <w:t>2401025</w:t>
      </w:r>
    </w:p>
    <w:p w14:paraId="64674614">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分：</w:t>
      </w:r>
      <w:r>
        <w:rPr>
          <w:rFonts w:ascii="Times New Roman" w:hAnsi="Times New Roman" w:eastAsia="宋体" w:cs="Times New Roman"/>
          <w:b/>
          <w:color w:val="auto"/>
          <w:sz w:val="24"/>
          <w:szCs w:val="24"/>
        </w:rPr>
        <w:t>2</w:t>
      </w:r>
    </w:p>
    <w:p w14:paraId="68F86453">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时：</w:t>
      </w:r>
      <w:r>
        <w:rPr>
          <w:rFonts w:ascii="Times New Roman" w:hAnsi="Times New Roman" w:eastAsia="宋体" w:cs="Times New Roman"/>
          <w:b/>
          <w:color w:val="auto"/>
          <w:sz w:val="24"/>
          <w:szCs w:val="24"/>
        </w:rPr>
        <w:t>32（其中，讲授学时16，实践学时16）</w:t>
      </w:r>
    </w:p>
    <w:p w14:paraId="1C2DB60C">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先修课程：教育原理、教育心理学、教育哲学、中国教育史、中外基础教育改革热点、教育社会学</w:t>
      </w:r>
    </w:p>
    <w:p w14:paraId="20ADA16F">
      <w:pPr>
        <w:spacing w:line="360" w:lineRule="auto"/>
        <w:ind w:firstLine="48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 w:val="24"/>
          <w:szCs w:val="24"/>
        </w:rPr>
        <w:t>适用专业：</w:t>
      </w:r>
      <w:r>
        <w:rPr>
          <w:rFonts w:ascii="Times New Roman" w:hAnsi="Times New Roman" w:eastAsia="宋体" w:cs="Times New Roman"/>
          <w:b/>
          <w:color w:val="auto"/>
          <w:sz w:val="24"/>
          <w:szCs w:val="24"/>
        </w:rPr>
        <w:t xml:space="preserve"> 小学教育    </w:t>
      </w:r>
      <w:r>
        <w:rPr>
          <w:rFonts w:ascii="Times New Roman" w:hAnsi="Times New Roman" w:eastAsia="宋体" w:cs="Times New Roman"/>
          <w:b/>
          <w:color w:val="auto"/>
          <w:szCs w:val="21"/>
        </w:rPr>
        <w:t xml:space="preserve">   </w:t>
      </w:r>
    </w:p>
    <w:p w14:paraId="498A52A6">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一、课程简介</w:t>
      </w:r>
    </w:p>
    <w:p w14:paraId="1C7BA61F">
      <w:pPr>
        <w:spacing w:line="360" w:lineRule="auto"/>
        <w:ind w:firstLine="420" w:firstLineChars="200"/>
        <w:jc w:val="left"/>
        <w:rPr>
          <w:rFonts w:hint="eastAsia" w:ascii="宋体" w:hAnsi="宋体" w:eastAsia="宋体" w:cs="Times New Roman"/>
          <w:b/>
          <w:color w:val="auto"/>
          <w:szCs w:val="21"/>
        </w:rPr>
      </w:pPr>
      <w:r>
        <w:rPr>
          <w:rFonts w:hint="eastAsia" w:ascii="Times New Roman" w:hAnsi="Times New Roman" w:eastAsia="宋体" w:cs="Times New Roman"/>
          <w:color w:val="auto"/>
          <w:szCs w:val="21"/>
        </w:rPr>
        <w:t>本课程是小学教育专业的一门专业基础选修课程。通过本课程的教学，师范生能够了解教育论文的基本要求与写作过程，初步掌握不同类型教育论文的写作方法，能够撰写符合学术规范和语言规范的教育论文，为后续毕业论文写作奠定基础。</w:t>
      </w:r>
    </w:p>
    <w:p w14:paraId="4EA0C7A1">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 w:val="24"/>
          <w:szCs w:val="24"/>
        </w:rPr>
        <w:t>二、课程目标</w:t>
      </w:r>
    </w:p>
    <w:p w14:paraId="09175990">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5FD39645">
      <w:pPr>
        <w:autoSpaceDE w:val="0"/>
        <w:autoSpaceDN w:val="0"/>
        <w:adjustRightInd w:val="0"/>
        <w:spacing w:line="360" w:lineRule="auto"/>
        <w:ind w:firstLine="420" w:firstLineChars="200"/>
        <w:jc w:val="left"/>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目标</w:t>
      </w:r>
      <w:r>
        <w:rPr>
          <w:rFonts w:ascii="Times New Roman" w:hAnsi="Times New Roman" w:eastAsia="宋体" w:cs="Times New Roman"/>
          <w:color w:val="auto"/>
          <w:kern w:val="0"/>
          <w:szCs w:val="21"/>
        </w:rPr>
        <w:t>1. 理解教育论文写作的意义，熟悉教育论文写作的基本步骤。</w:t>
      </w:r>
    </w:p>
    <w:p w14:paraId="5338AE4E">
      <w:pPr>
        <w:autoSpaceDE w:val="0"/>
        <w:autoSpaceDN w:val="0"/>
        <w:adjustRightInd w:val="0"/>
        <w:spacing w:line="360" w:lineRule="auto"/>
        <w:ind w:firstLine="420" w:firstLineChars="200"/>
        <w:jc w:val="left"/>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目标</w:t>
      </w:r>
      <w:r>
        <w:rPr>
          <w:rFonts w:ascii="Times New Roman" w:hAnsi="Times New Roman" w:eastAsia="宋体" w:cs="Times New Roman"/>
          <w:color w:val="auto"/>
          <w:kern w:val="0"/>
          <w:szCs w:val="21"/>
        </w:rPr>
        <w:t>2. 结合具体案例，学会分析学术期刊论文、教育综述论文、教育调查报告、教育实验报告、教育经验总结、教育叙事论文、学位论文等类型教育论文的框架结构，解释教育论文的语言特点。</w:t>
      </w:r>
    </w:p>
    <w:p w14:paraId="4083CCFD">
      <w:pPr>
        <w:autoSpaceDE w:val="0"/>
        <w:autoSpaceDN w:val="0"/>
        <w:adjustRightInd w:val="0"/>
        <w:spacing w:line="360" w:lineRule="auto"/>
        <w:ind w:firstLine="420" w:firstLineChars="200"/>
        <w:jc w:val="left"/>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目标</w:t>
      </w:r>
      <w:r>
        <w:rPr>
          <w:rFonts w:ascii="Times New Roman" w:hAnsi="Times New Roman" w:eastAsia="宋体" w:cs="Times New Roman"/>
          <w:color w:val="auto"/>
          <w:kern w:val="0"/>
          <w:szCs w:val="21"/>
        </w:rPr>
        <w:t>3．结合教育实践和自身的学习、思考，撰写符合规范的教育论文。</w:t>
      </w:r>
    </w:p>
    <w:p w14:paraId="1B5BD9E8">
      <w:pPr>
        <w:autoSpaceDE w:val="0"/>
        <w:autoSpaceDN w:val="0"/>
        <w:adjustRightInd w:val="0"/>
        <w:spacing w:line="360" w:lineRule="auto"/>
        <w:ind w:firstLine="420" w:firstLineChars="200"/>
        <w:jc w:val="left"/>
        <w:rPr>
          <w:rFonts w:ascii="Times New Roman" w:hAnsi="Times New Roman" w:eastAsia="宋体" w:cs="Times New Roman"/>
          <w:color w:val="auto"/>
          <w:szCs w:val="21"/>
        </w:rPr>
      </w:pPr>
      <w:r>
        <w:rPr>
          <w:rFonts w:ascii="Times New Roman" w:hAnsi="Times New Roman" w:eastAsia="宋体" w:cs="Times New Roman"/>
          <w:color w:val="auto"/>
          <w:kern w:val="0"/>
          <w:szCs w:val="21"/>
        </w:rPr>
        <w:t>目标4. 了解教育论文交流、发表的途径与方法，遵守教育论文写作的学术规范，恪守学术道德。</w:t>
      </w:r>
    </w:p>
    <w:p w14:paraId="405A9BAB">
      <w:pPr>
        <w:spacing w:line="360" w:lineRule="auto"/>
        <w:ind w:firstLine="422" w:firstLineChars="200"/>
        <w:jc w:val="left"/>
        <w:rPr>
          <w:rFonts w:hint="eastAsia" w:ascii="Times New Roman" w:hAnsi="Times New Roman" w:eastAsia="宋体" w:cs="Times New Roman"/>
          <w:b/>
          <w:bCs/>
          <w:color w:val="auto"/>
          <w:szCs w:val="21"/>
          <w:lang w:eastAsia="zh-CN"/>
        </w:rPr>
      </w:pPr>
      <w:r>
        <w:rPr>
          <w:rFonts w:hint="eastAsia" w:ascii="Times New Roman" w:hAnsi="Times New Roman" w:eastAsia="宋体" w:cs="Times New Roman"/>
          <w:b/>
          <w:bCs/>
          <w:color w:val="auto"/>
          <w:szCs w:val="21"/>
        </w:rPr>
        <w:t>（二）课程目标及其对毕业要求指标点的支撑</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5269"/>
        <w:gridCol w:w="1472"/>
      </w:tblGrid>
      <w:tr w14:paraId="4511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6F12B70D">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5269" w:type="dxa"/>
          </w:tcPr>
          <w:p w14:paraId="3C0555F3">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472" w:type="dxa"/>
          </w:tcPr>
          <w:p w14:paraId="33BF183B">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6EE2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1555" w:type="dxa"/>
            <w:vAlign w:val="center"/>
          </w:tcPr>
          <w:p w14:paraId="4562B23C">
            <w:pPr>
              <w:pStyle w:val="32"/>
              <w:spacing w:line="276" w:lineRule="auto"/>
              <w:ind w:firstLine="0" w:firstLineChars="0"/>
              <w:jc w:val="center"/>
              <w:rPr>
                <w:rFonts w:hint="eastAsia" w:ascii="宋体" w:hAnsi="宋体" w:cs="宋体"/>
                <w:b/>
                <w:bCs/>
                <w:color w:val="auto"/>
                <w:szCs w:val="21"/>
              </w:rPr>
            </w:pPr>
            <w:r>
              <w:rPr>
                <w:rFonts w:hint="eastAsia" w:ascii="宋体" w:hAnsi="宋体" w:cs="宋体"/>
                <w:b/>
                <w:bCs/>
                <w:color w:val="auto"/>
                <w:szCs w:val="21"/>
              </w:rPr>
              <w:t>毕业要求</w:t>
            </w:r>
            <w:r>
              <w:rPr>
                <w:rFonts w:ascii="宋体" w:hAnsi="宋体" w:cs="宋体"/>
                <w:b/>
                <w:bCs/>
                <w:color w:val="auto"/>
                <w:szCs w:val="21"/>
              </w:rPr>
              <w:t>4</w:t>
            </w:r>
            <w:r>
              <w:rPr>
                <w:rFonts w:hint="eastAsia" w:ascii="宋体" w:hAnsi="宋体" w:cs="宋体"/>
                <w:b/>
                <w:bCs/>
                <w:color w:val="auto"/>
                <w:szCs w:val="21"/>
              </w:rPr>
              <w:t>.</w:t>
            </w:r>
          </w:p>
          <w:p w14:paraId="765C824F">
            <w:pPr>
              <w:pStyle w:val="32"/>
              <w:spacing w:line="276" w:lineRule="auto"/>
              <w:ind w:firstLine="0" w:firstLineChars="0"/>
              <w:jc w:val="center"/>
              <w:rPr>
                <w:rFonts w:hint="eastAsia" w:ascii="宋体" w:hAnsi="宋体" w:cs="宋体"/>
                <w:b/>
                <w:bCs/>
                <w:color w:val="auto"/>
                <w:szCs w:val="21"/>
              </w:rPr>
            </w:pPr>
            <w:r>
              <w:rPr>
                <w:rFonts w:hint="eastAsia" w:ascii="宋体" w:hAnsi="宋体" w:cs="宋体"/>
                <w:b/>
                <w:bCs/>
                <w:color w:val="auto"/>
                <w:szCs w:val="21"/>
              </w:rPr>
              <w:t>学会教学</w:t>
            </w:r>
          </w:p>
        </w:tc>
        <w:tc>
          <w:tcPr>
            <w:tcW w:w="5269" w:type="dxa"/>
            <w:vAlign w:val="center"/>
          </w:tcPr>
          <w:p w14:paraId="55FFFAB9">
            <w:pPr>
              <w:pStyle w:val="32"/>
              <w:spacing w:line="276" w:lineRule="auto"/>
              <w:ind w:firstLine="0" w:firstLineChars="0"/>
              <w:jc w:val="left"/>
              <w:rPr>
                <w:rFonts w:hint="eastAsia" w:ascii="宋体" w:hAnsi="宋体" w:cs="宋体"/>
                <w:b w:val="0"/>
                <w:bCs w:val="0"/>
                <w:color w:val="auto"/>
                <w:szCs w:val="21"/>
              </w:rPr>
            </w:pPr>
            <w:r>
              <w:rPr>
                <w:rFonts w:hint="eastAsia" w:ascii="宋体" w:hAnsi="宋体" w:cs="宋体"/>
                <w:b w:val="0"/>
                <w:bCs w:val="0"/>
                <w:color w:val="auto"/>
                <w:szCs w:val="21"/>
              </w:rPr>
              <w:t>指标点</w:t>
            </w:r>
            <w:r>
              <w:rPr>
                <w:rFonts w:ascii="宋体" w:hAnsi="宋体" w:cs="宋体"/>
                <w:b w:val="0"/>
                <w:bCs w:val="0"/>
                <w:color w:val="auto"/>
                <w:szCs w:val="21"/>
              </w:rPr>
              <w:t>4-4：【具备教学研究能力】掌握教育研究的基本方法，在教育教学实践中，结合小学教育教学实践进行研究，具有一定的教学研究能力。</w:t>
            </w:r>
          </w:p>
        </w:tc>
        <w:tc>
          <w:tcPr>
            <w:tcW w:w="1472" w:type="dxa"/>
            <w:vAlign w:val="center"/>
          </w:tcPr>
          <w:p w14:paraId="71D0B5FB">
            <w:pPr>
              <w:spacing w:line="360"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p>
          <w:p w14:paraId="41497C51">
            <w:pPr>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1、2、3、4</w:t>
            </w:r>
          </w:p>
        </w:tc>
      </w:tr>
      <w:tr w14:paraId="51AA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trPr>
        <w:tc>
          <w:tcPr>
            <w:tcW w:w="1555" w:type="dxa"/>
            <w:vAlign w:val="center"/>
          </w:tcPr>
          <w:p w14:paraId="7C3AB9EB">
            <w:pPr>
              <w:pStyle w:val="32"/>
              <w:spacing w:line="276" w:lineRule="auto"/>
              <w:ind w:firstLine="0" w:firstLineChars="0"/>
              <w:jc w:val="center"/>
              <w:rPr>
                <w:b/>
                <w:bCs/>
                <w:color w:val="auto"/>
                <w:szCs w:val="21"/>
              </w:rPr>
            </w:pPr>
            <w:r>
              <w:rPr>
                <w:rFonts w:hint="eastAsia" w:ascii="宋体" w:hAnsi="宋体" w:cs="宋体"/>
                <w:b/>
                <w:bCs/>
                <w:color w:val="auto"/>
                <w:szCs w:val="21"/>
              </w:rPr>
              <w:t>毕业要求7</w:t>
            </w:r>
            <w:r>
              <w:rPr>
                <w:rFonts w:ascii="宋体" w:hAnsi="宋体" w:cs="宋体"/>
                <w:b/>
                <w:bCs/>
                <w:color w:val="auto"/>
                <w:szCs w:val="21"/>
              </w:rPr>
              <w:t>.</w:t>
            </w:r>
          </w:p>
          <w:p w14:paraId="73FB7410">
            <w:pPr>
              <w:pStyle w:val="32"/>
              <w:spacing w:line="276" w:lineRule="auto"/>
              <w:ind w:firstLine="0" w:firstLineChars="0"/>
              <w:jc w:val="center"/>
              <w:rPr>
                <w:rFonts w:hint="eastAsia" w:ascii="宋体" w:hAnsi="宋体" w:cs="宋体"/>
                <w:b/>
                <w:bCs/>
                <w:color w:val="auto"/>
                <w:szCs w:val="21"/>
              </w:rPr>
            </w:pPr>
            <w:r>
              <w:rPr>
                <w:rFonts w:hint="eastAsia" w:ascii="宋体" w:hAnsi="宋体" w:cs="宋体"/>
                <w:b/>
                <w:bCs/>
                <w:color w:val="auto"/>
                <w:szCs w:val="21"/>
              </w:rPr>
              <w:t>学会反思</w:t>
            </w:r>
          </w:p>
        </w:tc>
        <w:tc>
          <w:tcPr>
            <w:tcW w:w="5269" w:type="dxa"/>
            <w:vAlign w:val="center"/>
          </w:tcPr>
          <w:p w14:paraId="10A08838">
            <w:pPr>
              <w:pStyle w:val="32"/>
              <w:spacing w:line="276" w:lineRule="auto"/>
              <w:ind w:firstLine="0" w:firstLineChars="0"/>
              <w:jc w:val="left"/>
              <w:rPr>
                <w:rFonts w:hint="eastAsia" w:ascii="宋体" w:hAnsi="宋体" w:eastAsia="宋体" w:cs="宋体"/>
                <w:b w:val="0"/>
                <w:bCs w:val="0"/>
                <w:color w:val="auto"/>
                <w:szCs w:val="21"/>
                <w:lang w:eastAsia="zh-CN"/>
              </w:rPr>
            </w:pPr>
            <w:r>
              <w:rPr>
                <w:rFonts w:hint="eastAsia" w:ascii="宋体" w:hAnsi="宋体" w:cs="宋体"/>
                <w:b w:val="0"/>
                <w:bCs w:val="0"/>
                <w:color w:val="auto"/>
                <w:szCs w:val="21"/>
                <w:lang w:eastAsia="zh-CN"/>
              </w:rPr>
              <w:t>指标点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472" w:type="dxa"/>
            <w:vAlign w:val="center"/>
          </w:tcPr>
          <w:p w14:paraId="47506DB0">
            <w:pPr>
              <w:spacing w:line="360"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p>
          <w:p w14:paraId="45BD4ADB">
            <w:pPr>
              <w:spacing w:line="360" w:lineRule="auto"/>
              <w:jc w:val="center"/>
              <w:rPr>
                <w:rFonts w:hint="eastAsia" w:ascii="宋体" w:hAnsi="宋体" w:eastAsia="宋体" w:cs="宋体"/>
                <w:color w:val="auto"/>
                <w:szCs w:val="21"/>
              </w:rPr>
            </w:pPr>
            <w:r>
              <w:rPr>
                <w:rFonts w:hint="eastAsia" w:ascii="Times New Roman" w:hAnsi="Times New Roman" w:eastAsia="宋体" w:cs="Times New Roman"/>
                <w:color w:val="auto"/>
                <w:szCs w:val="21"/>
                <w:lang w:val="en-US" w:eastAsia="zh-CN"/>
              </w:rPr>
              <w:t>1、2、3、4</w:t>
            </w:r>
          </w:p>
        </w:tc>
      </w:tr>
    </w:tbl>
    <w:p w14:paraId="13A6101B">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64C4A23D">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学生在扎实掌握教育论文写作理论与方法的基础上，践行社会主义核心价值观，认同中国特色社会主义，坚持“立德树人”，树立正确的世界观、价值观和人生观，形成正确的学术观、科研观和儿童观，学会发现、分析和解决人民群众关心的基础教育热点与难点问题。立志成为有理想信念、有道德情操、有扎实学习、有仁爱之心的新时代大国良师。</w:t>
      </w:r>
    </w:p>
    <w:p w14:paraId="61FF988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三、教学内容与预期学习成效</w:t>
      </w:r>
    </w:p>
    <w:p w14:paraId="258B5354">
      <w:pPr>
        <w:spacing w:line="360" w:lineRule="auto"/>
        <w:ind w:firstLine="420" w:firstLineChars="200"/>
        <w:jc w:val="left"/>
        <w:rPr>
          <w:rFonts w:hint="eastAsia" w:ascii="宋体" w:hAnsi="宋体" w:eastAsia="宋体" w:cs="Times New Roman"/>
          <w:color w:val="auto"/>
          <w:szCs w:val="21"/>
        </w:rPr>
      </w:pPr>
      <w:r>
        <w:rPr>
          <w:rFonts w:hint="eastAsia" w:ascii="宋体" w:hAnsi="宋体" w:eastAsia="宋体" w:cs="Times New Roman"/>
          <w:color w:val="auto"/>
          <w:szCs w:val="21"/>
        </w:rPr>
        <w:t>本课程主要教学内容及学生预期学习成效见</w:t>
      </w:r>
      <w:r>
        <w:rPr>
          <w:rFonts w:hint="eastAsia" w:ascii="宋体" w:hAnsi="宋体" w:eastAsia="宋体" w:cs="Times New Roman"/>
          <w:color w:val="auto"/>
          <w:szCs w:val="21"/>
          <w:lang w:val="en-US" w:eastAsia="zh-CN"/>
        </w:rPr>
        <w:t>下表</w:t>
      </w:r>
      <w:r>
        <w:rPr>
          <w:rFonts w:hint="eastAsia" w:ascii="宋体" w:hAnsi="宋体" w:eastAsia="宋体" w:cs="Times New Roman"/>
          <w:color w:val="auto"/>
          <w:szCs w:val="21"/>
        </w:rPr>
        <w:t>。</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326"/>
        <w:gridCol w:w="1276"/>
        <w:gridCol w:w="656"/>
      </w:tblGrid>
      <w:tr w14:paraId="6ABA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A3C56EA">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77DF3D86">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1701" w:type="dxa"/>
            <w:vAlign w:val="center"/>
          </w:tcPr>
          <w:p w14:paraId="4A483AE2">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34" w:type="dxa"/>
            <w:vAlign w:val="center"/>
          </w:tcPr>
          <w:p w14:paraId="5007DE05">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58DD5190">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3326" w:type="dxa"/>
            <w:vAlign w:val="center"/>
          </w:tcPr>
          <w:p w14:paraId="3D8EE2CB">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276" w:type="dxa"/>
            <w:vAlign w:val="center"/>
          </w:tcPr>
          <w:p w14:paraId="2D9F6BA6">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656" w:type="dxa"/>
            <w:vAlign w:val="center"/>
          </w:tcPr>
          <w:p w14:paraId="57F19A57">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1F17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097BA2D">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w:t>
            </w:r>
            <w:r>
              <w:rPr>
                <w:rFonts w:hint="eastAsia" w:ascii="宋体" w:hAnsi="宋体" w:eastAsia="宋体" w:cs="Times New Roman"/>
                <w:color w:val="auto"/>
                <w:szCs w:val="21"/>
              </w:rPr>
              <w:t>教育论文写作概述</w:t>
            </w:r>
          </w:p>
        </w:tc>
        <w:tc>
          <w:tcPr>
            <w:tcW w:w="1701" w:type="dxa"/>
            <w:vAlign w:val="center"/>
          </w:tcPr>
          <w:p w14:paraId="77CE2490">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1）教育论文写作的意义</w:t>
            </w:r>
          </w:p>
          <w:p w14:paraId="3A5DAECF">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2）教育论文写作的一般步骤</w:t>
            </w:r>
          </w:p>
          <w:p w14:paraId="370816D6">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3）教育论文写作的学术规范</w:t>
            </w:r>
          </w:p>
        </w:tc>
        <w:tc>
          <w:tcPr>
            <w:tcW w:w="1134" w:type="dxa"/>
            <w:vAlign w:val="center"/>
          </w:tcPr>
          <w:p w14:paraId="4C60EF33">
            <w:pPr>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3326" w:type="dxa"/>
            <w:vAlign w:val="center"/>
          </w:tcPr>
          <w:p w14:paraId="3DC5611A">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1）理解论文写作的意义；</w:t>
            </w:r>
          </w:p>
          <w:p w14:paraId="582AF9A9">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2）掌握教育论文写作的基本步骤；</w:t>
            </w:r>
          </w:p>
          <w:p w14:paraId="03B8B2B9">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3）了解教育论文写作的学术规范，恪守学术道德。</w:t>
            </w:r>
          </w:p>
        </w:tc>
        <w:tc>
          <w:tcPr>
            <w:tcW w:w="1276" w:type="dxa"/>
            <w:vAlign w:val="center"/>
          </w:tcPr>
          <w:p w14:paraId="5FAD0D0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自主学习</w:t>
            </w:r>
          </w:p>
          <w:p w14:paraId="0CD939EF">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多媒体教学</w:t>
            </w:r>
          </w:p>
          <w:p w14:paraId="0490336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课堂讨论</w:t>
            </w:r>
          </w:p>
        </w:tc>
        <w:tc>
          <w:tcPr>
            <w:tcW w:w="656" w:type="dxa"/>
            <w:vAlign w:val="center"/>
          </w:tcPr>
          <w:p w14:paraId="2B0FFADD">
            <w:pPr>
              <w:spacing w:line="269" w:lineRule="auto"/>
              <w:jc w:val="center"/>
              <w:rPr>
                <w:rFonts w:hint="eastAsia" w:ascii="宋体" w:hAnsi="宋体" w:eastAsia="宋体" w:cs="Times New Roman"/>
                <w:color w:val="auto"/>
                <w:szCs w:val="21"/>
              </w:rPr>
            </w:pPr>
            <w:r>
              <w:rPr>
                <w:rFonts w:ascii="宋体" w:hAnsi="宋体" w:eastAsia="宋体" w:cs="Times New Roman"/>
                <w:color w:val="auto"/>
                <w:szCs w:val="21"/>
              </w:rPr>
              <w:t>2</w:t>
            </w:r>
          </w:p>
        </w:tc>
      </w:tr>
      <w:tr w14:paraId="28BC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BACC215">
            <w:pPr>
              <w:spacing w:line="264" w:lineRule="auto"/>
              <w:jc w:val="center"/>
              <w:rPr>
                <w:rFonts w:hint="eastAsia" w:ascii="宋体" w:hAnsi="宋体" w:eastAsia="宋体" w:cs="Times New Roman"/>
                <w:color w:val="auto"/>
                <w:szCs w:val="21"/>
              </w:rPr>
            </w:pPr>
          </w:p>
        </w:tc>
        <w:tc>
          <w:tcPr>
            <w:tcW w:w="8093" w:type="dxa"/>
            <w:gridSpan w:val="5"/>
            <w:vAlign w:val="center"/>
          </w:tcPr>
          <w:p w14:paraId="5D9E9B69">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以习近平总书记关于教育工作的重要论述为指导，理解教育论文写作的价值和意义；坚持“立德树人”，树立正确的世界观、价值观和人生观；热爱中小学教育，理解基础教育改革的意义，具有一定的创新意识，学会发现和分析人民群众关心的基础教育热点和难点问题。</w:t>
            </w:r>
          </w:p>
        </w:tc>
      </w:tr>
      <w:tr w14:paraId="2C97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210E48F">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r>
              <w:rPr>
                <w:rFonts w:hint="eastAsia"/>
                <w:color w:val="auto"/>
                <w:szCs w:val="21"/>
              </w:rPr>
              <w:t xml:space="preserve"> </w:t>
            </w:r>
            <w:r>
              <w:rPr>
                <w:rFonts w:hint="eastAsia" w:ascii="宋体" w:hAnsi="宋体" w:eastAsia="宋体" w:cs="Times New Roman"/>
                <w:color w:val="auto"/>
                <w:szCs w:val="21"/>
              </w:rPr>
              <w:t>学术期刊论文的写作</w:t>
            </w:r>
          </w:p>
        </w:tc>
        <w:tc>
          <w:tcPr>
            <w:tcW w:w="1701" w:type="dxa"/>
            <w:vAlign w:val="center"/>
          </w:tcPr>
          <w:p w14:paraId="0D1D46CD">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1）学术期刊论文标题的拟定</w:t>
            </w:r>
          </w:p>
          <w:p w14:paraId="3731DBE6">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2）学术期刊论文摘要的撰写</w:t>
            </w:r>
          </w:p>
          <w:p w14:paraId="0ECDCD97">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3）学术期刊论文引言的撰写</w:t>
            </w:r>
          </w:p>
          <w:p w14:paraId="0854D4D4">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4）学术期刊论文正文的撰写</w:t>
            </w:r>
          </w:p>
          <w:p w14:paraId="39757A9E">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5）学术期刊论文结语的撰写</w:t>
            </w:r>
          </w:p>
        </w:tc>
        <w:tc>
          <w:tcPr>
            <w:tcW w:w="1134" w:type="dxa"/>
            <w:vAlign w:val="center"/>
          </w:tcPr>
          <w:p w14:paraId="6AEDE2AD">
            <w:pPr>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r>
              <w:rPr>
                <w:rFonts w:ascii="宋体" w:hAnsi="宋体" w:eastAsia="宋体" w:cs="Times New Roman"/>
                <w:color w:val="auto"/>
                <w:szCs w:val="21"/>
              </w:rPr>
              <w:t>2</w:t>
            </w:r>
            <w:r>
              <w:rPr>
                <w:rFonts w:hint="eastAsia" w:ascii="宋体" w:hAnsi="宋体" w:eastAsia="宋体" w:cs="Times New Roman"/>
                <w:color w:val="auto"/>
                <w:szCs w:val="21"/>
                <w:lang w:eastAsia="zh-CN"/>
              </w:rPr>
              <w:t>、</w:t>
            </w:r>
            <w:r>
              <w:rPr>
                <w:rFonts w:ascii="宋体" w:hAnsi="宋体" w:eastAsia="宋体" w:cs="Times New Roman"/>
                <w:color w:val="auto"/>
                <w:szCs w:val="21"/>
              </w:rPr>
              <w:t>4</w:t>
            </w:r>
          </w:p>
        </w:tc>
        <w:tc>
          <w:tcPr>
            <w:tcW w:w="3326" w:type="dxa"/>
            <w:vAlign w:val="center"/>
          </w:tcPr>
          <w:p w14:paraId="431DFA89">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1）了解教育论文（期刊论文）的基本结构；</w:t>
            </w:r>
          </w:p>
          <w:p w14:paraId="702144FD">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2）掌握教育论文各组成部分的写作方法；</w:t>
            </w:r>
          </w:p>
          <w:p w14:paraId="47609B57">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3）能够撰写符合规范的小论文。</w:t>
            </w:r>
          </w:p>
        </w:tc>
        <w:tc>
          <w:tcPr>
            <w:tcW w:w="1276" w:type="dxa"/>
            <w:vAlign w:val="center"/>
          </w:tcPr>
          <w:p w14:paraId="6034352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自主学习</w:t>
            </w:r>
          </w:p>
          <w:p w14:paraId="4DE78C6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案例教学</w:t>
            </w:r>
          </w:p>
          <w:p w14:paraId="4703367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课堂讨论</w:t>
            </w:r>
          </w:p>
          <w:p w14:paraId="614C8F2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项目作业</w:t>
            </w:r>
          </w:p>
        </w:tc>
        <w:tc>
          <w:tcPr>
            <w:tcW w:w="656" w:type="dxa"/>
            <w:vAlign w:val="center"/>
          </w:tcPr>
          <w:p w14:paraId="511BA50D">
            <w:pPr>
              <w:spacing w:line="269" w:lineRule="auto"/>
              <w:jc w:val="center"/>
              <w:rPr>
                <w:rFonts w:hint="eastAsia" w:ascii="宋体" w:hAnsi="宋体" w:eastAsia="宋体" w:cs="Times New Roman"/>
                <w:color w:val="auto"/>
                <w:szCs w:val="21"/>
              </w:rPr>
            </w:pPr>
            <w:r>
              <w:rPr>
                <w:rFonts w:ascii="宋体" w:hAnsi="宋体" w:eastAsia="宋体" w:cs="Times New Roman"/>
                <w:color w:val="auto"/>
                <w:szCs w:val="21"/>
              </w:rPr>
              <w:t>6</w:t>
            </w:r>
          </w:p>
        </w:tc>
      </w:tr>
      <w:tr w14:paraId="3E20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60D9AF0">
            <w:pPr>
              <w:spacing w:line="264" w:lineRule="auto"/>
              <w:jc w:val="center"/>
              <w:rPr>
                <w:rFonts w:hint="eastAsia" w:ascii="宋体" w:hAnsi="宋体" w:eastAsia="宋体" w:cs="Times New Roman"/>
                <w:color w:val="auto"/>
                <w:szCs w:val="21"/>
              </w:rPr>
            </w:pPr>
          </w:p>
        </w:tc>
        <w:tc>
          <w:tcPr>
            <w:tcW w:w="8093" w:type="dxa"/>
            <w:gridSpan w:val="5"/>
            <w:vAlign w:val="center"/>
          </w:tcPr>
          <w:p w14:paraId="62FDCFFD">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ascii="宋体" w:hAnsi="宋体" w:eastAsia="宋体" w:cs="Times New Roman"/>
                <w:color w:val="auto"/>
                <w:szCs w:val="21"/>
              </w:rPr>
              <w:t xml:space="preserve">  正确处理整体和部分的关系，准确把握主要矛盾和次要矛盾；践行社会主义核心价值观，坚持“四个自信”；虚心学习，实事求是，培养和形成朴素、严谨的文风；遵守学术规范，恪守学术诚信；学会创新，善于分析和解决人民群众关心的热点问题。</w:t>
            </w:r>
          </w:p>
        </w:tc>
      </w:tr>
      <w:tr w14:paraId="5F0D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2DD6775">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 xml:space="preserve">. </w:t>
            </w:r>
            <w:r>
              <w:rPr>
                <w:rFonts w:hint="eastAsia" w:ascii="宋体" w:hAnsi="宋体" w:eastAsia="宋体" w:cs="Times New Roman"/>
                <w:color w:val="auto"/>
                <w:szCs w:val="21"/>
              </w:rPr>
              <w:t>教育综述论文的写作</w:t>
            </w:r>
          </w:p>
        </w:tc>
        <w:tc>
          <w:tcPr>
            <w:tcW w:w="1701" w:type="dxa"/>
            <w:vAlign w:val="center"/>
          </w:tcPr>
          <w:p w14:paraId="52D6B5D1">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1）教育综述论文的结构特点</w:t>
            </w:r>
          </w:p>
          <w:p w14:paraId="1209E341">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 xml:space="preserve">2）教育综述论文的语言特点 </w:t>
            </w:r>
          </w:p>
          <w:p w14:paraId="205FDD4D">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3）教育综述论文的撰写要点</w:t>
            </w:r>
          </w:p>
        </w:tc>
        <w:tc>
          <w:tcPr>
            <w:tcW w:w="1134" w:type="dxa"/>
            <w:vAlign w:val="center"/>
          </w:tcPr>
          <w:p w14:paraId="18B99EA7">
            <w:pPr>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r>
              <w:rPr>
                <w:rFonts w:hint="eastAsia" w:ascii="宋体" w:hAnsi="宋体" w:eastAsia="宋体" w:cs="Times New Roman"/>
                <w:color w:val="auto"/>
                <w:szCs w:val="21"/>
                <w:lang w:eastAsia="zh-CN"/>
              </w:rPr>
              <w:t>、</w:t>
            </w:r>
            <w:r>
              <w:rPr>
                <w:rFonts w:ascii="宋体" w:hAnsi="宋体" w:eastAsia="宋体" w:cs="Times New Roman"/>
                <w:color w:val="auto"/>
                <w:szCs w:val="21"/>
              </w:rPr>
              <w:t>4</w:t>
            </w:r>
          </w:p>
        </w:tc>
        <w:tc>
          <w:tcPr>
            <w:tcW w:w="3326" w:type="dxa"/>
            <w:vAlign w:val="center"/>
          </w:tcPr>
          <w:p w14:paraId="240831AE">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1）熟悉教育综述论文的结构特点；</w:t>
            </w:r>
          </w:p>
          <w:p w14:paraId="69669ED9">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2）结合实例，了解教育综述论文的语言特点；</w:t>
            </w:r>
          </w:p>
          <w:p w14:paraId="20E8E558">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3）能够结合自身的学习和研究，撰写符合规范的教育综述小论文。</w:t>
            </w:r>
          </w:p>
        </w:tc>
        <w:tc>
          <w:tcPr>
            <w:tcW w:w="1276" w:type="dxa"/>
            <w:vAlign w:val="center"/>
          </w:tcPr>
          <w:p w14:paraId="21B313C6">
            <w:pPr>
              <w:jc w:val="left"/>
              <w:rPr>
                <w:rFonts w:hint="eastAsia" w:ascii="宋体" w:hAnsi="宋体" w:eastAsia="宋体" w:cs="Times New Roman"/>
                <w:color w:val="auto"/>
                <w:szCs w:val="21"/>
              </w:rPr>
            </w:pPr>
            <w:r>
              <w:rPr>
                <w:rFonts w:hint="eastAsia" w:ascii="宋体" w:hAnsi="宋体" w:eastAsia="宋体" w:cs="Times New Roman"/>
                <w:color w:val="auto"/>
                <w:szCs w:val="21"/>
              </w:rPr>
              <w:t>自主学习</w:t>
            </w:r>
          </w:p>
          <w:p w14:paraId="6E0A4C3F">
            <w:pPr>
              <w:jc w:val="left"/>
              <w:rPr>
                <w:rFonts w:hint="eastAsia" w:ascii="宋体" w:hAnsi="宋体" w:eastAsia="宋体" w:cs="Times New Roman"/>
                <w:color w:val="auto"/>
                <w:szCs w:val="21"/>
              </w:rPr>
            </w:pPr>
            <w:r>
              <w:rPr>
                <w:rFonts w:hint="eastAsia" w:ascii="宋体" w:hAnsi="宋体" w:eastAsia="宋体" w:cs="Times New Roman"/>
                <w:color w:val="auto"/>
                <w:szCs w:val="21"/>
              </w:rPr>
              <w:t>案例教学</w:t>
            </w:r>
          </w:p>
          <w:p w14:paraId="1C1C0B5E">
            <w:pPr>
              <w:jc w:val="left"/>
              <w:rPr>
                <w:rFonts w:hint="eastAsia" w:ascii="宋体" w:hAnsi="宋体" w:eastAsia="宋体" w:cs="Times New Roman"/>
                <w:color w:val="auto"/>
                <w:szCs w:val="21"/>
              </w:rPr>
            </w:pPr>
            <w:r>
              <w:rPr>
                <w:rFonts w:hint="eastAsia" w:ascii="宋体" w:hAnsi="宋体" w:eastAsia="宋体" w:cs="Times New Roman"/>
                <w:color w:val="auto"/>
                <w:szCs w:val="21"/>
              </w:rPr>
              <w:t>课堂讨论</w:t>
            </w:r>
          </w:p>
          <w:p w14:paraId="7AECE000">
            <w:pPr>
              <w:jc w:val="left"/>
              <w:rPr>
                <w:rFonts w:hint="eastAsia" w:ascii="宋体" w:hAnsi="宋体" w:eastAsia="宋体" w:cs="Times New Roman"/>
                <w:color w:val="auto"/>
                <w:szCs w:val="21"/>
              </w:rPr>
            </w:pPr>
            <w:r>
              <w:rPr>
                <w:rFonts w:hint="eastAsia" w:ascii="宋体" w:hAnsi="宋体" w:eastAsia="宋体" w:cs="Times New Roman"/>
                <w:color w:val="auto"/>
                <w:szCs w:val="21"/>
              </w:rPr>
              <w:t>项目作业</w:t>
            </w:r>
          </w:p>
        </w:tc>
        <w:tc>
          <w:tcPr>
            <w:tcW w:w="656" w:type="dxa"/>
            <w:vAlign w:val="center"/>
          </w:tcPr>
          <w:p w14:paraId="6C5A4B72">
            <w:pPr>
              <w:jc w:val="center"/>
              <w:rPr>
                <w:rFonts w:hint="eastAsia" w:ascii="宋体" w:hAnsi="宋体" w:eastAsia="宋体" w:cs="Times New Roman"/>
                <w:color w:val="auto"/>
                <w:szCs w:val="21"/>
              </w:rPr>
            </w:pPr>
            <w:r>
              <w:rPr>
                <w:rFonts w:ascii="宋体" w:hAnsi="宋体" w:eastAsia="宋体" w:cs="Times New Roman"/>
                <w:color w:val="auto"/>
                <w:szCs w:val="21"/>
              </w:rPr>
              <w:t>6</w:t>
            </w:r>
          </w:p>
        </w:tc>
      </w:tr>
      <w:tr w14:paraId="3C27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A71A5CF">
            <w:pPr>
              <w:spacing w:line="264" w:lineRule="auto"/>
              <w:jc w:val="center"/>
              <w:rPr>
                <w:rFonts w:hint="eastAsia" w:ascii="宋体" w:hAnsi="宋体" w:eastAsia="宋体" w:cs="Times New Roman"/>
                <w:color w:val="auto"/>
                <w:szCs w:val="21"/>
              </w:rPr>
            </w:pPr>
          </w:p>
        </w:tc>
        <w:tc>
          <w:tcPr>
            <w:tcW w:w="8093" w:type="dxa"/>
            <w:gridSpan w:val="5"/>
            <w:vAlign w:val="center"/>
          </w:tcPr>
          <w:p w14:paraId="14F2A81B">
            <w:pPr>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对国内外教育研究现状的全面梳理，增强对我国基础教育改革取得伟大成就的自豪感，培养投身基础教育科学研究的责任感和使命感；形成诚信务实、脚踏实地、实事求是的科研素养；遵守学术规范，恪守学术诚信。</w:t>
            </w:r>
          </w:p>
        </w:tc>
      </w:tr>
      <w:tr w14:paraId="0F3F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CECCF00">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r>
              <w:rPr>
                <w:rFonts w:hint="eastAsia"/>
                <w:color w:val="auto"/>
                <w:szCs w:val="21"/>
              </w:rPr>
              <w:t xml:space="preserve"> </w:t>
            </w:r>
            <w:r>
              <w:rPr>
                <w:rFonts w:hint="eastAsia" w:ascii="宋体" w:hAnsi="宋体" w:eastAsia="宋体" w:cs="Times New Roman"/>
                <w:color w:val="auto"/>
                <w:szCs w:val="21"/>
              </w:rPr>
              <w:t>教育经验总结论文的写作</w:t>
            </w:r>
          </w:p>
        </w:tc>
        <w:tc>
          <w:tcPr>
            <w:tcW w:w="1701" w:type="dxa"/>
            <w:vAlign w:val="center"/>
          </w:tcPr>
          <w:p w14:paraId="03CE1FBA">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 xml:space="preserve">1）教育经验总结论文的类别及其结构 </w:t>
            </w:r>
          </w:p>
          <w:p w14:paraId="15A3C53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2）具体经验总结论文的撰写</w:t>
            </w:r>
          </w:p>
          <w:p w14:paraId="46D0992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3）一般经验总结论文的撰写</w:t>
            </w:r>
          </w:p>
          <w:p w14:paraId="4B8F66E5">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4）理论性经验总结论文的撰写</w:t>
            </w:r>
          </w:p>
        </w:tc>
        <w:tc>
          <w:tcPr>
            <w:tcW w:w="1134" w:type="dxa"/>
            <w:vAlign w:val="center"/>
          </w:tcPr>
          <w:p w14:paraId="576B4C36">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r>
              <w:rPr>
                <w:rFonts w:ascii="宋体" w:hAnsi="宋体" w:eastAsia="宋体" w:cs="Times New Roman"/>
                <w:color w:val="auto"/>
                <w:szCs w:val="21"/>
              </w:rPr>
              <w:t>2</w:t>
            </w:r>
            <w:r>
              <w:rPr>
                <w:rFonts w:hint="eastAsia" w:ascii="宋体" w:hAnsi="宋体" w:eastAsia="宋体" w:cs="Times New Roman"/>
                <w:color w:val="auto"/>
                <w:szCs w:val="21"/>
                <w:lang w:eastAsia="zh-CN"/>
              </w:rPr>
              <w:t>、</w:t>
            </w:r>
            <w:r>
              <w:rPr>
                <w:rFonts w:ascii="宋体" w:hAnsi="宋体" w:eastAsia="宋体" w:cs="Times New Roman"/>
                <w:color w:val="auto"/>
                <w:szCs w:val="21"/>
              </w:rPr>
              <w:t>4</w:t>
            </w:r>
          </w:p>
        </w:tc>
        <w:tc>
          <w:tcPr>
            <w:tcW w:w="3326" w:type="dxa"/>
            <w:vAlign w:val="center"/>
          </w:tcPr>
          <w:p w14:paraId="4A57987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1）熟悉教育经验总结类论文的结构特点；</w:t>
            </w:r>
          </w:p>
          <w:p w14:paraId="1D81202B">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2）结合实例，了解教育经验总结类论文的语言特点；</w:t>
            </w:r>
          </w:p>
          <w:p w14:paraId="7DBBCCA9">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3）初步掌握教育经验总结类论文的写作要点；</w:t>
            </w:r>
          </w:p>
          <w:p w14:paraId="28A774B2">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4）能够结合教育实践，撰写符合规范的具体教育经验总结小论文（教学随笔或教学反思）。</w:t>
            </w:r>
          </w:p>
        </w:tc>
        <w:tc>
          <w:tcPr>
            <w:tcW w:w="1276" w:type="dxa"/>
            <w:vAlign w:val="center"/>
          </w:tcPr>
          <w:p w14:paraId="3B348989">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自主学习</w:t>
            </w:r>
          </w:p>
          <w:p w14:paraId="698D2170">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案例教学</w:t>
            </w:r>
          </w:p>
          <w:p w14:paraId="6648A94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课堂讨论</w:t>
            </w:r>
          </w:p>
          <w:p w14:paraId="0C927EE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项目作业</w:t>
            </w:r>
          </w:p>
        </w:tc>
        <w:tc>
          <w:tcPr>
            <w:tcW w:w="656" w:type="dxa"/>
            <w:vAlign w:val="center"/>
          </w:tcPr>
          <w:p w14:paraId="6B1B3EA7">
            <w:pPr>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t>4</w:t>
            </w:r>
          </w:p>
        </w:tc>
      </w:tr>
      <w:tr w14:paraId="7CC1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3DB3B09">
            <w:pPr>
              <w:spacing w:line="276" w:lineRule="auto"/>
              <w:jc w:val="center"/>
              <w:rPr>
                <w:rFonts w:hint="eastAsia" w:ascii="宋体" w:hAnsi="宋体" w:eastAsia="宋体" w:cs="Times New Roman"/>
                <w:color w:val="auto"/>
                <w:szCs w:val="21"/>
              </w:rPr>
            </w:pPr>
          </w:p>
        </w:tc>
        <w:tc>
          <w:tcPr>
            <w:tcW w:w="8093" w:type="dxa"/>
            <w:gridSpan w:val="5"/>
            <w:vAlign w:val="center"/>
          </w:tcPr>
          <w:p w14:paraId="5C748290">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w:t>
            </w:r>
            <w:r>
              <w:rPr>
                <w:rFonts w:ascii="宋体" w:hAnsi="宋体" w:eastAsia="宋体" w:cs="Times New Roman"/>
                <w:color w:val="auto"/>
                <w:szCs w:val="21"/>
              </w:rPr>
              <w:t>理解学校教育工作的价值和意义；把握教育改革和发展的本质规律；尊重科学、尊重事实， 遵循教育规律，培养和形成正确</w:t>
            </w:r>
            <w:r>
              <w:rPr>
                <w:rFonts w:hint="eastAsia" w:ascii="宋体" w:hAnsi="宋体" w:eastAsia="宋体" w:cs="Times New Roman"/>
                <w:color w:val="auto"/>
                <w:szCs w:val="21"/>
              </w:rPr>
              <w:t>科研观</w:t>
            </w:r>
            <w:r>
              <w:rPr>
                <w:rFonts w:ascii="宋体" w:hAnsi="宋体" w:eastAsia="宋体" w:cs="Times New Roman"/>
                <w:color w:val="auto"/>
                <w:szCs w:val="21"/>
              </w:rPr>
              <w:t>；遵守学术规范，恪守学术诚信。</w:t>
            </w:r>
          </w:p>
        </w:tc>
      </w:tr>
      <w:tr w14:paraId="646CC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E2E5CE4">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w:t>
            </w:r>
            <w:r>
              <w:rPr>
                <w:rFonts w:hint="eastAsia"/>
                <w:color w:val="auto"/>
                <w:szCs w:val="21"/>
              </w:rPr>
              <w:t xml:space="preserve"> </w:t>
            </w:r>
            <w:r>
              <w:rPr>
                <w:rFonts w:hint="eastAsia" w:ascii="宋体" w:hAnsi="宋体" w:eastAsia="宋体" w:cs="Times New Roman"/>
                <w:color w:val="auto"/>
                <w:szCs w:val="21"/>
              </w:rPr>
              <w:t>教育调查报告及实验报告的写作</w:t>
            </w:r>
          </w:p>
        </w:tc>
        <w:tc>
          <w:tcPr>
            <w:tcW w:w="1701" w:type="dxa"/>
            <w:vAlign w:val="center"/>
          </w:tcPr>
          <w:p w14:paraId="43AE60C8">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1）教育调查报告的结构特点及写作要求</w:t>
            </w:r>
          </w:p>
          <w:p w14:paraId="13C3BD37">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2）教育实验报告的结构特点与写作要求</w:t>
            </w:r>
          </w:p>
        </w:tc>
        <w:tc>
          <w:tcPr>
            <w:tcW w:w="1134" w:type="dxa"/>
            <w:vAlign w:val="center"/>
          </w:tcPr>
          <w:p w14:paraId="573E9150">
            <w:pPr>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r>
              <w:rPr>
                <w:rFonts w:hint="eastAsia" w:ascii="宋体" w:hAnsi="宋体" w:eastAsia="宋体" w:cs="Times New Roman"/>
                <w:color w:val="auto"/>
                <w:szCs w:val="21"/>
                <w:lang w:eastAsia="zh-CN"/>
              </w:rPr>
              <w:t>、</w:t>
            </w:r>
            <w:r>
              <w:rPr>
                <w:rFonts w:ascii="宋体" w:hAnsi="宋体" w:eastAsia="宋体" w:cs="Times New Roman"/>
                <w:color w:val="auto"/>
                <w:szCs w:val="21"/>
              </w:rPr>
              <w:t>4</w:t>
            </w:r>
          </w:p>
        </w:tc>
        <w:tc>
          <w:tcPr>
            <w:tcW w:w="3326" w:type="dxa"/>
            <w:vAlign w:val="center"/>
          </w:tcPr>
          <w:p w14:paraId="16599BF5">
            <w:pPr>
              <w:jc w:val="left"/>
              <w:rPr>
                <w:rFonts w:hint="eastAsia" w:ascii="宋体" w:hAnsi="宋体" w:eastAsia="宋体" w:cs="Times New Roman"/>
                <w:color w:val="auto"/>
                <w:szCs w:val="21"/>
              </w:rPr>
            </w:pPr>
            <w:r>
              <w:rPr>
                <w:rFonts w:ascii="宋体" w:hAnsi="宋体" w:eastAsia="宋体" w:cs="Times New Roman"/>
                <w:color w:val="auto"/>
                <w:szCs w:val="21"/>
              </w:rPr>
              <w:t xml:space="preserve"> </w:t>
            </w:r>
            <w:r>
              <w:rPr>
                <w:rFonts w:hint="eastAsia" w:ascii="宋体" w:hAnsi="宋体" w:eastAsia="宋体" w:cs="Times New Roman"/>
                <w:color w:val="auto"/>
                <w:szCs w:val="21"/>
              </w:rPr>
              <w:t>（</w:t>
            </w:r>
            <w:r>
              <w:rPr>
                <w:rFonts w:ascii="宋体" w:hAnsi="宋体" w:eastAsia="宋体" w:cs="Times New Roman"/>
                <w:color w:val="auto"/>
                <w:szCs w:val="21"/>
              </w:rPr>
              <w:t>1）结合实例，了解教育调查报告、教育实验报告的结构特点；</w:t>
            </w:r>
          </w:p>
          <w:p w14:paraId="06C0BD14">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 xml:space="preserve">2）能够结合教育实践（开展微型教育调查），撰写符合规范的教育调查报告。 </w:t>
            </w:r>
          </w:p>
          <w:p w14:paraId="2B226F26">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3）能够结合教育实践，提出教育实验课题，列出教育实验报告的框架。</w:t>
            </w:r>
          </w:p>
        </w:tc>
        <w:tc>
          <w:tcPr>
            <w:tcW w:w="1276" w:type="dxa"/>
            <w:vAlign w:val="center"/>
          </w:tcPr>
          <w:p w14:paraId="630ED833">
            <w:pPr>
              <w:jc w:val="left"/>
              <w:rPr>
                <w:rFonts w:hint="eastAsia" w:ascii="宋体" w:hAnsi="宋体" w:eastAsia="宋体" w:cs="Times New Roman"/>
                <w:color w:val="auto"/>
                <w:szCs w:val="21"/>
              </w:rPr>
            </w:pPr>
            <w:r>
              <w:rPr>
                <w:rFonts w:hint="eastAsia" w:ascii="宋体" w:hAnsi="宋体" w:eastAsia="宋体" w:cs="Times New Roman"/>
                <w:color w:val="auto"/>
                <w:szCs w:val="21"/>
              </w:rPr>
              <w:t>自主学习</w:t>
            </w:r>
          </w:p>
          <w:p w14:paraId="4B88FCBC">
            <w:pPr>
              <w:jc w:val="left"/>
              <w:rPr>
                <w:rFonts w:hint="eastAsia" w:ascii="宋体" w:hAnsi="宋体" w:eastAsia="宋体" w:cs="Times New Roman"/>
                <w:color w:val="auto"/>
                <w:szCs w:val="21"/>
              </w:rPr>
            </w:pPr>
            <w:r>
              <w:rPr>
                <w:rFonts w:hint="eastAsia" w:ascii="宋体" w:hAnsi="宋体" w:eastAsia="宋体" w:cs="Times New Roman"/>
                <w:color w:val="auto"/>
                <w:szCs w:val="21"/>
              </w:rPr>
              <w:t>案例教学</w:t>
            </w:r>
          </w:p>
          <w:p w14:paraId="61549AD3">
            <w:pPr>
              <w:jc w:val="left"/>
              <w:rPr>
                <w:rFonts w:hint="eastAsia" w:ascii="宋体" w:hAnsi="宋体" w:eastAsia="宋体" w:cs="Times New Roman"/>
                <w:color w:val="auto"/>
                <w:szCs w:val="21"/>
              </w:rPr>
            </w:pPr>
            <w:r>
              <w:rPr>
                <w:rFonts w:hint="eastAsia" w:ascii="宋体" w:hAnsi="宋体" w:eastAsia="宋体" w:cs="Times New Roman"/>
                <w:color w:val="auto"/>
                <w:szCs w:val="21"/>
              </w:rPr>
              <w:t>课堂讨论</w:t>
            </w:r>
          </w:p>
          <w:p w14:paraId="05C48B64">
            <w:pPr>
              <w:jc w:val="left"/>
              <w:rPr>
                <w:rFonts w:hint="eastAsia" w:ascii="宋体" w:hAnsi="宋体" w:eastAsia="宋体" w:cs="Times New Roman"/>
                <w:color w:val="auto"/>
                <w:szCs w:val="21"/>
              </w:rPr>
            </w:pPr>
            <w:r>
              <w:rPr>
                <w:rFonts w:hint="eastAsia" w:ascii="宋体" w:hAnsi="宋体" w:eastAsia="宋体" w:cs="Times New Roman"/>
                <w:color w:val="auto"/>
                <w:szCs w:val="21"/>
              </w:rPr>
              <w:t>合作学习</w:t>
            </w:r>
          </w:p>
        </w:tc>
        <w:tc>
          <w:tcPr>
            <w:tcW w:w="656" w:type="dxa"/>
            <w:vAlign w:val="center"/>
          </w:tcPr>
          <w:p w14:paraId="60241CAB">
            <w:pPr>
              <w:spacing w:line="276" w:lineRule="auto"/>
              <w:rPr>
                <w:rFonts w:hint="eastAsia" w:ascii="宋体" w:hAnsi="宋体" w:eastAsia="宋体" w:cs="Times New Roman"/>
                <w:color w:val="auto"/>
                <w:szCs w:val="21"/>
              </w:rPr>
            </w:pPr>
            <w:r>
              <w:rPr>
                <w:rFonts w:ascii="宋体" w:hAnsi="宋体" w:eastAsia="宋体" w:cs="Times New Roman"/>
                <w:color w:val="auto"/>
                <w:szCs w:val="21"/>
              </w:rPr>
              <w:t>4</w:t>
            </w:r>
          </w:p>
        </w:tc>
      </w:tr>
      <w:tr w14:paraId="7967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BED4913">
            <w:pPr>
              <w:spacing w:line="276" w:lineRule="auto"/>
              <w:jc w:val="center"/>
              <w:rPr>
                <w:rFonts w:hint="eastAsia" w:ascii="宋体" w:hAnsi="宋体" w:eastAsia="宋体" w:cs="Times New Roman"/>
                <w:color w:val="auto"/>
                <w:szCs w:val="21"/>
              </w:rPr>
            </w:pPr>
          </w:p>
        </w:tc>
        <w:tc>
          <w:tcPr>
            <w:tcW w:w="8093" w:type="dxa"/>
            <w:gridSpan w:val="5"/>
            <w:vAlign w:val="center"/>
          </w:tcPr>
          <w:p w14:paraId="1919448F">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了解基础教育改革与发展的本质规律，准确把握事物的主要矛盾和次要矛盾；培养和形成朴素、严谨的文风。</w:t>
            </w:r>
          </w:p>
        </w:tc>
      </w:tr>
      <w:tr w14:paraId="6ED2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E93525C">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w:t>
            </w:r>
            <w:r>
              <w:rPr>
                <w:rFonts w:ascii="宋体" w:hAnsi="宋体" w:eastAsia="宋体" w:cs="Times New Roman"/>
                <w:color w:val="auto"/>
                <w:szCs w:val="21"/>
              </w:rPr>
              <w:t xml:space="preserve"> </w:t>
            </w:r>
            <w:r>
              <w:rPr>
                <w:rFonts w:hint="eastAsia" w:ascii="宋体" w:hAnsi="宋体" w:eastAsia="宋体" w:cs="Times New Roman"/>
                <w:color w:val="auto"/>
                <w:szCs w:val="21"/>
              </w:rPr>
              <w:t>教育叙事论文的写作</w:t>
            </w:r>
          </w:p>
        </w:tc>
        <w:tc>
          <w:tcPr>
            <w:tcW w:w="1701" w:type="dxa"/>
            <w:vAlign w:val="center"/>
          </w:tcPr>
          <w:p w14:paraId="14CB54FD">
            <w:pPr>
              <w:jc w:val="left"/>
              <w:rPr>
                <w:rFonts w:hint="eastAsia" w:ascii="宋体" w:hAnsi="宋体" w:eastAsia="宋体" w:cs="Times New Roman"/>
                <w:color w:val="auto"/>
                <w:szCs w:val="21"/>
              </w:rPr>
            </w:pPr>
            <w:r>
              <w:rPr>
                <w:rFonts w:hint="eastAsia" w:ascii="宋体" w:hAnsi="宋体" w:eastAsia="宋体" w:cs="Times New Roman"/>
                <w:color w:val="auto"/>
                <w:szCs w:val="21"/>
              </w:rPr>
              <w:t xml:space="preserve"> </w:t>
            </w:r>
            <w:r>
              <w:rPr>
                <w:rFonts w:ascii="宋体" w:hAnsi="宋体" w:eastAsia="宋体" w:cs="Times New Roman"/>
                <w:color w:val="auto"/>
                <w:szCs w:val="21"/>
              </w:rPr>
              <w:t xml:space="preserve"> </w:t>
            </w:r>
            <w:r>
              <w:rPr>
                <w:rFonts w:hint="eastAsia" w:ascii="宋体" w:hAnsi="宋体" w:eastAsia="宋体" w:cs="Times New Roman"/>
                <w:color w:val="auto"/>
                <w:szCs w:val="21"/>
              </w:rPr>
              <w:t>（</w:t>
            </w:r>
            <w:r>
              <w:rPr>
                <w:rFonts w:ascii="宋体" w:hAnsi="宋体" w:eastAsia="宋体" w:cs="Times New Roman"/>
                <w:color w:val="auto"/>
                <w:szCs w:val="21"/>
              </w:rPr>
              <w:t xml:space="preserve">1）教育叙事论文的结构 </w:t>
            </w:r>
          </w:p>
          <w:p w14:paraId="1C16C8E8">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2）教育叙事论文的写作程序与方法</w:t>
            </w:r>
          </w:p>
        </w:tc>
        <w:tc>
          <w:tcPr>
            <w:tcW w:w="1134" w:type="dxa"/>
            <w:vAlign w:val="center"/>
          </w:tcPr>
          <w:p w14:paraId="31263437">
            <w:pPr>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r>
              <w:rPr>
                <w:rFonts w:hint="eastAsia" w:ascii="宋体" w:hAnsi="宋体" w:eastAsia="宋体" w:cs="Times New Roman"/>
                <w:color w:val="auto"/>
                <w:szCs w:val="21"/>
                <w:lang w:eastAsia="zh-CN"/>
              </w:rPr>
              <w:t>、</w:t>
            </w:r>
            <w:r>
              <w:rPr>
                <w:rFonts w:ascii="宋体" w:hAnsi="宋体" w:eastAsia="宋体" w:cs="Times New Roman"/>
                <w:color w:val="auto"/>
                <w:szCs w:val="21"/>
              </w:rPr>
              <w:t xml:space="preserve">4 </w:t>
            </w:r>
          </w:p>
        </w:tc>
        <w:tc>
          <w:tcPr>
            <w:tcW w:w="3326" w:type="dxa"/>
            <w:vAlign w:val="center"/>
          </w:tcPr>
          <w:p w14:paraId="21ADE3D8">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1）结合实例，学会分析教育叙事论文的结构；</w:t>
            </w:r>
          </w:p>
          <w:p w14:paraId="270AA259">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2）掌握教育叙事研究的“深度描写”的基本要求；</w:t>
            </w:r>
          </w:p>
          <w:p w14:paraId="5E02F1BE">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3）能够结合教育实践，尝试撰写教育叙事论文。</w:t>
            </w:r>
          </w:p>
        </w:tc>
        <w:tc>
          <w:tcPr>
            <w:tcW w:w="1276" w:type="dxa"/>
            <w:vAlign w:val="center"/>
          </w:tcPr>
          <w:p w14:paraId="3200F5D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自主学习</w:t>
            </w:r>
          </w:p>
          <w:p w14:paraId="69E32D10">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案例教学</w:t>
            </w:r>
          </w:p>
          <w:p w14:paraId="4B44AC5B">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课堂讨论</w:t>
            </w:r>
          </w:p>
          <w:p w14:paraId="24950E5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合作学习</w:t>
            </w:r>
          </w:p>
        </w:tc>
        <w:tc>
          <w:tcPr>
            <w:tcW w:w="656" w:type="dxa"/>
            <w:vAlign w:val="center"/>
          </w:tcPr>
          <w:p w14:paraId="05537C3E">
            <w:pPr>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t>4</w:t>
            </w:r>
          </w:p>
        </w:tc>
      </w:tr>
      <w:tr w14:paraId="16A7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C5D6216">
            <w:pPr>
              <w:spacing w:line="276" w:lineRule="auto"/>
              <w:jc w:val="center"/>
              <w:rPr>
                <w:rFonts w:hint="eastAsia" w:ascii="宋体" w:hAnsi="宋体" w:eastAsia="宋体" w:cs="Times New Roman"/>
                <w:color w:val="auto"/>
                <w:szCs w:val="21"/>
              </w:rPr>
            </w:pPr>
          </w:p>
        </w:tc>
        <w:tc>
          <w:tcPr>
            <w:tcW w:w="8093" w:type="dxa"/>
            <w:gridSpan w:val="5"/>
            <w:vAlign w:val="center"/>
          </w:tcPr>
          <w:p w14:paraId="7588A827">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培养和形成深厚的教育情怀，走进儿童心灵，关心、关爱儿童；形成脚踏实地、实事求是的学习风气和研究态度。</w:t>
            </w:r>
          </w:p>
        </w:tc>
      </w:tr>
      <w:tr w14:paraId="18C6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DD3B6D0">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7. 教育学位论文的写作</w:t>
            </w:r>
          </w:p>
        </w:tc>
        <w:tc>
          <w:tcPr>
            <w:tcW w:w="1701" w:type="dxa"/>
            <w:vAlign w:val="center"/>
          </w:tcPr>
          <w:p w14:paraId="7E19226D">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1）教育学位论文基本结构</w:t>
            </w:r>
          </w:p>
          <w:p w14:paraId="254A99C6">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2）教育学论文写作的方法与要求</w:t>
            </w:r>
          </w:p>
        </w:tc>
        <w:tc>
          <w:tcPr>
            <w:tcW w:w="1134" w:type="dxa"/>
            <w:vAlign w:val="center"/>
          </w:tcPr>
          <w:p w14:paraId="39FA033E">
            <w:pPr>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3、</w:t>
            </w:r>
            <w:r>
              <w:rPr>
                <w:rFonts w:ascii="宋体" w:hAnsi="宋体" w:eastAsia="宋体" w:cs="Times New Roman"/>
                <w:color w:val="auto"/>
                <w:szCs w:val="21"/>
              </w:rPr>
              <w:t>4</w:t>
            </w:r>
          </w:p>
        </w:tc>
        <w:tc>
          <w:tcPr>
            <w:tcW w:w="3326" w:type="dxa"/>
            <w:vAlign w:val="center"/>
          </w:tcPr>
          <w:p w14:paraId="475B31D9">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1）了解教育学位论文的结构特点；</w:t>
            </w:r>
          </w:p>
          <w:p w14:paraId="109420E2">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 xml:space="preserve">2）掌握教育教学论文写作的方法与要求； </w:t>
            </w:r>
          </w:p>
          <w:p w14:paraId="1DBE49C8">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3）能够根据毕业论文的选题，初步拟定毕业论文的框架。</w:t>
            </w:r>
          </w:p>
        </w:tc>
        <w:tc>
          <w:tcPr>
            <w:tcW w:w="1276" w:type="dxa"/>
            <w:vAlign w:val="center"/>
          </w:tcPr>
          <w:p w14:paraId="282142AB">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自主学习</w:t>
            </w:r>
          </w:p>
          <w:p w14:paraId="1F0758C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案例教学</w:t>
            </w:r>
          </w:p>
          <w:p w14:paraId="77E504FB">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课堂讨论</w:t>
            </w:r>
          </w:p>
          <w:p w14:paraId="27FD10B7">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合作学习</w:t>
            </w:r>
          </w:p>
        </w:tc>
        <w:tc>
          <w:tcPr>
            <w:tcW w:w="656" w:type="dxa"/>
            <w:vAlign w:val="center"/>
          </w:tcPr>
          <w:p w14:paraId="3276F5F4">
            <w:pPr>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t>4</w:t>
            </w:r>
          </w:p>
        </w:tc>
      </w:tr>
      <w:tr w14:paraId="315D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B2AEC7E">
            <w:pPr>
              <w:spacing w:line="276" w:lineRule="auto"/>
              <w:jc w:val="center"/>
              <w:rPr>
                <w:rFonts w:hint="eastAsia" w:ascii="宋体" w:hAnsi="宋体" w:eastAsia="宋体" w:cs="Times New Roman"/>
                <w:color w:val="auto"/>
                <w:szCs w:val="21"/>
              </w:rPr>
            </w:pPr>
          </w:p>
        </w:tc>
        <w:tc>
          <w:tcPr>
            <w:tcW w:w="8093" w:type="dxa"/>
            <w:gridSpan w:val="5"/>
            <w:vAlign w:val="center"/>
          </w:tcPr>
          <w:p w14:paraId="08BF639C">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培养学生学会发现、分析和解决人民关心的教育热点问题的能力；培养创新精神和实践能力。</w:t>
            </w:r>
          </w:p>
        </w:tc>
      </w:tr>
      <w:tr w14:paraId="042F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205" w:type="dxa"/>
            <w:vMerge w:val="restart"/>
            <w:vAlign w:val="center"/>
          </w:tcPr>
          <w:p w14:paraId="5B2AEF56">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8.</w:t>
            </w:r>
            <w:r>
              <w:rPr>
                <w:rFonts w:hint="eastAsia"/>
                <w:color w:val="auto"/>
                <w:szCs w:val="21"/>
              </w:rPr>
              <w:t xml:space="preserve"> </w:t>
            </w:r>
            <w:r>
              <w:rPr>
                <w:rFonts w:hint="eastAsia" w:ascii="宋体" w:hAnsi="宋体" w:eastAsia="宋体" w:cs="Times New Roman"/>
                <w:color w:val="auto"/>
                <w:szCs w:val="21"/>
              </w:rPr>
              <w:t>教育论文的交流与发表</w:t>
            </w:r>
          </w:p>
        </w:tc>
        <w:tc>
          <w:tcPr>
            <w:tcW w:w="1701" w:type="dxa"/>
            <w:vAlign w:val="center"/>
          </w:tcPr>
          <w:p w14:paraId="192C9388">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1）教育论文的修改</w:t>
            </w:r>
          </w:p>
          <w:p w14:paraId="5E24815A">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2）教育论文的交流</w:t>
            </w:r>
          </w:p>
          <w:p w14:paraId="39833555">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2）教育论文的发表</w:t>
            </w:r>
          </w:p>
        </w:tc>
        <w:tc>
          <w:tcPr>
            <w:tcW w:w="1134" w:type="dxa"/>
            <w:vAlign w:val="center"/>
          </w:tcPr>
          <w:p w14:paraId="4046DCF9">
            <w:pPr>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rPr>
              <w:t>课程目标1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2、</w:t>
            </w:r>
          </w:p>
          <w:p w14:paraId="79A1DD56">
            <w:pPr>
              <w:jc w:val="center"/>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ascii="宋体" w:hAnsi="宋体" w:eastAsia="宋体" w:cs="Times New Roman"/>
                <w:color w:val="auto"/>
                <w:szCs w:val="21"/>
              </w:rPr>
              <w:t>4</w:t>
            </w:r>
          </w:p>
        </w:tc>
        <w:tc>
          <w:tcPr>
            <w:tcW w:w="3326" w:type="dxa"/>
            <w:vAlign w:val="center"/>
          </w:tcPr>
          <w:p w14:paraId="51B515D1">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1）掌握教育论文修改的基本方法与要求；</w:t>
            </w:r>
          </w:p>
          <w:p w14:paraId="2B12CA38">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 xml:space="preserve">2）了解教育论文交流与发表的途径； </w:t>
            </w:r>
          </w:p>
          <w:p w14:paraId="0AE49147">
            <w:pPr>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3）了解教育论文投稿的规范。</w:t>
            </w:r>
          </w:p>
        </w:tc>
        <w:tc>
          <w:tcPr>
            <w:tcW w:w="1276" w:type="dxa"/>
            <w:vAlign w:val="center"/>
          </w:tcPr>
          <w:p w14:paraId="7DA5F67A">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自主学习</w:t>
            </w:r>
          </w:p>
          <w:p w14:paraId="62EDB488">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案例教学</w:t>
            </w:r>
          </w:p>
          <w:p w14:paraId="5433BC51">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课堂讨论</w:t>
            </w:r>
          </w:p>
          <w:p w14:paraId="5FCC5361">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合作学习</w:t>
            </w:r>
          </w:p>
        </w:tc>
        <w:tc>
          <w:tcPr>
            <w:tcW w:w="656" w:type="dxa"/>
            <w:vAlign w:val="center"/>
          </w:tcPr>
          <w:p w14:paraId="3CA795EB">
            <w:pPr>
              <w:spacing w:line="264" w:lineRule="auto"/>
              <w:ind w:firstLine="210" w:firstLineChars="100"/>
              <w:rPr>
                <w:rFonts w:hint="eastAsia" w:ascii="宋体" w:hAnsi="宋体" w:eastAsia="宋体" w:cs="Times New Roman"/>
                <w:color w:val="auto"/>
                <w:szCs w:val="21"/>
              </w:rPr>
            </w:pPr>
            <w:r>
              <w:rPr>
                <w:rFonts w:ascii="宋体" w:hAnsi="宋体" w:eastAsia="宋体" w:cs="Times New Roman"/>
                <w:color w:val="auto"/>
                <w:szCs w:val="21"/>
              </w:rPr>
              <w:t>2</w:t>
            </w:r>
          </w:p>
        </w:tc>
      </w:tr>
      <w:tr w14:paraId="516F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205" w:type="dxa"/>
            <w:vMerge w:val="continue"/>
            <w:vAlign w:val="center"/>
          </w:tcPr>
          <w:p w14:paraId="1EB2154E">
            <w:pPr>
              <w:spacing w:line="264" w:lineRule="auto"/>
              <w:jc w:val="center"/>
              <w:rPr>
                <w:rFonts w:hint="eastAsia" w:ascii="宋体" w:hAnsi="宋体" w:eastAsia="宋体" w:cs="Times New Roman"/>
                <w:color w:val="auto"/>
                <w:szCs w:val="21"/>
              </w:rPr>
            </w:pPr>
          </w:p>
        </w:tc>
        <w:tc>
          <w:tcPr>
            <w:tcW w:w="8093" w:type="dxa"/>
            <w:gridSpan w:val="5"/>
            <w:vAlign w:val="center"/>
          </w:tcPr>
          <w:p w14:paraId="30E80E07">
            <w:pPr>
              <w:spacing w:line="264"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培养学生国际视野，增强“四个自信”；遵守学术规范，恪守学术诚信。</w:t>
            </w:r>
          </w:p>
        </w:tc>
      </w:tr>
    </w:tbl>
    <w:p w14:paraId="5B925C9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四、目标评价与成绩评定</w:t>
      </w:r>
    </w:p>
    <w:p w14:paraId="18F766E6">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1136"/>
        <w:gridCol w:w="1157"/>
        <w:gridCol w:w="1211"/>
        <w:gridCol w:w="1328"/>
        <w:gridCol w:w="1297"/>
        <w:gridCol w:w="693"/>
      </w:tblGrid>
      <w:tr w14:paraId="2DCF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95" w:type="dxa"/>
            <w:vMerge w:val="restart"/>
            <w:vAlign w:val="center"/>
          </w:tcPr>
          <w:p w14:paraId="596CD38E">
            <w:pPr>
              <w:spacing w:line="240" w:lineRule="auto"/>
              <w:jc w:val="left"/>
              <w:rPr>
                <w:rFonts w:hint="eastAsia" w:ascii="宋体" w:hAnsi="宋体" w:eastAsia="宋体" w:cs="宋体"/>
                <w:b/>
                <w:bCs/>
                <w:color w:val="auto"/>
                <w:szCs w:val="21"/>
              </w:rPr>
            </w:pPr>
            <w:r>
              <w:rPr>
                <w:rFonts w:hint="eastAsia" w:ascii="宋体" w:hAnsi="宋体" w:eastAsia="宋体" w:cs="宋体"/>
                <w:b/>
                <w:bCs/>
                <w:color w:val="auto"/>
                <w:szCs w:val="21"/>
              </w:rPr>
              <w:t>课程目标</w:t>
            </w:r>
          </w:p>
        </w:tc>
        <w:tc>
          <w:tcPr>
            <w:tcW w:w="6129" w:type="dxa"/>
            <w:gridSpan w:val="5"/>
            <w:vAlign w:val="center"/>
          </w:tcPr>
          <w:p w14:paraId="3EFCD803">
            <w:pPr>
              <w:spacing w:line="24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评价与成绩评定方法</w:t>
            </w:r>
          </w:p>
        </w:tc>
        <w:tc>
          <w:tcPr>
            <w:tcW w:w="693" w:type="dxa"/>
            <w:vMerge w:val="restart"/>
            <w:vAlign w:val="center"/>
          </w:tcPr>
          <w:p w14:paraId="04F7B460">
            <w:pPr>
              <w:spacing w:line="24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分值</w:t>
            </w:r>
          </w:p>
        </w:tc>
      </w:tr>
      <w:tr w14:paraId="2EC2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95" w:type="dxa"/>
            <w:vMerge w:val="continue"/>
            <w:vAlign w:val="center"/>
          </w:tcPr>
          <w:p w14:paraId="098A77E8">
            <w:pPr>
              <w:spacing w:line="240" w:lineRule="auto"/>
              <w:jc w:val="left"/>
              <w:rPr>
                <w:rFonts w:hint="eastAsia" w:ascii="宋体" w:hAnsi="宋体" w:eastAsia="宋体" w:cs="宋体"/>
                <w:b/>
                <w:bCs/>
                <w:color w:val="auto"/>
                <w:szCs w:val="21"/>
              </w:rPr>
            </w:pPr>
          </w:p>
        </w:tc>
        <w:tc>
          <w:tcPr>
            <w:tcW w:w="4832" w:type="dxa"/>
            <w:gridSpan w:val="4"/>
            <w:vAlign w:val="center"/>
          </w:tcPr>
          <w:p w14:paraId="2026C771">
            <w:pPr>
              <w:spacing w:line="24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过程性评价</w:t>
            </w:r>
          </w:p>
        </w:tc>
        <w:tc>
          <w:tcPr>
            <w:tcW w:w="1297" w:type="dxa"/>
            <w:vAlign w:val="center"/>
          </w:tcPr>
          <w:p w14:paraId="0ABDEA75">
            <w:pPr>
              <w:spacing w:line="24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期末考试</w:t>
            </w:r>
          </w:p>
        </w:tc>
        <w:tc>
          <w:tcPr>
            <w:tcW w:w="693" w:type="dxa"/>
            <w:vMerge w:val="continue"/>
            <w:vAlign w:val="center"/>
          </w:tcPr>
          <w:p w14:paraId="32D84B05">
            <w:pPr>
              <w:spacing w:line="240" w:lineRule="auto"/>
              <w:jc w:val="center"/>
              <w:rPr>
                <w:rFonts w:ascii="Times New Roman" w:hAnsi="Times New Roman" w:eastAsia="宋体" w:cs="Times New Roman"/>
                <w:b/>
                <w:bCs/>
                <w:color w:val="auto"/>
                <w:szCs w:val="21"/>
              </w:rPr>
            </w:pPr>
          </w:p>
        </w:tc>
      </w:tr>
      <w:tr w14:paraId="4510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395" w:type="dxa"/>
            <w:vMerge w:val="continue"/>
            <w:vAlign w:val="center"/>
          </w:tcPr>
          <w:p w14:paraId="00807EED">
            <w:pPr>
              <w:spacing w:line="240" w:lineRule="auto"/>
              <w:jc w:val="left"/>
              <w:rPr>
                <w:rFonts w:hint="eastAsia" w:ascii="宋体" w:hAnsi="宋体" w:eastAsia="宋体" w:cs="宋体"/>
                <w:color w:val="auto"/>
                <w:szCs w:val="21"/>
              </w:rPr>
            </w:pPr>
          </w:p>
        </w:tc>
        <w:tc>
          <w:tcPr>
            <w:tcW w:w="1136" w:type="dxa"/>
            <w:vAlign w:val="center"/>
          </w:tcPr>
          <w:p w14:paraId="5C920CC8">
            <w:pPr>
              <w:adjustRightInd w:val="0"/>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课堂表现</w:t>
            </w:r>
          </w:p>
        </w:tc>
        <w:tc>
          <w:tcPr>
            <w:tcW w:w="1157" w:type="dxa"/>
            <w:vAlign w:val="center"/>
          </w:tcPr>
          <w:p w14:paraId="6A0147D2">
            <w:pPr>
              <w:adjustRightInd w:val="0"/>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平时作业</w:t>
            </w:r>
          </w:p>
        </w:tc>
        <w:tc>
          <w:tcPr>
            <w:tcW w:w="1211" w:type="dxa"/>
            <w:vAlign w:val="center"/>
          </w:tcPr>
          <w:p w14:paraId="4E2D2F8F">
            <w:pPr>
              <w:adjustRightInd w:val="0"/>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自主学习</w:t>
            </w:r>
          </w:p>
        </w:tc>
        <w:tc>
          <w:tcPr>
            <w:tcW w:w="1328" w:type="dxa"/>
            <w:vAlign w:val="center"/>
          </w:tcPr>
          <w:p w14:paraId="36866CD9">
            <w:pPr>
              <w:adjustRightInd w:val="0"/>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合作学习</w:t>
            </w:r>
          </w:p>
        </w:tc>
        <w:tc>
          <w:tcPr>
            <w:tcW w:w="1297" w:type="dxa"/>
            <w:vAlign w:val="center"/>
          </w:tcPr>
          <w:p w14:paraId="5E0A89E3">
            <w:pPr>
              <w:adjustRightInd w:val="0"/>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论文撰写</w:t>
            </w:r>
          </w:p>
        </w:tc>
        <w:tc>
          <w:tcPr>
            <w:tcW w:w="693" w:type="dxa"/>
            <w:vMerge w:val="continue"/>
            <w:vAlign w:val="center"/>
          </w:tcPr>
          <w:p w14:paraId="5558A720">
            <w:pPr>
              <w:spacing w:line="240" w:lineRule="auto"/>
              <w:jc w:val="left"/>
              <w:rPr>
                <w:rFonts w:ascii="Times New Roman" w:hAnsi="Times New Roman" w:eastAsia="宋体" w:cs="Times New Roman"/>
                <w:color w:val="auto"/>
                <w:szCs w:val="21"/>
              </w:rPr>
            </w:pPr>
          </w:p>
        </w:tc>
      </w:tr>
      <w:tr w14:paraId="7D00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95" w:type="dxa"/>
            <w:vAlign w:val="center"/>
          </w:tcPr>
          <w:p w14:paraId="1E36738B">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color w:val="auto"/>
                <w:szCs w:val="21"/>
              </w:rPr>
            </w:pPr>
            <w:r>
              <w:rPr>
                <w:rFonts w:hint="eastAsia" w:ascii="宋体" w:hAnsi="宋体" w:eastAsia="宋体" w:cs="宋体"/>
                <w:color w:val="auto"/>
                <w:szCs w:val="21"/>
              </w:rPr>
              <w:t>课程目标1</w:t>
            </w:r>
          </w:p>
        </w:tc>
        <w:tc>
          <w:tcPr>
            <w:tcW w:w="1136" w:type="dxa"/>
            <w:vAlign w:val="center"/>
          </w:tcPr>
          <w:p w14:paraId="29FB5677">
            <w:pPr>
              <w:spacing w:line="240" w:lineRule="auto"/>
              <w:contextualSpacing/>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1157" w:type="dxa"/>
            <w:vAlign w:val="center"/>
          </w:tcPr>
          <w:p w14:paraId="2A30EB33">
            <w:pPr>
              <w:spacing w:line="240" w:lineRule="auto"/>
              <w:ind w:firstLine="210" w:firstLineChars="100"/>
              <w:contextualSpacing/>
              <w:jc w:val="center"/>
              <w:rPr>
                <w:rFonts w:hint="eastAsia" w:ascii="宋体" w:hAnsi="宋体" w:eastAsia="宋体" w:cs="宋体"/>
                <w:color w:val="auto"/>
                <w:szCs w:val="21"/>
              </w:rPr>
            </w:pPr>
          </w:p>
        </w:tc>
        <w:tc>
          <w:tcPr>
            <w:tcW w:w="1211" w:type="dxa"/>
            <w:vAlign w:val="center"/>
          </w:tcPr>
          <w:p w14:paraId="31BBC072">
            <w:pPr>
              <w:spacing w:line="240" w:lineRule="auto"/>
              <w:contextualSpacing/>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1328" w:type="dxa"/>
            <w:vAlign w:val="center"/>
          </w:tcPr>
          <w:p w14:paraId="0AD2A2BE">
            <w:pPr>
              <w:spacing w:line="240" w:lineRule="auto"/>
              <w:contextualSpacing/>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1297" w:type="dxa"/>
            <w:vAlign w:val="center"/>
          </w:tcPr>
          <w:p w14:paraId="4DBA17E2">
            <w:pPr>
              <w:spacing w:line="240" w:lineRule="auto"/>
              <w:contextualSpacing/>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93" w:type="dxa"/>
            <w:vAlign w:val="center"/>
          </w:tcPr>
          <w:p w14:paraId="7733102A">
            <w:pPr>
              <w:spacing w:line="240" w:lineRule="auto"/>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20</w:t>
            </w:r>
          </w:p>
        </w:tc>
      </w:tr>
      <w:tr w14:paraId="7ACB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95" w:type="dxa"/>
            <w:vAlign w:val="center"/>
          </w:tcPr>
          <w:p w14:paraId="088C0B38">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color w:val="auto"/>
                <w:szCs w:val="21"/>
              </w:rPr>
            </w:pPr>
            <w:r>
              <w:rPr>
                <w:rFonts w:hint="eastAsia" w:ascii="宋体" w:hAnsi="宋体" w:eastAsia="宋体" w:cs="宋体"/>
                <w:color w:val="auto"/>
                <w:szCs w:val="21"/>
              </w:rPr>
              <w:t>课程目标2</w:t>
            </w:r>
          </w:p>
        </w:tc>
        <w:tc>
          <w:tcPr>
            <w:tcW w:w="1136" w:type="dxa"/>
            <w:vAlign w:val="center"/>
          </w:tcPr>
          <w:p w14:paraId="7F972ABF">
            <w:pPr>
              <w:spacing w:line="240" w:lineRule="auto"/>
              <w:contextualSpacing/>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1157" w:type="dxa"/>
            <w:vAlign w:val="center"/>
          </w:tcPr>
          <w:p w14:paraId="654FE58F">
            <w:pPr>
              <w:spacing w:line="240" w:lineRule="auto"/>
              <w:contextualSpacing/>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1211" w:type="dxa"/>
            <w:vAlign w:val="center"/>
          </w:tcPr>
          <w:p w14:paraId="452688AC">
            <w:pPr>
              <w:spacing w:line="240" w:lineRule="auto"/>
              <w:contextualSpacing/>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1328" w:type="dxa"/>
            <w:vAlign w:val="center"/>
          </w:tcPr>
          <w:p w14:paraId="725613A3">
            <w:pPr>
              <w:spacing w:line="240" w:lineRule="auto"/>
              <w:contextualSpacing/>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1297" w:type="dxa"/>
            <w:vAlign w:val="center"/>
          </w:tcPr>
          <w:p w14:paraId="6B3C364B">
            <w:pPr>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93" w:type="dxa"/>
            <w:vAlign w:val="center"/>
          </w:tcPr>
          <w:p w14:paraId="7FFBD29A">
            <w:pPr>
              <w:spacing w:line="240" w:lineRule="auto"/>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30</w:t>
            </w:r>
          </w:p>
        </w:tc>
      </w:tr>
      <w:tr w14:paraId="2CC6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5" w:type="dxa"/>
            <w:vAlign w:val="center"/>
          </w:tcPr>
          <w:p w14:paraId="68F2D203">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color w:val="auto"/>
                <w:szCs w:val="21"/>
              </w:rPr>
            </w:pPr>
            <w:r>
              <w:rPr>
                <w:rFonts w:hint="eastAsia" w:ascii="宋体" w:hAnsi="宋体" w:eastAsia="宋体" w:cs="宋体"/>
                <w:color w:val="auto"/>
                <w:szCs w:val="21"/>
              </w:rPr>
              <w:t>课程目标3</w:t>
            </w:r>
          </w:p>
        </w:tc>
        <w:tc>
          <w:tcPr>
            <w:tcW w:w="1136" w:type="dxa"/>
            <w:vAlign w:val="center"/>
          </w:tcPr>
          <w:p w14:paraId="466FAEC2">
            <w:pPr>
              <w:spacing w:line="240" w:lineRule="auto"/>
              <w:contextualSpacing/>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1157" w:type="dxa"/>
            <w:vAlign w:val="center"/>
          </w:tcPr>
          <w:p w14:paraId="45901102">
            <w:pPr>
              <w:spacing w:line="240" w:lineRule="auto"/>
              <w:contextualSpacing/>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1211" w:type="dxa"/>
            <w:vAlign w:val="center"/>
          </w:tcPr>
          <w:p w14:paraId="42E94CF9">
            <w:pPr>
              <w:spacing w:line="240" w:lineRule="auto"/>
              <w:contextualSpacing/>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1328" w:type="dxa"/>
            <w:vAlign w:val="center"/>
          </w:tcPr>
          <w:p w14:paraId="0B3ABEBB">
            <w:pPr>
              <w:spacing w:line="240" w:lineRule="auto"/>
              <w:contextualSpacing/>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1297" w:type="dxa"/>
            <w:vAlign w:val="center"/>
          </w:tcPr>
          <w:p w14:paraId="67B3D057">
            <w:pPr>
              <w:spacing w:line="240" w:lineRule="auto"/>
              <w:contextualSpacing/>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93" w:type="dxa"/>
            <w:vAlign w:val="center"/>
          </w:tcPr>
          <w:p w14:paraId="784C9396">
            <w:pPr>
              <w:spacing w:line="240" w:lineRule="auto"/>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30</w:t>
            </w:r>
          </w:p>
        </w:tc>
      </w:tr>
      <w:tr w14:paraId="29B6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395" w:type="dxa"/>
            <w:vAlign w:val="center"/>
          </w:tcPr>
          <w:p w14:paraId="6323CE8D">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color w:val="auto"/>
                <w:szCs w:val="21"/>
              </w:rPr>
            </w:pPr>
            <w:r>
              <w:rPr>
                <w:rFonts w:hint="eastAsia" w:ascii="宋体" w:hAnsi="宋体" w:eastAsia="宋体" w:cs="宋体"/>
                <w:color w:val="auto"/>
                <w:szCs w:val="21"/>
              </w:rPr>
              <w:t>课程目标4</w:t>
            </w:r>
          </w:p>
        </w:tc>
        <w:tc>
          <w:tcPr>
            <w:tcW w:w="1136" w:type="dxa"/>
            <w:vAlign w:val="center"/>
          </w:tcPr>
          <w:p w14:paraId="6FB7D3AE">
            <w:pPr>
              <w:spacing w:line="240" w:lineRule="auto"/>
              <w:contextualSpacing/>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1157" w:type="dxa"/>
            <w:vAlign w:val="center"/>
          </w:tcPr>
          <w:p w14:paraId="7A40BFF4">
            <w:pPr>
              <w:spacing w:line="240" w:lineRule="auto"/>
              <w:contextualSpacing/>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1211" w:type="dxa"/>
            <w:vAlign w:val="center"/>
          </w:tcPr>
          <w:p w14:paraId="2110FCB0">
            <w:pPr>
              <w:spacing w:line="240" w:lineRule="auto"/>
              <w:contextualSpacing/>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1328" w:type="dxa"/>
            <w:vAlign w:val="center"/>
          </w:tcPr>
          <w:p w14:paraId="23BAA7F5">
            <w:pPr>
              <w:spacing w:line="240" w:lineRule="auto"/>
              <w:contextualSpacing/>
              <w:jc w:val="center"/>
              <w:rPr>
                <w:rFonts w:hint="eastAsia" w:ascii="宋体" w:hAnsi="宋体" w:eastAsia="宋体" w:cs="宋体"/>
                <w:color w:val="auto"/>
                <w:szCs w:val="21"/>
              </w:rPr>
            </w:pPr>
          </w:p>
        </w:tc>
        <w:tc>
          <w:tcPr>
            <w:tcW w:w="1297" w:type="dxa"/>
            <w:vAlign w:val="center"/>
          </w:tcPr>
          <w:p w14:paraId="4ACA2870">
            <w:pPr>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93" w:type="dxa"/>
            <w:vAlign w:val="center"/>
          </w:tcPr>
          <w:p w14:paraId="487E20A3">
            <w:pPr>
              <w:spacing w:line="240" w:lineRule="auto"/>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20</w:t>
            </w:r>
          </w:p>
        </w:tc>
      </w:tr>
      <w:tr w14:paraId="2AE1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5" w:type="dxa"/>
            <w:vAlign w:val="center"/>
          </w:tcPr>
          <w:p w14:paraId="67B4024D">
            <w:pPr>
              <w:spacing w:line="240" w:lineRule="auto"/>
              <w:contextualSpacing/>
              <w:jc w:val="center"/>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合计</w:t>
            </w:r>
          </w:p>
        </w:tc>
        <w:tc>
          <w:tcPr>
            <w:tcW w:w="1136" w:type="dxa"/>
            <w:vAlign w:val="center"/>
          </w:tcPr>
          <w:p w14:paraId="7FC92D78">
            <w:pPr>
              <w:spacing w:line="240" w:lineRule="auto"/>
              <w:contextualSpacing/>
              <w:jc w:val="center"/>
              <w:rPr>
                <w:rFonts w:ascii="Times New Roman" w:hAnsi="Times New Roman" w:eastAsia="宋体" w:cs="Times New Roman"/>
                <w:color w:val="auto"/>
                <w:szCs w:val="21"/>
              </w:rPr>
            </w:pPr>
          </w:p>
        </w:tc>
        <w:tc>
          <w:tcPr>
            <w:tcW w:w="1157" w:type="dxa"/>
            <w:vAlign w:val="center"/>
          </w:tcPr>
          <w:p w14:paraId="63E24B34">
            <w:pPr>
              <w:spacing w:line="240" w:lineRule="auto"/>
              <w:contextualSpacing/>
              <w:jc w:val="center"/>
              <w:rPr>
                <w:rFonts w:ascii="Times New Roman" w:hAnsi="Times New Roman" w:eastAsia="宋体" w:cs="Times New Roman"/>
                <w:color w:val="auto"/>
                <w:szCs w:val="21"/>
              </w:rPr>
            </w:pPr>
          </w:p>
        </w:tc>
        <w:tc>
          <w:tcPr>
            <w:tcW w:w="1211" w:type="dxa"/>
            <w:vAlign w:val="center"/>
          </w:tcPr>
          <w:p w14:paraId="7B6BF868">
            <w:pPr>
              <w:spacing w:line="240" w:lineRule="auto"/>
              <w:contextualSpacing/>
              <w:jc w:val="center"/>
              <w:rPr>
                <w:rFonts w:ascii="Times New Roman" w:hAnsi="Times New Roman" w:eastAsia="宋体" w:cs="Times New Roman"/>
                <w:color w:val="auto"/>
                <w:szCs w:val="21"/>
              </w:rPr>
            </w:pPr>
          </w:p>
        </w:tc>
        <w:tc>
          <w:tcPr>
            <w:tcW w:w="1328" w:type="dxa"/>
            <w:vAlign w:val="center"/>
          </w:tcPr>
          <w:p w14:paraId="7825AAE9">
            <w:pPr>
              <w:spacing w:line="240" w:lineRule="auto"/>
              <w:contextualSpacing/>
              <w:jc w:val="center"/>
              <w:rPr>
                <w:rFonts w:ascii="Times New Roman" w:hAnsi="Times New Roman" w:eastAsia="宋体" w:cs="Times New Roman"/>
                <w:color w:val="auto"/>
                <w:szCs w:val="21"/>
              </w:rPr>
            </w:pPr>
          </w:p>
        </w:tc>
        <w:tc>
          <w:tcPr>
            <w:tcW w:w="1297" w:type="dxa"/>
            <w:vAlign w:val="center"/>
          </w:tcPr>
          <w:p w14:paraId="581A93AB">
            <w:pPr>
              <w:spacing w:line="240" w:lineRule="auto"/>
              <w:contextualSpacing/>
              <w:jc w:val="center"/>
              <w:rPr>
                <w:rFonts w:ascii="Times New Roman" w:hAnsi="Times New Roman" w:eastAsia="宋体" w:cs="Times New Roman"/>
                <w:color w:val="auto"/>
                <w:szCs w:val="21"/>
              </w:rPr>
            </w:pPr>
          </w:p>
        </w:tc>
        <w:tc>
          <w:tcPr>
            <w:tcW w:w="693" w:type="dxa"/>
            <w:vAlign w:val="center"/>
          </w:tcPr>
          <w:p w14:paraId="0E9FFE09">
            <w:pPr>
              <w:spacing w:line="240" w:lineRule="auto"/>
              <w:contextualSpacing/>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79785F13">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6026"/>
        <w:gridCol w:w="1021"/>
      </w:tblGrid>
      <w:tr w14:paraId="7605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312" w:type="dxa"/>
            <w:vAlign w:val="center"/>
          </w:tcPr>
          <w:p w14:paraId="68C54885">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评价方式</w:t>
            </w:r>
          </w:p>
        </w:tc>
        <w:tc>
          <w:tcPr>
            <w:tcW w:w="6026" w:type="dxa"/>
            <w:vAlign w:val="center"/>
          </w:tcPr>
          <w:p w14:paraId="737BFC11">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成绩评定细则</w:t>
            </w:r>
          </w:p>
        </w:tc>
        <w:tc>
          <w:tcPr>
            <w:tcW w:w="1021" w:type="dxa"/>
            <w:vAlign w:val="center"/>
          </w:tcPr>
          <w:p w14:paraId="76820BA3">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占比</w:t>
            </w:r>
          </w:p>
        </w:tc>
      </w:tr>
      <w:tr w14:paraId="34EC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4898DC91">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课堂表现</w:t>
            </w:r>
          </w:p>
        </w:tc>
        <w:tc>
          <w:tcPr>
            <w:tcW w:w="6026" w:type="dxa"/>
          </w:tcPr>
          <w:p w14:paraId="2B5284DD">
            <w:pPr>
              <w:spacing w:line="310" w:lineRule="exact"/>
              <w:jc w:val="lef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按出勤和课堂参与情况进行评分。全勤记</w:t>
            </w:r>
            <w:r>
              <w:rPr>
                <w:rFonts w:ascii="Times New Roman" w:hAnsi="Times New Roman" w:eastAsia="宋体" w:cs="Times New Roman"/>
                <w:color w:val="auto"/>
                <w:sz w:val="21"/>
                <w:szCs w:val="21"/>
              </w:rPr>
              <w:t>5分</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事假1节</w:t>
            </w:r>
            <w:r>
              <w:rPr>
                <w:rFonts w:hint="eastAsia" w:ascii="Times New Roman" w:hAnsi="Times New Roman" w:eastAsia="宋体" w:cs="Times New Roman"/>
                <w:color w:val="auto"/>
                <w:sz w:val="21"/>
                <w:szCs w:val="21"/>
              </w:rPr>
              <w:t>或</w:t>
            </w:r>
            <w:r>
              <w:rPr>
                <w:rFonts w:ascii="Times New Roman" w:hAnsi="Times New Roman" w:eastAsia="宋体" w:cs="Times New Roman"/>
                <w:color w:val="auto"/>
                <w:sz w:val="21"/>
                <w:szCs w:val="21"/>
              </w:rPr>
              <w:t>迟到、早退1次各扣1分</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无故旷课1次扣2分，无故旷课2次扣5分，</w:t>
            </w:r>
            <w:r>
              <w:rPr>
                <w:rFonts w:hint="eastAsia" w:ascii="Times New Roman" w:hAnsi="Times New Roman" w:eastAsia="宋体" w:cs="Times New Roman"/>
                <w:color w:val="auto"/>
                <w:sz w:val="21"/>
                <w:szCs w:val="21"/>
              </w:rPr>
              <w:t>无故</w:t>
            </w:r>
            <w:r>
              <w:rPr>
                <w:rFonts w:ascii="Times New Roman" w:hAnsi="Times New Roman" w:eastAsia="宋体" w:cs="Times New Roman"/>
                <w:color w:val="auto"/>
                <w:sz w:val="21"/>
                <w:szCs w:val="21"/>
              </w:rPr>
              <w:t>旷课3次及以上直接定为不及格。</w:t>
            </w:r>
            <w:r>
              <w:rPr>
                <w:rFonts w:hint="eastAsia" w:ascii="Times New Roman" w:hAnsi="Times New Roman" w:eastAsia="宋体" w:cs="Times New Roman"/>
                <w:color w:val="auto"/>
                <w:sz w:val="21"/>
                <w:szCs w:val="21"/>
              </w:rPr>
              <w:t>课堂参与满分5分。学生在</w:t>
            </w:r>
            <w:r>
              <w:rPr>
                <w:rFonts w:ascii="Times New Roman" w:hAnsi="Times New Roman" w:eastAsia="宋体" w:cs="Times New Roman"/>
                <w:color w:val="auto"/>
                <w:sz w:val="21"/>
                <w:szCs w:val="21"/>
              </w:rPr>
              <w:t>课堂上不做与学习无关的事</w:t>
            </w:r>
            <w:r>
              <w:rPr>
                <w:rFonts w:hint="eastAsia" w:ascii="Times New Roman" w:hAnsi="Times New Roman" w:eastAsia="宋体" w:cs="Times New Roman"/>
                <w:color w:val="auto"/>
                <w:sz w:val="21"/>
                <w:szCs w:val="21"/>
              </w:rPr>
              <w:t>，认真听课，</w:t>
            </w:r>
            <w:r>
              <w:rPr>
                <w:rFonts w:ascii="Times New Roman" w:hAnsi="Times New Roman" w:eastAsia="宋体" w:cs="Times New Roman"/>
                <w:color w:val="auto"/>
                <w:sz w:val="21"/>
                <w:szCs w:val="21"/>
              </w:rPr>
              <w:t>勤于思考，主动回答提问</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积极参加小组</w:t>
            </w:r>
            <w:r>
              <w:rPr>
                <w:rFonts w:hint="eastAsia" w:ascii="Times New Roman" w:hAnsi="Times New Roman" w:eastAsia="宋体" w:cs="Times New Roman"/>
                <w:color w:val="auto"/>
                <w:sz w:val="21"/>
                <w:szCs w:val="21"/>
              </w:rPr>
              <w:t>讨论。根据学生课堂表现酌情给分。</w:t>
            </w:r>
            <w:r>
              <w:rPr>
                <w:rFonts w:ascii="Times New Roman" w:hAnsi="Times New Roman" w:eastAsia="宋体" w:cs="Times New Roman"/>
                <w:color w:val="auto"/>
                <w:sz w:val="21"/>
                <w:szCs w:val="21"/>
              </w:rPr>
              <w:t xml:space="preserve"> </w:t>
            </w:r>
          </w:p>
        </w:tc>
        <w:tc>
          <w:tcPr>
            <w:tcW w:w="1021" w:type="dxa"/>
            <w:vAlign w:val="center"/>
          </w:tcPr>
          <w:p w14:paraId="17BFD220">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rPr>
              <w:t>0%</w:t>
            </w:r>
          </w:p>
        </w:tc>
      </w:tr>
      <w:tr w14:paraId="3331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7F4709EF">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平时作业</w:t>
            </w:r>
          </w:p>
        </w:tc>
        <w:tc>
          <w:tcPr>
            <w:tcW w:w="6026" w:type="dxa"/>
          </w:tcPr>
          <w:p w14:paraId="635521DD">
            <w:pPr>
              <w:spacing w:line="310" w:lineRule="exact"/>
              <w:jc w:val="left"/>
              <w:rPr>
                <w:rFonts w:eastAsia="宋体"/>
                <w:color w:val="auto"/>
                <w:sz w:val="21"/>
                <w:szCs w:val="21"/>
              </w:rPr>
            </w:pPr>
            <w:r>
              <w:rPr>
                <w:rFonts w:hint="eastAsia" w:eastAsia="宋体"/>
                <w:color w:val="auto"/>
                <w:sz w:val="21"/>
                <w:szCs w:val="21"/>
              </w:rPr>
              <w:t xml:space="preserve">在本课程学习中，学生提交的论文初稿、二稿为平时作业。 </w:t>
            </w:r>
          </w:p>
          <w:p w14:paraId="540107DB">
            <w:pPr>
              <w:spacing w:line="310" w:lineRule="exact"/>
              <w:jc w:val="left"/>
              <w:rPr>
                <w:rFonts w:ascii="Times New Roman" w:hAnsi="Times New Roman" w:eastAsia="宋体" w:cs="Times New Roman"/>
                <w:color w:val="auto"/>
                <w:sz w:val="21"/>
                <w:szCs w:val="21"/>
              </w:rPr>
            </w:pPr>
            <w:r>
              <w:rPr>
                <w:rFonts w:hint="eastAsia" w:eastAsia="宋体"/>
                <w:color w:val="auto"/>
                <w:sz w:val="21"/>
                <w:szCs w:val="21"/>
              </w:rPr>
              <w:t>学生需认真完成平时作业，按时提交，无故迟交作业1次扣</w:t>
            </w:r>
            <w:r>
              <w:rPr>
                <w:rFonts w:eastAsia="宋体"/>
                <w:color w:val="auto"/>
                <w:sz w:val="21"/>
                <w:szCs w:val="21"/>
              </w:rPr>
              <w:t>1</w:t>
            </w:r>
            <w:r>
              <w:rPr>
                <w:rFonts w:hint="eastAsia" w:eastAsia="宋体"/>
                <w:color w:val="auto"/>
                <w:sz w:val="21"/>
                <w:szCs w:val="21"/>
              </w:rPr>
              <w:t>分。作业评定标准与各项目评分标准相同。</w:t>
            </w:r>
          </w:p>
        </w:tc>
        <w:tc>
          <w:tcPr>
            <w:tcW w:w="1021" w:type="dxa"/>
            <w:vAlign w:val="center"/>
          </w:tcPr>
          <w:p w14:paraId="46973DF7">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w:t>
            </w:r>
            <w:r>
              <w:rPr>
                <w:rFonts w:hint="eastAsia" w:ascii="Times New Roman" w:hAnsi="Times New Roman" w:eastAsia="宋体" w:cs="Times New Roman"/>
                <w:color w:val="auto"/>
                <w:sz w:val="21"/>
                <w:szCs w:val="21"/>
              </w:rPr>
              <w:t>%</w:t>
            </w:r>
          </w:p>
        </w:tc>
      </w:tr>
      <w:tr w14:paraId="32FB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7B9957EA">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自主学习</w:t>
            </w:r>
          </w:p>
        </w:tc>
        <w:tc>
          <w:tcPr>
            <w:tcW w:w="6026" w:type="dxa"/>
          </w:tcPr>
          <w:p w14:paraId="44CEA012">
            <w:pPr>
              <w:spacing w:line="310" w:lineRule="exact"/>
              <w:jc w:val="lef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每个单元开课前，学生提前一周完成教材预习。</w:t>
            </w:r>
          </w:p>
        </w:tc>
        <w:tc>
          <w:tcPr>
            <w:tcW w:w="1021" w:type="dxa"/>
            <w:vAlign w:val="center"/>
          </w:tcPr>
          <w:p w14:paraId="45DFBA51">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w:t>
            </w:r>
          </w:p>
        </w:tc>
      </w:tr>
      <w:tr w14:paraId="3546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753E71B2">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合作学习</w:t>
            </w:r>
          </w:p>
        </w:tc>
        <w:tc>
          <w:tcPr>
            <w:tcW w:w="6026" w:type="dxa"/>
          </w:tcPr>
          <w:p w14:paraId="779CA735">
            <w:pPr>
              <w:spacing w:line="310" w:lineRule="exact"/>
              <w:jc w:val="lef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合作学习主要体现在课堂小组讨论和课后小组合作完成项目设计之中。课堂小组合作主要以学生互评为主，评价依据为每个学生在小组合作中的参与度与投入度。</w:t>
            </w:r>
          </w:p>
        </w:tc>
        <w:tc>
          <w:tcPr>
            <w:tcW w:w="1021" w:type="dxa"/>
            <w:vAlign w:val="center"/>
          </w:tcPr>
          <w:p w14:paraId="4FC78BAC">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rPr>
              <w:t>0%</w:t>
            </w:r>
          </w:p>
        </w:tc>
      </w:tr>
      <w:tr w14:paraId="09BA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5EC1FE19">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期末考试</w:t>
            </w:r>
          </w:p>
        </w:tc>
        <w:tc>
          <w:tcPr>
            <w:tcW w:w="6026" w:type="dxa"/>
          </w:tcPr>
          <w:p w14:paraId="533DEE5B">
            <w:pPr>
              <w:spacing w:line="330" w:lineRule="exact"/>
              <w:jc w:val="lef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学生需独立完成</w:t>
            </w:r>
            <w:r>
              <w:rPr>
                <w:rFonts w:ascii="Times New Roman" w:hAnsi="Times New Roman" w:eastAsia="宋体" w:cs="Times New Roman"/>
                <w:color w:val="auto"/>
                <w:sz w:val="21"/>
                <w:szCs w:val="21"/>
              </w:rPr>
              <w:t>1篇符合学术规范的教育论文，</w:t>
            </w:r>
            <w:r>
              <w:rPr>
                <w:rFonts w:hint="eastAsia" w:ascii="Times New Roman" w:hAnsi="Times New Roman" w:eastAsia="宋体" w:cs="Times New Roman"/>
                <w:color w:val="auto"/>
                <w:sz w:val="21"/>
                <w:szCs w:val="21"/>
              </w:rPr>
              <w:t>要求：选题合适，层次清晰，结构合理，语句通顺；符合学术规范；</w:t>
            </w:r>
            <w:r>
              <w:rPr>
                <w:rFonts w:ascii="Times New Roman" w:hAnsi="Times New Roman" w:eastAsia="宋体" w:cs="Times New Roman"/>
                <w:color w:val="auto"/>
                <w:sz w:val="21"/>
                <w:szCs w:val="21"/>
              </w:rPr>
              <w:t>字数5000字以上。</w:t>
            </w:r>
          </w:p>
        </w:tc>
        <w:tc>
          <w:tcPr>
            <w:tcW w:w="1021" w:type="dxa"/>
            <w:vAlign w:val="center"/>
          </w:tcPr>
          <w:p w14:paraId="09EDFAC5">
            <w:pPr>
              <w:ind w:firstLine="210" w:firstLineChars="1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w:t>
            </w:r>
            <w:r>
              <w:rPr>
                <w:rFonts w:hint="eastAsia" w:ascii="Times New Roman" w:hAnsi="Times New Roman" w:eastAsia="宋体" w:cs="Times New Roman"/>
                <w:color w:val="auto"/>
                <w:sz w:val="21"/>
                <w:szCs w:val="21"/>
              </w:rPr>
              <w:t xml:space="preserve">0% </w:t>
            </w:r>
          </w:p>
        </w:tc>
      </w:tr>
      <w:tr w14:paraId="7D4C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12" w:type="dxa"/>
          </w:tcPr>
          <w:p w14:paraId="40777FFB">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合计</w:t>
            </w:r>
          </w:p>
        </w:tc>
        <w:tc>
          <w:tcPr>
            <w:tcW w:w="6026" w:type="dxa"/>
          </w:tcPr>
          <w:p w14:paraId="43758F62">
            <w:pPr>
              <w:jc w:val="left"/>
              <w:rPr>
                <w:rFonts w:ascii="Times New Roman" w:hAnsi="Times New Roman" w:eastAsia="宋体" w:cs="Times New Roman"/>
                <w:color w:val="auto"/>
                <w:sz w:val="21"/>
                <w:szCs w:val="21"/>
              </w:rPr>
            </w:pPr>
          </w:p>
        </w:tc>
        <w:tc>
          <w:tcPr>
            <w:tcW w:w="1021" w:type="dxa"/>
            <w:vAlign w:val="center"/>
          </w:tcPr>
          <w:p w14:paraId="100A7C38">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100%</w:t>
            </w:r>
          </w:p>
        </w:tc>
      </w:tr>
    </w:tbl>
    <w:p w14:paraId="6E6B70EC">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2AD8015A">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784AC91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宋体"/>
          <w:b/>
          <w:bCs/>
          <w:color w:val="auto"/>
          <w:sz w:val="22"/>
          <w:szCs w:val="22"/>
        </w:rPr>
      </w:pPr>
      <w:r>
        <w:rPr>
          <w:rFonts w:ascii="宋体" w:hAnsi="宋体" w:eastAsia="宋体" w:cs="Times New Roman"/>
          <w:color w:val="auto"/>
          <w:szCs w:val="21"/>
        </w:rPr>
        <w:object>
          <v:shape id="_x0000_i1055"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55" DrawAspect="Content" ObjectID="_1468075754" r:id="rId41">
            <o:LockedField>false</o:LockedField>
          </o:OLEObject>
        </w:object>
      </w:r>
      <w:r>
        <w:rPr>
          <w:rFonts w:hint="eastAsia" w:ascii="Times New Roman" w:hAnsi="Times New Roman" w:eastAsia="宋体" w:cs="Times New Roman"/>
          <w:b/>
          <w:color w:val="auto"/>
          <w:sz w:val="24"/>
          <w:szCs w:val="24"/>
        </w:rPr>
        <w:t>五、课程实践（课内实践）</w:t>
      </w:r>
    </w:p>
    <w:tbl>
      <w:tblPr>
        <w:tblStyle w:val="15"/>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423"/>
        <w:gridCol w:w="3716"/>
        <w:gridCol w:w="1292"/>
        <w:gridCol w:w="423"/>
        <w:gridCol w:w="851"/>
        <w:gridCol w:w="908"/>
      </w:tblGrid>
      <w:tr w14:paraId="6BE3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77" w:type="dxa"/>
            <w:shd w:val="clear" w:color="auto" w:fill="FFFFFF"/>
            <w:vAlign w:val="center"/>
          </w:tcPr>
          <w:p w14:paraId="681239D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序号</w:t>
            </w:r>
          </w:p>
        </w:tc>
        <w:tc>
          <w:tcPr>
            <w:tcW w:w="1423" w:type="dxa"/>
            <w:shd w:val="clear" w:color="auto" w:fill="FFFFFF"/>
            <w:vAlign w:val="center"/>
          </w:tcPr>
          <w:p w14:paraId="1E420B4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实验（实践）</w:t>
            </w:r>
          </w:p>
          <w:p w14:paraId="66B78DA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项目名称</w:t>
            </w:r>
          </w:p>
        </w:tc>
        <w:tc>
          <w:tcPr>
            <w:tcW w:w="3716" w:type="dxa"/>
            <w:shd w:val="clear" w:color="auto" w:fill="FFFFFF"/>
            <w:vAlign w:val="center"/>
          </w:tcPr>
          <w:p w14:paraId="2AC1A72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实验（实践）项目</w:t>
            </w:r>
          </w:p>
          <w:p w14:paraId="6236E73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内容及要求</w:t>
            </w:r>
          </w:p>
        </w:tc>
        <w:tc>
          <w:tcPr>
            <w:tcW w:w="1292" w:type="dxa"/>
            <w:shd w:val="clear" w:color="auto" w:fill="FFFFFF"/>
            <w:vAlign w:val="center"/>
          </w:tcPr>
          <w:p w14:paraId="6F5258C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对</w:t>
            </w:r>
            <w:r>
              <w:rPr>
                <w:rFonts w:ascii="Times New Roman" w:hAnsi="Times New Roman" w:eastAsia="宋体" w:cs="Times New Roman"/>
                <w:color w:val="auto"/>
                <w:szCs w:val="21"/>
              </w:rPr>
              <w:t>毕业要求</w:t>
            </w:r>
          </w:p>
          <w:p w14:paraId="452535B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的</w:t>
            </w:r>
            <w:r>
              <w:rPr>
                <w:rFonts w:ascii="Times New Roman" w:hAnsi="Times New Roman" w:eastAsia="宋体" w:cs="Times New Roman"/>
                <w:color w:val="auto"/>
                <w:szCs w:val="21"/>
              </w:rPr>
              <w:t>支撑</w:t>
            </w:r>
          </w:p>
        </w:tc>
        <w:tc>
          <w:tcPr>
            <w:tcW w:w="423" w:type="dxa"/>
            <w:shd w:val="clear" w:color="auto" w:fill="FFFFFF"/>
            <w:vAlign w:val="center"/>
          </w:tcPr>
          <w:p w14:paraId="3F8AA2E5">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学时</w:t>
            </w:r>
          </w:p>
        </w:tc>
        <w:tc>
          <w:tcPr>
            <w:tcW w:w="851" w:type="dxa"/>
            <w:shd w:val="clear" w:color="auto" w:fill="FFFFFF"/>
            <w:vAlign w:val="center"/>
          </w:tcPr>
          <w:p w14:paraId="4497F6D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类型</w:t>
            </w:r>
          </w:p>
        </w:tc>
        <w:tc>
          <w:tcPr>
            <w:tcW w:w="908" w:type="dxa"/>
            <w:shd w:val="clear" w:color="auto" w:fill="FFFFFF"/>
            <w:vAlign w:val="center"/>
          </w:tcPr>
          <w:p w14:paraId="14E68E0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备注</w:t>
            </w:r>
          </w:p>
        </w:tc>
      </w:tr>
      <w:tr w14:paraId="5C91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07545E7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1423" w:type="dxa"/>
            <w:vAlign w:val="center"/>
          </w:tcPr>
          <w:p w14:paraId="31CA0F8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学术期刊</w:t>
            </w:r>
          </w:p>
          <w:p w14:paraId="4AB7A19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论文撰写</w:t>
            </w:r>
          </w:p>
        </w:tc>
        <w:tc>
          <w:tcPr>
            <w:tcW w:w="3716" w:type="dxa"/>
            <w:vAlign w:val="center"/>
          </w:tcPr>
          <w:p w14:paraId="01BDF7F8">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内容：根据学术期刊论文写作规范，结合中小学教育实践，撰写1篇学术论文。</w:t>
            </w:r>
          </w:p>
          <w:p w14:paraId="6FDE92B9">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要求：选题合适，层次清晰，结构合理，语句通顺；符合学术规范；字数3000字以上。</w:t>
            </w:r>
          </w:p>
        </w:tc>
        <w:tc>
          <w:tcPr>
            <w:tcW w:w="1292" w:type="dxa"/>
            <w:vAlign w:val="center"/>
          </w:tcPr>
          <w:p w14:paraId="48AFB4C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1-1</w:t>
            </w:r>
          </w:p>
          <w:p w14:paraId="17B7F51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-2</w:t>
            </w:r>
          </w:p>
          <w:p w14:paraId="07432ECF">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4-4</w:t>
            </w:r>
          </w:p>
          <w:p w14:paraId="37676370">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7</w:t>
            </w:r>
            <w:r>
              <w:rPr>
                <w:rFonts w:ascii="Times New Roman" w:hAnsi="Times New Roman" w:eastAsia="宋体" w:cs="Times New Roman"/>
                <w:color w:val="auto"/>
                <w:szCs w:val="21"/>
              </w:rPr>
              <w:t>-1</w:t>
            </w:r>
          </w:p>
          <w:p w14:paraId="145E87EC">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7-3</w:t>
            </w:r>
          </w:p>
        </w:tc>
        <w:tc>
          <w:tcPr>
            <w:tcW w:w="423" w:type="dxa"/>
            <w:vAlign w:val="center"/>
          </w:tcPr>
          <w:p w14:paraId="0991201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p>
        </w:tc>
        <w:tc>
          <w:tcPr>
            <w:tcW w:w="851" w:type="dxa"/>
            <w:vAlign w:val="center"/>
          </w:tcPr>
          <w:p w14:paraId="1F898E9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设计性</w:t>
            </w:r>
          </w:p>
        </w:tc>
        <w:tc>
          <w:tcPr>
            <w:tcW w:w="908" w:type="dxa"/>
            <w:vAlign w:val="center"/>
          </w:tcPr>
          <w:p w14:paraId="7B2F139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1-2</w:t>
            </w:r>
          </w:p>
          <w:p w14:paraId="580F433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二选一</w:t>
            </w:r>
          </w:p>
        </w:tc>
      </w:tr>
      <w:tr w14:paraId="415C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60E4522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2</w:t>
            </w:r>
          </w:p>
        </w:tc>
        <w:tc>
          <w:tcPr>
            <w:tcW w:w="1423" w:type="dxa"/>
            <w:vAlign w:val="center"/>
          </w:tcPr>
          <w:p w14:paraId="0ADA5FE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教育综述</w:t>
            </w:r>
          </w:p>
          <w:p w14:paraId="322FB18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论文写作</w:t>
            </w:r>
          </w:p>
        </w:tc>
        <w:tc>
          <w:tcPr>
            <w:tcW w:w="3716" w:type="dxa"/>
            <w:vAlign w:val="center"/>
          </w:tcPr>
          <w:p w14:paraId="6ABB47D6">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内容：根据教育综述论文写作规范，结合自身的研究和思考，撰写1篇教育综述论文。</w:t>
            </w:r>
          </w:p>
          <w:p w14:paraId="2DBFBFE0">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要求：选题合适，层次清晰，结构合理，语句通顺；符合学术规范；字数1000字以上。</w:t>
            </w:r>
          </w:p>
        </w:tc>
        <w:tc>
          <w:tcPr>
            <w:tcW w:w="1292" w:type="dxa"/>
            <w:vAlign w:val="center"/>
          </w:tcPr>
          <w:p w14:paraId="3030B3C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1-1</w:t>
            </w:r>
          </w:p>
          <w:p w14:paraId="576D334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-2</w:t>
            </w:r>
          </w:p>
          <w:p w14:paraId="13560DA8">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4-4</w:t>
            </w:r>
          </w:p>
          <w:p w14:paraId="6756A319">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7</w:t>
            </w:r>
            <w:r>
              <w:rPr>
                <w:rFonts w:ascii="Times New Roman" w:hAnsi="Times New Roman" w:eastAsia="宋体" w:cs="Times New Roman"/>
                <w:color w:val="auto"/>
                <w:szCs w:val="21"/>
              </w:rPr>
              <w:t>-1</w:t>
            </w:r>
          </w:p>
          <w:p w14:paraId="01BBD159">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7-3 </w:t>
            </w:r>
          </w:p>
        </w:tc>
        <w:tc>
          <w:tcPr>
            <w:tcW w:w="423" w:type="dxa"/>
            <w:vAlign w:val="center"/>
          </w:tcPr>
          <w:p w14:paraId="1D5AFFF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p>
        </w:tc>
        <w:tc>
          <w:tcPr>
            <w:tcW w:w="851" w:type="dxa"/>
            <w:vAlign w:val="center"/>
          </w:tcPr>
          <w:p w14:paraId="4719E51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设计性</w:t>
            </w:r>
          </w:p>
        </w:tc>
        <w:tc>
          <w:tcPr>
            <w:tcW w:w="908" w:type="dxa"/>
            <w:vAlign w:val="center"/>
          </w:tcPr>
          <w:p w14:paraId="4776B61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-2</w:t>
            </w:r>
          </w:p>
          <w:p w14:paraId="303376A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二选一</w:t>
            </w:r>
          </w:p>
        </w:tc>
      </w:tr>
      <w:tr w14:paraId="6546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1CC4877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p>
        </w:tc>
        <w:tc>
          <w:tcPr>
            <w:tcW w:w="1423" w:type="dxa"/>
            <w:vAlign w:val="center"/>
          </w:tcPr>
          <w:p w14:paraId="1DD4768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教育随笔</w:t>
            </w:r>
          </w:p>
          <w:p w14:paraId="3A8E2B9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写作</w:t>
            </w:r>
          </w:p>
        </w:tc>
        <w:tc>
          <w:tcPr>
            <w:tcW w:w="3716" w:type="dxa"/>
            <w:vAlign w:val="center"/>
          </w:tcPr>
          <w:p w14:paraId="7B2AF247">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内容：结合教育实践，撰写1篇符合规范的教学随笔论文。</w:t>
            </w:r>
          </w:p>
          <w:p w14:paraId="399D975D">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要求：题目恰当，层次清晰，结构合理，语句通顺；符合学术规范；字数800字以上。</w:t>
            </w:r>
          </w:p>
        </w:tc>
        <w:tc>
          <w:tcPr>
            <w:tcW w:w="1292" w:type="dxa"/>
            <w:vAlign w:val="center"/>
          </w:tcPr>
          <w:p w14:paraId="6DC4912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1-1</w:t>
            </w:r>
          </w:p>
          <w:p w14:paraId="2901016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-2</w:t>
            </w:r>
          </w:p>
          <w:p w14:paraId="26A06314">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4-4</w:t>
            </w:r>
          </w:p>
          <w:p w14:paraId="7205BDBF">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7</w:t>
            </w:r>
            <w:r>
              <w:rPr>
                <w:rFonts w:ascii="Times New Roman" w:hAnsi="Times New Roman" w:eastAsia="宋体" w:cs="Times New Roman"/>
                <w:color w:val="auto"/>
                <w:szCs w:val="21"/>
              </w:rPr>
              <w:t>-1</w:t>
            </w:r>
          </w:p>
          <w:p w14:paraId="614D2D2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7-3</w:t>
            </w:r>
          </w:p>
        </w:tc>
        <w:tc>
          <w:tcPr>
            <w:tcW w:w="423" w:type="dxa"/>
            <w:vAlign w:val="center"/>
          </w:tcPr>
          <w:p w14:paraId="68CA89E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p>
        </w:tc>
        <w:tc>
          <w:tcPr>
            <w:tcW w:w="851" w:type="dxa"/>
            <w:vAlign w:val="center"/>
          </w:tcPr>
          <w:p w14:paraId="3D1A825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设计性</w:t>
            </w:r>
          </w:p>
        </w:tc>
        <w:tc>
          <w:tcPr>
            <w:tcW w:w="908" w:type="dxa"/>
            <w:vAlign w:val="center"/>
          </w:tcPr>
          <w:p w14:paraId="3D065E3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-5</w:t>
            </w:r>
          </w:p>
          <w:p w14:paraId="3859BA2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三选一</w:t>
            </w:r>
          </w:p>
        </w:tc>
      </w:tr>
      <w:tr w14:paraId="5A8C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vAlign w:val="center"/>
          </w:tcPr>
          <w:p w14:paraId="5288595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p>
        </w:tc>
        <w:tc>
          <w:tcPr>
            <w:tcW w:w="1423" w:type="dxa"/>
            <w:vAlign w:val="center"/>
          </w:tcPr>
          <w:p w14:paraId="04B8D79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教育调查</w:t>
            </w:r>
          </w:p>
          <w:p w14:paraId="53D9411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报告撰写</w:t>
            </w:r>
          </w:p>
        </w:tc>
        <w:tc>
          <w:tcPr>
            <w:tcW w:w="3716" w:type="dxa"/>
            <w:vAlign w:val="center"/>
          </w:tcPr>
          <w:p w14:paraId="50A2F64E">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内容：开展一项微型教育调查，撰写1份符合规范的教育调查报告。</w:t>
            </w:r>
          </w:p>
          <w:p w14:paraId="16CFFE35">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要求：选题合适，层次清晰，结构合理，语句通顺；符合学术规范；字数1500字以上。</w:t>
            </w:r>
          </w:p>
        </w:tc>
        <w:tc>
          <w:tcPr>
            <w:tcW w:w="1292" w:type="dxa"/>
            <w:vAlign w:val="center"/>
          </w:tcPr>
          <w:p w14:paraId="4457F1F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1-1</w:t>
            </w:r>
          </w:p>
          <w:p w14:paraId="7CEBAD0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-2</w:t>
            </w:r>
          </w:p>
          <w:p w14:paraId="785B0817">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4-4</w:t>
            </w:r>
          </w:p>
          <w:p w14:paraId="57524D12">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7</w:t>
            </w:r>
            <w:r>
              <w:rPr>
                <w:rFonts w:ascii="Times New Roman" w:hAnsi="Times New Roman" w:eastAsia="宋体" w:cs="Times New Roman"/>
                <w:color w:val="auto"/>
                <w:szCs w:val="21"/>
              </w:rPr>
              <w:t>-1</w:t>
            </w:r>
          </w:p>
          <w:p w14:paraId="0B6388F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7-3 </w:t>
            </w:r>
          </w:p>
        </w:tc>
        <w:tc>
          <w:tcPr>
            <w:tcW w:w="423" w:type="dxa"/>
            <w:vAlign w:val="center"/>
          </w:tcPr>
          <w:p w14:paraId="048AA5B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p>
        </w:tc>
        <w:tc>
          <w:tcPr>
            <w:tcW w:w="851" w:type="dxa"/>
            <w:vAlign w:val="center"/>
          </w:tcPr>
          <w:p w14:paraId="5603BDC9">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设计性</w:t>
            </w:r>
          </w:p>
        </w:tc>
        <w:tc>
          <w:tcPr>
            <w:tcW w:w="908" w:type="dxa"/>
            <w:vAlign w:val="center"/>
          </w:tcPr>
          <w:p w14:paraId="6894A83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-5</w:t>
            </w:r>
          </w:p>
          <w:p w14:paraId="2A069B9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三选一</w:t>
            </w:r>
          </w:p>
        </w:tc>
      </w:tr>
      <w:tr w14:paraId="2BE1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vAlign w:val="center"/>
          </w:tcPr>
          <w:p w14:paraId="5032E62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5</w:t>
            </w:r>
          </w:p>
        </w:tc>
        <w:tc>
          <w:tcPr>
            <w:tcW w:w="1423" w:type="dxa"/>
            <w:vAlign w:val="center"/>
          </w:tcPr>
          <w:p w14:paraId="3A2F746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教育叙事</w:t>
            </w:r>
          </w:p>
          <w:p w14:paraId="4BB379A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论文撰写</w:t>
            </w:r>
          </w:p>
        </w:tc>
        <w:tc>
          <w:tcPr>
            <w:tcW w:w="3716" w:type="dxa"/>
            <w:vAlign w:val="center"/>
          </w:tcPr>
          <w:p w14:paraId="3F4F94B9">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内容：结合教育实践，撰写1篇教育叙事论文。</w:t>
            </w:r>
          </w:p>
          <w:p w14:paraId="6B0963DB">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要求：选题合适，层次清晰，结构合理，语句通顺；符合学术规范；字数1500字以上。</w:t>
            </w:r>
          </w:p>
        </w:tc>
        <w:tc>
          <w:tcPr>
            <w:tcW w:w="1292" w:type="dxa"/>
            <w:vAlign w:val="center"/>
          </w:tcPr>
          <w:p w14:paraId="6248C2E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1-1</w:t>
            </w:r>
          </w:p>
          <w:p w14:paraId="1C6A7CA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-2</w:t>
            </w:r>
          </w:p>
          <w:p w14:paraId="3C3DC161">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4-4</w:t>
            </w:r>
          </w:p>
          <w:p w14:paraId="2830797C">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7</w:t>
            </w:r>
            <w:r>
              <w:rPr>
                <w:rFonts w:ascii="Times New Roman" w:hAnsi="Times New Roman" w:eastAsia="宋体" w:cs="Times New Roman"/>
                <w:color w:val="auto"/>
                <w:szCs w:val="21"/>
              </w:rPr>
              <w:t>-1</w:t>
            </w:r>
          </w:p>
          <w:p w14:paraId="66B15C5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7-3 </w:t>
            </w:r>
          </w:p>
        </w:tc>
        <w:tc>
          <w:tcPr>
            <w:tcW w:w="423" w:type="dxa"/>
            <w:vAlign w:val="center"/>
          </w:tcPr>
          <w:p w14:paraId="3D2F7A3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p>
        </w:tc>
        <w:tc>
          <w:tcPr>
            <w:tcW w:w="851" w:type="dxa"/>
            <w:vAlign w:val="center"/>
          </w:tcPr>
          <w:p w14:paraId="616FCA2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设计性</w:t>
            </w:r>
          </w:p>
        </w:tc>
        <w:tc>
          <w:tcPr>
            <w:tcW w:w="908" w:type="dxa"/>
            <w:vAlign w:val="center"/>
          </w:tcPr>
          <w:p w14:paraId="18AAE28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-5</w:t>
            </w:r>
          </w:p>
          <w:p w14:paraId="6EC237C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三选一</w:t>
            </w:r>
          </w:p>
        </w:tc>
      </w:tr>
      <w:tr w14:paraId="2341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vAlign w:val="center"/>
          </w:tcPr>
          <w:p w14:paraId="0E0D69E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6</w:t>
            </w:r>
          </w:p>
        </w:tc>
        <w:tc>
          <w:tcPr>
            <w:tcW w:w="1423" w:type="dxa"/>
            <w:vAlign w:val="center"/>
          </w:tcPr>
          <w:p w14:paraId="5A955CE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毕业论文</w:t>
            </w:r>
          </w:p>
          <w:p w14:paraId="33A412A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提纲撰写</w:t>
            </w:r>
          </w:p>
        </w:tc>
        <w:tc>
          <w:tcPr>
            <w:tcW w:w="3716" w:type="dxa"/>
            <w:vAlign w:val="center"/>
          </w:tcPr>
          <w:p w14:paraId="386CDE7F">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内容：结合毕业论文选题，拟定毕业论文提纲。</w:t>
            </w:r>
          </w:p>
          <w:p w14:paraId="43A086B4">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要求：选题合适，层次清晰，结构合理，列出三级提纲。</w:t>
            </w:r>
          </w:p>
        </w:tc>
        <w:tc>
          <w:tcPr>
            <w:tcW w:w="1292" w:type="dxa"/>
            <w:vAlign w:val="center"/>
          </w:tcPr>
          <w:p w14:paraId="005C75B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1-1</w:t>
            </w:r>
          </w:p>
          <w:p w14:paraId="761BDA0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-2</w:t>
            </w:r>
          </w:p>
          <w:p w14:paraId="2587E00A">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4-4</w:t>
            </w:r>
          </w:p>
          <w:p w14:paraId="68AAA8FC">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7</w:t>
            </w:r>
            <w:r>
              <w:rPr>
                <w:rFonts w:ascii="Times New Roman" w:hAnsi="Times New Roman" w:eastAsia="宋体" w:cs="Times New Roman"/>
                <w:color w:val="auto"/>
                <w:szCs w:val="21"/>
              </w:rPr>
              <w:t>-1</w:t>
            </w:r>
          </w:p>
          <w:p w14:paraId="7621C51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7-3 </w:t>
            </w:r>
          </w:p>
        </w:tc>
        <w:tc>
          <w:tcPr>
            <w:tcW w:w="423" w:type="dxa"/>
            <w:vAlign w:val="center"/>
          </w:tcPr>
          <w:p w14:paraId="089281F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p>
        </w:tc>
        <w:tc>
          <w:tcPr>
            <w:tcW w:w="851" w:type="dxa"/>
            <w:vAlign w:val="center"/>
          </w:tcPr>
          <w:p w14:paraId="778F766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设计性</w:t>
            </w:r>
          </w:p>
        </w:tc>
        <w:tc>
          <w:tcPr>
            <w:tcW w:w="908" w:type="dxa"/>
            <w:vAlign w:val="center"/>
          </w:tcPr>
          <w:p w14:paraId="55BF342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必做</w:t>
            </w:r>
          </w:p>
        </w:tc>
      </w:tr>
    </w:tbl>
    <w:p w14:paraId="41D5F79E">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六、有关说明</w:t>
      </w:r>
    </w:p>
    <w:p w14:paraId="488948E8">
      <w:pPr>
        <w:keepNext w:val="0"/>
        <w:keepLines w:val="0"/>
        <w:pageBreakBefore w:val="0"/>
        <w:widowControl w:val="0"/>
        <w:kinsoku/>
        <w:overflowPunct/>
        <w:topLinePunct w:val="0"/>
        <w:bidi w:val="0"/>
        <w:snapToGrid/>
        <w:spacing w:line="312"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（一）持续改进</w:t>
      </w:r>
    </w:p>
    <w:p w14:paraId="55BEC452">
      <w:pPr>
        <w:keepNext w:val="0"/>
        <w:keepLines w:val="0"/>
        <w:pageBreakBefore w:val="0"/>
        <w:widowControl w:val="0"/>
        <w:kinsoku/>
        <w:overflowPunct/>
        <w:topLinePunct w:val="0"/>
        <w:bidi w:val="0"/>
        <w:snapToGrid/>
        <w:spacing w:line="312"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 xml:space="preserve"> 主讲教师利用指导学生教育见习、实习的机会，认真听取优秀毕业生对本课程教学改革的建议；根据基础教育改革与研究的需要，及时优化、调整教学内容。</w:t>
      </w:r>
    </w:p>
    <w:p w14:paraId="127E680A">
      <w:pPr>
        <w:keepNext w:val="0"/>
        <w:keepLines w:val="0"/>
        <w:pageBreakBefore w:val="0"/>
        <w:widowControl w:val="0"/>
        <w:kinsoku/>
        <w:overflowPunct/>
        <w:topLinePunct w:val="0"/>
        <w:bidi w:val="0"/>
        <w:snapToGrid/>
        <w:spacing w:line="312"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 xml:space="preserve"> 开课过程中，通过课程群随时了解学生的学习反馈；开课过程中以及课程结束后一周内分别召开一次学生座谈会；同时，依据每学期学生评教结果，及时了解教学中存在的问题，持续改进教学方式方法。</w:t>
      </w:r>
    </w:p>
    <w:p w14:paraId="166A10D7">
      <w:pPr>
        <w:keepNext w:val="0"/>
        <w:keepLines w:val="0"/>
        <w:pageBreakBefore w:val="0"/>
        <w:widowControl w:val="0"/>
        <w:kinsoku/>
        <w:overflowPunct/>
        <w:topLinePunct w:val="0"/>
        <w:bidi w:val="0"/>
        <w:snapToGrid/>
        <w:spacing w:line="312"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根据学生作业完成情况，及时发现课程评价中存在的问题，不断优化课程评价方式。</w:t>
      </w:r>
    </w:p>
    <w:p w14:paraId="7E14CD56">
      <w:pPr>
        <w:keepNext w:val="0"/>
        <w:keepLines w:val="0"/>
        <w:pageBreakBefore w:val="0"/>
        <w:widowControl w:val="0"/>
        <w:kinsoku/>
        <w:overflowPunct/>
        <w:topLinePunct w:val="0"/>
        <w:bidi w:val="0"/>
        <w:snapToGrid/>
        <w:spacing w:line="312" w:lineRule="auto"/>
        <w:ind w:firstLine="420" w:firstLineChars="200"/>
        <w:jc w:val="left"/>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4. </w:t>
      </w:r>
      <w:r>
        <w:rPr>
          <w:rFonts w:hint="eastAsia" w:ascii="Times New Roman" w:hAnsi="Times New Roman" w:eastAsia="宋体" w:cs="Times New Roman"/>
          <w:color w:val="auto"/>
          <w:szCs w:val="21"/>
        </w:rPr>
        <w:t>虚心听取领导、督导、教师听课评价意见和建议，努力提高教学质量。</w:t>
      </w:r>
    </w:p>
    <w:p w14:paraId="7F165626">
      <w:pPr>
        <w:keepNext w:val="0"/>
        <w:keepLines w:val="0"/>
        <w:pageBreakBefore w:val="0"/>
        <w:widowControl w:val="0"/>
        <w:kinsoku/>
        <w:overflowPunct/>
        <w:topLinePunct w:val="0"/>
        <w:bidi w:val="0"/>
        <w:snapToGrid/>
        <w:spacing w:line="312" w:lineRule="auto"/>
        <w:ind w:firstLine="420" w:firstLineChars="200"/>
        <w:jc w:val="left"/>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5.</w:t>
      </w:r>
      <w:r>
        <w:rPr>
          <w:rFonts w:hint="eastAsia" w:ascii="Times New Roman" w:hAnsi="Times New Roman" w:eastAsia="宋体" w:cs="Times New Roman"/>
          <w:color w:val="auto"/>
          <w:szCs w:val="21"/>
        </w:rPr>
        <w:t xml:space="preserve"> 每一轮开课结束后，课程组召开研讨会，探讨课程教学中的盲点、难点和痛点问题，找准课程改革的切入点和教学质量的增长点，确保课程目标对毕业要求形成有力支撑。</w:t>
      </w:r>
    </w:p>
    <w:p w14:paraId="16F3DE07">
      <w:pPr>
        <w:keepNext w:val="0"/>
        <w:keepLines w:val="0"/>
        <w:pageBreakBefore w:val="0"/>
        <w:widowControl w:val="0"/>
        <w:kinsoku/>
        <w:overflowPunct/>
        <w:topLinePunct w:val="0"/>
        <w:bidi w:val="0"/>
        <w:snapToGrid/>
        <w:spacing w:line="312"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w:t>
      </w:r>
      <w:r>
        <w:rPr>
          <w:rFonts w:ascii="Times New Roman" w:hAnsi="Times New Roman" w:eastAsia="宋体" w:cs="Times New Roman"/>
          <w:b/>
          <w:bCs/>
          <w:color w:val="auto"/>
          <w:szCs w:val="21"/>
        </w:rPr>
        <w:t>参考书目及学习资料</w:t>
      </w:r>
    </w:p>
    <w:p w14:paraId="24996D83">
      <w:pPr>
        <w:keepNext w:val="0"/>
        <w:keepLines w:val="0"/>
        <w:pageBreakBefore w:val="0"/>
        <w:widowControl w:val="0"/>
        <w:kinsoku/>
        <w:overflowPunct/>
        <w:topLinePunct w:val="0"/>
        <w:autoSpaceDE w:val="0"/>
        <w:autoSpaceDN w:val="0"/>
        <w:bidi w:val="0"/>
        <w:adjustRightInd w:val="0"/>
        <w:snapToGrid/>
        <w:spacing w:line="312" w:lineRule="auto"/>
        <w:ind w:firstLine="420" w:firstLineChars="200"/>
        <w:jc w:val="left"/>
        <w:textAlignment w:val="auto"/>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r>
        <w:rPr>
          <w:rFonts w:ascii="Times New Roman" w:hAnsi="Times New Roman" w:eastAsia="宋体" w:cs="Times New Roman"/>
          <w:color w:val="auto"/>
          <w:kern w:val="0"/>
          <w:szCs w:val="21"/>
        </w:rPr>
        <w:t>兰国帅</w:t>
      </w:r>
      <w:r>
        <w:rPr>
          <w:rFonts w:hint="eastAsia" w:ascii="Times New Roman" w:hAnsi="Times New Roman" w:eastAsia="宋体" w:cs="Times New Roman"/>
          <w:color w:val="auto"/>
          <w:kern w:val="0"/>
          <w:szCs w:val="21"/>
        </w:rPr>
        <w:t>：教育学学术论文写作，</w:t>
      </w:r>
      <w:r>
        <w:rPr>
          <w:rFonts w:ascii="Times New Roman" w:hAnsi="Times New Roman" w:eastAsia="宋体" w:cs="Times New Roman"/>
          <w:color w:val="auto"/>
          <w:kern w:val="0"/>
          <w:szCs w:val="21"/>
        </w:rPr>
        <w:t>科学出版社</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2024年</w:t>
      </w:r>
      <w:r>
        <w:rPr>
          <w:rFonts w:hint="eastAsia" w:ascii="Times New Roman" w:hAnsi="Times New Roman" w:eastAsia="宋体" w:cs="Times New Roman"/>
          <w:color w:val="auto"/>
          <w:kern w:val="0"/>
          <w:szCs w:val="21"/>
        </w:rPr>
        <w:t>版。</w:t>
      </w:r>
    </w:p>
    <w:p w14:paraId="2D0B128F">
      <w:pPr>
        <w:keepNext w:val="0"/>
        <w:keepLines w:val="0"/>
        <w:pageBreakBefore w:val="0"/>
        <w:widowControl w:val="0"/>
        <w:kinsoku/>
        <w:overflowPunct/>
        <w:topLinePunct w:val="0"/>
        <w:autoSpaceDE w:val="0"/>
        <w:autoSpaceDN w:val="0"/>
        <w:bidi w:val="0"/>
        <w:adjustRightInd w:val="0"/>
        <w:snapToGrid/>
        <w:spacing w:line="312" w:lineRule="auto"/>
        <w:ind w:firstLine="420" w:firstLineChars="200"/>
        <w:jc w:val="left"/>
        <w:textAlignment w:val="auto"/>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w:t>
      </w:r>
      <w:r>
        <w:rPr>
          <w:rFonts w:ascii="Times New Roman" w:hAnsi="Times New Roman" w:eastAsia="宋体" w:cs="Times New Roman"/>
          <w:color w:val="auto"/>
          <w:kern w:val="0"/>
          <w:szCs w:val="21"/>
        </w:rPr>
        <w:t>. 徐有富</w:t>
      </w:r>
      <w:r>
        <w:rPr>
          <w:rFonts w:hint="eastAsia" w:ascii="Times New Roman" w:hAnsi="Times New Roman" w:eastAsia="宋体" w:cs="Times New Roman"/>
          <w:color w:val="auto"/>
          <w:kern w:val="0"/>
          <w:szCs w:val="21"/>
        </w:rPr>
        <w:t>：学术论文写作1</w:t>
      </w:r>
      <w:r>
        <w:rPr>
          <w:rFonts w:ascii="Times New Roman" w:hAnsi="Times New Roman" w:eastAsia="宋体" w:cs="Times New Roman"/>
          <w:color w:val="auto"/>
          <w:kern w:val="0"/>
          <w:szCs w:val="21"/>
        </w:rPr>
        <w:t>0</w:t>
      </w:r>
      <w:r>
        <w:rPr>
          <w:rFonts w:hint="eastAsia" w:ascii="Times New Roman" w:hAnsi="Times New Roman" w:eastAsia="宋体" w:cs="Times New Roman"/>
          <w:color w:val="auto"/>
          <w:kern w:val="0"/>
          <w:szCs w:val="21"/>
        </w:rPr>
        <w:t>讲，</w:t>
      </w:r>
      <w:r>
        <w:rPr>
          <w:rFonts w:ascii="Times New Roman" w:hAnsi="Times New Roman" w:eastAsia="宋体" w:cs="Times New Roman"/>
          <w:color w:val="auto"/>
          <w:kern w:val="0"/>
          <w:szCs w:val="21"/>
        </w:rPr>
        <w:t>北京大学出版社</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2019年</w:t>
      </w:r>
      <w:r>
        <w:rPr>
          <w:rFonts w:hint="eastAsia" w:ascii="Times New Roman" w:hAnsi="Times New Roman" w:eastAsia="宋体" w:cs="Times New Roman"/>
          <w:color w:val="auto"/>
          <w:kern w:val="0"/>
          <w:szCs w:val="21"/>
        </w:rPr>
        <w:t>版。</w:t>
      </w:r>
    </w:p>
    <w:p w14:paraId="1CD3B4DE">
      <w:pPr>
        <w:keepNext w:val="0"/>
        <w:keepLines w:val="0"/>
        <w:pageBreakBefore w:val="0"/>
        <w:widowControl w:val="0"/>
        <w:kinsoku/>
        <w:overflowPunct/>
        <w:topLinePunct w:val="0"/>
        <w:autoSpaceDE w:val="0"/>
        <w:autoSpaceDN w:val="0"/>
        <w:bidi w:val="0"/>
        <w:adjustRightInd w:val="0"/>
        <w:snapToGrid/>
        <w:spacing w:line="312" w:lineRule="auto"/>
        <w:ind w:firstLine="420" w:firstLineChars="200"/>
        <w:jc w:val="left"/>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3. </w:t>
      </w:r>
      <w:r>
        <w:rPr>
          <w:rFonts w:hint="eastAsia" w:ascii="Times New Roman" w:hAnsi="Times New Roman" w:eastAsia="宋体" w:cs="Times New Roman"/>
          <w:color w:val="auto"/>
          <w:kern w:val="0"/>
          <w:szCs w:val="21"/>
        </w:rPr>
        <w:t>李德方：怎样写文章——学术论文写作项目化教程，苏州大学出版社，2</w:t>
      </w:r>
      <w:r>
        <w:rPr>
          <w:rFonts w:ascii="Times New Roman" w:hAnsi="Times New Roman" w:eastAsia="宋体" w:cs="Times New Roman"/>
          <w:color w:val="auto"/>
          <w:kern w:val="0"/>
          <w:szCs w:val="21"/>
        </w:rPr>
        <w:t>020</w:t>
      </w:r>
      <w:r>
        <w:rPr>
          <w:rFonts w:hint="eastAsia" w:ascii="Times New Roman" w:hAnsi="Times New Roman" w:eastAsia="宋体" w:cs="Times New Roman"/>
          <w:color w:val="auto"/>
          <w:kern w:val="0"/>
          <w:szCs w:val="21"/>
        </w:rPr>
        <w:t>年版。</w:t>
      </w:r>
    </w:p>
    <w:p w14:paraId="00CE75FB">
      <w:pPr>
        <w:keepNext w:val="0"/>
        <w:keepLines w:val="0"/>
        <w:pageBreakBefore w:val="0"/>
        <w:widowControl w:val="0"/>
        <w:kinsoku/>
        <w:overflowPunct/>
        <w:topLinePunct w:val="0"/>
        <w:autoSpaceDE w:val="0"/>
        <w:autoSpaceDN w:val="0"/>
        <w:bidi w:val="0"/>
        <w:adjustRightInd w:val="0"/>
        <w:snapToGrid/>
        <w:spacing w:line="312" w:lineRule="auto"/>
        <w:ind w:firstLine="420" w:firstLineChars="200"/>
        <w:jc w:val="left"/>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4. 吴杨</w:t>
      </w:r>
      <w:r>
        <w:rPr>
          <w:rFonts w:hint="eastAsia" w:ascii="Times New Roman" w:hAnsi="Times New Roman" w:eastAsia="宋体" w:cs="Times New Roman"/>
          <w:color w:val="auto"/>
          <w:kern w:val="0"/>
          <w:szCs w:val="21"/>
        </w:rPr>
        <w:t>：社科类学术论文写作指南，</w:t>
      </w:r>
      <w:r>
        <w:rPr>
          <w:rFonts w:ascii="Times New Roman" w:hAnsi="Times New Roman" w:eastAsia="宋体" w:cs="Times New Roman"/>
          <w:color w:val="auto"/>
          <w:kern w:val="0"/>
          <w:szCs w:val="21"/>
        </w:rPr>
        <w:t>人民出版社</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2021年</w:t>
      </w:r>
      <w:r>
        <w:rPr>
          <w:rFonts w:hint="eastAsia" w:ascii="Times New Roman" w:hAnsi="Times New Roman" w:eastAsia="宋体" w:cs="Times New Roman"/>
          <w:color w:val="auto"/>
          <w:kern w:val="0"/>
          <w:szCs w:val="21"/>
        </w:rPr>
        <w:t>版。</w:t>
      </w:r>
    </w:p>
    <w:p w14:paraId="0B90BCAF">
      <w:pPr>
        <w:keepNext w:val="0"/>
        <w:keepLines w:val="0"/>
        <w:pageBreakBefore w:val="0"/>
        <w:widowControl w:val="0"/>
        <w:kinsoku/>
        <w:overflowPunct/>
        <w:topLinePunct w:val="0"/>
        <w:autoSpaceDE w:val="0"/>
        <w:autoSpaceDN w:val="0"/>
        <w:bidi w:val="0"/>
        <w:adjustRightInd w:val="0"/>
        <w:snapToGrid/>
        <w:spacing w:line="312" w:lineRule="auto"/>
        <w:ind w:firstLine="420" w:firstLineChars="200"/>
        <w:jc w:val="left"/>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5. </w:t>
      </w:r>
      <w:r>
        <w:rPr>
          <w:rFonts w:hint="eastAsia" w:ascii="Times New Roman" w:hAnsi="Times New Roman" w:eastAsia="宋体" w:cs="Times New Roman"/>
          <w:color w:val="auto"/>
          <w:kern w:val="0"/>
          <w:szCs w:val="21"/>
        </w:rPr>
        <w:t>王雨磊等：学术论文写作与发表指引，中国人民大学出版社，2017年版。</w:t>
      </w:r>
    </w:p>
    <w:p w14:paraId="4AA33647">
      <w:pPr>
        <w:keepNext w:val="0"/>
        <w:keepLines w:val="0"/>
        <w:pageBreakBefore w:val="0"/>
        <w:widowControl w:val="0"/>
        <w:kinsoku/>
        <w:overflowPunct/>
        <w:topLinePunct w:val="0"/>
        <w:autoSpaceDE w:val="0"/>
        <w:autoSpaceDN w:val="0"/>
        <w:bidi w:val="0"/>
        <w:adjustRightInd w:val="0"/>
        <w:snapToGrid/>
        <w:spacing w:line="312" w:lineRule="auto"/>
        <w:ind w:firstLine="420" w:firstLineChars="200"/>
        <w:jc w:val="left"/>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6</w:t>
      </w:r>
      <w:r>
        <w:rPr>
          <w:rFonts w:hint="eastAsia" w:ascii="Times New Roman" w:hAnsi="Times New Roman" w:eastAsia="宋体" w:cs="Times New Roman"/>
          <w:color w:val="auto"/>
          <w:kern w:val="0"/>
          <w:szCs w:val="21"/>
        </w:rPr>
        <w:t>. 周新年：科学研究方法与学术论文写作（第二版），科学出版社，2019年版。</w:t>
      </w:r>
    </w:p>
    <w:p w14:paraId="726629AE">
      <w:pPr>
        <w:keepNext w:val="0"/>
        <w:keepLines w:val="0"/>
        <w:pageBreakBefore w:val="0"/>
        <w:widowControl w:val="0"/>
        <w:kinsoku/>
        <w:overflowPunct/>
        <w:topLinePunct w:val="0"/>
        <w:autoSpaceDE w:val="0"/>
        <w:autoSpaceDN w:val="0"/>
        <w:bidi w:val="0"/>
        <w:adjustRightInd w:val="0"/>
        <w:snapToGrid/>
        <w:spacing w:line="312" w:lineRule="auto"/>
        <w:ind w:firstLine="420" w:firstLineChars="200"/>
        <w:jc w:val="left"/>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7</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 xml:space="preserve"> </w:t>
      </w:r>
      <w:r>
        <w:rPr>
          <w:rFonts w:hint="eastAsia" w:ascii="Times New Roman" w:hAnsi="Times New Roman" w:eastAsia="宋体" w:cs="Times New Roman"/>
          <w:color w:val="auto"/>
          <w:kern w:val="0"/>
          <w:szCs w:val="21"/>
        </w:rPr>
        <w:t>王细荣等：文献信息检索与论文写作（第六版），上海交通大学出版社，2017年版。</w:t>
      </w:r>
    </w:p>
    <w:p w14:paraId="5459DF50">
      <w:pPr>
        <w:keepNext w:val="0"/>
        <w:keepLines w:val="0"/>
        <w:pageBreakBefore w:val="0"/>
        <w:widowControl w:val="0"/>
        <w:kinsoku/>
        <w:overflowPunct/>
        <w:topLinePunct w:val="0"/>
        <w:autoSpaceDE w:val="0"/>
        <w:autoSpaceDN w:val="0"/>
        <w:bidi w:val="0"/>
        <w:adjustRightInd w:val="0"/>
        <w:snapToGrid/>
        <w:spacing w:line="312" w:lineRule="auto"/>
        <w:ind w:firstLine="420" w:firstLineChars="200"/>
        <w:jc w:val="left"/>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8</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 xml:space="preserve"> </w:t>
      </w:r>
      <w:r>
        <w:rPr>
          <w:rFonts w:hint="eastAsia" w:ascii="Times New Roman" w:hAnsi="Times New Roman" w:eastAsia="宋体" w:cs="Times New Roman"/>
          <w:color w:val="auto"/>
          <w:kern w:val="0"/>
          <w:szCs w:val="21"/>
        </w:rPr>
        <w:t>李兴仁、王荣党：毕业论文写作指导，科学出版社，2018年版。</w:t>
      </w:r>
    </w:p>
    <w:p w14:paraId="17D048BB">
      <w:pPr>
        <w:keepNext w:val="0"/>
        <w:keepLines w:val="0"/>
        <w:pageBreakBefore w:val="0"/>
        <w:widowControl w:val="0"/>
        <w:kinsoku/>
        <w:overflowPunct/>
        <w:topLinePunct w:val="0"/>
        <w:autoSpaceDE/>
        <w:autoSpaceDN/>
        <w:bidi w:val="0"/>
        <w:adjustRightInd/>
        <w:snapToGrid/>
        <w:spacing w:line="312" w:lineRule="auto"/>
        <w:ind w:right="0"/>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执 笔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潘金林</w:t>
      </w:r>
    </w:p>
    <w:p w14:paraId="2C82F1BF">
      <w:pPr>
        <w:keepNext w:val="0"/>
        <w:keepLines w:val="0"/>
        <w:pageBreakBefore w:val="0"/>
        <w:widowControl w:val="0"/>
        <w:kinsoku/>
        <w:wordWrap w:val="0"/>
        <w:overflowPunct/>
        <w:topLinePunct w:val="0"/>
        <w:autoSpaceDE/>
        <w:autoSpaceDN/>
        <w:bidi w:val="0"/>
        <w:adjustRightInd/>
        <w:snapToGrid/>
        <w:spacing w:line="312" w:lineRule="auto"/>
        <w:ind w:right="0"/>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定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 xml:space="preserve">王 </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健</w:t>
      </w:r>
    </w:p>
    <w:p w14:paraId="3680EEA0">
      <w:pPr>
        <w:keepNext w:val="0"/>
        <w:keepLines w:val="0"/>
        <w:pageBreakBefore w:val="0"/>
        <w:widowControl w:val="0"/>
        <w:kinsoku/>
        <w:overflowPunct/>
        <w:topLinePunct w:val="0"/>
        <w:autoSpaceDE/>
        <w:autoSpaceDN/>
        <w:bidi w:val="0"/>
        <w:adjustRightInd/>
        <w:snapToGrid/>
        <w:spacing w:line="312" w:lineRule="auto"/>
        <w:ind w:right="0"/>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批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张志欣</w:t>
      </w:r>
    </w:p>
    <w:p w14:paraId="0B4F397C">
      <w:pPr>
        <w:keepNext w:val="0"/>
        <w:keepLines w:val="0"/>
        <w:pageBreakBefore w:val="0"/>
        <w:widowControl w:val="0"/>
        <w:kinsoku/>
        <w:overflowPunct/>
        <w:topLinePunct w:val="0"/>
        <w:autoSpaceDE/>
        <w:autoSpaceDN/>
        <w:bidi w:val="0"/>
        <w:adjustRightInd/>
        <w:snapToGrid/>
        <w:spacing w:line="312" w:lineRule="auto"/>
        <w:ind w:right="0"/>
        <w:jc w:val="right"/>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批准时间：2025年7月1日</w:t>
      </w:r>
    </w:p>
    <w:p w14:paraId="7E76FADC">
      <w:pPr>
        <w:rPr>
          <w:rFonts w:ascii="Times New Roman" w:hAnsi="Times New Roman" w:eastAsia="宋体" w:cs="Times New Roman"/>
          <w:color w:val="auto"/>
          <w:sz w:val="24"/>
        </w:rPr>
      </w:pPr>
      <w:r>
        <w:rPr>
          <w:rFonts w:hint="eastAsia" w:ascii="Times New Roman" w:hAnsi="Times New Roman" w:eastAsia="宋体" w:cs="Times New Roman"/>
          <w:color w:val="auto"/>
          <w:sz w:val="24"/>
        </w:rPr>
        <w:br w:type="page"/>
      </w:r>
    </w:p>
    <w:p w14:paraId="3582B8E4">
      <w:pPr>
        <w:spacing w:line="360" w:lineRule="auto"/>
        <w:jc w:val="center"/>
        <w:outlineLvl w:val="0"/>
        <w:rPr>
          <w:color w:val="auto"/>
        </w:rPr>
      </w:pPr>
      <w:bookmarkStart w:id="353" w:name="_Toc21421"/>
      <w:bookmarkStart w:id="354" w:name="_Toc31534"/>
      <w:bookmarkStart w:id="355" w:name="_Toc8906"/>
      <w:r>
        <w:rPr>
          <w:rFonts w:hint="eastAsia" w:ascii="Times New Roman" w:hAnsi="Times New Roman" w:eastAsia="宋体" w:cs="Times New Roman"/>
          <w:b/>
          <w:color w:val="auto"/>
          <w:sz w:val="44"/>
          <w:szCs w:val="44"/>
        </w:rPr>
        <w:t>《数学分析I》课程教学大纲</w:t>
      </w:r>
      <w:bookmarkEnd w:id="353"/>
      <w:bookmarkEnd w:id="354"/>
    </w:p>
    <w:p w14:paraId="72FBDD1D">
      <w:pPr>
        <w:spacing w:line="312" w:lineRule="auto"/>
        <w:jc w:val="center"/>
        <w:rPr>
          <w:rFonts w:ascii="Times New Roman" w:hAnsi="Times New Roman" w:eastAsia="宋体" w:cs="Times New Roman"/>
          <w:b/>
          <w:bCs/>
          <w:color w:val="auto"/>
          <w:sz w:val="30"/>
        </w:rPr>
      </w:pPr>
      <w:r>
        <w:rPr>
          <w:rFonts w:ascii="Times New Roman" w:hAnsi="Times New Roman" w:eastAsia="宋体" w:cs="Times New Roman"/>
          <w:b/>
          <w:bCs/>
          <w:color w:val="auto"/>
          <w:sz w:val="30"/>
        </w:rPr>
        <w:t xml:space="preserve">（Mathematical Analysis </w:t>
      </w:r>
      <w:r>
        <w:rPr>
          <w:rFonts w:ascii="Times New Roman" w:hAnsi="Times New Roman" w:eastAsia="宋体" w:cs="Times New Roman"/>
          <w:b/>
          <w:bCs/>
          <w:color w:val="auto"/>
          <w:sz w:val="30"/>
        </w:rPr>
        <w:fldChar w:fldCharType="begin"/>
      </w:r>
      <w:r>
        <w:rPr>
          <w:rFonts w:ascii="Times New Roman" w:hAnsi="Times New Roman" w:eastAsia="宋体" w:cs="Times New Roman"/>
          <w:b/>
          <w:bCs/>
          <w:color w:val="auto"/>
          <w:sz w:val="30"/>
        </w:rPr>
        <w:instrText xml:space="preserve"> = 1 \* ROMAN \* MERGEFORMAT </w:instrText>
      </w:r>
      <w:r>
        <w:rPr>
          <w:rFonts w:ascii="Times New Roman" w:hAnsi="Times New Roman" w:eastAsia="宋体" w:cs="Times New Roman"/>
          <w:b/>
          <w:bCs/>
          <w:color w:val="auto"/>
          <w:sz w:val="30"/>
        </w:rPr>
        <w:fldChar w:fldCharType="separate"/>
      </w:r>
      <w:r>
        <w:rPr>
          <w:rFonts w:ascii="Times New Roman" w:hAnsi="Times New Roman" w:eastAsia="宋体" w:cs="Times New Roman"/>
          <w:b/>
          <w:bCs/>
          <w:color w:val="auto"/>
          <w:sz w:val="30"/>
        </w:rPr>
        <w:t>I</w:t>
      </w:r>
      <w:r>
        <w:rPr>
          <w:rFonts w:ascii="Times New Roman" w:hAnsi="Times New Roman" w:eastAsia="宋体" w:cs="Times New Roman"/>
          <w:b/>
          <w:bCs/>
          <w:color w:val="auto"/>
          <w:sz w:val="30"/>
        </w:rPr>
        <w:fldChar w:fldCharType="end"/>
      </w:r>
      <w:r>
        <w:rPr>
          <w:rFonts w:ascii="Times New Roman" w:hAnsi="Times New Roman" w:eastAsia="宋体" w:cs="Times New Roman"/>
          <w:b/>
          <w:bCs/>
          <w:color w:val="auto"/>
          <w:sz w:val="30"/>
        </w:rPr>
        <w:t>）</w:t>
      </w:r>
    </w:p>
    <w:p w14:paraId="435E9D04">
      <w:pPr>
        <w:spacing w:line="348" w:lineRule="auto"/>
        <w:ind w:firstLine="482" w:firstLineChars="200"/>
        <w:rPr>
          <w:rFonts w:ascii="Calibri" w:hAnsi="Calibri" w:eastAsia="宋体" w:cs="Times New Roman"/>
          <w:b/>
          <w:color w:val="auto"/>
          <w:sz w:val="24"/>
        </w:rPr>
      </w:pPr>
    </w:p>
    <w:p w14:paraId="217FB965">
      <w:pPr>
        <w:spacing w:line="348" w:lineRule="auto"/>
        <w:ind w:firstLine="482" w:firstLineChars="200"/>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课程名称：</w:t>
      </w:r>
      <w:r>
        <w:rPr>
          <w:rFonts w:hint="eastAsia" w:ascii="Times New Roman" w:hAnsi="Times New Roman" w:eastAsia="宋体" w:cs="Times New Roman"/>
          <w:b/>
          <w:bCs/>
          <w:color w:val="auto"/>
          <w:sz w:val="24"/>
          <w:szCs w:val="24"/>
        </w:rPr>
        <w:t>数学分析I</w:t>
      </w:r>
    </w:p>
    <w:p w14:paraId="1FBA897B">
      <w:pPr>
        <w:spacing w:line="348" w:lineRule="auto"/>
        <w:ind w:firstLine="482" w:firstLineChars="200"/>
        <w:rPr>
          <w:rFonts w:ascii="Times New Roman" w:hAnsi="Times New Roman" w:eastAsia="宋体" w:cs="Times New Roman"/>
          <w:b/>
          <w:bCs/>
          <w:color w:val="auto"/>
          <w:kern w:val="0"/>
          <w:sz w:val="24"/>
        </w:rPr>
      </w:pPr>
      <w:r>
        <w:rPr>
          <w:rFonts w:ascii="Times New Roman" w:hAnsi="Times New Roman" w:eastAsia="宋体" w:cs="Times New Roman"/>
          <w:b/>
          <w:bCs/>
          <w:color w:val="auto"/>
          <w:kern w:val="0"/>
          <w:sz w:val="24"/>
        </w:rPr>
        <w:t>课程代码：</w:t>
      </w:r>
      <w:r>
        <w:rPr>
          <w:rFonts w:ascii="Times New Roman" w:hAnsi="Times New Roman" w:eastAsia="仿宋_GB2312" w:cs="Times New Roman"/>
          <w:b/>
          <w:bCs/>
          <w:color w:val="auto"/>
          <w:sz w:val="24"/>
        </w:rPr>
        <w:t>0821008</w:t>
      </w:r>
    </w:p>
    <w:p w14:paraId="52390428">
      <w:pPr>
        <w:spacing w:line="348" w:lineRule="auto"/>
        <w:ind w:firstLine="482" w:firstLineChars="200"/>
        <w:rPr>
          <w:rFonts w:ascii="Times New Roman" w:hAnsi="Times New Roman" w:eastAsia="宋体" w:cs="Times New Roman"/>
          <w:b/>
          <w:bCs/>
          <w:color w:val="auto"/>
          <w:kern w:val="0"/>
          <w:sz w:val="24"/>
        </w:rPr>
      </w:pPr>
      <w:r>
        <w:rPr>
          <w:rFonts w:ascii="Times New Roman" w:hAnsi="Times New Roman" w:eastAsia="宋体" w:cs="Times New Roman"/>
          <w:b/>
          <w:bCs/>
          <w:color w:val="auto"/>
          <w:kern w:val="0"/>
          <w:sz w:val="24"/>
        </w:rPr>
        <w:t>学    分：</w:t>
      </w:r>
      <w:r>
        <w:rPr>
          <w:rFonts w:ascii="Times New Roman" w:hAnsi="Times New Roman" w:eastAsia="仿宋_GB2312" w:cs="Times New Roman"/>
          <w:b/>
          <w:bCs/>
          <w:color w:val="auto"/>
          <w:sz w:val="24"/>
        </w:rPr>
        <w:t>3</w:t>
      </w:r>
    </w:p>
    <w:p w14:paraId="70614F84">
      <w:pPr>
        <w:spacing w:line="348" w:lineRule="auto"/>
        <w:ind w:firstLine="482" w:firstLineChars="200"/>
        <w:rPr>
          <w:rFonts w:ascii="Times New Roman" w:hAnsi="Times New Roman" w:eastAsia="宋体" w:cs="Times New Roman"/>
          <w:b/>
          <w:bCs/>
          <w:color w:val="auto"/>
          <w:kern w:val="0"/>
          <w:sz w:val="24"/>
        </w:rPr>
      </w:pPr>
      <w:r>
        <w:rPr>
          <w:rFonts w:ascii="Times New Roman" w:hAnsi="Times New Roman" w:eastAsia="宋体" w:cs="Times New Roman"/>
          <w:b/>
          <w:bCs/>
          <w:color w:val="auto"/>
          <w:kern w:val="0"/>
          <w:sz w:val="24"/>
        </w:rPr>
        <w:t>学    时：</w:t>
      </w:r>
      <w:r>
        <w:rPr>
          <w:rFonts w:ascii="Times New Roman" w:hAnsi="Times New Roman" w:eastAsia="仿宋_GB2312" w:cs="Times New Roman"/>
          <w:b/>
          <w:bCs/>
          <w:color w:val="auto"/>
          <w:sz w:val="24"/>
        </w:rPr>
        <w:t>48</w:t>
      </w:r>
      <w:r>
        <w:rPr>
          <w:rFonts w:ascii="Times New Roman" w:hAnsi="Times New Roman" w:eastAsia="宋体" w:cs="Times New Roman"/>
          <w:b/>
          <w:bCs/>
          <w:color w:val="auto"/>
          <w:kern w:val="0"/>
          <w:sz w:val="24"/>
        </w:rPr>
        <w:t xml:space="preserve"> （其中：讲授学时</w:t>
      </w:r>
      <w:r>
        <w:rPr>
          <w:rFonts w:ascii="Times New Roman" w:hAnsi="Times New Roman" w:eastAsia="仿宋_GB2312" w:cs="Times New Roman"/>
          <w:b/>
          <w:bCs/>
          <w:color w:val="auto"/>
          <w:sz w:val="24"/>
        </w:rPr>
        <w:t>48</w:t>
      </w:r>
      <w:r>
        <w:rPr>
          <w:rFonts w:ascii="Times New Roman" w:hAnsi="Times New Roman" w:eastAsia="宋体" w:cs="Times New Roman"/>
          <w:b/>
          <w:bCs/>
          <w:color w:val="auto"/>
          <w:kern w:val="0"/>
          <w:sz w:val="24"/>
        </w:rPr>
        <w:t>， 实践学时0）</w:t>
      </w:r>
    </w:p>
    <w:p w14:paraId="603464C0">
      <w:pPr>
        <w:spacing w:line="348" w:lineRule="auto"/>
        <w:ind w:firstLine="482" w:firstLineChars="200"/>
        <w:jc w:val="left"/>
        <w:rPr>
          <w:rFonts w:ascii="Times New Roman" w:hAnsi="Times New Roman" w:eastAsia="宋体" w:cs="Times New Roman"/>
          <w:b/>
          <w:bCs/>
          <w:color w:val="auto"/>
          <w:sz w:val="24"/>
        </w:rPr>
      </w:pPr>
      <w:r>
        <w:rPr>
          <w:rFonts w:ascii="Times New Roman" w:hAnsi="Times New Roman" w:eastAsia="宋体" w:cs="Times New Roman"/>
          <w:b/>
          <w:bCs/>
          <w:color w:val="auto"/>
          <w:kern w:val="0"/>
          <w:sz w:val="24"/>
        </w:rPr>
        <w:t>先修课程：</w:t>
      </w:r>
      <w:r>
        <w:rPr>
          <w:rFonts w:ascii="Times New Roman" w:hAnsi="Times New Roman" w:eastAsia="宋体" w:cs="Times New Roman"/>
          <w:b/>
          <w:bCs/>
          <w:color w:val="auto"/>
          <w:sz w:val="24"/>
        </w:rPr>
        <w:t>初等数学</w:t>
      </w:r>
    </w:p>
    <w:p w14:paraId="550A05DF">
      <w:pPr>
        <w:spacing w:line="348" w:lineRule="auto"/>
        <w:ind w:firstLine="482" w:firstLineChars="200"/>
        <w:rPr>
          <w:rFonts w:ascii="Times New Roman" w:hAnsi="Times New Roman" w:eastAsia="宋体" w:cs="Times New Roman"/>
          <w:color w:val="auto"/>
          <w:kern w:val="0"/>
          <w:sz w:val="24"/>
        </w:rPr>
      </w:pPr>
      <w:r>
        <w:rPr>
          <w:rFonts w:ascii="Times New Roman" w:hAnsi="Times New Roman" w:eastAsia="宋体" w:cs="Times New Roman"/>
          <w:b/>
          <w:bCs/>
          <w:color w:val="auto"/>
          <w:kern w:val="0"/>
          <w:sz w:val="24"/>
        </w:rPr>
        <w:t>适用专业：</w:t>
      </w:r>
      <w:r>
        <w:rPr>
          <w:rFonts w:ascii="Times New Roman" w:hAnsi="Times New Roman" w:eastAsia="宋体" w:cs="Times New Roman"/>
          <w:b/>
          <w:bCs/>
          <w:color w:val="auto"/>
          <w:sz w:val="24"/>
        </w:rPr>
        <w:t>小学教育（理）</w:t>
      </w:r>
      <w:r>
        <w:rPr>
          <w:rFonts w:ascii="Times New Roman" w:hAnsi="Times New Roman" w:eastAsia="宋体" w:cs="Times New Roman"/>
          <w:color w:val="auto"/>
          <w:sz w:val="24"/>
        </w:rPr>
        <w:t xml:space="preserve"> </w:t>
      </w:r>
      <w:r>
        <w:rPr>
          <w:rFonts w:ascii="Times New Roman" w:hAnsi="Times New Roman" w:eastAsia="宋体" w:cs="Times New Roman"/>
          <w:color w:val="auto"/>
          <w:kern w:val="0"/>
          <w:sz w:val="24"/>
        </w:rPr>
        <w:t xml:space="preserve">                         </w:t>
      </w:r>
    </w:p>
    <w:p w14:paraId="462613E1">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一、</w:t>
      </w:r>
      <w:r>
        <w:rPr>
          <w:rFonts w:hint="eastAsia" w:ascii="Times New Roman" w:hAnsi="Times New Roman" w:eastAsia="宋体" w:cs="Times New Roman"/>
          <w:b/>
          <w:color w:val="auto"/>
          <w:sz w:val="24"/>
          <w:szCs w:val="24"/>
        </w:rPr>
        <w:t>课程简介</w:t>
      </w:r>
    </w:p>
    <w:p w14:paraId="3DD58ADC">
      <w:pPr>
        <w:autoSpaceDE w:val="0"/>
        <w:autoSpaceDN w:val="0"/>
        <w:adjustRightInd w:val="0"/>
        <w:spacing w:line="348" w:lineRule="auto"/>
        <w:ind w:firstLine="420" w:firstLineChars="200"/>
        <w:jc w:val="left"/>
        <w:rPr>
          <w:rFonts w:ascii="Calibri" w:hAnsi="Calibri" w:eastAsia="宋体" w:cs="Times New Roman"/>
          <w:color w:val="auto"/>
          <w:sz w:val="21"/>
          <w:szCs w:val="21"/>
        </w:rPr>
      </w:pPr>
      <w:r>
        <w:rPr>
          <w:rFonts w:ascii="Calibri" w:hAnsi="Calibri" w:eastAsia="宋体" w:cs="Times New Roman"/>
          <w:color w:val="auto"/>
          <w:kern w:val="0"/>
          <w:sz w:val="21"/>
          <w:szCs w:val="21"/>
        </w:rPr>
        <w:t>本课程是小学教育（理）专业的一门</w:t>
      </w:r>
      <w:r>
        <w:rPr>
          <w:rFonts w:ascii="Calibri" w:hAnsi="Calibri" w:eastAsia="宋体" w:cs="Times New Roman"/>
          <w:color w:val="auto"/>
          <w:sz w:val="21"/>
          <w:szCs w:val="21"/>
        </w:rPr>
        <w:t>重要基础课。</w:t>
      </w:r>
      <w:r>
        <w:rPr>
          <w:rFonts w:ascii="Calibri" w:hAnsi="Calibri" w:eastAsia="宋体" w:cs="Times New Roman"/>
          <w:color w:val="auto"/>
          <w:kern w:val="0"/>
          <w:sz w:val="21"/>
          <w:szCs w:val="21"/>
        </w:rPr>
        <w:t>通过本课程的学习，使学生系统地获得数学分析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443CF7E2">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lang w:val="en-US" w:eastAsia="zh-CN"/>
        </w:rPr>
      </w:pPr>
      <w:bookmarkStart w:id="356" w:name="_Toc19729756"/>
      <w:r>
        <w:rPr>
          <w:rFonts w:hint="eastAsia" w:ascii="Times New Roman" w:hAnsi="Times New Roman" w:eastAsia="宋体" w:cs="Times New Roman"/>
          <w:b/>
          <w:color w:val="auto"/>
          <w:sz w:val="24"/>
          <w:szCs w:val="24"/>
          <w:lang w:val="en-US" w:eastAsia="zh-CN"/>
        </w:rPr>
        <w:t>二、课程目标</w:t>
      </w:r>
      <w:bookmarkEnd w:id="356"/>
    </w:p>
    <w:p w14:paraId="71FE6A65">
      <w:pPr>
        <w:spacing w:line="348" w:lineRule="auto"/>
        <w:ind w:firstLine="422" w:firstLineChars="200"/>
        <w:rPr>
          <w:rFonts w:ascii="Calibri" w:hAnsi="Calibri" w:eastAsia="宋体" w:cs="Times New Roman"/>
          <w:b/>
          <w:color w:val="auto"/>
          <w:sz w:val="21"/>
          <w:szCs w:val="21"/>
        </w:rPr>
      </w:pPr>
      <w:bookmarkStart w:id="357" w:name="_Toc19729757"/>
      <w:r>
        <w:rPr>
          <w:rFonts w:ascii="Calibri" w:hAnsi="Calibri" w:eastAsia="宋体" w:cs="Times New Roman"/>
          <w:b/>
          <w:color w:val="auto"/>
          <w:sz w:val="21"/>
          <w:szCs w:val="21"/>
        </w:rPr>
        <w:t>（一）课程具体目标</w:t>
      </w:r>
      <w:bookmarkEnd w:id="357"/>
    </w:p>
    <w:p w14:paraId="4844A7F7">
      <w:pPr>
        <w:spacing w:line="360" w:lineRule="auto"/>
        <w:ind w:firstLine="422" w:firstLineChars="200"/>
        <w:rPr>
          <w:rFonts w:hint="eastAsia" w:ascii="宋体" w:hAnsi="宋体" w:eastAsia="宋体" w:cs="Times New Roman"/>
          <w:color w:val="auto"/>
          <w:sz w:val="21"/>
          <w:szCs w:val="21"/>
        </w:rPr>
      </w:pPr>
      <w:bookmarkStart w:id="358" w:name="_Toc19729758"/>
      <w:r>
        <w:rPr>
          <w:rFonts w:hint="eastAsia" w:ascii="宋体" w:hAnsi="宋体" w:eastAsia="宋体" w:cs="Times New Roman"/>
          <w:b/>
          <w:bCs/>
          <w:color w:val="auto"/>
          <w:sz w:val="21"/>
          <w:szCs w:val="21"/>
        </w:rPr>
        <w:t>目标1：</w:t>
      </w:r>
      <w:r>
        <w:rPr>
          <w:rFonts w:hint="eastAsia" w:ascii="宋体" w:hAnsi="宋体" w:eastAsia="宋体" w:cs="Times New Roman"/>
          <w:color w:val="auto"/>
          <w:sz w:val="21"/>
          <w:szCs w:val="21"/>
        </w:rPr>
        <w:t>掌握不定积分、定积分、级数、多元函数微分学基本概念，了解基本理论和方法，具有一定</w:t>
      </w:r>
      <w:r>
        <w:rPr>
          <w:rFonts w:ascii="宋体" w:hAnsi="宋体" w:eastAsia="宋体" w:cs="Times New Roman"/>
          <w:color w:val="auto"/>
          <w:sz w:val="21"/>
          <w:szCs w:val="21"/>
        </w:rPr>
        <w:t>的抽象概括、逻辑推理能力</w:t>
      </w:r>
      <w:r>
        <w:rPr>
          <w:rFonts w:hint="eastAsia" w:ascii="宋体" w:hAnsi="宋体" w:eastAsia="宋体" w:cs="Times New Roman"/>
          <w:color w:val="auto"/>
          <w:sz w:val="21"/>
          <w:szCs w:val="21"/>
        </w:rPr>
        <w:t>；</w:t>
      </w:r>
    </w:p>
    <w:p w14:paraId="0CEC9190">
      <w:pPr>
        <w:spacing w:line="360" w:lineRule="auto"/>
        <w:ind w:firstLine="422" w:firstLineChars="200"/>
        <w:rPr>
          <w:rFonts w:hint="eastAsia" w:ascii="宋体" w:hAnsi="宋体" w:eastAsia="宋体" w:cs="Times New Roman"/>
          <w:color w:val="auto"/>
          <w:sz w:val="21"/>
          <w:szCs w:val="21"/>
        </w:rPr>
      </w:pPr>
      <w:r>
        <w:rPr>
          <w:rFonts w:hint="eastAsia" w:ascii="宋体" w:hAnsi="宋体" w:eastAsia="宋体" w:cs="Times New Roman"/>
          <w:b/>
          <w:bCs/>
          <w:color w:val="auto"/>
          <w:sz w:val="21"/>
          <w:szCs w:val="21"/>
        </w:rPr>
        <w:t>目标2：</w:t>
      </w:r>
      <w:r>
        <w:rPr>
          <w:rFonts w:ascii="宋体" w:hAnsi="宋体" w:eastAsia="宋体" w:cs="Times New Roman"/>
          <w:color w:val="auto"/>
          <w:sz w:val="21"/>
          <w:szCs w:val="21"/>
        </w:rPr>
        <w:t>初步掌握处理随机现象的基本思想和方法，具备运用数学分析的思维方法分析和解决实际问题的能力。</w:t>
      </w:r>
    </w:p>
    <w:p w14:paraId="6A990B31">
      <w:pPr>
        <w:spacing w:line="360" w:lineRule="auto"/>
        <w:ind w:firstLine="422" w:firstLineChars="200"/>
        <w:rPr>
          <w:rFonts w:ascii="Calibri" w:hAnsi="Calibri" w:eastAsia="宋体" w:cs="Times New Roman"/>
          <w:b/>
          <w:color w:val="auto"/>
          <w:sz w:val="21"/>
          <w:szCs w:val="21"/>
        </w:rPr>
      </w:pPr>
      <w:r>
        <w:rPr>
          <w:rFonts w:ascii="Calibri" w:hAnsi="Calibri" w:eastAsia="宋体" w:cs="Times New Roman"/>
          <w:b/>
          <w:color w:val="auto"/>
          <w:sz w:val="21"/>
          <w:szCs w:val="21"/>
        </w:rPr>
        <w:t>（二）课程目标</w:t>
      </w:r>
      <w:r>
        <w:rPr>
          <w:rFonts w:hint="eastAsia" w:ascii="Calibri" w:hAnsi="Calibri" w:eastAsia="宋体" w:cs="Times New Roman"/>
          <w:b/>
          <w:color w:val="auto"/>
          <w:sz w:val="21"/>
          <w:szCs w:val="21"/>
        </w:rPr>
        <w:t>及其对</w:t>
      </w:r>
      <w:r>
        <w:rPr>
          <w:rFonts w:ascii="Calibri" w:hAnsi="Calibri" w:eastAsia="宋体" w:cs="Times New Roman"/>
          <w:b/>
          <w:color w:val="auto"/>
          <w:sz w:val="21"/>
          <w:szCs w:val="21"/>
        </w:rPr>
        <w:t>毕业要求</w:t>
      </w:r>
      <w:r>
        <w:rPr>
          <w:rFonts w:hint="eastAsia" w:ascii="Calibri" w:hAnsi="Calibri" w:eastAsia="宋体" w:cs="Times New Roman"/>
          <w:b/>
          <w:color w:val="auto"/>
          <w:sz w:val="21"/>
          <w:szCs w:val="21"/>
        </w:rPr>
        <w:t>指标点</w:t>
      </w:r>
      <w:r>
        <w:rPr>
          <w:rFonts w:ascii="Calibri" w:hAnsi="Calibri" w:eastAsia="宋体" w:cs="Times New Roman"/>
          <w:b/>
          <w:color w:val="auto"/>
          <w:sz w:val="21"/>
          <w:szCs w:val="21"/>
        </w:rPr>
        <w:t>的</w:t>
      </w:r>
      <w:bookmarkEnd w:id="358"/>
      <w:r>
        <w:rPr>
          <w:rFonts w:hint="eastAsia" w:ascii="Calibri" w:hAnsi="Calibri" w:eastAsia="宋体" w:cs="Times New Roman"/>
          <w:b/>
          <w:color w:val="auto"/>
          <w:sz w:val="21"/>
          <w:szCs w:val="21"/>
        </w:rPr>
        <w:t>支撑</w:t>
      </w:r>
    </w:p>
    <w:tbl>
      <w:tblPr>
        <w:tblStyle w:val="15"/>
        <w:tblW w:w="8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223"/>
        <w:gridCol w:w="4977"/>
      </w:tblGrid>
      <w:tr w14:paraId="5DCC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62" w:type="dxa"/>
            <w:vAlign w:val="center"/>
          </w:tcPr>
          <w:p w14:paraId="0C4F3464">
            <w:pPr>
              <w:jc w:val="center"/>
              <w:rPr>
                <w:rFonts w:hint="eastAsia" w:ascii="宋体" w:hAnsi="宋体" w:eastAsia="宋体" w:cs="Times New Roman"/>
                <w:b/>
                <w:bCs/>
                <w:color w:val="auto"/>
                <w:sz w:val="21"/>
                <w:szCs w:val="21"/>
              </w:rPr>
            </w:pPr>
            <w:r>
              <w:rPr>
                <w:rFonts w:ascii="宋体" w:hAnsi="宋体" w:eastAsia="宋体" w:cs="Times New Roman"/>
                <w:b/>
                <w:bCs/>
                <w:color w:val="auto"/>
                <w:sz w:val="21"/>
                <w:szCs w:val="21"/>
              </w:rPr>
              <w:t>课程目标</w:t>
            </w:r>
          </w:p>
        </w:tc>
        <w:tc>
          <w:tcPr>
            <w:tcW w:w="2223" w:type="dxa"/>
            <w:vAlign w:val="center"/>
          </w:tcPr>
          <w:p w14:paraId="55998EC8">
            <w:pPr>
              <w:jc w:val="center"/>
              <w:rPr>
                <w:rFonts w:hint="eastAsia" w:ascii="宋体" w:hAnsi="宋体" w:eastAsia="宋体" w:cs="Times New Roman"/>
                <w:b/>
                <w:bCs/>
                <w:color w:val="auto"/>
                <w:sz w:val="21"/>
                <w:szCs w:val="21"/>
              </w:rPr>
            </w:pPr>
            <w:r>
              <w:rPr>
                <w:rFonts w:ascii="宋体" w:hAnsi="宋体" w:eastAsia="宋体" w:cs="Times New Roman"/>
                <w:b/>
                <w:bCs/>
                <w:color w:val="auto"/>
                <w:sz w:val="21"/>
                <w:szCs w:val="21"/>
              </w:rPr>
              <w:t>支撑的毕业要求</w:t>
            </w:r>
          </w:p>
        </w:tc>
        <w:tc>
          <w:tcPr>
            <w:tcW w:w="4977" w:type="dxa"/>
            <w:vAlign w:val="center"/>
          </w:tcPr>
          <w:p w14:paraId="7F07802B">
            <w:pPr>
              <w:jc w:val="center"/>
              <w:rPr>
                <w:rFonts w:hint="eastAsia" w:ascii="宋体" w:hAnsi="宋体" w:eastAsia="宋体" w:cs="Times New Roman"/>
                <w:b/>
                <w:bCs/>
                <w:color w:val="auto"/>
                <w:sz w:val="21"/>
                <w:szCs w:val="21"/>
              </w:rPr>
            </w:pPr>
            <w:r>
              <w:rPr>
                <w:rFonts w:ascii="宋体" w:hAnsi="宋体" w:eastAsia="宋体" w:cs="Times New Roman"/>
                <w:b/>
                <w:bCs/>
                <w:color w:val="auto"/>
                <w:sz w:val="21"/>
                <w:szCs w:val="21"/>
              </w:rPr>
              <w:t>支撑的毕业要求指标点</w:t>
            </w:r>
          </w:p>
        </w:tc>
      </w:tr>
      <w:tr w14:paraId="121A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62" w:type="dxa"/>
            <w:vAlign w:val="center"/>
          </w:tcPr>
          <w:p w14:paraId="12CF9958">
            <w:pPr>
              <w:jc w:val="center"/>
              <w:rPr>
                <w:rFonts w:ascii="宋体" w:hAnsi="宋体" w:eastAsia="宋体" w:cs="Times New Roman"/>
                <w:bCs/>
                <w:color w:val="auto"/>
                <w:sz w:val="21"/>
                <w:szCs w:val="21"/>
              </w:rPr>
            </w:pPr>
            <w:r>
              <w:rPr>
                <w:rFonts w:ascii="宋体" w:hAnsi="宋体" w:eastAsia="宋体" w:cs="Times New Roman"/>
                <w:bCs/>
                <w:color w:val="auto"/>
                <w:sz w:val="21"/>
                <w:szCs w:val="21"/>
              </w:rPr>
              <w:t>课程目标</w:t>
            </w:r>
          </w:p>
          <w:p w14:paraId="1B771131">
            <w:pPr>
              <w:jc w:val="center"/>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1、2</w:t>
            </w:r>
          </w:p>
        </w:tc>
        <w:tc>
          <w:tcPr>
            <w:tcW w:w="2223" w:type="dxa"/>
            <w:vAlign w:val="center"/>
          </w:tcPr>
          <w:p w14:paraId="41DB3DE5">
            <w:pPr>
              <w:rPr>
                <w:rFonts w:hint="eastAsia" w:ascii="宋体" w:hAnsi="宋体" w:eastAsia="宋体" w:cs="Times New Roman"/>
                <w:b/>
                <w:bCs/>
                <w:color w:val="auto"/>
                <w:kern w:val="0"/>
                <w:sz w:val="21"/>
                <w:szCs w:val="21"/>
              </w:rPr>
            </w:pPr>
            <w:r>
              <w:rPr>
                <w:rFonts w:ascii="宋体" w:hAnsi="宋体" w:eastAsia="宋体" w:cs="Times New Roman"/>
                <w:b/>
                <w:bCs/>
                <w:color w:val="auto"/>
                <w:kern w:val="0"/>
                <w:sz w:val="21"/>
                <w:szCs w:val="21"/>
              </w:rPr>
              <w:t>毕业要求3.</w:t>
            </w:r>
            <w:r>
              <w:rPr>
                <w:rFonts w:hint="eastAsia" w:ascii="宋体" w:hAnsi="宋体" w:eastAsia="宋体" w:cs="Times New Roman"/>
                <w:b/>
                <w:bCs/>
                <w:color w:val="auto"/>
                <w:kern w:val="0"/>
                <w:sz w:val="21"/>
                <w:szCs w:val="21"/>
              </w:rPr>
              <w:t>学科</w:t>
            </w:r>
            <w:r>
              <w:rPr>
                <w:rFonts w:ascii="宋体" w:hAnsi="宋体" w:eastAsia="宋体" w:cs="Times New Roman"/>
                <w:b/>
                <w:bCs/>
                <w:color w:val="auto"/>
                <w:kern w:val="0"/>
                <w:sz w:val="21"/>
                <w:szCs w:val="21"/>
              </w:rPr>
              <w:t>素养</w:t>
            </w:r>
          </w:p>
        </w:tc>
        <w:tc>
          <w:tcPr>
            <w:tcW w:w="4977" w:type="dxa"/>
            <w:vAlign w:val="center"/>
          </w:tcPr>
          <w:p w14:paraId="12E263C5">
            <w:pPr>
              <w:jc w:val="left"/>
              <w:rPr>
                <w:rFonts w:hint="eastAsia" w:ascii="宋体" w:hAnsi="宋体" w:eastAsia="宋体" w:cs="Times New Roman"/>
                <w:color w:val="auto"/>
                <w:kern w:val="0"/>
                <w:sz w:val="21"/>
                <w:szCs w:val="21"/>
                <w:lang w:eastAsia="zh-CN"/>
              </w:rPr>
            </w:pPr>
            <w:r>
              <w:rPr>
                <w:rFonts w:hint="eastAsia" w:ascii="宋体" w:hAnsi="宋体" w:eastAsia="宋体" w:cs="Times New Roman"/>
                <w:color w:val="auto"/>
                <w:sz w:val="21"/>
                <w:szCs w:val="21"/>
                <w:lang w:eastAsia="zh-CN"/>
              </w:rPr>
              <w:t>指标点3-2：【学科知识扎实】具有学科专业能力，掌握小学数学学科的基本知识、原理和技能。熟悉小学科学的知识体系，掌握小学科学的基本知识、原理和技能。</w:t>
            </w:r>
          </w:p>
        </w:tc>
      </w:tr>
    </w:tbl>
    <w:p w14:paraId="67615D76">
      <w:pPr>
        <w:spacing w:before="156" w:beforeLines="50" w:line="360" w:lineRule="auto"/>
        <w:ind w:firstLine="422" w:firstLineChars="200"/>
        <w:jc w:val="left"/>
        <w:rPr>
          <w:rFonts w:hint="eastAsia" w:ascii="宋体" w:hAnsi="宋体" w:eastAsia="宋体" w:cs="Times New Roman"/>
          <w:b/>
          <w:color w:val="auto"/>
          <w:sz w:val="21"/>
          <w:szCs w:val="21"/>
        </w:rPr>
      </w:pPr>
      <w:bookmarkStart w:id="359" w:name="_Toc19729759"/>
      <w:r>
        <w:rPr>
          <w:rFonts w:hint="eastAsia" w:ascii="Calibri" w:hAnsi="Calibri" w:eastAsia="宋体" w:cs="Times New Roman"/>
          <w:b/>
          <w:color w:val="auto"/>
          <w:sz w:val="21"/>
          <w:szCs w:val="21"/>
        </w:rPr>
        <w:t>（三）</w:t>
      </w:r>
      <w:r>
        <w:rPr>
          <w:rFonts w:hint="eastAsia" w:ascii="宋体" w:hAnsi="宋体" w:eastAsia="宋体" w:cs="Times New Roman"/>
          <w:b/>
          <w:color w:val="auto"/>
          <w:sz w:val="21"/>
          <w:szCs w:val="21"/>
        </w:rPr>
        <w:t>课程思政目标</w:t>
      </w:r>
    </w:p>
    <w:p w14:paraId="1D4B63EB">
      <w:pPr>
        <w:spacing w:line="360" w:lineRule="auto"/>
        <w:ind w:firstLine="411" w:firstLineChars="196"/>
        <w:jc w:val="left"/>
        <w:rPr>
          <w:rFonts w:ascii="Calibri" w:hAnsi="Calibri" w:eastAsia="宋体" w:cs="Times New Roman"/>
          <w:b/>
          <w:color w:val="auto"/>
          <w:sz w:val="21"/>
          <w:szCs w:val="21"/>
        </w:rPr>
      </w:pPr>
      <w:r>
        <w:rPr>
          <w:rFonts w:hint="eastAsia" w:ascii="宋体" w:hAnsi="宋体" w:eastAsia="宋体" w:cs="Times New Roman"/>
          <w:color w:val="auto"/>
          <w:sz w:val="21"/>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7044DEFF">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三、课程内容及要求</w:t>
      </w:r>
      <w:bookmarkEnd w:id="359"/>
    </w:p>
    <w:tbl>
      <w:tblPr>
        <w:tblStyle w:val="16"/>
        <w:tblW w:w="9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691"/>
        <w:gridCol w:w="77"/>
        <w:gridCol w:w="1114"/>
        <w:gridCol w:w="2805"/>
        <w:gridCol w:w="1432"/>
        <w:gridCol w:w="856"/>
      </w:tblGrid>
      <w:tr w14:paraId="0FE3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Align w:val="center"/>
          </w:tcPr>
          <w:p w14:paraId="1D2BD86C">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知识</w:t>
            </w:r>
          </w:p>
          <w:p w14:paraId="361A5D69">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单元</w:t>
            </w:r>
          </w:p>
        </w:tc>
        <w:tc>
          <w:tcPr>
            <w:tcW w:w="2691" w:type="dxa"/>
            <w:vAlign w:val="center"/>
          </w:tcPr>
          <w:p w14:paraId="2C7E4523">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知识点</w:t>
            </w:r>
          </w:p>
        </w:tc>
        <w:tc>
          <w:tcPr>
            <w:tcW w:w="1191" w:type="dxa"/>
            <w:gridSpan w:val="2"/>
            <w:vAlign w:val="center"/>
          </w:tcPr>
          <w:p w14:paraId="032F07D7">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对应</w:t>
            </w:r>
          </w:p>
          <w:p w14:paraId="3E4C7874">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课程目标</w:t>
            </w:r>
          </w:p>
        </w:tc>
        <w:tc>
          <w:tcPr>
            <w:tcW w:w="2805" w:type="dxa"/>
            <w:vAlign w:val="center"/>
          </w:tcPr>
          <w:p w14:paraId="16B5E093">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预期学习成效</w:t>
            </w:r>
          </w:p>
        </w:tc>
        <w:tc>
          <w:tcPr>
            <w:tcW w:w="1432" w:type="dxa"/>
            <w:vAlign w:val="center"/>
          </w:tcPr>
          <w:p w14:paraId="5A751721">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实现环节</w:t>
            </w:r>
          </w:p>
        </w:tc>
        <w:tc>
          <w:tcPr>
            <w:tcW w:w="856" w:type="dxa"/>
            <w:vAlign w:val="center"/>
          </w:tcPr>
          <w:p w14:paraId="17646033">
            <w:pPr>
              <w:spacing w:line="240" w:lineRule="auto"/>
              <w:jc w:val="center"/>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学时</w:t>
            </w:r>
          </w:p>
        </w:tc>
      </w:tr>
      <w:tr w14:paraId="19FB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39BD1600">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b/>
                <w:color w:val="auto"/>
                <w:kern w:val="0"/>
                <w:sz w:val="21"/>
                <w:szCs w:val="21"/>
              </w:rPr>
              <w:t>函数</w:t>
            </w:r>
          </w:p>
        </w:tc>
        <w:tc>
          <w:tcPr>
            <w:tcW w:w="2691" w:type="dxa"/>
            <w:vAlign w:val="center"/>
          </w:tcPr>
          <w:p w14:paraId="2601DFDC">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（1）函数、初等函数概念</w:t>
            </w:r>
          </w:p>
          <w:p w14:paraId="30F5B6F1">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（2）函数几种表示法</w:t>
            </w:r>
          </w:p>
          <w:p w14:paraId="5D7801FB">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（3）四类具有特殊性质的函数</w:t>
            </w:r>
          </w:p>
          <w:p w14:paraId="39470AB5">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（4）复合函数与反函数</w:t>
            </w:r>
          </w:p>
        </w:tc>
        <w:tc>
          <w:tcPr>
            <w:tcW w:w="1191" w:type="dxa"/>
            <w:gridSpan w:val="2"/>
            <w:vAlign w:val="center"/>
          </w:tcPr>
          <w:p w14:paraId="7572A20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课程目标1</w:t>
            </w:r>
          </w:p>
        </w:tc>
        <w:tc>
          <w:tcPr>
            <w:tcW w:w="2805" w:type="dxa"/>
            <w:vAlign w:val="center"/>
          </w:tcPr>
          <w:p w14:paraId="49BF1CC5">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（1）理解函数的定义</w:t>
            </w:r>
          </w:p>
          <w:p w14:paraId="43BF81D1">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（2）掌握复合函数概念</w:t>
            </w:r>
          </w:p>
          <w:p w14:paraId="24E3F702">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（3）会将复合函数分拆成简单函数</w:t>
            </w:r>
          </w:p>
        </w:tc>
        <w:tc>
          <w:tcPr>
            <w:tcW w:w="1432" w:type="dxa"/>
            <w:vAlign w:val="center"/>
          </w:tcPr>
          <w:p w14:paraId="5887D786">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1.线上学习</w:t>
            </w:r>
          </w:p>
          <w:p w14:paraId="6E641AAD">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2.多媒体教学</w:t>
            </w:r>
          </w:p>
          <w:p w14:paraId="11604760">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3.课堂讨论</w:t>
            </w:r>
          </w:p>
          <w:p w14:paraId="359EF056">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4.单元测验</w:t>
            </w:r>
          </w:p>
        </w:tc>
        <w:tc>
          <w:tcPr>
            <w:tcW w:w="856" w:type="dxa"/>
            <w:vAlign w:val="center"/>
          </w:tcPr>
          <w:p w14:paraId="69FF8328">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r>
      <w:tr w14:paraId="3B24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471BA8AC">
            <w:pPr>
              <w:spacing w:line="240" w:lineRule="auto"/>
              <w:jc w:val="center"/>
              <w:rPr>
                <w:rFonts w:hint="eastAsia" w:ascii="宋体" w:hAnsi="宋体" w:eastAsia="宋体" w:cs="宋体"/>
                <w:color w:val="auto"/>
                <w:sz w:val="21"/>
                <w:szCs w:val="21"/>
              </w:rPr>
            </w:pPr>
          </w:p>
        </w:tc>
        <w:tc>
          <w:tcPr>
            <w:tcW w:w="8975" w:type="dxa"/>
            <w:gridSpan w:val="6"/>
            <w:vAlign w:val="center"/>
          </w:tcPr>
          <w:p w14:paraId="29D0E242">
            <w:pPr>
              <w:spacing w:line="240" w:lineRule="auto"/>
              <w:jc w:val="left"/>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rPr>
              <w:t>课程思政目标：</w:t>
            </w:r>
            <w:r>
              <w:rPr>
                <w:rFonts w:hint="eastAsia" w:ascii="宋体" w:hAnsi="宋体" w:eastAsia="宋体" w:cs="宋体"/>
                <w:color w:val="auto"/>
                <w:sz w:val="21"/>
                <w:szCs w:val="21"/>
              </w:rPr>
              <w:t>在马克思主义思想指导下学习和研究函数，运用辩证唯物主义和历史唯物主义的思想方法，结合我国教育改革和发展的具体实践，与时俱进，开拓创新，以不断创新的马克思主义新理论来解释和解决我国教育改革和发展过程中遇到的新情况和新问题，从而使学生树牢“四个意识”，坚定“四个自信”，坚决做到“两个维护”，立志肩负起民族复兴的时代重任。</w:t>
            </w:r>
          </w:p>
        </w:tc>
      </w:tr>
      <w:tr w14:paraId="6A5F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4400F29D">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b/>
                <w:color w:val="auto"/>
                <w:sz w:val="21"/>
                <w:szCs w:val="21"/>
              </w:rPr>
              <w:t>极限</w:t>
            </w:r>
          </w:p>
        </w:tc>
        <w:tc>
          <w:tcPr>
            <w:tcW w:w="2691" w:type="dxa"/>
            <w:vAlign w:val="center"/>
          </w:tcPr>
          <w:p w14:paraId="736848EC">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（1）数列的极限思想与定义</w:t>
            </w:r>
          </w:p>
          <w:p w14:paraId="02C2886A">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（2）收敛数列的四则运算、性质，数列极限存在准则</w:t>
            </w:r>
          </w:p>
          <w:p w14:paraId="7BF7F597">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（3）函数极限定义</w:t>
            </w:r>
          </w:p>
          <w:p w14:paraId="72958CB4">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（4）无穷小与无穷大的概念及其相互关系</w:t>
            </w:r>
          </w:p>
          <w:p w14:paraId="6E43C70E">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（5）两个重要极限</w:t>
            </w:r>
          </w:p>
          <w:p w14:paraId="40D71A60">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（6）函数极限的定理</w:t>
            </w:r>
          </w:p>
        </w:tc>
        <w:tc>
          <w:tcPr>
            <w:tcW w:w="1191" w:type="dxa"/>
            <w:gridSpan w:val="2"/>
            <w:vAlign w:val="center"/>
          </w:tcPr>
          <w:p w14:paraId="171BA9FF">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课程目标1、2</w:t>
            </w:r>
          </w:p>
        </w:tc>
        <w:tc>
          <w:tcPr>
            <w:tcW w:w="2805" w:type="dxa"/>
            <w:vAlign w:val="center"/>
          </w:tcPr>
          <w:p w14:paraId="1B555C4D">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（1）理解极限的概念</w:t>
            </w:r>
          </w:p>
          <w:p w14:paraId="34C2C672">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（2）掌握极限的性质</w:t>
            </w:r>
          </w:p>
          <w:p w14:paraId="2F43E067">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（3）应用所学方法和公式计算极限</w:t>
            </w:r>
          </w:p>
          <w:p w14:paraId="5A0492DA">
            <w:pPr>
              <w:spacing w:line="240" w:lineRule="auto"/>
              <w:jc w:val="left"/>
              <w:rPr>
                <w:rFonts w:hint="eastAsia" w:ascii="宋体" w:hAnsi="宋体" w:eastAsia="宋体" w:cs="宋体"/>
                <w:color w:val="auto"/>
                <w:sz w:val="21"/>
                <w:szCs w:val="21"/>
              </w:rPr>
            </w:pPr>
          </w:p>
        </w:tc>
        <w:tc>
          <w:tcPr>
            <w:tcW w:w="1432" w:type="dxa"/>
            <w:vAlign w:val="center"/>
          </w:tcPr>
          <w:p w14:paraId="7C82A150">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1.线上学习</w:t>
            </w:r>
          </w:p>
          <w:p w14:paraId="3A737E63">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2.多媒体教学</w:t>
            </w:r>
          </w:p>
          <w:p w14:paraId="7BC46D69">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3.课堂讨论</w:t>
            </w:r>
          </w:p>
          <w:p w14:paraId="39A63FFE">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4.单元测验</w:t>
            </w:r>
          </w:p>
        </w:tc>
        <w:tc>
          <w:tcPr>
            <w:tcW w:w="856" w:type="dxa"/>
            <w:vAlign w:val="center"/>
          </w:tcPr>
          <w:p w14:paraId="2FC7623C">
            <w:pPr>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w:t>
            </w:r>
          </w:p>
        </w:tc>
      </w:tr>
      <w:tr w14:paraId="2269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0C7921A9">
            <w:pPr>
              <w:spacing w:line="240" w:lineRule="auto"/>
              <w:jc w:val="center"/>
              <w:rPr>
                <w:rFonts w:hint="eastAsia" w:ascii="宋体" w:hAnsi="宋体" w:eastAsia="宋体" w:cs="宋体"/>
                <w:color w:val="auto"/>
                <w:sz w:val="21"/>
                <w:szCs w:val="21"/>
              </w:rPr>
            </w:pPr>
          </w:p>
        </w:tc>
        <w:tc>
          <w:tcPr>
            <w:tcW w:w="8975" w:type="dxa"/>
            <w:gridSpan w:val="6"/>
            <w:vAlign w:val="center"/>
          </w:tcPr>
          <w:p w14:paraId="68BE142C">
            <w:pPr>
              <w:spacing w:line="240" w:lineRule="auto"/>
              <w:jc w:val="left"/>
              <w:rPr>
                <w:rFonts w:hint="eastAsia" w:ascii="宋体" w:hAnsi="宋体" w:eastAsia="宋体" w:cs="宋体"/>
                <w:b/>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z w:val="21"/>
                <w:szCs w:val="21"/>
              </w:rPr>
              <w:t>使学生形成对极限的教育与社会意识形态关系的正确认知，明确社会主义教育的本质。把握教育的本质在于培养人，深刻理解习近平曾多次论述的教育要“培养什么人、怎样培养人、为谁培养人”的问题。</w:t>
            </w:r>
          </w:p>
        </w:tc>
      </w:tr>
      <w:tr w14:paraId="5F206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71ED86CD">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r>
              <w:rPr>
                <w:rFonts w:hint="eastAsia" w:ascii="宋体" w:hAnsi="宋体" w:eastAsia="宋体" w:cs="宋体"/>
                <w:b/>
                <w:color w:val="auto"/>
                <w:sz w:val="21"/>
                <w:szCs w:val="21"/>
              </w:rPr>
              <w:t>连续函数</w:t>
            </w:r>
          </w:p>
        </w:tc>
        <w:tc>
          <w:tcPr>
            <w:tcW w:w="2691" w:type="dxa"/>
            <w:vAlign w:val="center"/>
          </w:tcPr>
          <w:p w14:paraId="405947CE">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（1）连续函数的概念</w:t>
            </w:r>
          </w:p>
          <w:p w14:paraId="3C2481E1">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（2）函数间断点的分类</w:t>
            </w:r>
          </w:p>
          <w:p w14:paraId="4C2FBB54">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（3）连续函数的性质</w:t>
            </w:r>
          </w:p>
        </w:tc>
        <w:tc>
          <w:tcPr>
            <w:tcW w:w="1191" w:type="dxa"/>
            <w:gridSpan w:val="2"/>
            <w:vAlign w:val="center"/>
          </w:tcPr>
          <w:p w14:paraId="5E32711C">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课程目标1、2</w:t>
            </w:r>
          </w:p>
        </w:tc>
        <w:tc>
          <w:tcPr>
            <w:tcW w:w="2805" w:type="dxa"/>
            <w:vAlign w:val="center"/>
          </w:tcPr>
          <w:p w14:paraId="502A3914">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（1）了解连续函数的概念</w:t>
            </w:r>
          </w:p>
          <w:p w14:paraId="714F706E">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（2）会求函数的连续区间</w:t>
            </w:r>
          </w:p>
        </w:tc>
        <w:tc>
          <w:tcPr>
            <w:tcW w:w="1432" w:type="dxa"/>
            <w:vAlign w:val="center"/>
          </w:tcPr>
          <w:p w14:paraId="0F992785">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1.线上学习</w:t>
            </w:r>
          </w:p>
          <w:p w14:paraId="018DE107">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2.多媒体教学</w:t>
            </w:r>
          </w:p>
          <w:p w14:paraId="3AFE7680">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3.课堂讨论</w:t>
            </w:r>
          </w:p>
          <w:p w14:paraId="4F14E5BD">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4.单元测验</w:t>
            </w:r>
          </w:p>
        </w:tc>
        <w:tc>
          <w:tcPr>
            <w:tcW w:w="856" w:type="dxa"/>
            <w:vAlign w:val="center"/>
          </w:tcPr>
          <w:p w14:paraId="02A18590">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r>
      <w:tr w14:paraId="7879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78B91F44">
            <w:pPr>
              <w:spacing w:line="240" w:lineRule="auto"/>
              <w:jc w:val="center"/>
              <w:rPr>
                <w:rFonts w:hint="eastAsia" w:ascii="宋体" w:hAnsi="宋体" w:eastAsia="宋体" w:cs="宋体"/>
                <w:color w:val="auto"/>
                <w:sz w:val="21"/>
                <w:szCs w:val="21"/>
              </w:rPr>
            </w:pPr>
          </w:p>
        </w:tc>
        <w:tc>
          <w:tcPr>
            <w:tcW w:w="8975" w:type="dxa"/>
            <w:gridSpan w:val="6"/>
            <w:vAlign w:val="center"/>
          </w:tcPr>
          <w:p w14:paraId="2D36954C">
            <w:pPr>
              <w:spacing w:line="240" w:lineRule="auto"/>
              <w:jc w:val="left"/>
              <w:rPr>
                <w:rFonts w:hint="eastAsia" w:ascii="宋体" w:hAnsi="宋体" w:eastAsia="宋体" w:cs="宋体"/>
                <w:b/>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z w:val="21"/>
                <w:szCs w:val="21"/>
              </w:rPr>
              <w:t>从辩证思维的角度掌握连续函数在分析教育与经济、教育与政治、教育与文化的关系中的作用，树立制度自信和文化自信。</w:t>
            </w:r>
          </w:p>
        </w:tc>
      </w:tr>
      <w:tr w14:paraId="4E244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227D6B7B">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r>
              <w:rPr>
                <w:rFonts w:hint="eastAsia" w:ascii="宋体" w:hAnsi="宋体" w:eastAsia="宋体" w:cs="宋体"/>
                <w:b/>
                <w:color w:val="auto"/>
                <w:sz w:val="21"/>
                <w:szCs w:val="21"/>
              </w:rPr>
              <w:t>导数与微分</w:t>
            </w:r>
          </w:p>
        </w:tc>
        <w:tc>
          <w:tcPr>
            <w:tcW w:w="2768" w:type="dxa"/>
            <w:gridSpan w:val="2"/>
            <w:vAlign w:val="center"/>
          </w:tcPr>
          <w:p w14:paraId="40911C6F">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（1）导数的概念与几何意义</w:t>
            </w:r>
          </w:p>
          <w:p w14:paraId="19FCA47F">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（2）可导性与连续性之间的关系</w:t>
            </w:r>
          </w:p>
          <w:p w14:paraId="0C3F4B45">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（3）求导法则与导数公式</w:t>
            </w:r>
          </w:p>
          <w:p w14:paraId="73375335">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（4）微分概念与基本公式</w:t>
            </w:r>
          </w:p>
          <w:p w14:paraId="44B945FB">
            <w:pPr>
              <w:tabs>
                <w:tab w:val="left" w:pos="900"/>
              </w:tabs>
              <w:snapToGrid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（5）</w:t>
            </w:r>
            <w:r>
              <w:rPr>
                <w:rFonts w:hint="eastAsia" w:ascii="宋体" w:hAnsi="宋体" w:eastAsia="宋体" w:cs="宋体"/>
                <w:color w:val="auto"/>
                <w:kern w:val="10"/>
                <w:sz w:val="21"/>
                <w:szCs w:val="21"/>
              </w:rPr>
              <w:t>高阶导数与高阶微分</w:t>
            </w:r>
          </w:p>
        </w:tc>
        <w:tc>
          <w:tcPr>
            <w:tcW w:w="1114" w:type="dxa"/>
            <w:vAlign w:val="center"/>
          </w:tcPr>
          <w:p w14:paraId="12BE8D58">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课程目标1、2</w:t>
            </w:r>
          </w:p>
        </w:tc>
        <w:tc>
          <w:tcPr>
            <w:tcW w:w="2805" w:type="dxa"/>
            <w:vAlign w:val="center"/>
          </w:tcPr>
          <w:p w14:paraId="334136AC">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（1）掌握函数的求导概念</w:t>
            </w:r>
          </w:p>
          <w:p w14:paraId="67DB25D2">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（2）运用相关公式计算函数的导数</w:t>
            </w:r>
          </w:p>
          <w:p w14:paraId="00F780CD">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（3）运用对数求导法，求隐函数的导数</w:t>
            </w:r>
          </w:p>
        </w:tc>
        <w:tc>
          <w:tcPr>
            <w:tcW w:w="1432" w:type="dxa"/>
            <w:vAlign w:val="center"/>
          </w:tcPr>
          <w:p w14:paraId="3214D8EB">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1.线上学习</w:t>
            </w:r>
          </w:p>
          <w:p w14:paraId="64D27BCC">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2.多媒体教学</w:t>
            </w:r>
          </w:p>
          <w:p w14:paraId="79E430F0">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3.课堂讨论</w:t>
            </w:r>
          </w:p>
          <w:p w14:paraId="42365808">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4.单元测验</w:t>
            </w:r>
          </w:p>
        </w:tc>
        <w:tc>
          <w:tcPr>
            <w:tcW w:w="856" w:type="dxa"/>
            <w:vAlign w:val="center"/>
          </w:tcPr>
          <w:p w14:paraId="71DDE2A8">
            <w:pPr>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p>
        </w:tc>
      </w:tr>
      <w:tr w14:paraId="6789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461F828B">
            <w:pPr>
              <w:spacing w:line="240" w:lineRule="auto"/>
              <w:jc w:val="center"/>
              <w:rPr>
                <w:rFonts w:hint="eastAsia" w:ascii="宋体" w:hAnsi="宋体" w:eastAsia="宋体" w:cs="宋体"/>
                <w:color w:val="auto"/>
                <w:sz w:val="21"/>
                <w:szCs w:val="21"/>
              </w:rPr>
            </w:pPr>
          </w:p>
        </w:tc>
        <w:tc>
          <w:tcPr>
            <w:tcW w:w="8975" w:type="dxa"/>
            <w:gridSpan w:val="6"/>
            <w:vAlign w:val="center"/>
          </w:tcPr>
          <w:p w14:paraId="26FC72A7">
            <w:pPr>
              <w:spacing w:line="240" w:lineRule="auto"/>
              <w:jc w:val="left"/>
              <w:rPr>
                <w:rFonts w:hint="eastAsia" w:ascii="宋体" w:hAnsi="宋体" w:eastAsia="宋体" w:cs="宋体"/>
                <w:b/>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z w:val="21"/>
                <w:szCs w:val="21"/>
              </w:rPr>
              <w:t>通过了解人的身心发展的特点，培养学生热爱教育事业和学生的情感，增强从事教育事业的责任感和使命感。</w:t>
            </w:r>
          </w:p>
        </w:tc>
      </w:tr>
      <w:tr w14:paraId="5DD1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5AFD3780">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r>
              <w:rPr>
                <w:rFonts w:hint="eastAsia" w:ascii="宋体" w:hAnsi="宋体" w:eastAsia="宋体" w:cs="宋体"/>
                <w:b/>
                <w:color w:val="auto"/>
                <w:sz w:val="21"/>
                <w:szCs w:val="21"/>
              </w:rPr>
              <w:t>微积分基本定理及应用</w:t>
            </w:r>
          </w:p>
        </w:tc>
        <w:tc>
          <w:tcPr>
            <w:tcW w:w="2691" w:type="dxa"/>
            <w:vAlign w:val="center"/>
          </w:tcPr>
          <w:p w14:paraId="3F470729">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（1）三大</w:t>
            </w:r>
            <w:r>
              <w:rPr>
                <w:rFonts w:hint="eastAsia" w:ascii="宋体" w:hAnsi="宋体" w:eastAsia="宋体" w:cs="宋体"/>
                <w:color w:val="auto"/>
                <w:kern w:val="10"/>
                <w:sz w:val="21"/>
                <w:szCs w:val="21"/>
              </w:rPr>
              <w:t>中值定理</w:t>
            </w:r>
          </w:p>
          <w:p w14:paraId="22EA8BAF">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kern w:val="10"/>
                <w:sz w:val="21"/>
                <w:szCs w:val="21"/>
              </w:rPr>
              <w:t>洛必达法则</w:t>
            </w:r>
          </w:p>
          <w:p w14:paraId="0A153EA5">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（3）</w:t>
            </w:r>
            <w:r>
              <w:rPr>
                <w:rFonts w:hint="eastAsia" w:ascii="宋体" w:hAnsi="宋体" w:eastAsia="宋体" w:cs="宋体"/>
                <w:color w:val="auto"/>
                <w:kern w:val="10"/>
                <w:sz w:val="21"/>
                <w:szCs w:val="21"/>
              </w:rPr>
              <w:t>导数与函数</w:t>
            </w:r>
          </w:p>
        </w:tc>
        <w:tc>
          <w:tcPr>
            <w:tcW w:w="1191" w:type="dxa"/>
            <w:gridSpan w:val="2"/>
            <w:vAlign w:val="center"/>
          </w:tcPr>
          <w:p w14:paraId="6C10F18B">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课程目标1、2</w:t>
            </w:r>
          </w:p>
        </w:tc>
        <w:tc>
          <w:tcPr>
            <w:tcW w:w="2805" w:type="dxa"/>
            <w:vAlign w:val="center"/>
          </w:tcPr>
          <w:p w14:paraId="610F44C6">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（1）理解三大</w:t>
            </w:r>
            <w:r>
              <w:rPr>
                <w:rFonts w:hint="eastAsia" w:ascii="宋体" w:hAnsi="宋体" w:eastAsia="宋体" w:cs="宋体"/>
                <w:color w:val="auto"/>
                <w:kern w:val="10"/>
                <w:sz w:val="21"/>
                <w:szCs w:val="21"/>
              </w:rPr>
              <w:t>中值定理及其应用</w:t>
            </w:r>
          </w:p>
          <w:p w14:paraId="21CE53B2">
            <w:pPr>
              <w:spacing w:line="240" w:lineRule="auto"/>
              <w:rPr>
                <w:rFonts w:hint="eastAsia" w:ascii="宋体" w:hAnsi="宋体" w:eastAsia="宋体" w:cs="宋体"/>
                <w:color w:val="auto"/>
                <w:kern w:val="10"/>
                <w:sz w:val="21"/>
                <w:szCs w:val="21"/>
              </w:rPr>
            </w:pPr>
            <w:r>
              <w:rPr>
                <w:rFonts w:hint="eastAsia" w:ascii="宋体" w:hAnsi="宋体" w:eastAsia="宋体" w:cs="宋体"/>
                <w:color w:val="auto"/>
                <w:sz w:val="21"/>
                <w:szCs w:val="21"/>
              </w:rPr>
              <w:t>（2）掌握</w:t>
            </w:r>
            <w:r>
              <w:rPr>
                <w:rFonts w:hint="eastAsia" w:ascii="宋体" w:hAnsi="宋体" w:eastAsia="宋体" w:cs="宋体"/>
                <w:color w:val="auto"/>
                <w:kern w:val="10"/>
                <w:sz w:val="21"/>
                <w:szCs w:val="21"/>
              </w:rPr>
              <w:t>导数研究函数性态的方法</w:t>
            </w:r>
          </w:p>
          <w:p w14:paraId="036D9F7F">
            <w:pPr>
              <w:spacing w:line="240" w:lineRule="auto"/>
              <w:jc w:val="left"/>
              <w:rPr>
                <w:rFonts w:hint="eastAsia" w:ascii="宋体" w:hAnsi="宋体" w:eastAsia="宋体" w:cs="宋体"/>
                <w:color w:val="auto"/>
                <w:sz w:val="21"/>
                <w:szCs w:val="21"/>
              </w:rPr>
            </w:pPr>
            <w:r>
              <w:rPr>
                <w:rFonts w:hint="eastAsia" w:ascii="宋体" w:hAnsi="宋体" w:eastAsia="宋体" w:cs="宋体"/>
                <w:color w:val="auto"/>
                <w:kern w:val="10"/>
                <w:sz w:val="21"/>
                <w:szCs w:val="21"/>
              </w:rPr>
              <w:t>（3）利用中值定理，证明不等式或恒等式问题</w:t>
            </w:r>
          </w:p>
        </w:tc>
        <w:tc>
          <w:tcPr>
            <w:tcW w:w="1432" w:type="dxa"/>
            <w:vAlign w:val="center"/>
          </w:tcPr>
          <w:p w14:paraId="1F8C77B9">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1.线上学习</w:t>
            </w:r>
          </w:p>
          <w:p w14:paraId="6AD9AA9A">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2.多媒体教学</w:t>
            </w:r>
          </w:p>
          <w:p w14:paraId="3B72D134">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3.课堂讨论</w:t>
            </w:r>
          </w:p>
          <w:p w14:paraId="3ED08A16">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4.单元测验</w:t>
            </w:r>
          </w:p>
        </w:tc>
        <w:tc>
          <w:tcPr>
            <w:tcW w:w="856" w:type="dxa"/>
            <w:vAlign w:val="center"/>
          </w:tcPr>
          <w:p w14:paraId="0A62030C">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r>
      <w:tr w14:paraId="395C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14A4D6DA">
            <w:pPr>
              <w:spacing w:line="240" w:lineRule="auto"/>
              <w:jc w:val="center"/>
              <w:rPr>
                <w:rFonts w:hint="eastAsia" w:ascii="宋体" w:hAnsi="宋体" w:eastAsia="宋体" w:cs="宋体"/>
                <w:color w:val="auto"/>
                <w:sz w:val="21"/>
                <w:szCs w:val="21"/>
              </w:rPr>
            </w:pPr>
          </w:p>
        </w:tc>
        <w:tc>
          <w:tcPr>
            <w:tcW w:w="8975" w:type="dxa"/>
            <w:gridSpan w:val="6"/>
            <w:vAlign w:val="center"/>
          </w:tcPr>
          <w:p w14:paraId="07519BD3">
            <w:pPr>
              <w:spacing w:line="240" w:lineRule="auto"/>
              <w:jc w:val="left"/>
              <w:rPr>
                <w:rFonts w:hint="eastAsia" w:ascii="宋体" w:hAnsi="宋体" w:eastAsia="宋体" w:cs="宋体"/>
                <w:b/>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z w:val="21"/>
                <w:szCs w:val="21"/>
              </w:rPr>
              <w:t>通过对我国教育目的的认识和理解，能够具有社会责任感、创新精神和实践能力，主动践行社会主义核心价值观，在未来的教育实践中能主动推进素质教育，培养创新人才，从而实现中华民族的伟大复兴。</w:t>
            </w:r>
          </w:p>
        </w:tc>
      </w:tr>
    </w:tbl>
    <w:p w14:paraId="7E2E4ABD">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lang w:val="en-US" w:eastAsia="zh-CN"/>
        </w:rPr>
      </w:pPr>
      <w:bookmarkStart w:id="360" w:name="_Toc19729761"/>
      <w:r>
        <w:rPr>
          <w:rFonts w:hint="eastAsia" w:ascii="Times New Roman" w:hAnsi="Times New Roman" w:eastAsia="宋体" w:cs="Times New Roman"/>
          <w:b/>
          <w:color w:val="auto"/>
          <w:sz w:val="24"/>
          <w:szCs w:val="24"/>
          <w:lang w:val="en-US" w:eastAsia="zh-CN"/>
        </w:rPr>
        <w:t>四、目标评价与成绩评定</w:t>
      </w:r>
    </w:p>
    <w:p w14:paraId="50F6323D">
      <w:pPr>
        <w:spacing w:line="360" w:lineRule="auto"/>
        <w:ind w:firstLine="422" w:firstLineChars="200"/>
        <w:jc w:val="left"/>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（一）课程目标评价方式</w:t>
      </w:r>
    </w:p>
    <w:p w14:paraId="0FF2387D">
      <w:pPr>
        <w:spacing w:line="360" w:lineRule="auto"/>
        <w:ind w:firstLine="420" w:firstLineChars="200"/>
        <w:jc w:val="lef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根据总体设计，用于评价各课程目标的评价方式如下表</w:t>
      </w:r>
      <w:r>
        <w:rPr>
          <w:rFonts w:ascii="Times New Roman" w:hAnsi="Times New Roman" w:eastAsia="宋体" w:cs="Times New Roman"/>
          <w:color w:val="auto"/>
          <w:sz w:val="21"/>
          <w:szCs w:val="21"/>
        </w:rPr>
        <w:t>所示。</w:t>
      </w:r>
    </w:p>
    <w:p w14:paraId="5A6DBD38">
      <w:pPr>
        <w:spacing w:line="360" w:lineRule="auto"/>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课程教学评价设计总表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5DCC7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restart"/>
            <w:vAlign w:val="center"/>
          </w:tcPr>
          <w:p w14:paraId="3F00F4D2">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w:t>
            </w:r>
          </w:p>
        </w:tc>
        <w:tc>
          <w:tcPr>
            <w:tcW w:w="0" w:type="auto"/>
            <w:gridSpan w:val="6"/>
            <w:vAlign w:val="center"/>
          </w:tcPr>
          <w:p w14:paraId="22BCF036">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评价与成绩评定方法</w:t>
            </w:r>
          </w:p>
        </w:tc>
        <w:tc>
          <w:tcPr>
            <w:tcW w:w="0" w:type="auto"/>
            <w:vMerge w:val="restart"/>
            <w:vAlign w:val="center"/>
          </w:tcPr>
          <w:p w14:paraId="45580BE0">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分值</w:t>
            </w:r>
          </w:p>
        </w:tc>
      </w:tr>
      <w:tr w14:paraId="5C3E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8CE123B">
            <w:pPr>
              <w:spacing w:line="360" w:lineRule="auto"/>
              <w:jc w:val="center"/>
              <w:rPr>
                <w:rFonts w:hint="eastAsia" w:ascii="宋体" w:hAnsi="宋体" w:eastAsia="宋体" w:cs="Times New Roman"/>
                <w:color w:val="auto"/>
                <w:sz w:val="21"/>
                <w:szCs w:val="21"/>
              </w:rPr>
            </w:pPr>
          </w:p>
        </w:tc>
        <w:tc>
          <w:tcPr>
            <w:tcW w:w="0" w:type="auto"/>
            <w:vAlign w:val="center"/>
          </w:tcPr>
          <w:p w14:paraId="649E107D">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平时作业</w:t>
            </w:r>
          </w:p>
        </w:tc>
        <w:tc>
          <w:tcPr>
            <w:tcW w:w="0" w:type="auto"/>
            <w:vAlign w:val="center"/>
          </w:tcPr>
          <w:p w14:paraId="1EEB67F3">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课堂表现</w:t>
            </w:r>
          </w:p>
        </w:tc>
        <w:tc>
          <w:tcPr>
            <w:tcW w:w="0" w:type="auto"/>
            <w:vAlign w:val="center"/>
          </w:tcPr>
          <w:p w14:paraId="47FF9544">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单元测验</w:t>
            </w:r>
          </w:p>
        </w:tc>
        <w:tc>
          <w:tcPr>
            <w:tcW w:w="0" w:type="auto"/>
            <w:vAlign w:val="center"/>
          </w:tcPr>
          <w:p w14:paraId="330E3030">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个人展示</w:t>
            </w:r>
          </w:p>
        </w:tc>
        <w:tc>
          <w:tcPr>
            <w:tcW w:w="0" w:type="auto"/>
            <w:vAlign w:val="center"/>
          </w:tcPr>
          <w:p w14:paraId="425B7D26">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期末考试</w:t>
            </w:r>
          </w:p>
        </w:tc>
        <w:tc>
          <w:tcPr>
            <w:tcW w:w="0" w:type="auto"/>
          </w:tcPr>
          <w:p w14:paraId="4ADD013B">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自主学习</w:t>
            </w:r>
          </w:p>
        </w:tc>
        <w:tc>
          <w:tcPr>
            <w:tcW w:w="0" w:type="auto"/>
            <w:vMerge w:val="continue"/>
            <w:vAlign w:val="center"/>
          </w:tcPr>
          <w:p w14:paraId="1B8519E4">
            <w:pPr>
              <w:spacing w:line="360" w:lineRule="auto"/>
              <w:jc w:val="center"/>
              <w:rPr>
                <w:rFonts w:hint="eastAsia" w:ascii="宋体" w:hAnsi="宋体" w:eastAsia="宋体" w:cs="Times New Roman"/>
                <w:color w:val="auto"/>
                <w:sz w:val="21"/>
                <w:szCs w:val="21"/>
              </w:rPr>
            </w:pPr>
          </w:p>
        </w:tc>
      </w:tr>
      <w:tr w14:paraId="2D81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B28CE2">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w:t>
            </w:r>
          </w:p>
        </w:tc>
        <w:tc>
          <w:tcPr>
            <w:tcW w:w="0" w:type="auto"/>
            <w:vAlign w:val="center"/>
          </w:tcPr>
          <w:p w14:paraId="5DD3C265">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vAlign w:val="center"/>
          </w:tcPr>
          <w:p w14:paraId="1FD5861E">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vAlign w:val="center"/>
          </w:tcPr>
          <w:p w14:paraId="5D86F62D">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vAlign w:val="center"/>
          </w:tcPr>
          <w:p w14:paraId="1D9F0EEA">
            <w:pPr>
              <w:spacing w:line="360" w:lineRule="auto"/>
              <w:jc w:val="center"/>
              <w:rPr>
                <w:rFonts w:hint="eastAsia" w:ascii="宋体" w:hAnsi="宋体" w:eastAsia="宋体" w:cs="Times New Roman"/>
                <w:color w:val="auto"/>
                <w:sz w:val="21"/>
                <w:szCs w:val="21"/>
              </w:rPr>
            </w:pPr>
          </w:p>
        </w:tc>
        <w:tc>
          <w:tcPr>
            <w:tcW w:w="0" w:type="auto"/>
            <w:vAlign w:val="center"/>
          </w:tcPr>
          <w:p w14:paraId="7A0BF66E">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tcPr>
          <w:p w14:paraId="37F9C87B">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vAlign w:val="center"/>
          </w:tcPr>
          <w:p w14:paraId="048CED88">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50</w:t>
            </w:r>
          </w:p>
        </w:tc>
      </w:tr>
      <w:tr w14:paraId="7C4B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09C875">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课程目标2</w:t>
            </w:r>
          </w:p>
        </w:tc>
        <w:tc>
          <w:tcPr>
            <w:tcW w:w="0" w:type="auto"/>
            <w:vAlign w:val="center"/>
          </w:tcPr>
          <w:p w14:paraId="0B5C161C">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vAlign w:val="center"/>
          </w:tcPr>
          <w:p w14:paraId="66C8EF56">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vAlign w:val="center"/>
          </w:tcPr>
          <w:p w14:paraId="459294CD">
            <w:pPr>
              <w:spacing w:line="360" w:lineRule="auto"/>
              <w:jc w:val="center"/>
              <w:rPr>
                <w:rFonts w:hint="eastAsia" w:ascii="宋体" w:hAnsi="宋体" w:eastAsia="宋体" w:cs="Times New Roman"/>
                <w:color w:val="auto"/>
                <w:sz w:val="21"/>
                <w:szCs w:val="21"/>
              </w:rPr>
            </w:pPr>
          </w:p>
        </w:tc>
        <w:tc>
          <w:tcPr>
            <w:tcW w:w="0" w:type="auto"/>
            <w:vAlign w:val="center"/>
          </w:tcPr>
          <w:p w14:paraId="23635F28">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vAlign w:val="center"/>
          </w:tcPr>
          <w:p w14:paraId="36463D7A">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tcPr>
          <w:p w14:paraId="3FB130C9">
            <w:pPr>
              <w:spacing w:line="360" w:lineRule="auto"/>
              <w:jc w:val="center"/>
              <w:rPr>
                <w:rFonts w:hint="eastAsia" w:ascii="宋体" w:hAnsi="宋体" w:eastAsia="宋体" w:cs="Times New Roman"/>
                <w:color w:val="auto"/>
                <w:sz w:val="21"/>
                <w:szCs w:val="21"/>
              </w:rPr>
            </w:pPr>
          </w:p>
        </w:tc>
        <w:tc>
          <w:tcPr>
            <w:tcW w:w="0" w:type="auto"/>
            <w:vAlign w:val="center"/>
          </w:tcPr>
          <w:p w14:paraId="0BA96318">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50</w:t>
            </w:r>
          </w:p>
        </w:tc>
      </w:tr>
      <w:tr w14:paraId="3B79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387406">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合计</w:t>
            </w:r>
          </w:p>
        </w:tc>
        <w:tc>
          <w:tcPr>
            <w:tcW w:w="0" w:type="auto"/>
            <w:vAlign w:val="center"/>
          </w:tcPr>
          <w:p w14:paraId="29C80849">
            <w:pPr>
              <w:spacing w:line="360" w:lineRule="auto"/>
              <w:jc w:val="center"/>
              <w:rPr>
                <w:rFonts w:hint="eastAsia" w:ascii="宋体" w:hAnsi="宋体" w:eastAsia="宋体" w:cs="Times New Roman"/>
                <w:color w:val="auto"/>
                <w:sz w:val="21"/>
                <w:szCs w:val="21"/>
              </w:rPr>
            </w:pPr>
          </w:p>
        </w:tc>
        <w:tc>
          <w:tcPr>
            <w:tcW w:w="0" w:type="auto"/>
            <w:vAlign w:val="center"/>
          </w:tcPr>
          <w:p w14:paraId="79F2A6F7">
            <w:pPr>
              <w:spacing w:line="360" w:lineRule="auto"/>
              <w:jc w:val="center"/>
              <w:rPr>
                <w:rFonts w:hint="eastAsia" w:ascii="宋体" w:hAnsi="宋体" w:eastAsia="宋体" w:cs="Times New Roman"/>
                <w:color w:val="auto"/>
                <w:sz w:val="21"/>
                <w:szCs w:val="21"/>
              </w:rPr>
            </w:pPr>
          </w:p>
        </w:tc>
        <w:tc>
          <w:tcPr>
            <w:tcW w:w="0" w:type="auto"/>
            <w:vAlign w:val="center"/>
          </w:tcPr>
          <w:p w14:paraId="6CFC58C0">
            <w:pPr>
              <w:spacing w:line="360" w:lineRule="auto"/>
              <w:jc w:val="center"/>
              <w:rPr>
                <w:rFonts w:hint="eastAsia" w:ascii="宋体" w:hAnsi="宋体" w:eastAsia="宋体" w:cs="Times New Roman"/>
                <w:color w:val="auto"/>
                <w:sz w:val="21"/>
                <w:szCs w:val="21"/>
              </w:rPr>
            </w:pPr>
          </w:p>
        </w:tc>
        <w:tc>
          <w:tcPr>
            <w:tcW w:w="0" w:type="auto"/>
            <w:vAlign w:val="center"/>
          </w:tcPr>
          <w:p w14:paraId="27E5A3E1">
            <w:pPr>
              <w:spacing w:line="360" w:lineRule="auto"/>
              <w:jc w:val="center"/>
              <w:rPr>
                <w:rFonts w:hint="eastAsia" w:ascii="宋体" w:hAnsi="宋体" w:eastAsia="宋体" w:cs="Times New Roman"/>
                <w:color w:val="auto"/>
                <w:sz w:val="21"/>
                <w:szCs w:val="21"/>
              </w:rPr>
            </w:pPr>
          </w:p>
        </w:tc>
        <w:tc>
          <w:tcPr>
            <w:tcW w:w="0" w:type="auto"/>
            <w:vAlign w:val="center"/>
          </w:tcPr>
          <w:p w14:paraId="2FCCB865">
            <w:pPr>
              <w:spacing w:line="360" w:lineRule="auto"/>
              <w:jc w:val="center"/>
              <w:rPr>
                <w:rFonts w:hint="eastAsia" w:ascii="宋体" w:hAnsi="宋体" w:eastAsia="宋体" w:cs="Times New Roman"/>
                <w:color w:val="auto"/>
                <w:sz w:val="21"/>
                <w:szCs w:val="21"/>
              </w:rPr>
            </w:pPr>
          </w:p>
        </w:tc>
        <w:tc>
          <w:tcPr>
            <w:tcW w:w="0" w:type="auto"/>
          </w:tcPr>
          <w:p w14:paraId="5BCAC35F">
            <w:pPr>
              <w:spacing w:line="360" w:lineRule="auto"/>
              <w:jc w:val="center"/>
              <w:rPr>
                <w:rFonts w:hint="eastAsia" w:ascii="宋体" w:hAnsi="宋体" w:eastAsia="宋体" w:cs="Times New Roman"/>
                <w:color w:val="auto"/>
                <w:sz w:val="21"/>
                <w:szCs w:val="21"/>
              </w:rPr>
            </w:pPr>
          </w:p>
        </w:tc>
        <w:tc>
          <w:tcPr>
            <w:tcW w:w="0" w:type="auto"/>
            <w:vAlign w:val="center"/>
          </w:tcPr>
          <w:p w14:paraId="0CB5F4B2">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100</w:t>
            </w:r>
          </w:p>
        </w:tc>
      </w:tr>
    </w:tbl>
    <w:p w14:paraId="538DE23A">
      <w:pPr>
        <w:spacing w:line="360" w:lineRule="auto"/>
        <w:ind w:firstLine="422" w:firstLineChars="200"/>
        <w:rPr>
          <w:rFonts w:ascii="Calibri" w:hAnsi="Calibri" w:eastAsia="宋体" w:cs="Times New Roman"/>
          <w:b/>
          <w:color w:val="auto"/>
          <w:sz w:val="21"/>
          <w:szCs w:val="21"/>
        </w:rPr>
      </w:pPr>
      <w:r>
        <w:rPr>
          <w:rFonts w:hint="eastAsia" w:ascii="Times New Roman" w:hAnsi="Times New Roman" w:eastAsia="宋体" w:cs="Times New Roman"/>
          <w:b/>
          <w:color w:val="auto"/>
          <w:sz w:val="21"/>
          <w:szCs w:val="21"/>
        </w:rPr>
        <w:t>（二）成绩评定细则</w:t>
      </w:r>
    </w:p>
    <w:p w14:paraId="052CBD57">
      <w:pPr>
        <w:spacing w:line="360" w:lineRule="auto"/>
        <w:ind w:firstLine="420" w:firstLineChars="200"/>
        <w:rPr>
          <w:rFonts w:ascii="Calibri" w:hAnsi="Calibri" w:eastAsia="宋体" w:cs="Times New Roman"/>
          <w:color w:val="auto"/>
          <w:sz w:val="21"/>
          <w:szCs w:val="21"/>
        </w:rPr>
      </w:pPr>
      <w:r>
        <w:rPr>
          <w:rFonts w:ascii="Calibri" w:hAnsi="Calibri" w:eastAsia="宋体" w:cs="Times New Roman"/>
          <w:color w:val="auto"/>
          <w:sz w:val="21"/>
          <w:szCs w:val="21"/>
        </w:rPr>
        <w:t>（</w:t>
      </w:r>
      <w:r>
        <w:rPr>
          <w:rFonts w:hint="eastAsia" w:ascii="Calibri" w:hAnsi="Calibri" w:eastAsia="宋体" w:cs="Times New Roman"/>
          <w:color w:val="auto"/>
          <w:sz w:val="21"/>
          <w:szCs w:val="21"/>
        </w:rPr>
        <w:t>1</w:t>
      </w:r>
      <w:r>
        <w:rPr>
          <w:rFonts w:ascii="Calibri" w:hAnsi="Calibri" w:eastAsia="宋体" w:cs="Times New Roman"/>
          <w:color w:val="auto"/>
          <w:sz w:val="21"/>
          <w:szCs w:val="21"/>
        </w:rPr>
        <w:t>）课程考核包括期末考试、平时及作业考核等，期末考试采用闭卷考试方式。</w:t>
      </w:r>
    </w:p>
    <w:p w14:paraId="20686629">
      <w:pPr>
        <w:spacing w:line="360" w:lineRule="auto"/>
        <w:ind w:firstLine="420" w:firstLineChars="200"/>
        <w:rPr>
          <w:rFonts w:ascii="Calibri" w:hAnsi="Calibri" w:eastAsia="宋体" w:cs="Times New Roman"/>
          <w:color w:val="auto"/>
          <w:sz w:val="21"/>
          <w:szCs w:val="21"/>
        </w:rPr>
      </w:pPr>
      <w:r>
        <w:rPr>
          <w:rFonts w:ascii="Calibri" w:hAnsi="Calibri" w:eastAsia="宋体" w:cs="Times New Roman"/>
          <w:color w:val="auto"/>
          <w:sz w:val="21"/>
          <w:szCs w:val="21"/>
        </w:rPr>
        <w:t>（</w:t>
      </w:r>
      <w:r>
        <w:rPr>
          <w:rFonts w:hint="eastAsia" w:ascii="Calibri" w:hAnsi="Calibri" w:eastAsia="宋体" w:cs="Times New Roman"/>
          <w:color w:val="auto"/>
          <w:sz w:val="21"/>
          <w:szCs w:val="21"/>
        </w:rPr>
        <w:t>2</w:t>
      </w:r>
      <w:r>
        <w:rPr>
          <w:rFonts w:ascii="Calibri" w:hAnsi="Calibri" w:eastAsia="宋体" w:cs="Times New Roman"/>
          <w:color w:val="auto"/>
          <w:sz w:val="21"/>
          <w:szCs w:val="21"/>
        </w:rPr>
        <w:t>）课程总评成绩=平时成绩×</w:t>
      </w:r>
      <w:r>
        <w:rPr>
          <w:rFonts w:hint="eastAsia" w:ascii="Calibri" w:hAnsi="Calibri" w:eastAsia="宋体" w:cs="Times New Roman"/>
          <w:color w:val="auto"/>
          <w:sz w:val="21"/>
          <w:szCs w:val="21"/>
        </w:rPr>
        <w:t>3</w:t>
      </w:r>
      <w:r>
        <w:rPr>
          <w:rFonts w:ascii="Calibri" w:hAnsi="Calibri" w:eastAsia="宋体" w:cs="Times New Roman"/>
          <w:color w:val="auto"/>
          <w:sz w:val="21"/>
          <w:szCs w:val="21"/>
        </w:rPr>
        <w:t>0 % +期末考试成绩×</w:t>
      </w:r>
      <w:r>
        <w:rPr>
          <w:rFonts w:hint="eastAsia" w:ascii="Calibri" w:hAnsi="Calibri" w:eastAsia="宋体" w:cs="Times New Roman"/>
          <w:color w:val="auto"/>
          <w:sz w:val="21"/>
          <w:szCs w:val="21"/>
        </w:rPr>
        <w:t>7</w:t>
      </w:r>
      <w:r>
        <w:rPr>
          <w:rFonts w:ascii="Calibri" w:hAnsi="Calibri" w:eastAsia="宋体" w:cs="Times New Roman"/>
          <w:color w:val="auto"/>
          <w:sz w:val="21"/>
          <w:szCs w:val="21"/>
        </w:rPr>
        <w:t>0 %。</w:t>
      </w:r>
    </w:p>
    <w:bookmarkEnd w:id="360"/>
    <w:p w14:paraId="7CE43DD3">
      <w:pPr>
        <w:spacing w:line="360" w:lineRule="auto"/>
        <w:ind w:firstLine="420" w:firstLineChars="200"/>
        <w:rPr>
          <w:rFonts w:ascii="Calibri" w:hAnsi="Calibri" w:eastAsia="宋体" w:cs="Times New Roman"/>
          <w:color w:val="auto"/>
          <w:sz w:val="21"/>
          <w:szCs w:val="21"/>
        </w:rPr>
      </w:pPr>
      <w:r>
        <w:rPr>
          <w:rFonts w:ascii="Calibri" w:hAnsi="Calibri" w:eastAsia="宋体" w:cs="Times New Roman"/>
          <w:color w:val="auto"/>
          <w:sz w:val="21"/>
          <w:szCs w:val="21"/>
        </w:rPr>
        <w:t>（</w:t>
      </w:r>
      <w:r>
        <w:rPr>
          <w:rFonts w:hint="eastAsia" w:ascii="Calibri" w:hAnsi="Calibri" w:eastAsia="宋体" w:cs="Times New Roman"/>
          <w:color w:val="auto"/>
          <w:sz w:val="21"/>
          <w:szCs w:val="21"/>
        </w:rPr>
        <w:t>3</w:t>
      </w:r>
      <w:r>
        <w:rPr>
          <w:rFonts w:ascii="Calibri" w:hAnsi="Calibri" w:eastAsia="宋体" w:cs="Times New Roman"/>
          <w:color w:val="auto"/>
          <w:sz w:val="21"/>
          <w:szCs w:val="21"/>
        </w:rPr>
        <w:t>）课程目标及考核方式权重分配表</w:t>
      </w:r>
    </w:p>
    <w:tbl>
      <w:tblPr>
        <w:tblStyle w:val="15"/>
        <w:tblW w:w="8990" w:type="dxa"/>
        <w:tblInd w:w="0" w:type="dxa"/>
        <w:tblLayout w:type="fixed"/>
        <w:tblCellMar>
          <w:top w:w="0" w:type="dxa"/>
          <w:left w:w="108" w:type="dxa"/>
          <w:bottom w:w="0" w:type="dxa"/>
          <w:right w:w="108" w:type="dxa"/>
        </w:tblCellMar>
      </w:tblPr>
      <w:tblGrid>
        <w:gridCol w:w="2037"/>
        <w:gridCol w:w="1807"/>
        <w:gridCol w:w="1497"/>
        <w:gridCol w:w="1592"/>
        <w:gridCol w:w="2057"/>
      </w:tblGrid>
      <w:tr w14:paraId="07F92BE4">
        <w:tblPrEx>
          <w:tblCellMar>
            <w:top w:w="0" w:type="dxa"/>
            <w:left w:w="108" w:type="dxa"/>
            <w:bottom w:w="0" w:type="dxa"/>
            <w:right w:w="108" w:type="dxa"/>
          </w:tblCellMar>
        </w:tblPrEx>
        <w:trPr>
          <w:trHeight w:val="299" w:hRule="atLeast"/>
        </w:trPr>
        <w:tc>
          <w:tcPr>
            <w:tcW w:w="3844" w:type="dxa"/>
            <w:gridSpan w:val="2"/>
            <w:tcBorders>
              <w:top w:val="single" w:color="auto" w:sz="8" w:space="0"/>
              <w:left w:val="single" w:color="auto" w:sz="8" w:space="0"/>
              <w:bottom w:val="single" w:color="auto" w:sz="8" w:space="0"/>
              <w:right w:val="single" w:color="000000" w:sz="8" w:space="0"/>
            </w:tcBorders>
            <w:vAlign w:val="center"/>
          </w:tcPr>
          <w:p w14:paraId="5B24D4BE">
            <w:pPr>
              <w:widowControl/>
              <w:spacing w:line="276" w:lineRule="auto"/>
              <w:jc w:val="center"/>
              <w:rPr>
                <w:rFonts w:hint="eastAsia" w:ascii="宋体" w:hAnsi="宋体" w:eastAsia="宋体" w:cs="Times New Roman"/>
                <w:b/>
                <w:bCs/>
                <w:color w:val="auto"/>
                <w:kern w:val="0"/>
                <w:szCs w:val="21"/>
              </w:rPr>
            </w:pPr>
            <w:r>
              <w:rPr>
                <w:rFonts w:ascii="宋体" w:hAnsi="宋体" w:eastAsia="宋体" w:cs="Times New Roman"/>
                <w:b/>
                <w:bCs/>
                <w:color w:val="auto"/>
                <w:kern w:val="0"/>
                <w:szCs w:val="21"/>
              </w:rPr>
              <w:t>课程目标及权重</w:t>
            </w:r>
          </w:p>
        </w:tc>
        <w:tc>
          <w:tcPr>
            <w:tcW w:w="5146" w:type="dxa"/>
            <w:gridSpan w:val="3"/>
            <w:tcBorders>
              <w:top w:val="single" w:color="auto" w:sz="8" w:space="0"/>
              <w:left w:val="nil"/>
              <w:bottom w:val="single" w:color="auto" w:sz="8" w:space="0"/>
              <w:right w:val="single" w:color="000000" w:sz="8" w:space="0"/>
            </w:tcBorders>
            <w:vAlign w:val="center"/>
          </w:tcPr>
          <w:p w14:paraId="2F025810">
            <w:pPr>
              <w:widowControl/>
              <w:spacing w:line="276" w:lineRule="auto"/>
              <w:ind w:right="-391" w:rightChars="-186"/>
              <w:jc w:val="center"/>
              <w:rPr>
                <w:rFonts w:hint="eastAsia" w:ascii="宋体" w:hAnsi="宋体" w:eastAsia="宋体" w:cs="Times New Roman"/>
                <w:b/>
                <w:bCs/>
                <w:color w:val="auto"/>
                <w:kern w:val="0"/>
                <w:szCs w:val="21"/>
              </w:rPr>
            </w:pPr>
            <w:r>
              <w:rPr>
                <w:rFonts w:ascii="宋体" w:hAnsi="宋体" w:eastAsia="宋体" w:cs="Times New Roman"/>
                <w:b/>
                <w:bCs/>
                <w:color w:val="auto"/>
                <w:kern w:val="0"/>
                <w:szCs w:val="21"/>
              </w:rPr>
              <w:t>考核方式及权重</w:t>
            </w:r>
          </w:p>
        </w:tc>
      </w:tr>
      <w:tr w14:paraId="726A4F4D">
        <w:tblPrEx>
          <w:tblCellMar>
            <w:top w:w="0" w:type="dxa"/>
            <w:left w:w="108" w:type="dxa"/>
            <w:bottom w:w="0" w:type="dxa"/>
            <w:right w:w="108" w:type="dxa"/>
          </w:tblCellMar>
        </w:tblPrEx>
        <w:trPr>
          <w:trHeight w:val="461" w:hRule="atLeast"/>
        </w:trPr>
        <w:tc>
          <w:tcPr>
            <w:tcW w:w="2037" w:type="dxa"/>
            <w:tcBorders>
              <w:top w:val="nil"/>
              <w:left w:val="single" w:color="auto" w:sz="8" w:space="0"/>
              <w:bottom w:val="single" w:color="auto" w:sz="8" w:space="0"/>
              <w:right w:val="single" w:color="auto" w:sz="8" w:space="0"/>
            </w:tcBorders>
            <w:vAlign w:val="center"/>
          </w:tcPr>
          <w:p w14:paraId="7D1587A4">
            <w:pPr>
              <w:widowControl/>
              <w:spacing w:line="276" w:lineRule="auto"/>
              <w:jc w:val="center"/>
              <w:rPr>
                <w:rFonts w:hint="eastAsia" w:ascii="宋体" w:hAnsi="宋体" w:eastAsia="宋体" w:cs="Times New Roman"/>
                <w:color w:val="auto"/>
                <w:kern w:val="0"/>
                <w:szCs w:val="21"/>
              </w:rPr>
            </w:pPr>
            <w:r>
              <w:rPr>
                <w:rFonts w:ascii="宋体" w:hAnsi="宋体" w:eastAsia="宋体" w:cs="Times New Roman"/>
                <w:color w:val="auto"/>
                <w:kern w:val="0"/>
                <w:szCs w:val="21"/>
              </w:rPr>
              <w:t>项目</w:t>
            </w:r>
          </w:p>
        </w:tc>
        <w:tc>
          <w:tcPr>
            <w:tcW w:w="1807" w:type="dxa"/>
            <w:tcBorders>
              <w:top w:val="nil"/>
              <w:left w:val="nil"/>
              <w:bottom w:val="single" w:color="auto" w:sz="8" w:space="0"/>
              <w:right w:val="single" w:color="auto" w:sz="8" w:space="0"/>
            </w:tcBorders>
            <w:vAlign w:val="center"/>
          </w:tcPr>
          <w:p w14:paraId="3E019929">
            <w:pPr>
              <w:widowControl/>
              <w:spacing w:line="276" w:lineRule="auto"/>
              <w:jc w:val="center"/>
              <w:rPr>
                <w:rFonts w:hint="eastAsia" w:ascii="宋体" w:hAnsi="宋体" w:eastAsia="宋体" w:cs="Times New Roman"/>
                <w:color w:val="auto"/>
                <w:kern w:val="0"/>
                <w:szCs w:val="21"/>
              </w:rPr>
            </w:pPr>
            <w:r>
              <w:rPr>
                <w:rFonts w:ascii="宋体" w:hAnsi="宋体" w:eastAsia="宋体" w:cs="Times New Roman"/>
                <w:color w:val="auto"/>
                <w:kern w:val="0"/>
                <w:szCs w:val="21"/>
              </w:rPr>
              <w:t>权重（a）</w:t>
            </w:r>
          </w:p>
        </w:tc>
        <w:tc>
          <w:tcPr>
            <w:tcW w:w="1497" w:type="dxa"/>
            <w:tcBorders>
              <w:top w:val="nil"/>
              <w:left w:val="nil"/>
              <w:bottom w:val="single" w:color="auto" w:sz="8" w:space="0"/>
              <w:right w:val="single" w:color="auto" w:sz="8" w:space="0"/>
            </w:tcBorders>
            <w:vAlign w:val="center"/>
          </w:tcPr>
          <w:p w14:paraId="5E5D9A07">
            <w:pPr>
              <w:widowControl/>
              <w:spacing w:line="276" w:lineRule="auto"/>
              <w:jc w:val="center"/>
              <w:rPr>
                <w:rFonts w:hint="eastAsia" w:ascii="宋体" w:hAnsi="宋体" w:eastAsia="宋体" w:cs="Times New Roman"/>
                <w:color w:val="auto"/>
                <w:kern w:val="0"/>
                <w:szCs w:val="21"/>
              </w:rPr>
            </w:pPr>
            <w:r>
              <w:rPr>
                <w:rFonts w:ascii="宋体" w:hAnsi="宋体" w:eastAsia="宋体" w:cs="Times New Roman"/>
                <w:color w:val="auto"/>
                <w:kern w:val="0"/>
                <w:szCs w:val="21"/>
              </w:rPr>
              <w:t>评价依据</w:t>
            </w:r>
          </w:p>
        </w:tc>
        <w:tc>
          <w:tcPr>
            <w:tcW w:w="1592" w:type="dxa"/>
            <w:tcBorders>
              <w:top w:val="nil"/>
              <w:left w:val="nil"/>
              <w:bottom w:val="single" w:color="auto" w:sz="8" w:space="0"/>
              <w:right w:val="single" w:color="auto" w:sz="8" w:space="0"/>
            </w:tcBorders>
            <w:vAlign w:val="center"/>
          </w:tcPr>
          <w:p w14:paraId="47EADA1B">
            <w:pPr>
              <w:widowControl/>
              <w:spacing w:line="276" w:lineRule="auto"/>
              <w:jc w:val="center"/>
              <w:rPr>
                <w:rFonts w:hint="eastAsia" w:ascii="宋体" w:hAnsi="宋体" w:eastAsia="宋体" w:cs="Times New Roman"/>
                <w:color w:val="auto"/>
                <w:kern w:val="0"/>
                <w:szCs w:val="21"/>
              </w:rPr>
            </w:pPr>
            <w:r>
              <w:rPr>
                <w:rFonts w:ascii="宋体" w:hAnsi="宋体" w:eastAsia="宋体" w:cs="Times New Roman"/>
                <w:color w:val="auto"/>
                <w:kern w:val="0"/>
                <w:szCs w:val="21"/>
              </w:rPr>
              <w:t>权重（b）</w:t>
            </w:r>
          </w:p>
        </w:tc>
        <w:tc>
          <w:tcPr>
            <w:tcW w:w="2057" w:type="dxa"/>
            <w:tcBorders>
              <w:top w:val="nil"/>
              <w:left w:val="nil"/>
              <w:bottom w:val="single" w:color="auto" w:sz="8" w:space="0"/>
              <w:right w:val="single" w:color="auto" w:sz="8" w:space="0"/>
            </w:tcBorders>
            <w:vAlign w:val="center"/>
          </w:tcPr>
          <w:p w14:paraId="17BE164D">
            <w:pPr>
              <w:widowControl/>
              <w:spacing w:line="276" w:lineRule="auto"/>
              <w:jc w:val="center"/>
              <w:rPr>
                <w:rFonts w:hint="eastAsia" w:ascii="宋体" w:hAnsi="宋体" w:eastAsia="宋体" w:cs="Times New Roman"/>
                <w:color w:val="auto"/>
                <w:kern w:val="0"/>
                <w:szCs w:val="21"/>
              </w:rPr>
            </w:pPr>
            <w:r>
              <w:rPr>
                <w:rFonts w:ascii="宋体" w:hAnsi="宋体" w:eastAsia="宋体" w:cs="Times New Roman"/>
                <w:color w:val="auto"/>
                <w:kern w:val="0"/>
                <w:szCs w:val="21"/>
              </w:rPr>
              <w:t>考核方式权重合计</w:t>
            </w:r>
          </w:p>
        </w:tc>
      </w:tr>
      <w:tr w14:paraId="21A756FB">
        <w:tblPrEx>
          <w:tblCellMar>
            <w:top w:w="0" w:type="dxa"/>
            <w:left w:w="108" w:type="dxa"/>
            <w:bottom w:w="0" w:type="dxa"/>
            <w:right w:w="108" w:type="dxa"/>
          </w:tblCellMar>
        </w:tblPrEx>
        <w:trPr>
          <w:trHeight w:val="278" w:hRule="atLeast"/>
        </w:trPr>
        <w:tc>
          <w:tcPr>
            <w:tcW w:w="2037" w:type="dxa"/>
            <w:vMerge w:val="restart"/>
            <w:tcBorders>
              <w:top w:val="nil"/>
              <w:left w:val="single" w:color="auto" w:sz="8" w:space="0"/>
              <w:bottom w:val="single" w:color="000000" w:sz="8" w:space="0"/>
              <w:right w:val="single" w:color="auto" w:sz="8" w:space="0"/>
            </w:tcBorders>
            <w:vAlign w:val="center"/>
          </w:tcPr>
          <w:p w14:paraId="73713A2D">
            <w:pPr>
              <w:widowControl/>
              <w:spacing w:line="276" w:lineRule="auto"/>
              <w:jc w:val="center"/>
              <w:rPr>
                <w:rFonts w:hint="eastAsia" w:ascii="宋体" w:hAnsi="宋体" w:eastAsia="宋体" w:cs="Times New Roman"/>
                <w:color w:val="auto"/>
                <w:kern w:val="0"/>
                <w:szCs w:val="21"/>
              </w:rPr>
            </w:pPr>
            <w:r>
              <w:rPr>
                <w:rFonts w:ascii="宋体" w:hAnsi="宋体" w:eastAsia="宋体" w:cs="Times New Roman"/>
                <w:color w:val="auto"/>
                <w:kern w:val="0"/>
                <w:szCs w:val="21"/>
              </w:rPr>
              <w:t>课程目标</w:t>
            </w:r>
            <w:r>
              <w:rPr>
                <w:rFonts w:hint="eastAsia" w:ascii="宋体" w:hAnsi="宋体" w:eastAsia="宋体" w:cs="Times New Roman"/>
                <w:color w:val="auto"/>
                <w:kern w:val="0"/>
                <w:szCs w:val="21"/>
              </w:rPr>
              <w:t>1，2</w:t>
            </w:r>
          </w:p>
        </w:tc>
        <w:tc>
          <w:tcPr>
            <w:tcW w:w="1807" w:type="dxa"/>
            <w:vMerge w:val="restart"/>
            <w:tcBorders>
              <w:top w:val="nil"/>
              <w:left w:val="single" w:color="auto" w:sz="8" w:space="0"/>
              <w:bottom w:val="single" w:color="000000" w:sz="8" w:space="0"/>
              <w:right w:val="single" w:color="auto" w:sz="8" w:space="0"/>
            </w:tcBorders>
            <w:vAlign w:val="center"/>
          </w:tcPr>
          <w:p w14:paraId="59D1BE44">
            <w:pPr>
              <w:widowControl/>
              <w:spacing w:line="276" w:lineRule="auto"/>
              <w:jc w:val="center"/>
              <w:rPr>
                <w:rFonts w:hint="eastAsia" w:ascii="宋体" w:hAnsi="宋体" w:eastAsia="宋体" w:cs="Times New Roman"/>
                <w:color w:val="auto"/>
                <w:kern w:val="0"/>
                <w:szCs w:val="21"/>
              </w:rPr>
            </w:pPr>
            <w:r>
              <w:rPr>
                <w:rFonts w:ascii="宋体" w:hAnsi="宋体" w:eastAsia="宋体" w:cs="Times New Roman"/>
                <w:color w:val="auto"/>
                <w:kern w:val="0"/>
                <w:szCs w:val="21"/>
              </w:rPr>
              <w:t>100%</w:t>
            </w:r>
          </w:p>
        </w:tc>
        <w:tc>
          <w:tcPr>
            <w:tcW w:w="1497" w:type="dxa"/>
            <w:tcBorders>
              <w:top w:val="nil"/>
              <w:left w:val="nil"/>
              <w:bottom w:val="single" w:color="auto" w:sz="8" w:space="0"/>
              <w:right w:val="single" w:color="auto" w:sz="8" w:space="0"/>
            </w:tcBorders>
            <w:vAlign w:val="center"/>
          </w:tcPr>
          <w:p w14:paraId="5E7D2286">
            <w:pPr>
              <w:widowControl/>
              <w:spacing w:line="276" w:lineRule="auto"/>
              <w:jc w:val="center"/>
              <w:rPr>
                <w:rFonts w:hint="eastAsia" w:ascii="宋体" w:hAnsi="宋体" w:eastAsia="宋体" w:cs="Times New Roman"/>
                <w:color w:val="auto"/>
                <w:kern w:val="0"/>
                <w:szCs w:val="21"/>
              </w:rPr>
            </w:pPr>
            <w:r>
              <w:rPr>
                <w:rFonts w:ascii="宋体" w:hAnsi="宋体" w:eastAsia="宋体" w:cs="Times New Roman"/>
                <w:color w:val="auto"/>
                <w:kern w:val="0"/>
                <w:szCs w:val="21"/>
              </w:rPr>
              <w:t>考试</w:t>
            </w:r>
          </w:p>
        </w:tc>
        <w:tc>
          <w:tcPr>
            <w:tcW w:w="1592" w:type="dxa"/>
            <w:tcBorders>
              <w:top w:val="nil"/>
              <w:left w:val="nil"/>
              <w:bottom w:val="single" w:color="auto" w:sz="8" w:space="0"/>
              <w:right w:val="single" w:color="auto" w:sz="8" w:space="0"/>
            </w:tcBorders>
            <w:vAlign w:val="center"/>
          </w:tcPr>
          <w:p w14:paraId="01A25722">
            <w:pPr>
              <w:widowControl/>
              <w:spacing w:line="276"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7</w:t>
            </w:r>
            <w:r>
              <w:rPr>
                <w:rFonts w:ascii="宋体" w:hAnsi="宋体" w:eastAsia="宋体" w:cs="Times New Roman"/>
                <w:color w:val="auto"/>
                <w:kern w:val="0"/>
                <w:szCs w:val="21"/>
              </w:rPr>
              <w:t xml:space="preserve">0% </w:t>
            </w:r>
          </w:p>
        </w:tc>
        <w:tc>
          <w:tcPr>
            <w:tcW w:w="2057" w:type="dxa"/>
            <w:vMerge w:val="restart"/>
            <w:tcBorders>
              <w:top w:val="nil"/>
              <w:left w:val="nil"/>
              <w:right w:val="single" w:color="auto" w:sz="8" w:space="0"/>
            </w:tcBorders>
            <w:vAlign w:val="center"/>
          </w:tcPr>
          <w:p w14:paraId="4BF56EC5">
            <w:pPr>
              <w:widowControl/>
              <w:spacing w:line="276" w:lineRule="auto"/>
              <w:jc w:val="center"/>
              <w:rPr>
                <w:rFonts w:hint="eastAsia" w:ascii="宋体" w:hAnsi="宋体" w:eastAsia="宋体" w:cs="Times New Roman"/>
                <w:color w:val="auto"/>
                <w:kern w:val="0"/>
                <w:szCs w:val="21"/>
              </w:rPr>
            </w:pPr>
            <w:r>
              <w:rPr>
                <w:rFonts w:ascii="宋体" w:hAnsi="宋体" w:eastAsia="宋体" w:cs="Times New Roman"/>
                <w:color w:val="auto"/>
                <w:kern w:val="0"/>
                <w:szCs w:val="21"/>
              </w:rPr>
              <w:t>100%</w:t>
            </w:r>
          </w:p>
        </w:tc>
      </w:tr>
      <w:tr w14:paraId="07689F56">
        <w:tblPrEx>
          <w:tblCellMar>
            <w:top w:w="0" w:type="dxa"/>
            <w:left w:w="108" w:type="dxa"/>
            <w:bottom w:w="0" w:type="dxa"/>
            <w:right w:w="108" w:type="dxa"/>
          </w:tblCellMar>
        </w:tblPrEx>
        <w:trPr>
          <w:trHeight w:val="246" w:hRule="atLeast"/>
        </w:trPr>
        <w:tc>
          <w:tcPr>
            <w:tcW w:w="2037" w:type="dxa"/>
            <w:vMerge w:val="continue"/>
            <w:tcBorders>
              <w:top w:val="nil"/>
              <w:left w:val="single" w:color="auto" w:sz="8" w:space="0"/>
              <w:bottom w:val="single" w:color="000000" w:sz="8" w:space="0"/>
              <w:right w:val="single" w:color="auto" w:sz="8" w:space="0"/>
            </w:tcBorders>
            <w:vAlign w:val="center"/>
          </w:tcPr>
          <w:p w14:paraId="2BC0B134">
            <w:pPr>
              <w:widowControl/>
              <w:spacing w:line="276" w:lineRule="auto"/>
              <w:jc w:val="left"/>
              <w:rPr>
                <w:rFonts w:hint="eastAsia" w:ascii="宋体" w:hAnsi="宋体" w:eastAsia="宋体" w:cs="Times New Roman"/>
                <w:color w:val="auto"/>
                <w:kern w:val="0"/>
                <w:szCs w:val="21"/>
              </w:rPr>
            </w:pPr>
          </w:p>
        </w:tc>
        <w:tc>
          <w:tcPr>
            <w:tcW w:w="1807" w:type="dxa"/>
            <w:vMerge w:val="continue"/>
            <w:tcBorders>
              <w:top w:val="nil"/>
              <w:left w:val="single" w:color="auto" w:sz="8" w:space="0"/>
              <w:bottom w:val="single" w:color="000000" w:sz="8" w:space="0"/>
              <w:right w:val="single" w:color="auto" w:sz="8" w:space="0"/>
            </w:tcBorders>
            <w:vAlign w:val="center"/>
          </w:tcPr>
          <w:p w14:paraId="1A5ADF73">
            <w:pPr>
              <w:widowControl/>
              <w:spacing w:line="276" w:lineRule="auto"/>
              <w:jc w:val="left"/>
              <w:rPr>
                <w:rFonts w:hint="eastAsia" w:ascii="宋体" w:hAnsi="宋体" w:eastAsia="宋体" w:cs="Times New Roman"/>
                <w:color w:val="auto"/>
                <w:kern w:val="0"/>
                <w:szCs w:val="21"/>
              </w:rPr>
            </w:pPr>
          </w:p>
        </w:tc>
        <w:tc>
          <w:tcPr>
            <w:tcW w:w="1497" w:type="dxa"/>
            <w:tcBorders>
              <w:top w:val="nil"/>
              <w:left w:val="nil"/>
              <w:bottom w:val="single" w:color="auto" w:sz="8" w:space="0"/>
              <w:right w:val="single" w:color="auto" w:sz="8" w:space="0"/>
            </w:tcBorders>
            <w:vAlign w:val="center"/>
          </w:tcPr>
          <w:p w14:paraId="2B3B042A">
            <w:pPr>
              <w:widowControl/>
              <w:spacing w:line="276"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平时</w:t>
            </w:r>
            <w:r>
              <w:rPr>
                <w:rFonts w:ascii="宋体" w:hAnsi="宋体" w:eastAsia="宋体" w:cs="Times New Roman"/>
                <w:color w:val="auto"/>
                <w:kern w:val="0"/>
                <w:szCs w:val="21"/>
              </w:rPr>
              <w:t>1</w:t>
            </w:r>
          </w:p>
        </w:tc>
        <w:tc>
          <w:tcPr>
            <w:tcW w:w="1592" w:type="dxa"/>
            <w:tcBorders>
              <w:top w:val="nil"/>
              <w:left w:val="nil"/>
              <w:bottom w:val="single" w:color="auto" w:sz="8" w:space="0"/>
              <w:right w:val="single" w:color="auto" w:sz="8" w:space="0"/>
            </w:tcBorders>
            <w:vAlign w:val="center"/>
          </w:tcPr>
          <w:p w14:paraId="121B7A61">
            <w:pPr>
              <w:widowControl/>
              <w:spacing w:line="276"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w:t>
            </w:r>
            <w:r>
              <w:rPr>
                <w:rFonts w:ascii="宋体" w:hAnsi="宋体" w:eastAsia="宋体" w:cs="Times New Roman"/>
                <w:color w:val="auto"/>
                <w:kern w:val="0"/>
                <w:szCs w:val="21"/>
              </w:rPr>
              <w:t>0%</w:t>
            </w:r>
          </w:p>
        </w:tc>
        <w:tc>
          <w:tcPr>
            <w:tcW w:w="2057" w:type="dxa"/>
            <w:vMerge w:val="continue"/>
            <w:tcBorders>
              <w:left w:val="nil"/>
              <w:bottom w:val="single" w:color="auto" w:sz="8" w:space="0"/>
              <w:right w:val="single" w:color="auto" w:sz="8" w:space="0"/>
            </w:tcBorders>
            <w:vAlign w:val="center"/>
          </w:tcPr>
          <w:p w14:paraId="43329AC7">
            <w:pPr>
              <w:widowControl/>
              <w:spacing w:line="276" w:lineRule="auto"/>
              <w:jc w:val="center"/>
              <w:rPr>
                <w:rFonts w:hint="eastAsia" w:ascii="宋体" w:hAnsi="宋体" w:eastAsia="宋体" w:cs="Times New Roman"/>
                <w:color w:val="auto"/>
                <w:kern w:val="0"/>
                <w:szCs w:val="21"/>
              </w:rPr>
            </w:pPr>
          </w:p>
        </w:tc>
      </w:tr>
      <w:tr w14:paraId="567C1C09">
        <w:tblPrEx>
          <w:tblCellMar>
            <w:top w:w="0" w:type="dxa"/>
            <w:left w:w="108" w:type="dxa"/>
            <w:bottom w:w="0" w:type="dxa"/>
            <w:right w:w="108" w:type="dxa"/>
          </w:tblCellMar>
        </w:tblPrEx>
        <w:trPr>
          <w:trHeight w:val="246" w:hRule="atLeast"/>
        </w:trPr>
        <w:tc>
          <w:tcPr>
            <w:tcW w:w="2037" w:type="dxa"/>
            <w:vMerge w:val="continue"/>
            <w:tcBorders>
              <w:left w:val="single" w:color="auto" w:sz="8" w:space="0"/>
              <w:right w:val="single" w:color="auto" w:sz="8" w:space="0"/>
            </w:tcBorders>
            <w:vAlign w:val="center"/>
          </w:tcPr>
          <w:p w14:paraId="53B54DF4">
            <w:pPr>
              <w:widowControl/>
              <w:spacing w:line="276" w:lineRule="auto"/>
              <w:jc w:val="left"/>
              <w:rPr>
                <w:rFonts w:hint="eastAsia" w:ascii="宋体" w:hAnsi="宋体" w:eastAsia="宋体" w:cs="Times New Roman"/>
                <w:color w:val="auto"/>
                <w:kern w:val="0"/>
                <w:szCs w:val="21"/>
              </w:rPr>
            </w:pPr>
          </w:p>
        </w:tc>
        <w:tc>
          <w:tcPr>
            <w:tcW w:w="1807" w:type="dxa"/>
            <w:vMerge w:val="continue"/>
            <w:tcBorders>
              <w:left w:val="single" w:color="auto" w:sz="8" w:space="0"/>
              <w:right w:val="single" w:color="auto" w:sz="8" w:space="0"/>
            </w:tcBorders>
            <w:vAlign w:val="center"/>
          </w:tcPr>
          <w:p w14:paraId="6D7C6DD1">
            <w:pPr>
              <w:widowControl/>
              <w:spacing w:line="276" w:lineRule="auto"/>
              <w:jc w:val="left"/>
              <w:rPr>
                <w:rFonts w:hint="eastAsia" w:ascii="宋体" w:hAnsi="宋体" w:eastAsia="宋体" w:cs="Times New Roman"/>
                <w:color w:val="auto"/>
                <w:kern w:val="0"/>
                <w:szCs w:val="21"/>
              </w:rPr>
            </w:pPr>
          </w:p>
        </w:tc>
        <w:tc>
          <w:tcPr>
            <w:tcW w:w="1497" w:type="dxa"/>
            <w:tcBorders>
              <w:top w:val="nil"/>
              <w:left w:val="nil"/>
              <w:bottom w:val="single" w:color="auto" w:sz="4" w:space="0"/>
              <w:right w:val="single" w:color="auto" w:sz="8" w:space="0"/>
            </w:tcBorders>
            <w:vAlign w:val="center"/>
          </w:tcPr>
          <w:p w14:paraId="598DE582">
            <w:pPr>
              <w:widowControl/>
              <w:spacing w:line="276"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平时2</w:t>
            </w:r>
          </w:p>
        </w:tc>
        <w:tc>
          <w:tcPr>
            <w:tcW w:w="1592" w:type="dxa"/>
            <w:tcBorders>
              <w:top w:val="nil"/>
              <w:left w:val="nil"/>
              <w:bottom w:val="single" w:color="auto" w:sz="4" w:space="0"/>
              <w:right w:val="single" w:color="auto" w:sz="8" w:space="0"/>
            </w:tcBorders>
            <w:vAlign w:val="center"/>
          </w:tcPr>
          <w:p w14:paraId="33AA8C5C">
            <w:pPr>
              <w:widowControl/>
              <w:spacing w:line="276"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w:t>
            </w:r>
            <w:r>
              <w:rPr>
                <w:rFonts w:ascii="宋体" w:hAnsi="宋体" w:eastAsia="宋体" w:cs="Times New Roman"/>
                <w:color w:val="auto"/>
                <w:kern w:val="0"/>
                <w:szCs w:val="21"/>
              </w:rPr>
              <w:t>0%</w:t>
            </w:r>
          </w:p>
        </w:tc>
        <w:tc>
          <w:tcPr>
            <w:tcW w:w="2057" w:type="dxa"/>
            <w:vMerge w:val="continue"/>
            <w:tcBorders>
              <w:left w:val="nil"/>
              <w:right w:val="single" w:color="auto" w:sz="8" w:space="0"/>
            </w:tcBorders>
            <w:vAlign w:val="center"/>
          </w:tcPr>
          <w:p w14:paraId="30D780FC">
            <w:pPr>
              <w:widowControl/>
              <w:spacing w:line="276" w:lineRule="auto"/>
              <w:jc w:val="center"/>
              <w:rPr>
                <w:rFonts w:hint="eastAsia" w:ascii="宋体" w:hAnsi="宋体" w:eastAsia="宋体" w:cs="Times New Roman"/>
                <w:color w:val="auto"/>
                <w:kern w:val="0"/>
                <w:szCs w:val="21"/>
              </w:rPr>
            </w:pPr>
          </w:p>
        </w:tc>
      </w:tr>
      <w:tr w14:paraId="685E8E39">
        <w:tblPrEx>
          <w:tblCellMar>
            <w:top w:w="0" w:type="dxa"/>
            <w:left w:w="108" w:type="dxa"/>
            <w:bottom w:w="0" w:type="dxa"/>
            <w:right w:w="108" w:type="dxa"/>
          </w:tblCellMar>
        </w:tblPrEx>
        <w:trPr>
          <w:trHeight w:val="246" w:hRule="atLeast"/>
        </w:trPr>
        <w:tc>
          <w:tcPr>
            <w:tcW w:w="2037" w:type="dxa"/>
            <w:vMerge w:val="continue"/>
            <w:tcBorders>
              <w:left w:val="single" w:color="auto" w:sz="8" w:space="0"/>
              <w:bottom w:val="single" w:color="auto" w:sz="4" w:space="0"/>
              <w:right w:val="single" w:color="auto" w:sz="8" w:space="0"/>
            </w:tcBorders>
            <w:vAlign w:val="center"/>
          </w:tcPr>
          <w:p w14:paraId="724C72F6">
            <w:pPr>
              <w:widowControl/>
              <w:spacing w:line="276" w:lineRule="auto"/>
              <w:jc w:val="left"/>
              <w:rPr>
                <w:rFonts w:hint="eastAsia" w:ascii="宋体" w:hAnsi="宋体" w:eastAsia="宋体" w:cs="Times New Roman"/>
                <w:color w:val="auto"/>
                <w:kern w:val="0"/>
                <w:szCs w:val="21"/>
              </w:rPr>
            </w:pPr>
          </w:p>
        </w:tc>
        <w:tc>
          <w:tcPr>
            <w:tcW w:w="1807" w:type="dxa"/>
            <w:vMerge w:val="continue"/>
            <w:tcBorders>
              <w:left w:val="single" w:color="auto" w:sz="8" w:space="0"/>
              <w:bottom w:val="single" w:color="auto" w:sz="4" w:space="0"/>
              <w:right w:val="single" w:color="auto" w:sz="8" w:space="0"/>
            </w:tcBorders>
            <w:vAlign w:val="center"/>
          </w:tcPr>
          <w:p w14:paraId="79E34492">
            <w:pPr>
              <w:widowControl/>
              <w:spacing w:line="276" w:lineRule="auto"/>
              <w:jc w:val="left"/>
              <w:rPr>
                <w:rFonts w:hint="eastAsia" w:ascii="宋体" w:hAnsi="宋体" w:eastAsia="宋体" w:cs="Times New Roman"/>
                <w:color w:val="auto"/>
                <w:kern w:val="0"/>
                <w:szCs w:val="21"/>
              </w:rPr>
            </w:pPr>
          </w:p>
        </w:tc>
        <w:tc>
          <w:tcPr>
            <w:tcW w:w="1497" w:type="dxa"/>
            <w:tcBorders>
              <w:top w:val="nil"/>
              <w:left w:val="nil"/>
              <w:bottom w:val="single" w:color="auto" w:sz="4" w:space="0"/>
              <w:right w:val="single" w:color="auto" w:sz="8" w:space="0"/>
            </w:tcBorders>
            <w:vAlign w:val="center"/>
          </w:tcPr>
          <w:p w14:paraId="1ECA82F6">
            <w:pPr>
              <w:widowControl/>
              <w:spacing w:line="276"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平时3</w:t>
            </w:r>
          </w:p>
        </w:tc>
        <w:tc>
          <w:tcPr>
            <w:tcW w:w="1592" w:type="dxa"/>
            <w:tcBorders>
              <w:top w:val="nil"/>
              <w:left w:val="nil"/>
              <w:bottom w:val="single" w:color="auto" w:sz="4" w:space="0"/>
              <w:right w:val="single" w:color="auto" w:sz="8" w:space="0"/>
            </w:tcBorders>
            <w:vAlign w:val="center"/>
          </w:tcPr>
          <w:p w14:paraId="5A0EDCD3">
            <w:pPr>
              <w:widowControl/>
              <w:spacing w:line="276" w:lineRule="auto"/>
              <w:jc w:val="center"/>
              <w:rPr>
                <w:rFonts w:hint="eastAsia" w:ascii="宋体" w:hAnsi="宋体" w:eastAsia="宋体" w:cs="Times New Roman"/>
                <w:color w:val="auto"/>
                <w:kern w:val="0"/>
                <w:szCs w:val="21"/>
              </w:rPr>
            </w:pPr>
            <w:r>
              <w:rPr>
                <w:rFonts w:ascii="宋体" w:hAnsi="宋体" w:eastAsia="宋体" w:cs="Times New Roman"/>
                <w:color w:val="auto"/>
                <w:kern w:val="0"/>
                <w:szCs w:val="21"/>
              </w:rPr>
              <w:t xml:space="preserve">10% </w:t>
            </w:r>
          </w:p>
        </w:tc>
        <w:tc>
          <w:tcPr>
            <w:tcW w:w="2057" w:type="dxa"/>
            <w:vMerge w:val="continue"/>
            <w:tcBorders>
              <w:left w:val="nil"/>
              <w:bottom w:val="single" w:color="auto" w:sz="4" w:space="0"/>
              <w:right w:val="single" w:color="auto" w:sz="8" w:space="0"/>
            </w:tcBorders>
            <w:vAlign w:val="center"/>
          </w:tcPr>
          <w:p w14:paraId="073A731B">
            <w:pPr>
              <w:widowControl/>
              <w:spacing w:line="276" w:lineRule="auto"/>
              <w:jc w:val="center"/>
              <w:rPr>
                <w:rFonts w:hint="eastAsia" w:ascii="宋体" w:hAnsi="宋体" w:eastAsia="宋体" w:cs="Times New Roman"/>
                <w:color w:val="auto"/>
                <w:kern w:val="0"/>
                <w:szCs w:val="21"/>
              </w:rPr>
            </w:pPr>
          </w:p>
        </w:tc>
      </w:tr>
      <w:tr w14:paraId="61C07C68">
        <w:tblPrEx>
          <w:tblCellMar>
            <w:top w:w="0" w:type="dxa"/>
            <w:left w:w="108" w:type="dxa"/>
            <w:bottom w:w="0" w:type="dxa"/>
            <w:right w:w="108" w:type="dxa"/>
          </w:tblCellMar>
        </w:tblPrEx>
        <w:trPr>
          <w:trHeight w:val="398" w:hRule="atLeast"/>
        </w:trPr>
        <w:tc>
          <w:tcPr>
            <w:tcW w:w="2037" w:type="dxa"/>
            <w:tcBorders>
              <w:top w:val="single" w:color="auto" w:sz="4" w:space="0"/>
              <w:left w:val="single" w:color="auto" w:sz="4" w:space="0"/>
              <w:bottom w:val="single" w:color="auto" w:sz="4" w:space="0"/>
              <w:right w:val="single" w:color="auto" w:sz="4" w:space="0"/>
            </w:tcBorders>
            <w:vAlign w:val="center"/>
          </w:tcPr>
          <w:p w14:paraId="0E83227C">
            <w:pPr>
              <w:widowControl/>
              <w:spacing w:line="276" w:lineRule="auto"/>
              <w:jc w:val="center"/>
              <w:rPr>
                <w:rFonts w:hint="eastAsia" w:ascii="宋体" w:hAnsi="宋体" w:eastAsia="宋体" w:cs="Times New Roman"/>
                <w:color w:val="auto"/>
                <w:kern w:val="0"/>
                <w:szCs w:val="21"/>
              </w:rPr>
            </w:pPr>
            <w:r>
              <w:rPr>
                <w:rFonts w:ascii="宋体" w:hAnsi="宋体" w:eastAsia="宋体" w:cs="Times New Roman"/>
                <w:color w:val="auto"/>
                <w:kern w:val="0"/>
                <w:szCs w:val="21"/>
              </w:rPr>
              <w:t>课程目标权重合计</w:t>
            </w:r>
          </w:p>
        </w:tc>
        <w:tc>
          <w:tcPr>
            <w:tcW w:w="1807" w:type="dxa"/>
            <w:tcBorders>
              <w:top w:val="single" w:color="auto" w:sz="4" w:space="0"/>
              <w:left w:val="single" w:color="auto" w:sz="4" w:space="0"/>
              <w:bottom w:val="single" w:color="auto" w:sz="4" w:space="0"/>
              <w:right w:val="single" w:color="auto" w:sz="4" w:space="0"/>
            </w:tcBorders>
            <w:vAlign w:val="center"/>
          </w:tcPr>
          <w:p w14:paraId="57CEB999">
            <w:pPr>
              <w:widowControl/>
              <w:spacing w:line="276" w:lineRule="auto"/>
              <w:jc w:val="center"/>
              <w:rPr>
                <w:rFonts w:hint="eastAsia" w:ascii="宋体" w:hAnsi="宋体" w:eastAsia="宋体" w:cs="Times New Roman"/>
                <w:color w:val="auto"/>
                <w:kern w:val="0"/>
                <w:szCs w:val="21"/>
              </w:rPr>
            </w:pPr>
            <w:r>
              <w:rPr>
                <w:rFonts w:ascii="宋体" w:hAnsi="宋体" w:eastAsia="宋体" w:cs="Times New Roman"/>
                <w:color w:val="auto"/>
                <w:kern w:val="0"/>
                <w:szCs w:val="21"/>
              </w:rPr>
              <w:t>100%</w:t>
            </w:r>
          </w:p>
        </w:tc>
        <w:tc>
          <w:tcPr>
            <w:tcW w:w="5146" w:type="dxa"/>
            <w:gridSpan w:val="3"/>
            <w:tcBorders>
              <w:top w:val="single" w:color="auto" w:sz="4" w:space="0"/>
              <w:left w:val="single" w:color="auto" w:sz="4" w:space="0"/>
              <w:bottom w:val="single" w:color="auto" w:sz="4" w:space="0"/>
              <w:right w:val="single" w:color="auto" w:sz="4" w:space="0"/>
            </w:tcBorders>
            <w:vAlign w:val="center"/>
          </w:tcPr>
          <w:p w14:paraId="30B31885">
            <w:pPr>
              <w:widowControl/>
              <w:spacing w:line="276" w:lineRule="auto"/>
              <w:jc w:val="center"/>
              <w:rPr>
                <w:rFonts w:hint="eastAsia" w:ascii="宋体" w:hAnsi="宋体" w:eastAsia="宋体" w:cs="Times New Roman"/>
                <w:color w:val="auto"/>
                <w:kern w:val="0"/>
                <w:szCs w:val="21"/>
              </w:rPr>
            </w:pPr>
          </w:p>
        </w:tc>
      </w:tr>
    </w:tbl>
    <w:p w14:paraId="10AE05C0">
      <w:pPr>
        <w:spacing w:line="360" w:lineRule="auto"/>
        <w:ind w:firstLine="420" w:firstLineChars="200"/>
        <w:rPr>
          <w:rFonts w:ascii="Calibri" w:hAnsi="Calibri" w:eastAsia="宋体" w:cs="Times New Roman"/>
          <w:color w:val="auto"/>
          <w:sz w:val="21"/>
          <w:szCs w:val="21"/>
        </w:rPr>
      </w:pPr>
      <w:r>
        <w:rPr>
          <w:rFonts w:ascii="Calibri" w:hAnsi="Calibri" w:eastAsia="宋体" w:cs="Times New Roman"/>
          <w:color w:val="auto"/>
          <w:sz w:val="21"/>
          <w:szCs w:val="21"/>
        </w:rPr>
        <w:t>（</w:t>
      </w:r>
      <w:r>
        <w:rPr>
          <w:rFonts w:hint="eastAsia" w:ascii="Calibri" w:hAnsi="Calibri" w:eastAsia="宋体" w:cs="Times New Roman"/>
          <w:color w:val="auto"/>
          <w:sz w:val="21"/>
          <w:szCs w:val="21"/>
        </w:rPr>
        <w:t>4</w:t>
      </w:r>
      <w:r>
        <w:rPr>
          <w:rFonts w:ascii="Calibri" w:hAnsi="Calibri" w:eastAsia="宋体" w:cs="Times New Roman"/>
          <w:color w:val="auto"/>
          <w:sz w:val="21"/>
          <w:szCs w:val="21"/>
        </w:rPr>
        <w:t>）课程目标达成度计算方法</w:t>
      </w:r>
    </w:p>
    <w:p w14:paraId="7F1F523D">
      <w:pPr>
        <w:spacing w:line="360" w:lineRule="auto"/>
        <w:ind w:firstLine="420" w:firstLineChars="200"/>
        <w:rPr>
          <w:rFonts w:ascii="Calibri" w:hAnsi="Calibri" w:eastAsia="宋体" w:cs="Times New Roman"/>
          <w:color w:val="auto"/>
          <w:sz w:val="24"/>
        </w:rPr>
      </w:pPr>
      <w:r>
        <w:rPr>
          <w:rFonts w:ascii="Calibri" w:hAnsi="Calibri" w:eastAsia="宋体" w:cs="Times New Roman"/>
          <w:color w:val="auto"/>
          <w:sz w:val="21"/>
          <w:szCs w:val="21"/>
        </w:rPr>
        <w:t>所有课程目标均需大于等于0.6，否则总评成绩不及格，需要补考或重修。每门课程目标总体达成度计算方法如下：</w:t>
      </w:r>
    </w:p>
    <w:p w14:paraId="6FA2F6E7">
      <w:pPr>
        <w:spacing w:line="360" w:lineRule="auto"/>
        <w:jc w:val="left"/>
        <w:rPr>
          <w:rFonts w:hint="eastAsia" w:ascii="Times New Roman" w:hAnsi="Times New Roman" w:eastAsia="宋体" w:cs="Times New Roman"/>
          <w:b/>
          <w:color w:val="auto"/>
          <w:sz w:val="24"/>
          <w:szCs w:val="24"/>
          <w:lang w:val="en-US" w:eastAsia="zh-CN"/>
        </w:rPr>
      </w:pPr>
      <w:r>
        <w:rPr>
          <w:rFonts w:ascii="Calibri" w:hAnsi="Calibri" w:eastAsia="宋体" w:cs="Times New Roman"/>
          <w:color w:val="auto"/>
          <w:position w:val="-26"/>
          <w:sz w:val="24"/>
        </w:rPr>
        <w:object>
          <v:shape id="_x0000_i1056" o:spt="75" type="#_x0000_t75" style="height:29.1pt;width:422.05pt;" o:ole="t" filled="f" o:preferrelative="t" stroked="f" coordsize="21600,21600">
            <v:path/>
            <v:fill on="f" focussize="0,0"/>
            <v:stroke on="f"/>
            <v:imagedata r:id="rId10" o:title=""/>
            <o:lock v:ext="edit" aspectratio="t"/>
            <w10:wrap type="none"/>
            <w10:anchorlock/>
          </v:shape>
          <o:OLEObject Type="Embed" ProgID="Equation.3" ShapeID="_x0000_i1056" DrawAspect="Content" ObjectID="_1468075755" r:id="rId42">
            <o:LockedField>false</o:LockedField>
          </o:OLEObject>
        </w:object>
      </w:r>
      <w:r>
        <w:rPr>
          <w:rFonts w:hint="eastAsia" w:ascii="Calibri" w:hAnsi="Calibri" w:eastAsia="宋体" w:cs="Times New Roman"/>
          <w:b/>
          <w:bCs/>
          <w:color w:val="auto"/>
          <w:position w:val="-26"/>
          <w:sz w:val="24"/>
        </w:rPr>
        <w:t xml:space="preserve"> </w:t>
      </w:r>
      <w:r>
        <w:rPr>
          <w:rFonts w:hint="eastAsia" w:ascii="Times New Roman" w:hAnsi="Times New Roman" w:eastAsia="宋体" w:cs="Times New Roman"/>
          <w:b/>
          <w:bCs/>
          <w:color w:val="auto"/>
          <w:sz w:val="24"/>
          <w:szCs w:val="24"/>
          <w:lang w:val="en-US" w:eastAsia="zh-CN"/>
        </w:rPr>
        <w:t>五、有关说明</w:t>
      </w:r>
      <w:bookmarkStart w:id="361" w:name="_Toc19729762"/>
    </w:p>
    <w:p w14:paraId="59E6E8CA">
      <w:pPr>
        <w:spacing w:line="360" w:lineRule="auto"/>
        <w:ind w:firstLine="422" w:firstLineChars="200"/>
        <w:jc w:val="left"/>
        <w:rPr>
          <w:rFonts w:ascii="Calibri" w:hAnsi="Calibri" w:eastAsia="宋体" w:cs="Times New Roman"/>
          <w:b/>
          <w:color w:val="auto"/>
          <w:sz w:val="21"/>
          <w:szCs w:val="21"/>
        </w:rPr>
      </w:pPr>
      <w:r>
        <w:rPr>
          <w:rFonts w:ascii="Calibri" w:hAnsi="Calibri" w:eastAsia="宋体" w:cs="Times New Roman"/>
          <w:b/>
          <w:color w:val="auto"/>
          <w:sz w:val="21"/>
          <w:szCs w:val="21"/>
        </w:rPr>
        <w:t>（一）持续改进</w:t>
      </w:r>
      <w:bookmarkEnd w:id="361"/>
    </w:p>
    <w:p w14:paraId="0A7D6461">
      <w:pPr>
        <w:spacing w:line="360" w:lineRule="auto"/>
        <w:ind w:firstLine="420" w:firstLineChars="200"/>
        <w:rPr>
          <w:rFonts w:ascii="Calibri" w:hAnsi="Calibri" w:eastAsia="宋体" w:cs="Times New Roman"/>
          <w:color w:val="auto"/>
          <w:sz w:val="21"/>
          <w:szCs w:val="21"/>
        </w:rPr>
      </w:pPr>
      <w:r>
        <w:rPr>
          <w:rFonts w:ascii="Calibri" w:hAnsi="Calibri" w:eastAsia="宋体" w:cs="Times New Roman"/>
          <w:color w:val="auto"/>
          <w:sz w:val="21"/>
          <w:szCs w:val="21"/>
        </w:rPr>
        <w:t>1. 提倡改革教学方法，强调应用现代化教学手段，如课件、互联网教学和网络答疑等。</w:t>
      </w:r>
    </w:p>
    <w:p w14:paraId="07808C4C">
      <w:pPr>
        <w:spacing w:line="360" w:lineRule="auto"/>
        <w:ind w:firstLine="420" w:firstLineChars="200"/>
        <w:rPr>
          <w:rFonts w:ascii="Calibri" w:hAnsi="Calibri" w:eastAsia="宋体" w:cs="Times New Roman"/>
          <w:color w:val="auto"/>
          <w:sz w:val="21"/>
          <w:szCs w:val="21"/>
        </w:rPr>
      </w:pPr>
      <w:r>
        <w:rPr>
          <w:rFonts w:ascii="Calibri" w:hAnsi="Calibri" w:eastAsia="宋体" w:cs="Times New Roman"/>
          <w:color w:val="auto"/>
          <w:sz w:val="21"/>
          <w:szCs w:val="21"/>
        </w:rPr>
        <w:t>2.合理安排教学课时，加强课堂提问、课堂小测验等旨在督促学生自主学习的教学环节；引导学生做好课前预习、课后整理笔记并及时完成作业的复习工作；保证学生完成一定数量的作业和习题。</w:t>
      </w:r>
    </w:p>
    <w:p w14:paraId="6992F5C8">
      <w:pPr>
        <w:spacing w:line="360" w:lineRule="auto"/>
        <w:ind w:firstLine="420" w:firstLineChars="200"/>
        <w:rPr>
          <w:rFonts w:ascii="Calibri" w:hAnsi="Calibri" w:eastAsia="宋体" w:cs="Times New Roman"/>
          <w:color w:val="auto"/>
          <w:sz w:val="21"/>
          <w:szCs w:val="21"/>
        </w:rPr>
      </w:pPr>
      <w:r>
        <w:rPr>
          <w:rFonts w:ascii="Calibri" w:hAnsi="Calibri" w:eastAsia="宋体" w:cs="Times New Roman"/>
          <w:color w:val="auto"/>
          <w:sz w:val="21"/>
          <w:szCs w:val="21"/>
        </w:rPr>
        <w:t>3．教学用的例题和习题，应适当结合实际。</w:t>
      </w:r>
    </w:p>
    <w:p w14:paraId="45EBE002">
      <w:pPr>
        <w:spacing w:line="360" w:lineRule="auto"/>
        <w:ind w:firstLine="422" w:firstLineChars="200"/>
        <w:rPr>
          <w:rFonts w:ascii="Calibri" w:hAnsi="Calibri" w:eastAsia="宋体" w:cs="Times New Roman"/>
          <w:b/>
          <w:color w:val="auto"/>
          <w:sz w:val="21"/>
          <w:szCs w:val="21"/>
        </w:rPr>
      </w:pPr>
      <w:bookmarkStart w:id="362" w:name="_Toc19729763"/>
      <w:r>
        <w:rPr>
          <w:rFonts w:ascii="Calibri" w:hAnsi="Calibri" w:eastAsia="宋体" w:cs="Times New Roman"/>
          <w:b/>
          <w:color w:val="auto"/>
          <w:sz w:val="21"/>
          <w:szCs w:val="21"/>
        </w:rPr>
        <w:t>（二）参考书目及学习资料</w:t>
      </w:r>
      <w:bookmarkEnd w:id="362"/>
    </w:p>
    <w:p w14:paraId="04FD8B37">
      <w:pPr>
        <w:spacing w:line="360" w:lineRule="auto"/>
        <w:ind w:firstLine="420" w:firstLineChars="200"/>
        <w:rPr>
          <w:rFonts w:ascii="Calibri" w:hAnsi="Calibri" w:eastAsia="宋体" w:cs="Times New Roman"/>
          <w:color w:val="auto"/>
          <w:sz w:val="21"/>
          <w:szCs w:val="21"/>
        </w:rPr>
      </w:pPr>
      <w:r>
        <w:rPr>
          <w:rFonts w:ascii="Calibri" w:hAnsi="Calibri" w:eastAsia="宋体" w:cs="Times New Roman"/>
          <w:color w:val="auto"/>
          <w:sz w:val="21"/>
          <w:szCs w:val="21"/>
        </w:rPr>
        <w:t>1．教材</w:t>
      </w:r>
    </w:p>
    <w:p w14:paraId="0DD27255">
      <w:pPr>
        <w:spacing w:line="360" w:lineRule="auto"/>
        <w:ind w:firstLine="420" w:firstLineChars="200"/>
        <w:rPr>
          <w:rFonts w:ascii="Calibri" w:hAnsi="Calibri" w:eastAsia="宋体" w:cs="Times New Roman"/>
          <w:color w:val="auto"/>
          <w:sz w:val="21"/>
          <w:szCs w:val="21"/>
        </w:rPr>
      </w:pPr>
      <w:r>
        <w:rPr>
          <w:rFonts w:ascii="Calibri" w:hAnsi="Calibri" w:eastAsia="宋体" w:cs="Times New Roman"/>
          <w:color w:val="auto"/>
          <w:kern w:val="0"/>
          <w:sz w:val="21"/>
          <w:szCs w:val="21"/>
        </w:rPr>
        <w:t>刘玉琏</w:t>
      </w:r>
      <w:r>
        <w:rPr>
          <w:rFonts w:ascii="Calibri" w:hAnsi="Calibri" w:eastAsia="宋体" w:cs="Times New Roman"/>
          <w:color w:val="auto"/>
          <w:sz w:val="21"/>
          <w:szCs w:val="21"/>
        </w:rPr>
        <w:t>.</w:t>
      </w:r>
      <w:r>
        <w:rPr>
          <w:rFonts w:hint="eastAsia" w:ascii="Calibri" w:hAnsi="Calibri" w:eastAsia="宋体" w:cs="Times New Roman"/>
          <w:color w:val="auto"/>
          <w:sz w:val="21"/>
          <w:szCs w:val="21"/>
        </w:rPr>
        <w:t xml:space="preserve"> </w:t>
      </w:r>
      <w:r>
        <w:rPr>
          <w:rFonts w:ascii="Calibri" w:hAnsi="Calibri" w:eastAsia="宋体" w:cs="Times New Roman"/>
          <w:color w:val="auto"/>
          <w:kern w:val="0"/>
          <w:sz w:val="21"/>
          <w:szCs w:val="21"/>
        </w:rPr>
        <w:t>数学分析讲义</w:t>
      </w:r>
      <w:r>
        <w:rPr>
          <w:rFonts w:ascii="Calibri" w:hAnsi="Calibri" w:eastAsia="宋体" w:cs="Times New Roman"/>
          <w:color w:val="auto"/>
          <w:sz w:val="21"/>
          <w:szCs w:val="21"/>
        </w:rPr>
        <w:t>.</w:t>
      </w:r>
      <w:r>
        <w:rPr>
          <w:rFonts w:hint="eastAsia" w:ascii="Calibri" w:hAnsi="Calibri" w:eastAsia="宋体" w:cs="Times New Roman"/>
          <w:color w:val="auto"/>
          <w:sz w:val="21"/>
          <w:szCs w:val="21"/>
        </w:rPr>
        <w:t xml:space="preserve"> </w:t>
      </w:r>
      <w:r>
        <w:rPr>
          <w:rFonts w:ascii="Calibri" w:hAnsi="Calibri" w:eastAsia="宋体" w:cs="Times New Roman"/>
          <w:color w:val="auto"/>
          <w:sz w:val="21"/>
          <w:szCs w:val="21"/>
        </w:rPr>
        <w:t>北京：</w:t>
      </w:r>
      <w:r>
        <w:rPr>
          <w:rFonts w:ascii="Calibri" w:hAnsi="Calibri" w:eastAsia="宋体" w:cs="Times New Roman"/>
          <w:color w:val="auto"/>
          <w:kern w:val="0"/>
          <w:sz w:val="21"/>
          <w:szCs w:val="21"/>
        </w:rPr>
        <w:t>高等教育出版社</w:t>
      </w:r>
      <w:r>
        <w:rPr>
          <w:rFonts w:ascii="Calibri" w:hAnsi="Calibri" w:eastAsia="宋体" w:cs="Times New Roman"/>
          <w:color w:val="auto"/>
          <w:sz w:val="21"/>
          <w:szCs w:val="21"/>
        </w:rPr>
        <w:t>.</w:t>
      </w:r>
      <w:r>
        <w:rPr>
          <w:rFonts w:hint="eastAsia" w:ascii="Calibri" w:hAnsi="Calibri" w:eastAsia="宋体" w:cs="Times New Roman"/>
          <w:color w:val="auto"/>
          <w:sz w:val="21"/>
          <w:szCs w:val="21"/>
        </w:rPr>
        <w:t xml:space="preserve"> </w:t>
      </w:r>
      <w:r>
        <w:rPr>
          <w:rFonts w:ascii="Calibri" w:hAnsi="Calibri" w:eastAsia="宋体" w:cs="Times New Roman"/>
          <w:color w:val="auto"/>
          <w:kern w:val="0"/>
          <w:sz w:val="21"/>
          <w:szCs w:val="21"/>
        </w:rPr>
        <w:t>2008</w:t>
      </w:r>
      <w:r>
        <w:rPr>
          <w:rFonts w:ascii="Calibri" w:hAnsi="Calibri" w:eastAsia="宋体" w:cs="Times New Roman"/>
          <w:color w:val="auto"/>
          <w:sz w:val="21"/>
          <w:szCs w:val="21"/>
        </w:rPr>
        <w:t>.</w:t>
      </w:r>
    </w:p>
    <w:p w14:paraId="5D78E6F1">
      <w:pPr>
        <w:spacing w:line="360" w:lineRule="auto"/>
        <w:ind w:firstLine="420" w:firstLineChars="200"/>
        <w:rPr>
          <w:rFonts w:ascii="Calibri" w:hAnsi="Calibri" w:eastAsia="宋体" w:cs="Times New Roman"/>
          <w:color w:val="auto"/>
          <w:sz w:val="21"/>
          <w:szCs w:val="21"/>
        </w:rPr>
      </w:pPr>
      <w:bookmarkStart w:id="363" w:name="_Toc19729764"/>
      <w:r>
        <w:rPr>
          <w:rFonts w:ascii="Calibri" w:hAnsi="Calibri" w:eastAsia="宋体" w:cs="Times New Roman"/>
          <w:color w:val="auto"/>
          <w:sz w:val="21"/>
          <w:szCs w:val="21"/>
        </w:rPr>
        <w:t>2．教学参考书</w:t>
      </w:r>
      <w:bookmarkEnd w:id="363"/>
    </w:p>
    <w:p w14:paraId="02409102">
      <w:pPr>
        <w:widowControl/>
        <w:spacing w:line="360" w:lineRule="auto"/>
        <w:ind w:firstLine="420" w:firstLineChars="200"/>
        <w:rPr>
          <w:rFonts w:ascii="Calibri" w:hAnsi="Calibri" w:eastAsia="宋体" w:cs="Times New Roman"/>
          <w:color w:val="auto"/>
          <w:kern w:val="0"/>
          <w:sz w:val="21"/>
          <w:szCs w:val="18"/>
        </w:rPr>
      </w:pPr>
      <w:r>
        <w:rPr>
          <w:rFonts w:ascii="Calibri" w:hAnsi="Calibri" w:eastAsia="宋体" w:cs="Times New Roman"/>
          <w:color w:val="auto"/>
          <w:sz w:val="21"/>
          <w:szCs w:val="21"/>
        </w:rPr>
        <w:t>华东师范大学数学系. 数学分析. 北京：高等教育出版社</w:t>
      </w:r>
      <w:r>
        <w:rPr>
          <w:rFonts w:hint="eastAsia" w:ascii="Calibri" w:hAnsi="Calibri" w:eastAsia="宋体" w:cs="Times New Roman"/>
          <w:color w:val="auto"/>
          <w:sz w:val="21"/>
          <w:szCs w:val="21"/>
        </w:rPr>
        <w:t>.</w:t>
      </w:r>
      <w:r>
        <w:rPr>
          <w:rFonts w:ascii="Calibri" w:hAnsi="Calibri" w:eastAsia="宋体" w:cs="Times New Roman"/>
          <w:color w:val="auto"/>
          <w:sz w:val="21"/>
          <w:szCs w:val="21"/>
        </w:rPr>
        <w:t>2010.</w:t>
      </w:r>
    </w:p>
    <w:p w14:paraId="0207AAF5">
      <w:pPr>
        <w:spacing w:line="312" w:lineRule="auto"/>
        <w:ind w:firstLine="420" w:firstLineChars="200"/>
        <w:rPr>
          <w:rFonts w:ascii="Calibri" w:hAnsi="Calibri" w:eastAsia="宋体" w:cs="Times New Roman"/>
          <w:color w:val="auto"/>
          <w:sz w:val="21"/>
          <w:szCs w:val="21"/>
        </w:rPr>
      </w:pPr>
      <w:r>
        <w:rPr>
          <w:rFonts w:ascii="Calibri" w:hAnsi="Calibri" w:eastAsia="宋体" w:cs="Times New Roman"/>
          <w:color w:val="auto"/>
          <w:sz w:val="21"/>
          <w:szCs w:val="18"/>
        </w:rPr>
        <w:t>同济大学数学系</w:t>
      </w:r>
      <w:r>
        <w:rPr>
          <w:rFonts w:ascii="Calibri" w:hAnsi="Calibri" w:eastAsia="宋体" w:cs="Times New Roman"/>
          <w:color w:val="auto"/>
          <w:sz w:val="21"/>
          <w:szCs w:val="21"/>
        </w:rPr>
        <w:t xml:space="preserve">. </w:t>
      </w:r>
      <w:r>
        <w:rPr>
          <w:rFonts w:ascii="Calibri" w:hAnsi="Calibri" w:eastAsia="宋体" w:cs="Times New Roman"/>
          <w:color w:val="auto"/>
          <w:sz w:val="21"/>
          <w:szCs w:val="18"/>
        </w:rPr>
        <w:t>高等数学</w:t>
      </w:r>
      <w:r>
        <w:rPr>
          <w:rFonts w:ascii="Calibri" w:hAnsi="Calibri" w:eastAsia="宋体" w:cs="Times New Roman"/>
          <w:color w:val="auto"/>
          <w:sz w:val="21"/>
          <w:szCs w:val="21"/>
        </w:rPr>
        <w:t>.</w:t>
      </w:r>
      <w:r>
        <w:rPr>
          <w:rFonts w:ascii="Calibri" w:hAnsi="Calibri" w:eastAsia="宋体" w:cs="Times New Roman"/>
          <w:color w:val="auto"/>
          <w:sz w:val="21"/>
          <w:szCs w:val="18"/>
        </w:rPr>
        <w:t xml:space="preserve"> 北京</w:t>
      </w:r>
      <w:r>
        <w:rPr>
          <w:rFonts w:ascii="Calibri" w:hAnsi="Calibri" w:eastAsia="宋体" w:cs="Times New Roman"/>
          <w:color w:val="auto"/>
          <w:kern w:val="0"/>
          <w:sz w:val="21"/>
          <w:szCs w:val="18"/>
        </w:rPr>
        <w:t>：</w:t>
      </w:r>
      <w:r>
        <w:rPr>
          <w:rFonts w:ascii="Calibri" w:hAnsi="Calibri" w:eastAsia="宋体" w:cs="Times New Roman"/>
          <w:color w:val="auto"/>
          <w:sz w:val="21"/>
          <w:szCs w:val="18"/>
        </w:rPr>
        <w:t>高等教育出版社</w:t>
      </w:r>
      <w:r>
        <w:rPr>
          <w:rFonts w:hint="eastAsia" w:ascii="Calibri" w:hAnsi="Calibri" w:eastAsia="宋体" w:cs="Times New Roman"/>
          <w:color w:val="auto"/>
          <w:sz w:val="21"/>
          <w:szCs w:val="18"/>
        </w:rPr>
        <w:t>.</w:t>
      </w:r>
      <w:r>
        <w:rPr>
          <w:rFonts w:ascii="Calibri" w:hAnsi="Calibri" w:eastAsia="宋体" w:cs="Times New Roman"/>
          <w:color w:val="auto"/>
          <w:sz w:val="21"/>
          <w:szCs w:val="18"/>
        </w:rPr>
        <w:t>2014.</w:t>
      </w:r>
    </w:p>
    <w:p w14:paraId="320121FA">
      <w:pPr>
        <w:autoSpaceDE w:val="0"/>
        <w:autoSpaceDN w:val="0"/>
        <w:adjustRightInd w:val="0"/>
        <w:spacing w:line="360" w:lineRule="auto"/>
        <w:ind w:firstLine="1050" w:firstLineChars="500"/>
        <w:jc w:val="right"/>
        <w:rPr>
          <w:rFonts w:hint="eastAsia" w:ascii="宋体" w:hAnsi="宋体" w:eastAsia="宋体" w:cs="Times New Roman"/>
          <w:color w:val="auto"/>
          <w:kern w:val="0"/>
          <w:sz w:val="21"/>
          <w:szCs w:val="18"/>
        </w:rPr>
      </w:pPr>
      <w:r>
        <w:rPr>
          <w:rFonts w:hint="eastAsia" w:ascii="宋体" w:hAnsi="宋体" w:eastAsia="宋体" w:cs="Times New Roman"/>
          <w:color w:val="auto"/>
          <w:kern w:val="0"/>
          <w:sz w:val="21"/>
          <w:szCs w:val="18"/>
        </w:rPr>
        <w:t xml:space="preserve">                                     </w:t>
      </w:r>
      <w:r>
        <w:rPr>
          <w:rFonts w:ascii="宋体" w:hAnsi="宋体" w:eastAsia="宋体" w:cs="Times New Roman"/>
          <w:color w:val="auto"/>
          <w:kern w:val="0"/>
          <w:sz w:val="21"/>
          <w:szCs w:val="18"/>
        </w:rPr>
        <w:t>执笔人：</w:t>
      </w:r>
      <w:r>
        <w:rPr>
          <w:rFonts w:hint="eastAsia" w:ascii="宋体" w:hAnsi="宋体" w:eastAsia="宋体" w:cs="Times New Roman"/>
          <w:color w:val="auto"/>
          <w:kern w:val="0"/>
          <w:sz w:val="21"/>
          <w:szCs w:val="18"/>
        </w:rPr>
        <w:t>刘峻辰</w:t>
      </w:r>
    </w:p>
    <w:p w14:paraId="708130A9">
      <w:pPr>
        <w:autoSpaceDE w:val="0"/>
        <w:autoSpaceDN w:val="0"/>
        <w:adjustRightInd w:val="0"/>
        <w:spacing w:line="360" w:lineRule="auto"/>
        <w:jc w:val="right"/>
        <w:rPr>
          <w:rFonts w:hint="eastAsia" w:ascii="宋体" w:hAnsi="宋体" w:eastAsia="宋体" w:cs="Times New Roman"/>
          <w:color w:val="auto"/>
          <w:kern w:val="0"/>
          <w:sz w:val="21"/>
          <w:szCs w:val="18"/>
        </w:rPr>
      </w:pPr>
      <w:r>
        <w:rPr>
          <w:rFonts w:hint="eastAsia" w:ascii="宋体" w:hAnsi="宋体" w:eastAsia="宋体" w:cs="Times New Roman"/>
          <w:color w:val="auto"/>
          <w:kern w:val="0"/>
          <w:sz w:val="21"/>
          <w:szCs w:val="18"/>
        </w:rPr>
        <w:t xml:space="preserve">                                      </w:t>
      </w:r>
      <w:r>
        <w:rPr>
          <w:rFonts w:ascii="宋体" w:hAnsi="宋体" w:eastAsia="宋体" w:cs="Times New Roman"/>
          <w:color w:val="auto"/>
          <w:kern w:val="0"/>
          <w:sz w:val="21"/>
          <w:szCs w:val="18"/>
        </w:rPr>
        <w:t>审定人：</w:t>
      </w:r>
      <w:r>
        <w:rPr>
          <w:rFonts w:hint="eastAsia" w:ascii="宋体" w:hAnsi="宋体" w:eastAsia="宋体" w:cs="Times New Roman"/>
          <w:color w:val="auto"/>
          <w:kern w:val="0"/>
          <w:sz w:val="21"/>
          <w:szCs w:val="18"/>
        </w:rPr>
        <w:t xml:space="preserve">王 </w:t>
      </w:r>
      <w:r>
        <w:rPr>
          <w:rFonts w:ascii="宋体" w:hAnsi="宋体" w:eastAsia="宋体" w:cs="Times New Roman"/>
          <w:color w:val="auto"/>
          <w:kern w:val="0"/>
          <w:sz w:val="21"/>
          <w:szCs w:val="18"/>
        </w:rPr>
        <w:t xml:space="preserve"> </w:t>
      </w:r>
      <w:r>
        <w:rPr>
          <w:rFonts w:hint="eastAsia" w:ascii="宋体" w:hAnsi="宋体" w:eastAsia="宋体" w:cs="Times New Roman"/>
          <w:color w:val="auto"/>
          <w:kern w:val="0"/>
          <w:sz w:val="21"/>
          <w:szCs w:val="18"/>
        </w:rPr>
        <w:t>健</w:t>
      </w:r>
      <w:r>
        <w:rPr>
          <w:rFonts w:ascii="宋体" w:hAnsi="宋体" w:eastAsia="宋体" w:cs="Times New Roman"/>
          <w:color w:val="auto"/>
          <w:kern w:val="0"/>
          <w:sz w:val="21"/>
          <w:szCs w:val="18"/>
        </w:rPr>
        <w:t xml:space="preserve"> </w:t>
      </w:r>
    </w:p>
    <w:p w14:paraId="2734B01E">
      <w:pPr>
        <w:autoSpaceDE w:val="0"/>
        <w:autoSpaceDN w:val="0"/>
        <w:adjustRightInd w:val="0"/>
        <w:spacing w:line="360" w:lineRule="auto"/>
        <w:jc w:val="right"/>
        <w:rPr>
          <w:rFonts w:hint="eastAsia" w:ascii="宋体" w:hAnsi="宋体" w:eastAsia="宋体" w:cs="Times New Roman"/>
          <w:color w:val="auto"/>
          <w:kern w:val="0"/>
          <w:sz w:val="21"/>
          <w:szCs w:val="18"/>
        </w:rPr>
      </w:pPr>
      <w:r>
        <w:rPr>
          <w:rFonts w:hint="eastAsia" w:ascii="宋体" w:hAnsi="宋体" w:eastAsia="宋体" w:cs="Times New Roman"/>
          <w:color w:val="auto"/>
          <w:kern w:val="0"/>
          <w:sz w:val="21"/>
          <w:szCs w:val="18"/>
        </w:rPr>
        <w:t xml:space="preserve">                                      </w:t>
      </w:r>
      <w:r>
        <w:rPr>
          <w:rFonts w:ascii="宋体" w:hAnsi="宋体" w:eastAsia="宋体" w:cs="Times New Roman"/>
          <w:color w:val="auto"/>
          <w:kern w:val="0"/>
          <w:sz w:val="21"/>
          <w:szCs w:val="18"/>
        </w:rPr>
        <w:t>审批人：</w:t>
      </w:r>
      <w:r>
        <w:rPr>
          <w:rFonts w:hint="eastAsia" w:ascii="宋体" w:hAnsi="宋体" w:eastAsia="宋体" w:cs="Times New Roman"/>
          <w:color w:val="auto"/>
          <w:kern w:val="0"/>
          <w:sz w:val="21"/>
          <w:szCs w:val="18"/>
        </w:rPr>
        <w:t>张志欣</w:t>
      </w:r>
    </w:p>
    <w:p w14:paraId="2B5537F5">
      <w:pPr>
        <w:autoSpaceDE w:val="0"/>
        <w:autoSpaceDN w:val="0"/>
        <w:adjustRightInd w:val="0"/>
        <w:spacing w:line="360" w:lineRule="auto"/>
        <w:jc w:val="right"/>
        <w:rPr>
          <w:rFonts w:hint="eastAsia" w:ascii="宋体" w:hAnsi="宋体" w:eastAsia="宋体" w:cs="Times New Roman"/>
          <w:color w:val="auto"/>
          <w:kern w:val="0"/>
          <w:sz w:val="21"/>
          <w:szCs w:val="18"/>
          <w:lang w:eastAsia="zh-CN"/>
        </w:rPr>
      </w:pPr>
      <w:r>
        <w:rPr>
          <w:rFonts w:hint="eastAsia" w:ascii="宋体" w:hAnsi="宋体" w:eastAsia="宋体" w:cs="Times New Roman"/>
          <w:color w:val="auto"/>
          <w:kern w:val="0"/>
          <w:sz w:val="21"/>
          <w:szCs w:val="18"/>
        </w:rPr>
        <w:t xml:space="preserve">  </w:t>
      </w:r>
      <w:r>
        <w:rPr>
          <w:rFonts w:hint="eastAsia" w:ascii="宋体" w:hAnsi="宋体" w:eastAsia="宋体" w:cs="Times New Roman"/>
          <w:color w:val="auto"/>
          <w:kern w:val="0"/>
          <w:sz w:val="21"/>
          <w:szCs w:val="18"/>
          <w:lang w:eastAsia="zh-CN"/>
        </w:rPr>
        <w:t>批准时间：2025年7月1日</w:t>
      </w:r>
    </w:p>
    <w:p w14:paraId="7F50694C">
      <w:pPr>
        <w:rPr>
          <w:rFonts w:hint="eastAsia" w:ascii="宋体" w:hAnsi="宋体" w:eastAsia="宋体" w:cs="Times New Roman"/>
          <w:color w:val="auto"/>
          <w:kern w:val="0"/>
          <w:sz w:val="24"/>
          <w:szCs w:val="21"/>
        </w:rPr>
      </w:pPr>
      <w:r>
        <w:rPr>
          <w:rFonts w:hint="eastAsia" w:ascii="宋体" w:hAnsi="宋体" w:eastAsia="宋体" w:cs="Times New Roman"/>
          <w:color w:val="auto"/>
          <w:kern w:val="0"/>
          <w:sz w:val="24"/>
          <w:szCs w:val="21"/>
        </w:rPr>
        <w:br w:type="page"/>
      </w:r>
    </w:p>
    <w:p w14:paraId="4AE48AC2">
      <w:pPr>
        <w:spacing w:line="360" w:lineRule="auto"/>
        <w:jc w:val="center"/>
        <w:outlineLvl w:val="0"/>
        <w:rPr>
          <w:rFonts w:hint="eastAsia" w:ascii="Times New Roman" w:hAnsi="Times New Roman" w:eastAsia="宋体" w:cs="Times New Roman"/>
          <w:b/>
          <w:color w:val="auto"/>
          <w:sz w:val="44"/>
          <w:szCs w:val="44"/>
        </w:rPr>
      </w:pPr>
      <w:bookmarkStart w:id="364" w:name="_Toc29652"/>
      <w:bookmarkStart w:id="365" w:name="_Toc166165207"/>
      <w:r>
        <w:rPr>
          <w:rFonts w:hint="eastAsia" w:ascii="Times New Roman" w:hAnsi="Times New Roman" w:eastAsia="宋体" w:cs="Times New Roman"/>
          <w:b/>
          <w:color w:val="auto"/>
          <w:sz w:val="44"/>
          <w:szCs w:val="44"/>
        </w:rPr>
        <w:t>《数学分析II》课程教学大纲</w:t>
      </w:r>
      <w:bookmarkEnd w:id="364"/>
      <w:bookmarkEnd w:id="365"/>
    </w:p>
    <w:p w14:paraId="3CAC21F3">
      <w:pPr>
        <w:spacing w:line="312" w:lineRule="auto"/>
        <w:jc w:val="center"/>
        <w:rPr>
          <w:rFonts w:ascii="Times New Roman" w:hAnsi="Times New Roman" w:eastAsia="宋体" w:cs="Times New Roman"/>
          <w:b/>
          <w:bCs/>
          <w:color w:val="auto"/>
          <w:sz w:val="30"/>
        </w:rPr>
      </w:pPr>
      <w:r>
        <w:rPr>
          <w:rFonts w:ascii="Times New Roman" w:hAnsi="Times New Roman" w:eastAsia="宋体" w:cs="Times New Roman"/>
          <w:b/>
          <w:bCs/>
          <w:color w:val="auto"/>
          <w:sz w:val="30"/>
        </w:rPr>
        <w:t xml:space="preserve">（Mathematical Analysis </w:t>
      </w:r>
      <w:r>
        <w:rPr>
          <w:rFonts w:ascii="Times New Roman" w:hAnsi="Times New Roman" w:eastAsia="宋体" w:cs="Times New Roman"/>
          <w:b/>
          <w:bCs/>
          <w:color w:val="auto"/>
          <w:sz w:val="30"/>
        </w:rPr>
        <w:fldChar w:fldCharType="begin"/>
      </w:r>
      <w:r>
        <w:rPr>
          <w:rFonts w:ascii="Times New Roman" w:hAnsi="Times New Roman" w:eastAsia="宋体" w:cs="Times New Roman"/>
          <w:b/>
          <w:bCs/>
          <w:color w:val="auto"/>
          <w:sz w:val="30"/>
        </w:rPr>
        <w:instrText xml:space="preserve"> = 1 \* ROMAN \* MERGEFORMAT </w:instrText>
      </w:r>
      <w:r>
        <w:rPr>
          <w:rFonts w:ascii="Times New Roman" w:hAnsi="Times New Roman" w:eastAsia="宋体" w:cs="Times New Roman"/>
          <w:b/>
          <w:bCs/>
          <w:color w:val="auto"/>
          <w:sz w:val="30"/>
        </w:rPr>
        <w:fldChar w:fldCharType="separate"/>
      </w:r>
      <w:r>
        <w:rPr>
          <w:rFonts w:ascii="Times New Roman" w:hAnsi="Times New Roman" w:eastAsia="宋体" w:cs="Times New Roman"/>
          <w:b/>
          <w:bCs/>
          <w:color w:val="auto"/>
          <w:sz w:val="30"/>
        </w:rPr>
        <w:t>I</w:t>
      </w:r>
      <w:r>
        <w:rPr>
          <w:rFonts w:ascii="Times New Roman" w:hAnsi="Times New Roman" w:eastAsia="宋体" w:cs="Times New Roman"/>
          <w:b/>
          <w:bCs/>
          <w:color w:val="auto"/>
          <w:sz w:val="30"/>
        </w:rPr>
        <w:fldChar w:fldCharType="end"/>
      </w:r>
      <w:r>
        <w:rPr>
          <w:rFonts w:hint="eastAsia" w:ascii="Times New Roman" w:hAnsi="Times New Roman" w:eastAsia="宋体" w:cs="Times New Roman"/>
          <w:b/>
          <w:bCs/>
          <w:color w:val="auto"/>
          <w:sz w:val="30"/>
        </w:rPr>
        <w:t>I</w:t>
      </w:r>
      <w:r>
        <w:rPr>
          <w:rFonts w:ascii="Times New Roman" w:hAnsi="Times New Roman" w:eastAsia="宋体" w:cs="Times New Roman"/>
          <w:b/>
          <w:bCs/>
          <w:color w:val="auto"/>
          <w:sz w:val="30"/>
        </w:rPr>
        <w:t>）</w:t>
      </w:r>
    </w:p>
    <w:p w14:paraId="61017944">
      <w:pPr>
        <w:keepNext w:val="0"/>
        <w:keepLines w:val="0"/>
        <w:pageBreakBefore w:val="0"/>
        <w:widowControl w:val="0"/>
        <w:kinsoku/>
        <w:wordWrap/>
        <w:overflowPunct/>
        <w:topLinePunct w:val="0"/>
        <w:autoSpaceDE/>
        <w:autoSpaceDN/>
        <w:bidi w:val="0"/>
        <w:adjustRightInd/>
        <w:snapToGrid/>
        <w:spacing w:before="157" w:beforeLines="50" w:line="348" w:lineRule="auto"/>
        <w:ind w:firstLine="422" w:firstLineChars="200"/>
        <w:textAlignment w:val="auto"/>
        <w:rPr>
          <w:rFonts w:hint="eastAsia" w:ascii="宋体" w:hAnsi="宋体" w:eastAsia="宋体" w:cs="Times New Roman"/>
          <w:b/>
          <w:bCs/>
          <w:color w:val="auto"/>
          <w:kern w:val="0"/>
          <w:sz w:val="21"/>
          <w:szCs w:val="21"/>
        </w:rPr>
      </w:pPr>
    </w:p>
    <w:p w14:paraId="329F2937">
      <w:pPr>
        <w:keepNext w:val="0"/>
        <w:keepLines w:val="0"/>
        <w:pageBreakBefore w:val="0"/>
        <w:widowControl w:val="0"/>
        <w:kinsoku/>
        <w:wordWrap/>
        <w:overflowPunct/>
        <w:topLinePunct w:val="0"/>
        <w:autoSpaceDE/>
        <w:autoSpaceDN/>
        <w:bidi w:val="0"/>
        <w:adjustRightInd/>
        <w:snapToGrid/>
        <w:spacing w:before="157" w:beforeLines="50" w:line="348" w:lineRule="auto"/>
        <w:ind w:firstLine="482" w:firstLineChars="200"/>
        <w:textAlignment w:val="auto"/>
        <w:rPr>
          <w:rFonts w:hint="eastAsia" w:ascii="宋体" w:hAnsi="宋体" w:eastAsia="宋体" w:cs="Times New Roman"/>
          <w:b/>
          <w:bCs/>
          <w:color w:val="auto"/>
          <w:kern w:val="0"/>
          <w:sz w:val="24"/>
        </w:rPr>
      </w:pPr>
      <w:r>
        <w:rPr>
          <w:rFonts w:hint="eastAsia" w:ascii="宋体" w:hAnsi="宋体" w:eastAsia="宋体" w:cs="Times New Roman"/>
          <w:b/>
          <w:bCs/>
          <w:color w:val="auto"/>
          <w:kern w:val="0"/>
          <w:sz w:val="24"/>
        </w:rPr>
        <w:t>课程名称：数学分析</w:t>
      </w:r>
      <w:r>
        <w:rPr>
          <w:rFonts w:ascii="宋体" w:hAnsi="宋体" w:eastAsia="宋体" w:cs="Times New Roman"/>
          <w:b/>
          <w:bCs/>
          <w:color w:val="auto"/>
          <w:kern w:val="0"/>
          <w:sz w:val="24"/>
        </w:rPr>
        <w:t>II</w:t>
      </w:r>
    </w:p>
    <w:p w14:paraId="1EFCF6D4">
      <w:pPr>
        <w:spacing w:line="348" w:lineRule="auto"/>
        <w:ind w:firstLine="482" w:firstLineChars="200"/>
        <w:rPr>
          <w:rFonts w:hint="eastAsia" w:ascii="宋体" w:hAnsi="宋体" w:eastAsia="宋体" w:cs="Times New Roman"/>
          <w:b/>
          <w:bCs/>
          <w:color w:val="auto"/>
          <w:kern w:val="0"/>
          <w:sz w:val="24"/>
        </w:rPr>
      </w:pPr>
      <w:r>
        <w:rPr>
          <w:rFonts w:ascii="宋体" w:hAnsi="宋体" w:eastAsia="宋体" w:cs="Times New Roman"/>
          <w:b/>
          <w:bCs/>
          <w:color w:val="auto"/>
          <w:kern w:val="0"/>
          <w:sz w:val="24"/>
        </w:rPr>
        <w:t>课程代码：</w:t>
      </w:r>
      <w:r>
        <w:rPr>
          <w:rFonts w:ascii="宋体" w:hAnsi="宋体" w:eastAsia="宋体" w:cs="Times New Roman"/>
          <w:b/>
          <w:bCs/>
          <w:color w:val="auto"/>
          <w:sz w:val="24"/>
        </w:rPr>
        <w:t>0821008</w:t>
      </w:r>
    </w:p>
    <w:p w14:paraId="6995E04E">
      <w:pPr>
        <w:spacing w:line="348" w:lineRule="auto"/>
        <w:ind w:firstLine="482" w:firstLineChars="200"/>
        <w:rPr>
          <w:rFonts w:hint="eastAsia" w:ascii="宋体" w:hAnsi="宋体" w:eastAsia="宋体" w:cs="Times New Roman"/>
          <w:b/>
          <w:bCs/>
          <w:color w:val="auto"/>
          <w:kern w:val="0"/>
          <w:sz w:val="24"/>
        </w:rPr>
      </w:pPr>
      <w:r>
        <w:rPr>
          <w:rFonts w:ascii="宋体" w:hAnsi="宋体" w:eastAsia="宋体" w:cs="Times New Roman"/>
          <w:b/>
          <w:bCs/>
          <w:color w:val="auto"/>
          <w:kern w:val="0"/>
          <w:sz w:val="24"/>
        </w:rPr>
        <w:t>学    分：</w:t>
      </w:r>
      <w:r>
        <w:rPr>
          <w:rFonts w:ascii="宋体" w:hAnsi="宋体" w:eastAsia="宋体" w:cs="Times New Roman"/>
          <w:b/>
          <w:bCs/>
          <w:color w:val="auto"/>
          <w:sz w:val="24"/>
        </w:rPr>
        <w:t>3</w:t>
      </w:r>
    </w:p>
    <w:p w14:paraId="35CB0081">
      <w:pPr>
        <w:spacing w:line="348" w:lineRule="auto"/>
        <w:ind w:firstLine="482" w:firstLineChars="200"/>
        <w:rPr>
          <w:rFonts w:hint="eastAsia" w:ascii="宋体" w:hAnsi="宋体" w:eastAsia="宋体" w:cs="Times New Roman"/>
          <w:b/>
          <w:bCs/>
          <w:color w:val="auto"/>
          <w:kern w:val="0"/>
          <w:sz w:val="24"/>
        </w:rPr>
      </w:pPr>
      <w:r>
        <w:rPr>
          <w:rFonts w:ascii="宋体" w:hAnsi="宋体" w:eastAsia="宋体" w:cs="Times New Roman"/>
          <w:b/>
          <w:bCs/>
          <w:color w:val="auto"/>
          <w:kern w:val="0"/>
          <w:sz w:val="24"/>
        </w:rPr>
        <w:t>学    时：</w:t>
      </w:r>
      <w:r>
        <w:rPr>
          <w:rFonts w:ascii="宋体" w:hAnsi="宋体" w:eastAsia="宋体" w:cs="Times New Roman"/>
          <w:b/>
          <w:bCs/>
          <w:color w:val="auto"/>
          <w:sz w:val="24"/>
        </w:rPr>
        <w:t>48</w:t>
      </w:r>
      <w:r>
        <w:rPr>
          <w:rFonts w:ascii="宋体" w:hAnsi="宋体" w:eastAsia="宋体" w:cs="Times New Roman"/>
          <w:b/>
          <w:bCs/>
          <w:color w:val="auto"/>
          <w:kern w:val="0"/>
          <w:sz w:val="24"/>
        </w:rPr>
        <w:t xml:space="preserve"> </w:t>
      </w:r>
    </w:p>
    <w:p w14:paraId="47DF2B7B">
      <w:pPr>
        <w:spacing w:line="348" w:lineRule="auto"/>
        <w:ind w:firstLine="482" w:firstLineChars="200"/>
        <w:jc w:val="left"/>
        <w:rPr>
          <w:rFonts w:hint="eastAsia" w:ascii="宋体" w:hAnsi="宋体" w:eastAsia="宋体" w:cs="Times New Roman"/>
          <w:b/>
          <w:bCs/>
          <w:color w:val="auto"/>
          <w:sz w:val="24"/>
        </w:rPr>
      </w:pPr>
      <w:r>
        <w:rPr>
          <w:rFonts w:ascii="宋体" w:hAnsi="宋体" w:eastAsia="宋体" w:cs="Times New Roman"/>
          <w:b/>
          <w:bCs/>
          <w:color w:val="auto"/>
          <w:kern w:val="0"/>
          <w:sz w:val="24"/>
        </w:rPr>
        <w:t>先修课程：</w:t>
      </w:r>
      <w:r>
        <w:rPr>
          <w:rFonts w:ascii="宋体" w:hAnsi="宋体" w:eastAsia="宋体" w:cs="Times New Roman"/>
          <w:b/>
          <w:bCs/>
          <w:color w:val="auto"/>
          <w:sz w:val="24"/>
        </w:rPr>
        <w:t>初等数学</w:t>
      </w:r>
    </w:p>
    <w:p w14:paraId="5793E69F">
      <w:pPr>
        <w:spacing w:line="348" w:lineRule="auto"/>
        <w:ind w:firstLine="482" w:firstLineChars="200"/>
        <w:rPr>
          <w:rFonts w:hint="eastAsia" w:ascii="宋体" w:hAnsi="宋体" w:eastAsia="宋体" w:cs="Times New Roman"/>
          <w:b/>
          <w:bCs/>
          <w:color w:val="auto"/>
          <w:kern w:val="0"/>
          <w:sz w:val="24"/>
        </w:rPr>
      </w:pPr>
      <w:r>
        <w:rPr>
          <w:rFonts w:ascii="宋体" w:hAnsi="宋体" w:eastAsia="宋体" w:cs="Times New Roman"/>
          <w:b/>
          <w:bCs/>
          <w:color w:val="auto"/>
          <w:kern w:val="0"/>
          <w:sz w:val="24"/>
        </w:rPr>
        <w:t>适用专业：</w:t>
      </w:r>
      <w:r>
        <w:rPr>
          <w:rFonts w:ascii="宋体" w:hAnsi="宋体" w:eastAsia="宋体" w:cs="Times New Roman"/>
          <w:b/>
          <w:bCs/>
          <w:color w:val="auto"/>
          <w:sz w:val="24"/>
        </w:rPr>
        <w:t xml:space="preserve">小学教育（理） </w:t>
      </w:r>
      <w:r>
        <w:rPr>
          <w:rFonts w:ascii="宋体" w:hAnsi="宋体" w:eastAsia="宋体" w:cs="Times New Roman"/>
          <w:b/>
          <w:bCs/>
          <w:color w:val="auto"/>
          <w:kern w:val="0"/>
          <w:sz w:val="24"/>
        </w:rPr>
        <w:t xml:space="preserve">                         </w:t>
      </w:r>
    </w:p>
    <w:p w14:paraId="7A904C65">
      <w:pPr>
        <w:spacing w:line="360" w:lineRule="auto"/>
        <w:jc w:val="left"/>
        <w:rPr>
          <w:rFonts w:hint="eastAsia" w:ascii="Calibri" w:hAnsi="Calibri" w:eastAsia="宋体" w:cs="Times New Roman"/>
          <w:color w:val="auto"/>
          <w:position w:val="-26"/>
          <w:sz w:val="24"/>
        </w:rPr>
      </w:pPr>
      <w:r>
        <w:rPr>
          <w:rFonts w:hint="eastAsia" w:ascii="Calibri" w:hAnsi="Calibri" w:eastAsia="宋体" w:cs="Times New Roman"/>
          <w:b/>
          <w:bCs/>
          <w:color w:val="auto"/>
          <w:position w:val="-26"/>
          <w:sz w:val="24"/>
          <w:lang w:val="en-US" w:eastAsia="zh-CN"/>
        </w:rPr>
        <w:t>一、</w:t>
      </w:r>
      <w:r>
        <w:rPr>
          <w:rFonts w:hint="eastAsia" w:ascii="Calibri" w:hAnsi="Calibri" w:eastAsia="宋体" w:cs="Times New Roman"/>
          <w:b/>
          <w:bCs/>
          <w:color w:val="auto"/>
          <w:position w:val="-26"/>
          <w:sz w:val="24"/>
        </w:rPr>
        <w:t>课程简介</w:t>
      </w:r>
    </w:p>
    <w:p w14:paraId="0CCFAECA">
      <w:pPr>
        <w:autoSpaceDE w:val="0"/>
        <w:autoSpaceDN w:val="0"/>
        <w:adjustRightInd w:val="0"/>
        <w:spacing w:line="348" w:lineRule="auto"/>
        <w:ind w:firstLine="480" w:firstLineChars="200"/>
        <w:jc w:val="left"/>
        <w:rPr>
          <w:rFonts w:ascii="Calibri" w:hAnsi="Calibri" w:eastAsia="宋体" w:cs="Times New Roman"/>
          <w:color w:val="auto"/>
          <w:sz w:val="24"/>
        </w:rPr>
      </w:pPr>
      <w:r>
        <w:rPr>
          <w:rFonts w:ascii="Calibri" w:hAnsi="Calibri" w:eastAsia="宋体" w:cs="Times New Roman"/>
          <w:color w:val="auto"/>
          <w:kern w:val="0"/>
          <w:sz w:val="24"/>
        </w:rPr>
        <w:t>本课程是小学教育（理）专业的一门</w:t>
      </w:r>
      <w:r>
        <w:rPr>
          <w:rFonts w:ascii="Calibri" w:hAnsi="Calibri" w:eastAsia="宋体" w:cs="Times New Roman"/>
          <w:color w:val="auto"/>
          <w:sz w:val="24"/>
        </w:rPr>
        <w:t>重要基础课。</w:t>
      </w:r>
      <w:r>
        <w:rPr>
          <w:rFonts w:ascii="Calibri" w:hAnsi="Calibri" w:eastAsia="宋体" w:cs="Times New Roman"/>
          <w:color w:val="auto"/>
          <w:kern w:val="0"/>
          <w:sz w:val="24"/>
        </w:rPr>
        <w:t>通过本课程的学习，使学生系统地获得数学分析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167124AC">
      <w:pPr>
        <w:spacing w:line="360" w:lineRule="auto"/>
        <w:jc w:val="left"/>
        <w:rPr>
          <w:rFonts w:hint="eastAsia" w:ascii="Calibri" w:hAnsi="Calibri" w:eastAsia="宋体" w:cs="Times New Roman"/>
          <w:b/>
          <w:bCs/>
          <w:color w:val="auto"/>
          <w:position w:val="-26"/>
          <w:sz w:val="24"/>
        </w:rPr>
      </w:pPr>
      <w:r>
        <w:rPr>
          <w:rFonts w:hint="eastAsia" w:ascii="Calibri" w:hAnsi="Calibri" w:eastAsia="宋体" w:cs="Times New Roman"/>
          <w:b/>
          <w:bCs/>
          <w:color w:val="auto"/>
          <w:position w:val="-26"/>
          <w:sz w:val="24"/>
        </w:rPr>
        <w:t>二、课程目标</w:t>
      </w:r>
    </w:p>
    <w:p w14:paraId="0D98912F">
      <w:pPr>
        <w:spacing w:line="348" w:lineRule="auto"/>
        <w:ind w:firstLine="422" w:firstLineChars="200"/>
        <w:rPr>
          <w:rFonts w:ascii="Calibri" w:hAnsi="Calibri" w:eastAsia="宋体" w:cs="Times New Roman"/>
          <w:b/>
          <w:color w:val="auto"/>
          <w:sz w:val="21"/>
          <w:szCs w:val="21"/>
        </w:rPr>
      </w:pPr>
      <w:r>
        <w:rPr>
          <w:rFonts w:ascii="Calibri" w:hAnsi="Calibri" w:eastAsia="宋体" w:cs="Times New Roman"/>
          <w:b/>
          <w:color w:val="auto"/>
          <w:sz w:val="21"/>
          <w:szCs w:val="21"/>
        </w:rPr>
        <w:t>（一）课程具体目标</w:t>
      </w:r>
    </w:p>
    <w:p w14:paraId="3106827B">
      <w:pPr>
        <w:spacing w:line="360" w:lineRule="auto"/>
        <w:ind w:firstLine="422" w:firstLineChars="200"/>
        <w:rPr>
          <w:rFonts w:hint="eastAsia" w:ascii="宋体" w:hAnsi="宋体" w:eastAsia="宋体" w:cs="Times New Roman"/>
          <w:color w:val="auto"/>
          <w:sz w:val="21"/>
          <w:szCs w:val="21"/>
        </w:rPr>
      </w:pPr>
      <w:r>
        <w:rPr>
          <w:rFonts w:hint="eastAsia" w:ascii="宋体" w:hAnsi="宋体" w:eastAsia="宋体" w:cs="Times New Roman"/>
          <w:b/>
          <w:bCs/>
          <w:color w:val="auto"/>
          <w:sz w:val="21"/>
          <w:szCs w:val="21"/>
        </w:rPr>
        <w:t>目标1：</w:t>
      </w:r>
      <w:r>
        <w:rPr>
          <w:rFonts w:ascii="Times New Roman" w:hAnsi="Times New Roman" w:eastAsia="宋体" w:cs="Times New Roman"/>
          <w:color w:val="auto"/>
          <w:sz w:val="21"/>
          <w:szCs w:val="21"/>
        </w:rPr>
        <w:t>能够获得课程基本概念与性质</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掌握本课程要求的计算方法</w:t>
      </w:r>
      <w:r>
        <w:rPr>
          <w:rFonts w:hint="eastAsia" w:ascii="宋体" w:hAnsi="宋体" w:eastAsia="宋体" w:cs="Times New Roman"/>
          <w:color w:val="auto"/>
          <w:sz w:val="21"/>
          <w:szCs w:val="21"/>
        </w:rPr>
        <w:t>；</w:t>
      </w:r>
    </w:p>
    <w:p w14:paraId="61C86A52">
      <w:pPr>
        <w:spacing w:line="360" w:lineRule="auto"/>
        <w:ind w:firstLine="422" w:firstLineChars="200"/>
        <w:jc w:val="left"/>
        <w:rPr>
          <w:rFonts w:hint="eastAsia" w:ascii="宋体" w:hAnsi="宋体" w:eastAsia="宋体" w:cs="Times New Roman"/>
          <w:color w:val="auto"/>
          <w:sz w:val="21"/>
          <w:szCs w:val="21"/>
        </w:rPr>
      </w:pPr>
      <w:r>
        <w:rPr>
          <w:rFonts w:hint="eastAsia" w:ascii="宋体" w:hAnsi="宋体" w:eastAsia="宋体" w:cs="Times New Roman"/>
          <w:b/>
          <w:bCs/>
          <w:color w:val="auto"/>
          <w:sz w:val="21"/>
          <w:szCs w:val="21"/>
        </w:rPr>
        <w:t>目标2：</w:t>
      </w:r>
      <w:r>
        <w:rPr>
          <w:rFonts w:ascii="Times New Roman" w:hAnsi="Times New Roman" w:eastAsia="宋体" w:cs="Times New Roman"/>
          <w:color w:val="auto"/>
          <w:sz w:val="21"/>
          <w:szCs w:val="21"/>
        </w:rPr>
        <w:t>能够具有一定的抽象概括、逻辑推理等能力</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具有一定的运算能力</w:t>
      </w:r>
      <w:r>
        <w:rPr>
          <w:rFonts w:hint="eastAsia" w:ascii="Times New Roman" w:hAnsi="Times New Roman" w:eastAsia="宋体" w:cs="Times New Roman"/>
          <w:color w:val="auto"/>
          <w:sz w:val="21"/>
          <w:szCs w:val="21"/>
        </w:rPr>
        <w:t>，以及</w:t>
      </w:r>
      <w:r>
        <w:rPr>
          <w:rFonts w:ascii="Times New Roman" w:hAnsi="Times New Roman" w:eastAsia="宋体" w:cs="Times New Roman"/>
          <w:color w:val="auto"/>
          <w:sz w:val="21"/>
          <w:szCs w:val="21"/>
        </w:rPr>
        <w:t>具有一定的数学思维与分析能力。</w:t>
      </w:r>
    </w:p>
    <w:p w14:paraId="60A3AA1F">
      <w:pPr>
        <w:spacing w:line="360" w:lineRule="auto"/>
        <w:ind w:firstLine="422" w:firstLineChars="200"/>
        <w:rPr>
          <w:rFonts w:ascii="Calibri" w:hAnsi="Calibri" w:eastAsia="宋体" w:cs="Times New Roman"/>
          <w:b/>
          <w:color w:val="auto"/>
          <w:sz w:val="21"/>
          <w:szCs w:val="21"/>
        </w:rPr>
      </w:pPr>
      <w:r>
        <w:rPr>
          <w:rFonts w:ascii="Calibri" w:hAnsi="Calibri" w:eastAsia="宋体" w:cs="Times New Roman"/>
          <w:b/>
          <w:color w:val="auto"/>
          <w:sz w:val="21"/>
          <w:szCs w:val="21"/>
        </w:rPr>
        <w:t>（二）课程目标</w:t>
      </w:r>
      <w:r>
        <w:rPr>
          <w:rFonts w:hint="eastAsia" w:ascii="Calibri" w:hAnsi="Calibri" w:eastAsia="宋体" w:cs="Times New Roman"/>
          <w:b/>
          <w:color w:val="auto"/>
          <w:sz w:val="21"/>
          <w:szCs w:val="21"/>
        </w:rPr>
        <w:t>及其对</w:t>
      </w:r>
      <w:r>
        <w:rPr>
          <w:rFonts w:ascii="Calibri" w:hAnsi="Calibri" w:eastAsia="宋体" w:cs="Times New Roman"/>
          <w:b/>
          <w:color w:val="auto"/>
          <w:sz w:val="21"/>
          <w:szCs w:val="21"/>
        </w:rPr>
        <w:t>毕业要求</w:t>
      </w:r>
      <w:r>
        <w:rPr>
          <w:rFonts w:hint="eastAsia" w:ascii="Calibri" w:hAnsi="Calibri" w:eastAsia="宋体" w:cs="Times New Roman"/>
          <w:b/>
          <w:color w:val="auto"/>
          <w:sz w:val="21"/>
          <w:szCs w:val="21"/>
        </w:rPr>
        <w:t>指标点</w:t>
      </w:r>
      <w:r>
        <w:rPr>
          <w:rFonts w:ascii="Calibri" w:hAnsi="Calibri" w:eastAsia="宋体" w:cs="Times New Roman"/>
          <w:b/>
          <w:color w:val="auto"/>
          <w:sz w:val="21"/>
          <w:szCs w:val="21"/>
        </w:rPr>
        <w:t>的</w:t>
      </w:r>
      <w:r>
        <w:rPr>
          <w:rFonts w:hint="eastAsia" w:ascii="Calibri" w:hAnsi="Calibri" w:eastAsia="宋体" w:cs="Times New Roman"/>
          <w:b/>
          <w:color w:val="auto"/>
          <w:sz w:val="21"/>
          <w:szCs w:val="21"/>
        </w:rPr>
        <w:t>支撑</w:t>
      </w:r>
    </w:p>
    <w:tbl>
      <w:tblPr>
        <w:tblStyle w:val="15"/>
        <w:tblW w:w="8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223"/>
        <w:gridCol w:w="4977"/>
      </w:tblGrid>
      <w:tr w14:paraId="07E4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62" w:type="dxa"/>
            <w:vAlign w:val="center"/>
          </w:tcPr>
          <w:p w14:paraId="01C25B68">
            <w:pPr>
              <w:jc w:val="center"/>
              <w:rPr>
                <w:rFonts w:hint="eastAsia" w:ascii="宋体" w:hAnsi="宋体" w:eastAsia="宋体" w:cs="Times New Roman"/>
                <w:b/>
                <w:bCs/>
                <w:color w:val="auto"/>
                <w:sz w:val="21"/>
                <w:szCs w:val="21"/>
              </w:rPr>
            </w:pPr>
            <w:r>
              <w:rPr>
                <w:rFonts w:ascii="宋体" w:hAnsi="宋体" w:eastAsia="宋体" w:cs="Times New Roman"/>
                <w:b/>
                <w:bCs/>
                <w:color w:val="auto"/>
                <w:sz w:val="21"/>
                <w:szCs w:val="21"/>
              </w:rPr>
              <w:t>课程目标</w:t>
            </w:r>
          </w:p>
        </w:tc>
        <w:tc>
          <w:tcPr>
            <w:tcW w:w="2223" w:type="dxa"/>
            <w:vAlign w:val="center"/>
          </w:tcPr>
          <w:p w14:paraId="183946BA">
            <w:pPr>
              <w:jc w:val="center"/>
              <w:rPr>
                <w:rFonts w:hint="eastAsia" w:ascii="宋体" w:hAnsi="宋体" w:eastAsia="宋体" w:cs="Times New Roman"/>
                <w:b/>
                <w:bCs/>
                <w:color w:val="auto"/>
                <w:sz w:val="21"/>
                <w:szCs w:val="21"/>
              </w:rPr>
            </w:pPr>
            <w:r>
              <w:rPr>
                <w:rFonts w:ascii="宋体" w:hAnsi="宋体" w:eastAsia="宋体" w:cs="Times New Roman"/>
                <w:b/>
                <w:bCs/>
                <w:color w:val="auto"/>
                <w:sz w:val="21"/>
                <w:szCs w:val="21"/>
              </w:rPr>
              <w:t>支撑的毕业要求</w:t>
            </w:r>
          </w:p>
        </w:tc>
        <w:tc>
          <w:tcPr>
            <w:tcW w:w="4977" w:type="dxa"/>
            <w:vAlign w:val="center"/>
          </w:tcPr>
          <w:p w14:paraId="685B0BE9">
            <w:pPr>
              <w:jc w:val="center"/>
              <w:rPr>
                <w:rFonts w:hint="eastAsia" w:ascii="宋体" w:hAnsi="宋体" w:eastAsia="宋体" w:cs="Times New Roman"/>
                <w:b/>
                <w:bCs/>
                <w:color w:val="auto"/>
                <w:sz w:val="21"/>
                <w:szCs w:val="21"/>
              </w:rPr>
            </w:pPr>
            <w:r>
              <w:rPr>
                <w:rFonts w:ascii="宋体" w:hAnsi="宋体" w:eastAsia="宋体" w:cs="Times New Roman"/>
                <w:b/>
                <w:bCs/>
                <w:color w:val="auto"/>
                <w:sz w:val="21"/>
                <w:szCs w:val="21"/>
              </w:rPr>
              <w:t>支撑的毕业要求指标点</w:t>
            </w:r>
          </w:p>
        </w:tc>
      </w:tr>
      <w:tr w14:paraId="0556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62" w:type="dxa"/>
            <w:vAlign w:val="center"/>
          </w:tcPr>
          <w:p w14:paraId="0A518557">
            <w:pPr>
              <w:jc w:val="center"/>
              <w:rPr>
                <w:rFonts w:ascii="宋体" w:hAnsi="宋体" w:eastAsia="宋体" w:cs="Times New Roman"/>
                <w:bCs/>
                <w:color w:val="auto"/>
                <w:sz w:val="21"/>
                <w:szCs w:val="21"/>
              </w:rPr>
            </w:pPr>
            <w:r>
              <w:rPr>
                <w:rFonts w:ascii="宋体" w:hAnsi="宋体" w:eastAsia="宋体" w:cs="Times New Roman"/>
                <w:bCs/>
                <w:color w:val="auto"/>
                <w:sz w:val="21"/>
                <w:szCs w:val="21"/>
              </w:rPr>
              <w:t>课程目标</w:t>
            </w:r>
          </w:p>
          <w:p w14:paraId="7256ADBC">
            <w:pPr>
              <w:jc w:val="center"/>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1、2</w:t>
            </w:r>
          </w:p>
        </w:tc>
        <w:tc>
          <w:tcPr>
            <w:tcW w:w="2223" w:type="dxa"/>
            <w:vAlign w:val="center"/>
          </w:tcPr>
          <w:p w14:paraId="02540AAC">
            <w:pPr>
              <w:rPr>
                <w:rFonts w:hint="eastAsia" w:ascii="宋体" w:hAnsi="宋体" w:eastAsia="宋体" w:cs="Times New Roman"/>
                <w:b/>
                <w:bCs/>
                <w:color w:val="auto"/>
                <w:kern w:val="0"/>
                <w:sz w:val="21"/>
                <w:szCs w:val="21"/>
              </w:rPr>
            </w:pPr>
            <w:r>
              <w:rPr>
                <w:rFonts w:ascii="宋体" w:hAnsi="宋体" w:eastAsia="宋体" w:cs="Times New Roman"/>
                <w:b/>
                <w:bCs/>
                <w:color w:val="auto"/>
                <w:kern w:val="0"/>
                <w:sz w:val="21"/>
                <w:szCs w:val="21"/>
              </w:rPr>
              <w:t>毕业要求3.</w:t>
            </w:r>
            <w:r>
              <w:rPr>
                <w:rFonts w:hint="eastAsia" w:ascii="宋体" w:hAnsi="宋体" w:eastAsia="宋体" w:cs="Times New Roman"/>
                <w:b/>
                <w:bCs/>
                <w:color w:val="auto"/>
                <w:kern w:val="0"/>
                <w:sz w:val="21"/>
                <w:szCs w:val="21"/>
              </w:rPr>
              <w:t>学科</w:t>
            </w:r>
            <w:r>
              <w:rPr>
                <w:rFonts w:ascii="宋体" w:hAnsi="宋体" w:eastAsia="宋体" w:cs="Times New Roman"/>
                <w:b/>
                <w:bCs/>
                <w:color w:val="auto"/>
                <w:kern w:val="0"/>
                <w:sz w:val="21"/>
                <w:szCs w:val="21"/>
              </w:rPr>
              <w:t>素养</w:t>
            </w:r>
          </w:p>
        </w:tc>
        <w:tc>
          <w:tcPr>
            <w:tcW w:w="4977" w:type="dxa"/>
            <w:vAlign w:val="center"/>
          </w:tcPr>
          <w:p w14:paraId="6D2A283F">
            <w:pPr>
              <w:jc w:val="left"/>
              <w:rPr>
                <w:rFonts w:hint="eastAsia" w:ascii="宋体" w:hAnsi="宋体" w:eastAsia="宋体" w:cs="Times New Roman"/>
                <w:color w:val="auto"/>
                <w:kern w:val="0"/>
                <w:sz w:val="21"/>
                <w:szCs w:val="21"/>
                <w:lang w:eastAsia="zh-CN"/>
              </w:rPr>
            </w:pPr>
            <w:r>
              <w:rPr>
                <w:rFonts w:hint="eastAsia" w:ascii="宋体" w:hAnsi="宋体" w:eastAsia="宋体" w:cs="Times New Roman"/>
                <w:b w:val="0"/>
                <w:bCs w:val="0"/>
                <w:color w:val="auto"/>
                <w:sz w:val="21"/>
                <w:szCs w:val="21"/>
                <w:lang w:eastAsia="zh-CN"/>
              </w:rPr>
              <w:t>指标点3-2：【学科知识扎实】具有学科专业能力，掌握小学数学学科的基本知识、原理和技能。熟悉小学科学的知识体系，掌握小学科学的基本知识、原理和技能。</w:t>
            </w:r>
          </w:p>
        </w:tc>
      </w:tr>
    </w:tbl>
    <w:p w14:paraId="6D43DA40">
      <w:pPr>
        <w:spacing w:before="156" w:beforeLines="50" w:line="360" w:lineRule="auto"/>
        <w:ind w:firstLine="422" w:firstLineChars="200"/>
        <w:jc w:val="left"/>
        <w:rPr>
          <w:rFonts w:hint="eastAsia" w:ascii="宋体" w:hAnsi="宋体" w:eastAsia="宋体" w:cs="Times New Roman"/>
          <w:b/>
          <w:color w:val="auto"/>
          <w:sz w:val="24"/>
        </w:rPr>
      </w:pPr>
      <w:r>
        <w:rPr>
          <w:rFonts w:hint="eastAsia" w:ascii="Calibri" w:hAnsi="Calibri" w:eastAsia="宋体" w:cs="Times New Roman"/>
          <w:b/>
          <w:color w:val="auto"/>
          <w:sz w:val="21"/>
          <w:szCs w:val="21"/>
        </w:rPr>
        <w:t>（三）</w:t>
      </w:r>
      <w:r>
        <w:rPr>
          <w:rFonts w:hint="eastAsia" w:ascii="宋体" w:hAnsi="宋体" w:eastAsia="宋体" w:cs="Times New Roman"/>
          <w:b/>
          <w:color w:val="auto"/>
          <w:sz w:val="21"/>
          <w:szCs w:val="21"/>
        </w:rPr>
        <w:t>课程思政目标</w:t>
      </w:r>
    </w:p>
    <w:p w14:paraId="5F18A928">
      <w:pPr>
        <w:spacing w:line="360" w:lineRule="auto"/>
        <w:ind w:firstLine="411" w:firstLineChars="196"/>
        <w:rPr>
          <w:rFonts w:ascii="Calibri" w:hAnsi="Calibri" w:eastAsia="宋体" w:cs="Times New Roman"/>
          <w:b/>
          <w:color w:val="auto"/>
          <w:sz w:val="21"/>
          <w:szCs w:val="21"/>
        </w:rPr>
      </w:pPr>
      <w:r>
        <w:rPr>
          <w:rFonts w:hint="eastAsia" w:ascii="宋体" w:hAnsi="宋体" w:eastAsia="宋体" w:cs="Times New Roman"/>
          <w:color w:val="auto"/>
          <w:sz w:val="21"/>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501E508D">
      <w:pPr>
        <w:spacing w:line="360" w:lineRule="auto"/>
        <w:jc w:val="left"/>
        <w:rPr>
          <w:rFonts w:hint="eastAsia" w:ascii="Calibri" w:hAnsi="Calibri" w:eastAsia="宋体" w:cs="Times New Roman"/>
          <w:b/>
          <w:bCs/>
          <w:color w:val="auto"/>
          <w:position w:val="-26"/>
          <w:sz w:val="24"/>
        </w:rPr>
      </w:pPr>
      <w:r>
        <w:rPr>
          <w:rFonts w:hint="eastAsia" w:ascii="Calibri" w:hAnsi="Calibri" w:eastAsia="宋体" w:cs="Times New Roman"/>
          <w:b/>
          <w:bCs/>
          <w:color w:val="auto"/>
          <w:position w:val="-26"/>
          <w:sz w:val="24"/>
        </w:rPr>
        <w:t>三、课程内容及要求</w:t>
      </w:r>
    </w:p>
    <w:tbl>
      <w:tblPr>
        <w:tblStyle w:val="16"/>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691"/>
        <w:gridCol w:w="1191"/>
        <w:gridCol w:w="3063"/>
        <w:gridCol w:w="1386"/>
        <w:gridCol w:w="732"/>
      </w:tblGrid>
      <w:tr w14:paraId="6678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Align w:val="center"/>
          </w:tcPr>
          <w:p w14:paraId="3605161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7C2CC37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2691" w:type="dxa"/>
            <w:vAlign w:val="center"/>
          </w:tcPr>
          <w:p w14:paraId="5C53DA5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91" w:type="dxa"/>
            <w:vAlign w:val="center"/>
          </w:tcPr>
          <w:p w14:paraId="17ED00B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7A41720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3063" w:type="dxa"/>
            <w:vAlign w:val="center"/>
          </w:tcPr>
          <w:p w14:paraId="3BBF5E1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386" w:type="dxa"/>
            <w:vAlign w:val="center"/>
          </w:tcPr>
          <w:p w14:paraId="3788739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732" w:type="dxa"/>
            <w:vAlign w:val="center"/>
          </w:tcPr>
          <w:p w14:paraId="38DA3FC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b/>
                <w:color w:val="auto"/>
                <w:szCs w:val="21"/>
                <w:lang w:val="en-US" w:eastAsia="zh-CN"/>
              </w:rPr>
            </w:pPr>
            <w:r>
              <w:rPr>
                <w:rFonts w:hint="eastAsia" w:ascii="宋体" w:hAnsi="宋体" w:eastAsia="宋体" w:cs="Times New Roman"/>
                <w:b/>
                <w:color w:val="auto"/>
                <w:szCs w:val="21"/>
                <w:lang w:val="en-US" w:eastAsia="zh-CN"/>
              </w:rPr>
              <w:t>学时</w:t>
            </w:r>
          </w:p>
        </w:tc>
      </w:tr>
      <w:tr w14:paraId="7932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5CBA97A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w:t>
            </w:r>
            <w:r>
              <w:rPr>
                <w:rFonts w:hint="eastAsia" w:ascii="宋体" w:hAnsi="宋体" w:eastAsia="宋体" w:cs="Times New Roman"/>
                <w:b/>
                <w:bCs/>
                <w:color w:val="auto"/>
                <w:szCs w:val="21"/>
              </w:rPr>
              <w:t>不定积分</w:t>
            </w:r>
          </w:p>
        </w:tc>
        <w:tc>
          <w:tcPr>
            <w:tcW w:w="2691" w:type="dxa"/>
            <w:vAlign w:val="center"/>
          </w:tcPr>
          <w:p w14:paraId="7D58F593">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（1）积分基本概念与性质</w:t>
            </w:r>
          </w:p>
          <w:p w14:paraId="58D1F7AB">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（2）不定积分基本积分公式</w:t>
            </w:r>
          </w:p>
          <w:p w14:paraId="0A175149">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（3）换元积分法与分部积分法</w:t>
            </w:r>
          </w:p>
          <w:p w14:paraId="3B962228">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（4）有理函数的不定积分</w:t>
            </w:r>
          </w:p>
          <w:p w14:paraId="09A91AB2">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（5）简单无理函数与三角函数的不定积分</w:t>
            </w:r>
          </w:p>
        </w:tc>
        <w:tc>
          <w:tcPr>
            <w:tcW w:w="1191" w:type="dxa"/>
            <w:vAlign w:val="center"/>
          </w:tcPr>
          <w:p w14:paraId="3771E10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3063" w:type="dxa"/>
            <w:vAlign w:val="center"/>
          </w:tcPr>
          <w:p w14:paraId="26D38704">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（1）能够理解积分基本概念与性质</w:t>
            </w:r>
          </w:p>
          <w:p w14:paraId="1BEF6F62">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（2）能够掌握不定积分基本积分公式</w:t>
            </w:r>
          </w:p>
          <w:p w14:paraId="4B90CEA7">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（3）能够掌握换元积分法与分部积分法</w:t>
            </w:r>
          </w:p>
          <w:p w14:paraId="0D54C486">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（4）能够掌握有理函数的不定积分</w:t>
            </w:r>
          </w:p>
          <w:p w14:paraId="0803F2B8">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（5）能够掌握简单无理函数与三角函数的不定积分</w:t>
            </w:r>
          </w:p>
        </w:tc>
        <w:tc>
          <w:tcPr>
            <w:tcW w:w="1386" w:type="dxa"/>
            <w:vAlign w:val="center"/>
          </w:tcPr>
          <w:p w14:paraId="1A832C80">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354EF20F">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2.多媒体教学</w:t>
            </w:r>
          </w:p>
          <w:p w14:paraId="30A8EED6">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3.课堂讨论</w:t>
            </w:r>
          </w:p>
          <w:p w14:paraId="5BDF42DC">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732" w:type="dxa"/>
            <w:vAlign w:val="center"/>
          </w:tcPr>
          <w:p w14:paraId="5497B0C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14</w:t>
            </w:r>
          </w:p>
        </w:tc>
      </w:tr>
      <w:tr w14:paraId="2C9D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7DA894B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tc>
        <w:tc>
          <w:tcPr>
            <w:tcW w:w="9063" w:type="dxa"/>
            <w:gridSpan w:val="5"/>
            <w:vAlign w:val="center"/>
          </w:tcPr>
          <w:p w14:paraId="28F371FB">
            <w:pPr>
              <w:keepNext w:val="0"/>
              <w:keepLines w:val="0"/>
              <w:pageBreakBefore w:val="0"/>
              <w:widowControl w:val="0"/>
              <w:kinsoku/>
              <w:wordWrap/>
              <w:overflowPunct/>
              <w:topLinePunct w:val="0"/>
              <w:autoSpaceDE/>
              <w:autoSpaceDN/>
              <w:bidi w:val="0"/>
              <w:adjustRightInd/>
              <w:spacing w:line="24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注重理论联系实际，尊重客观规律，树立社会主义核心价值观，增强专业素养，强调理论对实践的指导意义。</w:t>
            </w:r>
          </w:p>
        </w:tc>
      </w:tr>
      <w:tr w14:paraId="3DB1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2B57500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b/>
                <w:color w:val="auto"/>
                <w:szCs w:val="21"/>
              </w:rPr>
              <w:t>定积分</w:t>
            </w:r>
          </w:p>
        </w:tc>
        <w:tc>
          <w:tcPr>
            <w:tcW w:w="2691" w:type="dxa"/>
            <w:vAlign w:val="center"/>
          </w:tcPr>
          <w:p w14:paraId="4FA6B440">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（1）定积分概念</w:t>
            </w:r>
          </w:p>
          <w:p w14:paraId="495DD790">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（2）可积准则</w:t>
            </w:r>
          </w:p>
          <w:p w14:paraId="302380C3">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（3）函数极限定义</w:t>
            </w:r>
          </w:p>
          <w:p w14:paraId="5D0F7D53">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（4）定积分性质</w:t>
            </w:r>
          </w:p>
          <w:p w14:paraId="3647B3BE">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（5）牛顿一莱布尼茨公式</w:t>
            </w:r>
          </w:p>
          <w:p w14:paraId="77C74AA6">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（6）定积分换元积分法与分部积分法</w:t>
            </w:r>
          </w:p>
          <w:p w14:paraId="3387BF36">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（7）定积分几何应用</w:t>
            </w:r>
          </w:p>
        </w:tc>
        <w:tc>
          <w:tcPr>
            <w:tcW w:w="1191" w:type="dxa"/>
            <w:vAlign w:val="center"/>
          </w:tcPr>
          <w:p w14:paraId="79BF4CA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3063" w:type="dxa"/>
            <w:vAlign w:val="center"/>
          </w:tcPr>
          <w:p w14:paraId="3AECEBA0">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（1）能够理解定积分概念</w:t>
            </w:r>
          </w:p>
          <w:p w14:paraId="2E183942">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（2）能够理解可积准则</w:t>
            </w:r>
          </w:p>
          <w:p w14:paraId="72597489">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（3）能够理解函数极限定义</w:t>
            </w:r>
          </w:p>
          <w:p w14:paraId="6CD8AA9F">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（4）能够掌握定积分性质</w:t>
            </w:r>
          </w:p>
          <w:p w14:paraId="4F168388">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（5）能够掌握牛顿一莱布尼茨公式</w:t>
            </w:r>
          </w:p>
          <w:p w14:paraId="2DC0D64B">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（6）能够掌握定积分换元积分法与分部积分法</w:t>
            </w:r>
          </w:p>
          <w:p w14:paraId="59E9C593">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（7）能够掌握定积分几何应用</w:t>
            </w:r>
          </w:p>
        </w:tc>
        <w:tc>
          <w:tcPr>
            <w:tcW w:w="1386" w:type="dxa"/>
            <w:vAlign w:val="center"/>
          </w:tcPr>
          <w:p w14:paraId="784D796E">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4F3879C8">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2.多媒体教学</w:t>
            </w:r>
          </w:p>
          <w:p w14:paraId="44A4BB35">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3.课堂讨论</w:t>
            </w:r>
          </w:p>
          <w:p w14:paraId="7EAEBA04">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732" w:type="dxa"/>
            <w:vAlign w:val="center"/>
          </w:tcPr>
          <w:p w14:paraId="3650A96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20</w:t>
            </w:r>
          </w:p>
        </w:tc>
      </w:tr>
      <w:tr w14:paraId="28237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2E09F7E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tc>
        <w:tc>
          <w:tcPr>
            <w:tcW w:w="9063" w:type="dxa"/>
            <w:gridSpan w:val="5"/>
            <w:vAlign w:val="center"/>
          </w:tcPr>
          <w:p w14:paraId="5D778C15">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注重理论联系实际，尊重客观规律，树立社会主义核心价值观，增强专业素养，强调理论对实践的指导意义。</w:t>
            </w:r>
          </w:p>
        </w:tc>
      </w:tr>
      <w:tr w14:paraId="7B77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44FDEA8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b/>
                <w:color w:val="auto"/>
                <w:szCs w:val="21"/>
              </w:rPr>
              <w:t>级数</w:t>
            </w:r>
          </w:p>
        </w:tc>
        <w:tc>
          <w:tcPr>
            <w:tcW w:w="2691" w:type="dxa"/>
            <w:vAlign w:val="center"/>
          </w:tcPr>
          <w:p w14:paraId="5C1ACBCD">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（1）数值级数的概念</w:t>
            </w:r>
          </w:p>
          <w:p w14:paraId="0B096F5D">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（2）数值级数的概念判别法</w:t>
            </w:r>
          </w:p>
          <w:p w14:paraId="0401E7E1">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（3）函数项级数收敛的概念</w:t>
            </w:r>
          </w:p>
          <w:p w14:paraId="582952D7">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（4）函数项级数和函数，逐项积分、逐项微分的条件和应用</w:t>
            </w:r>
          </w:p>
          <w:p w14:paraId="445BF379">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（5）幂级数的收敛半径和收敛区间的求法</w:t>
            </w:r>
          </w:p>
          <w:p w14:paraId="16983BFB">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（6）初等函数的幂级数展开</w:t>
            </w:r>
          </w:p>
        </w:tc>
        <w:tc>
          <w:tcPr>
            <w:tcW w:w="1191" w:type="dxa"/>
            <w:vAlign w:val="center"/>
          </w:tcPr>
          <w:p w14:paraId="6941C98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3063" w:type="dxa"/>
            <w:vAlign w:val="center"/>
          </w:tcPr>
          <w:p w14:paraId="1BDDF6FF">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（1）能够理解数值级数的概念</w:t>
            </w:r>
          </w:p>
          <w:p w14:paraId="2D596722">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（2）能够掌握数值级数的概念判别法</w:t>
            </w:r>
          </w:p>
          <w:p w14:paraId="59D65CAA">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（3）能够理解函数项级数收敛的概念</w:t>
            </w:r>
          </w:p>
          <w:p w14:paraId="0FADD362">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（4）能够掌握函数项级数和函数，逐项积分、逐项微分的条件和应用</w:t>
            </w:r>
          </w:p>
          <w:p w14:paraId="1A93001D">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（5）能够掌握幂级数的收敛半径和收敛区间的求法</w:t>
            </w:r>
          </w:p>
          <w:p w14:paraId="14782424">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（6）能够理解初等函数的幂级数展开</w:t>
            </w:r>
          </w:p>
        </w:tc>
        <w:tc>
          <w:tcPr>
            <w:tcW w:w="1386" w:type="dxa"/>
            <w:vAlign w:val="center"/>
          </w:tcPr>
          <w:p w14:paraId="600F371E">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1.线上学习</w:t>
            </w:r>
          </w:p>
          <w:p w14:paraId="42C26306">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2.多媒体教学</w:t>
            </w:r>
          </w:p>
          <w:p w14:paraId="365DB0F3">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3.课堂讨论</w:t>
            </w:r>
          </w:p>
          <w:p w14:paraId="435A36F7">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732" w:type="dxa"/>
            <w:vAlign w:val="center"/>
          </w:tcPr>
          <w:p w14:paraId="2470D81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14</w:t>
            </w:r>
          </w:p>
        </w:tc>
      </w:tr>
      <w:tr w14:paraId="6793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26F7564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tc>
        <w:tc>
          <w:tcPr>
            <w:tcW w:w="9063" w:type="dxa"/>
            <w:gridSpan w:val="5"/>
            <w:vAlign w:val="center"/>
          </w:tcPr>
          <w:p w14:paraId="1359B71A">
            <w:pPr>
              <w:keepNext w:val="0"/>
              <w:keepLines w:val="0"/>
              <w:pageBreakBefore w:val="0"/>
              <w:widowControl w:val="0"/>
              <w:kinsoku/>
              <w:wordWrap/>
              <w:overflowPunct/>
              <w:topLinePunct w:val="0"/>
              <w:autoSpaceDE/>
              <w:autoSpaceDN/>
              <w:bidi w:val="0"/>
              <w:adjustRightInd/>
              <w:spacing w:line="24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注重理论联系实际，尊重客观规律，树立社会主义核心价值观，增强专业素养，强调理论对实践的指导意义。</w:t>
            </w:r>
          </w:p>
        </w:tc>
      </w:tr>
      <w:tr w14:paraId="3D06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2DFC954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b/>
                <w:color w:val="auto"/>
                <w:szCs w:val="21"/>
              </w:rPr>
              <w:t>多元微积分</w:t>
            </w:r>
          </w:p>
        </w:tc>
        <w:tc>
          <w:tcPr>
            <w:tcW w:w="2691" w:type="dxa"/>
            <w:vAlign w:val="center"/>
          </w:tcPr>
          <w:p w14:paraId="4DF714FD">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（1）偏导数的概念与几何意义</w:t>
            </w:r>
          </w:p>
          <w:p w14:paraId="1AED0C19">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（2）求导法则与导数公式</w:t>
            </w:r>
          </w:p>
          <w:p w14:paraId="12F5DAED">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（3）二重积分概念</w:t>
            </w:r>
          </w:p>
          <w:p w14:paraId="7CDC6047">
            <w:pPr>
              <w:keepNext w:val="0"/>
              <w:keepLines w:val="0"/>
              <w:pageBreakBefore w:val="0"/>
              <w:widowControl w:val="0"/>
              <w:tabs>
                <w:tab w:val="left" w:pos="900"/>
              </w:tabs>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（4）二重积分计算</w:t>
            </w:r>
          </w:p>
        </w:tc>
        <w:tc>
          <w:tcPr>
            <w:tcW w:w="1191" w:type="dxa"/>
            <w:vAlign w:val="center"/>
          </w:tcPr>
          <w:p w14:paraId="2D668E1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3063" w:type="dxa"/>
            <w:vAlign w:val="center"/>
          </w:tcPr>
          <w:p w14:paraId="5266AE00">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（1）能够理解偏导数的概念与几何意义</w:t>
            </w:r>
          </w:p>
          <w:p w14:paraId="482E0A12">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（2）能够掌握求导法则与导数公式</w:t>
            </w:r>
          </w:p>
          <w:p w14:paraId="294526BD">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（3）能够理解二重积分概念</w:t>
            </w:r>
          </w:p>
          <w:p w14:paraId="5CEBDE1A">
            <w:pPr>
              <w:keepNext w:val="0"/>
              <w:keepLines w:val="0"/>
              <w:pageBreakBefore w:val="0"/>
              <w:widowControl w:val="0"/>
              <w:tabs>
                <w:tab w:val="left" w:pos="900"/>
              </w:tabs>
              <w:kinsoku/>
              <w:wordWrap/>
              <w:overflowPunct/>
              <w:topLinePunct w:val="0"/>
              <w:autoSpaceDE/>
              <w:autoSpaceDN/>
              <w:bidi w:val="0"/>
              <w:adjustRightInd/>
              <w:snapToGrid w:val="0"/>
              <w:spacing w:line="240" w:lineRule="auto"/>
              <w:textAlignment w:val="auto"/>
              <w:rPr>
                <w:rFonts w:hint="eastAsia" w:ascii="宋体" w:hAnsi="宋体" w:eastAsia="宋体" w:cs="Times New Roman"/>
                <w:color w:val="auto"/>
                <w:szCs w:val="21"/>
              </w:rPr>
            </w:pPr>
            <w:r>
              <w:rPr>
                <w:rFonts w:ascii="宋体" w:hAnsi="宋体" w:eastAsia="宋体" w:cs="Times New Roman"/>
                <w:color w:val="auto"/>
                <w:szCs w:val="21"/>
              </w:rPr>
              <w:t>（4）能够掌握二重积分计算</w:t>
            </w:r>
          </w:p>
        </w:tc>
        <w:tc>
          <w:tcPr>
            <w:tcW w:w="1386" w:type="dxa"/>
            <w:vAlign w:val="center"/>
          </w:tcPr>
          <w:p w14:paraId="5FB4632F">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1.线上学习</w:t>
            </w:r>
          </w:p>
          <w:p w14:paraId="264DF6D0">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2.多媒体教学</w:t>
            </w:r>
          </w:p>
          <w:p w14:paraId="18026341">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3.课堂讨论</w:t>
            </w:r>
          </w:p>
          <w:p w14:paraId="2EA6785A">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732" w:type="dxa"/>
            <w:vAlign w:val="center"/>
          </w:tcPr>
          <w:p w14:paraId="44304DD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16</w:t>
            </w:r>
          </w:p>
        </w:tc>
      </w:tr>
      <w:tr w14:paraId="7513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672E043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color w:val="auto"/>
                <w:szCs w:val="21"/>
              </w:rPr>
            </w:pPr>
          </w:p>
        </w:tc>
        <w:tc>
          <w:tcPr>
            <w:tcW w:w="9063" w:type="dxa"/>
            <w:gridSpan w:val="5"/>
            <w:vAlign w:val="center"/>
          </w:tcPr>
          <w:p w14:paraId="6F5A8199">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注重理论联系实际，尊重客观规律，树立社会主义核心价值观，增强专业素养，强调理论对实践的指导意义。</w:t>
            </w:r>
          </w:p>
        </w:tc>
      </w:tr>
    </w:tbl>
    <w:p w14:paraId="30D0F450">
      <w:pPr>
        <w:spacing w:line="360" w:lineRule="auto"/>
        <w:jc w:val="left"/>
        <w:rPr>
          <w:rFonts w:hint="eastAsia" w:ascii="Calibri" w:hAnsi="Calibri" w:eastAsia="宋体" w:cs="Times New Roman"/>
          <w:b/>
          <w:bCs/>
          <w:color w:val="auto"/>
          <w:position w:val="-26"/>
          <w:sz w:val="24"/>
          <w:lang w:val="en-US" w:eastAsia="zh-CN"/>
        </w:rPr>
      </w:pPr>
      <w:r>
        <w:rPr>
          <w:rFonts w:hint="eastAsia" w:ascii="Calibri" w:hAnsi="Calibri" w:eastAsia="宋体" w:cs="Times New Roman"/>
          <w:b/>
          <w:bCs/>
          <w:color w:val="auto"/>
          <w:position w:val="-26"/>
          <w:sz w:val="24"/>
          <w:lang w:val="en-US" w:eastAsia="zh-CN"/>
        </w:rPr>
        <w:t>四、目标评价与成绩评定</w:t>
      </w:r>
    </w:p>
    <w:p w14:paraId="5B397954">
      <w:pPr>
        <w:spacing w:line="360" w:lineRule="auto"/>
        <w:ind w:firstLine="422" w:firstLineChars="200"/>
        <w:jc w:val="left"/>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（一）课程目标评价方式</w:t>
      </w:r>
    </w:p>
    <w:p w14:paraId="46F0644E">
      <w:pPr>
        <w:spacing w:line="360" w:lineRule="auto"/>
        <w:ind w:firstLine="420" w:firstLineChars="200"/>
        <w:jc w:val="lef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根据总体设计，用于评价各课程目标的评价方式如下表</w:t>
      </w:r>
      <w:r>
        <w:rPr>
          <w:rFonts w:ascii="Times New Roman" w:hAnsi="Times New Roman" w:eastAsia="宋体" w:cs="Times New Roman"/>
          <w:color w:val="auto"/>
          <w:sz w:val="21"/>
          <w:szCs w:val="21"/>
        </w:rPr>
        <w:t>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1D9A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17385DA">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w:t>
            </w:r>
          </w:p>
        </w:tc>
        <w:tc>
          <w:tcPr>
            <w:tcW w:w="0" w:type="auto"/>
            <w:gridSpan w:val="6"/>
            <w:vAlign w:val="center"/>
          </w:tcPr>
          <w:p w14:paraId="27E2EB8A">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评价与成绩评定方法</w:t>
            </w:r>
          </w:p>
        </w:tc>
        <w:tc>
          <w:tcPr>
            <w:tcW w:w="0" w:type="auto"/>
            <w:vMerge w:val="restart"/>
            <w:vAlign w:val="center"/>
          </w:tcPr>
          <w:p w14:paraId="4772E3D3">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分值</w:t>
            </w:r>
          </w:p>
        </w:tc>
      </w:tr>
      <w:tr w14:paraId="668E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CCB5BF8">
            <w:pPr>
              <w:spacing w:line="360" w:lineRule="auto"/>
              <w:jc w:val="center"/>
              <w:rPr>
                <w:rFonts w:hint="eastAsia" w:ascii="宋体" w:hAnsi="宋体" w:eastAsia="宋体" w:cs="Times New Roman"/>
                <w:color w:val="auto"/>
                <w:sz w:val="21"/>
                <w:szCs w:val="21"/>
              </w:rPr>
            </w:pPr>
          </w:p>
        </w:tc>
        <w:tc>
          <w:tcPr>
            <w:tcW w:w="0" w:type="auto"/>
            <w:vAlign w:val="center"/>
          </w:tcPr>
          <w:p w14:paraId="00941DF4">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平时作业</w:t>
            </w:r>
          </w:p>
        </w:tc>
        <w:tc>
          <w:tcPr>
            <w:tcW w:w="0" w:type="auto"/>
            <w:vAlign w:val="center"/>
          </w:tcPr>
          <w:p w14:paraId="4D4DB97C">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课堂表现</w:t>
            </w:r>
          </w:p>
        </w:tc>
        <w:tc>
          <w:tcPr>
            <w:tcW w:w="0" w:type="auto"/>
            <w:vAlign w:val="center"/>
          </w:tcPr>
          <w:p w14:paraId="39D1AB75">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单元测验</w:t>
            </w:r>
          </w:p>
        </w:tc>
        <w:tc>
          <w:tcPr>
            <w:tcW w:w="0" w:type="auto"/>
            <w:vAlign w:val="center"/>
          </w:tcPr>
          <w:p w14:paraId="3BAB6B8A">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个人展示</w:t>
            </w:r>
          </w:p>
        </w:tc>
        <w:tc>
          <w:tcPr>
            <w:tcW w:w="0" w:type="auto"/>
            <w:vAlign w:val="center"/>
          </w:tcPr>
          <w:p w14:paraId="3A496446">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期末考试</w:t>
            </w:r>
          </w:p>
        </w:tc>
        <w:tc>
          <w:tcPr>
            <w:tcW w:w="0" w:type="auto"/>
          </w:tcPr>
          <w:p w14:paraId="2C98B4C9">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自主学习</w:t>
            </w:r>
          </w:p>
        </w:tc>
        <w:tc>
          <w:tcPr>
            <w:tcW w:w="0" w:type="auto"/>
            <w:vMerge w:val="continue"/>
            <w:vAlign w:val="center"/>
          </w:tcPr>
          <w:p w14:paraId="795C5750">
            <w:pPr>
              <w:spacing w:line="360" w:lineRule="auto"/>
              <w:jc w:val="center"/>
              <w:rPr>
                <w:rFonts w:hint="eastAsia" w:ascii="宋体" w:hAnsi="宋体" w:eastAsia="宋体" w:cs="Times New Roman"/>
                <w:color w:val="auto"/>
                <w:sz w:val="21"/>
                <w:szCs w:val="21"/>
              </w:rPr>
            </w:pPr>
          </w:p>
        </w:tc>
      </w:tr>
      <w:tr w14:paraId="6172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3B145B4">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w:t>
            </w:r>
          </w:p>
        </w:tc>
        <w:tc>
          <w:tcPr>
            <w:tcW w:w="0" w:type="auto"/>
            <w:vAlign w:val="center"/>
          </w:tcPr>
          <w:p w14:paraId="42CBBCE4">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vAlign w:val="center"/>
          </w:tcPr>
          <w:p w14:paraId="1D1A6101">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vAlign w:val="center"/>
          </w:tcPr>
          <w:p w14:paraId="1808259A">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vAlign w:val="center"/>
          </w:tcPr>
          <w:p w14:paraId="0B974E4E">
            <w:pPr>
              <w:spacing w:line="360" w:lineRule="auto"/>
              <w:jc w:val="center"/>
              <w:rPr>
                <w:rFonts w:hint="eastAsia" w:ascii="宋体" w:hAnsi="宋体" w:eastAsia="宋体" w:cs="Times New Roman"/>
                <w:color w:val="auto"/>
                <w:sz w:val="21"/>
                <w:szCs w:val="21"/>
              </w:rPr>
            </w:pPr>
          </w:p>
        </w:tc>
        <w:tc>
          <w:tcPr>
            <w:tcW w:w="0" w:type="auto"/>
            <w:vAlign w:val="center"/>
          </w:tcPr>
          <w:p w14:paraId="46A3B325">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tcPr>
          <w:p w14:paraId="111C5DBF">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vAlign w:val="center"/>
          </w:tcPr>
          <w:p w14:paraId="084530EC">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50</w:t>
            </w:r>
          </w:p>
        </w:tc>
      </w:tr>
      <w:tr w14:paraId="2B7E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FD6D1AB">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课程目标2</w:t>
            </w:r>
          </w:p>
        </w:tc>
        <w:tc>
          <w:tcPr>
            <w:tcW w:w="0" w:type="auto"/>
            <w:vAlign w:val="center"/>
          </w:tcPr>
          <w:p w14:paraId="6F3677E4">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vAlign w:val="center"/>
          </w:tcPr>
          <w:p w14:paraId="17A25FE4">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vAlign w:val="center"/>
          </w:tcPr>
          <w:p w14:paraId="4B455D42">
            <w:pPr>
              <w:spacing w:line="360" w:lineRule="auto"/>
              <w:jc w:val="center"/>
              <w:rPr>
                <w:rFonts w:hint="eastAsia" w:ascii="宋体" w:hAnsi="宋体" w:eastAsia="宋体" w:cs="Times New Roman"/>
                <w:color w:val="auto"/>
                <w:sz w:val="21"/>
                <w:szCs w:val="21"/>
              </w:rPr>
            </w:pPr>
          </w:p>
        </w:tc>
        <w:tc>
          <w:tcPr>
            <w:tcW w:w="0" w:type="auto"/>
            <w:vAlign w:val="center"/>
          </w:tcPr>
          <w:p w14:paraId="3F1785FE">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vAlign w:val="center"/>
          </w:tcPr>
          <w:p w14:paraId="047C3306">
            <w:pPr>
              <w:spacing w:line="36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sym w:font="Wingdings 2" w:char="F050"/>
            </w:r>
          </w:p>
        </w:tc>
        <w:tc>
          <w:tcPr>
            <w:tcW w:w="0" w:type="auto"/>
          </w:tcPr>
          <w:p w14:paraId="2BBE272D">
            <w:pPr>
              <w:spacing w:line="360" w:lineRule="auto"/>
              <w:jc w:val="center"/>
              <w:rPr>
                <w:rFonts w:hint="eastAsia" w:ascii="宋体" w:hAnsi="宋体" w:eastAsia="宋体" w:cs="Times New Roman"/>
                <w:color w:val="auto"/>
                <w:sz w:val="21"/>
                <w:szCs w:val="21"/>
              </w:rPr>
            </w:pPr>
          </w:p>
        </w:tc>
        <w:tc>
          <w:tcPr>
            <w:tcW w:w="0" w:type="auto"/>
            <w:vAlign w:val="center"/>
          </w:tcPr>
          <w:p w14:paraId="38F1B374">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50</w:t>
            </w:r>
          </w:p>
        </w:tc>
      </w:tr>
      <w:tr w14:paraId="4073E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3CE6086">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合计</w:t>
            </w:r>
          </w:p>
        </w:tc>
        <w:tc>
          <w:tcPr>
            <w:tcW w:w="0" w:type="auto"/>
            <w:vAlign w:val="center"/>
          </w:tcPr>
          <w:p w14:paraId="3F59C0F5">
            <w:pPr>
              <w:spacing w:line="360" w:lineRule="auto"/>
              <w:jc w:val="center"/>
              <w:rPr>
                <w:rFonts w:hint="eastAsia" w:ascii="宋体" w:hAnsi="宋体" w:eastAsia="宋体" w:cs="Times New Roman"/>
                <w:color w:val="auto"/>
                <w:sz w:val="21"/>
                <w:szCs w:val="21"/>
              </w:rPr>
            </w:pPr>
          </w:p>
        </w:tc>
        <w:tc>
          <w:tcPr>
            <w:tcW w:w="0" w:type="auto"/>
            <w:vAlign w:val="center"/>
          </w:tcPr>
          <w:p w14:paraId="714C4D65">
            <w:pPr>
              <w:spacing w:line="360" w:lineRule="auto"/>
              <w:jc w:val="center"/>
              <w:rPr>
                <w:rFonts w:hint="eastAsia" w:ascii="宋体" w:hAnsi="宋体" w:eastAsia="宋体" w:cs="Times New Roman"/>
                <w:color w:val="auto"/>
                <w:sz w:val="21"/>
                <w:szCs w:val="21"/>
              </w:rPr>
            </w:pPr>
          </w:p>
        </w:tc>
        <w:tc>
          <w:tcPr>
            <w:tcW w:w="0" w:type="auto"/>
            <w:vAlign w:val="center"/>
          </w:tcPr>
          <w:p w14:paraId="17420618">
            <w:pPr>
              <w:spacing w:line="360" w:lineRule="auto"/>
              <w:jc w:val="center"/>
              <w:rPr>
                <w:rFonts w:hint="eastAsia" w:ascii="宋体" w:hAnsi="宋体" w:eastAsia="宋体" w:cs="Times New Roman"/>
                <w:color w:val="auto"/>
                <w:sz w:val="21"/>
                <w:szCs w:val="21"/>
              </w:rPr>
            </w:pPr>
          </w:p>
        </w:tc>
        <w:tc>
          <w:tcPr>
            <w:tcW w:w="0" w:type="auto"/>
            <w:vAlign w:val="center"/>
          </w:tcPr>
          <w:p w14:paraId="5AF0777F">
            <w:pPr>
              <w:spacing w:line="360" w:lineRule="auto"/>
              <w:jc w:val="center"/>
              <w:rPr>
                <w:rFonts w:hint="eastAsia" w:ascii="宋体" w:hAnsi="宋体" w:eastAsia="宋体" w:cs="Times New Roman"/>
                <w:color w:val="auto"/>
                <w:sz w:val="21"/>
                <w:szCs w:val="21"/>
              </w:rPr>
            </w:pPr>
          </w:p>
        </w:tc>
        <w:tc>
          <w:tcPr>
            <w:tcW w:w="0" w:type="auto"/>
            <w:vAlign w:val="center"/>
          </w:tcPr>
          <w:p w14:paraId="5625267E">
            <w:pPr>
              <w:spacing w:line="360" w:lineRule="auto"/>
              <w:jc w:val="center"/>
              <w:rPr>
                <w:rFonts w:hint="eastAsia" w:ascii="宋体" w:hAnsi="宋体" w:eastAsia="宋体" w:cs="Times New Roman"/>
                <w:color w:val="auto"/>
                <w:sz w:val="21"/>
                <w:szCs w:val="21"/>
              </w:rPr>
            </w:pPr>
          </w:p>
        </w:tc>
        <w:tc>
          <w:tcPr>
            <w:tcW w:w="0" w:type="auto"/>
          </w:tcPr>
          <w:p w14:paraId="6A428411">
            <w:pPr>
              <w:spacing w:line="360" w:lineRule="auto"/>
              <w:jc w:val="center"/>
              <w:rPr>
                <w:rFonts w:hint="eastAsia" w:ascii="宋体" w:hAnsi="宋体" w:eastAsia="宋体" w:cs="Times New Roman"/>
                <w:color w:val="auto"/>
                <w:sz w:val="21"/>
                <w:szCs w:val="21"/>
              </w:rPr>
            </w:pPr>
          </w:p>
        </w:tc>
        <w:tc>
          <w:tcPr>
            <w:tcW w:w="0" w:type="auto"/>
            <w:vAlign w:val="center"/>
          </w:tcPr>
          <w:p w14:paraId="14D16748">
            <w:pPr>
              <w:spacing w:line="36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100</w:t>
            </w:r>
          </w:p>
        </w:tc>
      </w:tr>
    </w:tbl>
    <w:p w14:paraId="75A69191">
      <w:pPr>
        <w:spacing w:line="360" w:lineRule="auto"/>
        <w:ind w:firstLine="422" w:firstLineChars="200"/>
        <w:rPr>
          <w:rFonts w:ascii="Calibri" w:hAnsi="Calibri" w:eastAsia="宋体" w:cs="Times New Roman"/>
          <w:b/>
          <w:color w:val="auto"/>
          <w:sz w:val="21"/>
          <w:szCs w:val="21"/>
        </w:rPr>
      </w:pPr>
      <w:r>
        <w:rPr>
          <w:rFonts w:hint="eastAsia" w:ascii="Times New Roman" w:hAnsi="Times New Roman" w:eastAsia="宋体" w:cs="Times New Roman"/>
          <w:b/>
          <w:color w:val="auto"/>
          <w:sz w:val="21"/>
          <w:szCs w:val="21"/>
        </w:rPr>
        <w:t>（二）成绩评定细则</w:t>
      </w:r>
    </w:p>
    <w:p w14:paraId="122B5047">
      <w:pPr>
        <w:spacing w:line="360" w:lineRule="auto"/>
        <w:ind w:firstLine="420" w:firstLineChars="200"/>
        <w:rPr>
          <w:rFonts w:ascii="Calibri" w:hAnsi="Calibri" w:eastAsia="宋体" w:cs="Times New Roman"/>
          <w:color w:val="auto"/>
          <w:sz w:val="21"/>
          <w:szCs w:val="21"/>
        </w:rPr>
      </w:pPr>
      <w:r>
        <w:rPr>
          <w:rFonts w:ascii="Calibri" w:hAnsi="Calibri" w:eastAsia="宋体" w:cs="Times New Roman"/>
          <w:color w:val="auto"/>
          <w:sz w:val="21"/>
          <w:szCs w:val="21"/>
        </w:rPr>
        <w:t>（</w:t>
      </w:r>
      <w:r>
        <w:rPr>
          <w:rFonts w:hint="eastAsia" w:ascii="Calibri" w:hAnsi="Calibri" w:eastAsia="宋体" w:cs="Times New Roman"/>
          <w:color w:val="auto"/>
          <w:sz w:val="21"/>
          <w:szCs w:val="21"/>
        </w:rPr>
        <w:t>1</w:t>
      </w:r>
      <w:r>
        <w:rPr>
          <w:rFonts w:ascii="Calibri" w:hAnsi="Calibri" w:eastAsia="宋体" w:cs="Times New Roman"/>
          <w:color w:val="auto"/>
          <w:sz w:val="21"/>
          <w:szCs w:val="21"/>
        </w:rPr>
        <w:t>）课程考核包括期末考试、平时及作业考核等，期末考试采用闭卷考试方式。</w:t>
      </w:r>
    </w:p>
    <w:p w14:paraId="52E669CB">
      <w:pPr>
        <w:spacing w:line="360" w:lineRule="auto"/>
        <w:ind w:firstLine="420" w:firstLineChars="200"/>
        <w:rPr>
          <w:rFonts w:ascii="Times New Roman" w:hAnsi="Times New Roman" w:eastAsia="宋体" w:cs="Times New Roman"/>
          <w:color w:val="auto"/>
          <w:sz w:val="21"/>
          <w:szCs w:val="21"/>
        </w:rPr>
      </w:pPr>
      <w:r>
        <w:rPr>
          <w:rFonts w:ascii="Calibri" w:hAnsi="Calibri" w:eastAsia="宋体" w:cs="Times New Roman"/>
          <w:color w:val="auto"/>
          <w:sz w:val="21"/>
          <w:szCs w:val="21"/>
        </w:rPr>
        <w:t>（</w:t>
      </w:r>
      <w:r>
        <w:rPr>
          <w:rFonts w:hint="eastAsia" w:ascii="Calibri" w:hAnsi="Calibri" w:eastAsia="宋体" w:cs="Times New Roman"/>
          <w:color w:val="auto"/>
          <w:sz w:val="21"/>
          <w:szCs w:val="21"/>
        </w:rPr>
        <w:t>2</w:t>
      </w:r>
      <w:r>
        <w:rPr>
          <w:rFonts w:ascii="Calibri" w:hAnsi="Calibri" w:eastAsia="宋体" w:cs="Times New Roman"/>
          <w:color w:val="auto"/>
          <w:sz w:val="21"/>
          <w:szCs w:val="21"/>
        </w:rPr>
        <w:t>）</w:t>
      </w:r>
      <w:r>
        <w:rPr>
          <w:rFonts w:ascii="Times New Roman" w:hAnsi="Times New Roman" w:eastAsia="宋体" w:cs="Times New Roman"/>
          <w:color w:val="auto"/>
          <w:sz w:val="21"/>
          <w:szCs w:val="21"/>
        </w:rPr>
        <w:t>课程总评成绩=出勤情况成绩×10% +师生互动成绩×10% +作业成绩×30%+期末考试成绩×50%。</w:t>
      </w:r>
    </w:p>
    <w:p w14:paraId="74AD53A8">
      <w:pPr>
        <w:spacing w:line="360" w:lineRule="auto"/>
        <w:ind w:firstLine="420" w:firstLineChars="200"/>
        <w:rPr>
          <w:rFonts w:ascii="Calibri" w:hAnsi="Calibri" w:eastAsia="宋体" w:cs="Times New Roman"/>
          <w:color w:val="auto"/>
          <w:sz w:val="21"/>
          <w:szCs w:val="21"/>
        </w:rPr>
      </w:pPr>
      <w:r>
        <w:rPr>
          <w:rFonts w:ascii="Calibri" w:hAnsi="Calibri" w:eastAsia="宋体" w:cs="Times New Roman"/>
          <w:color w:val="auto"/>
          <w:sz w:val="21"/>
          <w:szCs w:val="21"/>
        </w:rPr>
        <w:t>（</w:t>
      </w:r>
      <w:r>
        <w:rPr>
          <w:rFonts w:hint="eastAsia" w:ascii="Calibri" w:hAnsi="Calibri" w:eastAsia="宋体" w:cs="Times New Roman"/>
          <w:color w:val="auto"/>
          <w:sz w:val="21"/>
          <w:szCs w:val="21"/>
        </w:rPr>
        <w:t>3</w:t>
      </w:r>
      <w:r>
        <w:rPr>
          <w:rFonts w:ascii="Calibri" w:hAnsi="Calibri" w:eastAsia="宋体" w:cs="Times New Roman"/>
          <w:color w:val="auto"/>
          <w:sz w:val="21"/>
          <w:szCs w:val="21"/>
        </w:rPr>
        <w:t>）课程目标达成度计算方法</w:t>
      </w:r>
    </w:p>
    <w:p w14:paraId="386F45D9">
      <w:pPr>
        <w:spacing w:line="360" w:lineRule="auto"/>
        <w:ind w:firstLine="420" w:firstLineChars="200"/>
        <w:rPr>
          <w:rFonts w:ascii="Calibri" w:hAnsi="Calibri" w:eastAsia="宋体" w:cs="Times New Roman"/>
          <w:color w:val="auto"/>
          <w:sz w:val="21"/>
          <w:szCs w:val="21"/>
        </w:rPr>
      </w:pPr>
      <w:r>
        <w:rPr>
          <w:rFonts w:ascii="Calibri" w:hAnsi="Calibri" w:eastAsia="宋体" w:cs="Times New Roman"/>
          <w:color w:val="auto"/>
          <w:sz w:val="21"/>
          <w:szCs w:val="21"/>
        </w:rPr>
        <w:t>所有课程目标均需大于等于0.6，否则总评成绩不及格，需要补考或重修。每门课程目标总体达成度计算方法如下：</w:t>
      </w:r>
    </w:p>
    <w:p w14:paraId="1FD76C60">
      <w:pPr>
        <w:spacing w:line="360" w:lineRule="auto"/>
        <w:jc w:val="left"/>
        <w:rPr>
          <w:rFonts w:hint="eastAsia" w:ascii="Calibri" w:hAnsi="Calibri" w:eastAsia="宋体" w:cs="Times New Roman"/>
          <w:b/>
          <w:bCs/>
          <w:color w:val="auto"/>
          <w:position w:val="-26"/>
          <w:sz w:val="24"/>
        </w:rPr>
      </w:pPr>
      <w:r>
        <w:rPr>
          <w:rFonts w:ascii="Calibri" w:hAnsi="Calibri" w:eastAsia="宋体" w:cs="Times New Roman"/>
          <w:color w:val="auto"/>
          <w:position w:val="-26"/>
          <w:sz w:val="24"/>
        </w:rPr>
        <w:object>
          <v:shape id="_x0000_i1057" o:spt="75" type="#_x0000_t75" style="height:29.55pt;width:427.9pt;" o:ole="t" filled="f" o:preferrelative="t" stroked="f" coordsize="21600,21600">
            <v:path/>
            <v:fill on="f" focussize="0,0"/>
            <v:stroke on="f"/>
            <v:imagedata r:id="rId10" o:title=""/>
            <o:lock v:ext="edit" aspectratio="t"/>
            <w10:wrap type="none"/>
            <w10:anchorlock/>
          </v:shape>
          <o:OLEObject Type="Embed" ProgID="Equation.3" ShapeID="_x0000_i1057" DrawAspect="Content" ObjectID="_1468075756" r:id="rId43">
            <o:LockedField>false</o:LockedField>
          </o:OLEObject>
        </w:object>
      </w:r>
      <w:r>
        <w:rPr>
          <w:rFonts w:hint="eastAsia" w:ascii="Calibri" w:hAnsi="Calibri" w:eastAsia="宋体" w:cs="Times New Roman"/>
          <w:b/>
          <w:bCs/>
          <w:color w:val="auto"/>
          <w:position w:val="-26"/>
          <w:sz w:val="24"/>
          <w:lang w:val="en-US" w:eastAsia="zh-CN"/>
        </w:rPr>
        <w:t>五、</w:t>
      </w:r>
      <w:r>
        <w:rPr>
          <w:rFonts w:hint="eastAsia" w:ascii="Calibri" w:hAnsi="Calibri" w:eastAsia="宋体" w:cs="Times New Roman"/>
          <w:b/>
          <w:bCs/>
          <w:color w:val="auto"/>
          <w:position w:val="-26"/>
          <w:sz w:val="24"/>
        </w:rPr>
        <w:t>有关说明</w:t>
      </w:r>
    </w:p>
    <w:p w14:paraId="266570D9">
      <w:pPr>
        <w:spacing w:line="360" w:lineRule="auto"/>
        <w:ind w:firstLine="422" w:firstLineChars="200"/>
        <w:jc w:val="left"/>
        <w:rPr>
          <w:rFonts w:ascii="Calibri" w:hAnsi="Calibri" w:eastAsia="宋体" w:cs="Times New Roman"/>
          <w:b/>
          <w:color w:val="auto"/>
          <w:sz w:val="21"/>
          <w:szCs w:val="21"/>
        </w:rPr>
      </w:pPr>
      <w:r>
        <w:rPr>
          <w:rFonts w:ascii="Calibri" w:hAnsi="Calibri" w:eastAsia="宋体" w:cs="Times New Roman"/>
          <w:b/>
          <w:color w:val="auto"/>
          <w:sz w:val="21"/>
          <w:szCs w:val="21"/>
        </w:rPr>
        <w:t>（一）持续改进</w:t>
      </w:r>
    </w:p>
    <w:p w14:paraId="1CA703BC">
      <w:pPr>
        <w:keepNext w:val="0"/>
        <w:keepLines w:val="0"/>
        <w:pageBreakBefore w:val="0"/>
        <w:kinsoku/>
        <w:wordWrap/>
        <w:overflowPunct/>
        <w:topLinePunct w:val="0"/>
        <w:bidi w:val="0"/>
        <w:snapToGrid/>
        <w:spacing w:line="312" w:lineRule="auto"/>
        <w:ind w:firstLine="420" w:firstLineChars="200"/>
        <w:textAlignment w:val="auto"/>
        <w:rPr>
          <w:rFonts w:ascii="Calibri" w:hAnsi="Calibri" w:eastAsia="宋体" w:cs="Times New Roman"/>
          <w:color w:val="auto"/>
          <w:sz w:val="21"/>
          <w:szCs w:val="21"/>
        </w:rPr>
      </w:pPr>
      <w:r>
        <w:rPr>
          <w:rFonts w:ascii="Calibri" w:hAnsi="Calibri" w:eastAsia="宋体" w:cs="Times New Roman"/>
          <w:color w:val="auto"/>
          <w:sz w:val="21"/>
          <w:szCs w:val="21"/>
        </w:rPr>
        <w:t>1. 提倡改革教学方法，强调应用现代化教学手段，如课件、互联网教学和网络答疑等。</w:t>
      </w:r>
    </w:p>
    <w:p w14:paraId="4E47010A">
      <w:pPr>
        <w:keepNext w:val="0"/>
        <w:keepLines w:val="0"/>
        <w:pageBreakBefore w:val="0"/>
        <w:kinsoku/>
        <w:wordWrap/>
        <w:overflowPunct/>
        <w:topLinePunct w:val="0"/>
        <w:bidi w:val="0"/>
        <w:snapToGrid/>
        <w:spacing w:line="312" w:lineRule="auto"/>
        <w:ind w:firstLine="420" w:firstLineChars="200"/>
        <w:textAlignment w:val="auto"/>
        <w:rPr>
          <w:rFonts w:ascii="Calibri" w:hAnsi="Calibri" w:eastAsia="宋体" w:cs="Times New Roman"/>
          <w:color w:val="auto"/>
          <w:sz w:val="21"/>
          <w:szCs w:val="21"/>
        </w:rPr>
      </w:pPr>
      <w:r>
        <w:rPr>
          <w:rFonts w:ascii="Calibri" w:hAnsi="Calibri" w:eastAsia="宋体" w:cs="Times New Roman"/>
          <w:color w:val="auto"/>
          <w:sz w:val="21"/>
          <w:szCs w:val="21"/>
        </w:rPr>
        <w:t>2.合理安排教学课时，加强课堂提问、课堂小测验等旨在督促学生自主学习的教学环节；引导学生做好课前预习、课后整理笔记并及时完成作业的复习工作；保证学生完成一定数量的作业和习题。</w:t>
      </w:r>
    </w:p>
    <w:p w14:paraId="14FFA9E3">
      <w:pPr>
        <w:keepNext w:val="0"/>
        <w:keepLines w:val="0"/>
        <w:pageBreakBefore w:val="0"/>
        <w:kinsoku/>
        <w:wordWrap/>
        <w:overflowPunct/>
        <w:topLinePunct w:val="0"/>
        <w:bidi w:val="0"/>
        <w:snapToGrid/>
        <w:spacing w:line="312" w:lineRule="auto"/>
        <w:ind w:firstLine="420" w:firstLineChars="200"/>
        <w:textAlignment w:val="auto"/>
        <w:rPr>
          <w:rFonts w:ascii="Calibri" w:hAnsi="Calibri" w:eastAsia="宋体" w:cs="Times New Roman"/>
          <w:color w:val="auto"/>
          <w:sz w:val="21"/>
          <w:szCs w:val="21"/>
        </w:rPr>
      </w:pPr>
      <w:r>
        <w:rPr>
          <w:rFonts w:ascii="Calibri" w:hAnsi="Calibri" w:eastAsia="宋体" w:cs="Times New Roman"/>
          <w:color w:val="auto"/>
          <w:sz w:val="21"/>
          <w:szCs w:val="21"/>
        </w:rPr>
        <w:t>3．教学用的例题和习题，应适当结合实际。</w:t>
      </w:r>
    </w:p>
    <w:p w14:paraId="2F25275B">
      <w:pPr>
        <w:keepNext w:val="0"/>
        <w:keepLines w:val="0"/>
        <w:pageBreakBefore w:val="0"/>
        <w:kinsoku/>
        <w:wordWrap/>
        <w:overflowPunct/>
        <w:topLinePunct w:val="0"/>
        <w:bidi w:val="0"/>
        <w:snapToGrid/>
        <w:spacing w:line="312" w:lineRule="auto"/>
        <w:ind w:firstLine="422" w:firstLineChars="200"/>
        <w:textAlignment w:val="auto"/>
        <w:rPr>
          <w:rFonts w:ascii="Calibri" w:hAnsi="Calibri" w:eastAsia="宋体" w:cs="Times New Roman"/>
          <w:b/>
          <w:color w:val="auto"/>
          <w:sz w:val="21"/>
          <w:szCs w:val="21"/>
        </w:rPr>
      </w:pPr>
      <w:r>
        <w:rPr>
          <w:rFonts w:ascii="Calibri" w:hAnsi="Calibri" w:eastAsia="宋体" w:cs="Times New Roman"/>
          <w:b/>
          <w:color w:val="auto"/>
          <w:sz w:val="21"/>
          <w:szCs w:val="21"/>
        </w:rPr>
        <w:t>（二）参考书目及学习资料</w:t>
      </w:r>
    </w:p>
    <w:p w14:paraId="3F63A93F">
      <w:pPr>
        <w:keepNext w:val="0"/>
        <w:keepLines w:val="0"/>
        <w:pageBreakBefore w:val="0"/>
        <w:kinsoku/>
        <w:wordWrap/>
        <w:overflowPunct/>
        <w:topLinePunct w:val="0"/>
        <w:bidi w:val="0"/>
        <w:snapToGrid/>
        <w:spacing w:line="312" w:lineRule="auto"/>
        <w:ind w:firstLine="420" w:firstLineChars="200"/>
        <w:textAlignment w:val="auto"/>
        <w:rPr>
          <w:rFonts w:ascii="Calibri" w:hAnsi="Calibri" w:eastAsia="宋体" w:cs="Times New Roman"/>
          <w:color w:val="auto"/>
          <w:sz w:val="21"/>
          <w:szCs w:val="21"/>
        </w:rPr>
      </w:pPr>
      <w:r>
        <w:rPr>
          <w:rFonts w:ascii="Calibri" w:hAnsi="Calibri" w:eastAsia="宋体" w:cs="Times New Roman"/>
          <w:color w:val="auto"/>
          <w:sz w:val="21"/>
          <w:szCs w:val="21"/>
        </w:rPr>
        <w:t>1．教材</w:t>
      </w:r>
    </w:p>
    <w:p w14:paraId="6D60B1E5">
      <w:pPr>
        <w:keepNext w:val="0"/>
        <w:keepLines w:val="0"/>
        <w:pageBreakBefore w:val="0"/>
        <w:kinsoku/>
        <w:wordWrap/>
        <w:overflowPunct/>
        <w:topLinePunct w:val="0"/>
        <w:bidi w:val="0"/>
        <w:snapToGrid/>
        <w:spacing w:line="312" w:lineRule="auto"/>
        <w:ind w:firstLine="420" w:firstLineChars="200"/>
        <w:textAlignment w:val="auto"/>
        <w:rPr>
          <w:rFonts w:ascii="Calibri" w:hAnsi="Calibri" w:eastAsia="宋体" w:cs="Times New Roman"/>
          <w:color w:val="auto"/>
          <w:sz w:val="21"/>
          <w:szCs w:val="21"/>
        </w:rPr>
      </w:pPr>
      <w:r>
        <w:rPr>
          <w:rFonts w:ascii="Calibri" w:hAnsi="Calibri" w:eastAsia="宋体" w:cs="Times New Roman"/>
          <w:color w:val="auto"/>
          <w:kern w:val="0"/>
          <w:sz w:val="21"/>
          <w:szCs w:val="21"/>
        </w:rPr>
        <w:t>刘玉琏</w:t>
      </w:r>
      <w:r>
        <w:rPr>
          <w:rFonts w:ascii="Calibri" w:hAnsi="Calibri" w:eastAsia="宋体" w:cs="Times New Roman"/>
          <w:color w:val="auto"/>
          <w:sz w:val="21"/>
          <w:szCs w:val="21"/>
        </w:rPr>
        <w:t>.</w:t>
      </w:r>
      <w:r>
        <w:rPr>
          <w:rFonts w:hint="eastAsia" w:ascii="Calibri" w:hAnsi="Calibri" w:eastAsia="宋体" w:cs="Times New Roman"/>
          <w:color w:val="auto"/>
          <w:sz w:val="21"/>
          <w:szCs w:val="21"/>
        </w:rPr>
        <w:t xml:space="preserve"> </w:t>
      </w:r>
      <w:r>
        <w:rPr>
          <w:rFonts w:ascii="Calibri" w:hAnsi="Calibri" w:eastAsia="宋体" w:cs="Times New Roman"/>
          <w:color w:val="auto"/>
          <w:kern w:val="0"/>
          <w:sz w:val="21"/>
          <w:szCs w:val="21"/>
        </w:rPr>
        <w:t>数学分析讲义</w:t>
      </w:r>
      <w:r>
        <w:rPr>
          <w:rFonts w:ascii="Calibri" w:hAnsi="Calibri" w:eastAsia="宋体" w:cs="Times New Roman"/>
          <w:color w:val="auto"/>
          <w:sz w:val="21"/>
          <w:szCs w:val="21"/>
        </w:rPr>
        <w:t>.</w:t>
      </w:r>
      <w:r>
        <w:rPr>
          <w:rFonts w:hint="eastAsia" w:ascii="Calibri" w:hAnsi="Calibri" w:eastAsia="宋体" w:cs="Times New Roman"/>
          <w:color w:val="auto"/>
          <w:sz w:val="21"/>
          <w:szCs w:val="21"/>
        </w:rPr>
        <w:t xml:space="preserve"> </w:t>
      </w:r>
      <w:r>
        <w:rPr>
          <w:rFonts w:ascii="Calibri" w:hAnsi="Calibri" w:eastAsia="宋体" w:cs="Times New Roman"/>
          <w:color w:val="auto"/>
          <w:sz w:val="21"/>
          <w:szCs w:val="21"/>
        </w:rPr>
        <w:t>北京：</w:t>
      </w:r>
      <w:r>
        <w:rPr>
          <w:rFonts w:ascii="Calibri" w:hAnsi="Calibri" w:eastAsia="宋体" w:cs="Times New Roman"/>
          <w:color w:val="auto"/>
          <w:kern w:val="0"/>
          <w:sz w:val="21"/>
          <w:szCs w:val="21"/>
        </w:rPr>
        <w:t>高等教育出版社</w:t>
      </w:r>
      <w:r>
        <w:rPr>
          <w:rFonts w:ascii="Calibri" w:hAnsi="Calibri" w:eastAsia="宋体" w:cs="Times New Roman"/>
          <w:color w:val="auto"/>
          <w:sz w:val="21"/>
          <w:szCs w:val="21"/>
        </w:rPr>
        <w:t>.</w:t>
      </w:r>
      <w:r>
        <w:rPr>
          <w:rFonts w:hint="eastAsia" w:ascii="Calibri" w:hAnsi="Calibri" w:eastAsia="宋体" w:cs="Times New Roman"/>
          <w:color w:val="auto"/>
          <w:sz w:val="21"/>
          <w:szCs w:val="21"/>
        </w:rPr>
        <w:t xml:space="preserve"> </w:t>
      </w:r>
      <w:r>
        <w:rPr>
          <w:rFonts w:ascii="Calibri" w:hAnsi="Calibri" w:eastAsia="宋体" w:cs="Times New Roman"/>
          <w:color w:val="auto"/>
          <w:kern w:val="0"/>
          <w:sz w:val="21"/>
          <w:szCs w:val="21"/>
        </w:rPr>
        <w:t>2008</w:t>
      </w:r>
      <w:r>
        <w:rPr>
          <w:rFonts w:ascii="Calibri" w:hAnsi="Calibri" w:eastAsia="宋体" w:cs="Times New Roman"/>
          <w:color w:val="auto"/>
          <w:sz w:val="21"/>
          <w:szCs w:val="21"/>
        </w:rPr>
        <w:t>.</w:t>
      </w:r>
    </w:p>
    <w:p w14:paraId="3195A07E">
      <w:pPr>
        <w:keepNext w:val="0"/>
        <w:keepLines w:val="0"/>
        <w:pageBreakBefore w:val="0"/>
        <w:kinsoku/>
        <w:wordWrap/>
        <w:overflowPunct/>
        <w:topLinePunct w:val="0"/>
        <w:bidi w:val="0"/>
        <w:snapToGrid/>
        <w:spacing w:line="312" w:lineRule="auto"/>
        <w:ind w:firstLine="420" w:firstLineChars="200"/>
        <w:textAlignment w:val="auto"/>
        <w:rPr>
          <w:rFonts w:ascii="Calibri" w:hAnsi="Calibri" w:eastAsia="宋体" w:cs="Times New Roman"/>
          <w:color w:val="auto"/>
          <w:sz w:val="21"/>
          <w:szCs w:val="21"/>
        </w:rPr>
      </w:pPr>
      <w:r>
        <w:rPr>
          <w:rFonts w:ascii="Calibri" w:hAnsi="Calibri" w:eastAsia="宋体" w:cs="Times New Roman"/>
          <w:color w:val="auto"/>
          <w:sz w:val="21"/>
          <w:szCs w:val="21"/>
        </w:rPr>
        <w:t>2．教学参考书</w:t>
      </w:r>
    </w:p>
    <w:p w14:paraId="543AD6D1">
      <w:pPr>
        <w:keepNext w:val="0"/>
        <w:keepLines w:val="0"/>
        <w:pageBreakBefore w:val="0"/>
        <w:widowControl/>
        <w:kinsoku/>
        <w:wordWrap/>
        <w:overflowPunct/>
        <w:topLinePunct w:val="0"/>
        <w:bidi w:val="0"/>
        <w:snapToGrid/>
        <w:spacing w:line="312" w:lineRule="auto"/>
        <w:ind w:firstLine="420" w:firstLineChars="200"/>
        <w:textAlignment w:val="auto"/>
        <w:rPr>
          <w:rFonts w:ascii="Calibri" w:hAnsi="Calibri" w:eastAsia="宋体" w:cs="Times New Roman"/>
          <w:color w:val="auto"/>
          <w:kern w:val="0"/>
          <w:sz w:val="21"/>
          <w:szCs w:val="21"/>
        </w:rPr>
      </w:pPr>
      <w:r>
        <w:rPr>
          <w:rFonts w:ascii="Calibri" w:hAnsi="Calibri" w:eastAsia="宋体" w:cs="Times New Roman"/>
          <w:color w:val="auto"/>
          <w:sz w:val="21"/>
          <w:szCs w:val="21"/>
        </w:rPr>
        <w:t>华东师范大学数学系. 数学分析. 北京：高等教育出版社</w:t>
      </w:r>
      <w:r>
        <w:rPr>
          <w:rFonts w:hint="eastAsia" w:ascii="Calibri" w:hAnsi="Calibri" w:eastAsia="宋体" w:cs="Times New Roman"/>
          <w:color w:val="auto"/>
          <w:sz w:val="21"/>
          <w:szCs w:val="21"/>
        </w:rPr>
        <w:t>.</w:t>
      </w:r>
      <w:r>
        <w:rPr>
          <w:rFonts w:ascii="Calibri" w:hAnsi="Calibri" w:eastAsia="宋体" w:cs="Times New Roman"/>
          <w:color w:val="auto"/>
          <w:sz w:val="21"/>
          <w:szCs w:val="21"/>
        </w:rPr>
        <w:t>2010.</w:t>
      </w:r>
    </w:p>
    <w:p w14:paraId="704FEFFB">
      <w:pPr>
        <w:keepNext w:val="0"/>
        <w:keepLines w:val="0"/>
        <w:pageBreakBefore w:val="0"/>
        <w:kinsoku/>
        <w:wordWrap/>
        <w:overflowPunct/>
        <w:topLinePunct w:val="0"/>
        <w:bidi w:val="0"/>
        <w:snapToGrid/>
        <w:spacing w:line="312" w:lineRule="auto"/>
        <w:ind w:firstLine="420" w:firstLineChars="200"/>
        <w:textAlignment w:val="auto"/>
        <w:rPr>
          <w:rFonts w:ascii="Calibri" w:hAnsi="Calibri" w:eastAsia="宋体" w:cs="Times New Roman"/>
          <w:color w:val="auto"/>
          <w:sz w:val="21"/>
          <w:szCs w:val="21"/>
        </w:rPr>
      </w:pPr>
      <w:r>
        <w:rPr>
          <w:rFonts w:ascii="Calibri" w:hAnsi="Calibri" w:eastAsia="宋体" w:cs="Times New Roman"/>
          <w:color w:val="auto"/>
          <w:sz w:val="21"/>
          <w:szCs w:val="21"/>
        </w:rPr>
        <w:t>同济大学数学系. 高等数学. 北京</w:t>
      </w:r>
      <w:r>
        <w:rPr>
          <w:rFonts w:ascii="Calibri" w:hAnsi="Calibri" w:eastAsia="宋体" w:cs="Times New Roman"/>
          <w:color w:val="auto"/>
          <w:kern w:val="0"/>
          <w:sz w:val="21"/>
          <w:szCs w:val="21"/>
        </w:rPr>
        <w:t>：</w:t>
      </w:r>
      <w:r>
        <w:rPr>
          <w:rFonts w:ascii="Calibri" w:hAnsi="Calibri" w:eastAsia="宋体" w:cs="Times New Roman"/>
          <w:color w:val="auto"/>
          <w:sz w:val="21"/>
          <w:szCs w:val="21"/>
        </w:rPr>
        <w:t>高等教育出版社</w:t>
      </w:r>
      <w:r>
        <w:rPr>
          <w:rFonts w:hint="eastAsia" w:ascii="Calibri" w:hAnsi="Calibri" w:eastAsia="宋体" w:cs="Times New Roman"/>
          <w:color w:val="auto"/>
          <w:sz w:val="21"/>
          <w:szCs w:val="21"/>
        </w:rPr>
        <w:t>.</w:t>
      </w:r>
      <w:r>
        <w:rPr>
          <w:rFonts w:ascii="Calibri" w:hAnsi="Calibri" w:eastAsia="宋体" w:cs="Times New Roman"/>
          <w:color w:val="auto"/>
          <w:sz w:val="21"/>
          <w:szCs w:val="21"/>
        </w:rPr>
        <w:t>2014.</w:t>
      </w:r>
    </w:p>
    <w:p w14:paraId="64AACD20">
      <w:pPr>
        <w:keepNext w:val="0"/>
        <w:keepLines w:val="0"/>
        <w:pageBreakBefore w:val="0"/>
        <w:kinsoku/>
        <w:wordWrap/>
        <w:overflowPunct/>
        <w:topLinePunct w:val="0"/>
        <w:autoSpaceDE w:val="0"/>
        <w:autoSpaceDN w:val="0"/>
        <w:bidi w:val="0"/>
        <w:adjustRightInd w:val="0"/>
        <w:snapToGrid/>
        <w:spacing w:line="312" w:lineRule="auto"/>
        <w:ind w:firstLine="1050" w:firstLineChars="500"/>
        <w:jc w:val="righ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 xml:space="preserve">                                     </w:t>
      </w:r>
      <w:r>
        <w:rPr>
          <w:rFonts w:ascii="宋体" w:hAnsi="宋体" w:eastAsia="宋体" w:cs="Times New Roman"/>
          <w:color w:val="auto"/>
          <w:kern w:val="0"/>
          <w:sz w:val="21"/>
          <w:szCs w:val="21"/>
        </w:rPr>
        <w:t>执笔人：</w:t>
      </w:r>
      <w:r>
        <w:rPr>
          <w:rFonts w:hint="eastAsia" w:ascii="宋体" w:hAnsi="宋体" w:eastAsia="宋体" w:cs="Times New Roman"/>
          <w:color w:val="auto"/>
          <w:kern w:val="0"/>
          <w:sz w:val="21"/>
          <w:szCs w:val="21"/>
        </w:rPr>
        <w:t>刘峻辰</w:t>
      </w:r>
    </w:p>
    <w:p w14:paraId="078C413D">
      <w:pPr>
        <w:keepNext w:val="0"/>
        <w:keepLines w:val="0"/>
        <w:pageBreakBefore w:val="0"/>
        <w:kinsoku/>
        <w:wordWrap/>
        <w:overflowPunct/>
        <w:topLinePunct w:val="0"/>
        <w:autoSpaceDE w:val="0"/>
        <w:autoSpaceDN w:val="0"/>
        <w:bidi w:val="0"/>
        <w:adjustRightInd w:val="0"/>
        <w:snapToGrid/>
        <w:spacing w:line="312" w:lineRule="auto"/>
        <w:jc w:val="righ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 xml:space="preserve">                                      </w:t>
      </w:r>
      <w:r>
        <w:rPr>
          <w:rFonts w:ascii="宋体" w:hAnsi="宋体" w:eastAsia="宋体" w:cs="Times New Roman"/>
          <w:color w:val="auto"/>
          <w:kern w:val="0"/>
          <w:sz w:val="21"/>
          <w:szCs w:val="21"/>
        </w:rPr>
        <w:t>审定人：</w:t>
      </w:r>
      <w:r>
        <w:rPr>
          <w:rFonts w:hint="eastAsia" w:ascii="宋体" w:hAnsi="宋体" w:eastAsia="宋体" w:cs="Times New Roman"/>
          <w:color w:val="auto"/>
          <w:kern w:val="0"/>
          <w:sz w:val="21"/>
          <w:szCs w:val="21"/>
        </w:rPr>
        <w:t xml:space="preserve">王 </w:t>
      </w:r>
      <w:r>
        <w:rPr>
          <w:rFonts w:ascii="宋体" w:hAnsi="宋体" w:eastAsia="宋体" w:cs="Times New Roman"/>
          <w:color w:val="auto"/>
          <w:kern w:val="0"/>
          <w:sz w:val="21"/>
          <w:szCs w:val="21"/>
        </w:rPr>
        <w:t xml:space="preserve"> </w:t>
      </w:r>
      <w:r>
        <w:rPr>
          <w:rFonts w:hint="eastAsia" w:ascii="宋体" w:hAnsi="宋体" w:eastAsia="宋体" w:cs="Times New Roman"/>
          <w:color w:val="auto"/>
          <w:kern w:val="0"/>
          <w:sz w:val="21"/>
          <w:szCs w:val="21"/>
        </w:rPr>
        <w:t>健</w:t>
      </w:r>
      <w:r>
        <w:rPr>
          <w:rFonts w:ascii="宋体" w:hAnsi="宋体" w:eastAsia="宋体" w:cs="Times New Roman"/>
          <w:color w:val="auto"/>
          <w:kern w:val="0"/>
          <w:sz w:val="21"/>
          <w:szCs w:val="21"/>
        </w:rPr>
        <w:t xml:space="preserve"> </w:t>
      </w:r>
    </w:p>
    <w:p w14:paraId="2AAF67E6">
      <w:pPr>
        <w:keepNext w:val="0"/>
        <w:keepLines w:val="0"/>
        <w:pageBreakBefore w:val="0"/>
        <w:kinsoku/>
        <w:wordWrap/>
        <w:overflowPunct/>
        <w:topLinePunct w:val="0"/>
        <w:autoSpaceDE w:val="0"/>
        <w:autoSpaceDN w:val="0"/>
        <w:bidi w:val="0"/>
        <w:adjustRightInd w:val="0"/>
        <w:snapToGrid/>
        <w:spacing w:line="312" w:lineRule="auto"/>
        <w:jc w:val="right"/>
        <w:textAlignment w:val="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 xml:space="preserve">                                      </w:t>
      </w:r>
      <w:r>
        <w:rPr>
          <w:rFonts w:ascii="宋体" w:hAnsi="宋体" w:eastAsia="宋体" w:cs="Times New Roman"/>
          <w:color w:val="auto"/>
          <w:kern w:val="0"/>
          <w:sz w:val="21"/>
          <w:szCs w:val="21"/>
        </w:rPr>
        <w:t>审批人：</w:t>
      </w:r>
      <w:r>
        <w:rPr>
          <w:rFonts w:hint="eastAsia" w:ascii="宋体" w:hAnsi="宋体" w:eastAsia="宋体" w:cs="Times New Roman"/>
          <w:color w:val="auto"/>
          <w:kern w:val="0"/>
          <w:sz w:val="21"/>
          <w:szCs w:val="21"/>
        </w:rPr>
        <w:t>张志欣</w:t>
      </w:r>
    </w:p>
    <w:p w14:paraId="5C8E2671">
      <w:pPr>
        <w:keepNext w:val="0"/>
        <w:keepLines w:val="0"/>
        <w:pageBreakBefore w:val="0"/>
        <w:kinsoku/>
        <w:wordWrap/>
        <w:overflowPunct/>
        <w:topLinePunct w:val="0"/>
        <w:autoSpaceDE w:val="0"/>
        <w:autoSpaceDN w:val="0"/>
        <w:bidi w:val="0"/>
        <w:adjustRightInd w:val="0"/>
        <w:snapToGrid/>
        <w:spacing w:line="312" w:lineRule="auto"/>
        <w:jc w:val="right"/>
        <w:textAlignment w:val="auto"/>
        <w:rPr>
          <w:color w:val="auto"/>
        </w:rPr>
      </w:pPr>
      <w:r>
        <w:rPr>
          <w:rFonts w:hint="eastAsia" w:ascii="宋体" w:hAnsi="宋体" w:eastAsia="宋体" w:cs="Times New Roman"/>
          <w:color w:val="auto"/>
          <w:kern w:val="0"/>
          <w:sz w:val="21"/>
          <w:szCs w:val="21"/>
        </w:rPr>
        <w:t xml:space="preserve">  </w:t>
      </w:r>
      <w:r>
        <w:rPr>
          <w:rFonts w:hint="eastAsia" w:ascii="宋体" w:hAnsi="宋体" w:eastAsia="宋体" w:cs="Times New Roman"/>
          <w:color w:val="auto"/>
          <w:kern w:val="0"/>
          <w:sz w:val="21"/>
          <w:szCs w:val="21"/>
          <w:lang w:eastAsia="zh-CN"/>
        </w:rPr>
        <w:t>批准时间：2025年7月1日</w:t>
      </w:r>
      <w:r>
        <w:rPr>
          <w:rFonts w:hint="eastAsia"/>
          <w:color w:val="auto"/>
        </w:rPr>
        <w:br w:type="page"/>
      </w:r>
    </w:p>
    <w:p w14:paraId="54659850">
      <w:pPr>
        <w:spacing w:line="360" w:lineRule="auto"/>
        <w:jc w:val="center"/>
        <w:outlineLvl w:val="0"/>
        <w:rPr>
          <w:rFonts w:hint="eastAsia" w:ascii="Times New Roman" w:hAnsi="Times New Roman" w:eastAsia="宋体" w:cs="Times New Roman"/>
          <w:b/>
          <w:color w:val="auto"/>
          <w:sz w:val="44"/>
          <w:szCs w:val="44"/>
        </w:rPr>
      </w:pPr>
      <w:bookmarkStart w:id="366" w:name="_Toc26237"/>
      <w:r>
        <w:rPr>
          <w:rFonts w:hint="eastAsia" w:ascii="Times New Roman" w:hAnsi="Times New Roman" w:eastAsia="宋体" w:cs="Times New Roman"/>
          <w:b/>
          <w:color w:val="auto"/>
          <w:sz w:val="44"/>
          <w:szCs w:val="44"/>
        </w:rPr>
        <w:t>《空间解析几何》课程教学大纲</w:t>
      </w:r>
      <w:bookmarkEnd w:id="355"/>
      <w:bookmarkEnd w:id="366"/>
    </w:p>
    <w:p w14:paraId="5891180B">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（Space Analytic Geometry）</w:t>
      </w:r>
    </w:p>
    <w:p w14:paraId="515435D0">
      <w:pPr>
        <w:spacing w:line="360" w:lineRule="auto"/>
        <w:jc w:val="center"/>
        <w:rPr>
          <w:rFonts w:ascii="Times New Roman" w:hAnsi="Times New Roman" w:eastAsia="宋体" w:cs="Times New Roman"/>
          <w:bCs/>
          <w:color w:val="auto"/>
          <w:sz w:val="21"/>
          <w:szCs w:val="21"/>
        </w:rPr>
      </w:pPr>
    </w:p>
    <w:p w14:paraId="26A141E8">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课程名称：空间解析几何</w:t>
      </w:r>
    </w:p>
    <w:p w14:paraId="136A36DA">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课程代码：0821010</w:t>
      </w:r>
    </w:p>
    <w:p w14:paraId="6CC70D4D">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分：2</w:t>
      </w:r>
    </w:p>
    <w:p w14:paraId="2B564773">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时：32</w:t>
      </w:r>
    </w:p>
    <w:p w14:paraId="27FFBFA6">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先修课程：初等数学</w:t>
      </w:r>
    </w:p>
    <w:p w14:paraId="196817FA">
      <w:pPr>
        <w:spacing w:line="360" w:lineRule="auto"/>
        <w:ind w:firstLine="482" w:firstLineChars="200"/>
        <w:jc w:val="left"/>
        <w:rPr>
          <w:rFonts w:hint="eastAsia" w:ascii="Times New Roman" w:hAnsi="Times New Roman" w:eastAsia="宋体" w:cs="Times New Roman"/>
          <w:color w:val="auto"/>
          <w:sz w:val="24"/>
          <w:lang w:eastAsia="zh-CN"/>
        </w:rPr>
      </w:pPr>
      <w:r>
        <w:rPr>
          <w:rFonts w:hint="eastAsia" w:ascii="Times New Roman" w:hAnsi="Times New Roman" w:eastAsia="宋体" w:cs="Times New Roman"/>
          <w:b/>
          <w:color w:val="auto"/>
          <w:sz w:val="24"/>
        </w:rPr>
        <w:t>适用专业：小学教育</w:t>
      </w:r>
      <w:r>
        <w:rPr>
          <w:rFonts w:hint="eastAsia" w:ascii="Times New Roman" w:hAnsi="Times New Roman" w:eastAsia="宋体" w:cs="Times New Roman"/>
          <w:b/>
          <w:color w:val="auto"/>
          <w:sz w:val="24"/>
          <w:lang w:eastAsia="zh-CN"/>
        </w:rPr>
        <w:t>（</w:t>
      </w:r>
      <w:r>
        <w:rPr>
          <w:rFonts w:hint="eastAsia" w:ascii="Times New Roman" w:hAnsi="Times New Roman" w:eastAsia="宋体" w:cs="Times New Roman"/>
          <w:b/>
          <w:color w:val="auto"/>
          <w:sz w:val="24"/>
          <w:lang w:val="en-US" w:eastAsia="zh-CN"/>
        </w:rPr>
        <w:t>理</w:t>
      </w:r>
      <w:r>
        <w:rPr>
          <w:rFonts w:hint="eastAsia" w:ascii="Times New Roman" w:hAnsi="Times New Roman" w:eastAsia="宋体" w:cs="Times New Roman"/>
          <w:b/>
          <w:color w:val="auto"/>
          <w:sz w:val="24"/>
          <w:lang w:eastAsia="zh-CN"/>
        </w:rPr>
        <w:t>）</w:t>
      </w:r>
    </w:p>
    <w:p w14:paraId="64B83578">
      <w:pPr>
        <w:spacing w:line="360" w:lineRule="auto"/>
        <w:jc w:val="left"/>
        <w:rPr>
          <w:rFonts w:hint="eastAsia" w:ascii="Calibri" w:hAnsi="Calibri" w:eastAsia="宋体" w:cs="Times New Roman"/>
          <w:b/>
          <w:bCs/>
          <w:color w:val="auto"/>
          <w:position w:val="-26"/>
          <w:sz w:val="24"/>
          <w:lang w:val="en-US" w:eastAsia="zh-CN"/>
        </w:rPr>
      </w:pPr>
      <w:r>
        <w:rPr>
          <w:rFonts w:hint="eastAsia" w:ascii="Calibri" w:hAnsi="Calibri" w:eastAsia="宋体" w:cs="Times New Roman"/>
          <w:b/>
          <w:bCs/>
          <w:color w:val="auto"/>
          <w:position w:val="-26"/>
          <w:sz w:val="24"/>
          <w:lang w:val="en-US" w:eastAsia="zh-CN"/>
        </w:rPr>
        <w:t>一、课程简介</w:t>
      </w:r>
    </w:p>
    <w:p w14:paraId="09E81756">
      <w:pPr>
        <w:spacing w:line="360" w:lineRule="auto"/>
        <w:ind w:firstLine="420" w:firstLineChars="200"/>
        <w:jc w:val="left"/>
        <w:rPr>
          <w:rFonts w:hint="eastAsia" w:ascii="宋体" w:hAnsi="宋体" w:eastAsia="宋体" w:cs="Times New Roman"/>
          <w:bCs/>
          <w:color w:val="auto"/>
          <w:szCs w:val="21"/>
        </w:rPr>
      </w:pPr>
      <w:r>
        <w:rPr>
          <w:rFonts w:ascii="宋体" w:hAnsi="宋体" w:eastAsia="宋体" w:cs="Times New Roman"/>
          <w:bCs/>
          <w:color w:val="auto"/>
          <w:szCs w:val="21"/>
        </w:rPr>
        <w:t>本课程是小学教育（理）专业的一门重要基础课。通过本课程的学习，使学生系统地获得空间解析几何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27D3F072">
      <w:pPr>
        <w:spacing w:line="360" w:lineRule="auto"/>
        <w:jc w:val="left"/>
        <w:rPr>
          <w:rFonts w:hint="eastAsia" w:ascii="Calibri" w:hAnsi="Calibri" w:eastAsia="宋体" w:cs="Times New Roman"/>
          <w:b/>
          <w:bCs/>
          <w:color w:val="auto"/>
          <w:position w:val="-26"/>
          <w:sz w:val="24"/>
          <w:lang w:val="en-US" w:eastAsia="zh-CN"/>
        </w:rPr>
      </w:pPr>
      <w:r>
        <w:rPr>
          <w:rFonts w:hint="eastAsia" w:ascii="Calibri" w:hAnsi="Calibri" w:eastAsia="宋体" w:cs="Times New Roman"/>
          <w:b/>
          <w:bCs/>
          <w:color w:val="auto"/>
          <w:position w:val="-26"/>
          <w:sz w:val="24"/>
          <w:lang w:val="en-US" w:eastAsia="zh-CN"/>
        </w:rPr>
        <w:t>二、课程目标</w:t>
      </w:r>
    </w:p>
    <w:p w14:paraId="08BC13B8">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324D2634">
      <w:pPr>
        <w:spacing w:line="360" w:lineRule="auto"/>
        <w:ind w:firstLine="482"/>
        <w:jc w:val="left"/>
        <w:rPr>
          <w:rFonts w:hint="eastAsia" w:ascii="宋体" w:hAnsi="宋体" w:eastAsia="宋体" w:cs="Times New Roman"/>
          <w:b/>
          <w:bCs/>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1.</w:t>
      </w:r>
      <w:r>
        <w:rPr>
          <w:rFonts w:hint="eastAsia" w:ascii="Times New Roman" w:hAnsi="Times New Roman" w:eastAsia="宋体" w:cs="Times New Roman"/>
          <w:b/>
          <w:color w:val="auto"/>
          <w:szCs w:val="21"/>
        </w:rPr>
        <w:t xml:space="preserve"> </w:t>
      </w:r>
      <w:r>
        <w:rPr>
          <w:rFonts w:hint="eastAsia" w:ascii="Times New Roman" w:hAnsi="Times New Roman" w:eastAsia="宋体" w:cs="Times New Roman"/>
          <w:color w:val="auto"/>
          <w:szCs w:val="21"/>
        </w:rPr>
        <w:t>掌握</w:t>
      </w:r>
      <w:r>
        <w:rPr>
          <w:rFonts w:ascii="宋体" w:hAnsi="宋体" w:eastAsia="宋体" w:cs="Times New Roman"/>
          <w:bCs/>
          <w:color w:val="auto"/>
          <w:szCs w:val="21"/>
        </w:rPr>
        <w:t>空间解析几何</w:t>
      </w:r>
      <w:r>
        <w:rPr>
          <w:rFonts w:hint="eastAsia" w:ascii="Times New Roman" w:hAnsi="Times New Roman" w:eastAsia="宋体" w:cs="Times New Roman"/>
          <w:color w:val="auto"/>
          <w:szCs w:val="21"/>
        </w:rPr>
        <w:t>基础理论知识，</w:t>
      </w:r>
      <w:r>
        <w:rPr>
          <w:rFonts w:hint="eastAsia" w:ascii="宋体" w:hAnsi="宋体" w:eastAsia="宋体" w:cs="Times New Roman"/>
          <w:color w:val="auto"/>
          <w:szCs w:val="21"/>
        </w:rPr>
        <w:t>掌握向量、平面方程、空间直线方程、平面与直线关系、特殊曲面方程等基本概念与性质，掌握课程要求的计算方法，</w:t>
      </w:r>
      <w:r>
        <w:rPr>
          <w:rFonts w:hint="eastAsia" w:ascii="Times New Roman" w:hAnsi="Times New Roman" w:eastAsia="宋体" w:cs="Times New Roman"/>
          <w:color w:val="auto"/>
          <w:szCs w:val="21"/>
        </w:rPr>
        <w:t>初步具备</w:t>
      </w:r>
      <w:r>
        <w:rPr>
          <w:rFonts w:hint="eastAsia" w:ascii="宋体" w:hAnsi="宋体" w:eastAsia="宋体" w:cs="Times New Roman"/>
          <w:color w:val="auto"/>
          <w:szCs w:val="21"/>
        </w:rPr>
        <w:t>一定</w:t>
      </w:r>
      <w:r>
        <w:rPr>
          <w:rFonts w:ascii="宋体" w:hAnsi="宋体" w:eastAsia="宋体" w:cs="Times New Roman"/>
          <w:color w:val="auto"/>
          <w:szCs w:val="21"/>
        </w:rPr>
        <w:t>的抽象概括、逻辑推理</w:t>
      </w:r>
      <w:r>
        <w:rPr>
          <w:rFonts w:hint="eastAsia" w:ascii="宋体" w:hAnsi="宋体" w:eastAsia="宋体" w:cs="Times New Roman"/>
          <w:color w:val="auto"/>
          <w:szCs w:val="21"/>
        </w:rPr>
        <w:t>等</w:t>
      </w:r>
      <w:r>
        <w:rPr>
          <w:rFonts w:ascii="宋体" w:hAnsi="宋体" w:eastAsia="宋体" w:cs="Times New Roman"/>
          <w:color w:val="auto"/>
          <w:szCs w:val="21"/>
        </w:rPr>
        <w:t>能力</w:t>
      </w:r>
    </w:p>
    <w:p w14:paraId="54BF60BF">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目标2</w:t>
      </w:r>
      <w:r>
        <w:rPr>
          <w:rFonts w:ascii="Times New Roman" w:hAnsi="Times New Roman" w:eastAsia="宋体" w:cs="Times New Roman"/>
          <w:b/>
          <w:color w:val="auto"/>
          <w:szCs w:val="21"/>
        </w:rPr>
        <w:t xml:space="preserve">. </w:t>
      </w:r>
      <w:r>
        <w:rPr>
          <w:rFonts w:ascii="宋体" w:hAnsi="宋体" w:eastAsia="宋体" w:cs="Times New Roman"/>
          <w:color w:val="auto"/>
          <w:szCs w:val="21"/>
        </w:rPr>
        <w:t>初步掌握</w:t>
      </w:r>
      <w:r>
        <w:rPr>
          <w:rFonts w:hint="eastAsia" w:ascii="宋体" w:hAnsi="宋体" w:eastAsia="宋体" w:cs="Times New Roman"/>
          <w:color w:val="auto"/>
          <w:szCs w:val="21"/>
        </w:rPr>
        <w:t>空间解析几何的基本知识、必要的基础理论和常用的运算方法，</w:t>
      </w:r>
      <w:r>
        <w:rPr>
          <w:rFonts w:ascii="宋体" w:hAnsi="宋体" w:eastAsia="宋体" w:cs="Times New Roman"/>
          <w:color w:val="auto"/>
          <w:szCs w:val="21"/>
        </w:rPr>
        <w:t>具备</w:t>
      </w:r>
      <w:r>
        <w:rPr>
          <w:rFonts w:hint="eastAsia" w:ascii="宋体" w:hAnsi="宋体" w:eastAsia="宋体" w:cs="Times New Roman"/>
          <w:color w:val="auto"/>
          <w:szCs w:val="21"/>
        </w:rPr>
        <w:t>一定的运算能力、抽象思维能力、逻辑推理能力、几何直观和空间想象能力，并能</w:t>
      </w:r>
      <w:r>
        <w:rPr>
          <w:rFonts w:ascii="宋体" w:hAnsi="宋体" w:eastAsia="宋体" w:cs="Times New Roman"/>
          <w:color w:val="auto"/>
          <w:szCs w:val="21"/>
        </w:rPr>
        <w:t>运用</w:t>
      </w:r>
      <w:r>
        <w:rPr>
          <w:rFonts w:hint="eastAsia" w:ascii="宋体" w:hAnsi="宋体" w:eastAsia="宋体" w:cs="Times New Roman"/>
          <w:color w:val="auto"/>
          <w:szCs w:val="21"/>
        </w:rPr>
        <w:t>数学知识、理论、方法</w:t>
      </w:r>
      <w:r>
        <w:rPr>
          <w:rFonts w:ascii="宋体" w:hAnsi="宋体" w:eastAsia="宋体" w:cs="Times New Roman"/>
          <w:color w:val="auto"/>
          <w:szCs w:val="21"/>
        </w:rPr>
        <w:t>解决</w:t>
      </w:r>
      <w:r>
        <w:rPr>
          <w:rFonts w:hint="eastAsia" w:ascii="宋体" w:hAnsi="宋体" w:eastAsia="宋体" w:cs="Times New Roman"/>
          <w:color w:val="auto"/>
          <w:szCs w:val="21"/>
        </w:rPr>
        <w:t>相关的</w:t>
      </w:r>
      <w:r>
        <w:rPr>
          <w:rFonts w:ascii="宋体" w:hAnsi="宋体" w:eastAsia="宋体" w:cs="Times New Roman"/>
          <w:color w:val="auto"/>
          <w:szCs w:val="21"/>
        </w:rPr>
        <w:t>实际</w:t>
      </w:r>
      <w:r>
        <w:rPr>
          <w:rFonts w:hint="eastAsia" w:ascii="宋体" w:hAnsi="宋体" w:eastAsia="宋体" w:cs="Times New Roman"/>
          <w:color w:val="auto"/>
          <w:szCs w:val="21"/>
        </w:rPr>
        <w:t>应用</w:t>
      </w:r>
      <w:r>
        <w:rPr>
          <w:rFonts w:ascii="宋体" w:hAnsi="宋体" w:eastAsia="宋体" w:cs="Times New Roman"/>
          <w:color w:val="auto"/>
          <w:szCs w:val="21"/>
        </w:rPr>
        <w:t>问题。</w:t>
      </w:r>
    </w:p>
    <w:p w14:paraId="4CEF60A5">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6461"/>
        <w:gridCol w:w="1191"/>
      </w:tblGrid>
      <w:tr w14:paraId="0115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Align w:val="center"/>
          </w:tcPr>
          <w:p w14:paraId="165B6AF1">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461" w:type="dxa"/>
            <w:vAlign w:val="center"/>
          </w:tcPr>
          <w:p w14:paraId="4C226097">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5DE04DCE">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3CA97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Align w:val="center"/>
          </w:tcPr>
          <w:p w14:paraId="1E9DF3A8">
            <w:pPr>
              <w:spacing w:line="276" w:lineRule="auto"/>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毕业要求1</w:t>
            </w:r>
          </w:p>
          <w:p w14:paraId="3B700770">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向量代数</w:t>
            </w:r>
          </w:p>
        </w:tc>
        <w:tc>
          <w:tcPr>
            <w:tcW w:w="6461" w:type="dxa"/>
            <w:vAlign w:val="center"/>
          </w:tcPr>
          <w:p w14:paraId="53DA2E33">
            <w:pPr>
              <w:spacing w:line="276" w:lineRule="auto"/>
              <w:jc w:val="left"/>
              <w:rPr>
                <w:rFonts w:ascii="Times New Roman" w:hAnsi="Times New Roman" w:eastAsia="宋体" w:cs="Times New Roman"/>
                <w:b w:val="0"/>
                <w:bCs w:val="0"/>
                <w:color w:val="auto"/>
                <w:szCs w:val="21"/>
              </w:rPr>
            </w:pPr>
            <w:r>
              <w:rPr>
                <w:rFonts w:hint="eastAsia" w:ascii="Times New Roman" w:hAnsi="Times New Roman" w:eastAsia="宋体" w:cs="Times New Roman"/>
                <w:b w:val="0"/>
                <w:bCs w:val="0"/>
                <w:color w:val="auto"/>
                <w:szCs w:val="21"/>
              </w:rPr>
              <w:t>指标点</w:t>
            </w:r>
            <w:r>
              <w:rPr>
                <w:rFonts w:ascii="Times New Roman" w:hAnsi="Times New Roman" w:eastAsia="宋体" w:cs="Times New Roman"/>
                <w:b w:val="0"/>
                <w:bCs w:val="0"/>
                <w:color w:val="auto"/>
                <w:szCs w:val="21"/>
              </w:rPr>
              <w:t>1-1：</w:t>
            </w:r>
            <w:r>
              <w:rPr>
                <w:rFonts w:hint="eastAsia" w:ascii="Times New Roman" w:hAnsi="Times New Roman" w:eastAsia="宋体" w:cs="Times New Roman"/>
                <w:b w:val="0"/>
                <w:bCs w:val="0"/>
                <w:color w:val="auto"/>
                <w:szCs w:val="21"/>
              </w:rPr>
              <w:t>【理想信念坚定】使学生</w:t>
            </w:r>
            <w:bookmarkStart w:id="367" w:name="_Hlk176160855"/>
            <w:r>
              <w:rPr>
                <w:rFonts w:hint="eastAsia" w:ascii="Times New Roman" w:hAnsi="Times New Roman" w:eastAsia="宋体" w:cs="Times New Roman"/>
                <w:b w:val="0"/>
                <w:bCs w:val="0"/>
                <w:color w:val="auto"/>
                <w:szCs w:val="21"/>
              </w:rPr>
              <w:t>能够理解向量的概念并掌握向量的加、减法和数乘，能够掌握向量共线与向量共面，能够掌握向量的内积、外积、混合积以及向量运算的坐标表示。</w:t>
            </w:r>
            <w:bookmarkEnd w:id="367"/>
          </w:p>
        </w:tc>
        <w:tc>
          <w:tcPr>
            <w:tcW w:w="1191" w:type="dxa"/>
            <w:vAlign w:val="center"/>
          </w:tcPr>
          <w:p w14:paraId="742B5003">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课程目标1、2</w:t>
            </w:r>
          </w:p>
        </w:tc>
      </w:tr>
      <w:tr w14:paraId="7867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Align w:val="center"/>
          </w:tcPr>
          <w:p w14:paraId="238A3815">
            <w:pPr>
              <w:spacing w:line="276" w:lineRule="auto"/>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毕业要求2</w:t>
            </w:r>
          </w:p>
          <w:p w14:paraId="4D0AB268">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平面与直线</w:t>
            </w:r>
          </w:p>
        </w:tc>
        <w:tc>
          <w:tcPr>
            <w:tcW w:w="6461" w:type="dxa"/>
            <w:vAlign w:val="center"/>
          </w:tcPr>
          <w:p w14:paraId="2E6B2C21">
            <w:pPr>
              <w:spacing w:line="276" w:lineRule="auto"/>
              <w:jc w:val="left"/>
              <w:rPr>
                <w:rFonts w:ascii="Times New Roman" w:hAnsi="Times New Roman" w:eastAsia="宋体" w:cs="Times New Roman"/>
                <w:b w:val="0"/>
                <w:bCs w:val="0"/>
                <w:color w:val="auto"/>
                <w:szCs w:val="21"/>
              </w:rPr>
            </w:pPr>
            <w:r>
              <w:rPr>
                <w:rFonts w:hint="eastAsia" w:ascii="宋体" w:hAnsi="宋体" w:eastAsia="宋体" w:cs="Times New Roman"/>
                <w:b w:val="0"/>
                <w:bCs w:val="0"/>
                <w:color w:val="auto"/>
                <w:spacing w:val="2"/>
                <w:kern w:val="0"/>
                <w:szCs w:val="21"/>
              </w:rPr>
              <w:t>指标点</w:t>
            </w:r>
            <w:r>
              <w:rPr>
                <w:rFonts w:ascii="宋体" w:hAnsi="宋体" w:eastAsia="宋体" w:cs="Times New Roman"/>
                <w:b w:val="0"/>
                <w:bCs w:val="0"/>
                <w:color w:val="auto"/>
                <w:spacing w:val="2"/>
                <w:kern w:val="0"/>
                <w:szCs w:val="21"/>
              </w:rPr>
              <w:t>2-2：</w:t>
            </w:r>
            <w:r>
              <w:rPr>
                <w:rFonts w:hint="eastAsia" w:ascii="宋体" w:hAnsi="宋体" w:eastAsia="宋体" w:cs="Times New Roman"/>
                <w:b w:val="0"/>
                <w:bCs w:val="0"/>
                <w:color w:val="auto"/>
                <w:spacing w:val="2"/>
                <w:kern w:val="0"/>
                <w:szCs w:val="21"/>
              </w:rPr>
              <w:t>【仁爱之心深厚】使学生能够理解平面点法式、点位式、截距式、一般式方程，能够掌握直线的参数式、标准式、一般式方程，能够掌握直线与平面的位置关系，能够掌握点到平面、直线的距离以及异面直线间的距离，能够理解平面束的概念与方程。</w:t>
            </w:r>
          </w:p>
        </w:tc>
        <w:tc>
          <w:tcPr>
            <w:tcW w:w="1191" w:type="dxa"/>
            <w:vAlign w:val="center"/>
          </w:tcPr>
          <w:p w14:paraId="6088BA7D">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课程目标1、2</w:t>
            </w:r>
          </w:p>
        </w:tc>
      </w:tr>
      <w:tr w14:paraId="6C00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Align w:val="center"/>
          </w:tcPr>
          <w:p w14:paraId="0568FE55">
            <w:pPr>
              <w:spacing w:line="276" w:lineRule="auto"/>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毕业要求3</w:t>
            </w:r>
          </w:p>
          <w:p w14:paraId="2AF755CA">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特殊曲面</w:t>
            </w:r>
          </w:p>
        </w:tc>
        <w:tc>
          <w:tcPr>
            <w:tcW w:w="6461" w:type="dxa"/>
            <w:vAlign w:val="center"/>
          </w:tcPr>
          <w:p w14:paraId="6DA2FEB9">
            <w:pPr>
              <w:spacing w:line="276" w:lineRule="auto"/>
              <w:jc w:val="left"/>
              <w:rPr>
                <w:rFonts w:ascii="Times New Roman" w:hAnsi="Times New Roman" w:eastAsia="宋体" w:cs="Times New Roman"/>
                <w:b w:val="0"/>
                <w:bCs w:val="0"/>
                <w:color w:val="auto"/>
                <w:szCs w:val="21"/>
              </w:rPr>
            </w:pPr>
            <w:r>
              <w:rPr>
                <w:rFonts w:hint="eastAsia" w:ascii="宋体" w:hAnsi="宋体" w:eastAsia="宋体" w:cs="Times New Roman"/>
                <w:b w:val="0"/>
                <w:bCs w:val="0"/>
                <w:color w:val="auto"/>
                <w:spacing w:val="2"/>
                <w:kern w:val="0"/>
                <w:szCs w:val="21"/>
              </w:rPr>
              <w:t>指标点</w:t>
            </w:r>
            <w:r>
              <w:rPr>
                <w:rFonts w:ascii="宋体" w:hAnsi="宋体" w:eastAsia="宋体" w:cs="Times New Roman"/>
                <w:b w:val="0"/>
                <w:bCs w:val="0"/>
                <w:color w:val="auto"/>
                <w:spacing w:val="2"/>
                <w:kern w:val="0"/>
                <w:szCs w:val="21"/>
              </w:rPr>
              <w:t>3-3：</w:t>
            </w:r>
            <w:r>
              <w:rPr>
                <w:rFonts w:hint="eastAsia" w:ascii="宋体" w:hAnsi="宋体" w:eastAsia="宋体" w:cs="Times New Roman"/>
                <w:b w:val="0"/>
                <w:bCs w:val="0"/>
                <w:color w:val="auto"/>
                <w:spacing w:val="2"/>
                <w:kern w:val="0"/>
                <w:szCs w:val="21"/>
              </w:rPr>
              <w:t>【注重知识整合】使学生能够理解球面、柱面、锥面、旋转曲面方程，能够理解空间曲线的参数方程和一般方程。</w:t>
            </w:r>
          </w:p>
        </w:tc>
        <w:tc>
          <w:tcPr>
            <w:tcW w:w="1191" w:type="dxa"/>
            <w:vAlign w:val="center"/>
          </w:tcPr>
          <w:p w14:paraId="2112DEF8">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课程目标1、2</w:t>
            </w:r>
          </w:p>
        </w:tc>
      </w:tr>
    </w:tbl>
    <w:p w14:paraId="6B934066">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0B1A6CCA">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26BBBD1D">
      <w:pPr>
        <w:spacing w:line="360" w:lineRule="auto"/>
        <w:jc w:val="left"/>
        <w:rPr>
          <w:rFonts w:hint="eastAsia" w:ascii="Calibri" w:hAnsi="Calibri" w:eastAsia="宋体" w:cs="Times New Roman"/>
          <w:b/>
          <w:bCs/>
          <w:color w:val="auto"/>
          <w:position w:val="-26"/>
          <w:sz w:val="24"/>
          <w:lang w:val="en-US" w:eastAsia="zh-CN"/>
        </w:rPr>
      </w:pPr>
      <w:r>
        <w:rPr>
          <w:rFonts w:hint="eastAsia" w:ascii="Calibri" w:hAnsi="Calibri" w:eastAsia="宋体" w:cs="Times New Roman"/>
          <w:b/>
          <w:bCs/>
          <w:color w:val="auto"/>
          <w:position w:val="-26"/>
          <w:sz w:val="24"/>
          <w:lang w:val="en-US" w:eastAsia="zh-CN"/>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957"/>
        <w:gridCol w:w="1242"/>
        <w:gridCol w:w="2950"/>
        <w:gridCol w:w="1506"/>
        <w:gridCol w:w="438"/>
      </w:tblGrid>
      <w:tr w14:paraId="7420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B52D6BB">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04048B92">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1957" w:type="dxa"/>
            <w:vAlign w:val="center"/>
          </w:tcPr>
          <w:p w14:paraId="3D6B0607">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242" w:type="dxa"/>
            <w:vAlign w:val="center"/>
          </w:tcPr>
          <w:p w14:paraId="4DD317E7">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3648DF32">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2950" w:type="dxa"/>
            <w:vAlign w:val="center"/>
          </w:tcPr>
          <w:p w14:paraId="24A758AF">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506" w:type="dxa"/>
            <w:vAlign w:val="center"/>
          </w:tcPr>
          <w:p w14:paraId="4301EB0B">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3BA2EB0D">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1F17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DB8ED14">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1.向量代数</w:t>
            </w:r>
          </w:p>
        </w:tc>
        <w:tc>
          <w:tcPr>
            <w:tcW w:w="1957" w:type="dxa"/>
            <w:vAlign w:val="center"/>
          </w:tcPr>
          <w:p w14:paraId="0A6BD6D6">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（1）向量及其线性运算</w:t>
            </w:r>
          </w:p>
          <w:p w14:paraId="661D768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（2）向量的内积</w:t>
            </w:r>
          </w:p>
          <w:p w14:paraId="135A02E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（3）向量的外积（4）向量的混合积</w:t>
            </w:r>
          </w:p>
        </w:tc>
        <w:tc>
          <w:tcPr>
            <w:tcW w:w="1242" w:type="dxa"/>
            <w:vAlign w:val="center"/>
          </w:tcPr>
          <w:p w14:paraId="7F2D0451">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2950" w:type="dxa"/>
            <w:vAlign w:val="center"/>
          </w:tcPr>
          <w:p w14:paraId="7D0B996C">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1.理解</w:t>
            </w:r>
            <w:r>
              <w:rPr>
                <w:rFonts w:hint="eastAsia" w:ascii="宋体" w:hAnsi="宋体" w:eastAsia="宋体" w:cs="Times New Roman"/>
                <w:color w:val="auto"/>
                <w:szCs w:val="21"/>
              </w:rPr>
              <w:t>向量</w:t>
            </w:r>
            <w:r>
              <w:rPr>
                <w:rFonts w:ascii="宋体" w:hAnsi="宋体" w:eastAsia="宋体" w:cs="Times New Roman"/>
                <w:color w:val="auto"/>
                <w:szCs w:val="21"/>
              </w:rPr>
              <w:t>的</w:t>
            </w:r>
            <w:r>
              <w:rPr>
                <w:rFonts w:hint="eastAsia" w:ascii="宋体" w:hAnsi="宋体" w:eastAsia="宋体" w:cs="Times New Roman"/>
                <w:color w:val="auto"/>
                <w:szCs w:val="21"/>
              </w:rPr>
              <w:t>概念和性质；</w:t>
            </w:r>
          </w:p>
          <w:p w14:paraId="4109CA22">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2.了解</w:t>
            </w:r>
            <w:r>
              <w:rPr>
                <w:rFonts w:hint="eastAsia" w:ascii="宋体" w:hAnsi="宋体" w:eastAsia="宋体" w:cs="Times New Roman"/>
                <w:color w:val="auto"/>
                <w:szCs w:val="21"/>
              </w:rPr>
              <w:t>向量的线性运算以及内积、外积和混合积的坐标计算；</w:t>
            </w:r>
          </w:p>
          <w:p w14:paraId="1900C860">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3.掌握学习和研究</w:t>
            </w:r>
            <w:r>
              <w:rPr>
                <w:rFonts w:hint="eastAsia" w:ascii="宋体" w:hAnsi="宋体" w:eastAsia="宋体" w:cs="Times New Roman"/>
                <w:color w:val="auto"/>
                <w:szCs w:val="21"/>
              </w:rPr>
              <w:t>空间解析几何</w:t>
            </w:r>
            <w:r>
              <w:rPr>
                <w:rFonts w:ascii="宋体" w:hAnsi="宋体" w:eastAsia="宋体" w:cs="Times New Roman"/>
                <w:color w:val="auto"/>
                <w:szCs w:val="21"/>
              </w:rPr>
              <w:t>的基本方法和指导思想</w:t>
            </w:r>
            <w:r>
              <w:rPr>
                <w:rFonts w:hint="eastAsia" w:ascii="宋体" w:hAnsi="宋体" w:eastAsia="宋体" w:cs="Times New Roman"/>
                <w:color w:val="auto"/>
                <w:szCs w:val="21"/>
              </w:rPr>
              <w:t>；</w:t>
            </w:r>
          </w:p>
        </w:tc>
        <w:tc>
          <w:tcPr>
            <w:tcW w:w="1506" w:type="dxa"/>
            <w:vAlign w:val="center"/>
          </w:tcPr>
          <w:p w14:paraId="4E13CB1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6862FE6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2.多媒体教学3.课堂讨论</w:t>
            </w:r>
          </w:p>
          <w:p w14:paraId="38C5C4F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438" w:type="dxa"/>
            <w:vAlign w:val="center"/>
          </w:tcPr>
          <w:p w14:paraId="162185D5">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w:t>
            </w:r>
          </w:p>
        </w:tc>
      </w:tr>
      <w:tr w14:paraId="720E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481B46B">
            <w:pPr>
              <w:spacing w:line="264" w:lineRule="auto"/>
              <w:jc w:val="center"/>
              <w:rPr>
                <w:rFonts w:hint="eastAsia" w:ascii="宋体" w:hAnsi="宋体" w:eastAsia="宋体" w:cs="Times New Roman"/>
                <w:color w:val="auto"/>
                <w:szCs w:val="21"/>
              </w:rPr>
            </w:pPr>
          </w:p>
        </w:tc>
        <w:tc>
          <w:tcPr>
            <w:tcW w:w="8093" w:type="dxa"/>
            <w:gridSpan w:val="5"/>
            <w:vAlign w:val="center"/>
          </w:tcPr>
          <w:p w14:paraId="48B565CA">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培养学生的抽象概括、逻辑推理能力，提高学生的数学素养，为学生学习后续相关课程及终身学习奠定必要的数学基础。注重理论联系实际，尊重客观规律，树立社会主义核心价值观，增强专业素养，强调理论对实践的指导意义。</w:t>
            </w:r>
          </w:p>
        </w:tc>
      </w:tr>
      <w:tr w14:paraId="13FE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061E955">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2.平面与直线</w:t>
            </w:r>
          </w:p>
        </w:tc>
        <w:tc>
          <w:tcPr>
            <w:tcW w:w="1957" w:type="dxa"/>
            <w:vAlign w:val="center"/>
          </w:tcPr>
          <w:p w14:paraId="0741371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（1）直角坐标系以及其中的向量计算</w:t>
            </w:r>
          </w:p>
          <w:p w14:paraId="6BEA9B8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（2）平面方程</w:t>
            </w:r>
          </w:p>
          <w:p w14:paraId="225DA32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（3）空间直线方程</w:t>
            </w:r>
          </w:p>
          <w:p w14:paraId="7D47B9B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（4）平面与直线的有关问题</w:t>
            </w:r>
          </w:p>
          <w:p w14:paraId="43ABCEE9">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（5）距离</w:t>
            </w:r>
          </w:p>
        </w:tc>
        <w:tc>
          <w:tcPr>
            <w:tcW w:w="1242" w:type="dxa"/>
            <w:vAlign w:val="center"/>
          </w:tcPr>
          <w:p w14:paraId="312D9431">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2950" w:type="dxa"/>
            <w:vAlign w:val="center"/>
          </w:tcPr>
          <w:p w14:paraId="3C9AE39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正确理解并掌握</w:t>
            </w:r>
            <w:r>
              <w:rPr>
                <w:rFonts w:hint="eastAsia" w:ascii="宋体" w:hAnsi="宋体" w:eastAsia="宋体" w:cs="Times New Roman"/>
                <w:color w:val="auto"/>
                <w:szCs w:val="21"/>
              </w:rPr>
              <w:t>平面方程的各种形式；</w:t>
            </w:r>
          </w:p>
          <w:p w14:paraId="1D19A56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正确理解并掌握</w:t>
            </w:r>
            <w:r>
              <w:rPr>
                <w:rFonts w:hint="eastAsia" w:ascii="宋体" w:hAnsi="宋体" w:eastAsia="宋体" w:cs="Times New Roman"/>
                <w:color w:val="auto"/>
                <w:szCs w:val="21"/>
              </w:rPr>
              <w:t>直线方程的各种形式；</w:t>
            </w:r>
          </w:p>
          <w:p w14:paraId="7BEBCEF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3.掌握点、平面、直线之间的相关位置、有关距离、夹角的计算</w:t>
            </w:r>
            <w:r>
              <w:rPr>
                <w:rFonts w:ascii="宋体" w:hAnsi="宋体" w:eastAsia="宋体" w:cs="Times New Roman"/>
                <w:color w:val="auto"/>
                <w:szCs w:val="21"/>
              </w:rPr>
              <w:t>。</w:t>
            </w:r>
          </w:p>
        </w:tc>
        <w:tc>
          <w:tcPr>
            <w:tcW w:w="1506" w:type="dxa"/>
            <w:vAlign w:val="center"/>
          </w:tcPr>
          <w:p w14:paraId="2070A6F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1CC115B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2.多媒体教学3.课堂讨论</w:t>
            </w:r>
          </w:p>
          <w:p w14:paraId="366BB14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438" w:type="dxa"/>
            <w:vAlign w:val="center"/>
          </w:tcPr>
          <w:p w14:paraId="5C7BC9ED">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w:t>
            </w:r>
          </w:p>
        </w:tc>
      </w:tr>
      <w:tr w14:paraId="787A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3F222A9">
            <w:pPr>
              <w:spacing w:line="264" w:lineRule="auto"/>
              <w:jc w:val="center"/>
              <w:rPr>
                <w:rFonts w:hint="eastAsia" w:ascii="宋体" w:hAnsi="宋体" w:eastAsia="宋体" w:cs="Times New Roman"/>
                <w:color w:val="auto"/>
                <w:szCs w:val="21"/>
              </w:rPr>
            </w:pPr>
          </w:p>
        </w:tc>
        <w:tc>
          <w:tcPr>
            <w:tcW w:w="8093" w:type="dxa"/>
            <w:gridSpan w:val="5"/>
            <w:vAlign w:val="center"/>
          </w:tcPr>
          <w:p w14:paraId="1B286A17">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pacing w:val="2"/>
                <w:kern w:val="0"/>
                <w:szCs w:val="21"/>
              </w:rPr>
              <w:t>能够灵活运用直线与平面的知识解决实际问题，增强空间想象能力和逻辑思维能力。注重理论联系实际，尊重客观规律，树立社会主义核心价值观，增强专业素养，强调理论对实践的指导意义。</w:t>
            </w:r>
          </w:p>
        </w:tc>
      </w:tr>
      <w:tr w14:paraId="07B8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5431F85">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3.特殊曲面和二次曲面</w:t>
            </w:r>
          </w:p>
        </w:tc>
        <w:tc>
          <w:tcPr>
            <w:tcW w:w="1957" w:type="dxa"/>
            <w:vAlign w:val="center"/>
          </w:tcPr>
          <w:p w14:paraId="4B1CE0E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（1）球面、直圆柱面和直圆锥面方程</w:t>
            </w:r>
          </w:p>
          <w:p w14:paraId="2DEC982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（2）柱面、锥面及旋转曲面的方程</w:t>
            </w:r>
          </w:p>
          <w:p w14:paraId="68958CF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（3）空间曲线和曲面的参数方程</w:t>
            </w:r>
          </w:p>
          <w:p w14:paraId="4C4D010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（4）二次曲面</w:t>
            </w:r>
          </w:p>
        </w:tc>
        <w:tc>
          <w:tcPr>
            <w:tcW w:w="1242" w:type="dxa"/>
            <w:vAlign w:val="center"/>
          </w:tcPr>
          <w:p w14:paraId="412D063E">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2950" w:type="dxa"/>
            <w:vAlign w:val="center"/>
          </w:tcPr>
          <w:p w14:paraId="775541C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正确理解并掌握</w:t>
            </w:r>
            <w:r>
              <w:rPr>
                <w:rFonts w:hint="eastAsia" w:ascii="宋体" w:hAnsi="宋体" w:eastAsia="宋体" w:cs="Times New Roman"/>
                <w:color w:val="auto"/>
                <w:szCs w:val="21"/>
              </w:rPr>
              <w:t>空间曲面和空间曲线方程的一般形式；</w:t>
            </w:r>
          </w:p>
          <w:p w14:paraId="173A772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掌握</w:t>
            </w:r>
            <w:r>
              <w:rPr>
                <w:rFonts w:hint="eastAsia" w:ascii="宋体" w:hAnsi="宋体" w:eastAsia="宋体" w:cs="Times New Roman"/>
                <w:color w:val="auto"/>
                <w:szCs w:val="21"/>
              </w:rPr>
              <w:t>球面、柱面、锥面、旋转曲面的形成规律及应用；</w:t>
            </w:r>
          </w:p>
        </w:tc>
        <w:tc>
          <w:tcPr>
            <w:tcW w:w="1506" w:type="dxa"/>
            <w:vAlign w:val="center"/>
          </w:tcPr>
          <w:p w14:paraId="38F9227A">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48AC74F7">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1B100EFC">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521B9890">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12</w:t>
            </w:r>
          </w:p>
        </w:tc>
      </w:tr>
      <w:tr w14:paraId="6F11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06967BF">
            <w:pPr>
              <w:spacing w:line="264" w:lineRule="auto"/>
              <w:jc w:val="center"/>
              <w:rPr>
                <w:rFonts w:hint="eastAsia" w:ascii="宋体" w:hAnsi="宋体" w:eastAsia="宋体" w:cs="Times New Roman"/>
                <w:color w:val="auto"/>
                <w:szCs w:val="21"/>
              </w:rPr>
            </w:pPr>
          </w:p>
        </w:tc>
        <w:tc>
          <w:tcPr>
            <w:tcW w:w="8093" w:type="dxa"/>
            <w:gridSpan w:val="5"/>
            <w:vAlign w:val="center"/>
          </w:tcPr>
          <w:p w14:paraId="76BDEBF1">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pacing w:val="2"/>
                <w:kern w:val="0"/>
                <w:szCs w:val="21"/>
              </w:rPr>
              <w:t>引导学生感悟旋转曲面中的哲学思想，培养积极向上的生活态度。通过旋转曲面的学习，激发学生探索未知、勇于挑战的精神。注重理论联系实际，尊重客观规律，树立社会主义核心价值观，增强专业素养，强调理论对实践的指导意义。</w:t>
            </w:r>
          </w:p>
        </w:tc>
      </w:tr>
    </w:tbl>
    <w:p w14:paraId="29B52591">
      <w:pPr>
        <w:spacing w:line="360" w:lineRule="auto"/>
        <w:jc w:val="left"/>
        <w:rPr>
          <w:rFonts w:hint="eastAsia" w:ascii="Calibri" w:hAnsi="Calibri" w:eastAsia="宋体" w:cs="Times New Roman"/>
          <w:b/>
          <w:bCs/>
          <w:color w:val="auto"/>
          <w:position w:val="-26"/>
          <w:sz w:val="24"/>
          <w:lang w:val="en-US" w:eastAsia="zh-CN"/>
        </w:rPr>
      </w:pPr>
      <w:r>
        <w:rPr>
          <w:rFonts w:hint="eastAsia" w:ascii="Calibri" w:hAnsi="Calibri" w:eastAsia="宋体" w:cs="Times New Roman"/>
          <w:b/>
          <w:bCs/>
          <w:color w:val="auto"/>
          <w:position w:val="-26"/>
          <w:sz w:val="24"/>
          <w:lang w:val="en-US" w:eastAsia="zh-CN"/>
        </w:rPr>
        <w:t>四、目标评价与成绩评定</w:t>
      </w:r>
    </w:p>
    <w:p w14:paraId="256EE8D2">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2AE67C29">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71AE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1A47798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0" w:type="auto"/>
            <w:gridSpan w:val="6"/>
            <w:vAlign w:val="center"/>
          </w:tcPr>
          <w:p w14:paraId="430DB52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7FEAE70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7AAC5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484BA7D6">
            <w:pPr>
              <w:spacing w:line="360" w:lineRule="auto"/>
              <w:jc w:val="center"/>
              <w:rPr>
                <w:rFonts w:hint="eastAsia" w:ascii="宋体" w:hAnsi="宋体" w:eastAsia="宋体" w:cs="Times New Roman"/>
                <w:color w:val="auto"/>
                <w:szCs w:val="21"/>
              </w:rPr>
            </w:pPr>
          </w:p>
        </w:tc>
        <w:tc>
          <w:tcPr>
            <w:tcW w:w="0" w:type="auto"/>
            <w:vAlign w:val="center"/>
          </w:tcPr>
          <w:p w14:paraId="19728FB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0" w:type="auto"/>
            <w:vAlign w:val="center"/>
          </w:tcPr>
          <w:p w14:paraId="5AFF2FB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0" w:type="auto"/>
            <w:vAlign w:val="center"/>
          </w:tcPr>
          <w:p w14:paraId="0AD5BAE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单元测验</w:t>
            </w:r>
          </w:p>
        </w:tc>
        <w:tc>
          <w:tcPr>
            <w:tcW w:w="0" w:type="auto"/>
            <w:vAlign w:val="center"/>
          </w:tcPr>
          <w:p w14:paraId="4470C1D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个人展示</w:t>
            </w:r>
          </w:p>
        </w:tc>
        <w:tc>
          <w:tcPr>
            <w:tcW w:w="0" w:type="auto"/>
            <w:vAlign w:val="center"/>
          </w:tcPr>
          <w:p w14:paraId="34C9CB6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0" w:type="auto"/>
          </w:tcPr>
          <w:p w14:paraId="3C8CBD8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自主学习</w:t>
            </w:r>
          </w:p>
        </w:tc>
        <w:tc>
          <w:tcPr>
            <w:tcW w:w="0" w:type="auto"/>
            <w:vMerge w:val="continue"/>
            <w:vAlign w:val="center"/>
          </w:tcPr>
          <w:p w14:paraId="7E50BE95">
            <w:pPr>
              <w:spacing w:line="360" w:lineRule="auto"/>
              <w:jc w:val="center"/>
              <w:rPr>
                <w:rFonts w:hint="eastAsia" w:ascii="宋体" w:hAnsi="宋体" w:eastAsia="宋体" w:cs="Times New Roman"/>
                <w:color w:val="auto"/>
                <w:szCs w:val="21"/>
              </w:rPr>
            </w:pPr>
          </w:p>
        </w:tc>
      </w:tr>
      <w:tr w14:paraId="11028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1939AB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0" w:type="auto"/>
            <w:vAlign w:val="center"/>
          </w:tcPr>
          <w:p w14:paraId="56A3D7C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699604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50E869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94E14B0">
            <w:pPr>
              <w:spacing w:line="360" w:lineRule="auto"/>
              <w:jc w:val="center"/>
              <w:rPr>
                <w:rFonts w:hint="eastAsia" w:ascii="宋体" w:hAnsi="宋体" w:eastAsia="宋体" w:cs="Times New Roman"/>
                <w:color w:val="auto"/>
                <w:szCs w:val="21"/>
              </w:rPr>
            </w:pPr>
          </w:p>
        </w:tc>
        <w:tc>
          <w:tcPr>
            <w:tcW w:w="0" w:type="auto"/>
            <w:vAlign w:val="center"/>
          </w:tcPr>
          <w:p w14:paraId="037C88D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tcPr>
          <w:p w14:paraId="5B9B79D3">
            <w:pPr>
              <w:spacing w:line="360" w:lineRule="auto"/>
              <w:jc w:val="center"/>
              <w:rPr>
                <w:rFonts w:hint="eastAsia" w:ascii="宋体" w:hAnsi="宋体" w:eastAsia="宋体" w:cs="Times New Roman"/>
                <w:color w:val="auto"/>
                <w:szCs w:val="21"/>
              </w:rPr>
            </w:pPr>
          </w:p>
        </w:tc>
        <w:tc>
          <w:tcPr>
            <w:tcW w:w="0" w:type="auto"/>
            <w:vAlign w:val="center"/>
          </w:tcPr>
          <w:p w14:paraId="769D70E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50</w:t>
            </w:r>
          </w:p>
        </w:tc>
      </w:tr>
      <w:tr w14:paraId="122D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8EE91C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0" w:type="auto"/>
            <w:vAlign w:val="center"/>
          </w:tcPr>
          <w:p w14:paraId="635B386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D8F178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586E05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259A0A9">
            <w:pPr>
              <w:spacing w:line="360" w:lineRule="auto"/>
              <w:jc w:val="center"/>
              <w:rPr>
                <w:rFonts w:hint="eastAsia" w:ascii="宋体" w:hAnsi="宋体" w:eastAsia="宋体" w:cs="Times New Roman"/>
                <w:color w:val="auto"/>
                <w:szCs w:val="21"/>
              </w:rPr>
            </w:pPr>
          </w:p>
        </w:tc>
        <w:tc>
          <w:tcPr>
            <w:tcW w:w="0" w:type="auto"/>
            <w:vAlign w:val="center"/>
          </w:tcPr>
          <w:p w14:paraId="13751D3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tcPr>
          <w:p w14:paraId="0EEE3B5F">
            <w:pPr>
              <w:spacing w:line="360" w:lineRule="auto"/>
              <w:jc w:val="center"/>
              <w:rPr>
                <w:rFonts w:hint="eastAsia" w:ascii="宋体" w:hAnsi="宋体" w:eastAsia="宋体" w:cs="Times New Roman"/>
                <w:color w:val="auto"/>
                <w:szCs w:val="21"/>
              </w:rPr>
            </w:pPr>
          </w:p>
        </w:tc>
        <w:tc>
          <w:tcPr>
            <w:tcW w:w="0" w:type="auto"/>
            <w:vAlign w:val="center"/>
          </w:tcPr>
          <w:p w14:paraId="6468591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50</w:t>
            </w:r>
          </w:p>
        </w:tc>
      </w:tr>
      <w:tr w14:paraId="679D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1F03D2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0" w:type="auto"/>
            <w:vAlign w:val="center"/>
          </w:tcPr>
          <w:p w14:paraId="7866FE85">
            <w:pPr>
              <w:spacing w:line="360" w:lineRule="auto"/>
              <w:jc w:val="center"/>
              <w:rPr>
                <w:rFonts w:hint="eastAsia" w:ascii="宋体" w:hAnsi="宋体" w:eastAsia="宋体" w:cs="Times New Roman"/>
                <w:color w:val="auto"/>
                <w:szCs w:val="21"/>
              </w:rPr>
            </w:pPr>
          </w:p>
        </w:tc>
        <w:tc>
          <w:tcPr>
            <w:tcW w:w="0" w:type="auto"/>
            <w:vAlign w:val="center"/>
          </w:tcPr>
          <w:p w14:paraId="223F301A">
            <w:pPr>
              <w:spacing w:line="360" w:lineRule="auto"/>
              <w:jc w:val="center"/>
              <w:rPr>
                <w:rFonts w:hint="eastAsia" w:ascii="宋体" w:hAnsi="宋体" w:eastAsia="宋体" w:cs="Times New Roman"/>
                <w:color w:val="auto"/>
                <w:szCs w:val="21"/>
              </w:rPr>
            </w:pPr>
          </w:p>
        </w:tc>
        <w:tc>
          <w:tcPr>
            <w:tcW w:w="0" w:type="auto"/>
            <w:vAlign w:val="center"/>
          </w:tcPr>
          <w:p w14:paraId="6D2522B2">
            <w:pPr>
              <w:spacing w:line="360" w:lineRule="auto"/>
              <w:jc w:val="center"/>
              <w:rPr>
                <w:rFonts w:hint="eastAsia" w:ascii="宋体" w:hAnsi="宋体" w:eastAsia="宋体" w:cs="Times New Roman"/>
                <w:color w:val="auto"/>
                <w:szCs w:val="21"/>
              </w:rPr>
            </w:pPr>
          </w:p>
        </w:tc>
        <w:tc>
          <w:tcPr>
            <w:tcW w:w="0" w:type="auto"/>
            <w:vAlign w:val="center"/>
          </w:tcPr>
          <w:p w14:paraId="44B0EAEB">
            <w:pPr>
              <w:spacing w:line="360" w:lineRule="auto"/>
              <w:jc w:val="center"/>
              <w:rPr>
                <w:rFonts w:hint="eastAsia" w:ascii="宋体" w:hAnsi="宋体" w:eastAsia="宋体" w:cs="Times New Roman"/>
                <w:color w:val="auto"/>
                <w:szCs w:val="21"/>
              </w:rPr>
            </w:pPr>
          </w:p>
        </w:tc>
        <w:tc>
          <w:tcPr>
            <w:tcW w:w="0" w:type="auto"/>
            <w:vAlign w:val="center"/>
          </w:tcPr>
          <w:p w14:paraId="523114B5">
            <w:pPr>
              <w:spacing w:line="360" w:lineRule="auto"/>
              <w:jc w:val="center"/>
              <w:rPr>
                <w:rFonts w:hint="eastAsia" w:ascii="宋体" w:hAnsi="宋体" w:eastAsia="宋体" w:cs="Times New Roman"/>
                <w:color w:val="auto"/>
                <w:szCs w:val="21"/>
              </w:rPr>
            </w:pPr>
          </w:p>
        </w:tc>
        <w:tc>
          <w:tcPr>
            <w:tcW w:w="0" w:type="auto"/>
          </w:tcPr>
          <w:p w14:paraId="3FF44DB4">
            <w:pPr>
              <w:spacing w:line="360" w:lineRule="auto"/>
              <w:jc w:val="center"/>
              <w:rPr>
                <w:rFonts w:hint="eastAsia" w:ascii="宋体" w:hAnsi="宋体" w:eastAsia="宋体" w:cs="Times New Roman"/>
                <w:color w:val="auto"/>
                <w:szCs w:val="21"/>
              </w:rPr>
            </w:pPr>
          </w:p>
        </w:tc>
        <w:tc>
          <w:tcPr>
            <w:tcW w:w="0" w:type="auto"/>
            <w:vAlign w:val="center"/>
          </w:tcPr>
          <w:p w14:paraId="1A55C61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0F708B2B">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6B97A020">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6700"/>
        <w:gridCol w:w="706"/>
      </w:tblGrid>
      <w:tr w14:paraId="3D5F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Align w:val="center"/>
          </w:tcPr>
          <w:p w14:paraId="5B1DED5F">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700" w:type="dxa"/>
            <w:vAlign w:val="center"/>
          </w:tcPr>
          <w:p w14:paraId="26283D37">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70C1297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5692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Align w:val="center"/>
          </w:tcPr>
          <w:p w14:paraId="1B486E06">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6700" w:type="dxa"/>
            <w:vAlign w:val="center"/>
          </w:tcPr>
          <w:p w14:paraId="44B1902E">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平时作业共3次，每节课都会布置课后作业，每章节结束提交批阅，共批改三次</w:t>
            </w:r>
          </w:p>
        </w:tc>
        <w:tc>
          <w:tcPr>
            <w:tcW w:w="0" w:type="auto"/>
            <w:vAlign w:val="center"/>
          </w:tcPr>
          <w:p w14:paraId="6AF510C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w:t>
            </w:r>
          </w:p>
        </w:tc>
      </w:tr>
      <w:tr w14:paraId="1143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Align w:val="center"/>
          </w:tcPr>
          <w:p w14:paraId="446E7B4D">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课内表现</w:t>
            </w:r>
          </w:p>
        </w:tc>
        <w:tc>
          <w:tcPr>
            <w:tcW w:w="6700" w:type="dxa"/>
            <w:vAlign w:val="center"/>
          </w:tcPr>
          <w:p w14:paraId="5D7D1270">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一是课题考勤情况</w:t>
            </w:r>
            <w:r>
              <w:rPr>
                <w:rFonts w:ascii="宋体" w:hAnsi="宋体" w:eastAsia="宋体" w:cs="宋体"/>
                <w:color w:val="auto"/>
                <w:kern w:val="0"/>
                <w:szCs w:val="21"/>
                <w:lang w:bidi="ar"/>
              </w:rPr>
              <w:t>。</w:t>
            </w:r>
            <w:r>
              <w:rPr>
                <w:rFonts w:hint="eastAsia" w:ascii="Times New Roman" w:hAnsi="Times New Roman" w:eastAsia="宋体" w:cs="Times New Roman"/>
                <w:color w:val="auto"/>
                <w:szCs w:val="21"/>
              </w:rPr>
              <w:t>迟到一次扣2分，无故缺席一次扣5分，累计达</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次以上（不含</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次）取消课程成绩。</w:t>
            </w:r>
          </w:p>
          <w:p w14:paraId="223927E2">
            <w:pPr>
              <w:widowControl/>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二是</w:t>
            </w:r>
            <w:r>
              <w:rPr>
                <w:rFonts w:ascii="宋体" w:hAnsi="宋体" w:eastAsia="宋体" w:cs="宋体"/>
                <w:color w:val="auto"/>
                <w:kern w:val="0"/>
                <w:szCs w:val="21"/>
                <w:lang w:bidi="ar"/>
              </w:rPr>
              <w:t>课堂参与</w:t>
            </w:r>
            <w:r>
              <w:rPr>
                <w:rFonts w:hint="eastAsia" w:ascii="宋体" w:hAnsi="宋体" w:eastAsia="宋体" w:cs="宋体"/>
                <w:color w:val="auto"/>
                <w:kern w:val="0"/>
                <w:szCs w:val="21"/>
                <w:lang w:bidi="ar"/>
              </w:rPr>
              <w:t>情况。</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表现良好，按照对应的课程目标及权重给予评定</w:t>
            </w:r>
            <w:r>
              <w:rPr>
                <w:rFonts w:hint="eastAsia" w:ascii="宋体" w:hAnsi="宋体" w:eastAsia="宋体" w:cs="宋体"/>
                <w:color w:val="auto"/>
                <w:kern w:val="0"/>
                <w:szCs w:val="21"/>
                <w:lang w:bidi="ar"/>
              </w:rPr>
              <w:t>。</w:t>
            </w:r>
          </w:p>
        </w:tc>
        <w:tc>
          <w:tcPr>
            <w:tcW w:w="0" w:type="auto"/>
            <w:vAlign w:val="center"/>
          </w:tcPr>
          <w:p w14:paraId="05BBD0B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5EB2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Align w:val="center"/>
          </w:tcPr>
          <w:p w14:paraId="66DE25AA">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课堂测验</w:t>
            </w:r>
          </w:p>
        </w:tc>
        <w:tc>
          <w:tcPr>
            <w:tcW w:w="6700" w:type="dxa"/>
            <w:vAlign w:val="center"/>
          </w:tcPr>
          <w:p w14:paraId="7357D108">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课堂随机抽查学生练习，主要考查基础知识和基本理论的掌握，以题目的正确率为得分依据。</w:t>
            </w:r>
          </w:p>
        </w:tc>
        <w:tc>
          <w:tcPr>
            <w:tcW w:w="0" w:type="auto"/>
            <w:vAlign w:val="center"/>
          </w:tcPr>
          <w:p w14:paraId="0AFB1DC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1E13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Align w:val="center"/>
          </w:tcPr>
          <w:p w14:paraId="02129C40">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6700" w:type="dxa"/>
            <w:vAlign w:val="center"/>
          </w:tcPr>
          <w:p w14:paraId="1F0105DD">
            <w:pPr>
              <w:spacing w:line="264"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t>试卷题型包括</w:t>
            </w:r>
            <w:r>
              <w:rPr>
                <w:rFonts w:hint="eastAsia" w:ascii="Times New Roman" w:hAnsi="Times New Roman" w:eastAsia="宋体" w:cs="Times New Roman"/>
                <w:color w:val="auto"/>
                <w:szCs w:val="21"/>
              </w:rPr>
              <w:t>填空题、选择题</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计算题、证明题</w:t>
            </w:r>
            <w:r>
              <w:rPr>
                <w:rFonts w:ascii="Times New Roman" w:hAnsi="Times New Roman" w:eastAsia="宋体" w:cs="Times New Roman"/>
                <w:color w:val="auto"/>
                <w:szCs w:val="21"/>
              </w:rPr>
              <w:t>等，以卷面成绩的50%计入课程总成绩。其中考核</w:t>
            </w:r>
            <w:r>
              <w:rPr>
                <w:rFonts w:hint="eastAsia" w:ascii="Times New Roman" w:hAnsi="Times New Roman" w:eastAsia="宋体" w:cs="Times New Roman"/>
                <w:color w:val="auto"/>
                <w:szCs w:val="21"/>
              </w:rPr>
              <w:t>向量代数的题型占3</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%；考核平面与直线的题型占</w:t>
            </w:r>
            <w:r>
              <w:rPr>
                <w:rFonts w:ascii="Times New Roman" w:hAnsi="Times New Roman" w:eastAsia="宋体" w:cs="Times New Roman"/>
                <w:color w:val="auto"/>
                <w:szCs w:val="21"/>
              </w:rPr>
              <w:t>30</w:t>
            </w:r>
            <w:r>
              <w:rPr>
                <w:rFonts w:hint="eastAsia" w:ascii="Times New Roman" w:hAnsi="Times New Roman" w:eastAsia="宋体" w:cs="Times New Roman"/>
                <w:color w:val="auto"/>
                <w:szCs w:val="21"/>
              </w:rPr>
              <w:t>%；考核特殊曲面与二次曲面的题型占</w:t>
            </w:r>
            <w:r>
              <w:rPr>
                <w:rFonts w:ascii="Times New Roman" w:hAnsi="Times New Roman" w:eastAsia="宋体" w:cs="Times New Roman"/>
                <w:color w:val="auto"/>
                <w:szCs w:val="21"/>
              </w:rPr>
              <w:t>30</w:t>
            </w:r>
            <w:r>
              <w:rPr>
                <w:rFonts w:hint="eastAsia" w:ascii="Times New Roman" w:hAnsi="Times New Roman" w:eastAsia="宋体" w:cs="Times New Roman"/>
                <w:color w:val="auto"/>
                <w:szCs w:val="21"/>
              </w:rPr>
              <w:t>%；考核学生综合运用知识解决问题的题型占1</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w:t>
            </w:r>
          </w:p>
        </w:tc>
        <w:tc>
          <w:tcPr>
            <w:tcW w:w="0" w:type="auto"/>
            <w:vAlign w:val="center"/>
          </w:tcPr>
          <w:p w14:paraId="054AB52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7346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16" w:type="dxa"/>
            <w:vAlign w:val="center"/>
          </w:tcPr>
          <w:p w14:paraId="62EB1E7D">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6700" w:type="dxa"/>
            <w:vAlign w:val="center"/>
          </w:tcPr>
          <w:p w14:paraId="70FD7F84">
            <w:pPr>
              <w:jc w:val="left"/>
              <w:rPr>
                <w:rFonts w:ascii="Times New Roman" w:hAnsi="Times New Roman" w:eastAsia="宋体" w:cs="Times New Roman"/>
                <w:color w:val="auto"/>
                <w:szCs w:val="21"/>
              </w:rPr>
            </w:pPr>
          </w:p>
        </w:tc>
        <w:tc>
          <w:tcPr>
            <w:tcW w:w="0" w:type="auto"/>
            <w:vAlign w:val="center"/>
          </w:tcPr>
          <w:p w14:paraId="4811F08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652B5F47">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4BF30C05">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462104DE">
      <w:pPr>
        <w:spacing w:before="156" w:beforeLines="50" w:line="360" w:lineRule="auto"/>
        <w:ind w:firstLine="420" w:firstLineChars="200"/>
        <w:jc w:val="left"/>
        <w:rPr>
          <w:rFonts w:ascii="Times New Roman" w:hAnsi="Times New Roman" w:eastAsia="宋体" w:cs="Times New Roman"/>
          <w:b/>
          <w:color w:val="auto"/>
          <w:sz w:val="24"/>
        </w:rPr>
      </w:pPr>
      <w:r>
        <w:rPr>
          <w:rFonts w:ascii="宋体" w:hAnsi="宋体" w:eastAsia="宋体" w:cs="Times New Roman"/>
          <w:color w:val="auto"/>
          <w:szCs w:val="21"/>
        </w:rPr>
        <w:object>
          <v:shape id="_x0000_i1058" o:spt="75" type="#_x0000_t75" style="height:25.1pt;width:405.45pt;" o:ole="t" filled="f" o:preferrelative="t" stroked="f" coordsize="21600,21600">
            <v:path/>
            <v:fill on="f" focussize="0,0"/>
            <v:stroke on="f" joinstyle="miter"/>
            <v:imagedata r:id="rId10" o:title=""/>
            <o:lock v:ext="edit" aspectratio="t"/>
            <w10:wrap type="none"/>
            <w10:anchorlock/>
          </v:shape>
          <o:OLEObject Type="Embed" ProgID="Equation.3" ShapeID="_x0000_i1058" DrawAspect="Content" ObjectID="_1468075757" r:id="rId44">
            <o:LockedField>false</o:LockedField>
          </o:OLEObject>
        </w:object>
      </w:r>
      <w:r>
        <w:rPr>
          <w:rFonts w:hint="eastAsia" w:ascii="Calibri" w:hAnsi="Calibri" w:eastAsia="宋体" w:cs="Times New Roman"/>
          <w:b/>
          <w:bCs/>
          <w:color w:val="auto"/>
          <w:position w:val="-26"/>
          <w:sz w:val="24"/>
          <w:lang w:val="en-US" w:eastAsia="zh-CN"/>
        </w:rPr>
        <w:t>五、课程实践（利用第二课堂，不占总学时）</w:t>
      </w:r>
    </w:p>
    <w:p w14:paraId="7BC48572">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本课程为理论教学课程，以理论教学为题，在课程教学中培养学生</w:t>
      </w:r>
      <w:r>
        <w:rPr>
          <w:rFonts w:ascii="宋体" w:hAnsi="宋体" w:eastAsia="宋体" w:cs="Times New Roman"/>
          <w:color w:val="auto"/>
          <w:szCs w:val="21"/>
        </w:rPr>
        <w:t>运用</w:t>
      </w:r>
      <w:r>
        <w:rPr>
          <w:rFonts w:hint="eastAsia" w:ascii="宋体" w:hAnsi="宋体" w:eastAsia="宋体" w:cs="Times New Roman"/>
          <w:color w:val="auto"/>
          <w:szCs w:val="21"/>
        </w:rPr>
        <w:t>空间解析几何的知识、理论、方法</w:t>
      </w:r>
      <w:r>
        <w:rPr>
          <w:rFonts w:ascii="宋体" w:hAnsi="宋体" w:eastAsia="宋体" w:cs="Times New Roman"/>
          <w:color w:val="auto"/>
          <w:szCs w:val="21"/>
        </w:rPr>
        <w:t>解决</w:t>
      </w:r>
      <w:r>
        <w:rPr>
          <w:rFonts w:hint="eastAsia" w:ascii="宋体" w:hAnsi="宋体" w:eastAsia="宋体" w:cs="Times New Roman"/>
          <w:color w:val="auto"/>
          <w:szCs w:val="21"/>
        </w:rPr>
        <w:t>相关的</w:t>
      </w:r>
      <w:r>
        <w:rPr>
          <w:rFonts w:ascii="宋体" w:hAnsi="宋体" w:eastAsia="宋体" w:cs="Times New Roman"/>
          <w:color w:val="auto"/>
          <w:szCs w:val="21"/>
        </w:rPr>
        <w:t>实际</w:t>
      </w:r>
      <w:r>
        <w:rPr>
          <w:rFonts w:hint="eastAsia" w:ascii="宋体" w:hAnsi="宋体" w:eastAsia="宋体" w:cs="Times New Roman"/>
          <w:color w:val="auto"/>
          <w:szCs w:val="21"/>
        </w:rPr>
        <w:t>应用</w:t>
      </w:r>
      <w:r>
        <w:rPr>
          <w:rFonts w:ascii="宋体" w:hAnsi="宋体" w:eastAsia="宋体" w:cs="Times New Roman"/>
          <w:color w:val="auto"/>
          <w:szCs w:val="21"/>
        </w:rPr>
        <w:t>问题</w:t>
      </w:r>
      <w:r>
        <w:rPr>
          <w:rFonts w:hint="eastAsia" w:ascii="宋体" w:hAnsi="宋体" w:eastAsia="宋体"/>
          <w:color w:val="auto"/>
          <w:szCs w:val="21"/>
        </w:rPr>
        <w:t>，不包含实践部分。</w:t>
      </w:r>
    </w:p>
    <w:p w14:paraId="3D406D96">
      <w:pPr>
        <w:spacing w:line="360" w:lineRule="auto"/>
        <w:jc w:val="left"/>
        <w:rPr>
          <w:rFonts w:hint="eastAsia" w:ascii="Calibri" w:hAnsi="Calibri" w:eastAsia="宋体" w:cs="Times New Roman"/>
          <w:b/>
          <w:bCs/>
          <w:color w:val="auto"/>
          <w:position w:val="-26"/>
          <w:sz w:val="24"/>
          <w:lang w:val="en-US" w:eastAsia="zh-CN"/>
        </w:rPr>
      </w:pPr>
      <w:r>
        <w:rPr>
          <w:rFonts w:hint="eastAsia" w:ascii="Calibri" w:hAnsi="Calibri" w:eastAsia="宋体" w:cs="Times New Roman"/>
          <w:b/>
          <w:bCs/>
          <w:color w:val="auto"/>
          <w:position w:val="-26"/>
          <w:sz w:val="24"/>
          <w:lang w:val="en-US" w:eastAsia="zh-CN"/>
        </w:rPr>
        <w:t>六、有关说明</w:t>
      </w:r>
    </w:p>
    <w:p w14:paraId="6BB8E10A">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2E9E3CC3">
      <w:pPr>
        <w:spacing w:line="360" w:lineRule="auto"/>
        <w:ind w:firstLine="420" w:firstLineChars="200"/>
        <w:jc w:val="left"/>
        <w:rPr>
          <w:rFonts w:ascii="Times New Roman" w:hAnsi="Times New Roman" w:eastAsia="宋体" w:cs="Times New Roman"/>
          <w:b/>
          <w:color w:val="auto"/>
          <w:szCs w:val="21"/>
        </w:rPr>
      </w:pPr>
      <w:r>
        <w:rPr>
          <w:rFonts w:hint="eastAsia" w:ascii="Times New Roman" w:hAnsi="Times New Roman" w:eastAsia="宋体" w:cs="Times New Roman"/>
          <w:color w:val="auto"/>
          <w:szCs w:val="21"/>
        </w:rPr>
        <w:t>根据学生课堂教学中的反应、课后反馈、作业质量、答卷情况，以及领导、督导、教师同行等的听课情况，及时发现和改进教学中的不足之处，确保相应毕业要求指标点达成。</w:t>
      </w:r>
    </w:p>
    <w:p w14:paraId="078DCFB2">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6665A4BF">
      <w:pPr>
        <w:spacing w:line="336"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《空间解析几何》（第四版） 高红铸</w:t>
      </w:r>
      <w:r>
        <w:rPr>
          <w:rFonts w:ascii="Times New Roman" w:hAnsi="Times New Roman" w:eastAsia="宋体" w:cs="Times New Roman"/>
          <w:bCs/>
          <w:color w:val="auto"/>
          <w:szCs w:val="21"/>
        </w:rPr>
        <w:t xml:space="preserve"> 北京师范大学出版社</w:t>
      </w:r>
      <w:r>
        <w:rPr>
          <w:rFonts w:hint="eastAsia" w:ascii="Times New Roman" w:hAnsi="Times New Roman" w:eastAsia="宋体" w:cs="Times New Roman"/>
          <w:bCs/>
          <w:color w:val="auto"/>
          <w:szCs w:val="21"/>
        </w:rPr>
        <w:t>，2</w:t>
      </w:r>
      <w:r>
        <w:rPr>
          <w:rFonts w:ascii="Times New Roman" w:hAnsi="Times New Roman" w:eastAsia="宋体" w:cs="Times New Roman"/>
          <w:bCs/>
          <w:color w:val="auto"/>
          <w:szCs w:val="21"/>
        </w:rPr>
        <w:t>01</w:t>
      </w:r>
      <w:r>
        <w:rPr>
          <w:rFonts w:hint="eastAsia" w:ascii="Times New Roman" w:hAnsi="Times New Roman" w:eastAsia="宋体" w:cs="Times New Roman"/>
          <w:bCs/>
          <w:color w:val="auto"/>
          <w:szCs w:val="21"/>
        </w:rPr>
        <w:t xml:space="preserve">8.（普通高等教育“十一五”国家级规划教材）    </w:t>
      </w:r>
    </w:p>
    <w:p w14:paraId="646E1F5B">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6FB5DC71">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1．吕林根 解析几何（第四版）   北京：高等教育出版社</w:t>
      </w:r>
    </w:p>
    <w:p w14:paraId="2ED6DAF4">
      <w:pPr>
        <w:spacing w:line="336" w:lineRule="auto"/>
        <w:ind w:firstLine="420" w:firstLineChars="200"/>
        <w:rPr>
          <w:color w:val="auto"/>
        </w:rPr>
      </w:pPr>
      <w:r>
        <w:rPr>
          <w:rFonts w:hint="eastAsia" w:ascii="Times New Roman" w:hAnsi="Times New Roman" w:eastAsia="宋体" w:cs="Times New Roman"/>
          <w:bCs/>
          <w:color w:val="auto"/>
          <w:szCs w:val="21"/>
        </w:rPr>
        <w:t>2．朱鼎新等 解析几何（第四版） 北京：北京师范大学出版社</w:t>
      </w:r>
    </w:p>
    <w:p w14:paraId="039A9EE2">
      <w:pPr>
        <w:keepNext w:val="0"/>
        <w:keepLines w:val="0"/>
        <w:pageBreakBefore w:val="0"/>
        <w:widowControl w:val="0"/>
        <w:kinsoku/>
        <w:overflowPunct/>
        <w:topLinePunct w:val="0"/>
        <w:autoSpaceDE/>
        <w:autoSpaceDN/>
        <w:bidi w:val="0"/>
        <w:adjustRightInd/>
        <w:snapToGrid/>
        <w:spacing w:line="360"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4"/>
        </w:rPr>
        <w:t xml:space="preserve">                             </w:t>
      </w:r>
      <w:r>
        <w:rPr>
          <w:rFonts w:hint="eastAsia" w:ascii="Times New Roman" w:hAnsi="Times New Roman" w:eastAsia="宋体" w:cs="Times New Roman"/>
          <w:color w:val="auto"/>
          <w:sz w:val="21"/>
          <w:szCs w:val="21"/>
        </w:rPr>
        <w:t xml:space="preserve">       执 笔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雷玉柱</w:t>
      </w:r>
    </w:p>
    <w:p w14:paraId="5DCDE837">
      <w:pPr>
        <w:keepNext w:val="0"/>
        <w:keepLines w:val="0"/>
        <w:pageBreakBefore w:val="0"/>
        <w:widowControl w:val="0"/>
        <w:kinsoku/>
        <w:wordWrap w:val="0"/>
        <w:overflowPunct/>
        <w:topLinePunct w:val="0"/>
        <w:autoSpaceDE/>
        <w:autoSpaceDN/>
        <w:bidi w:val="0"/>
        <w:adjustRightInd/>
        <w:snapToGrid/>
        <w:spacing w:line="360"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 审 定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王  健</w:t>
      </w:r>
    </w:p>
    <w:p w14:paraId="3F5274F3">
      <w:pPr>
        <w:keepNext w:val="0"/>
        <w:keepLines w:val="0"/>
        <w:pageBreakBefore w:val="0"/>
        <w:widowControl w:val="0"/>
        <w:kinsoku/>
        <w:overflowPunct/>
        <w:topLinePunct w:val="0"/>
        <w:autoSpaceDE/>
        <w:autoSpaceDN/>
        <w:bidi w:val="0"/>
        <w:adjustRightInd/>
        <w:snapToGrid/>
        <w:spacing w:line="360"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                                  审 批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张志欣</w:t>
      </w:r>
    </w:p>
    <w:p w14:paraId="595D687D">
      <w:pPr>
        <w:keepNext w:val="0"/>
        <w:keepLines w:val="0"/>
        <w:pageBreakBefore w:val="0"/>
        <w:widowControl w:val="0"/>
        <w:kinsoku/>
        <w:overflowPunct/>
        <w:topLinePunct w:val="0"/>
        <w:autoSpaceDE/>
        <w:autoSpaceDN/>
        <w:bidi w:val="0"/>
        <w:adjustRightInd/>
        <w:snapToGrid/>
        <w:spacing w:line="360" w:lineRule="auto"/>
        <w:ind w:right="0"/>
        <w:jc w:val="righ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lang w:eastAsia="zh-CN"/>
        </w:rPr>
        <w:t>批准时间：2025年7月1日</w:t>
      </w:r>
    </w:p>
    <w:p w14:paraId="6F7E77EC">
      <w:pPr>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61CB83E1">
      <w:pPr>
        <w:spacing w:line="360" w:lineRule="auto"/>
        <w:jc w:val="center"/>
        <w:outlineLvl w:val="0"/>
        <w:rPr>
          <w:rFonts w:hint="eastAsia" w:ascii="Times New Roman" w:hAnsi="Times New Roman" w:eastAsia="宋体" w:cs="Times New Roman"/>
          <w:b/>
          <w:color w:val="auto"/>
          <w:sz w:val="44"/>
          <w:szCs w:val="44"/>
        </w:rPr>
      </w:pPr>
      <w:bookmarkStart w:id="368" w:name="_Toc87705544"/>
      <w:bookmarkStart w:id="369" w:name="_Toc16729"/>
      <w:bookmarkStart w:id="370" w:name="_Toc29395591"/>
      <w:bookmarkStart w:id="371" w:name="_Toc19729787"/>
      <w:bookmarkStart w:id="372" w:name="_Toc22795"/>
      <w:bookmarkStart w:id="373" w:name="_Toc87724661"/>
      <w:bookmarkStart w:id="374" w:name="_Toc19730882"/>
      <w:r>
        <w:rPr>
          <w:rFonts w:hint="eastAsia" w:ascii="Times New Roman" w:hAnsi="Times New Roman" w:eastAsia="宋体" w:cs="Times New Roman"/>
          <w:b/>
          <w:color w:val="auto"/>
          <w:sz w:val="44"/>
          <w:szCs w:val="44"/>
        </w:rPr>
        <w:t>《高等代数I》课程教学大纲</w:t>
      </w:r>
      <w:bookmarkEnd w:id="368"/>
      <w:bookmarkEnd w:id="369"/>
      <w:bookmarkEnd w:id="370"/>
      <w:bookmarkEnd w:id="371"/>
      <w:bookmarkEnd w:id="372"/>
      <w:bookmarkEnd w:id="373"/>
      <w:bookmarkEnd w:id="374"/>
    </w:p>
    <w:p w14:paraId="578F4559">
      <w:pPr>
        <w:spacing w:line="312" w:lineRule="auto"/>
        <w:jc w:val="center"/>
        <w:rPr>
          <w:rFonts w:ascii="Times New Roman" w:hAnsi="Times New Roman" w:eastAsia="宋体" w:cs="Times New Roman"/>
          <w:b/>
          <w:bCs/>
          <w:color w:val="auto"/>
          <w:sz w:val="30"/>
          <w:szCs w:val="30"/>
        </w:rPr>
      </w:pPr>
      <w:r>
        <w:rPr>
          <w:rFonts w:ascii="Times New Roman" w:hAnsi="Times New Roman" w:eastAsia="宋体" w:cs="Times New Roman"/>
          <w:b/>
          <w:bCs/>
          <w:color w:val="auto"/>
          <w:sz w:val="30"/>
          <w:szCs w:val="30"/>
        </w:rPr>
        <w:t>（Higher Algebra I）</w:t>
      </w:r>
    </w:p>
    <w:p w14:paraId="3AEA0BBF">
      <w:pPr>
        <w:spacing w:line="360" w:lineRule="auto"/>
        <w:jc w:val="center"/>
        <w:rPr>
          <w:rFonts w:ascii="Times New Roman" w:hAnsi="Times New Roman" w:eastAsia="宋体" w:cs="Times New Roman"/>
          <w:bCs/>
          <w:color w:val="auto"/>
          <w:sz w:val="20"/>
          <w:szCs w:val="20"/>
        </w:rPr>
      </w:pPr>
    </w:p>
    <w:p w14:paraId="3FD16AF7">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课程名称：高等代数I</w:t>
      </w:r>
    </w:p>
    <w:p w14:paraId="600151A2">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课程代码：0821011</w:t>
      </w:r>
    </w:p>
    <w:p w14:paraId="2DA58DC4">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分：3</w:t>
      </w:r>
    </w:p>
    <w:p w14:paraId="433C70D8">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时：48</w:t>
      </w:r>
    </w:p>
    <w:p w14:paraId="00C1E3BE">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先修课程：数学分析</w:t>
      </w:r>
    </w:p>
    <w:p w14:paraId="294A9843">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适用专业：小学教育（理）</w:t>
      </w:r>
    </w:p>
    <w:p w14:paraId="3B626C4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一、课程简介</w:t>
      </w:r>
    </w:p>
    <w:p w14:paraId="49E0AAD5">
      <w:pPr>
        <w:spacing w:line="360" w:lineRule="auto"/>
        <w:ind w:firstLine="420" w:firstLineChars="200"/>
        <w:jc w:val="left"/>
        <w:rPr>
          <w:rFonts w:hint="eastAsia" w:ascii="宋体" w:hAnsi="宋体" w:eastAsia="宋体" w:cs="Times New Roman"/>
          <w:b/>
          <w:color w:val="auto"/>
          <w:szCs w:val="21"/>
        </w:rPr>
      </w:pPr>
      <w:r>
        <w:rPr>
          <w:rFonts w:hint="eastAsia" w:ascii="Calibri" w:hAnsi="Calibri" w:eastAsia="宋体" w:cs="Times New Roman"/>
          <w:color w:val="auto"/>
          <w:kern w:val="0"/>
          <w:szCs w:val="21"/>
        </w:rPr>
        <w:t>本课程是小学教育（理）专业的一门重要基础课。通过本课程的学习，使学生系统地获得高等代数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4B06970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二、课程目标</w:t>
      </w:r>
    </w:p>
    <w:p w14:paraId="56DCC5B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6E9A56C5">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1.</w:t>
      </w:r>
      <w:r>
        <w:rPr>
          <w:rFonts w:hint="eastAsia" w:ascii="Times New Roman" w:hAnsi="Times New Roman" w:eastAsia="宋体" w:cs="Times New Roman"/>
          <w:b/>
          <w:color w:val="auto"/>
          <w:szCs w:val="21"/>
        </w:rPr>
        <w:t xml:space="preserve"> </w:t>
      </w:r>
      <w:r>
        <w:rPr>
          <w:rFonts w:hint="eastAsia" w:ascii="Times New Roman" w:hAnsi="Times New Roman" w:eastAsia="宋体" w:cs="Times New Roman"/>
          <w:color w:val="auto"/>
          <w:szCs w:val="21"/>
        </w:rPr>
        <w:t>能够具有一定的抽象概括、逻辑推理和运算能力。</w:t>
      </w:r>
    </w:p>
    <w:p w14:paraId="31FFBA7B">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目标2</w:t>
      </w:r>
      <w:r>
        <w:rPr>
          <w:rFonts w:ascii="Times New Roman" w:hAnsi="Times New Roman" w:eastAsia="宋体" w:cs="Times New Roman"/>
          <w:b/>
          <w:color w:val="auto"/>
          <w:szCs w:val="21"/>
        </w:rPr>
        <w:t xml:space="preserve">. </w:t>
      </w:r>
      <w:r>
        <w:rPr>
          <w:rFonts w:hint="eastAsia" w:ascii="Times New Roman" w:hAnsi="Times New Roman" w:eastAsia="宋体" w:cs="Times New Roman"/>
          <w:color w:val="auto"/>
          <w:szCs w:val="21"/>
        </w:rPr>
        <w:t>能够获得课程基本概念与性质，以及本课程要求的计算方法。</w:t>
      </w:r>
    </w:p>
    <w:p w14:paraId="3AA1BE5A">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目标3</w:t>
      </w:r>
      <w:r>
        <w:rPr>
          <w:rFonts w:hint="eastAsia" w:ascii="Times New Roman" w:hAnsi="Times New Roman" w:eastAsia="宋体" w:cs="Times New Roman"/>
          <w:b/>
          <w:color w:val="auto"/>
          <w:kern w:val="0"/>
          <w:szCs w:val="21"/>
        </w:rPr>
        <w:t>．</w:t>
      </w:r>
      <w:r>
        <w:rPr>
          <w:rFonts w:hint="eastAsia" w:ascii="Times New Roman" w:hAnsi="Times New Roman" w:eastAsia="宋体" w:cs="Times New Roman"/>
          <w:color w:val="auto"/>
          <w:szCs w:val="21"/>
        </w:rPr>
        <w:t>能够具有一定的数学思维与分析能力。</w:t>
      </w:r>
    </w:p>
    <w:p w14:paraId="6A1048FA">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88F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DCC8733">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5688" w:type="dxa"/>
            <w:vAlign w:val="center"/>
          </w:tcPr>
          <w:p w14:paraId="7A6B63F9">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04E74D5C">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62F6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Merge w:val="restart"/>
            <w:vAlign w:val="center"/>
          </w:tcPr>
          <w:p w14:paraId="1C47C079">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毕业要求3学科素养</w:t>
            </w:r>
          </w:p>
        </w:tc>
        <w:tc>
          <w:tcPr>
            <w:tcW w:w="5688" w:type="dxa"/>
            <w:vAlign w:val="center"/>
          </w:tcPr>
          <w:p w14:paraId="03E6E335">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指标点3-1：【通识知识广博】具有小学教育本科专业相应的自然科学和人文社会科学知识素养。</w:t>
            </w:r>
          </w:p>
        </w:tc>
        <w:tc>
          <w:tcPr>
            <w:tcW w:w="1191" w:type="dxa"/>
            <w:vAlign w:val="center"/>
          </w:tcPr>
          <w:p w14:paraId="4BA70EFE">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课程目标1</w:t>
            </w:r>
          </w:p>
        </w:tc>
      </w:tr>
      <w:tr w14:paraId="5F9F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Merge w:val="continue"/>
            <w:vAlign w:val="center"/>
          </w:tcPr>
          <w:p w14:paraId="38451049">
            <w:pPr>
              <w:spacing w:line="276" w:lineRule="auto"/>
              <w:jc w:val="left"/>
              <w:rPr>
                <w:rFonts w:ascii="Times New Roman" w:hAnsi="Times New Roman" w:eastAsia="宋体" w:cs="Times New Roman"/>
                <w:color w:val="auto"/>
                <w:szCs w:val="21"/>
              </w:rPr>
            </w:pPr>
          </w:p>
        </w:tc>
        <w:tc>
          <w:tcPr>
            <w:tcW w:w="5688" w:type="dxa"/>
            <w:vAlign w:val="center"/>
          </w:tcPr>
          <w:p w14:paraId="4C8E9BC8">
            <w:pPr>
              <w:spacing w:line="276" w:lineRule="auto"/>
              <w:jc w:val="left"/>
              <w:rPr>
                <w:rFonts w:ascii="Times New Roman" w:hAnsi="Times New Roman" w:eastAsia="宋体" w:cs="Times New Roman"/>
                <w:color w:val="auto"/>
                <w:szCs w:val="21"/>
              </w:rPr>
            </w:pPr>
            <w:r>
              <w:rPr>
                <w:rFonts w:hint="eastAsia" w:ascii="宋体" w:hAnsi="宋体" w:eastAsia="宋体" w:cs="Times New Roman"/>
                <w:color w:val="auto"/>
                <w:spacing w:val="2"/>
                <w:kern w:val="0"/>
                <w:szCs w:val="21"/>
              </w:rPr>
              <w:t>指标点3-2：【学科知识扎实】具有学科专业能力，掌握小学数学学科的基本知识、原理和技能。熟悉小学科学的知识体系，掌握小学科学的基本知识、原理和技能。</w:t>
            </w:r>
          </w:p>
        </w:tc>
        <w:tc>
          <w:tcPr>
            <w:tcW w:w="1191" w:type="dxa"/>
            <w:vAlign w:val="center"/>
          </w:tcPr>
          <w:p w14:paraId="15FB2AA4">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课程目标2</w:t>
            </w:r>
          </w:p>
        </w:tc>
      </w:tr>
      <w:tr w14:paraId="2781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60C1341">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毕业要求6综合育人</w:t>
            </w:r>
          </w:p>
        </w:tc>
        <w:tc>
          <w:tcPr>
            <w:tcW w:w="5688" w:type="dxa"/>
            <w:vAlign w:val="center"/>
          </w:tcPr>
          <w:p w14:paraId="184B53D2">
            <w:pPr>
              <w:spacing w:line="276" w:lineRule="auto"/>
              <w:jc w:val="left"/>
              <w:rPr>
                <w:rFonts w:ascii="Times New Roman" w:hAnsi="Times New Roman" w:eastAsia="宋体" w:cs="Times New Roman"/>
                <w:color w:val="auto"/>
                <w:szCs w:val="21"/>
              </w:rPr>
            </w:pPr>
            <w:r>
              <w:rPr>
                <w:rFonts w:hint="eastAsia" w:ascii="宋体" w:hAnsi="宋体" w:eastAsia="宋体" w:cs="Times New Roman"/>
                <w:color w:val="auto"/>
                <w:spacing w:val="2"/>
                <w:kern w:val="0"/>
                <w:szCs w:val="21"/>
              </w:rPr>
              <w:t>指标点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191" w:type="dxa"/>
            <w:vAlign w:val="center"/>
          </w:tcPr>
          <w:p w14:paraId="1CDB6367">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课程目标3</w:t>
            </w:r>
          </w:p>
        </w:tc>
      </w:tr>
    </w:tbl>
    <w:p w14:paraId="1F6F107E">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02D88672">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旨在将专业知识与价值引领深度融合。通过讲解代数理论发展历程，展现数学家追求真理、攻坚克难的科学精神，培养学生勇于探索的创新意识；在矩阵变换、线性方程组求解等内容中，引导学生领悟数学的逻辑严密性与结构之美，树立严谨治学态度；结合代数在工程、经济等领域的应用实例，增强学生运用数学解决实际问题的使命感，激发科技报国情怀；通过小组协作探究代数问题，培养团队合作精神与责任担当，助力学生成长为德才兼备、全面发展的新时代人才。</w:t>
      </w:r>
    </w:p>
    <w:p w14:paraId="731589B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3590"/>
        <w:gridCol w:w="1134"/>
        <w:gridCol w:w="2108"/>
        <w:gridCol w:w="823"/>
        <w:gridCol w:w="438"/>
      </w:tblGrid>
      <w:tr w14:paraId="4DE6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C5016AE">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4782E0DC">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3590" w:type="dxa"/>
            <w:vAlign w:val="center"/>
          </w:tcPr>
          <w:p w14:paraId="02F934FD">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34" w:type="dxa"/>
            <w:vAlign w:val="center"/>
          </w:tcPr>
          <w:p w14:paraId="2D7271F4">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1A8A5F48">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2108" w:type="dxa"/>
            <w:vAlign w:val="center"/>
          </w:tcPr>
          <w:p w14:paraId="49761C21">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823" w:type="dxa"/>
            <w:vAlign w:val="center"/>
          </w:tcPr>
          <w:p w14:paraId="5322090F">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5BC273F1">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72DA1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9C0C161">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1.多项式</w:t>
            </w:r>
          </w:p>
        </w:tc>
        <w:tc>
          <w:tcPr>
            <w:tcW w:w="3590" w:type="dxa"/>
            <w:vAlign w:val="center"/>
          </w:tcPr>
          <w:p w14:paraId="62C76DA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数的基本知识；一元多项式的定义及有关概念；多项式的带余除法、整除的定义及基本性质；最大公因式及其求法；不可约多项式的定义及基本性质，多项式因式分解定理；多项式的重因式及多项式的互质；多项式的标准分解式；特殊域上的多项式。</w:t>
            </w:r>
          </w:p>
          <w:p w14:paraId="17C630C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重点难点：</w:t>
            </w:r>
          </w:p>
          <w:p w14:paraId="29491F7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多项式的整除，最大公因式，因式分解定理。</w:t>
            </w:r>
          </w:p>
        </w:tc>
        <w:tc>
          <w:tcPr>
            <w:tcW w:w="1134" w:type="dxa"/>
            <w:vAlign w:val="center"/>
          </w:tcPr>
          <w:p w14:paraId="75494A1B">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2108" w:type="dxa"/>
            <w:vAlign w:val="center"/>
          </w:tcPr>
          <w:p w14:paraId="17ACF64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（1）理解一元多项式的概念；</w:t>
            </w:r>
          </w:p>
          <w:p w14:paraId="616FEC9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（2）掌握多项式的各种运算；</w:t>
            </w:r>
          </w:p>
          <w:p w14:paraId="1DD5041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（3）会将多项式在指定域上进行因式分解。</w:t>
            </w:r>
          </w:p>
        </w:tc>
        <w:tc>
          <w:tcPr>
            <w:tcW w:w="823" w:type="dxa"/>
            <w:vAlign w:val="center"/>
          </w:tcPr>
          <w:p w14:paraId="100A19D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讲授</w:t>
            </w:r>
          </w:p>
        </w:tc>
        <w:tc>
          <w:tcPr>
            <w:tcW w:w="438" w:type="dxa"/>
            <w:vAlign w:val="center"/>
          </w:tcPr>
          <w:p w14:paraId="6E8EAEF0">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14</w:t>
            </w:r>
          </w:p>
        </w:tc>
      </w:tr>
      <w:tr w14:paraId="07ED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3F88A83">
            <w:pPr>
              <w:spacing w:line="264" w:lineRule="auto"/>
              <w:jc w:val="center"/>
              <w:rPr>
                <w:rFonts w:hint="eastAsia" w:ascii="宋体" w:hAnsi="宋体" w:eastAsia="宋体" w:cs="Times New Roman"/>
                <w:color w:val="auto"/>
                <w:szCs w:val="21"/>
              </w:rPr>
            </w:pPr>
          </w:p>
        </w:tc>
        <w:tc>
          <w:tcPr>
            <w:tcW w:w="8093" w:type="dxa"/>
            <w:gridSpan w:val="5"/>
            <w:vAlign w:val="center"/>
          </w:tcPr>
          <w:p w14:paraId="60E68E4B">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(1)培养学生科学的历史观，增强学生的自信心和民族自豪感，提升爱国主义情怀。(秦九韶程序算法计算xb除f(x)所得余式与商式)；(2) 通过数学家的故事，培养学生积极进取、百折不挠的艰苦奋斗精神(高斯与代数基本定理)。</w:t>
            </w:r>
          </w:p>
        </w:tc>
      </w:tr>
      <w:tr w14:paraId="384F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4A2D054">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2.行列式</w:t>
            </w:r>
          </w:p>
        </w:tc>
        <w:tc>
          <w:tcPr>
            <w:tcW w:w="3590" w:type="dxa"/>
            <w:vAlign w:val="center"/>
          </w:tcPr>
          <w:p w14:paraId="351EF5C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排列的定义及有关结论；用对角线法则计算2、3阶行列式；行列式的定义与性质；行列式的按行(列)展开；利用行列式的有关性质计算行列式；利用克拉默法则解线性方程组。</w:t>
            </w:r>
          </w:p>
          <w:p w14:paraId="7FC826F6">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重点难点：</w:t>
            </w:r>
          </w:p>
          <w:p w14:paraId="3C8BB0B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行列式的定义与计算，利用克拉默法则解线性方程组。</w:t>
            </w:r>
          </w:p>
        </w:tc>
        <w:tc>
          <w:tcPr>
            <w:tcW w:w="1134" w:type="dxa"/>
            <w:vAlign w:val="center"/>
          </w:tcPr>
          <w:p w14:paraId="560828C9">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2108" w:type="dxa"/>
            <w:vAlign w:val="center"/>
          </w:tcPr>
          <w:p w14:paraId="121196F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（1）理解行列式的概念；</w:t>
            </w:r>
          </w:p>
          <w:p w14:paraId="47D9437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（2）掌握行列式的性质和计算方（3）能应用克拉默法则解线性方程组。</w:t>
            </w:r>
          </w:p>
        </w:tc>
        <w:tc>
          <w:tcPr>
            <w:tcW w:w="823" w:type="dxa"/>
            <w:vAlign w:val="center"/>
          </w:tcPr>
          <w:p w14:paraId="74FD2B5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讲授</w:t>
            </w:r>
          </w:p>
        </w:tc>
        <w:tc>
          <w:tcPr>
            <w:tcW w:w="438" w:type="dxa"/>
            <w:vAlign w:val="center"/>
          </w:tcPr>
          <w:p w14:paraId="2F750BB7">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w:t>
            </w:r>
          </w:p>
        </w:tc>
      </w:tr>
      <w:tr w14:paraId="6880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193C9F2">
            <w:pPr>
              <w:spacing w:line="264" w:lineRule="auto"/>
              <w:jc w:val="center"/>
              <w:rPr>
                <w:rFonts w:hint="eastAsia" w:ascii="宋体" w:hAnsi="宋体" w:eastAsia="宋体" w:cs="Times New Roman"/>
                <w:color w:val="auto"/>
                <w:szCs w:val="21"/>
              </w:rPr>
            </w:pPr>
          </w:p>
        </w:tc>
        <w:tc>
          <w:tcPr>
            <w:tcW w:w="8093" w:type="dxa"/>
            <w:gridSpan w:val="5"/>
            <w:vAlign w:val="center"/>
          </w:tcPr>
          <w:p w14:paraId="2DB73530">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(1) 培养学生的审美意识，感受数学美是自然美的客观反映，是科学美的核心(n阶行列式定义中的对称美、高阶行列式计算采用的三角形法、降阶法体现了简洁美等)；(2) 强调理论对实践的指导经验(克拉默法则)。</w:t>
            </w:r>
          </w:p>
        </w:tc>
      </w:tr>
      <w:tr w14:paraId="1FBB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9F01484">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3.矩阵</w:t>
            </w:r>
          </w:p>
        </w:tc>
        <w:tc>
          <w:tcPr>
            <w:tcW w:w="3590" w:type="dxa"/>
            <w:vAlign w:val="center"/>
          </w:tcPr>
          <w:p w14:paraId="2A4FC34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矩阵的概念；矩阵的各种运算；可逆矩阵的定义；初等变换与初等矩阵；可逆矩阵的逆矩阵。</w:t>
            </w:r>
          </w:p>
          <w:p w14:paraId="51024A09">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重点难点：</w:t>
            </w:r>
          </w:p>
          <w:p w14:paraId="5FDF28A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矩阵的乘法，逆矩阵的求法，矩阵的初等变换。</w:t>
            </w:r>
          </w:p>
        </w:tc>
        <w:tc>
          <w:tcPr>
            <w:tcW w:w="1134" w:type="dxa"/>
            <w:vAlign w:val="center"/>
          </w:tcPr>
          <w:p w14:paraId="0F27E318">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2108" w:type="dxa"/>
            <w:vAlign w:val="center"/>
          </w:tcPr>
          <w:p w14:paraId="083FC15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（1）了解矩阵的概念；</w:t>
            </w:r>
          </w:p>
          <w:p w14:paraId="10E84A1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（2）会进行矩阵的加法、减法、乘法；</w:t>
            </w:r>
          </w:p>
          <w:p w14:paraId="3A6E61D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（3）会判别矩阵的可逆性，并计算逆矩阵。</w:t>
            </w:r>
          </w:p>
        </w:tc>
        <w:tc>
          <w:tcPr>
            <w:tcW w:w="823" w:type="dxa"/>
            <w:vAlign w:val="center"/>
          </w:tcPr>
          <w:p w14:paraId="37AD468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讲授</w:t>
            </w:r>
          </w:p>
        </w:tc>
        <w:tc>
          <w:tcPr>
            <w:tcW w:w="438" w:type="dxa"/>
            <w:vAlign w:val="center"/>
          </w:tcPr>
          <w:p w14:paraId="0D76C04C">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12</w:t>
            </w:r>
          </w:p>
        </w:tc>
      </w:tr>
      <w:tr w14:paraId="7426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498F445">
            <w:pPr>
              <w:spacing w:line="264" w:lineRule="auto"/>
              <w:jc w:val="center"/>
              <w:rPr>
                <w:rFonts w:hint="eastAsia" w:ascii="宋体" w:hAnsi="宋体" w:eastAsia="宋体" w:cs="Times New Roman"/>
                <w:color w:val="auto"/>
                <w:szCs w:val="21"/>
              </w:rPr>
            </w:pPr>
          </w:p>
        </w:tc>
        <w:tc>
          <w:tcPr>
            <w:tcW w:w="8093" w:type="dxa"/>
            <w:gridSpan w:val="5"/>
            <w:vAlign w:val="center"/>
          </w:tcPr>
          <w:p w14:paraId="7ADFBB6D">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(1)培养学生热爱科学，勤奋学习的责任感和自觉性(逆矩阵与通讯密码)；(2) 培养学生用唯物辩证法中“事物的联系是普遍的”的观点看问题(矩阵的初等变换)。</w:t>
            </w:r>
          </w:p>
        </w:tc>
      </w:tr>
      <w:tr w14:paraId="61F5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B555C5A">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4.向量空间</w:t>
            </w:r>
          </w:p>
        </w:tc>
        <w:tc>
          <w:tcPr>
            <w:tcW w:w="3590" w:type="dxa"/>
            <w:vAlign w:val="center"/>
          </w:tcPr>
          <w:p w14:paraId="14C4DF0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向量空间的定义；向量组的线性关系；向量组的极大线性无关组；向量组的秩与矩阵的秩；子空间的概念；线性空间同构。</w:t>
            </w:r>
          </w:p>
          <w:p w14:paraId="5FAC225F">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重点难点：</w:t>
            </w:r>
          </w:p>
          <w:p w14:paraId="69AF7DC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极大线性无关组的定义和求法，向量组的秩与矩阵的秩的求法。</w:t>
            </w:r>
          </w:p>
        </w:tc>
        <w:tc>
          <w:tcPr>
            <w:tcW w:w="1134" w:type="dxa"/>
            <w:vAlign w:val="center"/>
          </w:tcPr>
          <w:p w14:paraId="0C788739">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2108" w:type="dxa"/>
            <w:vAlign w:val="center"/>
          </w:tcPr>
          <w:p w14:paraId="06E83FF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（1）掌握向量组线性相关、无关概念；（2）会求向量组的极大线性无关组；（3）能够求出向量组的秩与矩阵的秩。</w:t>
            </w:r>
          </w:p>
        </w:tc>
        <w:tc>
          <w:tcPr>
            <w:tcW w:w="823" w:type="dxa"/>
            <w:vAlign w:val="center"/>
          </w:tcPr>
          <w:p w14:paraId="16EAD1A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讲授</w:t>
            </w:r>
          </w:p>
        </w:tc>
        <w:tc>
          <w:tcPr>
            <w:tcW w:w="438" w:type="dxa"/>
            <w:vAlign w:val="center"/>
          </w:tcPr>
          <w:p w14:paraId="4979D539">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12</w:t>
            </w:r>
          </w:p>
        </w:tc>
      </w:tr>
      <w:tr w14:paraId="278B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F827CAF">
            <w:pPr>
              <w:spacing w:line="276" w:lineRule="auto"/>
              <w:jc w:val="center"/>
              <w:rPr>
                <w:rFonts w:hint="eastAsia" w:ascii="宋体" w:hAnsi="宋体" w:eastAsia="宋体" w:cs="Times New Roman"/>
                <w:color w:val="auto"/>
                <w:szCs w:val="21"/>
              </w:rPr>
            </w:pPr>
          </w:p>
        </w:tc>
        <w:tc>
          <w:tcPr>
            <w:tcW w:w="8093" w:type="dxa"/>
            <w:gridSpan w:val="5"/>
            <w:vAlign w:val="center"/>
          </w:tcPr>
          <w:p w14:paraId="3BF61406">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(1)培养学生的创新意识（降维思想与极大线性无关组）；(2)</w:t>
            </w:r>
          </w:p>
          <w:p w14:paraId="6A6B0AD6">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帮助学生理解和谐 、公正，国与家的关系，爱国主义情感(向量组与极大线性无关组的关系)。</w:t>
            </w:r>
          </w:p>
        </w:tc>
      </w:tr>
    </w:tbl>
    <w:p w14:paraId="3DA7BA26">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四、目标评价与成绩评定</w:t>
      </w:r>
    </w:p>
    <w:p w14:paraId="669D285B">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3622221F">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根据总体设计，用于评价各课程目标的评价方式如</w:t>
      </w:r>
      <w:r>
        <w:rPr>
          <w:rFonts w:hint="eastAsia" w:ascii="Times New Roman" w:hAnsi="Times New Roman" w:eastAsia="宋体" w:cs="Times New Roman"/>
          <w:color w:val="auto"/>
          <w:szCs w:val="21"/>
          <w:lang w:val="en-US" w:eastAsia="zh-CN"/>
        </w:rPr>
        <w:t>下表</w:t>
      </w:r>
      <w:r>
        <w:rPr>
          <w:rFonts w:ascii="Times New Roman" w:hAnsi="Times New Roman" w:eastAsia="宋体" w:cs="Times New Roman"/>
          <w:color w:val="auto"/>
          <w:szCs w:val="21"/>
        </w:rPr>
        <w:t>所示。</w:t>
      </w:r>
    </w:p>
    <w:tbl>
      <w:tblPr>
        <w:tblStyle w:val="16"/>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1678"/>
        <w:gridCol w:w="1369"/>
        <w:gridCol w:w="1002"/>
        <w:gridCol w:w="1238"/>
        <w:gridCol w:w="1204"/>
      </w:tblGrid>
      <w:tr w14:paraId="7C91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restart"/>
            <w:vAlign w:val="center"/>
          </w:tcPr>
          <w:p w14:paraId="190784D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5287" w:type="dxa"/>
            <w:gridSpan w:val="4"/>
            <w:vAlign w:val="center"/>
          </w:tcPr>
          <w:p w14:paraId="507F332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204" w:type="dxa"/>
            <w:vMerge w:val="restart"/>
            <w:vAlign w:val="center"/>
          </w:tcPr>
          <w:p w14:paraId="3ADAF26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6532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vAlign w:val="center"/>
          </w:tcPr>
          <w:p w14:paraId="6E3B1EF1">
            <w:pPr>
              <w:spacing w:line="360" w:lineRule="auto"/>
              <w:jc w:val="center"/>
              <w:rPr>
                <w:rFonts w:hint="eastAsia" w:ascii="宋体" w:hAnsi="宋体" w:eastAsia="宋体" w:cs="Times New Roman"/>
                <w:color w:val="auto"/>
                <w:szCs w:val="21"/>
              </w:rPr>
            </w:pPr>
          </w:p>
        </w:tc>
        <w:tc>
          <w:tcPr>
            <w:tcW w:w="1678" w:type="dxa"/>
            <w:vAlign w:val="center"/>
          </w:tcPr>
          <w:p w14:paraId="6D1EFE5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出勤情况</w:t>
            </w:r>
          </w:p>
        </w:tc>
        <w:tc>
          <w:tcPr>
            <w:tcW w:w="1369" w:type="dxa"/>
            <w:vAlign w:val="center"/>
          </w:tcPr>
          <w:p w14:paraId="5910DE2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师生互动</w:t>
            </w:r>
          </w:p>
        </w:tc>
        <w:tc>
          <w:tcPr>
            <w:tcW w:w="1002" w:type="dxa"/>
            <w:vAlign w:val="center"/>
          </w:tcPr>
          <w:p w14:paraId="7728143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作业</w:t>
            </w:r>
          </w:p>
        </w:tc>
        <w:tc>
          <w:tcPr>
            <w:tcW w:w="1238" w:type="dxa"/>
          </w:tcPr>
          <w:p w14:paraId="579CD18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期末试卷</w:t>
            </w:r>
          </w:p>
        </w:tc>
        <w:tc>
          <w:tcPr>
            <w:tcW w:w="1204" w:type="dxa"/>
            <w:vMerge w:val="continue"/>
            <w:vAlign w:val="center"/>
          </w:tcPr>
          <w:p w14:paraId="361F2DF1">
            <w:pPr>
              <w:spacing w:line="360" w:lineRule="auto"/>
              <w:jc w:val="center"/>
              <w:rPr>
                <w:rFonts w:hint="eastAsia" w:ascii="宋体" w:hAnsi="宋体" w:eastAsia="宋体" w:cs="Times New Roman"/>
                <w:color w:val="auto"/>
                <w:szCs w:val="21"/>
              </w:rPr>
            </w:pPr>
          </w:p>
        </w:tc>
      </w:tr>
      <w:tr w14:paraId="1C13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EA190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678" w:type="dxa"/>
            <w:vAlign w:val="center"/>
          </w:tcPr>
          <w:p w14:paraId="56CF0C3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369" w:type="dxa"/>
            <w:vAlign w:val="center"/>
          </w:tcPr>
          <w:p w14:paraId="6015732C">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002" w:type="dxa"/>
            <w:vAlign w:val="center"/>
          </w:tcPr>
          <w:p w14:paraId="31F05838">
            <w:pPr>
              <w:spacing w:line="360" w:lineRule="auto"/>
              <w:jc w:val="center"/>
              <w:rPr>
                <w:rFonts w:hint="eastAsia" w:ascii="宋体" w:hAnsi="宋体" w:eastAsia="宋体" w:cs="Times New Roman"/>
                <w:color w:val="auto"/>
                <w:szCs w:val="21"/>
              </w:rPr>
            </w:pPr>
          </w:p>
        </w:tc>
        <w:tc>
          <w:tcPr>
            <w:tcW w:w="1238" w:type="dxa"/>
          </w:tcPr>
          <w:p w14:paraId="6C75322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04" w:type="dxa"/>
            <w:vAlign w:val="center"/>
          </w:tcPr>
          <w:p w14:paraId="671141B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25</w:t>
            </w:r>
          </w:p>
        </w:tc>
      </w:tr>
      <w:tr w14:paraId="196D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70179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678" w:type="dxa"/>
            <w:vAlign w:val="center"/>
          </w:tcPr>
          <w:p w14:paraId="34450625">
            <w:pPr>
              <w:spacing w:line="360" w:lineRule="auto"/>
              <w:jc w:val="center"/>
              <w:rPr>
                <w:rFonts w:hint="eastAsia" w:ascii="宋体" w:hAnsi="宋体" w:eastAsia="宋体" w:cs="Times New Roman"/>
                <w:color w:val="auto"/>
                <w:szCs w:val="21"/>
              </w:rPr>
            </w:pPr>
          </w:p>
        </w:tc>
        <w:tc>
          <w:tcPr>
            <w:tcW w:w="1369" w:type="dxa"/>
            <w:vAlign w:val="center"/>
          </w:tcPr>
          <w:p w14:paraId="57098591">
            <w:pPr>
              <w:spacing w:line="360" w:lineRule="auto"/>
              <w:jc w:val="center"/>
              <w:rPr>
                <w:rFonts w:hint="eastAsia" w:ascii="宋体" w:hAnsi="宋体" w:eastAsia="宋体" w:cs="Times New Roman"/>
                <w:color w:val="auto"/>
                <w:szCs w:val="21"/>
              </w:rPr>
            </w:pPr>
          </w:p>
        </w:tc>
        <w:tc>
          <w:tcPr>
            <w:tcW w:w="1002" w:type="dxa"/>
            <w:vAlign w:val="center"/>
          </w:tcPr>
          <w:p w14:paraId="2355FA7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38" w:type="dxa"/>
          </w:tcPr>
          <w:p w14:paraId="3477A66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04" w:type="dxa"/>
            <w:vAlign w:val="center"/>
          </w:tcPr>
          <w:p w14:paraId="6D3806E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55</w:t>
            </w:r>
          </w:p>
        </w:tc>
      </w:tr>
      <w:tr w14:paraId="6644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385AC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1678" w:type="dxa"/>
            <w:vAlign w:val="center"/>
          </w:tcPr>
          <w:p w14:paraId="5BFF8E0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369" w:type="dxa"/>
            <w:vAlign w:val="center"/>
          </w:tcPr>
          <w:p w14:paraId="75F7DD6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002" w:type="dxa"/>
            <w:vAlign w:val="center"/>
          </w:tcPr>
          <w:p w14:paraId="40F4DFB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38" w:type="dxa"/>
          </w:tcPr>
          <w:p w14:paraId="0D36D3D6">
            <w:pPr>
              <w:spacing w:line="360" w:lineRule="auto"/>
              <w:jc w:val="center"/>
              <w:rPr>
                <w:rFonts w:hint="eastAsia" w:ascii="宋体" w:hAnsi="宋体" w:eastAsia="宋体" w:cs="Times New Roman"/>
                <w:color w:val="auto"/>
                <w:szCs w:val="21"/>
              </w:rPr>
            </w:pPr>
          </w:p>
        </w:tc>
        <w:tc>
          <w:tcPr>
            <w:tcW w:w="1204" w:type="dxa"/>
            <w:vAlign w:val="center"/>
          </w:tcPr>
          <w:p w14:paraId="0B696B3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3967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B47C4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678" w:type="dxa"/>
            <w:vAlign w:val="center"/>
          </w:tcPr>
          <w:p w14:paraId="13100610">
            <w:pPr>
              <w:spacing w:line="360" w:lineRule="auto"/>
              <w:jc w:val="center"/>
              <w:rPr>
                <w:rFonts w:hint="eastAsia" w:ascii="宋体" w:hAnsi="宋体" w:eastAsia="宋体" w:cs="Times New Roman"/>
                <w:color w:val="auto"/>
                <w:szCs w:val="21"/>
              </w:rPr>
            </w:pPr>
          </w:p>
        </w:tc>
        <w:tc>
          <w:tcPr>
            <w:tcW w:w="1369" w:type="dxa"/>
            <w:vAlign w:val="center"/>
          </w:tcPr>
          <w:p w14:paraId="68C5409E">
            <w:pPr>
              <w:spacing w:line="360" w:lineRule="auto"/>
              <w:jc w:val="center"/>
              <w:rPr>
                <w:rFonts w:hint="eastAsia" w:ascii="宋体" w:hAnsi="宋体" w:eastAsia="宋体" w:cs="Times New Roman"/>
                <w:color w:val="auto"/>
                <w:szCs w:val="21"/>
              </w:rPr>
            </w:pPr>
          </w:p>
        </w:tc>
        <w:tc>
          <w:tcPr>
            <w:tcW w:w="1002" w:type="dxa"/>
            <w:vAlign w:val="center"/>
          </w:tcPr>
          <w:p w14:paraId="724CDF10">
            <w:pPr>
              <w:spacing w:line="360" w:lineRule="auto"/>
              <w:jc w:val="center"/>
              <w:rPr>
                <w:rFonts w:hint="eastAsia" w:ascii="宋体" w:hAnsi="宋体" w:eastAsia="宋体" w:cs="Times New Roman"/>
                <w:color w:val="auto"/>
                <w:szCs w:val="21"/>
              </w:rPr>
            </w:pPr>
          </w:p>
        </w:tc>
        <w:tc>
          <w:tcPr>
            <w:tcW w:w="1238" w:type="dxa"/>
          </w:tcPr>
          <w:p w14:paraId="0A1657B6">
            <w:pPr>
              <w:spacing w:line="360" w:lineRule="auto"/>
              <w:jc w:val="center"/>
              <w:rPr>
                <w:rFonts w:hint="eastAsia" w:ascii="宋体" w:hAnsi="宋体" w:eastAsia="宋体" w:cs="Times New Roman"/>
                <w:color w:val="auto"/>
                <w:szCs w:val="21"/>
              </w:rPr>
            </w:pPr>
          </w:p>
        </w:tc>
        <w:tc>
          <w:tcPr>
            <w:tcW w:w="1204" w:type="dxa"/>
            <w:vAlign w:val="center"/>
          </w:tcPr>
          <w:p w14:paraId="162F8E0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4F1809D7">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39ABBE52">
      <w:pPr>
        <w:spacing w:line="360" w:lineRule="auto"/>
        <w:ind w:firstLine="420" w:firstLineChars="200"/>
        <w:jc w:val="left"/>
        <w:rPr>
          <w:rFonts w:hint="eastAsia" w:ascii="Times New Roman" w:hAnsi="Times New Roman" w:eastAsia="宋体" w:cs="Times New Roman"/>
          <w:b/>
          <w:bCs/>
          <w:color w:val="auto"/>
          <w:szCs w:val="21"/>
          <w:lang w:eastAsia="zh-CN"/>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7114"/>
        <w:gridCol w:w="851"/>
      </w:tblGrid>
      <w:tr w14:paraId="3840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074" w:type="dxa"/>
            <w:vAlign w:val="center"/>
          </w:tcPr>
          <w:p w14:paraId="0CB125F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14" w:type="dxa"/>
            <w:vAlign w:val="center"/>
          </w:tcPr>
          <w:p w14:paraId="0309FD8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851" w:type="dxa"/>
            <w:vAlign w:val="center"/>
          </w:tcPr>
          <w:p w14:paraId="314ED4A5">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405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1C8DF01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出勤情况</w:t>
            </w:r>
          </w:p>
        </w:tc>
        <w:tc>
          <w:tcPr>
            <w:tcW w:w="7114" w:type="dxa"/>
            <w:vAlign w:val="center"/>
          </w:tcPr>
          <w:p w14:paraId="0C3F64F1">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课堂不定期点名，考核能否按时到勤，其中迟到或缺席1次扣5分。</w:t>
            </w:r>
          </w:p>
        </w:tc>
        <w:tc>
          <w:tcPr>
            <w:tcW w:w="851" w:type="dxa"/>
            <w:vAlign w:val="center"/>
          </w:tcPr>
          <w:p w14:paraId="77101DD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4480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25A9150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师生互动</w:t>
            </w:r>
          </w:p>
        </w:tc>
        <w:tc>
          <w:tcPr>
            <w:tcW w:w="7114" w:type="dxa"/>
            <w:vAlign w:val="center"/>
          </w:tcPr>
          <w:p w14:paraId="62981903">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课堂不定期通过提问或小练习实施师生互动，考核学生课堂学习情况，按照互动情况打分。</w:t>
            </w:r>
          </w:p>
        </w:tc>
        <w:tc>
          <w:tcPr>
            <w:tcW w:w="851" w:type="dxa"/>
            <w:vAlign w:val="center"/>
          </w:tcPr>
          <w:p w14:paraId="00046AC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271E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2098F5D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作业</w:t>
            </w:r>
          </w:p>
        </w:tc>
        <w:tc>
          <w:tcPr>
            <w:tcW w:w="7114" w:type="dxa"/>
            <w:vAlign w:val="center"/>
          </w:tcPr>
          <w:p w14:paraId="271C1B0A">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定期布置作业，考核学生对所学知识点的复习、理解和掌握度。对每次作业完成情况做记录并打分，计算全部作业的平均成绩。</w:t>
            </w:r>
          </w:p>
        </w:tc>
        <w:tc>
          <w:tcPr>
            <w:tcW w:w="851" w:type="dxa"/>
            <w:vAlign w:val="center"/>
          </w:tcPr>
          <w:p w14:paraId="7C46119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w:t>
            </w:r>
          </w:p>
        </w:tc>
      </w:tr>
      <w:tr w14:paraId="6CBC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622E804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期末试卷</w:t>
            </w:r>
          </w:p>
        </w:tc>
        <w:tc>
          <w:tcPr>
            <w:tcW w:w="7114" w:type="dxa"/>
            <w:vAlign w:val="center"/>
          </w:tcPr>
          <w:p w14:paraId="2CFCDFFE">
            <w:pPr>
              <w:widowControl/>
              <w:spacing w:line="264" w:lineRule="auto"/>
              <w:jc w:val="left"/>
              <w:rPr>
                <w:rFonts w:hint="eastAsia" w:ascii="宋体" w:hAnsi="宋体" w:eastAsia="宋体" w:cs="宋体"/>
                <w:color w:val="auto"/>
                <w:kern w:val="0"/>
                <w:szCs w:val="21"/>
                <w:lang w:bidi="ar"/>
              </w:rPr>
            </w:pPr>
            <w:r>
              <w:rPr>
                <w:rFonts w:ascii="Times New Roman" w:hAnsi="Times New Roman" w:eastAsia="宋体" w:cs="Times New Roman"/>
                <w:color w:val="auto"/>
                <w:szCs w:val="21"/>
              </w:rPr>
              <w:t>试卷题型包括</w:t>
            </w:r>
            <w:r>
              <w:rPr>
                <w:rFonts w:hint="eastAsia" w:ascii="Times New Roman" w:hAnsi="Times New Roman" w:eastAsia="宋体" w:cs="Times New Roman"/>
                <w:color w:val="auto"/>
                <w:szCs w:val="21"/>
              </w:rPr>
              <w:t>填空题</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选择题</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计算题、证明题</w:t>
            </w:r>
            <w:r>
              <w:rPr>
                <w:rFonts w:ascii="Times New Roman" w:hAnsi="Times New Roman" w:eastAsia="宋体" w:cs="Times New Roman"/>
                <w:color w:val="auto"/>
                <w:szCs w:val="21"/>
              </w:rPr>
              <w:t>等</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以卷面成绩的50%计入课程总成绩。</w:t>
            </w:r>
            <w:r>
              <w:rPr>
                <w:rFonts w:hint="eastAsia" w:ascii="Times New Roman" w:hAnsi="Times New Roman" w:eastAsia="宋体" w:cs="Times New Roman"/>
                <w:color w:val="auto"/>
                <w:szCs w:val="21"/>
              </w:rPr>
              <w:t>其中填空题考核内容为</w:t>
            </w:r>
            <w:r>
              <w:rPr>
                <w:rFonts w:ascii="宋体" w:hAnsi="宋体" w:eastAsia="宋体"/>
                <w:color w:val="auto"/>
                <w:szCs w:val="21"/>
              </w:rPr>
              <w:t>行列式的性质</w:t>
            </w:r>
            <w:r>
              <w:rPr>
                <w:rFonts w:hint="eastAsia" w:ascii="宋体" w:hAnsi="宋体" w:eastAsia="宋体"/>
                <w:color w:val="auto"/>
                <w:szCs w:val="21"/>
              </w:rPr>
              <w:t>、</w:t>
            </w:r>
            <w:r>
              <w:rPr>
                <w:rFonts w:ascii="宋体" w:hAnsi="宋体" w:eastAsia="宋体"/>
                <w:color w:val="auto"/>
                <w:szCs w:val="21"/>
              </w:rPr>
              <w:t>矩阵的运算</w:t>
            </w:r>
            <w:r>
              <w:rPr>
                <w:rFonts w:hint="eastAsia" w:ascii="宋体" w:hAnsi="宋体" w:eastAsia="宋体"/>
                <w:color w:val="auto"/>
                <w:szCs w:val="21"/>
              </w:rPr>
              <w:t>、</w:t>
            </w:r>
            <w:r>
              <w:rPr>
                <w:rFonts w:ascii="宋体" w:hAnsi="宋体" w:eastAsia="宋体"/>
                <w:color w:val="auto"/>
                <w:szCs w:val="21"/>
              </w:rPr>
              <w:t>矩阵秩的性质</w:t>
            </w:r>
            <w:r>
              <w:rPr>
                <w:rFonts w:hint="eastAsia" w:ascii="宋体" w:hAnsi="宋体" w:eastAsia="宋体"/>
                <w:color w:val="auto"/>
                <w:szCs w:val="21"/>
              </w:rPr>
              <w:t>、</w:t>
            </w:r>
            <w:r>
              <w:rPr>
                <w:rFonts w:ascii="宋体" w:hAnsi="宋体" w:eastAsia="宋体"/>
                <w:color w:val="auto"/>
                <w:szCs w:val="21"/>
              </w:rPr>
              <w:t>线性方程组解的情况判定</w:t>
            </w:r>
            <w:r>
              <w:rPr>
                <w:rFonts w:hint="eastAsia" w:ascii="宋体" w:hAnsi="宋体" w:eastAsia="宋体"/>
                <w:color w:val="auto"/>
                <w:szCs w:val="21"/>
              </w:rPr>
              <w:t>、线性方程组解的结构、</w:t>
            </w:r>
            <w:r>
              <w:rPr>
                <w:rFonts w:ascii="宋体" w:hAnsi="宋体" w:eastAsia="宋体"/>
                <w:color w:val="auto"/>
                <w:szCs w:val="21"/>
              </w:rPr>
              <w:t>向量组线性相关性的判定</w:t>
            </w:r>
            <w:r>
              <w:rPr>
                <w:rFonts w:hint="eastAsia" w:ascii="宋体" w:hAnsi="宋体" w:eastAsia="宋体"/>
                <w:color w:val="auto"/>
                <w:szCs w:val="21"/>
              </w:rPr>
              <w:t>、</w:t>
            </w:r>
            <w:r>
              <w:rPr>
                <w:rFonts w:ascii="宋体" w:hAnsi="宋体" w:eastAsia="宋体"/>
                <w:color w:val="auto"/>
                <w:szCs w:val="21"/>
              </w:rPr>
              <w:t>方阵的特征值与特征向量</w:t>
            </w:r>
            <w:r>
              <w:rPr>
                <w:rFonts w:hint="eastAsia" w:ascii="宋体" w:hAnsi="宋体" w:eastAsia="宋体"/>
                <w:color w:val="auto"/>
                <w:szCs w:val="21"/>
              </w:rPr>
              <w:t>、</w:t>
            </w:r>
            <w:r>
              <w:rPr>
                <w:rFonts w:ascii="宋体" w:hAnsi="宋体" w:eastAsia="宋体"/>
                <w:color w:val="auto"/>
                <w:szCs w:val="21"/>
              </w:rPr>
              <w:t>矩阵相似与正交判定</w:t>
            </w:r>
            <w:r>
              <w:rPr>
                <w:rFonts w:hint="eastAsia" w:ascii="宋体" w:hAnsi="宋体" w:eastAsia="宋体"/>
                <w:color w:val="auto"/>
                <w:szCs w:val="21"/>
              </w:rPr>
              <w:t>以及二次型正定性判定等，占15%；选择题考核内容为</w:t>
            </w:r>
            <w:r>
              <w:rPr>
                <w:rFonts w:ascii="宋体" w:hAnsi="宋体" w:eastAsia="宋体"/>
                <w:color w:val="auto"/>
                <w:szCs w:val="21"/>
              </w:rPr>
              <w:t>行列式的性质</w:t>
            </w:r>
            <w:r>
              <w:rPr>
                <w:rFonts w:hint="eastAsia" w:ascii="宋体" w:hAnsi="宋体" w:eastAsia="宋体"/>
                <w:color w:val="auto"/>
                <w:szCs w:val="21"/>
              </w:rPr>
              <w:t>、</w:t>
            </w:r>
            <w:r>
              <w:rPr>
                <w:rFonts w:ascii="宋体" w:hAnsi="宋体" w:eastAsia="宋体"/>
                <w:color w:val="auto"/>
                <w:szCs w:val="21"/>
              </w:rPr>
              <w:t>矩阵的运算</w:t>
            </w:r>
            <w:r>
              <w:rPr>
                <w:rFonts w:hint="eastAsia" w:ascii="宋体" w:hAnsi="宋体" w:eastAsia="宋体"/>
                <w:color w:val="auto"/>
                <w:szCs w:val="21"/>
              </w:rPr>
              <w:t>、</w:t>
            </w:r>
            <w:r>
              <w:rPr>
                <w:rFonts w:ascii="宋体" w:hAnsi="宋体" w:eastAsia="宋体"/>
                <w:color w:val="auto"/>
                <w:szCs w:val="21"/>
              </w:rPr>
              <w:t>矩阵秩的性质</w:t>
            </w:r>
            <w:r>
              <w:rPr>
                <w:rFonts w:hint="eastAsia" w:ascii="宋体" w:hAnsi="宋体" w:eastAsia="宋体"/>
                <w:color w:val="auto"/>
                <w:szCs w:val="21"/>
              </w:rPr>
              <w:t>、</w:t>
            </w:r>
            <w:r>
              <w:rPr>
                <w:rFonts w:ascii="宋体" w:hAnsi="宋体" w:eastAsia="宋体"/>
                <w:color w:val="auto"/>
                <w:szCs w:val="21"/>
              </w:rPr>
              <w:t>线性方程组解的情况判定</w:t>
            </w:r>
            <w:r>
              <w:rPr>
                <w:rFonts w:hint="eastAsia" w:ascii="宋体" w:hAnsi="宋体" w:eastAsia="宋体"/>
                <w:color w:val="auto"/>
                <w:szCs w:val="21"/>
              </w:rPr>
              <w:t>、线性方程组解的结构、</w:t>
            </w:r>
            <w:r>
              <w:rPr>
                <w:rFonts w:ascii="宋体" w:hAnsi="宋体" w:eastAsia="宋体"/>
                <w:color w:val="auto"/>
                <w:szCs w:val="21"/>
              </w:rPr>
              <w:t>向量组线性相关性的判定</w:t>
            </w:r>
            <w:r>
              <w:rPr>
                <w:rFonts w:hint="eastAsia" w:ascii="宋体" w:hAnsi="宋体" w:eastAsia="宋体"/>
                <w:color w:val="auto"/>
                <w:szCs w:val="21"/>
              </w:rPr>
              <w:t>、</w:t>
            </w:r>
            <w:r>
              <w:rPr>
                <w:rFonts w:ascii="宋体" w:hAnsi="宋体" w:eastAsia="宋体"/>
                <w:color w:val="auto"/>
                <w:szCs w:val="21"/>
              </w:rPr>
              <w:t>方阵的特征值与特征向量</w:t>
            </w:r>
            <w:r>
              <w:rPr>
                <w:rFonts w:hint="eastAsia" w:ascii="宋体" w:hAnsi="宋体" w:eastAsia="宋体"/>
                <w:color w:val="auto"/>
                <w:szCs w:val="21"/>
              </w:rPr>
              <w:t>、</w:t>
            </w:r>
            <w:r>
              <w:rPr>
                <w:rFonts w:ascii="宋体" w:hAnsi="宋体" w:eastAsia="宋体"/>
                <w:color w:val="auto"/>
                <w:szCs w:val="21"/>
              </w:rPr>
              <w:t>矩阵相似与正交判定</w:t>
            </w:r>
            <w:r>
              <w:rPr>
                <w:rFonts w:hint="eastAsia" w:ascii="宋体" w:hAnsi="宋体" w:eastAsia="宋体"/>
                <w:color w:val="auto"/>
                <w:szCs w:val="21"/>
              </w:rPr>
              <w:t>以及二次型正定性判定等，占15%；计算题考核内容为</w:t>
            </w:r>
            <w:r>
              <w:rPr>
                <w:rFonts w:ascii="宋体" w:hAnsi="宋体" w:eastAsia="宋体"/>
                <w:color w:val="auto"/>
                <w:szCs w:val="21"/>
              </w:rPr>
              <w:t>行列式的计算</w:t>
            </w:r>
            <w:r>
              <w:rPr>
                <w:rFonts w:hint="eastAsia" w:ascii="宋体" w:hAnsi="宋体" w:eastAsia="宋体"/>
                <w:color w:val="auto"/>
                <w:szCs w:val="21"/>
              </w:rPr>
              <w:t>、</w:t>
            </w:r>
            <w:r>
              <w:rPr>
                <w:rFonts w:ascii="宋体" w:hAnsi="宋体" w:eastAsia="宋体"/>
                <w:color w:val="auto"/>
                <w:szCs w:val="21"/>
              </w:rPr>
              <w:t>解矩阵方程</w:t>
            </w:r>
            <w:r>
              <w:rPr>
                <w:rFonts w:hint="eastAsia" w:ascii="宋体" w:hAnsi="宋体" w:eastAsia="宋体"/>
                <w:color w:val="auto"/>
                <w:szCs w:val="21"/>
              </w:rPr>
              <w:t>、求向量组的秩与一个极大无关组、解线性方程组以及正交变换法化二次型为标准形等，占50%，证明题考核内容为证明向量组的线性无关与向量组的线性相关等，占20%</w:t>
            </w:r>
          </w:p>
        </w:tc>
        <w:tc>
          <w:tcPr>
            <w:tcW w:w="851" w:type="dxa"/>
            <w:vAlign w:val="center"/>
          </w:tcPr>
          <w:p w14:paraId="7C29DAD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bl>
    <w:p w14:paraId="25543479">
      <w:pPr>
        <w:spacing w:line="360" w:lineRule="auto"/>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2A6DD382">
      <w:pPr>
        <w:spacing w:line="360" w:lineRule="auto"/>
        <w:ind w:firstLine="411" w:firstLineChars="196"/>
        <w:jc w:val="left"/>
        <w:rPr>
          <w:rFonts w:hint="eastAsia" w:ascii="宋体" w:hAnsi="宋体" w:eastAsia="宋体" w:cs="Times New Roman"/>
          <w:color w:val="auto"/>
          <w:szCs w:val="21"/>
        </w:rPr>
      </w:pPr>
      <w:r>
        <w:rPr>
          <w:rFonts w:ascii="宋体" w:hAnsi="宋体" w:eastAsia="宋体" w:cs="Times New Roman"/>
          <w:color w:val="auto"/>
          <w:szCs w:val="21"/>
        </w:rPr>
        <w:t>每门课程目标总体达成度计算方法如下：</w:t>
      </w:r>
    </w:p>
    <w:p w14:paraId="5257FBFD">
      <w:pPr>
        <w:spacing w:before="156" w:beforeLines="50"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object>
          <v:shape id="_x0000_i1059" o:spt="75" type="#_x0000_t75" style="height:24.9pt;width:404.3pt;" o:ole="t" filled="f" o:preferrelative="t" stroked="f" coordsize="21600,21600">
            <v:path/>
            <v:fill on="f" focussize="0,0"/>
            <v:stroke on="f" joinstyle="miter"/>
            <v:imagedata r:id="rId10" o:title=""/>
            <o:lock v:ext="edit" aspectratio="t"/>
            <w10:wrap type="none"/>
            <w10:anchorlock/>
          </v:shape>
          <o:OLEObject Type="Embed" ProgID="Equation.3" ShapeID="_x0000_i1059" DrawAspect="Content" ObjectID="_1468075758" r:id="rId45">
            <o:LockedField>false</o:LockedField>
          </o:OLEObject>
        </w:object>
      </w:r>
    </w:p>
    <w:p w14:paraId="146B09FB">
      <w:pPr>
        <w:spacing w:line="360" w:lineRule="auto"/>
        <w:jc w:val="left"/>
        <w:rPr>
          <w:rFonts w:ascii="Times New Roman" w:hAnsi="Times New Roman" w:eastAsia="宋体" w:cs="Times New Roman"/>
          <w:b/>
          <w:bCs/>
          <w:color w:val="auto"/>
          <w:sz w:val="24"/>
          <w:szCs w:val="24"/>
        </w:rPr>
      </w:pPr>
      <w:r>
        <w:rPr>
          <w:rFonts w:hint="eastAsia" w:ascii="宋体" w:hAnsi="宋体" w:eastAsia="宋体" w:cs="Times New Roman"/>
          <w:b/>
          <w:color w:val="auto"/>
          <w:sz w:val="24"/>
          <w:szCs w:val="24"/>
        </w:rPr>
        <w:t>五、有关说明</w:t>
      </w:r>
    </w:p>
    <w:p w14:paraId="696A9954">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39891FBB">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1. 合理安排教学课时，加强课堂提问、课堂小测验等旨在督促学生自主学习的教学环节；引导学生做好课前预习、课后整理笔记并及时完成作业的复习工作；保证学生完成一定数量的作业和习题。</w:t>
      </w:r>
    </w:p>
    <w:p w14:paraId="5C931835">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2．教学用的例题和习题，应尽可能结合专业特点。</w:t>
      </w:r>
    </w:p>
    <w:p w14:paraId="38F8B5C1">
      <w:pPr>
        <w:spacing w:line="360" w:lineRule="auto"/>
        <w:ind w:firstLine="420" w:firstLineChars="200"/>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3. 根据学生、教学督导反馈意见，及时改进教学中的不足。</w:t>
      </w:r>
    </w:p>
    <w:p w14:paraId="38616CE1">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0C9ABD52">
      <w:pPr>
        <w:spacing w:line="336"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张力宏主编. 高等代数. 北京：人民教育出版社.2019.</w:t>
      </w:r>
    </w:p>
    <w:p w14:paraId="275DB481">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50E277CD">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王萼芳，石生明. 高等代数.北京：高等教育出版社.第五版.</w:t>
      </w:r>
    </w:p>
    <w:p w14:paraId="1B1AE37E">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王萼芳. 高等代数教程习题集.北京：清华大学出版社. 最新版.</w:t>
      </w:r>
    </w:p>
    <w:p w14:paraId="561C92FB">
      <w:pPr>
        <w:keepNext w:val="0"/>
        <w:keepLines w:val="0"/>
        <w:pageBreakBefore w:val="0"/>
        <w:widowControl w:val="0"/>
        <w:kinsoku/>
        <w:overflowPunct/>
        <w:topLinePunct w:val="0"/>
        <w:autoSpaceDE/>
        <w:autoSpaceDN/>
        <w:bidi w:val="0"/>
        <w:adjustRightInd/>
        <w:snapToGrid/>
        <w:spacing w:line="312"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执 笔 人</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傅</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蕾</w:t>
      </w:r>
      <w:r>
        <w:rPr>
          <w:rFonts w:ascii="Times New Roman" w:hAnsi="Times New Roman" w:eastAsia="宋体" w:cs="Times New Roman"/>
          <w:color w:val="auto"/>
          <w:sz w:val="21"/>
          <w:szCs w:val="21"/>
        </w:rPr>
        <w:t xml:space="preserve"> </w:t>
      </w:r>
    </w:p>
    <w:p w14:paraId="213F7D94">
      <w:pPr>
        <w:keepNext w:val="0"/>
        <w:keepLines w:val="0"/>
        <w:pageBreakBefore w:val="0"/>
        <w:widowControl w:val="0"/>
        <w:kinsoku/>
        <w:wordWrap w:val="0"/>
        <w:overflowPunct/>
        <w:topLinePunct w:val="0"/>
        <w:autoSpaceDE/>
        <w:autoSpaceDN/>
        <w:bidi w:val="0"/>
        <w:adjustRightInd/>
        <w:snapToGrid/>
        <w:spacing w:line="312"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 定 人：张志欣</w:t>
      </w:r>
    </w:p>
    <w:p w14:paraId="1BC15ACE">
      <w:pPr>
        <w:keepNext w:val="0"/>
        <w:keepLines w:val="0"/>
        <w:pageBreakBefore w:val="0"/>
        <w:widowControl w:val="0"/>
        <w:kinsoku/>
        <w:overflowPunct/>
        <w:topLinePunct w:val="0"/>
        <w:autoSpaceDE/>
        <w:autoSpaceDN/>
        <w:bidi w:val="0"/>
        <w:adjustRightInd/>
        <w:snapToGrid/>
        <w:spacing w:line="312"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 批 人：张建波</w:t>
      </w:r>
    </w:p>
    <w:p w14:paraId="54EF5B9F">
      <w:pPr>
        <w:keepNext w:val="0"/>
        <w:keepLines w:val="0"/>
        <w:pageBreakBefore w:val="0"/>
        <w:widowControl w:val="0"/>
        <w:kinsoku/>
        <w:overflowPunct/>
        <w:topLinePunct w:val="0"/>
        <w:autoSpaceDE/>
        <w:autoSpaceDN/>
        <w:bidi w:val="0"/>
        <w:adjustRightInd/>
        <w:snapToGrid/>
        <w:spacing w:line="312" w:lineRule="auto"/>
        <w:ind w:right="0"/>
        <w:jc w:val="righ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批准时间：2025年7月1日</w:t>
      </w:r>
    </w:p>
    <w:p w14:paraId="3BFA69D5">
      <w:pPr>
        <w:widowControl/>
        <w:jc w:val="left"/>
        <w:rPr>
          <w:rFonts w:ascii="Times New Roman" w:hAnsi="Times New Roman" w:eastAsia="宋体" w:cs="Times New Roman"/>
          <w:color w:val="auto"/>
          <w:kern w:val="0"/>
          <w:sz w:val="24"/>
          <w:szCs w:val="21"/>
        </w:rPr>
      </w:pPr>
      <w:r>
        <w:rPr>
          <w:rFonts w:ascii="Times New Roman" w:hAnsi="Times New Roman" w:eastAsia="宋体" w:cs="Times New Roman"/>
          <w:color w:val="auto"/>
          <w:kern w:val="0"/>
          <w:sz w:val="24"/>
          <w:szCs w:val="21"/>
        </w:rPr>
        <w:br w:type="page"/>
      </w:r>
    </w:p>
    <w:p w14:paraId="10BAE547">
      <w:pPr>
        <w:spacing w:line="360" w:lineRule="auto"/>
        <w:jc w:val="center"/>
        <w:outlineLvl w:val="0"/>
        <w:rPr>
          <w:rFonts w:hint="eastAsia" w:ascii="Times New Roman" w:hAnsi="Times New Roman" w:eastAsia="宋体" w:cs="Times New Roman"/>
          <w:b/>
          <w:color w:val="auto"/>
          <w:sz w:val="44"/>
          <w:szCs w:val="44"/>
        </w:rPr>
      </w:pPr>
      <w:bookmarkStart w:id="375" w:name="_Toc21420"/>
      <w:bookmarkStart w:id="376" w:name="_Toc7101"/>
      <w:r>
        <w:rPr>
          <w:rFonts w:hint="eastAsia" w:ascii="Times New Roman" w:hAnsi="Times New Roman" w:eastAsia="宋体" w:cs="Times New Roman"/>
          <w:b/>
          <w:color w:val="auto"/>
          <w:sz w:val="44"/>
          <w:szCs w:val="44"/>
        </w:rPr>
        <w:t>《高等代数II》课程教学大纲</w:t>
      </w:r>
      <w:bookmarkEnd w:id="375"/>
      <w:bookmarkEnd w:id="376"/>
    </w:p>
    <w:p w14:paraId="6CFA808C">
      <w:pPr>
        <w:spacing w:line="312" w:lineRule="auto"/>
        <w:jc w:val="center"/>
        <w:rPr>
          <w:rFonts w:ascii="Times New Roman" w:hAnsi="Times New Roman" w:cs="Times New Roman"/>
          <w:b/>
          <w:bCs/>
          <w:color w:val="auto"/>
          <w:sz w:val="30"/>
        </w:rPr>
      </w:pPr>
      <w:r>
        <w:rPr>
          <w:rFonts w:ascii="Times New Roman" w:hAnsi="Times New Roman" w:cs="Times New Roman"/>
          <w:b/>
          <w:bCs/>
          <w:color w:val="auto"/>
          <w:sz w:val="30"/>
        </w:rPr>
        <w:t>（Higher Algebra II）</w:t>
      </w:r>
    </w:p>
    <w:p w14:paraId="43F3514F">
      <w:pPr>
        <w:spacing w:line="360" w:lineRule="auto"/>
        <w:jc w:val="both"/>
        <w:rPr>
          <w:rFonts w:ascii="Times New Roman" w:hAnsi="Times New Roman" w:eastAsia="宋体" w:cs="Times New Roman"/>
          <w:bCs/>
          <w:sz w:val="21"/>
          <w:szCs w:val="22"/>
        </w:rPr>
      </w:pPr>
    </w:p>
    <w:p w14:paraId="68832A46">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课程名称：高等代数I</w:t>
      </w:r>
      <w:r>
        <w:rPr>
          <w:rFonts w:ascii="Times New Roman" w:hAnsi="Times New Roman" w:eastAsia="宋体" w:cs="Times New Roman"/>
          <w:b/>
          <w:sz w:val="24"/>
          <w:szCs w:val="24"/>
        </w:rPr>
        <w:t>I</w:t>
      </w:r>
    </w:p>
    <w:p w14:paraId="0AF9B2D3">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课程代码：082101</w:t>
      </w:r>
      <w:r>
        <w:rPr>
          <w:rFonts w:ascii="Times New Roman" w:hAnsi="Times New Roman" w:eastAsia="宋体" w:cs="Times New Roman"/>
          <w:b/>
          <w:sz w:val="24"/>
          <w:szCs w:val="24"/>
        </w:rPr>
        <w:t>2</w:t>
      </w:r>
    </w:p>
    <w:p w14:paraId="284DF1A4">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ascii="Times New Roman" w:hAnsi="Times New Roman" w:eastAsia="宋体" w:cs="Times New Roman"/>
          <w:b/>
          <w:sz w:val="24"/>
          <w:szCs w:val="24"/>
        </w:rPr>
        <w:t>4</w:t>
      </w:r>
    </w:p>
    <w:p w14:paraId="513BE1C4">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ascii="Times New Roman" w:hAnsi="Times New Roman" w:eastAsia="宋体" w:cs="Times New Roman"/>
          <w:b/>
          <w:sz w:val="24"/>
          <w:szCs w:val="24"/>
        </w:rPr>
        <w:t>64</w:t>
      </w:r>
    </w:p>
    <w:p w14:paraId="5ECA901F">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先修课程：数学分析、高等代数</w:t>
      </w:r>
      <w:r>
        <w:rPr>
          <w:rFonts w:ascii="Times New Roman" w:hAnsi="Times New Roman" w:eastAsia="宋体" w:cs="Times New Roman"/>
          <w:b/>
          <w:sz w:val="24"/>
          <w:szCs w:val="24"/>
        </w:rPr>
        <w:t>I</w:t>
      </w:r>
    </w:p>
    <w:p w14:paraId="1A2413DC">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适用专业：小学教育（理）</w:t>
      </w:r>
    </w:p>
    <w:p w14:paraId="1A38102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04BB4F18">
      <w:pPr>
        <w:spacing w:line="360" w:lineRule="auto"/>
        <w:ind w:firstLine="420" w:firstLineChars="200"/>
        <w:jc w:val="left"/>
        <w:rPr>
          <w:rFonts w:ascii="Calibri" w:hAnsi="Calibri" w:eastAsia="宋体" w:cs="Times New Roman"/>
          <w:kern w:val="0"/>
          <w:szCs w:val="21"/>
        </w:rPr>
      </w:pPr>
      <w:r>
        <w:rPr>
          <w:rFonts w:ascii="Calibri" w:hAnsi="Calibri" w:eastAsia="宋体" w:cs="Times New Roman"/>
          <w:kern w:val="0"/>
          <w:szCs w:val="21"/>
        </w:rPr>
        <w:t>本课程是小学教育（理）专业的一门重要基础课。通过本课程的学习，使学生系统地获得高等代数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254B680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二、课程目标</w:t>
      </w:r>
    </w:p>
    <w:p w14:paraId="58E2CD8D">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0FF4817A">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ascii="Times New Roman" w:hAnsi="Times New Roman" w:eastAsia="宋体" w:cs="Times New Roman"/>
          <w:szCs w:val="21"/>
        </w:rPr>
        <w:t>能够获得课程基本概念与性质</w:t>
      </w:r>
      <w:r>
        <w:rPr>
          <w:rFonts w:hint="eastAsia" w:ascii="Times New Roman" w:hAnsi="Times New Roman" w:eastAsia="宋体" w:cs="Times New Roman"/>
          <w:szCs w:val="21"/>
        </w:rPr>
        <w:t>，</w:t>
      </w:r>
      <w:r>
        <w:rPr>
          <w:rFonts w:ascii="Times New Roman" w:hAnsi="Times New Roman" w:eastAsia="宋体" w:cs="Times New Roman"/>
          <w:szCs w:val="21"/>
        </w:rPr>
        <w:t>能够掌握本课程要求的计算方法</w:t>
      </w:r>
      <w:r>
        <w:rPr>
          <w:rFonts w:hint="eastAsia" w:ascii="Times New Roman" w:hAnsi="Times New Roman" w:eastAsia="宋体" w:cs="Times New Roman"/>
          <w:szCs w:val="21"/>
        </w:rPr>
        <w:t>。</w:t>
      </w:r>
    </w:p>
    <w:p w14:paraId="3217E456">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ascii="Times New Roman" w:hAnsi="Times New Roman" w:eastAsia="宋体" w:cs="Times New Roman"/>
          <w:szCs w:val="21"/>
        </w:rPr>
        <w:t>能够具有一定的抽象概括、逻辑推理等能力</w:t>
      </w:r>
      <w:r>
        <w:rPr>
          <w:rFonts w:hint="eastAsia" w:ascii="Times New Roman" w:hAnsi="Times New Roman" w:eastAsia="宋体" w:cs="Times New Roman"/>
          <w:szCs w:val="21"/>
        </w:rPr>
        <w:t>，</w:t>
      </w:r>
      <w:r>
        <w:rPr>
          <w:rFonts w:ascii="Times New Roman" w:hAnsi="Times New Roman" w:eastAsia="宋体" w:cs="Times New Roman"/>
          <w:szCs w:val="21"/>
        </w:rPr>
        <w:t>能够具有一定的运算能力。</w:t>
      </w:r>
    </w:p>
    <w:p w14:paraId="599F87DD">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能够具有一定的数学思维与分析能力。</w:t>
      </w:r>
    </w:p>
    <w:p w14:paraId="582C1435">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6"/>
        <w:tblW w:w="90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8"/>
        <w:gridCol w:w="5743"/>
        <w:gridCol w:w="1202"/>
      </w:tblGrid>
      <w:tr w14:paraId="2CC4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2118" w:type="dxa"/>
            <w:vAlign w:val="center"/>
          </w:tcPr>
          <w:p w14:paraId="2E1016D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743" w:type="dxa"/>
            <w:vAlign w:val="center"/>
          </w:tcPr>
          <w:p w14:paraId="3A47F01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202" w:type="dxa"/>
            <w:vAlign w:val="center"/>
          </w:tcPr>
          <w:p w14:paraId="74D1B97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0EE5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jc w:val="center"/>
        </w:trPr>
        <w:tc>
          <w:tcPr>
            <w:tcW w:w="2118" w:type="dxa"/>
            <w:vAlign w:val="center"/>
          </w:tcPr>
          <w:p w14:paraId="6E39CF1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743" w:type="dxa"/>
            <w:vAlign w:val="center"/>
          </w:tcPr>
          <w:p w14:paraId="3AC97B45">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指标点3-2：【学科知识扎实】具有学科专业能力，掌握小学数学学科的基本知识、原理和技能。熟悉小学科学的知识体系，掌握小学科学的基本知识、原理和技能。</w:t>
            </w:r>
          </w:p>
        </w:tc>
        <w:tc>
          <w:tcPr>
            <w:tcW w:w="1202" w:type="dxa"/>
            <w:vAlign w:val="center"/>
          </w:tcPr>
          <w:p w14:paraId="6EB08E7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p w14:paraId="1886E4E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p w14:paraId="5E8AD39E">
            <w:pPr>
              <w:spacing w:line="276"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课程目标3</w:t>
            </w:r>
          </w:p>
        </w:tc>
      </w:tr>
    </w:tbl>
    <w:p w14:paraId="178F2C72">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290A764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eastAsia="宋体" w:cs="Times New Roman"/>
          <w:color w:val="000000"/>
          <w:szCs w:val="21"/>
        </w:rPr>
      </w:pPr>
      <w:r>
        <w:rPr>
          <w:rFonts w:ascii="宋体" w:hAnsi="宋体" w:eastAsia="宋体" w:cs="Times New Roman"/>
          <w:color w:val="000000"/>
          <w:szCs w:val="21"/>
        </w:rPr>
        <w:t>系统梳理高等代数 II 中诸如多项式理论深化、线性空间与线性变换理论拓展等核心内容的发展脉络，讲述数学家们在相关领域探索过程中遭遇的重重困难与不懈坚持。以伽罗瓦在群论创立过程中突破传统思维定式、面对重重阻碍仍执着追求数学真理的故事为例，展现数学家们不畏艰难、勇于挑战权威的科学精神，引导学生树立对科学真理的敬畏之心与执着追求，激励学生在学习和研究中敢于质疑、勇于突破，培养其不畏艰难、追求卓越的科学态度。</w:t>
      </w:r>
    </w:p>
    <w:p w14:paraId="67BE6EB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三、教学内容与预期学习成效</w:t>
      </w:r>
    </w:p>
    <w:tbl>
      <w:tblPr>
        <w:tblStyle w:val="16"/>
        <w:tblW w:w="9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756"/>
        <w:gridCol w:w="1125"/>
        <w:gridCol w:w="3025"/>
        <w:gridCol w:w="823"/>
        <w:gridCol w:w="439"/>
        <w:gridCol w:w="22"/>
      </w:tblGrid>
      <w:tr w14:paraId="0D9C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dxa"/>
          <w:jc w:val="center"/>
        </w:trPr>
        <w:tc>
          <w:tcPr>
            <w:tcW w:w="1205" w:type="dxa"/>
            <w:vAlign w:val="center"/>
          </w:tcPr>
          <w:p w14:paraId="0FA9425D">
            <w:pPr>
              <w:spacing w:line="240"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6B6396E4">
            <w:pPr>
              <w:spacing w:line="240"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756" w:type="dxa"/>
            <w:vAlign w:val="center"/>
          </w:tcPr>
          <w:p w14:paraId="66A09001">
            <w:pPr>
              <w:spacing w:line="240"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25" w:type="dxa"/>
            <w:vAlign w:val="center"/>
          </w:tcPr>
          <w:p w14:paraId="38C154D9">
            <w:pPr>
              <w:spacing w:line="240"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6BE0E48B">
            <w:pPr>
              <w:spacing w:line="240"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025" w:type="dxa"/>
            <w:vAlign w:val="center"/>
          </w:tcPr>
          <w:p w14:paraId="2DAC8EED">
            <w:pPr>
              <w:spacing w:line="240"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823" w:type="dxa"/>
            <w:vAlign w:val="center"/>
          </w:tcPr>
          <w:p w14:paraId="4FF3D943">
            <w:pPr>
              <w:spacing w:line="240"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9" w:type="dxa"/>
            <w:vAlign w:val="center"/>
          </w:tcPr>
          <w:p w14:paraId="58E2BDE6">
            <w:pPr>
              <w:spacing w:line="240"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7150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dxa"/>
          <w:jc w:val="center"/>
        </w:trPr>
        <w:tc>
          <w:tcPr>
            <w:tcW w:w="1205" w:type="dxa"/>
            <w:vMerge w:val="restart"/>
            <w:vAlign w:val="center"/>
          </w:tcPr>
          <w:p w14:paraId="565FC329">
            <w:pPr>
              <w:spacing w:line="240" w:lineRule="auto"/>
              <w:rPr>
                <w:rFonts w:ascii="宋体" w:hAnsi="宋体" w:eastAsia="宋体" w:cs="Times New Roman"/>
                <w:b/>
                <w:szCs w:val="21"/>
              </w:rPr>
            </w:pPr>
            <w:r>
              <w:rPr>
                <w:rFonts w:hint="eastAsia" w:ascii="宋体" w:hAnsi="宋体" w:eastAsia="宋体" w:cs="Times New Roman"/>
                <w:color w:val="000000"/>
                <w:szCs w:val="21"/>
              </w:rPr>
              <w:t>1.</w:t>
            </w:r>
            <w:r>
              <w:rPr>
                <w:rFonts w:ascii="宋体" w:hAnsi="宋体" w:eastAsia="宋体" w:cs="Times New Roman"/>
                <w:b/>
                <w:szCs w:val="21"/>
              </w:rPr>
              <w:t xml:space="preserve"> </w:t>
            </w:r>
            <w:r>
              <w:rPr>
                <w:rFonts w:ascii="宋体" w:hAnsi="宋体" w:eastAsia="宋体" w:cs="Times New Roman"/>
                <w:bCs/>
                <w:szCs w:val="21"/>
              </w:rPr>
              <w:t>线性方程组</w:t>
            </w:r>
          </w:p>
          <w:p w14:paraId="3534F71B">
            <w:pPr>
              <w:spacing w:line="240" w:lineRule="auto"/>
              <w:jc w:val="center"/>
              <w:rPr>
                <w:rFonts w:ascii="宋体" w:hAnsi="宋体" w:eastAsia="宋体" w:cs="Times New Roman"/>
                <w:color w:val="000000"/>
                <w:szCs w:val="21"/>
              </w:rPr>
            </w:pPr>
          </w:p>
        </w:tc>
        <w:tc>
          <w:tcPr>
            <w:tcW w:w="2756" w:type="dxa"/>
            <w:vAlign w:val="center"/>
          </w:tcPr>
          <w:p w14:paraId="39466C4E">
            <w:pPr>
              <w:widowControl/>
              <w:spacing w:line="240" w:lineRule="auto"/>
              <w:jc w:val="left"/>
              <w:rPr>
                <w:rFonts w:ascii="宋体" w:hAnsi="宋体" w:eastAsia="宋体"/>
                <w:color w:val="06071F"/>
                <w:kern w:val="0"/>
                <w:szCs w:val="21"/>
              </w:rPr>
            </w:pPr>
            <w:r>
              <w:rPr>
                <w:rStyle w:val="18"/>
                <w:rFonts w:ascii="宋体" w:hAnsi="宋体" w:eastAsia="宋体" w:cs="Segoe UI"/>
                <w:b w:val="0"/>
                <w:bCs w:val="0"/>
                <w:color w:val="06071F"/>
                <w:szCs w:val="21"/>
              </w:rPr>
              <w:t>线性方程组的表达形式</w:t>
            </w:r>
            <w:r>
              <w:rPr>
                <w:rFonts w:hint="eastAsia" w:ascii="宋体" w:hAnsi="宋体" w:eastAsia="宋体"/>
                <w:color w:val="06071F"/>
                <w:szCs w:val="21"/>
              </w:rPr>
              <w:t>：明确线性方程组的一般形式，包括系数矩阵、未知数向量、常数项向量的表示方法，阐述系数矩阵与增广矩阵的构成及区别，理解线性方程组中各元素的几何意义，如方程的系数对应空间中向量在特定坐标轴上的投影比例等。</w:t>
            </w:r>
          </w:p>
          <w:p w14:paraId="5DB5BB16">
            <w:pPr>
              <w:widowControl/>
              <w:spacing w:line="240" w:lineRule="auto"/>
              <w:jc w:val="left"/>
              <w:rPr>
                <w:rFonts w:hint="eastAsia" w:ascii="宋体" w:hAnsi="宋体" w:eastAsia="宋体"/>
                <w:color w:val="06071F"/>
                <w:szCs w:val="21"/>
              </w:rPr>
            </w:pPr>
            <w:r>
              <w:rPr>
                <w:rFonts w:hint="eastAsia" w:ascii="宋体" w:hAnsi="宋体" w:eastAsia="宋体"/>
                <w:color w:val="06071F"/>
                <w:szCs w:val="21"/>
              </w:rPr>
              <w:t>重点难点：</w:t>
            </w:r>
          </w:p>
          <w:p w14:paraId="03ADA3B3">
            <w:pPr>
              <w:spacing w:line="240" w:lineRule="auto"/>
              <w:rPr>
                <w:rFonts w:hint="eastAsia" w:ascii="宋体" w:hAnsi="宋体" w:eastAsia="宋体" w:cs="Times New Roman"/>
                <w:color w:val="000000"/>
                <w:szCs w:val="21"/>
              </w:rPr>
            </w:pPr>
            <w:r>
              <w:rPr>
                <w:rFonts w:ascii="宋体" w:hAnsi="宋体" w:eastAsia="宋体" w:cs="Times New Roman"/>
                <w:szCs w:val="21"/>
              </w:rPr>
              <w:t>线性方程组有解判别定理。求齐次、非齐次线性方程组的基础解系。</w:t>
            </w:r>
          </w:p>
        </w:tc>
        <w:tc>
          <w:tcPr>
            <w:tcW w:w="1125" w:type="dxa"/>
            <w:vAlign w:val="center"/>
          </w:tcPr>
          <w:p w14:paraId="376DC778">
            <w:pPr>
              <w:spacing w:line="240"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课程目标2、3</w:t>
            </w:r>
          </w:p>
        </w:tc>
        <w:tc>
          <w:tcPr>
            <w:tcW w:w="3025" w:type="dxa"/>
            <w:vAlign w:val="center"/>
          </w:tcPr>
          <w:p w14:paraId="377D62F5">
            <w:pPr>
              <w:spacing w:line="240" w:lineRule="auto"/>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能够理解</w:t>
            </w:r>
            <w:r>
              <w:rPr>
                <w:rFonts w:ascii="宋体" w:hAnsi="宋体" w:eastAsia="宋体" w:cs="Times New Roman"/>
                <w:szCs w:val="21"/>
              </w:rPr>
              <w:t>线性方程组与矩阵方程、向量方程的形式转化</w:t>
            </w:r>
          </w:p>
          <w:p w14:paraId="604A24EC">
            <w:pPr>
              <w:spacing w:line="240" w:lineRule="auto"/>
              <w:rPr>
                <w:rFonts w:ascii="宋体" w:hAnsi="宋体" w:eastAsia="宋体" w:cs="Times New Roman"/>
                <w:color w:val="000000"/>
                <w:szCs w:val="21"/>
              </w:rPr>
            </w:pPr>
            <w:r>
              <w:rPr>
                <w:rFonts w:ascii="宋体" w:hAnsi="宋体" w:eastAsia="宋体" w:cs="Times New Roman"/>
                <w:color w:val="000000"/>
                <w:szCs w:val="21"/>
              </w:rPr>
              <w:t>（2）能够理解</w:t>
            </w:r>
            <w:r>
              <w:rPr>
                <w:rFonts w:ascii="宋体" w:hAnsi="宋体" w:eastAsia="宋体" w:cs="Times New Roman"/>
                <w:szCs w:val="21"/>
              </w:rPr>
              <w:t>矩阵的初等行变换不改变线性方程组的解</w:t>
            </w:r>
          </w:p>
          <w:p w14:paraId="17775C5C">
            <w:pPr>
              <w:spacing w:line="240" w:lineRule="auto"/>
              <w:rPr>
                <w:rFonts w:ascii="宋体" w:hAnsi="宋体" w:eastAsia="宋体" w:cs="Times New Roman"/>
                <w:color w:val="000000"/>
                <w:szCs w:val="21"/>
              </w:rPr>
            </w:pPr>
            <w:r>
              <w:rPr>
                <w:rFonts w:ascii="宋体" w:hAnsi="宋体" w:eastAsia="宋体" w:cs="Times New Roman"/>
                <w:color w:val="000000"/>
                <w:szCs w:val="21"/>
              </w:rPr>
              <w:t>（3）能够掌握</w:t>
            </w:r>
            <w:r>
              <w:rPr>
                <w:rFonts w:ascii="宋体" w:hAnsi="宋体" w:eastAsia="宋体" w:cs="Times New Roman"/>
                <w:szCs w:val="21"/>
              </w:rPr>
              <w:t>消元法解线性方程组</w:t>
            </w:r>
          </w:p>
          <w:p w14:paraId="591EFB1B">
            <w:pPr>
              <w:spacing w:line="240" w:lineRule="auto"/>
              <w:rPr>
                <w:rFonts w:ascii="宋体" w:hAnsi="宋体" w:eastAsia="宋体" w:cs="Times New Roman"/>
                <w:color w:val="000000"/>
                <w:szCs w:val="21"/>
              </w:rPr>
            </w:pPr>
            <w:r>
              <w:rPr>
                <w:rFonts w:ascii="宋体" w:hAnsi="宋体" w:eastAsia="宋体" w:cs="Times New Roman"/>
                <w:color w:val="000000"/>
                <w:szCs w:val="21"/>
              </w:rPr>
              <w:t>（4）能够掌握</w:t>
            </w:r>
            <w:r>
              <w:rPr>
                <w:rFonts w:ascii="宋体" w:hAnsi="宋体" w:eastAsia="宋体" w:cs="Times New Roman"/>
                <w:szCs w:val="21"/>
              </w:rPr>
              <w:t>线性方程组有解的判别，解的个数的判别</w:t>
            </w:r>
          </w:p>
          <w:p w14:paraId="149411CE">
            <w:pPr>
              <w:spacing w:line="240" w:lineRule="auto"/>
              <w:rPr>
                <w:rFonts w:ascii="宋体" w:hAnsi="宋体" w:eastAsia="宋体" w:cs="Times New Roman"/>
                <w:color w:val="000000"/>
                <w:szCs w:val="21"/>
              </w:rPr>
            </w:pPr>
            <w:r>
              <w:rPr>
                <w:rFonts w:ascii="宋体" w:hAnsi="宋体" w:eastAsia="宋体" w:cs="Times New Roman"/>
                <w:color w:val="000000"/>
                <w:szCs w:val="21"/>
              </w:rPr>
              <w:t>（5）能够掌握</w:t>
            </w:r>
            <w:r>
              <w:rPr>
                <w:rFonts w:ascii="宋体" w:hAnsi="宋体" w:eastAsia="宋体" w:cs="Times New Roman"/>
                <w:szCs w:val="21"/>
              </w:rPr>
              <w:t>齐次线性方程组解的结构理论，求基础解系及通解</w:t>
            </w:r>
          </w:p>
          <w:p w14:paraId="1B576217">
            <w:pPr>
              <w:spacing w:line="240" w:lineRule="auto"/>
              <w:rPr>
                <w:rFonts w:hint="eastAsia" w:ascii="宋体" w:hAnsi="宋体" w:eastAsia="宋体" w:cs="Times New Roman"/>
                <w:color w:val="000000"/>
                <w:szCs w:val="21"/>
              </w:rPr>
            </w:pPr>
            <w:r>
              <w:rPr>
                <w:rFonts w:ascii="宋体" w:hAnsi="宋体" w:eastAsia="宋体" w:cs="Times New Roman"/>
                <w:color w:val="000000"/>
                <w:szCs w:val="21"/>
              </w:rPr>
              <w:t>（6）能够掌握</w:t>
            </w:r>
            <w:r>
              <w:rPr>
                <w:rFonts w:ascii="宋体" w:hAnsi="宋体" w:eastAsia="宋体" w:cs="Times New Roman"/>
                <w:szCs w:val="21"/>
              </w:rPr>
              <w:t>一般线性方程组解的结构理论，求基础解系及通解</w:t>
            </w:r>
          </w:p>
        </w:tc>
        <w:tc>
          <w:tcPr>
            <w:tcW w:w="823" w:type="dxa"/>
            <w:vAlign w:val="center"/>
          </w:tcPr>
          <w:p w14:paraId="025AD018">
            <w:pPr>
              <w:spacing w:line="240" w:lineRule="auto"/>
              <w:jc w:val="left"/>
              <w:rPr>
                <w:rFonts w:ascii="宋体" w:hAnsi="宋体" w:eastAsia="宋体" w:cs="Times New Roman"/>
                <w:color w:val="000000"/>
                <w:szCs w:val="21"/>
              </w:rPr>
            </w:pPr>
            <w:r>
              <w:rPr>
                <w:rFonts w:hint="eastAsia" w:ascii="宋体" w:hAnsi="宋体" w:eastAsia="宋体" w:cs="Times New Roman"/>
                <w:color w:val="000000"/>
                <w:szCs w:val="21"/>
              </w:rPr>
              <w:t>讲授</w:t>
            </w:r>
          </w:p>
        </w:tc>
        <w:tc>
          <w:tcPr>
            <w:tcW w:w="439" w:type="dxa"/>
            <w:vAlign w:val="center"/>
          </w:tcPr>
          <w:p w14:paraId="70EDE3FC">
            <w:pPr>
              <w:spacing w:line="240" w:lineRule="auto"/>
              <w:jc w:val="center"/>
              <w:rPr>
                <w:rFonts w:ascii="宋体" w:hAnsi="宋体" w:eastAsia="宋体" w:cs="Times New Roman"/>
                <w:color w:val="000000"/>
                <w:szCs w:val="21"/>
              </w:rPr>
            </w:pPr>
            <w:r>
              <w:rPr>
                <w:rFonts w:hint="eastAsia" w:ascii="宋体" w:hAnsi="宋体" w:eastAsia="宋体" w:cs="Times New Roman"/>
                <w:color w:val="000000"/>
                <w:szCs w:val="21"/>
              </w:rPr>
              <w:t>16</w:t>
            </w:r>
          </w:p>
        </w:tc>
      </w:tr>
      <w:tr w14:paraId="336E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C1075D7">
            <w:pPr>
              <w:spacing w:line="240" w:lineRule="auto"/>
              <w:jc w:val="center"/>
              <w:rPr>
                <w:rFonts w:ascii="宋体" w:hAnsi="宋体" w:eastAsia="宋体" w:cs="Times New Roman"/>
                <w:color w:val="000000"/>
                <w:szCs w:val="21"/>
              </w:rPr>
            </w:pPr>
          </w:p>
        </w:tc>
        <w:tc>
          <w:tcPr>
            <w:tcW w:w="8190" w:type="dxa"/>
            <w:gridSpan w:val="6"/>
            <w:vAlign w:val="center"/>
          </w:tcPr>
          <w:p w14:paraId="0E8585E9">
            <w:pPr>
              <w:spacing w:line="240" w:lineRule="auto"/>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szCs w:val="21"/>
              </w:rPr>
              <w:t>注重理论联系实际，尊重客观规律，树立社会主义核心价值观，增强专业素养，强调理论对实践的指导意义。</w:t>
            </w:r>
          </w:p>
        </w:tc>
      </w:tr>
      <w:tr w14:paraId="1173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dxa"/>
          <w:jc w:val="center"/>
        </w:trPr>
        <w:tc>
          <w:tcPr>
            <w:tcW w:w="1205" w:type="dxa"/>
            <w:vMerge w:val="restart"/>
            <w:vAlign w:val="center"/>
          </w:tcPr>
          <w:p w14:paraId="42E39DE8">
            <w:pPr>
              <w:spacing w:line="240" w:lineRule="auto"/>
              <w:jc w:val="center"/>
              <w:rPr>
                <w:rFonts w:ascii="宋体" w:hAnsi="宋体" w:eastAsia="宋体" w:cs="Times New Roman"/>
                <w:color w:val="000000"/>
                <w:szCs w:val="21"/>
              </w:rPr>
            </w:pPr>
            <w:r>
              <w:rPr>
                <w:rFonts w:hint="eastAsia" w:ascii="宋体" w:hAnsi="宋体" w:eastAsia="宋体" w:cs="Times New Roman"/>
                <w:color w:val="000000"/>
                <w:szCs w:val="21"/>
              </w:rPr>
              <w:t>2.线性变换</w:t>
            </w:r>
          </w:p>
        </w:tc>
        <w:tc>
          <w:tcPr>
            <w:tcW w:w="2756" w:type="dxa"/>
            <w:vAlign w:val="center"/>
          </w:tcPr>
          <w:p w14:paraId="549D8D05">
            <w:pPr>
              <w:spacing w:line="240" w:lineRule="auto"/>
              <w:jc w:val="left"/>
              <w:rPr>
                <w:rFonts w:ascii="宋体" w:hAnsi="宋体" w:eastAsia="宋体"/>
                <w:color w:val="06071F"/>
                <w:szCs w:val="21"/>
                <w:shd w:val="clear" w:color="auto" w:fill="FDFDFE"/>
              </w:rPr>
            </w:pPr>
            <w:r>
              <w:rPr>
                <w:rFonts w:hint="eastAsia" w:ascii="宋体" w:hAnsi="宋体" w:eastAsia="宋体"/>
                <w:color w:val="06071F"/>
                <w:szCs w:val="21"/>
                <w:shd w:val="clear" w:color="auto" w:fill="FDFDFE"/>
              </w:rPr>
              <w:t>线性变换知识点：掌握其定义与判定，熟知恒等、零、数乘等例子；理解运算规则（加法、数乘、乘法及逆变换）；学会矩阵表示，明晰基变换与相似矩阵；能求特征值、向量，判断并实现线性变换对角化。</w:t>
            </w:r>
          </w:p>
          <w:p w14:paraId="3F6E4210">
            <w:pPr>
              <w:spacing w:line="240" w:lineRule="auto"/>
              <w:jc w:val="left"/>
              <w:rPr>
                <w:rFonts w:ascii="宋体" w:hAnsi="宋体" w:eastAsia="宋体" w:cs="Times New Roman"/>
                <w:color w:val="000000"/>
                <w:szCs w:val="21"/>
              </w:rPr>
            </w:pPr>
            <w:r>
              <w:rPr>
                <w:rFonts w:hint="eastAsia" w:ascii="宋体" w:hAnsi="宋体" w:eastAsia="宋体" w:cs="Times New Roman"/>
                <w:color w:val="000000"/>
                <w:szCs w:val="21"/>
              </w:rPr>
              <w:t>重点难点：</w:t>
            </w:r>
          </w:p>
          <w:p w14:paraId="03E93D54">
            <w:pPr>
              <w:spacing w:line="240" w:lineRule="auto"/>
              <w:jc w:val="left"/>
              <w:rPr>
                <w:rFonts w:ascii="宋体" w:hAnsi="宋体" w:eastAsia="宋体" w:cs="Times New Roman"/>
                <w:color w:val="000000"/>
                <w:szCs w:val="21"/>
              </w:rPr>
            </w:pPr>
            <w:r>
              <w:rPr>
                <w:rFonts w:hint="eastAsia" w:ascii="宋体" w:hAnsi="宋体" w:eastAsia="宋体" w:cs="Times New Roman"/>
                <w:szCs w:val="21"/>
              </w:rPr>
              <w:t>矩阵</w:t>
            </w:r>
            <w:r>
              <w:rPr>
                <w:rFonts w:ascii="宋体" w:hAnsi="宋体" w:eastAsia="宋体" w:cs="Times New Roman"/>
                <w:szCs w:val="21"/>
              </w:rPr>
              <w:t>可对角化的充要条件以及矩阵的对角化</w:t>
            </w:r>
            <w:r>
              <w:rPr>
                <w:rFonts w:ascii="宋体" w:hAnsi="宋体" w:eastAsia="宋体" w:cs="Times New Roman"/>
                <w:color w:val="000000"/>
                <w:szCs w:val="21"/>
              </w:rPr>
              <w:t>。</w:t>
            </w:r>
          </w:p>
        </w:tc>
        <w:tc>
          <w:tcPr>
            <w:tcW w:w="1125" w:type="dxa"/>
            <w:vAlign w:val="center"/>
          </w:tcPr>
          <w:p w14:paraId="25E26701">
            <w:pPr>
              <w:spacing w:line="240"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025" w:type="dxa"/>
            <w:vAlign w:val="center"/>
          </w:tcPr>
          <w:p w14:paraId="1F6F4AA9">
            <w:pPr>
              <w:spacing w:line="240" w:lineRule="auto"/>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能够理解</w:t>
            </w:r>
            <w:r>
              <w:rPr>
                <w:rFonts w:ascii="宋体" w:hAnsi="宋体" w:eastAsia="宋体" w:cs="Times New Roman"/>
                <w:szCs w:val="21"/>
              </w:rPr>
              <w:t>线性变换的定义、运算及性质</w:t>
            </w:r>
          </w:p>
          <w:p w14:paraId="0B8FE6C7">
            <w:pPr>
              <w:spacing w:line="240" w:lineRule="auto"/>
              <w:rPr>
                <w:rFonts w:ascii="宋体" w:hAnsi="宋体" w:eastAsia="宋体" w:cs="Times New Roman"/>
                <w:color w:val="000000"/>
                <w:szCs w:val="21"/>
              </w:rPr>
            </w:pPr>
            <w:r>
              <w:rPr>
                <w:rFonts w:ascii="宋体" w:hAnsi="宋体" w:eastAsia="宋体" w:cs="Times New Roman"/>
                <w:color w:val="000000"/>
                <w:szCs w:val="21"/>
              </w:rPr>
              <w:t>（2）能够理解</w:t>
            </w:r>
            <w:r>
              <w:rPr>
                <w:rFonts w:ascii="宋体" w:hAnsi="宋体" w:eastAsia="宋体" w:cs="Times New Roman"/>
                <w:szCs w:val="21"/>
              </w:rPr>
              <w:t>线性变换取定之后，空间的基底与矩阵的关系</w:t>
            </w:r>
          </w:p>
          <w:p w14:paraId="2A95084E">
            <w:pPr>
              <w:spacing w:line="240" w:lineRule="auto"/>
              <w:rPr>
                <w:rFonts w:ascii="宋体" w:hAnsi="宋体" w:eastAsia="宋体" w:cs="Times New Roman"/>
                <w:color w:val="000000"/>
                <w:szCs w:val="21"/>
              </w:rPr>
            </w:pPr>
            <w:r>
              <w:rPr>
                <w:rFonts w:ascii="宋体" w:hAnsi="宋体" w:eastAsia="宋体" w:cs="Times New Roman"/>
                <w:color w:val="000000"/>
                <w:szCs w:val="21"/>
              </w:rPr>
              <w:t>（3）能够理解</w:t>
            </w:r>
            <w:r>
              <w:rPr>
                <w:rFonts w:ascii="宋体" w:hAnsi="宋体" w:eastAsia="宋体" w:cs="Times New Roman"/>
                <w:szCs w:val="21"/>
              </w:rPr>
              <w:t>相似矩阵，相似变换的定义</w:t>
            </w:r>
          </w:p>
          <w:p w14:paraId="326C7207">
            <w:pPr>
              <w:spacing w:line="240" w:lineRule="auto"/>
              <w:rPr>
                <w:rFonts w:ascii="宋体" w:hAnsi="宋体" w:eastAsia="宋体" w:cs="Times New Roman"/>
                <w:color w:val="000000"/>
                <w:szCs w:val="21"/>
              </w:rPr>
            </w:pPr>
            <w:r>
              <w:rPr>
                <w:rFonts w:ascii="宋体" w:hAnsi="宋体" w:eastAsia="宋体" w:cs="Times New Roman"/>
                <w:color w:val="000000"/>
                <w:szCs w:val="21"/>
              </w:rPr>
              <w:t>（4）能够掌握</w:t>
            </w:r>
            <w:r>
              <w:rPr>
                <w:rFonts w:ascii="宋体" w:hAnsi="宋体" w:eastAsia="宋体" w:cs="Times New Roman"/>
                <w:szCs w:val="21"/>
              </w:rPr>
              <w:t>矩阵的特征根、特征向量的定义及求法</w:t>
            </w:r>
          </w:p>
          <w:p w14:paraId="055F3A48">
            <w:pPr>
              <w:spacing w:line="240" w:lineRule="auto"/>
              <w:rPr>
                <w:rFonts w:ascii="宋体" w:hAnsi="宋体" w:eastAsia="宋体" w:cs="Times New Roman"/>
                <w:color w:val="000000"/>
                <w:szCs w:val="21"/>
              </w:rPr>
            </w:pPr>
            <w:r>
              <w:rPr>
                <w:rFonts w:ascii="宋体" w:hAnsi="宋体" w:eastAsia="宋体" w:cs="Times New Roman"/>
                <w:color w:val="000000"/>
                <w:szCs w:val="21"/>
              </w:rPr>
              <w:t>（5）能够掌握</w:t>
            </w:r>
            <w:r>
              <w:rPr>
                <w:rFonts w:ascii="宋体" w:hAnsi="宋体" w:eastAsia="宋体" w:cs="Times New Roman"/>
                <w:szCs w:val="21"/>
              </w:rPr>
              <w:t>矩阵对角化的条件及有关结论</w:t>
            </w:r>
          </w:p>
          <w:p w14:paraId="19062DCD">
            <w:pPr>
              <w:spacing w:line="240" w:lineRule="auto"/>
              <w:jc w:val="left"/>
              <w:rPr>
                <w:rFonts w:ascii="宋体" w:hAnsi="宋体" w:eastAsia="宋体" w:cs="Times New Roman"/>
                <w:color w:val="000000"/>
                <w:szCs w:val="21"/>
              </w:rPr>
            </w:pPr>
          </w:p>
        </w:tc>
        <w:tc>
          <w:tcPr>
            <w:tcW w:w="823" w:type="dxa"/>
            <w:vAlign w:val="center"/>
          </w:tcPr>
          <w:p w14:paraId="1D17CA32">
            <w:pPr>
              <w:spacing w:line="240" w:lineRule="auto"/>
              <w:jc w:val="left"/>
              <w:rPr>
                <w:rFonts w:ascii="宋体" w:hAnsi="宋体" w:eastAsia="宋体" w:cs="Times New Roman"/>
                <w:color w:val="000000"/>
                <w:szCs w:val="21"/>
              </w:rPr>
            </w:pPr>
            <w:r>
              <w:rPr>
                <w:rFonts w:hint="eastAsia" w:ascii="宋体" w:hAnsi="宋体" w:eastAsia="宋体" w:cs="Times New Roman"/>
                <w:color w:val="000000"/>
                <w:szCs w:val="21"/>
              </w:rPr>
              <w:t>讲授</w:t>
            </w:r>
          </w:p>
        </w:tc>
        <w:tc>
          <w:tcPr>
            <w:tcW w:w="439" w:type="dxa"/>
            <w:vAlign w:val="center"/>
          </w:tcPr>
          <w:p w14:paraId="34B4A6E6">
            <w:pPr>
              <w:spacing w:line="240" w:lineRule="auto"/>
              <w:jc w:val="center"/>
              <w:rPr>
                <w:rFonts w:ascii="宋体" w:hAnsi="宋体" w:eastAsia="宋体" w:cs="Times New Roman"/>
                <w:color w:val="000000"/>
                <w:szCs w:val="21"/>
              </w:rPr>
            </w:pPr>
            <w:r>
              <w:rPr>
                <w:rFonts w:hint="eastAsia" w:ascii="宋体" w:hAnsi="宋体" w:eastAsia="宋体" w:cs="Times New Roman"/>
                <w:color w:val="000000"/>
                <w:szCs w:val="21"/>
              </w:rPr>
              <w:t>16</w:t>
            </w:r>
          </w:p>
        </w:tc>
      </w:tr>
      <w:tr w14:paraId="1D20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8A8DA8B">
            <w:pPr>
              <w:spacing w:line="240" w:lineRule="auto"/>
              <w:jc w:val="center"/>
              <w:rPr>
                <w:rFonts w:ascii="宋体" w:hAnsi="宋体" w:eastAsia="宋体" w:cs="Times New Roman"/>
                <w:color w:val="000000"/>
                <w:szCs w:val="21"/>
              </w:rPr>
            </w:pPr>
          </w:p>
        </w:tc>
        <w:tc>
          <w:tcPr>
            <w:tcW w:w="8190" w:type="dxa"/>
            <w:gridSpan w:val="6"/>
            <w:vAlign w:val="center"/>
          </w:tcPr>
          <w:p w14:paraId="20D4C1EB">
            <w:pPr>
              <w:spacing w:line="240" w:lineRule="auto"/>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szCs w:val="21"/>
              </w:rPr>
              <w:t>注重理论联系实际，尊重客观规律，树立社会主义核心价值观，增强专业素养，强调理论对实践的指导意义。</w:t>
            </w:r>
          </w:p>
        </w:tc>
      </w:tr>
      <w:tr w14:paraId="1A0B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dxa"/>
          <w:jc w:val="center"/>
        </w:trPr>
        <w:tc>
          <w:tcPr>
            <w:tcW w:w="1205" w:type="dxa"/>
            <w:vMerge w:val="restart"/>
            <w:vAlign w:val="center"/>
          </w:tcPr>
          <w:p w14:paraId="71163EC9">
            <w:pPr>
              <w:spacing w:line="240" w:lineRule="auto"/>
              <w:jc w:val="center"/>
              <w:rPr>
                <w:rFonts w:ascii="宋体" w:hAnsi="宋体" w:eastAsia="宋体" w:cs="Times New Roman"/>
                <w:color w:val="000000"/>
                <w:szCs w:val="21"/>
              </w:rPr>
            </w:pPr>
            <w:r>
              <w:rPr>
                <w:rFonts w:hint="eastAsia" w:ascii="宋体" w:hAnsi="宋体" w:eastAsia="宋体" w:cs="Times New Roman"/>
                <w:color w:val="000000"/>
                <w:szCs w:val="21"/>
              </w:rPr>
              <w:t>3.欧几里得空间</w:t>
            </w:r>
          </w:p>
        </w:tc>
        <w:tc>
          <w:tcPr>
            <w:tcW w:w="2756" w:type="dxa"/>
            <w:vAlign w:val="center"/>
          </w:tcPr>
          <w:p w14:paraId="0F924FEC">
            <w:pPr>
              <w:widowControl/>
              <w:spacing w:line="240" w:lineRule="auto"/>
              <w:jc w:val="left"/>
              <w:rPr>
                <w:rFonts w:hint="eastAsia" w:ascii="宋体" w:hAnsi="宋体" w:eastAsia="宋体"/>
                <w:color w:val="06071F"/>
                <w:kern w:val="0"/>
                <w:szCs w:val="21"/>
              </w:rPr>
            </w:pPr>
            <w:r>
              <w:rPr>
                <w:rFonts w:hint="eastAsia" w:ascii="宋体" w:hAnsi="宋体" w:eastAsia="宋体"/>
                <w:color w:val="06071F"/>
                <w:szCs w:val="21"/>
              </w:rPr>
              <w:t>实数域上有限维向量空间，配有内积运算，满足对称、正定、双线性等性质，如三维物理空间配标准点积即为欧氏空间。内积诱导范数，满足三角不等式，向量夹角、长度等几何量可定义。</w:t>
            </w:r>
          </w:p>
          <w:p w14:paraId="570C7F3F">
            <w:pPr>
              <w:spacing w:line="240" w:lineRule="auto"/>
              <w:jc w:val="left"/>
              <w:rPr>
                <w:rFonts w:ascii="宋体" w:hAnsi="宋体" w:eastAsia="宋体" w:cs="Times New Roman"/>
                <w:color w:val="000000"/>
                <w:szCs w:val="21"/>
              </w:rPr>
            </w:pPr>
            <w:r>
              <w:rPr>
                <w:rFonts w:hint="eastAsia" w:ascii="宋体" w:hAnsi="宋体" w:eastAsia="宋体" w:cs="Times New Roman"/>
                <w:color w:val="000000"/>
                <w:szCs w:val="21"/>
              </w:rPr>
              <w:t>重点难点：</w:t>
            </w:r>
          </w:p>
          <w:p w14:paraId="157A706D">
            <w:pPr>
              <w:spacing w:line="240" w:lineRule="auto"/>
              <w:jc w:val="left"/>
              <w:rPr>
                <w:rFonts w:ascii="宋体" w:hAnsi="宋体" w:eastAsia="宋体" w:cs="Times New Roman"/>
                <w:color w:val="000000"/>
                <w:szCs w:val="21"/>
              </w:rPr>
            </w:pPr>
            <w:r>
              <w:rPr>
                <w:rFonts w:ascii="宋体" w:hAnsi="宋体" w:eastAsia="宋体" w:cs="Times New Roman"/>
                <w:szCs w:val="21"/>
              </w:rPr>
              <w:t>正交变换与对称变换，化实对称阵为对角形矩阵</w:t>
            </w:r>
            <w:r>
              <w:rPr>
                <w:rFonts w:ascii="宋体" w:hAnsi="宋体" w:eastAsia="宋体" w:cs="Times New Roman"/>
                <w:color w:val="000000"/>
                <w:szCs w:val="21"/>
              </w:rPr>
              <w:t>。</w:t>
            </w:r>
          </w:p>
        </w:tc>
        <w:tc>
          <w:tcPr>
            <w:tcW w:w="1125" w:type="dxa"/>
            <w:vAlign w:val="center"/>
          </w:tcPr>
          <w:p w14:paraId="1537C597">
            <w:pPr>
              <w:spacing w:line="240"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w:t>
            </w:r>
          </w:p>
        </w:tc>
        <w:tc>
          <w:tcPr>
            <w:tcW w:w="3025" w:type="dxa"/>
            <w:vAlign w:val="center"/>
          </w:tcPr>
          <w:p w14:paraId="16832693">
            <w:pPr>
              <w:spacing w:line="240" w:lineRule="auto"/>
              <w:rPr>
                <w:rFonts w:ascii="宋体" w:hAnsi="宋体" w:eastAsia="宋体" w:cs="Times New Roman"/>
                <w:szCs w:val="21"/>
              </w:rPr>
            </w:pPr>
            <w:r>
              <w:rPr>
                <w:rFonts w:ascii="宋体" w:hAnsi="宋体" w:eastAsia="宋体" w:cs="Times New Roman"/>
                <w:color w:val="000000"/>
                <w:szCs w:val="21"/>
              </w:rPr>
              <w:t>（1）能够理解</w:t>
            </w:r>
            <w:r>
              <w:rPr>
                <w:rFonts w:ascii="宋体" w:hAnsi="宋体" w:eastAsia="宋体" w:cs="Times New Roman"/>
                <w:szCs w:val="21"/>
              </w:rPr>
              <w:t>内积的定义及性质，向量长度，夹角，距离的定义及计算公式</w:t>
            </w:r>
          </w:p>
          <w:p w14:paraId="406B9B50">
            <w:pPr>
              <w:spacing w:line="240" w:lineRule="auto"/>
              <w:rPr>
                <w:rFonts w:ascii="宋体" w:hAnsi="宋体" w:eastAsia="宋体" w:cs="Times New Roman"/>
                <w:color w:val="000000"/>
                <w:szCs w:val="21"/>
              </w:rPr>
            </w:pPr>
            <w:r>
              <w:rPr>
                <w:rFonts w:ascii="宋体" w:hAnsi="宋体" w:eastAsia="宋体" w:cs="Times New Roman"/>
                <w:color w:val="000000"/>
                <w:szCs w:val="21"/>
              </w:rPr>
              <w:t>（2）能够理解</w:t>
            </w:r>
            <w:r>
              <w:rPr>
                <w:rFonts w:ascii="宋体" w:hAnsi="宋体" w:eastAsia="宋体" w:cs="Times New Roman"/>
                <w:szCs w:val="21"/>
              </w:rPr>
              <w:t>向量正交的定义，单位向量的定义</w:t>
            </w:r>
          </w:p>
          <w:p w14:paraId="7B321198">
            <w:pPr>
              <w:spacing w:line="240" w:lineRule="auto"/>
              <w:rPr>
                <w:rFonts w:ascii="宋体" w:hAnsi="宋体" w:eastAsia="宋体" w:cs="Times New Roman"/>
                <w:color w:val="000000"/>
                <w:szCs w:val="21"/>
              </w:rPr>
            </w:pPr>
            <w:r>
              <w:rPr>
                <w:rFonts w:ascii="宋体" w:hAnsi="宋体" w:eastAsia="宋体" w:cs="Times New Roman"/>
                <w:color w:val="000000"/>
                <w:szCs w:val="21"/>
              </w:rPr>
              <w:t>（3）能够理解</w:t>
            </w:r>
            <w:r>
              <w:rPr>
                <w:rFonts w:ascii="宋体" w:hAnsi="宋体" w:eastAsia="宋体" w:cs="Times New Roman"/>
                <w:szCs w:val="21"/>
              </w:rPr>
              <w:t>向量单位化的方法</w:t>
            </w:r>
          </w:p>
          <w:p w14:paraId="4AD9E3A3">
            <w:pPr>
              <w:spacing w:line="240" w:lineRule="auto"/>
              <w:rPr>
                <w:rFonts w:ascii="宋体" w:hAnsi="宋体" w:eastAsia="宋体" w:cs="Times New Roman"/>
                <w:color w:val="000000"/>
                <w:szCs w:val="21"/>
              </w:rPr>
            </w:pPr>
            <w:r>
              <w:rPr>
                <w:rFonts w:ascii="宋体" w:hAnsi="宋体" w:eastAsia="宋体" w:cs="Times New Roman"/>
                <w:color w:val="000000"/>
                <w:szCs w:val="21"/>
              </w:rPr>
              <w:t>（4）能够理解</w:t>
            </w:r>
            <w:r>
              <w:rPr>
                <w:rFonts w:ascii="宋体" w:hAnsi="宋体" w:eastAsia="宋体" w:cs="Times New Roman"/>
                <w:szCs w:val="21"/>
              </w:rPr>
              <w:t>向量组正交与线性无关的关系</w:t>
            </w:r>
          </w:p>
          <w:p w14:paraId="23FEC1F4">
            <w:pPr>
              <w:spacing w:line="240" w:lineRule="auto"/>
              <w:rPr>
                <w:rFonts w:ascii="宋体" w:hAnsi="宋体" w:eastAsia="宋体" w:cs="Times New Roman"/>
                <w:color w:val="000000"/>
                <w:szCs w:val="21"/>
              </w:rPr>
            </w:pPr>
            <w:r>
              <w:rPr>
                <w:rFonts w:ascii="宋体" w:hAnsi="宋体" w:eastAsia="宋体" w:cs="Times New Roman"/>
                <w:color w:val="000000"/>
                <w:szCs w:val="21"/>
              </w:rPr>
              <w:t>（5）能够理解</w:t>
            </w:r>
            <w:r>
              <w:rPr>
                <w:rFonts w:ascii="宋体" w:hAnsi="宋体" w:eastAsia="宋体" w:cs="Times New Roman"/>
                <w:szCs w:val="21"/>
              </w:rPr>
              <w:t>标准正交基的定义及等价命题</w:t>
            </w:r>
          </w:p>
          <w:p w14:paraId="7F636A07">
            <w:pPr>
              <w:spacing w:line="240" w:lineRule="auto"/>
              <w:rPr>
                <w:rFonts w:ascii="宋体" w:hAnsi="宋体" w:eastAsia="宋体" w:cs="Times New Roman"/>
                <w:color w:val="000000"/>
                <w:szCs w:val="21"/>
              </w:rPr>
            </w:pPr>
            <w:r>
              <w:rPr>
                <w:rFonts w:ascii="宋体" w:hAnsi="宋体" w:eastAsia="宋体" w:cs="Times New Roman"/>
                <w:color w:val="000000"/>
                <w:szCs w:val="21"/>
              </w:rPr>
              <w:t>（6）能够掌握</w:t>
            </w:r>
            <w:r>
              <w:rPr>
                <w:rFonts w:ascii="宋体" w:hAnsi="宋体" w:eastAsia="宋体" w:cs="Times New Roman"/>
                <w:szCs w:val="21"/>
              </w:rPr>
              <w:t>线性无关向量组正交化，单位化的方法</w:t>
            </w:r>
          </w:p>
          <w:p w14:paraId="23E79E2F">
            <w:pPr>
              <w:spacing w:line="240" w:lineRule="auto"/>
              <w:rPr>
                <w:rFonts w:ascii="宋体" w:hAnsi="宋体" w:eastAsia="宋体" w:cs="Times New Roman"/>
                <w:color w:val="000000"/>
                <w:szCs w:val="21"/>
              </w:rPr>
            </w:pPr>
            <w:r>
              <w:rPr>
                <w:rFonts w:ascii="宋体" w:hAnsi="宋体" w:eastAsia="宋体" w:cs="Times New Roman"/>
                <w:color w:val="000000"/>
                <w:szCs w:val="21"/>
              </w:rPr>
              <w:t>（7）能够掌握</w:t>
            </w:r>
            <w:r>
              <w:rPr>
                <w:rFonts w:ascii="宋体" w:hAnsi="宋体" w:eastAsia="宋体" w:cs="Times New Roman"/>
                <w:szCs w:val="21"/>
              </w:rPr>
              <w:t>子空间正交的定义及子空间的正交补的定义</w:t>
            </w:r>
          </w:p>
          <w:p w14:paraId="07AC2C7F">
            <w:pPr>
              <w:spacing w:line="240" w:lineRule="auto"/>
              <w:rPr>
                <w:rFonts w:ascii="宋体" w:hAnsi="宋体" w:eastAsia="宋体" w:cs="Times New Roman"/>
                <w:color w:val="000000"/>
                <w:szCs w:val="21"/>
              </w:rPr>
            </w:pPr>
            <w:r>
              <w:rPr>
                <w:rFonts w:ascii="宋体" w:hAnsi="宋体" w:eastAsia="宋体" w:cs="Times New Roman"/>
                <w:color w:val="000000"/>
                <w:szCs w:val="21"/>
              </w:rPr>
              <w:t>（8）能够掌握</w:t>
            </w:r>
            <w:r>
              <w:rPr>
                <w:rFonts w:ascii="宋体" w:hAnsi="宋体" w:eastAsia="宋体" w:cs="Times New Roman"/>
                <w:szCs w:val="21"/>
              </w:rPr>
              <w:t>把欧氏空间的任一单位正交向量组扩充为空间的标准正交基</w:t>
            </w:r>
          </w:p>
          <w:p w14:paraId="7333B92F">
            <w:pPr>
              <w:spacing w:line="240" w:lineRule="auto"/>
              <w:rPr>
                <w:rFonts w:ascii="宋体" w:hAnsi="宋体" w:eastAsia="宋体" w:cs="Times New Roman"/>
                <w:color w:val="000000"/>
                <w:szCs w:val="21"/>
              </w:rPr>
            </w:pPr>
            <w:r>
              <w:rPr>
                <w:rFonts w:ascii="宋体" w:hAnsi="宋体" w:eastAsia="宋体" w:cs="Times New Roman"/>
                <w:color w:val="000000"/>
                <w:szCs w:val="21"/>
              </w:rPr>
              <w:t>（9）能够理解</w:t>
            </w:r>
            <w:r>
              <w:rPr>
                <w:rFonts w:ascii="宋体" w:hAnsi="宋体" w:eastAsia="宋体" w:cs="Times New Roman"/>
                <w:szCs w:val="21"/>
              </w:rPr>
              <w:t>正交变换的定义及等价命题</w:t>
            </w:r>
          </w:p>
          <w:p w14:paraId="225430FE">
            <w:pPr>
              <w:spacing w:line="240" w:lineRule="auto"/>
              <w:rPr>
                <w:rFonts w:ascii="宋体" w:hAnsi="宋体" w:eastAsia="宋体" w:cs="Times New Roman"/>
                <w:szCs w:val="21"/>
              </w:rPr>
            </w:pPr>
            <w:r>
              <w:rPr>
                <w:rFonts w:ascii="宋体" w:hAnsi="宋体" w:eastAsia="宋体" w:cs="Times New Roman"/>
                <w:color w:val="000000"/>
                <w:szCs w:val="21"/>
              </w:rPr>
              <w:t>（10）能够理解</w:t>
            </w:r>
            <w:r>
              <w:rPr>
                <w:rFonts w:ascii="宋体" w:hAnsi="宋体" w:eastAsia="宋体" w:cs="Times New Roman"/>
                <w:szCs w:val="21"/>
              </w:rPr>
              <w:t>对称变换的定义及等价命题</w:t>
            </w:r>
          </w:p>
          <w:p w14:paraId="5E4C02D5">
            <w:pPr>
              <w:spacing w:line="240" w:lineRule="auto"/>
              <w:rPr>
                <w:rFonts w:hint="eastAsia" w:ascii="宋体" w:hAnsi="宋体" w:eastAsia="宋体" w:cs="Times New Roman"/>
                <w:b/>
                <w:color w:val="000000"/>
                <w:szCs w:val="21"/>
              </w:rPr>
            </w:pPr>
            <w:r>
              <w:rPr>
                <w:rFonts w:ascii="宋体" w:hAnsi="宋体" w:eastAsia="宋体" w:cs="Times New Roman"/>
                <w:color w:val="000000"/>
                <w:szCs w:val="21"/>
              </w:rPr>
              <w:t>（11）能够掌握</w:t>
            </w:r>
            <w:r>
              <w:rPr>
                <w:rFonts w:ascii="宋体" w:hAnsi="宋体" w:eastAsia="宋体" w:cs="Times New Roman"/>
                <w:szCs w:val="21"/>
              </w:rPr>
              <w:t>化实对称阵为对角形矩阵</w:t>
            </w:r>
          </w:p>
        </w:tc>
        <w:tc>
          <w:tcPr>
            <w:tcW w:w="823" w:type="dxa"/>
            <w:vAlign w:val="center"/>
          </w:tcPr>
          <w:p w14:paraId="25158AD5">
            <w:pPr>
              <w:spacing w:line="240" w:lineRule="auto"/>
              <w:jc w:val="left"/>
              <w:rPr>
                <w:rFonts w:ascii="宋体" w:hAnsi="宋体" w:eastAsia="宋体" w:cs="Times New Roman"/>
                <w:color w:val="000000"/>
                <w:szCs w:val="21"/>
              </w:rPr>
            </w:pPr>
            <w:r>
              <w:rPr>
                <w:rFonts w:hint="eastAsia" w:ascii="宋体" w:hAnsi="宋体" w:eastAsia="宋体" w:cs="Times New Roman"/>
                <w:color w:val="000000"/>
                <w:szCs w:val="21"/>
              </w:rPr>
              <w:t>讲授</w:t>
            </w:r>
          </w:p>
        </w:tc>
        <w:tc>
          <w:tcPr>
            <w:tcW w:w="439" w:type="dxa"/>
            <w:vAlign w:val="center"/>
          </w:tcPr>
          <w:p w14:paraId="467BE4F8">
            <w:pPr>
              <w:spacing w:line="240" w:lineRule="auto"/>
              <w:jc w:val="center"/>
              <w:rPr>
                <w:rFonts w:ascii="宋体" w:hAnsi="宋体" w:eastAsia="宋体" w:cs="Times New Roman"/>
                <w:color w:val="000000"/>
                <w:szCs w:val="21"/>
              </w:rPr>
            </w:pPr>
            <w:r>
              <w:rPr>
                <w:rFonts w:hint="eastAsia" w:ascii="宋体" w:hAnsi="宋体" w:eastAsia="宋体" w:cs="Times New Roman"/>
                <w:color w:val="000000"/>
                <w:szCs w:val="21"/>
              </w:rPr>
              <w:t>16</w:t>
            </w:r>
          </w:p>
        </w:tc>
      </w:tr>
      <w:tr w14:paraId="01AA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559071F">
            <w:pPr>
              <w:spacing w:line="240" w:lineRule="auto"/>
              <w:jc w:val="center"/>
              <w:rPr>
                <w:rFonts w:ascii="宋体" w:hAnsi="宋体" w:eastAsia="宋体" w:cs="Times New Roman"/>
                <w:color w:val="000000"/>
                <w:szCs w:val="21"/>
              </w:rPr>
            </w:pPr>
          </w:p>
        </w:tc>
        <w:tc>
          <w:tcPr>
            <w:tcW w:w="8190" w:type="dxa"/>
            <w:gridSpan w:val="6"/>
            <w:vAlign w:val="center"/>
          </w:tcPr>
          <w:p w14:paraId="5373199C">
            <w:pPr>
              <w:spacing w:line="240" w:lineRule="auto"/>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szCs w:val="21"/>
              </w:rPr>
              <w:t>注重理论联系实际，尊重客观规律，树立社会主义核心价值观，增强专业素养，强调理论对实践的指导意义。</w:t>
            </w:r>
          </w:p>
        </w:tc>
      </w:tr>
      <w:tr w14:paraId="16EE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dxa"/>
          <w:jc w:val="center"/>
        </w:trPr>
        <w:tc>
          <w:tcPr>
            <w:tcW w:w="1205" w:type="dxa"/>
            <w:vMerge w:val="restart"/>
            <w:vAlign w:val="center"/>
          </w:tcPr>
          <w:p w14:paraId="7FF24CA7">
            <w:pPr>
              <w:spacing w:line="240" w:lineRule="auto"/>
              <w:jc w:val="center"/>
              <w:rPr>
                <w:rFonts w:ascii="宋体" w:hAnsi="宋体" w:eastAsia="宋体" w:cs="Times New Roman"/>
                <w:color w:val="000000"/>
                <w:szCs w:val="21"/>
              </w:rPr>
            </w:pPr>
            <w:r>
              <w:rPr>
                <w:rFonts w:hint="eastAsia" w:ascii="宋体" w:hAnsi="宋体" w:eastAsia="宋体" w:cs="Times New Roman"/>
                <w:color w:val="000000"/>
                <w:szCs w:val="21"/>
              </w:rPr>
              <w:t>4.二次型</w:t>
            </w:r>
          </w:p>
        </w:tc>
        <w:tc>
          <w:tcPr>
            <w:tcW w:w="2756" w:type="dxa"/>
            <w:vAlign w:val="center"/>
          </w:tcPr>
          <w:p w14:paraId="09923ABC">
            <w:pPr>
              <w:widowControl/>
              <w:spacing w:line="240" w:lineRule="auto"/>
              <w:jc w:val="left"/>
              <w:rPr>
                <w:rFonts w:hint="eastAsia" w:ascii="宋体" w:hAnsi="宋体" w:eastAsia="宋体"/>
                <w:color w:val="06071F"/>
                <w:kern w:val="0"/>
                <w:szCs w:val="21"/>
              </w:rPr>
            </w:pPr>
            <w:r>
              <w:rPr>
                <w:rStyle w:val="18"/>
                <w:rFonts w:ascii="宋体" w:hAnsi="宋体" w:eastAsia="宋体" w:cs="Segoe UI"/>
                <w:b w:val="0"/>
                <w:bCs w:val="0"/>
                <w:color w:val="06071F"/>
                <w:szCs w:val="21"/>
              </w:rPr>
              <w:t>概念引入</w:t>
            </w:r>
            <w:r>
              <w:rPr>
                <w:rFonts w:hint="eastAsia" w:ascii="宋体" w:hAnsi="宋体" w:eastAsia="宋体"/>
                <w:b/>
                <w:bCs/>
                <w:color w:val="06071F"/>
                <w:szCs w:val="21"/>
              </w:rPr>
              <w:t>：</w:t>
            </w:r>
            <w:r>
              <w:rPr>
                <w:rFonts w:hint="eastAsia" w:ascii="宋体" w:hAnsi="宋体" w:eastAsia="宋体"/>
                <w:color w:val="06071F"/>
                <w:szCs w:val="21"/>
              </w:rPr>
              <w:t>阐明二次型是含</w:t>
            </w:r>
            <w:r>
              <w:rPr>
                <w:rStyle w:val="48"/>
                <w:rFonts w:ascii="宋体" w:hAnsi="宋体" w:eastAsia="宋体" w:cs="Times New Roman"/>
                <w:i/>
                <w:iCs/>
                <w:color w:val="06071F"/>
                <w:szCs w:val="21"/>
              </w:rPr>
              <w:t>n</w:t>
            </w:r>
            <w:r>
              <w:rPr>
                <w:rFonts w:hint="eastAsia" w:ascii="宋体" w:hAnsi="宋体" w:eastAsia="宋体"/>
                <w:color w:val="06071F"/>
                <w:szCs w:val="21"/>
              </w:rPr>
              <w:t>个变量的二次齐次多项式，借助矩阵表示简化形式，揭示其与对称矩阵的一一对应。</w:t>
            </w:r>
            <w:r>
              <w:rPr>
                <w:rStyle w:val="18"/>
                <w:rFonts w:ascii="宋体" w:hAnsi="宋体" w:eastAsia="宋体" w:cs="Segoe UI"/>
                <w:b w:val="0"/>
                <w:bCs w:val="0"/>
                <w:color w:val="06071F"/>
                <w:szCs w:val="21"/>
              </w:rPr>
              <w:t>性质研究</w:t>
            </w:r>
            <w:r>
              <w:rPr>
                <w:rFonts w:hint="eastAsia" w:ascii="宋体" w:hAnsi="宋体" w:eastAsia="宋体"/>
                <w:b/>
                <w:bCs/>
                <w:color w:val="06071F"/>
                <w:szCs w:val="21"/>
              </w:rPr>
              <w:t>：</w:t>
            </w:r>
            <w:r>
              <w:rPr>
                <w:rFonts w:hint="eastAsia" w:ascii="宋体" w:hAnsi="宋体" w:eastAsia="宋体"/>
                <w:color w:val="06071F"/>
                <w:szCs w:val="21"/>
              </w:rPr>
              <w:t>讲解如何通过配方法、正交变换化二次型为标准形、规范形，强调惯性定律，说明正、负惯性指数反映二次型本质特征。</w:t>
            </w:r>
            <w:r>
              <w:rPr>
                <w:rStyle w:val="18"/>
                <w:rFonts w:ascii="宋体" w:hAnsi="宋体" w:eastAsia="宋体" w:cs="Segoe UI"/>
                <w:b w:val="0"/>
                <w:bCs w:val="0"/>
                <w:color w:val="06071F"/>
                <w:szCs w:val="21"/>
              </w:rPr>
              <w:t>实际应用</w:t>
            </w:r>
            <w:r>
              <w:rPr>
                <w:rFonts w:hint="eastAsia" w:ascii="宋体" w:hAnsi="宋体" w:eastAsia="宋体"/>
                <w:b/>
                <w:bCs/>
                <w:color w:val="06071F"/>
                <w:szCs w:val="21"/>
              </w:rPr>
              <w:t>：</w:t>
            </w:r>
            <w:r>
              <w:rPr>
                <w:rFonts w:hint="eastAsia" w:ascii="宋体" w:hAnsi="宋体" w:eastAsia="宋体"/>
                <w:color w:val="06071F"/>
                <w:szCs w:val="21"/>
              </w:rPr>
              <w:t>结合几何、物理等实例，展示二次型在优化、分类等问题中的关键作用 。</w:t>
            </w:r>
          </w:p>
          <w:p w14:paraId="269E34EC">
            <w:pPr>
              <w:spacing w:line="240" w:lineRule="auto"/>
              <w:jc w:val="left"/>
              <w:rPr>
                <w:rFonts w:ascii="宋体" w:hAnsi="宋体" w:eastAsia="宋体" w:cs="Times New Roman"/>
                <w:color w:val="000000"/>
                <w:szCs w:val="21"/>
              </w:rPr>
            </w:pPr>
            <w:r>
              <w:rPr>
                <w:rFonts w:hint="eastAsia" w:ascii="宋体" w:hAnsi="宋体" w:eastAsia="宋体" w:cs="Times New Roman"/>
                <w:color w:val="000000"/>
                <w:szCs w:val="21"/>
              </w:rPr>
              <w:t>重点难点：</w:t>
            </w:r>
          </w:p>
          <w:p w14:paraId="1E610CAA">
            <w:pPr>
              <w:spacing w:line="240" w:lineRule="auto"/>
              <w:rPr>
                <w:rFonts w:hint="eastAsia" w:ascii="宋体" w:hAnsi="宋体" w:eastAsia="宋体" w:cs="Times New Roman"/>
                <w:color w:val="000000"/>
                <w:szCs w:val="21"/>
              </w:rPr>
            </w:pPr>
            <w:r>
              <w:rPr>
                <w:rFonts w:ascii="宋体" w:hAnsi="宋体" w:eastAsia="宋体" w:cs="Times New Roman"/>
                <w:szCs w:val="21"/>
              </w:rPr>
              <w:t>化二次型为标准形</w:t>
            </w:r>
            <w:r>
              <w:rPr>
                <w:rFonts w:ascii="宋体" w:hAnsi="宋体" w:eastAsia="宋体" w:cs="Times New Roman"/>
                <w:color w:val="000000"/>
                <w:szCs w:val="21"/>
              </w:rPr>
              <w:t>。</w:t>
            </w:r>
          </w:p>
        </w:tc>
        <w:tc>
          <w:tcPr>
            <w:tcW w:w="1125" w:type="dxa"/>
            <w:vAlign w:val="center"/>
          </w:tcPr>
          <w:p w14:paraId="0C2FA1D0">
            <w:pPr>
              <w:spacing w:line="240"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课程目标2</w:t>
            </w:r>
          </w:p>
        </w:tc>
        <w:tc>
          <w:tcPr>
            <w:tcW w:w="3025" w:type="dxa"/>
            <w:vAlign w:val="center"/>
          </w:tcPr>
          <w:p w14:paraId="5236E0E5">
            <w:pPr>
              <w:spacing w:line="240" w:lineRule="auto"/>
              <w:rPr>
                <w:rFonts w:ascii="宋体" w:hAnsi="宋体" w:eastAsia="宋体" w:cs="Times New Roman"/>
                <w:color w:val="000000"/>
                <w:szCs w:val="21"/>
              </w:rPr>
            </w:pPr>
            <w:r>
              <w:rPr>
                <w:rFonts w:ascii="宋体" w:hAnsi="宋体" w:eastAsia="宋体" w:cs="Times New Roman"/>
                <w:color w:val="000000"/>
                <w:szCs w:val="21"/>
              </w:rPr>
              <w:t>（1）能够理解</w:t>
            </w:r>
            <w:r>
              <w:rPr>
                <w:rFonts w:ascii="宋体" w:hAnsi="宋体" w:eastAsia="宋体" w:cs="Times New Roman"/>
                <w:szCs w:val="21"/>
              </w:rPr>
              <w:t>二次型的定义及矩阵形式</w:t>
            </w:r>
          </w:p>
          <w:p w14:paraId="1E5E8EA1">
            <w:pPr>
              <w:spacing w:line="240" w:lineRule="auto"/>
              <w:rPr>
                <w:rFonts w:ascii="宋体" w:hAnsi="宋体" w:eastAsia="宋体" w:cs="Times New Roman"/>
                <w:color w:val="000000"/>
                <w:szCs w:val="21"/>
              </w:rPr>
            </w:pPr>
            <w:r>
              <w:rPr>
                <w:rFonts w:ascii="宋体" w:hAnsi="宋体" w:eastAsia="宋体" w:cs="Times New Roman"/>
                <w:color w:val="000000"/>
                <w:szCs w:val="21"/>
              </w:rPr>
              <w:t>（2）能够理解</w:t>
            </w:r>
            <w:r>
              <w:rPr>
                <w:rFonts w:ascii="宋体" w:hAnsi="宋体" w:eastAsia="宋体" w:cs="Times New Roman"/>
                <w:szCs w:val="21"/>
              </w:rPr>
              <w:t>非退化线性替换的定义</w:t>
            </w:r>
          </w:p>
          <w:p w14:paraId="2C927D5F">
            <w:pPr>
              <w:spacing w:line="240" w:lineRule="auto"/>
              <w:rPr>
                <w:rFonts w:ascii="宋体" w:hAnsi="宋体" w:eastAsia="宋体" w:cs="Times New Roman"/>
                <w:color w:val="000000"/>
                <w:szCs w:val="21"/>
              </w:rPr>
            </w:pPr>
            <w:r>
              <w:rPr>
                <w:rFonts w:ascii="宋体" w:hAnsi="宋体" w:eastAsia="宋体" w:cs="Times New Roman"/>
                <w:color w:val="000000"/>
                <w:szCs w:val="21"/>
              </w:rPr>
              <w:t>（3）能够理解</w:t>
            </w:r>
            <w:r>
              <w:rPr>
                <w:rFonts w:ascii="宋体" w:hAnsi="宋体" w:eastAsia="宋体" w:cs="Times New Roman"/>
                <w:szCs w:val="21"/>
              </w:rPr>
              <w:t>矩阵合同的定义</w:t>
            </w:r>
          </w:p>
          <w:p w14:paraId="0AE078E9">
            <w:pPr>
              <w:spacing w:line="240" w:lineRule="auto"/>
              <w:rPr>
                <w:rFonts w:ascii="宋体" w:hAnsi="宋体" w:eastAsia="宋体" w:cs="Times New Roman"/>
                <w:color w:val="000000"/>
                <w:szCs w:val="21"/>
              </w:rPr>
            </w:pPr>
            <w:r>
              <w:rPr>
                <w:rFonts w:ascii="宋体" w:hAnsi="宋体" w:eastAsia="宋体" w:cs="Times New Roman"/>
                <w:color w:val="000000"/>
                <w:szCs w:val="21"/>
              </w:rPr>
              <w:t>（4）能够掌握</w:t>
            </w:r>
            <w:r>
              <w:rPr>
                <w:rFonts w:ascii="宋体" w:hAnsi="宋体" w:eastAsia="宋体" w:cs="Times New Roman"/>
                <w:szCs w:val="21"/>
              </w:rPr>
              <w:t>化二次型为标准型、规范形</w:t>
            </w:r>
          </w:p>
          <w:p w14:paraId="608B3C7D">
            <w:pPr>
              <w:spacing w:line="240" w:lineRule="auto"/>
              <w:rPr>
                <w:rFonts w:ascii="宋体" w:hAnsi="宋体" w:eastAsia="宋体" w:cs="Times New Roman"/>
                <w:color w:val="000000"/>
                <w:szCs w:val="21"/>
              </w:rPr>
            </w:pPr>
            <w:r>
              <w:rPr>
                <w:rFonts w:ascii="宋体" w:hAnsi="宋体" w:eastAsia="宋体" w:cs="Times New Roman"/>
                <w:color w:val="000000"/>
                <w:szCs w:val="21"/>
              </w:rPr>
              <w:t>（5）能够掌握</w:t>
            </w:r>
            <w:r>
              <w:rPr>
                <w:rFonts w:ascii="宋体" w:hAnsi="宋体" w:eastAsia="宋体" w:cs="Times New Roman"/>
                <w:szCs w:val="21"/>
              </w:rPr>
              <w:t>复二次型、实二次型的规范形的表达式</w:t>
            </w:r>
          </w:p>
          <w:p w14:paraId="1A5F6A0D">
            <w:pPr>
              <w:spacing w:line="240" w:lineRule="auto"/>
              <w:rPr>
                <w:rFonts w:hint="eastAsia" w:ascii="宋体" w:hAnsi="宋体" w:eastAsia="宋体" w:cs="Times New Roman"/>
                <w:color w:val="000000"/>
                <w:szCs w:val="21"/>
              </w:rPr>
            </w:pPr>
            <w:r>
              <w:rPr>
                <w:rFonts w:ascii="宋体" w:hAnsi="宋体" w:eastAsia="宋体" w:cs="Times New Roman"/>
                <w:color w:val="000000"/>
                <w:szCs w:val="21"/>
              </w:rPr>
              <w:t>（6）能够理解</w:t>
            </w:r>
            <w:r>
              <w:rPr>
                <w:rFonts w:ascii="宋体" w:hAnsi="宋体" w:eastAsia="宋体" w:cs="Times New Roman"/>
                <w:szCs w:val="21"/>
              </w:rPr>
              <w:t>正定二次型（正定阵）的定义及等价命题</w:t>
            </w:r>
          </w:p>
        </w:tc>
        <w:tc>
          <w:tcPr>
            <w:tcW w:w="823" w:type="dxa"/>
            <w:vAlign w:val="center"/>
          </w:tcPr>
          <w:p w14:paraId="5974451F">
            <w:pPr>
              <w:spacing w:line="240" w:lineRule="auto"/>
              <w:jc w:val="left"/>
              <w:rPr>
                <w:rFonts w:ascii="宋体" w:hAnsi="宋体" w:eastAsia="宋体" w:cs="Times New Roman"/>
                <w:color w:val="000000"/>
                <w:szCs w:val="21"/>
              </w:rPr>
            </w:pPr>
            <w:r>
              <w:rPr>
                <w:rFonts w:hint="eastAsia" w:ascii="宋体" w:hAnsi="宋体" w:eastAsia="宋体" w:cs="Times New Roman"/>
                <w:color w:val="000000"/>
                <w:szCs w:val="21"/>
              </w:rPr>
              <w:t>讲授</w:t>
            </w:r>
          </w:p>
        </w:tc>
        <w:tc>
          <w:tcPr>
            <w:tcW w:w="439" w:type="dxa"/>
            <w:vAlign w:val="center"/>
          </w:tcPr>
          <w:p w14:paraId="5C8C8C47">
            <w:pPr>
              <w:spacing w:line="240" w:lineRule="auto"/>
              <w:jc w:val="center"/>
              <w:rPr>
                <w:rFonts w:ascii="宋体" w:hAnsi="宋体" w:eastAsia="宋体" w:cs="Times New Roman"/>
                <w:color w:val="000000"/>
                <w:szCs w:val="21"/>
              </w:rPr>
            </w:pPr>
            <w:r>
              <w:rPr>
                <w:rFonts w:hint="eastAsia" w:ascii="宋体" w:hAnsi="宋体" w:eastAsia="宋体" w:cs="Times New Roman"/>
                <w:color w:val="000000"/>
                <w:szCs w:val="21"/>
              </w:rPr>
              <w:t>16</w:t>
            </w:r>
          </w:p>
        </w:tc>
      </w:tr>
      <w:tr w14:paraId="649D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3F3CADD">
            <w:pPr>
              <w:spacing w:line="240" w:lineRule="auto"/>
              <w:jc w:val="center"/>
              <w:rPr>
                <w:rFonts w:ascii="宋体" w:hAnsi="宋体" w:eastAsia="宋体" w:cs="Times New Roman"/>
                <w:color w:val="000000"/>
                <w:szCs w:val="21"/>
              </w:rPr>
            </w:pPr>
          </w:p>
        </w:tc>
        <w:tc>
          <w:tcPr>
            <w:tcW w:w="8190" w:type="dxa"/>
            <w:gridSpan w:val="6"/>
            <w:vAlign w:val="center"/>
          </w:tcPr>
          <w:p w14:paraId="6B45821A">
            <w:pPr>
              <w:spacing w:line="240" w:lineRule="auto"/>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szCs w:val="21"/>
              </w:rPr>
              <w:t>注重理论联系实际，尊重客观规律，树立社会主义核心价值观，增强专业素养，强调理论对实践的指导意义。</w:t>
            </w:r>
          </w:p>
        </w:tc>
      </w:tr>
    </w:tbl>
    <w:p w14:paraId="7B01F2FB">
      <w:pPr>
        <w:spacing w:line="360" w:lineRule="auto"/>
        <w:jc w:val="left"/>
        <w:rPr>
          <w:rFonts w:ascii="Times New Roman" w:hAnsi="Times New Roman" w:eastAsia="宋体" w:cs="Times New Roman"/>
          <w:sz w:val="24"/>
          <w:szCs w:val="24"/>
        </w:rPr>
      </w:pPr>
    </w:p>
    <w:p w14:paraId="14D37256">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0ED5F721">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176751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w:t>
      </w:r>
      <w:r>
        <w:rPr>
          <w:rFonts w:ascii="Times New Roman" w:hAnsi="Times New Roman" w:eastAsia="宋体" w:cs="Times New Roman"/>
          <w:szCs w:val="21"/>
        </w:rPr>
        <w:t>所示。</w:t>
      </w:r>
    </w:p>
    <w:tbl>
      <w:tblPr>
        <w:tblStyle w:val="16"/>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1678"/>
        <w:gridCol w:w="1369"/>
        <w:gridCol w:w="1002"/>
        <w:gridCol w:w="1238"/>
        <w:gridCol w:w="1204"/>
      </w:tblGrid>
      <w:tr w14:paraId="43F0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restart"/>
            <w:vAlign w:val="center"/>
          </w:tcPr>
          <w:p w14:paraId="78760356">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287" w:type="dxa"/>
            <w:gridSpan w:val="4"/>
            <w:vAlign w:val="center"/>
          </w:tcPr>
          <w:p w14:paraId="626AE53D">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204" w:type="dxa"/>
            <w:vMerge w:val="restart"/>
            <w:vAlign w:val="center"/>
          </w:tcPr>
          <w:p w14:paraId="39E93DB0">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1779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vAlign w:val="center"/>
          </w:tcPr>
          <w:p w14:paraId="74868671">
            <w:pPr>
              <w:spacing w:line="360" w:lineRule="auto"/>
              <w:jc w:val="center"/>
              <w:rPr>
                <w:rFonts w:ascii="宋体" w:hAnsi="宋体" w:eastAsia="宋体" w:cs="Times New Roman"/>
                <w:szCs w:val="21"/>
              </w:rPr>
            </w:pPr>
          </w:p>
        </w:tc>
        <w:tc>
          <w:tcPr>
            <w:tcW w:w="1678" w:type="dxa"/>
            <w:vAlign w:val="center"/>
          </w:tcPr>
          <w:p w14:paraId="67E08E57">
            <w:pPr>
              <w:spacing w:line="360" w:lineRule="auto"/>
              <w:jc w:val="center"/>
              <w:rPr>
                <w:rFonts w:ascii="宋体" w:hAnsi="宋体" w:eastAsia="宋体" w:cs="Times New Roman"/>
                <w:szCs w:val="21"/>
              </w:rPr>
            </w:pPr>
            <w:r>
              <w:rPr>
                <w:rFonts w:hint="eastAsia" w:ascii="宋体" w:hAnsi="宋体" w:eastAsia="宋体" w:cs="Times New Roman"/>
                <w:szCs w:val="21"/>
              </w:rPr>
              <w:t>出勤情况</w:t>
            </w:r>
          </w:p>
        </w:tc>
        <w:tc>
          <w:tcPr>
            <w:tcW w:w="1369" w:type="dxa"/>
            <w:vAlign w:val="center"/>
          </w:tcPr>
          <w:p w14:paraId="2CC19206">
            <w:pPr>
              <w:spacing w:line="360" w:lineRule="auto"/>
              <w:jc w:val="center"/>
              <w:rPr>
                <w:rFonts w:ascii="宋体" w:hAnsi="宋体" w:eastAsia="宋体" w:cs="Times New Roman"/>
                <w:szCs w:val="21"/>
              </w:rPr>
            </w:pPr>
            <w:r>
              <w:rPr>
                <w:rFonts w:hint="eastAsia" w:ascii="宋体" w:hAnsi="宋体" w:eastAsia="宋体" w:cs="Times New Roman"/>
                <w:szCs w:val="21"/>
              </w:rPr>
              <w:t>师生互动</w:t>
            </w:r>
          </w:p>
        </w:tc>
        <w:tc>
          <w:tcPr>
            <w:tcW w:w="1002" w:type="dxa"/>
            <w:vAlign w:val="center"/>
          </w:tcPr>
          <w:p w14:paraId="190BB1AB">
            <w:pPr>
              <w:spacing w:line="360" w:lineRule="auto"/>
              <w:jc w:val="center"/>
              <w:rPr>
                <w:rFonts w:ascii="宋体" w:hAnsi="宋体" w:eastAsia="宋体" w:cs="Times New Roman"/>
                <w:szCs w:val="21"/>
              </w:rPr>
            </w:pPr>
            <w:r>
              <w:rPr>
                <w:rFonts w:hint="eastAsia" w:ascii="宋体" w:hAnsi="宋体" w:eastAsia="宋体" w:cs="Times New Roman"/>
                <w:szCs w:val="21"/>
              </w:rPr>
              <w:t>作业</w:t>
            </w:r>
          </w:p>
        </w:tc>
        <w:tc>
          <w:tcPr>
            <w:tcW w:w="1238" w:type="dxa"/>
          </w:tcPr>
          <w:p w14:paraId="70ABBD84">
            <w:pPr>
              <w:spacing w:line="360" w:lineRule="auto"/>
              <w:jc w:val="center"/>
              <w:rPr>
                <w:rFonts w:ascii="宋体" w:hAnsi="宋体" w:eastAsia="宋体" w:cs="Times New Roman"/>
                <w:szCs w:val="21"/>
              </w:rPr>
            </w:pPr>
            <w:r>
              <w:rPr>
                <w:rFonts w:hint="eastAsia" w:ascii="宋体" w:hAnsi="宋体" w:eastAsia="宋体" w:cs="Times New Roman"/>
                <w:szCs w:val="21"/>
              </w:rPr>
              <w:t>期末试卷</w:t>
            </w:r>
          </w:p>
        </w:tc>
        <w:tc>
          <w:tcPr>
            <w:tcW w:w="1204" w:type="dxa"/>
            <w:vMerge w:val="continue"/>
            <w:vAlign w:val="center"/>
          </w:tcPr>
          <w:p w14:paraId="07926D56">
            <w:pPr>
              <w:spacing w:line="360" w:lineRule="auto"/>
              <w:jc w:val="center"/>
              <w:rPr>
                <w:rFonts w:ascii="宋体" w:hAnsi="宋体" w:eastAsia="宋体" w:cs="Times New Roman"/>
                <w:szCs w:val="21"/>
              </w:rPr>
            </w:pPr>
          </w:p>
        </w:tc>
      </w:tr>
      <w:tr w14:paraId="1503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2AD4DC">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678" w:type="dxa"/>
            <w:vAlign w:val="center"/>
          </w:tcPr>
          <w:p w14:paraId="6034B70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369" w:type="dxa"/>
            <w:vAlign w:val="center"/>
          </w:tcPr>
          <w:p w14:paraId="615EE08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02" w:type="dxa"/>
            <w:vAlign w:val="center"/>
          </w:tcPr>
          <w:p w14:paraId="0FD8C2D0">
            <w:pPr>
              <w:spacing w:line="360" w:lineRule="auto"/>
              <w:jc w:val="center"/>
              <w:rPr>
                <w:rFonts w:ascii="宋体" w:hAnsi="宋体" w:eastAsia="宋体" w:cs="Times New Roman"/>
                <w:szCs w:val="21"/>
              </w:rPr>
            </w:pPr>
          </w:p>
        </w:tc>
        <w:tc>
          <w:tcPr>
            <w:tcW w:w="1238" w:type="dxa"/>
          </w:tcPr>
          <w:p w14:paraId="09B64D4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04" w:type="dxa"/>
            <w:vAlign w:val="center"/>
          </w:tcPr>
          <w:p w14:paraId="31BF5A9C">
            <w:pPr>
              <w:spacing w:line="360" w:lineRule="auto"/>
              <w:jc w:val="center"/>
              <w:rPr>
                <w:rFonts w:ascii="宋体" w:hAnsi="宋体" w:eastAsia="宋体" w:cs="Times New Roman"/>
                <w:szCs w:val="21"/>
              </w:rPr>
            </w:pPr>
            <w:r>
              <w:rPr>
                <w:rFonts w:hint="eastAsia" w:ascii="宋体" w:hAnsi="宋体" w:eastAsia="宋体" w:cs="Times New Roman"/>
                <w:szCs w:val="21"/>
              </w:rPr>
              <w:t>25</w:t>
            </w:r>
          </w:p>
        </w:tc>
      </w:tr>
      <w:tr w14:paraId="79BA1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BD98F6">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678" w:type="dxa"/>
            <w:vAlign w:val="center"/>
          </w:tcPr>
          <w:p w14:paraId="71A1F0ED">
            <w:pPr>
              <w:spacing w:line="360" w:lineRule="auto"/>
              <w:jc w:val="center"/>
              <w:rPr>
                <w:rFonts w:ascii="宋体" w:hAnsi="宋体" w:eastAsia="宋体" w:cs="Times New Roman"/>
                <w:szCs w:val="21"/>
              </w:rPr>
            </w:pPr>
          </w:p>
        </w:tc>
        <w:tc>
          <w:tcPr>
            <w:tcW w:w="1369" w:type="dxa"/>
            <w:vAlign w:val="center"/>
          </w:tcPr>
          <w:p w14:paraId="6CA4B2F3">
            <w:pPr>
              <w:spacing w:line="360" w:lineRule="auto"/>
              <w:jc w:val="center"/>
              <w:rPr>
                <w:rFonts w:ascii="宋体" w:hAnsi="宋体" w:eastAsia="宋体" w:cs="Times New Roman"/>
                <w:szCs w:val="21"/>
              </w:rPr>
            </w:pPr>
          </w:p>
        </w:tc>
        <w:tc>
          <w:tcPr>
            <w:tcW w:w="1002" w:type="dxa"/>
            <w:vAlign w:val="center"/>
          </w:tcPr>
          <w:p w14:paraId="0572020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38" w:type="dxa"/>
          </w:tcPr>
          <w:p w14:paraId="01C5644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04" w:type="dxa"/>
            <w:vAlign w:val="center"/>
          </w:tcPr>
          <w:p w14:paraId="0CA38F38">
            <w:pPr>
              <w:spacing w:line="360" w:lineRule="auto"/>
              <w:jc w:val="center"/>
              <w:rPr>
                <w:rFonts w:ascii="宋体" w:hAnsi="宋体" w:eastAsia="宋体" w:cs="Times New Roman"/>
                <w:szCs w:val="21"/>
              </w:rPr>
            </w:pPr>
            <w:r>
              <w:rPr>
                <w:rFonts w:hint="eastAsia" w:ascii="宋体" w:hAnsi="宋体" w:eastAsia="宋体" w:cs="Times New Roman"/>
                <w:szCs w:val="21"/>
              </w:rPr>
              <w:t>55</w:t>
            </w:r>
          </w:p>
        </w:tc>
      </w:tr>
      <w:tr w14:paraId="0ECB4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51F689">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1678" w:type="dxa"/>
            <w:vAlign w:val="center"/>
          </w:tcPr>
          <w:p w14:paraId="4D6BE79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369" w:type="dxa"/>
            <w:vAlign w:val="center"/>
          </w:tcPr>
          <w:p w14:paraId="3FA1905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02" w:type="dxa"/>
            <w:vAlign w:val="center"/>
          </w:tcPr>
          <w:p w14:paraId="342BEBD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38" w:type="dxa"/>
          </w:tcPr>
          <w:p w14:paraId="14038FD1">
            <w:pPr>
              <w:spacing w:line="360" w:lineRule="auto"/>
              <w:jc w:val="center"/>
              <w:rPr>
                <w:rFonts w:ascii="宋体" w:hAnsi="宋体" w:eastAsia="宋体" w:cs="Times New Roman"/>
                <w:szCs w:val="21"/>
              </w:rPr>
            </w:pPr>
          </w:p>
        </w:tc>
        <w:tc>
          <w:tcPr>
            <w:tcW w:w="1204" w:type="dxa"/>
            <w:vAlign w:val="center"/>
          </w:tcPr>
          <w:p w14:paraId="67B1104D">
            <w:pPr>
              <w:spacing w:line="360" w:lineRule="auto"/>
              <w:jc w:val="center"/>
              <w:rPr>
                <w:rFonts w:ascii="宋体" w:hAnsi="宋体" w:eastAsia="宋体" w:cs="Times New Roman"/>
                <w:szCs w:val="21"/>
              </w:rPr>
            </w:pPr>
            <w:r>
              <w:rPr>
                <w:rFonts w:hint="eastAsia" w:ascii="宋体" w:hAnsi="宋体" w:eastAsia="宋体" w:cs="Times New Roman"/>
                <w:szCs w:val="21"/>
              </w:rPr>
              <w:t>20</w:t>
            </w:r>
          </w:p>
        </w:tc>
      </w:tr>
      <w:tr w14:paraId="267F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C293DE">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678" w:type="dxa"/>
            <w:vAlign w:val="center"/>
          </w:tcPr>
          <w:p w14:paraId="4BAF7E4B">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1369" w:type="dxa"/>
            <w:vAlign w:val="center"/>
          </w:tcPr>
          <w:p w14:paraId="268CEA80">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1002" w:type="dxa"/>
            <w:vAlign w:val="center"/>
          </w:tcPr>
          <w:p w14:paraId="070CEF85">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c>
          <w:tcPr>
            <w:tcW w:w="1238" w:type="dxa"/>
          </w:tcPr>
          <w:p w14:paraId="164D6B94">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c>
          <w:tcPr>
            <w:tcW w:w="1204" w:type="dxa"/>
            <w:vAlign w:val="center"/>
          </w:tcPr>
          <w:p w14:paraId="3324D153">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7A95929F">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726DB0A">
      <w:pPr>
        <w:spacing w:line="360" w:lineRule="auto"/>
        <w:ind w:firstLine="420" w:firstLineChars="200"/>
        <w:jc w:val="left"/>
        <w:rPr>
          <w:rFonts w:hint="eastAsia" w:ascii="Times New Roman" w:hAnsi="Times New Roman" w:eastAsia="宋体" w:cs="Times New Roman"/>
          <w:b/>
          <w:bCs/>
          <w:szCs w:val="21"/>
          <w:lang w:eastAsia="zh-CN"/>
        </w:rPr>
      </w:pPr>
      <w:r>
        <w:rPr>
          <w:rFonts w:hint="eastAsia" w:ascii="Times New Roman" w:hAnsi="Times New Roman" w:eastAsia="宋体" w:cs="Times New Roman"/>
          <w:szCs w:val="21"/>
        </w:rPr>
        <w:t>各部分的评价方式和成绩评定的细则</w:t>
      </w:r>
      <w:r>
        <w:rPr>
          <w:rFonts w:hint="eastAsia" w:ascii="Times New Roman" w:hAnsi="Times New Roman" w:eastAsia="宋体" w:cs="Times New Roman"/>
          <w:szCs w:val="21"/>
          <w:lang w:eastAsia="zh-CN"/>
        </w:rPr>
        <w:t>如下表所示。</w:t>
      </w:r>
    </w:p>
    <w:tbl>
      <w:tblPr>
        <w:tblStyle w:val="16"/>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7114"/>
        <w:gridCol w:w="851"/>
      </w:tblGrid>
      <w:tr w14:paraId="4A3D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074" w:type="dxa"/>
            <w:vAlign w:val="center"/>
          </w:tcPr>
          <w:p w14:paraId="08AE037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14" w:type="dxa"/>
            <w:vAlign w:val="center"/>
          </w:tcPr>
          <w:p w14:paraId="16C70D1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851" w:type="dxa"/>
            <w:vAlign w:val="center"/>
          </w:tcPr>
          <w:p w14:paraId="6D4D518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67C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24A6A553">
            <w:pPr>
              <w:jc w:val="center"/>
              <w:rPr>
                <w:rFonts w:ascii="Times New Roman" w:hAnsi="Times New Roman" w:eastAsia="宋体" w:cs="Times New Roman"/>
                <w:szCs w:val="21"/>
              </w:rPr>
            </w:pPr>
            <w:r>
              <w:rPr>
                <w:rFonts w:hint="eastAsia" w:ascii="Times New Roman" w:hAnsi="Times New Roman" w:eastAsia="宋体" w:cs="Times New Roman"/>
                <w:szCs w:val="21"/>
              </w:rPr>
              <w:t>出勤情况</w:t>
            </w:r>
          </w:p>
        </w:tc>
        <w:tc>
          <w:tcPr>
            <w:tcW w:w="7114" w:type="dxa"/>
            <w:vAlign w:val="center"/>
          </w:tcPr>
          <w:p w14:paraId="28211F5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课堂不定期点名，考核能否按时到勤，其中迟到或缺席1次扣5分。</w:t>
            </w:r>
          </w:p>
        </w:tc>
        <w:tc>
          <w:tcPr>
            <w:tcW w:w="851" w:type="dxa"/>
            <w:vAlign w:val="center"/>
          </w:tcPr>
          <w:p w14:paraId="19BC43A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C0D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5B4437BD">
            <w:pPr>
              <w:jc w:val="center"/>
              <w:rPr>
                <w:rFonts w:ascii="Times New Roman" w:hAnsi="Times New Roman" w:eastAsia="宋体" w:cs="Times New Roman"/>
                <w:szCs w:val="21"/>
              </w:rPr>
            </w:pPr>
            <w:r>
              <w:rPr>
                <w:rFonts w:hint="eastAsia" w:ascii="Times New Roman" w:hAnsi="Times New Roman" w:eastAsia="宋体" w:cs="Times New Roman"/>
                <w:szCs w:val="21"/>
              </w:rPr>
              <w:t>师生互动</w:t>
            </w:r>
          </w:p>
        </w:tc>
        <w:tc>
          <w:tcPr>
            <w:tcW w:w="7114" w:type="dxa"/>
            <w:vAlign w:val="center"/>
          </w:tcPr>
          <w:p w14:paraId="631B3AE7">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课堂不定期通过提问或小练习实施师生互动，考核学生课堂学习情况，按照互动情况打分。</w:t>
            </w:r>
          </w:p>
        </w:tc>
        <w:tc>
          <w:tcPr>
            <w:tcW w:w="851" w:type="dxa"/>
            <w:vAlign w:val="center"/>
          </w:tcPr>
          <w:p w14:paraId="26AFA9AE">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510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6146259D">
            <w:pPr>
              <w:jc w:val="cente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14" w:type="dxa"/>
            <w:vAlign w:val="center"/>
          </w:tcPr>
          <w:p w14:paraId="5B1DF2C4">
            <w:pPr>
              <w:widowControl/>
              <w:spacing w:line="264" w:lineRule="auto"/>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定期布置作业，考核学生对所学知识点的复习、理解和掌握度。对每次作业完成情况做记录并打分，计算全部作业的平均成绩。</w:t>
            </w:r>
          </w:p>
        </w:tc>
        <w:tc>
          <w:tcPr>
            <w:tcW w:w="851" w:type="dxa"/>
            <w:vAlign w:val="center"/>
          </w:tcPr>
          <w:p w14:paraId="26F73746">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547E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0D36DDFE">
            <w:pPr>
              <w:jc w:val="center"/>
              <w:rPr>
                <w:rFonts w:ascii="Times New Roman" w:hAnsi="Times New Roman" w:eastAsia="宋体" w:cs="Times New Roman"/>
                <w:szCs w:val="21"/>
              </w:rPr>
            </w:pPr>
            <w:r>
              <w:rPr>
                <w:rFonts w:hint="eastAsia" w:ascii="Times New Roman" w:hAnsi="Times New Roman" w:eastAsia="宋体" w:cs="Times New Roman"/>
                <w:szCs w:val="21"/>
              </w:rPr>
              <w:t>期末试卷</w:t>
            </w:r>
          </w:p>
        </w:tc>
        <w:tc>
          <w:tcPr>
            <w:tcW w:w="7114" w:type="dxa"/>
            <w:vAlign w:val="center"/>
          </w:tcPr>
          <w:p w14:paraId="0CEF19A4">
            <w:pPr>
              <w:widowControl/>
              <w:spacing w:line="276" w:lineRule="auto"/>
              <w:jc w:val="left"/>
              <w:rPr>
                <w:rFonts w:ascii="宋体" w:hAnsi="宋体" w:eastAsia="宋体"/>
                <w:color w:val="06071F"/>
                <w:kern w:val="0"/>
                <w:szCs w:val="21"/>
              </w:rPr>
            </w:pPr>
            <w:r>
              <w:rPr>
                <w:rFonts w:ascii="宋体" w:hAnsi="宋体" w:eastAsia="宋体" w:cs="Times New Roman"/>
                <w:color w:val="000000"/>
                <w:szCs w:val="21"/>
              </w:rPr>
              <w:t>试卷题型包括</w:t>
            </w:r>
            <w:r>
              <w:rPr>
                <w:rFonts w:hint="eastAsia" w:ascii="宋体" w:hAnsi="宋体" w:eastAsia="宋体" w:cs="Times New Roman"/>
                <w:color w:val="000000"/>
                <w:szCs w:val="21"/>
              </w:rPr>
              <w:t>填空题</w:t>
            </w:r>
            <w:r>
              <w:rPr>
                <w:rFonts w:ascii="宋体" w:hAnsi="宋体" w:eastAsia="宋体" w:cs="Times New Roman"/>
                <w:color w:val="000000"/>
                <w:szCs w:val="21"/>
              </w:rPr>
              <w:t>、</w:t>
            </w:r>
            <w:r>
              <w:rPr>
                <w:rFonts w:hint="eastAsia" w:ascii="宋体" w:hAnsi="宋体" w:eastAsia="宋体" w:cs="Times New Roman"/>
                <w:color w:val="000000"/>
                <w:szCs w:val="21"/>
              </w:rPr>
              <w:t>选择题</w:t>
            </w:r>
            <w:r>
              <w:rPr>
                <w:rFonts w:ascii="宋体" w:hAnsi="宋体" w:eastAsia="宋体" w:cs="Times New Roman"/>
                <w:color w:val="000000"/>
                <w:szCs w:val="21"/>
              </w:rPr>
              <w:t>、</w:t>
            </w:r>
            <w:r>
              <w:rPr>
                <w:rFonts w:hint="eastAsia" w:ascii="宋体" w:hAnsi="宋体" w:eastAsia="宋体" w:cs="Times New Roman"/>
                <w:color w:val="000000"/>
                <w:szCs w:val="21"/>
              </w:rPr>
              <w:t>计算题、证明题</w:t>
            </w:r>
            <w:r>
              <w:rPr>
                <w:rFonts w:ascii="宋体" w:hAnsi="宋体" w:eastAsia="宋体" w:cs="Times New Roman"/>
                <w:color w:val="000000"/>
                <w:szCs w:val="21"/>
              </w:rPr>
              <w:t>等</w:t>
            </w:r>
            <w:r>
              <w:rPr>
                <w:rFonts w:hint="eastAsia" w:ascii="宋体" w:hAnsi="宋体" w:eastAsia="宋体" w:cs="Times New Roman"/>
                <w:color w:val="000000"/>
                <w:szCs w:val="21"/>
              </w:rPr>
              <w:t>，</w:t>
            </w:r>
            <w:r>
              <w:rPr>
                <w:rFonts w:ascii="宋体" w:hAnsi="宋体" w:eastAsia="宋体" w:cs="Times New Roman"/>
                <w:color w:val="000000"/>
                <w:szCs w:val="21"/>
              </w:rPr>
              <w:t>以卷面成绩的50%计入课程总成绩。</w:t>
            </w:r>
            <w:r>
              <w:rPr>
                <w:rFonts w:hint="eastAsia" w:ascii="宋体" w:hAnsi="宋体" w:eastAsia="宋体" w:cs="Times New Roman"/>
                <w:color w:val="000000"/>
                <w:szCs w:val="21"/>
              </w:rPr>
              <w:t>其中填空题考核内容为</w:t>
            </w:r>
            <w:r>
              <w:rPr>
                <w:rStyle w:val="18"/>
                <w:rFonts w:ascii="宋体" w:hAnsi="宋体" w:eastAsia="宋体" w:cs="Segoe UI"/>
                <w:b w:val="0"/>
                <w:bCs w:val="0"/>
                <w:color w:val="06071F"/>
                <w:szCs w:val="21"/>
              </w:rPr>
              <w:t>行列式与矩阵深化</w:t>
            </w:r>
            <w:r>
              <w:rPr>
                <w:rFonts w:hint="eastAsia" w:ascii="宋体" w:hAnsi="宋体" w:eastAsia="宋体"/>
                <w:b/>
                <w:bCs/>
                <w:color w:val="06071F"/>
                <w:szCs w:val="21"/>
              </w:rPr>
              <w:t>：</w:t>
            </w:r>
            <w:r>
              <w:rPr>
                <w:rFonts w:hint="eastAsia" w:ascii="宋体" w:hAnsi="宋体" w:eastAsia="宋体"/>
                <w:color w:val="06071F"/>
                <w:szCs w:val="21"/>
              </w:rPr>
              <w:t>高阶行列式递推计算、分块矩阵广义运算（含初等变换）、矩阵多项式秩的稳定性判定；</w:t>
            </w:r>
            <w:r>
              <w:rPr>
                <w:rFonts w:hint="eastAsia" w:ascii="宋体" w:hAnsi="宋体" w:eastAsia="宋体"/>
                <w:szCs w:val="21"/>
              </w:rPr>
              <w:t>，占15%；选择题</w:t>
            </w:r>
            <w:r>
              <w:rPr>
                <w:rStyle w:val="18"/>
                <w:rFonts w:ascii="宋体" w:hAnsi="宋体" w:eastAsia="宋体" w:cs="Segoe UI"/>
                <w:b w:val="0"/>
                <w:bCs w:val="0"/>
                <w:color w:val="06071F"/>
                <w:szCs w:val="21"/>
              </w:rPr>
              <w:t>向量空间进阶</w:t>
            </w:r>
            <w:r>
              <w:rPr>
                <w:rStyle w:val="18"/>
                <w:rFonts w:hint="eastAsia" w:ascii="宋体" w:hAnsi="宋体" w:eastAsia="宋体" w:cs="Segoe UI"/>
                <w:b w:val="0"/>
                <w:bCs w:val="0"/>
                <w:color w:val="06071F"/>
                <w:szCs w:val="21"/>
              </w:rPr>
              <w:t>：</w:t>
            </w:r>
            <w:r>
              <w:rPr>
                <w:rFonts w:hint="eastAsia" w:ascii="宋体" w:hAnsi="宋体" w:eastAsia="宋体"/>
                <w:color w:val="06071F"/>
                <w:szCs w:val="21"/>
              </w:rPr>
              <w:t>子空间直和分解的充要条件判定、线性映射像与核的维数关系推导、向量组张成空间的等价类刻画</w:t>
            </w:r>
            <w:r>
              <w:rPr>
                <w:rFonts w:hint="eastAsia" w:ascii="宋体" w:hAnsi="宋体" w:eastAsia="宋体"/>
                <w:szCs w:val="21"/>
              </w:rPr>
              <w:t>占15%；计算题考核内容</w:t>
            </w:r>
            <w:r>
              <w:rPr>
                <w:rStyle w:val="18"/>
                <w:rFonts w:ascii="宋体" w:hAnsi="宋体" w:eastAsia="宋体" w:cs="Segoe UI"/>
                <w:b w:val="0"/>
                <w:bCs w:val="0"/>
                <w:color w:val="06071F"/>
                <w:szCs w:val="21"/>
              </w:rPr>
              <w:t>线性方程组理论</w:t>
            </w:r>
            <w:r>
              <w:rPr>
                <w:rFonts w:hint="eastAsia" w:ascii="宋体" w:hAnsi="宋体" w:eastAsia="宋体"/>
                <w:color w:val="06071F"/>
                <w:szCs w:val="21"/>
              </w:rPr>
              <w:t>：参数化方程组解空间基求解、含抽象矩阵的解结构唯一性论证、非齐次通解与特解的构造性关联，</w:t>
            </w:r>
            <w:r>
              <w:rPr>
                <w:rFonts w:hint="eastAsia" w:ascii="宋体" w:hAnsi="宋体" w:eastAsia="宋体"/>
                <w:color w:val="000000"/>
                <w:szCs w:val="21"/>
              </w:rPr>
              <w:t>占50%，证明题考核内容为</w:t>
            </w:r>
            <w:r>
              <w:rPr>
                <w:rStyle w:val="18"/>
                <w:rFonts w:ascii="宋体" w:hAnsi="宋体" w:eastAsia="宋体" w:cs="Segoe UI"/>
                <w:b w:val="0"/>
                <w:bCs w:val="0"/>
                <w:color w:val="06071F"/>
                <w:szCs w:val="21"/>
              </w:rPr>
              <w:t>二次型与双线性</w:t>
            </w:r>
            <w:r>
              <w:rPr>
                <w:rFonts w:hint="eastAsia" w:ascii="宋体" w:hAnsi="宋体" w:eastAsia="宋体"/>
                <w:color w:val="06071F"/>
                <w:szCs w:val="21"/>
              </w:rPr>
              <w:t>：规范形惯性定理的参数化应用、正定矩阵与合同变换的等价刻画、双线性型对称化与度量矩阵的构造性推导</w:t>
            </w:r>
            <w:r>
              <w:rPr>
                <w:rFonts w:hint="eastAsia" w:ascii="宋体" w:hAnsi="宋体" w:eastAsia="宋体"/>
                <w:color w:val="000000"/>
                <w:szCs w:val="21"/>
              </w:rPr>
              <w:t>等，占20%</w:t>
            </w:r>
          </w:p>
        </w:tc>
        <w:tc>
          <w:tcPr>
            <w:tcW w:w="851" w:type="dxa"/>
            <w:vAlign w:val="center"/>
          </w:tcPr>
          <w:p w14:paraId="4BB75D2D">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bl>
    <w:p w14:paraId="12545E3B">
      <w:pPr>
        <w:spacing w:line="360" w:lineRule="auto"/>
        <w:ind w:firstLine="422" w:firstLineChars="200"/>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49AFAAEA">
      <w:pPr>
        <w:spacing w:line="360" w:lineRule="auto"/>
        <w:ind w:firstLine="411" w:firstLineChars="196"/>
        <w:jc w:val="left"/>
        <w:rPr>
          <w:rFonts w:ascii="宋体" w:hAnsi="宋体" w:eastAsia="宋体" w:cs="Times New Roman"/>
          <w:color w:val="000000"/>
          <w:szCs w:val="21"/>
        </w:rPr>
      </w:pPr>
      <w:r>
        <w:rPr>
          <w:rFonts w:ascii="宋体" w:hAnsi="宋体" w:eastAsia="宋体" w:cs="Times New Roman"/>
          <w:color w:val="000000"/>
          <w:szCs w:val="21"/>
        </w:rPr>
        <w:t>每门课程目标总体达成度计算方法如下：</w:t>
      </w:r>
    </w:p>
    <w:p w14:paraId="733CB6A9">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60" o:spt="75" type="#_x0000_t75" style="height:24.5pt;width:404.65pt;" o:ole="t" filled="f" o:preferrelative="t" stroked="f" coordsize="21600,21600">
            <v:path/>
            <v:fill on="f" focussize="0,0"/>
            <v:stroke on="f" joinstyle="miter"/>
            <v:imagedata r:id="rId10" o:title=""/>
            <o:lock v:ext="edit" aspectratio="t"/>
            <w10:wrap type="none"/>
            <w10:anchorlock/>
          </v:shape>
          <o:OLEObject Type="Embed" ProgID="Equation.3" ShapeID="_x0000_i1060" DrawAspect="Content" ObjectID="_1468075759" r:id="rId46">
            <o:LockedField>false</o:LockedField>
          </o:OLEObject>
        </w:object>
      </w:r>
    </w:p>
    <w:p w14:paraId="7B38618F">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五、有关说明</w:t>
      </w:r>
    </w:p>
    <w:p w14:paraId="3D03A801">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6A218DA8">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1. 提倡改革教学方法，强调应用现代化教学手段，如课件、互联网视频教学和网络答疑等。</w:t>
      </w:r>
    </w:p>
    <w:p w14:paraId="244459B9">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2.合理安排教学课时，加强课堂提问、课堂小测验等旨在督促学生自主学习的教学环节；引导学生做好课前预习、课后整理笔记并及时完成作业的复习工作；保证学生完成一定数量的作业和习题。</w:t>
      </w:r>
    </w:p>
    <w:p w14:paraId="680DC90F">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3．教学用的例题和习题，应适当结合工程实际。</w:t>
      </w:r>
    </w:p>
    <w:p w14:paraId="7778B53D">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6CCDE968">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color w:val="000000"/>
          <w:szCs w:val="21"/>
        </w:rPr>
        <w:t>张力宏主编. 高等代数. 北京：人民教育出版社.2019.</w:t>
      </w:r>
    </w:p>
    <w:p w14:paraId="32802B8D">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7A1381EE">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王萼芳，石生明. 高等代数.北京：高等教育出版社.第五版.</w:t>
      </w:r>
    </w:p>
    <w:p w14:paraId="355522A5"/>
    <w:p w14:paraId="1E1EDCA0">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szCs w:val="21"/>
        </w:rPr>
        <w:t>执 笔 人：黄  星</w:t>
      </w:r>
      <w:r>
        <w:rPr>
          <w:rFonts w:ascii="Times New Roman" w:hAnsi="Times New Roman" w:eastAsia="宋体" w:cs="Times New Roman"/>
          <w:szCs w:val="21"/>
        </w:rPr>
        <w:t xml:space="preserve"> </w:t>
      </w:r>
    </w:p>
    <w:p w14:paraId="2102A0F2">
      <w:pPr>
        <w:wordWrap w:val="0"/>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 定 人：</w:t>
      </w:r>
      <w:r>
        <w:rPr>
          <w:rFonts w:ascii="Times New Roman" w:hAnsi="Times New Roman" w:eastAsia="宋体" w:cs="Times New Roman"/>
          <w:szCs w:val="21"/>
        </w:rPr>
        <w:t xml:space="preserve"> </w:t>
      </w:r>
      <w:r>
        <w:rPr>
          <w:rFonts w:hint="eastAsia" w:ascii="Times New Roman" w:hAnsi="Times New Roman" w:eastAsia="宋体" w:cs="Times New Roman"/>
          <w:szCs w:val="21"/>
        </w:rPr>
        <w:t>王  健</w:t>
      </w:r>
    </w:p>
    <w:p w14:paraId="7CE52DF1">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7F206212">
      <w:pPr>
        <w:spacing w:line="360" w:lineRule="auto"/>
        <w:jc w:val="right"/>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批准时间：2025年7月1日</w:t>
      </w:r>
    </w:p>
    <w:p w14:paraId="5CCCC93F">
      <w:pPr>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37515785">
      <w:pPr>
        <w:spacing w:line="360" w:lineRule="auto"/>
        <w:jc w:val="center"/>
        <w:outlineLvl w:val="0"/>
        <w:rPr>
          <w:rFonts w:hint="eastAsia" w:ascii="Times New Roman" w:hAnsi="Times New Roman" w:eastAsia="宋体" w:cs="Times New Roman"/>
          <w:b/>
          <w:color w:val="auto"/>
          <w:sz w:val="44"/>
          <w:szCs w:val="44"/>
        </w:rPr>
      </w:pPr>
      <w:bookmarkStart w:id="377" w:name="_Toc16813"/>
      <w:bookmarkStart w:id="378" w:name="_Toc7476"/>
      <w:r>
        <w:rPr>
          <w:rFonts w:hint="eastAsia" w:ascii="Times New Roman" w:hAnsi="Times New Roman" w:eastAsia="宋体" w:cs="Times New Roman"/>
          <w:b/>
          <w:color w:val="auto"/>
          <w:sz w:val="44"/>
          <w:szCs w:val="44"/>
        </w:rPr>
        <w:t>《概率与统计》课程教学大纲</w:t>
      </w:r>
      <w:bookmarkEnd w:id="377"/>
      <w:bookmarkEnd w:id="378"/>
    </w:p>
    <w:p w14:paraId="46976DCC">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w:t>
      </w:r>
      <w:r>
        <w:rPr>
          <w:rFonts w:hint="eastAsia" w:ascii="Times New Roman" w:hAnsi="Times New Roman" w:eastAsia="宋体" w:cs="Times New Roman"/>
          <w:b/>
          <w:bCs/>
          <w:color w:val="auto"/>
          <w:sz w:val="28"/>
          <w:szCs w:val="28"/>
        </w:rPr>
        <w:t>Pedagogical Principles</w:t>
      </w:r>
      <w:r>
        <w:rPr>
          <w:rFonts w:ascii="Times New Roman" w:hAnsi="Times New Roman" w:eastAsia="宋体" w:cs="Times New Roman"/>
          <w:b/>
          <w:bCs/>
          <w:color w:val="auto"/>
          <w:sz w:val="28"/>
          <w:szCs w:val="28"/>
        </w:rPr>
        <w:t>）</w:t>
      </w:r>
    </w:p>
    <w:p w14:paraId="3A5BF4D7">
      <w:pPr>
        <w:spacing w:line="360" w:lineRule="auto"/>
        <w:jc w:val="center"/>
        <w:rPr>
          <w:rFonts w:ascii="Times New Roman" w:hAnsi="Times New Roman" w:eastAsia="宋体" w:cs="Times New Roman"/>
          <w:bCs/>
          <w:color w:val="auto"/>
          <w:sz w:val="21"/>
          <w:szCs w:val="21"/>
        </w:rPr>
      </w:pPr>
    </w:p>
    <w:p w14:paraId="74CCABC0">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课程名称：概率与统计</w:t>
      </w:r>
    </w:p>
    <w:p w14:paraId="6AE5E82C">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课程代码：0821013</w:t>
      </w:r>
    </w:p>
    <w:p w14:paraId="1108D0E8">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分：4</w:t>
      </w:r>
    </w:p>
    <w:p w14:paraId="1A42FD92">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时：64</w:t>
      </w:r>
    </w:p>
    <w:p w14:paraId="170680BD">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先修课程：初等数学、高等数学</w:t>
      </w:r>
    </w:p>
    <w:p w14:paraId="6F859D10">
      <w:pPr>
        <w:spacing w:line="360" w:lineRule="auto"/>
        <w:ind w:firstLine="482" w:firstLineChars="200"/>
        <w:jc w:val="left"/>
        <w:rPr>
          <w:rFonts w:hint="eastAsia" w:ascii="Times New Roman" w:hAnsi="Times New Roman" w:eastAsia="宋体" w:cs="Times New Roman"/>
          <w:color w:val="auto"/>
          <w:sz w:val="24"/>
          <w:lang w:eastAsia="zh-CN"/>
        </w:rPr>
      </w:pPr>
      <w:r>
        <w:rPr>
          <w:rFonts w:hint="eastAsia" w:ascii="Times New Roman" w:hAnsi="Times New Roman" w:eastAsia="宋体" w:cs="Times New Roman"/>
          <w:b/>
          <w:color w:val="auto"/>
          <w:sz w:val="24"/>
        </w:rPr>
        <w:t>适用专业：小学教育</w:t>
      </w:r>
      <w:r>
        <w:rPr>
          <w:rFonts w:hint="eastAsia" w:ascii="Times New Roman" w:hAnsi="Times New Roman" w:eastAsia="宋体" w:cs="Times New Roman"/>
          <w:b/>
          <w:color w:val="auto"/>
          <w:sz w:val="24"/>
          <w:lang w:eastAsia="zh-CN"/>
        </w:rPr>
        <w:t>（</w:t>
      </w:r>
      <w:r>
        <w:rPr>
          <w:rFonts w:hint="eastAsia" w:ascii="Times New Roman" w:hAnsi="Times New Roman" w:eastAsia="宋体" w:cs="Times New Roman"/>
          <w:b/>
          <w:color w:val="auto"/>
          <w:sz w:val="24"/>
          <w:lang w:val="en-US" w:eastAsia="zh-CN"/>
        </w:rPr>
        <w:t>理</w:t>
      </w:r>
      <w:r>
        <w:rPr>
          <w:rFonts w:hint="eastAsia" w:ascii="Times New Roman" w:hAnsi="Times New Roman" w:eastAsia="宋体" w:cs="Times New Roman"/>
          <w:b/>
          <w:color w:val="auto"/>
          <w:sz w:val="24"/>
          <w:lang w:eastAsia="zh-CN"/>
        </w:rPr>
        <w:t>）</w:t>
      </w:r>
    </w:p>
    <w:p w14:paraId="0CFA47E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4"/>
        </w:rPr>
      </w:pPr>
      <w:r>
        <w:rPr>
          <w:rFonts w:hint="eastAsia" w:ascii="Times New Roman" w:hAnsi="Times New Roman" w:eastAsia="宋体" w:cs="Times New Roman"/>
          <w:b/>
          <w:color w:val="auto"/>
          <w:sz w:val="24"/>
        </w:rPr>
        <w:t>一、课程简介</w:t>
      </w:r>
    </w:p>
    <w:p w14:paraId="78A51067">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是小学教育专业的专业基础必修课。通过本课程的学习，首先，使学生掌握基本的概率与统计概念，理解概率与统计之间的关系；其次，让学生了解概率与统计的计算和具体框架，提高其教育理论素养，为今后的工作实践奠定坚实的理论基础；最后，引导学生运用所学的基本理论分析和应用概率论与数理统计，将所学理论知识和教育实践结合起来，增强分析和解决实际问题的能力。</w:t>
      </w:r>
    </w:p>
    <w:p w14:paraId="31C73AD2">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4"/>
        </w:rPr>
      </w:pPr>
      <w:r>
        <w:rPr>
          <w:rFonts w:hint="eastAsia" w:ascii="Times New Roman" w:hAnsi="Times New Roman" w:eastAsia="宋体" w:cs="Times New Roman"/>
          <w:b/>
          <w:color w:val="auto"/>
          <w:sz w:val="24"/>
        </w:rPr>
        <w:t>二、课程目</w:t>
      </w:r>
      <w:r>
        <w:rPr>
          <w:rFonts w:ascii="宋体" w:hAnsi="宋体" w:eastAsia="宋体" w:cs="Times New Roman"/>
          <w:b/>
          <w:color w:val="auto"/>
          <w:sz w:val="24"/>
        </w:rPr>
        <w:t>标</w:t>
      </w:r>
    </w:p>
    <w:p w14:paraId="432850F2">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7CB638C4">
      <w:pPr>
        <w:spacing w:line="360" w:lineRule="auto"/>
        <w:ind w:firstLine="482"/>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1.</w:t>
      </w:r>
      <w:r>
        <w:rPr>
          <w:rFonts w:hint="eastAsia" w:ascii="Times New Roman" w:hAnsi="Times New Roman" w:eastAsia="宋体" w:cs="Times New Roman"/>
          <w:b/>
          <w:color w:val="auto"/>
          <w:szCs w:val="21"/>
        </w:rPr>
        <w:t xml:space="preserve"> </w:t>
      </w:r>
      <w:r>
        <w:rPr>
          <w:rFonts w:hint="eastAsia" w:ascii="Times New Roman" w:hAnsi="Times New Roman" w:eastAsia="宋体" w:cs="Times New Roman"/>
          <w:color w:val="auto"/>
          <w:szCs w:val="21"/>
        </w:rPr>
        <w:t>能够具有一定的抽象概括、逻辑推理和运算能力。</w:t>
      </w:r>
    </w:p>
    <w:p w14:paraId="75ACA3C5">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目标2</w:t>
      </w:r>
      <w:r>
        <w:rPr>
          <w:rFonts w:ascii="Times New Roman" w:hAnsi="Times New Roman" w:eastAsia="宋体" w:cs="Times New Roman"/>
          <w:b/>
          <w:color w:val="auto"/>
          <w:szCs w:val="21"/>
        </w:rPr>
        <w:t xml:space="preserve">. </w:t>
      </w:r>
      <w:r>
        <w:rPr>
          <w:rFonts w:hint="eastAsia" w:ascii="Times New Roman" w:hAnsi="Times New Roman" w:eastAsia="宋体" w:cs="Times New Roman"/>
          <w:color w:val="auto"/>
          <w:szCs w:val="21"/>
        </w:rPr>
        <w:t>能够获得课程基本概念与性质，以及本课程要求的计算方法。</w:t>
      </w:r>
    </w:p>
    <w:p w14:paraId="7B13C468">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目标3</w:t>
      </w:r>
      <w:r>
        <w:rPr>
          <w:rFonts w:hint="eastAsia" w:ascii="Times New Roman" w:hAnsi="Times New Roman" w:eastAsia="宋体" w:cs="Times New Roman"/>
          <w:b/>
          <w:color w:val="auto"/>
          <w:kern w:val="0"/>
          <w:szCs w:val="21"/>
        </w:rPr>
        <w:t>．</w:t>
      </w:r>
      <w:r>
        <w:rPr>
          <w:rFonts w:hint="eastAsia" w:ascii="Times New Roman" w:hAnsi="Times New Roman" w:eastAsia="宋体" w:cs="Times New Roman"/>
          <w:color w:val="auto"/>
          <w:szCs w:val="21"/>
        </w:rPr>
        <w:t xml:space="preserve">能够具有一定的数学思维与分析能力。 </w:t>
      </w:r>
    </w:p>
    <w:p w14:paraId="4062D61F">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02D4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ABD4558">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5688" w:type="dxa"/>
            <w:vAlign w:val="center"/>
          </w:tcPr>
          <w:p w14:paraId="3A1A11E4">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152D3844">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1501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1C53184">
            <w:pPr>
              <w:spacing w:line="276" w:lineRule="auto"/>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毕业要求3学科素养</w:t>
            </w:r>
          </w:p>
        </w:tc>
        <w:tc>
          <w:tcPr>
            <w:tcW w:w="5688" w:type="dxa"/>
            <w:vAlign w:val="center"/>
          </w:tcPr>
          <w:p w14:paraId="735FC7C6">
            <w:pPr>
              <w:pStyle w:val="14"/>
              <w:spacing w:before="0" w:beforeAutospacing="0" w:after="0" w:afterAutospacing="0"/>
              <w:jc w:val="both"/>
              <w:rPr>
                <w:rFonts w:hint="eastAsia" w:eastAsia="宋体" w:cs="Times New Roman"/>
                <w:color w:val="auto"/>
                <w:spacing w:val="2"/>
                <w:szCs w:val="21"/>
                <w:lang w:eastAsia="zh-CN"/>
              </w:rPr>
            </w:pPr>
            <w:r>
              <w:rPr>
                <w:rFonts w:hint="eastAsia" w:cs="Times New Roman"/>
                <w:b w:val="0"/>
                <w:bCs w:val="0"/>
                <w:color w:val="auto"/>
                <w:spacing w:val="2"/>
                <w:sz w:val="21"/>
                <w:szCs w:val="18"/>
                <w:lang w:eastAsia="zh-CN"/>
              </w:rPr>
              <w:t>指标点3-2：【学科知识扎实】具有学科专业能力，掌握小学数学学科的基本知识、原理和技能。熟悉小学科学的知识体系，掌握小学科学的基本知识、原理和技能。</w:t>
            </w:r>
          </w:p>
        </w:tc>
        <w:tc>
          <w:tcPr>
            <w:tcW w:w="1191" w:type="dxa"/>
            <w:vAlign w:val="center"/>
          </w:tcPr>
          <w:p w14:paraId="3C7FFC61">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课程目标1，2，3</w:t>
            </w:r>
          </w:p>
        </w:tc>
      </w:tr>
    </w:tbl>
    <w:p w14:paraId="036384CA">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1BE9F75A">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4703DA4D">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r>
        <w:rPr>
          <w:rFonts w:hint="eastAsia" w:ascii="Times New Roman" w:hAnsi="Times New Roman"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3141"/>
        <w:gridCol w:w="1264"/>
        <w:gridCol w:w="1690"/>
        <w:gridCol w:w="1560"/>
        <w:gridCol w:w="438"/>
      </w:tblGrid>
      <w:tr w14:paraId="0093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9DA985B">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5213D9D6">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3141" w:type="dxa"/>
            <w:vAlign w:val="center"/>
          </w:tcPr>
          <w:p w14:paraId="5E98CD78">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264" w:type="dxa"/>
            <w:vAlign w:val="center"/>
          </w:tcPr>
          <w:p w14:paraId="270F4F8F">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116BE80F">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1690" w:type="dxa"/>
            <w:vAlign w:val="center"/>
          </w:tcPr>
          <w:p w14:paraId="73B24962">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560" w:type="dxa"/>
            <w:vAlign w:val="center"/>
          </w:tcPr>
          <w:p w14:paraId="19B62ED0">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7D2E9EED">
            <w:pPr>
              <w:spacing w:line="240" w:lineRule="auto"/>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2A7E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4348D71">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1.教育学及其发展</w:t>
            </w:r>
          </w:p>
        </w:tc>
        <w:tc>
          <w:tcPr>
            <w:tcW w:w="3141" w:type="dxa"/>
            <w:vAlign w:val="center"/>
          </w:tcPr>
          <w:p w14:paraId="2F230F4E">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（1）能够理解随机事件</w:t>
            </w:r>
          </w:p>
          <w:p w14:paraId="6F0EEDD0">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（2）能够了解古典概型</w:t>
            </w:r>
          </w:p>
          <w:p w14:paraId="2AC6338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（3）能够理解条件概率</w:t>
            </w:r>
          </w:p>
          <w:p w14:paraId="10B3C2B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（4）能够掌握独立重复实验</w:t>
            </w:r>
          </w:p>
        </w:tc>
        <w:tc>
          <w:tcPr>
            <w:tcW w:w="1264" w:type="dxa"/>
            <w:vAlign w:val="center"/>
          </w:tcPr>
          <w:p w14:paraId="5B40FBC8">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690" w:type="dxa"/>
            <w:vAlign w:val="center"/>
          </w:tcPr>
          <w:p w14:paraId="3B28200C">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1.习得条件概率，全概率公式的应用。</w:t>
            </w:r>
          </w:p>
        </w:tc>
        <w:tc>
          <w:tcPr>
            <w:tcW w:w="1560" w:type="dxa"/>
            <w:vAlign w:val="center"/>
          </w:tcPr>
          <w:p w14:paraId="0D624959">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1.多媒体教学2.课堂讨论</w:t>
            </w:r>
          </w:p>
          <w:p w14:paraId="0EA49EC5">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3.平时作业</w:t>
            </w:r>
          </w:p>
        </w:tc>
        <w:tc>
          <w:tcPr>
            <w:tcW w:w="438" w:type="dxa"/>
            <w:vAlign w:val="center"/>
          </w:tcPr>
          <w:p w14:paraId="5C6BB153">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8</w:t>
            </w:r>
          </w:p>
        </w:tc>
      </w:tr>
      <w:tr w14:paraId="215B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61178D5">
            <w:pPr>
              <w:spacing w:line="240" w:lineRule="auto"/>
              <w:jc w:val="center"/>
              <w:rPr>
                <w:rFonts w:hint="eastAsia" w:ascii="宋体" w:hAnsi="宋体" w:eastAsia="宋体" w:cs="Times New Roman"/>
                <w:color w:val="auto"/>
                <w:szCs w:val="21"/>
              </w:rPr>
            </w:pPr>
          </w:p>
        </w:tc>
        <w:tc>
          <w:tcPr>
            <w:tcW w:w="8093" w:type="dxa"/>
            <w:gridSpan w:val="5"/>
            <w:vAlign w:val="center"/>
          </w:tcPr>
          <w:p w14:paraId="77556049">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注重理论联系实际，尊重客观规律，树立社会主义核心价值观，增强专业素养，强调理论对实践的指导意义。</w:t>
            </w:r>
          </w:p>
        </w:tc>
      </w:tr>
      <w:tr w14:paraId="5964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BBC0B6F">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2.离散型随机变量</w:t>
            </w:r>
          </w:p>
        </w:tc>
        <w:tc>
          <w:tcPr>
            <w:tcW w:w="3141" w:type="dxa"/>
            <w:vAlign w:val="center"/>
          </w:tcPr>
          <w:p w14:paraId="580F85E0">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（1）能够理解离散型随机变量</w:t>
            </w:r>
          </w:p>
          <w:p w14:paraId="668FD96F">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（2）能够掌握随机变量的分布函数</w:t>
            </w:r>
          </w:p>
          <w:p w14:paraId="37956937">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（3）能够理解常见离散型分布</w:t>
            </w:r>
          </w:p>
          <w:p w14:paraId="79F2406A">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（4）能够理解离散型随机变量函数的分布</w:t>
            </w:r>
          </w:p>
          <w:p w14:paraId="5D9E0FC0">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（5）能够掌握离散型随机向量</w:t>
            </w:r>
          </w:p>
          <w:p w14:paraId="13CF32A9">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（6）能够理解数学期望与方差</w:t>
            </w:r>
          </w:p>
        </w:tc>
        <w:tc>
          <w:tcPr>
            <w:tcW w:w="1264" w:type="dxa"/>
            <w:vAlign w:val="center"/>
          </w:tcPr>
          <w:p w14:paraId="0ED7452E">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课程目标1、3</w:t>
            </w:r>
          </w:p>
        </w:tc>
        <w:tc>
          <w:tcPr>
            <w:tcW w:w="1690" w:type="dxa"/>
            <w:vAlign w:val="center"/>
          </w:tcPr>
          <w:p w14:paraId="7385A9A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1.正确了解随机变量的分布函数。</w:t>
            </w:r>
          </w:p>
          <w:p w14:paraId="69C9A755">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2.正确了解随机变量函数的分布</w:t>
            </w:r>
            <w:r>
              <w:rPr>
                <w:rFonts w:ascii="宋体" w:hAnsi="宋体" w:eastAsia="宋体" w:cs="Times New Roman"/>
                <w:color w:val="auto"/>
                <w:szCs w:val="21"/>
              </w:rPr>
              <w:t>。</w:t>
            </w:r>
          </w:p>
        </w:tc>
        <w:tc>
          <w:tcPr>
            <w:tcW w:w="1560" w:type="dxa"/>
            <w:vAlign w:val="center"/>
          </w:tcPr>
          <w:p w14:paraId="78254EE7">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1.多媒体教学2.课堂讨论</w:t>
            </w:r>
          </w:p>
          <w:p w14:paraId="4A50EAC1">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3.平时作业</w:t>
            </w:r>
          </w:p>
        </w:tc>
        <w:tc>
          <w:tcPr>
            <w:tcW w:w="438" w:type="dxa"/>
            <w:vAlign w:val="center"/>
          </w:tcPr>
          <w:p w14:paraId="1D4ACB40">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8</w:t>
            </w:r>
          </w:p>
        </w:tc>
      </w:tr>
      <w:tr w14:paraId="1CF9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250E2A3">
            <w:pPr>
              <w:spacing w:line="240" w:lineRule="auto"/>
              <w:jc w:val="center"/>
              <w:rPr>
                <w:rFonts w:hint="eastAsia" w:ascii="宋体" w:hAnsi="宋体" w:eastAsia="宋体" w:cs="Times New Roman"/>
                <w:color w:val="auto"/>
                <w:szCs w:val="21"/>
              </w:rPr>
            </w:pPr>
          </w:p>
        </w:tc>
        <w:tc>
          <w:tcPr>
            <w:tcW w:w="8093" w:type="dxa"/>
            <w:gridSpan w:val="5"/>
            <w:vAlign w:val="center"/>
          </w:tcPr>
          <w:p w14:paraId="24138C4A">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注重理论联系实际，尊重客观规律，树立社会主义核心价值观，增强专业素养，强调理论对实践的指导意义。</w:t>
            </w:r>
          </w:p>
        </w:tc>
      </w:tr>
      <w:tr w14:paraId="3E38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3D9C1C8">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3.连续型随机变量</w:t>
            </w:r>
          </w:p>
        </w:tc>
        <w:tc>
          <w:tcPr>
            <w:tcW w:w="3141" w:type="dxa"/>
            <w:vAlign w:val="center"/>
          </w:tcPr>
          <w:p w14:paraId="43EBD5DF">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（1）能够掌握连续型随机变量</w:t>
            </w:r>
          </w:p>
          <w:p w14:paraId="4978990A">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（2）能够掌握连续型随机向量</w:t>
            </w:r>
          </w:p>
          <w:p w14:paraId="3293E3FC">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（3）能够理解连续型随机变（向）量的数字特征</w:t>
            </w:r>
          </w:p>
        </w:tc>
        <w:tc>
          <w:tcPr>
            <w:tcW w:w="1264" w:type="dxa"/>
            <w:vAlign w:val="center"/>
          </w:tcPr>
          <w:p w14:paraId="6E9DFBBB">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课程目标2、3</w:t>
            </w:r>
          </w:p>
        </w:tc>
        <w:tc>
          <w:tcPr>
            <w:tcW w:w="1690" w:type="dxa"/>
            <w:vAlign w:val="center"/>
          </w:tcPr>
          <w:p w14:paraId="3DCF362F">
            <w:pPr>
              <w:numPr>
                <w:ilvl w:val="0"/>
                <w:numId w:val="26"/>
              </w:num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正确理解连续型随机变量。</w:t>
            </w:r>
          </w:p>
          <w:p w14:paraId="515E8FA6">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2.连续型随机向量的边缘分布。</w:t>
            </w:r>
          </w:p>
        </w:tc>
        <w:tc>
          <w:tcPr>
            <w:tcW w:w="1560" w:type="dxa"/>
            <w:vAlign w:val="center"/>
          </w:tcPr>
          <w:p w14:paraId="33B9C6B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1.多媒体教学2.课堂讨论</w:t>
            </w:r>
          </w:p>
          <w:p w14:paraId="79086A0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3.平时作业</w:t>
            </w:r>
          </w:p>
        </w:tc>
        <w:tc>
          <w:tcPr>
            <w:tcW w:w="438" w:type="dxa"/>
            <w:vAlign w:val="center"/>
          </w:tcPr>
          <w:p w14:paraId="52D7DCA4">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12</w:t>
            </w:r>
          </w:p>
        </w:tc>
      </w:tr>
      <w:tr w14:paraId="7F18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2F92D7A">
            <w:pPr>
              <w:spacing w:line="240" w:lineRule="auto"/>
              <w:jc w:val="center"/>
              <w:rPr>
                <w:rFonts w:hint="eastAsia" w:ascii="宋体" w:hAnsi="宋体" w:eastAsia="宋体" w:cs="Times New Roman"/>
                <w:color w:val="auto"/>
                <w:szCs w:val="21"/>
              </w:rPr>
            </w:pPr>
          </w:p>
        </w:tc>
        <w:tc>
          <w:tcPr>
            <w:tcW w:w="8093" w:type="dxa"/>
            <w:gridSpan w:val="5"/>
            <w:vAlign w:val="center"/>
          </w:tcPr>
          <w:p w14:paraId="7C525F22">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注重理论联系实际，尊重客观规律，树立社会主义核心价值观，增强专业素养，强调理论对实践的指导意义。</w:t>
            </w:r>
          </w:p>
        </w:tc>
      </w:tr>
      <w:tr w14:paraId="2FE0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D3CD1F4">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4.大数定律与中心极限定理</w:t>
            </w:r>
          </w:p>
        </w:tc>
        <w:tc>
          <w:tcPr>
            <w:tcW w:w="3141" w:type="dxa"/>
            <w:vAlign w:val="center"/>
          </w:tcPr>
          <w:p w14:paraId="514F7FA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（1）能够了解大数定律</w:t>
            </w:r>
          </w:p>
          <w:p w14:paraId="71E0961C">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（2）能够了解中心极限定理</w:t>
            </w:r>
          </w:p>
        </w:tc>
        <w:tc>
          <w:tcPr>
            <w:tcW w:w="1264" w:type="dxa"/>
            <w:vAlign w:val="center"/>
          </w:tcPr>
          <w:p w14:paraId="4FEBA0B7">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1690" w:type="dxa"/>
            <w:vAlign w:val="center"/>
          </w:tcPr>
          <w:p w14:paraId="1D815FBA">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1.正确理解大数定律。</w:t>
            </w:r>
          </w:p>
          <w:p w14:paraId="074234D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2.正确理解中心极限定理。</w:t>
            </w:r>
          </w:p>
        </w:tc>
        <w:tc>
          <w:tcPr>
            <w:tcW w:w="1560" w:type="dxa"/>
            <w:vAlign w:val="center"/>
          </w:tcPr>
          <w:p w14:paraId="11F206E2">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1.多媒体教学2.课堂讨论</w:t>
            </w:r>
          </w:p>
          <w:p w14:paraId="0CFEB95D">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3.平时作业</w:t>
            </w:r>
          </w:p>
        </w:tc>
        <w:tc>
          <w:tcPr>
            <w:tcW w:w="438" w:type="dxa"/>
            <w:vAlign w:val="center"/>
          </w:tcPr>
          <w:p w14:paraId="2319CD2C">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4B54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21098A9">
            <w:pPr>
              <w:spacing w:line="240" w:lineRule="auto"/>
              <w:jc w:val="center"/>
              <w:rPr>
                <w:rFonts w:hint="eastAsia" w:ascii="宋体" w:hAnsi="宋体" w:eastAsia="宋体" w:cs="Times New Roman"/>
                <w:color w:val="auto"/>
                <w:szCs w:val="21"/>
              </w:rPr>
            </w:pPr>
          </w:p>
        </w:tc>
        <w:tc>
          <w:tcPr>
            <w:tcW w:w="8093" w:type="dxa"/>
            <w:gridSpan w:val="5"/>
            <w:vAlign w:val="center"/>
          </w:tcPr>
          <w:p w14:paraId="31BD6EE7">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注重理论联系实际，尊重客观规律，树立社会主义核心价值观，增强专业素养，强调理论对实践的指导意义。</w:t>
            </w:r>
          </w:p>
        </w:tc>
      </w:tr>
      <w:tr w14:paraId="2F41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626CB0C">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5.抽样</w:t>
            </w:r>
          </w:p>
          <w:p w14:paraId="7C85B0E0">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分布</w:t>
            </w:r>
          </w:p>
        </w:tc>
        <w:tc>
          <w:tcPr>
            <w:tcW w:w="3141" w:type="dxa"/>
            <w:vAlign w:val="center"/>
          </w:tcPr>
          <w:p w14:paraId="2FDF7FEE">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（1）能够理解总体与样本</w:t>
            </w:r>
          </w:p>
          <w:p w14:paraId="2C3B9F5C">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（2）能够掌握统计量与子样矩</w:t>
            </w:r>
          </w:p>
          <w:p w14:paraId="065D545B">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（3）能够掌握常见的统计分布</w:t>
            </w:r>
          </w:p>
          <w:p w14:paraId="4579E8EC">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（4）能够掌握正态总体子样分布</w:t>
            </w:r>
          </w:p>
        </w:tc>
        <w:tc>
          <w:tcPr>
            <w:tcW w:w="1264" w:type="dxa"/>
            <w:vAlign w:val="center"/>
          </w:tcPr>
          <w:p w14:paraId="70E9729C">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1690" w:type="dxa"/>
            <w:vAlign w:val="center"/>
          </w:tcPr>
          <w:p w14:paraId="46DEB273">
            <w:pPr>
              <w:numPr>
                <w:ilvl w:val="0"/>
                <w:numId w:val="27"/>
              </w:num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了解常见的统计分布。</w:t>
            </w:r>
          </w:p>
          <w:p w14:paraId="6870AF48">
            <w:pPr>
              <w:numPr>
                <w:ilvl w:val="0"/>
                <w:numId w:val="27"/>
              </w:num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理解分位数的概念。</w:t>
            </w:r>
          </w:p>
        </w:tc>
        <w:tc>
          <w:tcPr>
            <w:tcW w:w="1560" w:type="dxa"/>
            <w:vAlign w:val="center"/>
          </w:tcPr>
          <w:p w14:paraId="46013E4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1.多媒体教学2.课堂讨论</w:t>
            </w:r>
          </w:p>
          <w:p w14:paraId="38BE79C4">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3.平时作业</w:t>
            </w:r>
          </w:p>
        </w:tc>
        <w:tc>
          <w:tcPr>
            <w:tcW w:w="438" w:type="dxa"/>
            <w:vAlign w:val="center"/>
          </w:tcPr>
          <w:p w14:paraId="7E521D7B">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w:t>
            </w:r>
          </w:p>
        </w:tc>
      </w:tr>
      <w:tr w14:paraId="563E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EC468C1">
            <w:pPr>
              <w:spacing w:line="240" w:lineRule="auto"/>
              <w:jc w:val="center"/>
              <w:rPr>
                <w:rFonts w:hint="eastAsia" w:ascii="宋体" w:hAnsi="宋体" w:eastAsia="宋体" w:cs="Times New Roman"/>
                <w:color w:val="auto"/>
                <w:szCs w:val="21"/>
              </w:rPr>
            </w:pPr>
          </w:p>
        </w:tc>
        <w:tc>
          <w:tcPr>
            <w:tcW w:w="8093" w:type="dxa"/>
            <w:gridSpan w:val="5"/>
            <w:vAlign w:val="center"/>
          </w:tcPr>
          <w:p w14:paraId="1FF35CE0">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注重理论联系实际，尊重客观规律，树立社会主义核心价值观，增强专业素养，强调理论对实践的指导意义。</w:t>
            </w:r>
          </w:p>
        </w:tc>
      </w:tr>
      <w:tr w14:paraId="6D7F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8F4DD20">
            <w:pPr>
              <w:numPr>
                <w:ilvl w:val="0"/>
                <w:numId w:val="0"/>
              </w:numPr>
              <w:spacing w:line="240" w:lineRule="auto"/>
              <w:ind w:leftChars="0"/>
              <w:jc w:val="center"/>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6.</w:t>
            </w:r>
            <w:r>
              <w:rPr>
                <w:rFonts w:hint="eastAsia" w:ascii="宋体" w:hAnsi="宋体" w:eastAsia="宋体" w:cs="Times New Roman"/>
                <w:color w:val="auto"/>
                <w:szCs w:val="21"/>
              </w:rPr>
              <w:t>参数</w:t>
            </w:r>
          </w:p>
          <w:p w14:paraId="42BF3711">
            <w:pPr>
              <w:numPr>
                <w:ilvl w:val="0"/>
                <w:numId w:val="0"/>
              </w:numPr>
              <w:spacing w:line="240" w:lineRule="auto"/>
              <w:ind w:leftChars="0"/>
              <w:jc w:val="center"/>
              <w:rPr>
                <w:rFonts w:hint="eastAsia" w:ascii="宋体" w:hAnsi="宋体" w:eastAsia="宋体" w:cs="Times New Roman"/>
                <w:color w:val="auto"/>
                <w:szCs w:val="21"/>
              </w:rPr>
            </w:pPr>
            <w:r>
              <w:rPr>
                <w:rFonts w:hint="eastAsia" w:ascii="宋体" w:hAnsi="宋体" w:eastAsia="宋体" w:cs="Times New Roman"/>
                <w:color w:val="auto"/>
                <w:szCs w:val="21"/>
              </w:rPr>
              <w:t>估计</w:t>
            </w:r>
          </w:p>
        </w:tc>
        <w:tc>
          <w:tcPr>
            <w:tcW w:w="3141" w:type="dxa"/>
            <w:vAlign w:val="center"/>
          </w:tcPr>
          <w:p w14:paraId="3CB06C8E">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（1）能够掌握参数的矩估计</w:t>
            </w:r>
          </w:p>
          <w:p w14:paraId="57415435">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（2）能够掌握参数的最大似然估计</w:t>
            </w:r>
          </w:p>
          <w:p w14:paraId="0048602E">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（3）能够掌握参数的区间估计</w:t>
            </w:r>
          </w:p>
        </w:tc>
        <w:tc>
          <w:tcPr>
            <w:tcW w:w="1264" w:type="dxa"/>
            <w:vAlign w:val="center"/>
          </w:tcPr>
          <w:p w14:paraId="739E7FE7">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1690" w:type="dxa"/>
            <w:vAlign w:val="center"/>
          </w:tcPr>
          <w:p w14:paraId="229DADCB">
            <w:pPr>
              <w:numPr>
                <w:ilvl w:val="0"/>
                <w:numId w:val="28"/>
              </w:num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了解</w:t>
            </w:r>
            <w:r>
              <w:rPr>
                <w:rFonts w:hint="eastAsia" w:ascii="宋体" w:hAnsi="宋体" w:eastAsia="宋体" w:cs="Times New Roman"/>
                <w:color w:val="auto"/>
                <w:szCs w:val="21"/>
              </w:rPr>
              <w:t>矩估计的计算并且熟练运用。</w:t>
            </w:r>
          </w:p>
          <w:p w14:paraId="162103C3">
            <w:pPr>
              <w:numPr>
                <w:ilvl w:val="0"/>
                <w:numId w:val="28"/>
              </w:num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了解</w:t>
            </w:r>
            <w:r>
              <w:rPr>
                <w:rFonts w:hint="eastAsia" w:ascii="宋体" w:hAnsi="宋体" w:eastAsia="宋体" w:cs="Times New Roman"/>
                <w:color w:val="auto"/>
                <w:szCs w:val="21"/>
              </w:rPr>
              <w:t>最大似然估计的计算并且熟练运用。</w:t>
            </w:r>
          </w:p>
        </w:tc>
        <w:tc>
          <w:tcPr>
            <w:tcW w:w="1560" w:type="dxa"/>
            <w:vAlign w:val="center"/>
          </w:tcPr>
          <w:p w14:paraId="0B9A2077">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1.多媒体教学2.课堂讨论</w:t>
            </w:r>
          </w:p>
          <w:p w14:paraId="32DC39CA">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3.平时作业</w:t>
            </w:r>
          </w:p>
        </w:tc>
        <w:tc>
          <w:tcPr>
            <w:tcW w:w="438" w:type="dxa"/>
            <w:vAlign w:val="center"/>
          </w:tcPr>
          <w:p w14:paraId="45A1DBF0">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8</w:t>
            </w:r>
          </w:p>
        </w:tc>
      </w:tr>
      <w:tr w14:paraId="3C2C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D6DDD5E">
            <w:pPr>
              <w:spacing w:line="240" w:lineRule="auto"/>
              <w:jc w:val="center"/>
              <w:rPr>
                <w:rFonts w:hint="eastAsia" w:ascii="宋体" w:hAnsi="宋体" w:eastAsia="宋体" w:cs="Times New Roman"/>
                <w:color w:val="auto"/>
                <w:szCs w:val="21"/>
              </w:rPr>
            </w:pPr>
          </w:p>
        </w:tc>
        <w:tc>
          <w:tcPr>
            <w:tcW w:w="8093" w:type="dxa"/>
            <w:gridSpan w:val="5"/>
            <w:vAlign w:val="center"/>
          </w:tcPr>
          <w:p w14:paraId="0AD22D9A">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注重理论联系实际，尊重客观规律，树立社会主义核心价值观，增强专业素养，强调理论对实践的指导意义。</w:t>
            </w:r>
          </w:p>
        </w:tc>
      </w:tr>
      <w:tr w14:paraId="5023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4EA3524">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7.假设检验</w:t>
            </w:r>
          </w:p>
        </w:tc>
        <w:tc>
          <w:tcPr>
            <w:tcW w:w="3141" w:type="dxa"/>
            <w:vAlign w:val="center"/>
          </w:tcPr>
          <w:p w14:paraId="280561B9">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（1）能够理解假设检验的基本概念</w:t>
            </w:r>
          </w:p>
          <w:p w14:paraId="7182C029">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（2）能够掌握参数的假设检验</w:t>
            </w:r>
          </w:p>
          <w:p w14:paraId="4012C97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（3）能够了解非参数的假设检验</w:t>
            </w:r>
          </w:p>
        </w:tc>
        <w:tc>
          <w:tcPr>
            <w:tcW w:w="1264" w:type="dxa"/>
            <w:vAlign w:val="center"/>
          </w:tcPr>
          <w:p w14:paraId="2BC711A0">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1690" w:type="dxa"/>
            <w:vAlign w:val="center"/>
          </w:tcPr>
          <w:p w14:paraId="0EFC0098">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w:t>
            </w:r>
            <w:r>
              <w:rPr>
                <w:rFonts w:hint="eastAsia" w:ascii="宋体" w:hAnsi="宋体" w:eastAsia="宋体" w:cs="Times New Roman"/>
                <w:color w:val="auto"/>
                <w:szCs w:val="21"/>
              </w:rPr>
              <w:t>了解参数的假设检验，非参数的假设检验。</w:t>
            </w:r>
          </w:p>
          <w:p w14:paraId="74AF760C">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2）</w:t>
            </w:r>
            <w:r>
              <w:rPr>
                <w:rFonts w:hint="eastAsia" w:ascii="宋体" w:hAnsi="宋体" w:eastAsia="宋体" w:cs="Times New Roman"/>
                <w:color w:val="auto"/>
                <w:szCs w:val="21"/>
              </w:rPr>
              <w:t>了解非参数的假设检验。</w:t>
            </w:r>
          </w:p>
          <w:p w14:paraId="0A50985C">
            <w:pPr>
              <w:spacing w:line="240" w:lineRule="auto"/>
              <w:jc w:val="left"/>
              <w:rPr>
                <w:rFonts w:hint="eastAsia" w:ascii="宋体" w:hAnsi="宋体" w:eastAsia="宋体" w:cs="Times New Roman"/>
                <w:color w:val="auto"/>
                <w:szCs w:val="21"/>
              </w:rPr>
            </w:pPr>
          </w:p>
        </w:tc>
        <w:tc>
          <w:tcPr>
            <w:tcW w:w="1560" w:type="dxa"/>
            <w:vAlign w:val="center"/>
          </w:tcPr>
          <w:p w14:paraId="50F1A769">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1.多媒体教学2.课堂讨论</w:t>
            </w:r>
          </w:p>
          <w:p w14:paraId="61B04481">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3.平时作业</w:t>
            </w:r>
          </w:p>
        </w:tc>
        <w:tc>
          <w:tcPr>
            <w:tcW w:w="438" w:type="dxa"/>
            <w:vAlign w:val="center"/>
          </w:tcPr>
          <w:p w14:paraId="4240EF24">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8</w:t>
            </w:r>
          </w:p>
        </w:tc>
      </w:tr>
      <w:tr w14:paraId="2F4F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C1A1A0D">
            <w:pPr>
              <w:spacing w:line="240" w:lineRule="auto"/>
              <w:jc w:val="center"/>
              <w:rPr>
                <w:rFonts w:hint="eastAsia" w:ascii="宋体" w:hAnsi="宋体" w:eastAsia="宋体" w:cs="Times New Roman"/>
                <w:color w:val="auto"/>
                <w:szCs w:val="21"/>
              </w:rPr>
            </w:pPr>
          </w:p>
        </w:tc>
        <w:tc>
          <w:tcPr>
            <w:tcW w:w="8093" w:type="dxa"/>
            <w:gridSpan w:val="5"/>
            <w:vAlign w:val="center"/>
          </w:tcPr>
          <w:p w14:paraId="40664AC6">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注重理论联系实际，尊重客观规律，树立社会主义核心价值观，增强专业素养，强调理论对实践的指导意义。</w:t>
            </w:r>
          </w:p>
        </w:tc>
      </w:tr>
      <w:tr w14:paraId="06D9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69727DC">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8.方差分析与回归分析</w:t>
            </w:r>
          </w:p>
        </w:tc>
        <w:tc>
          <w:tcPr>
            <w:tcW w:w="3141" w:type="dxa"/>
            <w:vAlign w:val="center"/>
          </w:tcPr>
          <w:p w14:paraId="3FE0D93F">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（1）能够掌握方差分析</w:t>
            </w:r>
          </w:p>
          <w:p w14:paraId="2FFB13D0">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（2）能够掌握一元线性回归分析</w:t>
            </w:r>
          </w:p>
          <w:p w14:paraId="4E33E8CE">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（3）能够了解一元非线性回归分析</w:t>
            </w:r>
          </w:p>
          <w:p w14:paraId="3877034C">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（4）能够了解多元线性回归分析</w:t>
            </w:r>
          </w:p>
        </w:tc>
        <w:tc>
          <w:tcPr>
            <w:tcW w:w="1264" w:type="dxa"/>
            <w:vAlign w:val="center"/>
          </w:tcPr>
          <w:p w14:paraId="48C659FE">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1690" w:type="dxa"/>
            <w:vAlign w:val="center"/>
          </w:tcPr>
          <w:p w14:paraId="7C7747E0">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1）了解关</w:t>
            </w:r>
            <w:r>
              <w:rPr>
                <w:rFonts w:hint="eastAsia" w:ascii="宋体" w:hAnsi="宋体" w:eastAsia="宋体" w:cs="Times New Roman"/>
                <w:color w:val="auto"/>
                <w:szCs w:val="21"/>
              </w:rPr>
              <w:t>一元线性回归分析，一元非线性回归分析.</w:t>
            </w:r>
          </w:p>
          <w:p w14:paraId="070D5E14">
            <w:pPr>
              <w:spacing w:line="240" w:lineRule="auto"/>
              <w:jc w:val="left"/>
              <w:rPr>
                <w:rFonts w:hint="eastAsia" w:ascii="宋体" w:hAnsi="宋体" w:eastAsia="宋体" w:cs="Times New Roman"/>
                <w:color w:val="auto"/>
                <w:szCs w:val="21"/>
              </w:rPr>
            </w:pPr>
          </w:p>
        </w:tc>
        <w:tc>
          <w:tcPr>
            <w:tcW w:w="1560" w:type="dxa"/>
            <w:vAlign w:val="center"/>
          </w:tcPr>
          <w:p w14:paraId="26DEE8EE">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1.多媒体教学2.课堂讨论</w:t>
            </w:r>
          </w:p>
          <w:p w14:paraId="509AA6C3">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3.平时作业</w:t>
            </w:r>
          </w:p>
        </w:tc>
        <w:tc>
          <w:tcPr>
            <w:tcW w:w="438" w:type="dxa"/>
            <w:vAlign w:val="center"/>
          </w:tcPr>
          <w:p w14:paraId="57FC5870">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w:t>
            </w:r>
          </w:p>
        </w:tc>
      </w:tr>
      <w:tr w14:paraId="63E8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3ED6B84">
            <w:pPr>
              <w:spacing w:line="240" w:lineRule="auto"/>
              <w:jc w:val="center"/>
              <w:rPr>
                <w:rFonts w:hint="eastAsia" w:ascii="宋体" w:hAnsi="宋体" w:eastAsia="宋体" w:cs="Times New Roman"/>
                <w:color w:val="auto"/>
                <w:szCs w:val="21"/>
              </w:rPr>
            </w:pPr>
          </w:p>
        </w:tc>
        <w:tc>
          <w:tcPr>
            <w:tcW w:w="8093" w:type="dxa"/>
            <w:gridSpan w:val="5"/>
            <w:vAlign w:val="center"/>
          </w:tcPr>
          <w:p w14:paraId="264298B2">
            <w:pPr>
              <w:spacing w:line="240"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注重理论联系实际，尊重客观规律，树立社会主义核心价值观，增强专业素养，强调理论对实践的指导意义。</w:t>
            </w:r>
          </w:p>
        </w:tc>
      </w:tr>
    </w:tbl>
    <w:p w14:paraId="71547E61">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四、课程实施</w:t>
      </w:r>
    </w:p>
    <w:p w14:paraId="5181483F">
      <w:pPr>
        <w:pStyle w:val="14"/>
        <w:spacing w:before="0" w:beforeAutospacing="0" w:after="0" w:afterAutospacing="0" w:line="360" w:lineRule="auto"/>
        <w:ind w:firstLine="422" w:firstLineChars="200"/>
        <w:jc w:val="both"/>
        <w:rPr>
          <w:rFonts w:hint="eastAsia"/>
          <w:color w:val="auto"/>
          <w:sz w:val="21"/>
          <w:szCs w:val="21"/>
        </w:rPr>
      </w:pPr>
      <w:r>
        <w:rPr>
          <w:rFonts w:hint="eastAsia"/>
          <w:b/>
          <w:bCs/>
          <w:color w:val="auto"/>
          <w:sz w:val="21"/>
          <w:szCs w:val="21"/>
        </w:rPr>
        <w:t>（一）教学方法与教学手段</w:t>
      </w:r>
    </w:p>
    <w:p w14:paraId="67BD8036">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color w:val="auto"/>
          <w:sz w:val="21"/>
          <w:szCs w:val="21"/>
        </w:rPr>
      </w:pPr>
      <w:r>
        <w:rPr>
          <w:rFonts w:hint="eastAsia"/>
          <w:color w:val="auto"/>
          <w:sz w:val="21"/>
          <w:szCs w:val="21"/>
        </w:rPr>
        <w:t>1. 教学方法：启发式互动讲授结合多媒体辅助；适当课堂练习；及时了解学生的作业状况并对共同的问题作及时解答；安排好课后答疑。</w:t>
      </w:r>
    </w:p>
    <w:p w14:paraId="6BEC83F6">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color w:val="auto"/>
          <w:sz w:val="21"/>
          <w:szCs w:val="21"/>
        </w:rPr>
      </w:pPr>
      <w:r>
        <w:rPr>
          <w:rFonts w:hint="eastAsia"/>
          <w:color w:val="auto"/>
          <w:sz w:val="21"/>
          <w:szCs w:val="21"/>
        </w:rPr>
        <w:t>2. 教学方法：提倡应用现代化教学手段，如课件、互联网在线教学和网络答疑等。</w:t>
      </w:r>
    </w:p>
    <w:p w14:paraId="6B8F673B">
      <w:pPr>
        <w:pStyle w:val="14"/>
        <w:spacing w:before="0" w:beforeAutospacing="0" w:after="0" w:afterAutospacing="0" w:line="360" w:lineRule="auto"/>
        <w:ind w:firstLine="422" w:firstLineChars="200"/>
        <w:jc w:val="both"/>
        <w:rPr>
          <w:rFonts w:hint="eastAsia"/>
          <w:color w:val="auto"/>
          <w:sz w:val="21"/>
          <w:szCs w:val="21"/>
        </w:rPr>
      </w:pPr>
      <w:r>
        <w:rPr>
          <w:rFonts w:hint="eastAsia"/>
          <w:b/>
          <w:bCs/>
          <w:color w:val="auto"/>
          <w:sz w:val="21"/>
          <w:szCs w:val="21"/>
        </w:rPr>
        <w:t>（二）课程实施与保障</w:t>
      </w:r>
    </w:p>
    <w:tbl>
      <w:tblPr>
        <w:tblStyle w:val="15"/>
        <w:tblW w:w="0" w:type="auto"/>
        <w:tblInd w:w="0" w:type="dxa"/>
        <w:tblLayout w:type="fixed"/>
        <w:tblCellMar>
          <w:top w:w="15" w:type="dxa"/>
          <w:left w:w="15" w:type="dxa"/>
          <w:bottom w:w="15" w:type="dxa"/>
          <w:right w:w="15" w:type="dxa"/>
        </w:tblCellMar>
      </w:tblPr>
      <w:tblGrid>
        <w:gridCol w:w="582"/>
        <w:gridCol w:w="993"/>
        <w:gridCol w:w="7525"/>
      </w:tblGrid>
      <w:tr w14:paraId="129C1833">
        <w:tblPrEx>
          <w:tblCellMar>
            <w:top w:w="15" w:type="dxa"/>
            <w:left w:w="15" w:type="dxa"/>
            <w:bottom w:w="15" w:type="dxa"/>
            <w:right w:w="15" w:type="dxa"/>
          </w:tblCellMar>
        </w:tblPrEx>
        <w:trPr>
          <w:trHeight w:val="370" w:hRule="atLeast"/>
        </w:trPr>
        <w:tc>
          <w:tcPr>
            <w:tcW w:w="1575" w:type="dxa"/>
            <w:gridSpan w:val="2"/>
            <w:tcBorders>
              <w:top w:val="single" w:color="auto" w:sz="8" w:space="0"/>
              <w:left w:val="single" w:color="auto" w:sz="8" w:space="0"/>
              <w:bottom w:val="single" w:color="auto" w:sz="4" w:space="0"/>
              <w:right w:val="single" w:color="auto" w:sz="8" w:space="0"/>
            </w:tcBorders>
            <w:shd w:val="clear" w:color="auto" w:fill="auto"/>
            <w:tcMar>
              <w:top w:w="0" w:type="dxa"/>
              <w:left w:w="28" w:type="dxa"/>
              <w:bottom w:w="0" w:type="dxa"/>
              <w:right w:w="28" w:type="dxa"/>
            </w:tcMar>
            <w:vAlign w:val="center"/>
          </w:tcPr>
          <w:p w14:paraId="77782DCE">
            <w:pPr>
              <w:pStyle w:val="14"/>
              <w:spacing w:before="0" w:beforeAutospacing="0" w:after="0" w:afterAutospacing="0" w:line="300" w:lineRule="exact"/>
              <w:jc w:val="center"/>
              <w:rPr>
                <w:rFonts w:hint="eastAsia"/>
                <w:color w:val="auto"/>
              </w:rPr>
            </w:pPr>
            <w:r>
              <w:rPr>
                <w:rFonts w:hint="eastAsia"/>
                <w:b/>
                <w:bCs/>
                <w:color w:val="auto"/>
                <w:sz w:val="21"/>
                <w:szCs w:val="21"/>
              </w:rPr>
              <w:t>主要教学环节</w:t>
            </w:r>
          </w:p>
        </w:tc>
        <w:tc>
          <w:tcPr>
            <w:tcW w:w="7525" w:type="dxa"/>
            <w:tcBorders>
              <w:top w:val="single" w:color="auto" w:sz="8" w:space="0"/>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14:paraId="58821CEA">
            <w:pPr>
              <w:pStyle w:val="14"/>
              <w:spacing w:before="0" w:beforeAutospacing="0" w:after="0" w:afterAutospacing="0" w:line="300" w:lineRule="exact"/>
              <w:jc w:val="center"/>
              <w:rPr>
                <w:rFonts w:hint="eastAsia"/>
                <w:color w:val="auto"/>
              </w:rPr>
            </w:pPr>
            <w:r>
              <w:rPr>
                <w:rFonts w:hint="eastAsia"/>
                <w:b/>
                <w:bCs/>
                <w:color w:val="auto"/>
                <w:sz w:val="21"/>
                <w:szCs w:val="21"/>
              </w:rPr>
              <w:t>质量要求</w:t>
            </w:r>
          </w:p>
        </w:tc>
      </w:tr>
      <w:tr w14:paraId="00652CE7">
        <w:tblPrEx>
          <w:tblCellMar>
            <w:top w:w="15" w:type="dxa"/>
            <w:left w:w="15" w:type="dxa"/>
            <w:bottom w:w="15" w:type="dxa"/>
            <w:right w:w="15" w:type="dxa"/>
          </w:tblCellMar>
        </w:tblPrEx>
        <w:trPr>
          <w:trHeight w:val="1714" w:hRule="atLeast"/>
        </w:trPr>
        <w:tc>
          <w:tcPr>
            <w:tcW w:w="582" w:type="dxa"/>
            <w:tcBorders>
              <w:top w:val="single" w:color="auto" w:sz="4" w:space="0"/>
              <w:left w:val="single" w:color="auto" w:sz="8" w:space="0"/>
              <w:bottom w:val="single" w:color="auto" w:sz="4" w:space="0"/>
              <w:right w:val="single" w:color="auto" w:sz="4" w:space="0"/>
            </w:tcBorders>
            <w:shd w:val="clear" w:color="auto" w:fill="auto"/>
            <w:tcMar>
              <w:top w:w="0" w:type="dxa"/>
              <w:left w:w="108" w:type="dxa"/>
              <w:bottom w:w="0" w:type="dxa"/>
              <w:right w:w="108" w:type="dxa"/>
            </w:tcMar>
            <w:vAlign w:val="center"/>
          </w:tcPr>
          <w:p w14:paraId="0959122E">
            <w:pPr>
              <w:pStyle w:val="14"/>
              <w:spacing w:before="0" w:beforeAutospacing="0" w:after="0" w:afterAutospacing="0" w:line="300" w:lineRule="exact"/>
              <w:jc w:val="center"/>
              <w:rPr>
                <w:rFonts w:hint="eastAsia"/>
                <w:color w:val="auto"/>
              </w:rPr>
            </w:pPr>
            <w:r>
              <w:rPr>
                <w:rFonts w:hint="eastAsia"/>
                <w:color w:val="auto"/>
                <w:sz w:val="21"/>
                <w:szCs w:val="21"/>
              </w:rPr>
              <w:t>1</w:t>
            </w:r>
          </w:p>
        </w:tc>
        <w:tc>
          <w:tcPr>
            <w:tcW w:w="993"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391B2449">
            <w:pPr>
              <w:pStyle w:val="14"/>
              <w:spacing w:before="0" w:beforeAutospacing="0" w:after="0" w:afterAutospacing="0" w:line="300" w:lineRule="exact"/>
              <w:jc w:val="center"/>
              <w:rPr>
                <w:rFonts w:hint="eastAsia"/>
                <w:color w:val="auto"/>
              </w:rPr>
            </w:pPr>
            <w:r>
              <w:rPr>
                <w:rFonts w:hint="eastAsia"/>
                <w:color w:val="auto"/>
                <w:sz w:val="21"/>
                <w:szCs w:val="21"/>
              </w:rPr>
              <w:t>备课</w:t>
            </w:r>
          </w:p>
        </w:tc>
        <w:tc>
          <w:tcPr>
            <w:tcW w:w="7525" w:type="dxa"/>
            <w:tcBorders>
              <w:top w:val="single" w:color="auto" w:sz="4"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14:paraId="614BD97D">
            <w:pPr>
              <w:pStyle w:val="14"/>
              <w:spacing w:before="0" w:beforeAutospacing="0" w:after="0" w:afterAutospacing="0" w:line="300" w:lineRule="exact"/>
              <w:jc w:val="both"/>
              <w:rPr>
                <w:rFonts w:hint="eastAsia"/>
                <w:color w:val="auto"/>
              </w:rPr>
            </w:pPr>
            <w:r>
              <w:rPr>
                <w:rFonts w:hint="eastAsia"/>
                <w:color w:val="auto"/>
                <w:sz w:val="21"/>
                <w:szCs w:val="21"/>
              </w:rPr>
              <w:t>（1）掌握课程教学大纲内容，严格按照教学大纲要求进行课程教学内容的组织。</w:t>
            </w:r>
          </w:p>
          <w:p w14:paraId="35E36980">
            <w:pPr>
              <w:pStyle w:val="14"/>
              <w:spacing w:before="0" w:beforeAutospacing="0" w:after="0" w:afterAutospacing="0" w:line="300" w:lineRule="exact"/>
              <w:jc w:val="both"/>
              <w:rPr>
                <w:rFonts w:hint="eastAsia"/>
                <w:color w:val="auto"/>
              </w:rPr>
            </w:pPr>
            <w:r>
              <w:rPr>
                <w:rFonts w:hint="eastAsia"/>
                <w:color w:val="auto"/>
                <w:sz w:val="21"/>
                <w:szCs w:val="21"/>
              </w:rPr>
              <w:t>（2）悉心了解学生的现有水平和最新发展水平，深透钻研教材内容，广泛阅读相关文献资料，精心选择教学方法、组织形式和教学手段，认真编写授课计划。</w:t>
            </w:r>
          </w:p>
          <w:p w14:paraId="70532C36">
            <w:pPr>
              <w:pStyle w:val="14"/>
              <w:spacing w:before="0" w:beforeAutospacing="0" w:after="0" w:afterAutospacing="0" w:line="300" w:lineRule="exact"/>
              <w:jc w:val="both"/>
              <w:rPr>
                <w:rFonts w:hint="eastAsia"/>
                <w:color w:val="auto"/>
              </w:rPr>
            </w:pPr>
            <w:r>
              <w:rPr>
                <w:rFonts w:hint="eastAsia"/>
                <w:color w:val="auto"/>
                <w:sz w:val="21"/>
                <w:szCs w:val="21"/>
              </w:rPr>
              <w:t>（3）结合课程特点，适度运用多媒体教学手段讲授部分教学内容。</w:t>
            </w:r>
          </w:p>
          <w:p w14:paraId="41D41638">
            <w:pPr>
              <w:pStyle w:val="14"/>
              <w:spacing w:before="0" w:beforeAutospacing="0" w:after="0" w:afterAutospacing="0" w:line="300" w:lineRule="exact"/>
              <w:jc w:val="both"/>
              <w:rPr>
                <w:rFonts w:hint="eastAsia"/>
                <w:color w:val="auto"/>
              </w:rPr>
            </w:pPr>
            <w:r>
              <w:rPr>
                <w:rFonts w:hint="eastAsia"/>
                <w:color w:val="auto"/>
                <w:sz w:val="21"/>
                <w:szCs w:val="21"/>
              </w:rPr>
              <w:t>（4）确定各章节课程内容的教学方法，构思授课思路、技巧和方法。</w:t>
            </w:r>
          </w:p>
        </w:tc>
      </w:tr>
      <w:tr w14:paraId="4135BA11">
        <w:tblPrEx>
          <w:tblCellMar>
            <w:top w:w="15" w:type="dxa"/>
            <w:left w:w="15" w:type="dxa"/>
            <w:bottom w:w="15" w:type="dxa"/>
            <w:right w:w="15" w:type="dxa"/>
          </w:tblCellMar>
        </w:tblPrEx>
        <w:trPr>
          <w:trHeight w:val="2967" w:hRule="atLeast"/>
        </w:trPr>
        <w:tc>
          <w:tcPr>
            <w:tcW w:w="582" w:type="dxa"/>
            <w:tcBorders>
              <w:top w:val="single" w:color="auto" w:sz="4" w:space="0"/>
              <w:left w:val="single" w:color="auto" w:sz="8" w:space="0"/>
              <w:bottom w:val="single" w:color="auto" w:sz="4" w:space="0"/>
              <w:right w:val="single" w:color="auto" w:sz="4" w:space="0"/>
            </w:tcBorders>
            <w:shd w:val="clear" w:color="auto" w:fill="auto"/>
            <w:tcMar>
              <w:top w:w="0" w:type="dxa"/>
              <w:left w:w="108" w:type="dxa"/>
              <w:bottom w:w="0" w:type="dxa"/>
              <w:right w:w="108" w:type="dxa"/>
            </w:tcMar>
            <w:vAlign w:val="center"/>
          </w:tcPr>
          <w:p w14:paraId="44784321">
            <w:pPr>
              <w:pStyle w:val="14"/>
              <w:spacing w:before="0" w:beforeAutospacing="0" w:after="0" w:afterAutospacing="0" w:line="300" w:lineRule="exact"/>
              <w:jc w:val="center"/>
              <w:rPr>
                <w:rFonts w:hint="eastAsia"/>
                <w:color w:val="auto"/>
              </w:rPr>
            </w:pPr>
            <w:r>
              <w:rPr>
                <w:rFonts w:hint="eastAsia"/>
                <w:color w:val="auto"/>
                <w:sz w:val="21"/>
                <w:szCs w:val="21"/>
              </w:rPr>
              <w:t>2</w:t>
            </w:r>
          </w:p>
        </w:tc>
        <w:tc>
          <w:tcPr>
            <w:tcW w:w="993"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54B41F15">
            <w:pPr>
              <w:pStyle w:val="14"/>
              <w:spacing w:before="0" w:beforeAutospacing="0" w:after="0" w:afterAutospacing="0" w:line="300" w:lineRule="exact"/>
              <w:jc w:val="center"/>
              <w:rPr>
                <w:rFonts w:hint="eastAsia"/>
                <w:color w:val="auto"/>
              </w:rPr>
            </w:pPr>
            <w:r>
              <w:rPr>
                <w:rFonts w:hint="eastAsia"/>
                <w:color w:val="auto"/>
                <w:sz w:val="21"/>
                <w:szCs w:val="21"/>
              </w:rPr>
              <w:t>讲授</w:t>
            </w:r>
          </w:p>
        </w:tc>
        <w:tc>
          <w:tcPr>
            <w:tcW w:w="7525" w:type="dxa"/>
            <w:tcBorders>
              <w:top w:val="single" w:color="auto" w:sz="4"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14:paraId="1D19458B">
            <w:pPr>
              <w:pStyle w:val="14"/>
              <w:spacing w:before="0" w:beforeAutospacing="0" w:after="0" w:afterAutospacing="0" w:line="300" w:lineRule="exact"/>
              <w:jc w:val="both"/>
              <w:rPr>
                <w:rFonts w:hint="eastAsia"/>
                <w:color w:val="auto"/>
              </w:rPr>
            </w:pPr>
            <w:r>
              <w:rPr>
                <w:rFonts w:hint="eastAsia"/>
                <w:color w:val="auto"/>
                <w:sz w:val="21"/>
                <w:szCs w:val="21"/>
              </w:rPr>
              <w:t>（1）教师仪表端庄，情绪情感要饱满；</w:t>
            </w:r>
          </w:p>
          <w:p w14:paraId="6D8DA1F6">
            <w:pPr>
              <w:pStyle w:val="14"/>
              <w:spacing w:before="0" w:beforeAutospacing="0" w:after="0" w:afterAutospacing="0" w:line="300" w:lineRule="exact"/>
              <w:jc w:val="both"/>
              <w:rPr>
                <w:rFonts w:hint="eastAsia"/>
                <w:color w:val="auto"/>
              </w:rPr>
            </w:pPr>
            <w:r>
              <w:rPr>
                <w:rFonts w:hint="eastAsia"/>
                <w:color w:val="auto"/>
                <w:sz w:val="21"/>
                <w:szCs w:val="21"/>
              </w:rPr>
              <w:t>（2）教学准备充分，熟悉教学内容；</w:t>
            </w:r>
          </w:p>
          <w:p w14:paraId="6D8B4A9B">
            <w:pPr>
              <w:pStyle w:val="14"/>
              <w:spacing w:before="0" w:beforeAutospacing="0" w:after="0" w:afterAutospacing="0" w:line="300" w:lineRule="exact"/>
              <w:jc w:val="both"/>
              <w:rPr>
                <w:rFonts w:hint="eastAsia"/>
                <w:color w:val="auto"/>
              </w:rPr>
            </w:pPr>
            <w:r>
              <w:rPr>
                <w:rFonts w:hint="eastAsia"/>
                <w:color w:val="auto"/>
                <w:sz w:val="21"/>
                <w:szCs w:val="21"/>
              </w:rPr>
              <w:t>（3）教学内容充实，不断充实最新研究成果；</w:t>
            </w:r>
          </w:p>
          <w:p w14:paraId="13BA2069">
            <w:pPr>
              <w:pStyle w:val="14"/>
              <w:spacing w:before="0" w:beforeAutospacing="0" w:after="0" w:afterAutospacing="0" w:line="300" w:lineRule="exact"/>
              <w:jc w:val="both"/>
              <w:rPr>
                <w:rFonts w:hint="eastAsia"/>
                <w:color w:val="auto"/>
              </w:rPr>
            </w:pPr>
            <w:r>
              <w:rPr>
                <w:rFonts w:hint="eastAsia"/>
                <w:color w:val="auto"/>
                <w:sz w:val="21"/>
                <w:szCs w:val="21"/>
              </w:rPr>
              <w:t>（4）严格执行计划，教学进度适宜；</w:t>
            </w:r>
          </w:p>
          <w:p w14:paraId="667A189C">
            <w:pPr>
              <w:pStyle w:val="14"/>
              <w:spacing w:before="0" w:beforeAutospacing="0" w:after="0" w:afterAutospacing="0" w:line="300" w:lineRule="exact"/>
              <w:jc w:val="both"/>
              <w:rPr>
                <w:rFonts w:hint="eastAsia"/>
                <w:color w:val="auto"/>
              </w:rPr>
            </w:pPr>
            <w:r>
              <w:rPr>
                <w:rFonts w:hint="eastAsia"/>
                <w:color w:val="auto"/>
                <w:sz w:val="21"/>
                <w:szCs w:val="21"/>
              </w:rPr>
              <w:t>（5）课堂教学信息充分，注重理论联系实际；</w:t>
            </w:r>
          </w:p>
          <w:p w14:paraId="750F08E9">
            <w:pPr>
              <w:pStyle w:val="14"/>
              <w:spacing w:before="0" w:beforeAutospacing="0" w:after="0" w:afterAutospacing="0" w:line="300" w:lineRule="exact"/>
              <w:jc w:val="both"/>
              <w:rPr>
                <w:rFonts w:hint="eastAsia"/>
                <w:color w:val="auto"/>
              </w:rPr>
            </w:pPr>
            <w:r>
              <w:rPr>
                <w:rFonts w:hint="eastAsia"/>
                <w:color w:val="auto"/>
                <w:sz w:val="21"/>
                <w:szCs w:val="21"/>
              </w:rPr>
              <w:t>（6）注重启发学生思维，培养学生的教学能力；</w:t>
            </w:r>
          </w:p>
          <w:p w14:paraId="5CD5D698">
            <w:pPr>
              <w:pStyle w:val="14"/>
              <w:spacing w:before="0" w:beforeAutospacing="0" w:after="0" w:afterAutospacing="0" w:line="300" w:lineRule="exact"/>
              <w:jc w:val="both"/>
              <w:rPr>
                <w:rFonts w:hint="eastAsia"/>
                <w:color w:val="auto"/>
              </w:rPr>
            </w:pPr>
            <w:r>
              <w:rPr>
                <w:rFonts w:hint="eastAsia"/>
                <w:color w:val="auto"/>
                <w:sz w:val="21"/>
                <w:szCs w:val="21"/>
              </w:rPr>
              <w:t>（7）面向全体基础上因材施教，灵活运用多种教学方法；</w:t>
            </w:r>
          </w:p>
          <w:p w14:paraId="12965A1E">
            <w:pPr>
              <w:pStyle w:val="14"/>
              <w:spacing w:before="0" w:beforeAutospacing="0" w:after="0" w:afterAutospacing="0" w:line="300" w:lineRule="exact"/>
              <w:jc w:val="both"/>
              <w:rPr>
                <w:rFonts w:hint="eastAsia"/>
                <w:color w:val="auto"/>
              </w:rPr>
            </w:pPr>
            <w:r>
              <w:rPr>
                <w:rFonts w:hint="eastAsia"/>
                <w:color w:val="auto"/>
                <w:sz w:val="21"/>
                <w:szCs w:val="21"/>
              </w:rPr>
              <w:t>（8）教学语言规范，为学生教育教学做好表率；</w:t>
            </w:r>
          </w:p>
          <w:p w14:paraId="2D0BDCA8">
            <w:pPr>
              <w:pStyle w:val="14"/>
              <w:spacing w:before="0" w:beforeAutospacing="0" w:after="0" w:afterAutospacing="0" w:line="300" w:lineRule="exact"/>
              <w:jc w:val="both"/>
              <w:rPr>
                <w:rFonts w:hint="eastAsia"/>
                <w:color w:val="auto"/>
              </w:rPr>
            </w:pPr>
            <w:r>
              <w:rPr>
                <w:rFonts w:hint="eastAsia"/>
                <w:color w:val="auto"/>
                <w:sz w:val="21"/>
                <w:szCs w:val="21"/>
              </w:rPr>
              <w:t>（9）教学条理清楚，教学思路逻辑严密；</w:t>
            </w:r>
          </w:p>
          <w:p w14:paraId="3B1CF5DE">
            <w:pPr>
              <w:pStyle w:val="14"/>
              <w:spacing w:before="0" w:beforeAutospacing="0" w:after="0" w:afterAutospacing="0" w:line="300" w:lineRule="exact"/>
              <w:jc w:val="both"/>
              <w:rPr>
                <w:rFonts w:hint="eastAsia"/>
                <w:color w:val="auto"/>
              </w:rPr>
            </w:pPr>
            <w:r>
              <w:rPr>
                <w:rFonts w:hint="eastAsia"/>
                <w:color w:val="auto"/>
                <w:sz w:val="21"/>
                <w:szCs w:val="21"/>
              </w:rPr>
              <w:t>（10）充分运用现代化教学手段，教学技术熟练；</w:t>
            </w:r>
          </w:p>
          <w:p w14:paraId="61112182">
            <w:pPr>
              <w:pStyle w:val="14"/>
              <w:spacing w:before="0" w:beforeAutospacing="0" w:after="0" w:afterAutospacing="0" w:line="300" w:lineRule="exact"/>
              <w:jc w:val="both"/>
              <w:rPr>
                <w:rFonts w:hint="eastAsia"/>
                <w:color w:val="auto"/>
              </w:rPr>
            </w:pPr>
            <w:r>
              <w:rPr>
                <w:rFonts w:hint="eastAsia"/>
                <w:color w:val="auto"/>
                <w:sz w:val="21"/>
                <w:szCs w:val="21"/>
              </w:rPr>
              <w:t>（11）课堂教学要重点突出，难点突破；</w:t>
            </w:r>
          </w:p>
          <w:p w14:paraId="693F6C97">
            <w:pPr>
              <w:pStyle w:val="14"/>
              <w:spacing w:before="0" w:beforeAutospacing="0" w:after="0" w:afterAutospacing="0" w:line="300" w:lineRule="exact"/>
              <w:jc w:val="both"/>
              <w:rPr>
                <w:rFonts w:hint="eastAsia"/>
                <w:color w:val="auto"/>
              </w:rPr>
            </w:pPr>
            <w:r>
              <w:rPr>
                <w:rFonts w:hint="eastAsia"/>
                <w:color w:val="auto"/>
                <w:sz w:val="21"/>
                <w:szCs w:val="21"/>
              </w:rPr>
              <w:t>（12）注重师生互动，形成良好的课堂氛围。</w:t>
            </w:r>
          </w:p>
        </w:tc>
      </w:tr>
      <w:tr w14:paraId="46FB22B6">
        <w:tblPrEx>
          <w:tblCellMar>
            <w:top w:w="15" w:type="dxa"/>
            <w:left w:w="15" w:type="dxa"/>
            <w:bottom w:w="15" w:type="dxa"/>
            <w:right w:w="15" w:type="dxa"/>
          </w:tblCellMar>
        </w:tblPrEx>
        <w:trPr>
          <w:trHeight w:val="2331" w:hRule="atLeast"/>
        </w:trPr>
        <w:tc>
          <w:tcPr>
            <w:tcW w:w="582" w:type="dxa"/>
            <w:tcBorders>
              <w:top w:val="single" w:color="auto" w:sz="4" w:space="0"/>
              <w:left w:val="single" w:color="auto" w:sz="8" w:space="0"/>
              <w:bottom w:val="single" w:color="auto" w:sz="4" w:space="0"/>
              <w:right w:val="single" w:color="auto" w:sz="4" w:space="0"/>
            </w:tcBorders>
            <w:shd w:val="clear" w:color="auto" w:fill="auto"/>
            <w:tcMar>
              <w:top w:w="0" w:type="dxa"/>
              <w:left w:w="108" w:type="dxa"/>
              <w:bottom w:w="0" w:type="dxa"/>
              <w:right w:w="108" w:type="dxa"/>
            </w:tcMar>
            <w:vAlign w:val="center"/>
          </w:tcPr>
          <w:p w14:paraId="452FF684">
            <w:pPr>
              <w:pStyle w:val="14"/>
              <w:spacing w:before="0" w:beforeAutospacing="0" w:after="0" w:afterAutospacing="0" w:line="300" w:lineRule="exact"/>
              <w:jc w:val="center"/>
              <w:rPr>
                <w:rFonts w:hint="eastAsia"/>
                <w:color w:val="auto"/>
              </w:rPr>
            </w:pPr>
            <w:r>
              <w:rPr>
                <w:rFonts w:hint="eastAsia"/>
                <w:color w:val="auto"/>
                <w:sz w:val="21"/>
                <w:szCs w:val="21"/>
              </w:rPr>
              <w:t>3</w:t>
            </w:r>
          </w:p>
        </w:tc>
        <w:tc>
          <w:tcPr>
            <w:tcW w:w="993"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5C1105B6">
            <w:pPr>
              <w:pStyle w:val="14"/>
              <w:spacing w:before="0" w:beforeAutospacing="0" w:after="0" w:afterAutospacing="0" w:line="300" w:lineRule="exact"/>
              <w:jc w:val="center"/>
              <w:rPr>
                <w:rFonts w:hint="eastAsia"/>
                <w:color w:val="auto"/>
              </w:rPr>
            </w:pPr>
            <w:r>
              <w:rPr>
                <w:rFonts w:hint="eastAsia"/>
                <w:color w:val="auto"/>
                <w:sz w:val="21"/>
                <w:szCs w:val="21"/>
              </w:rPr>
              <w:t>作业布置与批改</w:t>
            </w:r>
          </w:p>
        </w:tc>
        <w:tc>
          <w:tcPr>
            <w:tcW w:w="7525" w:type="dxa"/>
            <w:tcBorders>
              <w:top w:val="single" w:color="auto" w:sz="4"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14:paraId="1414F634">
            <w:pPr>
              <w:pStyle w:val="14"/>
              <w:spacing w:before="0" w:beforeAutospacing="0" w:after="0" w:afterAutospacing="0" w:line="300" w:lineRule="exact"/>
              <w:jc w:val="both"/>
              <w:rPr>
                <w:rFonts w:hint="eastAsia"/>
                <w:color w:val="auto"/>
              </w:rPr>
            </w:pPr>
            <w:r>
              <w:rPr>
                <w:rFonts w:hint="eastAsia"/>
                <w:color w:val="auto"/>
                <w:sz w:val="21"/>
                <w:szCs w:val="21"/>
              </w:rPr>
              <w:t>学生必须完成规定数量的作业，作业必须达到以下基本要求：</w:t>
            </w:r>
          </w:p>
          <w:p w14:paraId="0335EFA1">
            <w:pPr>
              <w:pStyle w:val="14"/>
              <w:spacing w:before="0" w:beforeAutospacing="0" w:after="0" w:afterAutospacing="0" w:line="300" w:lineRule="exact"/>
              <w:jc w:val="both"/>
              <w:rPr>
                <w:rFonts w:hint="eastAsia"/>
                <w:color w:val="auto"/>
              </w:rPr>
            </w:pPr>
            <w:r>
              <w:rPr>
                <w:rFonts w:hint="eastAsia"/>
                <w:color w:val="auto"/>
                <w:sz w:val="21"/>
                <w:szCs w:val="21"/>
              </w:rPr>
              <w:t>（1）按时按量完成作业，不缺交，不抄袭。</w:t>
            </w:r>
          </w:p>
          <w:p w14:paraId="47369295">
            <w:pPr>
              <w:pStyle w:val="14"/>
              <w:spacing w:before="0" w:beforeAutospacing="0" w:after="0" w:afterAutospacing="0" w:line="300" w:lineRule="exact"/>
              <w:jc w:val="both"/>
              <w:rPr>
                <w:rFonts w:hint="eastAsia"/>
                <w:color w:val="auto"/>
              </w:rPr>
            </w:pPr>
            <w:r>
              <w:rPr>
                <w:rFonts w:hint="eastAsia"/>
                <w:color w:val="auto"/>
                <w:sz w:val="21"/>
                <w:szCs w:val="21"/>
              </w:rPr>
              <w:t>（2）作业规范，书写清晰。</w:t>
            </w:r>
          </w:p>
          <w:p w14:paraId="13A24696">
            <w:pPr>
              <w:pStyle w:val="14"/>
              <w:spacing w:before="0" w:beforeAutospacing="0" w:after="0" w:afterAutospacing="0" w:line="300" w:lineRule="exact"/>
              <w:jc w:val="both"/>
              <w:rPr>
                <w:rFonts w:hint="eastAsia"/>
                <w:color w:val="auto"/>
              </w:rPr>
            </w:pPr>
            <w:r>
              <w:rPr>
                <w:rFonts w:hint="eastAsia"/>
                <w:color w:val="auto"/>
                <w:sz w:val="21"/>
                <w:szCs w:val="21"/>
              </w:rPr>
              <w:t>（3）解题方法和步骤正确。</w:t>
            </w:r>
          </w:p>
          <w:p w14:paraId="537A948D">
            <w:pPr>
              <w:pStyle w:val="14"/>
              <w:spacing w:before="0" w:beforeAutospacing="0" w:after="0" w:afterAutospacing="0" w:line="300" w:lineRule="exact"/>
              <w:jc w:val="both"/>
              <w:rPr>
                <w:rFonts w:hint="eastAsia"/>
                <w:color w:val="auto"/>
              </w:rPr>
            </w:pPr>
            <w:r>
              <w:rPr>
                <w:rFonts w:hint="eastAsia"/>
                <w:color w:val="auto"/>
                <w:sz w:val="21"/>
                <w:szCs w:val="21"/>
              </w:rPr>
              <w:t>教师批改和讲评作业要求如下：</w:t>
            </w:r>
          </w:p>
          <w:p w14:paraId="20A1B792">
            <w:pPr>
              <w:pStyle w:val="14"/>
              <w:spacing w:before="0" w:beforeAutospacing="0" w:after="0" w:afterAutospacing="0" w:line="300" w:lineRule="exact"/>
              <w:jc w:val="both"/>
              <w:rPr>
                <w:rFonts w:hint="eastAsia"/>
                <w:color w:val="auto"/>
              </w:rPr>
            </w:pPr>
            <w:r>
              <w:rPr>
                <w:rFonts w:hint="eastAsia"/>
                <w:color w:val="auto"/>
                <w:sz w:val="21"/>
                <w:szCs w:val="21"/>
              </w:rPr>
              <w:t>（1）学生的作业要按时批改，并及时进行讲评。</w:t>
            </w:r>
          </w:p>
          <w:p w14:paraId="770C276A">
            <w:pPr>
              <w:pStyle w:val="14"/>
              <w:spacing w:before="0" w:beforeAutospacing="0" w:after="0" w:afterAutospacing="0" w:line="300" w:lineRule="exact"/>
              <w:jc w:val="both"/>
              <w:rPr>
                <w:rFonts w:hint="eastAsia"/>
                <w:color w:val="auto"/>
              </w:rPr>
            </w:pPr>
            <w:r>
              <w:rPr>
                <w:rFonts w:hint="eastAsia"/>
                <w:color w:val="auto"/>
                <w:sz w:val="21"/>
                <w:szCs w:val="21"/>
              </w:rPr>
              <w:t>（2）教师批改和讲评作业要认真、细致，按百分制评定成绩并写明日期。</w:t>
            </w:r>
          </w:p>
          <w:p w14:paraId="2851035F">
            <w:pPr>
              <w:pStyle w:val="14"/>
              <w:spacing w:before="0" w:beforeAutospacing="0" w:after="0" w:afterAutospacing="0" w:line="300" w:lineRule="exact"/>
              <w:jc w:val="both"/>
              <w:rPr>
                <w:rFonts w:hint="eastAsia"/>
                <w:color w:val="auto"/>
              </w:rPr>
            </w:pPr>
            <w:r>
              <w:rPr>
                <w:rFonts w:hint="eastAsia"/>
                <w:color w:val="auto"/>
                <w:sz w:val="21"/>
                <w:szCs w:val="21"/>
              </w:rPr>
              <w:t>（3）学生作业平均成绩应作为本课程总评成绩中平时成绩的重要组成部分。</w:t>
            </w:r>
          </w:p>
        </w:tc>
      </w:tr>
      <w:tr w14:paraId="3DAC14ED">
        <w:tblPrEx>
          <w:tblCellMar>
            <w:top w:w="15" w:type="dxa"/>
            <w:left w:w="15" w:type="dxa"/>
            <w:bottom w:w="15" w:type="dxa"/>
            <w:right w:w="15" w:type="dxa"/>
          </w:tblCellMar>
        </w:tblPrEx>
        <w:trPr>
          <w:trHeight w:val="1176" w:hRule="atLeast"/>
        </w:trPr>
        <w:tc>
          <w:tcPr>
            <w:tcW w:w="582" w:type="dxa"/>
            <w:tcBorders>
              <w:top w:val="single" w:color="auto" w:sz="4" w:space="0"/>
              <w:left w:val="single" w:color="auto" w:sz="8" w:space="0"/>
              <w:bottom w:val="single" w:color="auto" w:sz="4" w:space="0"/>
              <w:right w:val="single" w:color="auto" w:sz="4" w:space="0"/>
            </w:tcBorders>
            <w:shd w:val="clear" w:color="auto" w:fill="auto"/>
            <w:tcMar>
              <w:top w:w="0" w:type="dxa"/>
              <w:left w:w="108" w:type="dxa"/>
              <w:bottom w:w="0" w:type="dxa"/>
              <w:right w:w="108" w:type="dxa"/>
            </w:tcMar>
            <w:vAlign w:val="center"/>
          </w:tcPr>
          <w:p w14:paraId="2B6F79BC">
            <w:pPr>
              <w:pStyle w:val="14"/>
              <w:spacing w:before="0" w:beforeAutospacing="0" w:after="0" w:afterAutospacing="0" w:line="300" w:lineRule="exact"/>
              <w:jc w:val="center"/>
              <w:rPr>
                <w:rFonts w:hint="eastAsia"/>
                <w:color w:val="auto"/>
              </w:rPr>
            </w:pPr>
            <w:r>
              <w:rPr>
                <w:rFonts w:hint="eastAsia"/>
                <w:color w:val="auto"/>
                <w:sz w:val="21"/>
                <w:szCs w:val="21"/>
              </w:rPr>
              <w:t>4</w:t>
            </w:r>
          </w:p>
        </w:tc>
        <w:tc>
          <w:tcPr>
            <w:tcW w:w="993"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6E9DDE10">
            <w:pPr>
              <w:pStyle w:val="14"/>
              <w:spacing w:before="0" w:beforeAutospacing="0" w:after="0" w:afterAutospacing="0" w:line="300" w:lineRule="exact"/>
              <w:jc w:val="center"/>
              <w:rPr>
                <w:rFonts w:hint="eastAsia"/>
                <w:color w:val="auto"/>
              </w:rPr>
            </w:pPr>
            <w:r>
              <w:rPr>
                <w:rFonts w:hint="eastAsia"/>
                <w:color w:val="auto"/>
                <w:sz w:val="21"/>
                <w:szCs w:val="21"/>
              </w:rPr>
              <w:t>课外答疑</w:t>
            </w:r>
          </w:p>
        </w:tc>
        <w:tc>
          <w:tcPr>
            <w:tcW w:w="7525" w:type="dxa"/>
            <w:tcBorders>
              <w:top w:val="single" w:color="auto" w:sz="4"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14:paraId="395CF191">
            <w:pPr>
              <w:pStyle w:val="14"/>
              <w:spacing w:before="0" w:beforeAutospacing="0" w:after="0" w:afterAutospacing="0" w:line="300" w:lineRule="exact"/>
              <w:jc w:val="both"/>
              <w:rPr>
                <w:rFonts w:hint="eastAsia"/>
                <w:color w:val="auto"/>
              </w:rPr>
            </w:pPr>
            <w:r>
              <w:rPr>
                <w:rFonts w:hint="eastAsia"/>
                <w:color w:val="auto"/>
                <w:sz w:val="21"/>
                <w:szCs w:val="21"/>
              </w:rPr>
              <w:t>为直接了解学生的学习情况，帮助学生进一步理解和消化课堂上所学知识、改进学习方法和思维方式，培养其独立思考问题的能力，建议任课教师安排时间进行课外答疑与辅导工作。</w:t>
            </w:r>
          </w:p>
        </w:tc>
      </w:tr>
      <w:tr w14:paraId="60D37430">
        <w:tblPrEx>
          <w:tblCellMar>
            <w:top w:w="15" w:type="dxa"/>
            <w:left w:w="15" w:type="dxa"/>
            <w:bottom w:w="15" w:type="dxa"/>
            <w:right w:w="15" w:type="dxa"/>
          </w:tblCellMar>
        </w:tblPrEx>
        <w:trPr>
          <w:trHeight w:val="1266" w:hRule="atLeast"/>
        </w:trPr>
        <w:tc>
          <w:tcPr>
            <w:tcW w:w="582" w:type="dxa"/>
            <w:tcBorders>
              <w:top w:val="single" w:color="auto" w:sz="4" w:space="0"/>
              <w:left w:val="single" w:color="auto" w:sz="8" w:space="0"/>
              <w:bottom w:val="single" w:color="auto" w:sz="4" w:space="0"/>
              <w:right w:val="single" w:color="auto" w:sz="4" w:space="0"/>
            </w:tcBorders>
            <w:shd w:val="clear" w:color="auto" w:fill="auto"/>
            <w:tcMar>
              <w:top w:w="0" w:type="dxa"/>
              <w:left w:w="108" w:type="dxa"/>
              <w:bottom w:w="0" w:type="dxa"/>
              <w:right w:w="108" w:type="dxa"/>
            </w:tcMar>
            <w:vAlign w:val="center"/>
          </w:tcPr>
          <w:p w14:paraId="0DABAC5B">
            <w:pPr>
              <w:pStyle w:val="14"/>
              <w:spacing w:before="0" w:beforeAutospacing="0" w:after="0" w:afterAutospacing="0" w:line="300" w:lineRule="exact"/>
              <w:jc w:val="center"/>
              <w:rPr>
                <w:rFonts w:hint="eastAsia"/>
                <w:color w:val="auto"/>
              </w:rPr>
            </w:pPr>
            <w:r>
              <w:rPr>
                <w:rFonts w:hint="eastAsia"/>
                <w:color w:val="auto"/>
                <w:sz w:val="21"/>
                <w:szCs w:val="21"/>
              </w:rPr>
              <w:t>5</w:t>
            </w:r>
          </w:p>
        </w:tc>
        <w:tc>
          <w:tcPr>
            <w:tcW w:w="993"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0DFFD3E3">
            <w:pPr>
              <w:pStyle w:val="14"/>
              <w:spacing w:before="0" w:beforeAutospacing="0" w:after="0" w:afterAutospacing="0" w:line="300" w:lineRule="exact"/>
              <w:jc w:val="center"/>
              <w:rPr>
                <w:rFonts w:hint="eastAsia"/>
                <w:color w:val="auto"/>
              </w:rPr>
            </w:pPr>
            <w:r>
              <w:rPr>
                <w:rFonts w:hint="eastAsia"/>
                <w:color w:val="auto"/>
                <w:sz w:val="21"/>
                <w:szCs w:val="21"/>
              </w:rPr>
              <w:t>成绩考核</w:t>
            </w:r>
          </w:p>
        </w:tc>
        <w:tc>
          <w:tcPr>
            <w:tcW w:w="7525" w:type="dxa"/>
            <w:tcBorders>
              <w:top w:val="single" w:color="auto" w:sz="4"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14:paraId="2A70611D">
            <w:pPr>
              <w:pStyle w:val="14"/>
              <w:spacing w:before="0" w:beforeAutospacing="0" w:after="0" w:afterAutospacing="0" w:line="300" w:lineRule="exact"/>
              <w:jc w:val="both"/>
              <w:rPr>
                <w:rFonts w:hint="eastAsia"/>
                <w:color w:val="auto"/>
              </w:rPr>
            </w:pPr>
            <w:r>
              <w:rPr>
                <w:rFonts w:hint="eastAsia"/>
                <w:color w:val="auto"/>
                <w:sz w:val="21"/>
                <w:szCs w:val="21"/>
              </w:rPr>
              <w:t>本课程考核的方式为闭卷笔试。监考由学院统一安排。有下列情况之一者，总评成绩为不及格：</w:t>
            </w:r>
          </w:p>
          <w:p w14:paraId="344A7179">
            <w:pPr>
              <w:pStyle w:val="14"/>
              <w:spacing w:before="0" w:beforeAutospacing="0" w:after="0" w:afterAutospacing="0" w:line="300" w:lineRule="exact"/>
              <w:jc w:val="both"/>
              <w:rPr>
                <w:rFonts w:hint="eastAsia"/>
                <w:color w:val="auto"/>
              </w:rPr>
            </w:pPr>
            <w:r>
              <w:rPr>
                <w:rFonts w:hint="eastAsia"/>
                <w:color w:val="auto"/>
                <w:sz w:val="21"/>
                <w:szCs w:val="21"/>
              </w:rPr>
              <w:t>（1）缺交作业次数达1/3以上者。</w:t>
            </w:r>
          </w:p>
          <w:p w14:paraId="26F003ED">
            <w:pPr>
              <w:pStyle w:val="14"/>
              <w:spacing w:before="0" w:beforeAutospacing="0" w:after="0" w:afterAutospacing="0" w:line="300" w:lineRule="exact"/>
              <w:jc w:val="both"/>
              <w:rPr>
                <w:rFonts w:hint="eastAsia"/>
                <w:color w:val="auto"/>
              </w:rPr>
            </w:pPr>
            <w:r>
              <w:rPr>
                <w:rFonts w:hint="eastAsia"/>
                <w:color w:val="auto"/>
                <w:sz w:val="21"/>
                <w:szCs w:val="21"/>
              </w:rPr>
              <w:t>（2）缺课次数达本学期总授课学时的1/3以上者。</w:t>
            </w:r>
          </w:p>
        </w:tc>
      </w:tr>
    </w:tbl>
    <w:p w14:paraId="19806A6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五、课程考核</w:t>
      </w:r>
    </w:p>
    <w:p w14:paraId="6E7EE242">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20" w:firstLineChars="200"/>
        <w:jc w:val="both"/>
        <w:textAlignment w:val="auto"/>
        <w:rPr>
          <w:rFonts w:hint="eastAsia"/>
          <w:color w:val="auto"/>
          <w:sz w:val="21"/>
          <w:szCs w:val="21"/>
        </w:rPr>
      </w:pPr>
      <w:r>
        <w:rPr>
          <w:rFonts w:hint="eastAsia"/>
          <w:color w:val="auto"/>
          <w:sz w:val="21"/>
          <w:szCs w:val="21"/>
        </w:rPr>
        <w:t>课程考核包括期末考试、平时及作业考核等，期末考试采用闭卷考试方式。</w:t>
      </w:r>
    </w:p>
    <w:p w14:paraId="14BAECF3">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20" w:firstLineChars="200"/>
        <w:jc w:val="both"/>
        <w:textAlignment w:val="auto"/>
        <w:rPr>
          <w:rFonts w:hint="eastAsia"/>
          <w:color w:val="auto"/>
          <w:sz w:val="21"/>
          <w:szCs w:val="21"/>
        </w:rPr>
      </w:pPr>
      <w:r>
        <w:rPr>
          <w:rFonts w:hint="eastAsia"/>
          <w:color w:val="auto"/>
          <w:sz w:val="21"/>
          <w:szCs w:val="21"/>
        </w:rPr>
        <w:t>课程总评成绩=出勤情况成绩×10 % +师生互动成绩×10 % +作业成绩×30 % + 期末考试成绩×50 %。</w:t>
      </w:r>
    </w:p>
    <w:p w14:paraId="6220DA33">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20" w:firstLineChars="200"/>
        <w:jc w:val="both"/>
        <w:textAlignment w:val="auto"/>
        <w:rPr>
          <w:rFonts w:hint="eastAsia"/>
          <w:color w:val="auto"/>
          <w:sz w:val="21"/>
          <w:szCs w:val="21"/>
        </w:rPr>
      </w:pPr>
      <w:r>
        <w:rPr>
          <w:rFonts w:hint="eastAsia"/>
          <w:color w:val="auto"/>
          <w:sz w:val="21"/>
          <w:szCs w:val="21"/>
        </w:rPr>
        <w:t>具体内容和比例如表所示。</w:t>
      </w:r>
    </w:p>
    <w:tbl>
      <w:tblPr>
        <w:tblStyle w:val="15"/>
        <w:tblpPr w:vertAnchor="text" w:horzAnchor="margin" w:tblpXSpec="center" w:tblpY="244"/>
        <w:tblW w:w="9105" w:type="dxa"/>
        <w:tblInd w:w="0" w:type="dxa"/>
        <w:tblLayout w:type="fixed"/>
        <w:tblCellMar>
          <w:top w:w="0" w:type="dxa"/>
          <w:left w:w="180" w:type="dxa"/>
          <w:bottom w:w="0" w:type="dxa"/>
          <w:right w:w="180" w:type="dxa"/>
        </w:tblCellMar>
      </w:tblPr>
      <w:tblGrid>
        <w:gridCol w:w="1053"/>
        <w:gridCol w:w="1214"/>
        <w:gridCol w:w="598"/>
        <w:gridCol w:w="3357"/>
        <w:gridCol w:w="716"/>
        <w:gridCol w:w="722"/>
        <w:gridCol w:w="727"/>
        <w:gridCol w:w="718"/>
      </w:tblGrid>
      <w:tr w14:paraId="0A4899DD">
        <w:tblPrEx>
          <w:tblCellMar>
            <w:top w:w="0" w:type="dxa"/>
            <w:left w:w="180" w:type="dxa"/>
            <w:bottom w:w="0" w:type="dxa"/>
            <w:right w:w="180" w:type="dxa"/>
          </w:tblCellMar>
        </w:tblPrEx>
        <w:trPr>
          <w:trHeight w:val="159" w:hRule="atLeast"/>
        </w:trPr>
        <w:tc>
          <w:tcPr>
            <w:tcW w:w="1053" w:type="dxa"/>
            <w:vMerge w:val="restart"/>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215FD203">
            <w:pPr>
              <w:pStyle w:val="14"/>
              <w:spacing w:before="0" w:beforeAutospacing="0" w:after="0" w:afterAutospacing="0"/>
              <w:jc w:val="center"/>
              <w:rPr>
                <w:rFonts w:hint="eastAsia"/>
                <w:color w:val="auto"/>
              </w:rPr>
            </w:pPr>
            <w:r>
              <w:rPr>
                <w:rFonts w:hint="eastAsia"/>
                <w:b/>
                <w:bCs/>
                <w:color w:val="auto"/>
                <w:sz w:val="21"/>
                <w:szCs w:val="21"/>
              </w:rPr>
              <w:t>考核环节</w:t>
            </w:r>
          </w:p>
        </w:tc>
        <w:tc>
          <w:tcPr>
            <w:tcW w:w="1214" w:type="dxa"/>
            <w:vMerge w:val="restart"/>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74087DC0">
            <w:pPr>
              <w:pStyle w:val="14"/>
              <w:spacing w:before="0" w:beforeAutospacing="0" w:after="0" w:afterAutospacing="0"/>
              <w:jc w:val="center"/>
              <w:rPr>
                <w:rFonts w:hint="eastAsia"/>
                <w:color w:val="auto"/>
              </w:rPr>
            </w:pPr>
            <w:r>
              <w:rPr>
                <w:rFonts w:hint="eastAsia"/>
                <w:b/>
                <w:bCs/>
                <w:color w:val="auto"/>
                <w:sz w:val="21"/>
                <w:szCs w:val="21"/>
              </w:rPr>
              <w:t>成绩比例</w:t>
            </w:r>
          </w:p>
        </w:tc>
        <w:tc>
          <w:tcPr>
            <w:tcW w:w="3955" w:type="dxa"/>
            <w:gridSpan w:val="2"/>
            <w:vMerge w:val="restart"/>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04CD2597">
            <w:pPr>
              <w:pStyle w:val="14"/>
              <w:spacing w:before="0" w:beforeAutospacing="0" w:after="0" w:afterAutospacing="0"/>
              <w:jc w:val="center"/>
              <w:rPr>
                <w:rFonts w:hint="eastAsia"/>
                <w:color w:val="auto"/>
              </w:rPr>
            </w:pPr>
            <w:r>
              <w:rPr>
                <w:rFonts w:hint="eastAsia"/>
                <w:b/>
                <w:bCs/>
                <w:color w:val="auto"/>
                <w:sz w:val="21"/>
                <w:szCs w:val="21"/>
              </w:rPr>
              <w:t>考核内容与评价细则</w:t>
            </w:r>
          </w:p>
        </w:tc>
        <w:tc>
          <w:tcPr>
            <w:tcW w:w="2883" w:type="dxa"/>
            <w:gridSpan w:val="4"/>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4D27C8A1">
            <w:pPr>
              <w:pStyle w:val="14"/>
              <w:spacing w:before="0" w:beforeAutospacing="0" w:after="0" w:afterAutospacing="0"/>
              <w:jc w:val="center"/>
              <w:rPr>
                <w:rFonts w:hint="eastAsia"/>
                <w:color w:val="auto"/>
              </w:rPr>
            </w:pPr>
            <w:r>
              <w:rPr>
                <w:rFonts w:hint="eastAsia"/>
                <w:b/>
                <w:bCs/>
                <w:color w:val="auto"/>
                <w:sz w:val="21"/>
                <w:szCs w:val="21"/>
              </w:rPr>
              <w:t>支撑目标</w:t>
            </w:r>
          </w:p>
        </w:tc>
      </w:tr>
      <w:tr w14:paraId="08E24C1A">
        <w:tblPrEx>
          <w:tblCellMar>
            <w:top w:w="0" w:type="dxa"/>
            <w:left w:w="180" w:type="dxa"/>
            <w:bottom w:w="0" w:type="dxa"/>
            <w:right w:w="180" w:type="dxa"/>
          </w:tblCellMar>
        </w:tblPrEx>
        <w:trPr>
          <w:trHeight w:val="377" w:hRule="atLeast"/>
        </w:trPr>
        <w:tc>
          <w:tcPr>
            <w:tcW w:w="1053" w:type="dxa"/>
            <w:vMerge w:val="continue"/>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1E4370CE">
            <w:pPr>
              <w:rPr>
                <w:rFonts w:ascii="宋体"/>
                <w:color w:val="auto"/>
                <w:sz w:val="24"/>
              </w:rPr>
            </w:pPr>
          </w:p>
        </w:tc>
        <w:tc>
          <w:tcPr>
            <w:tcW w:w="1214" w:type="dxa"/>
            <w:vMerge w:val="continue"/>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1C4B472F">
            <w:pPr>
              <w:rPr>
                <w:rFonts w:ascii="宋体"/>
                <w:color w:val="auto"/>
                <w:sz w:val="24"/>
              </w:rPr>
            </w:pPr>
          </w:p>
        </w:tc>
        <w:tc>
          <w:tcPr>
            <w:tcW w:w="3955" w:type="dxa"/>
            <w:gridSpan w:val="2"/>
            <w:vMerge w:val="continue"/>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0EF6A055">
            <w:pPr>
              <w:rPr>
                <w:rFonts w:ascii="宋体"/>
                <w:color w:val="auto"/>
                <w:sz w:val="24"/>
              </w:rPr>
            </w:pPr>
          </w:p>
        </w:tc>
        <w:tc>
          <w:tcPr>
            <w:tcW w:w="71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26719095">
            <w:pPr>
              <w:pStyle w:val="14"/>
              <w:spacing w:before="0" w:beforeAutospacing="0" w:after="0" w:afterAutospacing="0"/>
              <w:jc w:val="center"/>
              <w:rPr>
                <w:rFonts w:hint="eastAsia"/>
                <w:color w:val="auto"/>
              </w:rPr>
            </w:pPr>
            <w:r>
              <w:rPr>
                <w:rFonts w:hint="eastAsia"/>
                <w:b/>
                <w:bCs/>
                <w:color w:val="auto"/>
                <w:sz w:val="21"/>
                <w:szCs w:val="21"/>
              </w:rPr>
              <w:t>目标1</w:t>
            </w:r>
          </w:p>
        </w:tc>
        <w:tc>
          <w:tcPr>
            <w:tcW w:w="722"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DC46457">
            <w:pPr>
              <w:pStyle w:val="14"/>
              <w:spacing w:before="0" w:beforeAutospacing="0" w:after="0" w:afterAutospacing="0"/>
              <w:jc w:val="center"/>
              <w:rPr>
                <w:rFonts w:hint="eastAsia"/>
                <w:color w:val="auto"/>
              </w:rPr>
            </w:pPr>
            <w:r>
              <w:rPr>
                <w:rFonts w:hint="eastAsia"/>
                <w:b/>
                <w:bCs/>
                <w:color w:val="auto"/>
                <w:sz w:val="21"/>
                <w:szCs w:val="21"/>
              </w:rPr>
              <w:t>目标2</w:t>
            </w:r>
          </w:p>
        </w:tc>
        <w:tc>
          <w:tcPr>
            <w:tcW w:w="727"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224A50FF">
            <w:pPr>
              <w:pStyle w:val="14"/>
              <w:spacing w:before="0" w:beforeAutospacing="0" w:after="0" w:afterAutospacing="0"/>
              <w:jc w:val="center"/>
              <w:rPr>
                <w:rFonts w:hint="eastAsia"/>
                <w:color w:val="auto"/>
              </w:rPr>
            </w:pPr>
            <w:r>
              <w:rPr>
                <w:rFonts w:hint="eastAsia"/>
                <w:b/>
                <w:bCs/>
                <w:color w:val="auto"/>
                <w:sz w:val="21"/>
                <w:szCs w:val="21"/>
              </w:rPr>
              <w:t>目标3</w:t>
            </w:r>
          </w:p>
        </w:tc>
        <w:tc>
          <w:tcPr>
            <w:tcW w:w="718"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181215FD">
            <w:pPr>
              <w:pStyle w:val="14"/>
              <w:spacing w:before="0" w:beforeAutospacing="0" w:after="0" w:afterAutospacing="0"/>
              <w:jc w:val="center"/>
              <w:rPr>
                <w:rFonts w:hint="eastAsia"/>
                <w:color w:val="auto"/>
              </w:rPr>
            </w:pPr>
            <w:r>
              <w:rPr>
                <w:rFonts w:hint="eastAsia"/>
                <w:b/>
                <w:bCs/>
                <w:color w:val="auto"/>
                <w:sz w:val="21"/>
                <w:szCs w:val="21"/>
              </w:rPr>
              <w:t>目标4</w:t>
            </w:r>
          </w:p>
        </w:tc>
      </w:tr>
      <w:tr w14:paraId="6F113794">
        <w:tblPrEx>
          <w:tblCellMar>
            <w:top w:w="0" w:type="dxa"/>
            <w:left w:w="180" w:type="dxa"/>
            <w:bottom w:w="0" w:type="dxa"/>
            <w:right w:w="180" w:type="dxa"/>
          </w:tblCellMar>
        </w:tblPrEx>
        <w:trPr>
          <w:trHeight w:val="631" w:hRule="atLeast"/>
        </w:trPr>
        <w:tc>
          <w:tcPr>
            <w:tcW w:w="1053"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6C8E35F8">
            <w:pPr>
              <w:pStyle w:val="14"/>
              <w:spacing w:before="0" w:beforeAutospacing="0" w:after="0" w:afterAutospacing="0"/>
              <w:jc w:val="center"/>
              <w:rPr>
                <w:rFonts w:hint="eastAsia"/>
                <w:color w:val="auto"/>
              </w:rPr>
            </w:pPr>
            <w:r>
              <w:rPr>
                <w:rFonts w:hint="eastAsia"/>
                <w:color w:val="auto"/>
                <w:sz w:val="21"/>
                <w:szCs w:val="21"/>
              </w:rPr>
              <w:t>出勤情况</w:t>
            </w:r>
          </w:p>
        </w:tc>
        <w:tc>
          <w:tcPr>
            <w:tcW w:w="1214"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26B95199">
            <w:pPr>
              <w:pStyle w:val="14"/>
              <w:spacing w:before="0" w:beforeAutospacing="0" w:after="0" w:afterAutospacing="0"/>
              <w:jc w:val="center"/>
              <w:rPr>
                <w:rFonts w:hint="eastAsia"/>
                <w:color w:val="auto"/>
              </w:rPr>
            </w:pPr>
            <w:r>
              <w:rPr>
                <w:rFonts w:hint="eastAsia"/>
                <w:color w:val="auto"/>
                <w:sz w:val="21"/>
                <w:szCs w:val="21"/>
              </w:rPr>
              <w:t>10%</w:t>
            </w:r>
          </w:p>
        </w:tc>
        <w:tc>
          <w:tcPr>
            <w:tcW w:w="3955" w:type="dxa"/>
            <w:gridSpan w:val="2"/>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2E7C20A4">
            <w:pPr>
              <w:pStyle w:val="14"/>
              <w:spacing w:before="0" w:beforeAutospacing="0" w:after="0" w:afterAutospacing="0"/>
              <w:jc w:val="both"/>
              <w:rPr>
                <w:rFonts w:hint="eastAsia"/>
                <w:color w:val="auto"/>
              </w:rPr>
            </w:pPr>
            <w:r>
              <w:rPr>
                <w:rFonts w:hint="eastAsia"/>
                <w:color w:val="auto"/>
                <w:sz w:val="21"/>
                <w:szCs w:val="21"/>
              </w:rPr>
              <w:t>课堂不定期点名，考核能否按时到勤，其中迟到或缺席1次扣5分。</w:t>
            </w:r>
          </w:p>
        </w:tc>
        <w:tc>
          <w:tcPr>
            <w:tcW w:w="71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AFD070C">
            <w:pPr>
              <w:pStyle w:val="14"/>
              <w:spacing w:before="0" w:beforeAutospacing="0" w:after="0" w:afterAutospacing="0"/>
              <w:jc w:val="center"/>
              <w:rPr>
                <w:rFonts w:hint="eastAsia"/>
                <w:color w:val="auto"/>
              </w:rPr>
            </w:pPr>
            <w:r>
              <w:rPr>
                <w:rFonts w:hint="eastAsia"/>
                <w:color w:val="auto"/>
                <w:sz w:val="21"/>
                <w:szCs w:val="21"/>
              </w:rPr>
              <w:t>5%</w:t>
            </w:r>
          </w:p>
        </w:tc>
        <w:tc>
          <w:tcPr>
            <w:tcW w:w="722"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08043E8A">
            <w:pPr>
              <w:pStyle w:val="14"/>
              <w:spacing w:before="0" w:beforeAutospacing="0" w:after="0" w:afterAutospacing="0"/>
              <w:jc w:val="center"/>
              <w:rPr>
                <w:rFonts w:hint="eastAsia"/>
                <w:color w:val="auto"/>
              </w:rPr>
            </w:pPr>
            <w:r>
              <w:rPr>
                <w:rFonts w:hint="eastAsia"/>
                <w:color w:val="auto"/>
                <w:sz w:val="21"/>
                <w:szCs w:val="21"/>
              </w:rPr>
              <w:t> </w:t>
            </w:r>
          </w:p>
        </w:tc>
        <w:tc>
          <w:tcPr>
            <w:tcW w:w="727"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25DFEC42">
            <w:pPr>
              <w:pStyle w:val="14"/>
              <w:spacing w:before="0" w:beforeAutospacing="0" w:after="0" w:afterAutospacing="0"/>
              <w:jc w:val="center"/>
              <w:rPr>
                <w:rFonts w:hint="eastAsia"/>
                <w:color w:val="auto"/>
              </w:rPr>
            </w:pPr>
            <w:r>
              <w:rPr>
                <w:rFonts w:hint="eastAsia"/>
                <w:color w:val="auto"/>
                <w:sz w:val="21"/>
                <w:szCs w:val="21"/>
              </w:rPr>
              <w:t>5%</w:t>
            </w:r>
          </w:p>
        </w:tc>
        <w:tc>
          <w:tcPr>
            <w:tcW w:w="718"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1A775554">
            <w:pPr>
              <w:pStyle w:val="14"/>
              <w:spacing w:before="0" w:beforeAutospacing="0" w:after="0" w:afterAutospacing="0"/>
              <w:jc w:val="center"/>
              <w:rPr>
                <w:rFonts w:hint="eastAsia"/>
                <w:color w:val="auto"/>
              </w:rPr>
            </w:pPr>
            <w:r>
              <w:rPr>
                <w:rFonts w:hint="eastAsia"/>
                <w:color w:val="auto"/>
                <w:sz w:val="21"/>
                <w:szCs w:val="21"/>
              </w:rPr>
              <w:t> </w:t>
            </w:r>
          </w:p>
        </w:tc>
      </w:tr>
      <w:tr w14:paraId="5E6DB2CA">
        <w:tblPrEx>
          <w:tblCellMar>
            <w:top w:w="0" w:type="dxa"/>
            <w:left w:w="180" w:type="dxa"/>
            <w:bottom w:w="0" w:type="dxa"/>
            <w:right w:w="180" w:type="dxa"/>
          </w:tblCellMar>
        </w:tblPrEx>
        <w:trPr>
          <w:trHeight w:val="939" w:hRule="atLeast"/>
        </w:trPr>
        <w:tc>
          <w:tcPr>
            <w:tcW w:w="1053"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028E0E39">
            <w:pPr>
              <w:pStyle w:val="14"/>
              <w:spacing w:before="0" w:beforeAutospacing="0" w:after="0" w:afterAutospacing="0"/>
              <w:jc w:val="center"/>
              <w:rPr>
                <w:rFonts w:hint="eastAsia"/>
                <w:color w:val="auto"/>
              </w:rPr>
            </w:pPr>
            <w:r>
              <w:rPr>
                <w:rFonts w:hint="eastAsia"/>
                <w:color w:val="auto"/>
                <w:sz w:val="21"/>
                <w:szCs w:val="21"/>
              </w:rPr>
              <w:t>师生互动</w:t>
            </w:r>
          </w:p>
        </w:tc>
        <w:tc>
          <w:tcPr>
            <w:tcW w:w="1214"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1EC45216">
            <w:pPr>
              <w:pStyle w:val="14"/>
              <w:spacing w:before="0" w:beforeAutospacing="0" w:after="0" w:afterAutospacing="0"/>
              <w:jc w:val="center"/>
              <w:rPr>
                <w:rFonts w:hint="eastAsia"/>
                <w:color w:val="auto"/>
              </w:rPr>
            </w:pPr>
            <w:r>
              <w:rPr>
                <w:rFonts w:hint="eastAsia"/>
                <w:color w:val="auto"/>
                <w:sz w:val="21"/>
                <w:szCs w:val="21"/>
              </w:rPr>
              <w:t>10%</w:t>
            </w:r>
          </w:p>
        </w:tc>
        <w:tc>
          <w:tcPr>
            <w:tcW w:w="3955" w:type="dxa"/>
            <w:gridSpan w:val="2"/>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C8DE45E">
            <w:pPr>
              <w:pStyle w:val="14"/>
              <w:spacing w:before="0" w:beforeAutospacing="0" w:after="0" w:afterAutospacing="0"/>
              <w:jc w:val="both"/>
              <w:rPr>
                <w:rFonts w:hint="eastAsia"/>
                <w:color w:val="auto"/>
              </w:rPr>
            </w:pPr>
            <w:r>
              <w:rPr>
                <w:rFonts w:hint="eastAsia"/>
                <w:color w:val="auto"/>
                <w:sz w:val="21"/>
                <w:szCs w:val="21"/>
              </w:rPr>
              <w:t>课堂不定期通过提问或小练习实施师生互动，考核学生课堂学习情况，按照互动情况打分。</w:t>
            </w:r>
          </w:p>
        </w:tc>
        <w:tc>
          <w:tcPr>
            <w:tcW w:w="71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1A7EDAD8">
            <w:pPr>
              <w:pStyle w:val="14"/>
              <w:spacing w:before="0" w:beforeAutospacing="0" w:after="0" w:afterAutospacing="0"/>
              <w:jc w:val="center"/>
              <w:rPr>
                <w:rFonts w:hint="eastAsia"/>
                <w:color w:val="auto"/>
              </w:rPr>
            </w:pPr>
            <w:r>
              <w:rPr>
                <w:rFonts w:hint="eastAsia"/>
                <w:color w:val="auto"/>
                <w:sz w:val="21"/>
                <w:szCs w:val="21"/>
              </w:rPr>
              <w:t>5%</w:t>
            </w:r>
          </w:p>
        </w:tc>
        <w:tc>
          <w:tcPr>
            <w:tcW w:w="722"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0F9E4B24">
            <w:pPr>
              <w:pStyle w:val="14"/>
              <w:spacing w:before="0" w:beforeAutospacing="0" w:after="0" w:afterAutospacing="0"/>
              <w:jc w:val="center"/>
              <w:rPr>
                <w:rFonts w:hint="eastAsia"/>
                <w:color w:val="auto"/>
              </w:rPr>
            </w:pPr>
            <w:r>
              <w:rPr>
                <w:rFonts w:hint="eastAsia"/>
                <w:color w:val="auto"/>
                <w:sz w:val="21"/>
                <w:szCs w:val="21"/>
              </w:rPr>
              <w:t> </w:t>
            </w:r>
          </w:p>
        </w:tc>
        <w:tc>
          <w:tcPr>
            <w:tcW w:w="727"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46B5602C">
            <w:pPr>
              <w:pStyle w:val="14"/>
              <w:spacing w:before="0" w:beforeAutospacing="0" w:after="0" w:afterAutospacing="0"/>
              <w:jc w:val="center"/>
              <w:rPr>
                <w:rFonts w:hint="eastAsia"/>
                <w:color w:val="auto"/>
              </w:rPr>
            </w:pPr>
            <w:r>
              <w:rPr>
                <w:rFonts w:hint="eastAsia"/>
                <w:color w:val="auto"/>
                <w:sz w:val="21"/>
                <w:szCs w:val="21"/>
              </w:rPr>
              <w:t>5%</w:t>
            </w:r>
          </w:p>
        </w:tc>
        <w:tc>
          <w:tcPr>
            <w:tcW w:w="718"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37374563">
            <w:pPr>
              <w:pStyle w:val="14"/>
              <w:spacing w:before="0" w:beforeAutospacing="0" w:after="0" w:afterAutospacing="0"/>
              <w:jc w:val="center"/>
              <w:rPr>
                <w:rFonts w:hint="eastAsia"/>
                <w:color w:val="auto"/>
              </w:rPr>
            </w:pPr>
            <w:r>
              <w:rPr>
                <w:rFonts w:hint="eastAsia"/>
                <w:color w:val="auto"/>
                <w:sz w:val="21"/>
                <w:szCs w:val="21"/>
              </w:rPr>
              <w:t> </w:t>
            </w:r>
          </w:p>
        </w:tc>
      </w:tr>
      <w:tr w14:paraId="1980F9DD">
        <w:tblPrEx>
          <w:tblCellMar>
            <w:top w:w="0" w:type="dxa"/>
            <w:left w:w="180" w:type="dxa"/>
            <w:bottom w:w="0" w:type="dxa"/>
            <w:right w:w="180" w:type="dxa"/>
          </w:tblCellMar>
        </w:tblPrEx>
        <w:trPr>
          <w:trHeight w:val="798" w:hRule="atLeast"/>
        </w:trPr>
        <w:tc>
          <w:tcPr>
            <w:tcW w:w="1053"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3170E8B1">
            <w:pPr>
              <w:pStyle w:val="14"/>
              <w:spacing w:before="0" w:beforeAutospacing="0" w:after="0" w:afterAutospacing="0"/>
              <w:jc w:val="center"/>
              <w:rPr>
                <w:rFonts w:hint="eastAsia"/>
                <w:color w:val="auto"/>
              </w:rPr>
            </w:pPr>
            <w:r>
              <w:rPr>
                <w:rFonts w:hint="eastAsia"/>
                <w:color w:val="auto"/>
                <w:sz w:val="21"/>
                <w:szCs w:val="21"/>
              </w:rPr>
              <w:t>作 业</w:t>
            </w:r>
          </w:p>
        </w:tc>
        <w:tc>
          <w:tcPr>
            <w:tcW w:w="1214"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39BAB10">
            <w:pPr>
              <w:pStyle w:val="14"/>
              <w:spacing w:before="0" w:beforeAutospacing="0" w:after="0" w:afterAutospacing="0"/>
              <w:jc w:val="center"/>
              <w:rPr>
                <w:rFonts w:hint="eastAsia"/>
                <w:color w:val="auto"/>
              </w:rPr>
            </w:pPr>
            <w:r>
              <w:rPr>
                <w:rFonts w:hint="eastAsia"/>
                <w:color w:val="auto"/>
                <w:sz w:val="21"/>
                <w:szCs w:val="21"/>
              </w:rPr>
              <w:t>30%</w:t>
            </w:r>
          </w:p>
        </w:tc>
        <w:tc>
          <w:tcPr>
            <w:tcW w:w="3955"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5FE59B6">
            <w:pPr>
              <w:pStyle w:val="14"/>
              <w:spacing w:before="0" w:beforeAutospacing="0" w:after="0" w:afterAutospacing="0"/>
              <w:jc w:val="both"/>
              <w:rPr>
                <w:rFonts w:hint="eastAsia"/>
                <w:color w:val="auto"/>
              </w:rPr>
            </w:pPr>
            <w:r>
              <w:rPr>
                <w:rFonts w:hint="eastAsia"/>
                <w:color w:val="auto"/>
                <w:sz w:val="21"/>
                <w:szCs w:val="21"/>
              </w:rPr>
              <w:t>定期布置作业，考核学生对所学知识点的复习、理解和掌握度。对每次作业完成情况做记录并打分，计算全部作业的平均成绩。</w:t>
            </w:r>
          </w:p>
        </w:tc>
        <w:tc>
          <w:tcPr>
            <w:tcW w:w="71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59C446E0">
            <w:pPr>
              <w:pStyle w:val="14"/>
              <w:spacing w:before="0" w:beforeAutospacing="0" w:after="0" w:afterAutospacing="0"/>
              <w:jc w:val="center"/>
              <w:rPr>
                <w:rFonts w:hint="eastAsia"/>
                <w:color w:val="auto"/>
              </w:rPr>
            </w:pPr>
            <w:r>
              <w:rPr>
                <w:rFonts w:hint="eastAsia"/>
                <w:color w:val="auto"/>
                <w:sz w:val="21"/>
                <w:szCs w:val="21"/>
              </w:rPr>
              <w:t> </w:t>
            </w:r>
          </w:p>
        </w:tc>
        <w:tc>
          <w:tcPr>
            <w:tcW w:w="722"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59DFDC36">
            <w:pPr>
              <w:pStyle w:val="14"/>
              <w:spacing w:before="0" w:beforeAutospacing="0" w:after="0" w:afterAutospacing="0"/>
              <w:jc w:val="center"/>
              <w:rPr>
                <w:rFonts w:hint="eastAsia"/>
                <w:color w:val="auto"/>
              </w:rPr>
            </w:pPr>
            <w:r>
              <w:rPr>
                <w:rFonts w:hint="eastAsia"/>
                <w:color w:val="auto"/>
                <w:sz w:val="21"/>
                <w:szCs w:val="21"/>
              </w:rPr>
              <w:t>20%</w:t>
            </w:r>
          </w:p>
        </w:tc>
        <w:tc>
          <w:tcPr>
            <w:tcW w:w="727"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7C0FDF7A">
            <w:pPr>
              <w:pStyle w:val="14"/>
              <w:spacing w:before="0" w:beforeAutospacing="0" w:after="0" w:afterAutospacing="0"/>
              <w:jc w:val="center"/>
              <w:rPr>
                <w:rFonts w:hint="eastAsia"/>
                <w:color w:val="auto"/>
              </w:rPr>
            </w:pPr>
            <w:r>
              <w:rPr>
                <w:rFonts w:hint="eastAsia"/>
                <w:color w:val="auto"/>
                <w:sz w:val="21"/>
                <w:szCs w:val="21"/>
              </w:rPr>
              <w:t>10%</w:t>
            </w:r>
          </w:p>
        </w:tc>
        <w:tc>
          <w:tcPr>
            <w:tcW w:w="718"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07FD3FB0">
            <w:pPr>
              <w:pStyle w:val="14"/>
              <w:spacing w:before="0" w:beforeAutospacing="0" w:after="0" w:afterAutospacing="0"/>
              <w:jc w:val="center"/>
              <w:rPr>
                <w:rFonts w:hint="eastAsia"/>
                <w:color w:val="auto"/>
              </w:rPr>
            </w:pPr>
            <w:r>
              <w:rPr>
                <w:rFonts w:hint="eastAsia"/>
                <w:color w:val="auto"/>
                <w:sz w:val="21"/>
                <w:szCs w:val="21"/>
              </w:rPr>
              <w:t> </w:t>
            </w:r>
          </w:p>
        </w:tc>
      </w:tr>
      <w:tr w14:paraId="0C6DBFB5">
        <w:tblPrEx>
          <w:tblCellMar>
            <w:top w:w="0" w:type="dxa"/>
            <w:left w:w="180" w:type="dxa"/>
            <w:bottom w:w="0" w:type="dxa"/>
            <w:right w:w="180" w:type="dxa"/>
          </w:tblCellMar>
        </w:tblPrEx>
        <w:trPr>
          <w:trHeight w:val="168" w:hRule="atLeast"/>
        </w:trPr>
        <w:tc>
          <w:tcPr>
            <w:tcW w:w="1053"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03FE4C3C">
            <w:pPr>
              <w:pStyle w:val="14"/>
              <w:spacing w:before="0" w:beforeAutospacing="0" w:after="0" w:afterAutospacing="0"/>
              <w:jc w:val="center"/>
              <w:rPr>
                <w:rFonts w:hint="eastAsia"/>
                <w:color w:val="auto"/>
              </w:rPr>
            </w:pPr>
            <w:r>
              <w:rPr>
                <w:rFonts w:hint="eastAsia"/>
                <w:color w:val="auto"/>
                <w:sz w:val="21"/>
                <w:szCs w:val="21"/>
              </w:rPr>
              <w:t>期末试卷</w:t>
            </w:r>
          </w:p>
        </w:tc>
        <w:tc>
          <w:tcPr>
            <w:tcW w:w="1214" w:type="dxa"/>
            <w:vMerge w:val="restar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DBF4F12">
            <w:pPr>
              <w:pStyle w:val="14"/>
              <w:spacing w:before="0" w:beforeAutospacing="0" w:after="0" w:afterAutospacing="0"/>
              <w:jc w:val="center"/>
              <w:rPr>
                <w:rFonts w:hint="eastAsia"/>
                <w:color w:val="auto"/>
              </w:rPr>
            </w:pPr>
            <w:r>
              <w:rPr>
                <w:rFonts w:hint="eastAsia"/>
                <w:color w:val="auto"/>
                <w:sz w:val="21"/>
                <w:szCs w:val="21"/>
              </w:rPr>
              <w:t xml:space="preserve">50% </w:t>
            </w:r>
          </w:p>
        </w:tc>
        <w:tc>
          <w:tcPr>
            <w:tcW w:w="59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F494500">
            <w:pPr>
              <w:pStyle w:val="14"/>
              <w:spacing w:before="0" w:beforeAutospacing="0" w:after="0" w:afterAutospacing="0"/>
              <w:jc w:val="center"/>
              <w:rPr>
                <w:rFonts w:hint="eastAsia"/>
                <w:color w:val="auto"/>
              </w:rPr>
            </w:pPr>
            <w:r>
              <w:rPr>
                <w:rFonts w:hint="eastAsia"/>
                <w:color w:val="auto"/>
                <w:sz w:val="21"/>
                <w:szCs w:val="21"/>
              </w:rPr>
              <w:t>题型</w:t>
            </w:r>
          </w:p>
        </w:tc>
        <w:tc>
          <w:tcPr>
            <w:tcW w:w="3357"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8E8D435">
            <w:pPr>
              <w:pStyle w:val="14"/>
              <w:spacing w:before="0" w:beforeAutospacing="0" w:after="0" w:afterAutospacing="0"/>
              <w:jc w:val="center"/>
              <w:rPr>
                <w:rFonts w:hint="eastAsia"/>
                <w:color w:val="auto"/>
              </w:rPr>
            </w:pPr>
            <w:r>
              <w:rPr>
                <w:rFonts w:hint="eastAsia"/>
                <w:color w:val="auto"/>
                <w:sz w:val="21"/>
                <w:szCs w:val="21"/>
              </w:rPr>
              <w:t>考核内容及相应题目</w:t>
            </w:r>
          </w:p>
        </w:tc>
        <w:tc>
          <w:tcPr>
            <w:tcW w:w="2883" w:type="dxa"/>
            <w:gridSpan w:val="4"/>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tcPr>
          <w:p w14:paraId="1721F2D6">
            <w:pPr>
              <w:pStyle w:val="14"/>
              <w:spacing w:before="0" w:beforeAutospacing="0" w:after="0" w:afterAutospacing="0"/>
              <w:jc w:val="both"/>
              <w:rPr>
                <w:rFonts w:hint="eastAsia"/>
                <w:color w:val="auto"/>
              </w:rPr>
            </w:pPr>
            <w:r>
              <w:rPr>
                <w:rFonts w:hint="eastAsia"/>
                <w:color w:val="auto"/>
                <w:sz w:val="21"/>
                <w:szCs w:val="21"/>
              </w:rPr>
              <w:t> </w:t>
            </w:r>
          </w:p>
        </w:tc>
      </w:tr>
      <w:tr w14:paraId="084B2560">
        <w:tblPrEx>
          <w:tblCellMar>
            <w:top w:w="0" w:type="dxa"/>
            <w:left w:w="180" w:type="dxa"/>
            <w:bottom w:w="0" w:type="dxa"/>
            <w:right w:w="180" w:type="dxa"/>
          </w:tblCellMar>
        </w:tblPrEx>
        <w:trPr>
          <w:trHeight w:val="166" w:hRule="atLeast"/>
        </w:trPr>
        <w:tc>
          <w:tcPr>
            <w:tcW w:w="1053" w:type="dxa"/>
            <w:vMerge w:val="continue"/>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69602C90">
            <w:pPr>
              <w:rPr>
                <w:rFonts w:ascii="宋体"/>
                <w:color w:val="auto"/>
                <w:sz w:val="24"/>
              </w:rPr>
            </w:pPr>
          </w:p>
        </w:tc>
        <w:tc>
          <w:tcPr>
            <w:tcW w:w="1214" w:type="dxa"/>
            <w:vMerge w:val="continue"/>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99A77CA">
            <w:pPr>
              <w:rPr>
                <w:rFonts w:ascii="宋体"/>
                <w:color w:val="auto"/>
                <w:sz w:val="24"/>
              </w:rPr>
            </w:pPr>
          </w:p>
        </w:tc>
        <w:tc>
          <w:tcPr>
            <w:tcW w:w="59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5F2544E">
            <w:pPr>
              <w:pStyle w:val="14"/>
              <w:spacing w:before="0" w:beforeAutospacing="0" w:after="0" w:afterAutospacing="0"/>
              <w:jc w:val="center"/>
              <w:rPr>
                <w:rFonts w:hint="eastAsia"/>
                <w:color w:val="auto"/>
              </w:rPr>
            </w:pPr>
            <w:r>
              <w:rPr>
                <w:rFonts w:hint="eastAsia"/>
                <w:color w:val="auto"/>
                <w:sz w:val="21"/>
                <w:szCs w:val="21"/>
              </w:rPr>
              <w:t>填空题</w:t>
            </w:r>
          </w:p>
        </w:tc>
        <w:tc>
          <w:tcPr>
            <w:tcW w:w="3357"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C98F898">
            <w:pPr>
              <w:pStyle w:val="14"/>
              <w:spacing w:before="0" w:beforeAutospacing="0" w:after="0" w:afterAutospacing="0"/>
              <w:rPr>
                <w:rFonts w:hint="eastAsia"/>
                <w:color w:val="auto"/>
              </w:rPr>
            </w:pPr>
            <w:r>
              <w:rPr>
                <w:rFonts w:hint="eastAsia"/>
                <w:color w:val="auto"/>
                <w:sz w:val="21"/>
                <w:szCs w:val="21"/>
              </w:rPr>
              <w:t>概率的性质、概率的运算、离散型与连续型随机变量的计算，期望与方差的计算，统计分布等。</w:t>
            </w:r>
          </w:p>
        </w:tc>
        <w:tc>
          <w:tcPr>
            <w:tcW w:w="71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7385CB43">
            <w:pPr>
              <w:pStyle w:val="14"/>
              <w:spacing w:before="0" w:beforeAutospacing="0" w:after="0" w:afterAutospacing="0"/>
              <w:jc w:val="center"/>
              <w:rPr>
                <w:rFonts w:hint="eastAsia"/>
                <w:color w:val="auto"/>
              </w:rPr>
            </w:pPr>
            <w:r>
              <w:rPr>
                <w:rFonts w:hint="eastAsia"/>
                <w:color w:val="auto"/>
                <w:sz w:val="21"/>
                <w:szCs w:val="21"/>
              </w:rPr>
              <w:t>7.5%</w:t>
            </w:r>
          </w:p>
        </w:tc>
        <w:tc>
          <w:tcPr>
            <w:tcW w:w="722"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ED3C6B1">
            <w:pPr>
              <w:pStyle w:val="14"/>
              <w:spacing w:before="0" w:beforeAutospacing="0" w:after="0" w:afterAutospacing="0"/>
              <w:jc w:val="center"/>
              <w:rPr>
                <w:rFonts w:hint="eastAsia"/>
                <w:color w:val="auto"/>
              </w:rPr>
            </w:pPr>
            <w:r>
              <w:rPr>
                <w:rFonts w:hint="eastAsia"/>
                <w:color w:val="auto"/>
                <w:sz w:val="21"/>
                <w:szCs w:val="21"/>
              </w:rPr>
              <w:t> </w:t>
            </w:r>
          </w:p>
        </w:tc>
        <w:tc>
          <w:tcPr>
            <w:tcW w:w="727"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4D7A7028">
            <w:pPr>
              <w:pStyle w:val="14"/>
              <w:spacing w:before="0" w:beforeAutospacing="0" w:after="0" w:afterAutospacing="0"/>
              <w:jc w:val="center"/>
              <w:rPr>
                <w:rFonts w:hint="eastAsia"/>
                <w:color w:val="auto"/>
              </w:rPr>
            </w:pPr>
            <w:r>
              <w:rPr>
                <w:rFonts w:hint="eastAsia"/>
                <w:color w:val="auto"/>
                <w:sz w:val="21"/>
                <w:szCs w:val="21"/>
              </w:rPr>
              <w:t> </w:t>
            </w:r>
          </w:p>
        </w:tc>
        <w:tc>
          <w:tcPr>
            <w:tcW w:w="718"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D2D921C">
            <w:pPr>
              <w:pStyle w:val="14"/>
              <w:spacing w:before="0" w:beforeAutospacing="0" w:after="0" w:afterAutospacing="0"/>
              <w:jc w:val="center"/>
              <w:rPr>
                <w:rFonts w:hint="eastAsia"/>
                <w:color w:val="auto"/>
              </w:rPr>
            </w:pPr>
            <w:r>
              <w:rPr>
                <w:rFonts w:hint="eastAsia"/>
                <w:color w:val="auto"/>
                <w:sz w:val="21"/>
                <w:szCs w:val="21"/>
              </w:rPr>
              <w:t> </w:t>
            </w:r>
          </w:p>
        </w:tc>
      </w:tr>
      <w:tr w14:paraId="2989E9CE">
        <w:tblPrEx>
          <w:tblCellMar>
            <w:top w:w="0" w:type="dxa"/>
            <w:left w:w="180" w:type="dxa"/>
            <w:bottom w:w="0" w:type="dxa"/>
            <w:right w:w="180" w:type="dxa"/>
          </w:tblCellMar>
        </w:tblPrEx>
        <w:trPr>
          <w:trHeight w:val="166" w:hRule="atLeast"/>
        </w:trPr>
        <w:tc>
          <w:tcPr>
            <w:tcW w:w="1053" w:type="dxa"/>
            <w:vMerge w:val="continue"/>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45E58840">
            <w:pPr>
              <w:rPr>
                <w:rFonts w:ascii="宋体"/>
                <w:color w:val="auto"/>
                <w:sz w:val="24"/>
              </w:rPr>
            </w:pPr>
          </w:p>
        </w:tc>
        <w:tc>
          <w:tcPr>
            <w:tcW w:w="1214" w:type="dxa"/>
            <w:vMerge w:val="continue"/>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1A8D7D2">
            <w:pPr>
              <w:rPr>
                <w:rFonts w:ascii="宋体"/>
                <w:color w:val="auto"/>
                <w:sz w:val="24"/>
              </w:rPr>
            </w:pPr>
          </w:p>
        </w:tc>
        <w:tc>
          <w:tcPr>
            <w:tcW w:w="59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56C3B3B">
            <w:pPr>
              <w:pStyle w:val="14"/>
              <w:spacing w:before="0" w:beforeAutospacing="0" w:after="0" w:afterAutospacing="0"/>
              <w:jc w:val="center"/>
              <w:rPr>
                <w:rFonts w:hint="eastAsia"/>
                <w:color w:val="auto"/>
              </w:rPr>
            </w:pPr>
            <w:r>
              <w:rPr>
                <w:rFonts w:hint="eastAsia"/>
                <w:color w:val="auto"/>
                <w:sz w:val="21"/>
                <w:szCs w:val="21"/>
              </w:rPr>
              <w:t>选择题</w:t>
            </w:r>
          </w:p>
        </w:tc>
        <w:tc>
          <w:tcPr>
            <w:tcW w:w="3357"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428F2CA">
            <w:pPr>
              <w:pStyle w:val="14"/>
              <w:spacing w:before="0" w:beforeAutospacing="0" w:after="0" w:afterAutospacing="0"/>
              <w:rPr>
                <w:rFonts w:hint="eastAsia"/>
                <w:color w:val="auto"/>
              </w:rPr>
            </w:pPr>
            <w:r>
              <w:rPr>
                <w:rFonts w:hint="eastAsia"/>
                <w:color w:val="auto"/>
                <w:sz w:val="21"/>
                <w:szCs w:val="21"/>
              </w:rPr>
              <w:t>概率的性质、概率的运算、离散型与连续型随机变量的计算，期望与方差的计算，统计分布等。</w:t>
            </w:r>
          </w:p>
        </w:tc>
        <w:tc>
          <w:tcPr>
            <w:tcW w:w="71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1F71D9A">
            <w:pPr>
              <w:pStyle w:val="14"/>
              <w:spacing w:before="0" w:beforeAutospacing="0" w:after="0" w:afterAutospacing="0"/>
              <w:jc w:val="center"/>
              <w:rPr>
                <w:rFonts w:hint="eastAsia"/>
                <w:color w:val="auto"/>
              </w:rPr>
            </w:pPr>
            <w:r>
              <w:rPr>
                <w:rFonts w:hint="eastAsia"/>
                <w:color w:val="auto"/>
                <w:sz w:val="21"/>
                <w:szCs w:val="21"/>
              </w:rPr>
              <w:t>7.5%</w:t>
            </w:r>
          </w:p>
        </w:tc>
        <w:tc>
          <w:tcPr>
            <w:tcW w:w="722"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0377E47">
            <w:pPr>
              <w:pStyle w:val="14"/>
              <w:spacing w:before="0" w:beforeAutospacing="0" w:after="0" w:afterAutospacing="0"/>
              <w:jc w:val="center"/>
              <w:rPr>
                <w:rFonts w:hint="eastAsia"/>
                <w:color w:val="auto"/>
              </w:rPr>
            </w:pPr>
            <w:r>
              <w:rPr>
                <w:rFonts w:hint="eastAsia"/>
                <w:color w:val="auto"/>
                <w:sz w:val="21"/>
                <w:szCs w:val="21"/>
              </w:rPr>
              <w:t> </w:t>
            </w:r>
          </w:p>
        </w:tc>
        <w:tc>
          <w:tcPr>
            <w:tcW w:w="727"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4BF441C2">
            <w:pPr>
              <w:pStyle w:val="14"/>
              <w:spacing w:before="0" w:beforeAutospacing="0" w:after="0" w:afterAutospacing="0"/>
              <w:jc w:val="center"/>
              <w:rPr>
                <w:rFonts w:hint="eastAsia"/>
                <w:color w:val="auto"/>
              </w:rPr>
            </w:pPr>
            <w:r>
              <w:rPr>
                <w:rFonts w:hint="eastAsia"/>
                <w:color w:val="auto"/>
                <w:sz w:val="21"/>
                <w:szCs w:val="21"/>
              </w:rPr>
              <w:t> </w:t>
            </w:r>
          </w:p>
        </w:tc>
        <w:tc>
          <w:tcPr>
            <w:tcW w:w="718"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748B92C1">
            <w:pPr>
              <w:pStyle w:val="14"/>
              <w:spacing w:before="0" w:beforeAutospacing="0" w:after="0" w:afterAutospacing="0"/>
              <w:jc w:val="center"/>
              <w:rPr>
                <w:rFonts w:hint="eastAsia"/>
                <w:color w:val="auto"/>
              </w:rPr>
            </w:pPr>
            <w:r>
              <w:rPr>
                <w:rFonts w:hint="eastAsia"/>
                <w:color w:val="auto"/>
                <w:sz w:val="21"/>
                <w:szCs w:val="21"/>
              </w:rPr>
              <w:t> </w:t>
            </w:r>
          </w:p>
        </w:tc>
      </w:tr>
      <w:tr w14:paraId="57944ED5">
        <w:tblPrEx>
          <w:tblCellMar>
            <w:top w:w="0" w:type="dxa"/>
            <w:left w:w="180" w:type="dxa"/>
            <w:bottom w:w="0" w:type="dxa"/>
            <w:right w:w="180" w:type="dxa"/>
          </w:tblCellMar>
        </w:tblPrEx>
        <w:trPr>
          <w:trHeight w:val="166" w:hRule="atLeast"/>
        </w:trPr>
        <w:tc>
          <w:tcPr>
            <w:tcW w:w="1053" w:type="dxa"/>
            <w:vMerge w:val="continue"/>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2ADB48B2">
            <w:pPr>
              <w:rPr>
                <w:rFonts w:ascii="宋体"/>
                <w:color w:val="auto"/>
                <w:sz w:val="24"/>
              </w:rPr>
            </w:pPr>
          </w:p>
        </w:tc>
        <w:tc>
          <w:tcPr>
            <w:tcW w:w="1214" w:type="dxa"/>
            <w:vMerge w:val="continue"/>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980ABBB">
            <w:pPr>
              <w:rPr>
                <w:rFonts w:ascii="宋体"/>
                <w:color w:val="auto"/>
                <w:sz w:val="24"/>
              </w:rPr>
            </w:pPr>
          </w:p>
        </w:tc>
        <w:tc>
          <w:tcPr>
            <w:tcW w:w="59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8490153">
            <w:pPr>
              <w:pStyle w:val="14"/>
              <w:spacing w:before="0" w:beforeAutospacing="0" w:after="0" w:afterAutospacing="0"/>
              <w:jc w:val="center"/>
              <w:rPr>
                <w:rFonts w:hint="eastAsia"/>
                <w:color w:val="auto"/>
              </w:rPr>
            </w:pPr>
            <w:r>
              <w:rPr>
                <w:rFonts w:hint="eastAsia"/>
                <w:color w:val="auto"/>
                <w:sz w:val="21"/>
                <w:szCs w:val="21"/>
              </w:rPr>
              <w:t>计算题</w:t>
            </w:r>
          </w:p>
        </w:tc>
        <w:tc>
          <w:tcPr>
            <w:tcW w:w="3357"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3C47F34">
            <w:pPr>
              <w:pStyle w:val="14"/>
              <w:spacing w:before="0" w:beforeAutospacing="0" w:after="0" w:afterAutospacing="0"/>
              <w:rPr>
                <w:rFonts w:hint="eastAsia"/>
                <w:color w:val="auto"/>
              </w:rPr>
            </w:pPr>
            <w:r>
              <w:rPr>
                <w:rFonts w:hint="eastAsia"/>
                <w:color w:val="auto"/>
                <w:sz w:val="21"/>
                <w:szCs w:val="21"/>
              </w:rPr>
              <w:t>概率的性质、概率的运算、离散型与连续型随机变量的计算，边缘分布的计算，期望与方差的计算，统计分布等。</w:t>
            </w:r>
          </w:p>
        </w:tc>
        <w:tc>
          <w:tcPr>
            <w:tcW w:w="71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450D49E">
            <w:pPr>
              <w:pStyle w:val="14"/>
              <w:spacing w:before="0" w:beforeAutospacing="0" w:after="0" w:afterAutospacing="0"/>
              <w:jc w:val="center"/>
              <w:rPr>
                <w:rFonts w:hint="eastAsia"/>
                <w:color w:val="auto"/>
              </w:rPr>
            </w:pPr>
            <w:r>
              <w:rPr>
                <w:rFonts w:hint="eastAsia"/>
                <w:color w:val="auto"/>
                <w:sz w:val="21"/>
                <w:szCs w:val="21"/>
              </w:rPr>
              <w:t> </w:t>
            </w:r>
          </w:p>
        </w:tc>
        <w:tc>
          <w:tcPr>
            <w:tcW w:w="722"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0BF98C5D">
            <w:pPr>
              <w:pStyle w:val="14"/>
              <w:spacing w:before="0" w:beforeAutospacing="0" w:after="0" w:afterAutospacing="0"/>
              <w:jc w:val="center"/>
              <w:rPr>
                <w:rFonts w:hint="eastAsia"/>
                <w:color w:val="auto"/>
              </w:rPr>
            </w:pPr>
            <w:r>
              <w:rPr>
                <w:rFonts w:hint="eastAsia"/>
                <w:color w:val="auto"/>
                <w:sz w:val="21"/>
                <w:szCs w:val="21"/>
              </w:rPr>
              <w:t>35%</w:t>
            </w:r>
          </w:p>
        </w:tc>
        <w:tc>
          <w:tcPr>
            <w:tcW w:w="727"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7F8A92E3">
            <w:pPr>
              <w:pStyle w:val="14"/>
              <w:spacing w:before="0" w:beforeAutospacing="0" w:after="0" w:afterAutospacing="0"/>
              <w:jc w:val="center"/>
              <w:rPr>
                <w:rFonts w:hint="eastAsia"/>
                <w:color w:val="auto"/>
              </w:rPr>
            </w:pPr>
            <w:r>
              <w:rPr>
                <w:rFonts w:hint="eastAsia"/>
                <w:color w:val="auto"/>
                <w:sz w:val="21"/>
                <w:szCs w:val="21"/>
              </w:rPr>
              <w:t> </w:t>
            </w:r>
          </w:p>
        </w:tc>
        <w:tc>
          <w:tcPr>
            <w:tcW w:w="718"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02321D22">
            <w:pPr>
              <w:pStyle w:val="14"/>
              <w:spacing w:before="0" w:beforeAutospacing="0" w:after="0" w:afterAutospacing="0"/>
              <w:jc w:val="center"/>
              <w:rPr>
                <w:rFonts w:hint="eastAsia"/>
                <w:color w:val="auto"/>
              </w:rPr>
            </w:pPr>
            <w:r>
              <w:rPr>
                <w:rFonts w:hint="eastAsia"/>
                <w:color w:val="auto"/>
                <w:sz w:val="21"/>
                <w:szCs w:val="21"/>
              </w:rPr>
              <w:t> </w:t>
            </w:r>
          </w:p>
        </w:tc>
      </w:tr>
      <w:tr w14:paraId="4B22198D">
        <w:tblPrEx>
          <w:tblCellMar>
            <w:top w:w="0" w:type="dxa"/>
            <w:left w:w="180" w:type="dxa"/>
            <w:bottom w:w="0" w:type="dxa"/>
            <w:right w:w="180" w:type="dxa"/>
          </w:tblCellMar>
        </w:tblPrEx>
        <w:trPr>
          <w:trHeight w:val="166" w:hRule="atLeast"/>
        </w:trPr>
        <w:tc>
          <w:tcPr>
            <w:tcW w:w="1053"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6FA12509">
            <w:pPr>
              <w:pStyle w:val="14"/>
              <w:spacing w:before="0" w:beforeAutospacing="0" w:after="0" w:afterAutospacing="0"/>
              <w:jc w:val="center"/>
              <w:rPr>
                <w:rFonts w:hint="eastAsia"/>
                <w:color w:val="auto"/>
              </w:rPr>
            </w:pPr>
            <w:r>
              <w:rPr>
                <w:rFonts w:hint="eastAsia"/>
                <w:color w:val="auto"/>
                <w:sz w:val="21"/>
                <w:szCs w:val="21"/>
              </w:rPr>
              <w:t>合 计</w:t>
            </w:r>
          </w:p>
        </w:tc>
        <w:tc>
          <w:tcPr>
            <w:tcW w:w="1214"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416AB14">
            <w:pPr>
              <w:pStyle w:val="14"/>
              <w:spacing w:before="0" w:beforeAutospacing="0" w:after="0" w:afterAutospacing="0"/>
              <w:jc w:val="center"/>
              <w:rPr>
                <w:rFonts w:hint="eastAsia"/>
                <w:color w:val="auto"/>
              </w:rPr>
            </w:pPr>
            <w:r>
              <w:rPr>
                <w:rFonts w:hint="eastAsia"/>
                <w:color w:val="auto"/>
                <w:sz w:val="21"/>
                <w:szCs w:val="21"/>
              </w:rPr>
              <w:t>100%</w:t>
            </w:r>
          </w:p>
        </w:tc>
        <w:tc>
          <w:tcPr>
            <w:tcW w:w="59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4ADEBD1">
            <w:pPr>
              <w:pStyle w:val="14"/>
              <w:spacing w:before="0" w:beforeAutospacing="0" w:after="0" w:afterAutospacing="0"/>
              <w:jc w:val="center"/>
              <w:rPr>
                <w:rFonts w:hint="eastAsia"/>
                <w:color w:val="auto"/>
              </w:rPr>
            </w:pPr>
            <w:r>
              <w:rPr>
                <w:rFonts w:hint="eastAsia"/>
                <w:color w:val="auto"/>
                <w:sz w:val="21"/>
                <w:szCs w:val="21"/>
              </w:rPr>
              <w:t> </w:t>
            </w:r>
          </w:p>
        </w:tc>
        <w:tc>
          <w:tcPr>
            <w:tcW w:w="3357"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7E4B481">
            <w:pPr>
              <w:pStyle w:val="14"/>
              <w:spacing w:before="0" w:beforeAutospacing="0" w:after="0" w:afterAutospacing="0"/>
              <w:jc w:val="both"/>
              <w:rPr>
                <w:rFonts w:hint="eastAsia"/>
                <w:color w:val="auto"/>
              </w:rPr>
            </w:pPr>
            <w:r>
              <w:rPr>
                <w:rFonts w:hint="eastAsia"/>
                <w:color w:val="auto"/>
                <w:sz w:val="21"/>
                <w:szCs w:val="21"/>
              </w:rPr>
              <w:t> </w:t>
            </w:r>
          </w:p>
        </w:tc>
        <w:tc>
          <w:tcPr>
            <w:tcW w:w="71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30A17301">
            <w:pPr>
              <w:pStyle w:val="14"/>
              <w:spacing w:before="0" w:beforeAutospacing="0" w:after="0" w:afterAutospacing="0"/>
              <w:jc w:val="center"/>
              <w:rPr>
                <w:rFonts w:hint="eastAsia"/>
                <w:color w:val="auto"/>
              </w:rPr>
            </w:pPr>
            <w:r>
              <w:rPr>
                <w:rFonts w:hint="eastAsia"/>
                <w:color w:val="auto"/>
                <w:sz w:val="21"/>
                <w:szCs w:val="21"/>
              </w:rPr>
              <w:t>25%</w:t>
            </w:r>
          </w:p>
        </w:tc>
        <w:tc>
          <w:tcPr>
            <w:tcW w:w="722"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3CC5CAE0">
            <w:pPr>
              <w:pStyle w:val="14"/>
              <w:spacing w:before="0" w:beforeAutospacing="0" w:after="0" w:afterAutospacing="0"/>
              <w:jc w:val="center"/>
              <w:rPr>
                <w:rFonts w:hint="eastAsia"/>
                <w:color w:val="auto"/>
              </w:rPr>
            </w:pPr>
            <w:r>
              <w:rPr>
                <w:rFonts w:hint="eastAsia"/>
                <w:color w:val="auto"/>
                <w:sz w:val="21"/>
                <w:szCs w:val="21"/>
              </w:rPr>
              <w:t>55%</w:t>
            </w:r>
          </w:p>
        </w:tc>
        <w:tc>
          <w:tcPr>
            <w:tcW w:w="727"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0B04C13B">
            <w:pPr>
              <w:pStyle w:val="14"/>
              <w:spacing w:before="0" w:beforeAutospacing="0" w:after="0" w:afterAutospacing="0"/>
              <w:jc w:val="center"/>
              <w:rPr>
                <w:rFonts w:hint="eastAsia"/>
                <w:color w:val="auto"/>
              </w:rPr>
            </w:pPr>
            <w:r>
              <w:rPr>
                <w:rFonts w:hint="eastAsia"/>
                <w:color w:val="auto"/>
                <w:sz w:val="21"/>
                <w:szCs w:val="21"/>
              </w:rPr>
              <w:t>20%</w:t>
            </w:r>
          </w:p>
        </w:tc>
        <w:tc>
          <w:tcPr>
            <w:tcW w:w="718"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50759D58">
            <w:pPr>
              <w:pStyle w:val="14"/>
              <w:spacing w:before="0" w:beforeAutospacing="0" w:after="0" w:afterAutospacing="0"/>
              <w:jc w:val="center"/>
              <w:rPr>
                <w:rFonts w:hint="eastAsia"/>
                <w:color w:val="auto"/>
              </w:rPr>
            </w:pPr>
            <w:r>
              <w:rPr>
                <w:rFonts w:hint="eastAsia"/>
                <w:color w:val="auto"/>
                <w:sz w:val="21"/>
                <w:szCs w:val="21"/>
              </w:rPr>
              <w:t> </w:t>
            </w:r>
          </w:p>
        </w:tc>
      </w:tr>
    </w:tbl>
    <w:p w14:paraId="49FA83F7">
      <w:pPr>
        <w:spacing w:line="360" w:lineRule="auto"/>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2AA589C7">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002D3BD7">
      <w:pPr>
        <w:spacing w:before="156" w:beforeLines="50" w:line="360" w:lineRule="auto"/>
        <w:ind w:firstLine="420" w:firstLineChars="200"/>
        <w:jc w:val="left"/>
        <w:rPr>
          <w:rFonts w:hint="eastAsia" w:ascii="Times New Roman" w:hAnsi="Times New Roman" w:eastAsia="宋体" w:cs="Times New Roman"/>
          <w:b/>
          <w:color w:val="auto"/>
          <w:sz w:val="24"/>
        </w:rPr>
      </w:pPr>
      <w:r>
        <w:rPr>
          <w:rFonts w:ascii="宋体" w:hAnsi="宋体" w:eastAsia="宋体" w:cs="Times New Roman"/>
          <w:color w:val="auto"/>
          <w:szCs w:val="21"/>
        </w:rPr>
        <w:object>
          <v:shape id="_x0000_i1061"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61" DrawAspect="Content" ObjectID="_1468075760" r:id="rId47">
            <o:LockedField>false</o:LockedField>
          </o:OLEObject>
        </w:object>
      </w:r>
      <w:r>
        <w:rPr>
          <w:rFonts w:hint="eastAsia" w:ascii="Times New Roman" w:hAnsi="Times New Roman" w:eastAsia="宋体" w:cs="Times New Roman"/>
          <w:b/>
          <w:color w:val="auto"/>
          <w:sz w:val="24"/>
        </w:rPr>
        <w:t>六、有关说明</w:t>
      </w:r>
    </w:p>
    <w:p w14:paraId="625D4D51">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306C0EB2">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根据学生课堂教学中的反应、课后反馈、作业质量、答卷情况，以及领导、督导、教师同行等的听课情况，及时发现和改进教学中的不足之处，确保相应毕业要求指标点达成。</w:t>
      </w:r>
    </w:p>
    <w:p w14:paraId="0FF7DBCB">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32B7B80A">
      <w:pPr>
        <w:spacing w:line="360" w:lineRule="auto"/>
        <w:jc w:val="left"/>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《概率论与数理统计》，陈荣军，南京大学出版社，2008.5</w:t>
      </w:r>
    </w:p>
    <w:p w14:paraId="4D1C2170">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4B3B9C4E">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1.宋立新 概率论与数理统计       北京：人民教育出版社</w:t>
      </w:r>
    </w:p>
    <w:p w14:paraId="48E83547">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2.盛骤等 概率论与数理统计       北京：浙江大学出版社</w:t>
      </w:r>
    </w:p>
    <w:p w14:paraId="256C5885">
      <w:pPr>
        <w:keepNext w:val="0"/>
        <w:keepLines w:val="0"/>
        <w:pageBreakBefore w:val="0"/>
        <w:widowControl w:val="0"/>
        <w:kinsoku/>
        <w:wordWrap/>
        <w:overflowPunct/>
        <w:topLinePunct w:val="0"/>
        <w:autoSpaceDE/>
        <w:autoSpaceDN/>
        <w:bidi w:val="0"/>
        <w:adjustRightInd/>
        <w:snapToGrid/>
        <w:spacing w:line="360" w:lineRule="auto"/>
        <w:ind w:left="0" w:leftChars="0"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4"/>
        </w:rPr>
        <w:t xml:space="preserve">                                       </w:t>
      </w:r>
      <w:r>
        <w:rPr>
          <w:rFonts w:hint="eastAsia" w:ascii="Times New Roman" w:hAnsi="Times New Roman" w:eastAsia="宋体" w:cs="Times New Roman"/>
          <w:color w:val="auto"/>
          <w:sz w:val="21"/>
          <w:szCs w:val="21"/>
        </w:rPr>
        <w:t xml:space="preserve"> 执笔人：罗昕祺</w:t>
      </w:r>
    </w:p>
    <w:p w14:paraId="488CB00C">
      <w:pPr>
        <w:keepNext w:val="0"/>
        <w:keepLines w:val="0"/>
        <w:pageBreakBefore w:val="0"/>
        <w:widowControl w:val="0"/>
        <w:kinsoku/>
        <w:wordWrap/>
        <w:overflowPunct/>
        <w:topLinePunct w:val="0"/>
        <w:autoSpaceDE/>
        <w:autoSpaceDN/>
        <w:bidi w:val="0"/>
        <w:adjustRightInd/>
        <w:snapToGrid/>
        <w:spacing w:line="360" w:lineRule="auto"/>
        <w:ind w:left="0" w:leftChars="0" w:right="0" w:firstLine="4200" w:firstLineChars="200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审定人：张志欣</w:t>
      </w:r>
    </w:p>
    <w:p w14:paraId="267727D3">
      <w:pPr>
        <w:keepNext w:val="0"/>
        <w:keepLines w:val="0"/>
        <w:pageBreakBefore w:val="0"/>
        <w:widowControl w:val="0"/>
        <w:kinsoku/>
        <w:wordWrap/>
        <w:overflowPunct/>
        <w:topLinePunct w:val="0"/>
        <w:autoSpaceDE/>
        <w:autoSpaceDN/>
        <w:bidi w:val="0"/>
        <w:adjustRightInd/>
        <w:snapToGrid/>
        <w:spacing w:line="360" w:lineRule="auto"/>
        <w:ind w:left="0" w:leftChars="0" w:right="0" w:firstLine="1260" w:firstLineChars="600"/>
        <w:jc w:val="right"/>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审批人：张建波</w:t>
      </w:r>
    </w:p>
    <w:p w14:paraId="44786705">
      <w:pPr>
        <w:widowControl/>
        <w:jc w:val="right"/>
        <w:rPr>
          <w:rFonts w:hint="eastAsia" w:ascii="宋体" w:hAnsi="宋体" w:eastAsia="宋体" w:cs="Times New Roman"/>
          <w:color w:val="auto"/>
          <w:kern w:val="0"/>
          <w:sz w:val="24"/>
          <w:szCs w:val="21"/>
        </w:rPr>
      </w:pPr>
      <w:r>
        <w:rPr>
          <w:rFonts w:hint="eastAsia" w:ascii="Times New Roman" w:hAnsi="Times New Roman" w:eastAsia="宋体" w:cs="Times New Roman"/>
          <w:color w:val="auto"/>
          <w:sz w:val="21"/>
          <w:szCs w:val="21"/>
          <w:lang w:eastAsia="zh-CN"/>
        </w:rPr>
        <w:t>批准时间：2025年7月1日</w:t>
      </w:r>
      <w:r>
        <w:rPr>
          <w:rFonts w:ascii="宋体" w:hAnsi="宋体" w:eastAsia="宋体" w:cs="Times New Roman"/>
          <w:color w:val="auto"/>
          <w:kern w:val="0"/>
          <w:sz w:val="24"/>
          <w:szCs w:val="21"/>
        </w:rPr>
        <w:br w:type="page"/>
      </w:r>
    </w:p>
    <w:p w14:paraId="5A150926">
      <w:pPr>
        <w:spacing w:line="360" w:lineRule="auto"/>
        <w:jc w:val="center"/>
        <w:outlineLvl w:val="0"/>
        <w:rPr>
          <w:rFonts w:hint="eastAsia" w:ascii="Times New Roman" w:hAnsi="Times New Roman" w:eastAsia="宋体" w:cs="Times New Roman"/>
          <w:b/>
          <w:color w:val="auto"/>
          <w:sz w:val="44"/>
          <w:szCs w:val="44"/>
        </w:rPr>
      </w:pPr>
      <w:bookmarkStart w:id="379" w:name="_Toc8110"/>
      <w:bookmarkStart w:id="380" w:name="_Toc3667"/>
      <w:r>
        <w:rPr>
          <w:rFonts w:hint="eastAsia" w:ascii="Times New Roman" w:hAnsi="Times New Roman" w:eastAsia="宋体" w:cs="Times New Roman"/>
          <w:b/>
          <w:color w:val="auto"/>
          <w:sz w:val="44"/>
          <w:szCs w:val="44"/>
        </w:rPr>
        <w:t>《初等数论》课程教学大纲</w:t>
      </w:r>
      <w:bookmarkEnd w:id="379"/>
      <w:bookmarkEnd w:id="380"/>
    </w:p>
    <w:p w14:paraId="740CEAF1">
      <w:pPr>
        <w:spacing w:line="312" w:lineRule="auto"/>
        <w:jc w:val="center"/>
        <w:rPr>
          <w:rFonts w:ascii="Times New Roman" w:hAnsi="Times New Roman"/>
          <w:b/>
          <w:bCs/>
          <w:color w:val="auto"/>
          <w:sz w:val="28"/>
          <w:szCs w:val="22"/>
        </w:rPr>
      </w:pPr>
      <w:r>
        <w:rPr>
          <w:rFonts w:ascii="Times New Roman" w:hAnsi="Times New Roman"/>
          <w:b/>
          <w:bCs/>
          <w:color w:val="auto"/>
          <w:sz w:val="28"/>
          <w:szCs w:val="22"/>
        </w:rPr>
        <w:t>（Elementary Number Theory）</w:t>
      </w:r>
    </w:p>
    <w:p w14:paraId="4793C0F4">
      <w:pPr>
        <w:spacing w:line="360" w:lineRule="auto"/>
        <w:jc w:val="center"/>
        <w:rPr>
          <w:rFonts w:ascii="Times New Roman" w:hAnsi="Times New Roman" w:eastAsia="宋体" w:cs="Times New Roman"/>
          <w:bCs/>
          <w:color w:val="auto"/>
          <w:sz w:val="21"/>
          <w:szCs w:val="21"/>
        </w:rPr>
      </w:pPr>
    </w:p>
    <w:p w14:paraId="0A5E26BD">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课程名称：初等数论</w:t>
      </w:r>
    </w:p>
    <w:p w14:paraId="5900C8D2">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课程代码：0821014</w:t>
      </w:r>
    </w:p>
    <w:p w14:paraId="0E2507EB">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分：3</w:t>
      </w:r>
    </w:p>
    <w:p w14:paraId="3DAD7DDD">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时：48</w:t>
      </w:r>
    </w:p>
    <w:p w14:paraId="43C269AB">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先修课程：数学分析、空间解析几何等</w:t>
      </w:r>
    </w:p>
    <w:p w14:paraId="145C8B8F">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适用专业：小学教育（理）</w:t>
      </w:r>
    </w:p>
    <w:p w14:paraId="0A35D85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一、课程简介</w:t>
      </w:r>
    </w:p>
    <w:p w14:paraId="4EB961E3">
      <w:pPr>
        <w:spacing w:line="360" w:lineRule="auto"/>
        <w:ind w:firstLine="420" w:firstLineChars="200"/>
        <w:jc w:val="left"/>
        <w:rPr>
          <w:rFonts w:hint="eastAsia" w:ascii="宋体" w:hAnsi="宋体" w:eastAsia="宋体" w:cs="Times New Roman"/>
          <w:b/>
          <w:color w:val="auto"/>
          <w:szCs w:val="21"/>
        </w:rPr>
      </w:pPr>
      <w:r>
        <w:rPr>
          <w:rFonts w:hint="eastAsia" w:ascii="Times New Roman" w:hAnsi="Times New Roman" w:eastAsia="宋体" w:cs="Times New Roman"/>
          <w:color w:val="auto"/>
          <w:szCs w:val="21"/>
        </w:rPr>
        <w:t>本课程是小学教育（理）专业的一门重要基础课。通过本课程的学习，使学生系统地获得初等数论的基本知识、必要的基础理论和常用的运算方法；提高学生的运算能力、随机数学思维能力、逻辑推理能力；并能运用数学知识、理论、方法解决相关的实际应用问题；提高学生的数学素养，为学生学习后续相关课程及终身学习奠定必要的数学基础。</w:t>
      </w:r>
    </w:p>
    <w:p w14:paraId="38ED2AF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4"/>
          <w:szCs w:val="24"/>
        </w:rPr>
      </w:pPr>
      <w:r>
        <w:rPr>
          <w:rFonts w:hint="eastAsia" w:ascii="宋体" w:hAnsi="宋体" w:eastAsia="宋体" w:cs="Times New Roman"/>
          <w:b/>
          <w:color w:val="auto"/>
          <w:sz w:val="24"/>
          <w:szCs w:val="24"/>
        </w:rPr>
        <w:t>二</w:t>
      </w:r>
      <w:r>
        <w:rPr>
          <w:rFonts w:ascii="宋体" w:hAnsi="宋体" w:eastAsia="宋体" w:cs="Times New Roman"/>
          <w:b/>
          <w:color w:val="auto"/>
          <w:sz w:val="24"/>
          <w:szCs w:val="24"/>
        </w:rPr>
        <w:t>、课程目标</w:t>
      </w:r>
    </w:p>
    <w:p w14:paraId="7D9615F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01D60645">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1.</w:t>
      </w:r>
      <w:r>
        <w:rPr>
          <w:rFonts w:hint="eastAsia" w:ascii="Times New Roman" w:hAnsi="Times New Roman" w:eastAsia="宋体" w:cs="Times New Roman"/>
          <w:b/>
          <w:color w:val="auto"/>
          <w:szCs w:val="21"/>
        </w:rPr>
        <w:t xml:space="preserve"> </w:t>
      </w:r>
      <w:r>
        <w:rPr>
          <w:rFonts w:hint="eastAsia" w:ascii="Times New Roman" w:hAnsi="Times New Roman" w:eastAsia="宋体" w:cs="Times New Roman"/>
          <w:color w:val="auto"/>
          <w:szCs w:val="21"/>
        </w:rPr>
        <w:t>能够获得课程基本概念与性质。</w:t>
      </w:r>
    </w:p>
    <w:p w14:paraId="0ABB2EA8">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目标2</w:t>
      </w:r>
      <w:r>
        <w:rPr>
          <w:rFonts w:ascii="Times New Roman" w:hAnsi="Times New Roman" w:eastAsia="宋体" w:cs="Times New Roman"/>
          <w:b/>
          <w:color w:val="auto"/>
          <w:szCs w:val="21"/>
        </w:rPr>
        <w:t xml:space="preserve">. </w:t>
      </w:r>
      <w:r>
        <w:rPr>
          <w:rFonts w:hint="eastAsia" w:ascii="Times New Roman" w:hAnsi="Times New Roman" w:eastAsia="宋体" w:cs="Times New Roman"/>
          <w:color w:val="auto"/>
          <w:szCs w:val="21"/>
        </w:rPr>
        <w:t>能够掌握本课程要求的计算方法。</w:t>
      </w:r>
    </w:p>
    <w:p w14:paraId="49F98F3E">
      <w:pPr>
        <w:keepNext w:val="0"/>
        <w:keepLines w:val="0"/>
        <w:pageBreakBefore w:val="0"/>
        <w:widowControl w:val="0"/>
        <w:tabs>
          <w:tab w:val="left" w:pos="408"/>
        </w:tabs>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目标3</w:t>
      </w:r>
      <w:r>
        <w:rPr>
          <w:rFonts w:hint="eastAsia" w:ascii="Times New Roman" w:hAnsi="Times New Roman" w:eastAsia="宋体" w:cs="Times New Roman"/>
          <w:b/>
          <w:color w:val="auto"/>
          <w:kern w:val="0"/>
          <w:szCs w:val="21"/>
        </w:rPr>
        <w:t>．</w:t>
      </w:r>
      <w:r>
        <w:rPr>
          <w:rFonts w:hint="eastAsia" w:ascii="Times New Roman" w:hAnsi="Times New Roman" w:eastAsia="宋体" w:cs="Times New Roman"/>
          <w:color w:val="auto"/>
          <w:szCs w:val="21"/>
        </w:rPr>
        <w:t>能够具有一定的抽象概括、逻辑推理等能力。</w:t>
      </w:r>
    </w:p>
    <w:p w14:paraId="05F90E71">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目标4.</w:t>
      </w:r>
      <w:r>
        <w:rPr>
          <w:rFonts w:hint="eastAsia" w:ascii="Times New Roman" w:hAnsi="Times New Roman" w:eastAsia="宋体" w:cs="Times New Roman"/>
          <w:color w:val="auto"/>
          <w:szCs w:val="21"/>
        </w:rPr>
        <w:t xml:space="preserve"> 能够具有一定的运算能力。</w:t>
      </w:r>
    </w:p>
    <w:p w14:paraId="3EABAFD6">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目标5.</w:t>
      </w:r>
      <w:r>
        <w:rPr>
          <w:rFonts w:hint="eastAsia" w:ascii="Times New Roman" w:hAnsi="Times New Roman" w:eastAsia="宋体" w:cs="Times New Roman"/>
          <w:color w:val="auto"/>
          <w:szCs w:val="21"/>
        </w:rPr>
        <w:t xml:space="preserve"> 能够具有一定的数学思维与分析能力。</w:t>
      </w:r>
    </w:p>
    <w:p w14:paraId="5B8573B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6459"/>
        <w:gridCol w:w="1191"/>
      </w:tblGrid>
      <w:tr w14:paraId="6244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7" w:type="dxa"/>
            <w:vAlign w:val="center"/>
          </w:tcPr>
          <w:p w14:paraId="29B51E8E">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459" w:type="dxa"/>
            <w:vAlign w:val="center"/>
          </w:tcPr>
          <w:p w14:paraId="2461F6B8">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5D42AF1C">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1A84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7" w:type="dxa"/>
            <w:vAlign w:val="center"/>
          </w:tcPr>
          <w:p w14:paraId="7D41AB82">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毕业要求3学科素养</w:t>
            </w:r>
          </w:p>
        </w:tc>
        <w:tc>
          <w:tcPr>
            <w:tcW w:w="6459" w:type="dxa"/>
            <w:vAlign w:val="center"/>
          </w:tcPr>
          <w:p w14:paraId="5B5D9E66">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指标点3-1：【通识知识广博】具有小学教育本科专业相应的自然科学和人文社会科学知识素养。</w:t>
            </w:r>
          </w:p>
          <w:p w14:paraId="319298C8">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指标点3-2：【学科知识扎实】具有学科专业能力，掌握小学数学学科的基本知识、原理和技能。熟悉小学科学的知识体系，掌握小学科学的基本知识、原理和技能。</w:t>
            </w:r>
          </w:p>
        </w:tc>
        <w:tc>
          <w:tcPr>
            <w:tcW w:w="1191" w:type="dxa"/>
            <w:vAlign w:val="center"/>
          </w:tcPr>
          <w:p w14:paraId="5FFBEF72">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课程目标1</w:t>
            </w:r>
          </w:p>
          <w:p w14:paraId="5F1DCA7E">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课程目标2</w:t>
            </w:r>
          </w:p>
          <w:p w14:paraId="14EE3B10">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课程目标3</w:t>
            </w:r>
          </w:p>
          <w:p w14:paraId="125C8EE3">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课程目标4</w:t>
            </w:r>
          </w:p>
          <w:p w14:paraId="03E2452E">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课程目标5</w:t>
            </w:r>
          </w:p>
        </w:tc>
      </w:tr>
      <w:tr w14:paraId="3B2F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7" w:type="dxa"/>
            <w:vAlign w:val="center"/>
          </w:tcPr>
          <w:p w14:paraId="6BAF46E3">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毕业要求6综合育人</w:t>
            </w:r>
          </w:p>
        </w:tc>
        <w:tc>
          <w:tcPr>
            <w:tcW w:w="6459" w:type="dxa"/>
            <w:vAlign w:val="center"/>
          </w:tcPr>
          <w:p w14:paraId="3E3F6195">
            <w:pPr>
              <w:spacing w:line="276" w:lineRule="auto"/>
              <w:jc w:val="left"/>
              <w:rPr>
                <w:rFonts w:ascii="Times New Roman" w:hAnsi="Times New Roman" w:eastAsia="宋体" w:cs="Times New Roman"/>
                <w:color w:val="auto"/>
                <w:szCs w:val="21"/>
              </w:rPr>
            </w:pPr>
            <w:r>
              <w:rPr>
                <w:rFonts w:hint="eastAsia" w:ascii="宋体" w:hAnsi="宋体" w:eastAsia="宋体" w:cs="Times New Roman"/>
                <w:color w:val="auto"/>
                <w:kern w:val="0"/>
                <w:szCs w:val="21"/>
              </w:rPr>
              <w:t>指标点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191" w:type="dxa"/>
            <w:vAlign w:val="center"/>
          </w:tcPr>
          <w:p w14:paraId="208F795B">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课程目标5</w:t>
            </w:r>
          </w:p>
        </w:tc>
      </w:tr>
    </w:tbl>
    <w:p w14:paraId="24400C9A">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7D15F203">
      <w:pPr>
        <w:spacing w:line="360" w:lineRule="auto"/>
        <w:ind w:firstLine="420" w:firstLineChars="200"/>
        <w:jc w:val="left"/>
        <w:rPr>
          <w:rFonts w:ascii="宋体" w:hAnsi="宋体" w:eastAsia="宋体" w:cs="Times New Roman"/>
          <w:color w:val="auto"/>
          <w:szCs w:val="21"/>
        </w:rPr>
      </w:pPr>
      <w:r>
        <w:rPr>
          <w:rFonts w:hint="eastAsia" w:ascii="宋体" w:hAnsi="宋体" w:eastAsia="宋体" w:cs="Times New Roman"/>
          <w:color w:val="auto"/>
          <w:szCs w:val="21"/>
        </w:rPr>
        <w:t>初等数论课程思政目标旨在将数学知识与价值引领深度融合。通过讲解中国古代数论成就，如《九章算术》《孙子算经》等典籍中的数学智慧，增强学生文化自信与民族自豪感；剖析费马大定理、哥德巴赫猜想等世界难题的探索历程，引导学生感悟数学家追求真理、勇于探索的科学精神，培养严谨治学态度与创新思维；结合数论在密码学等领域的应用，让学生认识数学对国家科技安全的重要性，激发其为国家科技发展贡献力量的责任感，实现知识传授、能力培养与价值塑造的有机统一。</w:t>
      </w:r>
    </w:p>
    <w:p w14:paraId="4DF24AA2">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2722"/>
        <w:gridCol w:w="2098"/>
        <w:gridCol w:w="438"/>
      </w:tblGrid>
      <w:tr w14:paraId="2243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3261845">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w:t>
            </w:r>
          </w:p>
          <w:p w14:paraId="477DECBA">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单元</w:t>
            </w:r>
          </w:p>
        </w:tc>
        <w:tc>
          <w:tcPr>
            <w:tcW w:w="1701" w:type="dxa"/>
            <w:vAlign w:val="center"/>
          </w:tcPr>
          <w:p w14:paraId="44EF775C">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知识点</w:t>
            </w:r>
          </w:p>
        </w:tc>
        <w:tc>
          <w:tcPr>
            <w:tcW w:w="1134" w:type="dxa"/>
            <w:vAlign w:val="center"/>
          </w:tcPr>
          <w:p w14:paraId="31C2CB75">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对应</w:t>
            </w:r>
          </w:p>
          <w:p w14:paraId="1904027A">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课程目标</w:t>
            </w:r>
          </w:p>
        </w:tc>
        <w:tc>
          <w:tcPr>
            <w:tcW w:w="2722" w:type="dxa"/>
            <w:vAlign w:val="center"/>
          </w:tcPr>
          <w:p w14:paraId="49DFB3EC">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预期学习成效</w:t>
            </w:r>
          </w:p>
        </w:tc>
        <w:tc>
          <w:tcPr>
            <w:tcW w:w="2098" w:type="dxa"/>
            <w:vAlign w:val="center"/>
          </w:tcPr>
          <w:p w14:paraId="26064804">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实现环节</w:t>
            </w:r>
          </w:p>
        </w:tc>
        <w:tc>
          <w:tcPr>
            <w:tcW w:w="438" w:type="dxa"/>
            <w:vAlign w:val="center"/>
          </w:tcPr>
          <w:p w14:paraId="5A058EC7">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学时</w:t>
            </w:r>
          </w:p>
        </w:tc>
      </w:tr>
      <w:tr w14:paraId="4D7EC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BE7C60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1.整数的整除性</w:t>
            </w:r>
          </w:p>
        </w:tc>
        <w:tc>
          <w:tcPr>
            <w:tcW w:w="1701" w:type="dxa"/>
            <w:vAlign w:val="center"/>
          </w:tcPr>
          <w:p w14:paraId="55A48A3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（1）整除的整除理论</w:t>
            </w:r>
          </w:p>
          <w:p w14:paraId="2456C54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（2）质数与合数</w:t>
            </w:r>
          </w:p>
          <w:p w14:paraId="2FDC281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（3）最大公约数与最小公倍数</w:t>
            </w:r>
          </w:p>
          <w:p w14:paraId="2BF9C8C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（4）算术基本定理</w:t>
            </w:r>
          </w:p>
          <w:p w14:paraId="2898416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（5）数的进位制</w:t>
            </w:r>
          </w:p>
          <w:p w14:paraId="7411CE5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（6）高斯函数</w:t>
            </w:r>
          </w:p>
        </w:tc>
        <w:tc>
          <w:tcPr>
            <w:tcW w:w="1134" w:type="dxa"/>
            <w:vAlign w:val="center"/>
          </w:tcPr>
          <w:p w14:paraId="6A264CE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722" w:type="dxa"/>
            <w:vAlign w:val="center"/>
          </w:tcPr>
          <w:p w14:paraId="5A611DA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1.能够理解连分数的概念</w:t>
            </w:r>
          </w:p>
          <w:p w14:paraId="5ABB3A1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2.能够掌握有限连分数与有理数</w:t>
            </w:r>
          </w:p>
          <w:p w14:paraId="5BAFE3C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3.能够理解渐进分数</w:t>
            </w:r>
          </w:p>
          <w:p w14:paraId="05C1892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4.能够掌握无限连分数</w:t>
            </w:r>
          </w:p>
          <w:p w14:paraId="6CB78AC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5.能够理解循环连分数</w:t>
            </w:r>
          </w:p>
          <w:p w14:paraId="5854374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6.能够掌握无理数与无限连分数</w:t>
            </w:r>
          </w:p>
          <w:p w14:paraId="31D8AAB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7.能够了解连分数的应用</w:t>
            </w:r>
          </w:p>
        </w:tc>
        <w:tc>
          <w:tcPr>
            <w:tcW w:w="2098" w:type="dxa"/>
            <w:vAlign w:val="center"/>
          </w:tcPr>
          <w:p w14:paraId="601A93E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1.启发式互动讲授结合多媒体辅助</w:t>
            </w:r>
          </w:p>
          <w:p w14:paraId="76A9328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2.适当课堂练习</w:t>
            </w:r>
          </w:p>
          <w:p w14:paraId="5404399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3.及时了解学生的作业状况并对共同的问题作及时解答</w:t>
            </w:r>
          </w:p>
          <w:p w14:paraId="41211EF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4.安排好课后答疑</w:t>
            </w:r>
          </w:p>
        </w:tc>
        <w:tc>
          <w:tcPr>
            <w:tcW w:w="438" w:type="dxa"/>
            <w:vAlign w:val="center"/>
          </w:tcPr>
          <w:p w14:paraId="2EAD6815">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18</w:t>
            </w:r>
          </w:p>
        </w:tc>
      </w:tr>
      <w:tr w14:paraId="73FD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3BCD803">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4EB795E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注重理论联系实际，尊重客观规律，树立社会主义核心价值观，增强专业素养，强调理论对实践的指导意义。</w:t>
            </w:r>
          </w:p>
        </w:tc>
      </w:tr>
      <w:tr w14:paraId="58D7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F581E6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2.同余与同余方程</w:t>
            </w:r>
          </w:p>
        </w:tc>
        <w:tc>
          <w:tcPr>
            <w:tcW w:w="1701" w:type="dxa"/>
            <w:vAlign w:val="center"/>
          </w:tcPr>
          <w:p w14:paraId="529344F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（1）同余的概念与性质</w:t>
            </w:r>
          </w:p>
          <w:p w14:paraId="76CA632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（2）剩余类与剩余系</w:t>
            </w:r>
          </w:p>
          <w:p w14:paraId="4D4A55F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（3）欧拉定理</w:t>
            </w:r>
          </w:p>
          <w:p w14:paraId="37D192C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（4）循环小数</w:t>
            </w:r>
          </w:p>
          <w:p w14:paraId="7DF84A7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（5）一次同余方程（组）</w:t>
            </w:r>
          </w:p>
        </w:tc>
        <w:tc>
          <w:tcPr>
            <w:tcW w:w="1134" w:type="dxa"/>
            <w:vAlign w:val="center"/>
          </w:tcPr>
          <w:p w14:paraId="394D61DE">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tc>
        <w:tc>
          <w:tcPr>
            <w:tcW w:w="2722" w:type="dxa"/>
            <w:vAlign w:val="center"/>
          </w:tcPr>
          <w:p w14:paraId="68B042C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1.能够理解同余的概念与性质</w:t>
            </w:r>
          </w:p>
          <w:p w14:paraId="4CFE06C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2.能够掌握剩余类与剩余系</w:t>
            </w:r>
          </w:p>
          <w:p w14:paraId="48562B1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3.能够理解欧拉定理</w:t>
            </w:r>
          </w:p>
          <w:p w14:paraId="2CC04A2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4.能够理解循环小数</w:t>
            </w:r>
          </w:p>
          <w:p w14:paraId="67E8AAF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5.能够理解一次同余方程（组）</w:t>
            </w:r>
          </w:p>
        </w:tc>
        <w:tc>
          <w:tcPr>
            <w:tcW w:w="2098" w:type="dxa"/>
            <w:vAlign w:val="center"/>
          </w:tcPr>
          <w:p w14:paraId="63F4349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1.启发式互动讲授结合多媒体辅助</w:t>
            </w:r>
          </w:p>
          <w:p w14:paraId="2A92D47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2.适当课堂练习</w:t>
            </w:r>
          </w:p>
          <w:p w14:paraId="5DEE590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3.及时了解学生的作业状况并对共同的问题作及时解答</w:t>
            </w:r>
          </w:p>
          <w:p w14:paraId="1BDA8CC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4.安排好课后答疑</w:t>
            </w:r>
          </w:p>
        </w:tc>
        <w:tc>
          <w:tcPr>
            <w:tcW w:w="438" w:type="dxa"/>
            <w:vAlign w:val="center"/>
          </w:tcPr>
          <w:p w14:paraId="2A56A3D4">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18</w:t>
            </w:r>
          </w:p>
        </w:tc>
      </w:tr>
      <w:tr w14:paraId="4A6C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75730B7">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16F4DA7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注重理论联系实际，尊重客观规律，树立社会主义核心价值观，增强专业素养，强调理论对实践的指导意义。</w:t>
            </w:r>
          </w:p>
        </w:tc>
      </w:tr>
      <w:tr w14:paraId="53A0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8539C8E">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3.不定方程</w:t>
            </w:r>
          </w:p>
        </w:tc>
        <w:tc>
          <w:tcPr>
            <w:tcW w:w="1701" w:type="dxa"/>
            <w:vAlign w:val="center"/>
          </w:tcPr>
          <w:p w14:paraId="4AA9DCE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（1）能二元一次不定方程</w:t>
            </w:r>
          </w:p>
          <w:p w14:paraId="718DA57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（2）多元一次不定方程</w:t>
            </w:r>
          </w:p>
          <w:p w14:paraId="6212EFD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（3）一次不定方程组</w:t>
            </w:r>
          </w:p>
          <w:p w14:paraId="0B8740B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（4）商高不定方程</w:t>
            </w:r>
          </w:p>
          <w:p w14:paraId="5ECA051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（5）特殊的高次不定方程</w:t>
            </w:r>
          </w:p>
        </w:tc>
        <w:tc>
          <w:tcPr>
            <w:tcW w:w="1134" w:type="dxa"/>
            <w:vAlign w:val="center"/>
          </w:tcPr>
          <w:p w14:paraId="0731488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tc>
        <w:tc>
          <w:tcPr>
            <w:tcW w:w="2722" w:type="dxa"/>
            <w:vAlign w:val="center"/>
          </w:tcPr>
          <w:p w14:paraId="08B907D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1.能够掌握二元一次不定方程</w:t>
            </w:r>
          </w:p>
          <w:p w14:paraId="3D6F7D6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2.能够掌握多元一次不定方程</w:t>
            </w:r>
          </w:p>
          <w:p w14:paraId="792BBE1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3.能够掌握一次不定方程组</w:t>
            </w:r>
          </w:p>
          <w:p w14:paraId="1E29B15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4.能够了解商高不定方程</w:t>
            </w:r>
          </w:p>
          <w:p w14:paraId="4083FBE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5.能够了解特殊的高次不定方程</w:t>
            </w:r>
          </w:p>
        </w:tc>
        <w:tc>
          <w:tcPr>
            <w:tcW w:w="2098" w:type="dxa"/>
            <w:vAlign w:val="center"/>
          </w:tcPr>
          <w:p w14:paraId="22632BA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1.启发式互动讲授结合多媒体辅助</w:t>
            </w:r>
          </w:p>
          <w:p w14:paraId="518E66A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2.适当课堂练习</w:t>
            </w:r>
          </w:p>
          <w:p w14:paraId="5F041AD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3.及时了解学生的作业状况并对共同的问题作及时解答</w:t>
            </w:r>
          </w:p>
          <w:p w14:paraId="3B86503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4.安排好课后答疑</w:t>
            </w:r>
          </w:p>
        </w:tc>
        <w:tc>
          <w:tcPr>
            <w:tcW w:w="438" w:type="dxa"/>
            <w:vAlign w:val="center"/>
          </w:tcPr>
          <w:p w14:paraId="2AC145D3">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w:t>
            </w:r>
          </w:p>
        </w:tc>
      </w:tr>
      <w:tr w14:paraId="3EA5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BA8B36B">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21F7E8A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注重理论联系实际，尊重客观规律，树立社会主义核心价值观，增强专业素养，强调理论对实践的指导意义。</w:t>
            </w:r>
          </w:p>
        </w:tc>
      </w:tr>
      <w:tr w14:paraId="0DE5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DF6A04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4.简单连分数</w:t>
            </w:r>
          </w:p>
        </w:tc>
        <w:tc>
          <w:tcPr>
            <w:tcW w:w="1701" w:type="dxa"/>
            <w:vAlign w:val="center"/>
          </w:tcPr>
          <w:p w14:paraId="2970995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（1）连分数的概念</w:t>
            </w:r>
          </w:p>
          <w:p w14:paraId="5FB68F4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（2）有限连分数与有理数</w:t>
            </w:r>
          </w:p>
          <w:p w14:paraId="79A3118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（3）渐进分数</w:t>
            </w:r>
          </w:p>
          <w:p w14:paraId="7FE50CA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（4）无限连分数</w:t>
            </w:r>
          </w:p>
          <w:p w14:paraId="1122AEE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（5）循环连分数</w:t>
            </w:r>
          </w:p>
          <w:p w14:paraId="7A9C4D6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（6）无理数与无限连分数</w:t>
            </w:r>
          </w:p>
          <w:p w14:paraId="5952237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（7）连分数的应用</w:t>
            </w:r>
          </w:p>
        </w:tc>
        <w:tc>
          <w:tcPr>
            <w:tcW w:w="1134" w:type="dxa"/>
            <w:vAlign w:val="center"/>
          </w:tcPr>
          <w:p w14:paraId="3F2744C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722" w:type="dxa"/>
            <w:vAlign w:val="center"/>
          </w:tcPr>
          <w:p w14:paraId="60874BA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1.能够理解连分数的概念</w:t>
            </w:r>
          </w:p>
          <w:p w14:paraId="416D538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2.能够掌握有限连分数与有理数</w:t>
            </w:r>
          </w:p>
          <w:p w14:paraId="1A2B2FE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3.能够理解渐进分数</w:t>
            </w:r>
          </w:p>
          <w:p w14:paraId="05DA599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4.能够掌握无限连分数</w:t>
            </w:r>
          </w:p>
          <w:p w14:paraId="24AAA13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5.能够理解循环连分数</w:t>
            </w:r>
          </w:p>
          <w:p w14:paraId="40F75B6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6.能够掌握无理数与无限连分数</w:t>
            </w:r>
          </w:p>
          <w:p w14:paraId="6C7B310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7.能够了解连分数的应用</w:t>
            </w:r>
          </w:p>
        </w:tc>
        <w:tc>
          <w:tcPr>
            <w:tcW w:w="2098" w:type="dxa"/>
            <w:vAlign w:val="center"/>
          </w:tcPr>
          <w:p w14:paraId="4D14978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1.启发式互动讲授结合多媒体辅助</w:t>
            </w:r>
          </w:p>
          <w:p w14:paraId="2A05387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2.适当课堂练习</w:t>
            </w:r>
          </w:p>
          <w:p w14:paraId="2553BF5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3.及时了解学生的作业状况并对共同的问题作及时解答</w:t>
            </w:r>
          </w:p>
          <w:p w14:paraId="18E12AF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4.安排好课后答疑</w:t>
            </w:r>
          </w:p>
        </w:tc>
        <w:tc>
          <w:tcPr>
            <w:tcW w:w="438" w:type="dxa"/>
            <w:vAlign w:val="center"/>
          </w:tcPr>
          <w:p w14:paraId="113A8AA5">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w:t>
            </w:r>
          </w:p>
        </w:tc>
      </w:tr>
      <w:tr w14:paraId="7E8E0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CC13644">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5B4B9B3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注重理论联系实际，尊重客观规律，树立社会主义核心价值观，增强专业素养，强调理论对实践的指导意义；实现知识转化，树立正确的教师观、学生观，并热爱教师职业、热爱学生，培养良好的师生关系。</w:t>
            </w:r>
          </w:p>
        </w:tc>
      </w:tr>
    </w:tbl>
    <w:p w14:paraId="523D228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四、目标评价与成绩评定</w:t>
      </w:r>
    </w:p>
    <w:p w14:paraId="0E6280DE">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73F686BB">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661"/>
        <w:gridCol w:w="1297"/>
        <w:gridCol w:w="1317"/>
        <w:gridCol w:w="1497"/>
        <w:gridCol w:w="1843"/>
      </w:tblGrid>
      <w:tr w14:paraId="27B1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188B26C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5772" w:type="dxa"/>
            <w:gridSpan w:val="4"/>
            <w:vAlign w:val="center"/>
          </w:tcPr>
          <w:p w14:paraId="2D5A8BA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843" w:type="dxa"/>
            <w:vMerge w:val="restart"/>
            <w:vAlign w:val="center"/>
          </w:tcPr>
          <w:p w14:paraId="05ABB7A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11EC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08DF8DB">
            <w:pPr>
              <w:spacing w:line="360" w:lineRule="auto"/>
              <w:jc w:val="center"/>
              <w:rPr>
                <w:rFonts w:hint="eastAsia" w:ascii="宋体" w:hAnsi="宋体" w:eastAsia="宋体" w:cs="Times New Roman"/>
                <w:color w:val="auto"/>
                <w:szCs w:val="21"/>
              </w:rPr>
            </w:pPr>
          </w:p>
        </w:tc>
        <w:tc>
          <w:tcPr>
            <w:tcW w:w="1661" w:type="dxa"/>
            <w:vAlign w:val="center"/>
          </w:tcPr>
          <w:p w14:paraId="1190E2F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出勤情况</w:t>
            </w:r>
          </w:p>
        </w:tc>
        <w:tc>
          <w:tcPr>
            <w:tcW w:w="1297" w:type="dxa"/>
            <w:vAlign w:val="center"/>
          </w:tcPr>
          <w:p w14:paraId="7E5F1B4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师生互动</w:t>
            </w:r>
          </w:p>
        </w:tc>
        <w:tc>
          <w:tcPr>
            <w:tcW w:w="1317" w:type="dxa"/>
            <w:vAlign w:val="center"/>
          </w:tcPr>
          <w:p w14:paraId="21A669E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1497" w:type="dxa"/>
            <w:vAlign w:val="center"/>
          </w:tcPr>
          <w:p w14:paraId="083AA21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1843" w:type="dxa"/>
            <w:vMerge w:val="continue"/>
            <w:vAlign w:val="center"/>
          </w:tcPr>
          <w:p w14:paraId="4C69CD0F">
            <w:pPr>
              <w:spacing w:line="360" w:lineRule="auto"/>
              <w:jc w:val="center"/>
              <w:rPr>
                <w:rFonts w:hint="eastAsia" w:ascii="宋体" w:hAnsi="宋体" w:eastAsia="宋体" w:cs="Times New Roman"/>
                <w:color w:val="auto"/>
                <w:szCs w:val="21"/>
              </w:rPr>
            </w:pPr>
          </w:p>
        </w:tc>
      </w:tr>
      <w:tr w14:paraId="0083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D6F9EA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课程目标1-3</w:t>
            </w:r>
          </w:p>
        </w:tc>
        <w:tc>
          <w:tcPr>
            <w:tcW w:w="1661" w:type="dxa"/>
            <w:vAlign w:val="center"/>
          </w:tcPr>
          <w:p w14:paraId="7E25BE2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97" w:type="dxa"/>
            <w:vAlign w:val="center"/>
          </w:tcPr>
          <w:p w14:paraId="08FC264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317" w:type="dxa"/>
            <w:vAlign w:val="center"/>
          </w:tcPr>
          <w:p w14:paraId="4C55121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97" w:type="dxa"/>
            <w:vAlign w:val="center"/>
          </w:tcPr>
          <w:p w14:paraId="76A3BAD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843" w:type="dxa"/>
            <w:vAlign w:val="center"/>
          </w:tcPr>
          <w:p w14:paraId="0243DD0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50</w:t>
            </w:r>
          </w:p>
        </w:tc>
      </w:tr>
      <w:tr w14:paraId="06F4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622007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课程目标1-5</w:t>
            </w:r>
          </w:p>
        </w:tc>
        <w:tc>
          <w:tcPr>
            <w:tcW w:w="1661" w:type="dxa"/>
            <w:vAlign w:val="center"/>
          </w:tcPr>
          <w:p w14:paraId="7177BAB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97" w:type="dxa"/>
            <w:vAlign w:val="center"/>
          </w:tcPr>
          <w:p w14:paraId="1943237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317" w:type="dxa"/>
            <w:vAlign w:val="center"/>
          </w:tcPr>
          <w:p w14:paraId="3FB4B1E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97" w:type="dxa"/>
            <w:vAlign w:val="center"/>
          </w:tcPr>
          <w:p w14:paraId="12198F5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843" w:type="dxa"/>
            <w:vAlign w:val="center"/>
          </w:tcPr>
          <w:p w14:paraId="799C945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50</w:t>
            </w:r>
          </w:p>
        </w:tc>
      </w:tr>
      <w:tr w14:paraId="2D7C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6C042D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661" w:type="dxa"/>
            <w:vAlign w:val="center"/>
          </w:tcPr>
          <w:p w14:paraId="78D028FC">
            <w:pPr>
              <w:spacing w:line="360" w:lineRule="auto"/>
              <w:jc w:val="center"/>
              <w:rPr>
                <w:rFonts w:hint="eastAsia" w:ascii="宋体" w:hAnsi="宋体" w:eastAsia="宋体" w:cs="Times New Roman"/>
                <w:color w:val="auto"/>
                <w:szCs w:val="21"/>
              </w:rPr>
            </w:pPr>
          </w:p>
        </w:tc>
        <w:tc>
          <w:tcPr>
            <w:tcW w:w="1297" w:type="dxa"/>
            <w:vAlign w:val="center"/>
          </w:tcPr>
          <w:p w14:paraId="64C13C50">
            <w:pPr>
              <w:spacing w:line="360" w:lineRule="auto"/>
              <w:jc w:val="center"/>
              <w:rPr>
                <w:rFonts w:hint="eastAsia" w:ascii="宋体" w:hAnsi="宋体" w:eastAsia="宋体" w:cs="Times New Roman"/>
                <w:color w:val="auto"/>
                <w:szCs w:val="21"/>
              </w:rPr>
            </w:pPr>
          </w:p>
        </w:tc>
        <w:tc>
          <w:tcPr>
            <w:tcW w:w="1317" w:type="dxa"/>
            <w:vAlign w:val="center"/>
          </w:tcPr>
          <w:p w14:paraId="6433B123">
            <w:pPr>
              <w:spacing w:line="360" w:lineRule="auto"/>
              <w:jc w:val="center"/>
              <w:rPr>
                <w:rFonts w:hint="eastAsia" w:ascii="宋体" w:hAnsi="宋体" w:eastAsia="宋体" w:cs="Times New Roman"/>
                <w:color w:val="auto"/>
                <w:szCs w:val="21"/>
              </w:rPr>
            </w:pPr>
          </w:p>
        </w:tc>
        <w:tc>
          <w:tcPr>
            <w:tcW w:w="1497" w:type="dxa"/>
            <w:vAlign w:val="center"/>
          </w:tcPr>
          <w:p w14:paraId="2E1F7105">
            <w:pPr>
              <w:spacing w:line="360" w:lineRule="auto"/>
              <w:jc w:val="center"/>
              <w:rPr>
                <w:rFonts w:hint="eastAsia" w:ascii="宋体" w:hAnsi="宋体" w:eastAsia="宋体" w:cs="Times New Roman"/>
                <w:color w:val="auto"/>
                <w:szCs w:val="21"/>
              </w:rPr>
            </w:pPr>
          </w:p>
        </w:tc>
        <w:tc>
          <w:tcPr>
            <w:tcW w:w="1843" w:type="dxa"/>
            <w:vAlign w:val="center"/>
          </w:tcPr>
          <w:p w14:paraId="073F967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18C71666">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28B31116">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6639"/>
        <w:gridCol w:w="1134"/>
      </w:tblGrid>
      <w:tr w14:paraId="4843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14:paraId="29942ABF">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639" w:type="dxa"/>
            <w:vAlign w:val="center"/>
          </w:tcPr>
          <w:p w14:paraId="3438AD7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1134" w:type="dxa"/>
            <w:vAlign w:val="center"/>
          </w:tcPr>
          <w:p w14:paraId="7D62898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6700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14:paraId="57828E7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出勤情况</w:t>
            </w:r>
          </w:p>
        </w:tc>
        <w:tc>
          <w:tcPr>
            <w:tcW w:w="6639" w:type="dxa"/>
            <w:vAlign w:val="center"/>
          </w:tcPr>
          <w:p w14:paraId="46A19306">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课堂不定期点名，考核出勤情况并打分。</w:t>
            </w:r>
          </w:p>
        </w:tc>
        <w:tc>
          <w:tcPr>
            <w:tcW w:w="1134" w:type="dxa"/>
            <w:vAlign w:val="center"/>
          </w:tcPr>
          <w:p w14:paraId="3F9234C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6037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14:paraId="1EBAFCA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师生互动</w:t>
            </w:r>
          </w:p>
        </w:tc>
        <w:tc>
          <w:tcPr>
            <w:tcW w:w="6639" w:type="dxa"/>
            <w:vAlign w:val="center"/>
          </w:tcPr>
          <w:p w14:paraId="067C8C03">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课堂不定期通过提问或小练习实施师生互动，考核考核学生课堂学习情况，按照互动情况打分。</w:t>
            </w:r>
          </w:p>
        </w:tc>
        <w:tc>
          <w:tcPr>
            <w:tcW w:w="1134" w:type="dxa"/>
            <w:vAlign w:val="center"/>
          </w:tcPr>
          <w:p w14:paraId="7313F8A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5A30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14:paraId="5950044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6639" w:type="dxa"/>
            <w:vAlign w:val="center"/>
          </w:tcPr>
          <w:p w14:paraId="6DC1F568">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定期布置习题，考核学生对所学知识点的复习、理解和掌握度。对作业完成情况做记录并百分制打分，计算作业的平均成绩。</w:t>
            </w:r>
          </w:p>
        </w:tc>
        <w:tc>
          <w:tcPr>
            <w:tcW w:w="1134" w:type="dxa"/>
            <w:vAlign w:val="center"/>
          </w:tcPr>
          <w:p w14:paraId="44F0852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w:t>
            </w:r>
          </w:p>
        </w:tc>
      </w:tr>
      <w:tr w14:paraId="31CF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14:paraId="22C392A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6639" w:type="dxa"/>
            <w:vAlign w:val="center"/>
          </w:tcPr>
          <w:p w14:paraId="43DCE828">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试卷题型包括选择题、计算题、解答题等。</w:t>
            </w:r>
          </w:p>
        </w:tc>
        <w:tc>
          <w:tcPr>
            <w:tcW w:w="1134" w:type="dxa"/>
            <w:vAlign w:val="center"/>
          </w:tcPr>
          <w:p w14:paraId="0CC30CD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4919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66" w:type="dxa"/>
            <w:vAlign w:val="center"/>
          </w:tcPr>
          <w:p w14:paraId="7E0624FF">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6639" w:type="dxa"/>
            <w:vAlign w:val="center"/>
          </w:tcPr>
          <w:p w14:paraId="4CC65088">
            <w:pPr>
              <w:jc w:val="left"/>
              <w:rPr>
                <w:rFonts w:ascii="Times New Roman" w:hAnsi="Times New Roman" w:eastAsia="宋体" w:cs="Times New Roman"/>
                <w:color w:val="auto"/>
                <w:szCs w:val="21"/>
              </w:rPr>
            </w:pPr>
          </w:p>
        </w:tc>
        <w:tc>
          <w:tcPr>
            <w:tcW w:w="1134" w:type="dxa"/>
            <w:vAlign w:val="center"/>
          </w:tcPr>
          <w:p w14:paraId="6F0C620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6CA7E33F">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7FC5E936">
      <w:pPr>
        <w:spacing w:line="360" w:lineRule="auto"/>
        <w:ind w:firstLine="411" w:firstLineChars="196"/>
        <w:jc w:val="left"/>
        <w:rPr>
          <w:rFonts w:hint="eastAsia" w:ascii="宋体" w:hAnsi="宋体" w:eastAsia="宋体" w:cs="Times New Roman"/>
          <w:color w:val="auto"/>
          <w:szCs w:val="21"/>
        </w:rPr>
      </w:pPr>
      <w:r>
        <w:rPr>
          <w:rFonts w:ascii="宋体" w:hAnsi="宋体" w:eastAsia="宋体" w:cs="Times New Roman"/>
          <w:color w:val="auto"/>
          <w:szCs w:val="21"/>
        </w:rPr>
        <w:t>每门课程目标总体达成度计算方法如下：</w:t>
      </w:r>
    </w:p>
    <w:p w14:paraId="6690AA3C">
      <w:pPr>
        <w:spacing w:before="156" w:beforeLines="50"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object>
          <v:shape id="_x0000_i1062" o:spt="75" type="#_x0000_t75" style="height:25pt;width:404.5pt;" o:ole="t" filled="f" o:preferrelative="t" stroked="f" coordsize="21600,21600">
            <v:path/>
            <v:fill on="f" focussize="0,0"/>
            <v:stroke on="f" joinstyle="miter"/>
            <v:imagedata r:id="rId10" o:title=""/>
            <o:lock v:ext="edit" aspectratio="t"/>
            <w10:wrap type="none"/>
            <w10:anchorlock/>
          </v:shape>
          <o:OLEObject Type="Embed" ProgID="Equation.3" ShapeID="_x0000_i1062" DrawAspect="Content" ObjectID="_1468075761" r:id="rId48">
            <o:LockedField>false</o:LockedField>
          </o:OLEObject>
        </w:object>
      </w:r>
    </w:p>
    <w:p w14:paraId="56DFB61C">
      <w:pPr>
        <w:spacing w:line="360" w:lineRule="auto"/>
        <w:ind w:firstLine="482" w:firstLineChars="200"/>
        <w:jc w:val="left"/>
        <w:rPr>
          <w:rFonts w:ascii="Times New Roman" w:hAnsi="Times New Roman" w:eastAsia="宋体" w:cs="Times New Roman"/>
          <w:b/>
          <w:bCs/>
          <w:color w:val="auto"/>
          <w:sz w:val="24"/>
          <w:szCs w:val="24"/>
        </w:rPr>
      </w:pPr>
      <w:r>
        <w:rPr>
          <w:rFonts w:hint="eastAsia" w:ascii="宋体" w:hAnsi="宋体" w:eastAsia="宋体" w:cs="Times New Roman"/>
          <w:b/>
          <w:color w:val="auto"/>
          <w:sz w:val="24"/>
          <w:szCs w:val="24"/>
        </w:rPr>
        <w:t>五、有关说明</w:t>
      </w:r>
    </w:p>
    <w:p w14:paraId="5F5A22BE">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1FF3B34F">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1. 提倡改革教学方法，强调应用现代化教学手段，如课件、互联网视频教学和网络答疑等。</w:t>
      </w:r>
    </w:p>
    <w:p w14:paraId="6332A0D5">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2.合理安排教学课时，加强课堂提问、课堂小测验等旨在督促学生自主学习的教学环节；引导学生做好课前预习、课后整理笔记并及时完成作业的复习工作；保证学生完成一定数量的作业和习题。</w:t>
      </w:r>
    </w:p>
    <w:p w14:paraId="285101FE">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3．教学用的例题和习题，应适当结合实际。</w:t>
      </w:r>
    </w:p>
    <w:p w14:paraId="46C6355B">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3CF9B3DC">
      <w:pPr>
        <w:spacing w:line="336"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《初等数论》，闵嗣鹤，严士健编，高等教育出版社，2020.5</w:t>
      </w:r>
    </w:p>
    <w:p w14:paraId="5275C38E">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0ADC071D">
      <w:pPr>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 王进明   初等数论 北京：人民教育出版社</w:t>
      </w:r>
    </w:p>
    <w:p w14:paraId="3609A5EC">
      <w:pPr>
        <w:spacing w:line="360" w:lineRule="auto"/>
        <w:ind w:firstLine="420" w:firstLineChars="200"/>
        <w:rPr>
          <w:rFonts w:hint="eastAsia"/>
          <w:color w:val="auto"/>
        </w:rPr>
      </w:pPr>
      <w:r>
        <w:rPr>
          <w:rFonts w:hint="eastAsia" w:ascii="Times New Roman" w:hAnsi="Times New Roman" w:eastAsia="宋体" w:cs="Times New Roman"/>
          <w:bCs/>
          <w:color w:val="auto"/>
          <w:szCs w:val="21"/>
        </w:rPr>
        <w:t>2. 潘承洞等 初等数论 北京：北京大学出版社</w:t>
      </w:r>
    </w:p>
    <w:p w14:paraId="4325965A">
      <w:pPr>
        <w:keepNext w:val="0"/>
        <w:keepLines w:val="0"/>
        <w:pageBreakBefore w:val="0"/>
        <w:widowControl w:val="0"/>
        <w:kinsoku/>
        <w:wordWrap/>
        <w:overflowPunct/>
        <w:topLinePunct w:val="0"/>
        <w:autoSpaceDE/>
        <w:autoSpaceDN/>
        <w:bidi w:val="0"/>
        <w:adjustRightInd/>
        <w:snapToGrid/>
        <w:spacing w:line="360" w:lineRule="auto"/>
        <w:ind w:right="0" w:firstLine="3780" w:firstLineChars="180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执 笔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傅</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蕾</w:t>
      </w:r>
    </w:p>
    <w:p w14:paraId="1405C939">
      <w:pPr>
        <w:keepNext w:val="0"/>
        <w:keepLines w:val="0"/>
        <w:pageBreakBefore w:val="0"/>
        <w:widowControl w:val="0"/>
        <w:kinsoku/>
        <w:wordWrap/>
        <w:overflowPunct/>
        <w:topLinePunct w:val="0"/>
        <w:autoSpaceDE/>
        <w:autoSpaceDN/>
        <w:bidi w:val="0"/>
        <w:adjustRightInd/>
        <w:snapToGrid/>
        <w:spacing w:line="360"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审 定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王</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健</w:t>
      </w:r>
    </w:p>
    <w:p w14:paraId="3D0550F8">
      <w:pPr>
        <w:keepNext w:val="0"/>
        <w:keepLines w:val="0"/>
        <w:pageBreakBefore w:val="0"/>
        <w:widowControl w:val="0"/>
        <w:kinsoku/>
        <w:wordWrap/>
        <w:overflowPunct/>
        <w:topLinePunct w:val="0"/>
        <w:autoSpaceDE/>
        <w:autoSpaceDN/>
        <w:bidi w:val="0"/>
        <w:adjustRightInd/>
        <w:snapToGrid/>
        <w:spacing w:line="360"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 批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张志欣</w:t>
      </w:r>
    </w:p>
    <w:p w14:paraId="0572FE7D">
      <w:pPr>
        <w:keepNext w:val="0"/>
        <w:keepLines w:val="0"/>
        <w:pageBreakBefore w:val="0"/>
        <w:widowControl w:val="0"/>
        <w:kinsoku/>
        <w:wordWrap/>
        <w:overflowPunct/>
        <w:topLinePunct w:val="0"/>
        <w:autoSpaceDE/>
        <w:autoSpaceDN/>
        <w:bidi w:val="0"/>
        <w:adjustRightInd/>
        <w:snapToGrid/>
        <w:spacing w:line="360" w:lineRule="auto"/>
        <w:ind w:right="0"/>
        <w:jc w:val="right"/>
        <w:textAlignment w:val="auto"/>
        <w:rPr>
          <w:rFonts w:hint="eastAsia" w:ascii="等线" w:hAnsi="等线" w:eastAsia="等线" w:cs="等线"/>
          <w:b/>
          <w:bCs/>
          <w:color w:val="auto"/>
          <w:sz w:val="44"/>
          <w:szCs w:val="44"/>
          <w:lang w:eastAsia="zh-CN"/>
        </w:rPr>
      </w:pPr>
      <w:r>
        <w:rPr>
          <w:rFonts w:hint="eastAsia" w:ascii="Times New Roman" w:hAnsi="Times New Roman" w:eastAsia="宋体" w:cs="Times New Roman"/>
          <w:color w:val="auto"/>
          <w:sz w:val="21"/>
          <w:szCs w:val="21"/>
          <w:lang w:eastAsia="zh-CN"/>
        </w:rPr>
        <w:t>批准时间：2025年7月1日</w:t>
      </w:r>
    </w:p>
    <w:p w14:paraId="76B064F5">
      <w:pPr>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681DFC25">
      <w:pPr>
        <w:spacing w:line="360" w:lineRule="auto"/>
        <w:jc w:val="center"/>
        <w:outlineLvl w:val="0"/>
        <w:rPr>
          <w:rFonts w:hint="eastAsia" w:ascii="Times New Roman" w:hAnsi="Times New Roman" w:eastAsia="宋体" w:cs="Times New Roman"/>
          <w:b/>
          <w:color w:val="auto"/>
          <w:sz w:val="44"/>
          <w:szCs w:val="44"/>
        </w:rPr>
      </w:pPr>
      <w:bookmarkStart w:id="381" w:name="_Toc9180"/>
      <w:bookmarkStart w:id="382" w:name="_Toc166165214"/>
      <w:bookmarkStart w:id="383" w:name="_Toc2251"/>
      <w:r>
        <w:rPr>
          <w:rFonts w:hint="eastAsia" w:ascii="Times New Roman" w:hAnsi="Times New Roman" w:eastAsia="宋体" w:cs="Times New Roman"/>
          <w:b/>
          <w:color w:val="auto"/>
          <w:sz w:val="44"/>
          <w:szCs w:val="44"/>
        </w:rPr>
        <w:t>《数学思想方法》课程教学大纲</w:t>
      </w:r>
      <w:bookmarkEnd w:id="381"/>
      <w:bookmarkEnd w:id="382"/>
      <w:bookmarkEnd w:id="383"/>
    </w:p>
    <w:p w14:paraId="615EFC12">
      <w:pPr>
        <w:spacing w:line="312" w:lineRule="auto"/>
        <w:jc w:val="center"/>
        <w:rPr>
          <w:rFonts w:ascii="Times New Roman" w:hAnsi="Times New Roman" w:eastAsia="宋体" w:cs="Times New Roman"/>
          <w:b/>
          <w:bCs/>
          <w:color w:val="auto"/>
          <w:sz w:val="30"/>
        </w:rPr>
      </w:pPr>
      <w:r>
        <w:rPr>
          <w:rFonts w:ascii="Times New Roman" w:hAnsi="Times New Roman" w:eastAsia="宋体" w:cs="Times New Roman"/>
          <w:b/>
          <w:bCs/>
          <w:color w:val="auto"/>
          <w:sz w:val="30"/>
        </w:rPr>
        <w:t>（Mathematical Thinking and Methods）</w:t>
      </w:r>
    </w:p>
    <w:p w14:paraId="5B73F75A">
      <w:pPr>
        <w:spacing w:line="360" w:lineRule="auto"/>
        <w:ind w:firstLine="422" w:firstLineChars="200"/>
        <w:rPr>
          <w:rFonts w:ascii="Times New Roman" w:hAnsi="Times New Roman" w:eastAsia="宋体" w:cs="Times New Roman"/>
          <w:b/>
          <w:bCs/>
          <w:color w:val="auto"/>
          <w:kern w:val="0"/>
          <w:sz w:val="21"/>
          <w:szCs w:val="21"/>
        </w:rPr>
      </w:pPr>
    </w:p>
    <w:p w14:paraId="55D5B6A9">
      <w:pPr>
        <w:spacing w:line="360" w:lineRule="auto"/>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bCs/>
          <w:color w:val="auto"/>
          <w:kern w:val="0"/>
          <w:sz w:val="24"/>
          <w:szCs w:val="24"/>
        </w:rPr>
        <w:t>课程代码</w:t>
      </w:r>
      <w:r>
        <w:rPr>
          <w:rFonts w:ascii="Times New Roman" w:hAnsi="Times New Roman" w:eastAsia="宋体" w:cs="Times New Roman"/>
          <w:b/>
          <w:color w:val="auto"/>
          <w:kern w:val="0"/>
          <w:sz w:val="24"/>
          <w:szCs w:val="24"/>
        </w:rPr>
        <w:t>：</w:t>
      </w:r>
      <w:r>
        <w:rPr>
          <w:rFonts w:ascii="Times New Roman" w:hAnsi="Times New Roman" w:eastAsia="宋体" w:cs="Times New Roman"/>
          <w:color w:val="auto"/>
          <w:sz w:val="24"/>
          <w:szCs w:val="24"/>
        </w:rPr>
        <w:t>0821024</w:t>
      </w:r>
    </w:p>
    <w:p w14:paraId="02CD4F35">
      <w:pPr>
        <w:spacing w:line="360" w:lineRule="auto"/>
        <w:ind w:firstLine="482" w:firstLineChars="200"/>
        <w:rPr>
          <w:rFonts w:ascii="Times New Roman" w:hAnsi="Times New Roman" w:eastAsia="宋体" w:cs="Times New Roman"/>
          <w:b/>
          <w:color w:val="auto"/>
          <w:kern w:val="0"/>
          <w:sz w:val="24"/>
          <w:szCs w:val="24"/>
        </w:rPr>
      </w:pPr>
      <w:r>
        <w:rPr>
          <w:rFonts w:ascii="Times New Roman" w:hAnsi="Times New Roman" w:eastAsia="宋体" w:cs="Times New Roman"/>
          <w:b/>
          <w:bCs/>
          <w:color w:val="auto"/>
          <w:kern w:val="0"/>
          <w:sz w:val="24"/>
          <w:szCs w:val="24"/>
        </w:rPr>
        <w:t>学    分</w:t>
      </w:r>
      <w:r>
        <w:rPr>
          <w:rFonts w:ascii="Times New Roman" w:hAnsi="Times New Roman" w:eastAsia="宋体" w:cs="Times New Roman"/>
          <w:b/>
          <w:color w:val="auto"/>
          <w:kern w:val="0"/>
          <w:sz w:val="24"/>
          <w:szCs w:val="24"/>
        </w:rPr>
        <w:t xml:space="preserve">： </w:t>
      </w:r>
      <w:r>
        <w:rPr>
          <w:rFonts w:ascii="Times New Roman" w:hAnsi="Times New Roman" w:eastAsia="宋体" w:cs="Times New Roman"/>
          <w:color w:val="auto"/>
          <w:kern w:val="0"/>
          <w:sz w:val="24"/>
          <w:szCs w:val="24"/>
        </w:rPr>
        <w:t>2</w:t>
      </w:r>
    </w:p>
    <w:p w14:paraId="1964679E">
      <w:pPr>
        <w:spacing w:line="360" w:lineRule="auto"/>
        <w:ind w:firstLine="482" w:firstLineChars="200"/>
        <w:rPr>
          <w:rFonts w:ascii="Times New Roman" w:hAnsi="Times New Roman" w:eastAsia="宋体" w:cs="Times New Roman"/>
          <w:color w:val="auto"/>
          <w:kern w:val="0"/>
          <w:sz w:val="24"/>
          <w:szCs w:val="24"/>
        </w:rPr>
      </w:pPr>
      <w:r>
        <w:rPr>
          <w:rFonts w:ascii="Times New Roman" w:hAnsi="Times New Roman" w:eastAsia="宋体" w:cs="Times New Roman"/>
          <w:b/>
          <w:bCs/>
          <w:color w:val="auto"/>
          <w:kern w:val="0"/>
          <w:sz w:val="24"/>
          <w:szCs w:val="24"/>
        </w:rPr>
        <w:t>学    时</w:t>
      </w:r>
      <w:r>
        <w:rPr>
          <w:rFonts w:ascii="Times New Roman" w:hAnsi="Times New Roman" w:eastAsia="宋体" w:cs="Times New Roman"/>
          <w:b/>
          <w:color w:val="auto"/>
          <w:kern w:val="0"/>
          <w:sz w:val="24"/>
          <w:szCs w:val="24"/>
        </w:rPr>
        <w:t>：</w:t>
      </w:r>
      <w:r>
        <w:rPr>
          <w:rFonts w:ascii="Times New Roman" w:hAnsi="Times New Roman" w:eastAsia="宋体" w:cs="Times New Roman"/>
          <w:color w:val="auto"/>
          <w:kern w:val="0"/>
          <w:sz w:val="24"/>
          <w:szCs w:val="24"/>
        </w:rPr>
        <w:t>32（其中：讲授学时48， 实验学时0  ，上机学时0）</w:t>
      </w:r>
    </w:p>
    <w:p w14:paraId="3BE7D731">
      <w:pPr>
        <w:spacing w:line="360" w:lineRule="auto"/>
        <w:ind w:firstLine="482" w:firstLineChars="200"/>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先修课程</w:t>
      </w:r>
      <w:r>
        <w:rPr>
          <w:rFonts w:ascii="Times New Roman" w:hAnsi="Times New Roman" w:eastAsia="宋体" w:cs="Times New Roman"/>
          <w:b/>
          <w:color w:val="auto"/>
          <w:kern w:val="0"/>
          <w:sz w:val="24"/>
          <w:szCs w:val="24"/>
        </w:rPr>
        <w:t>：</w:t>
      </w:r>
      <w:r>
        <w:rPr>
          <w:rFonts w:ascii="Times New Roman" w:hAnsi="Times New Roman" w:eastAsia="宋体" w:cs="Times New Roman"/>
          <w:color w:val="auto"/>
          <w:sz w:val="24"/>
          <w:szCs w:val="24"/>
        </w:rPr>
        <w:t>无</w:t>
      </w:r>
    </w:p>
    <w:p w14:paraId="48374585">
      <w:pPr>
        <w:spacing w:line="360" w:lineRule="auto"/>
        <w:ind w:firstLine="482" w:firstLineChars="200"/>
        <w:rPr>
          <w:rFonts w:ascii="Times New Roman" w:hAnsi="Times New Roman" w:eastAsia="宋体" w:cs="Times New Roman"/>
          <w:color w:val="auto"/>
          <w:kern w:val="0"/>
          <w:sz w:val="24"/>
        </w:rPr>
      </w:pPr>
      <w:r>
        <w:rPr>
          <w:rFonts w:ascii="Times New Roman" w:hAnsi="Times New Roman" w:eastAsia="宋体" w:cs="Times New Roman"/>
          <w:b/>
          <w:bCs/>
          <w:color w:val="auto"/>
          <w:kern w:val="0"/>
          <w:sz w:val="24"/>
          <w:szCs w:val="24"/>
        </w:rPr>
        <w:t>适用专业</w:t>
      </w:r>
      <w:r>
        <w:rPr>
          <w:rFonts w:ascii="Times New Roman" w:hAnsi="Times New Roman" w:eastAsia="宋体" w:cs="Times New Roman"/>
          <w:b/>
          <w:color w:val="auto"/>
          <w:kern w:val="0"/>
          <w:sz w:val="24"/>
          <w:szCs w:val="24"/>
        </w:rPr>
        <w:t>：</w:t>
      </w:r>
      <w:r>
        <w:rPr>
          <w:rFonts w:ascii="Times New Roman" w:hAnsi="Times New Roman" w:eastAsia="宋体" w:cs="Times New Roman"/>
          <w:color w:val="auto"/>
          <w:kern w:val="0"/>
          <w:sz w:val="24"/>
          <w:szCs w:val="24"/>
        </w:rPr>
        <w:t xml:space="preserve"> 小学教育（理）专业       </w:t>
      </w:r>
      <w:r>
        <w:rPr>
          <w:rFonts w:ascii="Times New Roman" w:hAnsi="Times New Roman" w:eastAsia="宋体" w:cs="Times New Roman"/>
          <w:color w:val="auto"/>
          <w:kern w:val="0"/>
          <w:sz w:val="24"/>
        </w:rPr>
        <w:t xml:space="preserve">               </w:t>
      </w:r>
    </w:p>
    <w:p w14:paraId="309D77B6">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hint="eastAsia" w:ascii="Times New Roman" w:hAnsi="Times New Roman" w:eastAsia="宋体" w:cs="Times New Roman"/>
          <w:b/>
          <w:bCs/>
          <w:color w:val="auto"/>
          <w:kern w:val="0"/>
          <w:sz w:val="24"/>
          <w:lang w:eastAsia="zh-CN"/>
        </w:rPr>
      </w:pPr>
      <w:r>
        <w:rPr>
          <w:rFonts w:hint="eastAsia" w:ascii="Times New Roman" w:hAnsi="Times New Roman" w:eastAsia="宋体" w:cs="Times New Roman"/>
          <w:b/>
          <w:color w:val="auto"/>
          <w:sz w:val="24"/>
          <w:szCs w:val="24"/>
          <w:lang w:val="en-US" w:eastAsia="zh-CN"/>
        </w:rPr>
        <w:t>一</w:t>
      </w:r>
      <w:r>
        <w:rPr>
          <w:rFonts w:ascii="Times New Roman" w:hAnsi="Times New Roman" w:eastAsia="宋体" w:cs="Times New Roman"/>
          <w:b/>
          <w:color w:val="auto"/>
          <w:sz w:val="24"/>
          <w:szCs w:val="24"/>
        </w:rPr>
        <w:t>、课程</w:t>
      </w:r>
      <w:r>
        <w:rPr>
          <w:rFonts w:hint="eastAsia" w:ascii="Times New Roman" w:hAnsi="Times New Roman" w:eastAsia="宋体" w:cs="Times New Roman"/>
          <w:b/>
          <w:color w:val="auto"/>
          <w:sz w:val="24"/>
          <w:szCs w:val="24"/>
          <w:lang w:val="en-US" w:eastAsia="zh-CN"/>
        </w:rPr>
        <w:t>简介</w:t>
      </w:r>
    </w:p>
    <w:p w14:paraId="14FC178B">
      <w:pPr>
        <w:autoSpaceDE w:val="0"/>
        <w:autoSpaceDN w:val="0"/>
        <w:adjustRightInd w:val="0"/>
        <w:spacing w:line="360" w:lineRule="auto"/>
        <w:ind w:firstLine="420" w:firstLineChars="200"/>
        <w:jc w:val="left"/>
        <w:rPr>
          <w:rFonts w:ascii="Times New Roman" w:hAnsi="Times New Roman" w:eastAsia="宋体" w:cs="Times New Roman"/>
          <w:color w:val="auto"/>
          <w:sz w:val="24"/>
        </w:rPr>
      </w:pPr>
      <w:r>
        <w:rPr>
          <w:rFonts w:ascii="Times New Roman" w:hAnsi="Times New Roman" w:eastAsia="宋体" w:cs="Times New Roman"/>
          <w:color w:val="auto"/>
          <w:kern w:val="0"/>
          <w:sz w:val="21"/>
          <w:szCs w:val="21"/>
        </w:rPr>
        <w:t>本课程是小学教育（理）专业的一门</w:t>
      </w:r>
      <w:r>
        <w:rPr>
          <w:rFonts w:ascii="Times New Roman" w:hAnsi="Times New Roman" w:eastAsia="宋体" w:cs="Times New Roman"/>
          <w:color w:val="auto"/>
          <w:sz w:val="21"/>
          <w:szCs w:val="21"/>
        </w:rPr>
        <w:t>重要基础课。</w:t>
      </w:r>
      <w:r>
        <w:rPr>
          <w:rFonts w:ascii="Times New Roman" w:hAnsi="Times New Roman" w:eastAsia="宋体" w:cs="Times New Roman"/>
          <w:color w:val="auto"/>
          <w:kern w:val="0"/>
          <w:sz w:val="21"/>
          <w:szCs w:val="21"/>
        </w:rPr>
        <w:t>通过本课程的学习，使学生系统地获得数学思想方法的基本知识、必要的基础理论；提高学生的数学视野、数学思维能力、逻辑推理能力；提高学生的数学素养，为学生学习后续相关课程及终身学习奠定必要的数学基础。</w:t>
      </w:r>
    </w:p>
    <w:p w14:paraId="261FF089">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二、课程目标</w:t>
      </w:r>
    </w:p>
    <w:p w14:paraId="325B84B9">
      <w:pPr>
        <w:spacing w:line="348" w:lineRule="auto"/>
        <w:ind w:firstLine="422" w:firstLineChars="200"/>
        <w:rPr>
          <w:rFonts w:ascii="Times New Roman" w:hAnsi="Times New Roman" w:eastAsia="宋体" w:cs="Times New Roman"/>
          <w:color w:val="auto"/>
          <w:sz w:val="21"/>
          <w:szCs w:val="21"/>
        </w:rPr>
      </w:pPr>
      <w:r>
        <w:rPr>
          <w:rFonts w:ascii="Calibri" w:hAnsi="Calibri" w:eastAsia="宋体" w:cs="Times New Roman"/>
          <w:b/>
          <w:color w:val="auto"/>
          <w:sz w:val="21"/>
          <w:szCs w:val="21"/>
        </w:rPr>
        <w:t>（一）课程具体目标</w:t>
      </w:r>
    </w:p>
    <w:p w14:paraId="7BFF7596">
      <w:pPr>
        <w:spacing w:line="360" w:lineRule="auto"/>
        <w:ind w:firstLine="482"/>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目标1. 能够获得课程基本概念与性质</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掌握本课程要求的计算方法。</w:t>
      </w:r>
    </w:p>
    <w:p w14:paraId="124EE72B">
      <w:pPr>
        <w:spacing w:line="360" w:lineRule="auto"/>
        <w:ind w:firstLine="482"/>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目标2. 能够具有一定的抽象概括、逻辑推理等能力</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能够具有一定的运算能力</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能够具有一定的数学思维与分析能力。</w:t>
      </w:r>
    </w:p>
    <w:p w14:paraId="780710D8">
      <w:pPr>
        <w:spacing w:line="360" w:lineRule="auto"/>
        <w:ind w:firstLine="422" w:firstLineChars="200"/>
        <w:rPr>
          <w:rFonts w:ascii="Calibri" w:hAnsi="Calibri" w:eastAsia="宋体" w:cs="Times New Roman"/>
          <w:b/>
          <w:color w:val="auto"/>
          <w:sz w:val="21"/>
          <w:szCs w:val="21"/>
        </w:rPr>
      </w:pPr>
      <w:r>
        <w:rPr>
          <w:rFonts w:ascii="Calibri" w:hAnsi="Calibri" w:eastAsia="宋体" w:cs="Times New Roman"/>
          <w:b/>
          <w:color w:val="auto"/>
          <w:sz w:val="21"/>
          <w:szCs w:val="21"/>
        </w:rPr>
        <w:t>（二）课程目标</w:t>
      </w:r>
      <w:r>
        <w:rPr>
          <w:rFonts w:hint="eastAsia" w:ascii="Calibri" w:hAnsi="Calibri" w:eastAsia="宋体" w:cs="Times New Roman"/>
          <w:b/>
          <w:color w:val="auto"/>
          <w:sz w:val="21"/>
          <w:szCs w:val="21"/>
        </w:rPr>
        <w:t>及其对</w:t>
      </w:r>
      <w:r>
        <w:rPr>
          <w:rFonts w:ascii="Calibri" w:hAnsi="Calibri" w:eastAsia="宋体" w:cs="Times New Roman"/>
          <w:b/>
          <w:color w:val="auto"/>
          <w:sz w:val="21"/>
          <w:szCs w:val="21"/>
        </w:rPr>
        <w:t>毕业要求</w:t>
      </w:r>
      <w:r>
        <w:rPr>
          <w:rFonts w:hint="eastAsia" w:ascii="Calibri" w:hAnsi="Calibri" w:eastAsia="宋体" w:cs="Times New Roman"/>
          <w:b/>
          <w:color w:val="auto"/>
          <w:sz w:val="21"/>
          <w:szCs w:val="21"/>
        </w:rPr>
        <w:t>指标点</w:t>
      </w:r>
      <w:r>
        <w:rPr>
          <w:rFonts w:ascii="Calibri" w:hAnsi="Calibri" w:eastAsia="宋体" w:cs="Times New Roman"/>
          <w:b/>
          <w:color w:val="auto"/>
          <w:sz w:val="21"/>
          <w:szCs w:val="21"/>
        </w:rPr>
        <w:t>的</w:t>
      </w:r>
      <w:r>
        <w:rPr>
          <w:rFonts w:hint="eastAsia" w:ascii="Calibri" w:hAnsi="Calibri" w:eastAsia="宋体" w:cs="Times New Roman"/>
          <w:b/>
          <w:color w:val="auto"/>
          <w:sz w:val="21"/>
          <w:szCs w:val="21"/>
        </w:rPr>
        <w:t>支撑</w:t>
      </w:r>
    </w:p>
    <w:tbl>
      <w:tblPr>
        <w:tblStyle w:val="15"/>
        <w:tblW w:w="8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5318"/>
        <w:gridCol w:w="1192"/>
      </w:tblGrid>
      <w:tr w14:paraId="697A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1800" w:type="dxa"/>
            <w:vAlign w:val="center"/>
          </w:tcPr>
          <w:p w14:paraId="18A9C869">
            <w:pPr>
              <w:jc w:val="center"/>
              <w:rPr>
                <w:rFonts w:hint="eastAsia" w:ascii="宋体" w:hAnsi="宋体" w:eastAsia="宋体" w:cs="Times New Roman"/>
                <w:b/>
                <w:bCs/>
                <w:color w:val="auto"/>
                <w:szCs w:val="21"/>
              </w:rPr>
            </w:pPr>
            <w:r>
              <w:rPr>
                <w:rFonts w:ascii="宋体" w:hAnsi="宋体" w:eastAsia="宋体" w:cs="Times New Roman"/>
                <w:b/>
                <w:bCs/>
                <w:color w:val="auto"/>
                <w:szCs w:val="21"/>
              </w:rPr>
              <w:t>支撑的毕业要求</w:t>
            </w:r>
          </w:p>
        </w:tc>
        <w:tc>
          <w:tcPr>
            <w:tcW w:w="5318" w:type="dxa"/>
            <w:vAlign w:val="center"/>
          </w:tcPr>
          <w:p w14:paraId="447A361E">
            <w:pPr>
              <w:jc w:val="center"/>
              <w:rPr>
                <w:rFonts w:hint="eastAsia" w:ascii="宋体" w:hAnsi="宋体" w:eastAsia="宋体" w:cs="Times New Roman"/>
                <w:b/>
                <w:bCs/>
                <w:color w:val="auto"/>
                <w:szCs w:val="21"/>
              </w:rPr>
            </w:pPr>
            <w:r>
              <w:rPr>
                <w:rFonts w:ascii="宋体" w:hAnsi="宋体" w:eastAsia="宋体" w:cs="Times New Roman"/>
                <w:b/>
                <w:bCs/>
                <w:color w:val="auto"/>
                <w:szCs w:val="21"/>
              </w:rPr>
              <w:t>支撑的毕业要求指标点</w:t>
            </w:r>
          </w:p>
        </w:tc>
        <w:tc>
          <w:tcPr>
            <w:tcW w:w="1192" w:type="dxa"/>
            <w:vAlign w:val="center"/>
          </w:tcPr>
          <w:p w14:paraId="1B671B7D">
            <w:pPr>
              <w:jc w:val="center"/>
              <w:rPr>
                <w:rFonts w:ascii="宋体" w:hAnsi="宋体" w:eastAsia="宋体" w:cs="Times New Roman"/>
                <w:b/>
                <w:bCs/>
                <w:color w:val="auto"/>
                <w:szCs w:val="21"/>
              </w:rPr>
            </w:pPr>
            <w:r>
              <w:rPr>
                <w:rFonts w:ascii="宋体" w:hAnsi="宋体" w:eastAsia="宋体" w:cs="Times New Roman"/>
                <w:b/>
                <w:bCs/>
                <w:color w:val="auto"/>
                <w:szCs w:val="21"/>
              </w:rPr>
              <w:t>课程目标</w:t>
            </w:r>
          </w:p>
        </w:tc>
      </w:tr>
      <w:tr w14:paraId="569C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800" w:type="dxa"/>
            <w:vAlign w:val="center"/>
          </w:tcPr>
          <w:p w14:paraId="0105ED2F">
            <w:pPr>
              <w:jc w:val="center"/>
              <w:rPr>
                <w:rFonts w:ascii="宋体" w:hAnsi="宋体" w:eastAsia="宋体" w:cs="Times New Roman"/>
                <w:b/>
                <w:bCs/>
                <w:color w:val="auto"/>
                <w:kern w:val="0"/>
                <w:szCs w:val="21"/>
              </w:rPr>
            </w:pPr>
            <w:r>
              <w:rPr>
                <w:rFonts w:ascii="宋体" w:hAnsi="宋体" w:eastAsia="宋体" w:cs="Times New Roman"/>
                <w:b/>
                <w:bCs/>
                <w:color w:val="auto"/>
                <w:kern w:val="0"/>
                <w:szCs w:val="21"/>
              </w:rPr>
              <w:t>毕业要求3</w:t>
            </w:r>
          </w:p>
          <w:p w14:paraId="39646C3B">
            <w:pPr>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学科</w:t>
            </w:r>
            <w:r>
              <w:rPr>
                <w:rFonts w:ascii="宋体" w:hAnsi="宋体" w:eastAsia="宋体" w:cs="Times New Roman"/>
                <w:b/>
                <w:bCs/>
                <w:color w:val="auto"/>
                <w:kern w:val="0"/>
                <w:szCs w:val="21"/>
              </w:rPr>
              <w:t>素养</w:t>
            </w:r>
          </w:p>
        </w:tc>
        <w:tc>
          <w:tcPr>
            <w:tcW w:w="5318" w:type="dxa"/>
            <w:vAlign w:val="center"/>
          </w:tcPr>
          <w:p w14:paraId="5C98F7B0">
            <w:pPr>
              <w:jc w:val="left"/>
              <w:rPr>
                <w:rFonts w:hint="eastAsia" w:ascii="宋体" w:hAnsi="宋体" w:eastAsia="宋体" w:cs="Times New Roman"/>
                <w:b w:val="0"/>
                <w:bCs w:val="0"/>
                <w:color w:val="auto"/>
                <w:kern w:val="0"/>
                <w:sz w:val="18"/>
                <w:szCs w:val="18"/>
                <w:lang w:eastAsia="zh-CN"/>
              </w:rPr>
            </w:pPr>
            <w:r>
              <w:rPr>
                <w:rFonts w:hint="eastAsia" w:ascii="宋体" w:hAnsi="宋体" w:eastAsia="宋体" w:cs="Times New Roman"/>
                <w:b w:val="0"/>
                <w:bCs w:val="0"/>
                <w:color w:val="auto"/>
                <w:szCs w:val="23"/>
                <w:lang w:eastAsia="zh-CN"/>
              </w:rPr>
              <w:t>指标点3-2：【学科知识扎实】具有学科专业能力，掌握小学数学学科的基本知识、原理和技能。熟悉小学科学的知识体系，掌握小学科学的基本知识、原理和技能。</w:t>
            </w:r>
          </w:p>
        </w:tc>
        <w:tc>
          <w:tcPr>
            <w:tcW w:w="1192" w:type="dxa"/>
            <w:vAlign w:val="center"/>
          </w:tcPr>
          <w:p w14:paraId="3F0C6692">
            <w:pPr>
              <w:jc w:val="center"/>
              <w:rPr>
                <w:rFonts w:hint="eastAsia" w:ascii="宋体" w:hAnsi="宋体" w:eastAsia="宋体" w:cs="Times New Roman"/>
                <w:b w:val="0"/>
                <w:bCs w:val="0"/>
                <w:color w:val="auto"/>
                <w:szCs w:val="23"/>
                <w:lang w:eastAsia="zh-CN"/>
              </w:rPr>
            </w:pPr>
            <w:r>
              <w:rPr>
                <w:rFonts w:ascii="宋体" w:hAnsi="宋体" w:eastAsia="宋体" w:cs="Times New Roman"/>
                <w:bCs/>
                <w:color w:val="auto"/>
                <w:szCs w:val="21"/>
              </w:rPr>
              <w:t>课程目标</w:t>
            </w:r>
            <w:r>
              <w:rPr>
                <w:rFonts w:hint="eastAsia" w:ascii="宋体" w:hAnsi="宋体" w:eastAsia="宋体" w:cs="Times New Roman"/>
                <w:bCs/>
                <w:color w:val="auto"/>
                <w:szCs w:val="21"/>
              </w:rPr>
              <w:t>1</w:t>
            </w:r>
          </w:p>
        </w:tc>
      </w:tr>
      <w:tr w14:paraId="41AB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800" w:type="dxa"/>
            <w:vAlign w:val="center"/>
          </w:tcPr>
          <w:p w14:paraId="4299E6D5">
            <w:pPr>
              <w:jc w:val="center"/>
              <w:rPr>
                <w:rFonts w:hint="eastAsia" w:ascii="宋体" w:hAnsi="宋体" w:eastAsia="宋体" w:cs="Times New Roman"/>
                <w:b/>
                <w:bCs/>
                <w:color w:val="auto"/>
                <w:kern w:val="0"/>
                <w:szCs w:val="21"/>
                <w:lang w:eastAsia="zh-CN"/>
              </w:rPr>
            </w:pPr>
            <w:r>
              <w:rPr>
                <w:rFonts w:ascii="宋体" w:hAnsi="宋体" w:eastAsia="宋体" w:cs="Times New Roman"/>
                <w:b/>
                <w:bCs/>
                <w:color w:val="auto"/>
                <w:kern w:val="0"/>
                <w:szCs w:val="21"/>
              </w:rPr>
              <w:t>毕业要求</w:t>
            </w:r>
            <w:r>
              <w:rPr>
                <w:rFonts w:hint="eastAsia" w:ascii="宋体" w:hAnsi="宋体" w:eastAsia="宋体" w:cs="Times New Roman"/>
                <w:b/>
                <w:bCs/>
                <w:color w:val="auto"/>
                <w:kern w:val="0"/>
                <w:szCs w:val="21"/>
                <w:lang w:val="en-US" w:eastAsia="zh-CN"/>
              </w:rPr>
              <w:t>6</w:t>
            </w:r>
          </w:p>
          <w:p w14:paraId="41AA1A27">
            <w:pPr>
              <w:jc w:val="center"/>
              <w:rPr>
                <w:rFonts w:hint="eastAsia" w:ascii="宋体" w:hAnsi="宋体" w:eastAsia="宋体" w:cs="Times New Roman"/>
                <w:b/>
                <w:bCs/>
                <w:color w:val="auto"/>
                <w:kern w:val="0"/>
                <w:szCs w:val="21"/>
                <w:lang w:eastAsia="zh"/>
              </w:rPr>
            </w:pPr>
            <w:r>
              <w:rPr>
                <w:rFonts w:hint="eastAsia" w:ascii="宋体" w:hAnsi="宋体" w:eastAsia="宋体" w:cs="Times New Roman"/>
                <w:b/>
                <w:bCs/>
                <w:color w:val="auto"/>
                <w:kern w:val="0"/>
                <w:szCs w:val="21"/>
                <w:lang w:eastAsia="zh"/>
              </w:rPr>
              <w:t>综合育人</w:t>
            </w:r>
          </w:p>
        </w:tc>
        <w:tc>
          <w:tcPr>
            <w:tcW w:w="5318" w:type="dxa"/>
            <w:vAlign w:val="center"/>
          </w:tcPr>
          <w:p w14:paraId="35BA1F23">
            <w:pPr>
              <w:jc w:val="left"/>
              <w:rPr>
                <w:rFonts w:hint="eastAsia" w:ascii="宋体" w:hAnsi="宋体" w:eastAsia="宋体" w:cs="Times New Roman"/>
                <w:b w:val="0"/>
                <w:bCs w:val="0"/>
                <w:color w:val="auto"/>
                <w:szCs w:val="23"/>
                <w:lang w:eastAsia="zh-CN"/>
              </w:rPr>
            </w:pPr>
            <w:r>
              <w:rPr>
                <w:rFonts w:hint="eastAsia" w:ascii="宋体" w:hAnsi="宋体" w:eastAsia="宋体" w:cs="Times New Roman"/>
                <w:b w:val="0"/>
                <w:bCs w:val="0"/>
                <w:color w:val="auto"/>
                <w:szCs w:val="23"/>
                <w:lang w:eastAsia="zh-CN"/>
              </w:rPr>
              <w:t>指标点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192" w:type="dxa"/>
            <w:vAlign w:val="center"/>
          </w:tcPr>
          <w:p w14:paraId="78028C90">
            <w:pPr>
              <w:jc w:val="center"/>
              <w:rPr>
                <w:rFonts w:hint="eastAsia" w:ascii="宋体" w:hAnsi="宋体" w:eastAsia="宋体" w:cs="Times New Roman"/>
                <w:b w:val="0"/>
                <w:bCs w:val="0"/>
                <w:color w:val="auto"/>
                <w:szCs w:val="23"/>
                <w:lang w:eastAsia="zh-CN"/>
              </w:rPr>
            </w:pPr>
            <w:r>
              <w:rPr>
                <w:rFonts w:hint="eastAsia" w:ascii="宋体" w:hAnsi="宋体" w:eastAsia="宋体" w:cs="Times New Roman"/>
                <w:bCs/>
                <w:color w:val="auto"/>
                <w:szCs w:val="21"/>
              </w:rPr>
              <w:t>课程目标2</w:t>
            </w:r>
          </w:p>
        </w:tc>
      </w:tr>
    </w:tbl>
    <w:p w14:paraId="592D698D">
      <w:pPr>
        <w:spacing w:before="156" w:beforeLines="50" w:line="360" w:lineRule="auto"/>
        <w:ind w:firstLine="422" w:firstLineChars="200"/>
        <w:jc w:val="left"/>
        <w:rPr>
          <w:rFonts w:hint="eastAsia" w:ascii="宋体" w:hAnsi="宋体" w:eastAsia="宋体" w:cs="Times New Roman"/>
          <w:b/>
          <w:color w:val="auto"/>
          <w:sz w:val="21"/>
          <w:szCs w:val="21"/>
        </w:rPr>
      </w:pPr>
      <w:r>
        <w:rPr>
          <w:rFonts w:hint="eastAsia" w:ascii="Calibri" w:hAnsi="Calibri" w:eastAsia="宋体" w:cs="Times New Roman"/>
          <w:b/>
          <w:color w:val="auto"/>
          <w:sz w:val="21"/>
          <w:szCs w:val="21"/>
        </w:rPr>
        <w:t>（三）</w:t>
      </w:r>
      <w:r>
        <w:rPr>
          <w:rFonts w:hint="eastAsia" w:ascii="宋体" w:hAnsi="宋体" w:eastAsia="宋体" w:cs="Times New Roman"/>
          <w:b/>
          <w:color w:val="auto"/>
          <w:sz w:val="21"/>
          <w:szCs w:val="21"/>
        </w:rPr>
        <w:t>课程思政目标</w:t>
      </w:r>
    </w:p>
    <w:p w14:paraId="3E372276">
      <w:pPr>
        <w:spacing w:line="360" w:lineRule="auto"/>
        <w:ind w:firstLine="420" w:firstLineChars="200"/>
        <w:rPr>
          <w:rFonts w:ascii="Times New Roman" w:hAnsi="Times New Roman" w:eastAsia="宋体" w:cs="Times New Roman"/>
          <w:b/>
          <w:color w:val="auto"/>
          <w:sz w:val="21"/>
          <w:szCs w:val="21"/>
        </w:rPr>
      </w:pPr>
      <w:r>
        <w:rPr>
          <w:rFonts w:hint="eastAsia" w:ascii="宋体" w:hAnsi="宋体" w:eastAsia="宋体" w:cs="Times New Roman"/>
          <w:color w:val="auto"/>
          <w:sz w:val="21"/>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6431D35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4"/>
          <w:szCs w:val="24"/>
          <w:lang w:val="en-US" w:eastAsia="zh-CN"/>
        </w:rPr>
        <w:t>三、课程内容及要求</w:t>
      </w:r>
    </w:p>
    <w:tbl>
      <w:tblPr>
        <w:tblStyle w:val="16"/>
        <w:tblW w:w="10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3069"/>
        <w:gridCol w:w="1167"/>
        <w:gridCol w:w="1996"/>
        <w:gridCol w:w="1615"/>
        <w:gridCol w:w="756"/>
      </w:tblGrid>
      <w:tr w14:paraId="27F7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Align w:val="center"/>
          </w:tcPr>
          <w:p w14:paraId="6685C5EF">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w:t>
            </w:r>
          </w:p>
          <w:p w14:paraId="35076267">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单元</w:t>
            </w:r>
          </w:p>
        </w:tc>
        <w:tc>
          <w:tcPr>
            <w:tcW w:w="3069" w:type="dxa"/>
            <w:vAlign w:val="center"/>
          </w:tcPr>
          <w:p w14:paraId="7756D791">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知识点</w:t>
            </w:r>
          </w:p>
        </w:tc>
        <w:tc>
          <w:tcPr>
            <w:tcW w:w="1167" w:type="dxa"/>
            <w:vAlign w:val="center"/>
          </w:tcPr>
          <w:p w14:paraId="5998C0D2">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对应</w:t>
            </w:r>
          </w:p>
          <w:p w14:paraId="542A2EE6">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课程目标</w:t>
            </w:r>
          </w:p>
        </w:tc>
        <w:tc>
          <w:tcPr>
            <w:tcW w:w="1996" w:type="dxa"/>
            <w:vAlign w:val="center"/>
          </w:tcPr>
          <w:p w14:paraId="71561BFF">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预期学习成效</w:t>
            </w:r>
          </w:p>
        </w:tc>
        <w:tc>
          <w:tcPr>
            <w:tcW w:w="1615" w:type="dxa"/>
            <w:vAlign w:val="center"/>
          </w:tcPr>
          <w:p w14:paraId="0F7CFBCD">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实现环节</w:t>
            </w:r>
          </w:p>
        </w:tc>
        <w:tc>
          <w:tcPr>
            <w:tcW w:w="756" w:type="dxa"/>
            <w:vAlign w:val="center"/>
          </w:tcPr>
          <w:p w14:paraId="3BC3127D">
            <w:pPr>
              <w:spacing w:line="240" w:lineRule="auto"/>
              <w:jc w:val="center"/>
              <w:rPr>
                <w:rFonts w:hint="eastAsia" w:ascii="宋体" w:hAnsi="宋体" w:eastAsia="宋体" w:cs="Times New Roman"/>
                <w:b/>
                <w:color w:val="auto"/>
                <w:sz w:val="21"/>
                <w:szCs w:val="21"/>
                <w:lang w:val="en-US" w:eastAsia="zh-CN"/>
              </w:rPr>
            </w:pPr>
            <w:r>
              <w:rPr>
                <w:rFonts w:hint="eastAsia" w:ascii="宋体" w:hAnsi="宋体" w:eastAsia="宋体" w:cs="Times New Roman"/>
                <w:b/>
                <w:color w:val="auto"/>
                <w:sz w:val="21"/>
                <w:szCs w:val="21"/>
                <w:lang w:val="en-US" w:eastAsia="zh-CN"/>
              </w:rPr>
              <w:t>学时</w:t>
            </w:r>
          </w:p>
        </w:tc>
      </w:tr>
      <w:tr w14:paraId="3C0B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restart"/>
            <w:vAlign w:val="center"/>
          </w:tcPr>
          <w:p w14:paraId="21DE5035">
            <w:pPr>
              <w:numPr>
                <w:ilvl w:val="0"/>
                <w:numId w:val="29"/>
              </w:num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数学思想方法简介</w:t>
            </w:r>
          </w:p>
          <w:p w14:paraId="68B7BF84">
            <w:pPr>
              <w:spacing w:line="240" w:lineRule="auto"/>
              <w:jc w:val="center"/>
              <w:rPr>
                <w:rFonts w:hint="eastAsia" w:ascii="宋体" w:hAnsi="宋体" w:eastAsia="宋体" w:cs="Times New Roman"/>
                <w:color w:val="auto"/>
                <w:sz w:val="21"/>
                <w:szCs w:val="21"/>
              </w:rPr>
            </w:pPr>
          </w:p>
        </w:tc>
        <w:tc>
          <w:tcPr>
            <w:tcW w:w="3069" w:type="dxa"/>
            <w:vAlign w:val="center"/>
          </w:tcPr>
          <w:p w14:paraId="6C3B28FB">
            <w:pPr>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1）能够了解对数学思想方法的认识</w:t>
            </w:r>
          </w:p>
          <w:p w14:paraId="34A012F4">
            <w:pPr>
              <w:spacing w:line="240" w:lineRule="auto"/>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（2）能够了解数学思想方法的教学</w:t>
            </w:r>
          </w:p>
        </w:tc>
        <w:tc>
          <w:tcPr>
            <w:tcW w:w="1167" w:type="dxa"/>
            <w:vAlign w:val="center"/>
          </w:tcPr>
          <w:p w14:paraId="7C03F88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w:t>
            </w:r>
          </w:p>
        </w:tc>
        <w:tc>
          <w:tcPr>
            <w:tcW w:w="1996" w:type="dxa"/>
            <w:vAlign w:val="center"/>
          </w:tcPr>
          <w:p w14:paraId="320DA68C">
            <w:pPr>
              <w:spacing w:line="240" w:lineRule="auto"/>
              <w:rPr>
                <w:rFonts w:hint="eastAsia" w:ascii="宋体" w:hAnsi="宋体" w:eastAsia="宋体" w:cs="Times New Roman"/>
                <w:color w:val="auto"/>
                <w:sz w:val="21"/>
                <w:szCs w:val="21"/>
              </w:rPr>
            </w:pPr>
            <w:r>
              <w:rPr>
                <w:rFonts w:hint="eastAsia" w:ascii="Times New Roman" w:hAnsi="Times New Roman" w:eastAsia="宋体" w:cs="Times New Roman"/>
                <w:color w:val="auto"/>
                <w:sz w:val="21"/>
                <w:szCs w:val="21"/>
              </w:rPr>
              <w:t>了解对数学思想方法的认识；了解数学思想方法的教学。</w:t>
            </w:r>
          </w:p>
        </w:tc>
        <w:tc>
          <w:tcPr>
            <w:tcW w:w="1615" w:type="dxa"/>
            <w:vAlign w:val="center"/>
          </w:tcPr>
          <w:p w14:paraId="50BB04F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31B9D20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2.多媒体教学</w:t>
            </w:r>
          </w:p>
          <w:p w14:paraId="40BBBBD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3.课堂讨论</w:t>
            </w:r>
          </w:p>
          <w:p w14:paraId="7D21609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4.单元测验</w:t>
            </w:r>
          </w:p>
        </w:tc>
        <w:tc>
          <w:tcPr>
            <w:tcW w:w="756" w:type="dxa"/>
            <w:vAlign w:val="center"/>
          </w:tcPr>
          <w:p w14:paraId="135159BA">
            <w:pPr>
              <w:spacing w:line="240" w:lineRule="auto"/>
              <w:jc w:val="cente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3</w:t>
            </w:r>
          </w:p>
        </w:tc>
      </w:tr>
      <w:tr w14:paraId="64459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continue"/>
            <w:vAlign w:val="center"/>
          </w:tcPr>
          <w:p w14:paraId="4A2AC703">
            <w:pPr>
              <w:spacing w:line="240" w:lineRule="auto"/>
              <w:jc w:val="center"/>
              <w:rPr>
                <w:rFonts w:hint="eastAsia" w:ascii="宋体" w:hAnsi="宋体" w:eastAsia="宋体" w:cs="Times New Roman"/>
                <w:color w:val="auto"/>
                <w:sz w:val="21"/>
                <w:szCs w:val="21"/>
              </w:rPr>
            </w:pPr>
          </w:p>
        </w:tc>
        <w:tc>
          <w:tcPr>
            <w:tcW w:w="8603" w:type="dxa"/>
            <w:gridSpan w:val="5"/>
            <w:vAlign w:val="center"/>
          </w:tcPr>
          <w:p w14:paraId="36BCD263">
            <w:pPr>
              <w:spacing w:line="240" w:lineRule="auto"/>
              <w:ind w:firstLine="422" w:firstLineChars="200"/>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1C3E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restart"/>
            <w:vAlign w:val="center"/>
          </w:tcPr>
          <w:p w14:paraId="14C5E1AB">
            <w:pPr>
              <w:numPr>
                <w:ilvl w:val="0"/>
                <w:numId w:val="29"/>
              </w:num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与抽象有关的数学思想</w:t>
            </w:r>
          </w:p>
          <w:p w14:paraId="066F2415">
            <w:pPr>
              <w:spacing w:line="240" w:lineRule="auto"/>
              <w:jc w:val="center"/>
              <w:rPr>
                <w:rFonts w:hint="eastAsia" w:ascii="宋体" w:hAnsi="宋体" w:eastAsia="宋体" w:cs="Times New Roman"/>
                <w:color w:val="auto"/>
                <w:sz w:val="21"/>
                <w:szCs w:val="21"/>
              </w:rPr>
            </w:pPr>
          </w:p>
        </w:tc>
        <w:tc>
          <w:tcPr>
            <w:tcW w:w="3069" w:type="dxa"/>
            <w:vAlign w:val="center"/>
          </w:tcPr>
          <w:p w14:paraId="70C7EDA0">
            <w:pPr>
              <w:widowControl/>
              <w:spacing w:line="24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w:t>
            </w:r>
            <w:r>
              <w:rPr>
                <w:rFonts w:ascii="Times New Roman" w:hAnsi="Times New Roman" w:eastAsia="宋体" w:cs="Times New Roman"/>
                <w:color w:val="auto"/>
                <w:sz w:val="21"/>
                <w:szCs w:val="21"/>
              </w:rPr>
              <w:t>能够掌握</w:t>
            </w:r>
            <w:r>
              <w:rPr>
                <w:rFonts w:ascii="Times New Roman" w:hAnsi="Times New Roman" w:eastAsia="宋体" w:cs="Times New Roman"/>
                <w:bCs/>
                <w:color w:val="auto"/>
                <w:sz w:val="21"/>
                <w:szCs w:val="21"/>
              </w:rPr>
              <w:t>抽象思想</w:t>
            </w:r>
          </w:p>
          <w:p w14:paraId="40F41593">
            <w:pPr>
              <w:widowControl/>
              <w:spacing w:line="24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ascii="Times New Roman" w:hAnsi="Times New Roman" w:eastAsia="宋体" w:cs="Times New Roman"/>
                <w:color w:val="auto"/>
                <w:sz w:val="21"/>
                <w:szCs w:val="21"/>
              </w:rPr>
              <w:t>能够掌握</w:t>
            </w:r>
            <w:r>
              <w:rPr>
                <w:rFonts w:ascii="Times New Roman" w:hAnsi="Times New Roman" w:eastAsia="宋体" w:cs="Times New Roman"/>
                <w:bCs/>
                <w:color w:val="auto"/>
                <w:sz w:val="21"/>
                <w:szCs w:val="21"/>
              </w:rPr>
              <w:t>符号化思想</w:t>
            </w:r>
          </w:p>
          <w:p w14:paraId="6EEC8B61">
            <w:pPr>
              <w:spacing w:line="24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w:t>
            </w:r>
            <w:r>
              <w:rPr>
                <w:rFonts w:ascii="Times New Roman" w:hAnsi="Times New Roman" w:eastAsia="宋体" w:cs="Times New Roman"/>
                <w:color w:val="auto"/>
                <w:sz w:val="21"/>
                <w:szCs w:val="21"/>
              </w:rPr>
              <w:t>能够掌握</w:t>
            </w:r>
            <w:r>
              <w:rPr>
                <w:rFonts w:ascii="Times New Roman" w:hAnsi="Times New Roman" w:eastAsia="宋体" w:cs="Times New Roman"/>
                <w:bCs/>
                <w:color w:val="auto"/>
                <w:sz w:val="21"/>
                <w:szCs w:val="21"/>
              </w:rPr>
              <w:t>分类思想</w:t>
            </w:r>
          </w:p>
          <w:p w14:paraId="03AC066C">
            <w:pPr>
              <w:spacing w:line="24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w:t>
            </w:r>
            <w:r>
              <w:rPr>
                <w:rFonts w:ascii="Times New Roman" w:hAnsi="Times New Roman" w:eastAsia="宋体" w:cs="Times New Roman"/>
                <w:color w:val="auto"/>
                <w:sz w:val="21"/>
                <w:szCs w:val="21"/>
              </w:rPr>
              <w:t>能够了解</w:t>
            </w:r>
            <w:r>
              <w:rPr>
                <w:rFonts w:ascii="Times New Roman" w:hAnsi="Times New Roman" w:eastAsia="宋体" w:cs="Times New Roman"/>
                <w:bCs/>
                <w:color w:val="auto"/>
                <w:sz w:val="21"/>
                <w:szCs w:val="21"/>
              </w:rPr>
              <w:t>集合思想</w:t>
            </w:r>
          </w:p>
          <w:p w14:paraId="797F0C36">
            <w:pPr>
              <w:spacing w:line="24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w:t>
            </w:r>
            <w:r>
              <w:rPr>
                <w:rFonts w:ascii="Times New Roman" w:hAnsi="Times New Roman" w:eastAsia="宋体" w:cs="Times New Roman"/>
                <w:color w:val="auto"/>
                <w:sz w:val="21"/>
                <w:szCs w:val="21"/>
              </w:rPr>
              <w:t>能够了解</w:t>
            </w:r>
            <w:r>
              <w:rPr>
                <w:rFonts w:ascii="Times New Roman" w:hAnsi="Times New Roman" w:eastAsia="宋体" w:cs="Times New Roman"/>
                <w:bCs/>
                <w:color w:val="auto"/>
                <w:sz w:val="21"/>
                <w:szCs w:val="21"/>
              </w:rPr>
              <w:t>变中有不变思想</w:t>
            </w:r>
          </w:p>
          <w:p w14:paraId="3738387C">
            <w:pPr>
              <w:spacing w:line="240" w:lineRule="auto"/>
              <w:rPr>
                <w:rFonts w:hint="eastAsia" w:ascii="宋体" w:hAnsi="宋体" w:eastAsia="宋体" w:cs="Times New Roman"/>
                <w:color w:val="auto"/>
                <w:sz w:val="21"/>
                <w:szCs w:val="21"/>
              </w:rPr>
            </w:pPr>
            <w:r>
              <w:rPr>
                <w:rFonts w:ascii="Times New Roman" w:hAnsi="Times New Roman" w:eastAsia="宋体" w:cs="Times New Roman"/>
                <w:bCs/>
                <w:color w:val="auto"/>
                <w:sz w:val="21"/>
                <w:szCs w:val="21"/>
              </w:rPr>
              <w:t>（6）</w:t>
            </w:r>
            <w:r>
              <w:rPr>
                <w:rFonts w:ascii="Times New Roman" w:hAnsi="Times New Roman" w:eastAsia="宋体" w:cs="Times New Roman"/>
                <w:color w:val="auto"/>
                <w:sz w:val="21"/>
                <w:szCs w:val="21"/>
              </w:rPr>
              <w:t>能够理解</w:t>
            </w:r>
            <w:r>
              <w:rPr>
                <w:rFonts w:ascii="Times New Roman" w:hAnsi="Times New Roman" w:eastAsia="宋体" w:cs="Times New Roman"/>
                <w:bCs/>
                <w:color w:val="auto"/>
                <w:sz w:val="21"/>
                <w:szCs w:val="21"/>
              </w:rPr>
              <w:t>有限与无限思想</w:t>
            </w:r>
          </w:p>
        </w:tc>
        <w:tc>
          <w:tcPr>
            <w:tcW w:w="1167" w:type="dxa"/>
            <w:vAlign w:val="center"/>
          </w:tcPr>
          <w:p w14:paraId="02DBB2BC">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w:t>
            </w:r>
          </w:p>
        </w:tc>
        <w:tc>
          <w:tcPr>
            <w:tcW w:w="1996" w:type="dxa"/>
            <w:vAlign w:val="center"/>
          </w:tcPr>
          <w:p w14:paraId="31C2467E">
            <w:pPr>
              <w:spacing w:line="240" w:lineRule="auto"/>
              <w:rPr>
                <w:rFonts w:hint="eastAsia" w:ascii="宋体" w:hAnsi="宋体" w:eastAsia="宋体" w:cs="Times New Roman"/>
                <w:color w:val="auto"/>
                <w:sz w:val="21"/>
                <w:szCs w:val="21"/>
              </w:rPr>
            </w:pPr>
            <w:r>
              <w:rPr>
                <w:rFonts w:hint="eastAsia" w:ascii="Times New Roman" w:hAnsi="Times New Roman" w:eastAsia="宋体" w:cs="Times New Roman"/>
                <w:color w:val="auto"/>
                <w:sz w:val="21"/>
                <w:szCs w:val="21"/>
              </w:rPr>
              <w:t>了解掌握</w:t>
            </w:r>
            <w:r>
              <w:rPr>
                <w:rFonts w:ascii="Times New Roman" w:hAnsi="Times New Roman" w:eastAsia="宋体" w:cs="Times New Roman"/>
                <w:bCs/>
                <w:color w:val="auto"/>
                <w:sz w:val="21"/>
                <w:szCs w:val="21"/>
              </w:rPr>
              <w:t>抽象思想，符号化思想，分类思想，有限与无限思想</w:t>
            </w:r>
            <w:r>
              <w:rPr>
                <w:rFonts w:ascii="Times New Roman" w:hAnsi="Times New Roman" w:eastAsia="宋体" w:cs="Times New Roman"/>
                <w:color w:val="auto"/>
                <w:sz w:val="21"/>
                <w:szCs w:val="21"/>
              </w:rPr>
              <w:t>。</w:t>
            </w:r>
          </w:p>
        </w:tc>
        <w:tc>
          <w:tcPr>
            <w:tcW w:w="1615" w:type="dxa"/>
            <w:vAlign w:val="center"/>
          </w:tcPr>
          <w:p w14:paraId="05172D1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652877C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2.多媒体教学</w:t>
            </w:r>
          </w:p>
          <w:p w14:paraId="5C87291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3.课堂讨论</w:t>
            </w:r>
          </w:p>
          <w:p w14:paraId="48411CF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4.单元测验</w:t>
            </w:r>
          </w:p>
        </w:tc>
        <w:tc>
          <w:tcPr>
            <w:tcW w:w="756" w:type="dxa"/>
            <w:vAlign w:val="center"/>
          </w:tcPr>
          <w:p w14:paraId="02447D50">
            <w:pPr>
              <w:spacing w:line="240" w:lineRule="auto"/>
              <w:jc w:val="cente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6</w:t>
            </w:r>
          </w:p>
        </w:tc>
      </w:tr>
      <w:tr w14:paraId="07DE2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continue"/>
            <w:vAlign w:val="center"/>
          </w:tcPr>
          <w:p w14:paraId="3E72CD0D">
            <w:pPr>
              <w:spacing w:line="240" w:lineRule="auto"/>
              <w:jc w:val="center"/>
              <w:rPr>
                <w:rFonts w:hint="eastAsia" w:ascii="宋体" w:hAnsi="宋体" w:eastAsia="宋体" w:cs="Times New Roman"/>
                <w:color w:val="auto"/>
                <w:sz w:val="21"/>
                <w:szCs w:val="21"/>
              </w:rPr>
            </w:pPr>
          </w:p>
        </w:tc>
        <w:tc>
          <w:tcPr>
            <w:tcW w:w="8603" w:type="dxa"/>
            <w:gridSpan w:val="5"/>
            <w:vAlign w:val="center"/>
          </w:tcPr>
          <w:p w14:paraId="131D123C">
            <w:pPr>
              <w:spacing w:line="240" w:lineRule="auto"/>
              <w:ind w:firstLine="422" w:firstLineChars="200"/>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7374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restart"/>
            <w:vAlign w:val="center"/>
          </w:tcPr>
          <w:p w14:paraId="07FEB2DE">
            <w:pPr>
              <w:spacing w:line="240" w:lineRule="auto"/>
              <w:jc w:val="center"/>
              <w:rPr>
                <w:rFonts w:hint="eastAsia" w:ascii="宋体" w:hAnsi="宋体" w:eastAsia="宋体" w:cs="Times New Roman"/>
                <w:color w:val="auto"/>
                <w:sz w:val="21"/>
                <w:szCs w:val="21"/>
              </w:rPr>
            </w:pPr>
            <w:r>
              <w:rPr>
                <w:rFonts w:hint="eastAsia" w:ascii="Times New Roman" w:hAnsi="Times New Roman" w:eastAsia="宋体" w:cs="Times New Roman"/>
                <w:color w:val="auto"/>
                <w:sz w:val="21"/>
                <w:szCs w:val="21"/>
              </w:rPr>
              <w:t>3.</w:t>
            </w:r>
            <w:r>
              <w:rPr>
                <w:rFonts w:ascii="Times New Roman" w:hAnsi="Times New Roman" w:eastAsia="宋体" w:cs="Times New Roman"/>
                <w:color w:val="auto"/>
                <w:sz w:val="21"/>
                <w:szCs w:val="21"/>
              </w:rPr>
              <w:t>与推理有关的数学思想</w:t>
            </w:r>
          </w:p>
        </w:tc>
        <w:tc>
          <w:tcPr>
            <w:tcW w:w="3069" w:type="dxa"/>
            <w:vAlign w:val="center"/>
          </w:tcPr>
          <w:p w14:paraId="51209C34">
            <w:pPr>
              <w:widowControl/>
              <w:spacing w:line="24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w:t>
            </w:r>
            <w:r>
              <w:rPr>
                <w:rFonts w:ascii="Times New Roman" w:hAnsi="Times New Roman" w:eastAsia="宋体" w:cs="Times New Roman"/>
                <w:color w:val="auto"/>
                <w:sz w:val="21"/>
                <w:szCs w:val="21"/>
              </w:rPr>
              <w:t>能够掌握</w:t>
            </w:r>
            <w:r>
              <w:rPr>
                <w:rFonts w:ascii="Times New Roman" w:hAnsi="Times New Roman" w:eastAsia="宋体" w:cs="Times New Roman"/>
                <w:bCs/>
                <w:color w:val="auto"/>
                <w:sz w:val="21"/>
                <w:szCs w:val="21"/>
              </w:rPr>
              <w:t>归纳推理</w:t>
            </w:r>
          </w:p>
          <w:p w14:paraId="6B156183">
            <w:pPr>
              <w:widowControl/>
              <w:spacing w:line="24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ascii="Times New Roman" w:hAnsi="Times New Roman" w:eastAsia="宋体" w:cs="Times New Roman"/>
                <w:color w:val="auto"/>
                <w:sz w:val="21"/>
                <w:szCs w:val="21"/>
              </w:rPr>
              <w:t>能够理解</w:t>
            </w:r>
            <w:r>
              <w:rPr>
                <w:rFonts w:ascii="Times New Roman" w:hAnsi="Times New Roman" w:eastAsia="宋体" w:cs="Times New Roman"/>
                <w:bCs/>
                <w:color w:val="auto"/>
                <w:sz w:val="21"/>
                <w:szCs w:val="21"/>
              </w:rPr>
              <w:t>类比推理</w:t>
            </w:r>
          </w:p>
          <w:p w14:paraId="2E4ACAA3">
            <w:pPr>
              <w:widowControl/>
              <w:spacing w:line="24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w:t>
            </w:r>
            <w:r>
              <w:rPr>
                <w:rFonts w:ascii="Times New Roman" w:hAnsi="Times New Roman" w:eastAsia="宋体" w:cs="Times New Roman"/>
                <w:color w:val="auto"/>
                <w:sz w:val="21"/>
                <w:szCs w:val="21"/>
              </w:rPr>
              <w:t>能够掌握</w:t>
            </w:r>
            <w:r>
              <w:rPr>
                <w:rFonts w:ascii="Times New Roman" w:hAnsi="Times New Roman" w:eastAsia="宋体" w:cs="Times New Roman"/>
                <w:bCs/>
                <w:color w:val="auto"/>
                <w:sz w:val="21"/>
                <w:szCs w:val="21"/>
              </w:rPr>
              <w:t>演绎推理</w:t>
            </w:r>
          </w:p>
          <w:p w14:paraId="064CA65C">
            <w:pPr>
              <w:widowControl/>
              <w:spacing w:line="24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w:t>
            </w:r>
            <w:r>
              <w:rPr>
                <w:rFonts w:ascii="Times New Roman" w:hAnsi="Times New Roman" w:eastAsia="宋体" w:cs="Times New Roman"/>
                <w:color w:val="auto"/>
                <w:sz w:val="21"/>
                <w:szCs w:val="21"/>
              </w:rPr>
              <w:t>能够理解</w:t>
            </w:r>
            <w:r>
              <w:rPr>
                <w:rFonts w:ascii="Times New Roman" w:hAnsi="Times New Roman" w:eastAsia="宋体" w:cs="Times New Roman"/>
                <w:bCs/>
                <w:color w:val="auto"/>
                <w:sz w:val="21"/>
                <w:szCs w:val="21"/>
              </w:rPr>
              <w:t>转化思想</w:t>
            </w:r>
          </w:p>
          <w:p w14:paraId="4596D46A">
            <w:pPr>
              <w:widowControl/>
              <w:spacing w:line="24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w:t>
            </w:r>
            <w:r>
              <w:rPr>
                <w:rFonts w:ascii="Times New Roman" w:hAnsi="Times New Roman" w:eastAsia="宋体" w:cs="Times New Roman"/>
                <w:color w:val="auto"/>
                <w:sz w:val="21"/>
                <w:szCs w:val="21"/>
              </w:rPr>
              <w:t>能够掌握</w:t>
            </w:r>
            <w:r>
              <w:rPr>
                <w:rFonts w:ascii="Times New Roman" w:hAnsi="Times New Roman" w:eastAsia="宋体" w:cs="Times New Roman"/>
                <w:bCs/>
                <w:color w:val="auto"/>
                <w:sz w:val="21"/>
                <w:szCs w:val="21"/>
              </w:rPr>
              <w:t>数形结合思想</w:t>
            </w:r>
          </w:p>
          <w:p w14:paraId="465FBACD">
            <w:pPr>
              <w:widowControl/>
              <w:spacing w:line="24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w:t>
            </w:r>
            <w:r>
              <w:rPr>
                <w:rFonts w:ascii="Times New Roman" w:hAnsi="Times New Roman" w:eastAsia="宋体" w:cs="Times New Roman"/>
                <w:color w:val="auto"/>
                <w:sz w:val="21"/>
                <w:szCs w:val="21"/>
              </w:rPr>
              <w:t>能够了解</w:t>
            </w:r>
            <w:r>
              <w:rPr>
                <w:rFonts w:ascii="Times New Roman" w:hAnsi="Times New Roman" w:eastAsia="宋体" w:cs="Times New Roman"/>
                <w:bCs/>
                <w:color w:val="auto"/>
                <w:sz w:val="21"/>
                <w:szCs w:val="21"/>
              </w:rPr>
              <w:t>几何变换思想</w:t>
            </w:r>
          </w:p>
          <w:p w14:paraId="618E3192">
            <w:pPr>
              <w:widowControl/>
              <w:spacing w:line="24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w:t>
            </w:r>
            <w:r>
              <w:rPr>
                <w:rFonts w:ascii="Times New Roman" w:hAnsi="Times New Roman" w:eastAsia="宋体" w:cs="Times New Roman"/>
                <w:color w:val="auto"/>
                <w:sz w:val="21"/>
                <w:szCs w:val="21"/>
              </w:rPr>
              <w:t>能够理解</w:t>
            </w:r>
            <w:r>
              <w:rPr>
                <w:rFonts w:ascii="Times New Roman" w:hAnsi="Times New Roman" w:eastAsia="宋体" w:cs="Times New Roman"/>
                <w:bCs/>
                <w:color w:val="auto"/>
                <w:sz w:val="21"/>
                <w:szCs w:val="21"/>
              </w:rPr>
              <w:t>极限思想</w:t>
            </w:r>
          </w:p>
          <w:p w14:paraId="459D5655">
            <w:pPr>
              <w:widowControl/>
              <w:spacing w:line="240" w:lineRule="auto"/>
              <w:rPr>
                <w:rFonts w:hint="eastAsia" w:ascii="宋体" w:hAnsi="宋体" w:eastAsia="宋体" w:cs="Times New Roman"/>
                <w:color w:val="auto"/>
                <w:sz w:val="21"/>
                <w:szCs w:val="21"/>
              </w:rPr>
            </w:pPr>
            <w:r>
              <w:rPr>
                <w:rFonts w:ascii="Times New Roman" w:hAnsi="Times New Roman" w:eastAsia="宋体" w:cs="Times New Roman"/>
                <w:bCs/>
                <w:color w:val="auto"/>
                <w:sz w:val="21"/>
                <w:szCs w:val="21"/>
              </w:rPr>
              <w:t>（8）</w:t>
            </w:r>
            <w:r>
              <w:rPr>
                <w:rFonts w:ascii="Times New Roman" w:hAnsi="Times New Roman" w:eastAsia="宋体" w:cs="Times New Roman"/>
                <w:color w:val="auto"/>
                <w:sz w:val="21"/>
                <w:szCs w:val="21"/>
              </w:rPr>
              <w:t>能够掌握</w:t>
            </w:r>
            <w:r>
              <w:rPr>
                <w:rFonts w:ascii="Times New Roman" w:hAnsi="Times New Roman" w:eastAsia="宋体" w:cs="Times New Roman"/>
                <w:bCs/>
                <w:color w:val="auto"/>
                <w:sz w:val="21"/>
                <w:szCs w:val="21"/>
              </w:rPr>
              <w:t>代换思想</w:t>
            </w:r>
          </w:p>
        </w:tc>
        <w:tc>
          <w:tcPr>
            <w:tcW w:w="1167" w:type="dxa"/>
            <w:vAlign w:val="center"/>
          </w:tcPr>
          <w:p w14:paraId="4005E50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w:t>
            </w:r>
          </w:p>
        </w:tc>
        <w:tc>
          <w:tcPr>
            <w:tcW w:w="1996" w:type="dxa"/>
            <w:vAlign w:val="center"/>
          </w:tcPr>
          <w:p w14:paraId="1DB29582">
            <w:pPr>
              <w:spacing w:line="240" w:lineRule="auto"/>
              <w:rPr>
                <w:rFonts w:hint="eastAsia" w:ascii="宋体" w:hAnsi="宋体" w:eastAsia="宋体" w:cs="Times New Roman"/>
                <w:color w:val="auto"/>
                <w:sz w:val="21"/>
                <w:szCs w:val="21"/>
              </w:rPr>
            </w:pPr>
            <w:r>
              <w:rPr>
                <w:rFonts w:hint="eastAsia" w:ascii="Times New Roman" w:hAnsi="Times New Roman" w:eastAsia="宋体" w:cs="Times New Roman"/>
                <w:bCs/>
                <w:color w:val="auto"/>
                <w:sz w:val="21"/>
                <w:szCs w:val="21"/>
              </w:rPr>
              <w:t>了解掌握</w:t>
            </w:r>
            <w:r>
              <w:rPr>
                <w:rFonts w:ascii="Times New Roman" w:hAnsi="Times New Roman" w:eastAsia="宋体" w:cs="Times New Roman"/>
                <w:bCs/>
                <w:color w:val="auto"/>
                <w:sz w:val="21"/>
                <w:szCs w:val="21"/>
              </w:rPr>
              <w:t>归纳推理，类比推理，转化思想，数形结合思想，几何变换思想，极限思想</w:t>
            </w:r>
            <w:r>
              <w:rPr>
                <w:rFonts w:ascii="Times New Roman" w:hAnsi="Times New Roman" w:eastAsia="宋体" w:cs="Times New Roman"/>
                <w:color w:val="auto"/>
                <w:sz w:val="21"/>
                <w:szCs w:val="21"/>
              </w:rPr>
              <w:t>。</w:t>
            </w:r>
          </w:p>
        </w:tc>
        <w:tc>
          <w:tcPr>
            <w:tcW w:w="1615" w:type="dxa"/>
            <w:vAlign w:val="center"/>
          </w:tcPr>
          <w:p w14:paraId="671E6F65">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15A4675C">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w:t>
            </w:r>
          </w:p>
          <w:p w14:paraId="5F1DFCF3">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3.课堂讨论</w:t>
            </w:r>
          </w:p>
          <w:p w14:paraId="1C7DEFE3">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756" w:type="dxa"/>
            <w:vAlign w:val="center"/>
          </w:tcPr>
          <w:p w14:paraId="39FCE496">
            <w:pPr>
              <w:spacing w:line="240" w:lineRule="auto"/>
              <w:jc w:val="cente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9</w:t>
            </w:r>
          </w:p>
        </w:tc>
      </w:tr>
      <w:tr w14:paraId="5682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continue"/>
            <w:vAlign w:val="center"/>
          </w:tcPr>
          <w:p w14:paraId="18447C13">
            <w:pPr>
              <w:spacing w:line="240" w:lineRule="auto"/>
              <w:jc w:val="center"/>
              <w:rPr>
                <w:rFonts w:hint="eastAsia" w:ascii="宋体" w:hAnsi="宋体" w:eastAsia="宋体" w:cs="Times New Roman"/>
                <w:color w:val="auto"/>
                <w:sz w:val="21"/>
                <w:szCs w:val="21"/>
              </w:rPr>
            </w:pPr>
          </w:p>
        </w:tc>
        <w:tc>
          <w:tcPr>
            <w:tcW w:w="8603" w:type="dxa"/>
            <w:gridSpan w:val="5"/>
            <w:vAlign w:val="center"/>
          </w:tcPr>
          <w:p w14:paraId="756ADF46">
            <w:pPr>
              <w:spacing w:line="240" w:lineRule="auto"/>
              <w:ind w:firstLine="422" w:firstLineChars="200"/>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42B0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restart"/>
            <w:vAlign w:val="center"/>
          </w:tcPr>
          <w:p w14:paraId="0F28FCAB">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与模型有关的数学思想</w:t>
            </w:r>
          </w:p>
        </w:tc>
        <w:tc>
          <w:tcPr>
            <w:tcW w:w="3069" w:type="dxa"/>
            <w:vAlign w:val="center"/>
          </w:tcPr>
          <w:p w14:paraId="3271E944">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（1）能够了解模型思想</w:t>
            </w:r>
          </w:p>
          <w:p w14:paraId="570E9192">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（2）能够理解方程思想</w:t>
            </w:r>
          </w:p>
          <w:p w14:paraId="64F36CE5">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（3）能够理解函数思想</w:t>
            </w:r>
          </w:p>
          <w:p w14:paraId="69A58BBE">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（4）能够理解优化思想</w:t>
            </w:r>
          </w:p>
          <w:p w14:paraId="0EEEF036">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（5）能够了解统计思想</w:t>
            </w:r>
          </w:p>
          <w:p w14:paraId="3A90021D">
            <w:pPr>
              <w:spacing w:line="240" w:lineRule="auto"/>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（6）能够了解随机思想</w:t>
            </w:r>
          </w:p>
        </w:tc>
        <w:tc>
          <w:tcPr>
            <w:tcW w:w="1167" w:type="dxa"/>
            <w:vAlign w:val="center"/>
          </w:tcPr>
          <w:p w14:paraId="41ADDF30">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w:t>
            </w:r>
          </w:p>
        </w:tc>
        <w:tc>
          <w:tcPr>
            <w:tcW w:w="1996" w:type="dxa"/>
            <w:vAlign w:val="center"/>
          </w:tcPr>
          <w:p w14:paraId="0DE6B5CB">
            <w:pPr>
              <w:spacing w:line="240" w:lineRule="auto"/>
              <w:rPr>
                <w:rFonts w:hint="eastAsia" w:ascii="宋体" w:hAnsi="宋体" w:eastAsia="宋体" w:cs="Times New Roman"/>
                <w:color w:val="auto"/>
                <w:sz w:val="21"/>
                <w:szCs w:val="21"/>
              </w:rPr>
            </w:pPr>
            <w:r>
              <w:rPr>
                <w:rFonts w:hint="eastAsia" w:ascii="Times New Roman" w:hAnsi="Times New Roman" w:eastAsia="宋体" w:cs="Times New Roman"/>
                <w:color w:val="auto"/>
                <w:sz w:val="21"/>
                <w:szCs w:val="21"/>
              </w:rPr>
              <w:t>了解掌握</w:t>
            </w:r>
            <w:r>
              <w:rPr>
                <w:rFonts w:ascii="Times New Roman" w:hAnsi="Times New Roman" w:eastAsia="宋体" w:cs="Times New Roman"/>
                <w:color w:val="auto"/>
                <w:sz w:val="21"/>
                <w:szCs w:val="21"/>
              </w:rPr>
              <w:t>方程思想，模型思想，函数思想，优化思想，统计思想。</w:t>
            </w:r>
          </w:p>
        </w:tc>
        <w:tc>
          <w:tcPr>
            <w:tcW w:w="1615" w:type="dxa"/>
            <w:vAlign w:val="center"/>
          </w:tcPr>
          <w:p w14:paraId="66D8D821">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27E84A59">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w:t>
            </w:r>
          </w:p>
          <w:p w14:paraId="15790270">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3.课堂讨论</w:t>
            </w:r>
          </w:p>
          <w:p w14:paraId="5E5F4ED0">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756" w:type="dxa"/>
            <w:vAlign w:val="center"/>
          </w:tcPr>
          <w:p w14:paraId="0F6818A3">
            <w:pPr>
              <w:spacing w:line="240" w:lineRule="auto"/>
              <w:jc w:val="cente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6</w:t>
            </w:r>
          </w:p>
        </w:tc>
      </w:tr>
      <w:tr w14:paraId="197A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continue"/>
            <w:vAlign w:val="center"/>
          </w:tcPr>
          <w:p w14:paraId="2D672BE1">
            <w:pPr>
              <w:spacing w:line="240" w:lineRule="auto"/>
              <w:jc w:val="center"/>
              <w:rPr>
                <w:rFonts w:hint="eastAsia" w:ascii="宋体" w:hAnsi="宋体" w:eastAsia="宋体" w:cs="Times New Roman"/>
                <w:color w:val="auto"/>
                <w:sz w:val="21"/>
                <w:szCs w:val="21"/>
              </w:rPr>
            </w:pPr>
          </w:p>
        </w:tc>
        <w:tc>
          <w:tcPr>
            <w:tcW w:w="8603" w:type="dxa"/>
            <w:gridSpan w:val="5"/>
            <w:vAlign w:val="center"/>
          </w:tcPr>
          <w:p w14:paraId="6DBC345D">
            <w:pPr>
              <w:spacing w:line="240" w:lineRule="auto"/>
              <w:ind w:firstLine="422" w:firstLineChars="200"/>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535D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restart"/>
            <w:vAlign w:val="center"/>
          </w:tcPr>
          <w:p w14:paraId="2D3FEE1C">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5.</w:t>
            </w:r>
            <w:r>
              <w:rPr>
                <w:rFonts w:ascii="宋体" w:hAnsi="宋体" w:eastAsia="宋体" w:cs="Times New Roman"/>
                <w:color w:val="auto"/>
                <w:sz w:val="21"/>
                <w:szCs w:val="21"/>
              </w:rPr>
              <w:t>其他数学思想方法</w:t>
            </w:r>
          </w:p>
        </w:tc>
        <w:tc>
          <w:tcPr>
            <w:tcW w:w="3069" w:type="dxa"/>
            <w:vAlign w:val="center"/>
          </w:tcPr>
          <w:p w14:paraId="089E652B">
            <w:pPr>
              <w:spacing w:line="240" w:lineRule="auto"/>
              <w:rPr>
                <w:rFonts w:ascii="Times New Roman" w:hAnsi="Times New Roman" w:eastAsia="宋体" w:cs="Times New Roman"/>
                <w:bCs/>
                <w:color w:val="auto"/>
                <w:kern w:val="24"/>
                <w:sz w:val="21"/>
                <w:szCs w:val="21"/>
              </w:rPr>
            </w:pPr>
            <w:r>
              <w:rPr>
                <w:rFonts w:ascii="Times New Roman" w:hAnsi="Times New Roman" w:eastAsia="宋体" w:cs="Times New Roman"/>
                <w:bCs/>
                <w:color w:val="auto"/>
                <w:kern w:val="24"/>
                <w:sz w:val="21"/>
                <w:szCs w:val="21"/>
              </w:rPr>
              <w:t>（1）</w:t>
            </w:r>
            <w:r>
              <w:rPr>
                <w:rFonts w:ascii="Times New Roman" w:hAnsi="Times New Roman" w:eastAsia="宋体" w:cs="Times New Roman"/>
                <w:color w:val="auto"/>
                <w:sz w:val="21"/>
                <w:szCs w:val="21"/>
              </w:rPr>
              <w:t>能够了解</w:t>
            </w:r>
            <w:r>
              <w:rPr>
                <w:rFonts w:ascii="Times New Roman" w:hAnsi="Times New Roman" w:eastAsia="宋体" w:cs="Times New Roman"/>
                <w:bCs/>
                <w:color w:val="auto"/>
                <w:kern w:val="24"/>
                <w:sz w:val="21"/>
                <w:szCs w:val="21"/>
              </w:rPr>
              <w:t>数学美思想（了解）</w:t>
            </w:r>
          </w:p>
          <w:p w14:paraId="3F9BD08D">
            <w:pPr>
              <w:spacing w:line="240" w:lineRule="auto"/>
              <w:rPr>
                <w:rFonts w:ascii="Times New Roman" w:hAnsi="Times New Roman" w:eastAsia="宋体" w:cs="Times New Roman"/>
                <w:bCs/>
                <w:color w:val="auto"/>
                <w:kern w:val="11"/>
                <w:sz w:val="21"/>
                <w:szCs w:val="21"/>
              </w:rPr>
            </w:pPr>
            <w:r>
              <w:rPr>
                <w:rFonts w:ascii="Times New Roman" w:hAnsi="Times New Roman" w:eastAsia="宋体" w:cs="Times New Roman"/>
                <w:bCs/>
                <w:color w:val="auto"/>
                <w:kern w:val="11"/>
                <w:sz w:val="21"/>
                <w:szCs w:val="21"/>
              </w:rPr>
              <w:t>（2）</w:t>
            </w:r>
            <w:r>
              <w:rPr>
                <w:rFonts w:ascii="Times New Roman" w:hAnsi="Times New Roman" w:eastAsia="宋体" w:cs="Times New Roman"/>
                <w:color w:val="auto"/>
                <w:sz w:val="21"/>
                <w:szCs w:val="21"/>
              </w:rPr>
              <w:t>能够理解</w:t>
            </w:r>
            <w:r>
              <w:rPr>
                <w:rFonts w:ascii="Times New Roman" w:hAnsi="Times New Roman" w:eastAsia="宋体" w:cs="Times New Roman"/>
                <w:bCs/>
                <w:color w:val="auto"/>
                <w:kern w:val="11"/>
                <w:sz w:val="21"/>
                <w:szCs w:val="21"/>
              </w:rPr>
              <w:t>分析法和综合法（理解）</w:t>
            </w:r>
          </w:p>
          <w:p w14:paraId="579C9853">
            <w:pPr>
              <w:spacing w:line="240" w:lineRule="auto"/>
              <w:rPr>
                <w:rFonts w:ascii="Times New Roman" w:hAnsi="Times New Roman" w:eastAsia="宋体" w:cs="Times New Roman"/>
                <w:bCs/>
                <w:color w:val="auto"/>
                <w:kern w:val="11"/>
                <w:sz w:val="21"/>
                <w:szCs w:val="21"/>
              </w:rPr>
            </w:pPr>
            <w:r>
              <w:rPr>
                <w:rFonts w:ascii="Times New Roman" w:hAnsi="Times New Roman" w:eastAsia="宋体" w:cs="Times New Roman"/>
                <w:bCs/>
                <w:color w:val="auto"/>
                <w:kern w:val="11"/>
                <w:sz w:val="21"/>
                <w:szCs w:val="21"/>
              </w:rPr>
              <w:t>（3）</w:t>
            </w:r>
            <w:r>
              <w:rPr>
                <w:rFonts w:ascii="Times New Roman" w:hAnsi="Times New Roman" w:eastAsia="宋体" w:cs="Times New Roman"/>
                <w:color w:val="auto"/>
                <w:sz w:val="21"/>
                <w:szCs w:val="21"/>
              </w:rPr>
              <w:t>能够掌握</w:t>
            </w:r>
            <w:r>
              <w:rPr>
                <w:rFonts w:ascii="Times New Roman" w:hAnsi="Times New Roman" w:eastAsia="宋体" w:cs="Times New Roman"/>
                <w:bCs/>
                <w:color w:val="auto"/>
                <w:kern w:val="11"/>
                <w:sz w:val="21"/>
                <w:szCs w:val="21"/>
              </w:rPr>
              <w:t xml:space="preserve"> 反证法</w:t>
            </w:r>
            <w:r>
              <w:rPr>
                <w:rFonts w:ascii="Times New Roman" w:hAnsi="Times New Roman" w:eastAsia="宋体" w:cs="Times New Roman"/>
                <w:bCs/>
                <w:color w:val="auto"/>
                <w:sz w:val="21"/>
                <w:szCs w:val="21"/>
              </w:rPr>
              <w:t>（掌握）</w:t>
            </w:r>
          </w:p>
          <w:p w14:paraId="2D8C7F98">
            <w:pPr>
              <w:spacing w:line="240" w:lineRule="auto"/>
              <w:rPr>
                <w:rFonts w:ascii="Times New Roman" w:hAnsi="Times New Roman" w:eastAsia="宋体" w:cs="Times New Roman"/>
                <w:bCs/>
                <w:color w:val="auto"/>
                <w:kern w:val="11"/>
                <w:sz w:val="21"/>
                <w:szCs w:val="21"/>
              </w:rPr>
            </w:pPr>
            <w:r>
              <w:rPr>
                <w:rFonts w:ascii="Times New Roman" w:hAnsi="Times New Roman" w:eastAsia="宋体" w:cs="Times New Roman"/>
                <w:bCs/>
                <w:color w:val="auto"/>
                <w:kern w:val="11"/>
                <w:sz w:val="21"/>
                <w:szCs w:val="21"/>
              </w:rPr>
              <w:t>（4）</w:t>
            </w:r>
            <w:r>
              <w:rPr>
                <w:rFonts w:ascii="Times New Roman" w:hAnsi="Times New Roman" w:eastAsia="宋体" w:cs="Times New Roman"/>
                <w:color w:val="auto"/>
                <w:sz w:val="21"/>
                <w:szCs w:val="21"/>
              </w:rPr>
              <w:t>能够掌握</w:t>
            </w:r>
            <w:r>
              <w:rPr>
                <w:rFonts w:ascii="Times New Roman" w:hAnsi="Times New Roman" w:eastAsia="宋体" w:cs="Times New Roman"/>
                <w:bCs/>
                <w:color w:val="auto"/>
                <w:kern w:val="11"/>
                <w:sz w:val="21"/>
                <w:szCs w:val="21"/>
              </w:rPr>
              <w:t>假设法</w:t>
            </w:r>
            <w:r>
              <w:rPr>
                <w:rFonts w:ascii="Times New Roman" w:hAnsi="Times New Roman" w:eastAsia="宋体" w:cs="Times New Roman"/>
                <w:bCs/>
                <w:color w:val="auto"/>
                <w:sz w:val="21"/>
                <w:szCs w:val="21"/>
              </w:rPr>
              <w:t>（掌握）</w:t>
            </w:r>
          </w:p>
          <w:p w14:paraId="0207C316">
            <w:pPr>
              <w:spacing w:line="240" w:lineRule="auto"/>
              <w:rPr>
                <w:rFonts w:ascii="Times New Roman" w:hAnsi="Times New Roman" w:eastAsia="宋体" w:cs="Times New Roman"/>
                <w:bCs/>
                <w:color w:val="auto"/>
                <w:kern w:val="11"/>
                <w:sz w:val="21"/>
                <w:szCs w:val="21"/>
              </w:rPr>
            </w:pPr>
            <w:r>
              <w:rPr>
                <w:rFonts w:ascii="Times New Roman" w:hAnsi="Times New Roman" w:eastAsia="宋体" w:cs="Times New Roman"/>
                <w:bCs/>
                <w:color w:val="auto"/>
                <w:kern w:val="11"/>
                <w:sz w:val="21"/>
                <w:szCs w:val="21"/>
              </w:rPr>
              <w:t>（5）</w:t>
            </w:r>
            <w:r>
              <w:rPr>
                <w:rFonts w:ascii="Times New Roman" w:hAnsi="Times New Roman" w:eastAsia="宋体" w:cs="Times New Roman"/>
                <w:color w:val="auto"/>
                <w:sz w:val="21"/>
                <w:szCs w:val="21"/>
              </w:rPr>
              <w:t>能够了解</w:t>
            </w:r>
            <w:r>
              <w:rPr>
                <w:rFonts w:ascii="Times New Roman" w:hAnsi="Times New Roman" w:eastAsia="宋体" w:cs="Times New Roman"/>
                <w:bCs/>
                <w:color w:val="auto"/>
                <w:kern w:val="11"/>
                <w:sz w:val="21"/>
                <w:szCs w:val="21"/>
              </w:rPr>
              <w:t>穷举法</w:t>
            </w:r>
            <w:r>
              <w:rPr>
                <w:rFonts w:ascii="Times New Roman" w:hAnsi="Times New Roman" w:eastAsia="宋体" w:cs="Times New Roman"/>
                <w:bCs/>
                <w:color w:val="auto"/>
                <w:sz w:val="21"/>
                <w:szCs w:val="21"/>
              </w:rPr>
              <w:t>（了解）</w:t>
            </w:r>
          </w:p>
          <w:p w14:paraId="224A2F14">
            <w:pPr>
              <w:spacing w:line="240" w:lineRule="auto"/>
              <w:rPr>
                <w:rFonts w:hint="eastAsia" w:ascii="宋体" w:hAnsi="宋体" w:eastAsia="宋体" w:cs="Times New Roman"/>
                <w:color w:val="auto"/>
                <w:sz w:val="21"/>
                <w:szCs w:val="21"/>
              </w:rPr>
            </w:pPr>
            <w:r>
              <w:rPr>
                <w:rFonts w:ascii="Times New Roman" w:hAnsi="Times New Roman" w:eastAsia="宋体" w:cs="Times New Roman"/>
                <w:bCs/>
                <w:color w:val="auto"/>
                <w:kern w:val="11"/>
                <w:sz w:val="21"/>
                <w:szCs w:val="21"/>
              </w:rPr>
              <w:t>（6）</w:t>
            </w:r>
            <w:r>
              <w:rPr>
                <w:rFonts w:ascii="Times New Roman" w:hAnsi="Times New Roman" w:eastAsia="宋体" w:cs="Times New Roman"/>
                <w:color w:val="auto"/>
                <w:sz w:val="21"/>
                <w:szCs w:val="21"/>
              </w:rPr>
              <w:t>能够了解</w:t>
            </w:r>
            <w:r>
              <w:rPr>
                <w:rFonts w:ascii="Times New Roman" w:hAnsi="Times New Roman" w:eastAsia="宋体" w:cs="Times New Roman"/>
                <w:bCs/>
                <w:color w:val="auto"/>
                <w:kern w:val="11"/>
                <w:sz w:val="21"/>
                <w:szCs w:val="21"/>
              </w:rPr>
              <w:t>数学思想方法的综合应用</w:t>
            </w:r>
            <w:r>
              <w:rPr>
                <w:rFonts w:ascii="Times New Roman" w:hAnsi="Times New Roman" w:eastAsia="宋体" w:cs="Times New Roman"/>
                <w:bCs/>
                <w:color w:val="auto"/>
                <w:sz w:val="21"/>
                <w:szCs w:val="21"/>
              </w:rPr>
              <w:t>（了解）</w:t>
            </w:r>
          </w:p>
        </w:tc>
        <w:tc>
          <w:tcPr>
            <w:tcW w:w="1167" w:type="dxa"/>
            <w:vAlign w:val="center"/>
          </w:tcPr>
          <w:p w14:paraId="12FCCC5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w:t>
            </w:r>
          </w:p>
        </w:tc>
        <w:tc>
          <w:tcPr>
            <w:tcW w:w="1996" w:type="dxa"/>
            <w:vAlign w:val="center"/>
          </w:tcPr>
          <w:p w14:paraId="033F7B70">
            <w:pPr>
              <w:spacing w:line="240" w:lineRule="auto"/>
              <w:rPr>
                <w:rFonts w:hint="eastAsia" w:ascii="宋体" w:hAnsi="宋体" w:eastAsia="宋体" w:cs="Times New Roman"/>
                <w:color w:val="auto"/>
                <w:sz w:val="21"/>
                <w:szCs w:val="21"/>
              </w:rPr>
            </w:pPr>
            <w:r>
              <w:rPr>
                <w:rFonts w:hint="eastAsia" w:ascii="Times New Roman" w:hAnsi="Times New Roman" w:eastAsia="宋体" w:cs="Times New Roman"/>
                <w:bCs/>
                <w:color w:val="auto"/>
                <w:kern w:val="11"/>
                <w:sz w:val="21"/>
                <w:szCs w:val="21"/>
              </w:rPr>
              <w:t>了解掌握</w:t>
            </w:r>
            <w:r>
              <w:rPr>
                <w:rFonts w:ascii="Times New Roman" w:hAnsi="Times New Roman" w:eastAsia="宋体" w:cs="Times New Roman"/>
                <w:bCs/>
                <w:color w:val="auto"/>
                <w:kern w:val="11"/>
                <w:sz w:val="21"/>
                <w:szCs w:val="21"/>
              </w:rPr>
              <w:t>数学美思想，分析法和综合法，反证法，数学思想方法的综合应用</w:t>
            </w:r>
            <w:r>
              <w:rPr>
                <w:rFonts w:ascii="Times New Roman" w:hAnsi="Times New Roman" w:eastAsia="宋体" w:cs="Times New Roman"/>
                <w:color w:val="auto"/>
                <w:sz w:val="21"/>
                <w:szCs w:val="21"/>
              </w:rPr>
              <w:t>。</w:t>
            </w:r>
          </w:p>
        </w:tc>
        <w:tc>
          <w:tcPr>
            <w:tcW w:w="1615" w:type="dxa"/>
            <w:vAlign w:val="center"/>
          </w:tcPr>
          <w:p w14:paraId="356F1A28">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024B394B">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w:t>
            </w:r>
          </w:p>
          <w:p w14:paraId="1AE1A4AD">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3.课堂讨论</w:t>
            </w:r>
          </w:p>
          <w:p w14:paraId="5D773DB1">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756" w:type="dxa"/>
            <w:vAlign w:val="center"/>
          </w:tcPr>
          <w:p w14:paraId="02719348">
            <w:pPr>
              <w:spacing w:line="240" w:lineRule="auto"/>
              <w:jc w:val="left"/>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6</w:t>
            </w:r>
          </w:p>
        </w:tc>
      </w:tr>
      <w:tr w14:paraId="2A1C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continue"/>
            <w:vAlign w:val="center"/>
          </w:tcPr>
          <w:p w14:paraId="3ECF15AC">
            <w:pPr>
              <w:spacing w:line="240" w:lineRule="auto"/>
              <w:jc w:val="center"/>
              <w:rPr>
                <w:rFonts w:hint="eastAsia" w:ascii="宋体" w:hAnsi="宋体" w:eastAsia="宋体" w:cs="Times New Roman"/>
                <w:color w:val="auto"/>
                <w:sz w:val="21"/>
                <w:szCs w:val="21"/>
              </w:rPr>
            </w:pPr>
          </w:p>
        </w:tc>
        <w:tc>
          <w:tcPr>
            <w:tcW w:w="8603" w:type="dxa"/>
            <w:gridSpan w:val="5"/>
            <w:vAlign w:val="center"/>
          </w:tcPr>
          <w:p w14:paraId="0A171AEE">
            <w:pPr>
              <w:spacing w:line="240" w:lineRule="auto"/>
              <w:ind w:firstLine="422" w:firstLineChars="200"/>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612A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1" w:type="dxa"/>
            <w:vMerge w:val="restart"/>
            <w:vAlign w:val="center"/>
          </w:tcPr>
          <w:p w14:paraId="02E6F40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w:t>
            </w:r>
            <w:r>
              <w:rPr>
                <w:rFonts w:ascii="宋体" w:hAnsi="宋体" w:eastAsia="宋体" w:cs="Times New Roman"/>
                <w:color w:val="auto"/>
                <w:sz w:val="21"/>
                <w:szCs w:val="21"/>
              </w:rPr>
              <w:t>分组讨论教学——小学数学教学</w:t>
            </w:r>
          </w:p>
          <w:p w14:paraId="712C48BE">
            <w:pPr>
              <w:spacing w:line="240" w:lineRule="auto"/>
              <w:jc w:val="center"/>
              <w:rPr>
                <w:rFonts w:hint="eastAsia" w:ascii="宋体" w:hAnsi="宋体" w:eastAsia="宋体" w:cs="Times New Roman"/>
                <w:color w:val="auto"/>
                <w:sz w:val="21"/>
                <w:szCs w:val="21"/>
              </w:rPr>
            </w:pPr>
          </w:p>
        </w:tc>
        <w:tc>
          <w:tcPr>
            <w:tcW w:w="3069" w:type="dxa"/>
            <w:vAlign w:val="center"/>
          </w:tcPr>
          <w:p w14:paraId="4AEF9491">
            <w:pPr>
              <w:spacing w:line="240" w:lineRule="auto"/>
              <w:jc w:val="left"/>
              <w:rPr>
                <w:rFonts w:ascii="Times New Roman" w:hAnsi="Times New Roman" w:eastAsia="宋体" w:cs="Times New Roman"/>
                <w:bCs/>
                <w:color w:val="auto"/>
                <w:kern w:val="11"/>
                <w:sz w:val="21"/>
                <w:szCs w:val="21"/>
              </w:rPr>
            </w:pPr>
            <w:r>
              <w:rPr>
                <w:rFonts w:hint="eastAsia" w:ascii="Times New Roman" w:hAnsi="Times New Roman" w:eastAsia="宋体" w:cs="Times New Roman"/>
                <w:color w:val="auto"/>
                <w:sz w:val="21"/>
                <w:szCs w:val="21"/>
              </w:rPr>
              <w:t>（1）</w:t>
            </w:r>
            <w:r>
              <w:rPr>
                <w:rFonts w:ascii="Times New Roman" w:hAnsi="Times New Roman" w:eastAsia="宋体" w:cs="Times New Roman"/>
                <w:color w:val="auto"/>
                <w:sz w:val="21"/>
                <w:szCs w:val="21"/>
              </w:rPr>
              <w:t>能够掌握</w:t>
            </w:r>
            <w:r>
              <w:rPr>
                <w:rFonts w:ascii="Times New Roman" w:hAnsi="Times New Roman" w:eastAsia="宋体" w:cs="Times New Roman"/>
                <w:bCs/>
                <w:color w:val="auto"/>
                <w:kern w:val="11"/>
                <w:sz w:val="21"/>
                <w:szCs w:val="21"/>
              </w:rPr>
              <w:t>结合案例分组讨论教学</w:t>
            </w:r>
          </w:p>
          <w:p w14:paraId="1CF525CB">
            <w:pPr>
              <w:spacing w:line="240" w:lineRule="auto"/>
              <w:jc w:val="left"/>
              <w:rPr>
                <w:rFonts w:hint="eastAsia" w:ascii="宋体" w:hAnsi="宋体" w:eastAsia="宋体" w:cs="Times New Roman"/>
                <w:b/>
                <w:color w:val="auto"/>
                <w:sz w:val="21"/>
                <w:szCs w:val="21"/>
              </w:rPr>
            </w:pPr>
            <w:r>
              <w:rPr>
                <w:rFonts w:ascii="Times New Roman" w:hAnsi="Times New Roman" w:eastAsia="宋体" w:cs="Times New Roman"/>
                <w:bCs/>
                <w:color w:val="auto"/>
                <w:kern w:val="11"/>
                <w:sz w:val="21"/>
                <w:szCs w:val="21"/>
              </w:rPr>
              <w:t>（2）</w:t>
            </w:r>
            <w:r>
              <w:rPr>
                <w:rFonts w:ascii="Times New Roman" w:hAnsi="Times New Roman" w:eastAsia="宋体" w:cs="Times New Roman"/>
                <w:color w:val="auto"/>
                <w:sz w:val="21"/>
                <w:szCs w:val="21"/>
              </w:rPr>
              <w:t>能够掌握</w:t>
            </w:r>
            <w:r>
              <w:rPr>
                <w:rFonts w:ascii="Times New Roman" w:hAnsi="Times New Roman" w:eastAsia="宋体" w:cs="Times New Roman"/>
                <w:bCs/>
                <w:color w:val="auto"/>
                <w:kern w:val="11"/>
                <w:sz w:val="21"/>
                <w:szCs w:val="21"/>
              </w:rPr>
              <w:t>各组派代表上讲台教学</w:t>
            </w:r>
          </w:p>
        </w:tc>
        <w:tc>
          <w:tcPr>
            <w:tcW w:w="1167" w:type="dxa"/>
            <w:vAlign w:val="center"/>
          </w:tcPr>
          <w:p w14:paraId="05B08BFE">
            <w:pPr>
              <w:spacing w:line="240" w:lineRule="auto"/>
              <w:rPr>
                <w:rFonts w:hint="eastAsia" w:ascii="宋体" w:hAnsi="宋体" w:eastAsia="宋体" w:cs="Times New Roman"/>
                <w:b/>
                <w:color w:val="auto"/>
                <w:sz w:val="21"/>
                <w:szCs w:val="21"/>
              </w:rPr>
            </w:pPr>
            <w:r>
              <w:rPr>
                <w:rFonts w:hint="eastAsia" w:ascii="宋体" w:hAnsi="宋体" w:eastAsia="宋体" w:cs="Times New Roman"/>
                <w:color w:val="auto"/>
                <w:sz w:val="21"/>
                <w:szCs w:val="21"/>
              </w:rPr>
              <w:t>课程目标1、2</w:t>
            </w:r>
          </w:p>
        </w:tc>
        <w:tc>
          <w:tcPr>
            <w:tcW w:w="1996" w:type="dxa"/>
            <w:vAlign w:val="center"/>
          </w:tcPr>
          <w:p w14:paraId="7382FB61">
            <w:pPr>
              <w:spacing w:line="240" w:lineRule="auto"/>
              <w:rPr>
                <w:rFonts w:hint="eastAsia" w:ascii="宋体" w:hAnsi="宋体" w:eastAsia="宋体" w:cs="Times New Roman"/>
                <w:b/>
                <w:color w:val="auto"/>
                <w:sz w:val="21"/>
                <w:szCs w:val="21"/>
              </w:rPr>
            </w:pPr>
            <w:r>
              <w:rPr>
                <w:rFonts w:hint="eastAsia" w:ascii="Times New Roman" w:hAnsi="Times New Roman" w:eastAsia="宋体" w:cs="Times New Roman"/>
                <w:bCs/>
                <w:color w:val="auto"/>
                <w:kern w:val="11"/>
                <w:sz w:val="21"/>
                <w:szCs w:val="21"/>
              </w:rPr>
              <w:t>能够</w:t>
            </w:r>
            <w:r>
              <w:rPr>
                <w:rFonts w:ascii="Times New Roman" w:hAnsi="Times New Roman" w:eastAsia="宋体" w:cs="Times New Roman"/>
                <w:bCs/>
                <w:color w:val="auto"/>
                <w:kern w:val="11"/>
                <w:sz w:val="21"/>
                <w:szCs w:val="21"/>
              </w:rPr>
              <w:t>分组讨论教学</w:t>
            </w:r>
            <w:r>
              <w:rPr>
                <w:rFonts w:ascii="Times New Roman" w:hAnsi="Times New Roman" w:eastAsia="宋体" w:cs="Times New Roman"/>
                <w:color w:val="auto"/>
                <w:sz w:val="21"/>
                <w:szCs w:val="21"/>
              </w:rPr>
              <w:t>。</w:t>
            </w:r>
          </w:p>
        </w:tc>
        <w:tc>
          <w:tcPr>
            <w:tcW w:w="1615" w:type="dxa"/>
            <w:vAlign w:val="center"/>
          </w:tcPr>
          <w:p w14:paraId="02F2BA05">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34D6F602">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w:t>
            </w:r>
          </w:p>
          <w:p w14:paraId="35A87A4E">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3.课堂讨论</w:t>
            </w:r>
          </w:p>
          <w:p w14:paraId="1B68C912">
            <w:pPr>
              <w:spacing w:line="240" w:lineRule="auto"/>
              <w:rPr>
                <w:rFonts w:hint="eastAsia" w:ascii="宋体" w:hAnsi="宋体" w:eastAsia="宋体" w:cs="Times New Roman"/>
                <w:b/>
                <w:color w:val="auto"/>
                <w:sz w:val="21"/>
                <w:szCs w:val="21"/>
              </w:rPr>
            </w:pPr>
            <w:r>
              <w:rPr>
                <w:rFonts w:ascii="宋体" w:hAnsi="宋体" w:eastAsia="宋体" w:cs="Times New Roman"/>
                <w:color w:val="auto"/>
                <w:sz w:val="21"/>
                <w:szCs w:val="21"/>
              </w:rPr>
              <w:t>4.单元测验</w:t>
            </w:r>
          </w:p>
        </w:tc>
        <w:tc>
          <w:tcPr>
            <w:tcW w:w="756" w:type="dxa"/>
            <w:vAlign w:val="center"/>
          </w:tcPr>
          <w:p w14:paraId="255567C9">
            <w:pPr>
              <w:spacing w:line="240" w:lineRule="auto"/>
              <w:jc w:val="center"/>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12</w:t>
            </w:r>
          </w:p>
        </w:tc>
      </w:tr>
      <w:tr w14:paraId="0D77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1" w:type="dxa"/>
            <w:vMerge w:val="continue"/>
            <w:vAlign w:val="center"/>
          </w:tcPr>
          <w:p w14:paraId="14262B17">
            <w:pPr>
              <w:spacing w:line="240" w:lineRule="auto"/>
              <w:ind w:firstLine="420" w:firstLineChars="200"/>
              <w:rPr>
                <w:color w:val="auto"/>
                <w:sz w:val="21"/>
                <w:szCs w:val="21"/>
              </w:rPr>
            </w:pPr>
          </w:p>
        </w:tc>
        <w:tc>
          <w:tcPr>
            <w:tcW w:w="8603" w:type="dxa"/>
            <w:gridSpan w:val="5"/>
            <w:vAlign w:val="center"/>
          </w:tcPr>
          <w:p w14:paraId="24B158FF">
            <w:pPr>
              <w:spacing w:line="240" w:lineRule="auto"/>
              <w:ind w:firstLine="422" w:firstLineChars="200"/>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bl>
    <w:p w14:paraId="31AAB154">
      <w:pPr>
        <w:spacing w:line="336" w:lineRule="auto"/>
        <w:ind w:firstLine="420" w:firstLineChars="200"/>
        <w:rPr>
          <w:rFonts w:ascii="Times New Roman" w:hAnsi="Times New Roman" w:eastAsia="宋体" w:cs="Times New Roman"/>
          <w:color w:val="auto"/>
          <w:sz w:val="24"/>
        </w:rPr>
      </w:pPr>
      <w:r>
        <w:rPr>
          <w:rFonts w:ascii="Times New Roman" w:hAnsi="Times New Roman" w:eastAsia="宋体" w:cs="Times New Roman"/>
          <w:color w:val="auto"/>
          <w:sz w:val="21"/>
          <w:szCs w:val="21"/>
        </w:rPr>
        <w:t>教学内容与课程目标的对应关系及学时分配如表所示。</w:t>
      </w:r>
    </w:p>
    <w:tbl>
      <w:tblPr>
        <w:tblStyle w:val="1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5BF1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shd w:val="clear" w:color="auto" w:fill="FFFFFF"/>
            <w:vAlign w:val="center"/>
          </w:tcPr>
          <w:p w14:paraId="7C61C09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序号</w:t>
            </w:r>
          </w:p>
        </w:tc>
        <w:tc>
          <w:tcPr>
            <w:tcW w:w="3476" w:type="dxa"/>
            <w:shd w:val="clear" w:color="auto" w:fill="FFFFFF"/>
            <w:vAlign w:val="center"/>
          </w:tcPr>
          <w:p w14:paraId="4D25B82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教学内容</w:t>
            </w:r>
          </w:p>
        </w:tc>
        <w:tc>
          <w:tcPr>
            <w:tcW w:w="1701" w:type="dxa"/>
            <w:shd w:val="clear" w:color="auto" w:fill="FFFFFF"/>
            <w:vAlign w:val="center"/>
          </w:tcPr>
          <w:p w14:paraId="3B1731B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支撑的课程目标</w:t>
            </w:r>
          </w:p>
        </w:tc>
        <w:tc>
          <w:tcPr>
            <w:tcW w:w="1853" w:type="dxa"/>
            <w:shd w:val="clear" w:color="auto" w:fill="FFFFFF"/>
            <w:vAlign w:val="center"/>
          </w:tcPr>
          <w:p w14:paraId="03DA5EF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支撑的毕业要求</w:t>
            </w:r>
          </w:p>
          <w:p w14:paraId="6B7A19BF">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指标点</w:t>
            </w:r>
          </w:p>
        </w:tc>
        <w:tc>
          <w:tcPr>
            <w:tcW w:w="735" w:type="dxa"/>
            <w:shd w:val="clear" w:color="auto" w:fill="FFFFFF"/>
            <w:vAlign w:val="center"/>
          </w:tcPr>
          <w:p w14:paraId="463AA36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讲授学时</w:t>
            </w:r>
          </w:p>
        </w:tc>
        <w:tc>
          <w:tcPr>
            <w:tcW w:w="735" w:type="dxa"/>
            <w:shd w:val="clear" w:color="auto" w:fill="FFFFFF"/>
            <w:vAlign w:val="center"/>
          </w:tcPr>
          <w:p w14:paraId="529C944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实验学时</w:t>
            </w:r>
          </w:p>
        </w:tc>
      </w:tr>
      <w:tr w14:paraId="43DB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14:paraId="6826CFE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1</w:t>
            </w:r>
          </w:p>
        </w:tc>
        <w:tc>
          <w:tcPr>
            <w:tcW w:w="3476" w:type="dxa"/>
            <w:vAlign w:val="center"/>
          </w:tcPr>
          <w:p w14:paraId="340277E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数学思想方法简介</w:t>
            </w:r>
          </w:p>
        </w:tc>
        <w:tc>
          <w:tcPr>
            <w:tcW w:w="1701" w:type="dxa"/>
            <w:vAlign w:val="center"/>
          </w:tcPr>
          <w:p w14:paraId="5DBDDDF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课程目标1</w:t>
            </w:r>
            <w:r>
              <w:rPr>
                <w:rFonts w:hint="eastAsia" w:ascii="Times New Roman" w:hAnsi="Times New Roman" w:eastAsia="宋体" w:cs="Times New Roman"/>
                <w:color w:val="auto"/>
                <w:szCs w:val="21"/>
              </w:rPr>
              <w:t>、2</w:t>
            </w:r>
          </w:p>
        </w:tc>
        <w:tc>
          <w:tcPr>
            <w:tcW w:w="1853" w:type="dxa"/>
            <w:vAlign w:val="center"/>
          </w:tcPr>
          <w:p w14:paraId="57F8FD6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-2</w:t>
            </w:r>
          </w:p>
        </w:tc>
        <w:tc>
          <w:tcPr>
            <w:tcW w:w="735" w:type="dxa"/>
            <w:vAlign w:val="center"/>
          </w:tcPr>
          <w:p w14:paraId="061F67B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p>
        </w:tc>
        <w:tc>
          <w:tcPr>
            <w:tcW w:w="735" w:type="dxa"/>
            <w:vAlign w:val="center"/>
          </w:tcPr>
          <w:p w14:paraId="7DDA898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p>
        </w:tc>
      </w:tr>
      <w:tr w14:paraId="2017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14:paraId="4593AC6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3476" w:type="dxa"/>
            <w:vAlign w:val="center"/>
          </w:tcPr>
          <w:p w14:paraId="4D49466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与抽象有关的数学思想</w:t>
            </w:r>
          </w:p>
        </w:tc>
        <w:tc>
          <w:tcPr>
            <w:tcW w:w="1701" w:type="dxa"/>
            <w:vAlign w:val="center"/>
          </w:tcPr>
          <w:p w14:paraId="0F1EC19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课程目标1</w:t>
            </w:r>
            <w:r>
              <w:rPr>
                <w:rFonts w:hint="eastAsia" w:ascii="Times New Roman" w:hAnsi="Times New Roman" w:eastAsia="宋体" w:cs="Times New Roman"/>
                <w:color w:val="auto"/>
                <w:szCs w:val="21"/>
              </w:rPr>
              <w:t>、2</w:t>
            </w:r>
          </w:p>
        </w:tc>
        <w:tc>
          <w:tcPr>
            <w:tcW w:w="1853" w:type="dxa"/>
            <w:vAlign w:val="center"/>
          </w:tcPr>
          <w:p w14:paraId="29F5DEC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rPr>
            </w:pPr>
            <w:r>
              <w:rPr>
                <w:rFonts w:ascii="Times New Roman" w:hAnsi="Times New Roman" w:eastAsia="宋体" w:cs="Times New Roman"/>
                <w:color w:val="auto"/>
                <w:szCs w:val="21"/>
              </w:rPr>
              <w:t>3-2</w:t>
            </w:r>
          </w:p>
        </w:tc>
        <w:tc>
          <w:tcPr>
            <w:tcW w:w="735" w:type="dxa"/>
            <w:vAlign w:val="center"/>
          </w:tcPr>
          <w:p w14:paraId="58713E9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6</w:t>
            </w:r>
          </w:p>
        </w:tc>
        <w:tc>
          <w:tcPr>
            <w:tcW w:w="735" w:type="dxa"/>
            <w:vAlign w:val="center"/>
          </w:tcPr>
          <w:p w14:paraId="0B7B9BE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p>
        </w:tc>
      </w:tr>
      <w:tr w14:paraId="5265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14:paraId="435C263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3</w:t>
            </w:r>
          </w:p>
        </w:tc>
        <w:tc>
          <w:tcPr>
            <w:tcW w:w="3476" w:type="dxa"/>
            <w:vAlign w:val="center"/>
          </w:tcPr>
          <w:p w14:paraId="4132230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与推理有关的数学思想</w:t>
            </w:r>
          </w:p>
        </w:tc>
        <w:tc>
          <w:tcPr>
            <w:tcW w:w="1701" w:type="dxa"/>
            <w:vAlign w:val="center"/>
          </w:tcPr>
          <w:p w14:paraId="3B75CB3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课程目标1</w:t>
            </w:r>
            <w:r>
              <w:rPr>
                <w:rFonts w:hint="eastAsia" w:ascii="Times New Roman" w:hAnsi="Times New Roman" w:eastAsia="宋体" w:cs="Times New Roman"/>
                <w:color w:val="auto"/>
                <w:szCs w:val="21"/>
              </w:rPr>
              <w:t>、2</w:t>
            </w:r>
          </w:p>
        </w:tc>
        <w:tc>
          <w:tcPr>
            <w:tcW w:w="1853" w:type="dxa"/>
            <w:vAlign w:val="center"/>
          </w:tcPr>
          <w:p w14:paraId="3101950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rPr>
            </w:pPr>
            <w:r>
              <w:rPr>
                <w:rFonts w:ascii="Times New Roman" w:hAnsi="Times New Roman" w:eastAsia="宋体" w:cs="Times New Roman"/>
                <w:color w:val="auto"/>
                <w:szCs w:val="21"/>
              </w:rPr>
              <w:t>3-2</w:t>
            </w:r>
          </w:p>
        </w:tc>
        <w:tc>
          <w:tcPr>
            <w:tcW w:w="735" w:type="dxa"/>
            <w:vAlign w:val="center"/>
          </w:tcPr>
          <w:p w14:paraId="24BF398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9</w:t>
            </w:r>
          </w:p>
        </w:tc>
        <w:tc>
          <w:tcPr>
            <w:tcW w:w="735" w:type="dxa"/>
            <w:vAlign w:val="center"/>
          </w:tcPr>
          <w:p w14:paraId="570E15C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p>
        </w:tc>
      </w:tr>
      <w:tr w14:paraId="6DE2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14:paraId="17E0882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4</w:t>
            </w:r>
          </w:p>
        </w:tc>
        <w:tc>
          <w:tcPr>
            <w:tcW w:w="3476" w:type="dxa"/>
            <w:vAlign w:val="center"/>
          </w:tcPr>
          <w:p w14:paraId="1BD4959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与模型有关的数学思想</w:t>
            </w:r>
          </w:p>
        </w:tc>
        <w:tc>
          <w:tcPr>
            <w:tcW w:w="1701" w:type="dxa"/>
            <w:vAlign w:val="center"/>
          </w:tcPr>
          <w:p w14:paraId="457A9B2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课程目标1</w:t>
            </w:r>
            <w:r>
              <w:rPr>
                <w:rFonts w:hint="eastAsia" w:ascii="Times New Roman" w:hAnsi="Times New Roman" w:eastAsia="宋体" w:cs="Times New Roman"/>
                <w:color w:val="auto"/>
                <w:szCs w:val="21"/>
              </w:rPr>
              <w:t>、2</w:t>
            </w:r>
          </w:p>
        </w:tc>
        <w:tc>
          <w:tcPr>
            <w:tcW w:w="1853" w:type="dxa"/>
            <w:vAlign w:val="center"/>
          </w:tcPr>
          <w:p w14:paraId="0B9E882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rPr>
            </w:pPr>
            <w:r>
              <w:rPr>
                <w:rFonts w:ascii="Times New Roman" w:hAnsi="Times New Roman" w:eastAsia="宋体" w:cs="Times New Roman"/>
                <w:color w:val="auto"/>
                <w:szCs w:val="21"/>
              </w:rPr>
              <w:t>3-2</w:t>
            </w:r>
          </w:p>
        </w:tc>
        <w:tc>
          <w:tcPr>
            <w:tcW w:w="735" w:type="dxa"/>
            <w:vAlign w:val="center"/>
          </w:tcPr>
          <w:p w14:paraId="5BD9EC0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6</w:t>
            </w:r>
          </w:p>
        </w:tc>
        <w:tc>
          <w:tcPr>
            <w:tcW w:w="735" w:type="dxa"/>
            <w:vAlign w:val="center"/>
          </w:tcPr>
          <w:p w14:paraId="523F9FC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p>
        </w:tc>
      </w:tr>
      <w:tr w14:paraId="2844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14:paraId="245EF12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5</w:t>
            </w:r>
          </w:p>
        </w:tc>
        <w:tc>
          <w:tcPr>
            <w:tcW w:w="3476" w:type="dxa"/>
            <w:vAlign w:val="center"/>
          </w:tcPr>
          <w:p w14:paraId="6955CBE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其他数学思想方法</w:t>
            </w:r>
          </w:p>
        </w:tc>
        <w:tc>
          <w:tcPr>
            <w:tcW w:w="1701" w:type="dxa"/>
            <w:vAlign w:val="center"/>
          </w:tcPr>
          <w:p w14:paraId="1B7CC80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课程目标1</w:t>
            </w:r>
            <w:r>
              <w:rPr>
                <w:rFonts w:hint="eastAsia" w:ascii="Times New Roman" w:hAnsi="Times New Roman" w:eastAsia="宋体" w:cs="Times New Roman"/>
                <w:color w:val="auto"/>
                <w:szCs w:val="21"/>
              </w:rPr>
              <w:t>、2</w:t>
            </w:r>
          </w:p>
        </w:tc>
        <w:tc>
          <w:tcPr>
            <w:tcW w:w="1853" w:type="dxa"/>
            <w:vAlign w:val="center"/>
          </w:tcPr>
          <w:p w14:paraId="1D13276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rPr>
            </w:pPr>
            <w:r>
              <w:rPr>
                <w:rFonts w:ascii="Times New Roman" w:hAnsi="Times New Roman" w:eastAsia="宋体" w:cs="Times New Roman"/>
                <w:color w:val="auto"/>
                <w:szCs w:val="21"/>
              </w:rPr>
              <w:t>3-2</w:t>
            </w:r>
          </w:p>
        </w:tc>
        <w:tc>
          <w:tcPr>
            <w:tcW w:w="735" w:type="dxa"/>
            <w:vAlign w:val="center"/>
          </w:tcPr>
          <w:p w14:paraId="02DACF3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6</w:t>
            </w:r>
          </w:p>
        </w:tc>
        <w:tc>
          <w:tcPr>
            <w:tcW w:w="735" w:type="dxa"/>
            <w:vAlign w:val="center"/>
          </w:tcPr>
          <w:p w14:paraId="1F4B568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p>
        </w:tc>
      </w:tr>
      <w:tr w14:paraId="480D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14:paraId="5FF9F93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6</w:t>
            </w:r>
          </w:p>
        </w:tc>
        <w:tc>
          <w:tcPr>
            <w:tcW w:w="3476" w:type="dxa"/>
            <w:vAlign w:val="center"/>
          </w:tcPr>
          <w:p w14:paraId="13D9E4F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分组讨论教学</w:t>
            </w:r>
          </w:p>
        </w:tc>
        <w:tc>
          <w:tcPr>
            <w:tcW w:w="1701" w:type="dxa"/>
            <w:vAlign w:val="center"/>
          </w:tcPr>
          <w:p w14:paraId="293247A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课程目标1</w:t>
            </w:r>
            <w:r>
              <w:rPr>
                <w:rFonts w:hint="eastAsia" w:ascii="Times New Roman" w:hAnsi="Times New Roman" w:eastAsia="宋体" w:cs="Times New Roman"/>
                <w:color w:val="auto"/>
                <w:szCs w:val="21"/>
              </w:rPr>
              <w:t>、2</w:t>
            </w:r>
          </w:p>
        </w:tc>
        <w:tc>
          <w:tcPr>
            <w:tcW w:w="1853" w:type="dxa"/>
            <w:vAlign w:val="center"/>
          </w:tcPr>
          <w:p w14:paraId="08F39CA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rPr>
            </w:pPr>
            <w:r>
              <w:rPr>
                <w:rFonts w:ascii="Times New Roman" w:hAnsi="Times New Roman" w:eastAsia="宋体" w:cs="Times New Roman"/>
                <w:color w:val="auto"/>
                <w:szCs w:val="21"/>
              </w:rPr>
              <w:t>3-2</w:t>
            </w:r>
          </w:p>
        </w:tc>
        <w:tc>
          <w:tcPr>
            <w:tcW w:w="735" w:type="dxa"/>
            <w:vAlign w:val="center"/>
          </w:tcPr>
          <w:p w14:paraId="04CE458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2</w:t>
            </w:r>
          </w:p>
        </w:tc>
        <w:tc>
          <w:tcPr>
            <w:tcW w:w="735" w:type="dxa"/>
            <w:vAlign w:val="center"/>
          </w:tcPr>
          <w:p w14:paraId="784D499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p>
        </w:tc>
      </w:tr>
      <w:tr w14:paraId="5353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0" w:type="dxa"/>
            <w:gridSpan w:val="4"/>
            <w:vAlign w:val="center"/>
          </w:tcPr>
          <w:p w14:paraId="3A1E0EE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合计</w:t>
            </w:r>
          </w:p>
        </w:tc>
        <w:tc>
          <w:tcPr>
            <w:tcW w:w="735" w:type="dxa"/>
            <w:vAlign w:val="center"/>
          </w:tcPr>
          <w:p w14:paraId="2E2F34A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48</w:t>
            </w:r>
          </w:p>
        </w:tc>
        <w:tc>
          <w:tcPr>
            <w:tcW w:w="735" w:type="dxa"/>
            <w:vAlign w:val="center"/>
          </w:tcPr>
          <w:p w14:paraId="64029D2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Times New Roman" w:hAnsi="Times New Roman" w:eastAsia="宋体" w:cs="Times New Roman"/>
                <w:color w:val="auto"/>
                <w:szCs w:val="21"/>
              </w:rPr>
            </w:pPr>
          </w:p>
        </w:tc>
      </w:tr>
    </w:tbl>
    <w:p w14:paraId="3B9943F3">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四、课程实施</w:t>
      </w:r>
    </w:p>
    <w:p w14:paraId="01D0A2D7">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主要教学环节质量要求如表所示。</w:t>
      </w:r>
    </w:p>
    <w:tbl>
      <w:tblPr>
        <w:tblStyle w:val="15"/>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010"/>
        <w:gridCol w:w="7454"/>
      </w:tblGrid>
      <w:tr w14:paraId="6DDE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6" w:type="dxa"/>
            <w:gridSpan w:val="2"/>
            <w:tcBorders>
              <w:top w:val="single" w:color="auto" w:sz="8" w:space="0"/>
              <w:left w:val="single" w:color="auto" w:sz="8" w:space="0"/>
              <w:right w:val="single" w:color="auto" w:sz="8" w:space="0"/>
            </w:tcBorders>
            <w:tcMar>
              <w:left w:w="28" w:type="dxa"/>
              <w:right w:w="28" w:type="dxa"/>
            </w:tcMar>
            <w:vAlign w:val="center"/>
          </w:tcPr>
          <w:p w14:paraId="3C03B24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bCs/>
                <w:color w:val="auto"/>
                <w:szCs w:val="21"/>
              </w:rPr>
              <w:t>主要教学环节</w:t>
            </w:r>
          </w:p>
        </w:tc>
        <w:tc>
          <w:tcPr>
            <w:tcW w:w="7454" w:type="dxa"/>
            <w:tcBorders>
              <w:top w:val="single" w:color="auto" w:sz="8" w:space="0"/>
              <w:left w:val="single" w:color="auto" w:sz="8" w:space="0"/>
              <w:right w:val="single" w:color="auto" w:sz="8" w:space="0"/>
            </w:tcBorders>
            <w:vAlign w:val="center"/>
          </w:tcPr>
          <w:p w14:paraId="74DA182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bCs/>
                <w:color w:val="auto"/>
                <w:szCs w:val="21"/>
              </w:rPr>
              <w:t>质量要求</w:t>
            </w:r>
          </w:p>
        </w:tc>
      </w:tr>
      <w:tr w14:paraId="38E6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AF523A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1</w:t>
            </w:r>
          </w:p>
        </w:tc>
        <w:tc>
          <w:tcPr>
            <w:tcW w:w="1010" w:type="dxa"/>
            <w:tcMar>
              <w:left w:w="28" w:type="dxa"/>
              <w:right w:w="28" w:type="dxa"/>
            </w:tcMar>
            <w:vAlign w:val="center"/>
          </w:tcPr>
          <w:p w14:paraId="29653F6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备课</w:t>
            </w:r>
          </w:p>
        </w:tc>
        <w:tc>
          <w:tcPr>
            <w:tcW w:w="7454" w:type="dxa"/>
            <w:tcBorders>
              <w:right w:val="single" w:color="auto" w:sz="8" w:space="0"/>
            </w:tcBorders>
            <w:vAlign w:val="center"/>
          </w:tcPr>
          <w:p w14:paraId="2C3DC010">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（1）掌握本课程教学大纲内容，严格按照教学大纲要求进行本课程教学内容的组织；</w:t>
            </w:r>
          </w:p>
          <w:p w14:paraId="57FDEC65">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4362BC94">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（3）结合课程特点，适度运用多媒体教学手段讲授部分教学内容； </w:t>
            </w:r>
          </w:p>
          <w:p w14:paraId="3DE94418">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 w:val="24"/>
              </w:rPr>
            </w:pPr>
            <w:r>
              <w:rPr>
                <w:rFonts w:ascii="Times New Roman" w:hAnsi="Times New Roman" w:eastAsia="宋体" w:cs="Times New Roman"/>
                <w:color w:val="auto"/>
                <w:szCs w:val="21"/>
              </w:rPr>
              <w:t>（4）确定各章节课程内容的教学方法，构思授课思路、技巧和方法。</w:t>
            </w:r>
          </w:p>
        </w:tc>
      </w:tr>
      <w:tr w14:paraId="6100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176013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1010" w:type="dxa"/>
            <w:tcMar>
              <w:left w:w="28" w:type="dxa"/>
              <w:right w:w="28" w:type="dxa"/>
            </w:tcMar>
            <w:vAlign w:val="center"/>
          </w:tcPr>
          <w:p w14:paraId="57191BA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讲授</w:t>
            </w:r>
          </w:p>
        </w:tc>
        <w:tc>
          <w:tcPr>
            <w:tcW w:w="7454" w:type="dxa"/>
            <w:tcBorders>
              <w:right w:val="single" w:color="auto" w:sz="8" w:space="0"/>
            </w:tcBorders>
            <w:vAlign w:val="center"/>
          </w:tcPr>
          <w:p w14:paraId="7946C7EE">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（1）要点准确，推理正确，条理清晰，重点突出，理论联系实际，熟练地解答和讲解例题。</w:t>
            </w:r>
          </w:p>
          <w:p w14:paraId="2B70F5BD">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2）采用多种教学方式（如启发式教学、案例分析教学、讨论式教学、多媒体示范教学等），注重培养学生的专业素质，提高学生发现、分析和解决问题的能力，以便让学生能体会和领略学科研究的思路和方法。</w:t>
            </w:r>
          </w:p>
          <w:p w14:paraId="27902C4D">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（3）表达方式尽量便于学生理解、接受，力求形象生动，使学生在掌握知识的过程中，保持较为浓厚的兴趣。</w:t>
            </w:r>
          </w:p>
        </w:tc>
      </w:tr>
      <w:tr w14:paraId="3E15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65B9281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3</w:t>
            </w:r>
          </w:p>
        </w:tc>
        <w:tc>
          <w:tcPr>
            <w:tcW w:w="1010" w:type="dxa"/>
            <w:tcMar>
              <w:left w:w="28" w:type="dxa"/>
              <w:right w:w="28" w:type="dxa"/>
            </w:tcMar>
            <w:vAlign w:val="center"/>
          </w:tcPr>
          <w:p w14:paraId="0B451BD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作业布置与批改</w:t>
            </w:r>
          </w:p>
        </w:tc>
        <w:tc>
          <w:tcPr>
            <w:tcW w:w="7454" w:type="dxa"/>
            <w:tcBorders>
              <w:right w:val="single" w:color="auto" w:sz="8" w:space="0"/>
            </w:tcBorders>
            <w:vAlign w:val="center"/>
          </w:tcPr>
          <w:p w14:paraId="754A7E4A">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学生必须完成一定数量的作业题，是本课程教学的基本要求，是实现人才培养目标的必要手段。</w:t>
            </w:r>
          </w:p>
          <w:p w14:paraId="45DBE600">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学生完成的作业必须达到以下基本要求：</w:t>
            </w:r>
          </w:p>
          <w:p w14:paraId="2013776D">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（1）按时按量完成作业，不缺交，不抄袭；</w:t>
            </w:r>
          </w:p>
          <w:p w14:paraId="25D959E1">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（2）作业本规范，书写清晰；</w:t>
            </w:r>
          </w:p>
          <w:p w14:paraId="1E59D8F1">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（3）解题方法和步骤正确。</w:t>
            </w:r>
          </w:p>
          <w:p w14:paraId="77E464F9">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教师批改或讲评作业要求如下：</w:t>
            </w:r>
          </w:p>
          <w:p w14:paraId="100292FB">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（1）学生的作业要全批全改，并按时批改、讲评学生每次交来的作业；</w:t>
            </w:r>
          </w:p>
          <w:p w14:paraId="4DCD57A9">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（2）教师批改或讲评作业要认真、细致，每次批改或讲评作业后，按百分制评定成绩，并写明日期；</w:t>
            </w:r>
          </w:p>
          <w:p w14:paraId="59A8DC3D">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（3）期末按每个学生作业的平均成绩，作为本课程总评成绩中平时成绩的重要组成部分。</w:t>
            </w:r>
          </w:p>
        </w:tc>
      </w:tr>
      <w:tr w14:paraId="291C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6B6280C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4</w:t>
            </w:r>
          </w:p>
        </w:tc>
        <w:tc>
          <w:tcPr>
            <w:tcW w:w="1010" w:type="dxa"/>
            <w:tcMar>
              <w:left w:w="28" w:type="dxa"/>
              <w:right w:w="28" w:type="dxa"/>
            </w:tcMar>
            <w:vAlign w:val="center"/>
          </w:tcPr>
          <w:p w14:paraId="3CF3AAE9">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课外答疑</w:t>
            </w:r>
          </w:p>
        </w:tc>
        <w:tc>
          <w:tcPr>
            <w:tcW w:w="7454" w:type="dxa"/>
            <w:tcBorders>
              <w:right w:val="single" w:color="auto" w:sz="8" w:space="0"/>
            </w:tcBorders>
            <w:vAlign w:val="center"/>
          </w:tcPr>
          <w:p w14:paraId="6AF08B47">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为直接了解学生的学习情况，帮助学生进一步理解和消化课堂上所学知识、改进学习方法和思维方式，培养其独立思考问题的能力，建议任课教师安排时间进行课外答疑与辅导工作</w:t>
            </w:r>
          </w:p>
        </w:tc>
      </w:tr>
      <w:tr w14:paraId="7346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3416296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5</w:t>
            </w:r>
          </w:p>
        </w:tc>
        <w:tc>
          <w:tcPr>
            <w:tcW w:w="1010" w:type="dxa"/>
            <w:tcMar>
              <w:left w:w="28" w:type="dxa"/>
              <w:right w:w="28" w:type="dxa"/>
            </w:tcMar>
            <w:vAlign w:val="center"/>
          </w:tcPr>
          <w:p w14:paraId="513E88B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成绩考核</w:t>
            </w:r>
          </w:p>
        </w:tc>
        <w:tc>
          <w:tcPr>
            <w:tcW w:w="7454" w:type="dxa"/>
            <w:tcBorders>
              <w:right w:val="single" w:color="auto" w:sz="8" w:space="0"/>
            </w:tcBorders>
            <w:vAlign w:val="center"/>
          </w:tcPr>
          <w:p w14:paraId="6710A954">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rPr>
            </w:pPr>
            <w:r>
              <w:rPr>
                <w:rFonts w:ascii="Times New Roman" w:hAnsi="Times New Roman" w:eastAsia="宋体" w:cs="Times New Roman"/>
                <w:color w:val="auto"/>
              </w:rPr>
              <w:t>本课程考核的方式：考试。考试试卷采取抽卷形式，统一安排监考。总评成绩的评定见课程评分方案。有下列情况之一者，总评成绩为不及格：</w:t>
            </w:r>
          </w:p>
          <w:p w14:paraId="053CE039">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rPr>
            </w:pPr>
            <w:r>
              <w:rPr>
                <w:rFonts w:ascii="Times New Roman" w:hAnsi="Times New Roman" w:eastAsia="宋体" w:cs="Times New Roman"/>
                <w:color w:val="auto"/>
                <w:szCs w:val="21"/>
              </w:rPr>
              <w:t>（1）</w:t>
            </w:r>
            <w:r>
              <w:rPr>
                <w:rFonts w:ascii="Times New Roman" w:hAnsi="Times New Roman" w:eastAsia="宋体" w:cs="Times New Roman"/>
                <w:color w:val="auto"/>
              </w:rPr>
              <w:t>缺交作业次数达1/3以上者；</w:t>
            </w:r>
          </w:p>
          <w:p w14:paraId="0B72A2FB">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rPr>
            </w:pPr>
            <w:r>
              <w:rPr>
                <w:rFonts w:ascii="Times New Roman" w:hAnsi="Times New Roman" w:eastAsia="宋体" w:cs="Times New Roman"/>
                <w:color w:val="auto"/>
                <w:szCs w:val="21"/>
              </w:rPr>
              <w:t>（2）</w:t>
            </w:r>
            <w:r>
              <w:rPr>
                <w:rFonts w:ascii="Times New Roman" w:hAnsi="Times New Roman" w:eastAsia="宋体" w:cs="Times New Roman"/>
                <w:color w:val="auto"/>
              </w:rPr>
              <w:t>缺课次数达本学期总授课学时的1/3以上者。</w:t>
            </w:r>
          </w:p>
          <w:p w14:paraId="47E33A78">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Cs w:val="21"/>
              </w:rPr>
            </w:pPr>
          </w:p>
        </w:tc>
      </w:tr>
    </w:tbl>
    <w:p w14:paraId="02D0178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五</w:t>
      </w:r>
      <w:r>
        <w:rPr>
          <w:rFonts w:ascii="Times New Roman" w:hAnsi="Times New Roman" w:eastAsia="宋体" w:cs="Times New Roman"/>
          <w:b/>
          <w:color w:val="auto"/>
          <w:sz w:val="24"/>
          <w:szCs w:val="24"/>
        </w:rPr>
        <w:t>、课程考核</w:t>
      </w:r>
    </w:p>
    <w:p w14:paraId="042233B0">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（一）课程考核包括期末考试、平时及作业考核等，期末考试采用闭卷考试方式。</w:t>
      </w:r>
    </w:p>
    <w:p w14:paraId="2F25A488">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（二）课程总评成绩=出勤情况成绩×10% +师生互动成绩×10% +作业成绩×30%+期末考试成绩×50%。具体内容和比例如表所示。</w:t>
      </w:r>
    </w:p>
    <w:tbl>
      <w:tblPr>
        <w:tblStyle w:val="1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558"/>
        <w:gridCol w:w="739"/>
        <w:gridCol w:w="4255"/>
        <w:gridCol w:w="1408"/>
      </w:tblGrid>
      <w:tr w14:paraId="35BB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100"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5225CBB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4"/>
              </w:rPr>
            </w:pPr>
            <w:r>
              <w:rPr>
                <w:rFonts w:ascii="Times New Roman" w:hAnsi="Times New Roman" w:eastAsia="宋体" w:cs="Times New Roman"/>
                <w:color w:val="auto"/>
                <w:lang w:bidi="ar"/>
              </w:rPr>
              <w:t>成绩组成</w:t>
            </w:r>
          </w:p>
        </w:tc>
        <w:tc>
          <w:tcPr>
            <w:tcW w:w="1558" w:type="dxa"/>
            <w:tcBorders>
              <w:top w:val="single" w:color="auto" w:sz="4" w:space="0"/>
              <w:left w:val="single" w:color="auto" w:sz="4" w:space="0"/>
              <w:bottom w:val="single" w:color="auto" w:sz="4" w:space="0"/>
              <w:right w:val="single" w:color="auto" w:sz="4" w:space="0"/>
            </w:tcBorders>
            <w:shd w:val="clear" w:color="auto" w:fill="FFFFFF"/>
            <w:vAlign w:val="center"/>
          </w:tcPr>
          <w:p w14:paraId="0F04FFA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4"/>
              </w:rPr>
            </w:pPr>
            <w:r>
              <w:rPr>
                <w:rFonts w:ascii="Times New Roman" w:hAnsi="Times New Roman" w:eastAsia="宋体" w:cs="Times New Roman"/>
                <w:color w:val="auto"/>
                <w:lang w:bidi="ar"/>
              </w:rPr>
              <w:t>考核/评价环节</w:t>
            </w:r>
          </w:p>
        </w:tc>
        <w:tc>
          <w:tcPr>
            <w:tcW w:w="739" w:type="dxa"/>
            <w:tcBorders>
              <w:top w:val="single" w:color="auto" w:sz="4" w:space="0"/>
              <w:left w:val="single" w:color="auto" w:sz="4" w:space="0"/>
              <w:bottom w:val="single" w:color="auto" w:sz="4" w:space="0"/>
              <w:right w:val="single" w:color="auto" w:sz="4" w:space="0"/>
            </w:tcBorders>
            <w:shd w:val="clear" w:color="auto" w:fill="FFFFFF"/>
            <w:vAlign w:val="center"/>
          </w:tcPr>
          <w:p w14:paraId="4DD0E63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4"/>
              </w:rPr>
            </w:pPr>
            <w:r>
              <w:rPr>
                <w:rFonts w:ascii="Times New Roman" w:hAnsi="Times New Roman" w:eastAsia="宋体" w:cs="Times New Roman"/>
                <w:color w:val="auto"/>
                <w:lang w:bidi="ar"/>
              </w:rPr>
              <w:t>权重</w:t>
            </w:r>
          </w:p>
        </w:tc>
        <w:tc>
          <w:tcPr>
            <w:tcW w:w="4255" w:type="dxa"/>
            <w:tcBorders>
              <w:top w:val="single" w:color="auto" w:sz="4" w:space="0"/>
              <w:left w:val="single" w:color="auto" w:sz="4" w:space="0"/>
              <w:bottom w:val="single" w:color="auto" w:sz="4" w:space="0"/>
              <w:right w:val="single" w:color="auto" w:sz="4" w:space="0"/>
            </w:tcBorders>
            <w:shd w:val="clear" w:color="auto" w:fill="FFFFFF"/>
            <w:vAlign w:val="center"/>
          </w:tcPr>
          <w:p w14:paraId="621B999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4"/>
              </w:rPr>
            </w:pPr>
            <w:r>
              <w:rPr>
                <w:rFonts w:ascii="Times New Roman" w:hAnsi="Times New Roman" w:eastAsia="宋体" w:cs="Times New Roman"/>
                <w:color w:val="auto"/>
                <w:lang w:bidi="ar"/>
              </w:rPr>
              <w:t>考核/评价细则</w:t>
            </w:r>
          </w:p>
        </w:tc>
        <w:tc>
          <w:tcPr>
            <w:tcW w:w="1408" w:type="dxa"/>
            <w:tcBorders>
              <w:top w:val="single" w:color="auto" w:sz="4" w:space="0"/>
              <w:left w:val="single" w:color="auto" w:sz="4" w:space="0"/>
              <w:bottom w:val="single" w:color="auto" w:sz="4" w:space="0"/>
              <w:right w:val="single" w:color="auto" w:sz="4" w:space="0"/>
            </w:tcBorders>
            <w:shd w:val="clear" w:color="auto" w:fill="FFFFFF"/>
            <w:vAlign w:val="center"/>
          </w:tcPr>
          <w:p w14:paraId="57DF89F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4"/>
              </w:rPr>
            </w:pPr>
            <w:r>
              <w:rPr>
                <w:rFonts w:ascii="Times New Roman" w:hAnsi="Times New Roman" w:eastAsia="宋体" w:cs="Times New Roman"/>
                <w:color w:val="auto"/>
                <w:lang w:bidi="ar"/>
              </w:rPr>
              <w:t>对应的毕业要求指标点</w:t>
            </w:r>
          </w:p>
        </w:tc>
      </w:tr>
      <w:tr w14:paraId="6256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00" w:type="dxa"/>
            <w:vMerge w:val="restart"/>
            <w:tcBorders>
              <w:top w:val="single" w:color="auto" w:sz="4" w:space="0"/>
              <w:left w:val="single" w:color="auto" w:sz="4" w:space="0"/>
              <w:right w:val="single" w:color="auto" w:sz="4" w:space="0"/>
            </w:tcBorders>
            <w:tcMar>
              <w:left w:w="57" w:type="dxa"/>
              <w:right w:w="57" w:type="dxa"/>
            </w:tcMar>
            <w:vAlign w:val="center"/>
          </w:tcPr>
          <w:p w14:paraId="072CF2C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lang w:bidi="ar"/>
              </w:rPr>
            </w:pPr>
            <w:r>
              <w:rPr>
                <w:rFonts w:ascii="Times New Roman" w:hAnsi="Times New Roman" w:eastAsia="宋体" w:cs="Times New Roman"/>
                <w:color w:val="auto"/>
                <w:lang w:bidi="ar"/>
              </w:rPr>
              <w:t>平时</w:t>
            </w:r>
          </w:p>
          <w:p w14:paraId="626B602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4"/>
              </w:rPr>
            </w:pPr>
            <w:r>
              <w:rPr>
                <w:rFonts w:ascii="Times New Roman" w:hAnsi="Times New Roman" w:eastAsia="宋体" w:cs="Times New Roman"/>
                <w:color w:val="auto"/>
                <w:lang w:bidi="ar"/>
              </w:rPr>
              <w:t>成绩</w:t>
            </w:r>
          </w:p>
        </w:tc>
        <w:tc>
          <w:tcPr>
            <w:tcW w:w="1558" w:type="dxa"/>
            <w:tcBorders>
              <w:top w:val="single" w:color="auto" w:sz="4" w:space="0"/>
              <w:left w:val="single" w:color="auto" w:sz="4" w:space="0"/>
              <w:bottom w:val="single" w:color="auto" w:sz="4" w:space="0"/>
              <w:right w:val="single" w:color="auto" w:sz="4" w:space="0"/>
            </w:tcBorders>
            <w:vAlign w:val="center"/>
          </w:tcPr>
          <w:p w14:paraId="4C540B5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4"/>
              </w:rPr>
            </w:pPr>
            <w:r>
              <w:rPr>
                <w:rFonts w:ascii="Times New Roman" w:hAnsi="Times New Roman" w:eastAsia="宋体" w:cs="Times New Roman"/>
                <w:color w:val="auto"/>
                <w:lang w:bidi="ar"/>
              </w:rPr>
              <w:t>出勤情况</w:t>
            </w:r>
          </w:p>
        </w:tc>
        <w:tc>
          <w:tcPr>
            <w:tcW w:w="739" w:type="dxa"/>
            <w:tcBorders>
              <w:top w:val="single" w:color="auto" w:sz="4" w:space="0"/>
              <w:left w:val="single" w:color="auto" w:sz="4" w:space="0"/>
              <w:bottom w:val="single" w:color="auto" w:sz="4" w:space="0"/>
              <w:right w:val="single" w:color="auto" w:sz="4" w:space="0"/>
            </w:tcBorders>
            <w:vAlign w:val="center"/>
          </w:tcPr>
          <w:p w14:paraId="4F44B0C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4"/>
              </w:rPr>
            </w:pPr>
            <w:r>
              <w:rPr>
                <w:rFonts w:ascii="Times New Roman" w:hAnsi="Times New Roman" w:eastAsia="宋体" w:cs="Times New Roman"/>
                <w:color w:val="auto"/>
              </w:rPr>
              <w:t>10%</w:t>
            </w:r>
          </w:p>
        </w:tc>
        <w:tc>
          <w:tcPr>
            <w:tcW w:w="4255" w:type="dxa"/>
            <w:tcBorders>
              <w:top w:val="single" w:color="auto" w:sz="4" w:space="0"/>
              <w:left w:val="single" w:color="auto" w:sz="4" w:space="0"/>
              <w:bottom w:val="single" w:color="auto" w:sz="4" w:space="0"/>
              <w:right w:val="single" w:color="auto" w:sz="4" w:space="0"/>
            </w:tcBorders>
            <w:vAlign w:val="center"/>
          </w:tcPr>
          <w:p w14:paraId="193F5CED">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s="Times New Roman"/>
                <w:color w:val="auto"/>
              </w:rPr>
            </w:pPr>
            <w:r>
              <w:rPr>
                <w:rFonts w:ascii="Times New Roman" w:hAnsi="Times New Roman" w:eastAsia="宋体" w:cs="Times New Roman"/>
                <w:color w:val="auto"/>
                <w:lang w:bidi="ar"/>
              </w:rPr>
              <w:t>课堂不定期点名，考核出勤情况并打分。</w:t>
            </w:r>
          </w:p>
        </w:tc>
        <w:tc>
          <w:tcPr>
            <w:tcW w:w="1408" w:type="dxa"/>
            <w:tcBorders>
              <w:top w:val="single" w:color="auto" w:sz="4" w:space="0"/>
              <w:left w:val="single" w:color="auto" w:sz="4" w:space="0"/>
              <w:right w:val="single" w:color="auto" w:sz="4" w:space="0"/>
            </w:tcBorders>
            <w:vAlign w:val="center"/>
          </w:tcPr>
          <w:p w14:paraId="2EDCA94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 </w:t>
            </w:r>
            <w:r>
              <w:rPr>
                <w:rFonts w:ascii="Times New Roman" w:hAnsi="Times New Roman" w:eastAsia="楷体" w:cs="Times New Roman"/>
                <w:color w:val="auto"/>
                <w:szCs w:val="21"/>
              </w:rPr>
              <w:t>3-2</w:t>
            </w:r>
          </w:p>
        </w:tc>
      </w:tr>
      <w:tr w14:paraId="65AB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100" w:type="dxa"/>
            <w:vMerge w:val="continue"/>
            <w:tcBorders>
              <w:left w:val="single" w:color="auto" w:sz="4" w:space="0"/>
              <w:right w:val="single" w:color="auto" w:sz="4" w:space="0"/>
            </w:tcBorders>
            <w:tcMar>
              <w:left w:w="57" w:type="dxa"/>
              <w:right w:w="57" w:type="dxa"/>
            </w:tcMar>
            <w:vAlign w:val="center"/>
          </w:tcPr>
          <w:p w14:paraId="2C68F1FC">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 w:val="20"/>
                <w:szCs w:val="20"/>
              </w:rPr>
            </w:pPr>
          </w:p>
        </w:tc>
        <w:tc>
          <w:tcPr>
            <w:tcW w:w="1558" w:type="dxa"/>
            <w:tcBorders>
              <w:top w:val="single" w:color="auto" w:sz="4" w:space="0"/>
              <w:left w:val="single" w:color="auto" w:sz="4" w:space="0"/>
              <w:bottom w:val="single" w:color="auto" w:sz="4" w:space="0"/>
              <w:right w:val="single" w:color="auto" w:sz="4" w:space="0"/>
            </w:tcBorders>
            <w:vAlign w:val="center"/>
          </w:tcPr>
          <w:p w14:paraId="511814E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4"/>
              </w:rPr>
            </w:pPr>
            <w:r>
              <w:rPr>
                <w:rFonts w:ascii="Times New Roman" w:hAnsi="Times New Roman" w:eastAsia="宋体" w:cs="Times New Roman"/>
                <w:color w:val="auto"/>
                <w:lang w:bidi="ar"/>
              </w:rPr>
              <w:t>师生互动</w:t>
            </w:r>
          </w:p>
        </w:tc>
        <w:tc>
          <w:tcPr>
            <w:tcW w:w="739" w:type="dxa"/>
            <w:tcBorders>
              <w:top w:val="single" w:color="auto" w:sz="4" w:space="0"/>
              <w:left w:val="single" w:color="auto" w:sz="4" w:space="0"/>
              <w:bottom w:val="single" w:color="auto" w:sz="4" w:space="0"/>
              <w:right w:val="single" w:color="auto" w:sz="4" w:space="0"/>
            </w:tcBorders>
            <w:vAlign w:val="center"/>
          </w:tcPr>
          <w:p w14:paraId="23E5EEC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0"/>
                <w:szCs w:val="20"/>
              </w:rPr>
            </w:pPr>
            <w:r>
              <w:rPr>
                <w:rFonts w:ascii="Times New Roman" w:hAnsi="Times New Roman" w:eastAsia="宋体" w:cs="Times New Roman"/>
                <w:color w:val="auto"/>
              </w:rPr>
              <w:t>10%</w:t>
            </w:r>
          </w:p>
        </w:tc>
        <w:tc>
          <w:tcPr>
            <w:tcW w:w="4255" w:type="dxa"/>
            <w:tcBorders>
              <w:top w:val="single" w:color="auto" w:sz="4" w:space="0"/>
              <w:left w:val="single" w:color="auto" w:sz="4" w:space="0"/>
              <w:bottom w:val="single" w:color="auto" w:sz="4" w:space="0"/>
              <w:right w:val="single" w:color="auto" w:sz="4" w:space="0"/>
            </w:tcBorders>
            <w:vAlign w:val="center"/>
          </w:tcPr>
          <w:p w14:paraId="470534FC">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s="Times New Roman"/>
                <w:color w:val="auto"/>
              </w:rPr>
            </w:pPr>
            <w:r>
              <w:rPr>
                <w:rFonts w:ascii="Times New Roman" w:hAnsi="Times New Roman" w:eastAsia="宋体" w:cs="Times New Roman"/>
                <w:color w:val="auto"/>
              </w:rPr>
              <w:t>课堂不定期通过提问或小练习实施师生互动，考核考核学生课堂学习情况，按照互动情况打分。</w:t>
            </w:r>
          </w:p>
        </w:tc>
        <w:tc>
          <w:tcPr>
            <w:tcW w:w="1408" w:type="dxa"/>
            <w:tcBorders>
              <w:left w:val="single" w:color="auto" w:sz="4" w:space="0"/>
              <w:right w:val="single" w:color="auto" w:sz="4" w:space="0"/>
            </w:tcBorders>
            <w:vAlign w:val="center"/>
          </w:tcPr>
          <w:p w14:paraId="2DCE7D5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 </w:t>
            </w:r>
            <w:r>
              <w:rPr>
                <w:rFonts w:ascii="Times New Roman" w:hAnsi="Times New Roman" w:eastAsia="楷体" w:cs="Times New Roman"/>
                <w:color w:val="auto"/>
                <w:szCs w:val="21"/>
              </w:rPr>
              <w:t>3-2</w:t>
            </w:r>
          </w:p>
        </w:tc>
      </w:tr>
      <w:tr w14:paraId="1398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00" w:type="dxa"/>
            <w:vMerge w:val="continue"/>
            <w:tcBorders>
              <w:left w:val="single" w:color="auto" w:sz="4" w:space="0"/>
              <w:bottom w:val="single" w:color="auto" w:sz="4" w:space="0"/>
              <w:right w:val="single" w:color="auto" w:sz="4" w:space="0"/>
            </w:tcBorders>
            <w:tcMar>
              <w:left w:w="57" w:type="dxa"/>
              <w:right w:w="57" w:type="dxa"/>
            </w:tcMar>
            <w:vAlign w:val="center"/>
          </w:tcPr>
          <w:p w14:paraId="7780E481">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sz w:val="20"/>
                <w:szCs w:val="20"/>
              </w:rPr>
            </w:pPr>
          </w:p>
        </w:tc>
        <w:tc>
          <w:tcPr>
            <w:tcW w:w="1558" w:type="dxa"/>
            <w:tcBorders>
              <w:top w:val="single" w:color="auto" w:sz="4" w:space="0"/>
              <w:left w:val="single" w:color="auto" w:sz="4" w:space="0"/>
              <w:bottom w:val="single" w:color="auto" w:sz="4" w:space="0"/>
              <w:right w:val="single" w:color="auto" w:sz="4" w:space="0"/>
            </w:tcBorders>
            <w:vAlign w:val="center"/>
          </w:tcPr>
          <w:p w14:paraId="26CB2F9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lang w:bidi="ar"/>
              </w:rPr>
            </w:pPr>
            <w:r>
              <w:rPr>
                <w:rFonts w:ascii="Times New Roman" w:hAnsi="Times New Roman" w:eastAsia="宋体" w:cs="Times New Roman"/>
                <w:color w:val="auto"/>
                <w:lang w:bidi="ar"/>
              </w:rPr>
              <w:t>平时作业</w:t>
            </w:r>
          </w:p>
        </w:tc>
        <w:tc>
          <w:tcPr>
            <w:tcW w:w="739" w:type="dxa"/>
            <w:tcBorders>
              <w:top w:val="single" w:color="auto" w:sz="4" w:space="0"/>
              <w:left w:val="single" w:color="auto" w:sz="4" w:space="0"/>
              <w:bottom w:val="single" w:color="auto" w:sz="4" w:space="0"/>
              <w:right w:val="single" w:color="auto" w:sz="4" w:space="0"/>
            </w:tcBorders>
            <w:vAlign w:val="center"/>
          </w:tcPr>
          <w:p w14:paraId="5BED57B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30%</w:t>
            </w:r>
          </w:p>
        </w:tc>
        <w:tc>
          <w:tcPr>
            <w:tcW w:w="4255" w:type="dxa"/>
            <w:tcBorders>
              <w:top w:val="single" w:color="auto" w:sz="4" w:space="0"/>
              <w:left w:val="single" w:color="auto" w:sz="4" w:space="0"/>
              <w:bottom w:val="single" w:color="auto" w:sz="4" w:space="0"/>
              <w:right w:val="single" w:color="auto" w:sz="4" w:space="0"/>
            </w:tcBorders>
            <w:vAlign w:val="center"/>
          </w:tcPr>
          <w:p w14:paraId="3B4C1473">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s="Times New Roman"/>
                <w:color w:val="auto"/>
                <w:lang w:bidi="ar"/>
              </w:rPr>
            </w:pPr>
            <w:r>
              <w:rPr>
                <w:rFonts w:ascii="Times New Roman" w:hAnsi="Times New Roman" w:eastAsia="宋体" w:cs="Times New Roman"/>
                <w:color w:val="auto"/>
                <w:lang w:bidi="ar"/>
              </w:rPr>
              <w:t>定期布置习题，考核学生对所学知识点的复习、理解和掌握度。对作业完成情况做记录并百分制打分，计算作业的平均成绩。</w:t>
            </w:r>
          </w:p>
        </w:tc>
        <w:tc>
          <w:tcPr>
            <w:tcW w:w="1408" w:type="dxa"/>
            <w:tcBorders>
              <w:left w:val="single" w:color="auto" w:sz="4" w:space="0"/>
              <w:bottom w:val="single" w:color="auto" w:sz="4" w:space="0"/>
              <w:right w:val="single" w:color="auto" w:sz="4" w:space="0"/>
            </w:tcBorders>
            <w:vAlign w:val="center"/>
          </w:tcPr>
          <w:p w14:paraId="70B9665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 </w:t>
            </w:r>
            <w:r>
              <w:rPr>
                <w:rFonts w:ascii="Times New Roman" w:hAnsi="Times New Roman" w:eastAsia="楷体" w:cs="Times New Roman"/>
                <w:color w:val="auto"/>
                <w:szCs w:val="21"/>
              </w:rPr>
              <w:t>3-2</w:t>
            </w:r>
          </w:p>
        </w:tc>
      </w:tr>
      <w:tr w14:paraId="4135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100"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C29E15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4"/>
              </w:rPr>
            </w:pPr>
            <w:r>
              <w:rPr>
                <w:rFonts w:ascii="Times New Roman" w:hAnsi="Times New Roman" w:eastAsia="宋体" w:cs="Times New Roman"/>
                <w:color w:val="auto"/>
                <w:lang w:bidi="ar"/>
              </w:rPr>
              <w:t>期末考试成绩</w:t>
            </w:r>
          </w:p>
        </w:tc>
        <w:tc>
          <w:tcPr>
            <w:tcW w:w="1558" w:type="dxa"/>
            <w:tcBorders>
              <w:top w:val="single" w:color="auto" w:sz="4" w:space="0"/>
              <w:left w:val="single" w:color="auto" w:sz="4" w:space="0"/>
              <w:bottom w:val="single" w:color="auto" w:sz="4" w:space="0"/>
              <w:right w:val="single" w:color="auto" w:sz="4" w:space="0"/>
            </w:tcBorders>
            <w:vAlign w:val="center"/>
          </w:tcPr>
          <w:p w14:paraId="4DB6AE2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4"/>
              </w:rPr>
            </w:pPr>
            <w:r>
              <w:rPr>
                <w:rFonts w:ascii="Times New Roman" w:hAnsi="Times New Roman" w:eastAsia="宋体" w:cs="Times New Roman"/>
                <w:color w:val="auto"/>
                <w:lang w:bidi="ar"/>
              </w:rPr>
              <w:t>试卷考试</w:t>
            </w:r>
          </w:p>
        </w:tc>
        <w:tc>
          <w:tcPr>
            <w:tcW w:w="739" w:type="dxa"/>
            <w:tcBorders>
              <w:top w:val="single" w:color="auto" w:sz="4" w:space="0"/>
              <w:left w:val="single" w:color="auto" w:sz="4" w:space="0"/>
              <w:bottom w:val="single" w:color="auto" w:sz="4" w:space="0"/>
              <w:right w:val="single" w:color="auto" w:sz="4" w:space="0"/>
            </w:tcBorders>
            <w:vAlign w:val="center"/>
          </w:tcPr>
          <w:p w14:paraId="74440F6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4"/>
              </w:rPr>
            </w:pPr>
            <w:r>
              <w:rPr>
                <w:rFonts w:ascii="Times New Roman" w:hAnsi="Times New Roman" w:eastAsia="宋体" w:cs="Times New Roman"/>
                <w:color w:val="auto"/>
                <w:lang w:bidi="ar"/>
              </w:rPr>
              <w:t>50 %</w:t>
            </w:r>
          </w:p>
        </w:tc>
        <w:tc>
          <w:tcPr>
            <w:tcW w:w="4255" w:type="dxa"/>
            <w:tcBorders>
              <w:top w:val="single" w:color="auto" w:sz="4" w:space="0"/>
              <w:left w:val="single" w:color="auto" w:sz="4" w:space="0"/>
              <w:bottom w:val="single" w:color="auto" w:sz="4" w:space="0"/>
              <w:right w:val="single" w:color="auto" w:sz="4" w:space="0"/>
            </w:tcBorders>
            <w:vAlign w:val="center"/>
          </w:tcPr>
          <w:p w14:paraId="7210625F">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s="Times New Roman"/>
                <w:color w:val="auto"/>
              </w:rPr>
            </w:pPr>
            <w:r>
              <w:rPr>
                <w:rFonts w:ascii="Times New Roman" w:hAnsi="Times New Roman" w:eastAsia="宋体" w:cs="Times New Roman"/>
                <w:color w:val="auto"/>
                <w:lang w:bidi="ar"/>
              </w:rPr>
              <w:t>试卷题型包括选择题、计算题、解答题等。</w:t>
            </w:r>
          </w:p>
        </w:tc>
        <w:tc>
          <w:tcPr>
            <w:tcW w:w="1408" w:type="dxa"/>
            <w:tcBorders>
              <w:top w:val="single" w:color="auto" w:sz="4" w:space="0"/>
              <w:left w:val="single" w:color="auto" w:sz="4" w:space="0"/>
              <w:bottom w:val="single" w:color="auto" w:sz="4" w:space="0"/>
              <w:right w:val="single" w:color="auto" w:sz="4" w:space="0"/>
            </w:tcBorders>
            <w:vAlign w:val="center"/>
          </w:tcPr>
          <w:p w14:paraId="799AC2E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3-2 </w:t>
            </w:r>
          </w:p>
        </w:tc>
      </w:tr>
    </w:tbl>
    <w:p w14:paraId="425DF96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六、有关说明</w:t>
      </w:r>
    </w:p>
    <w:p w14:paraId="2A35DBC8">
      <w:pPr>
        <w:spacing w:line="360" w:lineRule="auto"/>
        <w:ind w:firstLine="422" w:firstLineChars="20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（一）持续改进</w:t>
      </w:r>
    </w:p>
    <w:p w14:paraId="6F3D48B1">
      <w:pPr>
        <w:spacing w:line="360" w:lineRule="auto"/>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 提倡改革教学方法，强调应用现代化教学手段，如课件、互联网视频教学和网络答疑等。</w:t>
      </w:r>
    </w:p>
    <w:p w14:paraId="1D1AA19E">
      <w:pPr>
        <w:spacing w:line="360" w:lineRule="auto"/>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2.合理安排教学课时，加强课堂提问、课堂小测验等旨在督促学生自主学习的教学环节；引导学生做好课前预习、课后整理笔记并及时完成作业的复习工作；保证学生完成一定数量的作业和习题。</w:t>
      </w:r>
    </w:p>
    <w:p w14:paraId="21B6F2DB">
      <w:pPr>
        <w:spacing w:line="360" w:lineRule="auto"/>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3．教学用的例题和习题，应适当结合实际。</w:t>
      </w:r>
    </w:p>
    <w:p w14:paraId="028F87D7">
      <w:pPr>
        <w:spacing w:line="360" w:lineRule="auto"/>
        <w:ind w:firstLine="422" w:firstLineChars="20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（二）参考书目及学习资料</w:t>
      </w:r>
    </w:p>
    <w:p w14:paraId="575AF322">
      <w:pPr>
        <w:spacing w:line="300" w:lineRule="auto"/>
        <w:ind w:firstLine="420" w:firstLineChars="200"/>
        <w:rPr>
          <w:rFonts w:ascii="Times New Roman" w:hAnsi="Times New Roman" w:eastAsia="宋体" w:cs="Times New Roman"/>
          <w:color w:val="auto"/>
          <w:kern w:val="10"/>
          <w:sz w:val="21"/>
          <w:szCs w:val="21"/>
        </w:rPr>
      </w:pPr>
      <w:r>
        <w:rPr>
          <w:rFonts w:ascii="Times New Roman" w:hAnsi="Times New Roman" w:eastAsia="宋体" w:cs="Times New Roman"/>
          <w:color w:val="auto"/>
          <w:sz w:val="21"/>
          <w:szCs w:val="21"/>
        </w:rPr>
        <w:t>1. 徐品方. 数学趣史. 北京：科学出版社，2013.</w:t>
      </w:r>
    </w:p>
    <w:p w14:paraId="572E49C0">
      <w:pPr>
        <w:spacing w:line="300" w:lineRule="auto"/>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 基础教育教学研究课题组. 小学数学教学指导. 北京：高等教育出版社，2015.</w:t>
      </w:r>
    </w:p>
    <w:p w14:paraId="25D038E6">
      <w:pPr>
        <w:spacing w:line="300" w:lineRule="auto"/>
        <w:ind w:firstLine="480" w:firstLineChars="200"/>
        <w:rPr>
          <w:rFonts w:ascii="Times New Roman" w:hAnsi="Times New Roman" w:eastAsia="宋体" w:cs="Times New Roman"/>
          <w:color w:val="auto"/>
          <w:sz w:val="24"/>
        </w:rPr>
      </w:pPr>
    </w:p>
    <w:p w14:paraId="4023837B">
      <w:pPr>
        <w:autoSpaceDE w:val="0"/>
        <w:autoSpaceDN w:val="0"/>
        <w:adjustRightInd w:val="0"/>
        <w:spacing w:line="360" w:lineRule="auto"/>
        <w:ind w:firstLine="480" w:firstLineChars="200"/>
        <w:jc w:val="right"/>
        <w:rPr>
          <w:rFonts w:ascii="Times New Roman" w:hAnsi="Times New Roman" w:eastAsia="宋体" w:cs="Times New Roman"/>
          <w:color w:val="auto"/>
          <w:kern w:val="0"/>
          <w:sz w:val="21"/>
          <w:szCs w:val="18"/>
        </w:rPr>
      </w:pPr>
      <w:r>
        <w:rPr>
          <w:rFonts w:ascii="Times New Roman" w:hAnsi="Times New Roman" w:eastAsia="宋体" w:cs="Times New Roman"/>
          <w:color w:val="auto"/>
          <w:sz w:val="24"/>
        </w:rPr>
        <w:t xml:space="preserve">                                                </w:t>
      </w:r>
      <w:r>
        <w:rPr>
          <w:rFonts w:ascii="Times New Roman" w:hAnsi="Times New Roman" w:eastAsia="宋体" w:cs="Times New Roman"/>
          <w:color w:val="auto"/>
          <w:sz w:val="21"/>
          <w:szCs w:val="21"/>
        </w:rPr>
        <w:t xml:space="preserve">   </w:t>
      </w:r>
      <w:r>
        <w:rPr>
          <w:rFonts w:ascii="Times New Roman" w:hAnsi="Times New Roman" w:eastAsia="宋体" w:cs="Times New Roman"/>
          <w:color w:val="auto"/>
          <w:kern w:val="0"/>
          <w:sz w:val="21"/>
          <w:szCs w:val="18"/>
        </w:rPr>
        <w:t>执笔人：王君甫</w:t>
      </w:r>
    </w:p>
    <w:p w14:paraId="2D77DACE">
      <w:pPr>
        <w:autoSpaceDE w:val="0"/>
        <w:autoSpaceDN w:val="0"/>
        <w:adjustRightInd w:val="0"/>
        <w:spacing w:line="360" w:lineRule="auto"/>
        <w:jc w:val="right"/>
        <w:rPr>
          <w:rFonts w:ascii="Times New Roman" w:hAnsi="Times New Roman" w:eastAsia="宋体" w:cs="Times New Roman"/>
          <w:color w:val="auto"/>
          <w:kern w:val="0"/>
          <w:sz w:val="21"/>
          <w:szCs w:val="18"/>
        </w:rPr>
      </w:pPr>
      <w:r>
        <w:rPr>
          <w:rFonts w:ascii="Times New Roman" w:hAnsi="Times New Roman" w:eastAsia="宋体" w:cs="Times New Roman"/>
          <w:color w:val="auto"/>
          <w:kern w:val="0"/>
          <w:sz w:val="21"/>
          <w:szCs w:val="18"/>
        </w:rPr>
        <w:t>审定人：</w:t>
      </w:r>
      <w:r>
        <w:rPr>
          <w:rFonts w:ascii="Times New Roman" w:hAnsi="Times New Roman" w:eastAsia="宋体" w:cs="Times New Roman"/>
          <w:color w:val="auto"/>
          <w:sz w:val="21"/>
          <w:szCs w:val="18"/>
        </w:rPr>
        <w:t>钱  峰</w:t>
      </w:r>
    </w:p>
    <w:p w14:paraId="6A11D17F">
      <w:pPr>
        <w:autoSpaceDE w:val="0"/>
        <w:autoSpaceDN w:val="0"/>
        <w:adjustRightInd w:val="0"/>
        <w:spacing w:line="360" w:lineRule="auto"/>
        <w:jc w:val="right"/>
        <w:rPr>
          <w:rFonts w:ascii="Times New Roman" w:hAnsi="Times New Roman" w:eastAsia="宋体" w:cs="Times New Roman"/>
          <w:color w:val="auto"/>
          <w:kern w:val="0"/>
          <w:sz w:val="21"/>
          <w:szCs w:val="18"/>
        </w:rPr>
      </w:pPr>
      <w:r>
        <w:rPr>
          <w:rFonts w:ascii="Times New Roman" w:hAnsi="Times New Roman" w:eastAsia="宋体" w:cs="Times New Roman"/>
          <w:color w:val="auto"/>
          <w:kern w:val="0"/>
          <w:sz w:val="21"/>
          <w:szCs w:val="18"/>
        </w:rPr>
        <w:t>审批人：王献东</w:t>
      </w:r>
    </w:p>
    <w:p w14:paraId="489EEBF9">
      <w:pPr>
        <w:wordWrap w:val="0"/>
        <w:autoSpaceDE w:val="0"/>
        <w:autoSpaceDN w:val="0"/>
        <w:adjustRightInd w:val="0"/>
        <w:spacing w:line="360" w:lineRule="auto"/>
        <w:jc w:val="right"/>
        <w:rPr>
          <w:rFonts w:hint="eastAsia" w:ascii="Times New Roman" w:hAnsi="Times New Roman" w:eastAsia="宋体" w:cs="Times New Roman"/>
          <w:color w:val="auto"/>
          <w:kern w:val="0"/>
          <w:sz w:val="24"/>
          <w:szCs w:val="21"/>
          <w:lang w:eastAsia="zh-CN"/>
        </w:rPr>
      </w:pPr>
      <w:r>
        <w:rPr>
          <w:rFonts w:hint="eastAsia" w:ascii="Times New Roman" w:hAnsi="Times New Roman" w:eastAsia="宋体" w:cs="Times New Roman"/>
          <w:color w:val="auto"/>
          <w:kern w:val="0"/>
          <w:sz w:val="21"/>
          <w:szCs w:val="18"/>
          <w:lang w:eastAsia="zh-CN"/>
        </w:rPr>
        <w:t>批准时间：2025年7月1日</w:t>
      </w:r>
    </w:p>
    <w:p w14:paraId="13CF8C72">
      <w:pPr>
        <w:rPr>
          <w:rFonts w:ascii="Times New Roman" w:hAnsi="Times New Roman" w:eastAsia="宋体" w:cs="Times New Roman"/>
          <w:color w:val="auto"/>
          <w:kern w:val="0"/>
          <w:sz w:val="24"/>
          <w:szCs w:val="21"/>
        </w:rPr>
      </w:pPr>
      <w:r>
        <w:rPr>
          <w:rFonts w:hint="eastAsia" w:ascii="Times New Roman" w:hAnsi="Times New Roman" w:eastAsia="宋体" w:cs="Times New Roman"/>
          <w:color w:val="auto"/>
          <w:kern w:val="0"/>
          <w:sz w:val="24"/>
          <w:szCs w:val="21"/>
        </w:rPr>
        <w:br w:type="page"/>
      </w:r>
    </w:p>
    <w:p w14:paraId="1C4BB4DA">
      <w:pPr>
        <w:spacing w:line="360" w:lineRule="auto"/>
        <w:jc w:val="center"/>
        <w:outlineLvl w:val="0"/>
        <w:rPr>
          <w:rFonts w:hint="eastAsia" w:ascii="Times New Roman" w:hAnsi="Times New Roman" w:eastAsia="宋体" w:cs="Times New Roman"/>
          <w:b/>
          <w:color w:val="auto"/>
          <w:sz w:val="40"/>
          <w:szCs w:val="40"/>
        </w:rPr>
      </w:pPr>
      <w:bookmarkStart w:id="384" w:name="_Toc4737"/>
      <w:r>
        <w:rPr>
          <w:rFonts w:hint="eastAsia" w:ascii="Times New Roman" w:hAnsi="Times New Roman" w:eastAsia="宋体" w:cs="Times New Roman"/>
          <w:b/>
          <w:color w:val="auto"/>
          <w:sz w:val="40"/>
          <w:szCs w:val="40"/>
        </w:rPr>
        <w:t>《小学数学课程标准与教材分析》课程教学大纲</w:t>
      </w:r>
      <w:bookmarkEnd w:id="384"/>
    </w:p>
    <w:p w14:paraId="1F65D4F5">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（Analysis on Mathematics Curriculum Standard and Textbook in Primary School）</w:t>
      </w:r>
    </w:p>
    <w:p w14:paraId="20A7729A">
      <w:pPr>
        <w:spacing w:line="360" w:lineRule="auto"/>
        <w:jc w:val="center"/>
        <w:rPr>
          <w:rFonts w:ascii="Times New Roman" w:hAnsi="Times New Roman" w:eastAsia="宋体" w:cs="Times New Roman"/>
          <w:bCs/>
          <w:color w:val="auto"/>
          <w:sz w:val="21"/>
          <w:szCs w:val="21"/>
        </w:rPr>
      </w:pPr>
    </w:p>
    <w:p w14:paraId="52E44F3E">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课程名称：小学数学课程标准与教材分析</w:t>
      </w:r>
    </w:p>
    <w:p w14:paraId="1BC0DA70">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课程代码：2401077</w:t>
      </w:r>
    </w:p>
    <w:p w14:paraId="5088B727">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学</w:t>
      </w:r>
      <w:r>
        <w:rPr>
          <w:rFonts w:ascii="Times New Roman" w:hAnsi="Times New Roman" w:eastAsia="宋体" w:cs="Times New Roman"/>
          <w:b/>
          <w:color w:val="auto"/>
          <w:sz w:val="24"/>
        </w:rPr>
        <w:t xml:space="preserve">    分：</w:t>
      </w:r>
      <w:r>
        <w:rPr>
          <w:rFonts w:hint="eastAsia" w:ascii="Times New Roman" w:hAnsi="Times New Roman" w:eastAsia="宋体" w:cs="Times New Roman"/>
          <w:b/>
          <w:color w:val="auto"/>
          <w:sz w:val="24"/>
        </w:rPr>
        <w:t>3</w:t>
      </w:r>
    </w:p>
    <w:p w14:paraId="27E7436A">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学</w:t>
      </w:r>
      <w:r>
        <w:rPr>
          <w:rFonts w:ascii="Times New Roman" w:hAnsi="Times New Roman" w:eastAsia="宋体" w:cs="Times New Roman"/>
          <w:b/>
          <w:color w:val="auto"/>
          <w:sz w:val="24"/>
        </w:rPr>
        <w:t xml:space="preserve">    时：</w:t>
      </w:r>
      <w:r>
        <w:rPr>
          <w:rFonts w:hint="eastAsia" w:ascii="Times New Roman" w:hAnsi="Times New Roman" w:eastAsia="宋体" w:cs="Times New Roman"/>
          <w:b/>
          <w:color w:val="auto"/>
          <w:sz w:val="24"/>
        </w:rPr>
        <w:t>48</w:t>
      </w:r>
      <w:r>
        <w:rPr>
          <w:rFonts w:ascii="Times New Roman" w:hAnsi="Times New Roman" w:eastAsia="宋体" w:cs="Times New Roman"/>
          <w:b/>
          <w:color w:val="auto"/>
          <w:sz w:val="24"/>
        </w:rPr>
        <w:t xml:space="preserve"> （其中：讲授学时</w:t>
      </w:r>
      <w:r>
        <w:rPr>
          <w:rFonts w:hint="eastAsia" w:ascii="Times New Roman" w:hAnsi="Times New Roman" w:eastAsia="宋体" w:cs="Times New Roman"/>
          <w:b/>
          <w:color w:val="auto"/>
          <w:sz w:val="24"/>
        </w:rPr>
        <w:t>32</w:t>
      </w:r>
      <w:r>
        <w:rPr>
          <w:rFonts w:ascii="Times New Roman" w:hAnsi="Times New Roman" w:eastAsia="宋体" w:cs="Times New Roman"/>
          <w:b/>
          <w:color w:val="auto"/>
          <w:sz w:val="24"/>
        </w:rPr>
        <w:t>， 实践学时</w:t>
      </w:r>
      <w:r>
        <w:rPr>
          <w:rFonts w:hint="eastAsia" w:ascii="Times New Roman" w:hAnsi="Times New Roman" w:eastAsia="宋体" w:cs="Times New Roman"/>
          <w:b/>
          <w:color w:val="auto"/>
          <w:sz w:val="24"/>
        </w:rPr>
        <w:t>16</w:t>
      </w:r>
      <w:r>
        <w:rPr>
          <w:rFonts w:ascii="Times New Roman" w:hAnsi="Times New Roman" w:eastAsia="宋体" w:cs="Times New Roman"/>
          <w:b/>
          <w:color w:val="auto"/>
          <w:sz w:val="24"/>
        </w:rPr>
        <w:t>）</w:t>
      </w:r>
    </w:p>
    <w:p w14:paraId="6E11F0BA">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先修课程：小学心理学、教育原理、教育心理学、课程与教学论、初等数论</w:t>
      </w:r>
    </w:p>
    <w:p w14:paraId="414D0AC1">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适用专业：小学教育（理）</w:t>
      </w:r>
    </w:p>
    <w:p w14:paraId="464766A9">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4"/>
        </w:rPr>
      </w:pPr>
      <w:r>
        <w:rPr>
          <w:rFonts w:hint="eastAsia" w:ascii="Times New Roman" w:hAnsi="Times New Roman" w:eastAsia="宋体" w:cs="Times New Roman"/>
          <w:b/>
          <w:color w:val="auto"/>
          <w:sz w:val="24"/>
        </w:rPr>
        <w:t>一、课程简介</w:t>
      </w:r>
    </w:p>
    <w:p w14:paraId="3C3A3CE2">
      <w:pPr>
        <w:spacing w:line="360" w:lineRule="auto"/>
        <w:ind w:firstLine="420" w:firstLineChars="200"/>
        <w:jc w:val="left"/>
        <w:rPr>
          <w:rFonts w:hint="eastAsia" w:ascii="宋体" w:hAnsi="宋体" w:eastAsia="宋体" w:cs="Times New Roman"/>
          <w:b/>
          <w:color w:val="auto"/>
          <w:szCs w:val="21"/>
        </w:rPr>
      </w:pPr>
      <w:r>
        <w:rPr>
          <w:rFonts w:hint="eastAsia" w:ascii="Times New Roman" w:hAnsi="Times New Roman" w:eastAsia="宋体" w:cs="Times New Roman"/>
          <w:color w:val="auto"/>
          <w:szCs w:val="21"/>
        </w:rPr>
        <w:t>本课程是小学教育专业的一门专业必修课程。通过本门课程学习，学生能够理解小学数学课程的性质和基本理念，明确小学数学课程目标，熟悉小学数学课程的主要内容。能依据数学课程标准的理念对小学数学教材进行科学的分析，明确“数与代数”“图形与几何”“统计与概率”“综合与实践”等领域教材的编写意图、逻辑结构与编写特点，能在教材分析的基础上尝试进行小学数学教学设计并付诸实施，不断提高小学数学教学的能力。</w:t>
      </w:r>
    </w:p>
    <w:p w14:paraId="213E7BA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二、课程目标</w:t>
      </w:r>
    </w:p>
    <w:p w14:paraId="75197493">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6C9A283B">
      <w:pPr>
        <w:spacing w:line="360" w:lineRule="auto"/>
        <w:ind w:firstLine="422" w:firstLineChars="200"/>
        <w:rPr>
          <w:rFonts w:hint="eastAsia" w:ascii="宋体" w:hAnsi="宋体" w:eastAsia="宋体"/>
          <w:color w:val="auto"/>
          <w:kern w:val="0"/>
          <w:szCs w:val="21"/>
        </w:rPr>
      </w:pPr>
      <w:r>
        <w:rPr>
          <w:rFonts w:hint="eastAsia" w:ascii="宋体" w:hAnsi="宋体" w:eastAsia="宋体"/>
          <w:b/>
          <w:color w:val="auto"/>
          <w:kern w:val="0"/>
          <w:szCs w:val="21"/>
        </w:rPr>
        <w:t>目标</w:t>
      </w:r>
      <w:r>
        <w:rPr>
          <w:rFonts w:ascii="宋体" w:hAnsi="宋体" w:eastAsia="宋体"/>
          <w:b/>
          <w:color w:val="auto"/>
          <w:kern w:val="0"/>
          <w:szCs w:val="21"/>
        </w:rPr>
        <w:t>1.</w:t>
      </w:r>
      <w:r>
        <w:rPr>
          <w:rFonts w:hint="eastAsia" w:ascii="宋体" w:hAnsi="宋体" w:eastAsia="宋体"/>
          <w:color w:val="auto"/>
          <w:kern w:val="0"/>
          <w:szCs w:val="21"/>
        </w:rPr>
        <w:t>理解义务教育数学课程标准的基本理念以及</w:t>
      </w:r>
      <w:r>
        <w:rPr>
          <w:rFonts w:ascii="宋体" w:hAnsi="宋体" w:eastAsia="宋体"/>
          <w:color w:val="auto"/>
          <w:kern w:val="0"/>
          <w:szCs w:val="21"/>
        </w:rPr>
        <w:t>数学素养的</w:t>
      </w:r>
      <w:r>
        <w:rPr>
          <w:rFonts w:hint="eastAsia" w:ascii="宋体" w:hAnsi="宋体" w:eastAsia="宋体"/>
          <w:color w:val="auto"/>
          <w:kern w:val="0"/>
          <w:szCs w:val="21"/>
        </w:rPr>
        <w:t>相关概念，明确</w:t>
      </w:r>
      <w:r>
        <w:rPr>
          <w:rFonts w:ascii="宋体" w:hAnsi="宋体" w:eastAsia="宋体"/>
          <w:color w:val="auto"/>
          <w:kern w:val="0"/>
          <w:szCs w:val="21"/>
        </w:rPr>
        <w:t>小学数学课程的</w:t>
      </w:r>
      <w:r>
        <w:rPr>
          <w:rFonts w:hint="eastAsia" w:ascii="宋体" w:hAnsi="宋体" w:eastAsia="宋体"/>
          <w:color w:val="auto"/>
          <w:kern w:val="0"/>
          <w:szCs w:val="21"/>
        </w:rPr>
        <w:t>总体目标，了解小学教材</w:t>
      </w:r>
      <w:r>
        <w:rPr>
          <w:rFonts w:ascii="宋体" w:hAnsi="宋体" w:eastAsia="宋体"/>
          <w:color w:val="auto"/>
          <w:kern w:val="0"/>
          <w:szCs w:val="21"/>
        </w:rPr>
        <w:t>的</w:t>
      </w:r>
      <w:r>
        <w:rPr>
          <w:rFonts w:hint="eastAsia" w:ascii="宋体" w:hAnsi="宋体" w:eastAsia="宋体"/>
          <w:color w:val="auto"/>
          <w:kern w:val="0"/>
          <w:szCs w:val="21"/>
        </w:rPr>
        <w:t>逻辑</w:t>
      </w:r>
      <w:r>
        <w:rPr>
          <w:rFonts w:ascii="宋体" w:hAnsi="宋体" w:eastAsia="宋体"/>
          <w:color w:val="auto"/>
          <w:kern w:val="0"/>
          <w:szCs w:val="21"/>
        </w:rPr>
        <w:t>结构，</w:t>
      </w:r>
      <w:r>
        <w:rPr>
          <w:rFonts w:hint="eastAsia" w:ascii="宋体" w:hAnsi="宋体" w:eastAsia="宋体"/>
          <w:color w:val="auto"/>
          <w:kern w:val="0"/>
          <w:szCs w:val="21"/>
        </w:rPr>
        <w:t>熟悉“数与代数”“图形与几何”“统计与概率”“综合与实践”等领域的具体内容。</w:t>
      </w:r>
    </w:p>
    <w:p w14:paraId="710650F3">
      <w:pPr>
        <w:spacing w:line="360" w:lineRule="auto"/>
        <w:ind w:firstLine="422" w:firstLineChars="200"/>
        <w:rPr>
          <w:rFonts w:hint="eastAsia" w:ascii="宋体" w:hAnsi="宋体" w:eastAsia="宋体"/>
          <w:color w:val="auto"/>
          <w:kern w:val="0"/>
          <w:szCs w:val="21"/>
        </w:rPr>
      </w:pPr>
      <w:r>
        <w:rPr>
          <w:rFonts w:hint="eastAsia" w:ascii="宋体" w:hAnsi="宋体" w:eastAsia="宋体"/>
          <w:b/>
          <w:color w:val="auto"/>
          <w:kern w:val="0"/>
          <w:szCs w:val="21"/>
        </w:rPr>
        <w:t>目标</w:t>
      </w:r>
      <w:r>
        <w:rPr>
          <w:rFonts w:ascii="宋体" w:hAnsi="宋体" w:eastAsia="宋体"/>
          <w:b/>
          <w:color w:val="auto"/>
          <w:kern w:val="0"/>
          <w:szCs w:val="21"/>
        </w:rPr>
        <w:t>2.</w:t>
      </w:r>
      <w:r>
        <w:rPr>
          <w:rFonts w:hint="eastAsia" w:ascii="宋体" w:hAnsi="宋体" w:eastAsia="宋体"/>
          <w:color w:val="auto"/>
          <w:kern w:val="0"/>
          <w:szCs w:val="21"/>
        </w:rPr>
        <w:t>能够依据小学数学课程的基本理念、学业质量要求和实施建议，</w:t>
      </w:r>
      <w:r>
        <w:rPr>
          <w:rFonts w:ascii="宋体" w:hAnsi="宋体" w:eastAsia="宋体"/>
          <w:color w:val="auto"/>
          <w:kern w:val="0"/>
          <w:szCs w:val="21"/>
        </w:rPr>
        <w:t>尝试进行小学数学教学设计并付诸实施</w:t>
      </w:r>
      <w:r>
        <w:rPr>
          <w:rFonts w:hint="eastAsia" w:ascii="宋体" w:hAnsi="宋体" w:eastAsia="宋体"/>
          <w:color w:val="auto"/>
          <w:kern w:val="0"/>
          <w:szCs w:val="21"/>
        </w:rPr>
        <w:t>，具有初步的小学数学教学能力。</w:t>
      </w:r>
    </w:p>
    <w:p w14:paraId="1BC65A53">
      <w:pPr>
        <w:spacing w:line="360" w:lineRule="auto"/>
        <w:ind w:firstLine="422" w:firstLineChars="200"/>
        <w:rPr>
          <w:rFonts w:hint="eastAsia" w:ascii="宋体" w:hAnsi="宋体" w:eastAsia="宋体"/>
          <w:color w:val="auto"/>
          <w:kern w:val="0"/>
          <w:szCs w:val="21"/>
        </w:rPr>
      </w:pPr>
      <w:r>
        <w:rPr>
          <w:rFonts w:hint="eastAsia" w:ascii="宋体" w:hAnsi="宋体" w:eastAsia="宋体"/>
          <w:b/>
          <w:color w:val="auto"/>
          <w:kern w:val="0"/>
          <w:szCs w:val="21"/>
        </w:rPr>
        <w:t>目标</w:t>
      </w:r>
      <w:r>
        <w:rPr>
          <w:rFonts w:ascii="宋体" w:hAnsi="宋体" w:eastAsia="宋体"/>
          <w:b/>
          <w:color w:val="auto"/>
          <w:kern w:val="0"/>
          <w:szCs w:val="21"/>
        </w:rPr>
        <w:t>3.</w:t>
      </w:r>
      <w:r>
        <w:rPr>
          <w:rFonts w:hint="eastAsia" w:ascii="宋体" w:hAnsi="宋体" w:eastAsia="宋体"/>
          <w:color w:val="auto"/>
          <w:kern w:val="0"/>
          <w:szCs w:val="21"/>
        </w:rPr>
        <w:t>能够结合小学课程内容及小学生的年龄特点，挖掘小学数学课程中的思政元素，确立综合育人的意识。</w:t>
      </w:r>
    </w:p>
    <w:p w14:paraId="6427C83A">
      <w:pPr>
        <w:spacing w:line="360" w:lineRule="auto"/>
        <w:ind w:firstLine="422" w:firstLineChars="200"/>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6223"/>
        <w:gridCol w:w="1327"/>
      </w:tblGrid>
      <w:tr w14:paraId="09F9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Align w:val="center"/>
          </w:tcPr>
          <w:p w14:paraId="653953CD">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223" w:type="dxa"/>
            <w:vAlign w:val="center"/>
          </w:tcPr>
          <w:p w14:paraId="6350CD8A">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327" w:type="dxa"/>
            <w:vAlign w:val="center"/>
          </w:tcPr>
          <w:p w14:paraId="2DEA20D1">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4BB8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vAlign w:val="center"/>
          </w:tcPr>
          <w:p w14:paraId="4EF3F0E9">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r>
              <w:rPr>
                <w:rFonts w:ascii="Times New Roman" w:hAnsi="Times New Roman" w:eastAsia="宋体" w:cs="Times New Roman"/>
                <w:b/>
                <w:bCs/>
                <w:color w:val="auto"/>
                <w:szCs w:val="21"/>
              </w:rPr>
              <w:t>4. 教学能力</w:t>
            </w:r>
          </w:p>
        </w:tc>
        <w:tc>
          <w:tcPr>
            <w:tcW w:w="6223" w:type="dxa"/>
            <w:vAlign w:val="center"/>
          </w:tcPr>
          <w:p w14:paraId="7F6DEEA3">
            <w:pPr>
              <w:spacing w:line="276" w:lineRule="auto"/>
              <w:jc w:val="left"/>
              <w:rPr>
                <w:rFonts w:hint="eastAsia" w:ascii="Times New Roman" w:hAnsi="Times New Roman" w:eastAsia="宋体" w:cs="Times New Roman"/>
                <w:b w:val="0"/>
                <w:bCs w:val="0"/>
                <w:color w:val="auto"/>
                <w:szCs w:val="21"/>
                <w:lang w:eastAsia="zh-CN"/>
              </w:rPr>
            </w:pPr>
            <w:r>
              <w:rPr>
                <w:rFonts w:hint="eastAsia" w:ascii="宋体" w:hAnsi="宋体" w:eastAsia="宋体" w:cs="Times New Roman"/>
                <w:b/>
                <w:bCs/>
                <w:color w:val="auto"/>
                <w:spacing w:val="2"/>
                <w:kern w:val="0"/>
                <w:szCs w:val="21"/>
                <w:lang w:eastAsia="zh-CN"/>
              </w:rPr>
              <w:t>指标点4-1</w:t>
            </w:r>
            <w:r>
              <w:rPr>
                <w:rFonts w:hint="eastAsia" w:ascii="宋体" w:hAnsi="宋体" w:eastAsia="宋体" w:cs="Times New Roman"/>
                <w:b w:val="0"/>
                <w:bCs w:val="0"/>
                <w:color w:val="auto"/>
                <w:spacing w:val="2"/>
                <w:kern w:val="0"/>
                <w:szCs w:val="21"/>
                <w:lang w:eastAsia="zh-CN"/>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327" w:type="dxa"/>
            <w:vAlign w:val="center"/>
          </w:tcPr>
          <w:p w14:paraId="3768D4CF">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1</w:t>
            </w:r>
          </w:p>
        </w:tc>
      </w:tr>
      <w:tr w14:paraId="484E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vAlign w:val="center"/>
          </w:tcPr>
          <w:p w14:paraId="0B477236">
            <w:pPr>
              <w:spacing w:line="276" w:lineRule="auto"/>
              <w:jc w:val="center"/>
              <w:rPr>
                <w:rFonts w:ascii="Times New Roman" w:hAnsi="Times New Roman" w:eastAsia="宋体" w:cs="Times New Roman"/>
                <w:b/>
                <w:bCs/>
                <w:color w:val="auto"/>
                <w:szCs w:val="21"/>
              </w:rPr>
            </w:pPr>
          </w:p>
        </w:tc>
        <w:tc>
          <w:tcPr>
            <w:tcW w:w="6223" w:type="dxa"/>
            <w:vAlign w:val="center"/>
          </w:tcPr>
          <w:p w14:paraId="4EF52D26">
            <w:pPr>
              <w:spacing w:line="276" w:lineRule="auto"/>
              <w:jc w:val="left"/>
              <w:rPr>
                <w:rFonts w:hint="eastAsia" w:ascii="Times New Roman" w:hAnsi="Times New Roman" w:eastAsia="宋体" w:cs="Times New Roman"/>
                <w:b w:val="0"/>
                <w:bCs w:val="0"/>
                <w:color w:val="auto"/>
                <w:szCs w:val="21"/>
                <w:lang w:eastAsia="zh-CN"/>
              </w:rPr>
            </w:pPr>
            <w:r>
              <w:rPr>
                <w:rFonts w:hint="eastAsia" w:ascii="Times New Roman" w:hAnsi="Times New Roman" w:eastAsia="宋体" w:cs="Times New Roman"/>
                <w:b/>
                <w:bCs/>
                <w:color w:val="auto"/>
                <w:szCs w:val="21"/>
                <w:lang w:eastAsia="zh-CN"/>
              </w:rPr>
              <w:t>指标点4-3</w:t>
            </w:r>
            <w:r>
              <w:rPr>
                <w:rFonts w:hint="eastAsia" w:ascii="Times New Roman" w:hAnsi="Times New Roman" w:eastAsia="宋体" w:cs="Times New Roman"/>
                <w:b w:val="0"/>
                <w:bCs w:val="0"/>
                <w:color w:val="auto"/>
                <w:szCs w:val="21"/>
                <w:lang w:eastAsia="zh-CN"/>
              </w:rPr>
              <w:t>：【教学实施与评价科学】掌握小学教师基本功技能，包括书写技能、沟通与表达技能、信息技术运用技能等。获得全面的小学教学体验，掌握学科教学的基本方法与策略，能独立进行教学实施和评价。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2ED1F91A">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2</w:t>
            </w:r>
          </w:p>
        </w:tc>
      </w:tr>
      <w:tr w14:paraId="5BCC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Align w:val="center"/>
          </w:tcPr>
          <w:p w14:paraId="77A0CF93">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r>
              <w:rPr>
                <w:rFonts w:ascii="Times New Roman" w:hAnsi="Times New Roman" w:eastAsia="宋体" w:cs="Times New Roman"/>
                <w:b/>
                <w:bCs/>
                <w:color w:val="auto"/>
                <w:szCs w:val="21"/>
              </w:rPr>
              <w:t>6. 综合育人</w:t>
            </w:r>
          </w:p>
        </w:tc>
        <w:tc>
          <w:tcPr>
            <w:tcW w:w="6223" w:type="dxa"/>
            <w:vAlign w:val="center"/>
          </w:tcPr>
          <w:p w14:paraId="6F48222D">
            <w:pPr>
              <w:spacing w:line="276" w:lineRule="auto"/>
              <w:jc w:val="left"/>
              <w:rPr>
                <w:rFonts w:ascii="Times New Roman" w:hAnsi="Times New Roman" w:eastAsia="宋体" w:cs="Times New Roman"/>
                <w:color w:val="auto"/>
                <w:szCs w:val="21"/>
              </w:rPr>
            </w:pPr>
            <w:r>
              <w:rPr>
                <w:rFonts w:hint="eastAsia" w:ascii="宋体" w:hAnsi="宋体" w:eastAsia="宋体" w:cs="Times New Roman"/>
                <w:b/>
                <w:bCs/>
                <w:color w:val="auto"/>
                <w:spacing w:val="2"/>
                <w:kern w:val="0"/>
                <w:szCs w:val="21"/>
              </w:rPr>
              <w:t>指标点</w:t>
            </w:r>
            <w:r>
              <w:rPr>
                <w:rFonts w:ascii="宋体" w:hAnsi="宋体" w:eastAsia="宋体" w:cs="Times New Roman"/>
                <w:b/>
                <w:bCs/>
                <w:color w:val="auto"/>
                <w:spacing w:val="2"/>
                <w:kern w:val="0"/>
                <w:szCs w:val="21"/>
              </w:rPr>
              <w:t>6-2：</w:t>
            </w:r>
            <w:r>
              <w:rPr>
                <w:rFonts w:ascii="宋体" w:hAnsi="宋体" w:eastAsia="宋体" w:cs="Times New Roman"/>
                <w:color w:val="auto"/>
                <w:spacing w:val="2"/>
                <w:kern w:val="0"/>
                <w:szCs w:val="21"/>
              </w:rPr>
              <w:t>【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327" w:type="dxa"/>
            <w:vAlign w:val="center"/>
          </w:tcPr>
          <w:p w14:paraId="3D540837">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3</w:t>
            </w:r>
          </w:p>
        </w:tc>
      </w:tr>
    </w:tbl>
    <w:p w14:paraId="3D3BA04A">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3380FC0B">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坚持马克思主义的全面发展观，树立“德育为先”的教学理念，坚持数学课程为社会主义现代化建设服务的思想。</w:t>
      </w:r>
      <w:r>
        <w:rPr>
          <w:rFonts w:ascii="宋体" w:hAnsi="宋体" w:eastAsia="宋体" w:cs="Times New Roman"/>
          <w:color w:val="auto"/>
          <w:szCs w:val="21"/>
        </w:rPr>
        <w:t>了解数</w:t>
      </w:r>
      <w:r>
        <w:rPr>
          <w:rFonts w:hint="eastAsia" w:ascii="宋体" w:hAnsi="宋体" w:eastAsia="宋体" w:cs="Times New Roman"/>
          <w:color w:val="auto"/>
          <w:szCs w:val="21"/>
        </w:rPr>
        <w:t>学</w:t>
      </w:r>
      <w:r>
        <w:rPr>
          <w:rFonts w:ascii="宋体" w:hAnsi="宋体" w:eastAsia="宋体" w:cs="Times New Roman"/>
          <w:color w:val="auto"/>
          <w:szCs w:val="21"/>
        </w:rPr>
        <w:t>教学内容中蕴含的数学思想与文化，增强文化自信。激发参与数学教学改革的热情，增强社会现任感。</w:t>
      </w:r>
    </w:p>
    <w:p w14:paraId="7651FE92">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139"/>
        <w:gridCol w:w="1321"/>
        <w:gridCol w:w="798"/>
      </w:tblGrid>
      <w:tr w14:paraId="2247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2A0194E">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w:t>
            </w:r>
          </w:p>
          <w:p w14:paraId="12F79F54">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单元</w:t>
            </w:r>
          </w:p>
        </w:tc>
        <w:tc>
          <w:tcPr>
            <w:tcW w:w="1701" w:type="dxa"/>
            <w:vAlign w:val="center"/>
          </w:tcPr>
          <w:p w14:paraId="40A812C3">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知识点</w:t>
            </w:r>
          </w:p>
        </w:tc>
        <w:tc>
          <w:tcPr>
            <w:tcW w:w="1134" w:type="dxa"/>
            <w:vAlign w:val="center"/>
          </w:tcPr>
          <w:p w14:paraId="0AE493FE">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对应</w:t>
            </w:r>
          </w:p>
          <w:p w14:paraId="7E0E1FE2">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课程目标</w:t>
            </w:r>
          </w:p>
        </w:tc>
        <w:tc>
          <w:tcPr>
            <w:tcW w:w="3139" w:type="dxa"/>
            <w:vAlign w:val="center"/>
          </w:tcPr>
          <w:p w14:paraId="7EEA0C2C">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预期学习成效</w:t>
            </w:r>
          </w:p>
        </w:tc>
        <w:tc>
          <w:tcPr>
            <w:tcW w:w="1321" w:type="dxa"/>
            <w:vAlign w:val="center"/>
          </w:tcPr>
          <w:p w14:paraId="73E1E38D">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实现环节</w:t>
            </w:r>
          </w:p>
        </w:tc>
        <w:tc>
          <w:tcPr>
            <w:tcW w:w="798" w:type="dxa"/>
            <w:vAlign w:val="center"/>
          </w:tcPr>
          <w:p w14:paraId="3BE383E5">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学时</w:t>
            </w:r>
          </w:p>
        </w:tc>
      </w:tr>
      <w:tr w14:paraId="24CA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6083D49">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w:t>
            </w:r>
            <w:r>
              <w:rPr>
                <w:rFonts w:hint="eastAsia" w:ascii="宋体" w:hAnsi="宋体" w:eastAsia="宋体" w:cs="Times New Roman"/>
                <w:color w:val="auto"/>
                <w:sz w:val="21"/>
                <w:szCs w:val="21"/>
              </w:rPr>
              <w:t>绪论</w:t>
            </w:r>
          </w:p>
        </w:tc>
        <w:tc>
          <w:tcPr>
            <w:tcW w:w="1701" w:type="dxa"/>
            <w:vAlign w:val="center"/>
          </w:tcPr>
          <w:p w14:paraId="7523F00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1）《数学课程标准》与教材分析的目标与价值</w:t>
            </w:r>
          </w:p>
          <w:p w14:paraId="7EBD67C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2）课程标准（教学大纲）的历史回顾</w:t>
            </w:r>
          </w:p>
        </w:tc>
        <w:tc>
          <w:tcPr>
            <w:tcW w:w="1134" w:type="dxa"/>
            <w:vAlign w:val="center"/>
          </w:tcPr>
          <w:p w14:paraId="43435912">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课程目标1、3</w:t>
            </w:r>
          </w:p>
        </w:tc>
        <w:tc>
          <w:tcPr>
            <w:tcW w:w="3139" w:type="dxa"/>
            <w:vAlign w:val="center"/>
          </w:tcPr>
          <w:p w14:paraId="09BCD34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1）理解《数学课程标准》与教材分析的目标与价值</w:t>
            </w:r>
            <w:r>
              <w:rPr>
                <w:rFonts w:hint="eastAsia" w:ascii="宋体" w:hAnsi="宋体" w:eastAsia="宋体" w:cs="Times New Roman"/>
                <w:color w:val="auto"/>
                <w:sz w:val="21"/>
                <w:szCs w:val="21"/>
              </w:rPr>
              <w:t>。</w:t>
            </w:r>
          </w:p>
          <w:p w14:paraId="2C02B03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2）了解课程标准（教学大纲）的发展情况</w:t>
            </w:r>
            <w:r>
              <w:rPr>
                <w:rFonts w:hint="eastAsia" w:ascii="宋体" w:hAnsi="宋体" w:eastAsia="宋体" w:cs="Times New Roman"/>
                <w:color w:val="auto"/>
                <w:sz w:val="21"/>
                <w:szCs w:val="21"/>
              </w:rPr>
              <w:t>。</w:t>
            </w:r>
          </w:p>
          <w:p w14:paraId="7E2F5B9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3）激发参与数学课程改革的愿望，增强热爱数学的积极情感</w:t>
            </w:r>
            <w:r>
              <w:rPr>
                <w:rFonts w:hint="eastAsia" w:ascii="宋体" w:hAnsi="宋体" w:eastAsia="宋体" w:cs="Times New Roman"/>
                <w:color w:val="auto"/>
                <w:sz w:val="21"/>
                <w:szCs w:val="21"/>
              </w:rPr>
              <w:t>。</w:t>
            </w:r>
          </w:p>
        </w:tc>
        <w:tc>
          <w:tcPr>
            <w:tcW w:w="1321" w:type="dxa"/>
            <w:vAlign w:val="center"/>
          </w:tcPr>
          <w:p w14:paraId="79D9845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28B82C8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3C90B578">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168E9D8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自主学习</w:t>
            </w:r>
          </w:p>
        </w:tc>
        <w:tc>
          <w:tcPr>
            <w:tcW w:w="798" w:type="dxa"/>
            <w:vAlign w:val="center"/>
          </w:tcPr>
          <w:p w14:paraId="783F05B5">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讲授3</w:t>
            </w:r>
          </w:p>
        </w:tc>
      </w:tr>
      <w:tr w14:paraId="423B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74BA709">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4C53B46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1）了解中国灿烂的数学文化，增强文化自信和民族自豪感。</w:t>
            </w:r>
            <w:r>
              <w:rPr>
                <w:rFonts w:hint="eastAsia" w:ascii="宋体" w:hAnsi="宋体" w:eastAsia="宋体" w:cs="Times New Roman"/>
                <w:color w:val="auto"/>
                <w:sz w:val="21"/>
                <w:szCs w:val="21"/>
              </w:rPr>
              <w:t>（</w:t>
            </w:r>
            <w:r>
              <w:rPr>
                <w:rFonts w:ascii="宋体" w:hAnsi="宋体" w:eastAsia="宋体" w:cs="Times New Roman"/>
                <w:color w:val="auto"/>
                <w:sz w:val="21"/>
                <w:szCs w:val="21"/>
              </w:rPr>
              <w:t>2）激发参与数学课程改革的愿望，增强热爱数学的积极情感。</w:t>
            </w:r>
          </w:p>
        </w:tc>
      </w:tr>
      <w:tr w14:paraId="2757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25837C3">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r>
              <w:rPr>
                <w:rFonts w:ascii="宋体" w:hAnsi="宋体" w:eastAsia="宋体" w:cs="Times New Roman"/>
                <w:color w:val="auto"/>
                <w:sz w:val="21"/>
                <w:szCs w:val="21"/>
              </w:rPr>
              <w:t>.</w:t>
            </w:r>
            <w:r>
              <w:rPr>
                <w:rFonts w:hint="eastAsia" w:ascii="宋体" w:hAnsi="宋体" w:eastAsia="宋体" w:cs="Times New Roman"/>
                <w:color w:val="auto"/>
                <w:sz w:val="21"/>
                <w:szCs w:val="21"/>
              </w:rPr>
              <w:t>数学课程的性质和基本理念</w:t>
            </w:r>
          </w:p>
        </w:tc>
        <w:tc>
          <w:tcPr>
            <w:tcW w:w="1701" w:type="dxa"/>
            <w:vAlign w:val="center"/>
          </w:tcPr>
          <w:p w14:paraId="0D5FF13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1）数学课程的基本性质</w:t>
            </w:r>
          </w:p>
          <w:p w14:paraId="34B54F0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2）数学课程的基本理念</w:t>
            </w:r>
          </w:p>
          <w:p w14:paraId="2AA5A90B">
            <w:pPr>
              <w:spacing w:line="240" w:lineRule="auto"/>
              <w:jc w:val="left"/>
              <w:rPr>
                <w:rFonts w:hint="eastAsia" w:ascii="宋体" w:hAnsi="宋体" w:eastAsia="宋体" w:cs="Times New Roman"/>
                <w:color w:val="auto"/>
                <w:sz w:val="21"/>
                <w:szCs w:val="21"/>
              </w:rPr>
            </w:pPr>
          </w:p>
        </w:tc>
        <w:tc>
          <w:tcPr>
            <w:tcW w:w="1134" w:type="dxa"/>
            <w:vAlign w:val="center"/>
          </w:tcPr>
          <w:p w14:paraId="3052DB3F">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课程目标1、3</w:t>
            </w:r>
          </w:p>
        </w:tc>
        <w:tc>
          <w:tcPr>
            <w:tcW w:w="3139" w:type="dxa"/>
            <w:vAlign w:val="center"/>
          </w:tcPr>
          <w:p w14:paraId="75B1C7F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1）理解数学的本质，明确数学课程的基本性质</w:t>
            </w:r>
            <w:r>
              <w:rPr>
                <w:rFonts w:hint="eastAsia" w:ascii="宋体" w:hAnsi="宋体" w:eastAsia="宋体" w:cs="Times New Roman"/>
                <w:color w:val="auto"/>
                <w:sz w:val="21"/>
                <w:szCs w:val="21"/>
              </w:rPr>
              <w:t>。</w:t>
            </w:r>
          </w:p>
          <w:p w14:paraId="405144E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2）掌握数学课程的基本理念</w:t>
            </w:r>
            <w:r>
              <w:rPr>
                <w:rFonts w:hint="eastAsia" w:ascii="宋体" w:hAnsi="宋体" w:eastAsia="宋体" w:cs="Times New Roman"/>
                <w:color w:val="auto"/>
                <w:sz w:val="21"/>
                <w:szCs w:val="21"/>
              </w:rPr>
              <w:t>。</w:t>
            </w:r>
          </w:p>
          <w:p w14:paraId="08CCC9E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3）能够初步运用数学课程的基本理念分析和解决实际问题</w:t>
            </w:r>
            <w:r>
              <w:rPr>
                <w:rFonts w:hint="eastAsia" w:ascii="宋体" w:hAnsi="宋体" w:eastAsia="宋体" w:cs="Times New Roman"/>
                <w:color w:val="auto"/>
                <w:sz w:val="21"/>
                <w:szCs w:val="21"/>
              </w:rPr>
              <w:t>。</w:t>
            </w:r>
          </w:p>
        </w:tc>
        <w:tc>
          <w:tcPr>
            <w:tcW w:w="1321" w:type="dxa"/>
            <w:vAlign w:val="center"/>
          </w:tcPr>
          <w:p w14:paraId="336A6C0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14BFECF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21F37D94">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15255E2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自主学习</w:t>
            </w:r>
          </w:p>
        </w:tc>
        <w:tc>
          <w:tcPr>
            <w:tcW w:w="798" w:type="dxa"/>
            <w:vAlign w:val="center"/>
          </w:tcPr>
          <w:p w14:paraId="559A9BCB">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讲授6</w:t>
            </w:r>
          </w:p>
        </w:tc>
      </w:tr>
      <w:tr w14:paraId="41CC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84D74BF">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7E84A57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1）坚持数学课程为社会主义现代化建设服务的思想。</w:t>
            </w:r>
            <w:r>
              <w:rPr>
                <w:rFonts w:hint="eastAsia" w:ascii="宋体" w:hAnsi="宋体" w:eastAsia="宋体" w:cs="Times New Roman"/>
                <w:color w:val="auto"/>
                <w:sz w:val="21"/>
                <w:szCs w:val="21"/>
              </w:rPr>
              <w:t>（</w:t>
            </w:r>
            <w:r>
              <w:rPr>
                <w:rFonts w:ascii="宋体" w:hAnsi="宋体" w:eastAsia="宋体" w:cs="Times New Roman"/>
                <w:color w:val="auto"/>
                <w:sz w:val="21"/>
                <w:szCs w:val="21"/>
              </w:rPr>
              <w:t>2）践行社会主义核心价值观，树立全面的数学素养观。</w:t>
            </w:r>
          </w:p>
        </w:tc>
      </w:tr>
      <w:tr w14:paraId="614F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68F5162">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r>
              <w:rPr>
                <w:rFonts w:ascii="宋体" w:hAnsi="宋体" w:eastAsia="宋体" w:cs="Times New Roman"/>
                <w:color w:val="auto"/>
                <w:sz w:val="21"/>
                <w:szCs w:val="21"/>
              </w:rPr>
              <w:t>.</w:t>
            </w:r>
            <w:r>
              <w:rPr>
                <w:rFonts w:hint="eastAsia" w:ascii="宋体" w:hAnsi="宋体" w:eastAsia="宋体" w:cs="Times New Roman"/>
                <w:color w:val="auto"/>
                <w:sz w:val="21"/>
                <w:szCs w:val="21"/>
              </w:rPr>
              <w:t>数学课程目标与内容</w:t>
            </w:r>
          </w:p>
        </w:tc>
        <w:tc>
          <w:tcPr>
            <w:tcW w:w="1701" w:type="dxa"/>
            <w:vAlign w:val="center"/>
          </w:tcPr>
          <w:p w14:paraId="2332140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1）数学核心素养解析</w:t>
            </w:r>
          </w:p>
          <w:p w14:paraId="53378BA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2）数学课程的总体目标分析</w:t>
            </w:r>
          </w:p>
          <w:p w14:paraId="14F4DB6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3）数学课程的具体目标分析</w:t>
            </w:r>
          </w:p>
          <w:p w14:paraId="109213E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4）数学课程的内容结构分析</w:t>
            </w:r>
          </w:p>
        </w:tc>
        <w:tc>
          <w:tcPr>
            <w:tcW w:w="1134" w:type="dxa"/>
            <w:vAlign w:val="center"/>
          </w:tcPr>
          <w:p w14:paraId="4F1246B4">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课程目标1、3</w:t>
            </w:r>
          </w:p>
        </w:tc>
        <w:tc>
          <w:tcPr>
            <w:tcW w:w="3139" w:type="dxa"/>
            <w:vAlign w:val="center"/>
          </w:tcPr>
          <w:p w14:paraId="0B2F53A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（1）理解数学核心素养的概念。</w:t>
            </w:r>
          </w:p>
          <w:p w14:paraId="31A9664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r>
              <w:rPr>
                <w:rFonts w:ascii="宋体" w:hAnsi="宋体" w:eastAsia="宋体" w:cs="Times New Roman"/>
                <w:color w:val="auto"/>
                <w:sz w:val="21"/>
                <w:szCs w:val="21"/>
              </w:rPr>
              <w:t>）理解数学课程的总体目标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明确</w:t>
            </w:r>
            <w:r>
              <w:rPr>
                <w:rFonts w:hint="eastAsia" w:ascii="宋体" w:hAnsi="宋体" w:eastAsia="宋体" w:cs="Times New Roman"/>
                <w:color w:val="auto"/>
                <w:sz w:val="21"/>
                <w:szCs w:val="21"/>
              </w:rPr>
              <w:t>各学段</w:t>
            </w:r>
            <w:r>
              <w:rPr>
                <w:rFonts w:ascii="宋体" w:hAnsi="宋体" w:eastAsia="宋体" w:cs="Times New Roman"/>
                <w:color w:val="auto"/>
                <w:sz w:val="21"/>
                <w:szCs w:val="21"/>
              </w:rPr>
              <w:t>的具体目标</w:t>
            </w:r>
            <w:r>
              <w:rPr>
                <w:rFonts w:hint="eastAsia" w:ascii="宋体" w:hAnsi="宋体" w:eastAsia="宋体" w:cs="Times New Roman"/>
                <w:color w:val="auto"/>
                <w:sz w:val="21"/>
                <w:szCs w:val="21"/>
              </w:rPr>
              <w:t>。</w:t>
            </w:r>
          </w:p>
          <w:p w14:paraId="4AC6144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r>
              <w:rPr>
                <w:rFonts w:ascii="宋体" w:hAnsi="宋体" w:eastAsia="宋体" w:cs="Times New Roman"/>
                <w:color w:val="auto"/>
                <w:sz w:val="21"/>
                <w:szCs w:val="21"/>
              </w:rPr>
              <w:t>）了解“数与代数”“图形</w:t>
            </w:r>
            <w:r>
              <w:rPr>
                <w:rFonts w:hint="eastAsia" w:ascii="宋体" w:hAnsi="宋体" w:eastAsia="宋体" w:cs="Times New Roman"/>
                <w:color w:val="auto"/>
                <w:sz w:val="21"/>
                <w:szCs w:val="21"/>
              </w:rPr>
              <w:t>与几何</w:t>
            </w:r>
            <w:r>
              <w:rPr>
                <w:rFonts w:ascii="宋体" w:hAnsi="宋体" w:eastAsia="宋体" w:cs="Times New Roman"/>
                <w:color w:val="auto"/>
                <w:sz w:val="21"/>
                <w:szCs w:val="21"/>
              </w:rPr>
              <w:t>”“概率与统计”“综合与实践”四部分内容的知识结构</w:t>
            </w:r>
            <w:r>
              <w:rPr>
                <w:rFonts w:hint="eastAsia" w:ascii="宋体" w:hAnsi="宋体" w:eastAsia="宋体" w:cs="Times New Roman"/>
                <w:color w:val="auto"/>
                <w:sz w:val="21"/>
                <w:szCs w:val="21"/>
              </w:rPr>
              <w:t>。</w:t>
            </w:r>
          </w:p>
          <w:p w14:paraId="2C05ABA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）了解小学数学课程的内容构成与具体安排</w:t>
            </w:r>
            <w:r>
              <w:rPr>
                <w:rFonts w:hint="eastAsia" w:ascii="宋体" w:hAnsi="宋体" w:eastAsia="宋体" w:cs="Times New Roman"/>
                <w:color w:val="auto"/>
                <w:sz w:val="21"/>
                <w:szCs w:val="21"/>
              </w:rPr>
              <w:t>。</w:t>
            </w:r>
          </w:p>
          <w:p w14:paraId="709641A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（5</w:t>
            </w:r>
            <w:r>
              <w:rPr>
                <w:rFonts w:ascii="宋体" w:hAnsi="宋体" w:eastAsia="宋体" w:cs="Times New Roman"/>
                <w:color w:val="auto"/>
                <w:sz w:val="21"/>
                <w:szCs w:val="21"/>
              </w:rPr>
              <w:t>）能够依据数学课程目标进行初步的教学内容分析和目标设计</w:t>
            </w:r>
            <w:r>
              <w:rPr>
                <w:rFonts w:hint="eastAsia" w:ascii="宋体" w:hAnsi="宋体" w:eastAsia="宋体" w:cs="Times New Roman"/>
                <w:color w:val="auto"/>
                <w:sz w:val="21"/>
                <w:szCs w:val="21"/>
              </w:rPr>
              <w:t>。</w:t>
            </w:r>
          </w:p>
        </w:tc>
        <w:tc>
          <w:tcPr>
            <w:tcW w:w="1321" w:type="dxa"/>
            <w:vAlign w:val="center"/>
          </w:tcPr>
          <w:p w14:paraId="4F60F79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5607FD0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0B81E755">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119464C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自主学习</w:t>
            </w:r>
          </w:p>
        </w:tc>
        <w:tc>
          <w:tcPr>
            <w:tcW w:w="798" w:type="dxa"/>
            <w:vAlign w:val="center"/>
          </w:tcPr>
          <w:p w14:paraId="04EBB370">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讲授6</w:t>
            </w:r>
          </w:p>
        </w:tc>
      </w:tr>
      <w:tr w14:paraId="6BFA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50295ED">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0F3E817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1）坚持马克思主义的全面发展观，树立“德育为先”的教学理念。</w:t>
            </w:r>
            <w:r>
              <w:rPr>
                <w:rFonts w:hint="eastAsia" w:ascii="宋体" w:hAnsi="宋体" w:eastAsia="宋体" w:cs="Times New Roman"/>
                <w:color w:val="auto"/>
                <w:sz w:val="21"/>
                <w:szCs w:val="21"/>
              </w:rPr>
              <w:t>（</w:t>
            </w:r>
            <w:r>
              <w:rPr>
                <w:rFonts w:ascii="宋体" w:hAnsi="宋体" w:eastAsia="宋体" w:cs="Times New Roman"/>
                <w:color w:val="auto"/>
                <w:sz w:val="21"/>
                <w:szCs w:val="21"/>
              </w:rPr>
              <w:t>2）重视创新精神和实践能力的提高，做一个担当的小学数学教师。</w:t>
            </w:r>
            <w:r>
              <w:rPr>
                <w:rFonts w:hint="eastAsia" w:ascii="宋体" w:hAnsi="宋体" w:eastAsia="宋体" w:cs="Times New Roman"/>
                <w:color w:val="auto"/>
                <w:sz w:val="21"/>
                <w:szCs w:val="21"/>
              </w:rPr>
              <w:t>（</w:t>
            </w:r>
            <w:r>
              <w:rPr>
                <w:rFonts w:ascii="宋体" w:hAnsi="宋体" w:eastAsia="宋体" w:cs="Times New Roman"/>
                <w:color w:val="auto"/>
                <w:sz w:val="21"/>
                <w:szCs w:val="21"/>
              </w:rPr>
              <w:t>3）树立全面育人的思想。</w:t>
            </w:r>
          </w:p>
        </w:tc>
      </w:tr>
      <w:tr w14:paraId="32A4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C07779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小学数学教材简介</w:t>
            </w:r>
          </w:p>
        </w:tc>
        <w:tc>
          <w:tcPr>
            <w:tcW w:w="1701" w:type="dxa"/>
            <w:vAlign w:val="center"/>
          </w:tcPr>
          <w:p w14:paraId="4583DD4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1）小学数学教材概述</w:t>
            </w:r>
          </w:p>
          <w:p w14:paraId="6ECBFB2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2）人教版教材介绍</w:t>
            </w:r>
          </w:p>
          <w:p w14:paraId="226DE5C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3）苏教版教材介绍</w:t>
            </w:r>
          </w:p>
          <w:p w14:paraId="6D14AD2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4）北师大版教材介绍</w:t>
            </w:r>
          </w:p>
        </w:tc>
        <w:tc>
          <w:tcPr>
            <w:tcW w:w="1134" w:type="dxa"/>
            <w:vAlign w:val="center"/>
          </w:tcPr>
          <w:p w14:paraId="4D4485CB">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课程目标1、3</w:t>
            </w:r>
          </w:p>
        </w:tc>
        <w:tc>
          <w:tcPr>
            <w:tcW w:w="3139" w:type="dxa"/>
            <w:vAlign w:val="center"/>
          </w:tcPr>
          <w:p w14:paraId="58CD8CB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1）了解教材与教科书的区别，了解教材研制与开发的基本过程，了解当今数学教材的使用现状</w:t>
            </w:r>
            <w:r>
              <w:rPr>
                <w:rFonts w:hint="eastAsia" w:ascii="宋体" w:hAnsi="宋体" w:eastAsia="宋体" w:cs="Times New Roman"/>
                <w:color w:val="auto"/>
                <w:sz w:val="21"/>
                <w:szCs w:val="21"/>
              </w:rPr>
              <w:t>。</w:t>
            </w:r>
          </w:p>
          <w:p w14:paraId="609B5B3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2）了解各版本教材的内容构成</w:t>
            </w:r>
            <w:r>
              <w:rPr>
                <w:rFonts w:hint="eastAsia" w:ascii="宋体" w:hAnsi="宋体" w:eastAsia="宋体" w:cs="Times New Roman"/>
                <w:color w:val="auto"/>
                <w:sz w:val="21"/>
                <w:szCs w:val="21"/>
              </w:rPr>
              <w:t>。</w:t>
            </w:r>
          </w:p>
          <w:p w14:paraId="4307ED1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3）掌握各版本教材的编写特色</w:t>
            </w:r>
            <w:r>
              <w:rPr>
                <w:rFonts w:hint="eastAsia" w:ascii="宋体" w:hAnsi="宋体" w:eastAsia="宋体" w:cs="Times New Roman"/>
                <w:color w:val="auto"/>
                <w:sz w:val="21"/>
                <w:szCs w:val="21"/>
              </w:rPr>
              <w:t>。</w:t>
            </w:r>
          </w:p>
        </w:tc>
        <w:tc>
          <w:tcPr>
            <w:tcW w:w="1321" w:type="dxa"/>
            <w:vAlign w:val="center"/>
          </w:tcPr>
          <w:p w14:paraId="221F01C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1A938C7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29800639">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2F7B888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自主学习</w:t>
            </w:r>
          </w:p>
        </w:tc>
        <w:tc>
          <w:tcPr>
            <w:tcW w:w="798" w:type="dxa"/>
            <w:vAlign w:val="center"/>
          </w:tcPr>
          <w:p w14:paraId="3130A7D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讲授3</w:t>
            </w:r>
          </w:p>
        </w:tc>
      </w:tr>
      <w:tr w14:paraId="5402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D867D29">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5B7C8B8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1）了解中国灿烂的数学教材文化，数学文化自信和民族自豪感。</w:t>
            </w:r>
            <w:r>
              <w:rPr>
                <w:rFonts w:hint="eastAsia" w:ascii="宋体" w:hAnsi="宋体" w:eastAsia="宋体" w:cs="Times New Roman"/>
                <w:color w:val="auto"/>
                <w:sz w:val="21"/>
                <w:szCs w:val="21"/>
              </w:rPr>
              <w:t>（</w:t>
            </w:r>
            <w:r>
              <w:rPr>
                <w:rFonts w:ascii="宋体" w:hAnsi="宋体" w:eastAsia="宋体" w:cs="Times New Roman"/>
                <w:color w:val="auto"/>
                <w:sz w:val="21"/>
                <w:szCs w:val="21"/>
              </w:rPr>
              <w:t>2）树立着眼于“立德树人”的教材开发和利用意识。</w:t>
            </w:r>
          </w:p>
        </w:tc>
      </w:tr>
      <w:tr w14:paraId="1762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BD8631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5</w:t>
            </w:r>
            <w:r>
              <w:rPr>
                <w:rFonts w:ascii="宋体" w:hAnsi="宋体" w:eastAsia="宋体" w:cs="Times New Roman"/>
                <w:color w:val="auto"/>
                <w:sz w:val="21"/>
                <w:szCs w:val="21"/>
              </w:rPr>
              <w:t>.</w:t>
            </w:r>
            <w:r>
              <w:rPr>
                <w:rFonts w:hint="eastAsia" w:ascii="宋体" w:hAnsi="宋体" w:eastAsia="宋体" w:cs="Times New Roman"/>
                <w:color w:val="auto"/>
                <w:sz w:val="21"/>
                <w:szCs w:val="21"/>
              </w:rPr>
              <w:t>“数与代数”内容与教材分析</w:t>
            </w:r>
          </w:p>
        </w:tc>
        <w:tc>
          <w:tcPr>
            <w:tcW w:w="1701" w:type="dxa"/>
            <w:vAlign w:val="center"/>
          </w:tcPr>
          <w:p w14:paraId="375E4D1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w:t>
            </w:r>
            <w:r>
              <w:rPr>
                <w:rFonts w:hint="eastAsia" w:ascii="宋体" w:hAnsi="宋体" w:eastAsia="宋体" w:cs="Times New Roman"/>
                <w:color w:val="auto"/>
                <w:sz w:val="21"/>
                <w:szCs w:val="21"/>
              </w:rPr>
              <w:t>数的认识</w:t>
            </w:r>
            <w:r>
              <w:rPr>
                <w:rFonts w:ascii="宋体" w:hAnsi="宋体" w:eastAsia="宋体" w:cs="Times New Roman"/>
                <w:color w:val="auto"/>
                <w:sz w:val="21"/>
                <w:szCs w:val="21"/>
              </w:rPr>
              <w:t>”内容与教材分析</w:t>
            </w:r>
          </w:p>
          <w:p w14:paraId="37C015D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（3）“数的运算”内容与教材分析</w:t>
            </w:r>
          </w:p>
          <w:p w14:paraId="5F12B29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r>
              <w:rPr>
                <w:rFonts w:ascii="宋体" w:hAnsi="宋体" w:eastAsia="宋体" w:cs="Times New Roman"/>
                <w:color w:val="auto"/>
                <w:sz w:val="21"/>
                <w:szCs w:val="21"/>
              </w:rPr>
              <w:t>）“</w:t>
            </w:r>
            <w:r>
              <w:rPr>
                <w:rFonts w:hint="eastAsia" w:ascii="宋体" w:hAnsi="宋体" w:eastAsia="宋体" w:cs="Times New Roman"/>
                <w:color w:val="auto"/>
                <w:sz w:val="21"/>
                <w:szCs w:val="21"/>
              </w:rPr>
              <w:t>数量关系</w:t>
            </w:r>
            <w:r>
              <w:rPr>
                <w:rFonts w:ascii="宋体" w:hAnsi="宋体" w:eastAsia="宋体" w:cs="Times New Roman"/>
                <w:color w:val="auto"/>
                <w:sz w:val="21"/>
                <w:szCs w:val="21"/>
              </w:rPr>
              <w:t>”内容与教材分析</w:t>
            </w:r>
          </w:p>
          <w:p w14:paraId="6B59603B">
            <w:pPr>
              <w:spacing w:line="240" w:lineRule="auto"/>
              <w:jc w:val="left"/>
              <w:rPr>
                <w:rFonts w:hint="eastAsia" w:ascii="宋体" w:hAnsi="宋体" w:eastAsia="宋体" w:cs="Times New Roman"/>
                <w:color w:val="auto"/>
                <w:sz w:val="21"/>
                <w:szCs w:val="21"/>
              </w:rPr>
            </w:pPr>
          </w:p>
        </w:tc>
        <w:tc>
          <w:tcPr>
            <w:tcW w:w="1134" w:type="dxa"/>
            <w:vAlign w:val="center"/>
          </w:tcPr>
          <w:p w14:paraId="5ECDA56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3139" w:type="dxa"/>
            <w:vAlign w:val="center"/>
          </w:tcPr>
          <w:p w14:paraId="1250395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1）了解整数、小数、分数的内容安排，理解整数、小数、分数的意义</w:t>
            </w:r>
            <w:r>
              <w:rPr>
                <w:rFonts w:hint="eastAsia" w:ascii="宋体" w:hAnsi="宋体" w:eastAsia="宋体" w:cs="Times New Roman"/>
                <w:color w:val="auto"/>
                <w:sz w:val="21"/>
                <w:szCs w:val="21"/>
              </w:rPr>
              <w:t>。</w:t>
            </w:r>
          </w:p>
          <w:p w14:paraId="2AB38F6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（2）理解</w:t>
            </w:r>
            <w:r>
              <w:rPr>
                <w:rFonts w:ascii="宋体" w:hAnsi="宋体" w:eastAsia="宋体" w:cs="Times New Roman"/>
                <w:color w:val="auto"/>
                <w:sz w:val="21"/>
                <w:szCs w:val="21"/>
              </w:rPr>
              <w:t>整数、小数、分数运算的算理</w:t>
            </w:r>
            <w:r>
              <w:rPr>
                <w:rFonts w:hint="eastAsia" w:ascii="宋体" w:hAnsi="宋体" w:eastAsia="宋体" w:cs="Times New Roman"/>
                <w:color w:val="auto"/>
                <w:sz w:val="21"/>
                <w:szCs w:val="21"/>
              </w:rPr>
              <w:t>，</w:t>
            </w:r>
            <w:r>
              <w:rPr>
                <w:rFonts w:ascii="宋体" w:hAnsi="宋体" w:eastAsia="宋体" w:cs="Times New Roman"/>
                <w:color w:val="auto"/>
                <w:sz w:val="21"/>
                <w:szCs w:val="21"/>
              </w:rPr>
              <w:t>掌握整数、小数、分数运算的</w:t>
            </w:r>
            <w:r>
              <w:rPr>
                <w:rFonts w:hint="eastAsia" w:ascii="宋体" w:hAnsi="宋体" w:eastAsia="宋体" w:cs="Times New Roman"/>
                <w:color w:val="auto"/>
                <w:sz w:val="21"/>
                <w:szCs w:val="21"/>
              </w:rPr>
              <w:t>算法。</w:t>
            </w:r>
          </w:p>
          <w:p w14:paraId="4592088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r>
              <w:rPr>
                <w:rFonts w:ascii="宋体" w:hAnsi="宋体" w:eastAsia="宋体" w:cs="Times New Roman"/>
                <w:color w:val="auto"/>
                <w:sz w:val="21"/>
                <w:szCs w:val="21"/>
              </w:rPr>
              <w:t>）</w:t>
            </w:r>
            <w:r>
              <w:rPr>
                <w:rFonts w:hint="eastAsia" w:ascii="宋体" w:hAnsi="宋体" w:eastAsia="宋体" w:cs="Times New Roman"/>
                <w:color w:val="auto"/>
                <w:sz w:val="21"/>
                <w:szCs w:val="21"/>
              </w:rPr>
              <w:t>理解数量关系的意义。</w:t>
            </w:r>
          </w:p>
          <w:p w14:paraId="0E5D611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明确“数与代数”领域的学业质量要求，</w:t>
            </w:r>
            <w:r>
              <w:rPr>
                <w:rFonts w:ascii="宋体" w:hAnsi="宋体" w:eastAsia="宋体" w:cs="Times New Roman"/>
                <w:color w:val="auto"/>
                <w:sz w:val="21"/>
                <w:szCs w:val="21"/>
              </w:rPr>
              <w:t>能够独立进行教学内容分析并进行教学设计。</w:t>
            </w:r>
          </w:p>
        </w:tc>
        <w:tc>
          <w:tcPr>
            <w:tcW w:w="1321" w:type="dxa"/>
            <w:vAlign w:val="center"/>
          </w:tcPr>
          <w:p w14:paraId="2F6328A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0A1B01A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491A6676">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14D9A91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课内实践</w:t>
            </w:r>
          </w:p>
        </w:tc>
        <w:tc>
          <w:tcPr>
            <w:tcW w:w="798" w:type="dxa"/>
            <w:vAlign w:val="center"/>
          </w:tcPr>
          <w:p w14:paraId="7D37AFB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讲授4</w:t>
            </w:r>
          </w:p>
          <w:p w14:paraId="5C5DD933">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实践5</w:t>
            </w:r>
          </w:p>
        </w:tc>
      </w:tr>
      <w:tr w14:paraId="5903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2AF089D">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7FEA426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1）了解“数与代数”教学内容中蕴含的数学思想与文化，增强文化自信。</w:t>
            </w:r>
            <w:r>
              <w:rPr>
                <w:rFonts w:hint="eastAsia" w:ascii="宋体" w:hAnsi="宋体" w:eastAsia="宋体" w:cs="Times New Roman"/>
                <w:color w:val="auto"/>
                <w:sz w:val="21"/>
                <w:szCs w:val="21"/>
              </w:rPr>
              <w:t>（</w:t>
            </w:r>
            <w:r>
              <w:rPr>
                <w:rFonts w:ascii="宋体" w:hAnsi="宋体" w:eastAsia="宋体" w:cs="Times New Roman"/>
                <w:color w:val="auto"/>
                <w:sz w:val="21"/>
                <w:szCs w:val="21"/>
              </w:rPr>
              <w:t>2）激发参与数学教学改革的热情，增强社会现任感。</w:t>
            </w:r>
          </w:p>
        </w:tc>
      </w:tr>
      <w:tr w14:paraId="3820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00D922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w:t>
            </w:r>
            <w:r>
              <w:rPr>
                <w:rFonts w:ascii="宋体" w:hAnsi="宋体" w:eastAsia="宋体" w:cs="Times New Roman"/>
                <w:color w:val="auto"/>
                <w:sz w:val="21"/>
                <w:szCs w:val="21"/>
              </w:rPr>
              <w:t>.</w:t>
            </w:r>
            <w:r>
              <w:rPr>
                <w:rFonts w:hint="eastAsia" w:ascii="宋体" w:hAnsi="宋体" w:eastAsia="宋体" w:cs="Times New Roman"/>
                <w:color w:val="auto"/>
                <w:sz w:val="21"/>
                <w:szCs w:val="21"/>
              </w:rPr>
              <w:t>“图形与几何”内容与教材分析</w:t>
            </w:r>
          </w:p>
        </w:tc>
        <w:tc>
          <w:tcPr>
            <w:tcW w:w="1701" w:type="dxa"/>
            <w:vAlign w:val="center"/>
          </w:tcPr>
          <w:p w14:paraId="53ACB68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1）“图形的认识”内容与教材分析</w:t>
            </w:r>
          </w:p>
          <w:p w14:paraId="23E393F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w:t>
            </w:r>
            <w:r>
              <w:rPr>
                <w:rFonts w:hint="eastAsia" w:ascii="宋体" w:hAnsi="宋体" w:eastAsia="宋体" w:cs="Times New Roman"/>
                <w:color w:val="auto"/>
                <w:sz w:val="21"/>
                <w:szCs w:val="21"/>
              </w:rPr>
              <w:t>图形和</w:t>
            </w:r>
            <w:r>
              <w:rPr>
                <w:rFonts w:ascii="宋体" w:hAnsi="宋体" w:eastAsia="宋体" w:cs="Times New Roman"/>
                <w:color w:val="auto"/>
                <w:sz w:val="21"/>
                <w:szCs w:val="21"/>
              </w:rPr>
              <w:t>测量”内容与教材分析</w:t>
            </w:r>
          </w:p>
          <w:p w14:paraId="6CB1322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3）“图形的</w:t>
            </w:r>
            <w:r>
              <w:rPr>
                <w:rFonts w:hint="eastAsia" w:ascii="宋体" w:hAnsi="宋体" w:eastAsia="宋体" w:cs="Times New Roman"/>
                <w:color w:val="auto"/>
                <w:sz w:val="21"/>
                <w:szCs w:val="21"/>
              </w:rPr>
              <w:t>位置</w:t>
            </w:r>
            <w:r>
              <w:rPr>
                <w:rFonts w:ascii="宋体" w:hAnsi="宋体" w:eastAsia="宋体" w:cs="Times New Roman"/>
                <w:color w:val="auto"/>
                <w:sz w:val="21"/>
                <w:szCs w:val="21"/>
              </w:rPr>
              <w:t>”内容与教材分析</w:t>
            </w:r>
          </w:p>
          <w:p w14:paraId="64DE6C9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4）“图形</w:t>
            </w:r>
            <w:r>
              <w:rPr>
                <w:rFonts w:hint="eastAsia" w:ascii="宋体" w:hAnsi="宋体" w:eastAsia="宋体" w:cs="Times New Roman"/>
                <w:color w:val="auto"/>
                <w:sz w:val="21"/>
                <w:szCs w:val="21"/>
              </w:rPr>
              <w:t>的运动</w:t>
            </w:r>
            <w:r>
              <w:rPr>
                <w:rFonts w:ascii="宋体" w:hAnsi="宋体" w:eastAsia="宋体" w:cs="Times New Roman"/>
                <w:color w:val="auto"/>
                <w:sz w:val="21"/>
                <w:szCs w:val="21"/>
              </w:rPr>
              <w:t>”内容与教材分析</w:t>
            </w:r>
          </w:p>
        </w:tc>
        <w:tc>
          <w:tcPr>
            <w:tcW w:w="1134" w:type="dxa"/>
            <w:vAlign w:val="center"/>
          </w:tcPr>
          <w:p w14:paraId="43F9D0E0">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3139" w:type="dxa"/>
            <w:vAlign w:val="center"/>
          </w:tcPr>
          <w:p w14:paraId="61CEF54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1）理解《数学课程标准》中关于</w:t>
            </w:r>
            <w:r>
              <w:rPr>
                <w:rFonts w:hint="eastAsia" w:ascii="宋体" w:hAnsi="宋体" w:eastAsia="宋体" w:cs="Times New Roman"/>
                <w:color w:val="auto"/>
                <w:sz w:val="21"/>
                <w:szCs w:val="21"/>
              </w:rPr>
              <w:t>“图形的认识”“图形的测量”“图形的位置”“图形的运动”</w:t>
            </w:r>
            <w:r>
              <w:rPr>
                <w:rFonts w:ascii="宋体" w:hAnsi="宋体" w:eastAsia="宋体" w:cs="Times New Roman"/>
                <w:color w:val="auto"/>
                <w:sz w:val="21"/>
                <w:szCs w:val="21"/>
              </w:rPr>
              <w:t>等内容的要求</w:t>
            </w:r>
            <w:r>
              <w:rPr>
                <w:rFonts w:hint="eastAsia" w:ascii="宋体" w:hAnsi="宋体" w:eastAsia="宋体" w:cs="Times New Roman"/>
                <w:color w:val="auto"/>
                <w:sz w:val="21"/>
                <w:szCs w:val="21"/>
              </w:rPr>
              <w:t>。</w:t>
            </w:r>
          </w:p>
          <w:p w14:paraId="5BA528D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2）理解小学数学教材中“图形的认识”“</w:t>
            </w:r>
            <w:r>
              <w:rPr>
                <w:rFonts w:hint="eastAsia" w:ascii="宋体" w:hAnsi="宋体" w:eastAsia="宋体" w:cs="Times New Roman"/>
                <w:color w:val="auto"/>
                <w:sz w:val="21"/>
                <w:szCs w:val="21"/>
              </w:rPr>
              <w:t>图形的</w:t>
            </w:r>
            <w:r>
              <w:rPr>
                <w:rFonts w:ascii="宋体" w:hAnsi="宋体" w:eastAsia="宋体" w:cs="Times New Roman"/>
                <w:color w:val="auto"/>
                <w:sz w:val="21"/>
                <w:szCs w:val="21"/>
              </w:rPr>
              <w:t>测量”“图形</w:t>
            </w:r>
            <w:r>
              <w:rPr>
                <w:rFonts w:hint="eastAsia" w:ascii="宋体" w:hAnsi="宋体" w:eastAsia="宋体" w:cs="Times New Roman"/>
                <w:color w:val="auto"/>
                <w:sz w:val="21"/>
                <w:szCs w:val="21"/>
              </w:rPr>
              <w:t>的</w:t>
            </w:r>
            <w:r>
              <w:rPr>
                <w:rFonts w:ascii="宋体" w:hAnsi="宋体" w:eastAsia="宋体" w:cs="Times New Roman"/>
                <w:color w:val="auto"/>
                <w:sz w:val="21"/>
                <w:szCs w:val="21"/>
              </w:rPr>
              <w:t>位置”“图形的运动”等内容的编排及意义</w:t>
            </w:r>
            <w:r>
              <w:rPr>
                <w:rFonts w:hint="eastAsia" w:ascii="宋体" w:hAnsi="宋体" w:eastAsia="宋体" w:cs="Times New Roman"/>
                <w:color w:val="auto"/>
                <w:sz w:val="21"/>
                <w:szCs w:val="21"/>
              </w:rPr>
              <w:t>。</w:t>
            </w:r>
          </w:p>
          <w:p w14:paraId="6A1DB8B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w:t>
            </w:r>
            <w:r>
              <w:rPr>
                <w:rFonts w:hint="eastAsia" w:ascii="宋体" w:hAnsi="宋体" w:eastAsia="宋体" w:cs="Times New Roman"/>
                <w:color w:val="auto"/>
                <w:sz w:val="21"/>
                <w:szCs w:val="21"/>
              </w:rPr>
              <w:t>明确“图形与几何”领域的学业质量要求，</w:t>
            </w:r>
            <w:r>
              <w:rPr>
                <w:rFonts w:ascii="宋体" w:hAnsi="宋体" w:eastAsia="宋体" w:cs="Times New Roman"/>
                <w:color w:val="auto"/>
                <w:sz w:val="21"/>
                <w:szCs w:val="21"/>
              </w:rPr>
              <w:t>能够独立进行“图形与几何”教学内容分析并进行教学设计</w:t>
            </w:r>
            <w:r>
              <w:rPr>
                <w:rFonts w:hint="eastAsia" w:ascii="宋体" w:hAnsi="宋体" w:eastAsia="宋体" w:cs="Times New Roman"/>
                <w:color w:val="auto"/>
                <w:sz w:val="21"/>
                <w:szCs w:val="21"/>
              </w:rPr>
              <w:t>。</w:t>
            </w:r>
          </w:p>
        </w:tc>
        <w:tc>
          <w:tcPr>
            <w:tcW w:w="1321" w:type="dxa"/>
            <w:vAlign w:val="center"/>
          </w:tcPr>
          <w:p w14:paraId="11435BA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6020117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494A4550">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4151F46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课内实践</w:t>
            </w:r>
          </w:p>
        </w:tc>
        <w:tc>
          <w:tcPr>
            <w:tcW w:w="798" w:type="dxa"/>
            <w:vAlign w:val="center"/>
          </w:tcPr>
          <w:p w14:paraId="001A64FF">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讲授4</w:t>
            </w:r>
          </w:p>
          <w:p w14:paraId="0FA13FF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实践5</w:t>
            </w:r>
          </w:p>
        </w:tc>
      </w:tr>
      <w:tr w14:paraId="0C09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3CD2047">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7F5C1E7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1）了解“图形与几何”教学内容中蕴含的数学思想与文化，增强文化自信。</w:t>
            </w:r>
            <w:r>
              <w:rPr>
                <w:rFonts w:hint="eastAsia" w:ascii="宋体" w:hAnsi="宋体" w:eastAsia="宋体" w:cs="Times New Roman"/>
                <w:color w:val="auto"/>
                <w:sz w:val="21"/>
                <w:szCs w:val="21"/>
              </w:rPr>
              <w:t>（</w:t>
            </w:r>
            <w:r>
              <w:rPr>
                <w:rFonts w:ascii="宋体" w:hAnsi="宋体" w:eastAsia="宋体" w:cs="Times New Roman"/>
                <w:color w:val="auto"/>
                <w:sz w:val="21"/>
                <w:szCs w:val="21"/>
              </w:rPr>
              <w:t>2）激发参与数学教学改革的热情，增强社会现任感。</w:t>
            </w:r>
          </w:p>
        </w:tc>
      </w:tr>
      <w:tr w14:paraId="476E5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9ECF7F1">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7</w:t>
            </w:r>
            <w:r>
              <w:rPr>
                <w:rFonts w:ascii="宋体" w:hAnsi="宋体" w:eastAsia="宋体" w:cs="Times New Roman"/>
                <w:color w:val="auto"/>
                <w:sz w:val="21"/>
                <w:szCs w:val="21"/>
              </w:rPr>
              <w:t>.</w:t>
            </w:r>
            <w:r>
              <w:rPr>
                <w:rFonts w:hint="eastAsia" w:ascii="宋体" w:hAnsi="宋体" w:eastAsia="宋体" w:cs="Times New Roman"/>
                <w:color w:val="auto"/>
                <w:sz w:val="21"/>
                <w:szCs w:val="21"/>
              </w:rPr>
              <w:t>“统计与概率”内容与教材分析</w:t>
            </w:r>
          </w:p>
        </w:tc>
        <w:tc>
          <w:tcPr>
            <w:tcW w:w="1701" w:type="dxa"/>
            <w:vAlign w:val="center"/>
          </w:tcPr>
          <w:p w14:paraId="72F0B1D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w:t>
            </w:r>
            <w:r>
              <w:rPr>
                <w:rFonts w:hint="eastAsia" w:ascii="宋体" w:hAnsi="宋体" w:eastAsia="宋体" w:cs="Times New Roman"/>
                <w:color w:val="auto"/>
                <w:sz w:val="21"/>
                <w:szCs w:val="21"/>
              </w:rPr>
              <w:t>数据分类</w:t>
            </w:r>
            <w:r>
              <w:rPr>
                <w:rFonts w:ascii="宋体" w:hAnsi="宋体" w:eastAsia="宋体" w:cs="Times New Roman"/>
                <w:color w:val="auto"/>
                <w:sz w:val="21"/>
                <w:szCs w:val="21"/>
              </w:rPr>
              <w:t>”内容与教材分析</w:t>
            </w:r>
          </w:p>
          <w:p w14:paraId="16E458E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w:t>
            </w:r>
            <w:r>
              <w:rPr>
                <w:rFonts w:hint="eastAsia" w:ascii="宋体" w:hAnsi="宋体" w:eastAsia="宋体" w:cs="Times New Roman"/>
                <w:color w:val="auto"/>
                <w:sz w:val="21"/>
                <w:szCs w:val="21"/>
              </w:rPr>
              <w:t>数据的收集、整理与表达</w:t>
            </w:r>
            <w:r>
              <w:rPr>
                <w:rFonts w:ascii="宋体" w:hAnsi="宋体" w:eastAsia="宋体" w:cs="Times New Roman"/>
                <w:color w:val="auto"/>
                <w:sz w:val="21"/>
                <w:szCs w:val="21"/>
              </w:rPr>
              <w:t>”内容与教材分析</w:t>
            </w:r>
          </w:p>
          <w:p w14:paraId="51338C3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3）“随机现象发生</w:t>
            </w:r>
            <w:r>
              <w:rPr>
                <w:rFonts w:hint="eastAsia" w:ascii="宋体" w:hAnsi="宋体" w:eastAsia="宋体" w:cs="Times New Roman"/>
                <w:color w:val="auto"/>
                <w:sz w:val="21"/>
                <w:szCs w:val="21"/>
              </w:rPr>
              <w:t>的</w:t>
            </w:r>
            <w:r>
              <w:rPr>
                <w:rFonts w:ascii="宋体" w:hAnsi="宋体" w:eastAsia="宋体" w:cs="Times New Roman"/>
                <w:color w:val="auto"/>
                <w:sz w:val="21"/>
                <w:szCs w:val="21"/>
              </w:rPr>
              <w:t>可能性”内容与教材分析</w:t>
            </w:r>
          </w:p>
        </w:tc>
        <w:tc>
          <w:tcPr>
            <w:tcW w:w="1134" w:type="dxa"/>
            <w:vAlign w:val="center"/>
          </w:tcPr>
          <w:p w14:paraId="41978601">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3139" w:type="dxa"/>
            <w:vAlign w:val="center"/>
          </w:tcPr>
          <w:p w14:paraId="6CFCB4A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1）理解《数学课程标准》中关于“</w:t>
            </w:r>
            <w:r>
              <w:rPr>
                <w:rFonts w:hint="eastAsia" w:ascii="宋体" w:hAnsi="宋体" w:eastAsia="宋体" w:cs="Times New Roman"/>
                <w:color w:val="auto"/>
                <w:sz w:val="21"/>
                <w:szCs w:val="21"/>
              </w:rPr>
              <w:t>数据分类</w:t>
            </w:r>
            <w:r>
              <w:rPr>
                <w:rFonts w:ascii="宋体" w:hAnsi="宋体" w:eastAsia="宋体" w:cs="Times New Roman"/>
                <w:color w:val="auto"/>
                <w:sz w:val="21"/>
                <w:szCs w:val="21"/>
              </w:rPr>
              <w:t>”“</w:t>
            </w:r>
            <w:r>
              <w:rPr>
                <w:rFonts w:hint="eastAsia" w:ascii="宋体" w:hAnsi="宋体" w:eastAsia="宋体" w:cs="Times New Roman"/>
                <w:color w:val="auto"/>
                <w:sz w:val="21"/>
                <w:szCs w:val="21"/>
              </w:rPr>
              <w:t>数据的收集、整理与表达</w:t>
            </w:r>
            <w:r>
              <w:rPr>
                <w:rFonts w:ascii="宋体" w:hAnsi="宋体" w:eastAsia="宋体" w:cs="Times New Roman"/>
                <w:color w:val="auto"/>
                <w:sz w:val="21"/>
                <w:szCs w:val="21"/>
              </w:rPr>
              <w:t>”“随机现象发生</w:t>
            </w:r>
            <w:r>
              <w:rPr>
                <w:rFonts w:hint="eastAsia" w:ascii="宋体" w:hAnsi="宋体" w:eastAsia="宋体" w:cs="Times New Roman"/>
                <w:color w:val="auto"/>
                <w:sz w:val="21"/>
                <w:szCs w:val="21"/>
              </w:rPr>
              <w:t>的</w:t>
            </w:r>
            <w:r>
              <w:rPr>
                <w:rFonts w:ascii="宋体" w:hAnsi="宋体" w:eastAsia="宋体" w:cs="Times New Roman"/>
                <w:color w:val="auto"/>
                <w:sz w:val="21"/>
                <w:szCs w:val="21"/>
              </w:rPr>
              <w:t>可能性”等内容的要求</w:t>
            </w:r>
            <w:r>
              <w:rPr>
                <w:rFonts w:hint="eastAsia" w:ascii="宋体" w:hAnsi="宋体" w:eastAsia="宋体" w:cs="Times New Roman"/>
                <w:color w:val="auto"/>
                <w:sz w:val="21"/>
                <w:szCs w:val="21"/>
              </w:rPr>
              <w:t>。</w:t>
            </w:r>
          </w:p>
          <w:p w14:paraId="35AB077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2）理解小学数学教材中</w:t>
            </w:r>
            <w:r>
              <w:rPr>
                <w:rFonts w:hint="eastAsia" w:ascii="宋体" w:hAnsi="宋体" w:eastAsia="宋体" w:cs="Times New Roman"/>
                <w:color w:val="auto"/>
                <w:sz w:val="21"/>
                <w:szCs w:val="21"/>
              </w:rPr>
              <w:t>“数据分类”“数据的收集、整理与表达”“随机现象发生的可能性”</w:t>
            </w:r>
            <w:r>
              <w:rPr>
                <w:rFonts w:ascii="宋体" w:hAnsi="宋体" w:eastAsia="宋体" w:cs="Times New Roman"/>
                <w:color w:val="auto"/>
                <w:sz w:val="21"/>
                <w:szCs w:val="21"/>
              </w:rPr>
              <w:t>等内容的编排及意义</w:t>
            </w:r>
            <w:r>
              <w:rPr>
                <w:rFonts w:hint="eastAsia" w:ascii="宋体" w:hAnsi="宋体" w:eastAsia="宋体" w:cs="Times New Roman"/>
                <w:color w:val="auto"/>
                <w:sz w:val="21"/>
                <w:szCs w:val="21"/>
              </w:rPr>
              <w:t>。</w:t>
            </w:r>
          </w:p>
          <w:p w14:paraId="7D494A4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w:t>
            </w:r>
            <w:r>
              <w:rPr>
                <w:rFonts w:hint="eastAsia" w:ascii="宋体" w:hAnsi="宋体" w:eastAsia="宋体" w:cs="Times New Roman"/>
                <w:color w:val="auto"/>
                <w:sz w:val="21"/>
                <w:szCs w:val="21"/>
              </w:rPr>
              <w:t>明确“统计与概率”领域的学业质量要求，</w:t>
            </w:r>
            <w:r>
              <w:rPr>
                <w:rFonts w:ascii="宋体" w:hAnsi="宋体" w:eastAsia="宋体" w:cs="Times New Roman"/>
                <w:color w:val="auto"/>
                <w:sz w:val="21"/>
                <w:szCs w:val="21"/>
              </w:rPr>
              <w:t>能够独立进行“统计与概率”教学内容分析并进行教学设计</w:t>
            </w:r>
            <w:r>
              <w:rPr>
                <w:rFonts w:hint="eastAsia" w:ascii="宋体" w:hAnsi="宋体" w:eastAsia="宋体" w:cs="Times New Roman"/>
                <w:color w:val="auto"/>
                <w:sz w:val="21"/>
                <w:szCs w:val="21"/>
              </w:rPr>
              <w:t>。</w:t>
            </w:r>
          </w:p>
        </w:tc>
        <w:tc>
          <w:tcPr>
            <w:tcW w:w="1321" w:type="dxa"/>
            <w:vAlign w:val="center"/>
          </w:tcPr>
          <w:p w14:paraId="7FB4340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3F3DCD0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40EFA4EA">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44968C4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课内实践</w:t>
            </w:r>
          </w:p>
        </w:tc>
        <w:tc>
          <w:tcPr>
            <w:tcW w:w="798" w:type="dxa"/>
            <w:vAlign w:val="center"/>
          </w:tcPr>
          <w:p w14:paraId="5E8FA55A">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讲授3</w:t>
            </w:r>
          </w:p>
          <w:p w14:paraId="47C764AE">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实践3</w:t>
            </w:r>
          </w:p>
        </w:tc>
      </w:tr>
      <w:tr w14:paraId="07D5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E51C3E8">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51D5882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1）了解“统计与概率”教学内容中蕴含的数学思想与文化，增强文化自信。</w:t>
            </w:r>
            <w:r>
              <w:rPr>
                <w:rFonts w:hint="eastAsia" w:ascii="宋体" w:hAnsi="宋体" w:eastAsia="宋体" w:cs="Times New Roman"/>
                <w:color w:val="auto"/>
                <w:sz w:val="21"/>
                <w:szCs w:val="21"/>
              </w:rPr>
              <w:t>（</w:t>
            </w:r>
            <w:r>
              <w:rPr>
                <w:rFonts w:ascii="宋体" w:hAnsi="宋体" w:eastAsia="宋体" w:cs="Times New Roman"/>
                <w:color w:val="auto"/>
                <w:sz w:val="21"/>
                <w:szCs w:val="21"/>
              </w:rPr>
              <w:t>2）激发参与数学教学改革的热情，增强社会现任感。</w:t>
            </w:r>
          </w:p>
        </w:tc>
      </w:tr>
      <w:tr w14:paraId="13BE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4E65551">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8</w:t>
            </w:r>
            <w:r>
              <w:rPr>
                <w:rFonts w:ascii="宋体" w:hAnsi="宋体" w:eastAsia="宋体" w:cs="Times New Roman"/>
                <w:color w:val="auto"/>
                <w:sz w:val="21"/>
                <w:szCs w:val="21"/>
              </w:rPr>
              <w:t>.</w:t>
            </w:r>
            <w:r>
              <w:rPr>
                <w:rFonts w:hint="eastAsia" w:ascii="宋体" w:hAnsi="宋体" w:eastAsia="宋体" w:cs="Times New Roman"/>
                <w:color w:val="auto"/>
                <w:sz w:val="21"/>
                <w:szCs w:val="21"/>
              </w:rPr>
              <w:t>“综合与实践”内容与教材分析</w:t>
            </w:r>
          </w:p>
        </w:tc>
        <w:tc>
          <w:tcPr>
            <w:tcW w:w="1701" w:type="dxa"/>
            <w:vAlign w:val="center"/>
          </w:tcPr>
          <w:p w14:paraId="6363BA9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1）“综合与实践”的总体要求</w:t>
            </w:r>
          </w:p>
          <w:p w14:paraId="03FA65F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2）“综合与实践”内容与教材分析</w:t>
            </w:r>
          </w:p>
        </w:tc>
        <w:tc>
          <w:tcPr>
            <w:tcW w:w="1134" w:type="dxa"/>
            <w:vAlign w:val="center"/>
          </w:tcPr>
          <w:p w14:paraId="3825604F">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3139" w:type="dxa"/>
            <w:vAlign w:val="center"/>
          </w:tcPr>
          <w:p w14:paraId="0CEC926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1）了解“综合与实践”的总体要求以及不同学段的具体要求</w:t>
            </w:r>
            <w:r>
              <w:rPr>
                <w:rFonts w:hint="eastAsia" w:ascii="宋体" w:hAnsi="宋体" w:eastAsia="宋体" w:cs="Times New Roman"/>
                <w:color w:val="auto"/>
                <w:sz w:val="21"/>
                <w:szCs w:val="21"/>
              </w:rPr>
              <w:t>。</w:t>
            </w:r>
          </w:p>
          <w:p w14:paraId="6AB9AC9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2）理解小学数学教材中“综合与实践”的内容编排及意义</w:t>
            </w:r>
            <w:r>
              <w:rPr>
                <w:rFonts w:hint="eastAsia" w:ascii="宋体" w:hAnsi="宋体" w:eastAsia="宋体" w:cs="Times New Roman"/>
                <w:color w:val="auto"/>
                <w:sz w:val="21"/>
                <w:szCs w:val="21"/>
              </w:rPr>
              <w:t>。</w:t>
            </w:r>
          </w:p>
          <w:p w14:paraId="701E427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w:t>
            </w:r>
            <w:r>
              <w:rPr>
                <w:rFonts w:hint="eastAsia" w:ascii="宋体" w:hAnsi="宋体" w:eastAsia="宋体" w:cs="Times New Roman"/>
                <w:color w:val="auto"/>
                <w:sz w:val="21"/>
                <w:szCs w:val="21"/>
              </w:rPr>
              <w:t>明确“综合与实践”领域的学业质量要求，能够独立进行“综合与实践”教学内容分析并进行教学设计。</w:t>
            </w:r>
          </w:p>
        </w:tc>
        <w:tc>
          <w:tcPr>
            <w:tcW w:w="1321" w:type="dxa"/>
            <w:vAlign w:val="center"/>
          </w:tcPr>
          <w:p w14:paraId="53E9B35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4792DDA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684E854B">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275C737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课内实践</w:t>
            </w:r>
          </w:p>
        </w:tc>
        <w:tc>
          <w:tcPr>
            <w:tcW w:w="798" w:type="dxa"/>
            <w:vAlign w:val="center"/>
          </w:tcPr>
          <w:p w14:paraId="20C6D202">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讲授3</w:t>
            </w:r>
          </w:p>
          <w:p w14:paraId="06736388">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实践3</w:t>
            </w:r>
          </w:p>
        </w:tc>
      </w:tr>
      <w:tr w14:paraId="482B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DE602BE">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7C04332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1）了解“综合与实践”教学内容中蕴含的数学思想与文化，增强文化自信。</w:t>
            </w:r>
            <w:r>
              <w:rPr>
                <w:rFonts w:hint="eastAsia" w:ascii="宋体" w:hAnsi="宋体" w:eastAsia="宋体" w:cs="Times New Roman"/>
                <w:color w:val="auto"/>
                <w:sz w:val="21"/>
                <w:szCs w:val="21"/>
              </w:rPr>
              <w:t>（</w:t>
            </w:r>
            <w:r>
              <w:rPr>
                <w:rFonts w:ascii="宋体" w:hAnsi="宋体" w:eastAsia="宋体" w:cs="Times New Roman"/>
                <w:color w:val="auto"/>
                <w:sz w:val="21"/>
                <w:szCs w:val="21"/>
              </w:rPr>
              <w:t>2）激发参与数学教学改革的热情，增强社会现任感。</w:t>
            </w:r>
          </w:p>
        </w:tc>
      </w:tr>
    </w:tbl>
    <w:p w14:paraId="5458EF2E">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四、目标评价与成绩评定</w:t>
      </w:r>
    </w:p>
    <w:p w14:paraId="72DCA9F9">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1671B5BD">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1545"/>
        <w:gridCol w:w="1405"/>
        <w:gridCol w:w="1405"/>
        <w:gridCol w:w="1405"/>
        <w:gridCol w:w="846"/>
      </w:tblGrid>
      <w:tr w14:paraId="504D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0" w:type="auto"/>
            <w:vMerge w:val="restart"/>
            <w:vAlign w:val="center"/>
          </w:tcPr>
          <w:p w14:paraId="2C975D7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0" w:type="auto"/>
            <w:gridSpan w:val="4"/>
            <w:vAlign w:val="center"/>
          </w:tcPr>
          <w:p w14:paraId="45E9201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1B81740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36B8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0" w:type="auto"/>
            <w:vMerge w:val="continue"/>
            <w:vAlign w:val="center"/>
          </w:tcPr>
          <w:p w14:paraId="4868D5E7">
            <w:pPr>
              <w:spacing w:line="360" w:lineRule="auto"/>
              <w:jc w:val="center"/>
              <w:rPr>
                <w:rFonts w:hint="eastAsia" w:ascii="宋体" w:hAnsi="宋体" w:eastAsia="宋体" w:cs="Times New Roman"/>
                <w:color w:val="auto"/>
                <w:szCs w:val="21"/>
              </w:rPr>
            </w:pPr>
          </w:p>
        </w:tc>
        <w:tc>
          <w:tcPr>
            <w:tcW w:w="0" w:type="auto"/>
            <w:vAlign w:val="center"/>
          </w:tcPr>
          <w:p w14:paraId="78E2E83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作业</w:t>
            </w:r>
            <w:r>
              <w:rPr>
                <w:rFonts w:ascii="宋体" w:hAnsi="宋体" w:eastAsia="宋体" w:cs="Times New Roman"/>
                <w:color w:val="auto"/>
                <w:szCs w:val="21"/>
              </w:rPr>
              <w:t>+考勤</w:t>
            </w:r>
          </w:p>
        </w:tc>
        <w:tc>
          <w:tcPr>
            <w:tcW w:w="0" w:type="auto"/>
            <w:vAlign w:val="center"/>
          </w:tcPr>
          <w:p w14:paraId="33F2818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0" w:type="auto"/>
            <w:vAlign w:val="center"/>
          </w:tcPr>
          <w:p w14:paraId="795F2CA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课内实践</w:t>
            </w:r>
          </w:p>
        </w:tc>
        <w:tc>
          <w:tcPr>
            <w:tcW w:w="0" w:type="auto"/>
            <w:vAlign w:val="center"/>
          </w:tcPr>
          <w:p w14:paraId="5341912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0" w:type="auto"/>
            <w:vMerge w:val="continue"/>
            <w:vAlign w:val="center"/>
          </w:tcPr>
          <w:p w14:paraId="156AA13F">
            <w:pPr>
              <w:spacing w:line="360" w:lineRule="auto"/>
              <w:jc w:val="center"/>
              <w:rPr>
                <w:rFonts w:hint="eastAsia" w:ascii="宋体" w:hAnsi="宋体" w:eastAsia="宋体" w:cs="Times New Roman"/>
                <w:color w:val="auto"/>
                <w:szCs w:val="21"/>
              </w:rPr>
            </w:pPr>
          </w:p>
        </w:tc>
      </w:tr>
      <w:tr w14:paraId="0C95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0" w:type="auto"/>
            <w:vAlign w:val="center"/>
          </w:tcPr>
          <w:p w14:paraId="662146C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0" w:type="auto"/>
            <w:vAlign w:val="center"/>
          </w:tcPr>
          <w:p w14:paraId="25A599E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5D0D5F8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5166B2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81977FC">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41CB69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4</w:t>
            </w:r>
            <w:r>
              <w:rPr>
                <w:rFonts w:hint="eastAsia" w:ascii="宋体" w:hAnsi="宋体" w:eastAsia="宋体" w:cs="Times New Roman"/>
                <w:color w:val="auto"/>
                <w:szCs w:val="21"/>
              </w:rPr>
              <w:t>0</w:t>
            </w:r>
          </w:p>
        </w:tc>
      </w:tr>
      <w:tr w14:paraId="1199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0" w:type="auto"/>
            <w:vAlign w:val="center"/>
          </w:tcPr>
          <w:p w14:paraId="670BFCF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0" w:type="auto"/>
            <w:vAlign w:val="center"/>
          </w:tcPr>
          <w:p w14:paraId="51F561F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DBBCAF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8676E0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2F5EB9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5F5D191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2AE8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0" w:type="auto"/>
            <w:vAlign w:val="center"/>
          </w:tcPr>
          <w:p w14:paraId="410BF74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0" w:type="auto"/>
            <w:vAlign w:val="center"/>
          </w:tcPr>
          <w:p w14:paraId="0319F04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522AD7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E650BB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57E59E5">
            <w:pPr>
              <w:spacing w:line="360" w:lineRule="auto"/>
              <w:jc w:val="center"/>
              <w:rPr>
                <w:rFonts w:hint="eastAsia" w:ascii="宋体" w:hAnsi="宋体" w:eastAsia="宋体" w:cs="Times New Roman"/>
                <w:color w:val="auto"/>
                <w:szCs w:val="21"/>
              </w:rPr>
            </w:pPr>
          </w:p>
        </w:tc>
        <w:tc>
          <w:tcPr>
            <w:tcW w:w="0" w:type="auto"/>
            <w:vAlign w:val="center"/>
          </w:tcPr>
          <w:p w14:paraId="4B4B82E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2</w:t>
            </w:r>
            <w:r>
              <w:rPr>
                <w:rFonts w:hint="eastAsia" w:ascii="宋体" w:hAnsi="宋体" w:eastAsia="宋体" w:cs="Times New Roman"/>
                <w:color w:val="auto"/>
                <w:szCs w:val="21"/>
              </w:rPr>
              <w:t>0</w:t>
            </w:r>
          </w:p>
        </w:tc>
      </w:tr>
      <w:tr w14:paraId="151F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0" w:type="auto"/>
            <w:vAlign w:val="center"/>
          </w:tcPr>
          <w:p w14:paraId="3E0DB30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0" w:type="auto"/>
            <w:vAlign w:val="center"/>
          </w:tcPr>
          <w:p w14:paraId="2E98E37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20</w:t>
            </w:r>
          </w:p>
        </w:tc>
        <w:tc>
          <w:tcPr>
            <w:tcW w:w="0" w:type="auto"/>
            <w:vAlign w:val="center"/>
          </w:tcPr>
          <w:p w14:paraId="3A5B054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0</w:t>
            </w:r>
          </w:p>
        </w:tc>
        <w:tc>
          <w:tcPr>
            <w:tcW w:w="0" w:type="auto"/>
            <w:vAlign w:val="center"/>
          </w:tcPr>
          <w:p w14:paraId="50E54AD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0</w:t>
            </w:r>
          </w:p>
        </w:tc>
        <w:tc>
          <w:tcPr>
            <w:tcW w:w="0" w:type="auto"/>
            <w:vAlign w:val="center"/>
          </w:tcPr>
          <w:p w14:paraId="07758EE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w:t>
            </w:r>
            <w:r>
              <w:rPr>
                <w:rFonts w:ascii="宋体" w:hAnsi="宋体" w:eastAsia="宋体" w:cs="Times New Roman"/>
                <w:color w:val="auto"/>
                <w:szCs w:val="21"/>
              </w:rPr>
              <w:t>0</w:t>
            </w:r>
          </w:p>
        </w:tc>
        <w:tc>
          <w:tcPr>
            <w:tcW w:w="0" w:type="auto"/>
            <w:vAlign w:val="center"/>
          </w:tcPr>
          <w:p w14:paraId="43F7D12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66F8F2A5">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77819C59">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481F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44CDBA72">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924" w:type="dxa"/>
            <w:vAlign w:val="center"/>
          </w:tcPr>
          <w:p w14:paraId="237682F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148B895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6D12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7CE6BE88">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作业</w:t>
            </w:r>
            <w:r>
              <w:rPr>
                <w:rFonts w:ascii="Times New Roman" w:hAnsi="Times New Roman" w:eastAsia="宋体" w:cs="Times New Roman"/>
                <w:color w:val="auto"/>
                <w:szCs w:val="21"/>
              </w:rPr>
              <w:t>+考勤</w:t>
            </w:r>
          </w:p>
        </w:tc>
        <w:tc>
          <w:tcPr>
            <w:tcW w:w="6924" w:type="dxa"/>
            <w:vAlign w:val="center"/>
          </w:tcPr>
          <w:p w14:paraId="3B285540">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平时作业共5次，平时总评</w:t>
            </w:r>
            <w:r>
              <w:rPr>
                <w:rFonts w:ascii="Times New Roman" w:hAnsi="Times New Roman" w:eastAsia="宋体" w:cs="Times New Roman"/>
                <w:color w:val="auto"/>
                <w:szCs w:val="21"/>
              </w:rPr>
              <w:t>=作业平均—考勤扣分，旷课1次扣5分，事假一次扣2分，迟到1次扣1分，病假不扣分（但病假次数达本学期总授课学时的1/3以上者不得参加考核）。</w:t>
            </w:r>
          </w:p>
        </w:tc>
        <w:tc>
          <w:tcPr>
            <w:tcW w:w="0" w:type="auto"/>
            <w:vAlign w:val="center"/>
          </w:tcPr>
          <w:p w14:paraId="155B5D2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0%</w:t>
            </w:r>
          </w:p>
        </w:tc>
      </w:tr>
      <w:tr w14:paraId="1F39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790133BF">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6924" w:type="dxa"/>
            <w:vAlign w:val="center"/>
          </w:tcPr>
          <w:p w14:paraId="3E2B2C22">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课堂表现。</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按照对应的课程目标及权重给予评定</w:t>
            </w:r>
            <w:r>
              <w:rPr>
                <w:rFonts w:hint="eastAsia" w:ascii="宋体" w:hAnsi="宋体" w:eastAsia="宋体" w:cs="宋体"/>
                <w:color w:val="auto"/>
                <w:kern w:val="0"/>
                <w:szCs w:val="21"/>
                <w:lang w:bidi="ar"/>
              </w:rPr>
              <w:t>。</w:t>
            </w:r>
          </w:p>
        </w:tc>
        <w:tc>
          <w:tcPr>
            <w:tcW w:w="0" w:type="auto"/>
            <w:vAlign w:val="center"/>
          </w:tcPr>
          <w:p w14:paraId="1948F70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0A3D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07F58D73">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课内实践</w:t>
            </w:r>
          </w:p>
        </w:tc>
        <w:tc>
          <w:tcPr>
            <w:tcW w:w="6924" w:type="dxa"/>
            <w:vAlign w:val="center"/>
          </w:tcPr>
          <w:p w14:paraId="7240227B">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认真完成</w:t>
            </w:r>
            <w:r>
              <w:rPr>
                <w:rFonts w:ascii="宋体" w:hAnsi="宋体" w:eastAsia="宋体" w:cs="宋体"/>
                <w:color w:val="auto"/>
                <w:kern w:val="0"/>
                <w:szCs w:val="21"/>
                <w:lang w:bidi="ar"/>
              </w:rPr>
              <w:t>4个项目的课内实践，提交相应的教材分析报告和教学方案，并尝试进行模拟教学；实行组内互评与教师评价相结合的方式。4个项目成绩取平均分作为课内实践分。</w:t>
            </w:r>
          </w:p>
        </w:tc>
        <w:tc>
          <w:tcPr>
            <w:tcW w:w="0" w:type="auto"/>
            <w:vAlign w:val="center"/>
          </w:tcPr>
          <w:p w14:paraId="2177C13F">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0%</w:t>
            </w:r>
          </w:p>
        </w:tc>
      </w:tr>
      <w:tr w14:paraId="2BF6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6C828D20">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6924" w:type="dxa"/>
            <w:vAlign w:val="center"/>
          </w:tcPr>
          <w:p w14:paraId="676CF53D">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试卷题型包括填空题、选择题、简答题、分析题、设计题等题型，一方面考核师范生小学数学教学理论知识的掌握情况，另一方面考核师范生运用所学理论解决问题的能力</w:t>
            </w:r>
            <w:r>
              <w:rPr>
                <w:rFonts w:ascii="Times New Roman" w:hAnsi="Times New Roman" w:eastAsia="宋体" w:cs="Times New Roman"/>
                <w:color w:val="auto"/>
                <w:szCs w:val="21"/>
              </w:rPr>
              <w:t>。</w:t>
            </w:r>
          </w:p>
        </w:tc>
        <w:tc>
          <w:tcPr>
            <w:tcW w:w="0" w:type="auto"/>
            <w:vAlign w:val="center"/>
          </w:tcPr>
          <w:p w14:paraId="5A0925A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1312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0" w:type="auto"/>
            <w:vAlign w:val="center"/>
          </w:tcPr>
          <w:p w14:paraId="32153375">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7263DF3A">
            <w:pPr>
              <w:jc w:val="left"/>
              <w:rPr>
                <w:rFonts w:ascii="Times New Roman" w:hAnsi="Times New Roman" w:eastAsia="宋体" w:cs="Times New Roman"/>
                <w:color w:val="auto"/>
                <w:szCs w:val="21"/>
              </w:rPr>
            </w:pPr>
          </w:p>
        </w:tc>
        <w:tc>
          <w:tcPr>
            <w:tcW w:w="0" w:type="auto"/>
            <w:vAlign w:val="center"/>
          </w:tcPr>
          <w:p w14:paraId="7C77981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56BA1EE4">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3D3FEE7D">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58AD0D32">
      <w:pPr>
        <w:spacing w:before="156" w:beforeLines="50"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object>
          <v:shape id="_x0000_i1063" o:spt="75" type="#_x0000_t75" style="height:24.65pt;width:404.55pt;" o:ole="t" filled="f" o:preferrelative="t" stroked="f" coordsize="21600,21600">
            <v:path/>
            <v:fill on="f" focussize="0,0"/>
            <v:stroke on="f" joinstyle="miter"/>
            <v:imagedata r:id="rId10" o:title=""/>
            <o:lock v:ext="edit" aspectratio="t"/>
            <w10:wrap type="none"/>
            <w10:anchorlock/>
          </v:shape>
          <o:OLEObject Type="Embed" ProgID="Equation.3" ShapeID="_x0000_i1063" DrawAspect="Content" ObjectID="_1468075762" r:id="rId49">
            <o:LockedField>false</o:LockedField>
          </o:OLEObject>
        </w:object>
      </w:r>
    </w:p>
    <w:p w14:paraId="01E0249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五、课内实践</w:t>
      </w:r>
    </w:p>
    <w:p w14:paraId="0EE76349">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本课程在理论教学的基础上，安排了4个课内实践项目（共16学时），体现了理论与实践的结合，强化对学生的课程思政。</w:t>
      </w:r>
    </w:p>
    <w:tbl>
      <w:tblPr>
        <w:tblStyle w:val="3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3436"/>
        <w:gridCol w:w="700"/>
        <w:gridCol w:w="2970"/>
      </w:tblGrid>
      <w:tr w14:paraId="49EE7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413" w:type="dxa"/>
            <w:vAlign w:val="center"/>
          </w:tcPr>
          <w:p w14:paraId="5977348B">
            <w:pPr>
              <w:spacing w:line="24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活动主题</w:t>
            </w:r>
          </w:p>
        </w:tc>
        <w:tc>
          <w:tcPr>
            <w:tcW w:w="3436" w:type="dxa"/>
            <w:vAlign w:val="center"/>
          </w:tcPr>
          <w:p w14:paraId="4D27A31E">
            <w:pPr>
              <w:spacing w:line="24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活动内容</w:t>
            </w:r>
          </w:p>
        </w:tc>
        <w:tc>
          <w:tcPr>
            <w:tcW w:w="700" w:type="dxa"/>
            <w:vAlign w:val="center"/>
          </w:tcPr>
          <w:p w14:paraId="04A9A1F3">
            <w:pPr>
              <w:spacing w:line="24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活动方式</w:t>
            </w:r>
          </w:p>
        </w:tc>
        <w:tc>
          <w:tcPr>
            <w:tcW w:w="2970" w:type="dxa"/>
            <w:vAlign w:val="center"/>
          </w:tcPr>
          <w:p w14:paraId="7AB697E7">
            <w:pPr>
              <w:spacing w:line="24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思政目标</w:t>
            </w:r>
          </w:p>
        </w:tc>
      </w:tr>
      <w:tr w14:paraId="6C00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413" w:type="dxa"/>
            <w:vAlign w:val="center"/>
          </w:tcPr>
          <w:p w14:paraId="5BFFD390">
            <w:pPr>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数与代数</w:t>
            </w:r>
            <w:r>
              <w:rPr>
                <w:rFonts w:hint="eastAsia" w:ascii="宋体" w:hAnsi="宋体" w:eastAsia="宋体" w:cs="Times New Roman"/>
                <w:color w:val="auto"/>
                <w:sz w:val="21"/>
                <w:szCs w:val="21"/>
              </w:rPr>
              <w:t>”教材分析与</w:t>
            </w:r>
            <w:r>
              <w:rPr>
                <w:rFonts w:ascii="宋体" w:hAnsi="宋体" w:eastAsia="宋体" w:cs="Times New Roman"/>
                <w:color w:val="auto"/>
                <w:sz w:val="21"/>
                <w:szCs w:val="21"/>
              </w:rPr>
              <w:t>教学设计</w:t>
            </w:r>
            <w:r>
              <w:rPr>
                <w:rFonts w:hint="eastAsia" w:ascii="宋体" w:hAnsi="宋体" w:eastAsia="宋体" w:cs="Times New Roman"/>
                <w:color w:val="auto"/>
                <w:sz w:val="21"/>
                <w:szCs w:val="21"/>
              </w:rPr>
              <w:t>（5学时）</w:t>
            </w:r>
          </w:p>
        </w:tc>
        <w:tc>
          <w:tcPr>
            <w:tcW w:w="3436" w:type="dxa"/>
            <w:vAlign w:val="center"/>
          </w:tcPr>
          <w:p w14:paraId="006421AB">
            <w:pPr>
              <w:rPr>
                <w:rFonts w:hint="eastAsia" w:ascii="宋体" w:hAnsi="宋体" w:eastAsia="宋体" w:cs="Times New Roman"/>
                <w:color w:val="auto"/>
                <w:sz w:val="21"/>
                <w:szCs w:val="21"/>
              </w:rPr>
            </w:pPr>
            <w:r>
              <w:rPr>
                <w:rFonts w:hint="eastAsia" w:ascii="宋体" w:hAnsi="宋体" w:eastAsia="宋体" w:cs="Times New Roman"/>
                <w:color w:val="auto"/>
                <w:sz w:val="21"/>
                <w:szCs w:val="21"/>
              </w:rPr>
              <w:t>选择两个单元“数与代数”领域的内容，深入钻研教材，依据数学课程标准要求，撰写2</w:t>
            </w:r>
            <w:r>
              <w:rPr>
                <w:rFonts w:ascii="宋体" w:hAnsi="宋体" w:eastAsia="宋体" w:cs="Times New Roman"/>
                <w:color w:val="auto"/>
                <w:sz w:val="21"/>
                <w:szCs w:val="21"/>
              </w:rPr>
              <w:t>份教材分析</w:t>
            </w:r>
            <w:r>
              <w:rPr>
                <w:rFonts w:hint="eastAsia" w:ascii="宋体" w:hAnsi="宋体" w:eastAsia="宋体" w:cs="Times New Roman"/>
                <w:color w:val="auto"/>
                <w:sz w:val="21"/>
                <w:szCs w:val="21"/>
              </w:rPr>
              <w:t>报告</w:t>
            </w:r>
            <w:r>
              <w:rPr>
                <w:rFonts w:ascii="宋体" w:hAnsi="宋体" w:eastAsia="宋体" w:cs="Times New Roman"/>
                <w:color w:val="auto"/>
                <w:sz w:val="21"/>
                <w:szCs w:val="21"/>
              </w:rPr>
              <w:t>，并设计</w:t>
            </w:r>
            <w:r>
              <w:rPr>
                <w:rFonts w:hint="eastAsia" w:ascii="宋体" w:hAnsi="宋体" w:eastAsia="宋体" w:cs="Times New Roman"/>
                <w:color w:val="auto"/>
                <w:sz w:val="21"/>
                <w:szCs w:val="21"/>
              </w:rPr>
              <w:t>1份</w:t>
            </w:r>
            <w:r>
              <w:rPr>
                <w:rFonts w:ascii="宋体" w:hAnsi="宋体" w:eastAsia="宋体" w:cs="Times New Roman"/>
                <w:color w:val="auto"/>
                <w:sz w:val="21"/>
                <w:szCs w:val="21"/>
              </w:rPr>
              <w:t>教学方案。</w:t>
            </w:r>
          </w:p>
        </w:tc>
        <w:tc>
          <w:tcPr>
            <w:tcW w:w="700" w:type="dxa"/>
            <w:vAlign w:val="center"/>
          </w:tcPr>
          <w:p w14:paraId="1C6C553F">
            <w:pPr>
              <w:spacing w:line="276"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交流</w:t>
            </w:r>
          </w:p>
          <w:p w14:paraId="030F073E">
            <w:pPr>
              <w:spacing w:line="276"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设计</w:t>
            </w:r>
          </w:p>
        </w:tc>
        <w:tc>
          <w:tcPr>
            <w:tcW w:w="2970" w:type="dxa"/>
            <w:vAlign w:val="center"/>
          </w:tcPr>
          <w:p w14:paraId="72957D9B">
            <w:pPr>
              <w:rPr>
                <w:rFonts w:hint="eastAsia" w:ascii="宋体" w:hAnsi="宋体" w:eastAsia="宋体" w:cs="Times New Roman"/>
                <w:color w:val="auto"/>
                <w:sz w:val="21"/>
                <w:szCs w:val="21"/>
              </w:rPr>
            </w:pPr>
            <w:r>
              <w:rPr>
                <w:rFonts w:ascii="宋体" w:hAnsi="宋体" w:eastAsia="宋体" w:cs="Times New Roman"/>
                <w:color w:val="auto"/>
                <w:sz w:val="21"/>
                <w:szCs w:val="21"/>
              </w:rPr>
              <w:t>了解“</w:t>
            </w:r>
            <w:r>
              <w:rPr>
                <w:rFonts w:hint="eastAsia" w:ascii="宋体" w:hAnsi="宋体" w:eastAsia="宋体" w:cs="Times New Roman"/>
                <w:color w:val="auto"/>
                <w:sz w:val="21"/>
                <w:szCs w:val="21"/>
              </w:rPr>
              <w:t>数与代数</w:t>
            </w:r>
            <w:r>
              <w:rPr>
                <w:rFonts w:ascii="宋体" w:hAnsi="宋体" w:eastAsia="宋体" w:cs="Times New Roman"/>
                <w:color w:val="auto"/>
                <w:sz w:val="21"/>
                <w:szCs w:val="21"/>
              </w:rPr>
              <w:t>”教学内容中蕴含的数学思想与文化，增强文化自信</w:t>
            </w:r>
            <w:r>
              <w:rPr>
                <w:rFonts w:hint="eastAsia" w:ascii="宋体" w:hAnsi="宋体" w:eastAsia="宋体" w:cs="Times New Roman"/>
                <w:color w:val="auto"/>
                <w:sz w:val="21"/>
                <w:szCs w:val="21"/>
              </w:rPr>
              <w:t>；初步养成严谨的设计态度和风格</w:t>
            </w:r>
            <w:r>
              <w:rPr>
                <w:rFonts w:ascii="宋体" w:hAnsi="宋体" w:eastAsia="宋体" w:cs="Times New Roman"/>
                <w:color w:val="auto"/>
                <w:sz w:val="21"/>
                <w:szCs w:val="21"/>
              </w:rPr>
              <w:t>。</w:t>
            </w:r>
          </w:p>
        </w:tc>
      </w:tr>
      <w:tr w14:paraId="7922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413" w:type="dxa"/>
            <w:vAlign w:val="center"/>
          </w:tcPr>
          <w:p w14:paraId="70935591">
            <w:pPr>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图形</w:t>
            </w:r>
            <w:r>
              <w:rPr>
                <w:rFonts w:hint="eastAsia" w:ascii="宋体" w:hAnsi="宋体" w:eastAsia="宋体" w:cs="Times New Roman"/>
                <w:color w:val="auto"/>
                <w:sz w:val="21"/>
                <w:szCs w:val="21"/>
              </w:rPr>
              <w:t>与几何”教材分析与</w:t>
            </w:r>
            <w:r>
              <w:rPr>
                <w:rFonts w:ascii="宋体" w:hAnsi="宋体" w:eastAsia="宋体" w:cs="Times New Roman"/>
                <w:color w:val="auto"/>
                <w:sz w:val="21"/>
                <w:szCs w:val="21"/>
              </w:rPr>
              <w:t>教学设计</w:t>
            </w:r>
            <w:r>
              <w:rPr>
                <w:rFonts w:hint="eastAsia" w:ascii="宋体" w:hAnsi="宋体" w:eastAsia="宋体" w:cs="Times New Roman"/>
                <w:color w:val="auto"/>
                <w:sz w:val="21"/>
                <w:szCs w:val="21"/>
              </w:rPr>
              <w:t>（5学时）</w:t>
            </w:r>
          </w:p>
        </w:tc>
        <w:tc>
          <w:tcPr>
            <w:tcW w:w="3436" w:type="dxa"/>
            <w:vAlign w:val="center"/>
          </w:tcPr>
          <w:p w14:paraId="5F46A205">
            <w:pPr>
              <w:rPr>
                <w:rFonts w:hint="eastAsia" w:ascii="宋体" w:hAnsi="宋体" w:eastAsia="宋体" w:cs="Times New Roman"/>
                <w:color w:val="auto"/>
                <w:sz w:val="21"/>
                <w:szCs w:val="21"/>
              </w:rPr>
            </w:pPr>
            <w:r>
              <w:rPr>
                <w:rFonts w:hint="eastAsia" w:ascii="宋体" w:hAnsi="宋体" w:eastAsia="宋体" w:cs="Times New Roman"/>
                <w:color w:val="auto"/>
                <w:sz w:val="21"/>
                <w:szCs w:val="21"/>
              </w:rPr>
              <w:t>选择两个单元“图形与几何”领域的内容，深入钻研教材，依据数学课程标准要求，撰写2</w:t>
            </w:r>
            <w:r>
              <w:rPr>
                <w:rFonts w:ascii="宋体" w:hAnsi="宋体" w:eastAsia="宋体" w:cs="Times New Roman"/>
                <w:color w:val="auto"/>
                <w:sz w:val="21"/>
                <w:szCs w:val="21"/>
              </w:rPr>
              <w:t>份教材分析</w:t>
            </w:r>
            <w:r>
              <w:rPr>
                <w:rFonts w:hint="eastAsia" w:ascii="宋体" w:hAnsi="宋体" w:eastAsia="宋体" w:cs="Times New Roman"/>
                <w:color w:val="auto"/>
                <w:sz w:val="21"/>
                <w:szCs w:val="21"/>
              </w:rPr>
              <w:t>报告</w:t>
            </w:r>
            <w:r>
              <w:rPr>
                <w:rFonts w:ascii="宋体" w:hAnsi="宋体" w:eastAsia="宋体" w:cs="Times New Roman"/>
                <w:color w:val="auto"/>
                <w:sz w:val="21"/>
                <w:szCs w:val="21"/>
              </w:rPr>
              <w:t>，并设计</w:t>
            </w:r>
            <w:r>
              <w:rPr>
                <w:rFonts w:hint="eastAsia" w:ascii="宋体" w:hAnsi="宋体" w:eastAsia="宋体" w:cs="Times New Roman"/>
                <w:color w:val="auto"/>
                <w:sz w:val="21"/>
                <w:szCs w:val="21"/>
              </w:rPr>
              <w:t>1份</w:t>
            </w:r>
            <w:r>
              <w:rPr>
                <w:rFonts w:ascii="宋体" w:hAnsi="宋体" w:eastAsia="宋体" w:cs="Times New Roman"/>
                <w:color w:val="auto"/>
                <w:sz w:val="21"/>
                <w:szCs w:val="21"/>
              </w:rPr>
              <w:t>教学方案。</w:t>
            </w:r>
          </w:p>
        </w:tc>
        <w:tc>
          <w:tcPr>
            <w:tcW w:w="700" w:type="dxa"/>
            <w:vAlign w:val="center"/>
          </w:tcPr>
          <w:p w14:paraId="33C28DE2">
            <w:pPr>
              <w:spacing w:line="276"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交流</w:t>
            </w:r>
          </w:p>
          <w:p w14:paraId="49C9D870">
            <w:pPr>
              <w:spacing w:line="276"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设计</w:t>
            </w:r>
          </w:p>
        </w:tc>
        <w:tc>
          <w:tcPr>
            <w:tcW w:w="2970" w:type="dxa"/>
            <w:vAlign w:val="center"/>
          </w:tcPr>
          <w:p w14:paraId="5F812983">
            <w:pPr>
              <w:rPr>
                <w:rFonts w:hint="eastAsia" w:ascii="宋体" w:hAnsi="宋体" w:eastAsia="宋体" w:cs="Times New Roman"/>
                <w:color w:val="auto"/>
                <w:sz w:val="21"/>
                <w:szCs w:val="21"/>
              </w:rPr>
            </w:pPr>
            <w:r>
              <w:rPr>
                <w:rFonts w:ascii="宋体" w:hAnsi="宋体" w:eastAsia="宋体" w:cs="Times New Roman"/>
                <w:color w:val="auto"/>
                <w:sz w:val="21"/>
                <w:szCs w:val="21"/>
              </w:rPr>
              <w:t>了解“图形与几何”教学内容中蕴含的数学思想与文化，增强文化自信</w:t>
            </w:r>
            <w:r>
              <w:rPr>
                <w:rFonts w:hint="eastAsia" w:ascii="宋体" w:hAnsi="宋体" w:eastAsia="宋体" w:cs="Times New Roman"/>
                <w:color w:val="auto"/>
                <w:sz w:val="21"/>
                <w:szCs w:val="21"/>
              </w:rPr>
              <w:t>。</w:t>
            </w:r>
          </w:p>
        </w:tc>
      </w:tr>
      <w:tr w14:paraId="1419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413" w:type="dxa"/>
            <w:vAlign w:val="center"/>
          </w:tcPr>
          <w:p w14:paraId="3783C601">
            <w:pPr>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统计与概率</w:t>
            </w:r>
            <w:r>
              <w:rPr>
                <w:rFonts w:hint="eastAsia" w:ascii="宋体" w:hAnsi="宋体" w:eastAsia="宋体" w:cs="Times New Roman"/>
                <w:color w:val="auto"/>
                <w:sz w:val="21"/>
                <w:szCs w:val="21"/>
              </w:rPr>
              <w:t>”教材分析与</w:t>
            </w:r>
            <w:r>
              <w:rPr>
                <w:rFonts w:ascii="宋体" w:hAnsi="宋体" w:eastAsia="宋体" w:cs="Times New Roman"/>
                <w:color w:val="auto"/>
                <w:sz w:val="21"/>
                <w:szCs w:val="21"/>
              </w:rPr>
              <w:t>教学设计</w:t>
            </w:r>
            <w:r>
              <w:rPr>
                <w:rFonts w:hint="eastAsia" w:ascii="宋体" w:hAnsi="宋体" w:eastAsia="宋体" w:cs="Times New Roman"/>
                <w:color w:val="auto"/>
                <w:sz w:val="21"/>
                <w:szCs w:val="21"/>
              </w:rPr>
              <w:t>（3学时）</w:t>
            </w:r>
          </w:p>
        </w:tc>
        <w:tc>
          <w:tcPr>
            <w:tcW w:w="3436" w:type="dxa"/>
            <w:vAlign w:val="center"/>
          </w:tcPr>
          <w:p w14:paraId="554FE0DD">
            <w:pPr>
              <w:rPr>
                <w:rFonts w:hint="eastAsia" w:ascii="宋体" w:hAnsi="宋体" w:eastAsia="宋体" w:cs="Times New Roman"/>
                <w:color w:val="auto"/>
                <w:sz w:val="21"/>
                <w:szCs w:val="21"/>
              </w:rPr>
            </w:pPr>
            <w:r>
              <w:rPr>
                <w:rFonts w:hint="eastAsia" w:ascii="宋体" w:hAnsi="宋体" w:eastAsia="宋体" w:cs="Times New Roman"/>
                <w:color w:val="auto"/>
                <w:sz w:val="21"/>
                <w:szCs w:val="21"/>
              </w:rPr>
              <w:t>选择一个单元“统计与概率”领域的内容，深入钻研教材，依据数学课程标准要求，撰写1</w:t>
            </w:r>
            <w:r>
              <w:rPr>
                <w:rFonts w:ascii="宋体" w:hAnsi="宋体" w:eastAsia="宋体" w:cs="Times New Roman"/>
                <w:color w:val="auto"/>
                <w:sz w:val="21"/>
                <w:szCs w:val="21"/>
              </w:rPr>
              <w:t>份教材分析</w:t>
            </w:r>
            <w:r>
              <w:rPr>
                <w:rFonts w:hint="eastAsia" w:ascii="宋体" w:hAnsi="宋体" w:eastAsia="宋体" w:cs="Times New Roman"/>
                <w:color w:val="auto"/>
                <w:sz w:val="21"/>
                <w:szCs w:val="21"/>
              </w:rPr>
              <w:t>报告</w:t>
            </w:r>
            <w:r>
              <w:rPr>
                <w:rFonts w:ascii="宋体" w:hAnsi="宋体" w:eastAsia="宋体" w:cs="Times New Roman"/>
                <w:color w:val="auto"/>
                <w:sz w:val="21"/>
                <w:szCs w:val="21"/>
              </w:rPr>
              <w:t>，并设计</w:t>
            </w:r>
            <w:r>
              <w:rPr>
                <w:rFonts w:hint="eastAsia" w:ascii="宋体" w:hAnsi="宋体" w:eastAsia="宋体" w:cs="Times New Roman"/>
                <w:color w:val="auto"/>
                <w:sz w:val="21"/>
                <w:szCs w:val="21"/>
              </w:rPr>
              <w:t>1份</w:t>
            </w:r>
            <w:r>
              <w:rPr>
                <w:rFonts w:ascii="宋体" w:hAnsi="宋体" w:eastAsia="宋体" w:cs="Times New Roman"/>
                <w:color w:val="auto"/>
                <w:sz w:val="21"/>
                <w:szCs w:val="21"/>
              </w:rPr>
              <w:t>教学方案。</w:t>
            </w:r>
          </w:p>
        </w:tc>
        <w:tc>
          <w:tcPr>
            <w:tcW w:w="700" w:type="dxa"/>
            <w:vAlign w:val="center"/>
          </w:tcPr>
          <w:p w14:paraId="74726994">
            <w:pPr>
              <w:spacing w:line="276"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交流</w:t>
            </w:r>
          </w:p>
          <w:p w14:paraId="64495729">
            <w:pPr>
              <w:spacing w:line="276"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设计</w:t>
            </w:r>
          </w:p>
        </w:tc>
        <w:tc>
          <w:tcPr>
            <w:tcW w:w="2970" w:type="dxa"/>
            <w:vAlign w:val="center"/>
          </w:tcPr>
          <w:p w14:paraId="6CA1BE99">
            <w:pPr>
              <w:spacing w:line="276" w:lineRule="auto"/>
              <w:rPr>
                <w:rFonts w:hint="eastAsia" w:ascii="宋体" w:hAnsi="宋体" w:eastAsia="宋体" w:cs="宋体"/>
                <w:color w:val="auto"/>
                <w:sz w:val="21"/>
                <w:szCs w:val="21"/>
              </w:rPr>
            </w:pPr>
            <w:r>
              <w:rPr>
                <w:rFonts w:ascii="宋体" w:hAnsi="宋体" w:eastAsia="宋体" w:cs="宋体"/>
                <w:color w:val="auto"/>
                <w:sz w:val="21"/>
                <w:szCs w:val="21"/>
              </w:rPr>
              <w:t>了解“统计与概率”教学内容中蕴含的数学思想与文化，</w:t>
            </w:r>
            <w:r>
              <w:rPr>
                <w:rFonts w:hint="eastAsia" w:ascii="宋体" w:hAnsi="宋体" w:eastAsia="宋体" w:cs="Times New Roman"/>
                <w:color w:val="auto"/>
                <w:sz w:val="21"/>
                <w:szCs w:val="21"/>
              </w:rPr>
              <w:t>养成数据分析的观念</w:t>
            </w:r>
            <w:r>
              <w:rPr>
                <w:rFonts w:ascii="宋体" w:hAnsi="宋体" w:eastAsia="宋体" w:cs="Times New Roman"/>
                <w:color w:val="auto"/>
                <w:sz w:val="21"/>
                <w:szCs w:val="21"/>
              </w:rPr>
              <w:t>。</w:t>
            </w:r>
          </w:p>
        </w:tc>
      </w:tr>
      <w:tr w14:paraId="6E8F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413" w:type="dxa"/>
            <w:vAlign w:val="center"/>
          </w:tcPr>
          <w:p w14:paraId="3DCD8FD7">
            <w:pPr>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综合</w:t>
            </w:r>
            <w:r>
              <w:rPr>
                <w:rFonts w:hint="eastAsia" w:ascii="宋体" w:hAnsi="宋体" w:eastAsia="宋体" w:cs="Times New Roman"/>
                <w:color w:val="auto"/>
                <w:sz w:val="21"/>
                <w:szCs w:val="21"/>
              </w:rPr>
              <w:t>与实践”教材分析与</w:t>
            </w:r>
            <w:r>
              <w:rPr>
                <w:rFonts w:ascii="宋体" w:hAnsi="宋体" w:eastAsia="宋体" w:cs="Times New Roman"/>
                <w:color w:val="auto"/>
                <w:sz w:val="21"/>
                <w:szCs w:val="21"/>
              </w:rPr>
              <w:t>教学</w:t>
            </w:r>
            <w:r>
              <w:rPr>
                <w:rFonts w:hint="eastAsia" w:ascii="宋体" w:hAnsi="宋体" w:eastAsia="宋体" w:cs="Times New Roman"/>
                <w:color w:val="auto"/>
                <w:sz w:val="21"/>
                <w:szCs w:val="21"/>
              </w:rPr>
              <w:t>设计（3学时）</w:t>
            </w:r>
          </w:p>
        </w:tc>
        <w:tc>
          <w:tcPr>
            <w:tcW w:w="3436" w:type="dxa"/>
            <w:vAlign w:val="center"/>
          </w:tcPr>
          <w:p w14:paraId="1213FFC7">
            <w:pPr>
              <w:rPr>
                <w:rFonts w:hint="eastAsia" w:ascii="宋体" w:hAnsi="宋体" w:eastAsia="宋体" w:cs="Times New Roman"/>
                <w:color w:val="auto"/>
                <w:sz w:val="21"/>
                <w:szCs w:val="21"/>
              </w:rPr>
            </w:pPr>
            <w:r>
              <w:rPr>
                <w:rFonts w:hint="eastAsia" w:ascii="宋体" w:hAnsi="宋体" w:eastAsia="宋体" w:cs="Times New Roman"/>
                <w:color w:val="auto"/>
                <w:sz w:val="21"/>
                <w:szCs w:val="21"/>
              </w:rPr>
              <w:t>选择一个单元“综合与实践”领域的内容，深入钻研教材，依据数学课程标准要求，撰写1</w:t>
            </w:r>
            <w:r>
              <w:rPr>
                <w:rFonts w:ascii="宋体" w:hAnsi="宋体" w:eastAsia="宋体" w:cs="Times New Roman"/>
                <w:color w:val="auto"/>
                <w:sz w:val="21"/>
                <w:szCs w:val="21"/>
              </w:rPr>
              <w:t>份教材分析</w:t>
            </w:r>
            <w:r>
              <w:rPr>
                <w:rFonts w:hint="eastAsia" w:ascii="宋体" w:hAnsi="宋体" w:eastAsia="宋体" w:cs="Times New Roman"/>
                <w:color w:val="auto"/>
                <w:sz w:val="21"/>
                <w:szCs w:val="21"/>
              </w:rPr>
              <w:t>报告</w:t>
            </w:r>
            <w:r>
              <w:rPr>
                <w:rFonts w:ascii="宋体" w:hAnsi="宋体" w:eastAsia="宋体" w:cs="Times New Roman"/>
                <w:color w:val="auto"/>
                <w:sz w:val="21"/>
                <w:szCs w:val="21"/>
              </w:rPr>
              <w:t>，并设计</w:t>
            </w:r>
            <w:r>
              <w:rPr>
                <w:rFonts w:hint="eastAsia" w:ascii="宋体" w:hAnsi="宋体" w:eastAsia="宋体" w:cs="Times New Roman"/>
                <w:color w:val="auto"/>
                <w:sz w:val="21"/>
                <w:szCs w:val="21"/>
              </w:rPr>
              <w:t>1份</w:t>
            </w:r>
            <w:r>
              <w:rPr>
                <w:rFonts w:ascii="宋体" w:hAnsi="宋体" w:eastAsia="宋体" w:cs="Times New Roman"/>
                <w:color w:val="auto"/>
                <w:sz w:val="21"/>
                <w:szCs w:val="21"/>
              </w:rPr>
              <w:t>教学方案。</w:t>
            </w:r>
          </w:p>
        </w:tc>
        <w:tc>
          <w:tcPr>
            <w:tcW w:w="700" w:type="dxa"/>
            <w:vAlign w:val="center"/>
          </w:tcPr>
          <w:p w14:paraId="24483283">
            <w:pPr>
              <w:spacing w:line="276"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交流</w:t>
            </w:r>
          </w:p>
          <w:p w14:paraId="00C68E6E">
            <w:pPr>
              <w:spacing w:line="276"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设计</w:t>
            </w:r>
          </w:p>
        </w:tc>
        <w:tc>
          <w:tcPr>
            <w:tcW w:w="2970" w:type="dxa"/>
            <w:vAlign w:val="center"/>
          </w:tcPr>
          <w:p w14:paraId="5C52C656">
            <w:pPr>
              <w:spacing w:line="276" w:lineRule="auto"/>
              <w:rPr>
                <w:rFonts w:hint="eastAsia" w:ascii="宋体" w:hAnsi="宋体" w:eastAsia="宋体" w:cs="宋体"/>
                <w:color w:val="auto"/>
                <w:sz w:val="21"/>
                <w:szCs w:val="21"/>
              </w:rPr>
            </w:pPr>
            <w:r>
              <w:rPr>
                <w:rFonts w:ascii="宋体" w:hAnsi="宋体" w:eastAsia="宋体" w:cs="宋体"/>
                <w:color w:val="auto"/>
                <w:sz w:val="21"/>
                <w:szCs w:val="21"/>
              </w:rPr>
              <w:t>了解“综合与实践”教学内容中蕴含的数学思想与文化，</w:t>
            </w:r>
            <w:r>
              <w:rPr>
                <w:rFonts w:hint="eastAsia" w:ascii="宋体" w:hAnsi="宋体" w:eastAsia="宋体" w:cs="宋体"/>
                <w:color w:val="auto"/>
                <w:sz w:val="21"/>
                <w:szCs w:val="21"/>
              </w:rPr>
              <w:t>在实践过程养成创新的态度和习惯。</w:t>
            </w:r>
          </w:p>
        </w:tc>
      </w:tr>
    </w:tbl>
    <w:p w14:paraId="72A62595">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六、有关说明</w:t>
      </w:r>
    </w:p>
    <w:p w14:paraId="6AFCB093">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7B0EE385">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本课程根据学生作业、课堂讨论、实践环节和学生、教学督导等的反馈，及时对教学中的不足之处进行改进，并在下一轮课程教学中整改完善，确保相应毕业要求指标点达成。</w:t>
      </w:r>
    </w:p>
    <w:p w14:paraId="535369D2">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420F7D0C">
      <w:pPr>
        <w:spacing w:line="360" w:lineRule="auto"/>
        <w:ind w:firstLine="420" w:firstLineChars="200"/>
        <w:jc w:val="left"/>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马云鹏，王艳玲</w:t>
      </w:r>
      <w:r>
        <w:rPr>
          <w:rFonts w:ascii="Times New Roman" w:hAnsi="Times New Roman" w:eastAsia="宋体" w:cs="Times New Roman"/>
          <w:bCs/>
          <w:color w:val="auto"/>
          <w:szCs w:val="21"/>
        </w:rPr>
        <w:t>.小学数学课程标准与教材研究</w:t>
      </w:r>
      <w:r>
        <w:rPr>
          <w:rFonts w:hint="eastAsia" w:ascii="Times New Roman" w:hAnsi="Times New Roman" w:eastAsia="宋体" w:cs="Times New Roman"/>
          <w:bCs/>
          <w:color w:val="auto"/>
          <w:szCs w:val="21"/>
        </w:rPr>
        <w:t>（第二版）</w:t>
      </w:r>
      <w:r>
        <w:rPr>
          <w:rFonts w:ascii="Times New Roman" w:hAnsi="Times New Roman" w:eastAsia="宋体" w:cs="Times New Roman"/>
          <w:bCs/>
          <w:color w:val="auto"/>
          <w:szCs w:val="21"/>
        </w:rPr>
        <w:t>.北京：高等教育出版社，2023.</w:t>
      </w:r>
    </w:p>
    <w:p w14:paraId="673D1471">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2D462026">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rPr>
        <w:t>教育部</w:t>
      </w:r>
      <w:r>
        <w:rPr>
          <w:rFonts w:ascii="Times New Roman" w:hAnsi="Times New Roman" w:eastAsia="宋体" w:cs="Times New Roman"/>
          <w:bCs/>
          <w:color w:val="auto"/>
          <w:szCs w:val="21"/>
        </w:rPr>
        <w:t>.义务教育数学课程标准（2022年版）.北京：北京师范大学大学出版社</w:t>
      </w:r>
      <w:r>
        <w:rPr>
          <w:rFonts w:hint="eastAsia" w:ascii="Times New Roman" w:hAnsi="Times New Roman" w:eastAsia="宋体" w:cs="Times New Roman"/>
          <w:bCs/>
          <w:color w:val="auto"/>
          <w:szCs w:val="21"/>
        </w:rPr>
        <w:t>，</w:t>
      </w:r>
      <w:r>
        <w:rPr>
          <w:rFonts w:ascii="Times New Roman" w:hAnsi="Times New Roman" w:eastAsia="宋体" w:cs="Times New Roman"/>
          <w:bCs/>
          <w:color w:val="auto"/>
          <w:szCs w:val="21"/>
        </w:rPr>
        <w:t>2022.</w:t>
      </w:r>
    </w:p>
    <w:p w14:paraId="764C1743">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rPr>
        <w:t>教育部</w:t>
      </w:r>
      <w:r>
        <w:rPr>
          <w:rFonts w:ascii="Times New Roman" w:hAnsi="Times New Roman" w:eastAsia="宋体" w:cs="Times New Roman"/>
          <w:bCs/>
          <w:color w:val="auto"/>
          <w:szCs w:val="21"/>
        </w:rPr>
        <w:t>.义务教育数学课程标准（2011年版）.北京：北京师范大学大学出版社</w:t>
      </w:r>
      <w:r>
        <w:rPr>
          <w:rFonts w:hint="eastAsia" w:ascii="Times New Roman" w:hAnsi="Times New Roman" w:eastAsia="宋体" w:cs="Times New Roman"/>
          <w:bCs/>
          <w:color w:val="auto"/>
          <w:szCs w:val="21"/>
        </w:rPr>
        <w:t>，</w:t>
      </w:r>
      <w:r>
        <w:rPr>
          <w:rFonts w:ascii="Times New Roman" w:hAnsi="Times New Roman" w:eastAsia="宋体" w:cs="Times New Roman"/>
          <w:bCs/>
          <w:color w:val="auto"/>
          <w:szCs w:val="21"/>
        </w:rPr>
        <w:t>2012.</w:t>
      </w:r>
    </w:p>
    <w:p w14:paraId="60254DCA">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rPr>
        <w:t>乔桂香.</w:t>
      </w:r>
      <w:r>
        <w:rPr>
          <w:rFonts w:ascii="Times New Roman" w:hAnsi="Times New Roman" w:eastAsia="宋体" w:cs="Times New Roman"/>
          <w:bCs/>
          <w:color w:val="auto"/>
          <w:szCs w:val="21"/>
        </w:rPr>
        <w:t>小学数学课程标准与教材研究</w:t>
      </w:r>
      <w:r>
        <w:rPr>
          <w:rFonts w:hint="eastAsia" w:ascii="Times New Roman" w:hAnsi="Times New Roman" w:eastAsia="宋体" w:cs="Times New Roman"/>
          <w:bCs/>
          <w:color w:val="auto"/>
          <w:szCs w:val="21"/>
        </w:rPr>
        <w:t>.上海：上海交通大学出版社，2</w:t>
      </w:r>
      <w:r>
        <w:rPr>
          <w:rFonts w:ascii="Times New Roman" w:hAnsi="Times New Roman" w:eastAsia="宋体" w:cs="Times New Roman"/>
          <w:bCs/>
          <w:color w:val="auto"/>
          <w:szCs w:val="21"/>
        </w:rPr>
        <w:t>023</w:t>
      </w:r>
      <w:r>
        <w:rPr>
          <w:rFonts w:hint="eastAsia" w:ascii="Times New Roman" w:hAnsi="Times New Roman" w:eastAsia="宋体" w:cs="Times New Roman"/>
          <w:bCs/>
          <w:color w:val="auto"/>
          <w:szCs w:val="21"/>
        </w:rPr>
        <w:t>.</w:t>
      </w:r>
    </w:p>
    <w:p w14:paraId="12262051">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rPr>
        <w:t>马云鹏</w:t>
      </w:r>
      <w:r>
        <w:rPr>
          <w:rFonts w:ascii="Times New Roman" w:hAnsi="Times New Roman" w:eastAsia="宋体" w:cs="Times New Roman"/>
          <w:bCs/>
          <w:color w:val="auto"/>
          <w:szCs w:val="21"/>
        </w:rPr>
        <w:t>.小学数学教学论（第四版）.北京：人民教育出版社，2013.</w:t>
      </w:r>
    </w:p>
    <w:p w14:paraId="5BB28669">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rPr>
        <w:t>周淑红</w:t>
      </w:r>
      <w:r>
        <w:rPr>
          <w:rFonts w:ascii="Times New Roman" w:hAnsi="Times New Roman" w:eastAsia="宋体" w:cs="Times New Roman"/>
          <w:bCs/>
          <w:color w:val="auto"/>
          <w:szCs w:val="21"/>
        </w:rPr>
        <w:t>.小学数学课程与教学.北京：教育科学出版社，2013.</w:t>
      </w:r>
    </w:p>
    <w:p w14:paraId="6ADB52D1">
      <w:pPr>
        <w:rPr>
          <w:color w:val="auto"/>
        </w:rPr>
      </w:pPr>
    </w:p>
    <w:p w14:paraId="6EED1EAA">
      <w:pPr>
        <w:keepNext w:val="0"/>
        <w:keepLines w:val="0"/>
        <w:pageBreakBefore w:val="0"/>
        <w:widowControl w:val="0"/>
        <w:kinsoku/>
        <w:overflowPunct/>
        <w:topLinePunct w:val="0"/>
        <w:autoSpaceDE/>
        <w:autoSpaceDN/>
        <w:bidi w:val="0"/>
        <w:adjustRightInd/>
        <w:snapToGrid/>
        <w:spacing w:line="360" w:lineRule="auto"/>
        <w:ind w:right="0" w:firstLine="0" w:firstLineChars="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执 笔 人：谢国忠</w:t>
      </w:r>
    </w:p>
    <w:p w14:paraId="19BE5AA5">
      <w:pPr>
        <w:keepNext w:val="0"/>
        <w:keepLines w:val="0"/>
        <w:pageBreakBefore w:val="0"/>
        <w:widowControl w:val="0"/>
        <w:kinsoku/>
        <w:wordWrap w:val="0"/>
        <w:overflowPunct/>
        <w:topLinePunct w:val="0"/>
        <w:autoSpaceDE/>
        <w:autoSpaceDN/>
        <w:bidi w:val="0"/>
        <w:adjustRightInd/>
        <w:snapToGrid/>
        <w:spacing w:line="360" w:lineRule="auto"/>
        <w:ind w:right="0" w:firstLine="0" w:firstLineChars="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 定 人：王</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 xml:space="preserve"> 健</w:t>
      </w:r>
    </w:p>
    <w:p w14:paraId="36A81B39">
      <w:pPr>
        <w:keepNext w:val="0"/>
        <w:keepLines w:val="0"/>
        <w:pageBreakBefore w:val="0"/>
        <w:widowControl w:val="0"/>
        <w:kinsoku/>
        <w:overflowPunct/>
        <w:topLinePunct w:val="0"/>
        <w:autoSpaceDE/>
        <w:autoSpaceDN/>
        <w:bidi w:val="0"/>
        <w:adjustRightInd/>
        <w:snapToGrid/>
        <w:spacing w:line="360" w:lineRule="auto"/>
        <w:ind w:right="0" w:firstLine="0" w:firstLineChars="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 批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张志欣</w:t>
      </w:r>
    </w:p>
    <w:p w14:paraId="1D6EFC61">
      <w:pPr>
        <w:keepNext w:val="0"/>
        <w:keepLines w:val="0"/>
        <w:pageBreakBefore w:val="0"/>
        <w:widowControl w:val="0"/>
        <w:kinsoku/>
        <w:overflowPunct/>
        <w:topLinePunct w:val="0"/>
        <w:autoSpaceDE/>
        <w:autoSpaceDN/>
        <w:bidi w:val="0"/>
        <w:adjustRightInd/>
        <w:snapToGrid/>
        <w:spacing w:line="360" w:lineRule="auto"/>
        <w:ind w:right="0" w:firstLine="0" w:firstLineChars="0"/>
        <w:jc w:val="right"/>
        <w:textAlignment w:val="auto"/>
        <w:rPr>
          <w:rFonts w:hint="eastAsia" w:ascii="Times New Roman" w:hAnsi="Times New Roman" w:eastAsia="宋体" w:cs="Times New Roman"/>
          <w:color w:val="auto"/>
          <w:kern w:val="0"/>
          <w:sz w:val="24"/>
          <w:szCs w:val="21"/>
          <w:lang w:eastAsia="zh-CN"/>
        </w:rPr>
      </w:pPr>
      <w:r>
        <w:rPr>
          <w:rFonts w:hint="eastAsia" w:ascii="Times New Roman" w:hAnsi="Times New Roman" w:eastAsia="宋体" w:cs="Times New Roman"/>
          <w:color w:val="auto"/>
          <w:sz w:val="21"/>
          <w:szCs w:val="21"/>
          <w:lang w:eastAsia="zh-CN"/>
        </w:rPr>
        <w:t>批准时间：2025年7月1日</w:t>
      </w:r>
    </w:p>
    <w:p w14:paraId="45D4E0EA">
      <w:pPr>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12C55C62">
      <w:pPr>
        <w:spacing w:line="360" w:lineRule="auto"/>
        <w:jc w:val="center"/>
        <w:outlineLvl w:val="0"/>
        <w:rPr>
          <w:rFonts w:hint="eastAsia" w:ascii="Times New Roman" w:hAnsi="Times New Roman" w:eastAsia="宋体" w:cs="Times New Roman"/>
          <w:b/>
          <w:color w:val="auto"/>
          <w:sz w:val="44"/>
          <w:szCs w:val="44"/>
        </w:rPr>
      </w:pPr>
      <w:bookmarkStart w:id="385" w:name="_Toc31463"/>
      <w:bookmarkStart w:id="386" w:name="_Toc29136"/>
      <w:r>
        <w:rPr>
          <w:rFonts w:hint="eastAsia" w:ascii="Times New Roman" w:hAnsi="Times New Roman" w:eastAsia="宋体" w:cs="Times New Roman"/>
          <w:b/>
          <w:color w:val="auto"/>
          <w:sz w:val="44"/>
          <w:szCs w:val="44"/>
        </w:rPr>
        <w:t>《小学数学教学设计与实施》课程教学大纲</w:t>
      </w:r>
      <w:bookmarkEnd w:id="385"/>
      <w:bookmarkEnd w:id="386"/>
    </w:p>
    <w:p w14:paraId="3875DA3E">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（Design and Implementation of Mathematics teaching in Primary School）</w:t>
      </w:r>
    </w:p>
    <w:p w14:paraId="1C4250AC">
      <w:pPr>
        <w:spacing w:line="360" w:lineRule="auto"/>
        <w:jc w:val="center"/>
        <w:rPr>
          <w:rFonts w:ascii="Times New Roman" w:hAnsi="Times New Roman" w:eastAsia="宋体" w:cs="Times New Roman"/>
          <w:bCs/>
          <w:color w:val="auto"/>
          <w:sz w:val="21"/>
          <w:szCs w:val="21"/>
        </w:rPr>
      </w:pPr>
    </w:p>
    <w:p w14:paraId="371D8949">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课程名称：小学数学教学设计与实施</w:t>
      </w:r>
    </w:p>
    <w:p w14:paraId="03289535">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w:t>
      </w:r>
      <w:r>
        <w:rPr>
          <w:rFonts w:ascii="Times New Roman" w:hAnsi="Times New Roman" w:eastAsia="宋体" w:cs="Times New Roman"/>
          <w:b/>
          <w:color w:val="auto"/>
          <w:sz w:val="24"/>
          <w:szCs w:val="24"/>
        </w:rPr>
        <w:t>240102</w:t>
      </w:r>
      <w:r>
        <w:rPr>
          <w:rFonts w:hint="eastAsia" w:ascii="Times New Roman" w:hAnsi="Times New Roman" w:eastAsia="宋体" w:cs="Times New Roman"/>
          <w:b/>
          <w:color w:val="auto"/>
          <w:sz w:val="24"/>
          <w:szCs w:val="24"/>
        </w:rPr>
        <w:t>7</w:t>
      </w:r>
    </w:p>
    <w:p w14:paraId="46F0C402">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w:t>
      </w:r>
      <w:r>
        <w:rPr>
          <w:rFonts w:ascii="Times New Roman" w:hAnsi="Times New Roman" w:eastAsia="宋体" w:cs="Times New Roman"/>
          <w:b/>
          <w:color w:val="auto"/>
          <w:sz w:val="24"/>
          <w:szCs w:val="24"/>
        </w:rPr>
        <w:t xml:space="preserve">    分：3</w:t>
      </w:r>
    </w:p>
    <w:p w14:paraId="1D9C4B96">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w:t>
      </w:r>
      <w:r>
        <w:rPr>
          <w:rFonts w:ascii="Times New Roman" w:hAnsi="Times New Roman" w:eastAsia="宋体" w:cs="Times New Roman"/>
          <w:b/>
          <w:color w:val="auto"/>
          <w:sz w:val="24"/>
          <w:szCs w:val="24"/>
        </w:rPr>
        <w:t xml:space="preserve">    时：48 （其中：讲授学时32， 实践学时16）</w:t>
      </w:r>
    </w:p>
    <w:p w14:paraId="100C6F38">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先修课程：小学心理学、教育原理、教育心理学、课程与教学论、初等数论、小学数学课程标准与教材分析</w:t>
      </w:r>
    </w:p>
    <w:p w14:paraId="481373E3">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适用专业：小学教育（理）</w:t>
      </w:r>
    </w:p>
    <w:p w14:paraId="2EE6828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2"/>
          <w:szCs w:val="22"/>
        </w:rPr>
      </w:pPr>
      <w:r>
        <w:rPr>
          <w:rFonts w:hint="eastAsia" w:ascii="Times New Roman" w:hAnsi="Times New Roman" w:eastAsia="宋体" w:cs="Times New Roman"/>
          <w:b/>
          <w:color w:val="auto"/>
          <w:sz w:val="24"/>
        </w:rPr>
        <w:t>一、课程简介</w:t>
      </w:r>
    </w:p>
    <w:p w14:paraId="5C2A4A3C">
      <w:pPr>
        <w:spacing w:line="360" w:lineRule="auto"/>
        <w:ind w:firstLine="420" w:firstLineChars="200"/>
        <w:jc w:val="left"/>
        <w:rPr>
          <w:rFonts w:hint="eastAsia" w:ascii="宋体" w:hAnsi="宋体" w:eastAsia="宋体" w:cs="Times New Roman"/>
          <w:b/>
          <w:color w:val="auto"/>
          <w:szCs w:val="21"/>
        </w:rPr>
      </w:pPr>
      <w:r>
        <w:rPr>
          <w:rFonts w:hint="eastAsia" w:ascii="Times New Roman" w:hAnsi="Times New Roman" w:eastAsia="宋体" w:cs="Times New Roman"/>
          <w:color w:val="auto"/>
          <w:szCs w:val="21"/>
        </w:rPr>
        <w:t>本课程是小学教育专业的一门专业必修课程。通过本门课程学习，学生能够理解小学数学教学设计的基本理论，掌握小学数学教学设计的一般流程，能够依据小学数学课程的基本理念独立开展小学数学教学设计，并能将教学方案付诸实施，能根据实际教学情况不断调整教学方案，具有较强的研究与反思能力，能在实践中不断提升自己的教学实践能力。</w:t>
      </w:r>
    </w:p>
    <w:p w14:paraId="5D6ECDC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二、课程目标</w:t>
      </w:r>
    </w:p>
    <w:p w14:paraId="7ED9B118">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006BE972">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w:t>
      </w:r>
      <w:r>
        <w:rPr>
          <w:rFonts w:ascii="Times New Roman" w:hAnsi="Times New Roman" w:eastAsia="宋体" w:cs="Times New Roman"/>
          <w:color w:val="auto"/>
          <w:szCs w:val="21"/>
        </w:rPr>
        <w:t>1.</w:t>
      </w:r>
      <w:r>
        <w:rPr>
          <w:rFonts w:hint="eastAsia" w:ascii="Times New Roman" w:hAnsi="Times New Roman" w:eastAsia="宋体" w:cs="Times New Roman"/>
          <w:color w:val="auto"/>
          <w:szCs w:val="21"/>
        </w:rPr>
        <w:t>理解</w:t>
      </w:r>
      <w:r>
        <w:rPr>
          <w:rFonts w:ascii="Times New Roman" w:hAnsi="Times New Roman" w:eastAsia="宋体" w:cs="Times New Roman"/>
          <w:color w:val="auto"/>
          <w:szCs w:val="21"/>
        </w:rPr>
        <w:t>小学数学教学设计的</w:t>
      </w:r>
      <w:r>
        <w:rPr>
          <w:rFonts w:hint="eastAsia" w:ascii="Times New Roman" w:hAnsi="Times New Roman" w:eastAsia="宋体" w:cs="Times New Roman"/>
          <w:color w:val="auto"/>
          <w:szCs w:val="21"/>
        </w:rPr>
        <w:t>概念</w:t>
      </w:r>
      <w:r>
        <w:rPr>
          <w:rFonts w:ascii="Times New Roman" w:hAnsi="Times New Roman" w:eastAsia="宋体" w:cs="Times New Roman"/>
          <w:color w:val="auto"/>
          <w:szCs w:val="21"/>
        </w:rPr>
        <w:t>和核心理念，能够进行小学生</w:t>
      </w:r>
      <w:r>
        <w:rPr>
          <w:rFonts w:hint="eastAsia" w:ascii="Times New Roman" w:hAnsi="Times New Roman" w:eastAsia="宋体" w:cs="Times New Roman"/>
          <w:color w:val="auto"/>
          <w:szCs w:val="21"/>
        </w:rPr>
        <w:t>学习</w:t>
      </w:r>
      <w:r>
        <w:rPr>
          <w:rFonts w:ascii="Times New Roman" w:hAnsi="Times New Roman" w:eastAsia="宋体" w:cs="Times New Roman"/>
          <w:color w:val="auto"/>
          <w:szCs w:val="21"/>
        </w:rPr>
        <w:t>数学的心理分析</w:t>
      </w:r>
      <w:r>
        <w:rPr>
          <w:rFonts w:hint="eastAsia" w:ascii="Times New Roman" w:hAnsi="Times New Roman" w:eastAsia="宋体" w:cs="Times New Roman"/>
          <w:color w:val="auto"/>
          <w:szCs w:val="21"/>
        </w:rPr>
        <w:t>。了解小学</w:t>
      </w:r>
      <w:r>
        <w:rPr>
          <w:rFonts w:ascii="Times New Roman" w:hAnsi="Times New Roman" w:eastAsia="宋体" w:cs="Times New Roman"/>
          <w:color w:val="auto"/>
          <w:szCs w:val="21"/>
        </w:rPr>
        <w:t>数学教学设计的</w:t>
      </w:r>
      <w:r>
        <w:rPr>
          <w:rFonts w:hint="eastAsia" w:ascii="Times New Roman" w:hAnsi="Times New Roman" w:eastAsia="宋体" w:cs="Times New Roman"/>
          <w:color w:val="auto"/>
          <w:szCs w:val="21"/>
        </w:rPr>
        <w:t>基本</w:t>
      </w:r>
      <w:r>
        <w:rPr>
          <w:rFonts w:ascii="Times New Roman" w:hAnsi="Times New Roman" w:eastAsia="宋体" w:cs="Times New Roman"/>
          <w:color w:val="auto"/>
          <w:szCs w:val="21"/>
        </w:rPr>
        <w:t>流程，知道</w:t>
      </w:r>
      <w:r>
        <w:rPr>
          <w:rFonts w:hint="eastAsia" w:ascii="Times New Roman" w:hAnsi="Times New Roman" w:eastAsia="宋体" w:cs="Times New Roman"/>
          <w:color w:val="auto"/>
          <w:szCs w:val="21"/>
        </w:rPr>
        <w:t>进行</w:t>
      </w:r>
      <w:r>
        <w:rPr>
          <w:rFonts w:ascii="Times New Roman" w:hAnsi="Times New Roman" w:eastAsia="宋体" w:cs="Times New Roman"/>
          <w:color w:val="auto"/>
          <w:szCs w:val="21"/>
        </w:rPr>
        <w:t>小学数学教学设计应做好哪些准备</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了解小学数学</w:t>
      </w:r>
      <w:r>
        <w:rPr>
          <w:rFonts w:hint="eastAsia" w:ascii="Times New Roman" w:hAnsi="Times New Roman" w:eastAsia="宋体" w:cs="Times New Roman"/>
          <w:color w:val="auto"/>
          <w:szCs w:val="21"/>
        </w:rPr>
        <w:t>教学</w:t>
      </w:r>
      <w:r>
        <w:rPr>
          <w:rFonts w:ascii="Times New Roman" w:hAnsi="Times New Roman" w:eastAsia="宋体" w:cs="Times New Roman"/>
          <w:color w:val="auto"/>
          <w:szCs w:val="21"/>
        </w:rPr>
        <w:t>的结构</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类型</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熟悉小学数学教学的常用方法，</w:t>
      </w:r>
      <w:r>
        <w:rPr>
          <w:rFonts w:hint="eastAsia" w:ascii="Times New Roman" w:hAnsi="Times New Roman" w:eastAsia="宋体" w:cs="Times New Roman"/>
          <w:color w:val="auto"/>
          <w:szCs w:val="21"/>
        </w:rPr>
        <w:t>明确</w:t>
      </w:r>
      <w:r>
        <w:rPr>
          <w:rFonts w:ascii="Times New Roman" w:hAnsi="Times New Roman" w:eastAsia="宋体" w:cs="Times New Roman"/>
          <w:color w:val="auto"/>
          <w:szCs w:val="21"/>
        </w:rPr>
        <w:t>课</w:t>
      </w:r>
      <w:r>
        <w:rPr>
          <w:rFonts w:hint="eastAsia" w:ascii="Times New Roman" w:hAnsi="Times New Roman" w:eastAsia="宋体" w:cs="Times New Roman"/>
          <w:color w:val="auto"/>
          <w:szCs w:val="21"/>
        </w:rPr>
        <w:t>堂</w:t>
      </w:r>
      <w:r>
        <w:rPr>
          <w:rFonts w:ascii="Times New Roman" w:hAnsi="Times New Roman" w:eastAsia="宋体" w:cs="Times New Roman"/>
          <w:color w:val="auto"/>
          <w:szCs w:val="21"/>
        </w:rPr>
        <w:t>教学活动</w:t>
      </w:r>
      <w:r>
        <w:rPr>
          <w:rFonts w:hint="eastAsia" w:ascii="Times New Roman" w:hAnsi="Times New Roman" w:eastAsia="宋体" w:cs="Times New Roman"/>
          <w:color w:val="auto"/>
          <w:szCs w:val="21"/>
        </w:rPr>
        <w:t>的</w:t>
      </w:r>
      <w:r>
        <w:rPr>
          <w:rFonts w:ascii="Times New Roman" w:hAnsi="Times New Roman" w:eastAsia="宋体" w:cs="Times New Roman"/>
          <w:color w:val="auto"/>
          <w:szCs w:val="21"/>
        </w:rPr>
        <w:t>基本要求</w:t>
      </w:r>
      <w:r>
        <w:rPr>
          <w:rFonts w:hint="eastAsia" w:ascii="Times New Roman" w:hAnsi="Times New Roman" w:eastAsia="宋体" w:cs="Times New Roman"/>
          <w:color w:val="auto"/>
          <w:szCs w:val="21"/>
        </w:rPr>
        <w:t>。</w:t>
      </w:r>
    </w:p>
    <w:p w14:paraId="46E77A7A">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w:t>
      </w: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了解“数与代数”、“空间与图形”、“概率与统计”、综合与实践”等内容</w:t>
      </w:r>
      <w:r>
        <w:rPr>
          <w:rFonts w:ascii="Times New Roman" w:hAnsi="Times New Roman" w:eastAsia="宋体" w:cs="Times New Roman"/>
          <w:color w:val="auto"/>
          <w:szCs w:val="21"/>
        </w:rPr>
        <w:t>领域的教学设计</w:t>
      </w:r>
      <w:r>
        <w:rPr>
          <w:rFonts w:hint="eastAsia" w:ascii="Times New Roman" w:hAnsi="Times New Roman" w:eastAsia="宋体" w:cs="Times New Roman"/>
          <w:color w:val="auto"/>
          <w:szCs w:val="21"/>
        </w:rPr>
        <w:t>要</w:t>
      </w:r>
      <w:r>
        <w:rPr>
          <w:rFonts w:ascii="Times New Roman" w:hAnsi="Times New Roman" w:eastAsia="宋体" w:cs="Times New Roman"/>
          <w:color w:val="auto"/>
          <w:szCs w:val="21"/>
        </w:rPr>
        <w:t>点</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能独立</w:t>
      </w:r>
      <w:r>
        <w:rPr>
          <w:rFonts w:hint="eastAsia" w:ascii="Times New Roman" w:hAnsi="Times New Roman" w:eastAsia="宋体" w:cs="Times New Roman"/>
          <w:color w:val="auto"/>
          <w:szCs w:val="21"/>
        </w:rPr>
        <w:t>进行</w:t>
      </w:r>
      <w:r>
        <w:rPr>
          <w:rFonts w:ascii="Times New Roman" w:hAnsi="Times New Roman" w:eastAsia="宋体" w:cs="Times New Roman"/>
          <w:color w:val="auto"/>
          <w:szCs w:val="21"/>
        </w:rPr>
        <w:t>相应内容的教学设计，</w:t>
      </w:r>
      <w:r>
        <w:rPr>
          <w:rFonts w:hint="eastAsia" w:ascii="Times New Roman" w:hAnsi="Times New Roman" w:eastAsia="宋体" w:cs="Times New Roman"/>
          <w:color w:val="auto"/>
          <w:szCs w:val="21"/>
        </w:rPr>
        <w:t>能够</w:t>
      </w:r>
      <w:r>
        <w:rPr>
          <w:rFonts w:ascii="Times New Roman" w:hAnsi="Times New Roman" w:eastAsia="宋体" w:cs="Times New Roman"/>
          <w:color w:val="auto"/>
          <w:szCs w:val="21"/>
        </w:rPr>
        <w:t>选择运用多种教学方法</w:t>
      </w:r>
      <w:r>
        <w:rPr>
          <w:rFonts w:hint="eastAsia" w:ascii="Times New Roman" w:hAnsi="Times New Roman" w:eastAsia="宋体" w:cs="Times New Roman"/>
          <w:color w:val="auto"/>
          <w:szCs w:val="21"/>
        </w:rPr>
        <w:t>进行课堂</w:t>
      </w:r>
      <w:r>
        <w:rPr>
          <w:rFonts w:ascii="Times New Roman" w:hAnsi="Times New Roman" w:eastAsia="宋体" w:cs="Times New Roman"/>
          <w:color w:val="auto"/>
          <w:szCs w:val="21"/>
        </w:rPr>
        <w:t>教学</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能够及时对自己的教学进行总结反思，具有较强的</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数与代数”内容的教学设计</w:t>
      </w:r>
      <w:r>
        <w:rPr>
          <w:rFonts w:hint="eastAsia" w:ascii="Times New Roman" w:hAnsi="Times New Roman" w:eastAsia="宋体" w:cs="Times New Roman"/>
          <w:color w:val="auto"/>
          <w:szCs w:val="21"/>
        </w:rPr>
        <w:t>和</w:t>
      </w:r>
      <w:r>
        <w:rPr>
          <w:rFonts w:ascii="Times New Roman" w:hAnsi="Times New Roman" w:eastAsia="宋体" w:cs="Times New Roman"/>
          <w:color w:val="auto"/>
          <w:szCs w:val="21"/>
        </w:rPr>
        <w:t>实施能力</w:t>
      </w:r>
      <w:r>
        <w:rPr>
          <w:rFonts w:hint="eastAsia" w:ascii="Times New Roman" w:hAnsi="Times New Roman" w:eastAsia="宋体" w:cs="Times New Roman"/>
          <w:color w:val="auto"/>
          <w:szCs w:val="21"/>
        </w:rPr>
        <w:t>。</w:t>
      </w:r>
    </w:p>
    <w:p w14:paraId="39527FC6">
      <w:pPr>
        <w:spacing w:line="360" w:lineRule="auto"/>
        <w:ind w:firstLine="420" w:firstLineChars="200"/>
        <w:jc w:val="left"/>
        <w:rPr>
          <w:rFonts w:ascii="Times New Roman" w:hAnsi="Times New Roman" w:eastAsia="宋体" w:cs="Times New Roman"/>
          <w:color w:val="auto"/>
          <w:szCs w:val="21"/>
        </w:rPr>
      </w:pPr>
      <w:r>
        <w:rPr>
          <w:rFonts w:ascii="Times New Roman" w:hAnsi="Times New Roman" w:eastAsia="宋体" w:cs="Times New Roman"/>
          <w:color w:val="auto"/>
          <w:szCs w:val="21"/>
        </w:rPr>
        <w:t>目标3</w:t>
      </w:r>
      <w:r>
        <w:rPr>
          <w:rFonts w:hint="eastAsia" w:ascii="Times New Roman" w:hAnsi="Times New Roman" w:eastAsia="宋体" w:cs="Times New Roman"/>
          <w:color w:val="auto"/>
          <w:szCs w:val="21"/>
        </w:rPr>
        <w:t>.能够依据</w:t>
      </w:r>
      <w:r>
        <w:rPr>
          <w:rFonts w:ascii="Times New Roman" w:hAnsi="Times New Roman" w:eastAsia="宋体" w:cs="Times New Roman"/>
          <w:color w:val="auto"/>
          <w:szCs w:val="21"/>
        </w:rPr>
        <w:t>学生的心理特点和已有知识基础进行课堂教学，</w:t>
      </w:r>
      <w:r>
        <w:rPr>
          <w:rFonts w:hint="eastAsia" w:ascii="Times New Roman" w:hAnsi="Times New Roman" w:eastAsia="宋体" w:cs="Times New Roman"/>
          <w:color w:val="auto"/>
          <w:szCs w:val="21"/>
        </w:rPr>
        <w:t>注重</w:t>
      </w:r>
      <w:r>
        <w:rPr>
          <w:rFonts w:ascii="Times New Roman" w:hAnsi="Times New Roman" w:eastAsia="宋体" w:cs="Times New Roman"/>
          <w:color w:val="auto"/>
          <w:szCs w:val="21"/>
        </w:rPr>
        <w:t>教学中的师生合作。</w:t>
      </w:r>
      <w:r>
        <w:rPr>
          <w:rFonts w:hint="eastAsia" w:ascii="Times New Roman" w:hAnsi="Times New Roman" w:eastAsia="宋体" w:cs="Times New Roman"/>
          <w:color w:val="auto"/>
          <w:szCs w:val="21"/>
        </w:rPr>
        <w:t>坚持马克思主义的全面发展观，具有较强的学科育人意识，养成科学、严谨的设计态度，能充分发掘小学数学教材中的德育元素，具有进行小学教学的自信心。</w:t>
      </w:r>
    </w:p>
    <w:p w14:paraId="2CFCB1FD">
      <w:pPr>
        <w:spacing w:before="156" w:beforeLines="50" w:after="156" w:afterLines="50" w:line="360" w:lineRule="auto"/>
        <w:ind w:firstLine="422" w:firstLineChars="200"/>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6442"/>
        <w:gridCol w:w="1191"/>
      </w:tblGrid>
      <w:tr w14:paraId="24E8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4" w:type="dxa"/>
            <w:vAlign w:val="center"/>
          </w:tcPr>
          <w:p w14:paraId="7544EF54">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442" w:type="dxa"/>
            <w:vAlign w:val="center"/>
          </w:tcPr>
          <w:p w14:paraId="709E6119">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06FFF864">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2A17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4" w:type="dxa"/>
            <w:vMerge w:val="restart"/>
            <w:vAlign w:val="center"/>
          </w:tcPr>
          <w:p w14:paraId="7971B7C1">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r>
              <w:rPr>
                <w:rFonts w:ascii="Times New Roman" w:hAnsi="Times New Roman" w:eastAsia="宋体" w:cs="Times New Roman"/>
                <w:b/>
                <w:bCs/>
                <w:color w:val="auto"/>
                <w:szCs w:val="21"/>
              </w:rPr>
              <w:t>4</w:t>
            </w:r>
          </w:p>
          <w:p w14:paraId="133FE4C0">
            <w:pPr>
              <w:spacing w:line="276" w:lineRule="auto"/>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教学能力</w:t>
            </w:r>
          </w:p>
        </w:tc>
        <w:tc>
          <w:tcPr>
            <w:tcW w:w="6442" w:type="dxa"/>
            <w:vAlign w:val="center"/>
          </w:tcPr>
          <w:p w14:paraId="15375060">
            <w:pPr>
              <w:spacing w:line="276" w:lineRule="auto"/>
              <w:jc w:val="left"/>
              <w:rPr>
                <w:rFonts w:hint="eastAsia" w:ascii="Times New Roman" w:hAnsi="Times New Roman" w:eastAsia="宋体" w:cs="Times New Roman"/>
                <w:b w:val="0"/>
                <w:bCs w:val="0"/>
                <w:i w:val="0"/>
                <w:iCs w:val="0"/>
                <w:color w:val="auto"/>
                <w:szCs w:val="21"/>
                <w:lang w:eastAsia="zh-CN"/>
              </w:rPr>
            </w:pPr>
            <w:r>
              <w:rPr>
                <w:rFonts w:hint="eastAsia" w:ascii="宋体" w:hAnsi="宋体" w:eastAsia="宋体" w:cs="Times New Roman"/>
                <w:b w:val="0"/>
                <w:bCs w:val="0"/>
                <w:i w:val="0"/>
                <w:iCs w:val="0"/>
                <w:color w:val="auto"/>
                <w:spacing w:val="2"/>
                <w:kern w:val="0"/>
                <w:szCs w:val="21"/>
                <w:lang w:eastAsia="zh-CN"/>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06133650">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1</w:t>
            </w:r>
          </w:p>
        </w:tc>
      </w:tr>
      <w:tr w14:paraId="3582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4" w:type="dxa"/>
            <w:vMerge w:val="continue"/>
            <w:vAlign w:val="center"/>
          </w:tcPr>
          <w:p w14:paraId="5DEA363F">
            <w:pPr>
              <w:spacing w:line="276" w:lineRule="auto"/>
              <w:jc w:val="center"/>
              <w:rPr>
                <w:rFonts w:ascii="Times New Roman" w:hAnsi="Times New Roman" w:eastAsia="宋体" w:cs="Times New Roman"/>
                <w:b/>
                <w:bCs/>
                <w:color w:val="auto"/>
                <w:szCs w:val="21"/>
              </w:rPr>
            </w:pPr>
          </w:p>
        </w:tc>
        <w:tc>
          <w:tcPr>
            <w:tcW w:w="6442" w:type="dxa"/>
            <w:vAlign w:val="center"/>
          </w:tcPr>
          <w:p w14:paraId="7D30068B">
            <w:pPr>
              <w:spacing w:line="276" w:lineRule="auto"/>
              <w:jc w:val="left"/>
              <w:rPr>
                <w:rFonts w:hint="eastAsia" w:ascii="Times New Roman" w:hAnsi="Times New Roman" w:eastAsia="宋体" w:cs="Times New Roman"/>
                <w:b w:val="0"/>
                <w:bCs w:val="0"/>
                <w:i w:val="0"/>
                <w:iCs w:val="0"/>
                <w:color w:val="auto"/>
                <w:szCs w:val="21"/>
                <w:lang w:eastAsia="zh-CN"/>
              </w:rPr>
            </w:pPr>
            <w:r>
              <w:rPr>
                <w:rFonts w:hint="eastAsia" w:ascii="Times New Roman" w:hAnsi="Times New Roman" w:eastAsia="宋体" w:cs="Times New Roman"/>
                <w:b w:val="0"/>
                <w:bCs w:val="0"/>
                <w:i w:val="0"/>
                <w:iCs w:val="0"/>
                <w:color w:val="auto"/>
                <w:szCs w:val="21"/>
                <w:lang w:eastAsia="zh-CN"/>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191" w:type="dxa"/>
            <w:vAlign w:val="center"/>
          </w:tcPr>
          <w:p w14:paraId="367805C5">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2</w:t>
            </w:r>
          </w:p>
        </w:tc>
      </w:tr>
      <w:tr w14:paraId="4D7C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4" w:type="dxa"/>
            <w:vAlign w:val="center"/>
          </w:tcPr>
          <w:p w14:paraId="1838EE15">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r>
              <w:rPr>
                <w:rFonts w:ascii="Times New Roman" w:hAnsi="Times New Roman" w:eastAsia="宋体" w:cs="Times New Roman"/>
                <w:b/>
                <w:bCs/>
                <w:color w:val="auto"/>
                <w:szCs w:val="21"/>
              </w:rPr>
              <w:t>6</w:t>
            </w:r>
          </w:p>
          <w:p w14:paraId="5FE0C7EF">
            <w:pPr>
              <w:spacing w:line="276" w:lineRule="auto"/>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综合育人</w:t>
            </w:r>
          </w:p>
        </w:tc>
        <w:tc>
          <w:tcPr>
            <w:tcW w:w="6442" w:type="dxa"/>
            <w:vAlign w:val="center"/>
          </w:tcPr>
          <w:p w14:paraId="4D62F969">
            <w:pPr>
              <w:spacing w:line="276" w:lineRule="auto"/>
              <w:jc w:val="left"/>
              <w:rPr>
                <w:rFonts w:ascii="Times New Roman" w:hAnsi="Times New Roman" w:eastAsia="宋体" w:cs="Times New Roman"/>
                <w:b w:val="0"/>
                <w:bCs w:val="0"/>
                <w:color w:val="auto"/>
                <w:szCs w:val="21"/>
              </w:rPr>
            </w:pPr>
            <w:r>
              <w:rPr>
                <w:rFonts w:hint="eastAsia" w:ascii="宋体" w:hAnsi="宋体" w:eastAsia="宋体" w:cs="Times New Roman"/>
                <w:b w:val="0"/>
                <w:bCs w:val="0"/>
                <w:color w:val="auto"/>
                <w:spacing w:val="2"/>
                <w:kern w:val="0"/>
                <w:szCs w:val="21"/>
              </w:rPr>
              <w:t>指标点</w:t>
            </w:r>
            <w:r>
              <w:rPr>
                <w:rFonts w:ascii="宋体" w:hAnsi="宋体" w:eastAsia="宋体" w:cs="Times New Roman"/>
                <w:b w:val="0"/>
                <w:bCs w:val="0"/>
                <w:color w:val="auto"/>
                <w:spacing w:val="2"/>
                <w:kern w:val="0"/>
                <w:szCs w:val="21"/>
              </w:rPr>
              <w:t>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191" w:type="dxa"/>
            <w:vAlign w:val="center"/>
          </w:tcPr>
          <w:p w14:paraId="690705F6">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3</w:t>
            </w:r>
          </w:p>
        </w:tc>
      </w:tr>
    </w:tbl>
    <w:p w14:paraId="410E820F">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64A054EF">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坚持马克思主义的全面发展观，具有较强的学科育人意识，养成科学、严谨的教学态度，能充分发掘小学数学教材中的德育元素，具有初步的学科育人能力，具有良好的团队合作意识，具有进行小学教学的自信心。</w:t>
      </w:r>
    </w:p>
    <w:p w14:paraId="75E74CB5">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65AA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576AD92">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w:t>
            </w:r>
          </w:p>
          <w:p w14:paraId="74ED9094">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单元</w:t>
            </w:r>
          </w:p>
        </w:tc>
        <w:tc>
          <w:tcPr>
            <w:tcW w:w="1701" w:type="dxa"/>
            <w:vAlign w:val="center"/>
          </w:tcPr>
          <w:p w14:paraId="58D07619">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知识点</w:t>
            </w:r>
          </w:p>
        </w:tc>
        <w:tc>
          <w:tcPr>
            <w:tcW w:w="1134" w:type="dxa"/>
            <w:vAlign w:val="center"/>
          </w:tcPr>
          <w:p w14:paraId="504F927E">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对应</w:t>
            </w:r>
          </w:p>
          <w:p w14:paraId="17B3DDD1">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课程目标</w:t>
            </w:r>
          </w:p>
        </w:tc>
        <w:tc>
          <w:tcPr>
            <w:tcW w:w="3260" w:type="dxa"/>
            <w:vAlign w:val="center"/>
          </w:tcPr>
          <w:p w14:paraId="6A515FEF">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预期学习成效</w:t>
            </w:r>
          </w:p>
        </w:tc>
        <w:tc>
          <w:tcPr>
            <w:tcW w:w="1560" w:type="dxa"/>
            <w:vAlign w:val="center"/>
          </w:tcPr>
          <w:p w14:paraId="4EDA38D4">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实现环节</w:t>
            </w:r>
          </w:p>
        </w:tc>
        <w:tc>
          <w:tcPr>
            <w:tcW w:w="438" w:type="dxa"/>
            <w:vAlign w:val="center"/>
          </w:tcPr>
          <w:p w14:paraId="24C2F129">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学时</w:t>
            </w:r>
          </w:p>
        </w:tc>
      </w:tr>
      <w:tr w14:paraId="49DA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AA59E22">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w:t>
            </w:r>
            <w:r>
              <w:rPr>
                <w:rFonts w:hint="eastAsia"/>
                <w:color w:val="auto"/>
                <w:sz w:val="21"/>
                <w:szCs w:val="21"/>
              </w:rPr>
              <w:t xml:space="preserve"> </w:t>
            </w:r>
            <w:r>
              <w:rPr>
                <w:rFonts w:hint="eastAsia" w:ascii="宋体" w:hAnsi="宋体" w:eastAsia="宋体" w:cs="Times New Roman"/>
                <w:color w:val="auto"/>
                <w:sz w:val="21"/>
                <w:szCs w:val="21"/>
              </w:rPr>
              <w:t>小学数学教学设计的基本理论</w:t>
            </w:r>
          </w:p>
        </w:tc>
        <w:tc>
          <w:tcPr>
            <w:tcW w:w="1701" w:type="dxa"/>
            <w:vAlign w:val="center"/>
          </w:tcPr>
          <w:p w14:paraId="1EB0567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1）小学数学教学设计的内涵</w:t>
            </w:r>
          </w:p>
          <w:p w14:paraId="6DF2047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2）小学数学教学设计的核心理念</w:t>
            </w:r>
          </w:p>
          <w:p w14:paraId="78A174D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3）小学生数学学习的心理分析</w:t>
            </w:r>
          </w:p>
        </w:tc>
        <w:tc>
          <w:tcPr>
            <w:tcW w:w="1134" w:type="dxa"/>
            <w:vAlign w:val="center"/>
          </w:tcPr>
          <w:p w14:paraId="650D080B">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课程目标1、3</w:t>
            </w:r>
          </w:p>
        </w:tc>
        <w:tc>
          <w:tcPr>
            <w:tcW w:w="3260" w:type="dxa"/>
            <w:vAlign w:val="center"/>
          </w:tcPr>
          <w:p w14:paraId="3FFA6C0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1）理解小学数学教学设计的内涵</w:t>
            </w:r>
          </w:p>
          <w:p w14:paraId="050F472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2）理解小学数学教学设计的核心理念，明确小学数学教学设计应关注哪些问题</w:t>
            </w:r>
          </w:p>
          <w:p w14:paraId="362A3BC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3）了解小学生数学学习的心理特点和心理需求</w:t>
            </w:r>
          </w:p>
        </w:tc>
        <w:tc>
          <w:tcPr>
            <w:tcW w:w="1560" w:type="dxa"/>
            <w:vAlign w:val="center"/>
          </w:tcPr>
          <w:p w14:paraId="0D43FE2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04794B1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3C41E0E2">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465D14C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自主学习</w:t>
            </w:r>
          </w:p>
        </w:tc>
        <w:tc>
          <w:tcPr>
            <w:tcW w:w="438" w:type="dxa"/>
            <w:vAlign w:val="center"/>
          </w:tcPr>
          <w:p w14:paraId="7BF38FA7">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6</w:t>
            </w:r>
          </w:p>
        </w:tc>
      </w:tr>
      <w:tr w14:paraId="636D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DD0D2DD">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7F365BD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1）践行社会主义核心价值观，树立全面育人的思想。</w:t>
            </w:r>
            <w:r>
              <w:rPr>
                <w:rFonts w:hint="eastAsia" w:ascii="宋体" w:hAnsi="宋体" w:eastAsia="宋体" w:cs="Times New Roman"/>
                <w:color w:val="auto"/>
                <w:sz w:val="21"/>
                <w:szCs w:val="21"/>
              </w:rPr>
              <w:t>（</w:t>
            </w:r>
            <w:r>
              <w:rPr>
                <w:rFonts w:ascii="宋体" w:hAnsi="宋体" w:eastAsia="宋体" w:cs="Times New Roman"/>
                <w:color w:val="auto"/>
                <w:sz w:val="21"/>
                <w:szCs w:val="21"/>
              </w:rPr>
              <w:t>2）</w:t>
            </w:r>
            <w:r>
              <w:rPr>
                <w:rFonts w:hint="eastAsia" w:ascii="宋体" w:hAnsi="宋体" w:eastAsia="宋体" w:cs="Times New Roman"/>
                <w:color w:val="auto"/>
                <w:sz w:val="21"/>
                <w:szCs w:val="21"/>
              </w:rPr>
              <w:t>具有</w:t>
            </w:r>
            <w:r>
              <w:rPr>
                <w:rFonts w:ascii="宋体" w:hAnsi="宋体" w:eastAsia="宋体" w:cs="Times New Roman"/>
                <w:color w:val="auto"/>
                <w:sz w:val="21"/>
                <w:szCs w:val="21"/>
              </w:rPr>
              <w:t>科学、严谨的教学</w:t>
            </w:r>
            <w:r>
              <w:rPr>
                <w:rFonts w:hint="eastAsia" w:ascii="宋体" w:hAnsi="宋体" w:eastAsia="宋体" w:cs="Times New Roman"/>
                <w:color w:val="auto"/>
                <w:sz w:val="21"/>
                <w:szCs w:val="21"/>
              </w:rPr>
              <w:t>意识</w:t>
            </w:r>
            <w:r>
              <w:rPr>
                <w:rFonts w:ascii="宋体" w:hAnsi="宋体" w:eastAsia="宋体" w:cs="Times New Roman"/>
                <w:color w:val="auto"/>
                <w:sz w:val="21"/>
                <w:szCs w:val="21"/>
              </w:rPr>
              <w:t>。</w:t>
            </w:r>
          </w:p>
        </w:tc>
      </w:tr>
      <w:tr w14:paraId="3BD6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C7DB84F">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r>
              <w:rPr>
                <w:rFonts w:ascii="宋体" w:hAnsi="宋体" w:eastAsia="宋体" w:cs="Times New Roman"/>
                <w:color w:val="auto"/>
                <w:sz w:val="21"/>
                <w:szCs w:val="21"/>
              </w:rPr>
              <w:t>.</w:t>
            </w:r>
            <w:r>
              <w:rPr>
                <w:rFonts w:hint="eastAsia"/>
                <w:color w:val="auto"/>
                <w:sz w:val="21"/>
                <w:szCs w:val="21"/>
              </w:rPr>
              <w:t xml:space="preserve"> </w:t>
            </w:r>
            <w:r>
              <w:rPr>
                <w:rFonts w:hint="eastAsia" w:ascii="宋体" w:hAnsi="宋体" w:eastAsia="宋体" w:cs="Times New Roman"/>
                <w:color w:val="auto"/>
                <w:sz w:val="21"/>
                <w:szCs w:val="21"/>
              </w:rPr>
              <w:t>小学数学教学设计的一般流程</w:t>
            </w:r>
          </w:p>
        </w:tc>
        <w:tc>
          <w:tcPr>
            <w:tcW w:w="1701" w:type="dxa"/>
            <w:vAlign w:val="center"/>
          </w:tcPr>
          <w:p w14:paraId="7E14AF6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1）小学数学教学设计的前期准备</w:t>
            </w:r>
          </w:p>
          <w:p w14:paraId="7A9AC4D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2）小学数学教学设计的基本流程</w:t>
            </w:r>
          </w:p>
          <w:p w14:paraId="1E7E104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3）小学数学教学设计方案的撰写</w:t>
            </w:r>
          </w:p>
        </w:tc>
        <w:tc>
          <w:tcPr>
            <w:tcW w:w="1134" w:type="dxa"/>
            <w:vAlign w:val="center"/>
          </w:tcPr>
          <w:p w14:paraId="65440342">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课程目标1、3</w:t>
            </w:r>
          </w:p>
        </w:tc>
        <w:tc>
          <w:tcPr>
            <w:tcW w:w="3260" w:type="dxa"/>
            <w:vAlign w:val="center"/>
          </w:tcPr>
          <w:p w14:paraId="7D3DD80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1）明确小学数学教学设计要做好哪些前期准备</w:t>
            </w:r>
          </w:p>
          <w:p w14:paraId="4895C20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2）知道小学数学教学设计的基本流程</w:t>
            </w:r>
          </w:p>
          <w:p w14:paraId="3441BB5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3）能够独立撰写小学数学教学方案</w:t>
            </w:r>
          </w:p>
        </w:tc>
        <w:tc>
          <w:tcPr>
            <w:tcW w:w="1560" w:type="dxa"/>
            <w:vAlign w:val="center"/>
          </w:tcPr>
          <w:p w14:paraId="58BD044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6659BB1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1B6B03AD">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7378BEA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自主学习</w:t>
            </w:r>
          </w:p>
        </w:tc>
        <w:tc>
          <w:tcPr>
            <w:tcW w:w="438" w:type="dxa"/>
            <w:vAlign w:val="center"/>
          </w:tcPr>
          <w:p w14:paraId="7A377026">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6</w:t>
            </w:r>
          </w:p>
        </w:tc>
      </w:tr>
      <w:tr w14:paraId="3D94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7615C2B">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5D19B07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1）树立全方位育人的思想。</w:t>
            </w:r>
            <w:r>
              <w:rPr>
                <w:rFonts w:hint="eastAsia" w:ascii="宋体" w:hAnsi="宋体" w:eastAsia="宋体" w:cs="Times New Roman"/>
                <w:color w:val="auto"/>
                <w:sz w:val="21"/>
                <w:szCs w:val="21"/>
              </w:rPr>
              <w:t>（</w:t>
            </w:r>
            <w:r>
              <w:rPr>
                <w:rFonts w:ascii="宋体" w:hAnsi="宋体" w:eastAsia="宋体" w:cs="Times New Roman"/>
                <w:color w:val="auto"/>
                <w:sz w:val="21"/>
                <w:szCs w:val="21"/>
              </w:rPr>
              <w:t>2）注重教学设计的严谨性。</w:t>
            </w:r>
          </w:p>
        </w:tc>
      </w:tr>
      <w:tr w14:paraId="4860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AED3EB2">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r>
              <w:rPr>
                <w:rFonts w:ascii="宋体" w:hAnsi="宋体" w:eastAsia="宋体" w:cs="Times New Roman"/>
                <w:color w:val="auto"/>
                <w:sz w:val="21"/>
                <w:szCs w:val="21"/>
              </w:rPr>
              <w:t>.</w:t>
            </w:r>
            <w:r>
              <w:rPr>
                <w:rFonts w:hint="eastAsia"/>
                <w:color w:val="auto"/>
                <w:sz w:val="21"/>
                <w:szCs w:val="21"/>
              </w:rPr>
              <w:t xml:space="preserve"> </w:t>
            </w:r>
            <w:r>
              <w:rPr>
                <w:rFonts w:hint="eastAsia" w:ascii="宋体" w:hAnsi="宋体" w:eastAsia="宋体" w:cs="Times New Roman"/>
                <w:color w:val="auto"/>
                <w:sz w:val="21"/>
                <w:szCs w:val="21"/>
              </w:rPr>
              <w:t>小学数学教学的实施</w:t>
            </w:r>
          </w:p>
        </w:tc>
        <w:tc>
          <w:tcPr>
            <w:tcW w:w="1701" w:type="dxa"/>
            <w:vAlign w:val="center"/>
          </w:tcPr>
          <w:p w14:paraId="4A8ADE0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1）小学数学教学的结构与类型</w:t>
            </w:r>
          </w:p>
          <w:p w14:paraId="4C7552B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2）小学数学教学方法的选择</w:t>
            </w:r>
          </w:p>
          <w:p w14:paraId="4BF326F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3）小学数学教学的具体实施</w:t>
            </w:r>
          </w:p>
          <w:p w14:paraId="4A2A046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4）小学数学教学评价</w:t>
            </w:r>
          </w:p>
        </w:tc>
        <w:tc>
          <w:tcPr>
            <w:tcW w:w="1134" w:type="dxa"/>
            <w:vAlign w:val="center"/>
          </w:tcPr>
          <w:p w14:paraId="48F7D23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课程目标2、3</w:t>
            </w:r>
          </w:p>
        </w:tc>
        <w:tc>
          <w:tcPr>
            <w:tcW w:w="3260" w:type="dxa"/>
            <w:vAlign w:val="center"/>
          </w:tcPr>
          <w:p w14:paraId="66493A6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1）了解小学数学教学的一般结构和常见类型</w:t>
            </w:r>
          </w:p>
          <w:p w14:paraId="2253B11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2）了解常用的数学教学方法，能够根据课程目标、教学内容、学生特点等选择最适合的教学方法</w:t>
            </w:r>
          </w:p>
          <w:p w14:paraId="7FBD36A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3）能够在理论的指导下有效地进行具体的小学数学教学，并能进行及时的评价与调整。</w:t>
            </w:r>
          </w:p>
        </w:tc>
        <w:tc>
          <w:tcPr>
            <w:tcW w:w="1560" w:type="dxa"/>
            <w:vAlign w:val="center"/>
          </w:tcPr>
          <w:p w14:paraId="18E6EEE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6E67D0F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1FC92ED0">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04159E5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自主学习</w:t>
            </w:r>
          </w:p>
        </w:tc>
        <w:tc>
          <w:tcPr>
            <w:tcW w:w="438" w:type="dxa"/>
            <w:vAlign w:val="center"/>
          </w:tcPr>
          <w:p w14:paraId="4C67E245">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6</w:t>
            </w:r>
          </w:p>
        </w:tc>
      </w:tr>
      <w:tr w14:paraId="671E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F3DCDF1">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7112539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1）注重教学过程中情感、态度与价值观目标的实现。</w:t>
            </w:r>
            <w:r>
              <w:rPr>
                <w:rFonts w:hint="eastAsia" w:ascii="宋体" w:hAnsi="宋体" w:eastAsia="宋体" w:cs="Times New Roman"/>
                <w:color w:val="auto"/>
                <w:sz w:val="21"/>
                <w:szCs w:val="21"/>
              </w:rPr>
              <w:t>（</w:t>
            </w:r>
            <w:r>
              <w:rPr>
                <w:rFonts w:ascii="宋体" w:hAnsi="宋体" w:eastAsia="宋体" w:cs="Times New Roman"/>
                <w:color w:val="auto"/>
                <w:sz w:val="21"/>
                <w:szCs w:val="21"/>
              </w:rPr>
              <w:t>2）养成科学、严谨的教学习惯。</w:t>
            </w:r>
          </w:p>
        </w:tc>
      </w:tr>
      <w:tr w14:paraId="370D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F45C98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color w:val="auto"/>
                <w:sz w:val="21"/>
                <w:szCs w:val="21"/>
              </w:rPr>
              <w:t xml:space="preserve"> </w:t>
            </w:r>
            <w:r>
              <w:rPr>
                <w:rFonts w:hint="eastAsia" w:ascii="宋体" w:hAnsi="宋体" w:eastAsia="宋体" w:cs="Times New Roman"/>
                <w:color w:val="auto"/>
                <w:sz w:val="21"/>
                <w:szCs w:val="21"/>
              </w:rPr>
              <w:t>“数与代数”教学设计与实施</w:t>
            </w:r>
          </w:p>
        </w:tc>
        <w:tc>
          <w:tcPr>
            <w:tcW w:w="1701" w:type="dxa"/>
            <w:vAlign w:val="center"/>
          </w:tcPr>
          <w:p w14:paraId="5350FF6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1）“数与代数”教学设计的基本要求</w:t>
            </w:r>
          </w:p>
          <w:p w14:paraId="6564126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2）“数与代数”教学设计要点与案例分析</w:t>
            </w:r>
          </w:p>
          <w:p w14:paraId="4B23B5E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3）“数与代数”教学的具体实施</w:t>
            </w:r>
          </w:p>
        </w:tc>
        <w:tc>
          <w:tcPr>
            <w:tcW w:w="1134" w:type="dxa"/>
            <w:vAlign w:val="center"/>
          </w:tcPr>
          <w:p w14:paraId="3406B570">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课程目标2、3</w:t>
            </w:r>
          </w:p>
        </w:tc>
        <w:tc>
          <w:tcPr>
            <w:tcW w:w="3260" w:type="dxa"/>
            <w:vAlign w:val="center"/>
          </w:tcPr>
          <w:p w14:paraId="006B64F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1）理解“数与代数”教学设计的基本要求</w:t>
            </w:r>
          </w:p>
          <w:p w14:paraId="330CA14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2）了解“数与代数”教学设计的要点，能够依据相关教学理论对有关教学设计案例进行全面分析与评价</w:t>
            </w:r>
          </w:p>
          <w:p w14:paraId="069338C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3）能够独立进行“数与代数”教学设计并付诸实施</w:t>
            </w:r>
          </w:p>
        </w:tc>
        <w:tc>
          <w:tcPr>
            <w:tcW w:w="1560" w:type="dxa"/>
            <w:vAlign w:val="center"/>
          </w:tcPr>
          <w:p w14:paraId="58F6A49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0915191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096FB264">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1D1B5A8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自主学习</w:t>
            </w:r>
          </w:p>
        </w:tc>
        <w:tc>
          <w:tcPr>
            <w:tcW w:w="438" w:type="dxa"/>
            <w:vAlign w:val="center"/>
          </w:tcPr>
          <w:p w14:paraId="3D6DC437">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8</w:t>
            </w:r>
          </w:p>
        </w:tc>
      </w:tr>
      <w:tr w14:paraId="11A3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3A40EA7">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17D2EB9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1）能根据全面育人的思想进行具体的“数与代数”教学设计。</w:t>
            </w:r>
            <w:r>
              <w:rPr>
                <w:rFonts w:hint="eastAsia" w:ascii="宋体" w:hAnsi="宋体" w:eastAsia="宋体" w:cs="Times New Roman"/>
                <w:color w:val="auto"/>
                <w:sz w:val="21"/>
                <w:szCs w:val="21"/>
              </w:rPr>
              <w:t>（</w:t>
            </w:r>
            <w:r>
              <w:rPr>
                <w:rFonts w:ascii="宋体" w:hAnsi="宋体" w:eastAsia="宋体" w:cs="Times New Roman"/>
                <w:color w:val="auto"/>
                <w:sz w:val="21"/>
                <w:szCs w:val="21"/>
              </w:rPr>
              <w:t>2）能在学习他人教学经验的基础上增强教学自信心。</w:t>
            </w:r>
          </w:p>
        </w:tc>
      </w:tr>
      <w:tr w14:paraId="4486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B4BAEE8">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5</w:t>
            </w:r>
            <w:r>
              <w:rPr>
                <w:rFonts w:ascii="宋体" w:hAnsi="宋体" w:eastAsia="宋体" w:cs="Times New Roman"/>
                <w:color w:val="auto"/>
                <w:sz w:val="21"/>
                <w:szCs w:val="21"/>
              </w:rPr>
              <w:t>.</w:t>
            </w:r>
            <w:r>
              <w:rPr>
                <w:rFonts w:hint="eastAsia"/>
                <w:color w:val="auto"/>
                <w:sz w:val="21"/>
                <w:szCs w:val="21"/>
              </w:rPr>
              <w:t xml:space="preserve"> </w:t>
            </w:r>
            <w:r>
              <w:rPr>
                <w:rFonts w:hint="eastAsia" w:ascii="宋体" w:hAnsi="宋体" w:eastAsia="宋体" w:cs="Times New Roman"/>
                <w:color w:val="auto"/>
                <w:sz w:val="21"/>
                <w:szCs w:val="21"/>
              </w:rPr>
              <w:t>“图形与几何”教学设计与实施</w:t>
            </w:r>
          </w:p>
        </w:tc>
        <w:tc>
          <w:tcPr>
            <w:tcW w:w="1701" w:type="dxa"/>
            <w:vAlign w:val="center"/>
          </w:tcPr>
          <w:p w14:paraId="0181DE8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1）“图形与几何”教学设计的基本要求</w:t>
            </w:r>
          </w:p>
          <w:p w14:paraId="6E4308F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2）“图形与几何”教学设计要点与案例分析</w:t>
            </w:r>
          </w:p>
          <w:p w14:paraId="1CBB7B0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3）“图形与几何”教学的具体实施</w:t>
            </w:r>
          </w:p>
        </w:tc>
        <w:tc>
          <w:tcPr>
            <w:tcW w:w="1134" w:type="dxa"/>
            <w:vAlign w:val="center"/>
          </w:tcPr>
          <w:p w14:paraId="5F6B2FE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课程目标2、3</w:t>
            </w:r>
          </w:p>
        </w:tc>
        <w:tc>
          <w:tcPr>
            <w:tcW w:w="3260" w:type="dxa"/>
            <w:vAlign w:val="center"/>
          </w:tcPr>
          <w:p w14:paraId="2E1A916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1）理解“图形与几何”教学设计的基本要求</w:t>
            </w:r>
          </w:p>
          <w:p w14:paraId="4C4820D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2）了解“图形与几何”教学设计的要点，能够依据相关教学理论对有关教学设计案例进行全面分析与评价</w:t>
            </w:r>
          </w:p>
          <w:p w14:paraId="062183F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3）能够独立进行“图形与几何”教学设计并付诸实施</w:t>
            </w:r>
          </w:p>
        </w:tc>
        <w:tc>
          <w:tcPr>
            <w:tcW w:w="1560" w:type="dxa"/>
            <w:vAlign w:val="center"/>
          </w:tcPr>
          <w:p w14:paraId="4ED0981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3367596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1EDDEDAF">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42F4129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自主学习</w:t>
            </w:r>
          </w:p>
        </w:tc>
        <w:tc>
          <w:tcPr>
            <w:tcW w:w="438" w:type="dxa"/>
            <w:vAlign w:val="center"/>
          </w:tcPr>
          <w:p w14:paraId="2878FCCD">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8</w:t>
            </w:r>
          </w:p>
        </w:tc>
      </w:tr>
      <w:tr w14:paraId="3242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92AD3B8">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4B08F8E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1）能根据全面育人的思想进行具体的“图形与几何”教学设计。</w:t>
            </w:r>
            <w:r>
              <w:rPr>
                <w:rFonts w:hint="eastAsia" w:ascii="宋体" w:hAnsi="宋体" w:eastAsia="宋体" w:cs="Times New Roman"/>
                <w:color w:val="auto"/>
                <w:sz w:val="21"/>
                <w:szCs w:val="21"/>
              </w:rPr>
              <w:t>（</w:t>
            </w:r>
            <w:r>
              <w:rPr>
                <w:rFonts w:ascii="宋体" w:hAnsi="宋体" w:eastAsia="宋体" w:cs="Times New Roman"/>
                <w:color w:val="auto"/>
                <w:sz w:val="21"/>
                <w:szCs w:val="21"/>
              </w:rPr>
              <w:t>2）能在学习他人教学经验的基础上增强教学自信心。</w:t>
            </w:r>
          </w:p>
        </w:tc>
      </w:tr>
      <w:tr w14:paraId="4BA7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5DC894F">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w:t>
            </w:r>
            <w:r>
              <w:rPr>
                <w:rFonts w:ascii="宋体" w:hAnsi="宋体" w:eastAsia="宋体" w:cs="Times New Roman"/>
                <w:color w:val="auto"/>
                <w:sz w:val="21"/>
                <w:szCs w:val="21"/>
              </w:rPr>
              <w:t>.</w:t>
            </w:r>
            <w:r>
              <w:rPr>
                <w:rFonts w:hint="eastAsia"/>
                <w:color w:val="auto"/>
                <w:sz w:val="21"/>
                <w:szCs w:val="21"/>
              </w:rPr>
              <w:t xml:space="preserve"> </w:t>
            </w:r>
            <w:r>
              <w:rPr>
                <w:rFonts w:hint="eastAsia" w:ascii="宋体" w:hAnsi="宋体" w:eastAsia="宋体" w:cs="Times New Roman"/>
                <w:color w:val="auto"/>
                <w:sz w:val="21"/>
                <w:szCs w:val="21"/>
              </w:rPr>
              <w:t>“统计与概率”教学设计与实施</w:t>
            </w:r>
          </w:p>
        </w:tc>
        <w:tc>
          <w:tcPr>
            <w:tcW w:w="1701" w:type="dxa"/>
            <w:vAlign w:val="center"/>
          </w:tcPr>
          <w:p w14:paraId="388C7DA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1）“统计与概率”教学设计的基本要求</w:t>
            </w:r>
          </w:p>
          <w:p w14:paraId="00BC72D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2）“统计与概率”教学设计要点与案例分析</w:t>
            </w:r>
          </w:p>
          <w:p w14:paraId="588E646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3）“统计与概率”教学的具体实施</w:t>
            </w:r>
          </w:p>
        </w:tc>
        <w:tc>
          <w:tcPr>
            <w:tcW w:w="1134" w:type="dxa"/>
            <w:vAlign w:val="center"/>
          </w:tcPr>
          <w:p w14:paraId="69AF2D31">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课程目标2、3</w:t>
            </w:r>
          </w:p>
        </w:tc>
        <w:tc>
          <w:tcPr>
            <w:tcW w:w="3260" w:type="dxa"/>
            <w:vAlign w:val="center"/>
          </w:tcPr>
          <w:p w14:paraId="0065B1A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1）理解“统计与概率”教学设计的基本要求</w:t>
            </w:r>
          </w:p>
          <w:p w14:paraId="585E23D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2）了解“统计与概率”教学设计的要点，能够依据相关教学理论对有关教学设计案例进行全面分析与评价</w:t>
            </w:r>
          </w:p>
          <w:p w14:paraId="2E92FCA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3）能够独立进行“统计与概率”教学设计并付诸实施</w:t>
            </w:r>
          </w:p>
        </w:tc>
        <w:tc>
          <w:tcPr>
            <w:tcW w:w="1560" w:type="dxa"/>
            <w:vAlign w:val="center"/>
          </w:tcPr>
          <w:p w14:paraId="57F458D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5400B10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39935419">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640E09A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自主学习</w:t>
            </w:r>
          </w:p>
        </w:tc>
        <w:tc>
          <w:tcPr>
            <w:tcW w:w="438" w:type="dxa"/>
            <w:vAlign w:val="center"/>
          </w:tcPr>
          <w:p w14:paraId="09959CA6">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8</w:t>
            </w:r>
          </w:p>
        </w:tc>
      </w:tr>
      <w:tr w14:paraId="4168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7F3A819">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0984A98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1）能根据全面育人的思想进行具体的“统计与概率”教学设计。</w:t>
            </w:r>
            <w:r>
              <w:rPr>
                <w:rFonts w:hint="eastAsia" w:ascii="宋体" w:hAnsi="宋体" w:eastAsia="宋体" w:cs="Times New Roman"/>
                <w:color w:val="auto"/>
                <w:sz w:val="21"/>
                <w:szCs w:val="21"/>
              </w:rPr>
              <w:t>（</w:t>
            </w:r>
            <w:r>
              <w:rPr>
                <w:rFonts w:ascii="宋体" w:hAnsi="宋体" w:eastAsia="宋体" w:cs="Times New Roman"/>
                <w:color w:val="auto"/>
                <w:sz w:val="21"/>
                <w:szCs w:val="21"/>
              </w:rPr>
              <w:t>2）能在学习他人教学经验的基础上增强教学自信心。</w:t>
            </w:r>
          </w:p>
        </w:tc>
      </w:tr>
      <w:tr w14:paraId="75501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F7AB398">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7</w:t>
            </w:r>
            <w:r>
              <w:rPr>
                <w:rFonts w:ascii="宋体" w:hAnsi="宋体" w:eastAsia="宋体" w:cs="Times New Roman"/>
                <w:color w:val="auto"/>
                <w:sz w:val="21"/>
                <w:szCs w:val="21"/>
              </w:rPr>
              <w:t>.</w:t>
            </w:r>
            <w:r>
              <w:rPr>
                <w:rFonts w:hint="eastAsia"/>
                <w:color w:val="auto"/>
                <w:sz w:val="21"/>
                <w:szCs w:val="21"/>
              </w:rPr>
              <w:t xml:space="preserve"> </w:t>
            </w:r>
            <w:r>
              <w:rPr>
                <w:rFonts w:hint="eastAsia" w:ascii="宋体" w:hAnsi="宋体" w:eastAsia="宋体" w:cs="Times New Roman"/>
                <w:color w:val="auto"/>
                <w:sz w:val="21"/>
                <w:szCs w:val="21"/>
              </w:rPr>
              <w:t>“综合与实践”教学设计与实施</w:t>
            </w:r>
          </w:p>
        </w:tc>
        <w:tc>
          <w:tcPr>
            <w:tcW w:w="1701" w:type="dxa"/>
            <w:vAlign w:val="center"/>
          </w:tcPr>
          <w:p w14:paraId="5148C78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1）“综合与实践”教学设计的基本要求</w:t>
            </w:r>
          </w:p>
          <w:p w14:paraId="701B62E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2）“综合与实践”教学设计要点与案例分析</w:t>
            </w:r>
          </w:p>
          <w:p w14:paraId="65AD2D9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3）“综合与实践”教学的具体实施</w:t>
            </w:r>
          </w:p>
        </w:tc>
        <w:tc>
          <w:tcPr>
            <w:tcW w:w="1134" w:type="dxa"/>
            <w:vAlign w:val="center"/>
          </w:tcPr>
          <w:p w14:paraId="3FBB3B19">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课程目标2、3</w:t>
            </w:r>
          </w:p>
        </w:tc>
        <w:tc>
          <w:tcPr>
            <w:tcW w:w="3260" w:type="dxa"/>
            <w:vAlign w:val="center"/>
          </w:tcPr>
          <w:p w14:paraId="0CD6F2D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1）理解“综合与实践”教学设计的基本要求</w:t>
            </w:r>
          </w:p>
          <w:p w14:paraId="2D2FFEC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2）了解“综合与实践”教学设计的要点，能够依据相关教学理论对有关教学设计案例进行全面分析与评价</w:t>
            </w:r>
          </w:p>
          <w:p w14:paraId="254CC5E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3）能够独立进行“综合与实践”教学设计并付诸实施</w:t>
            </w:r>
          </w:p>
        </w:tc>
        <w:tc>
          <w:tcPr>
            <w:tcW w:w="1560" w:type="dxa"/>
            <w:vAlign w:val="center"/>
          </w:tcPr>
          <w:p w14:paraId="0D50BA3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6D0553A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006829C9">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3717A2F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自主学习</w:t>
            </w:r>
          </w:p>
        </w:tc>
        <w:tc>
          <w:tcPr>
            <w:tcW w:w="438" w:type="dxa"/>
            <w:vAlign w:val="center"/>
          </w:tcPr>
          <w:p w14:paraId="20D3B83F">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6</w:t>
            </w:r>
          </w:p>
        </w:tc>
      </w:tr>
      <w:tr w14:paraId="3C32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D2618B2">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598E1E6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1）能根据全面育人的思想进行具体的“综合与实践”教学设计。</w:t>
            </w:r>
            <w:r>
              <w:rPr>
                <w:rFonts w:hint="eastAsia" w:ascii="宋体" w:hAnsi="宋体" w:eastAsia="宋体" w:cs="Times New Roman"/>
                <w:color w:val="auto"/>
                <w:sz w:val="21"/>
                <w:szCs w:val="21"/>
              </w:rPr>
              <w:t>（</w:t>
            </w:r>
            <w:r>
              <w:rPr>
                <w:rFonts w:ascii="宋体" w:hAnsi="宋体" w:eastAsia="宋体" w:cs="Times New Roman"/>
                <w:color w:val="auto"/>
                <w:sz w:val="21"/>
                <w:szCs w:val="21"/>
              </w:rPr>
              <w:t>2）能在学习他人教学经验的基础上增强教学自信心。</w:t>
            </w:r>
          </w:p>
        </w:tc>
      </w:tr>
    </w:tbl>
    <w:p w14:paraId="43862556">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2"/>
          <w:szCs w:val="22"/>
        </w:rPr>
      </w:pPr>
      <w:r>
        <w:rPr>
          <w:rFonts w:hint="eastAsia" w:ascii="Times New Roman" w:hAnsi="Times New Roman" w:eastAsia="宋体" w:cs="Times New Roman"/>
          <w:b/>
          <w:color w:val="auto"/>
          <w:sz w:val="24"/>
        </w:rPr>
        <w:t>四、目标评价与成绩评定</w:t>
      </w:r>
    </w:p>
    <w:p w14:paraId="0C532B16">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6DA8B279">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1545"/>
        <w:gridCol w:w="1405"/>
        <w:gridCol w:w="1405"/>
        <w:gridCol w:w="1405"/>
        <w:gridCol w:w="846"/>
      </w:tblGrid>
      <w:tr w14:paraId="58A1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0" w:type="auto"/>
            <w:vMerge w:val="restart"/>
            <w:vAlign w:val="center"/>
          </w:tcPr>
          <w:p w14:paraId="033001F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0" w:type="auto"/>
            <w:gridSpan w:val="4"/>
            <w:vAlign w:val="center"/>
          </w:tcPr>
          <w:p w14:paraId="63C89A0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21C9DFF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11A0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0" w:type="auto"/>
            <w:vMerge w:val="continue"/>
            <w:vAlign w:val="center"/>
          </w:tcPr>
          <w:p w14:paraId="42680B13">
            <w:pPr>
              <w:spacing w:line="360" w:lineRule="auto"/>
              <w:jc w:val="center"/>
              <w:rPr>
                <w:rFonts w:hint="eastAsia" w:ascii="宋体" w:hAnsi="宋体" w:eastAsia="宋体" w:cs="Times New Roman"/>
                <w:color w:val="auto"/>
                <w:szCs w:val="21"/>
              </w:rPr>
            </w:pPr>
          </w:p>
        </w:tc>
        <w:tc>
          <w:tcPr>
            <w:tcW w:w="0" w:type="auto"/>
            <w:vAlign w:val="center"/>
          </w:tcPr>
          <w:p w14:paraId="2C7DA66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作业</w:t>
            </w:r>
            <w:r>
              <w:rPr>
                <w:rFonts w:ascii="宋体" w:hAnsi="宋体" w:eastAsia="宋体" w:cs="Times New Roman"/>
                <w:color w:val="auto"/>
                <w:szCs w:val="21"/>
              </w:rPr>
              <w:t>+考勤</w:t>
            </w:r>
          </w:p>
        </w:tc>
        <w:tc>
          <w:tcPr>
            <w:tcW w:w="0" w:type="auto"/>
            <w:vAlign w:val="center"/>
          </w:tcPr>
          <w:p w14:paraId="6B668B3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0" w:type="auto"/>
            <w:vAlign w:val="center"/>
          </w:tcPr>
          <w:p w14:paraId="57F7EB9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课内实践</w:t>
            </w:r>
          </w:p>
        </w:tc>
        <w:tc>
          <w:tcPr>
            <w:tcW w:w="0" w:type="auto"/>
            <w:vAlign w:val="center"/>
          </w:tcPr>
          <w:p w14:paraId="5D14D5D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0" w:type="auto"/>
            <w:vMerge w:val="continue"/>
            <w:vAlign w:val="center"/>
          </w:tcPr>
          <w:p w14:paraId="035C93D8">
            <w:pPr>
              <w:spacing w:line="360" w:lineRule="auto"/>
              <w:jc w:val="center"/>
              <w:rPr>
                <w:rFonts w:hint="eastAsia" w:ascii="宋体" w:hAnsi="宋体" w:eastAsia="宋体" w:cs="Times New Roman"/>
                <w:color w:val="auto"/>
                <w:szCs w:val="21"/>
              </w:rPr>
            </w:pPr>
          </w:p>
        </w:tc>
      </w:tr>
      <w:tr w14:paraId="05E1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0" w:type="auto"/>
            <w:vAlign w:val="center"/>
          </w:tcPr>
          <w:p w14:paraId="51950CE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0" w:type="auto"/>
            <w:vAlign w:val="center"/>
          </w:tcPr>
          <w:p w14:paraId="5E1C135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61ED74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834D2F9">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D8E65C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AE2B25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4</w:t>
            </w:r>
            <w:r>
              <w:rPr>
                <w:rFonts w:hint="eastAsia" w:ascii="宋体" w:hAnsi="宋体" w:eastAsia="宋体" w:cs="Times New Roman"/>
                <w:color w:val="auto"/>
                <w:szCs w:val="21"/>
              </w:rPr>
              <w:t>0</w:t>
            </w:r>
          </w:p>
        </w:tc>
      </w:tr>
      <w:tr w14:paraId="37B3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0" w:type="auto"/>
            <w:vAlign w:val="center"/>
          </w:tcPr>
          <w:p w14:paraId="3FA019C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0" w:type="auto"/>
            <w:vAlign w:val="center"/>
          </w:tcPr>
          <w:p w14:paraId="7C089F2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1CEBB8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2FC85B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CA220A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02CAC35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5601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0" w:type="auto"/>
            <w:vAlign w:val="center"/>
          </w:tcPr>
          <w:p w14:paraId="03F7FF0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0" w:type="auto"/>
            <w:vAlign w:val="center"/>
          </w:tcPr>
          <w:p w14:paraId="5BFF552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D72C069">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64C770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E7F1D30">
            <w:pPr>
              <w:spacing w:line="360" w:lineRule="auto"/>
              <w:jc w:val="center"/>
              <w:rPr>
                <w:rFonts w:hint="eastAsia" w:ascii="宋体" w:hAnsi="宋体" w:eastAsia="宋体" w:cs="Times New Roman"/>
                <w:color w:val="auto"/>
                <w:szCs w:val="21"/>
              </w:rPr>
            </w:pPr>
          </w:p>
        </w:tc>
        <w:tc>
          <w:tcPr>
            <w:tcW w:w="0" w:type="auto"/>
            <w:vAlign w:val="center"/>
          </w:tcPr>
          <w:p w14:paraId="0D8F858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2</w:t>
            </w:r>
            <w:r>
              <w:rPr>
                <w:rFonts w:hint="eastAsia" w:ascii="宋体" w:hAnsi="宋体" w:eastAsia="宋体" w:cs="Times New Roman"/>
                <w:color w:val="auto"/>
                <w:szCs w:val="21"/>
              </w:rPr>
              <w:t>0</w:t>
            </w:r>
          </w:p>
        </w:tc>
      </w:tr>
      <w:tr w14:paraId="00A5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0" w:type="auto"/>
            <w:vAlign w:val="center"/>
          </w:tcPr>
          <w:p w14:paraId="23D1E72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0" w:type="auto"/>
            <w:vAlign w:val="center"/>
          </w:tcPr>
          <w:p w14:paraId="469DE10B">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20</w:t>
            </w:r>
          </w:p>
        </w:tc>
        <w:tc>
          <w:tcPr>
            <w:tcW w:w="0" w:type="auto"/>
            <w:vAlign w:val="center"/>
          </w:tcPr>
          <w:p w14:paraId="31CF31F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0</w:t>
            </w:r>
          </w:p>
        </w:tc>
        <w:tc>
          <w:tcPr>
            <w:tcW w:w="0" w:type="auto"/>
            <w:vAlign w:val="center"/>
          </w:tcPr>
          <w:p w14:paraId="74BCE22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0</w:t>
            </w:r>
          </w:p>
        </w:tc>
        <w:tc>
          <w:tcPr>
            <w:tcW w:w="0" w:type="auto"/>
            <w:vAlign w:val="center"/>
          </w:tcPr>
          <w:p w14:paraId="0D3D54C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w:t>
            </w:r>
            <w:r>
              <w:rPr>
                <w:rFonts w:ascii="宋体" w:hAnsi="宋体" w:eastAsia="宋体" w:cs="Times New Roman"/>
                <w:color w:val="auto"/>
                <w:szCs w:val="21"/>
              </w:rPr>
              <w:t>0</w:t>
            </w:r>
          </w:p>
        </w:tc>
        <w:tc>
          <w:tcPr>
            <w:tcW w:w="0" w:type="auto"/>
            <w:vAlign w:val="center"/>
          </w:tcPr>
          <w:p w14:paraId="04E92E6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586C89B0">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56EB02BF">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6625"/>
        <w:gridCol w:w="706"/>
      </w:tblGrid>
      <w:tr w14:paraId="0D92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14:paraId="1D0A5D6A">
            <w:pPr>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w:t>
            </w:r>
          </w:p>
          <w:p w14:paraId="62343A8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方式</w:t>
            </w:r>
          </w:p>
        </w:tc>
        <w:tc>
          <w:tcPr>
            <w:tcW w:w="6625" w:type="dxa"/>
            <w:vAlign w:val="center"/>
          </w:tcPr>
          <w:p w14:paraId="08B69182">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5EF8E5B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78F6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14:paraId="6A83157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作业</w:t>
            </w:r>
            <w:r>
              <w:rPr>
                <w:rFonts w:ascii="Times New Roman" w:hAnsi="Times New Roman" w:eastAsia="宋体" w:cs="Times New Roman"/>
                <w:color w:val="auto"/>
                <w:szCs w:val="21"/>
              </w:rPr>
              <w:t>+</w:t>
            </w:r>
          </w:p>
          <w:p w14:paraId="49945E8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考勤</w:t>
            </w:r>
          </w:p>
        </w:tc>
        <w:tc>
          <w:tcPr>
            <w:tcW w:w="6625" w:type="dxa"/>
            <w:vAlign w:val="center"/>
          </w:tcPr>
          <w:p w14:paraId="5BFC2149">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w:t>
            </w:r>
            <w:r>
              <w:rPr>
                <w:rFonts w:ascii="Times New Roman" w:hAnsi="Times New Roman" w:eastAsia="宋体" w:cs="Times New Roman"/>
                <w:color w:val="auto"/>
                <w:szCs w:val="21"/>
              </w:rPr>
              <w:t>5</w:t>
            </w:r>
            <w:r>
              <w:rPr>
                <w:rFonts w:hint="eastAsia" w:ascii="Times New Roman" w:hAnsi="Times New Roman" w:eastAsia="宋体" w:cs="Times New Roman"/>
                <w:color w:val="auto"/>
                <w:szCs w:val="21"/>
              </w:rPr>
              <w:t>次，平时总评</w:t>
            </w:r>
            <w:r>
              <w:rPr>
                <w:rFonts w:ascii="Times New Roman" w:hAnsi="Times New Roman" w:eastAsia="宋体" w:cs="Times New Roman"/>
                <w:color w:val="auto"/>
                <w:szCs w:val="21"/>
              </w:rPr>
              <w:t>=作业平均—考勤扣分，旷课1次扣5分，事假一次扣2分，迟到1次扣1分，病假不扣分（但病假次数达本学期总授课学时的1/3以上者不得参加考核）。</w:t>
            </w:r>
          </w:p>
        </w:tc>
        <w:tc>
          <w:tcPr>
            <w:tcW w:w="0" w:type="auto"/>
            <w:vAlign w:val="center"/>
          </w:tcPr>
          <w:p w14:paraId="7295D418">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0%</w:t>
            </w:r>
          </w:p>
        </w:tc>
      </w:tr>
      <w:tr w14:paraId="4F23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14:paraId="0E782771">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课堂</w:t>
            </w:r>
          </w:p>
          <w:p w14:paraId="2603518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表现</w:t>
            </w:r>
          </w:p>
        </w:tc>
        <w:tc>
          <w:tcPr>
            <w:tcW w:w="6625" w:type="dxa"/>
            <w:vAlign w:val="center"/>
          </w:tcPr>
          <w:p w14:paraId="685B42F1">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课堂表现。</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按照对应的课程目标及权重给予评定</w:t>
            </w:r>
            <w:r>
              <w:rPr>
                <w:rFonts w:hint="eastAsia" w:ascii="宋体" w:hAnsi="宋体" w:eastAsia="宋体" w:cs="宋体"/>
                <w:color w:val="auto"/>
                <w:kern w:val="0"/>
                <w:szCs w:val="21"/>
                <w:lang w:bidi="ar"/>
              </w:rPr>
              <w:t>。</w:t>
            </w:r>
          </w:p>
        </w:tc>
        <w:tc>
          <w:tcPr>
            <w:tcW w:w="0" w:type="auto"/>
            <w:vAlign w:val="center"/>
          </w:tcPr>
          <w:p w14:paraId="1023F96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6C9D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14:paraId="72F0FEBE">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课内</w:t>
            </w:r>
          </w:p>
          <w:p w14:paraId="304E2AB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实践</w:t>
            </w:r>
          </w:p>
        </w:tc>
        <w:tc>
          <w:tcPr>
            <w:tcW w:w="6625" w:type="dxa"/>
            <w:vAlign w:val="center"/>
          </w:tcPr>
          <w:p w14:paraId="41C89840">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认真完成</w:t>
            </w:r>
            <w:r>
              <w:rPr>
                <w:rFonts w:ascii="宋体" w:hAnsi="宋体" w:eastAsia="宋体" w:cs="宋体"/>
                <w:color w:val="auto"/>
                <w:kern w:val="0"/>
                <w:szCs w:val="21"/>
                <w:lang w:bidi="ar"/>
              </w:rPr>
              <w:t>4个项目的课内实践，提交相应的教材教学</w:t>
            </w:r>
            <w:r>
              <w:rPr>
                <w:rFonts w:hint="eastAsia" w:ascii="宋体" w:hAnsi="宋体" w:eastAsia="宋体" w:cs="宋体"/>
                <w:color w:val="auto"/>
                <w:kern w:val="0"/>
                <w:szCs w:val="21"/>
                <w:lang w:bidi="ar"/>
              </w:rPr>
              <w:t>设计</w:t>
            </w:r>
            <w:r>
              <w:rPr>
                <w:rFonts w:ascii="宋体" w:hAnsi="宋体" w:eastAsia="宋体" w:cs="宋体"/>
                <w:color w:val="auto"/>
                <w:kern w:val="0"/>
                <w:szCs w:val="21"/>
                <w:lang w:bidi="ar"/>
              </w:rPr>
              <w:t>，并尝试进行模拟教学；实行组内互评与教师评价相结合的方式。4个项目成绩取平均分作为课内实践分。</w:t>
            </w:r>
          </w:p>
        </w:tc>
        <w:tc>
          <w:tcPr>
            <w:tcW w:w="0" w:type="auto"/>
            <w:vAlign w:val="center"/>
          </w:tcPr>
          <w:p w14:paraId="4785A1D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0%</w:t>
            </w:r>
          </w:p>
        </w:tc>
      </w:tr>
      <w:tr w14:paraId="122B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14:paraId="5D35C731">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期末</w:t>
            </w:r>
          </w:p>
          <w:p w14:paraId="7E172B8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考试</w:t>
            </w:r>
          </w:p>
        </w:tc>
        <w:tc>
          <w:tcPr>
            <w:tcW w:w="6625" w:type="dxa"/>
            <w:vAlign w:val="center"/>
          </w:tcPr>
          <w:p w14:paraId="59EE1D61">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试卷题型包括选择题、简答题、论述题、设计题等题型，一方面考核师范生小学数学教学设计知识的掌握情况，另一方面考核师范生进行数学</w:t>
            </w:r>
            <w:r>
              <w:rPr>
                <w:rFonts w:ascii="Times New Roman" w:hAnsi="Times New Roman" w:eastAsia="宋体" w:cs="Times New Roman"/>
                <w:color w:val="auto"/>
                <w:szCs w:val="21"/>
              </w:rPr>
              <w:t>教学</w:t>
            </w:r>
            <w:r>
              <w:rPr>
                <w:rFonts w:hint="eastAsia" w:ascii="Times New Roman" w:hAnsi="Times New Roman" w:eastAsia="宋体" w:cs="Times New Roman"/>
                <w:color w:val="auto"/>
                <w:szCs w:val="21"/>
              </w:rPr>
              <w:t>的能力</w:t>
            </w:r>
            <w:r>
              <w:rPr>
                <w:rFonts w:ascii="Times New Roman" w:hAnsi="Times New Roman" w:eastAsia="宋体" w:cs="Times New Roman"/>
                <w:color w:val="auto"/>
                <w:szCs w:val="21"/>
              </w:rPr>
              <w:t>。</w:t>
            </w:r>
          </w:p>
        </w:tc>
        <w:tc>
          <w:tcPr>
            <w:tcW w:w="0" w:type="auto"/>
            <w:vAlign w:val="center"/>
          </w:tcPr>
          <w:p w14:paraId="1EEA00C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5D22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5" w:type="dxa"/>
            <w:vAlign w:val="center"/>
          </w:tcPr>
          <w:p w14:paraId="399FD667">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6625" w:type="dxa"/>
            <w:vAlign w:val="center"/>
          </w:tcPr>
          <w:p w14:paraId="43F0EFF4">
            <w:pPr>
              <w:jc w:val="left"/>
              <w:rPr>
                <w:rFonts w:ascii="Times New Roman" w:hAnsi="Times New Roman" w:eastAsia="宋体" w:cs="Times New Roman"/>
                <w:color w:val="auto"/>
                <w:szCs w:val="21"/>
              </w:rPr>
            </w:pPr>
          </w:p>
        </w:tc>
        <w:tc>
          <w:tcPr>
            <w:tcW w:w="0" w:type="auto"/>
            <w:vAlign w:val="center"/>
          </w:tcPr>
          <w:p w14:paraId="0D3248D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093E80D5">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3DE125D3">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0174DD35">
      <w:pPr>
        <w:spacing w:before="156" w:beforeLines="50"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object>
          <v:shape id="_x0000_i1064"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64" DrawAspect="Content" ObjectID="_1468075763" r:id="rId50">
            <o:LockedField>false</o:LockedField>
          </o:OLEObject>
        </w:object>
      </w:r>
    </w:p>
    <w:p w14:paraId="7B56EDA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五、课内实践</w:t>
      </w:r>
    </w:p>
    <w:p w14:paraId="50E810BC">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本课程在理论教学的基础上，安排了4个课内实践项目（共</w:t>
      </w:r>
      <w:r>
        <w:rPr>
          <w:rFonts w:ascii="宋体" w:hAnsi="宋体" w:eastAsia="宋体"/>
          <w:color w:val="auto"/>
          <w:szCs w:val="21"/>
        </w:rPr>
        <w:t>16</w:t>
      </w:r>
      <w:r>
        <w:rPr>
          <w:rFonts w:hint="eastAsia" w:ascii="宋体" w:hAnsi="宋体" w:eastAsia="宋体"/>
          <w:color w:val="auto"/>
          <w:szCs w:val="21"/>
        </w:rPr>
        <w:t>学时），体现了理论与实践的结合，强化对学生的课程思政。</w:t>
      </w:r>
    </w:p>
    <w:tbl>
      <w:tblPr>
        <w:tblStyle w:val="30"/>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3083"/>
        <w:gridCol w:w="675"/>
        <w:gridCol w:w="3088"/>
      </w:tblGrid>
      <w:tr w14:paraId="2D61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673" w:type="dxa"/>
            <w:vAlign w:val="center"/>
          </w:tcPr>
          <w:p w14:paraId="5C2C3401">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活动主题</w:t>
            </w:r>
          </w:p>
        </w:tc>
        <w:tc>
          <w:tcPr>
            <w:tcW w:w="3083" w:type="dxa"/>
            <w:vAlign w:val="center"/>
          </w:tcPr>
          <w:p w14:paraId="26D3E734">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活动内容</w:t>
            </w:r>
          </w:p>
        </w:tc>
        <w:tc>
          <w:tcPr>
            <w:tcW w:w="675" w:type="dxa"/>
            <w:vAlign w:val="center"/>
          </w:tcPr>
          <w:p w14:paraId="2A596B64">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活动方式</w:t>
            </w:r>
          </w:p>
        </w:tc>
        <w:tc>
          <w:tcPr>
            <w:tcW w:w="3088" w:type="dxa"/>
            <w:vAlign w:val="center"/>
          </w:tcPr>
          <w:p w14:paraId="4379A954">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思政目标</w:t>
            </w:r>
          </w:p>
        </w:tc>
      </w:tr>
      <w:tr w14:paraId="16A7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673" w:type="dxa"/>
            <w:vAlign w:val="center"/>
          </w:tcPr>
          <w:p w14:paraId="1DC42FE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“数与代数”教材教学设计与模拟教学</w:t>
            </w:r>
          </w:p>
        </w:tc>
        <w:tc>
          <w:tcPr>
            <w:tcW w:w="3083" w:type="dxa"/>
            <w:vAlign w:val="center"/>
          </w:tcPr>
          <w:p w14:paraId="0A6EDD68">
            <w:pPr>
              <w:spacing w:line="24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选择一个“数与代数”领域的内容，深入钻研教材，撰写一份教学方案，并进行模拟教学。</w:t>
            </w:r>
          </w:p>
        </w:tc>
        <w:tc>
          <w:tcPr>
            <w:tcW w:w="675" w:type="dxa"/>
            <w:vAlign w:val="center"/>
          </w:tcPr>
          <w:p w14:paraId="5A309780">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设计</w:t>
            </w:r>
          </w:p>
          <w:p w14:paraId="1530F69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教学</w:t>
            </w:r>
          </w:p>
        </w:tc>
        <w:tc>
          <w:tcPr>
            <w:tcW w:w="3088" w:type="dxa"/>
          </w:tcPr>
          <w:p w14:paraId="1271110B">
            <w:pPr>
              <w:spacing w:line="24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能根据全面育人的思想进行具体的“数与代数”教学设计。养成科学、严谨的教学态度，增强教学自信心。</w:t>
            </w:r>
          </w:p>
        </w:tc>
      </w:tr>
      <w:tr w14:paraId="77634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673" w:type="dxa"/>
            <w:vAlign w:val="center"/>
          </w:tcPr>
          <w:p w14:paraId="360F286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“图形与几何”教材教学设计与模拟教学</w:t>
            </w:r>
          </w:p>
        </w:tc>
        <w:tc>
          <w:tcPr>
            <w:tcW w:w="3083" w:type="dxa"/>
            <w:vAlign w:val="center"/>
          </w:tcPr>
          <w:p w14:paraId="7E8E1F8E">
            <w:pPr>
              <w:spacing w:line="24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选择一个“图形与几何”领域的内容，深入钻研教材，撰写一份教学方案，并进行模拟教学。</w:t>
            </w:r>
          </w:p>
        </w:tc>
        <w:tc>
          <w:tcPr>
            <w:tcW w:w="675" w:type="dxa"/>
            <w:vAlign w:val="center"/>
          </w:tcPr>
          <w:p w14:paraId="2D5D7B81">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设计</w:t>
            </w:r>
          </w:p>
          <w:p w14:paraId="7657D382">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教学</w:t>
            </w:r>
          </w:p>
        </w:tc>
        <w:tc>
          <w:tcPr>
            <w:tcW w:w="3088" w:type="dxa"/>
          </w:tcPr>
          <w:p w14:paraId="225A25A7">
            <w:pPr>
              <w:spacing w:line="24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能根据全面育人的思想进行具体的“图形与几何”教学设计。养成科学、严谨的教学态度，增强教学自信心。</w:t>
            </w:r>
          </w:p>
        </w:tc>
      </w:tr>
      <w:tr w14:paraId="7002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673" w:type="dxa"/>
            <w:vAlign w:val="center"/>
          </w:tcPr>
          <w:p w14:paraId="35F0544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“统计与概率”教材教学设计与模拟教学</w:t>
            </w:r>
          </w:p>
        </w:tc>
        <w:tc>
          <w:tcPr>
            <w:tcW w:w="3083" w:type="dxa"/>
            <w:vAlign w:val="center"/>
          </w:tcPr>
          <w:p w14:paraId="5FDE2466">
            <w:pPr>
              <w:spacing w:line="24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选择一个“统计与概率”领域的内容，深入钻研教材，撰写一份教学方案，并进行模拟教学。</w:t>
            </w:r>
          </w:p>
        </w:tc>
        <w:tc>
          <w:tcPr>
            <w:tcW w:w="675" w:type="dxa"/>
            <w:vAlign w:val="center"/>
          </w:tcPr>
          <w:p w14:paraId="68273984">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设计</w:t>
            </w:r>
          </w:p>
          <w:p w14:paraId="43D65C56">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教学</w:t>
            </w:r>
          </w:p>
        </w:tc>
        <w:tc>
          <w:tcPr>
            <w:tcW w:w="3088" w:type="dxa"/>
          </w:tcPr>
          <w:p w14:paraId="11A131DA">
            <w:pPr>
              <w:spacing w:line="24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能根据全面育人的思想进行具体的“统计与概率”教学设计。养成科学、严谨的教学态度，增强教学自信心。</w:t>
            </w:r>
          </w:p>
        </w:tc>
      </w:tr>
      <w:tr w14:paraId="274E9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673" w:type="dxa"/>
            <w:vAlign w:val="center"/>
          </w:tcPr>
          <w:p w14:paraId="1E8BB49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“综合与实践”教材教学设计与模拟教学</w:t>
            </w:r>
          </w:p>
        </w:tc>
        <w:tc>
          <w:tcPr>
            <w:tcW w:w="3083" w:type="dxa"/>
            <w:vAlign w:val="center"/>
          </w:tcPr>
          <w:p w14:paraId="709B18E2">
            <w:pPr>
              <w:spacing w:line="24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选择一个“综合与实践”领域的内容，深入钻研教材，撰写一份教学方案，并进行模拟教学。</w:t>
            </w:r>
          </w:p>
        </w:tc>
        <w:tc>
          <w:tcPr>
            <w:tcW w:w="675" w:type="dxa"/>
            <w:vAlign w:val="center"/>
          </w:tcPr>
          <w:p w14:paraId="091679C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设计</w:t>
            </w:r>
          </w:p>
          <w:p w14:paraId="3E49D16E">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教学</w:t>
            </w:r>
          </w:p>
        </w:tc>
        <w:tc>
          <w:tcPr>
            <w:tcW w:w="3088" w:type="dxa"/>
            <w:vAlign w:val="center"/>
          </w:tcPr>
          <w:p w14:paraId="30F44D84">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能根据全面育人的思想进行具体的“综合与实践”教学设计。</w:t>
            </w:r>
            <w:r>
              <w:rPr>
                <w:rFonts w:hint="eastAsia" w:ascii="宋体" w:hAnsi="宋体" w:eastAsia="宋体" w:cs="Times New Roman"/>
                <w:color w:val="auto"/>
                <w:sz w:val="21"/>
                <w:szCs w:val="21"/>
              </w:rPr>
              <w:t>养成科学、严谨的教学态度，增强教学自信心。</w:t>
            </w:r>
          </w:p>
        </w:tc>
      </w:tr>
    </w:tbl>
    <w:p w14:paraId="21BA7E9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六、有关说明</w:t>
      </w:r>
    </w:p>
    <w:p w14:paraId="0A97A0D5">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5C53B948">
      <w:pPr>
        <w:spacing w:line="360" w:lineRule="auto"/>
        <w:ind w:firstLine="315" w:firstLineChars="150"/>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本课程根据学生作业、课堂讨论、实践环节和学生、教学督导等的反馈，及时对教学中的不足之处进行改进，并在下一轮课程教学中整改完善，确保相应毕业要求指标点达成。</w:t>
      </w:r>
    </w:p>
    <w:p w14:paraId="7601B868">
      <w:pPr>
        <w:spacing w:line="360" w:lineRule="auto"/>
        <w:ind w:firstLine="527" w:firstLineChars="25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3B0C745A">
      <w:pPr>
        <w:spacing w:line="360" w:lineRule="auto"/>
        <w:ind w:firstLine="525" w:firstLineChars="250"/>
        <w:jc w:val="left"/>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沈丹丹,杨宏</w:t>
      </w:r>
      <w:r>
        <w:rPr>
          <w:rFonts w:ascii="Times New Roman" w:hAnsi="Times New Roman" w:eastAsia="宋体" w:cs="Times New Roman"/>
          <w:bCs/>
          <w:color w:val="auto"/>
          <w:szCs w:val="21"/>
        </w:rPr>
        <w:t>.小学数学教学设计与案例分析</w:t>
      </w:r>
      <w:r>
        <w:rPr>
          <w:rFonts w:hint="eastAsia" w:ascii="Times New Roman" w:hAnsi="Times New Roman" w:eastAsia="宋体" w:cs="Times New Roman"/>
          <w:bCs/>
          <w:color w:val="auto"/>
          <w:szCs w:val="21"/>
        </w:rPr>
        <w:t>（第二版）</w:t>
      </w:r>
      <w:r>
        <w:rPr>
          <w:rFonts w:ascii="Times New Roman" w:hAnsi="Times New Roman" w:eastAsia="宋体" w:cs="Times New Roman"/>
          <w:bCs/>
          <w:color w:val="auto"/>
          <w:szCs w:val="21"/>
        </w:rPr>
        <w:t>.北京：中国人民大学出版社，2023.</w:t>
      </w:r>
    </w:p>
    <w:p w14:paraId="67D88339">
      <w:pPr>
        <w:spacing w:line="360" w:lineRule="auto"/>
        <w:ind w:firstLine="527" w:firstLineChars="25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782F1C70">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w:t>
      </w:r>
      <w:r>
        <w:rPr>
          <w:rFonts w:hint="eastAsia" w:ascii="宋体" w:hAnsi="宋体" w:eastAsia="宋体" w:cs="Times New Roman"/>
          <w:color w:val="auto"/>
          <w:szCs w:val="21"/>
        </w:rPr>
        <w:t>教育部.义务教育</w:t>
      </w:r>
      <w:r>
        <w:rPr>
          <w:rFonts w:ascii="宋体" w:hAnsi="宋体" w:eastAsia="宋体" w:cs="Times New Roman"/>
          <w:color w:val="auto"/>
          <w:szCs w:val="21"/>
        </w:rPr>
        <w:t>数学课程标准</w:t>
      </w:r>
      <w:r>
        <w:rPr>
          <w:rFonts w:hint="eastAsia" w:ascii="宋体" w:hAnsi="宋体" w:eastAsia="宋体" w:cs="Times New Roman"/>
          <w:color w:val="auto"/>
          <w:szCs w:val="21"/>
        </w:rPr>
        <w:t>（20</w:t>
      </w:r>
      <w:r>
        <w:rPr>
          <w:rFonts w:ascii="宋体" w:hAnsi="宋体" w:eastAsia="宋体" w:cs="Times New Roman"/>
          <w:color w:val="auto"/>
          <w:szCs w:val="21"/>
        </w:rPr>
        <w:t>22</w:t>
      </w:r>
      <w:r>
        <w:rPr>
          <w:rFonts w:hint="eastAsia" w:ascii="宋体" w:hAnsi="宋体" w:eastAsia="宋体" w:cs="Times New Roman"/>
          <w:color w:val="auto"/>
          <w:szCs w:val="21"/>
        </w:rPr>
        <w:t>年</w:t>
      </w:r>
      <w:r>
        <w:rPr>
          <w:rFonts w:ascii="宋体" w:hAnsi="宋体" w:eastAsia="宋体" w:cs="Times New Roman"/>
          <w:color w:val="auto"/>
          <w:szCs w:val="21"/>
        </w:rPr>
        <w:t>版）</w:t>
      </w:r>
      <w:r>
        <w:rPr>
          <w:rFonts w:hint="eastAsia" w:ascii="宋体" w:hAnsi="宋体" w:eastAsia="宋体" w:cs="Times New Roman"/>
          <w:color w:val="auto"/>
          <w:szCs w:val="21"/>
        </w:rPr>
        <w:t>.北京：北京师范</w:t>
      </w:r>
      <w:r>
        <w:rPr>
          <w:rFonts w:ascii="宋体" w:hAnsi="宋体" w:eastAsia="宋体" w:cs="Times New Roman"/>
          <w:color w:val="auto"/>
          <w:szCs w:val="21"/>
        </w:rPr>
        <w:t>大学</w:t>
      </w:r>
      <w:r>
        <w:rPr>
          <w:rFonts w:hint="eastAsia" w:ascii="宋体" w:hAnsi="宋体" w:eastAsia="宋体" w:cs="Times New Roman"/>
          <w:color w:val="auto"/>
          <w:szCs w:val="21"/>
        </w:rPr>
        <w:t>大学出版社.20</w:t>
      </w:r>
      <w:r>
        <w:rPr>
          <w:rFonts w:ascii="宋体" w:hAnsi="宋体" w:eastAsia="宋体" w:cs="Times New Roman"/>
          <w:color w:val="auto"/>
          <w:szCs w:val="21"/>
        </w:rPr>
        <w:t>22</w:t>
      </w:r>
      <w:r>
        <w:rPr>
          <w:rFonts w:hint="eastAsia" w:ascii="宋体" w:hAnsi="宋体" w:eastAsia="宋体" w:cs="Times New Roman"/>
          <w:color w:val="auto"/>
          <w:szCs w:val="21"/>
        </w:rPr>
        <w:t>.</w:t>
      </w:r>
    </w:p>
    <w:p w14:paraId="4262E2C2">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w:t>
      </w:r>
      <w:r>
        <w:rPr>
          <w:rFonts w:hint="eastAsia" w:ascii="宋体" w:hAnsi="宋体" w:eastAsia="宋体" w:cs="Times New Roman"/>
          <w:color w:val="auto"/>
          <w:szCs w:val="21"/>
        </w:rPr>
        <w:t>教育部.义务教育</w:t>
      </w:r>
      <w:r>
        <w:rPr>
          <w:rFonts w:ascii="宋体" w:hAnsi="宋体" w:eastAsia="宋体" w:cs="Times New Roman"/>
          <w:color w:val="auto"/>
          <w:szCs w:val="21"/>
        </w:rPr>
        <w:t>数学课程标准</w:t>
      </w:r>
      <w:r>
        <w:rPr>
          <w:rFonts w:hint="eastAsia" w:ascii="宋体" w:hAnsi="宋体" w:eastAsia="宋体" w:cs="Times New Roman"/>
          <w:color w:val="auto"/>
          <w:szCs w:val="21"/>
        </w:rPr>
        <w:t>（2011年</w:t>
      </w:r>
      <w:r>
        <w:rPr>
          <w:rFonts w:ascii="宋体" w:hAnsi="宋体" w:eastAsia="宋体" w:cs="Times New Roman"/>
          <w:color w:val="auto"/>
          <w:szCs w:val="21"/>
        </w:rPr>
        <w:t>版）</w:t>
      </w:r>
      <w:r>
        <w:rPr>
          <w:rFonts w:hint="eastAsia" w:ascii="宋体" w:hAnsi="宋体" w:eastAsia="宋体" w:cs="Times New Roman"/>
          <w:color w:val="auto"/>
          <w:szCs w:val="21"/>
        </w:rPr>
        <w:t>.北京：北京师范</w:t>
      </w:r>
      <w:r>
        <w:rPr>
          <w:rFonts w:ascii="宋体" w:hAnsi="宋体" w:eastAsia="宋体" w:cs="Times New Roman"/>
          <w:color w:val="auto"/>
          <w:szCs w:val="21"/>
        </w:rPr>
        <w:t>大学</w:t>
      </w:r>
      <w:r>
        <w:rPr>
          <w:rFonts w:hint="eastAsia" w:ascii="宋体" w:hAnsi="宋体" w:eastAsia="宋体" w:cs="Times New Roman"/>
          <w:color w:val="auto"/>
          <w:szCs w:val="21"/>
        </w:rPr>
        <w:t>大学出版社.201</w:t>
      </w:r>
      <w:r>
        <w:rPr>
          <w:rFonts w:ascii="宋体" w:hAnsi="宋体" w:eastAsia="宋体" w:cs="Times New Roman"/>
          <w:color w:val="auto"/>
          <w:szCs w:val="21"/>
        </w:rPr>
        <w:t>2</w:t>
      </w:r>
      <w:r>
        <w:rPr>
          <w:rFonts w:hint="eastAsia" w:ascii="宋体" w:hAnsi="宋体" w:eastAsia="宋体" w:cs="Times New Roman"/>
          <w:color w:val="auto"/>
          <w:szCs w:val="21"/>
        </w:rPr>
        <w:t>.</w:t>
      </w:r>
    </w:p>
    <w:p w14:paraId="66A1FFDF">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w:t>
      </w:r>
      <w:r>
        <w:rPr>
          <w:rFonts w:hint="eastAsia" w:ascii="宋体" w:hAnsi="宋体" w:eastAsia="宋体" w:cs="Times New Roman"/>
          <w:color w:val="auto"/>
          <w:szCs w:val="21"/>
        </w:rPr>
        <w:t>张奠宙，宋乃庆，金成梁.小学数学教学案例研究.北京:高等教育出版社，2010.</w:t>
      </w:r>
    </w:p>
    <w:p w14:paraId="6FE1EE38">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ascii="宋体" w:hAnsi="宋体" w:eastAsia="宋体" w:cs="Times New Roman"/>
          <w:color w:val="auto"/>
          <w:szCs w:val="21"/>
        </w:rPr>
        <w:t>吕彬.小学数学课程教学与示例导引.北京：教育科学出版社，2014.</w:t>
      </w:r>
    </w:p>
    <w:p w14:paraId="497CBCE0">
      <w:pPr>
        <w:spacing w:line="360" w:lineRule="auto"/>
        <w:ind w:firstLine="420" w:firstLineChars="200"/>
        <w:rPr>
          <w:rFonts w:hint="eastAsia" w:ascii="宋体" w:hAnsi="宋体" w:eastAsia="宋体" w:cs="Times New Roman"/>
          <w:color w:val="auto"/>
          <w:szCs w:val="21"/>
        </w:rPr>
      </w:pPr>
      <w:r>
        <w:rPr>
          <w:rFonts w:ascii="宋体" w:hAnsi="宋体" w:eastAsia="宋体" w:cs="Times New Roman"/>
          <w:color w:val="auto"/>
          <w:szCs w:val="21"/>
        </w:rPr>
        <w:t>5.</w:t>
      </w:r>
      <w:r>
        <w:rPr>
          <w:rFonts w:hint="eastAsia" w:ascii="宋体" w:hAnsi="宋体" w:eastAsia="宋体" w:cs="Times New Roman"/>
          <w:color w:val="auto"/>
          <w:szCs w:val="21"/>
        </w:rPr>
        <w:t>马云鹏</w:t>
      </w:r>
      <w:r>
        <w:rPr>
          <w:rFonts w:ascii="宋体" w:hAnsi="宋体" w:eastAsia="宋体" w:cs="Times New Roman"/>
          <w:color w:val="auto"/>
          <w:szCs w:val="21"/>
        </w:rPr>
        <w:t>.小学数学教学论（第四版）.北京：人民教育出版社，2013.</w:t>
      </w:r>
    </w:p>
    <w:p w14:paraId="5166B1D2">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6</w:t>
      </w:r>
      <w:r>
        <w:rPr>
          <w:rFonts w:ascii="宋体" w:hAnsi="宋体" w:eastAsia="宋体" w:cs="Times New Roman"/>
          <w:color w:val="auto"/>
          <w:szCs w:val="21"/>
        </w:rPr>
        <w:t>.</w:t>
      </w:r>
      <w:r>
        <w:rPr>
          <w:rFonts w:hint="eastAsia" w:ascii="宋体" w:hAnsi="宋体" w:eastAsia="宋体" w:cs="Times New Roman"/>
          <w:color w:val="auto"/>
          <w:szCs w:val="21"/>
        </w:rPr>
        <w:t>周淑红.小学数学课程与教学.北京：教育科学出版社，2013.</w:t>
      </w:r>
    </w:p>
    <w:p w14:paraId="55F939EE">
      <w:pPr>
        <w:spacing w:line="360" w:lineRule="auto"/>
        <w:ind w:firstLine="420" w:firstLineChars="200"/>
        <w:rPr>
          <w:color w:val="auto"/>
          <w:szCs w:val="21"/>
        </w:rPr>
      </w:pPr>
      <w:r>
        <w:rPr>
          <w:rFonts w:hint="eastAsia" w:ascii="宋体" w:hAnsi="宋体" w:eastAsia="宋体" w:cs="Times New Roman"/>
          <w:color w:val="auto"/>
          <w:szCs w:val="21"/>
        </w:rPr>
        <w:t>7</w:t>
      </w:r>
      <w:r>
        <w:rPr>
          <w:rFonts w:ascii="宋体" w:hAnsi="宋体" w:eastAsia="宋体" w:cs="Times New Roman"/>
          <w:color w:val="auto"/>
          <w:szCs w:val="21"/>
        </w:rPr>
        <w:t>.</w:t>
      </w:r>
      <w:r>
        <w:rPr>
          <w:rFonts w:hint="eastAsia" w:ascii="宋体" w:hAnsi="宋体" w:eastAsia="宋体" w:cs="Times New Roman"/>
          <w:color w:val="auto"/>
          <w:szCs w:val="21"/>
        </w:rPr>
        <w:t>课程教材研究所,数学课程教材研究开发中心.小学数学教学与研究.北京:人民教育出版社，2003.</w:t>
      </w:r>
    </w:p>
    <w:p w14:paraId="0E9F62D4">
      <w:pPr>
        <w:keepNext w:val="0"/>
        <w:keepLines w:val="0"/>
        <w:pageBreakBefore w:val="0"/>
        <w:widowControl w:val="0"/>
        <w:kinsoku/>
        <w:overflowPunct/>
        <w:topLinePunct w:val="0"/>
        <w:autoSpaceDE/>
        <w:autoSpaceDN/>
        <w:bidi w:val="0"/>
        <w:adjustRightInd/>
        <w:snapToGrid/>
        <w:spacing w:line="240" w:lineRule="auto"/>
        <w:ind w:right="0" w:firstLine="0" w:firstLineChars="0"/>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执 笔 人：谢国忠</w:t>
      </w:r>
    </w:p>
    <w:p w14:paraId="139F078E">
      <w:pPr>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定 人：王</w:t>
      </w:r>
      <w:r>
        <w:rPr>
          <w:rFonts w:hint="eastAsia"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rPr>
        <w:t xml:space="preserve"> 健</w:t>
      </w:r>
    </w:p>
    <w:p w14:paraId="56F19053">
      <w:pPr>
        <w:keepNext w:val="0"/>
        <w:keepLines w:val="0"/>
        <w:pageBreakBefore w:val="0"/>
        <w:widowControl w:val="0"/>
        <w:kinsoku/>
        <w:overflowPunct/>
        <w:topLinePunct w:val="0"/>
        <w:autoSpaceDE/>
        <w:autoSpaceDN/>
        <w:bidi w:val="0"/>
        <w:adjustRightInd/>
        <w:snapToGrid/>
        <w:spacing w:line="240" w:lineRule="auto"/>
        <w:ind w:right="0" w:firstLine="0" w:firstLineChars="0"/>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批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张志欣</w:t>
      </w:r>
    </w:p>
    <w:p w14:paraId="0C3AB3C5">
      <w:pPr>
        <w:keepNext w:val="0"/>
        <w:keepLines w:val="0"/>
        <w:pageBreakBefore w:val="0"/>
        <w:widowControl w:val="0"/>
        <w:kinsoku/>
        <w:overflowPunct/>
        <w:topLinePunct w:val="0"/>
        <w:autoSpaceDE/>
        <w:autoSpaceDN/>
        <w:bidi w:val="0"/>
        <w:adjustRightInd/>
        <w:snapToGrid/>
        <w:spacing w:line="240" w:lineRule="auto"/>
        <w:ind w:right="0" w:firstLine="0" w:firstLineChars="0"/>
        <w:jc w:val="right"/>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批准时间：2025年7月1日</w:t>
      </w:r>
    </w:p>
    <w:p w14:paraId="430F4A75">
      <w:pPr>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3CA845B1">
      <w:pPr>
        <w:spacing w:line="360" w:lineRule="auto"/>
        <w:jc w:val="center"/>
        <w:outlineLvl w:val="0"/>
        <w:rPr>
          <w:rFonts w:hint="eastAsia" w:ascii="Times New Roman" w:hAnsi="Times New Roman" w:eastAsia="宋体" w:cs="Times New Roman"/>
          <w:b/>
          <w:color w:val="auto"/>
          <w:sz w:val="44"/>
          <w:szCs w:val="44"/>
        </w:rPr>
      </w:pPr>
      <w:bookmarkStart w:id="387" w:name="_Toc11679"/>
      <w:bookmarkStart w:id="388" w:name="_Toc29454"/>
      <w:r>
        <w:rPr>
          <w:rFonts w:hint="eastAsia" w:ascii="Times New Roman" w:hAnsi="Times New Roman" w:eastAsia="宋体" w:cs="Times New Roman"/>
          <w:b/>
          <w:color w:val="auto"/>
          <w:sz w:val="44"/>
          <w:szCs w:val="44"/>
        </w:rPr>
        <w:t>《社会统计软件》课程教学大纲</w:t>
      </w:r>
      <w:bookmarkEnd w:id="387"/>
      <w:bookmarkEnd w:id="388"/>
    </w:p>
    <w:p w14:paraId="1E867351">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w:t>
      </w:r>
      <w:r>
        <w:rPr>
          <w:rFonts w:hint="eastAsia" w:ascii="Times New Roman" w:hAnsi="Times New Roman" w:eastAsia="宋体" w:cs="Times New Roman"/>
          <w:b/>
          <w:bCs/>
          <w:color w:val="auto"/>
          <w:sz w:val="28"/>
          <w:szCs w:val="28"/>
        </w:rPr>
        <w:t>Social Statistics Software</w:t>
      </w:r>
      <w:r>
        <w:rPr>
          <w:rFonts w:ascii="Times New Roman" w:hAnsi="Times New Roman" w:eastAsia="宋体" w:cs="Times New Roman"/>
          <w:b/>
          <w:bCs/>
          <w:color w:val="auto"/>
          <w:sz w:val="28"/>
          <w:szCs w:val="28"/>
        </w:rPr>
        <w:t>）</w:t>
      </w:r>
    </w:p>
    <w:p w14:paraId="2702A000">
      <w:pPr>
        <w:spacing w:line="360" w:lineRule="auto"/>
        <w:jc w:val="center"/>
        <w:rPr>
          <w:rFonts w:ascii="Times New Roman" w:hAnsi="Times New Roman" w:eastAsia="宋体" w:cs="Times New Roman"/>
          <w:bCs/>
          <w:color w:val="auto"/>
          <w:sz w:val="21"/>
          <w:szCs w:val="21"/>
        </w:rPr>
      </w:pPr>
    </w:p>
    <w:p w14:paraId="2AC0F4F8">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课程名称：社会统计软件</w:t>
      </w:r>
    </w:p>
    <w:p w14:paraId="4782A72F">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课程代码：2401030</w:t>
      </w:r>
    </w:p>
    <w:p w14:paraId="7A548EC9">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分：3</w:t>
      </w:r>
    </w:p>
    <w:p w14:paraId="18F6B79F">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时：48</w:t>
      </w:r>
    </w:p>
    <w:p w14:paraId="4BEF1951">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先修课程：概率与统计、教育统计与测量</w:t>
      </w:r>
    </w:p>
    <w:p w14:paraId="2EAB0800">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适用专业：小学教育</w:t>
      </w:r>
    </w:p>
    <w:p w14:paraId="37AF6D3F">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一、课程简介</w:t>
      </w:r>
    </w:p>
    <w:p w14:paraId="5FFECB26">
      <w:pPr>
        <w:spacing w:line="360" w:lineRule="auto"/>
        <w:ind w:firstLine="411" w:firstLineChars="196"/>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是小学教育专业的专业基础必修课。通过本课程的学习，加强学生对教育统计理论的认识；培养学生解决各种教育统计问题的能力，掌握各种统计分析方法在SPSS软件中的实现，并且能够正确解释SPSS软件的运行结果；提高学生教育科研的基本能力；培养学生创新精神和实践能力，为后续《教育科学研究方法》等课程和毕业论文等实践环节以及未来分析与解决教育实际问题奠定基础。</w:t>
      </w:r>
    </w:p>
    <w:p w14:paraId="22A3FFC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二、课程目标</w:t>
      </w:r>
    </w:p>
    <w:p w14:paraId="08983BBB">
      <w:pPr>
        <w:spacing w:line="360" w:lineRule="auto"/>
        <w:ind w:firstLine="442" w:firstLineChars="200"/>
        <w:rPr>
          <w:rFonts w:hint="eastAsia" w:ascii="宋体" w:hAnsi="宋体" w:eastAsia="宋体" w:cs="Times New Roman"/>
          <w:b/>
          <w:color w:val="auto"/>
          <w:sz w:val="22"/>
          <w:szCs w:val="22"/>
        </w:rPr>
      </w:pPr>
      <w:r>
        <w:rPr>
          <w:rFonts w:hint="eastAsia" w:ascii="宋体" w:hAnsi="宋体" w:eastAsia="宋体" w:cs="Times New Roman"/>
          <w:b/>
          <w:color w:val="auto"/>
          <w:sz w:val="22"/>
          <w:szCs w:val="22"/>
        </w:rPr>
        <w:t>（一）课程具体目标</w:t>
      </w:r>
    </w:p>
    <w:p w14:paraId="53381E85">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1.</w:t>
      </w:r>
      <w:r>
        <w:rPr>
          <w:rFonts w:hint="eastAsia" w:ascii="Times New Roman" w:hAnsi="Times New Roman" w:eastAsia="宋体" w:cs="Times New Roman"/>
          <w:b/>
          <w:color w:val="auto"/>
          <w:szCs w:val="21"/>
        </w:rPr>
        <w:t xml:space="preserve"> </w:t>
      </w:r>
      <w:r>
        <w:rPr>
          <w:rFonts w:hint="eastAsia" w:ascii="宋体" w:hAnsi="宋体" w:eastAsia="宋体" w:cs="Times New Roman"/>
          <w:color w:val="auto"/>
          <w:kern w:val="0"/>
          <w:szCs w:val="20"/>
        </w:rPr>
        <w:t>掌握数据的录入、整理、分析与可视化处理方法，掌握教育统计与测量的原理；</w:t>
      </w:r>
    </w:p>
    <w:p w14:paraId="2AF7A6E4">
      <w:pPr>
        <w:spacing w:line="360" w:lineRule="auto"/>
        <w:ind w:firstLine="422" w:firstLineChars="200"/>
        <w:rPr>
          <w:rFonts w:hint="eastAsia" w:ascii="宋体" w:hAnsi="宋体" w:eastAsia="宋体" w:cs="Times New Roman"/>
          <w:color w:val="auto"/>
          <w:kern w:val="0"/>
          <w:szCs w:val="20"/>
        </w:rPr>
      </w:pPr>
      <w:r>
        <w:rPr>
          <w:rFonts w:hint="eastAsia" w:ascii="Times New Roman" w:hAnsi="Times New Roman" w:eastAsia="宋体" w:cs="Times New Roman"/>
          <w:b/>
          <w:color w:val="auto"/>
          <w:szCs w:val="21"/>
        </w:rPr>
        <w:t xml:space="preserve">目标2. </w:t>
      </w:r>
      <w:r>
        <w:rPr>
          <w:rFonts w:hint="eastAsia" w:ascii="宋体" w:hAnsi="宋体" w:eastAsia="宋体" w:cs="Times New Roman"/>
          <w:color w:val="auto"/>
          <w:kern w:val="0"/>
          <w:szCs w:val="20"/>
        </w:rPr>
        <w:t>能运用社会统计软件分析和解决小学教育实践中的问题，形成一定的教学研究能力。</w:t>
      </w:r>
    </w:p>
    <w:p w14:paraId="79CA32BF">
      <w:pPr>
        <w:spacing w:line="360" w:lineRule="auto"/>
        <w:ind w:firstLine="422" w:firstLineChars="200"/>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（二）课程目标与专业毕业要求的关系</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0FE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D09B2E2">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5688" w:type="dxa"/>
            <w:vAlign w:val="center"/>
          </w:tcPr>
          <w:p w14:paraId="58207EB6">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71A9FA8F">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4275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vAlign w:val="center"/>
          </w:tcPr>
          <w:p w14:paraId="536EBB3E">
            <w:pPr>
              <w:spacing w:line="360" w:lineRule="auto"/>
              <w:jc w:val="left"/>
              <w:rPr>
                <w:rFonts w:hint="eastAsia" w:ascii="宋体" w:hAnsi="宋体" w:eastAsia="宋体" w:cs="Times New Roman"/>
                <w:b/>
                <w:bCs/>
                <w:color w:val="auto"/>
                <w:szCs w:val="21"/>
              </w:rPr>
            </w:pPr>
            <w:r>
              <w:rPr>
                <w:rFonts w:hint="eastAsia" w:ascii="宋体" w:hAnsi="宋体" w:eastAsia="宋体" w:cs="Times New Roman"/>
                <w:b/>
                <w:bCs/>
                <w:color w:val="auto"/>
                <w:spacing w:val="-6"/>
                <w:szCs w:val="21"/>
              </w:rPr>
              <w:t>毕业要求4 教学能力</w:t>
            </w:r>
          </w:p>
        </w:tc>
        <w:tc>
          <w:tcPr>
            <w:tcW w:w="5688" w:type="dxa"/>
            <w:vAlign w:val="center"/>
          </w:tcPr>
          <w:p w14:paraId="5A122904">
            <w:pPr>
              <w:spacing w:line="360" w:lineRule="auto"/>
              <w:jc w:val="left"/>
              <w:rPr>
                <w:rFonts w:hint="eastAsia" w:ascii="宋体" w:hAnsi="宋体" w:eastAsia="宋体" w:cs="Times New Roman"/>
                <w:color w:val="auto"/>
                <w:szCs w:val="21"/>
              </w:rPr>
            </w:pPr>
            <w:r>
              <w:rPr>
                <w:rFonts w:hint="eastAsia" w:ascii="宋体" w:hAnsi="宋体" w:eastAsia="宋体" w:cs="Times New Roman"/>
                <w:b/>
                <w:bCs/>
                <w:color w:val="auto"/>
                <w:szCs w:val="21"/>
              </w:rPr>
              <w:t>指标点4-4：</w:t>
            </w:r>
            <w:r>
              <w:rPr>
                <w:rFonts w:hint="eastAsia" w:ascii="宋体" w:hAnsi="宋体" w:eastAsia="宋体" w:cs="Times New Roman"/>
                <w:color w:val="auto"/>
                <w:szCs w:val="21"/>
              </w:rPr>
              <w:t>【具备教学研究能力】掌握教育研究的基本方法，</w:t>
            </w:r>
          </w:p>
          <w:p w14:paraId="05BC6316">
            <w:pPr>
              <w:spacing w:line="36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在教育教学实践中，结合小学教育教学实践进行研究，具有一定的教学研究能力。</w:t>
            </w:r>
          </w:p>
        </w:tc>
        <w:tc>
          <w:tcPr>
            <w:tcW w:w="1191" w:type="dxa"/>
            <w:vAlign w:val="center"/>
          </w:tcPr>
          <w:p w14:paraId="2731F44C">
            <w:pPr>
              <w:spacing w:line="36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r>
    </w:tbl>
    <w:p w14:paraId="6F51D67A">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319DFDC2">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促使学生在扎实掌握社会统计软件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0B89F49F">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339"/>
        <w:gridCol w:w="1481"/>
        <w:gridCol w:w="438"/>
      </w:tblGrid>
      <w:tr w14:paraId="4FB49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67A38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w:t>
            </w:r>
          </w:p>
          <w:p w14:paraId="59CDBE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单元</w:t>
            </w:r>
          </w:p>
        </w:tc>
        <w:tc>
          <w:tcPr>
            <w:tcW w:w="1701" w:type="dxa"/>
            <w:vAlign w:val="center"/>
          </w:tcPr>
          <w:p w14:paraId="450B81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知识点</w:t>
            </w:r>
          </w:p>
        </w:tc>
        <w:tc>
          <w:tcPr>
            <w:tcW w:w="1134" w:type="dxa"/>
            <w:vAlign w:val="center"/>
          </w:tcPr>
          <w:p w14:paraId="657D3F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对应</w:t>
            </w:r>
          </w:p>
          <w:p w14:paraId="10E988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课程目标</w:t>
            </w:r>
          </w:p>
        </w:tc>
        <w:tc>
          <w:tcPr>
            <w:tcW w:w="3339" w:type="dxa"/>
            <w:vAlign w:val="center"/>
          </w:tcPr>
          <w:p w14:paraId="6A2E42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预期学习成效</w:t>
            </w:r>
          </w:p>
        </w:tc>
        <w:tc>
          <w:tcPr>
            <w:tcW w:w="1481" w:type="dxa"/>
            <w:vAlign w:val="center"/>
          </w:tcPr>
          <w:p w14:paraId="0BAE6C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实现环节</w:t>
            </w:r>
          </w:p>
        </w:tc>
        <w:tc>
          <w:tcPr>
            <w:tcW w:w="438" w:type="dxa"/>
            <w:vAlign w:val="center"/>
          </w:tcPr>
          <w:p w14:paraId="3D7515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学时</w:t>
            </w:r>
          </w:p>
        </w:tc>
      </w:tr>
      <w:tr w14:paraId="1295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F35A4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1.SPSS操作基础</w:t>
            </w:r>
          </w:p>
        </w:tc>
        <w:tc>
          <w:tcPr>
            <w:tcW w:w="1701" w:type="dxa"/>
            <w:vAlign w:val="center"/>
          </w:tcPr>
          <w:p w14:paraId="27E86CE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（1）数据/变量的类型</w:t>
            </w:r>
          </w:p>
          <w:p w14:paraId="1AA78F6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（2）数据的编码与录入</w:t>
            </w:r>
          </w:p>
          <w:p w14:paraId="2934101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（3）数据文件的导入</w:t>
            </w:r>
          </w:p>
          <w:p w14:paraId="4D5A47B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（4）数据文件的管理</w:t>
            </w:r>
          </w:p>
        </w:tc>
        <w:tc>
          <w:tcPr>
            <w:tcW w:w="1134" w:type="dxa"/>
            <w:vAlign w:val="center"/>
          </w:tcPr>
          <w:p w14:paraId="1B7E90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w:t>
            </w:r>
          </w:p>
        </w:tc>
        <w:tc>
          <w:tcPr>
            <w:tcW w:w="3339" w:type="dxa"/>
            <w:vAlign w:val="center"/>
          </w:tcPr>
          <w:p w14:paraId="6181EC9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（1）了解数据/变量的分类；</w:t>
            </w:r>
          </w:p>
          <w:p w14:paraId="505EDE6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（2）能根据数据的类型进行编码与录入；</w:t>
            </w:r>
          </w:p>
          <w:p w14:paraId="62863AE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r>
              <w:rPr>
                <w:rFonts w:ascii="宋体" w:hAnsi="宋体" w:eastAsia="宋体" w:cs="Times New Roman"/>
                <w:color w:val="auto"/>
                <w:sz w:val="21"/>
                <w:szCs w:val="21"/>
              </w:rPr>
              <w:t>掌握</w:t>
            </w:r>
            <w:r>
              <w:rPr>
                <w:rFonts w:hint="eastAsia" w:ascii="宋体" w:hAnsi="宋体" w:eastAsia="宋体" w:cs="Times New Roman"/>
                <w:color w:val="auto"/>
                <w:sz w:val="21"/>
                <w:szCs w:val="21"/>
              </w:rPr>
              <w:t>数据文件的导入方式；</w:t>
            </w:r>
          </w:p>
          <w:p w14:paraId="528E9FE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（4）能对数据文件进行初步整理（排序、合并、筛选、编码、转换、计算、拆分与分类汇总等）。</w:t>
            </w:r>
          </w:p>
        </w:tc>
        <w:tc>
          <w:tcPr>
            <w:tcW w:w="1481" w:type="dxa"/>
            <w:vAlign w:val="center"/>
          </w:tcPr>
          <w:p w14:paraId="449A82D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769B5FD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2.多媒体教学3.课堂练习</w:t>
            </w:r>
          </w:p>
          <w:p w14:paraId="41B8386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4.单元测验</w:t>
            </w:r>
          </w:p>
        </w:tc>
        <w:tc>
          <w:tcPr>
            <w:tcW w:w="438" w:type="dxa"/>
            <w:vAlign w:val="center"/>
          </w:tcPr>
          <w:p w14:paraId="5358D9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p>
        </w:tc>
      </w:tr>
      <w:tr w14:paraId="2BC6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57449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5944498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了解社会科学软件对数据知识的处理能力；尊重科学技术，形成初步的科学技术应用思想。</w:t>
            </w:r>
          </w:p>
        </w:tc>
      </w:tr>
      <w:tr w14:paraId="3A37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47D35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2.描述性分析</w:t>
            </w:r>
          </w:p>
        </w:tc>
        <w:tc>
          <w:tcPr>
            <w:tcW w:w="1701" w:type="dxa"/>
            <w:vAlign w:val="center"/>
          </w:tcPr>
          <w:p w14:paraId="526BDB3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（1）频数统计（2）描述统计</w:t>
            </w:r>
          </w:p>
        </w:tc>
        <w:tc>
          <w:tcPr>
            <w:tcW w:w="1134" w:type="dxa"/>
            <w:vAlign w:val="center"/>
          </w:tcPr>
          <w:p w14:paraId="0EC608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w:t>
            </w:r>
          </w:p>
        </w:tc>
        <w:tc>
          <w:tcPr>
            <w:tcW w:w="3339" w:type="dxa"/>
            <w:vAlign w:val="center"/>
          </w:tcPr>
          <w:p w14:paraId="5E394FB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（1）能运用SPSS对单变量与多变量数据的分布频次进行分析，并进行可视化操作；</w:t>
            </w:r>
          </w:p>
          <w:p w14:paraId="57B3B58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（2）能运用SPSS对数据的集中趋势与离散趋势进行分析，并进行可视化操作；</w:t>
            </w:r>
          </w:p>
          <w:p w14:paraId="2447258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（3）能运用SPSS对数据的分布形态进行分析，并进行可视化操作。</w:t>
            </w:r>
          </w:p>
        </w:tc>
        <w:tc>
          <w:tcPr>
            <w:tcW w:w="1481" w:type="dxa"/>
            <w:vAlign w:val="center"/>
          </w:tcPr>
          <w:p w14:paraId="5876813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5547A2B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2.多媒体教学3.课堂练习</w:t>
            </w:r>
          </w:p>
          <w:p w14:paraId="38397BB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4.单元测验</w:t>
            </w:r>
          </w:p>
        </w:tc>
        <w:tc>
          <w:tcPr>
            <w:tcW w:w="438" w:type="dxa"/>
            <w:vAlign w:val="center"/>
          </w:tcPr>
          <w:p w14:paraId="104B77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6</w:t>
            </w:r>
          </w:p>
        </w:tc>
      </w:tr>
      <w:tr w14:paraId="0F07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6399F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6BB161F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认识到人类社会中的不同类型的数据有不同的分布特点；掌握大千世界中一些看似杂乱的数据背后的规律。</w:t>
            </w:r>
          </w:p>
        </w:tc>
      </w:tr>
      <w:tr w14:paraId="1D3E9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D47BC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3.参数</w:t>
            </w:r>
          </w:p>
          <w:p w14:paraId="0429F9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检验</w:t>
            </w:r>
          </w:p>
        </w:tc>
        <w:tc>
          <w:tcPr>
            <w:tcW w:w="1701" w:type="dxa"/>
            <w:vAlign w:val="center"/>
          </w:tcPr>
          <w:p w14:paraId="5966900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（1）单样本t检验</w:t>
            </w:r>
          </w:p>
          <w:p w14:paraId="4EB14C7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（2）独立样本t检验</w:t>
            </w:r>
          </w:p>
          <w:p w14:paraId="02CE5F5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（3）相关样本t检验</w:t>
            </w:r>
          </w:p>
        </w:tc>
        <w:tc>
          <w:tcPr>
            <w:tcW w:w="1134" w:type="dxa"/>
            <w:vAlign w:val="center"/>
          </w:tcPr>
          <w:p w14:paraId="422C9A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w:t>
            </w:r>
          </w:p>
        </w:tc>
        <w:tc>
          <w:tcPr>
            <w:tcW w:w="3339" w:type="dxa"/>
            <w:vAlign w:val="center"/>
          </w:tcPr>
          <w:p w14:paraId="441F7BF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（1）把握单样本t检验的适用条件、SPSS的操作过程、数据的可视化处理及结果解释；</w:t>
            </w:r>
          </w:p>
          <w:p w14:paraId="06E43C0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（2）把握独立样本t检验的适用条件、SPSS的操作过程、数据的可视化输出及结果解释；</w:t>
            </w:r>
          </w:p>
          <w:p w14:paraId="7CE09FD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（3）把握相关样本t检验的适用条件、SPSS的操作过程、数据的可视化处理及结果解释</w:t>
            </w:r>
            <w:r>
              <w:rPr>
                <w:rFonts w:ascii="宋体" w:hAnsi="宋体" w:eastAsia="宋体" w:cs="Times New Roman"/>
                <w:color w:val="auto"/>
                <w:sz w:val="21"/>
                <w:szCs w:val="21"/>
              </w:rPr>
              <w:t>。</w:t>
            </w:r>
          </w:p>
        </w:tc>
        <w:tc>
          <w:tcPr>
            <w:tcW w:w="1481" w:type="dxa"/>
            <w:vAlign w:val="center"/>
          </w:tcPr>
          <w:p w14:paraId="5060717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1EECC56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2.多媒体教学</w:t>
            </w:r>
            <w:r>
              <w:rPr>
                <w:rFonts w:hint="eastAsia" w:ascii="宋体" w:hAnsi="宋体" w:eastAsia="宋体" w:cs="Times New Roman"/>
                <w:color w:val="auto"/>
                <w:sz w:val="21"/>
                <w:szCs w:val="21"/>
              </w:rPr>
              <w:t>3.课堂练习</w:t>
            </w:r>
          </w:p>
          <w:p w14:paraId="7C5DF9F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3C4AD0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9</w:t>
            </w:r>
          </w:p>
        </w:tc>
      </w:tr>
      <w:tr w14:paraId="2BA8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60774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670E538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了解人类社会同一群体所简化为数据背后的内在关联；学会用科学的检验方法去认识教育现象与社会现象。</w:t>
            </w:r>
          </w:p>
        </w:tc>
      </w:tr>
      <w:tr w14:paraId="6552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48751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4.方差分析</w:t>
            </w:r>
          </w:p>
        </w:tc>
        <w:tc>
          <w:tcPr>
            <w:tcW w:w="1701" w:type="dxa"/>
            <w:vAlign w:val="center"/>
          </w:tcPr>
          <w:p w14:paraId="064A703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（1）实验设计方式</w:t>
            </w:r>
          </w:p>
          <w:p w14:paraId="70BF2C9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（2）单因素完全随机设计的方差分析</w:t>
            </w:r>
          </w:p>
          <w:p w14:paraId="711DA0E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（3）单因素重复测量设计的方差分析</w:t>
            </w:r>
          </w:p>
          <w:p w14:paraId="18B36D7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（4）两因素完全随机设计的方差分析</w:t>
            </w:r>
          </w:p>
          <w:p w14:paraId="367ACE6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（5）两因素混合设计的方差分析</w:t>
            </w:r>
          </w:p>
        </w:tc>
        <w:tc>
          <w:tcPr>
            <w:tcW w:w="1134" w:type="dxa"/>
            <w:vAlign w:val="center"/>
          </w:tcPr>
          <w:p w14:paraId="204C7E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w:t>
            </w:r>
          </w:p>
        </w:tc>
        <w:tc>
          <w:tcPr>
            <w:tcW w:w="3339" w:type="dxa"/>
            <w:vAlign w:val="center"/>
          </w:tcPr>
          <w:p w14:paraId="3193AE9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（1）理解并掌握各种实验设计方式；</w:t>
            </w:r>
          </w:p>
          <w:p w14:paraId="099CEAA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（2）把</w:t>
            </w:r>
            <w:r>
              <w:rPr>
                <w:rFonts w:ascii="宋体" w:hAnsi="宋体" w:eastAsia="宋体" w:cs="Times New Roman"/>
                <w:color w:val="auto"/>
                <w:sz w:val="21"/>
                <w:szCs w:val="21"/>
              </w:rPr>
              <w:t>解</w:t>
            </w:r>
            <w:r>
              <w:rPr>
                <w:rFonts w:hint="eastAsia" w:ascii="宋体" w:hAnsi="宋体" w:eastAsia="宋体" w:cs="Times New Roman"/>
                <w:color w:val="auto"/>
                <w:sz w:val="21"/>
                <w:szCs w:val="21"/>
              </w:rPr>
              <w:t>各类实验设计的适用条件、SPSS的操作过程、数据的可视化处理及结果解释。</w:t>
            </w:r>
          </w:p>
        </w:tc>
        <w:tc>
          <w:tcPr>
            <w:tcW w:w="1481" w:type="dxa"/>
            <w:vAlign w:val="center"/>
          </w:tcPr>
          <w:p w14:paraId="63E3242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1BEE759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2.多媒体教学</w:t>
            </w:r>
            <w:r>
              <w:rPr>
                <w:rFonts w:hint="eastAsia" w:ascii="宋体" w:hAnsi="宋体" w:eastAsia="宋体" w:cs="Times New Roman"/>
                <w:color w:val="auto"/>
                <w:sz w:val="21"/>
                <w:szCs w:val="21"/>
              </w:rPr>
              <w:t>3.课堂练习</w:t>
            </w:r>
          </w:p>
          <w:p w14:paraId="2622B72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1CD9A9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9</w:t>
            </w:r>
          </w:p>
        </w:tc>
      </w:tr>
      <w:tr w14:paraId="7C16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90811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35904E3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认识到任何一种教育结果的发生之前，有众多不同的因素的影响；能用统计学的语言描述教育现象。</w:t>
            </w:r>
          </w:p>
        </w:tc>
      </w:tr>
      <w:tr w14:paraId="5D50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9ED3F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5.相关分析</w:t>
            </w:r>
          </w:p>
        </w:tc>
        <w:tc>
          <w:tcPr>
            <w:tcW w:w="1701" w:type="dxa"/>
            <w:vAlign w:val="center"/>
          </w:tcPr>
          <w:p w14:paraId="6D99CEA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（1）积差相关（2）等级相关</w:t>
            </w:r>
          </w:p>
          <w:p w14:paraId="409B096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（3）品质相关</w:t>
            </w:r>
          </w:p>
          <w:p w14:paraId="16C4C21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（4）质与量相关</w:t>
            </w:r>
          </w:p>
          <w:p w14:paraId="1557722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（5）偏相关</w:t>
            </w:r>
          </w:p>
        </w:tc>
        <w:tc>
          <w:tcPr>
            <w:tcW w:w="1134" w:type="dxa"/>
            <w:vAlign w:val="center"/>
          </w:tcPr>
          <w:p w14:paraId="56C335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w:t>
            </w:r>
          </w:p>
        </w:tc>
        <w:tc>
          <w:tcPr>
            <w:tcW w:w="3339" w:type="dxa"/>
            <w:vAlign w:val="center"/>
          </w:tcPr>
          <w:p w14:paraId="19D65F3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掌握</w:t>
            </w:r>
            <w:r>
              <w:rPr>
                <w:rFonts w:hint="eastAsia" w:ascii="宋体" w:hAnsi="宋体" w:eastAsia="宋体" w:cs="Times New Roman"/>
                <w:color w:val="auto"/>
                <w:sz w:val="21"/>
                <w:szCs w:val="21"/>
              </w:rPr>
              <w:t>相关的</w:t>
            </w:r>
            <w:r>
              <w:rPr>
                <w:rFonts w:ascii="宋体" w:hAnsi="宋体" w:eastAsia="宋体" w:cs="Times New Roman"/>
                <w:color w:val="auto"/>
                <w:sz w:val="21"/>
                <w:szCs w:val="21"/>
              </w:rPr>
              <w:t>基本概念</w:t>
            </w:r>
            <w:r>
              <w:rPr>
                <w:rFonts w:hint="eastAsia" w:ascii="宋体" w:hAnsi="宋体" w:eastAsia="宋体" w:cs="Times New Roman"/>
                <w:color w:val="auto"/>
                <w:sz w:val="21"/>
                <w:szCs w:val="21"/>
              </w:rPr>
              <w:t>和类型；</w:t>
            </w:r>
          </w:p>
          <w:p w14:paraId="500F2BE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（2）把</w:t>
            </w:r>
            <w:r>
              <w:rPr>
                <w:rFonts w:ascii="宋体" w:hAnsi="宋体" w:eastAsia="宋体" w:cs="Times New Roman"/>
                <w:color w:val="auto"/>
                <w:sz w:val="21"/>
                <w:szCs w:val="21"/>
              </w:rPr>
              <w:t>解</w:t>
            </w:r>
            <w:r>
              <w:rPr>
                <w:rFonts w:hint="eastAsia" w:ascii="宋体" w:hAnsi="宋体" w:eastAsia="宋体" w:cs="Times New Roman"/>
                <w:color w:val="auto"/>
                <w:sz w:val="21"/>
                <w:szCs w:val="21"/>
              </w:rPr>
              <w:t>各类相关的适用条件、SPSS的操作过程、数据的可视化处理及结果解释。</w:t>
            </w:r>
          </w:p>
        </w:tc>
        <w:tc>
          <w:tcPr>
            <w:tcW w:w="1481" w:type="dxa"/>
            <w:vAlign w:val="center"/>
          </w:tcPr>
          <w:p w14:paraId="7114FB5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4CFBF79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2.多媒体教学</w:t>
            </w:r>
            <w:r>
              <w:rPr>
                <w:rFonts w:hint="eastAsia" w:ascii="宋体" w:hAnsi="宋体" w:eastAsia="宋体" w:cs="Times New Roman"/>
                <w:color w:val="auto"/>
                <w:sz w:val="21"/>
                <w:szCs w:val="21"/>
              </w:rPr>
              <w:t>3.课堂练习</w:t>
            </w:r>
          </w:p>
          <w:p w14:paraId="7955A5A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65C1F7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p>
        </w:tc>
      </w:tr>
      <w:tr w14:paraId="22D4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59332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5AFFCFC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了解并学习历史上的统计学家对认识世界的那种孜孜以求的精神；掌握主要的相关分析手段背后所反映的社会现象之间的关系。</w:t>
            </w:r>
          </w:p>
        </w:tc>
      </w:tr>
      <w:tr w14:paraId="26DC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46A77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6.</w:t>
            </w:r>
            <w:r>
              <w:rPr>
                <w:rFonts w:hint="eastAsia" w:ascii="宋体" w:hAnsi="宋体" w:eastAsia="宋体" w:cs="Times New Roman"/>
                <w:color w:val="auto"/>
                <w:sz w:val="21"/>
                <w:szCs w:val="21"/>
              </w:rPr>
              <w:t>回归</w:t>
            </w:r>
          </w:p>
          <w:p w14:paraId="3C8E3D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210" w:firstLineChars="100"/>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分析</w:t>
            </w:r>
          </w:p>
        </w:tc>
        <w:tc>
          <w:tcPr>
            <w:tcW w:w="1701" w:type="dxa"/>
            <w:vAlign w:val="center"/>
          </w:tcPr>
          <w:p w14:paraId="37E43CC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（1）影响因素的回归分析</w:t>
            </w:r>
          </w:p>
          <w:p w14:paraId="49FD71F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（2）作用机制的中介与调节效应模型</w:t>
            </w:r>
          </w:p>
        </w:tc>
        <w:tc>
          <w:tcPr>
            <w:tcW w:w="1134" w:type="dxa"/>
            <w:vAlign w:val="center"/>
          </w:tcPr>
          <w:p w14:paraId="1B0912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w:t>
            </w:r>
          </w:p>
        </w:tc>
        <w:tc>
          <w:tcPr>
            <w:tcW w:w="3339" w:type="dxa"/>
            <w:vAlign w:val="center"/>
          </w:tcPr>
          <w:p w14:paraId="4625090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（1）掌握各类回归分析的适用条件、SPSS的操作过程、数据的可视化处理及结果解释；</w:t>
            </w:r>
          </w:p>
          <w:p w14:paraId="15D8A84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（2）掌握各类中介效应调节效应模型的适用条件、SPSS的操作过程、数据的可视化处理及结果解释。</w:t>
            </w:r>
          </w:p>
        </w:tc>
        <w:tc>
          <w:tcPr>
            <w:tcW w:w="1481" w:type="dxa"/>
            <w:vAlign w:val="center"/>
          </w:tcPr>
          <w:p w14:paraId="33BCE8B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71377E8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2.多媒体教学</w:t>
            </w:r>
            <w:r>
              <w:rPr>
                <w:rFonts w:hint="eastAsia" w:ascii="宋体" w:hAnsi="宋体" w:eastAsia="宋体" w:cs="Times New Roman"/>
                <w:color w:val="auto"/>
                <w:sz w:val="21"/>
                <w:szCs w:val="21"/>
              </w:rPr>
              <w:t>3.课堂练习</w:t>
            </w:r>
          </w:p>
          <w:p w14:paraId="78FEE68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65DE93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12</w:t>
            </w:r>
          </w:p>
        </w:tc>
      </w:tr>
      <w:tr w14:paraId="3184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98170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75B4BB5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认识到教育和社会中的现象之间联系的复杂性，树立认识事物的联系观、发展观，形成建模思想。</w:t>
            </w:r>
          </w:p>
        </w:tc>
      </w:tr>
      <w:tr w14:paraId="2AE4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A722A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7.非参数检验</w:t>
            </w:r>
          </w:p>
        </w:tc>
        <w:tc>
          <w:tcPr>
            <w:tcW w:w="1701" w:type="dxa"/>
            <w:vAlign w:val="center"/>
          </w:tcPr>
          <w:p w14:paraId="48CBFE1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（1）计数数据的卡方分析</w:t>
            </w:r>
          </w:p>
          <w:p w14:paraId="54DFA99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（2）连续数据的独立样本非参数检验</w:t>
            </w:r>
          </w:p>
          <w:p w14:paraId="2379317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（3）连续数据的相关样本非参数检验</w:t>
            </w:r>
          </w:p>
        </w:tc>
        <w:tc>
          <w:tcPr>
            <w:tcW w:w="1134" w:type="dxa"/>
            <w:vAlign w:val="center"/>
          </w:tcPr>
          <w:p w14:paraId="7B6C4E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w:t>
            </w:r>
          </w:p>
        </w:tc>
        <w:tc>
          <w:tcPr>
            <w:tcW w:w="3339" w:type="dxa"/>
            <w:vAlign w:val="center"/>
          </w:tcPr>
          <w:p w14:paraId="04F9E5D8">
            <w:pPr>
              <w:keepNext w:val="0"/>
              <w:keepLines w:val="0"/>
              <w:pageBreakBefore w:val="0"/>
              <w:widowControl w:val="0"/>
              <w:numPr>
                <w:ilvl w:val="0"/>
                <w:numId w:val="24"/>
              </w:numPr>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掌握卡方分析的适用条件、SPSS的操作过程、数据的可视化处理及结果解释；</w:t>
            </w:r>
          </w:p>
          <w:p w14:paraId="01F342A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w:t>
            </w:r>
            <w:r>
              <w:rPr>
                <w:rFonts w:hint="eastAsia" w:ascii="宋体" w:hAnsi="宋体" w:eastAsia="宋体" w:cs="Times New Roman"/>
                <w:color w:val="auto"/>
                <w:sz w:val="21"/>
                <w:szCs w:val="21"/>
              </w:rPr>
              <w:t>掌握独立样本非参数检验的适用条件、SPSS的操作过程、数据的可视化处理及结果解释；</w:t>
            </w:r>
          </w:p>
          <w:p w14:paraId="6C50901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w:t>
            </w:r>
            <w:r>
              <w:rPr>
                <w:rFonts w:hint="eastAsia" w:ascii="宋体" w:hAnsi="宋体" w:eastAsia="宋体" w:cs="Times New Roman"/>
                <w:color w:val="auto"/>
                <w:sz w:val="21"/>
                <w:szCs w:val="21"/>
              </w:rPr>
              <w:t>掌握相关样本非参数检验的适用条件、SPSS的操作过程、数据的可视化处理及结果解释。</w:t>
            </w:r>
          </w:p>
        </w:tc>
        <w:tc>
          <w:tcPr>
            <w:tcW w:w="1481" w:type="dxa"/>
            <w:vAlign w:val="center"/>
          </w:tcPr>
          <w:p w14:paraId="69B51F5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647F708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2.多媒体教学</w:t>
            </w:r>
            <w:r>
              <w:rPr>
                <w:rFonts w:hint="eastAsia" w:ascii="宋体" w:hAnsi="宋体" w:eastAsia="宋体" w:cs="Times New Roman"/>
                <w:color w:val="auto"/>
                <w:sz w:val="21"/>
                <w:szCs w:val="21"/>
              </w:rPr>
              <w:t>3.课堂练习</w:t>
            </w:r>
          </w:p>
          <w:p w14:paraId="080C6F1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600E97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p>
        </w:tc>
      </w:tr>
      <w:tr w14:paraId="13FE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630EB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6DD4B3B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了解人类社会同一群体所简化为数据背后的内在关联；学会用科学的检验方法去认识教育现象与社会现象。</w:t>
            </w:r>
          </w:p>
        </w:tc>
      </w:tr>
      <w:tr w14:paraId="14CC0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6A471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8.测验信度分析</w:t>
            </w:r>
          </w:p>
        </w:tc>
        <w:tc>
          <w:tcPr>
            <w:tcW w:w="1701" w:type="dxa"/>
            <w:vAlign w:val="center"/>
          </w:tcPr>
          <w:p w14:paraId="5DA484D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Arial" w:hAnsi="Arial" w:eastAsia="宋体" w:cs="Arial"/>
                <w:color w:val="auto"/>
                <w:sz w:val="21"/>
                <w:szCs w:val="21"/>
              </w:rPr>
              <w:t>α</w:t>
            </w:r>
            <w:r>
              <w:rPr>
                <w:rFonts w:hint="eastAsia" w:ascii="宋体" w:hAnsi="宋体" w:eastAsia="宋体" w:cs="Times New Roman"/>
                <w:color w:val="auto"/>
                <w:sz w:val="21"/>
                <w:szCs w:val="21"/>
              </w:rPr>
              <w:t>系数与分半信度</w:t>
            </w:r>
          </w:p>
          <w:p w14:paraId="0B89E1F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（2）评分者一致性系数</w:t>
            </w:r>
          </w:p>
        </w:tc>
        <w:tc>
          <w:tcPr>
            <w:tcW w:w="1134" w:type="dxa"/>
            <w:vAlign w:val="center"/>
          </w:tcPr>
          <w:p w14:paraId="43AD6A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w:t>
            </w:r>
          </w:p>
        </w:tc>
        <w:tc>
          <w:tcPr>
            <w:tcW w:w="3339" w:type="dxa"/>
            <w:vAlign w:val="center"/>
          </w:tcPr>
          <w:p w14:paraId="6EEA50D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w:t>
            </w:r>
            <w:r>
              <w:rPr>
                <w:rFonts w:hint="eastAsia" w:ascii="宋体" w:hAnsi="宋体" w:eastAsia="宋体" w:cs="Times New Roman"/>
                <w:color w:val="auto"/>
                <w:sz w:val="21"/>
                <w:szCs w:val="21"/>
              </w:rPr>
              <w:t>把握测量的信度与效度等测量学指标概念与类别；</w:t>
            </w:r>
          </w:p>
          <w:p w14:paraId="2E2D3CA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w:t>
            </w:r>
            <w:r>
              <w:rPr>
                <w:rFonts w:hint="eastAsia" w:ascii="宋体" w:hAnsi="宋体" w:eastAsia="宋体" w:cs="Times New Roman"/>
                <w:color w:val="auto"/>
                <w:sz w:val="21"/>
                <w:szCs w:val="21"/>
              </w:rPr>
              <w:t>掌握测量的各类信度检验的适用条件、SPSS的操作过程、数据的可视化处理及结果解释。</w:t>
            </w:r>
          </w:p>
        </w:tc>
        <w:tc>
          <w:tcPr>
            <w:tcW w:w="1481" w:type="dxa"/>
            <w:vAlign w:val="center"/>
          </w:tcPr>
          <w:p w14:paraId="187C8AA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7CDF835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2.多媒体教学</w:t>
            </w:r>
            <w:r>
              <w:rPr>
                <w:rFonts w:hint="eastAsia" w:ascii="宋体" w:hAnsi="宋体" w:eastAsia="宋体" w:cs="Times New Roman"/>
                <w:color w:val="auto"/>
                <w:sz w:val="21"/>
                <w:szCs w:val="21"/>
              </w:rPr>
              <w:t>3.课堂练习</w:t>
            </w:r>
          </w:p>
          <w:p w14:paraId="25BF025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2BCA8E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p>
        </w:tc>
      </w:tr>
      <w:tr w14:paraId="6759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38B69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465C8B5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理解认识事物的规律需要依靠可靠的工具，了解判别可靠性的客观化标准。</w:t>
            </w:r>
          </w:p>
        </w:tc>
      </w:tr>
    </w:tbl>
    <w:p w14:paraId="6E0E4D33">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四、目标评价与成绩评定</w:t>
      </w:r>
    </w:p>
    <w:p w14:paraId="35B498B6">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6C5354CF">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481"/>
        <w:gridCol w:w="1481"/>
        <w:gridCol w:w="1481"/>
        <w:gridCol w:w="1483"/>
        <w:gridCol w:w="891"/>
      </w:tblGrid>
      <w:tr w14:paraId="77DB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vAlign w:val="center"/>
          </w:tcPr>
          <w:p w14:paraId="3C721DD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3477" w:type="pct"/>
            <w:gridSpan w:val="4"/>
            <w:vAlign w:val="center"/>
          </w:tcPr>
          <w:p w14:paraId="00EF32E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523" w:type="pct"/>
            <w:vMerge w:val="restart"/>
            <w:vAlign w:val="center"/>
          </w:tcPr>
          <w:p w14:paraId="737F5B3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5896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vAlign w:val="center"/>
          </w:tcPr>
          <w:p w14:paraId="344F3439">
            <w:pPr>
              <w:spacing w:line="360" w:lineRule="auto"/>
              <w:jc w:val="center"/>
              <w:rPr>
                <w:rFonts w:hint="eastAsia" w:ascii="宋体" w:hAnsi="宋体" w:eastAsia="宋体" w:cs="Times New Roman"/>
                <w:color w:val="auto"/>
                <w:szCs w:val="21"/>
              </w:rPr>
            </w:pPr>
          </w:p>
        </w:tc>
        <w:tc>
          <w:tcPr>
            <w:tcW w:w="869" w:type="pct"/>
            <w:vAlign w:val="center"/>
          </w:tcPr>
          <w:p w14:paraId="5D934CE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869" w:type="pct"/>
            <w:vAlign w:val="center"/>
          </w:tcPr>
          <w:p w14:paraId="76F9AD0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869" w:type="pct"/>
            <w:vAlign w:val="center"/>
          </w:tcPr>
          <w:p w14:paraId="636FDC7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870" w:type="pct"/>
          </w:tcPr>
          <w:p w14:paraId="5569322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自主学习</w:t>
            </w:r>
          </w:p>
        </w:tc>
        <w:tc>
          <w:tcPr>
            <w:tcW w:w="523" w:type="pct"/>
            <w:vMerge w:val="continue"/>
            <w:vAlign w:val="center"/>
          </w:tcPr>
          <w:p w14:paraId="3FB68844">
            <w:pPr>
              <w:spacing w:line="360" w:lineRule="auto"/>
              <w:jc w:val="center"/>
              <w:rPr>
                <w:rFonts w:hint="eastAsia" w:ascii="宋体" w:hAnsi="宋体" w:eastAsia="宋体" w:cs="Times New Roman"/>
                <w:color w:val="auto"/>
                <w:szCs w:val="21"/>
              </w:rPr>
            </w:pPr>
          </w:p>
        </w:tc>
      </w:tr>
      <w:tr w14:paraId="7601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20E2B71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869" w:type="pct"/>
            <w:vAlign w:val="center"/>
          </w:tcPr>
          <w:p w14:paraId="349659C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869" w:type="pct"/>
            <w:vAlign w:val="center"/>
          </w:tcPr>
          <w:p w14:paraId="06FFD7A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sym w:font="Wingdings 2" w:char="F050"/>
            </w:r>
          </w:p>
        </w:tc>
        <w:tc>
          <w:tcPr>
            <w:tcW w:w="869" w:type="pct"/>
            <w:vAlign w:val="center"/>
          </w:tcPr>
          <w:p w14:paraId="2000F4C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870" w:type="pct"/>
          </w:tcPr>
          <w:p w14:paraId="5FBAC789">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523" w:type="pct"/>
            <w:vAlign w:val="center"/>
          </w:tcPr>
          <w:p w14:paraId="1B85C5C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50</w:t>
            </w:r>
          </w:p>
        </w:tc>
      </w:tr>
      <w:tr w14:paraId="2F4F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33073A9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869" w:type="pct"/>
            <w:vAlign w:val="center"/>
          </w:tcPr>
          <w:p w14:paraId="3760BED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869" w:type="pct"/>
            <w:vAlign w:val="center"/>
          </w:tcPr>
          <w:p w14:paraId="158689E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869" w:type="pct"/>
            <w:vAlign w:val="center"/>
          </w:tcPr>
          <w:p w14:paraId="65658BE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870" w:type="pct"/>
          </w:tcPr>
          <w:p w14:paraId="03B4279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523" w:type="pct"/>
            <w:vAlign w:val="center"/>
          </w:tcPr>
          <w:p w14:paraId="315F47B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50</w:t>
            </w:r>
          </w:p>
        </w:tc>
      </w:tr>
      <w:tr w14:paraId="00D7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24255CB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869" w:type="pct"/>
            <w:vAlign w:val="center"/>
          </w:tcPr>
          <w:p w14:paraId="4863A9CF">
            <w:pPr>
              <w:spacing w:line="360" w:lineRule="auto"/>
              <w:jc w:val="center"/>
              <w:rPr>
                <w:rFonts w:hint="eastAsia" w:ascii="宋体" w:hAnsi="宋体" w:eastAsia="宋体" w:cs="Times New Roman"/>
                <w:color w:val="auto"/>
                <w:szCs w:val="21"/>
              </w:rPr>
            </w:pPr>
          </w:p>
        </w:tc>
        <w:tc>
          <w:tcPr>
            <w:tcW w:w="869" w:type="pct"/>
            <w:vAlign w:val="center"/>
          </w:tcPr>
          <w:p w14:paraId="32763A4C">
            <w:pPr>
              <w:spacing w:line="360" w:lineRule="auto"/>
              <w:jc w:val="center"/>
              <w:rPr>
                <w:rFonts w:hint="eastAsia" w:ascii="宋体" w:hAnsi="宋体" w:eastAsia="宋体" w:cs="Times New Roman"/>
                <w:color w:val="auto"/>
                <w:szCs w:val="21"/>
              </w:rPr>
            </w:pPr>
          </w:p>
        </w:tc>
        <w:tc>
          <w:tcPr>
            <w:tcW w:w="869" w:type="pct"/>
            <w:vAlign w:val="center"/>
          </w:tcPr>
          <w:p w14:paraId="7CA7561D">
            <w:pPr>
              <w:spacing w:line="360" w:lineRule="auto"/>
              <w:jc w:val="center"/>
              <w:rPr>
                <w:rFonts w:hint="eastAsia" w:ascii="宋体" w:hAnsi="宋体" w:eastAsia="宋体" w:cs="Times New Roman"/>
                <w:color w:val="auto"/>
                <w:szCs w:val="21"/>
              </w:rPr>
            </w:pPr>
          </w:p>
        </w:tc>
        <w:tc>
          <w:tcPr>
            <w:tcW w:w="870" w:type="pct"/>
          </w:tcPr>
          <w:p w14:paraId="3A9F94F1">
            <w:pPr>
              <w:spacing w:line="360" w:lineRule="auto"/>
              <w:jc w:val="center"/>
              <w:rPr>
                <w:rFonts w:hint="eastAsia" w:ascii="宋体" w:hAnsi="宋体" w:eastAsia="宋体" w:cs="Times New Roman"/>
                <w:color w:val="auto"/>
                <w:szCs w:val="21"/>
              </w:rPr>
            </w:pPr>
          </w:p>
        </w:tc>
        <w:tc>
          <w:tcPr>
            <w:tcW w:w="523" w:type="pct"/>
            <w:vAlign w:val="center"/>
          </w:tcPr>
          <w:p w14:paraId="1721A58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3C3F5C1E">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65BDB12E">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FB9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E4C98C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3B8EF65F">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768E64B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13AB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13DE677">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7141" w:type="dxa"/>
            <w:vAlign w:val="center"/>
          </w:tcPr>
          <w:p w14:paraId="5EBF36D9">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平时作业共5次，包括SPSS操作的规范性、数据输出的准确性、结果解释的合理性。</w:t>
            </w:r>
          </w:p>
        </w:tc>
        <w:tc>
          <w:tcPr>
            <w:tcW w:w="0" w:type="auto"/>
            <w:vAlign w:val="center"/>
          </w:tcPr>
          <w:p w14:paraId="68A817F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w:t>
            </w:r>
          </w:p>
        </w:tc>
      </w:tr>
      <w:tr w14:paraId="3863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3B77C20">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7141" w:type="dxa"/>
            <w:vAlign w:val="center"/>
          </w:tcPr>
          <w:p w14:paraId="212194C5">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一是课题考勤情况</w:t>
            </w:r>
            <w:r>
              <w:rPr>
                <w:rFonts w:ascii="宋体" w:hAnsi="宋体" w:eastAsia="宋体" w:cs="宋体"/>
                <w:color w:val="auto"/>
                <w:kern w:val="0"/>
                <w:szCs w:val="21"/>
                <w:lang w:bidi="ar"/>
              </w:rPr>
              <w:t>。</w:t>
            </w:r>
            <w:r>
              <w:rPr>
                <w:rFonts w:hint="eastAsia" w:ascii="Times New Roman" w:hAnsi="Times New Roman" w:eastAsia="宋体" w:cs="Times New Roman"/>
                <w:color w:val="auto"/>
                <w:szCs w:val="21"/>
              </w:rPr>
              <w:t>迟到一次扣2分，无故缺席一次扣5分，累计达</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次以上（不含</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次）取消课程成绩。</w:t>
            </w:r>
          </w:p>
          <w:p w14:paraId="20550570">
            <w:pPr>
              <w:widowControl/>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二是</w:t>
            </w:r>
            <w:r>
              <w:rPr>
                <w:rFonts w:ascii="宋体" w:hAnsi="宋体" w:eastAsia="宋体" w:cs="宋体"/>
                <w:color w:val="auto"/>
                <w:kern w:val="0"/>
                <w:szCs w:val="21"/>
                <w:lang w:bidi="ar"/>
              </w:rPr>
              <w:t>课堂参与</w:t>
            </w:r>
            <w:r>
              <w:rPr>
                <w:rFonts w:hint="eastAsia" w:ascii="宋体" w:hAnsi="宋体" w:eastAsia="宋体" w:cs="宋体"/>
                <w:color w:val="auto"/>
                <w:kern w:val="0"/>
                <w:szCs w:val="21"/>
                <w:lang w:bidi="ar"/>
              </w:rPr>
              <w:t>情况。</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表现良好，按照对应的课程目标及权重给予评定</w:t>
            </w:r>
            <w:r>
              <w:rPr>
                <w:rFonts w:hint="eastAsia" w:ascii="宋体" w:hAnsi="宋体" w:eastAsia="宋体" w:cs="宋体"/>
                <w:color w:val="auto"/>
                <w:kern w:val="0"/>
                <w:szCs w:val="21"/>
                <w:lang w:bidi="ar"/>
              </w:rPr>
              <w:t>。</w:t>
            </w:r>
          </w:p>
        </w:tc>
        <w:tc>
          <w:tcPr>
            <w:tcW w:w="0" w:type="auto"/>
            <w:vAlign w:val="center"/>
          </w:tcPr>
          <w:p w14:paraId="78BE522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78D0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2FADB99">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自主学习</w:t>
            </w:r>
          </w:p>
        </w:tc>
        <w:tc>
          <w:tcPr>
            <w:tcW w:w="7141" w:type="dxa"/>
            <w:vAlign w:val="center"/>
          </w:tcPr>
          <w:p w14:paraId="4CC76AE0">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195BFB9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4705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0FBD310">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7141" w:type="dxa"/>
            <w:vAlign w:val="center"/>
          </w:tcPr>
          <w:p w14:paraId="37DCFCAE">
            <w:pPr>
              <w:spacing w:line="264"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t>试卷题型包括</w:t>
            </w:r>
            <w:r>
              <w:rPr>
                <w:rFonts w:hint="eastAsia" w:ascii="Times New Roman" w:hAnsi="Times New Roman" w:eastAsia="宋体" w:cs="Times New Roman"/>
                <w:color w:val="auto"/>
                <w:szCs w:val="21"/>
              </w:rPr>
              <w:t>选择题</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操作题</w:t>
            </w:r>
            <w:r>
              <w:rPr>
                <w:rFonts w:ascii="Times New Roman" w:hAnsi="Times New Roman" w:eastAsia="宋体" w:cs="Times New Roman"/>
                <w:color w:val="auto"/>
                <w:szCs w:val="21"/>
              </w:rPr>
              <w:t>等，以卷面成绩的50%计入课程总成绩。其中考核</w:t>
            </w:r>
            <w:r>
              <w:rPr>
                <w:rFonts w:hint="eastAsia" w:ascii="Times New Roman" w:hAnsi="Times New Roman" w:eastAsia="宋体" w:cs="Times New Roman"/>
                <w:color w:val="auto"/>
                <w:szCs w:val="21"/>
              </w:rPr>
              <w:t>统计基本理论和知识型题目占2</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%；考核学生的统计操作题（输出可视化与结果解释）占8</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w:t>
            </w:r>
          </w:p>
        </w:tc>
        <w:tc>
          <w:tcPr>
            <w:tcW w:w="0" w:type="auto"/>
            <w:vAlign w:val="center"/>
          </w:tcPr>
          <w:p w14:paraId="33D6805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5E64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AF9507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09912487">
            <w:pPr>
              <w:jc w:val="left"/>
              <w:rPr>
                <w:rFonts w:ascii="Times New Roman" w:hAnsi="Times New Roman" w:eastAsia="宋体" w:cs="Times New Roman"/>
                <w:color w:val="auto"/>
                <w:szCs w:val="21"/>
              </w:rPr>
            </w:pPr>
          </w:p>
        </w:tc>
        <w:tc>
          <w:tcPr>
            <w:tcW w:w="0" w:type="auto"/>
            <w:vAlign w:val="center"/>
          </w:tcPr>
          <w:p w14:paraId="2032F81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60BD397F">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5653A403">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61C7EFFD">
      <w:pPr>
        <w:spacing w:before="156" w:beforeLines="50"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object>
          <v:shape id="_x0000_i1065"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65" DrawAspect="Content" ObjectID="_1468075764" r:id="rId51">
            <o:LockedField>false</o:LockedField>
          </o:OLEObject>
        </w:object>
      </w:r>
    </w:p>
    <w:p w14:paraId="4E4EA223">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五、有关说明</w:t>
      </w:r>
    </w:p>
    <w:p w14:paraId="39AF01C4">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09E38902">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根据学生课堂教学中的反应、课后反馈、作业质量、答卷情况，以及领导、督导、教师同行等的听课情况，及时发现和改进教学中的不足之处，确保相应毕业要求指标点达成。</w:t>
      </w:r>
    </w:p>
    <w:p w14:paraId="790BCC2B">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54A48189">
      <w:pPr>
        <w:spacing w:line="336"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刘红云编著.SPSS基础与应用.北京：中国人民出版社，2</w:t>
      </w:r>
      <w:r>
        <w:rPr>
          <w:rFonts w:ascii="Times New Roman" w:hAnsi="Times New Roman" w:eastAsia="宋体" w:cs="Times New Roman"/>
          <w:bCs/>
          <w:color w:val="auto"/>
          <w:szCs w:val="21"/>
        </w:rPr>
        <w:t>0</w:t>
      </w:r>
      <w:r>
        <w:rPr>
          <w:rFonts w:hint="eastAsia" w:ascii="Times New Roman" w:hAnsi="Times New Roman" w:eastAsia="宋体" w:cs="Times New Roman"/>
          <w:bCs/>
          <w:color w:val="auto"/>
          <w:szCs w:val="21"/>
        </w:rPr>
        <w:t>22.</w:t>
      </w:r>
    </w:p>
    <w:p w14:paraId="460A3E9C">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1210B859">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1.张厚粲、徐建平主编.现代心理与教育统计学（第5版）.北京：北京师范大学出版社，2020.</w:t>
      </w:r>
    </w:p>
    <w:p w14:paraId="267CE15C">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2.戴海琦，张峰主编.心理与教育测量（第4版）.广州：暨南大学出版社，2018</w:t>
      </w:r>
      <w:r>
        <w:rPr>
          <w:rFonts w:ascii="Times New Roman" w:hAnsi="Times New Roman" w:eastAsia="宋体" w:cs="Times New Roman"/>
          <w:bCs/>
          <w:color w:val="auto"/>
          <w:szCs w:val="21"/>
        </w:rPr>
        <w:t>.</w:t>
      </w:r>
    </w:p>
    <w:p w14:paraId="1FDE54A6">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3.张屹，周平红.教育研究中定量数据的统计与分析：基于SPSS的应用案例解析.北京：北京大学出版社，2015.</w:t>
      </w:r>
    </w:p>
    <w:p w14:paraId="2F62300F">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执笔人：巫文胜</w:t>
      </w:r>
    </w:p>
    <w:p w14:paraId="64DA7B6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 xml:space="preserve">    审定人：王</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健</w:t>
      </w:r>
    </w:p>
    <w:p w14:paraId="2CBDE57B">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审批人：张志欣</w:t>
      </w:r>
    </w:p>
    <w:p w14:paraId="0C197435">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批准时间：2025年7月1日</w:t>
      </w:r>
    </w:p>
    <w:p w14:paraId="478BC489">
      <w:pPr>
        <w:spacing w:line="360" w:lineRule="auto"/>
        <w:ind w:firstLine="411" w:firstLineChars="196"/>
        <w:jc w:val="left"/>
        <w:rPr>
          <w:rFonts w:hint="eastAsia" w:ascii="宋体" w:hAnsi="宋体" w:eastAsia="宋体" w:cs="Times New Roman"/>
          <w:color w:val="auto"/>
          <w:szCs w:val="21"/>
        </w:rPr>
      </w:pPr>
    </w:p>
    <w:p w14:paraId="57FF86D9">
      <w:pPr>
        <w:spacing w:line="360" w:lineRule="auto"/>
        <w:ind w:firstLine="4200" w:firstLineChars="2000"/>
        <w:rPr>
          <w:rFonts w:ascii="Times New Roman" w:hAnsi="Times New Roman" w:eastAsia="宋体" w:cs="Times New Roman"/>
          <w:color w:val="auto"/>
          <w:sz w:val="24"/>
        </w:rPr>
      </w:pPr>
      <w:r>
        <w:rPr>
          <w:rFonts w:hint="eastAsia"/>
          <w:color w:val="auto"/>
        </w:rPr>
        <w:br w:type="page"/>
      </w:r>
    </w:p>
    <w:p w14:paraId="00E50CD3">
      <w:pPr>
        <w:spacing w:line="360" w:lineRule="auto"/>
        <w:jc w:val="center"/>
        <w:outlineLvl w:val="0"/>
        <w:rPr>
          <w:rFonts w:ascii="Times New Roman" w:hAnsi="Times New Roman" w:eastAsia="宋体" w:cs="Times New Roman"/>
          <w:b/>
          <w:color w:val="auto"/>
          <w:sz w:val="44"/>
          <w:szCs w:val="44"/>
        </w:rPr>
      </w:pPr>
      <w:bookmarkStart w:id="389" w:name="_Toc20254"/>
      <w:bookmarkStart w:id="390" w:name="_Toc28864"/>
      <w:r>
        <w:rPr>
          <w:rFonts w:hint="eastAsia" w:ascii="Times New Roman" w:hAnsi="Times New Roman" w:eastAsia="宋体" w:cs="Times New Roman"/>
          <w:b/>
          <w:color w:val="auto"/>
          <w:sz w:val="44"/>
          <w:szCs w:val="44"/>
        </w:rPr>
        <w:t>《科学概论》课程教学大纲</w:t>
      </w:r>
      <w:bookmarkEnd w:id="389"/>
      <w:bookmarkEnd w:id="390"/>
    </w:p>
    <w:p w14:paraId="6E29B3E5">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（Introduction to Science）</w:t>
      </w:r>
    </w:p>
    <w:p w14:paraId="50E74FB4">
      <w:pPr>
        <w:spacing w:line="360" w:lineRule="auto"/>
        <w:jc w:val="center"/>
        <w:rPr>
          <w:rFonts w:ascii="Times New Roman" w:hAnsi="Times New Roman" w:eastAsia="宋体" w:cs="Times New Roman"/>
          <w:bCs/>
          <w:color w:val="auto"/>
          <w:sz w:val="21"/>
          <w:szCs w:val="21"/>
        </w:rPr>
      </w:pPr>
    </w:p>
    <w:p w14:paraId="54E986FA">
      <w:pPr>
        <w:spacing w:line="360" w:lineRule="auto"/>
        <w:ind w:firstLine="482" w:firstLineChars="200"/>
        <w:jc w:val="left"/>
        <w:rPr>
          <w:rFonts w:ascii="Times New Roman" w:hAnsi="Times New Roman" w:eastAsia="宋体" w:cs="Times New Roman"/>
          <w:b/>
          <w:bCs/>
          <w:color w:val="auto"/>
          <w:sz w:val="24"/>
          <w:szCs w:val="24"/>
        </w:rPr>
      </w:pPr>
      <w:r>
        <w:rPr>
          <w:rFonts w:hint="eastAsia" w:ascii="Times New Roman" w:hAnsi="Times New Roman" w:eastAsia="宋体" w:cs="Times New Roman"/>
          <w:b/>
          <w:color w:val="auto"/>
          <w:sz w:val="24"/>
          <w:szCs w:val="24"/>
        </w:rPr>
        <w:t>课程名称：</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color w:val="auto"/>
          <w:sz w:val="24"/>
          <w:szCs w:val="24"/>
        </w:rPr>
        <w:t>科学概论</w:t>
      </w:r>
    </w:p>
    <w:p w14:paraId="1DEC15D1">
      <w:pPr>
        <w:spacing w:line="360" w:lineRule="auto"/>
        <w:ind w:firstLine="482" w:firstLineChars="200"/>
        <w:jc w:val="left"/>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课程代码：</w:t>
      </w:r>
      <w:r>
        <w:rPr>
          <w:rFonts w:ascii="Times New Roman" w:hAnsi="Times New Roman" w:eastAsia="宋体" w:cs="Times New Roman"/>
          <w:b/>
          <w:color w:val="auto"/>
          <w:sz w:val="24"/>
          <w:szCs w:val="24"/>
        </w:rPr>
        <w:t>2401031</w:t>
      </w:r>
    </w:p>
    <w:p w14:paraId="050DA31C">
      <w:pPr>
        <w:spacing w:line="360" w:lineRule="auto"/>
        <w:ind w:firstLine="482" w:firstLineChars="200"/>
        <w:jc w:val="left"/>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学 分：</w:t>
      </w:r>
      <w:r>
        <w:rPr>
          <w:rFonts w:hint="eastAsia" w:ascii="Times New Roman" w:hAnsi="Times New Roman" w:eastAsia="宋体" w:cs="Times New Roman"/>
          <w:b/>
          <w:color w:val="auto"/>
          <w:sz w:val="24"/>
          <w:szCs w:val="24"/>
        </w:rPr>
        <w:t>2</w:t>
      </w:r>
    </w:p>
    <w:p w14:paraId="773714C7">
      <w:pPr>
        <w:spacing w:line="360" w:lineRule="auto"/>
        <w:ind w:firstLine="482" w:firstLineChars="200"/>
        <w:jc w:val="left"/>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学 时：</w:t>
      </w:r>
      <w:r>
        <w:rPr>
          <w:rFonts w:hint="eastAsia" w:ascii="Times New Roman" w:hAnsi="Times New Roman" w:eastAsia="宋体" w:cs="Times New Roman"/>
          <w:b/>
          <w:color w:val="auto"/>
          <w:sz w:val="24"/>
          <w:szCs w:val="24"/>
        </w:rPr>
        <w:t>32</w:t>
      </w:r>
      <w:r>
        <w:rPr>
          <w:rFonts w:ascii="Times New Roman" w:hAnsi="Times New Roman" w:eastAsia="宋体" w:cs="Times New Roman"/>
          <w:b/>
          <w:color w:val="auto"/>
          <w:sz w:val="24"/>
          <w:szCs w:val="24"/>
        </w:rPr>
        <w:t>（其中：讲授学时</w:t>
      </w:r>
      <w:r>
        <w:rPr>
          <w:rFonts w:hint="eastAsia" w:ascii="Times New Roman" w:hAnsi="Times New Roman" w:eastAsia="宋体" w:cs="Times New Roman"/>
          <w:b/>
          <w:color w:val="auto"/>
          <w:sz w:val="24"/>
          <w:szCs w:val="24"/>
        </w:rPr>
        <w:t>32</w:t>
      </w:r>
      <w:r>
        <w:rPr>
          <w:rFonts w:ascii="Times New Roman" w:hAnsi="Times New Roman" w:eastAsia="宋体" w:cs="Times New Roman"/>
          <w:b/>
          <w:color w:val="auto"/>
          <w:sz w:val="24"/>
          <w:szCs w:val="24"/>
        </w:rPr>
        <w:t>）</w:t>
      </w:r>
    </w:p>
    <w:p w14:paraId="17250B8F">
      <w:pPr>
        <w:spacing w:line="360" w:lineRule="auto"/>
        <w:ind w:firstLine="482" w:firstLineChars="200"/>
        <w:jc w:val="left"/>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先修课程：</w:t>
      </w:r>
      <w:r>
        <w:rPr>
          <w:rFonts w:ascii="Times New Roman" w:hAnsi="Times New Roman" w:eastAsia="宋体" w:cs="Times New Roman"/>
          <w:b/>
          <w:color w:val="auto"/>
          <w:sz w:val="24"/>
          <w:szCs w:val="24"/>
        </w:rPr>
        <w:t>无</w:t>
      </w:r>
    </w:p>
    <w:p w14:paraId="03392AC5">
      <w:pPr>
        <w:spacing w:line="360" w:lineRule="auto"/>
        <w:ind w:firstLine="482" w:firstLineChars="200"/>
        <w:jc w:val="left"/>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适用专业：</w:t>
      </w:r>
      <w:r>
        <w:rPr>
          <w:rFonts w:ascii="Times New Roman" w:hAnsi="Times New Roman" w:eastAsia="宋体" w:cs="Times New Roman"/>
          <w:b/>
          <w:color w:val="auto"/>
          <w:sz w:val="24"/>
          <w:szCs w:val="24"/>
        </w:rPr>
        <w:t>小学教育（</w:t>
      </w:r>
      <w:r>
        <w:rPr>
          <w:rFonts w:hint="eastAsia" w:ascii="Times New Roman" w:hAnsi="Times New Roman" w:eastAsia="宋体" w:cs="Times New Roman"/>
          <w:b/>
          <w:color w:val="auto"/>
          <w:sz w:val="24"/>
          <w:szCs w:val="24"/>
        </w:rPr>
        <w:t>理</w:t>
      </w:r>
      <w:r>
        <w:rPr>
          <w:rFonts w:ascii="Times New Roman" w:hAnsi="Times New Roman" w:eastAsia="宋体" w:cs="Times New Roman"/>
          <w:b/>
          <w:color w:val="auto"/>
          <w:sz w:val="24"/>
          <w:szCs w:val="24"/>
        </w:rPr>
        <w:t>）</w:t>
      </w:r>
    </w:p>
    <w:p w14:paraId="4EE7905E">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一、课程简介</w:t>
      </w:r>
    </w:p>
    <w:p w14:paraId="249A58B7">
      <w:pPr>
        <w:spacing w:line="360" w:lineRule="auto"/>
        <w:ind w:firstLine="420" w:firstLineChars="200"/>
        <w:jc w:val="left"/>
        <w:rPr>
          <w:rFonts w:ascii="Times New Roman" w:hAnsi="Times New Roman" w:eastAsia="宋体" w:cs="Times New Roman"/>
          <w:bCs/>
          <w:color w:val="auto"/>
          <w:szCs w:val="21"/>
        </w:rPr>
      </w:pPr>
      <w:r>
        <w:rPr>
          <w:rFonts w:ascii="Times New Roman" w:hAnsi="Times New Roman" w:eastAsia="宋体" w:cs="Times New Roman"/>
          <w:bCs/>
          <w:color w:val="auto"/>
          <w:szCs w:val="21"/>
        </w:rPr>
        <w:t>本课程是小学教育的专业基础必修课，以自然科学的基础知识、基本概念、基本原理和基本方法为基础，主线围绕人与自然的关系协调，核心关注学生发展，紧密联系小学科学教育教学实际。课程旨在培养具有一定科学素养的合格小学教师。通过学习，本课程帮助学生掌握自然科学基础知识，学习自然科学的基本思想和方法，提高分析问题和解决问题的能力，开阔眼界，完善知识结构，培养科学态度，提高科学素养，以适应小学教师教育教学的需求。</w:t>
      </w:r>
    </w:p>
    <w:p w14:paraId="69148674">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2"/>
          <w:szCs w:val="22"/>
        </w:rPr>
      </w:pPr>
      <w:r>
        <w:rPr>
          <w:rFonts w:hint="eastAsia" w:ascii="Times New Roman" w:hAnsi="Times New Roman" w:eastAsia="宋体" w:cs="Times New Roman"/>
          <w:b/>
          <w:color w:val="auto"/>
          <w:sz w:val="24"/>
        </w:rPr>
        <w:t>二、课程目标</w:t>
      </w:r>
    </w:p>
    <w:p w14:paraId="5376F70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15EF3D5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 xml:space="preserve">目标1. </w:t>
      </w:r>
      <w:r>
        <w:rPr>
          <w:rFonts w:hint="eastAsia" w:ascii="宋体" w:hAnsi="宋体" w:eastAsia="宋体" w:cs="Times New Roman"/>
          <w:bCs/>
          <w:color w:val="auto"/>
          <w:szCs w:val="21"/>
        </w:rPr>
        <w:t>掌握自然科学的基础知识、基本概念和基本原理，理解科学研究的基本方法，形成自然科学的整体认知和科学素养。</w:t>
      </w:r>
    </w:p>
    <w:p w14:paraId="16118AE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bCs/>
          <w:color w:val="auto"/>
          <w:szCs w:val="21"/>
        </w:rPr>
      </w:pPr>
      <w:r>
        <w:rPr>
          <w:rFonts w:hint="eastAsia" w:ascii="宋体" w:hAnsi="宋体" w:eastAsia="宋体" w:cs="Times New Roman"/>
          <w:b/>
          <w:color w:val="auto"/>
          <w:szCs w:val="21"/>
        </w:rPr>
        <w:t>目标2.</w:t>
      </w:r>
      <w:r>
        <w:rPr>
          <w:rFonts w:hint="eastAsia" w:ascii="宋体" w:hAnsi="宋体" w:eastAsia="宋体"/>
          <w:b/>
          <w:bCs/>
          <w:color w:val="auto"/>
          <w:szCs w:val="21"/>
        </w:rPr>
        <w:t xml:space="preserve"> </w:t>
      </w:r>
      <w:r>
        <w:rPr>
          <w:rFonts w:ascii="宋体" w:hAnsi="宋体" w:eastAsia="宋体"/>
          <w:bCs/>
          <w:color w:val="auto"/>
          <w:szCs w:val="21"/>
        </w:rPr>
        <w:t>熟悉小学科学教育的知识体系，掌握小学科学领域的核心概念、基本原理和主要技能；能够结合小学教育实际，运用科学实验和探究活动提升学生的科学思维能力，为小学科学课程教学提供扎实的学科支撑。</w:t>
      </w:r>
    </w:p>
    <w:p w14:paraId="3A0B68C9">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Cs/>
          <w:color w:val="auto"/>
          <w:szCs w:val="21"/>
        </w:rPr>
      </w:pPr>
      <w:r>
        <w:rPr>
          <w:rFonts w:hint="eastAsia" w:ascii="宋体" w:hAnsi="宋体" w:eastAsia="宋体" w:cs="Times New Roman"/>
          <w:b/>
          <w:color w:val="auto"/>
          <w:szCs w:val="21"/>
        </w:rPr>
        <w:t xml:space="preserve">目标3. </w:t>
      </w:r>
      <w:r>
        <w:rPr>
          <w:rFonts w:ascii="宋体" w:hAnsi="宋体" w:eastAsia="宋体" w:cs="Times New Roman"/>
          <w:bCs/>
          <w:color w:val="auto"/>
          <w:szCs w:val="21"/>
        </w:rPr>
        <w:t>具备科学知识的整合能力，能够结合小学其他课程及社会实践，设计跨学科综合性科学活动，提升小学教育的知识传授能力和科学实践能力。</w:t>
      </w:r>
    </w:p>
    <w:p w14:paraId="62BFB3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left"/>
        <w:textAlignment w:val="auto"/>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lang w:eastAsia="zh-CN"/>
        </w:rPr>
        <w:t>（</w:t>
      </w:r>
      <w:r>
        <w:rPr>
          <w:rFonts w:hint="eastAsia" w:ascii="Times New Roman" w:hAnsi="Times New Roman" w:eastAsia="宋体" w:cs="Times New Roman"/>
          <w:b/>
          <w:bCs/>
          <w:color w:val="auto"/>
          <w:szCs w:val="21"/>
          <w:lang w:val="en-US" w:eastAsia="zh-CN"/>
        </w:rPr>
        <w:t>二</w:t>
      </w:r>
      <w:r>
        <w:rPr>
          <w:rFonts w:hint="eastAsia" w:ascii="Times New Roman" w:hAnsi="Times New Roman" w:eastAsia="宋体" w:cs="Times New Roman"/>
          <w:b/>
          <w:bCs/>
          <w:color w:val="auto"/>
          <w:szCs w:val="21"/>
          <w:lang w:eastAsia="zh-CN"/>
        </w:rPr>
        <w:t>）</w:t>
      </w:r>
      <w:r>
        <w:rPr>
          <w:rFonts w:hint="eastAsia" w:ascii="Times New Roman" w:hAnsi="Times New Roman" w:eastAsia="宋体" w:cs="Times New Roman"/>
          <w:b/>
          <w:bCs/>
          <w:color w:val="auto"/>
          <w:szCs w:val="21"/>
        </w:rPr>
        <w:t>课程目标及其对毕业要求指标点的支撑</w:t>
      </w:r>
    </w:p>
    <w:tbl>
      <w:tblPr>
        <w:tblStyle w:val="16"/>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6504"/>
        <w:gridCol w:w="1198"/>
      </w:tblGrid>
      <w:tr w14:paraId="0DA9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328" w:type="dxa"/>
            <w:vAlign w:val="center"/>
          </w:tcPr>
          <w:p w14:paraId="6F626018">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504" w:type="dxa"/>
            <w:vAlign w:val="center"/>
          </w:tcPr>
          <w:p w14:paraId="2C0D6CA2">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8" w:type="dxa"/>
            <w:vAlign w:val="center"/>
          </w:tcPr>
          <w:p w14:paraId="1A0D5CB1">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3D1A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328" w:type="dxa"/>
            <w:vMerge w:val="restart"/>
            <w:vAlign w:val="center"/>
          </w:tcPr>
          <w:p w14:paraId="2753B7E1">
            <w:pPr>
              <w:spacing w:line="276" w:lineRule="auto"/>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毕业要求3</w:t>
            </w:r>
          </w:p>
          <w:p w14:paraId="44D000D9">
            <w:pPr>
              <w:spacing w:line="276" w:lineRule="auto"/>
              <w:jc w:val="center"/>
              <w:rPr>
                <w:rFonts w:hint="eastAsia" w:ascii="Times New Roman" w:hAnsi="Times New Roman" w:eastAsia="宋体" w:cs="Times New Roman"/>
                <w:b/>
                <w:bCs/>
                <w:color w:val="auto"/>
                <w:szCs w:val="21"/>
              </w:rPr>
            </w:pPr>
            <w:r>
              <w:rPr>
                <w:rFonts w:ascii="Times New Roman" w:hAnsi="Times New Roman" w:eastAsia="宋体" w:cs="Times New Roman"/>
                <w:b/>
                <w:bCs/>
                <w:color w:val="auto"/>
                <w:szCs w:val="21"/>
              </w:rPr>
              <w:t>学科素养</w:t>
            </w:r>
          </w:p>
        </w:tc>
        <w:tc>
          <w:tcPr>
            <w:tcW w:w="6504" w:type="dxa"/>
            <w:vAlign w:val="center"/>
          </w:tcPr>
          <w:p w14:paraId="7ABD530E">
            <w:pPr>
              <w:spacing w:line="276" w:lineRule="auto"/>
              <w:jc w:val="left"/>
              <w:rPr>
                <w:rFonts w:hint="eastAsia" w:ascii="宋体" w:hAnsi="宋体" w:eastAsia="宋体" w:cs="Times New Roman"/>
                <w:b w:val="0"/>
                <w:bCs w:val="0"/>
                <w:color w:val="auto"/>
                <w:szCs w:val="21"/>
                <w:lang w:eastAsia="zh-CN"/>
              </w:rPr>
            </w:pPr>
            <w:r>
              <w:rPr>
                <w:rFonts w:hint="eastAsia" w:ascii="宋体" w:hAnsi="宋体" w:eastAsia="宋体" w:cs="宋体"/>
                <w:b w:val="0"/>
                <w:bCs w:val="0"/>
                <w:color w:val="auto"/>
                <w:kern w:val="0"/>
                <w:szCs w:val="21"/>
                <w:lang w:eastAsia="zh-CN"/>
              </w:rPr>
              <w:t>指标点3-1：【通识知识广博】具有小学教育本科专业相应的自然科学和人文社会科学知识素养。</w:t>
            </w:r>
          </w:p>
        </w:tc>
        <w:tc>
          <w:tcPr>
            <w:tcW w:w="1198" w:type="dxa"/>
            <w:vAlign w:val="center"/>
          </w:tcPr>
          <w:p w14:paraId="4C283234">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目标1</w:t>
            </w:r>
          </w:p>
        </w:tc>
      </w:tr>
      <w:tr w14:paraId="45A9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jc w:val="center"/>
        </w:trPr>
        <w:tc>
          <w:tcPr>
            <w:tcW w:w="1328" w:type="dxa"/>
            <w:vMerge w:val="continue"/>
            <w:vAlign w:val="center"/>
          </w:tcPr>
          <w:p w14:paraId="4668C567">
            <w:pPr>
              <w:spacing w:line="276" w:lineRule="auto"/>
              <w:jc w:val="left"/>
              <w:rPr>
                <w:rFonts w:ascii="Times New Roman" w:hAnsi="Times New Roman" w:eastAsia="宋体" w:cs="Times New Roman"/>
                <w:b/>
                <w:bCs/>
                <w:color w:val="auto"/>
                <w:szCs w:val="21"/>
              </w:rPr>
            </w:pPr>
          </w:p>
        </w:tc>
        <w:tc>
          <w:tcPr>
            <w:tcW w:w="6504" w:type="dxa"/>
            <w:vAlign w:val="center"/>
          </w:tcPr>
          <w:p w14:paraId="3C69D0D1">
            <w:pPr>
              <w:spacing w:line="276" w:lineRule="auto"/>
              <w:jc w:val="left"/>
              <w:rPr>
                <w:rFonts w:hint="eastAsia" w:ascii="宋体" w:hAnsi="宋体" w:eastAsia="宋体" w:cs="Times New Roman"/>
                <w:b w:val="0"/>
                <w:bCs w:val="0"/>
                <w:color w:val="auto"/>
                <w:szCs w:val="21"/>
              </w:rPr>
            </w:pPr>
            <w:r>
              <w:rPr>
                <w:rFonts w:hint="eastAsia" w:ascii="宋体" w:hAnsi="宋体" w:eastAsia="宋体" w:cs="宋体"/>
                <w:b w:val="0"/>
                <w:bCs w:val="0"/>
                <w:color w:val="auto"/>
                <w:kern w:val="0"/>
                <w:szCs w:val="21"/>
              </w:rPr>
              <w:t>指标点</w:t>
            </w:r>
            <w:r>
              <w:rPr>
                <w:rFonts w:hint="eastAsia" w:ascii="宋体" w:hAnsi="宋体" w:eastAsia="宋体" w:cs="宋体"/>
                <w:b w:val="0"/>
                <w:bCs w:val="0"/>
                <w:color w:val="auto"/>
                <w:szCs w:val="21"/>
              </w:rPr>
              <w:t>3-2：【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p>
        </w:tc>
        <w:tc>
          <w:tcPr>
            <w:tcW w:w="1198" w:type="dxa"/>
            <w:vAlign w:val="center"/>
          </w:tcPr>
          <w:p w14:paraId="427CB7F2">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目标2</w:t>
            </w:r>
          </w:p>
        </w:tc>
      </w:tr>
      <w:tr w14:paraId="7B92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328" w:type="dxa"/>
            <w:vMerge w:val="continue"/>
            <w:vAlign w:val="center"/>
          </w:tcPr>
          <w:p w14:paraId="13989558">
            <w:pPr>
              <w:spacing w:line="276" w:lineRule="auto"/>
              <w:jc w:val="left"/>
              <w:rPr>
                <w:rFonts w:ascii="Times New Roman" w:hAnsi="Times New Roman" w:eastAsia="宋体" w:cs="Times New Roman"/>
                <w:b/>
                <w:bCs/>
                <w:color w:val="auto"/>
                <w:szCs w:val="21"/>
              </w:rPr>
            </w:pPr>
          </w:p>
        </w:tc>
        <w:tc>
          <w:tcPr>
            <w:tcW w:w="6504" w:type="dxa"/>
            <w:vAlign w:val="center"/>
          </w:tcPr>
          <w:p w14:paraId="5FA60C16">
            <w:pPr>
              <w:spacing w:line="276" w:lineRule="auto"/>
              <w:jc w:val="left"/>
              <w:rPr>
                <w:rFonts w:hint="eastAsia" w:ascii="宋体" w:hAnsi="宋体" w:eastAsia="宋体" w:cs="Times New Roman"/>
                <w:b w:val="0"/>
                <w:bCs w:val="0"/>
                <w:color w:val="auto"/>
                <w:szCs w:val="21"/>
              </w:rPr>
            </w:pPr>
            <w:r>
              <w:rPr>
                <w:rFonts w:hint="eastAsia" w:ascii="宋体" w:hAnsi="宋体" w:eastAsia="宋体" w:cs="宋体"/>
                <w:b w:val="0"/>
                <w:bCs w:val="0"/>
                <w:color w:val="auto"/>
                <w:kern w:val="0"/>
                <w:szCs w:val="21"/>
              </w:rPr>
              <w:t>指标点</w:t>
            </w:r>
            <w:r>
              <w:rPr>
                <w:rFonts w:hint="eastAsia" w:ascii="宋体" w:hAnsi="宋体" w:eastAsia="宋体" w:cs="宋体"/>
                <w:b w:val="0"/>
                <w:bCs w:val="0"/>
                <w:color w:val="auto"/>
                <w:szCs w:val="21"/>
              </w:rPr>
              <w:t>3-3：【注重知识整合】了解所教学科与小学其他学科及与社会实践、小学生生活实践之间的联系，了解学科整合在小学教育中的价值，具有跨学科解决问题的意识和能力，能指导综合性学科教学活动。</w:t>
            </w:r>
          </w:p>
        </w:tc>
        <w:tc>
          <w:tcPr>
            <w:tcW w:w="1198" w:type="dxa"/>
            <w:vAlign w:val="center"/>
          </w:tcPr>
          <w:p w14:paraId="002A8DE6">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目标3</w:t>
            </w:r>
          </w:p>
        </w:tc>
      </w:tr>
    </w:tbl>
    <w:p w14:paraId="1DFDABCB">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27B45A2C">
      <w:pPr>
        <w:spacing w:line="360" w:lineRule="auto"/>
        <w:ind w:left="420" w:leftChars="200" w:firstLine="210" w:firstLineChars="100"/>
        <w:jc w:val="left"/>
        <w:rPr>
          <w:rFonts w:hint="eastAsia" w:ascii="宋体" w:hAnsi="宋体" w:eastAsia="宋体" w:cs="Times New Roman"/>
          <w:color w:val="auto"/>
          <w:szCs w:val="21"/>
        </w:rPr>
      </w:pPr>
      <w:r>
        <w:rPr>
          <w:rFonts w:hint="eastAsia" w:ascii="宋体" w:hAnsi="宋体" w:eastAsia="宋体" w:cs="Times New Roman"/>
          <w:color w:val="auto"/>
          <w:szCs w:val="21"/>
        </w:rPr>
        <w:t xml:space="preserve">1. </w:t>
      </w:r>
      <w:r>
        <w:rPr>
          <w:rFonts w:ascii="宋体" w:hAnsi="宋体" w:eastAsia="宋体" w:cs="Times New Roman"/>
          <w:b/>
          <w:bCs/>
          <w:color w:val="auto"/>
          <w:szCs w:val="21"/>
        </w:rPr>
        <w:t>培养科学精神与责任意识</w:t>
      </w:r>
    </w:p>
    <w:p w14:paraId="4CF41224">
      <w:pPr>
        <w:spacing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t>帮助学生树立尊重科学、崇尚探索的科学精神，认识科学技术对社会进步的重要意义，同时增强社会责任感，为培养具有科学素养的小学生打下思想基础。</w:t>
      </w:r>
    </w:p>
    <w:p w14:paraId="4A68C5D8">
      <w:pPr>
        <w:spacing w:line="360" w:lineRule="auto"/>
        <w:ind w:left="420" w:leftChars="200" w:firstLine="210" w:firstLineChars="100"/>
        <w:jc w:val="left"/>
        <w:rPr>
          <w:rFonts w:hint="eastAsia" w:ascii="宋体" w:hAnsi="宋体" w:eastAsia="宋体" w:cs="Times New Roman"/>
          <w:color w:val="auto"/>
          <w:szCs w:val="21"/>
        </w:rPr>
      </w:pPr>
      <w:r>
        <w:rPr>
          <w:rFonts w:hint="eastAsia" w:ascii="宋体" w:hAnsi="宋体" w:eastAsia="宋体" w:cs="Times New Roman"/>
          <w:color w:val="auto"/>
          <w:szCs w:val="21"/>
        </w:rPr>
        <w:t xml:space="preserve">2. </w:t>
      </w:r>
      <w:r>
        <w:rPr>
          <w:rFonts w:ascii="宋体" w:hAnsi="宋体" w:eastAsia="宋体" w:cs="Times New Roman"/>
          <w:b/>
          <w:bCs/>
          <w:color w:val="auto"/>
          <w:szCs w:val="21"/>
        </w:rPr>
        <w:t>增强生态文明意识</w:t>
      </w:r>
    </w:p>
    <w:p w14:paraId="307AD659">
      <w:pPr>
        <w:spacing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t>通过对自然科学知识的学习，引导学生树立人与自然和谐共生的理念，强化生态保护意识，践行可持续发展观。</w:t>
      </w:r>
    </w:p>
    <w:p w14:paraId="654FF98B">
      <w:pPr>
        <w:spacing w:line="360" w:lineRule="auto"/>
        <w:ind w:left="420" w:leftChars="200" w:firstLine="210" w:firstLineChars="100"/>
        <w:jc w:val="left"/>
        <w:rPr>
          <w:rFonts w:hint="eastAsia" w:ascii="宋体" w:hAnsi="宋体" w:eastAsia="宋体" w:cs="Times New Roman"/>
          <w:color w:val="auto"/>
          <w:szCs w:val="21"/>
        </w:rPr>
      </w:pPr>
      <w:r>
        <w:rPr>
          <w:rFonts w:hint="eastAsia" w:ascii="宋体" w:hAnsi="宋体" w:eastAsia="宋体" w:cs="Times New Roman"/>
          <w:color w:val="auto"/>
          <w:szCs w:val="21"/>
        </w:rPr>
        <w:t xml:space="preserve">3. </w:t>
      </w:r>
      <w:r>
        <w:rPr>
          <w:rFonts w:ascii="宋体" w:hAnsi="宋体" w:eastAsia="宋体" w:cs="Times New Roman"/>
          <w:b/>
          <w:bCs/>
          <w:color w:val="auto"/>
          <w:szCs w:val="21"/>
        </w:rPr>
        <w:t>弘扬科学伦理与价值观</w:t>
      </w:r>
    </w:p>
    <w:p w14:paraId="3DA8E7E1">
      <w:pPr>
        <w:spacing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t>帮助学生认识科技发展对社会的双重影响，正确看待科技进步中的伦理问题，形成对科学技术的理性态度和批判性思维。</w:t>
      </w:r>
    </w:p>
    <w:p w14:paraId="13D46581">
      <w:pPr>
        <w:spacing w:line="360" w:lineRule="auto"/>
        <w:ind w:left="210" w:leftChars="100" w:firstLine="420" w:firstLineChars="200"/>
        <w:jc w:val="left"/>
        <w:rPr>
          <w:rFonts w:hint="eastAsia" w:ascii="宋体" w:hAnsi="宋体" w:eastAsia="宋体" w:cs="Times New Roman"/>
          <w:color w:val="auto"/>
          <w:szCs w:val="21"/>
        </w:rPr>
      </w:pPr>
      <w:r>
        <w:rPr>
          <w:rFonts w:hint="eastAsia" w:ascii="宋体" w:hAnsi="宋体" w:eastAsia="宋体" w:cs="Times New Roman"/>
          <w:color w:val="auto"/>
          <w:szCs w:val="21"/>
        </w:rPr>
        <w:t xml:space="preserve">4. </w:t>
      </w:r>
      <w:r>
        <w:rPr>
          <w:rFonts w:ascii="宋体" w:hAnsi="宋体" w:eastAsia="宋体" w:cs="Times New Roman"/>
          <w:b/>
          <w:bCs/>
          <w:color w:val="auto"/>
          <w:szCs w:val="21"/>
        </w:rPr>
        <w:t>激发爱国热情与家国情怀</w:t>
      </w:r>
      <w:r>
        <w:rPr>
          <w:rFonts w:hint="eastAsia" w:ascii="宋体" w:hAnsi="宋体" w:eastAsia="宋体" w:cs="Times New Roman"/>
          <w:color w:val="auto"/>
          <w:szCs w:val="21"/>
        </w:rPr>
        <w:t xml:space="preserve"> </w:t>
      </w:r>
    </w:p>
    <w:p w14:paraId="5646B345">
      <w:pPr>
        <w:spacing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t>结合科学发展史中的经典案例，引导学生认识中国科学技术的贡献，增强民族自信心和自豪感，为培养德才兼备的小学教师提供思想支撑。</w:t>
      </w:r>
    </w:p>
    <w:p w14:paraId="6A1F7AD6">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三、教学内容与预期学习成效</w:t>
      </w:r>
    </w:p>
    <w:tbl>
      <w:tblPr>
        <w:tblStyle w:val="16"/>
        <w:tblW w:w="93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2408"/>
        <w:gridCol w:w="1175"/>
        <w:gridCol w:w="3313"/>
        <w:gridCol w:w="1147"/>
        <w:gridCol w:w="443"/>
      </w:tblGrid>
      <w:tr w14:paraId="2886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96" w:type="dxa"/>
            <w:vAlign w:val="center"/>
          </w:tcPr>
          <w:p w14:paraId="54B84320">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w:t>
            </w:r>
          </w:p>
          <w:p w14:paraId="3BF4053B">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单元</w:t>
            </w:r>
          </w:p>
        </w:tc>
        <w:tc>
          <w:tcPr>
            <w:tcW w:w="2408" w:type="dxa"/>
            <w:vAlign w:val="center"/>
          </w:tcPr>
          <w:p w14:paraId="1B7983C6">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知识点</w:t>
            </w:r>
          </w:p>
        </w:tc>
        <w:tc>
          <w:tcPr>
            <w:tcW w:w="1175" w:type="dxa"/>
            <w:vAlign w:val="center"/>
          </w:tcPr>
          <w:p w14:paraId="1FC10684">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对应</w:t>
            </w:r>
          </w:p>
          <w:p w14:paraId="4B23C9A6">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课程目标</w:t>
            </w:r>
          </w:p>
        </w:tc>
        <w:tc>
          <w:tcPr>
            <w:tcW w:w="3313" w:type="dxa"/>
            <w:vAlign w:val="center"/>
          </w:tcPr>
          <w:p w14:paraId="36FBBB06">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预期学习成效</w:t>
            </w:r>
          </w:p>
        </w:tc>
        <w:tc>
          <w:tcPr>
            <w:tcW w:w="1147" w:type="dxa"/>
            <w:vAlign w:val="center"/>
          </w:tcPr>
          <w:p w14:paraId="7242A739">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实现环节</w:t>
            </w:r>
          </w:p>
        </w:tc>
        <w:tc>
          <w:tcPr>
            <w:tcW w:w="443" w:type="dxa"/>
            <w:vAlign w:val="center"/>
          </w:tcPr>
          <w:p w14:paraId="021631F1">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学时</w:t>
            </w:r>
          </w:p>
        </w:tc>
      </w:tr>
      <w:tr w14:paraId="2A93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restart"/>
            <w:vAlign w:val="center"/>
          </w:tcPr>
          <w:p w14:paraId="505AB95A">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绪论</w:t>
            </w:r>
          </w:p>
        </w:tc>
        <w:tc>
          <w:tcPr>
            <w:tcW w:w="2408" w:type="dxa"/>
            <w:vAlign w:val="center"/>
          </w:tcPr>
          <w:p w14:paraId="4385A130">
            <w:pPr>
              <w:spacing w:line="240" w:lineRule="auto"/>
              <w:jc w:val="both"/>
              <w:rPr>
                <w:rFonts w:hint="eastAsia" w:ascii="宋体" w:hAnsi="宋体" w:eastAsia="宋体" w:cs="Times New Roman"/>
                <w:color w:val="auto"/>
                <w:sz w:val="21"/>
                <w:szCs w:val="21"/>
              </w:rPr>
            </w:pPr>
            <w:r>
              <w:rPr>
                <w:rFonts w:hint="eastAsia" w:ascii="宋体" w:hAnsi="宋体" w:eastAsia="宋体"/>
                <w:color w:val="auto"/>
                <w:sz w:val="21"/>
                <w:szCs w:val="21"/>
              </w:rPr>
              <w:t>自然科学的基本概念与研究方法；科学教育课程标准</w:t>
            </w:r>
          </w:p>
        </w:tc>
        <w:tc>
          <w:tcPr>
            <w:tcW w:w="1175" w:type="dxa"/>
            <w:vAlign w:val="center"/>
          </w:tcPr>
          <w:p w14:paraId="78859310">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目标1</w:t>
            </w:r>
          </w:p>
        </w:tc>
        <w:tc>
          <w:tcPr>
            <w:tcW w:w="3313" w:type="dxa"/>
          </w:tcPr>
          <w:p w14:paraId="3767CAD8">
            <w:pPr>
              <w:spacing w:line="240" w:lineRule="auto"/>
              <w:jc w:val="left"/>
              <w:rPr>
                <w:rFonts w:hint="eastAsia" w:ascii="宋体" w:hAnsi="宋体" w:eastAsia="宋体" w:cs="Times New Roman"/>
                <w:color w:val="auto"/>
                <w:sz w:val="21"/>
                <w:szCs w:val="21"/>
              </w:rPr>
            </w:pPr>
            <w:r>
              <w:rPr>
                <w:rFonts w:hint="eastAsia" w:ascii="宋体" w:hAnsi="宋体" w:eastAsia="宋体"/>
                <w:color w:val="auto"/>
                <w:sz w:val="21"/>
                <w:szCs w:val="21"/>
              </w:rPr>
              <w:t>理解自然科学的基本概念与研究方法，掌握科学教育的基本要求；增强科学学习的兴趣和信心。</w:t>
            </w:r>
          </w:p>
        </w:tc>
        <w:tc>
          <w:tcPr>
            <w:tcW w:w="1147" w:type="dxa"/>
          </w:tcPr>
          <w:p w14:paraId="23DD8807">
            <w:pPr>
              <w:spacing w:line="240" w:lineRule="auto"/>
              <w:jc w:val="left"/>
              <w:rPr>
                <w:rFonts w:hint="eastAsia" w:ascii="宋体" w:hAnsi="宋体" w:eastAsia="宋体" w:cs="Times New Roman"/>
                <w:color w:val="auto"/>
                <w:sz w:val="21"/>
                <w:szCs w:val="21"/>
              </w:rPr>
            </w:pPr>
            <w:r>
              <w:rPr>
                <w:rFonts w:hint="eastAsia" w:ascii="宋体" w:hAnsi="宋体" w:eastAsia="宋体"/>
                <w:color w:val="auto"/>
                <w:sz w:val="21"/>
                <w:szCs w:val="21"/>
              </w:rPr>
              <w:t>课堂讲授与案例讨论</w:t>
            </w:r>
          </w:p>
        </w:tc>
        <w:tc>
          <w:tcPr>
            <w:tcW w:w="443" w:type="dxa"/>
            <w:vAlign w:val="center"/>
          </w:tcPr>
          <w:p w14:paraId="04B839EE">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9</w:t>
            </w:r>
          </w:p>
        </w:tc>
      </w:tr>
      <w:tr w14:paraId="091B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896" w:type="dxa"/>
            <w:vMerge w:val="continue"/>
            <w:vAlign w:val="center"/>
          </w:tcPr>
          <w:p w14:paraId="686F85AA">
            <w:pPr>
              <w:spacing w:line="240" w:lineRule="auto"/>
              <w:jc w:val="center"/>
              <w:rPr>
                <w:rFonts w:hint="eastAsia" w:ascii="宋体" w:hAnsi="宋体" w:eastAsia="宋体" w:cs="Times New Roman"/>
                <w:color w:val="auto"/>
                <w:sz w:val="21"/>
                <w:szCs w:val="21"/>
              </w:rPr>
            </w:pPr>
          </w:p>
        </w:tc>
        <w:tc>
          <w:tcPr>
            <w:tcW w:w="8486" w:type="dxa"/>
            <w:gridSpan w:val="5"/>
            <w:vAlign w:val="center"/>
          </w:tcPr>
          <w:p w14:paraId="3E100EF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宋体" w:hAnsi="宋体" w:eastAsia="宋体" w:cs="Times New Roman"/>
                <w:color w:val="auto"/>
                <w:sz w:val="21"/>
                <w:szCs w:val="21"/>
              </w:rPr>
              <w:t>激发科学精神，增强对科学研究和科学教育的责任感。</w:t>
            </w:r>
          </w:p>
        </w:tc>
      </w:tr>
      <w:tr w14:paraId="350A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896" w:type="dxa"/>
            <w:vMerge w:val="restart"/>
            <w:vAlign w:val="center"/>
          </w:tcPr>
          <w:p w14:paraId="714B65A5">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地球与宇宙</w:t>
            </w:r>
          </w:p>
        </w:tc>
        <w:tc>
          <w:tcPr>
            <w:tcW w:w="2408" w:type="dxa"/>
            <w:vAlign w:val="center"/>
          </w:tcPr>
          <w:p w14:paraId="7487716F">
            <w:pPr>
              <w:spacing w:line="240" w:lineRule="auto"/>
              <w:jc w:val="both"/>
              <w:rPr>
                <w:rFonts w:hint="eastAsia" w:ascii="宋体" w:hAnsi="宋体" w:eastAsia="宋体" w:cs="Times New Roman"/>
                <w:color w:val="auto"/>
                <w:sz w:val="21"/>
                <w:szCs w:val="21"/>
              </w:rPr>
            </w:pPr>
            <w:r>
              <w:rPr>
                <w:rFonts w:hint="eastAsia" w:ascii="宋体" w:hAnsi="宋体" w:eastAsia="宋体"/>
                <w:color w:val="auto"/>
                <w:sz w:val="21"/>
                <w:szCs w:val="21"/>
              </w:rPr>
              <w:t>太阳系结构、恒星的诞生与演化、宇宙的起源与演化</w:t>
            </w:r>
          </w:p>
        </w:tc>
        <w:tc>
          <w:tcPr>
            <w:tcW w:w="1175" w:type="dxa"/>
            <w:vAlign w:val="center"/>
          </w:tcPr>
          <w:p w14:paraId="0B17B154">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目标1、2</w:t>
            </w:r>
          </w:p>
        </w:tc>
        <w:tc>
          <w:tcPr>
            <w:tcW w:w="3313" w:type="dxa"/>
          </w:tcPr>
          <w:p w14:paraId="26FA9CB0">
            <w:pPr>
              <w:spacing w:line="240" w:lineRule="auto"/>
              <w:jc w:val="left"/>
              <w:rPr>
                <w:rFonts w:hint="eastAsia" w:ascii="宋体" w:hAnsi="宋体" w:eastAsia="宋体" w:cs="Times New Roman"/>
                <w:color w:val="auto"/>
                <w:sz w:val="21"/>
                <w:szCs w:val="21"/>
              </w:rPr>
            </w:pPr>
            <w:r>
              <w:rPr>
                <w:rFonts w:hint="eastAsia" w:ascii="宋体" w:hAnsi="宋体" w:eastAsia="宋体"/>
                <w:color w:val="auto"/>
                <w:sz w:val="21"/>
                <w:szCs w:val="21"/>
              </w:rPr>
              <w:t>掌握太阳系及宇宙的基本知识；理解恒星与宇宙演化的过程，形成自然科学整体认知；增强对人类探究宇宙的科学精神的敬意。</w:t>
            </w:r>
          </w:p>
        </w:tc>
        <w:tc>
          <w:tcPr>
            <w:tcW w:w="1147" w:type="dxa"/>
          </w:tcPr>
          <w:p w14:paraId="7759D61D">
            <w:pPr>
              <w:spacing w:line="240" w:lineRule="auto"/>
              <w:jc w:val="left"/>
              <w:rPr>
                <w:rFonts w:hint="eastAsia" w:ascii="宋体" w:hAnsi="宋体" w:eastAsia="宋体" w:cs="Times New Roman"/>
                <w:color w:val="auto"/>
                <w:sz w:val="21"/>
                <w:szCs w:val="21"/>
              </w:rPr>
            </w:pPr>
            <w:r>
              <w:rPr>
                <w:rFonts w:hint="eastAsia" w:ascii="宋体" w:hAnsi="宋体" w:eastAsia="宋体"/>
                <w:color w:val="auto"/>
                <w:sz w:val="21"/>
                <w:szCs w:val="21"/>
              </w:rPr>
              <w:t>课堂讲授与问题研讨</w:t>
            </w:r>
          </w:p>
        </w:tc>
        <w:tc>
          <w:tcPr>
            <w:tcW w:w="443" w:type="dxa"/>
            <w:vAlign w:val="center"/>
          </w:tcPr>
          <w:p w14:paraId="4C780FFE">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12</w:t>
            </w:r>
          </w:p>
        </w:tc>
      </w:tr>
      <w:tr w14:paraId="7C65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896" w:type="dxa"/>
            <w:vMerge w:val="continue"/>
            <w:vAlign w:val="center"/>
          </w:tcPr>
          <w:p w14:paraId="6C2C95FA">
            <w:pPr>
              <w:spacing w:line="240" w:lineRule="auto"/>
              <w:jc w:val="center"/>
              <w:rPr>
                <w:rFonts w:hint="eastAsia" w:ascii="宋体" w:hAnsi="宋体" w:eastAsia="宋体" w:cs="Times New Roman"/>
                <w:color w:val="auto"/>
                <w:sz w:val="21"/>
                <w:szCs w:val="21"/>
              </w:rPr>
            </w:pPr>
          </w:p>
        </w:tc>
        <w:tc>
          <w:tcPr>
            <w:tcW w:w="8486" w:type="dxa"/>
            <w:gridSpan w:val="5"/>
            <w:vAlign w:val="center"/>
          </w:tcPr>
          <w:p w14:paraId="05828CF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宋体" w:hAnsi="宋体" w:eastAsia="宋体" w:cs="Times New Roman"/>
                <w:color w:val="auto"/>
                <w:sz w:val="21"/>
                <w:szCs w:val="21"/>
              </w:rPr>
              <w:t>树立科学探索精神，激发对科技进步和宇宙奥秘的好奇心，培养爱国情怀（例如介绍中国航天成就）。</w:t>
            </w:r>
          </w:p>
        </w:tc>
      </w:tr>
      <w:tr w14:paraId="5DF5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896" w:type="dxa"/>
            <w:vMerge w:val="restart"/>
            <w:vAlign w:val="center"/>
          </w:tcPr>
          <w:p w14:paraId="5D61FFA3">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奇妙的生命世界</w:t>
            </w:r>
          </w:p>
        </w:tc>
        <w:tc>
          <w:tcPr>
            <w:tcW w:w="2408" w:type="dxa"/>
            <w:vAlign w:val="center"/>
          </w:tcPr>
          <w:p w14:paraId="1398EFC0">
            <w:pPr>
              <w:spacing w:line="240" w:lineRule="auto"/>
              <w:jc w:val="both"/>
              <w:rPr>
                <w:rFonts w:hint="eastAsia" w:ascii="宋体" w:hAnsi="宋体" w:eastAsia="宋体" w:cs="Times New Roman"/>
                <w:color w:val="auto"/>
                <w:sz w:val="21"/>
                <w:szCs w:val="21"/>
              </w:rPr>
            </w:pPr>
            <w:r>
              <w:rPr>
                <w:rFonts w:hint="eastAsia" w:ascii="宋体" w:hAnsi="宋体" w:eastAsia="宋体"/>
                <w:color w:val="auto"/>
                <w:sz w:val="21"/>
                <w:szCs w:val="21"/>
              </w:rPr>
              <w:t>生物多样性、生物结构与功能、生命系统的层次结构；生命进化</w:t>
            </w:r>
          </w:p>
        </w:tc>
        <w:tc>
          <w:tcPr>
            <w:tcW w:w="1175" w:type="dxa"/>
            <w:vAlign w:val="center"/>
          </w:tcPr>
          <w:p w14:paraId="6D3262ED">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目标1、2</w:t>
            </w:r>
          </w:p>
        </w:tc>
        <w:tc>
          <w:tcPr>
            <w:tcW w:w="3313" w:type="dxa"/>
          </w:tcPr>
          <w:p w14:paraId="410A178F">
            <w:pPr>
              <w:spacing w:line="240" w:lineRule="auto"/>
              <w:jc w:val="left"/>
              <w:rPr>
                <w:rFonts w:hint="eastAsia" w:ascii="宋体" w:hAnsi="宋体" w:eastAsia="宋体" w:cs="Times New Roman"/>
                <w:color w:val="auto"/>
                <w:sz w:val="21"/>
                <w:szCs w:val="21"/>
              </w:rPr>
            </w:pPr>
            <w:r>
              <w:rPr>
                <w:rFonts w:hint="eastAsia" w:ascii="宋体" w:hAnsi="宋体" w:eastAsia="宋体"/>
                <w:color w:val="auto"/>
                <w:sz w:val="21"/>
                <w:szCs w:val="21"/>
              </w:rPr>
              <w:t>了解生命现象的共性与差异，掌握生物多样性保护的重要性；理解生命进化的科学依据；培养学生生态保护的意识和对生命的敬畏。</w:t>
            </w:r>
          </w:p>
        </w:tc>
        <w:tc>
          <w:tcPr>
            <w:tcW w:w="1147" w:type="dxa"/>
          </w:tcPr>
          <w:p w14:paraId="3B368D5C">
            <w:pPr>
              <w:spacing w:line="240" w:lineRule="auto"/>
              <w:jc w:val="left"/>
              <w:rPr>
                <w:rFonts w:hint="eastAsia" w:ascii="宋体" w:hAnsi="宋体" w:eastAsia="宋体" w:cs="Times New Roman"/>
                <w:color w:val="auto"/>
                <w:sz w:val="21"/>
                <w:szCs w:val="21"/>
              </w:rPr>
            </w:pPr>
            <w:r>
              <w:rPr>
                <w:rFonts w:hint="eastAsia" w:ascii="宋体" w:hAnsi="宋体" w:eastAsia="宋体"/>
                <w:color w:val="auto"/>
                <w:sz w:val="21"/>
                <w:szCs w:val="21"/>
              </w:rPr>
              <w:t>课堂讲授与演示</w:t>
            </w:r>
          </w:p>
        </w:tc>
        <w:tc>
          <w:tcPr>
            <w:tcW w:w="443" w:type="dxa"/>
            <w:vAlign w:val="center"/>
          </w:tcPr>
          <w:p w14:paraId="36D9D60B">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9</w:t>
            </w:r>
          </w:p>
        </w:tc>
      </w:tr>
      <w:tr w14:paraId="5B8A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896" w:type="dxa"/>
            <w:vMerge w:val="continue"/>
            <w:vAlign w:val="center"/>
          </w:tcPr>
          <w:p w14:paraId="22A89F8E">
            <w:pPr>
              <w:spacing w:line="240" w:lineRule="auto"/>
              <w:jc w:val="center"/>
              <w:rPr>
                <w:rFonts w:hint="eastAsia" w:ascii="宋体" w:hAnsi="宋体" w:eastAsia="宋体" w:cs="Times New Roman"/>
                <w:color w:val="auto"/>
                <w:sz w:val="21"/>
                <w:szCs w:val="21"/>
              </w:rPr>
            </w:pPr>
          </w:p>
        </w:tc>
        <w:tc>
          <w:tcPr>
            <w:tcW w:w="8486" w:type="dxa"/>
            <w:gridSpan w:val="5"/>
            <w:vAlign w:val="center"/>
          </w:tcPr>
          <w:p w14:paraId="39FDE01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宋体" w:hAnsi="宋体" w:eastAsia="宋体" w:cs="Times New Roman"/>
                <w:color w:val="auto"/>
                <w:sz w:val="21"/>
                <w:szCs w:val="21"/>
              </w:rPr>
              <w:t>强化生态文明理念，培养尊重生命、珍惜自然资源的责任感。</w:t>
            </w:r>
          </w:p>
        </w:tc>
      </w:tr>
      <w:tr w14:paraId="3A98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896" w:type="dxa"/>
            <w:vMerge w:val="restart"/>
            <w:vAlign w:val="center"/>
          </w:tcPr>
          <w:p w14:paraId="623061CC">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环境与我们</w:t>
            </w:r>
          </w:p>
        </w:tc>
        <w:tc>
          <w:tcPr>
            <w:tcW w:w="2408" w:type="dxa"/>
            <w:vAlign w:val="center"/>
          </w:tcPr>
          <w:p w14:paraId="7524ADF7">
            <w:pPr>
              <w:spacing w:line="240" w:lineRule="auto"/>
              <w:jc w:val="both"/>
              <w:rPr>
                <w:rFonts w:hint="eastAsia" w:ascii="宋体" w:hAnsi="宋体" w:eastAsia="宋体" w:cs="Times New Roman"/>
                <w:color w:val="auto"/>
                <w:sz w:val="21"/>
                <w:szCs w:val="21"/>
              </w:rPr>
            </w:pPr>
            <w:r>
              <w:rPr>
                <w:rFonts w:hint="eastAsia" w:ascii="宋体" w:hAnsi="宋体" w:eastAsia="宋体"/>
                <w:color w:val="auto"/>
                <w:sz w:val="21"/>
                <w:szCs w:val="21"/>
              </w:rPr>
              <w:t>生态系统的组成与功能、环境保护的意义与措施</w:t>
            </w:r>
          </w:p>
        </w:tc>
        <w:tc>
          <w:tcPr>
            <w:tcW w:w="1175" w:type="dxa"/>
            <w:vAlign w:val="center"/>
          </w:tcPr>
          <w:p w14:paraId="1B32DB49">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目标3</w:t>
            </w:r>
          </w:p>
        </w:tc>
        <w:tc>
          <w:tcPr>
            <w:tcW w:w="3313" w:type="dxa"/>
          </w:tcPr>
          <w:p w14:paraId="0913516B">
            <w:pPr>
              <w:spacing w:line="240" w:lineRule="auto"/>
              <w:jc w:val="left"/>
              <w:rPr>
                <w:rFonts w:hint="eastAsia" w:ascii="宋体" w:hAnsi="宋体" w:eastAsia="宋体" w:cs="Times New Roman"/>
                <w:color w:val="auto"/>
                <w:sz w:val="21"/>
                <w:szCs w:val="21"/>
              </w:rPr>
            </w:pPr>
            <w:r>
              <w:rPr>
                <w:rFonts w:hint="eastAsia" w:ascii="宋体" w:hAnsi="宋体" w:eastAsia="宋体"/>
                <w:color w:val="auto"/>
                <w:sz w:val="21"/>
                <w:szCs w:val="21"/>
              </w:rPr>
              <w:t>理解生态系统的基本结构与功能，掌握生态保护的主要措施；增强环保意识，践行可持续发展理念，关注人与自然的关系。</w:t>
            </w:r>
          </w:p>
        </w:tc>
        <w:tc>
          <w:tcPr>
            <w:tcW w:w="1147" w:type="dxa"/>
          </w:tcPr>
          <w:p w14:paraId="45273DCD">
            <w:pPr>
              <w:spacing w:line="240" w:lineRule="auto"/>
              <w:jc w:val="left"/>
              <w:rPr>
                <w:rFonts w:hint="eastAsia" w:ascii="宋体" w:hAnsi="宋体" w:eastAsia="宋体" w:cs="Times New Roman"/>
                <w:color w:val="auto"/>
                <w:sz w:val="21"/>
                <w:szCs w:val="21"/>
              </w:rPr>
            </w:pPr>
            <w:r>
              <w:rPr>
                <w:rFonts w:hint="eastAsia" w:ascii="宋体" w:hAnsi="宋体" w:eastAsia="宋体"/>
                <w:color w:val="auto"/>
                <w:sz w:val="21"/>
                <w:szCs w:val="21"/>
              </w:rPr>
              <w:t>情境教学与案例分析</w:t>
            </w:r>
          </w:p>
        </w:tc>
        <w:tc>
          <w:tcPr>
            <w:tcW w:w="443" w:type="dxa"/>
            <w:vAlign w:val="center"/>
          </w:tcPr>
          <w:p w14:paraId="0D7AC9B4">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3</w:t>
            </w:r>
          </w:p>
        </w:tc>
      </w:tr>
      <w:tr w14:paraId="0D85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896" w:type="dxa"/>
            <w:vMerge w:val="continue"/>
            <w:vAlign w:val="center"/>
          </w:tcPr>
          <w:p w14:paraId="0CFB19B2">
            <w:pPr>
              <w:spacing w:line="240" w:lineRule="auto"/>
              <w:jc w:val="center"/>
              <w:rPr>
                <w:rFonts w:hint="eastAsia" w:ascii="宋体" w:hAnsi="宋体" w:eastAsia="宋体" w:cs="Times New Roman"/>
                <w:color w:val="auto"/>
                <w:sz w:val="21"/>
                <w:szCs w:val="21"/>
              </w:rPr>
            </w:pPr>
          </w:p>
        </w:tc>
        <w:tc>
          <w:tcPr>
            <w:tcW w:w="8486" w:type="dxa"/>
            <w:gridSpan w:val="5"/>
            <w:vAlign w:val="center"/>
          </w:tcPr>
          <w:p w14:paraId="18158B1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宋体" w:hAnsi="宋体" w:eastAsia="宋体" w:cs="Times New Roman"/>
                <w:color w:val="auto"/>
                <w:sz w:val="21"/>
                <w:szCs w:val="21"/>
              </w:rPr>
              <w:t>树立可持续发展观念，增强学生生态保护的意识和实践能力。</w:t>
            </w:r>
          </w:p>
        </w:tc>
      </w:tr>
      <w:tr w14:paraId="2636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896" w:type="dxa"/>
            <w:vMerge w:val="restart"/>
            <w:vAlign w:val="center"/>
          </w:tcPr>
          <w:p w14:paraId="669C4C1A">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多姿多彩的物质世界</w:t>
            </w:r>
          </w:p>
        </w:tc>
        <w:tc>
          <w:tcPr>
            <w:tcW w:w="2408" w:type="dxa"/>
            <w:vAlign w:val="center"/>
          </w:tcPr>
          <w:p w14:paraId="152070B7">
            <w:pPr>
              <w:spacing w:line="240" w:lineRule="auto"/>
              <w:jc w:val="both"/>
              <w:rPr>
                <w:rFonts w:hint="eastAsia" w:ascii="宋体" w:hAnsi="宋体" w:eastAsia="宋体" w:cs="Times New Roman"/>
                <w:color w:val="auto"/>
                <w:sz w:val="21"/>
                <w:szCs w:val="21"/>
              </w:rPr>
            </w:pPr>
            <w:r>
              <w:rPr>
                <w:rFonts w:hint="eastAsia" w:ascii="宋体" w:hAnsi="宋体" w:eastAsia="宋体"/>
                <w:color w:val="auto"/>
                <w:sz w:val="21"/>
                <w:szCs w:val="21"/>
              </w:rPr>
              <w:t>物质结构、能量与其转化、物体的运动</w:t>
            </w:r>
          </w:p>
        </w:tc>
        <w:tc>
          <w:tcPr>
            <w:tcW w:w="1175" w:type="dxa"/>
            <w:vAlign w:val="center"/>
          </w:tcPr>
          <w:p w14:paraId="1890EC35">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目标2、3</w:t>
            </w:r>
          </w:p>
        </w:tc>
        <w:tc>
          <w:tcPr>
            <w:tcW w:w="3313" w:type="dxa"/>
          </w:tcPr>
          <w:p w14:paraId="0AC26AEC">
            <w:pPr>
              <w:spacing w:line="240" w:lineRule="auto"/>
              <w:jc w:val="left"/>
              <w:rPr>
                <w:rFonts w:hint="eastAsia" w:ascii="宋体" w:hAnsi="宋体" w:eastAsia="宋体" w:cs="Times New Roman"/>
                <w:color w:val="auto"/>
                <w:sz w:val="21"/>
                <w:szCs w:val="21"/>
              </w:rPr>
            </w:pPr>
            <w:r>
              <w:rPr>
                <w:rFonts w:hint="eastAsia" w:ascii="宋体" w:hAnsi="宋体" w:eastAsia="宋体"/>
                <w:color w:val="auto"/>
                <w:sz w:val="21"/>
                <w:szCs w:val="21"/>
              </w:rPr>
              <w:t>掌握物质与能量转化的基本知识；理解科学技术在生活实践中的应用，培养跨学科思维能力；激发学生对科学探索的热情。</w:t>
            </w:r>
          </w:p>
        </w:tc>
        <w:tc>
          <w:tcPr>
            <w:tcW w:w="1147" w:type="dxa"/>
          </w:tcPr>
          <w:p w14:paraId="5F8CA604">
            <w:pPr>
              <w:spacing w:line="240" w:lineRule="auto"/>
              <w:jc w:val="left"/>
              <w:rPr>
                <w:rFonts w:hint="eastAsia" w:ascii="宋体" w:hAnsi="宋体" w:eastAsia="宋体" w:cs="Times New Roman"/>
                <w:color w:val="auto"/>
                <w:sz w:val="21"/>
                <w:szCs w:val="21"/>
              </w:rPr>
            </w:pPr>
            <w:r>
              <w:rPr>
                <w:rFonts w:hint="eastAsia" w:ascii="宋体" w:hAnsi="宋体" w:eastAsia="宋体"/>
                <w:color w:val="auto"/>
                <w:sz w:val="21"/>
                <w:szCs w:val="21"/>
              </w:rPr>
              <w:t>实验演示与小组讨论</w:t>
            </w:r>
          </w:p>
        </w:tc>
        <w:tc>
          <w:tcPr>
            <w:tcW w:w="443" w:type="dxa"/>
            <w:vAlign w:val="center"/>
          </w:tcPr>
          <w:p w14:paraId="31C9CFD4">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6</w:t>
            </w:r>
          </w:p>
        </w:tc>
      </w:tr>
      <w:tr w14:paraId="4F93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896" w:type="dxa"/>
            <w:vMerge w:val="continue"/>
            <w:vAlign w:val="center"/>
          </w:tcPr>
          <w:p w14:paraId="2042EE8D">
            <w:pPr>
              <w:spacing w:line="240" w:lineRule="auto"/>
              <w:jc w:val="center"/>
              <w:rPr>
                <w:rFonts w:hint="eastAsia" w:ascii="宋体" w:hAnsi="宋体" w:eastAsia="宋体" w:cs="Times New Roman"/>
                <w:color w:val="auto"/>
                <w:sz w:val="21"/>
                <w:szCs w:val="21"/>
              </w:rPr>
            </w:pPr>
          </w:p>
        </w:tc>
        <w:tc>
          <w:tcPr>
            <w:tcW w:w="8486" w:type="dxa"/>
            <w:gridSpan w:val="5"/>
            <w:vAlign w:val="center"/>
          </w:tcPr>
          <w:p w14:paraId="42C6616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宋体" w:hAnsi="宋体" w:eastAsia="宋体" w:cs="Times New Roman"/>
                <w:color w:val="auto"/>
                <w:sz w:val="21"/>
                <w:szCs w:val="21"/>
              </w:rPr>
              <w:t>理解科学知识的实际应用价值，培养科学技术服务社会的意识和实践能力。</w:t>
            </w:r>
          </w:p>
        </w:tc>
      </w:tr>
      <w:tr w14:paraId="3D8E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896" w:type="dxa"/>
            <w:vMerge w:val="restart"/>
            <w:vAlign w:val="center"/>
          </w:tcPr>
          <w:p w14:paraId="688FAF49">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科学技术与人类</w:t>
            </w:r>
          </w:p>
        </w:tc>
        <w:tc>
          <w:tcPr>
            <w:tcW w:w="2408" w:type="dxa"/>
            <w:vAlign w:val="center"/>
          </w:tcPr>
          <w:p w14:paraId="6B447688">
            <w:pPr>
              <w:spacing w:line="240" w:lineRule="auto"/>
              <w:jc w:val="both"/>
              <w:rPr>
                <w:rFonts w:hint="eastAsia" w:ascii="宋体" w:hAnsi="宋体" w:eastAsia="宋体" w:cs="Times New Roman"/>
                <w:color w:val="auto"/>
                <w:sz w:val="21"/>
                <w:szCs w:val="21"/>
              </w:rPr>
            </w:pPr>
            <w:r>
              <w:rPr>
                <w:rFonts w:hint="eastAsia" w:ascii="宋体" w:hAnsi="宋体" w:eastAsia="宋体"/>
                <w:color w:val="auto"/>
                <w:sz w:val="21"/>
                <w:szCs w:val="21"/>
              </w:rPr>
              <w:t>科学技术的发展历程及其对社会的双重影响</w:t>
            </w:r>
          </w:p>
        </w:tc>
        <w:tc>
          <w:tcPr>
            <w:tcW w:w="1175" w:type="dxa"/>
            <w:vAlign w:val="center"/>
          </w:tcPr>
          <w:p w14:paraId="3C8438A4">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目标3</w:t>
            </w:r>
          </w:p>
        </w:tc>
        <w:tc>
          <w:tcPr>
            <w:tcW w:w="3313" w:type="dxa"/>
          </w:tcPr>
          <w:p w14:paraId="377DC186">
            <w:pPr>
              <w:spacing w:line="240" w:lineRule="auto"/>
              <w:jc w:val="left"/>
              <w:rPr>
                <w:rFonts w:hint="eastAsia" w:ascii="宋体" w:hAnsi="宋体" w:eastAsia="宋体" w:cs="Times New Roman"/>
                <w:color w:val="auto"/>
                <w:sz w:val="21"/>
                <w:szCs w:val="21"/>
              </w:rPr>
            </w:pPr>
            <w:r>
              <w:rPr>
                <w:rFonts w:hint="eastAsia" w:ascii="宋体" w:hAnsi="宋体" w:eastAsia="宋体"/>
                <w:color w:val="auto"/>
                <w:sz w:val="21"/>
                <w:szCs w:val="21"/>
              </w:rPr>
              <w:t>理解科技发展的历史与现状，认识科学技术对人类生活的积极作用及潜在影响；增强学生对科技伦理问题的关注和思考能力。</w:t>
            </w:r>
          </w:p>
        </w:tc>
        <w:tc>
          <w:tcPr>
            <w:tcW w:w="1147" w:type="dxa"/>
            <w:vAlign w:val="center"/>
          </w:tcPr>
          <w:p w14:paraId="6E75F24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小组汇报</w:t>
            </w:r>
          </w:p>
        </w:tc>
        <w:tc>
          <w:tcPr>
            <w:tcW w:w="443" w:type="dxa"/>
            <w:vAlign w:val="center"/>
          </w:tcPr>
          <w:p w14:paraId="3DDC0A92">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9</w:t>
            </w:r>
          </w:p>
        </w:tc>
      </w:tr>
      <w:tr w14:paraId="1F2E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896" w:type="dxa"/>
            <w:vMerge w:val="continue"/>
            <w:vAlign w:val="center"/>
          </w:tcPr>
          <w:p w14:paraId="1AA7A8BD">
            <w:pPr>
              <w:spacing w:line="240" w:lineRule="auto"/>
              <w:jc w:val="center"/>
              <w:rPr>
                <w:rFonts w:hint="eastAsia" w:ascii="宋体" w:hAnsi="宋体" w:eastAsia="宋体" w:cs="Times New Roman"/>
                <w:color w:val="auto"/>
                <w:sz w:val="21"/>
                <w:szCs w:val="21"/>
              </w:rPr>
            </w:pPr>
          </w:p>
        </w:tc>
        <w:tc>
          <w:tcPr>
            <w:tcW w:w="8486" w:type="dxa"/>
            <w:gridSpan w:val="5"/>
            <w:vAlign w:val="center"/>
          </w:tcPr>
          <w:p w14:paraId="2D011FD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宋体" w:hAnsi="宋体" w:eastAsia="宋体" w:cs="Times New Roman"/>
                <w:color w:val="auto"/>
                <w:sz w:val="21"/>
                <w:szCs w:val="21"/>
              </w:rPr>
              <w:t>正确看待科技进步的利弊，增强对科技伦理的思考能力，同时通过中国科技发展的成就案例，培养民族自豪感与爱国</w:t>
            </w:r>
          </w:p>
        </w:tc>
      </w:tr>
    </w:tbl>
    <w:p w14:paraId="5F70CA23">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四、目标评价与成绩评定</w:t>
      </w:r>
    </w:p>
    <w:p w14:paraId="0507795C">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0AC76D55">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8"/>
        <w:gridCol w:w="1259"/>
        <w:gridCol w:w="1259"/>
        <w:gridCol w:w="1259"/>
        <w:gridCol w:w="1259"/>
        <w:gridCol w:w="1260"/>
        <w:gridCol w:w="760"/>
      </w:tblGrid>
      <w:tr w14:paraId="6664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3C7108B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0" w:type="auto"/>
            <w:gridSpan w:val="5"/>
            <w:vAlign w:val="center"/>
          </w:tcPr>
          <w:p w14:paraId="576883F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5F9B5DA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3F48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EB64AF7">
            <w:pPr>
              <w:spacing w:line="360" w:lineRule="auto"/>
              <w:jc w:val="center"/>
              <w:rPr>
                <w:rFonts w:hint="eastAsia" w:ascii="宋体" w:hAnsi="宋体" w:eastAsia="宋体" w:cs="Times New Roman"/>
                <w:color w:val="auto"/>
                <w:szCs w:val="21"/>
              </w:rPr>
            </w:pPr>
          </w:p>
        </w:tc>
        <w:tc>
          <w:tcPr>
            <w:tcW w:w="0" w:type="auto"/>
            <w:vAlign w:val="center"/>
          </w:tcPr>
          <w:p w14:paraId="2266B46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0" w:type="auto"/>
            <w:vAlign w:val="center"/>
          </w:tcPr>
          <w:p w14:paraId="5923C8F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0" w:type="auto"/>
            <w:vAlign w:val="center"/>
          </w:tcPr>
          <w:p w14:paraId="4CE21EC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期中测验</w:t>
            </w:r>
          </w:p>
        </w:tc>
        <w:tc>
          <w:tcPr>
            <w:tcW w:w="0" w:type="auto"/>
            <w:vAlign w:val="center"/>
          </w:tcPr>
          <w:p w14:paraId="19C45B3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小组汇报</w:t>
            </w:r>
          </w:p>
        </w:tc>
        <w:tc>
          <w:tcPr>
            <w:tcW w:w="0" w:type="auto"/>
            <w:vAlign w:val="center"/>
          </w:tcPr>
          <w:p w14:paraId="1CED18E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0" w:type="auto"/>
            <w:vMerge w:val="continue"/>
            <w:vAlign w:val="center"/>
          </w:tcPr>
          <w:p w14:paraId="4EE1961C">
            <w:pPr>
              <w:spacing w:line="360" w:lineRule="auto"/>
              <w:jc w:val="center"/>
              <w:rPr>
                <w:rFonts w:hint="eastAsia" w:ascii="宋体" w:hAnsi="宋体" w:eastAsia="宋体" w:cs="Times New Roman"/>
                <w:color w:val="auto"/>
                <w:szCs w:val="21"/>
              </w:rPr>
            </w:pPr>
          </w:p>
        </w:tc>
      </w:tr>
      <w:tr w14:paraId="4E1EA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5C4CD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0" w:type="auto"/>
            <w:vAlign w:val="center"/>
          </w:tcPr>
          <w:p w14:paraId="5BFCAF5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07E08C2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C6CA5CE">
            <w:pPr>
              <w:spacing w:line="360" w:lineRule="auto"/>
              <w:jc w:val="center"/>
              <w:rPr>
                <w:rFonts w:hint="eastAsia" w:ascii="宋体" w:hAnsi="宋体" w:eastAsia="宋体" w:cs="Times New Roman"/>
                <w:color w:val="auto"/>
                <w:szCs w:val="21"/>
              </w:rPr>
            </w:pPr>
          </w:p>
        </w:tc>
        <w:tc>
          <w:tcPr>
            <w:tcW w:w="0" w:type="auto"/>
            <w:vAlign w:val="center"/>
          </w:tcPr>
          <w:p w14:paraId="7F21A52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8CAAB4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219AD6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3068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0EC99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0" w:type="auto"/>
            <w:vAlign w:val="center"/>
          </w:tcPr>
          <w:p w14:paraId="1758083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73ECF9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FAF7A0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9E916A9">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E17537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5FEA090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74E0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F3108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0" w:type="auto"/>
            <w:vAlign w:val="center"/>
          </w:tcPr>
          <w:p w14:paraId="5ECDEDB9">
            <w:pPr>
              <w:spacing w:line="360" w:lineRule="auto"/>
              <w:jc w:val="center"/>
              <w:rPr>
                <w:rFonts w:hint="eastAsia" w:ascii="宋体" w:hAnsi="宋体" w:eastAsia="宋体" w:cs="Times New Roman"/>
                <w:color w:val="auto"/>
                <w:szCs w:val="21"/>
              </w:rPr>
            </w:pPr>
          </w:p>
        </w:tc>
        <w:tc>
          <w:tcPr>
            <w:tcW w:w="0" w:type="auto"/>
            <w:vAlign w:val="center"/>
          </w:tcPr>
          <w:p w14:paraId="1D25B484">
            <w:pPr>
              <w:spacing w:line="360" w:lineRule="auto"/>
              <w:jc w:val="center"/>
              <w:rPr>
                <w:rFonts w:hint="eastAsia" w:ascii="宋体" w:hAnsi="宋体" w:eastAsia="宋体" w:cs="Times New Roman"/>
                <w:color w:val="auto"/>
                <w:szCs w:val="21"/>
              </w:rPr>
            </w:pPr>
          </w:p>
        </w:tc>
        <w:tc>
          <w:tcPr>
            <w:tcW w:w="0" w:type="auto"/>
            <w:vAlign w:val="center"/>
          </w:tcPr>
          <w:p w14:paraId="4A8AEB6B">
            <w:pPr>
              <w:spacing w:line="360" w:lineRule="auto"/>
              <w:jc w:val="center"/>
              <w:rPr>
                <w:rFonts w:hint="eastAsia" w:ascii="宋体" w:hAnsi="宋体" w:eastAsia="宋体" w:cs="Times New Roman"/>
                <w:color w:val="auto"/>
                <w:szCs w:val="21"/>
              </w:rPr>
            </w:pPr>
          </w:p>
        </w:tc>
        <w:tc>
          <w:tcPr>
            <w:tcW w:w="0" w:type="auto"/>
            <w:vAlign w:val="center"/>
          </w:tcPr>
          <w:p w14:paraId="4E763BF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8E65EC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8CDA93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02A9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AF66D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0" w:type="auto"/>
            <w:vAlign w:val="center"/>
          </w:tcPr>
          <w:p w14:paraId="720A52D9">
            <w:pPr>
              <w:spacing w:line="360" w:lineRule="auto"/>
              <w:jc w:val="center"/>
              <w:rPr>
                <w:rFonts w:hint="eastAsia" w:ascii="宋体" w:hAnsi="宋体" w:eastAsia="宋体" w:cs="Times New Roman"/>
                <w:color w:val="auto"/>
                <w:szCs w:val="21"/>
              </w:rPr>
            </w:pPr>
          </w:p>
        </w:tc>
        <w:tc>
          <w:tcPr>
            <w:tcW w:w="0" w:type="auto"/>
            <w:vAlign w:val="center"/>
          </w:tcPr>
          <w:p w14:paraId="111946DF">
            <w:pPr>
              <w:spacing w:line="360" w:lineRule="auto"/>
              <w:jc w:val="center"/>
              <w:rPr>
                <w:rFonts w:hint="eastAsia" w:ascii="宋体" w:hAnsi="宋体" w:eastAsia="宋体" w:cs="Times New Roman"/>
                <w:color w:val="auto"/>
                <w:szCs w:val="21"/>
              </w:rPr>
            </w:pPr>
          </w:p>
        </w:tc>
        <w:tc>
          <w:tcPr>
            <w:tcW w:w="0" w:type="auto"/>
            <w:vAlign w:val="center"/>
          </w:tcPr>
          <w:p w14:paraId="11C08C31">
            <w:pPr>
              <w:spacing w:line="360" w:lineRule="auto"/>
              <w:jc w:val="center"/>
              <w:rPr>
                <w:rFonts w:hint="eastAsia" w:ascii="宋体" w:hAnsi="宋体" w:eastAsia="宋体" w:cs="Times New Roman"/>
                <w:color w:val="auto"/>
                <w:szCs w:val="21"/>
              </w:rPr>
            </w:pPr>
          </w:p>
        </w:tc>
        <w:tc>
          <w:tcPr>
            <w:tcW w:w="0" w:type="auto"/>
            <w:vAlign w:val="center"/>
          </w:tcPr>
          <w:p w14:paraId="22CEE99A">
            <w:pPr>
              <w:spacing w:line="360" w:lineRule="auto"/>
              <w:jc w:val="center"/>
              <w:rPr>
                <w:rFonts w:hint="eastAsia" w:ascii="宋体" w:hAnsi="宋体" w:eastAsia="宋体" w:cs="Times New Roman"/>
                <w:color w:val="auto"/>
                <w:szCs w:val="21"/>
              </w:rPr>
            </w:pPr>
          </w:p>
        </w:tc>
        <w:tc>
          <w:tcPr>
            <w:tcW w:w="0" w:type="auto"/>
            <w:vAlign w:val="center"/>
          </w:tcPr>
          <w:p w14:paraId="76E47C74">
            <w:pPr>
              <w:spacing w:line="360" w:lineRule="auto"/>
              <w:jc w:val="center"/>
              <w:rPr>
                <w:rFonts w:hint="eastAsia" w:ascii="宋体" w:hAnsi="宋体" w:eastAsia="宋体" w:cs="Times New Roman"/>
                <w:color w:val="auto"/>
                <w:szCs w:val="21"/>
              </w:rPr>
            </w:pPr>
          </w:p>
        </w:tc>
        <w:tc>
          <w:tcPr>
            <w:tcW w:w="0" w:type="auto"/>
            <w:vAlign w:val="center"/>
          </w:tcPr>
          <w:p w14:paraId="3687613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4C26C51A">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06644FD7">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E4A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B207825">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17ADF03F">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06E65B5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27E8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EECEABA">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7141" w:type="dxa"/>
            <w:vAlign w:val="center"/>
          </w:tcPr>
          <w:p w14:paraId="01F5AC47">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平时作业共2次，以简答题形式，以回答内容的准确性、规范性、逻辑性、创新性及整洁性为评分的主要依据。</w:t>
            </w:r>
          </w:p>
        </w:tc>
        <w:tc>
          <w:tcPr>
            <w:tcW w:w="0" w:type="auto"/>
            <w:vAlign w:val="center"/>
          </w:tcPr>
          <w:p w14:paraId="48DED6F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w:t>
            </w:r>
          </w:p>
        </w:tc>
      </w:tr>
      <w:tr w14:paraId="15F1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3B7BAB2">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7141" w:type="dxa"/>
            <w:vAlign w:val="center"/>
          </w:tcPr>
          <w:p w14:paraId="5A82162E">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一是课题考勤情况</w:t>
            </w:r>
            <w:r>
              <w:rPr>
                <w:rFonts w:ascii="宋体" w:hAnsi="宋体" w:eastAsia="宋体" w:cs="宋体"/>
                <w:color w:val="auto"/>
                <w:kern w:val="0"/>
                <w:szCs w:val="21"/>
                <w:lang w:bidi="ar"/>
              </w:rPr>
              <w:t>。</w:t>
            </w:r>
            <w:r>
              <w:rPr>
                <w:rFonts w:hint="eastAsia" w:ascii="Times New Roman" w:hAnsi="Times New Roman" w:eastAsia="宋体" w:cs="Times New Roman"/>
                <w:color w:val="auto"/>
                <w:szCs w:val="21"/>
              </w:rPr>
              <w:t>迟到一次扣2分，无故缺席一次扣5分，累计达</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次以上（不含</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次）取消课程成绩。</w:t>
            </w:r>
          </w:p>
          <w:p w14:paraId="4B99C28B">
            <w:pPr>
              <w:widowControl/>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二是</w:t>
            </w:r>
            <w:r>
              <w:rPr>
                <w:rFonts w:ascii="宋体" w:hAnsi="宋体" w:eastAsia="宋体" w:cs="宋体"/>
                <w:color w:val="auto"/>
                <w:kern w:val="0"/>
                <w:szCs w:val="21"/>
                <w:lang w:bidi="ar"/>
              </w:rPr>
              <w:t>课堂参与</w:t>
            </w:r>
            <w:r>
              <w:rPr>
                <w:rFonts w:hint="eastAsia" w:ascii="宋体" w:hAnsi="宋体" w:eastAsia="宋体" w:cs="宋体"/>
                <w:color w:val="auto"/>
                <w:kern w:val="0"/>
                <w:szCs w:val="21"/>
                <w:lang w:bidi="ar"/>
              </w:rPr>
              <w:t>情况。</w:t>
            </w:r>
            <w:r>
              <w:rPr>
                <w:rFonts w:ascii="宋体" w:hAnsi="宋体" w:eastAsia="宋体" w:cs="宋体"/>
                <w:color w:val="auto"/>
                <w:kern w:val="0"/>
                <w:szCs w:val="21"/>
                <w:lang w:bidi="ar"/>
              </w:rPr>
              <w:t>主要指课上教师</w:t>
            </w:r>
            <w:r>
              <w:rPr>
                <w:rFonts w:hint="eastAsia" w:ascii="宋体" w:hAnsi="宋体" w:eastAsia="宋体" w:cs="宋体"/>
                <w:color w:val="auto"/>
                <w:kern w:val="0"/>
                <w:szCs w:val="21"/>
                <w:lang w:bidi="ar"/>
              </w:rPr>
              <w:t>组织抢答</w:t>
            </w:r>
            <w:r>
              <w:rPr>
                <w:rFonts w:ascii="宋体" w:hAnsi="宋体" w:eastAsia="宋体" w:cs="宋体"/>
                <w:color w:val="auto"/>
                <w:kern w:val="0"/>
                <w:szCs w:val="21"/>
                <w:lang w:bidi="ar"/>
              </w:rPr>
              <w:t>、课堂讨论等，观察学生参与程度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表现良好，按照对应的课程目标及权重给予评定</w:t>
            </w:r>
            <w:r>
              <w:rPr>
                <w:rFonts w:hint="eastAsia" w:ascii="宋体" w:hAnsi="宋体" w:eastAsia="宋体" w:cs="宋体"/>
                <w:color w:val="auto"/>
                <w:kern w:val="0"/>
                <w:szCs w:val="21"/>
                <w:lang w:bidi="ar"/>
              </w:rPr>
              <w:t>。</w:t>
            </w:r>
          </w:p>
        </w:tc>
        <w:tc>
          <w:tcPr>
            <w:tcW w:w="0" w:type="auto"/>
            <w:vAlign w:val="center"/>
          </w:tcPr>
          <w:p w14:paraId="64C9348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3EC8E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78C2293">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期中检测</w:t>
            </w:r>
          </w:p>
        </w:tc>
        <w:tc>
          <w:tcPr>
            <w:tcW w:w="7141" w:type="dxa"/>
            <w:vAlign w:val="center"/>
          </w:tcPr>
          <w:p w14:paraId="56174654">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期中</w:t>
            </w:r>
            <w:r>
              <w:rPr>
                <w:rFonts w:ascii="宋体" w:hAnsi="宋体" w:eastAsia="宋体" w:cs="宋体"/>
                <w:color w:val="auto"/>
                <w:kern w:val="0"/>
                <w:szCs w:val="21"/>
                <w:lang w:bidi="ar"/>
              </w:rPr>
              <w:t>在线上进行测验，重点考察学生对基础科学知识、核心概念及基本原理的掌握情况，评分以题目正确率为依据。</w:t>
            </w:r>
          </w:p>
        </w:tc>
        <w:tc>
          <w:tcPr>
            <w:tcW w:w="0" w:type="auto"/>
            <w:vAlign w:val="center"/>
          </w:tcPr>
          <w:p w14:paraId="55F1F82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13D5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D689BB6">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小组汇报</w:t>
            </w:r>
          </w:p>
        </w:tc>
        <w:tc>
          <w:tcPr>
            <w:tcW w:w="7141" w:type="dxa"/>
            <w:vAlign w:val="center"/>
          </w:tcPr>
          <w:p w14:paraId="712A7120">
            <w:pPr>
              <w:widowControl/>
              <w:spacing w:line="264" w:lineRule="auto"/>
              <w:jc w:val="left"/>
              <w:rPr>
                <w:rFonts w:hint="eastAsia" w:ascii="宋体" w:hAnsi="宋体" w:eastAsia="宋体" w:cs="宋体"/>
                <w:color w:val="auto"/>
                <w:kern w:val="0"/>
                <w:szCs w:val="21"/>
                <w:lang w:bidi="ar"/>
              </w:rPr>
            </w:pPr>
            <w:r>
              <w:rPr>
                <w:rFonts w:ascii="宋体" w:hAnsi="宋体" w:eastAsia="宋体" w:cs="宋体"/>
                <w:color w:val="auto"/>
                <w:kern w:val="0"/>
                <w:szCs w:val="21"/>
                <w:lang w:bidi="ar"/>
              </w:rPr>
              <w:t>学生以小组为单位完成任务，</w:t>
            </w:r>
            <w:r>
              <w:rPr>
                <w:rFonts w:hint="eastAsia" w:ascii="宋体" w:hAnsi="宋体" w:eastAsia="宋体" w:cs="宋体"/>
                <w:color w:val="auto"/>
                <w:kern w:val="0"/>
                <w:szCs w:val="21"/>
                <w:lang w:bidi="ar"/>
              </w:rPr>
              <w:t>以</w:t>
            </w:r>
            <w:r>
              <w:rPr>
                <w:rFonts w:ascii="宋体" w:hAnsi="宋体" w:eastAsia="宋体" w:cs="宋体"/>
                <w:color w:val="auto"/>
                <w:kern w:val="0"/>
                <w:szCs w:val="21"/>
                <w:lang w:bidi="ar"/>
              </w:rPr>
              <w:t>读书报告、科学家介绍、科技前沿介绍等</w:t>
            </w:r>
            <w:r>
              <w:rPr>
                <w:rFonts w:hint="eastAsia" w:ascii="宋体" w:hAnsi="宋体" w:eastAsia="宋体" w:cs="宋体"/>
                <w:color w:val="auto"/>
                <w:kern w:val="0"/>
                <w:szCs w:val="21"/>
                <w:lang w:bidi="ar"/>
              </w:rPr>
              <w:t>为主题</w:t>
            </w:r>
            <w:r>
              <w:rPr>
                <w:rFonts w:ascii="宋体" w:hAnsi="宋体" w:eastAsia="宋体" w:cs="宋体"/>
                <w:color w:val="auto"/>
                <w:kern w:val="0"/>
                <w:szCs w:val="21"/>
                <w:lang w:bidi="ar"/>
              </w:rPr>
              <w:t>。评分依据为报告内容的完整性、逻辑性、创新性，媒体制作的质量，以及学生表达的</w:t>
            </w:r>
            <w:r>
              <w:rPr>
                <w:rFonts w:hint="eastAsia" w:ascii="宋体" w:hAnsi="宋体" w:eastAsia="宋体" w:cs="宋体"/>
                <w:color w:val="auto"/>
                <w:kern w:val="0"/>
                <w:szCs w:val="21"/>
                <w:lang w:bidi="ar"/>
              </w:rPr>
              <w:t>流畅</w:t>
            </w:r>
            <w:r>
              <w:rPr>
                <w:rFonts w:ascii="宋体" w:hAnsi="宋体" w:eastAsia="宋体" w:cs="宋体"/>
                <w:color w:val="auto"/>
                <w:kern w:val="0"/>
                <w:szCs w:val="21"/>
                <w:lang w:bidi="ar"/>
              </w:rPr>
              <w:t>性、逻辑性和分析的深度，反映学生科学知识应用能力和团队合作意识。</w:t>
            </w:r>
          </w:p>
        </w:tc>
        <w:tc>
          <w:tcPr>
            <w:tcW w:w="0" w:type="auto"/>
            <w:vAlign w:val="center"/>
          </w:tcPr>
          <w:p w14:paraId="0442DAE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0C62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247C424">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7141" w:type="dxa"/>
            <w:vAlign w:val="center"/>
          </w:tcPr>
          <w:p w14:paraId="163C4750">
            <w:pPr>
              <w:spacing w:line="264"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t>试卷题型包括</w:t>
            </w:r>
            <w:r>
              <w:rPr>
                <w:rFonts w:hint="eastAsia" w:ascii="Times New Roman" w:hAnsi="Times New Roman" w:eastAsia="宋体" w:cs="Times New Roman"/>
                <w:color w:val="auto"/>
                <w:szCs w:val="21"/>
              </w:rPr>
              <w:t>选择题</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辨析</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简答题、论述题</w:t>
            </w:r>
            <w:r>
              <w:rPr>
                <w:rFonts w:ascii="Times New Roman" w:hAnsi="Times New Roman" w:eastAsia="宋体" w:cs="Times New Roman"/>
                <w:color w:val="auto"/>
                <w:szCs w:val="21"/>
              </w:rPr>
              <w:t>等，以卷面成绩的50%计入课程总成绩。其中考核</w:t>
            </w:r>
            <w:r>
              <w:rPr>
                <w:rFonts w:hint="eastAsia" w:ascii="Times New Roman" w:hAnsi="Times New Roman" w:eastAsia="宋体" w:cs="Times New Roman"/>
                <w:color w:val="auto"/>
                <w:szCs w:val="21"/>
              </w:rPr>
              <w:t>科学核心概念、基础知识和基本原理和方法的题目占3</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%；考核学生运用科学原理分析问题，设计问题可涉及科学知识的整合运用占</w:t>
            </w:r>
            <w:r>
              <w:rPr>
                <w:rFonts w:ascii="Times New Roman" w:hAnsi="Times New Roman" w:eastAsia="宋体" w:cs="Times New Roman"/>
                <w:color w:val="auto"/>
                <w:szCs w:val="21"/>
              </w:rPr>
              <w:t>30</w:t>
            </w:r>
            <w:r>
              <w:rPr>
                <w:rFonts w:hint="eastAsia" w:ascii="Times New Roman" w:hAnsi="Times New Roman" w:eastAsia="宋体" w:cs="Times New Roman"/>
                <w:color w:val="auto"/>
                <w:szCs w:val="21"/>
              </w:rPr>
              <w:t>%；考核学生结合小学教育实际的教学设计能力，题型占</w:t>
            </w:r>
            <w:r>
              <w:rPr>
                <w:rFonts w:ascii="Times New Roman" w:hAnsi="Times New Roman" w:eastAsia="宋体" w:cs="Times New Roman"/>
                <w:color w:val="auto"/>
                <w:szCs w:val="21"/>
              </w:rPr>
              <w:t>30</w:t>
            </w:r>
            <w:r>
              <w:rPr>
                <w:rFonts w:hint="eastAsia" w:ascii="Times New Roman" w:hAnsi="Times New Roman" w:eastAsia="宋体" w:cs="Times New Roman"/>
                <w:color w:val="auto"/>
                <w:szCs w:val="21"/>
              </w:rPr>
              <w:t>%；考核学生设计跨学科综合性教学活动或研究性问题解决方案的题型占1</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w:t>
            </w:r>
          </w:p>
        </w:tc>
        <w:tc>
          <w:tcPr>
            <w:tcW w:w="0" w:type="auto"/>
            <w:vAlign w:val="center"/>
          </w:tcPr>
          <w:p w14:paraId="21887E5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0EE5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EC8347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2192093C">
            <w:pPr>
              <w:jc w:val="left"/>
              <w:rPr>
                <w:rFonts w:ascii="Times New Roman" w:hAnsi="Times New Roman" w:eastAsia="宋体" w:cs="Times New Roman"/>
                <w:color w:val="auto"/>
                <w:szCs w:val="21"/>
              </w:rPr>
            </w:pPr>
          </w:p>
        </w:tc>
        <w:tc>
          <w:tcPr>
            <w:tcW w:w="0" w:type="auto"/>
            <w:vAlign w:val="center"/>
          </w:tcPr>
          <w:p w14:paraId="7A78FF4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19DB3ADE">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0A6E130B">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344F58FD">
      <w:pPr>
        <w:spacing w:before="156" w:beforeLines="50" w:line="360" w:lineRule="auto"/>
        <w:ind w:firstLine="420" w:firstLineChars="200"/>
        <w:jc w:val="left"/>
        <w:rPr>
          <w:rFonts w:ascii="Times New Roman" w:hAnsi="Times New Roman" w:eastAsia="宋体" w:cs="Times New Roman"/>
          <w:b/>
          <w:color w:val="auto"/>
          <w:sz w:val="22"/>
          <w:szCs w:val="22"/>
        </w:rPr>
      </w:pPr>
      <w:r>
        <w:rPr>
          <w:rFonts w:ascii="宋体" w:hAnsi="宋体" w:eastAsia="宋体" w:cs="Times New Roman"/>
          <w:color w:val="auto"/>
          <w:szCs w:val="21"/>
        </w:rPr>
        <w:object>
          <v:shape id="_x0000_i1066"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66" DrawAspect="Content" ObjectID="_1468075765" r:id="rId52">
            <o:LockedField>false</o:LockedField>
          </o:OLEObject>
        </w:object>
      </w:r>
      <w:r>
        <w:rPr>
          <w:rFonts w:hint="eastAsia" w:ascii="Times New Roman" w:hAnsi="Times New Roman" w:eastAsia="宋体" w:cs="Times New Roman"/>
          <w:b/>
          <w:color w:val="auto"/>
          <w:sz w:val="24"/>
        </w:rPr>
        <w:t>五、课程实践</w:t>
      </w:r>
      <w:r>
        <w:rPr>
          <w:rFonts w:hint="eastAsia" w:ascii="Times New Roman" w:hAnsi="Times New Roman" w:eastAsia="宋体" w:cs="Times New Roman"/>
          <w:bCs/>
          <w:color w:val="auto"/>
          <w:sz w:val="22"/>
          <w:szCs w:val="22"/>
        </w:rPr>
        <w:t>（利用第二课堂，不占总学时）</w:t>
      </w:r>
    </w:p>
    <w:p w14:paraId="6315B65A">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本课程在系统教学的基础上，以学生为主题，整合各类教育资源，科学设计实践活动，丰富教育教学形式，提升教育教学效果，从而实现思政育人。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314"/>
        <w:gridCol w:w="1296"/>
        <w:gridCol w:w="2697"/>
      </w:tblGrid>
      <w:tr w14:paraId="6E68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7DF3EE7E">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活动主题</w:t>
            </w:r>
          </w:p>
        </w:tc>
        <w:tc>
          <w:tcPr>
            <w:tcW w:w="3314" w:type="dxa"/>
            <w:vAlign w:val="center"/>
          </w:tcPr>
          <w:p w14:paraId="121157C1">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活动内容</w:t>
            </w:r>
          </w:p>
        </w:tc>
        <w:tc>
          <w:tcPr>
            <w:tcW w:w="1296" w:type="dxa"/>
            <w:vAlign w:val="center"/>
          </w:tcPr>
          <w:p w14:paraId="3E6043E1">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活动方式</w:t>
            </w:r>
          </w:p>
        </w:tc>
        <w:tc>
          <w:tcPr>
            <w:tcW w:w="2697" w:type="dxa"/>
            <w:vAlign w:val="center"/>
          </w:tcPr>
          <w:p w14:paraId="0E18F47F">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思政目标</w:t>
            </w:r>
          </w:p>
        </w:tc>
      </w:tr>
      <w:tr w14:paraId="0001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212" w:type="dxa"/>
            <w:vAlign w:val="center"/>
          </w:tcPr>
          <w:p w14:paraId="334031B2">
            <w:pPr>
              <w:spacing w:line="240" w:lineRule="auto"/>
              <w:jc w:val="center"/>
              <w:rPr>
                <w:rFonts w:hint="eastAsia" w:ascii="宋体" w:hAnsi="宋体" w:eastAsia="宋体" w:cs="宋体"/>
                <w:color w:val="auto"/>
                <w:sz w:val="21"/>
                <w:szCs w:val="21"/>
              </w:rPr>
            </w:pPr>
            <w:r>
              <w:rPr>
                <w:rFonts w:hint="eastAsia" w:ascii="宋体" w:hAnsi="宋体" w:eastAsia="宋体" w:cs="Times New Roman"/>
                <w:color w:val="auto"/>
                <w:sz w:val="21"/>
                <w:szCs w:val="21"/>
              </w:rPr>
              <w:t>讲解天宫计划</w:t>
            </w:r>
          </w:p>
        </w:tc>
        <w:tc>
          <w:tcPr>
            <w:tcW w:w="3314" w:type="dxa"/>
          </w:tcPr>
          <w:p w14:paraId="40BF36BB">
            <w:pPr>
              <w:spacing w:line="240" w:lineRule="auto"/>
              <w:jc w:val="left"/>
              <w:rPr>
                <w:rFonts w:hint="eastAsia" w:ascii="宋体" w:hAnsi="宋体" w:eastAsia="宋体" w:cs="宋体"/>
                <w:color w:val="auto"/>
                <w:sz w:val="21"/>
                <w:szCs w:val="21"/>
              </w:rPr>
            </w:pPr>
            <w:r>
              <w:rPr>
                <w:rFonts w:hint="eastAsia" w:ascii="宋体" w:hAnsi="宋体" w:eastAsia="宋体" w:cs="Times New Roman"/>
                <w:color w:val="auto"/>
                <w:sz w:val="21"/>
                <w:szCs w:val="21"/>
              </w:rPr>
              <w:t>到小学为小学生讲解中国天宫计划的科技成就，介绍中国航天发展的历史与意义。</w:t>
            </w:r>
          </w:p>
        </w:tc>
        <w:tc>
          <w:tcPr>
            <w:tcW w:w="1296" w:type="dxa"/>
            <w:vAlign w:val="center"/>
          </w:tcPr>
          <w:p w14:paraId="02A37F33">
            <w:pPr>
              <w:spacing w:line="240" w:lineRule="auto"/>
              <w:jc w:val="center"/>
              <w:rPr>
                <w:rFonts w:hint="eastAsia" w:ascii="宋体" w:hAnsi="宋体" w:eastAsia="宋体" w:cs="宋体"/>
                <w:color w:val="auto"/>
                <w:sz w:val="21"/>
                <w:szCs w:val="21"/>
              </w:rPr>
            </w:pPr>
            <w:r>
              <w:rPr>
                <w:rFonts w:hint="eastAsia" w:ascii="宋体" w:hAnsi="宋体" w:eastAsia="宋体" w:cs="Times New Roman"/>
                <w:color w:val="auto"/>
                <w:sz w:val="21"/>
                <w:szCs w:val="21"/>
              </w:rPr>
              <w:t>实地讲解与互动教学</w:t>
            </w:r>
          </w:p>
        </w:tc>
        <w:tc>
          <w:tcPr>
            <w:tcW w:w="2697" w:type="dxa"/>
          </w:tcPr>
          <w:p w14:paraId="55538425">
            <w:pPr>
              <w:spacing w:line="240" w:lineRule="auto"/>
              <w:jc w:val="left"/>
              <w:rPr>
                <w:rFonts w:hint="eastAsia" w:ascii="宋体" w:hAnsi="宋体" w:eastAsia="宋体" w:cs="宋体"/>
                <w:color w:val="auto"/>
                <w:sz w:val="21"/>
                <w:szCs w:val="21"/>
              </w:rPr>
            </w:pPr>
            <w:r>
              <w:rPr>
                <w:rFonts w:hint="eastAsia" w:ascii="宋体" w:hAnsi="宋体" w:eastAsia="宋体" w:cs="Times New Roman"/>
                <w:color w:val="auto"/>
                <w:sz w:val="21"/>
                <w:szCs w:val="21"/>
              </w:rPr>
              <w:t>培养学生的家国情怀和民族自豪感，增强对科技发展的责任感和探索精神。</w:t>
            </w:r>
          </w:p>
        </w:tc>
      </w:tr>
      <w:tr w14:paraId="5418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4E7D6B53">
            <w:pPr>
              <w:spacing w:line="240" w:lineRule="auto"/>
              <w:jc w:val="center"/>
              <w:rPr>
                <w:rFonts w:hint="eastAsia" w:ascii="宋体" w:hAnsi="宋体" w:eastAsia="宋体" w:cs="宋体"/>
                <w:color w:val="auto"/>
                <w:sz w:val="21"/>
                <w:szCs w:val="21"/>
              </w:rPr>
            </w:pPr>
            <w:r>
              <w:rPr>
                <w:rFonts w:hint="eastAsia" w:ascii="宋体" w:hAnsi="宋体" w:eastAsia="宋体" w:cs="Times New Roman"/>
                <w:color w:val="auto"/>
                <w:sz w:val="21"/>
                <w:szCs w:val="21"/>
              </w:rPr>
              <w:t>科学实验体验活动</w:t>
            </w:r>
          </w:p>
        </w:tc>
        <w:tc>
          <w:tcPr>
            <w:tcW w:w="3314" w:type="dxa"/>
          </w:tcPr>
          <w:p w14:paraId="3C8B1BA8">
            <w:pPr>
              <w:spacing w:line="240" w:lineRule="auto"/>
              <w:jc w:val="left"/>
              <w:rPr>
                <w:rFonts w:hint="eastAsia" w:ascii="宋体" w:hAnsi="宋体" w:eastAsia="宋体" w:cs="宋体"/>
                <w:color w:val="auto"/>
                <w:sz w:val="21"/>
                <w:szCs w:val="21"/>
              </w:rPr>
            </w:pPr>
            <w:r>
              <w:rPr>
                <w:rFonts w:hint="eastAsia" w:ascii="宋体" w:hAnsi="宋体" w:eastAsia="宋体" w:cs="Times New Roman"/>
                <w:color w:val="auto"/>
                <w:sz w:val="21"/>
                <w:szCs w:val="21"/>
              </w:rPr>
              <w:t>为小学生设计和演示基础科学实验，如水的净化实验、空气压力实验等，结合实验内容讲解相关的科学知识。</w:t>
            </w:r>
          </w:p>
        </w:tc>
        <w:tc>
          <w:tcPr>
            <w:tcW w:w="1296" w:type="dxa"/>
            <w:vAlign w:val="center"/>
          </w:tcPr>
          <w:p w14:paraId="3FB0CED4">
            <w:pPr>
              <w:spacing w:line="240" w:lineRule="auto"/>
              <w:jc w:val="center"/>
              <w:rPr>
                <w:rFonts w:hint="eastAsia" w:ascii="宋体" w:hAnsi="宋体" w:eastAsia="宋体" w:cs="宋体"/>
                <w:color w:val="auto"/>
                <w:sz w:val="21"/>
                <w:szCs w:val="21"/>
              </w:rPr>
            </w:pPr>
            <w:r>
              <w:rPr>
                <w:rFonts w:hint="eastAsia" w:ascii="宋体" w:hAnsi="宋体" w:eastAsia="宋体" w:cs="Times New Roman"/>
                <w:color w:val="auto"/>
                <w:sz w:val="21"/>
                <w:szCs w:val="21"/>
              </w:rPr>
              <w:t>实验设计与互动演示</w:t>
            </w:r>
          </w:p>
        </w:tc>
        <w:tc>
          <w:tcPr>
            <w:tcW w:w="2697" w:type="dxa"/>
          </w:tcPr>
          <w:p w14:paraId="7CFB69D6">
            <w:pPr>
              <w:spacing w:line="240" w:lineRule="auto"/>
              <w:jc w:val="left"/>
              <w:rPr>
                <w:rFonts w:hint="eastAsia" w:ascii="宋体" w:hAnsi="宋体" w:eastAsia="宋体" w:cs="宋体"/>
                <w:color w:val="auto"/>
                <w:sz w:val="21"/>
                <w:szCs w:val="21"/>
              </w:rPr>
            </w:pPr>
            <w:r>
              <w:rPr>
                <w:rFonts w:hint="eastAsia" w:ascii="宋体" w:hAnsi="宋体" w:eastAsia="宋体" w:cs="Times New Roman"/>
                <w:color w:val="auto"/>
                <w:sz w:val="21"/>
                <w:szCs w:val="21"/>
              </w:rPr>
              <w:t>培养学生尊重科学和探索未知的精神，增强学生的社会责任感，关注科技对社会生活的实际影响。</w:t>
            </w:r>
          </w:p>
        </w:tc>
      </w:tr>
      <w:tr w14:paraId="42D0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07F2DF9">
            <w:pPr>
              <w:spacing w:line="240" w:lineRule="auto"/>
              <w:jc w:val="center"/>
              <w:rPr>
                <w:rFonts w:hint="eastAsia" w:ascii="宋体" w:hAnsi="宋体" w:eastAsia="宋体" w:cs="宋体"/>
                <w:color w:val="auto"/>
                <w:sz w:val="21"/>
                <w:szCs w:val="21"/>
              </w:rPr>
            </w:pPr>
            <w:r>
              <w:rPr>
                <w:rFonts w:hint="eastAsia" w:ascii="宋体" w:hAnsi="宋体" w:eastAsia="宋体" w:cs="Times New Roman"/>
                <w:color w:val="auto"/>
                <w:sz w:val="21"/>
                <w:szCs w:val="21"/>
              </w:rPr>
              <w:t>水与环境保护主题教育</w:t>
            </w:r>
          </w:p>
        </w:tc>
        <w:tc>
          <w:tcPr>
            <w:tcW w:w="3314" w:type="dxa"/>
          </w:tcPr>
          <w:p w14:paraId="6A136DF0">
            <w:pPr>
              <w:spacing w:line="240" w:lineRule="auto"/>
              <w:jc w:val="left"/>
              <w:rPr>
                <w:rFonts w:hint="eastAsia" w:ascii="宋体" w:hAnsi="宋体" w:eastAsia="宋体" w:cs="宋体"/>
                <w:color w:val="auto"/>
                <w:sz w:val="21"/>
                <w:szCs w:val="21"/>
              </w:rPr>
            </w:pPr>
            <w:r>
              <w:rPr>
                <w:rFonts w:hint="eastAsia" w:ascii="宋体" w:hAnsi="宋体" w:eastAsia="宋体" w:cs="Times New Roman"/>
                <w:color w:val="auto"/>
                <w:sz w:val="21"/>
                <w:szCs w:val="21"/>
              </w:rPr>
              <w:t>通过活动讲解水资源的重要性和保护水环境的方法，结合案例分析水污染对生态系统的影响，并设计趣味实验让小学生参与。</w:t>
            </w:r>
          </w:p>
        </w:tc>
        <w:tc>
          <w:tcPr>
            <w:tcW w:w="1296" w:type="dxa"/>
            <w:vAlign w:val="center"/>
          </w:tcPr>
          <w:p w14:paraId="066D9125">
            <w:pPr>
              <w:spacing w:line="240" w:lineRule="auto"/>
              <w:jc w:val="center"/>
              <w:rPr>
                <w:rFonts w:hint="eastAsia" w:ascii="宋体" w:hAnsi="宋体" w:eastAsia="宋体" w:cs="宋体"/>
                <w:color w:val="auto"/>
                <w:sz w:val="21"/>
                <w:szCs w:val="21"/>
              </w:rPr>
            </w:pPr>
            <w:r>
              <w:rPr>
                <w:rFonts w:hint="eastAsia" w:ascii="宋体" w:hAnsi="宋体" w:eastAsia="宋体" w:cs="Times New Roman"/>
                <w:color w:val="auto"/>
                <w:sz w:val="21"/>
                <w:szCs w:val="21"/>
              </w:rPr>
              <w:t>科学讲座、案例分析与实验演示</w:t>
            </w:r>
          </w:p>
        </w:tc>
        <w:tc>
          <w:tcPr>
            <w:tcW w:w="2697" w:type="dxa"/>
          </w:tcPr>
          <w:p w14:paraId="3465DCB5">
            <w:pPr>
              <w:spacing w:line="240" w:lineRule="auto"/>
              <w:jc w:val="left"/>
              <w:rPr>
                <w:rFonts w:hint="eastAsia" w:ascii="宋体" w:hAnsi="宋体" w:eastAsia="宋体" w:cs="宋体"/>
                <w:color w:val="auto"/>
                <w:sz w:val="21"/>
                <w:szCs w:val="21"/>
              </w:rPr>
            </w:pPr>
            <w:r>
              <w:rPr>
                <w:rFonts w:hint="eastAsia" w:ascii="宋体" w:hAnsi="宋体" w:eastAsia="宋体" w:cs="Times New Roman"/>
                <w:color w:val="auto"/>
                <w:sz w:val="21"/>
                <w:szCs w:val="21"/>
              </w:rPr>
              <w:t>强化可持续发展理念，增强学生的环保意识和生态文明观念。</w:t>
            </w:r>
          </w:p>
        </w:tc>
      </w:tr>
      <w:tr w14:paraId="5518A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62864F94">
            <w:pPr>
              <w:spacing w:line="240" w:lineRule="auto"/>
              <w:jc w:val="center"/>
              <w:rPr>
                <w:rFonts w:hint="eastAsia" w:ascii="宋体" w:hAnsi="宋体" w:eastAsia="宋体" w:cs="宋体"/>
                <w:color w:val="auto"/>
                <w:sz w:val="21"/>
                <w:szCs w:val="21"/>
              </w:rPr>
            </w:pPr>
            <w:r>
              <w:rPr>
                <w:rFonts w:hint="eastAsia" w:ascii="宋体" w:hAnsi="宋体" w:eastAsia="宋体" w:cs="Times New Roman"/>
                <w:color w:val="auto"/>
                <w:sz w:val="21"/>
                <w:szCs w:val="21"/>
              </w:rPr>
              <w:t>小学科学教师讲座</w:t>
            </w:r>
          </w:p>
        </w:tc>
        <w:tc>
          <w:tcPr>
            <w:tcW w:w="3314" w:type="dxa"/>
          </w:tcPr>
          <w:p w14:paraId="55A7D607">
            <w:pPr>
              <w:spacing w:line="240" w:lineRule="auto"/>
              <w:jc w:val="left"/>
              <w:rPr>
                <w:rFonts w:hint="eastAsia" w:ascii="宋体" w:hAnsi="宋体" w:eastAsia="宋体" w:cs="宋体"/>
                <w:color w:val="auto"/>
                <w:sz w:val="21"/>
                <w:szCs w:val="21"/>
              </w:rPr>
            </w:pPr>
            <w:r>
              <w:rPr>
                <w:rFonts w:hint="eastAsia" w:ascii="宋体" w:hAnsi="宋体" w:eastAsia="宋体" w:cs="Times New Roman"/>
                <w:color w:val="auto"/>
                <w:sz w:val="21"/>
                <w:szCs w:val="21"/>
              </w:rPr>
              <w:t>邀请一线小学科学教师分享科学课程教学经验，探讨如何有效开展小学科学课程教学，交流融入思政教育的实际案例和方法。</w:t>
            </w:r>
          </w:p>
        </w:tc>
        <w:tc>
          <w:tcPr>
            <w:tcW w:w="1296" w:type="dxa"/>
            <w:vAlign w:val="center"/>
          </w:tcPr>
          <w:p w14:paraId="22CAAEA6">
            <w:pPr>
              <w:spacing w:line="240" w:lineRule="auto"/>
              <w:jc w:val="center"/>
              <w:rPr>
                <w:rFonts w:hint="eastAsia" w:ascii="宋体" w:hAnsi="宋体" w:eastAsia="宋体" w:cs="宋体"/>
                <w:color w:val="auto"/>
                <w:sz w:val="21"/>
                <w:szCs w:val="21"/>
              </w:rPr>
            </w:pPr>
            <w:r>
              <w:rPr>
                <w:rFonts w:hint="eastAsia" w:ascii="宋体" w:hAnsi="宋体" w:eastAsia="宋体" w:cs="Times New Roman"/>
                <w:color w:val="auto"/>
                <w:sz w:val="21"/>
                <w:szCs w:val="21"/>
              </w:rPr>
              <w:t>专家讲座与互动交流</w:t>
            </w:r>
          </w:p>
        </w:tc>
        <w:tc>
          <w:tcPr>
            <w:tcW w:w="2697" w:type="dxa"/>
          </w:tcPr>
          <w:p w14:paraId="549AE38E">
            <w:pPr>
              <w:spacing w:line="240" w:lineRule="auto"/>
              <w:jc w:val="left"/>
              <w:rPr>
                <w:rFonts w:hint="eastAsia" w:ascii="宋体" w:hAnsi="宋体" w:eastAsia="宋体" w:cs="宋体"/>
                <w:color w:val="auto"/>
                <w:sz w:val="21"/>
                <w:szCs w:val="21"/>
              </w:rPr>
            </w:pPr>
            <w:r>
              <w:rPr>
                <w:rFonts w:hint="eastAsia" w:ascii="宋体" w:hAnsi="宋体" w:eastAsia="宋体" w:cs="Times New Roman"/>
                <w:color w:val="auto"/>
                <w:sz w:val="21"/>
                <w:szCs w:val="21"/>
              </w:rPr>
              <w:t>提高学生的教学设计能力，帮助学生理解科学教育的育人价值和实践路径。</w:t>
            </w:r>
          </w:p>
        </w:tc>
      </w:tr>
    </w:tbl>
    <w:p w14:paraId="093B3243">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六、有关说明</w:t>
      </w:r>
    </w:p>
    <w:p w14:paraId="3F03E9EA">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14318AF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bCs/>
          <w:color w:val="auto"/>
          <w:szCs w:val="21"/>
        </w:rPr>
      </w:pPr>
      <w:r>
        <w:rPr>
          <w:rFonts w:ascii="Times New Roman" w:hAnsi="Times New Roman" w:eastAsia="宋体" w:cs="Times New Roman"/>
          <w:bCs/>
          <w:color w:val="auto"/>
          <w:szCs w:val="21"/>
        </w:rPr>
        <w:t>本课程结合学生学习过程中的反馈意见、课堂教学效果以及考核结果，持续优化课程内容与教学方法。定期总结教学中的不足之处，并根据以下方面进行改进：</w:t>
      </w:r>
    </w:p>
    <w:p w14:paraId="4BAD71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w:t>
      </w:r>
      <w:r>
        <w:rPr>
          <w:rFonts w:ascii="Times New Roman" w:hAnsi="Times New Roman" w:eastAsia="宋体" w:cs="Times New Roman"/>
          <w:bCs/>
          <w:color w:val="auto"/>
          <w:szCs w:val="21"/>
        </w:rPr>
        <w:t>依据学生平时作业、课堂表现、期中检测及期末考试的成绩分析，调整教学重点与难点。</w:t>
      </w:r>
    </w:p>
    <w:p w14:paraId="57F7D05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w:t>
      </w:r>
      <w:r>
        <w:rPr>
          <w:rFonts w:ascii="Times New Roman" w:hAnsi="Times New Roman" w:eastAsia="宋体" w:cs="Times New Roman"/>
          <w:bCs/>
          <w:color w:val="auto"/>
          <w:szCs w:val="21"/>
        </w:rPr>
        <w:t>通过教师间的教学交流和教学督导意见，不断完善教学设计和活动组织。</w:t>
      </w:r>
    </w:p>
    <w:p w14:paraId="590135A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Cs/>
          <w:color w:val="auto"/>
          <w:szCs w:val="21"/>
        </w:rPr>
        <w:t>3.</w:t>
      </w:r>
      <w:r>
        <w:rPr>
          <w:rFonts w:ascii="Times New Roman" w:hAnsi="Times New Roman" w:eastAsia="宋体" w:cs="Times New Roman"/>
          <w:bCs/>
          <w:color w:val="auto"/>
          <w:szCs w:val="21"/>
        </w:rPr>
        <w:t>引入最新的科学教育研究成果，丰富教学案例，增强教学内容的实用性与前沿</w:t>
      </w:r>
      <w:r>
        <w:rPr>
          <w:rFonts w:ascii="Times New Roman" w:hAnsi="Times New Roman" w:eastAsia="宋体" w:cs="Times New Roman"/>
          <w:b/>
          <w:color w:val="auto"/>
          <w:szCs w:val="21"/>
        </w:rPr>
        <w:t>性。</w:t>
      </w:r>
    </w:p>
    <w:p w14:paraId="1E745EE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w:t>
      </w:r>
      <w:r>
        <w:rPr>
          <w:rFonts w:ascii="Times New Roman" w:hAnsi="Times New Roman" w:eastAsia="宋体" w:cs="Times New Roman"/>
          <w:bCs/>
          <w:color w:val="auto"/>
          <w:szCs w:val="21"/>
        </w:rPr>
        <w:t>优化思政教育内容设计，更有效地融入课程教学，强化学生的社会责任感和科学素养。</w:t>
      </w:r>
    </w:p>
    <w:p w14:paraId="71687FFA">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51029A6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刘金寿. 现代科学技术概论. 北京：高等教育出版社，2021.</w:t>
      </w:r>
    </w:p>
    <w:p w14:paraId="6BEA0934">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0C6FFB0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szCs w:val="21"/>
        </w:rPr>
      </w:pPr>
      <w:r>
        <w:rPr>
          <w:rFonts w:ascii="宋体" w:hAnsi="宋体" w:eastAsia="宋体"/>
          <w:color w:val="auto"/>
          <w:szCs w:val="21"/>
        </w:rPr>
        <w:t></w:t>
      </w:r>
      <w:r>
        <w:rPr>
          <w:rFonts w:hint="eastAsia" w:ascii="宋体" w:hAnsi="宋体" w:eastAsia="宋体"/>
          <w:color w:val="auto"/>
          <w:szCs w:val="21"/>
        </w:rPr>
        <w:t>1.</w:t>
      </w:r>
      <w:r>
        <w:rPr>
          <w:rFonts w:ascii="宋体" w:hAnsi="宋体" w:eastAsia="宋体"/>
          <w:color w:val="auto"/>
          <w:szCs w:val="21"/>
        </w:rPr>
        <w:t>吴国盛. 科学的历程（修订第4版）. 长沙：湖南科学技术出版社，2018.</w:t>
      </w:r>
    </w:p>
    <w:p w14:paraId="3EFE7EE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szCs w:val="21"/>
        </w:rPr>
      </w:pPr>
      <w:r>
        <w:rPr>
          <w:rFonts w:ascii="宋体" w:hAnsi="宋体" w:eastAsia="宋体"/>
          <w:color w:val="auto"/>
          <w:szCs w:val="21"/>
        </w:rPr>
        <w:t></w:t>
      </w:r>
      <w:r>
        <w:rPr>
          <w:rFonts w:hint="eastAsia" w:ascii="宋体" w:hAnsi="宋体" w:eastAsia="宋体"/>
          <w:color w:val="auto"/>
          <w:szCs w:val="21"/>
        </w:rPr>
        <w:t>2.</w:t>
      </w:r>
      <w:r>
        <w:rPr>
          <w:rFonts w:ascii="宋体" w:hAnsi="宋体" w:eastAsia="宋体"/>
          <w:color w:val="auto"/>
          <w:szCs w:val="21"/>
        </w:rPr>
        <w:t>张二庆，乔建生. 小学科学课程与教学论. 北京：北京师范大学出版社，2016.</w:t>
      </w:r>
    </w:p>
    <w:p w14:paraId="44566C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szCs w:val="21"/>
        </w:rPr>
      </w:pPr>
      <w:r>
        <w:rPr>
          <w:rFonts w:ascii="宋体" w:hAnsi="宋体" w:eastAsia="宋体"/>
          <w:color w:val="auto"/>
          <w:szCs w:val="21"/>
        </w:rPr>
        <w:t></w:t>
      </w:r>
      <w:r>
        <w:rPr>
          <w:rFonts w:hint="eastAsia" w:ascii="宋体" w:hAnsi="宋体" w:eastAsia="宋体"/>
          <w:color w:val="auto"/>
          <w:szCs w:val="21"/>
        </w:rPr>
        <w:t>3.</w:t>
      </w:r>
      <w:r>
        <w:rPr>
          <w:rFonts w:ascii="宋体" w:hAnsi="宋体" w:eastAsia="宋体"/>
          <w:color w:val="auto"/>
          <w:szCs w:val="21"/>
        </w:rPr>
        <w:t>尹显明，王银铃. 科学技术概论. 北京：科学出版社，2018.</w:t>
      </w:r>
    </w:p>
    <w:p w14:paraId="428116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szCs w:val="21"/>
        </w:rPr>
      </w:pPr>
      <w:r>
        <w:rPr>
          <w:rFonts w:ascii="宋体" w:hAnsi="宋体" w:eastAsia="宋体"/>
          <w:color w:val="auto"/>
          <w:szCs w:val="21"/>
        </w:rPr>
        <w:t></w:t>
      </w:r>
      <w:r>
        <w:rPr>
          <w:rFonts w:hint="eastAsia" w:ascii="宋体" w:hAnsi="宋体" w:eastAsia="宋体"/>
          <w:color w:val="auto"/>
          <w:szCs w:val="21"/>
        </w:rPr>
        <w:t>4.</w:t>
      </w:r>
      <w:r>
        <w:rPr>
          <w:rFonts w:ascii="宋体" w:hAnsi="宋体" w:eastAsia="宋体"/>
          <w:color w:val="auto"/>
          <w:szCs w:val="21"/>
        </w:rPr>
        <w:t>毕毓俊. 自然科学基础知识. 北京：高等教育出版社，2008.</w:t>
      </w:r>
    </w:p>
    <w:p w14:paraId="6D57540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szCs w:val="21"/>
        </w:rPr>
      </w:pPr>
      <w:r>
        <w:rPr>
          <w:rFonts w:ascii="宋体" w:hAnsi="宋体" w:eastAsia="宋体"/>
          <w:color w:val="auto"/>
          <w:szCs w:val="21"/>
        </w:rPr>
        <w:t></w:t>
      </w:r>
      <w:r>
        <w:rPr>
          <w:rFonts w:hint="eastAsia" w:ascii="宋体" w:hAnsi="宋体" w:eastAsia="宋体"/>
          <w:color w:val="auto"/>
          <w:szCs w:val="21"/>
        </w:rPr>
        <w:t>5.</w:t>
      </w:r>
      <w:r>
        <w:rPr>
          <w:rFonts w:ascii="宋体" w:hAnsi="宋体" w:eastAsia="宋体"/>
          <w:color w:val="auto"/>
          <w:szCs w:val="21"/>
        </w:rPr>
        <w:t>叶勤. 人类与自然. 北京：高等教育出版社，2009.</w:t>
      </w:r>
    </w:p>
    <w:p w14:paraId="6A107829">
      <w:pPr>
        <w:rPr>
          <w:color w:val="auto"/>
          <w:sz w:val="18"/>
          <w:szCs w:val="21"/>
        </w:rPr>
      </w:pPr>
    </w:p>
    <w:p w14:paraId="14DEAA11">
      <w:pPr>
        <w:spacing w:line="360" w:lineRule="auto"/>
        <w:jc w:val="right"/>
        <w:rPr>
          <w:rFonts w:ascii="Times New Roman" w:hAnsi="Times New Roman" w:eastAsia="宋体" w:cs="Times New Roman"/>
          <w:color w:val="auto"/>
          <w:szCs w:val="21"/>
        </w:rPr>
      </w:pPr>
      <w:r>
        <w:rPr>
          <w:rFonts w:hint="eastAsia" w:ascii="Times New Roman" w:hAnsi="Times New Roman" w:eastAsia="宋体" w:cs="Times New Roman"/>
          <w:color w:val="auto"/>
          <w:szCs w:val="21"/>
        </w:rPr>
        <w:t>执 笔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金玉宏</w:t>
      </w:r>
    </w:p>
    <w:p w14:paraId="3D2F1A9A">
      <w:pPr>
        <w:spacing w:line="360" w:lineRule="auto"/>
        <w:jc w:val="right"/>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定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王</w:t>
      </w:r>
      <w:r>
        <w:rPr>
          <w:rFonts w:hint="eastAsia"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rPr>
        <w:t>健</w:t>
      </w:r>
    </w:p>
    <w:p w14:paraId="531C6A46">
      <w:pPr>
        <w:spacing w:line="360" w:lineRule="auto"/>
        <w:jc w:val="right"/>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批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张志欣</w:t>
      </w:r>
    </w:p>
    <w:p w14:paraId="0425E197">
      <w:pPr>
        <w:spacing w:line="360" w:lineRule="auto"/>
        <w:jc w:val="righ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批准时间：2025年7月1日</w:t>
      </w:r>
    </w:p>
    <w:p w14:paraId="3C4C0F62">
      <w:pPr>
        <w:rPr>
          <w:rFonts w:ascii="Times New Roman" w:hAnsi="Times New Roman" w:eastAsia="宋体" w:cs="Times New Roman"/>
          <w:color w:val="auto"/>
          <w:szCs w:val="21"/>
        </w:rPr>
      </w:pPr>
      <w:r>
        <w:rPr>
          <w:rFonts w:ascii="Times New Roman" w:hAnsi="Times New Roman" w:eastAsia="宋体" w:cs="Times New Roman"/>
          <w:color w:val="auto"/>
          <w:szCs w:val="21"/>
        </w:rPr>
        <w:br w:type="page"/>
      </w:r>
    </w:p>
    <w:p w14:paraId="4CF6FEEA">
      <w:pPr>
        <w:spacing w:line="360" w:lineRule="auto"/>
        <w:jc w:val="center"/>
        <w:outlineLvl w:val="0"/>
        <w:rPr>
          <w:rFonts w:hint="eastAsia" w:ascii="Times New Roman" w:hAnsi="Times New Roman" w:eastAsia="宋体" w:cs="Times New Roman"/>
          <w:b/>
          <w:color w:val="auto"/>
          <w:sz w:val="44"/>
          <w:szCs w:val="44"/>
        </w:rPr>
      </w:pPr>
      <w:bookmarkStart w:id="391" w:name="_Toc5802"/>
      <w:bookmarkStart w:id="392" w:name="_Toc57017184"/>
      <w:r>
        <w:rPr>
          <w:rFonts w:hint="eastAsia" w:ascii="Times New Roman" w:hAnsi="Times New Roman" w:eastAsia="宋体" w:cs="Times New Roman"/>
          <w:b/>
          <w:color w:val="auto"/>
          <w:sz w:val="44"/>
          <w:szCs w:val="44"/>
        </w:rPr>
        <w:t>《美术基础》课程教学大纲</w:t>
      </w:r>
      <w:bookmarkEnd w:id="391"/>
      <w:bookmarkEnd w:id="392"/>
    </w:p>
    <w:p w14:paraId="3A9E2875">
      <w:pPr>
        <w:spacing w:line="360" w:lineRule="auto"/>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（Art Basics）</w:t>
      </w:r>
    </w:p>
    <w:p w14:paraId="6082D4FD">
      <w:pPr>
        <w:spacing w:line="360" w:lineRule="auto"/>
        <w:jc w:val="center"/>
        <w:rPr>
          <w:rFonts w:ascii="Times New Roman" w:hAnsi="Times New Roman" w:eastAsia="宋体" w:cs="Times New Roman"/>
          <w:bCs/>
          <w:color w:val="auto"/>
          <w:sz w:val="22"/>
          <w:szCs w:val="22"/>
        </w:rPr>
      </w:pPr>
    </w:p>
    <w:p w14:paraId="1631C880">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课程名称：美术基础</w:t>
      </w:r>
    </w:p>
    <w:p w14:paraId="0EE5A122">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课程代码：2401005</w:t>
      </w:r>
    </w:p>
    <w:p w14:paraId="1A634588">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分：3</w:t>
      </w:r>
    </w:p>
    <w:p w14:paraId="6D6F4460">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时：48</w:t>
      </w:r>
    </w:p>
    <w:p w14:paraId="609F0C23">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先修课程：素描画技法、创意绘画</w:t>
      </w:r>
    </w:p>
    <w:p w14:paraId="50A17EE5">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适用专业：小学教育</w:t>
      </w:r>
    </w:p>
    <w:p w14:paraId="058CFB4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一、课程简介</w:t>
      </w:r>
    </w:p>
    <w:p w14:paraId="0C90AE5C">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是小学教育专业的专业基础必修课。通过本课程的学习，不仅可以提升学生的审美，而且在提升学生审美能力、创造力和想象力方面能够带来很大帮助。首先，使学生从现有的绘画基础之上提升更高的台阶，并能够通过绘画提升学生的综合素养。在学习素描的基础之上再进行拓展训练，了解更多关于美术方面的绘画分类，包括色彩、卡通画、漫画的绘画技法。在此基础上，形成学生美术正确地教育意识和观念；其次，让学生了解我国美术的发展及美术教育现状，提高学生在其美术方面的教育理论素养，为今后的工作实践奠定坚实的理论基础；最后，引导学生运用所学的基本理论进行一定数量不同风格的绘画练习实践，将所学理论知识和实践结合起来，增强分析和解决实际问题的能力。</w:t>
      </w:r>
    </w:p>
    <w:p w14:paraId="6211358D">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二、课程目标</w:t>
      </w:r>
    </w:p>
    <w:p w14:paraId="49405F6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Cs w:val="21"/>
        </w:rPr>
      </w:pPr>
      <w:bookmarkStart w:id="393" w:name="OLE_LINK2"/>
      <w:r>
        <w:rPr>
          <w:rFonts w:hint="eastAsia" w:ascii="宋体" w:hAnsi="宋体" w:eastAsia="宋体" w:cs="Times New Roman"/>
          <w:b/>
          <w:color w:val="auto"/>
          <w:szCs w:val="21"/>
        </w:rPr>
        <w:t>（一）课程具体目标</w:t>
      </w:r>
    </w:p>
    <w:p w14:paraId="4599C671">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1.</w:t>
      </w:r>
      <w:r>
        <w:rPr>
          <w:rFonts w:hint="eastAsia" w:ascii="Times New Roman" w:hAnsi="Times New Roman" w:eastAsia="宋体" w:cs="Times New Roman"/>
          <w:b/>
          <w:color w:val="auto"/>
          <w:szCs w:val="21"/>
        </w:rPr>
        <w:t xml:space="preserve"> 培养审美意识：</w:t>
      </w:r>
      <w:r>
        <w:rPr>
          <w:rFonts w:hint="eastAsia" w:ascii="Times New Roman" w:hAnsi="Times New Roman" w:eastAsia="宋体" w:cs="Times New Roman"/>
          <w:bCs/>
          <w:color w:val="auto"/>
          <w:szCs w:val="21"/>
        </w:rPr>
        <w:t>使学生能够欣赏和理解不同风格的艺术作品。通过观察、体验与 创作，提升学生的审美意识和艺术鉴赏能力。</w:t>
      </w:r>
    </w:p>
    <w:p w14:paraId="375EC1D5">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目标2</w:t>
      </w:r>
      <w:r>
        <w:rPr>
          <w:rFonts w:ascii="Times New Roman" w:hAnsi="Times New Roman" w:eastAsia="宋体" w:cs="Times New Roman"/>
          <w:b/>
          <w:color w:val="auto"/>
          <w:szCs w:val="21"/>
        </w:rPr>
        <w:t>.</w:t>
      </w:r>
      <w:r>
        <w:rPr>
          <w:rFonts w:hint="eastAsia" w:ascii="Times New Roman" w:hAnsi="Times New Roman" w:eastAsia="宋体" w:cs="Times New Roman"/>
          <w:b/>
          <w:color w:val="auto"/>
          <w:szCs w:val="21"/>
        </w:rPr>
        <w:t xml:space="preserve"> 提升绘画技能：</w:t>
      </w:r>
      <w:r>
        <w:rPr>
          <w:rFonts w:hint="eastAsia" w:ascii="Times New Roman" w:hAnsi="Times New Roman" w:eastAsia="宋体" w:cs="Times New Roman"/>
          <w:bCs/>
          <w:color w:val="auto"/>
          <w:szCs w:val="21"/>
        </w:rPr>
        <w:t>通过实践掌握线条、色彩、光影等绘画要素的运用。通过不同的美术活动，使学生掌握基础的漫画、插画等技巧。</w:t>
      </w:r>
    </w:p>
    <w:p w14:paraId="493EC79E">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Cs/>
          <w:color w:val="auto"/>
          <w:kern w:val="0"/>
          <w:szCs w:val="21"/>
        </w:rPr>
      </w:pPr>
      <w:r>
        <w:rPr>
          <w:rFonts w:hint="eastAsia" w:ascii="Times New Roman" w:hAnsi="Times New Roman" w:eastAsia="宋体" w:cs="Times New Roman"/>
          <w:b/>
          <w:color w:val="auto"/>
          <w:szCs w:val="21"/>
        </w:rPr>
        <w:t>目标3</w:t>
      </w:r>
      <w:r>
        <w:rPr>
          <w:rFonts w:hint="eastAsia" w:ascii="Times New Roman" w:hAnsi="Times New Roman" w:eastAsia="宋体" w:cs="Times New Roman"/>
          <w:b/>
          <w:color w:val="auto"/>
          <w:kern w:val="0"/>
          <w:szCs w:val="21"/>
        </w:rPr>
        <w:t>．技法创造力：</w:t>
      </w:r>
      <w:r>
        <w:rPr>
          <w:rFonts w:hint="eastAsia" w:ascii="Times New Roman" w:hAnsi="Times New Roman" w:eastAsia="宋体" w:cs="Times New Roman"/>
          <w:bCs/>
          <w:color w:val="auto"/>
          <w:kern w:val="0"/>
          <w:szCs w:val="21"/>
        </w:rPr>
        <w:t>鼓励学生运用丰富的思维和创意，表达自己的想法和感受。培养他们的想象力和创造性思维。</w:t>
      </w:r>
    </w:p>
    <w:p w14:paraId="087CDDEE">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Cs/>
          <w:color w:val="auto"/>
          <w:kern w:val="0"/>
          <w:szCs w:val="21"/>
        </w:rPr>
      </w:pPr>
      <w:r>
        <w:rPr>
          <w:rFonts w:hint="eastAsia" w:ascii="Times New Roman" w:hAnsi="Times New Roman" w:eastAsia="宋体" w:cs="Times New Roman"/>
          <w:b/>
          <w:color w:val="auto"/>
          <w:szCs w:val="21"/>
        </w:rPr>
        <w:t>目标4</w:t>
      </w:r>
      <w:r>
        <w:rPr>
          <w:rFonts w:hint="eastAsia" w:ascii="Times New Roman" w:hAnsi="Times New Roman" w:eastAsia="宋体" w:cs="Times New Roman"/>
          <w:b/>
          <w:color w:val="auto"/>
          <w:kern w:val="0"/>
          <w:szCs w:val="21"/>
        </w:rPr>
        <w:t>．增强艺术表达能力：</w:t>
      </w:r>
      <w:r>
        <w:rPr>
          <w:rFonts w:hint="eastAsia" w:ascii="Times New Roman" w:hAnsi="Times New Roman" w:eastAsia="宋体" w:cs="Times New Roman"/>
          <w:bCs/>
          <w:color w:val="auto"/>
          <w:kern w:val="0"/>
          <w:szCs w:val="21"/>
        </w:rPr>
        <w:t>通过团队合作与项目实践，培养学生的沟通能力、协作精神和社会责任感。通过作品展示和交流，提升学生的自信心和艺术表达能力。</w:t>
      </w:r>
    </w:p>
    <w:bookmarkEnd w:id="393"/>
    <w:p w14:paraId="66782EB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0"/>
        <w:gridCol w:w="5426"/>
        <w:gridCol w:w="1191"/>
      </w:tblGrid>
      <w:tr w14:paraId="412B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60" w:type="dxa"/>
            <w:vAlign w:val="center"/>
          </w:tcPr>
          <w:p w14:paraId="2BA4DE6D">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5426" w:type="dxa"/>
            <w:vAlign w:val="center"/>
          </w:tcPr>
          <w:p w14:paraId="6EF5BB0F">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641628E1">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3329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0" w:type="dxa"/>
            <w:vAlign w:val="center"/>
          </w:tcPr>
          <w:p w14:paraId="32215F28">
            <w:pPr>
              <w:spacing w:line="276" w:lineRule="auto"/>
              <w:jc w:val="left"/>
              <w:rPr>
                <w:rFonts w:ascii="Times New Roman" w:hAnsi="Times New Roman" w:eastAsia="宋体" w:cs="Times New Roman"/>
                <w:color w:val="auto"/>
                <w:szCs w:val="21"/>
              </w:rPr>
            </w:pPr>
            <w:r>
              <w:rPr>
                <w:rFonts w:hint="eastAsia" w:ascii="宋体" w:hAnsi="宋体" w:cs="宋体"/>
                <w:b/>
                <w:bCs/>
                <w:color w:val="auto"/>
                <w:kern w:val="0"/>
                <w:szCs w:val="21"/>
              </w:rPr>
              <w:t>毕业要求2：</w:t>
            </w:r>
            <w:r>
              <w:rPr>
                <w:rFonts w:hint="eastAsia" w:ascii="宋体" w:hAnsi="宋体" w:cs="宋体"/>
                <w:b/>
                <w:bCs/>
                <w:color w:val="auto"/>
                <w:szCs w:val="21"/>
              </w:rPr>
              <w:t>教育情怀</w:t>
            </w:r>
          </w:p>
        </w:tc>
        <w:tc>
          <w:tcPr>
            <w:tcW w:w="5426" w:type="dxa"/>
            <w:vAlign w:val="center"/>
          </w:tcPr>
          <w:p w14:paraId="454C5108">
            <w:pPr>
              <w:spacing w:line="276" w:lineRule="auto"/>
              <w:jc w:val="left"/>
              <w:rPr>
                <w:rFonts w:ascii="Times New Roman" w:hAnsi="Times New Roman" w:eastAsia="宋体" w:cs="Times New Roman"/>
                <w:color w:val="auto"/>
                <w:szCs w:val="21"/>
              </w:rPr>
            </w:pPr>
            <w:r>
              <w:rPr>
                <w:rFonts w:hint="eastAsia" w:ascii="宋体" w:hAnsi="宋体" w:cs="宋体"/>
                <w:color w:val="auto"/>
                <w:kern w:val="0"/>
                <w:sz w:val="20"/>
                <w:szCs w:val="20"/>
              </w:rPr>
              <w:t>指标点</w:t>
            </w:r>
            <w:r>
              <w:rPr>
                <w:rFonts w:hint="eastAsia" w:ascii="宋体" w:hAnsi="宋体" w:cs="宋体"/>
                <w:color w:val="auto"/>
                <w:sz w:val="20"/>
                <w:szCs w:val="20"/>
              </w:rPr>
              <w:t>2-3：【自身修养良好】具有较好的人文</w:t>
            </w:r>
            <w:r>
              <w:rPr>
                <w:rFonts w:hint="eastAsia" w:cs="宋体"/>
                <w:color w:val="auto"/>
                <w:sz w:val="20"/>
                <w:szCs w:val="20"/>
              </w:rPr>
              <w:t>艺术</w:t>
            </w:r>
            <w:r>
              <w:rPr>
                <w:rFonts w:hint="eastAsia" w:ascii="宋体" w:hAnsi="宋体" w:cs="宋体"/>
                <w:color w:val="auto"/>
                <w:sz w:val="20"/>
                <w:szCs w:val="20"/>
              </w:rPr>
              <w:t>底蕴与科学精神，言行举止符合教师职业标准，情感积极，人格健全，身心健康。</w:t>
            </w:r>
          </w:p>
        </w:tc>
        <w:tc>
          <w:tcPr>
            <w:tcW w:w="1191" w:type="dxa"/>
            <w:vAlign w:val="center"/>
          </w:tcPr>
          <w:p w14:paraId="4FB72F01">
            <w:pPr>
              <w:spacing w:line="276"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p>
          <w:p w14:paraId="1BCD6F08">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rPr>
              <w:t>2</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3</w:t>
            </w:r>
          </w:p>
        </w:tc>
      </w:tr>
      <w:tr w14:paraId="4DB08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0" w:type="dxa"/>
            <w:vAlign w:val="center"/>
          </w:tcPr>
          <w:p w14:paraId="24C2F823">
            <w:pPr>
              <w:autoSpaceDE w:val="0"/>
              <w:autoSpaceDN w:val="0"/>
              <w:rPr>
                <w:rFonts w:ascii="Times New Roman" w:hAnsi="Times New Roman" w:eastAsia="宋体" w:cs="Times New Roman"/>
                <w:color w:val="auto"/>
                <w:szCs w:val="21"/>
              </w:rPr>
            </w:pPr>
            <w:r>
              <w:rPr>
                <w:rFonts w:hint="eastAsia" w:ascii="宋体" w:hAnsi="宋体" w:cs="宋体"/>
                <w:b/>
                <w:bCs/>
                <w:color w:val="auto"/>
                <w:kern w:val="0"/>
                <w:szCs w:val="21"/>
              </w:rPr>
              <w:t>毕业要求3：学科</w:t>
            </w:r>
            <w:r>
              <w:rPr>
                <w:rFonts w:hint="eastAsia" w:ascii="宋体" w:hAnsi="宋体" w:cs="宋体"/>
                <w:b/>
                <w:bCs/>
                <w:color w:val="auto"/>
                <w:szCs w:val="21"/>
              </w:rPr>
              <w:t>素养</w:t>
            </w:r>
          </w:p>
        </w:tc>
        <w:tc>
          <w:tcPr>
            <w:tcW w:w="5426" w:type="dxa"/>
            <w:vAlign w:val="center"/>
          </w:tcPr>
          <w:p w14:paraId="5D1A0755">
            <w:pPr>
              <w:spacing w:line="276" w:lineRule="auto"/>
              <w:jc w:val="left"/>
              <w:rPr>
                <w:rFonts w:ascii="Times New Roman" w:hAnsi="Times New Roman" w:eastAsia="宋体" w:cs="Times New Roman"/>
                <w:color w:val="auto"/>
                <w:szCs w:val="21"/>
              </w:rPr>
            </w:pPr>
            <w:r>
              <w:rPr>
                <w:rFonts w:hint="eastAsia" w:ascii="宋体" w:hAnsi="宋体" w:cs="宋体"/>
                <w:color w:val="auto"/>
                <w:kern w:val="0"/>
                <w:szCs w:val="21"/>
              </w:rPr>
              <w:t>指标点</w:t>
            </w:r>
            <w:r>
              <w:rPr>
                <w:rFonts w:hint="eastAsia" w:ascii="宋体" w:hAnsi="宋体" w:cs="宋体"/>
                <w:color w:val="auto"/>
                <w:szCs w:val="21"/>
              </w:rPr>
              <w:t>3-1：【通识知识广博】具有小学教育本科专业相应的自然科学和人文社会科学知识素养。</w:t>
            </w:r>
          </w:p>
        </w:tc>
        <w:tc>
          <w:tcPr>
            <w:tcW w:w="1191" w:type="dxa"/>
            <w:vAlign w:val="center"/>
          </w:tcPr>
          <w:p w14:paraId="0FE65D05">
            <w:pPr>
              <w:spacing w:line="276"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p>
          <w:p w14:paraId="4A983EDD">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2、3、4</w:t>
            </w:r>
          </w:p>
        </w:tc>
      </w:tr>
      <w:tr w14:paraId="4B69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0" w:type="dxa"/>
            <w:vAlign w:val="center"/>
          </w:tcPr>
          <w:p w14:paraId="667930C5">
            <w:pPr>
              <w:autoSpaceDE w:val="0"/>
              <w:autoSpaceDN w:val="0"/>
              <w:rPr>
                <w:rFonts w:ascii="Times New Roman" w:hAnsi="Times New Roman" w:eastAsia="宋体" w:cs="Times New Roman"/>
                <w:color w:val="auto"/>
                <w:szCs w:val="21"/>
              </w:rPr>
            </w:pPr>
            <w:r>
              <w:rPr>
                <w:rFonts w:hint="eastAsia" w:ascii="宋体" w:hAnsi="宋体" w:cs="宋体"/>
                <w:b/>
                <w:bCs/>
                <w:color w:val="auto"/>
                <w:kern w:val="0"/>
                <w:szCs w:val="21"/>
              </w:rPr>
              <w:t>毕业要求6：</w:t>
            </w:r>
            <w:r>
              <w:rPr>
                <w:rFonts w:hint="eastAsia" w:ascii="宋体" w:hAnsi="宋体" w:cs="宋体"/>
                <w:b/>
                <w:bCs/>
                <w:color w:val="auto"/>
                <w:szCs w:val="21"/>
              </w:rPr>
              <w:t>综合育人</w:t>
            </w:r>
          </w:p>
        </w:tc>
        <w:tc>
          <w:tcPr>
            <w:tcW w:w="5426" w:type="dxa"/>
            <w:vAlign w:val="center"/>
          </w:tcPr>
          <w:p w14:paraId="131B8313">
            <w:pPr>
              <w:spacing w:line="276" w:lineRule="auto"/>
              <w:jc w:val="left"/>
              <w:rPr>
                <w:rFonts w:ascii="Times New Roman" w:hAnsi="Times New Roman" w:eastAsia="宋体" w:cs="Times New Roman"/>
                <w:color w:val="auto"/>
                <w:szCs w:val="21"/>
              </w:rPr>
            </w:pPr>
            <w:r>
              <w:rPr>
                <w:rFonts w:hint="eastAsia" w:ascii="宋体" w:hAnsi="宋体" w:cs="宋体"/>
                <w:color w:val="auto"/>
                <w:kern w:val="0"/>
                <w:sz w:val="20"/>
                <w:szCs w:val="20"/>
              </w:rPr>
              <w:t>指标点</w:t>
            </w:r>
            <w:r>
              <w:rPr>
                <w:rFonts w:hint="eastAsia" w:ascii="宋体" w:hAnsi="宋体" w:cs="宋体"/>
                <w:color w:val="auto"/>
                <w:sz w:val="20"/>
                <w:szCs w:val="20"/>
              </w:rPr>
              <w:t>6-3：【善于文化与活动育人】了解课外活动组织和管理知识，掌握学校文化和各类课外教育活动的育人内涵和方法，在教育教学实践中，参与组织主题教育、少先队活动和社团活动，促进小学生全面、健康发展。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24BEEE56">
            <w:pPr>
              <w:spacing w:line="276"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p>
          <w:p w14:paraId="21802075">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rPr>
              <w:t>2</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4</w:t>
            </w:r>
          </w:p>
        </w:tc>
      </w:tr>
    </w:tbl>
    <w:p w14:paraId="7B5106B1">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6E7AAB5C">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4F22EC71">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0DB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9D59B39">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w:t>
            </w:r>
          </w:p>
          <w:p w14:paraId="62B089F6">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单元</w:t>
            </w:r>
          </w:p>
        </w:tc>
        <w:tc>
          <w:tcPr>
            <w:tcW w:w="1701" w:type="dxa"/>
            <w:vAlign w:val="center"/>
          </w:tcPr>
          <w:p w14:paraId="29A97B4F">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知识点</w:t>
            </w:r>
          </w:p>
        </w:tc>
        <w:tc>
          <w:tcPr>
            <w:tcW w:w="1134" w:type="dxa"/>
            <w:vAlign w:val="center"/>
          </w:tcPr>
          <w:p w14:paraId="65EC507A">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对应</w:t>
            </w:r>
          </w:p>
          <w:p w14:paraId="35D83CCD">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课程目标</w:t>
            </w:r>
          </w:p>
        </w:tc>
        <w:tc>
          <w:tcPr>
            <w:tcW w:w="3260" w:type="dxa"/>
            <w:vAlign w:val="center"/>
          </w:tcPr>
          <w:p w14:paraId="43A14E34">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预期学习成效</w:t>
            </w:r>
          </w:p>
        </w:tc>
        <w:tc>
          <w:tcPr>
            <w:tcW w:w="1560" w:type="dxa"/>
            <w:vAlign w:val="center"/>
          </w:tcPr>
          <w:p w14:paraId="1E41F08B">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实现环节</w:t>
            </w:r>
          </w:p>
        </w:tc>
        <w:tc>
          <w:tcPr>
            <w:tcW w:w="438" w:type="dxa"/>
            <w:vAlign w:val="center"/>
          </w:tcPr>
          <w:p w14:paraId="62B5BB31">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学时</w:t>
            </w:r>
          </w:p>
        </w:tc>
      </w:tr>
      <w:tr w14:paraId="646A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4EF9DAE">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1.创意造型</w:t>
            </w:r>
          </w:p>
        </w:tc>
        <w:tc>
          <w:tcPr>
            <w:tcW w:w="1701" w:type="dxa"/>
            <w:vAlign w:val="center"/>
          </w:tcPr>
          <w:p w14:paraId="1780D42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（1）美术发展概括</w:t>
            </w:r>
          </w:p>
          <w:p w14:paraId="4458DCD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（2）创意素描</w:t>
            </w:r>
          </w:p>
          <w:p w14:paraId="201D5F8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（3）素描的构图</w:t>
            </w:r>
          </w:p>
          <w:p w14:paraId="21E5963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（4）素描的透视</w:t>
            </w:r>
          </w:p>
          <w:p w14:paraId="7FC02786">
            <w:pPr>
              <w:spacing w:line="240" w:lineRule="auto"/>
              <w:jc w:val="left"/>
              <w:rPr>
                <w:rFonts w:hint="eastAsia" w:ascii="宋体" w:hAnsi="宋体" w:eastAsia="宋体" w:cs="Times New Roman"/>
                <w:color w:val="auto"/>
                <w:sz w:val="21"/>
                <w:szCs w:val="21"/>
              </w:rPr>
            </w:pPr>
          </w:p>
        </w:tc>
        <w:tc>
          <w:tcPr>
            <w:tcW w:w="1134" w:type="dxa"/>
            <w:vAlign w:val="center"/>
          </w:tcPr>
          <w:p w14:paraId="09B92955">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w:t>
            </w:r>
          </w:p>
          <w:p w14:paraId="1F7359DA">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1、2</w:t>
            </w:r>
          </w:p>
        </w:tc>
        <w:tc>
          <w:tcPr>
            <w:tcW w:w="3260" w:type="dxa"/>
            <w:vAlign w:val="center"/>
          </w:tcPr>
          <w:p w14:paraId="274ACDF9">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w:t>
            </w:r>
            <w:r>
              <w:rPr>
                <w:rFonts w:hint="eastAsia" w:ascii="宋体" w:hAnsi="宋体" w:eastAsia="宋体" w:cs="Times New Roman"/>
                <w:color w:val="auto"/>
                <w:sz w:val="21"/>
                <w:szCs w:val="21"/>
              </w:rPr>
              <w:t>了解美术发展的概括，提升修养；</w:t>
            </w:r>
          </w:p>
          <w:p w14:paraId="7BCC91C2">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2.了解</w:t>
            </w:r>
            <w:r>
              <w:rPr>
                <w:rFonts w:hint="eastAsia" w:ascii="宋体" w:hAnsi="宋体" w:eastAsia="宋体" w:cs="Times New Roman"/>
                <w:color w:val="auto"/>
                <w:sz w:val="21"/>
                <w:szCs w:val="21"/>
              </w:rPr>
              <w:t>素描的绘画工具、绘画技法；</w:t>
            </w:r>
          </w:p>
          <w:p w14:paraId="7200CA8A">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学会使用铅笔排线；</w:t>
            </w:r>
          </w:p>
          <w:p w14:paraId="23671522">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w:t>
            </w:r>
            <w:r>
              <w:rPr>
                <w:rFonts w:hint="eastAsia" w:ascii="宋体" w:hAnsi="宋体" w:eastAsia="宋体" w:cs="Times New Roman"/>
                <w:color w:val="auto"/>
                <w:sz w:val="21"/>
                <w:szCs w:val="21"/>
              </w:rPr>
              <w:t>理解物体的块面关系。</w:t>
            </w:r>
          </w:p>
        </w:tc>
        <w:tc>
          <w:tcPr>
            <w:tcW w:w="1560" w:type="dxa"/>
            <w:vAlign w:val="center"/>
          </w:tcPr>
          <w:p w14:paraId="44A27CB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1.线下学习</w:t>
            </w:r>
          </w:p>
          <w:p w14:paraId="2897374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2.多媒体教学3.课堂讨论</w:t>
            </w:r>
          </w:p>
          <w:p w14:paraId="4C30342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4.实践</w:t>
            </w:r>
          </w:p>
        </w:tc>
        <w:tc>
          <w:tcPr>
            <w:tcW w:w="438" w:type="dxa"/>
            <w:vAlign w:val="center"/>
          </w:tcPr>
          <w:p w14:paraId="704D66BA">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8</w:t>
            </w:r>
          </w:p>
        </w:tc>
      </w:tr>
      <w:tr w14:paraId="101A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06DCD82">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3F71E99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bCs/>
                <w:color w:val="auto"/>
                <w:sz w:val="21"/>
                <w:szCs w:val="21"/>
              </w:rPr>
              <w:t>通过对美术发展中美术教育家的了解，增强爱国情怀及热爱教育事业，学习他们刻苦专研，不怕困难的精神。</w:t>
            </w:r>
          </w:p>
        </w:tc>
      </w:tr>
      <w:tr w14:paraId="0712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5F872D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2.素描创作实践</w:t>
            </w:r>
          </w:p>
        </w:tc>
        <w:tc>
          <w:tcPr>
            <w:tcW w:w="1701" w:type="dxa"/>
            <w:vAlign w:val="center"/>
          </w:tcPr>
          <w:p w14:paraId="375A582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（1）结构素描</w:t>
            </w:r>
          </w:p>
          <w:p w14:paraId="1FF3C26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（2）明暗素描</w:t>
            </w:r>
          </w:p>
          <w:p w14:paraId="6575D02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（3）意象素描</w:t>
            </w:r>
          </w:p>
        </w:tc>
        <w:tc>
          <w:tcPr>
            <w:tcW w:w="1134" w:type="dxa"/>
            <w:vAlign w:val="center"/>
          </w:tcPr>
          <w:p w14:paraId="73BEF66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课程目标2、3</w:t>
            </w:r>
          </w:p>
        </w:tc>
        <w:tc>
          <w:tcPr>
            <w:tcW w:w="3260" w:type="dxa"/>
            <w:vAlign w:val="center"/>
          </w:tcPr>
          <w:p w14:paraId="7FFFBAE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1.掌握结构素描的绘画方法；</w:t>
            </w:r>
          </w:p>
          <w:p w14:paraId="10B17ED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2.学会结构线描的布线；</w:t>
            </w:r>
          </w:p>
          <w:p w14:paraId="045BD8F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3.掌握结构素描的联想拓展</w:t>
            </w:r>
            <w:r>
              <w:rPr>
                <w:rFonts w:ascii="宋体" w:hAnsi="宋体" w:eastAsia="宋体" w:cs="Times New Roman"/>
                <w:color w:val="auto"/>
                <w:sz w:val="21"/>
                <w:szCs w:val="21"/>
              </w:rPr>
              <w:t>。</w:t>
            </w:r>
          </w:p>
        </w:tc>
        <w:tc>
          <w:tcPr>
            <w:tcW w:w="1560" w:type="dxa"/>
            <w:vAlign w:val="center"/>
          </w:tcPr>
          <w:p w14:paraId="52A06EC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1.线下学习</w:t>
            </w:r>
          </w:p>
          <w:p w14:paraId="6FC68E5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2.多媒体教学3.课堂讨论</w:t>
            </w:r>
          </w:p>
          <w:p w14:paraId="2F4FE62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4.实践</w:t>
            </w:r>
          </w:p>
        </w:tc>
        <w:tc>
          <w:tcPr>
            <w:tcW w:w="438" w:type="dxa"/>
            <w:vAlign w:val="center"/>
          </w:tcPr>
          <w:p w14:paraId="273DC09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12</w:t>
            </w:r>
          </w:p>
        </w:tc>
      </w:tr>
      <w:tr w14:paraId="6D7A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8A914D2">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6990A79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bCs/>
                <w:color w:val="auto"/>
                <w:sz w:val="21"/>
                <w:szCs w:val="21"/>
              </w:rPr>
              <w:t>通过结构素描的绘画过程学习做事情要有条理，要从整体到局部，循序渐进的进行，不能心急及急于出效果，错误百出。</w:t>
            </w:r>
          </w:p>
        </w:tc>
      </w:tr>
      <w:tr w14:paraId="5426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CE62A4E">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3.儿童画创编</w:t>
            </w:r>
          </w:p>
        </w:tc>
        <w:tc>
          <w:tcPr>
            <w:tcW w:w="1701" w:type="dxa"/>
            <w:vAlign w:val="center"/>
          </w:tcPr>
          <w:p w14:paraId="24F1F1A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（1）学习儿童画的意义</w:t>
            </w:r>
          </w:p>
          <w:p w14:paraId="70CFEB6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（2）儿童画的创作方法及不同工具的使用</w:t>
            </w:r>
          </w:p>
          <w:p w14:paraId="3AD36FE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（3）儿童画的创意表现</w:t>
            </w:r>
          </w:p>
        </w:tc>
        <w:tc>
          <w:tcPr>
            <w:tcW w:w="1134" w:type="dxa"/>
            <w:vAlign w:val="center"/>
          </w:tcPr>
          <w:p w14:paraId="5C78CEF4">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课程目标2、3</w:t>
            </w:r>
          </w:p>
        </w:tc>
        <w:tc>
          <w:tcPr>
            <w:tcW w:w="3260" w:type="dxa"/>
            <w:vAlign w:val="center"/>
          </w:tcPr>
          <w:p w14:paraId="21A83EE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1.了解儿童画对少儿教育的意义；</w:t>
            </w:r>
          </w:p>
          <w:p w14:paraId="4E82231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2.掌握儿童画的绘画技法；</w:t>
            </w:r>
          </w:p>
          <w:p w14:paraId="71884CB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 掌握创意技巧</w:t>
            </w:r>
          </w:p>
        </w:tc>
        <w:tc>
          <w:tcPr>
            <w:tcW w:w="1560" w:type="dxa"/>
            <w:vAlign w:val="center"/>
          </w:tcPr>
          <w:p w14:paraId="14F501BF">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w:t>
            </w:r>
            <w:r>
              <w:rPr>
                <w:rFonts w:hint="eastAsia" w:ascii="宋体" w:hAnsi="宋体" w:eastAsia="宋体" w:cs="Times New Roman"/>
                <w:color w:val="auto"/>
                <w:sz w:val="21"/>
                <w:szCs w:val="21"/>
              </w:rPr>
              <w:t>下</w:t>
            </w:r>
            <w:r>
              <w:rPr>
                <w:rFonts w:ascii="宋体" w:hAnsi="宋体" w:eastAsia="宋体" w:cs="Times New Roman"/>
                <w:color w:val="auto"/>
                <w:sz w:val="21"/>
                <w:szCs w:val="21"/>
              </w:rPr>
              <w:t>学习</w:t>
            </w:r>
          </w:p>
          <w:p w14:paraId="1650C572">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33B35DB6">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w:t>
            </w:r>
            <w:r>
              <w:rPr>
                <w:rFonts w:hint="eastAsia" w:ascii="宋体" w:hAnsi="宋体" w:eastAsia="宋体" w:cs="Times New Roman"/>
                <w:color w:val="auto"/>
                <w:sz w:val="21"/>
                <w:szCs w:val="21"/>
              </w:rPr>
              <w:t>实践</w:t>
            </w:r>
          </w:p>
        </w:tc>
        <w:tc>
          <w:tcPr>
            <w:tcW w:w="438" w:type="dxa"/>
            <w:vAlign w:val="center"/>
          </w:tcPr>
          <w:p w14:paraId="031EEAE9">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8</w:t>
            </w:r>
          </w:p>
        </w:tc>
      </w:tr>
      <w:tr w14:paraId="5D33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6081765">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5F766CA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从辩证思维的角度掌握对不同事情的正确看法和处理方式。</w:t>
            </w:r>
          </w:p>
        </w:tc>
      </w:tr>
      <w:tr w14:paraId="48F2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86753D3">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4.创意色彩</w:t>
            </w:r>
          </w:p>
        </w:tc>
        <w:tc>
          <w:tcPr>
            <w:tcW w:w="1701" w:type="dxa"/>
            <w:vAlign w:val="center"/>
          </w:tcPr>
          <w:p w14:paraId="4F078A7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（1）色彩形成原理</w:t>
            </w:r>
          </w:p>
          <w:p w14:paraId="6F56BAC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（2）印象派绘画分析</w:t>
            </w:r>
          </w:p>
          <w:p w14:paraId="6D48918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（3）色彩的调色和关系</w:t>
            </w:r>
          </w:p>
        </w:tc>
        <w:tc>
          <w:tcPr>
            <w:tcW w:w="1134" w:type="dxa"/>
            <w:vAlign w:val="center"/>
          </w:tcPr>
          <w:p w14:paraId="1403C01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3260" w:type="dxa"/>
            <w:vAlign w:val="center"/>
          </w:tcPr>
          <w:p w14:paraId="6EECCFF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1.掌握色彩的形成原理；</w:t>
            </w:r>
          </w:p>
          <w:p w14:paraId="0DF293D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2.学会色彩的调色技巧和色彩关系的表达。</w:t>
            </w:r>
          </w:p>
        </w:tc>
        <w:tc>
          <w:tcPr>
            <w:tcW w:w="1560" w:type="dxa"/>
            <w:vAlign w:val="center"/>
          </w:tcPr>
          <w:p w14:paraId="2E1D7A31">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w:t>
            </w:r>
            <w:r>
              <w:rPr>
                <w:rFonts w:hint="eastAsia" w:ascii="宋体" w:hAnsi="宋体" w:eastAsia="宋体" w:cs="Times New Roman"/>
                <w:color w:val="auto"/>
                <w:sz w:val="21"/>
                <w:szCs w:val="21"/>
              </w:rPr>
              <w:t>下</w:t>
            </w:r>
            <w:r>
              <w:rPr>
                <w:rFonts w:ascii="宋体" w:hAnsi="宋体" w:eastAsia="宋体" w:cs="Times New Roman"/>
                <w:color w:val="auto"/>
                <w:sz w:val="21"/>
                <w:szCs w:val="21"/>
              </w:rPr>
              <w:t>学习</w:t>
            </w:r>
          </w:p>
          <w:p w14:paraId="3BE5654B">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6A6BD0A0">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w:t>
            </w:r>
            <w:r>
              <w:rPr>
                <w:rFonts w:hint="eastAsia" w:ascii="宋体" w:hAnsi="宋体" w:eastAsia="宋体" w:cs="Times New Roman"/>
                <w:color w:val="auto"/>
                <w:sz w:val="21"/>
                <w:szCs w:val="21"/>
              </w:rPr>
              <w:t>实践</w:t>
            </w:r>
          </w:p>
        </w:tc>
        <w:tc>
          <w:tcPr>
            <w:tcW w:w="438" w:type="dxa"/>
            <w:vAlign w:val="center"/>
          </w:tcPr>
          <w:p w14:paraId="452F76EC">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p>
        </w:tc>
      </w:tr>
      <w:tr w14:paraId="5C92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8B70B26">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71336AB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bCs/>
                <w:color w:val="auto"/>
                <w:sz w:val="21"/>
                <w:szCs w:val="21"/>
              </w:rPr>
              <w:t>通过对色彩的学习使学生学会观察周围的人和事，从中学会找联系</w:t>
            </w:r>
            <w:r>
              <w:rPr>
                <w:rFonts w:hint="eastAsia" w:ascii="宋体" w:hAnsi="宋体" w:eastAsia="宋体" w:cs="Times New Roman"/>
                <w:color w:val="auto"/>
                <w:sz w:val="21"/>
                <w:szCs w:val="21"/>
              </w:rPr>
              <w:t>。</w:t>
            </w:r>
          </w:p>
        </w:tc>
      </w:tr>
      <w:tr w14:paraId="38FC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D970400">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5.色彩表达</w:t>
            </w:r>
          </w:p>
        </w:tc>
        <w:tc>
          <w:tcPr>
            <w:tcW w:w="1701" w:type="dxa"/>
            <w:vAlign w:val="center"/>
          </w:tcPr>
          <w:p w14:paraId="5581627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（1）色彩肌理表达</w:t>
            </w:r>
          </w:p>
          <w:p w14:paraId="5FAA7F5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（2）色彩的构成形式</w:t>
            </w:r>
          </w:p>
          <w:p w14:paraId="2AE4E55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（3）色彩创作原理</w:t>
            </w:r>
          </w:p>
        </w:tc>
        <w:tc>
          <w:tcPr>
            <w:tcW w:w="1134" w:type="dxa"/>
            <w:vAlign w:val="center"/>
          </w:tcPr>
          <w:p w14:paraId="2A3FB458">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3260" w:type="dxa"/>
            <w:vAlign w:val="center"/>
          </w:tcPr>
          <w:p w14:paraId="68F6571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1.掌握各种材料对色彩肌理表达的实践方法；</w:t>
            </w:r>
          </w:p>
          <w:p w14:paraId="4D78770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2.掌握色彩构成方法；</w:t>
            </w:r>
          </w:p>
          <w:p w14:paraId="217C428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3.色彩创意实践</w:t>
            </w:r>
            <w:r>
              <w:rPr>
                <w:rFonts w:ascii="宋体" w:hAnsi="宋体" w:eastAsia="宋体" w:cs="Times New Roman"/>
                <w:color w:val="auto"/>
                <w:sz w:val="21"/>
                <w:szCs w:val="21"/>
              </w:rPr>
              <w:t>。</w:t>
            </w:r>
          </w:p>
        </w:tc>
        <w:tc>
          <w:tcPr>
            <w:tcW w:w="1560" w:type="dxa"/>
            <w:vAlign w:val="center"/>
          </w:tcPr>
          <w:p w14:paraId="37112B35">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w:t>
            </w:r>
            <w:r>
              <w:rPr>
                <w:rFonts w:hint="eastAsia" w:ascii="宋体" w:hAnsi="宋体" w:eastAsia="宋体" w:cs="Times New Roman"/>
                <w:color w:val="auto"/>
                <w:sz w:val="21"/>
                <w:szCs w:val="21"/>
              </w:rPr>
              <w:t>下</w:t>
            </w:r>
            <w:r>
              <w:rPr>
                <w:rFonts w:ascii="宋体" w:hAnsi="宋体" w:eastAsia="宋体" w:cs="Times New Roman"/>
                <w:color w:val="auto"/>
                <w:sz w:val="21"/>
                <w:szCs w:val="21"/>
              </w:rPr>
              <w:t>学习</w:t>
            </w:r>
          </w:p>
          <w:p w14:paraId="28B354E4">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02CC70FE">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w:t>
            </w:r>
            <w:r>
              <w:rPr>
                <w:rFonts w:hint="eastAsia" w:ascii="宋体" w:hAnsi="宋体" w:eastAsia="宋体" w:cs="Times New Roman"/>
                <w:color w:val="auto"/>
                <w:sz w:val="21"/>
                <w:szCs w:val="21"/>
              </w:rPr>
              <w:t>实践</w:t>
            </w:r>
          </w:p>
        </w:tc>
        <w:tc>
          <w:tcPr>
            <w:tcW w:w="438" w:type="dxa"/>
            <w:vAlign w:val="center"/>
          </w:tcPr>
          <w:p w14:paraId="781782A8">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8</w:t>
            </w:r>
          </w:p>
        </w:tc>
      </w:tr>
      <w:tr w14:paraId="5884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5AF95DE">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7C154EF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通过对色彩的表达学习，可以拓展思维，用科学的思维处理问题，理解创造力的重要性。</w:t>
            </w:r>
          </w:p>
        </w:tc>
      </w:tr>
      <w:tr w14:paraId="18BC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C954E75">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6.色彩探索</w:t>
            </w:r>
          </w:p>
        </w:tc>
        <w:tc>
          <w:tcPr>
            <w:tcW w:w="1701" w:type="dxa"/>
            <w:vAlign w:val="center"/>
          </w:tcPr>
          <w:p w14:paraId="36EFDAE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（1）物料的创作特性及实验</w:t>
            </w:r>
          </w:p>
          <w:p w14:paraId="2AACFE0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（2）不同绘画语言的绘画技法掌握</w:t>
            </w:r>
          </w:p>
          <w:p w14:paraId="4999F19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（3）对艺术与科学的理解</w:t>
            </w:r>
          </w:p>
          <w:p w14:paraId="31D502CC">
            <w:pPr>
              <w:spacing w:line="240" w:lineRule="auto"/>
              <w:jc w:val="left"/>
              <w:rPr>
                <w:rFonts w:hint="eastAsia" w:ascii="宋体" w:hAnsi="宋体" w:eastAsia="宋体" w:cs="Times New Roman"/>
                <w:color w:val="auto"/>
                <w:sz w:val="21"/>
                <w:szCs w:val="21"/>
              </w:rPr>
            </w:pPr>
          </w:p>
        </w:tc>
        <w:tc>
          <w:tcPr>
            <w:tcW w:w="1134" w:type="dxa"/>
            <w:vAlign w:val="center"/>
          </w:tcPr>
          <w:p w14:paraId="53D90BA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w:t>
            </w:r>
          </w:p>
        </w:tc>
        <w:tc>
          <w:tcPr>
            <w:tcW w:w="3260" w:type="dxa"/>
            <w:vAlign w:val="center"/>
          </w:tcPr>
          <w:p w14:paraId="48A0BA5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1.了解不同物料的创作特性及效果表现；</w:t>
            </w:r>
          </w:p>
          <w:p w14:paraId="5919900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2.各种绘画颜料的使用及技法掌握；</w:t>
            </w:r>
          </w:p>
          <w:p w14:paraId="44B7DA2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3.了解艺术与科技的关系。</w:t>
            </w:r>
          </w:p>
        </w:tc>
        <w:tc>
          <w:tcPr>
            <w:tcW w:w="1560" w:type="dxa"/>
            <w:vAlign w:val="center"/>
          </w:tcPr>
          <w:p w14:paraId="5C39C491">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w:t>
            </w:r>
            <w:r>
              <w:rPr>
                <w:rFonts w:hint="eastAsia" w:ascii="宋体" w:hAnsi="宋体" w:eastAsia="宋体" w:cs="Times New Roman"/>
                <w:color w:val="auto"/>
                <w:sz w:val="21"/>
                <w:szCs w:val="21"/>
              </w:rPr>
              <w:t>下</w:t>
            </w:r>
            <w:r>
              <w:rPr>
                <w:rFonts w:ascii="宋体" w:hAnsi="宋体" w:eastAsia="宋体" w:cs="Times New Roman"/>
                <w:color w:val="auto"/>
                <w:sz w:val="21"/>
                <w:szCs w:val="21"/>
              </w:rPr>
              <w:t>学习</w:t>
            </w:r>
          </w:p>
          <w:p w14:paraId="2F36CECF">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64A8B6C2">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w:t>
            </w:r>
            <w:r>
              <w:rPr>
                <w:rFonts w:hint="eastAsia" w:ascii="宋体" w:hAnsi="宋体" w:eastAsia="宋体" w:cs="Times New Roman"/>
                <w:color w:val="auto"/>
                <w:sz w:val="21"/>
                <w:szCs w:val="21"/>
              </w:rPr>
              <w:t>实践</w:t>
            </w:r>
          </w:p>
        </w:tc>
        <w:tc>
          <w:tcPr>
            <w:tcW w:w="438" w:type="dxa"/>
            <w:vAlign w:val="center"/>
          </w:tcPr>
          <w:p w14:paraId="37782F55">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8</w:t>
            </w:r>
          </w:p>
        </w:tc>
      </w:tr>
      <w:tr w14:paraId="0A7AE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601C976">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5D9A7B5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bCs/>
                <w:color w:val="auto"/>
                <w:sz w:val="21"/>
                <w:szCs w:val="21"/>
              </w:rPr>
              <w:t>通过对色彩的探索学习，学会在不同实践中找联系，以跨界融合的思维进行学习。</w:t>
            </w:r>
          </w:p>
        </w:tc>
      </w:tr>
    </w:tbl>
    <w:p w14:paraId="090DA676">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四、目标评价与成绩评定</w:t>
      </w:r>
    </w:p>
    <w:p w14:paraId="6BB7B510">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01AA097F">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54DA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3ADB09F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0" w:type="auto"/>
            <w:gridSpan w:val="6"/>
            <w:vAlign w:val="center"/>
          </w:tcPr>
          <w:p w14:paraId="001A243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05EC49D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7C2C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096EB48">
            <w:pPr>
              <w:spacing w:line="360" w:lineRule="auto"/>
              <w:jc w:val="center"/>
              <w:rPr>
                <w:rFonts w:hint="eastAsia" w:ascii="宋体" w:hAnsi="宋体" w:eastAsia="宋体" w:cs="Times New Roman"/>
                <w:color w:val="auto"/>
                <w:szCs w:val="21"/>
              </w:rPr>
            </w:pPr>
          </w:p>
        </w:tc>
        <w:tc>
          <w:tcPr>
            <w:tcW w:w="0" w:type="auto"/>
            <w:vAlign w:val="center"/>
          </w:tcPr>
          <w:p w14:paraId="18CD253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0" w:type="auto"/>
            <w:vAlign w:val="center"/>
          </w:tcPr>
          <w:p w14:paraId="111A673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0" w:type="auto"/>
            <w:vAlign w:val="center"/>
          </w:tcPr>
          <w:p w14:paraId="3CF6321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单元测验</w:t>
            </w:r>
          </w:p>
        </w:tc>
        <w:tc>
          <w:tcPr>
            <w:tcW w:w="0" w:type="auto"/>
            <w:vAlign w:val="center"/>
          </w:tcPr>
          <w:p w14:paraId="4BEDAF3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个人展示</w:t>
            </w:r>
          </w:p>
        </w:tc>
        <w:tc>
          <w:tcPr>
            <w:tcW w:w="0" w:type="auto"/>
            <w:vAlign w:val="center"/>
          </w:tcPr>
          <w:p w14:paraId="7868D18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0" w:type="auto"/>
          </w:tcPr>
          <w:p w14:paraId="683A6F5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自主学习</w:t>
            </w:r>
          </w:p>
        </w:tc>
        <w:tc>
          <w:tcPr>
            <w:tcW w:w="0" w:type="auto"/>
            <w:vMerge w:val="continue"/>
            <w:vAlign w:val="center"/>
          </w:tcPr>
          <w:p w14:paraId="24CD89D0">
            <w:pPr>
              <w:spacing w:line="360" w:lineRule="auto"/>
              <w:jc w:val="center"/>
              <w:rPr>
                <w:rFonts w:hint="eastAsia" w:ascii="宋体" w:hAnsi="宋体" w:eastAsia="宋体" w:cs="Times New Roman"/>
                <w:color w:val="auto"/>
                <w:szCs w:val="21"/>
              </w:rPr>
            </w:pPr>
          </w:p>
        </w:tc>
      </w:tr>
      <w:tr w14:paraId="0184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944724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0" w:type="auto"/>
            <w:vAlign w:val="center"/>
          </w:tcPr>
          <w:p w14:paraId="31E188BB">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4472D79">
            <w:pPr>
              <w:spacing w:line="360" w:lineRule="auto"/>
              <w:jc w:val="center"/>
              <w:rPr>
                <w:rFonts w:hint="eastAsia" w:ascii="宋体" w:hAnsi="宋体" w:eastAsia="宋体" w:cs="Times New Roman"/>
                <w:color w:val="auto"/>
                <w:szCs w:val="21"/>
              </w:rPr>
            </w:pPr>
          </w:p>
        </w:tc>
        <w:tc>
          <w:tcPr>
            <w:tcW w:w="0" w:type="auto"/>
            <w:vAlign w:val="center"/>
          </w:tcPr>
          <w:p w14:paraId="29A855F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9F7E5B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6345B4B">
            <w:pPr>
              <w:spacing w:line="360" w:lineRule="auto"/>
              <w:jc w:val="center"/>
              <w:rPr>
                <w:rFonts w:hint="eastAsia" w:ascii="宋体" w:hAnsi="宋体" w:eastAsia="宋体" w:cs="Times New Roman"/>
                <w:color w:val="auto"/>
                <w:szCs w:val="21"/>
              </w:rPr>
            </w:pPr>
          </w:p>
        </w:tc>
        <w:tc>
          <w:tcPr>
            <w:tcW w:w="0" w:type="auto"/>
          </w:tcPr>
          <w:p w14:paraId="519F46D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66D132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15</w:t>
            </w:r>
          </w:p>
        </w:tc>
      </w:tr>
      <w:tr w14:paraId="7DD9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17112A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0" w:type="auto"/>
            <w:vAlign w:val="center"/>
          </w:tcPr>
          <w:p w14:paraId="79E4E4E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5D2EA0F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0E1701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3968FE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021A7CF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tcPr>
          <w:p w14:paraId="4D37C0A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EE5B83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25</w:t>
            </w:r>
          </w:p>
        </w:tc>
      </w:tr>
      <w:tr w14:paraId="30FF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F2EC04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0" w:type="auto"/>
            <w:vAlign w:val="center"/>
          </w:tcPr>
          <w:p w14:paraId="5F9295F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58F22F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F3CD3C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B94D9F9">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87B022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tcPr>
          <w:p w14:paraId="120E135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109D36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0855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4D647C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课程目标4</w:t>
            </w:r>
          </w:p>
        </w:tc>
        <w:tc>
          <w:tcPr>
            <w:tcW w:w="0" w:type="auto"/>
            <w:vAlign w:val="center"/>
          </w:tcPr>
          <w:p w14:paraId="3B8C0CC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06D43C8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7233DB9">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E038F8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9A676DA">
            <w:pPr>
              <w:spacing w:line="360" w:lineRule="auto"/>
              <w:jc w:val="center"/>
              <w:rPr>
                <w:rFonts w:hint="eastAsia" w:ascii="宋体" w:hAnsi="宋体" w:eastAsia="宋体" w:cs="Times New Roman"/>
                <w:color w:val="auto"/>
                <w:szCs w:val="21"/>
              </w:rPr>
            </w:pPr>
          </w:p>
        </w:tc>
        <w:tc>
          <w:tcPr>
            <w:tcW w:w="0" w:type="auto"/>
          </w:tcPr>
          <w:p w14:paraId="722A5B3D">
            <w:pPr>
              <w:spacing w:line="360" w:lineRule="auto"/>
              <w:jc w:val="center"/>
              <w:rPr>
                <w:rFonts w:hint="eastAsia" w:ascii="宋体" w:hAnsi="宋体" w:eastAsia="宋体" w:cs="Times New Roman"/>
                <w:color w:val="auto"/>
                <w:szCs w:val="21"/>
              </w:rPr>
            </w:pPr>
          </w:p>
        </w:tc>
        <w:tc>
          <w:tcPr>
            <w:tcW w:w="0" w:type="auto"/>
            <w:vAlign w:val="center"/>
          </w:tcPr>
          <w:p w14:paraId="5DFB2F6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0553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14:paraId="63D05D6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0" w:type="auto"/>
            <w:vAlign w:val="center"/>
          </w:tcPr>
          <w:p w14:paraId="4B9D1D73">
            <w:pPr>
              <w:spacing w:line="360" w:lineRule="auto"/>
              <w:jc w:val="center"/>
              <w:rPr>
                <w:rFonts w:hint="eastAsia" w:ascii="宋体" w:hAnsi="宋体" w:eastAsia="宋体" w:cs="Times New Roman"/>
                <w:color w:val="auto"/>
                <w:szCs w:val="21"/>
              </w:rPr>
            </w:pPr>
          </w:p>
        </w:tc>
        <w:tc>
          <w:tcPr>
            <w:tcW w:w="0" w:type="auto"/>
            <w:vAlign w:val="center"/>
          </w:tcPr>
          <w:p w14:paraId="657FB278">
            <w:pPr>
              <w:spacing w:line="360" w:lineRule="auto"/>
              <w:jc w:val="center"/>
              <w:rPr>
                <w:rFonts w:hint="eastAsia" w:ascii="宋体" w:hAnsi="宋体" w:eastAsia="宋体" w:cs="Times New Roman"/>
                <w:color w:val="auto"/>
                <w:szCs w:val="21"/>
              </w:rPr>
            </w:pPr>
          </w:p>
        </w:tc>
        <w:tc>
          <w:tcPr>
            <w:tcW w:w="0" w:type="auto"/>
            <w:vAlign w:val="center"/>
          </w:tcPr>
          <w:p w14:paraId="6EEEA2CC">
            <w:pPr>
              <w:spacing w:line="360" w:lineRule="auto"/>
              <w:jc w:val="center"/>
              <w:rPr>
                <w:rFonts w:hint="eastAsia" w:ascii="宋体" w:hAnsi="宋体" w:eastAsia="宋体" w:cs="Times New Roman"/>
                <w:color w:val="auto"/>
                <w:szCs w:val="21"/>
              </w:rPr>
            </w:pPr>
          </w:p>
        </w:tc>
        <w:tc>
          <w:tcPr>
            <w:tcW w:w="0" w:type="auto"/>
            <w:vAlign w:val="center"/>
          </w:tcPr>
          <w:p w14:paraId="53E859F4">
            <w:pPr>
              <w:spacing w:line="360" w:lineRule="auto"/>
              <w:jc w:val="center"/>
              <w:rPr>
                <w:rFonts w:hint="eastAsia" w:ascii="宋体" w:hAnsi="宋体" w:eastAsia="宋体" w:cs="Times New Roman"/>
                <w:color w:val="auto"/>
                <w:szCs w:val="21"/>
              </w:rPr>
            </w:pPr>
          </w:p>
        </w:tc>
        <w:tc>
          <w:tcPr>
            <w:tcW w:w="0" w:type="auto"/>
            <w:vAlign w:val="center"/>
          </w:tcPr>
          <w:p w14:paraId="13CFCA92">
            <w:pPr>
              <w:spacing w:line="360" w:lineRule="auto"/>
              <w:jc w:val="center"/>
              <w:rPr>
                <w:rFonts w:hint="eastAsia" w:ascii="宋体" w:hAnsi="宋体" w:eastAsia="宋体" w:cs="Times New Roman"/>
                <w:color w:val="auto"/>
                <w:szCs w:val="21"/>
              </w:rPr>
            </w:pPr>
          </w:p>
        </w:tc>
        <w:tc>
          <w:tcPr>
            <w:tcW w:w="0" w:type="auto"/>
          </w:tcPr>
          <w:p w14:paraId="259B1038">
            <w:pPr>
              <w:spacing w:line="360" w:lineRule="auto"/>
              <w:jc w:val="center"/>
              <w:rPr>
                <w:rFonts w:hint="eastAsia" w:ascii="宋体" w:hAnsi="宋体" w:eastAsia="宋体" w:cs="Times New Roman"/>
                <w:color w:val="auto"/>
                <w:szCs w:val="21"/>
              </w:rPr>
            </w:pPr>
          </w:p>
        </w:tc>
        <w:tc>
          <w:tcPr>
            <w:tcW w:w="0" w:type="auto"/>
            <w:vAlign w:val="center"/>
          </w:tcPr>
          <w:p w14:paraId="48C9EB4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6CD6A1BA">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01073C08">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3D0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BA78FDB">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1646B225">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312CEEC3">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68DE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1D62FDC">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7141" w:type="dxa"/>
            <w:vAlign w:val="center"/>
          </w:tcPr>
          <w:p w14:paraId="60F6D001">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4次，一是素描静物，以静物素描中的造型、明暗、整体关系来作为评分的主要依据。二是结构素描，以结构静物中造型、线条、结构透视作为评分的主要依据。三是插画线稿绘制，以插画中的线条、造型、构图作为评分的主要依据。四是色彩插画绘制，以色彩表现、构图、造型、整体性作为评分的主要依据。</w:t>
            </w:r>
          </w:p>
        </w:tc>
        <w:tc>
          <w:tcPr>
            <w:tcW w:w="0" w:type="auto"/>
            <w:vAlign w:val="center"/>
          </w:tcPr>
          <w:p w14:paraId="7796A25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6353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CDE433E">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7141" w:type="dxa"/>
            <w:vAlign w:val="center"/>
          </w:tcPr>
          <w:p w14:paraId="35C67DB0">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一是课题考勤情况</w:t>
            </w:r>
            <w:r>
              <w:rPr>
                <w:rFonts w:ascii="宋体" w:hAnsi="宋体" w:eastAsia="宋体" w:cs="宋体"/>
                <w:color w:val="auto"/>
                <w:kern w:val="0"/>
                <w:szCs w:val="21"/>
                <w:lang w:bidi="ar"/>
              </w:rPr>
              <w:t>。</w:t>
            </w:r>
            <w:r>
              <w:rPr>
                <w:rFonts w:hint="eastAsia" w:ascii="Times New Roman" w:hAnsi="Times New Roman" w:eastAsia="宋体" w:cs="Times New Roman"/>
                <w:color w:val="auto"/>
                <w:szCs w:val="21"/>
              </w:rPr>
              <w:t>迟到一次扣2分，无故缺席一次扣5分，累计达</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次以上（不含</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次）取消课程成绩。</w:t>
            </w:r>
          </w:p>
          <w:p w14:paraId="1AD08C73">
            <w:pPr>
              <w:widowControl/>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二是</w:t>
            </w:r>
            <w:r>
              <w:rPr>
                <w:rFonts w:ascii="宋体" w:hAnsi="宋体" w:eastAsia="宋体" w:cs="宋体"/>
                <w:color w:val="auto"/>
                <w:kern w:val="0"/>
                <w:szCs w:val="21"/>
                <w:lang w:bidi="ar"/>
              </w:rPr>
              <w:t>课堂参与</w:t>
            </w:r>
            <w:r>
              <w:rPr>
                <w:rFonts w:hint="eastAsia" w:ascii="宋体" w:hAnsi="宋体" w:eastAsia="宋体" w:cs="宋体"/>
                <w:color w:val="auto"/>
                <w:kern w:val="0"/>
                <w:szCs w:val="21"/>
                <w:lang w:bidi="ar"/>
              </w:rPr>
              <w:t>情况。</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表现良好，按照对应的课程目标及权重给予评定</w:t>
            </w:r>
            <w:r>
              <w:rPr>
                <w:rFonts w:hint="eastAsia" w:ascii="宋体" w:hAnsi="宋体" w:eastAsia="宋体" w:cs="宋体"/>
                <w:color w:val="auto"/>
                <w:kern w:val="0"/>
                <w:szCs w:val="21"/>
                <w:lang w:bidi="ar"/>
              </w:rPr>
              <w:t>。</w:t>
            </w:r>
          </w:p>
        </w:tc>
        <w:tc>
          <w:tcPr>
            <w:tcW w:w="0" w:type="auto"/>
            <w:vAlign w:val="center"/>
          </w:tcPr>
          <w:p w14:paraId="4DA8E48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2DB0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29B8511">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单元测验</w:t>
            </w:r>
          </w:p>
        </w:tc>
        <w:tc>
          <w:tcPr>
            <w:tcW w:w="7141" w:type="dxa"/>
            <w:vAlign w:val="center"/>
          </w:tcPr>
          <w:p w14:paraId="234C9034">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每一章节进行课上实践</w:t>
            </w:r>
          </w:p>
        </w:tc>
        <w:tc>
          <w:tcPr>
            <w:tcW w:w="0" w:type="auto"/>
            <w:vAlign w:val="center"/>
          </w:tcPr>
          <w:p w14:paraId="4B44E91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1EFD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4FC1DF1">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个人展示</w:t>
            </w:r>
          </w:p>
        </w:tc>
        <w:tc>
          <w:tcPr>
            <w:tcW w:w="7141" w:type="dxa"/>
            <w:vAlign w:val="center"/>
          </w:tcPr>
          <w:p w14:paraId="67158841">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课前5分钟左右，学生互相点评作业，以学生表达的流程性、逻辑性和分析的深度为评分的主要依据。</w:t>
            </w:r>
          </w:p>
        </w:tc>
        <w:tc>
          <w:tcPr>
            <w:tcW w:w="0" w:type="auto"/>
            <w:vAlign w:val="center"/>
          </w:tcPr>
          <w:p w14:paraId="4019206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w:t>
            </w:r>
          </w:p>
        </w:tc>
      </w:tr>
      <w:tr w14:paraId="14B4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29FC2D9">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自主学习</w:t>
            </w:r>
          </w:p>
        </w:tc>
        <w:tc>
          <w:tcPr>
            <w:tcW w:w="7141" w:type="dxa"/>
            <w:vAlign w:val="center"/>
          </w:tcPr>
          <w:p w14:paraId="4602B215">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7076B2C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w:t>
            </w:r>
          </w:p>
        </w:tc>
      </w:tr>
      <w:tr w14:paraId="4EF1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432F6E7">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7141" w:type="dxa"/>
            <w:vAlign w:val="center"/>
          </w:tcPr>
          <w:p w14:paraId="62370064">
            <w:pPr>
              <w:spacing w:line="264"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t>试卷题型</w:t>
            </w:r>
            <w:r>
              <w:rPr>
                <w:rFonts w:hint="eastAsia" w:ascii="Times New Roman" w:hAnsi="Times New Roman" w:eastAsia="宋体" w:cs="Times New Roman"/>
                <w:color w:val="auto"/>
                <w:szCs w:val="21"/>
              </w:rPr>
              <w:t>为插画作品创作</w:t>
            </w:r>
            <w:r>
              <w:rPr>
                <w:rFonts w:ascii="Times New Roman" w:hAnsi="Times New Roman" w:eastAsia="宋体" w:cs="Times New Roman"/>
                <w:color w:val="auto"/>
                <w:szCs w:val="21"/>
              </w:rPr>
              <w:t>，以</w:t>
            </w:r>
            <w:r>
              <w:rPr>
                <w:rFonts w:hint="eastAsia" w:ascii="Times New Roman" w:hAnsi="Times New Roman" w:eastAsia="宋体" w:cs="Times New Roman"/>
                <w:color w:val="auto"/>
                <w:szCs w:val="21"/>
              </w:rPr>
              <w:t>作品成绩</w:t>
            </w:r>
            <w:r>
              <w:rPr>
                <w:rFonts w:ascii="Times New Roman" w:hAnsi="Times New Roman" w:eastAsia="宋体" w:cs="Times New Roman"/>
                <w:color w:val="auto"/>
                <w:szCs w:val="21"/>
              </w:rPr>
              <w:t>的</w:t>
            </w:r>
            <w:r>
              <w:rPr>
                <w:rFonts w:hint="eastAsia" w:ascii="Times New Roman" w:hAnsi="Times New Roman" w:eastAsia="宋体" w:cs="Times New Roman"/>
                <w:color w:val="auto"/>
                <w:szCs w:val="21"/>
              </w:rPr>
              <w:t>60</w:t>
            </w:r>
            <w:r>
              <w:rPr>
                <w:rFonts w:ascii="Times New Roman" w:hAnsi="Times New Roman" w:eastAsia="宋体" w:cs="Times New Roman"/>
                <w:color w:val="auto"/>
                <w:szCs w:val="21"/>
              </w:rPr>
              <w:t>%计入课程总成绩。其中</w:t>
            </w:r>
            <w:r>
              <w:rPr>
                <w:rFonts w:hint="eastAsia" w:ascii="Times New Roman" w:hAnsi="Times New Roman" w:eastAsia="宋体" w:cs="Times New Roman"/>
                <w:color w:val="auto"/>
                <w:szCs w:val="21"/>
              </w:rPr>
              <w:t>绘画技法掌握占20%；造型能力占30%；构图及整体关系处理20%；色彩运用30%。</w:t>
            </w:r>
          </w:p>
        </w:tc>
        <w:tc>
          <w:tcPr>
            <w:tcW w:w="0" w:type="auto"/>
            <w:vAlign w:val="center"/>
          </w:tcPr>
          <w:p w14:paraId="7316DB8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60%</w:t>
            </w:r>
          </w:p>
        </w:tc>
      </w:tr>
      <w:tr w14:paraId="0E5D4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3C33BE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63DE50C7">
            <w:pPr>
              <w:jc w:val="left"/>
              <w:rPr>
                <w:rFonts w:ascii="Times New Roman" w:hAnsi="Times New Roman" w:eastAsia="宋体" w:cs="Times New Roman"/>
                <w:color w:val="auto"/>
                <w:szCs w:val="21"/>
              </w:rPr>
            </w:pPr>
          </w:p>
        </w:tc>
        <w:tc>
          <w:tcPr>
            <w:tcW w:w="0" w:type="auto"/>
            <w:vAlign w:val="center"/>
          </w:tcPr>
          <w:p w14:paraId="62CDDB2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2A7F9C4E">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7C9C2C35">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02784BD4">
      <w:pPr>
        <w:spacing w:before="156" w:beforeLines="50" w:line="360" w:lineRule="auto"/>
        <w:ind w:firstLine="420" w:firstLineChars="200"/>
        <w:jc w:val="left"/>
        <w:rPr>
          <w:rFonts w:ascii="Times New Roman" w:hAnsi="Times New Roman" w:eastAsia="宋体" w:cs="Times New Roman"/>
          <w:b/>
          <w:color w:val="auto"/>
          <w:sz w:val="24"/>
        </w:rPr>
      </w:pPr>
      <w:r>
        <w:rPr>
          <w:rFonts w:ascii="宋体" w:hAnsi="宋体" w:eastAsia="宋体" w:cs="Times New Roman"/>
          <w:color w:val="auto"/>
          <w:szCs w:val="21"/>
        </w:rPr>
        <w:object>
          <v:shape id="_x0000_i1067"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67" DrawAspect="Content" ObjectID="_1468075766" r:id="rId53">
            <o:LockedField>false</o:LockedField>
          </o:OLEObject>
        </w:object>
      </w:r>
      <w:r>
        <w:rPr>
          <w:rFonts w:hint="eastAsia" w:ascii="Times New Roman" w:hAnsi="Times New Roman" w:eastAsia="宋体" w:cs="Times New Roman"/>
          <w:b/>
          <w:color w:val="auto"/>
          <w:sz w:val="24"/>
        </w:rPr>
        <w:t>五、课程实践</w:t>
      </w:r>
      <w:r>
        <w:rPr>
          <w:rFonts w:hint="eastAsia" w:ascii="Times New Roman" w:hAnsi="Times New Roman" w:eastAsia="宋体" w:cs="Times New Roman"/>
          <w:bCs/>
          <w:color w:val="auto"/>
          <w:sz w:val="24"/>
        </w:rPr>
        <w:t>（利用第二课堂，不占总学时）</w:t>
      </w:r>
    </w:p>
    <w:p w14:paraId="5C01A761">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本课程在系统教学的基础上，以学生为主题，整合各类教育资源，科学设计实践活动，丰富教育教学形式，提升教育教学效果，从而实现思政育人。</w:t>
      </w:r>
    </w:p>
    <w:p w14:paraId="5758EEC5">
      <w:pPr>
        <w:spacing w:after="156" w:afterLines="50" w:line="360" w:lineRule="auto"/>
        <w:ind w:firstLine="420" w:firstLineChars="200"/>
        <w:rPr>
          <w:rFonts w:hint="eastAsia" w:ascii="宋体" w:hAnsi="宋体" w:eastAsia="宋体"/>
          <w:color w:val="auto"/>
          <w:szCs w:val="21"/>
        </w:rPr>
      </w:pPr>
    </w:p>
    <w:p w14:paraId="3F49B373">
      <w:pPr>
        <w:spacing w:after="156" w:afterLines="50" w:line="360" w:lineRule="auto"/>
        <w:ind w:firstLine="420" w:firstLineChars="200"/>
        <w:rPr>
          <w:rFonts w:hint="eastAsia" w:ascii="宋体" w:hAnsi="宋体" w:eastAsia="宋体"/>
          <w:color w:val="auto"/>
          <w:szCs w:val="21"/>
        </w:rPr>
      </w:pPr>
    </w:p>
    <w:tbl>
      <w:tblPr>
        <w:tblStyle w:val="30"/>
        <w:tblpPr w:leftFromText="180" w:rightFromText="180" w:vertAnchor="text" w:horzAnchor="page" w:tblpX="1797" w:tblpY="35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883"/>
        <w:gridCol w:w="1217"/>
        <w:gridCol w:w="2874"/>
      </w:tblGrid>
      <w:tr w14:paraId="3591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545" w:type="dxa"/>
            <w:vAlign w:val="center"/>
          </w:tcPr>
          <w:p w14:paraId="4675BC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2883" w:type="dxa"/>
            <w:vAlign w:val="center"/>
          </w:tcPr>
          <w:p w14:paraId="4AC7D846">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1217" w:type="dxa"/>
            <w:vAlign w:val="center"/>
          </w:tcPr>
          <w:p w14:paraId="7D5F759F">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2874" w:type="dxa"/>
            <w:vAlign w:val="center"/>
          </w:tcPr>
          <w:p w14:paraId="17E78B02">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思政目标</w:t>
            </w:r>
          </w:p>
        </w:tc>
      </w:tr>
      <w:tr w14:paraId="76C8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545" w:type="dxa"/>
            <w:vAlign w:val="center"/>
          </w:tcPr>
          <w:p w14:paraId="2C36D4D6">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美术家精神</w:t>
            </w:r>
          </w:p>
        </w:tc>
        <w:tc>
          <w:tcPr>
            <w:tcW w:w="2883" w:type="dxa"/>
            <w:vAlign w:val="center"/>
          </w:tcPr>
          <w:p w14:paraId="4C29506B">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通过阅读相关书籍或讲述中国美术教育家的故事，进行课堂主题讨论，让学生领会美术教育家精神</w:t>
            </w:r>
          </w:p>
        </w:tc>
        <w:tc>
          <w:tcPr>
            <w:tcW w:w="1217" w:type="dxa"/>
            <w:vAlign w:val="center"/>
          </w:tcPr>
          <w:p w14:paraId="4A730613">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读书笔记</w:t>
            </w:r>
          </w:p>
        </w:tc>
        <w:tc>
          <w:tcPr>
            <w:tcW w:w="2874" w:type="dxa"/>
            <w:vAlign w:val="center"/>
          </w:tcPr>
          <w:p w14:paraId="4646D32B">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通过对美术教育家精神的领会，使学立志成为有理想信念、有道德情操、有扎实学识、有仁爱之心的“四有”好老师。</w:t>
            </w:r>
          </w:p>
        </w:tc>
      </w:tr>
      <w:tr w14:paraId="699D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545" w:type="dxa"/>
            <w:vAlign w:val="center"/>
          </w:tcPr>
          <w:p w14:paraId="19C8C951">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趣味美术史</w:t>
            </w:r>
          </w:p>
        </w:tc>
        <w:tc>
          <w:tcPr>
            <w:tcW w:w="2883" w:type="dxa"/>
            <w:vAlign w:val="center"/>
          </w:tcPr>
          <w:p w14:paraId="550E1843">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了解美术史经典故事和促进美术史发展、改革的人物。</w:t>
            </w:r>
          </w:p>
        </w:tc>
        <w:tc>
          <w:tcPr>
            <w:tcW w:w="1217" w:type="dxa"/>
            <w:vAlign w:val="center"/>
          </w:tcPr>
          <w:p w14:paraId="73A5F903">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专题报告</w:t>
            </w:r>
          </w:p>
        </w:tc>
        <w:tc>
          <w:tcPr>
            <w:tcW w:w="2874" w:type="dxa"/>
            <w:vAlign w:val="center"/>
          </w:tcPr>
          <w:p w14:paraId="520D6118">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培养民族团结意识，回顾优良传统道德、树立正确的理想与奋斗目标。</w:t>
            </w:r>
          </w:p>
        </w:tc>
      </w:tr>
      <w:tr w14:paraId="254B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545" w:type="dxa"/>
            <w:vAlign w:val="center"/>
          </w:tcPr>
          <w:p w14:paraId="6FDA2505">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非物质文化</w:t>
            </w:r>
          </w:p>
          <w:p w14:paraId="036A67A7">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遗产</w:t>
            </w:r>
          </w:p>
        </w:tc>
        <w:tc>
          <w:tcPr>
            <w:tcW w:w="2883" w:type="dxa"/>
            <w:vAlign w:val="center"/>
          </w:tcPr>
          <w:p w14:paraId="34E19CBE">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了解传统造纸材料和造纸的工艺流程。</w:t>
            </w:r>
          </w:p>
        </w:tc>
        <w:tc>
          <w:tcPr>
            <w:tcW w:w="1217" w:type="dxa"/>
            <w:vAlign w:val="center"/>
          </w:tcPr>
          <w:p w14:paraId="6BAC14A3">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课程实践作业</w:t>
            </w:r>
          </w:p>
        </w:tc>
        <w:tc>
          <w:tcPr>
            <w:tcW w:w="2874" w:type="dxa"/>
            <w:vAlign w:val="center"/>
          </w:tcPr>
          <w:p w14:paraId="0B626DF8">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弘扬中华文化，传承优秀民族魁宝；在实践中培养学生吃苦耐劳、持之以恒、团队协作的精神。</w:t>
            </w:r>
          </w:p>
        </w:tc>
      </w:tr>
      <w:tr w14:paraId="1DA4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545" w:type="dxa"/>
            <w:vAlign w:val="center"/>
          </w:tcPr>
          <w:p w14:paraId="054DD74D">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速写故乡</w:t>
            </w:r>
          </w:p>
        </w:tc>
        <w:tc>
          <w:tcPr>
            <w:tcW w:w="2883" w:type="dxa"/>
            <w:vAlign w:val="center"/>
          </w:tcPr>
          <w:p w14:paraId="3750B2E1">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了解速写常用材料及特性、了解速写的内涵及标准。</w:t>
            </w:r>
          </w:p>
        </w:tc>
        <w:tc>
          <w:tcPr>
            <w:tcW w:w="1217" w:type="dxa"/>
            <w:vAlign w:val="center"/>
          </w:tcPr>
          <w:p w14:paraId="42DD9BF6">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第二课堂</w:t>
            </w:r>
          </w:p>
        </w:tc>
        <w:tc>
          <w:tcPr>
            <w:tcW w:w="2874" w:type="dxa"/>
            <w:vAlign w:val="center"/>
          </w:tcPr>
          <w:p w14:paraId="4D817865">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描绘故乡风景，激发热爱祖国大好河山、家乡和大自然、自觉保护环境的精神。</w:t>
            </w:r>
          </w:p>
        </w:tc>
      </w:tr>
    </w:tbl>
    <w:p w14:paraId="086E61B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六、有关说明</w:t>
      </w:r>
    </w:p>
    <w:p w14:paraId="0DA755C4">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67920117">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根据学生课堂教学中的反应、课后反馈、作业质量，以及领导、督导、教师同行等的听课情况，及时发现和改进教学中的不足之处，确保相应毕业要求指标点达成。</w:t>
      </w:r>
    </w:p>
    <w:p w14:paraId="386260EC">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312D024C">
      <w:pPr>
        <w:spacing w:line="336"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《美术基础》编写组.</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rPr>
        <w:t>美术基础，西南大学出版社，2023.（全国小学教育专业艺术类规划教材）</w:t>
      </w:r>
    </w:p>
    <w:p w14:paraId="26BDD8CE">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5C331D58">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1.代秀芳</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rPr>
        <w:t>图案装饰与应用</w:t>
      </w:r>
      <w:r>
        <w:rPr>
          <w:rFonts w:hint="eastAsia" w:ascii="宋体" w:hAnsi="宋体" w:eastAsia="宋体" w:cs="宋体"/>
          <w:bCs/>
          <w:color w:val="auto"/>
          <w:szCs w:val="21"/>
        </w:rPr>
        <w:t>[M]</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rPr>
        <w:t>天津</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rPr>
        <w:t>天津人民</w:t>
      </w:r>
      <w:r>
        <w:rPr>
          <w:rFonts w:ascii="Times New Roman" w:hAnsi="Times New Roman" w:eastAsia="宋体" w:cs="Times New Roman"/>
          <w:bCs/>
          <w:color w:val="auto"/>
          <w:szCs w:val="21"/>
        </w:rPr>
        <w:t>出版社，20</w:t>
      </w:r>
      <w:r>
        <w:rPr>
          <w:rFonts w:hint="eastAsia" w:ascii="Times New Roman" w:hAnsi="Times New Roman" w:eastAsia="宋体" w:cs="Times New Roman"/>
          <w:bCs/>
          <w:color w:val="auto"/>
          <w:szCs w:val="21"/>
        </w:rPr>
        <w:t>11</w:t>
      </w:r>
      <w:r>
        <w:rPr>
          <w:rFonts w:ascii="Times New Roman" w:hAnsi="Times New Roman" w:eastAsia="宋体" w:cs="Times New Roman"/>
          <w:bCs/>
          <w:color w:val="auto"/>
          <w:szCs w:val="21"/>
        </w:rPr>
        <w:t>.</w:t>
      </w:r>
    </w:p>
    <w:p w14:paraId="2FF98FE3">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2.徐戈，徐楠，柳润红</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rPr>
        <w:t>美术基础</w:t>
      </w:r>
      <w:r>
        <w:rPr>
          <w:rFonts w:hint="eastAsia" w:ascii="宋体" w:hAnsi="宋体" w:eastAsia="宋体" w:cs="宋体"/>
          <w:bCs/>
          <w:color w:val="auto"/>
          <w:szCs w:val="21"/>
        </w:rPr>
        <w:t>[M]</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rPr>
        <w:t>石家庄</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rPr>
        <w:t>河北美术</w:t>
      </w:r>
      <w:r>
        <w:rPr>
          <w:rFonts w:ascii="Times New Roman" w:hAnsi="Times New Roman" w:eastAsia="宋体" w:cs="Times New Roman"/>
          <w:bCs/>
          <w:color w:val="auto"/>
          <w:szCs w:val="21"/>
        </w:rPr>
        <w:t>出版社，20</w:t>
      </w:r>
      <w:r>
        <w:rPr>
          <w:rFonts w:hint="eastAsia" w:ascii="Times New Roman" w:hAnsi="Times New Roman" w:eastAsia="宋体" w:cs="Times New Roman"/>
          <w:bCs/>
          <w:color w:val="auto"/>
          <w:szCs w:val="21"/>
        </w:rPr>
        <w:t>17</w:t>
      </w:r>
      <w:r>
        <w:rPr>
          <w:rFonts w:ascii="Times New Roman" w:hAnsi="Times New Roman" w:eastAsia="宋体" w:cs="Times New Roman"/>
          <w:bCs/>
          <w:color w:val="auto"/>
          <w:szCs w:val="21"/>
        </w:rPr>
        <w:t>.</w:t>
      </w:r>
    </w:p>
    <w:p w14:paraId="1411C5EB">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3.黄兵</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rPr>
        <w:t>素描基础教程</w:t>
      </w:r>
      <w:r>
        <w:rPr>
          <w:rFonts w:hint="eastAsia" w:ascii="宋体" w:hAnsi="宋体" w:eastAsia="宋体" w:cs="宋体"/>
          <w:bCs/>
          <w:color w:val="auto"/>
          <w:szCs w:val="21"/>
        </w:rPr>
        <w:t>[M].</w:t>
      </w:r>
      <w:r>
        <w:rPr>
          <w:rFonts w:ascii="Times New Roman" w:hAnsi="Times New Roman" w:eastAsia="宋体" w:cs="Times New Roman"/>
          <w:bCs/>
          <w:color w:val="auto"/>
          <w:szCs w:val="21"/>
        </w:rPr>
        <w:t>北京：</w:t>
      </w:r>
      <w:r>
        <w:rPr>
          <w:rFonts w:hint="eastAsia" w:ascii="Times New Roman" w:hAnsi="Times New Roman" w:eastAsia="宋体" w:cs="Times New Roman"/>
          <w:bCs/>
          <w:color w:val="auto"/>
          <w:szCs w:val="21"/>
        </w:rPr>
        <w:t>清华大学</w:t>
      </w:r>
      <w:r>
        <w:rPr>
          <w:rFonts w:ascii="Times New Roman" w:hAnsi="Times New Roman" w:eastAsia="宋体" w:cs="Times New Roman"/>
          <w:bCs/>
          <w:color w:val="auto"/>
          <w:szCs w:val="21"/>
        </w:rPr>
        <w:t>出版社，</w:t>
      </w:r>
      <w:r>
        <w:rPr>
          <w:rFonts w:hint="eastAsia" w:ascii="Times New Roman" w:hAnsi="Times New Roman" w:eastAsia="宋体" w:cs="Times New Roman"/>
          <w:bCs/>
          <w:color w:val="auto"/>
          <w:szCs w:val="21"/>
        </w:rPr>
        <w:t>2017</w:t>
      </w:r>
      <w:r>
        <w:rPr>
          <w:rFonts w:ascii="Times New Roman" w:hAnsi="Times New Roman" w:eastAsia="宋体" w:cs="Times New Roman"/>
          <w:bCs/>
          <w:color w:val="auto"/>
          <w:szCs w:val="21"/>
        </w:rPr>
        <w:t>.</w:t>
      </w:r>
    </w:p>
    <w:p w14:paraId="08E282AB">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4.于国瑞</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rPr>
        <w:t>色彩构成</w:t>
      </w:r>
      <w:r>
        <w:rPr>
          <w:rFonts w:hint="eastAsia" w:ascii="宋体" w:hAnsi="宋体" w:eastAsia="宋体" w:cs="宋体"/>
          <w:bCs/>
          <w:color w:val="auto"/>
          <w:szCs w:val="21"/>
        </w:rPr>
        <w:t>[M]</w:t>
      </w:r>
      <w:r>
        <w:rPr>
          <w:rFonts w:ascii="Times New Roman" w:hAnsi="Times New Roman" w:eastAsia="宋体" w:cs="Times New Roman"/>
          <w:bCs/>
          <w:color w:val="auto"/>
          <w:szCs w:val="21"/>
        </w:rPr>
        <w:t>. 北京</w:t>
      </w:r>
      <w:r>
        <w:rPr>
          <w:rFonts w:hint="eastAsia" w:ascii="Times New Roman" w:hAnsi="Times New Roman" w:eastAsia="宋体" w:cs="Times New Roman"/>
          <w:bCs/>
          <w:color w:val="auto"/>
          <w:szCs w:val="21"/>
        </w:rPr>
        <w:t>：清华大学</w:t>
      </w:r>
      <w:r>
        <w:rPr>
          <w:rFonts w:ascii="Times New Roman" w:hAnsi="Times New Roman" w:eastAsia="宋体" w:cs="Times New Roman"/>
          <w:bCs/>
          <w:color w:val="auto"/>
          <w:szCs w:val="21"/>
        </w:rPr>
        <w:t>出版社，20</w:t>
      </w:r>
      <w:r>
        <w:rPr>
          <w:rFonts w:hint="eastAsia" w:ascii="Times New Roman" w:hAnsi="Times New Roman" w:eastAsia="宋体" w:cs="Times New Roman"/>
          <w:bCs/>
          <w:color w:val="auto"/>
          <w:szCs w:val="21"/>
        </w:rPr>
        <w:t>19</w:t>
      </w:r>
      <w:r>
        <w:rPr>
          <w:rFonts w:ascii="Times New Roman" w:hAnsi="Times New Roman" w:eastAsia="宋体" w:cs="Times New Roman"/>
          <w:bCs/>
          <w:color w:val="auto"/>
          <w:szCs w:val="21"/>
        </w:rPr>
        <w:t>.</w:t>
      </w:r>
    </w:p>
    <w:p w14:paraId="74BB99BB">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5.黄喆</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rPr>
        <w:t>色彩</w:t>
      </w:r>
      <w:r>
        <w:rPr>
          <w:rFonts w:hint="eastAsia" w:ascii="宋体" w:hAnsi="宋体" w:eastAsia="宋体" w:cs="宋体"/>
          <w:bCs/>
          <w:color w:val="auto"/>
          <w:szCs w:val="21"/>
        </w:rPr>
        <w:t>[M]</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rPr>
        <w:t>镇江</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rPr>
        <w:t>江苏</w:t>
      </w:r>
      <w:r>
        <w:rPr>
          <w:rFonts w:ascii="Times New Roman" w:hAnsi="Times New Roman" w:eastAsia="宋体" w:cs="Times New Roman"/>
          <w:bCs/>
          <w:color w:val="auto"/>
          <w:szCs w:val="21"/>
        </w:rPr>
        <w:t>大学出版社，20</w:t>
      </w:r>
      <w:r>
        <w:rPr>
          <w:rFonts w:hint="eastAsia" w:ascii="Times New Roman" w:hAnsi="Times New Roman" w:eastAsia="宋体" w:cs="Times New Roman"/>
          <w:bCs/>
          <w:color w:val="auto"/>
          <w:szCs w:val="21"/>
        </w:rPr>
        <w:t>20</w:t>
      </w:r>
      <w:r>
        <w:rPr>
          <w:rFonts w:ascii="Times New Roman" w:hAnsi="Times New Roman" w:eastAsia="宋体" w:cs="Times New Roman"/>
          <w:bCs/>
          <w:color w:val="auto"/>
          <w:szCs w:val="21"/>
        </w:rPr>
        <w:t>.</w:t>
      </w:r>
    </w:p>
    <w:p w14:paraId="54CEC535">
      <w:pPr>
        <w:keepNext w:val="0"/>
        <w:keepLines w:val="0"/>
        <w:pageBreakBefore w:val="0"/>
        <w:widowControl w:val="0"/>
        <w:kinsoku/>
        <w:overflowPunct/>
        <w:topLinePunct w:val="0"/>
        <w:autoSpaceDE/>
        <w:autoSpaceDN/>
        <w:bidi w:val="0"/>
        <w:adjustRightInd/>
        <w:snapToGrid/>
        <w:spacing w:line="240"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4"/>
        </w:rPr>
        <w:t xml:space="preserve">                                         </w:t>
      </w:r>
      <w:r>
        <w:rPr>
          <w:rFonts w:hint="eastAsia" w:ascii="Times New Roman" w:hAnsi="Times New Roman" w:eastAsia="宋体" w:cs="Times New Roman"/>
          <w:color w:val="auto"/>
          <w:sz w:val="21"/>
          <w:szCs w:val="21"/>
        </w:rPr>
        <w:t>执 笔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赵千千</w:t>
      </w:r>
    </w:p>
    <w:p w14:paraId="1B706F80">
      <w:pPr>
        <w:keepNext w:val="0"/>
        <w:keepLines w:val="0"/>
        <w:pageBreakBefore w:val="0"/>
        <w:widowControl w:val="0"/>
        <w:kinsoku/>
        <w:wordWrap w:val="0"/>
        <w:overflowPunct/>
        <w:topLinePunct w:val="0"/>
        <w:autoSpaceDE/>
        <w:autoSpaceDN/>
        <w:bidi w:val="0"/>
        <w:adjustRightInd/>
        <w:snapToGrid/>
        <w:spacing w:line="240"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 定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王</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健</w:t>
      </w:r>
    </w:p>
    <w:p w14:paraId="437254E5">
      <w:pPr>
        <w:keepNext w:val="0"/>
        <w:keepLines w:val="0"/>
        <w:pageBreakBefore w:val="0"/>
        <w:widowControl w:val="0"/>
        <w:kinsoku/>
        <w:overflowPunct/>
        <w:topLinePunct w:val="0"/>
        <w:autoSpaceDE/>
        <w:autoSpaceDN/>
        <w:bidi w:val="0"/>
        <w:adjustRightInd/>
        <w:snapToGrid/>
        <w:spacing w:line="240"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 批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张志欣</w:t>
      </w:r>
    </w:p>
    <w:p w14:paraId="142FB567">
      <w:pPr>
        <w:keepNext w:val="0"/>
        <w:keepLines w:val="0"/>
        <w:pageBreakBefore w:val="0"/>
        <w:widowControl w:val="0"/>
        <w:kinsoku/>
        <w:overflowPunct/>
        <w:topLinePunct w:val="0"/>
        <w:autoSpaceDE/>
        <w:autoSpaceDN/>
        <w:bidi w:val="0"/>
        <w:adjustRightInd/>
        <w:snapToGrid/>
        <w:spacing w:line="240" w:lineRule="auto"/>
        <w:ind w:right="0"/>
        <w:jc w:val="right"/>
        <w:textAlignment w:val="auto"/>
        <w:rPr>
          <w:rFonts w:hint="eastAsia" w:eastAsiaTheme="minorEastAsia"/>
          <w:color w:val="auto"/>
          <w:sz w:val="21"/>
          <w:szCs w:val="21"/>
          <w:lang w:eastAsia="zh-CN"/>
        </w:rPr>
      </w:pPr>
      <w:r>
        <w:rPr>
          <w:rFonts w:hint="eastAsia" w:ascii="Times New Roman" w:hAnsi="Times New Roman" w:eastAsia="宋体" w:cs="Times New Roman"/>
          <w:color w:val="auto"/>
          <w:sz w:val="21"/>
          <w:szCs w:val="21"/>
          <w:lang w:eastAsia="zh-CN"/>
        </w:rPr>
        <w:t>批准时间：2025年7月1日</w:t>
      </w:r>
    </w:p>
    <w:p w14:paraId="054EEC97">
      <w:pPr>
        <w:rPr>
          <w:color w:val="auto"/>
        </w:rPr>
      </w:pPr>
      <w:bookmarkStart w:id="394" w:name="_Toc17529"/>
      <w:r>
        <w:rPr>
          <w:rFonts w:hint="eastAsia"/>
          <w:color w:val="auto"/>
        </w:rPr>
        <w:br w:type="page"/>
      </w:r>
    </w:p>
    <w:p w14:paraId="3FD70ADD">
      <w:pPr>
        <w:spacing w:line="360" w:lineRule="auto"/>
        <w:jc w:val="center"/>
        <w:outlineLvl w:val="0"/>
        <w:rPr>
          <w:rFonts w:hint="eastAsia" w:ascii="Times New Roman" w:hAnsi="Times New Roman" w:eastAsia="宋体" w:cs="Times New Roman"/>
          <w:b/>
          <w:color w:val="auto"/>
          <w:sz w:val="44"/>
          <w:szCs w:val="44"/>
        </w:rPr>
      </w:pPr>
      <w:bookmarkStart w:id="395" w:name="_Toc5021"/>
      <w:r>
        <w:rPr>
          <w:rFonts w:hint="eastAsia" w:ascii="Times New Roman" w:hAnsi="Times New Roman" w:eastAsia="宋体" w:cs="Times New Roman"/>
          <w:b/>
          <w:color w:val="auto"/>
          <w:sz w:val="44"/>
          <w:szCs w:val="44"/>
        </w:rPr>
        <w:t>《音乐基础》课程教学大纲</w:t>
      </w:r>
      <w:bookmarkEnd w:id="395"/>
    </w:p>
    <w:p w14:paraId="37C887FE">
      <w:pPr>
        <w:spacing w:line="360" w:lineRule="auto"/>
        <w:jc w:val="center"/>
        <w:rPr>
          <w:rFonts w:hint="eastAsia" w:ascii="宋体" w:hAnsi="宋体" w:eastAsia="宋体"/>
          <w:b/>
          <w:bCs/>
          <w:color w:val="auto"/>
          <w:sz w:val="30"/>
        </w:rPr>
      </w:pPr>
      <w:r>
        <w:rPr>
          <w:rFonts w:ascii="Times New Roman" w:hAnsi="Times New Roman" w:eastAsia="宋体" w:cs="Times New Roman"/>
          <w:b/>
          <w:bCs/>
          <w:color w:val="auto"/>
          <w:sz w:val="28"/>
          <w:szCs w:val="28"/>
        </w:rPr>
        <w:t>（</w:t>
      </w:r>
      <w:r>
        <w:rPr>
          <w:rFonts w:hint="eastAsia" w:ascii="Times New Roman" w:hAnsi="Times New Roman" w:eastAsia="宋体" w:cs="Times New Roman"/>
          <w:b/>
          <w:bCs/>
          <w:color w:val="auto"/>
          <w:sz w:val="28"/>
          <w:szCs w:val="28"/>
        </w:rPr>
        <w:t>Basic Music Theory</w:t>
      </w:r>
      <w:r>
        <w:rPr>
          <w:rFonts w:ascii="Times New Roman" w:hAnsi="Times New Roman" w:eastAsia="宋体" w:cs="Times New Roman"/>
          <w:b/>
          <w:bCs/>
          <w:color w:val="auto"/>
          <w:sz w:val="28"/>
          <w:szCs w:val="28"/>
        </w:rPr>
        <w:t>）</w:t>
      </w:r>
    </w:p>
    <w:p w14:paraId="2315EE99">
      <w:pPr>
        <w:spacing w:line="360" w:lineRule="auto"/>
        <w:jc w:val="center"/>
        <w:rPr>
          <w:rFonts w:ascii="Times New Roman" w:hAnsi="Times New Roman" w:eastAsia="宋体" w:cs="Times New Roman"/>
          <w:bCs/>
          <w:color w:val="auto"/>
          <w:sz w:val="21"/>
          <w:szCs w:val="21"/>
        </w:rPr>
      </w:pPr>
    </w:p>
    <w:p w14:paraId="1B6F1676">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课程名称：音乐基础</w:t>
      </w:r>
    </w:p>
    <w:p w14:paraId="0FBD6D29">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课程代码：2401032</w:t>
      </w:r>
    </w:p>
    <w:p w14:paraId="71116B86">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分：3</w:t>
      </w:r>
    </w:p>
    <w:p w14:paraId="4456E545">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时：48</w:t>
      </w:r>
    </w:p>
    <w:p w14:paraId="54A66FFE">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先修课程：小学心理学、专业导论</w:t>
      </w:r>
    </w:p>
    <w:p w14:paraId="10233AA5">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适用专业：小学教育</w:t>
      </w:r>
    </w:p>
    <w:p w14:paraId="782D4B4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一、课程简介</w:t>
      </w:r>
    </w:p>
    <w:p w14:paraId="7CACBE79">
      <w:pPr>
        <w:spacing w:line="360" w:lineRule="auto"/>
        <w:ind w:firstLine="420" w:firstLineChars="200"/>
        <w:rPr>
          <w:rFonts w:hint="eastAsia" w:ascii="宋体" w:hAnsi="宋体" w:eastAsia="宋体"/>
          <w:color w:val="auto"/>
          <w:kern w:val="0"/>
          <w:sz w:val="21"/>
          <w:szCs w:val="21"/>
        </w:rPr>
      </w:pPr>
      <w:r>
        <w:rPr>
          <w:rFonts w:hint="eastAsia" w:ascii="宋体" w:hAnsi="宋体" w:eastAsia="宋体"/>
          <w:color w:val="auto"/>
          <w:kern w:val="0"/>
          <w:sz w:val="21"/>
          <w:szCs w:val="21"/>
        </w:rPr>
        <w:t>本课程</w:t>
      </w:r>
      <w:r>
        <w:rPr>
          <w:rFonts w:ascii="宋体" w:hAnsi="宋体" w:eastAsia="宋体"/>
          <w:color w:val="auto"/>
          <w:kern w:val="0"/>
          <w:sz w:val="21"/>
          <w:szCs w:val="21"/>
        </w:rPr>
        <w:t>是</w:t>
      </w:r>
      <w:r>
        <w:rPr>
          <w:rFonts w:hint="eastAsia" w:ascii="宋体" w:hAnsi="宋体" w:eastAsia="宋体"/>
          <w:color w:val="auto"/>
          <w:kern w:val="0"/>
          <w:sz w:val="21"/>
          <w:szCs w:val="21"/>
        </w:rPr>
        <w:t>小学教育</w:t>
      </w:r>
      <w:r>
        <w:rPr>
          <w:rFonts w:ascii="宋体" w:hAnsi="宋体" w:eastAsia="宋体"/>
          <w:color w:val="auto"/>
          <w:kern w:val="0"/>
          <w:sz w:val="21"/>
          <w:szCs w:val="21"/>
        </w:rPr>
        <w:t>专业</w:t>
      </w:r>
      <w:r>
        <w:rPr>
          <w:rFonts w:hint="eastAsia" w:ascii="宋体" w:hAnsi="宋体" w:eastAsia="宋体"/>
          <w:color w:val="auto"/>
          <w:kern w:val="0"/>
          <w:sz w:val="21"/>
          <w:szCs w:val="21"/>
        </w:rPr>
        <w:t>的</w:t>
      </w:r>
      <w:r>
        <w:rPr>
          <w:rFonts w:ascii="宋体" w:hAnsi="宋体" w:eastAsia="宋体"/>
          <w:color w:val="auto"/>
          <w:kern w:val="0"/>
          <w:sz w:val="21"/>
          <w:szCs w:val="21"/>
        </w:rPr>
        <w:t>专业基础必修课，也可作为</w:t>
      </w:r>
      <w:r>
        <w:rPr>
          <w:rFonts w:hint="eastAsia" w:ascii="宋体" w:hAnsi="宋体" w:eastAsia="宋体"/>
          <w:color w:val="auto"/>
          <w:kern w:val="0"/>
          <w:sz w:val="21"/>
          <w:szCs w:val="21"/>
        </w:rPr>
        <w:t>学前教育</w:t>
      </w:r>
      <w:r>
        <w:rPr>
          <w:rFonts w:ascii="宋体" w:hAnsi="宋体" w:eastAsia="宋体"/>
          <w:color w:val="auto"/>
          <w:kern w:val="0"/>
          <w:sz w:val="21"/>
          <w:szCs w:val="21"/>
        </w:rPr>
        <w:t>专业和其它有关专业的必修课或选修课。通过本课程的学习，培养学</w:t>
      </w:r>
      <w:r>
        <w:rPr>
          <w:rFonts w:hint="eastAsia" w:ascii="宋体" w:hAnsi="宋体" w:eastAsia="宋体"/>
          <w:color w:val="auto"/>
          <w:kern w:val="0"/>
          <w:sz w:val="21"/>
          <w:szCs w:val="21"/>
        </w:rPr>
        <w:t>生</w:t>
      </w:r>
      <w:r>
        <w:rPr>
          <w:rFonts w:ascii="宋体" w:hAnsi="宋体" w:eastAsia="宋体"/>
          <w:color w:val="auto"/>
          <w:kern w:val="0"/>
          <w:sz w:val="21"/>
          <w:szCs w:val="21"/>
        </w:rPr>
        <w:t>扎实的音乐专业知识和运用知识的能力</w:t>
      </w:r>
      <w:r>
        <w:rPr>
          <w:rFonts w:hint="eastAsia" w:ascii="宋体" w:hAnsi="宋体" w:eastAsia="宋体"/>
          <w:color w:val="auto"/>
          <w:kern w:val="0"/>
          <w:sz w:val="21"/>
          <w:szCs w:val="21"/>
        </w:rPr>
        <w:t>，</w:t>
      </w:r>
      <w:r>
        <w:rPr>
          <w:rFonts w:ascii="宋体" w:hAnsi="宋体" w:eastAsia="宋体"/>
          <w:color w:val="auto"/>
          <w:kern w:val="0"/>
          <w:sz w:val="21"/>
          <w:szCs w:val="21"/>
        </w:rPr>
        <w:t>掌握基本的中</w:t>
      </w:r>
      <w:r>
        <w:rPr>
          <w:rFonts w:hint="eastAsia" w:ascii="宋体" w:hAnsi="宋体" w:eastAsia="宋体"/>
          <w:color w:val="auto"/>
          <w:kern w:val="0"/>
          <w:sz w:val="21"/>
          <w:szCs w:val="21"/>
        </w:rPr>
        <w:t>外</w:t>
      </w:r>
      <w:r>
        <w:rPr>
          <w:rFonts w:ascii="宋体" w:hAnsi="宋体" w:eastAsia="宋体"/>
          <w:color w:val="auto"/>
          <w:kern w:val="0"/>
          <w:sz w:val="21"/>
          <w:szCs w:val="21"/>
        </w:rPr>
        <w:t>音乐历史知识</w:t>
      </w:r>
      <w:r>
        <w:rPr>
          <w:rFonts w:hint="eastAsia" w:ascii="宋体" w:hAnsi="宋体" w:eastAsia="宋体"/>
          <w:color w:val="auto"/>
          <w:kern w:val="0"/>
          <w:sz w:val="21"/>
          <w:szCs w:val="21"/>
        </w:rPr>
        <w:t>，熟悉</w:t>
      </w:r>
      <w:r>
        <w:rPr>
          <w:rFonts w:ascii="宋体" w:hAnsi="宋体" w:eastAsia="宋体"/>
          <w:color w:val="auto"/>
          <w:kern w:val="0"/>
          <w:sz w:val="21"/>
          <w:szCs w:val="21"/>
        </w:rPr>
        <w:t>一定数量的</w:t>
      </w:r>
      <w:r>
        <w:rPr>
          <w:rFonts w:hint="eastAsia" w:ascii="宋体" w:hAnsi="宋体" w:eastAsia="宋体"/>
          <w:color w:val="auto"/>
          <w:kern w:val="0"/>
          <w:sz w:val="21"/>
          <w:szCs w:val="21"/>
        </w:rPr>
        <w:t>各个历史时期</w:t>
      </w:r>
      <w:r>
        <w:rPr>
          <w:rFonts w:ascii="宋体" w:hAnsi="宋体" w:eastAsia="宋体"/>
          <w:color w:val="auto"/>
          <w:kern w:val="0"/>
          <w:sz w:val="21"/>
          <w:szCs w:val="21"/>
        </w:rPr>
        <w:t>优秀音乐作品</w:t>
      </w:r>
      <w:r>
        <w:rPr>
          <w:rFonts w:hint="eastAsia" w:ascii="宋体" w:hAnsi="宋体" w:eastAsia="宋体"/>
          <w:color w:val="auto"/>
          <w:kern w:val="0"/>
          <w:sz w:val="21"/>
          <w:szCs w:val="21"/>
        </w:rPr>
        <w:t>。</w:t>
      </w:r>
    </w:p>
    <w:p w14:paraId="406714E3">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二、课程目标</w:t>
      </w:r>
    </w:p>
    <w:p w14:paraId="4D9914B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（一）课程具体目标</w:t>
      </w:r>
    </w:p>
    <w:p w14:paraId="04BD936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olor w:val="auto"/>
          <w:sz w:val="21"/>
          <w:szCs w:val="21"/>
        </w:rPr>
      </w:pPr>
      <w:r>
        <w:rPr>
          <w:rFonts w:hint="eastAsia" w:ascii="宋体" w:hAnsi="宋体" w:eastAsia="宋体"/>
          <w:color w:val="auto"/>
          <w:sz w:val="21"/>
          <w:szCs w:val="21"/>
        </w:rPr>
        <w:t>目标1.了解基础的音乐理论知识（音符、节奏型组合、速度力度术语等）、能让学生能够读懂简单的五线谱。</w:t>
      </w:r>
    </w:p>
    <w:p w14:paraId="77CD33E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olor w:val="auto"/>
          <w:sz w:val="21"/>
          <w:szCs w:val="21"/>
        </w:rPr>
      </w:pPr>
      <w:r>
        <w:rPr>
          <w:rFonts w:hint="eastAsia" w:ascii="宋体" w:hAnsi="宋体" w:eastAsia="宋体"/>
          <w:color w:val="auto"/>
          <w:sz w:val="21"/>
          <w:szCs w:val="21"/>
        </w:rPr>
        <w:t>目标</w:t>
      </w:r>
      <w:r>
        <w:rPr>
          <w:rFonts w:ascii="宋体" w:hAnsi="宋体" w:eastAsia="宋体"/>
          <w:color w:val="auto"/>
          <w:sz w:val="21"/>
          <w:szCs w:val="21"/>
        </w:rPr>
        <w:t>2</w:t>
      </w:r>
      <w:r>
        <w:rPr>
          <w:rFonts w:hint="eastAsia" w:ascii="宋体" w:hAnsi="宋体" w:eastAsia="宋体"/>
          <w:color w:val="auto"/>
          <w:sz w:val="21"/>
          <w:szCs w:val="21"/>
        </w:rPr>
        <w:t>.能够运用音乐形态学和音乐史学相结合的方法对各历史时期的重要音乐家和音乐作品进行分析与解读。能够运用中外音乐史的理论与方法分析问题，在分析问题是具备基本的音乐史学表达能力。</w:t>
      </w:r>
    </w:p>
    <w:p w14:paraId="164D226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olor w:val="auto"/>
          <w:sz w:val="21"/>
          <w:szCs w:val="21"/>
        </w:rPr>
      </w:pPr>
      <w:r>
        <w:rPr>
          <w:rFonts w:hint="eastAsia" w:ascii="宋体" w:hAnsi="宋体" w:eastAsia="宋体"/>
          <w:color w:val="auto"/>
          <w:sz w:val="21"/>
          <w:szCs w:val="21"/>
        </w:rPr>
        <w:t>目标</w:t>
      </w:r>
      <w:r>
        <w:rPr>
          <w:rFonts w:ascii="宋体" w:hAnsi="宋体" w:eastAsia="宋体"/>
          <w:color w:val="auto"/>
          <w:sz w:val="21"/>
          <w:szCs w:val="21"/>
        </w:rPr>
        <w:t>3</w:t>
      </w:r>
      <w:r>
        <w:rPr>
          <w:rFonts w:hint="eastAsia" w:ascii="宋体" w:hAnsi="宋体" w:eastAsia="宋体"/>
          <w:color w:val="auto"/>
          <w:sz w:val="21"/>
          <w:szCs w:val="21"/>
        </w:rPr>
        <w:t>.通过对音乐基础的学习，让学生具备一定的人文素养和美学意识，达成人才培养的这一高校基础职能。</w:t>
      </w:r>
    </w:p>
    <w:p w14:paraId="282E6CAA">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6551"/>
        <w:gridCol w:w="1191"/>
      </w:tblGrid>
      <w:tr w14:paraId="1C5B8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Align w:val="center"/>
          </w:tcPr>
          <w:p w14:paraId="180B9106">
            <w:pPr>
              <w:spacing w:line="360" w:lineRule="auto"/>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551" w:type="dxa"/>
            <w:vAlign w:val="center"/>
          </w:tcPr>
          <w:p w14:paraId="0EC74FCD">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0F4D1CEE">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1DB3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Align w:val="center"/>
          </w:tcPr>
          <w:p w14:paraId="5196710B">
            <w:pPr>
              <w:spacing w:line="276" w:lineRule="auto"/>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毕业要求2</w:t>
            </w:r>
          </w:p>
          <w:p w14:paraId="7ED88390">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教育情怀</w:t>
            </w:r>
          </w:p>
        </w:tc>
        <w:tc>
          <w:tcPr>
            <w:tcW w:w="6551" w:type="dxa"/>
            <w:vAlign w:val="center"/>
          </w:tcPr>
          <w:p w14:paraId="533C3182">
            <w:pPr>
              <w:spacing w:line="276" w:lineRule="auto"/>
              <w:jc w:val="left"/>
              <w:rPr>
                <w:rFonts w:ascii="Times New Roman" w:hAnsi="Times New Roman" w:eastAsia="宋体" w:cs="Times New Roman"/>
                <w:b w:val="0"/>
                <w:bCs w:val="0"/>
                <w:color w:val="auto"/>
                <w:szCs w:val="21"/>
              </w:rPr>
            </w:pPr>
            <w:r>
              <w:rPr>
                <w:rFonts w:hint="eastAsia" w:ascii="宋体" w:hAnsi="宋体" w:eastAsia="宋体" w:cs="Times New Roman"/>
                <w:b w:val="0"/>
                <w:bCs w:val="0"/>
                <w:color w:val="auto"/>
                <w:spacing w:val="2"/>
                <w:kern w:val="0"/>
                <w:szCs w:val="21"/>
              </w:rPr>
              <w:t>指标点</w:t>
            </w:r>
            <w:r>
              <w:rPr>
                <w:rFonts w:ascii="宋体" w:hAnsi="宋体" w:eastAsia="宋体" w:cs="Times New Roman"/>
                <w:b w:val="0"/>
                <w:bCs w:val="0"/>
                <w:color w:val="auto"/>
                <w:spacing w:val="2"/>
                <w:kern w:val="0"/>
                <w:szCs w:val="21"/>
              </w:rPr>
              <w:t>2-2：【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191" w:type="dxa"/>
            <w:vAlign w:val="center"/>
          </w:tcPr>
          <w:p w14:paraId="47442E5B">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课程目标2</w:t>
            </w:r>
          </w:p>
        </w:tc>
      </w:tr>
      <w:tr w14:paraId="3A84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Align w:val="center"/>
          </w:tcPr>
          <w:p w14:paraId="06D86884">
            <w:pPr>
              <w:spacing w:line="276" w:lineRule="auto"/>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毕业要求3</w:t>
            </w:r>
          </w:p>
          <w:p w14:paraId="7C44AF49">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学科素养</w:t>
            </w:r>
          </w:p>
        </w:tc>
        <w:tc>
          <w:tcPr>
            <w:tcW w:w="6551" w:type="dxa"/>
            <w:vAlign w:val="center"/>
          </w:tcPr>
          <w:p w14:paraId="72058F2F">
            <w:pPr>
              <w:spacing w:line="276" w:lineRule="auto"/>
              <w:jc w:val="left"/>
              <w:rPr>
                <w:rFonts w:ascii="Times New Roman" w:hAnsi="Times New Roman" w:eastAsia="宋体" w:cs="Times New Roman"/>
                <w:b w:val="0"/>
                <w:bCs w:val="0"/>
                <w:color w:val="auto"/>
                <w:szCs w:val="21"/>
              </w:rPr>
            </w:pPr>
            <w:r>
              <w:rPr>
                <w:rFonts w:hint="eastAsia" w:ascii="宋体" w:hAnsi="宋体" w:eastAsia="宋体" w:cs="Times New Roman"/>
                <w:b w:val="0"/>
                <w:bCs w:val="0"/>
                <w:color w:val="auto"/>
                <w:spacing w:val="2"/>
                <w:kern w:val="0"/>
                <w:szCs w:val="21"/>
              </w:rPr>
              <w:t>指标点</w:t>
            </w:r>
            <w:r>
              <w:rPr>
                <w:rFonts w:ascii="宋体" w:hAnsi="宋体" w:eastAsia="宋体" w:cs="Times New Roman"/>
                <w:b w:val="0"/>
                <w:bCs w:val="0"/>
                <w:color w:val="auto"/>
                <w:spacing w:val="2"/>
                <w:kern w:val="0"/>
                <w:szCs w:val="21"/>
              </w:rPr>
              <w:t>3-3：【教育教学知识牢固】掌握教育教学基本理论知识，熟悉所教学科课程标准和教材、教学内容。在教育教学实践中，具有一定的教材解读能力，具有依据课标进行教学的意识和习惯。</w:t>
            </w:r>
          </w:p>
        </w:tc>
        <w:tc>
          <w:tcPr>
            <w:tcW w:w="1191" w:type="dxa"/>
            <w:vAlign w:val="center"/>
          </w:tcPr>
          <w:p w14:paraId="5A52EE17">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课程目标1</w:t>
            </w:r>
          </w:p>
        </w:tc>
      </w:tr>
      <w:tr w14:paraId="0A4E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Align w:val="center"/>
          </w:tcPr>
          <w:p w14:paraId="635D4187">
            <w:pPr>
              <w:spacing w:line="276" w:lineRule="auto"/>
              <w:jc w:val="center"/>
              <w:rPr>
                <w:rFonts w:hint="eastAsia" w:ascii="Times New Roman" w:hAnsi="Times New Roman" w:eastAsia="宋体" w:cs="Times New Roman"/>
                <w:b/>
                <w:bCs/>
                <w:color w:val="auto"/>
                <w:szCs w:val="21"/>
                <w:lang w:eastAsia="zh-CN"/>
              </w:rPr>
            </w:pPr>
            <w:r>
              <w:rPr>
                <w:rFonts w:hint="eastAsia" w:ascii="Times New Roman" w:hAnsi="Times New Roman" w:eastAsia="宋体" w:cs="Times New Roman"/>
                <w:b/>
                <w:bCs/>
                <w:color w:val="auto"/>
                <w:szCs w:val="21"/>
              </w:rPr>
              <w:t>毕业要求</w:t>
            </w:r>
            <w:r>
              <w:rPr>
                <w:rFonts w:hint="eastAsia" w:ascii="Times New Roman" w:hAnsi="Times New Roman" w:eastAsia="宋体" w:cs="Times New Roman"/>
                <w:b/>
                <w:bCs/>
                <w:color w:val="auto"/>
                <w:szCs w:val="21"/>
                <w:lang w:val="en-US" w:eastAsia="zh-CN"/>
              </w:rPr>
              <w:t>6</w:t>
            </w:r>
          </w:p>
          <w:p w14:paraId="154B251C">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学会反思</w:t>
            </w:r>
          </w:p>
        </w:tc>
        <w:tc>
          <w:tcPr>
            <w:tcW w:w="6551" w:type="dxa"/>
            <w:vAlign w:val="center"/>
          </w:tcPr>
          <w:p w14:paraId="425B102A">
            <w:pPr>
              <w:spacing w:line="276" w:lineRule="auto"/>
              <w:jc w:val="left"/>
              <w:rPr>
                <w:rFonts w:ascii="Times New Roman" w:hAnsi="Times New Roman" w:eastAsia="宋体" w:cs="Times New Roman"/>
                <w:b w:val="0"/>
                <w:bCs w:val="0"/>
                <w:color w:val="auto"/>
                <w:szCs w:val="21"/>
              </w:rPr>
            </w:pPr>
            <w:r>
              <w:rPr>
                <w:rFonts w:hint="eastAsia" w:ascii="宋体" w:hAnsi="宋体" w:cs="宋体"/>
                <w:kern w:val="0"/>
                <w:sz w:val="20"/>
                <w:szCs w:val="20"/>
              </w:rPr>
              <w:t>指标点</w:t>
            </w:r>
            <w:r>
              <w:rPr>
                <w:rFonts w:hint="eastAsia" w:ascii="宋体" w:hAnsi="宋体" w:cs="宋体"/>
                <w:sz w:val="20"/>
                <w:szCs w:val="20"/>
              </w:rPr>
              <w:t>6-3：【善于文化与活动育人】了解课外活动组织和管理知识，掌握学校文化和各类课外教育活动的育人内涵和方法，在教育教学实践中，参与组织主题教育、少先队活动和社团活动，促进小学生全面、健康发展。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3A87E450">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课程目标2、3</w:t>
            </w:r>
          </w:p>
        </w:tc>
      </w:tr>
    </w:tbl>
    <w:p w14:paraId="0791CAFF">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7F255FAA">
      <w:pPr>
        <w:spacing w:line="360" w:lineRule="auto"/>
        <w:ind w:firstLine="420" w:firstLineChars="200"/>
        <w:rPr>
          <w:rFonts w:hint="eastAsia" w:ascii="宋体" w:hAnsi="宋体" w:eastAsia="宋体" w:cs="Times New Roman"/>
          <w:b/>
          <w:color w:val="auto"/>
          <w:sz w:val="21"/>
          <w:szCs w:val="21"/>
        </w:rPr>
      </w:pPr>
      <w:r>
        <w:rPr>
          <w:rFonts w:hint="eastAsia" w:ascii="宋体" w:hAnsi="宋体" w:eastAsia="宋体"/>
          <w:color w:val="auto"/>
          <w:sz w:val="21"/>
          <w:szCs w:val="21"/>
        </w:rPr>
        <w:t>以习近平总书记提出的“培育时代新人是教育的重要使命和根本任务”为指导思想，围绕正确育人的整体目标和价值方向，扎实推进课程思政的育人大格局。课程将思想政治工作贯穿于中国音乐历史和鉴赏中国音乐作品的教学内容中，在传授课程知识的基础上引导学生将所学到的知识和技能转化为内在的德行和素养，注重将学生的个人发展与社会发展、国家发展结合起来，激发其为国家学习、为民族学习的热情和动力。</w:t>
      </w:r>
    </w:p>
    <w:p w14:paraId="57D40474">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562"/>
        <w:gridCol w:w="1254"/>
        <w:gridCol w:w="2279"/>
        <w:gridCol w:w="1560"/>
        <w:gridCol w:w="438"/>
      </w:tblGrid>
      <w:tr w14:paraId="5C47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BBBAE2E">
            <w:pPr>
              <w:keepNext w:val="0"/>
              <w:keepLines w:val="0"/>
              <w:pageBreakBefore w:val="0"/>
              <w:widowControl w:val="0"/>
              <w:kinsoku/>
              <w:wordWrap/>
              <w:overflowPunct/>
              <w:topLinePunct w:val="0"/>
              <w:bidi w:val="0"/>
              <w:snapToGrid/>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w:t>
            </w:r>
          </w:p>
          <w:p w14:paraId="6A1604F5">
            <w:pPr>
              <w:keepNext w:val="0"/>
              <w:keepLines w:val="0"/>
              <w:pageBreakBefore w:val="0"/>
              <w:widowControl w:val="0"/>
              <w:kinsoku/>
              <w:wordWrap/>
              <w:overflowPunct/>
              <w:topLinePunct w:val="0"/>
              <w:bidi w:val="0"/>
              <w:snapToGrid/>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单元</w:t>
            </w:r>
          </w:p>
        </w:tc>
        <w:tc>
          <w:tcPr>
            <w:tcW w:w="2562" w:type="dxa"/>
            <w:vAlign w:val="center"/>
          </w:tcPr>
          <w:p w14:paraId="69C91AB8">
            <w:pPr>
              <w:keepNext w:val="0"/>
              <w:keepLines w:val="0"/>
              <w:pageBreakBefore w:val="0"/>
              <w:widowControl w:val="0"/>
              <w:kinsoku/>
              <w:wordWrap/>
              <w:overflowPunct/>
              <w:topLinePunct w:val="0"/>
              <w:bidi w:val="0"/>
              <w:snapToGrid/>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知识点</w:t>
            </w:r>
          </w:p>
        </w:tc>
        <w:tc>
          <w:tcPr>
            <w:tcW w:w="1254" w:type="dxa"/>
            <w:vAlign w:val="center"/>
          </w:tcPr>
          <w:p w14:paraId="6312FE60">
            <w:pPr>
              <w:keepNext w:val="0"/>
              <w:keepLines w:val="0"/>
              <w:pageBreakBefore w:val="0"/>
              <w:widowControl w:val="0"/>
              <w:kinsoku/>
              <w:wordWrap/>
              <w:overflowPunct/>
              <w:topLinePunct w:val="0"/>
              <w:bidi w:val="0"/>
              <w:snapToGrid/>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对应</w:t>
            </w:r>
          </w:p>
          <w:p w14:paraId="6AB59A8A">
            <w:pPr>
              <w:keepNext w:val="0"/>
              <w:keepLines w:val="0"/>
              <w:pageBreakBefore w:val="0"/>
              <w:widowControl w:val="0"/>
              <w:kinsoku/>
              <w:wordWrap/>
              <w:overflowPunct/>
              <w:topLinePunct w:val="0"/>
              <w:bidi w:val="0"/>
              <w:snapToGrid/>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课程目标</w:t>
            </w:r>
          </w:p>
        </w:tc>
        <w:tc>
          <w:tcPr>
            <w:tcW w:w="2279" w:type="dxa"/>
            <w:vAlign w:val="center"/>
          </w:tcPr>
          <w:p w14:paraId="53F68F07">
            <w:pPr>
              <w:keepNext w:val="0"/>
              <w:keepLines w:val="0"/>
              <w:pageBreakBefore w:val="0"/>
              <w:widowControl w:val="0"/>
              <w:kinsoku/>
              <w:wordWrap/>
              <w:overflowPunct/>
              <w:topLinePunct w:val="0"/>
              <w:bidi w:val="0"/>
              <w:snapToGrid/>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预期学习成效</w:t>
            </w:r>
          </w:p>
        </w:tc>
        <w:tc>
          <w:tcPr>
            <w:tcW w:w="1560" w:type="dxa"/>
            <w:vAlign w:val="center"/>
          </w:tcPr>
          <w:p w14:paraId="34D9D2CA">
            <w:pPr>
              <w:keepNext w:val="0"/>
              <w:keepLines w:val="0"/>
              <w:pageBreakBefore w:val="0"/>
              <w:widowControl w:val="0"/>
              <w:kinsoku/>
              <w:wordWrap/>
              <w:overflowPunct/>
              <w:topLinePunct w:val="0"/>
              <w:bidi w:val="0"/>
              <w:snapToGrid/>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实现环节</w:t>
            </w:r>
          </w:p>
        </w:tc>
        <w:tc>
          <w:tcPr>
            <w:tcW w:w="438" w:type="dxa"/>
            <w:vAlign w:val="center"/>
          </w:tcPr>
          <w:p w14:paraId="237861A8">
            <w:pPr>
              <w:keepNext w:val="0"/>
              <w:keepLines w:val="0"/>
              <w:pageBreakBefore w:val="0"/>
              <w:widowControl w:val="0"/>
              <w:kinsoku/>
              <w:wordWrap/>
              <w:overflowPunct/>
              <w:topLinePunct w:val="0"/>
              <w:bidi w:val="0"/>
              <w:snapToGrid/>
              <w:jc w:val="center"/>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学时</w:t>
            </w:r>
          </w:p>
        </w:tc>
      </w:tr>
      <w:tr w14:paraId="4809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1CD78AC">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1.音乐学绪论</w:t>
            </w:r>
          </w:p>
        </w:tc>
        <w:tc>
          <w:tcPr>
            <w:tcW w:w="2562" w:type="dxa"/>
            <w:vAlign w:val="center"/>
          </w:tcPr>
          <w:p w14:paraId="329B2D3C">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olor w:val="auto"/>
                <w:sz w:val="21"/>
                <w:szCs w:val="21"/>
              </w:rPr>
            </w:pPr>
            <w:r>
              <w:rPr>
                <w:rFonts w:ascii="宋体" w:hAnsi="宋体" w:eastAsia="宋体"/>
                <w:color w:val="auto"/>
                <w:sz w:val="21"/>
                <w:szCs w:val="21"/>
              </w:rPr>
              <w:t>（1）</w:t>
            </w:r>
            <w:r>
              <w:rPr>
                <w:rFonts w:hint="eastAsia" w:ascii="宋体" w:hAnsi="宋体" w:eastAsia="宋体"/>
                <w:color w:val="auto"/>
                <w:sz w:val="21"/>
                <w:szCs w:val="21"/>
              </w:rPr>
              <w:t>乐音的基本特征与构成要素</w:t>
            </w:r>
          </w:p>
          <w:p w14:paraId="06232CF8">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olor w:val="auto"/>
                <w:sz w:val="21"/>
                <w:szCs w:val="21"/>
              </w:rPr>
            </w:pPr>
            <w:r>
              <w:rPr>
                <w:rFonts w:ascii="宋体" w:hAnsi="宋体" w:eastAsia="宋体"/>
                <w:color w:val="auto"/>
                <w:sz w:val="21"/>
                <w:szCs w:val="21"/>
              </w:rPr>
              <w:t>（</w:t>
            </w:r>
            <w:r>
              <w:rPr>
                <w:rFonts w:hint="eastAsia" w:ascii="宋体" w:hAnsi="宋体" w:eastAsia="宋体"/>
                <w:color w:val="auto"/>
                <w:sz w:val="21"/>
                <w:szCs w:val="21"/>
              </w:rPr>
              <w:t>2</w:t>
            </w:r>
            <w:r>
              <w:rPr>
                <w:rFonts w:ascii="宋体" w:hAnsi="宋体" w:eastAsia="宋体"/>
                <w:color w:val="auto"/>
                <w:sz w:val="21"/>
                <w:szCs w:val="21"/>
              </w:rPr>
              <w:t>）</w:t>
            </w:r>
            <w:r>
              <w:rPr>
                <w:rFonts w:hint="eastAsia" w:ascii="宋体" w:hAnsi="宋体" w:eastAsia="宋体"/>
                <w:color w:val="auto"/>
                <w:sz w:val="21"/>
                <w:szCs w:val="21"/>
              </w:rPr>
              <w:t>简要的中外音乐发展和历史沿革</w:t>
            </w:r>
          </w:p>
        </w:tc>
        <w:tc>
          <w:tcPr>
            <w:tcW w:w="1254" w:type="dxa"/>
            <w:vAlign w:val="center"/>
          </w:tcPr>
          <w:p w14:paraId="0E80D53A">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w:t>
            </w:r>
          </w:p>
        </w:tc>
        <w:tc>
          <w:tcPr>
            <w:tcW w:w="2279" w:type="dxa"/>
            <w:vAlign w:val="center"/>
          </w:tcPr>
          <w:p w14:paraId="7F80CF35">
            <w:pPr>
              <w:keepNext w:val="0"/>
              <w:keepLines w:val="0"/>
              <w:pageBreakBefore w:val="0"/>
              <w:widowControl w:val="0"/>
              <w:kinsoku/>
              <w:wordWrap/>
              <w:overflowPunct/>
              <w:topLinePunct w:val="0"/>
              <w:bidi w:val="0"/>
              <w:snapToGrid/>
              <w:spacing w:line="240" w:lineRule="auto"/>
              <w:jc w:val="left"/>
              <w:textAlignment w:val="auto"/>
              <w:rPr>
                <w:rFonts w:hint="eastAsia" w:ascii="宋体" w:hAnsi="宋体" w:eastAsia="宋体"/>
                <w:color w:val="auto"/>
                <w:sz w:val="21"/>
                <w:szCs w:val="21"/>
              </w:rPr>
            </w:pPr>
            <w:r>
              <w:rPr>
                <w:rFonts w:ascii="宋体" w:hAnsi="宋体" w:eastAsia="宋体"/>
                <w:color w:val="auto"/>
                <w:sz w:val="21"/>
                <w:szCs w:val="21"/>
              </w:rPr>
              <w:t>（1）了解并掌握</w:t>
            </w:r>
            <w:r>
              <w:rPr>
                <w:rFonts w:hint="eastAsia" w:ascii="宋体" w:hAnsi="宋体" w:eastAsia="宋体"/>
                <w:color w:val="auto"/>
                <w:sz w:val="21"/>
                <w:szCs w:val="21"/>
              </w:rPr>
              <w:t>基础的乐理知识</w:t>
            </w:r>
          </w:p>
          <w:p w14:paraId="0B9A2CDA">
            <w:pPr>
              <w:keepNext w:val="0"/>
              <w:keepLines w:val="0"/>
              <w:pageBreakBefore w:val="0"/>
              <w:widowControl w:val="0"/>
              <w:kinsoku/>
              <w:wordWrap/>
              <w:overflowPunct/>
              <w:topLinePunct w:val="0"/>
              <w:bidi w:val="0"/>
              <w:snapToGrid/>
              <w:spacing w:line="240" w:lineRule="auto"/>
              <w:jc w:val="left"/>
              <w:textAlignment w:val="auto"/>
              <w:rPr>
                <w:rFonts w:hint="eastAsia" w:ascii="宋体" w:hAnsi="宋体" w:eastAsia="宋体"/>
                <w:color w:val="auto"/>
                <w:sz w:val="21"/>
                <w:szCs w:val="21"/>
              </w:rPr>
            </w:pPr>
            <w:r>
              <w:rPr>
                <w:rFonts w:ascii="宋体" w:hAnsi="宋体" w:eastAsia="宋体"/>
                <w:color w:val="auto"/>
                <w:sz w:val="21"/>
                <w:szCs w:val="21"/>
              </w:rPr>
              <w:t>（2）</w:t>
            </w:r>
            <w:r>
              <w:rPr>
                <w:rFonts w:hint="eastAsia" w:ascii="宋体" w:hAnsi="宋体" w:eastAsia="宋体"/>
                <w:color w:val="auto"/>
                <w:sz w:val="21"/>
                <w:szCs w:val="21"/>
              </w:rPr>
              <w:t>能简单地阅读和应用五线谱和简谱</w:t>
            </w:r>
          </w:p>
          <w:p w14:paraId="34B75FC4">
            <w:pPr>
              <w:keepNext w:val="0"/>
              <w:keepLines w:val="0"/>
              <w:pageBreakBefore w:val="0"/>
              <w:widowControl w:val="0"/>
              <w:kinsoku/>
              <w:wordWrap/>
              <w:overflowPunct/>
              <w:topLinePunct w:val="0"/>
              <w:bidi w:val="0"/>
              <w:snapToGrid/>
              <w:spacing w:line="240" w:lineRule="auto"/>
              <w:jc w:val="left"/>
              <w:textAlignment w:val="auto"/>
              <w:rPr>
                <w:rFonts w:hint="eastAsia" w:ascii="宋体" w:hAnsi="宋体" w:eastAsia="宋体" w:cs="Times New Roman"/>
                <w:b/>
                <w:color w:val="auto"/>
                <w:sz w:val="21"/>
                <w:szCs w:val="21"/>
              </w:rPr>
            </w:pPr>
            <w:r>
              <w:rPr>
                <w:rFonts w:ascii="宋体" w:hAnsi="宋体" w:eastAsia="宋体"/>
                <w:color w:val="auto"/>
                <w:sz w:val="21"/>
                <w:szCs w:val="21"/>
              </w:rPr>
              <w:t>（3）</w:t>
            </w:r>
            <w:r>
              <w:rPr>
                <w:rFonts w:hint="eastAsia" w:ascii="宋体" w:hAnsi="宋体" w:eastAsia="宋体"/>
                <w:color w:val="auto"/>
                <w:sz w:val="21"/>
                <w:szCs w:val="21"/>
              </w:rPr>
              <w:t>了解中外音乐的发展与沿革</w:t>
            </w:r>
          </w:p>
        </w:tc>
        <w:tc>
          <w:tcPr>
            <w:tcW w:w="1560" w:type="dxa"/>
            <w:vAlign w:val="center"/>
          </w:tcPr>
          <w:p w14:paraId="79E1C15C">
            <w:pPr>
              <w:keepNext w:val="0"/>
              <w:keepLines w:val="0"/>
              <w:pageBreakBefore w:val="0"/>
              <w:widowControl w:val="0"/>
              <w:kinsoku/>
              <w:wordWrap/>
              <w:overflowPunct/>
              <w:topLinePunct w:val="0"/>
              <w:bidi w:val="0"/>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64C3DA7C">
            <w:pPr>
              <w:keepNext w:val="0"/>
              <w:keepLines w:val="0"/>
              <w:pageBreakBefore w:val="0"/>
              <w:widowControl w:val="0"/>
              <w:kinsoku/>
              <w:wordWrap/>
              <w:overflowPunct/>
              <w:topLinePunct w:val="0"/>
              <w:bidi w:val="0"/>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2.多媒体教学3.课堂讨论</w:t>
            </w:r>
          </w:p>
          <w:p w14:paraId="48A1AED3">
            <w:pPr>
              <w:keepNext w:val="0"/>
              <w:keepLines w:val="0"/>
              <w:pageBreakBefore w:val="0"/>
              <w:widowControl w:val="0"/>
              <w:kinsoku/>
              <w:wordWrap/>
              <w:overflowPunct/>
              <w:topLinePunct w:val="0"/>
              <w:bidi w:val="0"/>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4.单元测验</w:t>
            </w:r>
          </w:p>
        </w:tc>
        <w:tc>
          <w:tcPr>
            <w:tcW w:w="438" w:type="dxa"/>
            <w:vAlign w:val="center"/>
          </w:tcPr>
          <w:p w14:paraId="7DBC9E14">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p>
        </w:tc>
      </w:tr>
      <w:tr w14:paraId="00A3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B91FDD3">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5301A1A5">
            <w:pPr>
              <w:keepNext w:val="0"/>
              <w:keepLines w:val="0"/>
              <w:pageBreakBefore w:val="0"/>
              <w:widowControl w:val="0"/>
              <w:kinsoku/>
              <w:wordWrap/>
              <w:overflowPunct/>
              <w:topLinePunct w:val="0"/>
              <w:bidi w:val="0"/>
              <w:snapToGrid/>
              <w:spacing w:line="240" w:lineRule="auto"/>
              <w:ind w:firstLine="422" w:firstLineChars="200"/>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宋体" w:hAnsi="宋体" w:eastAsia="宋体" w:cs="Times New Roman"/>
                <w:color w:val="auto"/>
                <w:sz w:val="21"/>
                <w:szCs w:val="21"/>
              </w:rPr>
              <w:t>依法履行教师职责权利</w:t>
            </w:r>
            <w:r>
              <w:rPr>
                <w:rFonts w:hint="eastAsia" w:ascii="宋体" w:hAnsi="宋体" w:eastAsia="宋体" w:cs="Times New Roman"/>
                <w:color w:val="auto"/>
                <w:sz w:val="21"/>
                <w:szCs w:val="21"/>
              </w:rPr>
              <w:t>，将社会主义核心价值观内化为精神追求，具有优良的爱国主义情怀和以爱为魂的高尚师德，</w:t>
            </w:r>
            <w:r>
              <w:rPr>
                <w:rFonts w:hint="eastAsia" w:ascii="宋体" w:hAnsi="宋体" w:eastAsia="宋体" w:cs="宋体"/>
                <w:color w:val="auto"/>
                <w:kern w:val="0"/>
                <w:sz w:val="21"/>
                <w:szCs w:val="21"/>
              </w:rPr>
              <w:t>能够根据大学生身心发展特点，提出适宜的教育活动目标，做美育教育的启蒙者和引路人。</w:t>
            </w:r>
          </w:p>
        </w:tc>
      </w:tr>
      <w:tr w14:paraId="3C93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C5CE819">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 基础乐理知识（音值节奏）</w:t>
            </w:r>
          </w:p>
        </w:tc>
        <w:tc>
          <w:tcPr>
            <w:tcW w:w="2562" w:type="dxa"/>
            <w:vAlign w:val="center"/>
          </w:tcPr>
          <w:p w14:paraId="6340B47D">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olor w:val="auto"/>
                <w:sz w:val="21"/>
                <w:szCs w:val="21"/>
              </w:rPr>
            </w:pPr>
            <w:r>
              <w:rPr>
                <w:rFonts w:ascii="宋体" w:hAnsi="宋体" w:eastAsia="宋体"/>
                <w:color w:val="auto"/>
                <w:sz w:val="21"/>
                <w:szCs w:val="21"/>
              </w:rPr>
              <w:t>（1）</w:t>
            </w:r>
            <w:r>
              <w:rPr>
                <w:rFonts w:hint="eastAsia" w:ascii="宋体" w:hAnsi="宋体" w:eastAsia="宋体"/>
                <w:color w:val="auto"/>
                <w:sz w:val="21"/>
                <w:szCs w:val="21"/>
              </w:rPr>
              <w:t>基础音符与简易节奏型组合</w:t>
            </w:r>
          </w:p>
          <w:p w14:paraId="44590799">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olor w:val="auto"/>
                <w:sz w:val="21"/>
                <w:szCs w:val="21"/>
              </w:rPr>
            </w:pPr>
            <w:r>
              <w:rPr>
                <w:rFonts w:ascii="宋体" w:hAnsi="宋体" w:eastAsia="宋体"/>
                <w:color w:val="auto"/>
                <w:sz w:val="21"/>
                <w:szCs w:val="21"/>
              </w:rPr>
              <w:t>（2）</w:t>
            </w:r>
            <w:r>
              <w:rPr>
                <w:rFonts w:hint="eastAsia" w:ascii="宋体" w:hAnsi="宋体" w:eastAsia="宋体"/>
                <w:color w:val="auto"/>
                <w:sz w:val="21"/>
                <w:szCs w:val="21"/>
              </w:rPr>
              <w:t>附点与休止符</w:t>
            </w:r>
          </w:p>
          <w:p w14:paraId="26855532">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olor w:val="auto"/>
                <w:sz w:val="21"/>
                <w:szCs w:val="21"/>
              </w:rPr>
            </w:pPr>
            <w:r>
              <w:rPr>
                <w:rFonts w:hint="eastAsia" w:ascii="宋体" w:hAnsi="宋体" w:eastAsia="宋体"/>
                <w:color w:val="auto"/>
                <w:sz w:val="21"/>
                <w:szCs w:val="21"/>
              </w:rPr>
              <w:t>（3）谱号与拍号</w:t>
            </w:r>
          </w:p>
        </w:tc>
        <w:tc>
          <w:tcPr>
            <w:tcW w:w="1254" w:type="dxa"/>
            <w:vAlign w:val="center"/>
          </w:tcPr>
          <w:p w14:paraId="6422261F">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w:t>
            </w:r>
          </w:p>
        </w:tc>
        <w:tc>
          <w:tcPr>
            <w:tcW w:w="2279" w:type="dxa"/>
            <w:vAlign w:val="center"/>
          </w:tcPr>
          <w:p w14:paraId="0D1D4DA1">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olor w:val="auto"/>
                <w:sz w:val="21"/>
                <w:szCs w:val="21"/>
              </w:rPr>
            </w:pPr>
            <w:r>
              <w:rPr>
                <w:rFonts w:ascii="宋体" w:hAnsi="宋体" w:eastAsia="宋体"/>
                <w:color w:val="auto"/>
                <w:sz w:val="21"/>
                <w:szCs w:val="21"/>
              </w:rPr>
              <w:t>（1）了解</w:t>
            </w:r>
            <w:r>
              <w:rPr>
                <w:rFonts w:hint="eastAsia" w:ascii="宋体" w:hAnsi="宋体" w:eastAsia="宋体"/>
                <w:color w:val="auto"/>
                <w:sz w:val="21"/>
                <w:szCs w:val="21"/>
              </w:rPr>
              <w:t>乐音的基础属性之——音值（节奏）的有关知识</w:t>
            </w:r>
          </w:p>
          <w:p w14:paraId="50152D86">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Times New Roman"/>
                <w:color w:val="auto"/>
                <w:sz w:val="21"/>
                <w:szCs w:val="21"/>
              </w:rPr>
            </w:pPr>
            <w:r>
              <w:rPr>
                <w:rFonts w:ascii="宋体" w:hAnsi="宋体" w:eastAsia="宋体"/>
                <w:color w:val="auto"/>
                <w:sz w:val="21"/>
                <w:szCs w:val="21"/>
              </w:rPr>
              <w:t>（2）</w:t>
            </w:r>
            <w:r>
              <w:rPr>
                <w:rFonts w:hint="eastAsia" w:ascii="宋体" w:hAnsi="宋体" w:eastAsia="宋体"/>
                <w:color w:val="auto"/>
                <w:sz w:val="21"/>
                <w:szCs w:val="21"/>
              </w:rPr>
              <w:t>了解五线谱记谱法中的法则和书写规范</w:t>
            </w:r>
          </w:p>
        </w:tc>
        <w:tc>
          <w:tcPr>
            <w:tcW w:w="1560" w:type="dxa"/>
            <w:vAlign w:val="center"/>
          </w:tcPr>
          <w:p w14:paraId="57803E87">
            <w:pPr>
              <w:keepNext w:val="0"/>
              <w:keepLines w:val="0"/>
              <w:pageBreakBefore w:val="0"/>
              <w:widowControl w:val="0"/>
              <w:kinsoku/>
              <w:wordWrap/>
              <w:overflowPunct/>
              <w:topLinePunct w:val="0"/>
              <w:bidi w:val="0"/>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6DEB9A81">
            <w:pPr>
              <w:keepNext w:val="0"/>
              <w:keepLines w:val="0"/>
              <w:pageBreakBefore w:val="0"/>
              <w:widowControl w:val="0"/>
              <w:kinsoku/>
              <w:wordWrap/>
              <w:overflowPunct/>
              <w:topLinePunct w:val="0"/>
              <w:bidi w:val="0"/>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2.多媒体教学3.课堂讨论</w:t>
            </w:r>
          </w:p>
          <w:p w14:paraId="0293426D">
            <w:pPr>
              <w:keepNext w:val="0"/>
              <w:keepLines w:val="0"/>
              <w:pageBreakBefore w:val="0"/>
              <w:widowControl w:val="0"/>
              <w:kinsoku/>
              <w:wordWrap/>
              <w:overflowPunct/>
              <w:topLinePunct w:val="0"/>
              <w:bidi w:val="0"/>
              <w:snapToGrid/>
              <w:spacing w:line="240" w:lineRule="auto"/>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4.单元测验</w:t>
            </w:r>
          </w:p>
        </w:tc>
        <w:tc>
          <w:tcPr>
            <w:tcW w:w="438" w:type="dxa"/>
            <w:vAlign w:val="center"/>
          </w:tcPr>
          <w:p w14:paraId="6667F0F0">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9</w:t>
            </w:r>
          </w:p>
        </w:tc>
      </w:tr>
      <w:tr w14:paraId="42C0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360FB40">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6A93CA32">
            <w:pPr>
              <w:keepNext w:val="0"/>
              <w:keepLines w:val="0"/>
              <w:pageBreakBefore w:val="0"/>
              <w:widowControl w:val="0"/>
              <w:kinsoku/>
              <w:wordWrap/>
              <w:overflowPunct/>
              <w:topLinePunct w:val="0"/>
              <w:autoSpaceDE w:val="0"/>
              <w:autoSpaceDN w:val="0"/>
              <w:bidi w:val="0"/>
              <w:adjustRightInd w:val="0"/>
              <w:snapToGrid/>
              <w:spacing w:line="240" w:lineRule="auto"/>
              <w:ind w:firstLine="422" w:firstLineChars="200"/>
              <w:jc w:val="left"/>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结合中外优秀传统音乐文化，树立学生产生强烈的文化认同感和民族自豪感，培养具有为中华民族复兴培养全面发展的社会主义建设者和接班人的职业理想。</w:t>
            </w:r>
          </w:p>
        </w:tc>
      </w:tr>
      <w:tr w14:paraId="2043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BAE905A">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3.基础乐理知识（音调音高）</w:t>
            </w:r>
          </w:p>
        </w:tc>
        <w:tc>
          <w:tcPr>
            <w:tcW w:w="2562" w:type="dxa"/>
            <w:vAlign w:val="center"/>
          </w:tcPr>
          <w:p w14:paraId="72E4CFE4">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bCs/>
                <w:color w:val="auto"/>
                <w:sz w:val="21"/>
                <w:szCs w:val="21"/>
              </w:rPr>
            </w:pPr>
            <w:r>
              <w:rPr>
                <w:rFonts w:ascii="宋体" w:hAnsi="宋体" w:eastAsia="宋体"/>
                <w:color w:val="auto"/>
                <w:sz w:val="21"/>
                <w:szCs w:val="21"/>
              </w:rPr>
              <w:t>（</w:t>
            </w:r>
            <w:r>
              <w:rPr>
                <w:rFonts w:hint="eastAsia" w:ascii="宋体" w:hAnsi="宋体" w:eastAsia="宋体"/>
                <w:color w:val="auto"/>
                <w:sz w:val="21"/>
                <w:szCs w:val="21"/>
              </w:rPr>
              <w:t>1</w:t>
            </w:r>
            <w:r>
              <w:rPr>
                <w:rFonts w:ascii="宋体" w:hAnsi="宋体" w:eastAsia="宋体"/>
                <w:color w:val="auto"/>
                <w:sz w:val="21"/>
                <w:szCs w:val="21"/>
              </w:rPr>
              <w:t>）</w:t>
            </w:r>
            <w:r>
              <w:rPr>
                <w:rFonts w:hint="eastAsia" w:ascii="宋体" w:hAnsi="宋体" w:eastAsia="宋体"/>
                <w:color w:val="auto"/>
                <w:sz w:val="21"/>
                <w:szCs w:val="21"/>
              </w:rPr>
              <w:t>简谱记谱法和唱名</w:t>
            </w:r>
          </w:p>
          <w:p w14:paraId="4F086021">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olor w:val="auto"/>
                <w:sz w:val="21"/>
                <w:szCs w:val="21"/>
              </w:rPr>
            </w:pPr>
            <w:r>
              <w:rPr>
                <w:rFonts w:ascii="宋体" w:hAnsi="宋体" w:eastAsia="宋体"/>
                <w:color w:val="auto"/>
                <w:sz w:val="21"/>
                <w:szCs w:val="21"/>
              </w:rPr>
              <w:t>（</w:t>
            </w:r>
            <w:r>
              <w:rPr>
                <w:rFonts w:hint="eastAsia" w:ascii="宋体" w:hAnsi="宋体" w:eastAsia="宋体"/>
                <w:color w:val="auto"/>
                <w:sz w:val="21"/>
                <w:szCs w:val="21"/>
              </w:rPr>
              <w:t>2</w:t>
            </w:r>
            <w:r>
              <w:rPr>
                <w:rFonts w:ascii="宋体" w:hAnsi="宋体" w:eastAsia="宋体"/>
                <w:color w:val="auto"/>
                <w:sz w:val="21"/>
                <w:szCs w:val="21"/>
              </w:rPr>
              <w:t>）</w:t>
            </w:r>
            <w:r>
              <w:rPr>
                <w:rFonts w:hint="eastAsia" w:ascii="宋体" w:hAnsi="宋体" w:eastAsia="宋体"/>
                <w:color w:val="auto"/>
                <w:sz w:val="21"/>
                <w:szCs w:val="21"/>
              </w:rPr>
              <w:t>五线谱记谱法和音名</w:t>
            </w:r>
          </w:p>
          <w:p w14:paraId="7080BDF6">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Times New Roman"/>
                <w:color w:val="auto"/>
                <w:sz w:val="21"/>
                <w:szCs w:val="21"/>
              </w:rPr>
            </w:pPr>
            <w:r>
              <w:rPr>
                <w:rFonts w:hint="eastAsia" w:ascii="宋体" w:hAnsi="宋体" w:eastAsia="宋体"/>
                <w:color w:val="auto"/>
                <w:sz w:val="21"/>
                <w:szCs w:val="21"/>
              </w:rPr>
              <w:t>（3）简易调式</w:t>
            </w:r>
          </w:p>
        </w:tc>
        <w:tc>
          <w:tcPr>
            <w:tcW w:w="1254" w:type="dxa"/>
            <w:vAlign w:val="center"/>
          </w:tcPr>
          <w:p w14:paraId="16048154">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w:t>
            </w:r>
          </w:p>
        </w:tc>
        <w:tc>
          <w:tcPr>
            <w:tcW w:w="2279" w:type="dxa"/>
            <w:vAlign w:val="center"/>
          </w:tcPr>
          <w:p w14:paraId="45E229D7">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olor w:val="auto"/>
                <w:sz w:val="21"/>
                <w:szCs w:val="21"/>
              </w:rPr>
            </w:pPr>
            <w:r>
              <w:rPr>
                <w:rFonts w:ascii="宋体" w:hAnsi="宋体" w:eastAsia="宋体"/>
                <w:color w:val="auto"/>
                <w:sz w:val="21"/>
                <w:szCs w:val="21"/>
              </w:rPr>
              <w:t>（1）了解</w:t>
            </w:r>
            <w:r>
              <w:rPr>
                <w:rFonts w:hint="eastAsia" w:ascii="宋体" w:hAnsi="宋体" w:eastAsia="宋体"/>
                <w:color w:val="auto"/>
                <w:sz w:val="21"/>
                <w:szCs w:val="21"/>
              </w:rPr>
              <w:t>乐音的基础属性之——音调（音高）的有关知识</w:t>
            </w:r>
          </w:p>
          <w:p w14:paraId="106BEB09">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olor w:val="auto"/>
                <w:sz w:val="21"/>
                <w:szCs w:val="21"/>
              </w:rPr>
            </w:pPr>
            <w:r>
              <w:rPr>
                <w:rFonts w:ascii="宋体" w:hAnsi="宋体" w:eastAsia="宋体"/>
                <w:color w:val="auto"/>
                <w:sz w:val="21"/>
                <w:szCs w:val="21"/>
              </w:rPr>
              <w:t>（2）</w:t>
            </w:r>
            <w:r>
              <w:rPr>
                <w:rFonts w:hint="eastAsia" w:ascii="宋体" w:hAnsi="宋体" w:eastAsia="宋体"/>
                <w:color w:val="auto"/>
                <w:sz w:val="21"/>
                <w:szCs w:val="21"/>
              </w:rPr>
              <w:t>能简单地阅读和应用五线谱和简谱</w:t>
            </w:r>
          </w:p>
          <w:p w14:paraId="6ABC5644">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Times New Roman"/>
                <w:color w:val="auto"/>
                <w:sz w:val="21"/>
                <w:szCs w:val="21"/>
              </w:rPr>
            </w:pPr>
            <w:r>
              <w:rPr>
                <w:rFonts w:ascii="宋体" w:hAnsi="宋体" w:eastAsia="宋体"/>
                <w:color w:val="auto"/>
                <w:sz w:val="21"/>
                <w:szCs w:val="21"/>
              </w:rPr>
              <w:t>（3）</w:t>
            </w:r>
            <w:r>
              <w:rPr>
                <w:rFonts w:hint="eastAsia" w:ascii="宋体" w:hAnsi="宋体" w:eastAsia="宋体"/>
                <w:color w:val="auto"/>
                <w:sz w:val="21"/>
                <w:szCs w:val="21"/>
              </w:rPr>
              <w:t>了解中外音乐在不同的文化背景下，所演变出的不同调式。</w:t>
            </w:r>
          </w:p>
        </w:tc>
        <w:tc>
          <w:tcPr>
            <w:tcW w:w="1560" w:type="dxa"/>
            <w:vAlign w:val="center"/>
          </w:tcPr>
          <w:p w14:paraId="56464E16">
            <w:pPr>
              <w:keepNext w:val="0"/>
              <w:keepLines w:val="0"/>
              <w:pageBreakBefore w:val="0"/>
              <w:widowControl w:val="0"/>
              <w:kinsoku/>
              <w:wordWrap/>
              <w:overflowPunct/>
              <w:topLinePunct w:val="0"/>
              <w:bidi w:val="0"/>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622E8499">
            <w:pPr>
              <w:keepNext w:val="0"/>
              <w:keepLines w:val="0"/>
              <w:pageBreakBefore w:val="0"/>
              <w:widowControl w:val="0"/>
              <w:kinsoku/>
              <w:wordWrap/>
              <w:overflowPunct/>
              <w:topLinePunct w:val="0"/>
              <w:bidi w:val="0"/>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2DA1BCEC">
            <w:pPr>
              <w:keepNext w:val="0"/>
              <w:keepLines w:val="0"/>
              <w:pageBreakBefore w:val="0"/>
              <w:widowControl w:val="0"/>
              <w:kinsoku/>
              <w:wordWrap/>
              <w:overflowPunct/>
              <w:topLinePunct w:val="0"/>
              <w:bidi w:val="0"/>
              <w:snapToGrid/>
              <w:spacing w:line="240" w:lineRule="auto"/>
              <w:jc w:val="lef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30D96D52">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9</w:t>
            </w:r>
          </w:p>
        </w:tc>
      </w:tr>
      <w:tr w14:paraId="15A1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0BC88C3">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color w:val="auto"/>
                <w:sz w:val="21"/>
                <w:szCs w:val="21"/>
              </w:rPr>
            </w:pPr>
          </w:p>
        </w:tc>
        <w:tc>
          <w:tcPr>
            <w:tcW w:w="8093" w:type="dxa"/>
            <w:gridSpan w:val="5"/>
            <w:vAlign w:val="center"/>
          </w:tcPr>
          <w:p w14:paraId="591F021E">
            <w:pPr>
              <w:keepNext w:val="0"/>
              <w:keepLines w:val="0"/>
              <w:pageBreakBefore w:val="0"/>
              <w:widowControl w:val="0"/>
              <w:kinsoku/>
              <w:wordWrap/>
              <w:overflowPunct/>
              <w:topLinePunct w:val="0"/>
              <w:bidi w:val="0"/>
              <w:snapToGrid/>
              <w:spacing w:line="240" w:lineRule="auto"/>
              <w:ind w:firstLine="422" w:firstLineChars="200"/>
              <w:textAlignment w:val="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宋体" w:hAnsi="宋体" w:eastAsia="宋体" w:cs="Times New Roman"/>
                <w:color w:val="auto"/>
                <w:sz w:val="21"/>
                <w:szCs w:val="21"/>
              </w:rPr>
              <w:t>依法履行教师职责权利</w:t>
            </w:r>
            <w:r>
              <w:rPr>
                <w:rFonts w:hint="eastAsia" w:ascii="宋体" w:hAnsi="宋体" w:eastAsia="宋体" w:cs="Times New Roman"/>
                <w:color w:val="auto"/>
                <w:sz w:val="21"/>
                <w:szCs w:val="21"/>
              </w:rPr>
              <w:t>，将社会主义核心价值观内化为精神追求，具有优良的爱国主义情怀和以爱为魂的高尚师德，</w:t>
            </w:r>
            <w:r>
              <w:rPr>
                <w:rFonts w:hint="eastAsia" w:ascii="宋体" w:hAnsi="宋体" w:eastAsia="宋体" w:cs="宋体"/>
                <w:color w:val="auto"/>
                <w:kern w:val="0"/>
                <w:sz w:val="21"/>
                <w:szCs w:val="21"/>
              </w:rPr>
              <w:t>能够根据大学生身心发展特点，提出适宜的教育活动目标，做美育教育的启蒙者和引路人。</w:t>
            </w:r>
          </w:p>
        </w:tc>
      </w:tr>
    </w:tbl>
    <w:p w14:paraId="604463BA">
      <w:pPr>
        <w:spacing w:line="240" w:lineRule="auto"/>
        <w:jc w:val="left"/>
        <w:rPr>
          <w:rFonts w:ascii="Times New Roman" w:hAnsi="Times New Roman" w:eastAsia="宋体" w:cs="Times New Roman"/>
          <w:color w:val="auto"/>
          <w:sz w:val="24"/>
        </w:rPr>
      </w:pP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
        <w:gridCol w:w="1181"/>
        <w:gridCol w:w="2549"/>
        <w:gridCol w:w="1283"/>
        <w:gridCol w:w="2263"/>
        <w:gridCol w:w="1560"/>
        <w:gridCol w:w="438"/>
      </w:tblGrid>
      <w:tr w14:paraId="3088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gridSpan w:val="2"/>
            <w:vMerge w:val="restart"/>
            <w:vAlign w:val="center"/>
          </w:tcPr>
          <w:p w14:paraId="3AB2B74E">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 xml:space="preserve">4.基础乐理知识（音强和音色） </w:t>
            </w:r>
          </w:p>
        </w:tc>
        <w:tc>
          <w:tcPr>
            <w:tcW w:w="2549" w:type="dxa"/>
            <w:vAlign w:val="center"/>
          </w:tcPr>
          <w:p w14:paraId="752EF1EA">
            <w:pPr>
              <w:spacing w:line="240" w:lineRule="auto"/>
              <w:rPr>
                <w:rFonts w:hint="eastAsia" w:ascii="宋体" w:hAnsi="宋体" w:eastAsia="宋体"/>
                <w:bCs/>
                <w:color w:val="auto"/>
                <w:szCs w:val="21"/>
              </w:rPr>
            </w:pPr>
            <w:r>
              <w:rPr>
                <w:rFonts w:ascii="宋体" w:hAnsi="宋体" w:eastAsia="宋体"/>
                <w:color w:val="auto"/>
                <w:szCs w:val="21"/>
              </w:rPr>
              <w:t>（</w:t>
            </w:r>
            <w:r>
              <w:rPr>
                <w:rFonts w:hint="eastAsia" w:ascii="宋体" w:hAnsi="宋体" w:eastAsia="宋体"/>
                <w:color w:val="auto"/>
                <w:szCs w:val="21"/>
              </w:rPr>
              <w:t>1</w:t>
            </w:r>
            <w:r>
              <w:rPr>
                <w:rFonts w:ascii="宋体" w:hAnsi="宋体" w:eastAsia="宋体"/>
                <w:color w:val="auto"/>
                <w:szCs w:val="21"/>
              </w:rPr>
              <w:t>）</w:t>
            </w:r>
            <w:r>
              <w:rPr>
                <w:rFonts w:hint="eastAsia" w:ascii="宋体" w:hAnsi="宋体" w:eastAsia="宋体"/>
                <w:color w:val="auto"/>
                <w:szCs w:val="21"/>
              </w:rPr>
              <w:t>与音强有关的力度术语</w:t>
            </w:r>
          </w:p>
          <w:p w14:paraId="2503A242">
            <w:pPr>
              <w:spacing w:line="240" w:lineRule="auto"/>
              <w:rPr>
                <w:rFonts w:hint="eastAsia" w:ascii="宋体" w:hAnsi="宋体" w:eastAsia="宋体"/>
                <w:color w:val="auto"/>
                <w:szCs w:val="21"/>
              </w:rPr>
            </w:pPr>
            <w:r>
              <w:rPr>
                <w:rFonts w:ascii="宋体" w:hAnsi="宋体" w:eastAsia="宋体"/>
                <w:color w:val="auto"/>
                <w:szCs w:val="21"/>
              </w:rPr>
              <w:t>（</w:t>
            </w:r>
            <w:r>
              <w:rPr>
                <w:rFonts w:hint="eastAsia" w:ascii="宋体" w:hAnsi="宋体" w:eastAsia="宋体"/>
                <w:color w:val="auto"/>
                <w:szCs w:val="21"/>
              </w:rPr>
              <w:t>2</w:t>
            </w:r>
            <w:r>
              <w:rPr>
                <w:rFonts w:ascii="宋体" w:hAnsi="宋体" w:eastAsia="宋体"/>
                <w:color w:val="auto"/>
                <w:szCs w:val="21"/>
              </w:rPr>
              <w:t>）</w:t>
            </w:r>
            <w:r>
              <w:rPr>
                <w:rFonts w:hint="eastAsia" w:ascii="宋体" w:hAnsi="宋体" w:eastAsia="宋体"/>
                <w:color w:val="auto"/>
                <w:szCs w:val="21"/>
              </w:rPr>
              <w:t>与速度有关的力度术语</w:t>
            </w:r>
          </w:p>
          <w:p w14:paraId="17748862">
            <w:pPr>
              <w:spacing w:line="240" w:lineRule="auto"/>
              <w:rPr>
                <w:rFonts w:hint="eastAsia" w:ascii="宋体" w:hAnsi="宋体" w:eastAsia="宋体" w:cs="Times New Roman"/>
                <w:color w:val="auto"/>
                <w:szCs w:val="21"/>
              </w:rPr>
            </w:pPr>
            <w:r>
              <w:rPr>
                <w:rFonts w:hint="eastAsia" w:ascii="宋体" w:hAnsi="宋体" w:eastAsia="宋体"/>
                <w:color w:val="auto"/>
                <w:szCs w:val="21"/>
              </w:rPr>
              <w:t>（3）了解不同的乐器音色</w:t>
            </w:r>
          </w:p>
        </w:tc>
        <w:tc>
          <w:tcPr>
            <w:tcW w:w="1283" w:type="dxa"/>
            <w:vAlign w:val="center"/>
          </w:tcPr>
          <w:p w14:paraId="6CA0D93D">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2263" w:type="dxa"/>
            <w:vAlign w:val="center"/>
          </w:tcPr>
          <w:p w14:paraId="71BAD77E">
            <w:pPr>
              <w:spacing w:line="240" w:lineRule="auto"/>
              <w:rPr>
                <w:rFonts w:hint="eastAsia" w:ascii="宋体" w:hAnsi="宋体" w:eastAsia="宋体"/>
                <w:color w:val="auto"/>
                <w:szCs w:val="21"/>
              </w:rPr>
            </w:pPr>
            <w:r>
              <w:rPr>
                <w:rFonts w:ascii="宋体" w:hAnsi="宋体" w:eastAsia="宋体"/>
                <w:color w:val="auto"/>
                <w:szCs w:val="21"/>
              </w:rPr>
              <w:t>（1）了解</w:t>
            </w:r>
            <w:r>
              <w:rPr>
                <w:rFonts w:hint="eastAsia" w:ascii="宋体" w:hAnsi="宋体" w:eastAsia="宋体"/>
                <w:color w:val="auto"/>
                <w:szCs w:val="21"/>
              </w:rPr>
              <w:t>乐谱谱面上出现的各种音乐术语（力度和速度术语）</w:t>
            </w:r>
          </w:p>
          <w:p w14:paraId="27E9F0FD">
            <w:pPr>
              <w:spacing w:line="240" w:lineRule="auto"/>
              <w:rPr>
                <w:rFonts w:hint="eastAsia" w:ascii="宋体" w:hAnsi="宋体" w:eastAsia="宋体"/>
                <w:color w:val="auto"/>
                <w:szCs w:val="21"/>
              </w:rPr>
            </w:pPr>
            <w:r>
              <w:rPr>
                <w:rFonts w:ascii="宋体" w:hAnsi="宋体" w:eastAsia="宋体"/>
                <w:color w:val="auto"/>
                <w:szCs w:val="21"/>
              </w:rPr>
              <w:t>（2）</w:t>
            </w:r>
            <w:r>
              <w:rPr>
                <w:rFonts w:hint="eastAsia" w:ascii="宋体" w:hAnsi="宋体" w:eastAsia="宋体"/>
                <w:color w:val="auto"/>
                <w:szCs w:val="21"/>
              </w:rPr>
              <w:t>简单了解交响乐团的配器法</w:t>
            </w:r>
          </w:p>
          <w:p w14:paraId="54CEE942">
            <w:pPr>
              <w:spacing w:line="240" w:lineRule="auto"/>
              <w:rPr>
                <w:rFonts w:hint="eastAsia" w:ascii="宋体" w:hAnsi="宋体" w:eastAsia="宋体" w:cs="Times New Roman"/>
                <w:color w:val="auto"/>
                <w:szCs w:val="21"/>
              </w:rPr>
            </w:pPr>
            <w:r>
              <w:rPr>
                <w:rFonts w:ascii="宋体" w:hAnsi="宋体" w:eastAsia="宋体"/>
                <w:color w:val="auto"/>
                <w:szCs w:val="21"/>
              </w:rPr>
              <w:t>（3）</w:t>
            </w:r>
            <w:r>
              <w:rPr>
                <w:rFonts w:hint="eastAsia" w:ascii="宋体" w:hAnsi="宋体" w:eastAsia="宋体"/>
                <w:color w:val="auto"/>
                <w:szCs w:val="21"/>
              </w:rPr>
              <w:t>简单了解中外不同的乐器构造与音色</w:t>
            </w:r>
          </w:p>
        </w:tc>
        <w:tc>
          <w:tcPr>
            <w:tcW w:w="1560" w:type="dxa"/>
            <w:vAlign w:val="center"/>
          </w:tcPr>
          <w:p w14:paraId="20D77088">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0404C5EF">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462A21F6">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5965C6CA">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9</w:t>
            </w:r>
          </w:p>
        </w:tc>
      </w:tr>
      <w:tr w14:paraId="64F1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gridSpan w:val="2"/>
            <w:vMerge w:val="continue"/>
            <w:vAlign w:val="center"/>
          </w:tcPr>
          <w:p w14:paraId="6D7BC05E">
            <w:pPr>
              <w:spacing w:line="240" w:lineRule="auto"/>
              <w:jc w:val="center"/>
              <w:rPr>
                <w:rFonts w:hint="eastAsia" w:ascii="宋体" w:hAnsi="宋体" w:eastAsia="宋体" w:cs="Times New Roman"/>
                <w:color w:val="auto"/>
                <w:szCs w:val="21"/>
              </w:rPr>
            </w:pPr>
          </w:p>
        </w:tc>
        <w:tc>
          <w:tcPr>
            <w:tcW w:w="8093" w:type="dxa"/>
            <w:gridSpan w:val="5"/>
            <w:vAlign w:val="center"/>
          </w:tcPr>
          <w:p w14:paraId="0CCE647B">
            <w:pPr>
              <w:spacing w:line="240" w:lineRule="auto"/>
              <w:ind w:firstLine="422" w:firstLineChars="200"/>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ascii="宋体" w:hAnsi="宋体" w:eastAsia="宋体" w:cs="Times New Roman"/>
                <w:color w:val="auto"/>
                <w:szCs w:val="21"/>
              </w:rPr>
              <w:t>依法履行教师职责权利</w:t>
            </w:r>
            <w:r>
              <w:rPr>
                <w:rFonts w:hint="eastAsia" w:ascii="宋体" w:hAnsi="宋体" w:eastAsia="宋体" w:cs="Times New Roman"/>
                <w:color w:val="auto"/>
                <w:szCs w:val="21"/>
              </w:rPr>
              <w:t>，将社会主义核心价值观内化为精神追求，具有优良的爱国主义情怀和以爱为魂的高尚师德，</w:t>
            </w:r>
            <w:r>
              <w:rPr>
                <w:rFonts w:hint="eastAsia" w:ascii="宋体" w:hAnsi="宋体" w:eastAsia="宋体" w:cs="宋体"/>
                <w:color w:val="auto"/>
                <w:kern w:val="0"/>
                <w:szCs w:val="21"/>
              </w:rPr>
              <w:t>能够根据大学生身心发展特点，提出适宜的教育活动目标，做美育教育的启蒙者和引路人。</w:t>
            </w:r>
          </w:p>
        </w:tc>
      </w:tr>
      <w:tr w14:paraId="5C3C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4" w:type="dxa"/>
          <w:jc w:val="center"/>
        </w:trPr>
        <w:tc>
          <w:tcPr>
            <w:tcW w:w="1181" w:type="dxa"/>
            <w:vMerge w:val="restart"/>
            <w:vAlign w:val="center"/>
          </w:tcPr>
          <w:p w14:paraId="20CFD7BB">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5.音乐风格鉴赏</w:t>
            </w:r>
          </w:p>
        </w:tc>
        <w:tc>
          <w:tcPr>
            <w:tcW w:w="2549" w:type="dxa"/>
            <w:vAlign w:val="center"/>
          </w:tcPr>
          <w:p w14:paraId="6093D5AE">
            <w:pPr>
              <w:spacing w:line="240" w:lineRule="auto"/>
              <w:rPr>
                <w:rFonts w:hint="eastAsia" w:ascii="宋体" w:hAnsi="宋体" w:eastAsia="宋体"/>
                <w:bCs/>
                <w:color w:val="auto"/>
                <w:szCs w:val="21"/>
              </w:rPr>
            </w:pPr>
            <w:r>
              <w:rPr>
                <w:rFonts w:ascii="宋体" w:hAnsi="宋体" w:eastAsia="宋体"/>
                <w:color w:val="auto"/>
                <w:szCs w:val="21"/>
              </w:rPr>
              <w:t>（</w:t>
            </w:r>
            <w:r>
              <w:rPr>
                <w:rFonts w:hint="eastAsia" w:ascii="宋体" w:hAnsi="宋体" w:eastAsia="宋体"/>
                <w:color w:val="auto"/>
                <w:szCs w:val="21"/>
              </w:rPr>
              <w:t>1</w:t>
            </w:r>
            <w:r>
              <w:rPr>
                <w:rFonts w:ascii="宋体" w:hAnsi="宋体" w:eastAsia="宋体"/>
                <w:color w:val="auto"/>
                <w:szCs w:val="21"/>
              </w:rPr>
              <w:t>）</w:t>
            </w:r>
            <w:r>
              <w:rPr>
                <w:rFonts w:hint="eastAsia" w:ascii="宋体" w:hAnsi="宋体" w:eastAsia="宋体"/>
                <w:color w:val="auto"/>
                <w:szCs w:val="21"/>
              </w:rPr>
              <w:t>巴洛克时期音乐鉴赏（3课时）</w:t>
            </w:r>
          </w:p>
          <w:p w14:paraId="22796F9F">
            <w:pPr>
              <w:spacing w:line="240" w:lineRule="auto"/>
              <w:rPr>
                <w:rFonts w:hint="eastAsia" w:ascii="宋体" w:hAnsi="宋体" w:eastAsia="宋体"/>
                <w:color w:val="auto"/>
                <w:szCs w:val="21"/>
              </w:rPr>
            </w:pPr>
            <w:r>
              <w:rPr>
                <w:rFonts w:ascii="宋体" w:hAnsi="宋体" w:eastAsia="宋体"/>
                <w:color w:val="auto"/>
                <w:szCs w:val="21"/>
              </w:rPr>
              <w:t>（3）</w:t>
            </w:r>
            <w:r>
              <w:rPr>
                <w:rFonts w:hint="eastAsia" w:ascii="宋体" w:hAnsi="宋体" w:eastAsia="宋体"/>
                <w:color w:val="auto"/>
                <w:szCs w:val="21"/>
              </w:rPr>
              <w:t>古典主义时期音乐鉴赏（6课时）</w:t>
            </w:r>
          </w:p>
          <w:p w14:paraId="27BBE075">
            <w:pPr>
              <w:spacing w:line="240" w:lineRule="auto"/>
              <w:rPr>
                <w:rFonts w:hint="eastAsia" w:ascii="宋体" w:hAnsi="宋体" w:eastAsia="宋体" w:cs="Times New Roman"/>
                <w:color w:val="auto"/>
                <w:szCs w:val="21"/>
              </w:rPr>
            </w:pPr>
            <w:r>
              <w:rPr>
                <w:rFonts w:hint="eastAsia" w:ascii="宋体" w:hAnsi="宋体" w:eastAsia="宋体"/>
                <w:color w:val="auto"/>
                <w:szCs w:val="21"/>
              </w:rPr>
              <w:t>（4）浪漫主义时期音乐鉴赏（3课时）</w:t>
            </w:r>
          </w:p>
        </w:tc>
        <w:tc>
          <w:tcPr>
            <w:tcW w:w="1283" w:type="dxa"/>
            <w:vAlign w:val="center"/>
          </w:tcPr>
          <w:p w14:paraId="6D9EBD18">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2263" w:type="dxa"/>
            <w:vAlign w:val="center"/>
          </w:tcPr>
          <w:p w14:paraId="7DC944B1">
            <w:pPr>
              <w:spacing w:line="240" w:lineRule="auto"/>
              <w:rPr>
                <w:rFonts w:hint="eastAsia" w:ascii="宋体" w:hAnsi="宋体" w:eastAsia="宋体"/>
                <w:color w:val="auto"/>
                <w:szCs w:val="21"/>
              </w:rPr>
            </w:pPr>
            <w:r>
              <w:rPr>
                <w:rFonts w:ascii="宋体" w:hAnsi="宋体" w:eastAsia="宋体"/>
                <w:color w:val="auto"/>
                <w:szCs w:val="21"/>
              </w:rPr>
              <w:t>（1）了解</w:t>
            </w:r>
            <w:r>
              <w:rPr>
                <w:rFonts w:hint="eastAsia" w:ascii="宋体" w:hAnsi="宋体" w:eastAsia="宋体"/>
                <w:color w:val="auto"/>
                <w:szCs w:val="21"/>
              </w:rPr>
              <w:t>乐音的基础属性之——音调（音高）的有关知识</w:t>
            </w:r>
          </w:p>
          <w:p w14:paraId="2D5D279F">
            <w:pPr>
              <w:spacing w:line="240" w:lineRule="auto"/>
              <w:rPr>
                <w:rFonts w:hint="eastAsia" w:ascii="宋体" w:hAnsi="宋体" w:eastAsia="宋体"/>
                <w:color w:val="auto"/>
                <w:szCs w:val="21"/>
              </w:rPr>
            </w:pPr>
            <w:r>
              <w:rPr>
                <w:rFonts w:ascii="宋体" w:hAnsi="宋体" w:eastAsia="宋体"/>
                <w:color w:val="auto"/>
                <w:szCs w:val="21"/>
              </w:rPr>
              <w:t>（2）</w:t>
            </w:r>
            <w:r>
              <w:rPr>
                <w:rFonts w:hint="eastAsia" w:ascii="宋体" w:hAnsi="宋体" w:eastAsia="宋体"/>
                <w:color w:val="auto"/>
                <w:szCs w:val="21"/>
              </w:rPr>
              <w:t>能简单地阅读和应用五线谱和简谱</w:t>
            </w:r>
          </w:p>
          <w:p w14:paraId="662A5C95">
            <w:pPr>
              <w:spacing w:line="240" w:lineRule="auto"/>
              <w:rPr>
                <w:rFonts w:hint="eastAsia" w:ascii="宋体" w:hAnsi="宋体" w:eastAsia="宋体" w:cs="Times New Roman"/>
                <w:color w:val="auto"/>
                <w:szCs w:val="21"/>
              </w:rPr>
            </w:pPr>
            <w:r>
              <w:rPr>
                <w:rFonts w:ascii="宋体" w:hAnsi="宋体" w:eastAsia="宋体"/>
                <w:color w:val="auto"/>
                <w:szCs w:val="21"/>
              </w:rPr>
              <w:t>（3）</w:t>
            </w:r>
            <w:r>
              <w:rPr>
                <w:rFonts w:hint="eastAsia" w:ascii="宋体" w:hAnsi="宋体" w:eastAsia="宋体"/>
                <w:color w:val="auto"/>
                <w:szCs w:val="21"/>
              </w:rPr>
              <w:t>了解中外音乐在不同的文化背景下，所演变出的不同调式。</w:t>
            </w:r>
          </w:p>
        </w:tc>
        <w:tc>
          <w:tcPr>
            <w:tcW w:w="1560" w:type="dxa"/>
            <w:vAlign w:val="center"/>
          </w:tcPr>
          <w:p w14:paraId="022E9EEB">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5193483B">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1A46D562">
            <w:pPr>
              <w:spacing w:line="240"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2A74C1D5">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12</w:t>
            </w:r>
          </w:p>
        </w:tc>
      </w:tr>
      <w:tr w14:paraId="6A33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4" w:type="dxa"/>
          <w:jc w:val="center"/>
        </w:trPr>
        <w:tc>
          <w:tcPr>
            <w:tcW w:w="1181" w:type="dxa"/>
            <w:vMerge w:val="continue"/>
            <w:vAlign w:val="center"/>
          </w:tcPr>
          <w:p w14:paraId="22F0DBDC">
            <w:pPr>
              <w:spacing w:line="240" w:lineRule="auto"/>
              <w:jc w:val="center"/>
              <w:rPr>
                <w:rFonts w:hint="eastAsia" w:ascii="宋体" w:hAnsi="宋体" w:eastAsia="宋体" w:cs="Times New Roman"/>
                <w:color w:val="auto"/>
                <w:szCs w:val="21"/>
              </w:rPr>
            </w:pPr>
          </w:p>
        </w:tc>
        <w:tc>
          <w:tcPr>
            <w:tcW w:w="8093" w:type="dxa"/>
            <w:gridSpan w:val="5"/>
            <w:vAlign w:val="center"/>
          </w:tcPr>
          <w:p w14:paraId="0D2F49E9">
            <w:pPr>
              <w:spacing w:line="240" w:lineRule="auto"/>
              <w:ind w:firstLine="422" w:firstLineChars="200"/>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ascii="宋体" w:hAnsi="宋体" w:eastAsia="宋体" w:cs="Times New Roman"/>
                <w:color w:val="auto"/>
                <w:szCs w:val="21"/>
              </w:rPr>
              <w:t>依法履行教师职责权利</w:t>
            </w:r>
            <w:r>
              <w:rPr>
                <w:rFonts w:hint="eastAsia" w:ascii="宋体" w:hAnsi="宋体" w:eastAsia="宋体" w:cs="Times New Roman"/>
                <w:color w:val="auto"/>
                <w:szCs w:val="21"/>
              </w:rPr>
              <w:t>，将社会主义核心价值观内化为精神追求，具有优良的爱国主义情怀和以爱为魂的高尚师德，</w:t>
            </w:r>
            <w:r>
              <w:rPr>
                <w:rFonts w:hint="eastAsia" w:ascii="宋体" w:hAnsi="宋体" w:eastAsia="宋体" w:cs="宋体"/>
                <w:color w:val="auto"/>
                <w:kern w:val="0"/>
                <w:szCs w:val="21"/>
              </w:rPr>
              <w:t>能够根据大学生身心发展特点，提出适宜的教育活动目标，做美育教育的启蒙者和引路人。</w:t>
            </w:r>
          </w:p>
        </w:tc>
      </w:tr>
      <w:tr w14:paraId="092F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4" w:type="dxa"/>
          <w:jc w:val="center"/>
        </w:trPr>
        <w:tc>
          <w:tcPr>
            <w:tcW w:w="1181" w:type="dxa"/>
            <w:vMerge w:val="restart"/>
            <w:vAlign w:val="center"/>
          </w:tcPr>
          <w:p w14:paraId="49105454">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6.中国音乐鉴赏</w:t>
            </w:r>
          </w:p>
        </w:tc>
        <w:tc>
          <w:tcPr>
            <w:tcW w:w="2549" w:type="dxa"/>
            <w:vAlign w:val="center"/>
          </w:tcPr>
          <w:p w14:paraId="127FE991">
            <w:pPr>
              <w:spacing w:line="240" w:lineRule="auto"/>
              <w:rPr>
                <w:rFonts w:hint="eastAsia" w:ascii="宋体" w:hAnsi="宋体" w:eastAsia="宋体"/>
                <w:color w:val="auto"/>
                <w:szCs w:val="21"/>
              </w:rPr>
            </w:pPr>
            <w:r>
              <w:rPr>
                <w:rFonts w:ascii="宋体" w:hAnsi="宋体" w:eastAsia="宋体"/>
                <w:color w:val="auto"/>
                <w:szCs w:val="21"/>
              </w:rPr>
              <w:t>（1）</w:t>
            </w:r>
            <w:r>
              <w:rPr>
                <w:rFonts w:hint="eastAsia" w:ascii="宋体" w:hAnsi="宋体" w:eastAsia="宋体"/>
                <w:color w:val="auto"/>
                <w:szCs w:val="21"/>
              </w:rPr>
              <w:t>中国音乐的传统调式</w:t>
            </w:r>
          </w:p>
          <w:p w14:paraId="50302B5A">
            <w:pPr>
              <w:spacing w:line="240" w:lineRule="auto"/>
              <w:rPr>
                <w:rFonts w:hint="eastAsia" w:ascii="宋体" w:hAnsi="宋体" w:eastAsia="宋体"/>
                <w:color w:val="auto"/>
                <w:szCs w:val="21"/>
              </w:rPr>
            </w:pPr>
            <w:r>
              <w:rPr>
                <w:rFonts w:ascii="宋体" w:hAnsi="宋体" w:eastAsia="宋体"/>
                <w:color w:val="auto"/>
                <w:szCs w:val="21"/>
              </w:rPr>
              <w:t>（</w:t>
            </w:r>
            <w:r>
              <w:rPr>
                <w:rFonts w:hint="eastAsia" w:ascii="宋体" w:hAnsi="宋体" w:eastAsia="宋体"/>
                <w:color w:val="auto"/>
                <w:szCs w:val="21"/>
              </w:rPr>
              <w:t>2</w:t>
            </w:r>
            <w:r>
              <w:rPr>
                <w:rFonts w:ascii="宋体" w:hAnsi="宋体" w:eastAsia="宋体"/>
                <w:color w:val="auto"/>
                <w:szCs w:val="21"/>
              </w:rPr>
              <w:t>）</w:t>
            </w:r>
            <w:r>
              <w:rPr>
                <w:rFonts w:hint="eastAsia" w:ascii="宋体" w:hAnsi="宋体" w:eastAsia="宋体"/>
                <w:color w:val="auto"/>
                <w:szCs w:val="21"/>
              </w:rPr>
              <w:t>民乐的当今发展现状</w:t>
            </w:r>
          </w:p>
          <w:p w14:paraId="62FC0711">
            <w:pPr>
              <w:spacing w:line="240" w:lineRule="auto"/>
              <w:rPr>
                <w:rFonts w:hint="eastAsia" w:ascii="宋体" w:hAnsi="宋体" w:eastAsia="宋体"/>
                <w:color w:val="auto"/>
                <w:szCs w:val="21"/>
              </w:rPr>
            </w:pPr>
            <w:r>
              <w:rPr>
                <w:rFonts w:hint="eastAsia" w:ascii="宋体" w:hAnsi="宋体" w:eastAsia="宋体"/>
                <w:color w:val="auto"/>
                <w:szCs w:val="21"/>
              </w:rPr>
              <w:t>（3）民乐中的经典作品</w:t>
            </w:r>
          </w:p>
          <w:p w14:paraId="79A7FC2D">
            <w:pPr>
              <w:spacing w:line="240" w:lineRule="auto"/>
              <w:rPr>
                <w:rFonts w:hint="eastAsia" w:ascii="宋体" w:hAnsi="宋体" w:eastAsia="宋体"/>
                <w:color w:val="auto"/>
                <w:szCs w:val="21"/>
              </w:rPr>
            </w:pPr>
            <w:r>
              <w:rPr>
                <w:rFonts w:hint="eastAsia" w:ascii="宋体" w:hAnsi="宋体" w:eastAsia="宋体"/>
                <w:color w:val="auto"/>
                <w:szCs w:val="21"/>
              </w:rPr>
              <w:t>（4）非遗民间音乐艺术形式</w:t>
            </w:r>
          </w:p>
        </w:tc>
        <w:tc>
          <w:tcPr>
            <w:tcW w:w="1283" w:type="dxa"/>
            <w:vAlign w:val="center"/>
          </w:tcPr>
          <w:p w14:paraId="3C8244DB">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课程目标2、3</w:t>
            </w:r>
          </w:p>
        </w:tc>
        <w:tc>
          <w:tcPr>
            <w:tcW w:w="2263" w:type="dxa"/>
            <w:vAlign w:val="center"/>
          </w:tcPr>
          <w:p w14:paraId="6C985ECC">
            <w:pPr>
              <w:spacing w:line="240" w:lineRule="auto"/>
              <w:jc w:val="left"/>
              <w:rPr>
                <w:rFonts w:hint="eastAsia" w:ascii="宋体" w:hAnsi="宋体" w:eastAsia="宋体"/>
                <w:color w:val="auto"/>
                <w:szCs w:val="21"/>
              </w:rPr>
            </w:pPr>
            <w:r>
              <w:rPr>
                <w:rFonts w:ascii="宋体" w:hAnsi="宋体" w:eastAsia="宋体"/>
                <w:color w:val="auto"/>
                <w:szCs w:val="21"/>
              </w:rPr>
              <w:t>（1）了解</w:t>
            </w:r>
            <w:r>
              <w:rPr>
                <w:rFonts w:hint="eastAsia" w:ascii="宋体" w:hAnsi="宋体" w:eastAsia="宋体"/>
                <w:color w:val="auto"/>
                <w:szCs w:val="21"/>
              </w:rPr>
              <w:t>我国音乐的传统调式</w:t>
            </w:r>
          </w:p>
          <w:p w14:paraId="2C799EC3">
            <w:pPr>
              <w:spacing w:line="240" w:lineRule="auto"/>
              <w:jc w:val="left"/>
              <w:rPr>
                <w:rFonts w:hint="eastAsia" w:ascii="宋体" w:hAnsi="宋体" w:eastAsia="宋体"/>
                <w:color w:val="auto"/>
                <w:szCs w:val="21"/>
              </w:rPr>
            </w:pPr>
            <w:r>
              <w:rPr>
                <w:rFonts w:ascii="宋体" w:hAnsi="宋体" w:eastAsia="宋体"/>
                <w:color w:val="auto"/>
                <w:szCs w:val="21"/>
              </w:rPr>
              <w:t>（2）</w:t>
            </w:r>
            <w:r>
              <w:rPr>
                <w:rFonts w:hint="eastAsia" w:ascii="宋体" w:hAnsi="宋体" w:eastAsia="宋体"/>
                <w:color w:val="auto"/>
                <w:szCs w:val="21"/>
              </w:rPr>
              <w:t>能简单阅读民乐经典选段的乐谱</w:t>
            </w:r>
          </w:p>
          <w:p w14:paraId="50CC72FC">
            <w:pPr>
              <w:spacing w:line="240" w:lineRule="auto"/>
              <w:jc w:val="left"/>
              <w:rPr>
                <w:rFonts w:hint="eastAsia" w:ascii="宋体" w:hAnsi="宋体" w:eastAsia="宋体" w:cs="Times New Roman"/>
                <w:b/>
                <w:color w:val="auto"/>
                <w:szCs w:val="21"/>
              </w:rPr>
            </w:pPr>
            <w:r>
              <w:rPr>
                <w:rFonts w:ascii="宋体" w:hAnsi="宋体" w:eastAsia="宋体"/>
                <w:color w:val="auto"/>
                <w:szCs w:val="21"/>
              </w:rPr>
              <w:t>（3）</w:t>
            </w:r>
            <w:r>
              <w:rPr>
                <w:rFonts w:hint="eastAsia" w:ascii="宋体" w:hAnsi="宋体" w:eastAsia="宋体"/>
                <w:color w:val="auto"/>
                <w:szCs w:val="21"/>
              </w:rPr>
              <w:t>了解民乐中最为璀璨辉煌，并被联合国教科文列为为物质文化遗产的民间音乐艺术形式。</w:t>
            </w:r>
          </w:p>
        </w:tc>
        <w:tc>
          <w:tcPr>
            <w:tcW w:w="1560" w:type="dxa"/>
            <w:vAlign w:val="center"/>
          </w:tcPr>
          <w:p w14:paraId="4E6406B6">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6E6253CC">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2.多媒体教学3.课堂讨论</w:t>
            </w:r>
          </w:p>
          <w:p w14:paraId="4D35B796">
            <w:pPr>
              <w:spacing w:line="240"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438" w:type="dxa"/>
            <w:vAlign w:val="center"/>
          </w:tcPr>
          <w:p w14:paraId="20D0E6B6">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w:t>
            </w:r>
          </w:p>
        </w:tc>
      </w:tr>
      <w:tr w14:paraId="5455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4" w:type="dxa"/>
          <w:jc w:val="center"/>
        </w:trPr>
        <w:tc>
          <w:tcPr>
            <w:tcW w:w="1181" w:type="dxa"/>
            <w:vMerge w:val="continue"/>
            <w:vAlign w:val="center"/>
          </w:tcPr>
          <w:p w14:paraId="02152581">
            <w:pPr>
              <w:spacing w:line="240" w:lineRule="auto"/>
              <w:jc w:val="center"/>
              <w:rPr>
                <w:rFonts w:hint="eastAsia" w:ascii="宋体" w:hAnsi="宋体" w:eastAsia="宋体" w:cs="Times New Roman"/>
                <w:color w:val="auto"/>
                <w:szCs w:val="21"/>
              </w:rPr>
            </w:pPr>
          </w:p>
        </w:tc>
        <w:tc>
          <w:tcPr>
            <w:tcW w:w="8093" w:type="dxa"/>
            <w:gridSpan w:val="5"/>
            <w:vAlign w:val="center"/>
          </w:tcPr>
          <w:p w14:paraId="0F5F413A">
            <w:pPr>
              <w:spacing w:line="240" w:lineRule="auto"/>
              <w:ind w:firstLine="422" w:firstLineChars="200"/>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ascii="宋体" w:hAnsi="宋体" w:eastAsia="宋体" w:cs="Times New Roman"/>
                <w:color w:val="auto"/>
                <w:szCs w:val="21"/>
              </w:rPr>
              <w:t>依法履行教师职责权利</w:t>
            </w:r>
            <w:r>
              <w:rPr>
                <w:rFonts w:hint="eastAsia" w:ascii="宋体" w:hAnsi="宋体" w:eastAsia="宋体" w:cs="Times New Roman"/>
                <w:color w:val="auto"/>
                <w:szCs w:val="21"/>
              </w:rPr>
              <w:t>，将社会主义核心价值观内化为精神追求，具有优良的爱国主义情怀和以爱为魂的高尚师德，</w:t>
            </w:r>
            <w:r>
              <w:rPr>
                <w:rFonts w:hint="eastAsia" w:ascii="宋体" w:hAnsi="宋体" w:eastAsia="宋体" w:cs="宋体"/>
                <w:color w:val="auto"/>
                <w:kern w:val="0"/>
                <w:szCs w:val="21"/>
              </w:rPr>
              <w:t>能够根据大学生身心发展特点，提出适宜的教育活动目标，做美育教育的启蒙者和引路人。</w:t>
            </w:r>
          </w:p>
        </w:tc>
      </w:tr>
    </w:tbl>
    <w:p w14:paraId="73E8A519">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四、目标评价与成绩评定</w:t>
      </w:r>
    </w:p>
    <w:p w14:paraId="3F1295C3">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47082B96">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6907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1889EA4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0" w:type="auto"/>
            <w:gridSpan w:val="6"/>
            <w:vAlign w:val="center"/>
          </w:tcPr>
          <w:p w14:paraId="7DEE581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3BB6A5E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6A39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A45436D">
            <w:pPr>
              <w:spacing w:line="360" w:lineRule="auto"/>
              <w:jc w:val="center"/>
              <w:rPr>
                <w:rFonts w:hint="eastAsia" w:ascii="宋体" w:hAnsi="宋体" w:eastAsia="宋体" w:cs="Times New Roman"/>
                <w:color w:val="auto"/>
                <w:szCs w:val="21"/>
              </w:rPr>
            </w:pPr>
          </w:p>
        </w:tc>
        <w:tc>
          <w:tcPr>
            <w:tcW w:w="0" w:type="auto"/>
            <w:vAlign w:val="center"/>
          </w:tcPr>
          <w:p w14:paraId="2E3892E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0" w:type="auto"/>
            <w:vAlign w:val="center"/>
          </w:tcPr>
          <w:p w14:paraId="4B6772E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0" w:type="auto"/>
            <w:vAlign w:val="center"/>
          </w:tcPr>
          <w:p w14:paraId="5AAF74A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单元测验</w:t>
            </w:r>
          </w:p>
        </w:tc>
        <w:tc>
          <w:tcPr>
            <w:tcW w:w="0" w:type="auto"/>
            <w:vAlign w:val="center"/>
          </w:tcPr>
          <w:p w14:paraId="181B5D7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个人展示</w:t>
            </w:r>
          </w:p>
        </w:tc>
        <w:tc>
          <w:tcPr>
            <w:tcW w:w="0" w:type="auto"/>
            <w:vAlign w:val="center"/>
          </w:tcPr>
          <w:p w14:paraId="6CDCC76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0" w:type="auto"/>
          </w:tcPr>
          <w:p w14:paraId="6CDA0D2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自主学习</w:t>
            </w:r>
          </w:p>
        </w:tc>
        <w:tc>
          <w:tcPr>
            <w:tcW w:w="0" w:type="auto"/>
            <w:vMerge w:val="continue"/>
            <w:vAlign w:val="center"/>
          </w:tcPr>
          <w:p w14:paraId="0437C2D4">
            <w:pPr>
              <w:spacing w:line="360" w:lineRule="auto"/>
              <w:jc w:val="center"/>
              <w:rPr>
                <w:rFonts w:hint="eastAsia" w:ascii="宋体" w:hAnsi="宋体" w:eastAsia="宋体" w:cs="Times New Roman"/>
                <w:color w:val="auto"/>
                <w:szCs w:val="21"/>
              </w:rPr>
            </w:pPr>
          </w:p>
        </w:tc>
      </w:tr>
      <w:tr w14:paraId="4410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A35B32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0" w:type="auto"/>
            <w:vAlign w:val="center"/>
          </w:tcPr>
          <w:p w14:paraId="09277A2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A86C5F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F66A39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0F9E1360">
            <w:pPr>
              <w:spacing w:line="360" w:lineRule="auto"/>
              <w:jc w:val="center"/>
              <w:rPr>
                <w:rFonts w:hint="eastAsia" w:ascii="宋体" w:hAnsi="宋体" w:eastAsia="宋体" w:cs="Times New Roman"/>
                <w:color w:val="auto"/>
                <w:szCs w:val="21"/>
              </w:rPr>
            </w:pPr>
          </w:p>
        </w:tc>
        <w:tc>
          <w:tcPr>
            <w:tcW w:w="0" w:type="auto"/>
            <w:vAlign w:val="center"/>
          </w:tcPr>
          <w:p w14:paraId="3E59FC9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tcPr>
          <w:p w14:paraId="1D3C78A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3EDC7A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416C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2B2F17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0" w:type="auto"/>
            <w:vAlign w:val="center"/>
          </w:tcPr>
          <w:p w14:paraId="65E6FC4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968647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4E3FA8E">
            <w:pPr>
              <w:spacing w:line="360" w:lineRule="auto"/>
              <w:jc w:val="center"/>
              <w:rPr>
                <w:rFonts w:hint="eastAsia" w:ascii="宋体" w:hAnsi="宋体" w:eastAsia="宋体" w:cs="Times New Roman"/>
                <w:color w:val="auto"/>
                <w:szCs w:val="21"/>
              </w:rPr>
            </w:pPr>
          </w:p>
        </w:tc>
        <w:tc>
          <w:tcPr>
            <w:tcW w:w="0" w:type="auto"/>
            <w:vAlign w:val="center"/>
          </w:tcPr>
          <w:p w14:paraId="1910100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8447CD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tcPr>
          <w:p w14:paraId="167728B1">
            <w:pPr>
              <w:spacing w:line="360" w:lineRule="auto"/>
              <w:jc w:val="center"/>
              <w:rPr>
                <w:rFonts w:hint="eastAsia" w:ascii="宋体" w:hAnsi="宋体" w:eastAsia="宋体" w:cs="Times New Roman"/>
                <w:color w:val="auto"/>
                <w:szCs w:val="21"/>
              </w:rPr>
            </w:pPr>
          </w:p>
        </w:tc>
        <w:tc>
          <w:tcPr>
            <w:tcW w:w="0" w:type="auto"/>
            <w:vAlign w:val="center"/>
          </w:tcPr>
          <w:p w14:paraId="7460D22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6DF6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192333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0" w:type="auto"/>
            <w:vAlign w:val="center"/>
          </w:tcPr>
          <w:p w14:paraId="10C4F8C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F883ADC">
            <w:pPr>
              <w:spacing w:line="360" w:lineRule="auto"/>
              <w:jc w:val="center"/>
              <w:rPr>
                <w:rFonts w:hint="eastAsia" w:ascii="宋体" w:hAnsi="宋体" w:eastAsia="宋体" w:cs="Times New Roman"/>
                <w:color w:val="auto"/>
                <w:szCs w:val="21"/>
              </w:rPr>
            </w:pPr>
          </w:p>
        </w:tc>
        <w:tc>
          <w:tcPr>
            <w:tcW w:w="0" w:type="auto"/>
            <w:vAlign w:val="center"/>
          </w:tcPr>
          <w:p w14:paraId="58470AF2">
            <w:pPr>
              <w:spacing w:line="360" w:lineRule="auto"/>
              <w:jc w:val="center"/>
              <w:rPr>
                <w:rFonts w:hint="eastAsia" w:ascii="宋体" w:hAnsi="宋体" w:eastAsia="宋体" w:cs="Times New Roman"/>
                <w:color w:val="auto"/>
                <w:szCs w:val="21"/>
              </w:rPr>
            </w:pPr>
          </w:p>
        </w:tc>
        <w:tc>
          <w:tcPr>
            <w:tcW w:w="0" w:type="auto"/>
            <w:vAlign w:val="center"/>
          </w:tcPr>
          <w:p w14:paraId="387BDE06">
            <w:pPr>
              <w:spacing w:line="360" w:lineRule="auto"/>
              <w:jc w:val="center"/>
              <w:rPr>
                <w:rFonts w:hint="eastAsia" w:ascii="宋体" w:hAnsi="宋体" w:eastAsia="宋体" w:cs="Times New Roman"/>
                <w:color w:val="auto"/>
                <w:szCs w:val="21"/>
              </w:rPr>
            </w:pPr>
          </w:p>
        </w:tc>
        <w:tc>
          <w:tcPr>
            <w:tcW w:w="0" w:type="auto"/>
            <w:vAlign w:val="center"/>
          </w:tcPr>
          <w:p w14:paraId="03016C8B">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tcPr>
          <w:p w14:paraId="68ADB43C">
            <w:pPr>
              <w:spacing w:line="360" w:lineRule="auto"/>
              <w:jc w:val="center"/>
              <w:rPr>
                <w:rFonts w:hint="eastAsia" w:ascii="宋体" w:hAnsi="宋体" w:eastAsia="宋体" w:cs="Times New Roman"/>
                <w:color w:val="auto"/>
                <w:szCs w:val="21"/>
              </w:rPr>
            </w:pPr>
          </w:p>
        </w:tc>
        <w:tc>
          <w:tcPr>
            <w:tcW w:w="0" w:type="auto"/>
            <w:vAlign w:val="center"/>
          </w:tcPr>
          <w:p w14:paraId="6AE8544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71A4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3C0455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0" w:type="auto"/>
            <w:vAlign w:val="center"/>
          </w:tcPr>
          <w:p w14:paraId="22308CBF">
            <w:pPr>
              <w:spacing w:line="360" w:lineRule="auto"/>
              <w:jc w:val="center"/>
              <w:rPr>
                <w:rFonts w:hint="eastAsia" w:ascii="宋体" w:hAnsi="宋体" w:eastAsia="宋体" w:cs="Times New Roman"/>
                <w:color w:val="auto"/>
                <w:szCs w:val="21"/>
              </w:rPr>
            </w:pPr>
          </w:p>
        </w:tc>
        <w:tc>
          <w:tcPr>
            <w:tcW w:w="0" w:type="auto"/>
            <w:vAlign w:val="center"/>
          </w:tcPr>
          <w:p w14:paraId="3B943E13">
            <w:pPr>
              <w:spacing w:line="360" w:lineRule="auto"/>
              <w:jc w:val="center"/>
              <w:rPr>
                <w:rFonts w:hint="eastAsia" w:ascii="宋体" w:hAnsi="宋体" w:eastAsia="宋体" w:cs="Times New Roman"/>
                <w:color w:val="auto"/>
                <w:szCs w:val="21"/>
              </w:rPr>
            </w:pPr>
          </w:p>
        </w:tc>
        <w:tc>
          <w:tcPr>
            <w:tcW w:w="0" w:type="auto"/>
            <w:vAlign w:val="center"/>
          </w:tcPr>
          <w:p w14:paraId="411E2BB4">
            <w:pPr>
              <w:spacing w:line="360" w:lineRule="auto"/>
              <w:jc w:val="center"/>
              <w:rPr>
                <w:rFonts w:hint="eastAsia" w:ascii="宋体" w:hAnsi="宋体" w:eastAsia="宋体" w:cs="Times New Roman"/>
                <w:color w:val="auto"/>
                <w:szCs w:val="21"/>
              </w:rPr>
            </w:pPr>
          </w:p>
        </w:tc>
        <w:tc>
          <w:tcPr>
            <w:tcW w:w="0" w:type="auto"/>
            <w:vAlign w:val="center"/>
          </w:tcPr>
          <w:p w14:paraId="3D7F7933">
            <w:pPr>
              <w:spacing w:line="360" w:lineRule="auto"/>
              <w:jc w:val="center"/>
              <w:rPr>
                <w:rFonts w:hint="eastAsia" w:ascii="宋体" w:hAnsi="宋体" w:eastAsia="宋体" w:cs="Times New Roman"/>
                <w:color w:val="auto"/>
                <w:szCs w:val="21"/>
              </w:rPr>
            </w:pPr>
          </w:p>
        </w:tc>
        <w:tc>
          <w:tcPr>
            <w:tcW w:w="0" w:type="auto"/>
            <w:vAlign w:val="center"/>
          </w:tcPr>
          <w:p w14:paraId="5E596714">
            <w:pPr>
              <w:spacing w:line="360" w:lineRule="auto"/>
              <w:jc w:val="center"/>
              <w:rPr>
                <w:rFonts w:hint="eastAsia" w:ascii="宋体" w:hAnsi="宋体" w:eastAsia="宋体" w:cs="Times New Roman"/>
                <w:color w:val="auto"/>
                <w:szCs w:val="21"/>
              </w:rPr>
            </w:pPr>
          </w:p>
        </w:tc>
        <w:tc>
          <w:tcPr>
            <w:tcW w:w="0" w:type="auto"/>
          </w:tcPr>
          <w:p w14:paraId="26D44408">
            <w:pPr>
              <w:spacing w:line="360" w:lineRule="auto"/>
              <w:jc w:val="center"/>
              <w:rPr>
                <w:rFonts w:hint="eastAsia" w:ascii="宋体" w:hAnsi="宋体" w:eastAsia="宋体" w:cs="Times New Roman"/>
                <w:color w:val="auto"/>
                <w:szCs w:val="21"/>
              </w:rPr>
            </w:pPr>
          </w:p>
        </w:tc>
        <w:tc>
          <w:tcPr>
            <w:tcW w:w="0" w:type="auto"/>
            <w:vAlign w:val="center"/>
          </w:tcPr>
          <w:p w14:paraId="3842B19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507C57ED">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4D45EE72">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527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71C489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231ABBE7">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53A752F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2F33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742420F">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7141" w:type="dxa"/>
            <w:vAlign w:val="center"/>
          </w:tcPr>
          <w:p w14:paraId="23ED17DC">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5次，一为读书笔记，学期初即提供阅读书目，要求每位学生至少选择一本认真阅读并作读书笔记，读书笔记完成情况将作为评分的主要依据。二为四次整理提纲，全面认真梳理课上所学内容（基础乐理知识、鉴赏部分的相关知识点）</w:t>
            </w:r>
          </w:p>
        </w:tc>
        <w:tc>
          <w:tcPr>
            <w:tcW w:w="0" w:type="auto"/>
            <w:vAlign w:val="center"/>
          </w:tcPr>
          <w:p w14:paraId="59B927A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5712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80D8869">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7141" w:type="dxa"/>
            <w:vAlign w:val="center"/>
          </w:tcPr>
          <w:p w14:paraId="6A37259E">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一是课题考勤情况</w:t>
            </w:r>
            <w:r>
              <w:rPr>
                <w:rFonts w:ascii="宋体" w:hAnsi="宋体" w:eastAsia="宋体" w:cs="宋体"/>
                <w:color w:val="auto"/>
                <w:kern w:val="0"/>
                <w:szCs w:val="21"/>
                <w:lang w:bidi="ar"/>
              </w:rPr>
              <w:t>。</w:t>
            </w:r>
            <w:r>
              <w:rPr>
                <w:rFonts w:hint="eastAsia" w:ascii="Times New Roman" w:hAnsi="Times New Roman" w:eastAsia="宋体" w:cs="Times New Roman"/>
                <w:color w:val="auto"/>
                <w:szCs w:val="21"/>
              </w:rPr>
              <w:t>迟到一次扣2分，无故缺席一次扣5分，累计达</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次以上（不含</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次）取消课程成绩。</w:t>
            </w:r>
          </w:p>
          <w:p w14:paraId="60AB19CE">
            <w:pPr>
              <w:widowControl/>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二是</w:t>
            </w:r>
            <w:r>
              <w:rPr>
                <w:rFonts w:ascii="宋体" w:hAnsi="宋体" w:eastAsia="宋体" w:cs="宋体"/>
                <w:color w:val="auto"/>
                <w:kern w:val="0"/>
                <w:szCs w:val="21"/>
                <w:lang w:bidi="ar"/>
              </w:rPr>
              <w:t>课堂参与</w:t>
            </w:r>
            <w:r>
              <w:rPr>
                <w:rFonts w:hint="eastAsia" w:ascii="宋体" w:hAnsi="宋体" w:eastAsia="宋体" w:cs="宋体"/>
                <w:color w:val="auto"/>
                <w:kern w:val="0"/>
                <w:szCs w:val="21"/>
                <w:lang w:bidi="ar"/>
              </w:rPr>
              <w:t>情况。</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表现良好，按照对应的课程目标及权重给予评定</w:t>
            </w:r>
            <w:r>
              <w:rPr>
                <w:rFonts w:hint="eastAsia" w:ascii="宋体" w:hAnsi="宋体" w:eastAsia="宋体" w:cs="宋体"/>
                <w:color w:val="auto"/>
                <w:kern w:val="0"/>
                <w:szCs w:val="21"/>
                <w:lang w:bidi="ar"/>
              </w:rPr>
              <w:t>。</w:t>
            </w:r>
          </w:p>
        </w:tc>
        <w:tc>
          <w:tcPr>
            <w:tcW w:w="0" w:type="auto"/>
            <w:vAlign w:val="center"/>
          </w:tcPr>
          <w:p w14:paraId="1F09D3E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7E38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74717A2">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单元测验</w:t>
            </w:r>
          </w:p>
        </w:tc>
        <w:tc>
          <w:tcPr>
            <w:tcW w:w="7141" w:type="dxa"/>
            <w:vAlign w:val="center"/>
          </w:tcPr>
          <w:p w14:paraId="4D6268CF">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每单元在线下进行测验（课内实践），主要考查基础知识和基本理论的掌握，以题目的正确率为得分依据。</w:t>
            </w:r>
          </w:p>
        </w:tc>
        <w:tc>
          <w:tcPr>
            <w:tcW w:w="0" w:type="auto"/>
            <w:vAlign w:val="center"/>
          </w:tcPr>
          <w:p w14:paraId="535BA79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6578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97FFAF6">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个人展示</w:t>
            </w:r>
          </w:p>
        </w:tc>
        <w:tc>
          <w:tcPr>
            <w:tcW w:w="7141" w:type="dxa"/>
            <w:vAlign w:val="center"/>
          </w:tcPr>
          <w:p w14:paraId="4DCB8037">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课前5分钟左右，每位同学评说音乐时事、音乐史中的重大事件或音乐教育现象等，以学生表达的流程性、逻辑性和分析的深度为评分的主要依据。</w:t>
            </w:r>
          </w:p>
        </w:tc>
        <w:tc>
          <w:tcPr>
            <w:tcW w:w="0" w:type="auto"/>
            <w:vAlign w:val="center"/>
          </w:tcPr>
          <w:p w14:paraId="1302977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76FD6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541B94D">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自主学习</w:t>
            </w:r>
          </w:p>
        </w:tc>
        <w:tc>
          <w:tcPr>
            <w:tcW w:w="7141" w:type="dxa"/>
            <w:vAlign w:val="center"/>
          </w:tcPr>
          <w:p w14:paraId="256EB1B1">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22A38A4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72C5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320BAFA">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7141" w:type="dxa"/>
            <w:vAlign w:val="center"/>
          </w:tcPr>
          <w:p w14:paraId="49B20F04">
            <w:pPr>
              <w:spacing w:line="264"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t>试卷题型包括</w:t>
            </w:r>
            <w:r>
              <w:rPr>
                <w:rFonts w:hint="eastAsia" w:ascii="Times New Roman" w:hAnsi="Times New Roman" w:eastAsia="宋体" w:cs="Times New Roman"/>
                <w:color w:val="auto"/>
                <w:szCs w:val="21"/>
              </w:rPr>
              <w:t>选择题</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辨析</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简答题、论述题</w:t>
            </w:r>
            <w:r>
              <w:rPr>
                <w:rFonts w:ascii="Times New Roman" w:hAnsi="Times New Roman" w:eastAsia="宋体" w:cs="Times New Roman"/>
                <w:color w:val="auto"/>
                <w:szCs w:val="21"/>
              </w:rPr>
              <w:t>等，以卷面成绩的50%计入课程总成绩。其中考核</w:t>
            </w:r>
            <w:r>
              <w:rPr>
                <w:rFonts w:hint="eastAsia" w:ascii="Times New Roman" w:hAnsi="Times New Roman" w:eastAsia="宋体" w:cs="Times New Roman"/>
                <w:color w:val="auto"/>
                <w:szCs w:val="21"/>
              </w:rPr>
              <w:t>教育基本理论和知识型题目占3</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%；考核学生运用基本理论知识进行分析能力的题型占</w:t>
            </w:r>
            <w:r>
              <w:rPr>
                <w:rFonts w:ascii="Times New Roman" w:hAnsi="Times New Roman" w:eastAsia="宋体" w:cs="Times New Roman"/>
                <w:color w:val="auto"/>
                <w:szCs w:val="21"/>
              </w:rPr>
              <w:t>30</w:t>
            </w:r>
            <w:r>
              <w:rPr>
                <w:rFonts w:hint="eastAsia" w:ascii="Times New Roman" w:hAnsi="Times New Roman" w:eastAsia="宋体" w:cs="Times New Roman"/>
                <w:color w:val="auto"/>
                <w:szCs w:val="21"/>
              </w:rPr>
              <w:t>%；考核学生运用学与教的基本理论和知识进行教学设计的题型占</w:t>
            </w:r>
            <w:r>
              <w:rPr>
                <w:rFonts w:ascii="Times New Roman" w:hAnsi="Times New Roman" w:eastAsia="宋体" w:cs="Times New Roman"/>
                <w:color w:val="auto"/>
                <w:szCs w:val="21"/>
              </w:rPr>
              <w:t>30</w:t>
            </w:r>
            <w:r>
              <w:rPr>
                <w:rFonts w:hint="eastAsia" w:ascii="Times New Roman" w:hAnsi="Times New Roman" w:eastAsia="宋体" w:cs="Times New Roman"/>
                <w:color w:val="auto"/>
                <w:szCs w:val="21"/>
              </w:rPr>
              <w:t>%；考核学生初步研究能力的题型占1</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w:t>
            </w:r>
          </w:p>
        </w:tc>
        <w:tc>
          <w:tcPr>
            <w:tcW w:w="0" w:type="auto"/>
            <w:vAlign w:val="center"/>
          </w:tcPr>
          <w:p w14:paraId="4EF6F29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2AD1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BC592D5">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359EB465">
            <w:pPr>
              <w:jc w:val="left"/>
              <w:rPr>
                <w:rFonts w:ascii="Times New Roman" w:hAnsi="Times New Roman" w:eastAsia="宋体" w:cs="Times New Roman"/>
                <w:color w:val="auto"/>
                <w:szCs w:val="21"/>
              </w:rPr>
            </w:pPr>
          </w:p>
        </w:tc>
        <w:tc>
          <w:tcPr>
            <w:tcW w:w="0" w:type="auto"/>
            <w:vAlign w:val="center"/>
          </w:tcPr>
          <w:p w14:paraId="247B575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429ADF1B">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4A6DD551">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729D5B57">
      <w:pPr>
        <w:spacing w:before="156" w:beforeLines="50"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drawing>
          <wp:inline distT="0" distB="0" distL="0" distR="0">
            <wp:extent cx="5138420" cy="320040"/>
            <wp:effectExtent l="0" t="0" r="0" b="3175"/>
            <wp:docPr id="1" name="_x0000_i1025"/>
            <wp:cNvGraphicFramePr/>
            <a:graphic xmlns:a="http://schemas.openxmlformats.org/drawingml/2006/main">
              <a:graphicData uri="http://schemas.openxmlformats.org/drawingml/2006/picture">
                <pic:pic xmlns:pic="http://schemas.openxmlformats.org/drawingml/2006/picture">
                  <pic:nvPicPr>
                    <pic:cNvPr id="1" name="_x0000_i1025"/>
                    <pic:cNvPicPr/>
                  </pic:nvPicPr>
                  <pic:blipFill>
                    <a:blip r:embed="rId10"/>
                    <a:stretch>
                      <a:fillRect/>
                    </a:stretch>
                  </pic:blipFill>
                  <pic:spPr>
                    <a:xfrm>
                      <a:off x="0" y="0"/>
                      <a:ext cx="5138420" cy="320040"/>
                    </a:xfrm>
                    <a:prstGeom prst="rect">
                      <a:avLst/>
                    </a:prstGeom>
                  </pic:spPr>
                </pic:pic>
              </a:graphicData>
            </a:graphic>
          </wp:inline>
        </w:drawing>
      </w:r>
    </w:p>
    <w:p w14:paraId="19C60D6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五、课程实践（利用第二课堂，不占总学时）</w:t>
      </w:r>
    </w:p>
    <w:p w14:paraId="5DFDA29A">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本课程在系统教学的基础上，以学生为主题，整合各类教育资源，科学设计实践活动，丰富教育教学形式，提升教育教学效果，从而实现思政育人。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111E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3A013AB7">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3407" w:type="dxa"/>
            <w:vAlign w:val="center"/>
          </w:tcPr>
          <w:p w14:paraId="5C3648CF">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740" w:type="dxa"/>
            <w:vAlign w:val="center"/>
          </w:tcPr>
          <w:p w14:paraId="29940E3C">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3160" w:type="dxa"/>
            <w:vAlign w:val="center"/>
          </w:tcPr>
          <w:p w14:paraId="2FF2CFE4">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思政目标</w:t>
            </w:r>
          </w:p>
        </w:tc>
      </w:tr>
      <w:tr w14:paraId="3627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D6D4243">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音乐匠人精神</w:t>
            </w:r>
          </w:p>
        </w:tc>
        <w:tc>
          <w:tcPr>
            <w:tcW w:w="3407" w:type="dxa"/>
            <w:vAlign w:val="center"/>
          </w:tcPr>
          <w:p w14:paraId="7393D748">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通过阅读相关书籍或讲述国内外音乐家、音乐教育家的故事，进行课堂主题讨论，让学生领会艺术以及艺术教育中所展现的匠人精神</w:t>
            </w:r>
          </w:p>
        </w:tc>
        <w:tc>
          <w:tcPr>
            <w:tcW w:w="740" w:type="dxa"/>
            <w:vAlign w:val="center"/>
          </w:tcPr>
          <w:p w14:paraId="09B6E849">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读书笔记</w:t>
            </w:r>
          </w:p>
        </w:tc>
        <w:tc>
          <w:tcPr>
            <w:tcW w:w="3160" w:type="dxa"/>
            <w:vAlign w:val="center"/>
          </w:tcPr>
          <w:p w14:paraId="48F9E733">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通过对教育家精神的领会，使学立志成为有理想信念、有道德情操、有扎实学识、有仁爱之心的“四有”好老师。</w:t>
            </w:r>
          </w:p>
        </w:tc>
      </w:tr>
      <w:tr w14:paraId="6645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21F0A217">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最美教师或师德模范进课堂</w:t>
            </w:r>
          </w:p>
        </w:tc>
        <w:tc>
          <w:tcPr>
            <w:tcW w:w="3407" w:type="dxa"/>
            <w:vAlign w:val="center"/>
          </w:tcPr>
          <w:p w14:paraId="2787029B">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邀请当地获得最美教师、师德模范等荣誉称号的教师做报告，让学生进一步认识基础一线优秀教师的优秀事迹并向他们学习。</w:t>
            </w:r>
          </w:p>
        </w:tc>
        <w:tc>
          <w:tcPr>
            <w:tcW w:w="740" w:type="dxa"/>
            <w:vAlign w:val="center"/>
          </w:tcPr>
          <w:p w14:paraId="017BBB45">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专题报告</w:t>
            </w:r>
          </w:p>
        </w:tc>
        <w:tc>
          <w:tcPr>
            <w:tcW w:w="3160" w:type="dxa"/>
            <w:vAlign w:val="center"/>
          </w:tcPr>
          <w:p w14:paraId="02CBFA12">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用榜样的力量激发学生爱岗敬业、立志成为卓越教师，为党和国家的发展做出贡献。</w:t>
            </w:r>
          </w:p>
        </w:tc>
      </w:tr>
      <w:tr w14:paraId="39DA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8D90ABF">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寻找最感动我的音乐作品</w:t>
            </w:r>
          </w:p>
        </w:tc>
        <w:tc>
          <w:tcPr>
            <w:tcW w:w="3407" w:type="dxa"/>
            <w:vAlign w:val="center"/>
          </w:tcPr>
          <w:p w14:paraId="097E09EC">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利用假期，让学生访谈自己听后最感动自己的音乐作品，在调查中加强对艺术所具备的美育教育属性、人文素养属性的任职</w:t>
            </w:r>
          </w:p>
        </w:tc>
        <w:tc>
          <w:tcPr>
            <w:tcW w:w="740" w:type="dxa"/>
            <w:vAlign w:val="center"/>
          </w:tcPr>
          <w:p w14:paraId="434F4F9E">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课程实践作业</w:t>
            </w:r>
          </w:p>
        </w:tc>
        <w:tc>
          <w:tcPr>
            <w:tcW w:w="3160" w:type="dxa"/>
            <w:vAlign w:val="center"/>
          </w:tcPr>
          <w:p w14:paraId="54AE32AB">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提高学生对教师职业特性的认识，增强学生从教意愿、责任感、使命感和职业荣耀感， 愿意为党和国家的教育事业奉献终身。</w:t>
            </w:r>
          </w:p>
        </w:tc>
      </w:tr>
      <w:tr w14:paraId="4EA9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165A88D0">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师范生从教宣誓</w:t>
            </w:r>
          </w:p>
        </w:tc>
        <w:tc>
          <w:tcPr>
            <w:tcW w:w="3407" w:type="dxa"/>
            <w:vAlign w:val="center"/>
          </w:tcPr>
          <w:p w14:paraId="2A3F6250">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学期末，结合课程中的所思、所感、和所得 ，以活动展示的新式进行从教宣誓活动。</w:t>
            </w:r>
          </w:p>
        </w:tc>
        <w:tc>
          <w:tcPr>
            <w:tcW w:w="740" w:type="dxa"/>
            <w:vAlign w:val="center"/>
          </w:tcPr>
          <w:p w14:paraId="5CAB6D3B">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第二课堂</w:t>
            </w:r>
          </w:p>
        </w:tc>
        <w:tc>
          <w:tcPr>
            <w:tcW w:w="3160" w:type="dxa"/>
            <w:vAlign w:val="center"/>
          </w:tcPr>
          <w:p w14:paraId="378A45ED">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用庄严的意识，增强学生从教的意愿，以及成为人民教师的荣耀感、责任感和使命感。</w:t>
            </w:r>
          </w:p>
        </w:tc>
      </w:tr>
    </w:tbl>
    <w:p w14:paraId="364F3335">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六、有关说明</w:t>
      </w:r>
    </w:p>
    <w:p w14:paraId="176C5073">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7057A01F">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color w:val="auto"/>
          <w:szCs w:val="21"/>
        </w:rPr>
        <w:t>根据学生课堂教学中的反应、课后反馈、作业质量、答卷情况，以及领导、督导、教师同行等的听课情况，及时发现和改进教学中的不足之处，确保相应毕业要求指标点达成。</w:t>
      </w:r>
    </w:p>
    <w:p w14:paraId="6CA6B19B">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51F87A53">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olor w:val="auto"/>
          <w:szCs w:val="21"/>
        </w:rPr>
      </w:pPr>
      <w:r>
        <w:rPr>
          <w:rFonts w:ascii="宋体" w:hAnsi="宋体" w:eastAsia="宋体"/>
          <w:color w:val="auto"/>
          <w:szCs w:val="21"/>
        </w:rPr>
        <w:t>《</w:t>
      </w:r>
      <w:r>
        <w:rPr>
          <w:rFonts w:hint="eastAsia" w:ascii="宋体" w:hAnsi="宋体" w:eastAsia="宋体"/>
          <w:color w:val="auto"/>
          <w:szCs w:val="21"/>
        </w:rPr>
        <w:t>音乐基础理论与欣赏</w:t>
      </w:r>
      <w:r>
        <w:rPr>
          <w:rFonts w:ascii="宋体" w:hAnsi="宋体" w:eastAsia="宋体"/>
          <w:color w:val="auto"/>
          <w:szCs w:val="21"/>
        </w:rPr>
        <w:t>》，</w:t>
      </w:r>
      <w:r>
        <w:rPr>
          <w:rFonts w:hint="eastAsia" w:ascii="宋体" w:hAnsi="宋体" w:eastAsia="宋体"/>
          <w:color w:val="auto"/>
          <w:szCs w:val="21"/>
        </w:rPr>
        <w:t>于芳、蔡霞著</w:t>
      </w:r>
      <w:r>
        <w:rPr>
          <w:rFonts w:ascii="宋体" w:hAnsi="宋体" w:eastAsia="宋体"/>
          <w:color w:val="auto"/>
          <w:szCs w:val="21"/>
        </w:rPr>
        <w:t>，</w:t>
      </w:r>
      <w:r>
        <w:rPr>
          <w:rFonts w:hint="eastAsia" w:ascii="宋体" w:hAnsi="宋体" w:eastAsia="宋体"/>
          <w:color w:val="auto"/>
          <w:szCs w:val="21"/>
        </w:rPr>
        <w:t>北京师范大学</w:t>
      </w:r>
      <w:r>
        <w:rPr>
          <w:rFonts w:ascii="宋体" w:hAnsi="宋体" w:eastAsia="宋体"/>
          <w:color w:val="auto"/>
          <w:szCs w:val="21"/>
        </w:rPr>
        <w:t>出版社</w:t>
      </w:r>
      <w:r>
        <w:rPr>
          <w:rFonts w:hint="eastAsia" w:ascii="宋体" w:hAnsi="宋体" w:eastAsia="宋体"/>
          <w:color w:val="auto"/>
          <w:szCs w:val="21"/>
        </w:rPr>
        <w:t>。</w:t>
      </w:r>
    </w:p>
    <w:p w14:paraId="44799519">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0759BCD9">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1.王道俊、王汉澜</w:t>
      </w:r>
      <w:r>
        <w:rPr>
          <w:rFonts w:ascii="Times New Roman" w:hAnsi="Times New Roman" w:eastAsia="宋体" w:cs="Times New Roman"/>
          <w:bCs/>
          <w:color w:val="auto"/>
          <w:szCs w:val="21"/>
        </w:rPr>
        <w:t>. 教育学. 北京：人民教育出版社，1989.</w:t>
      </w:r>
    </w:p>
    <w:p w14:paraId="18AE7F5D">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2.黄济、王策三</w:t>
      </w:r>
      <w:r>
        <w:rPr>
          <w:rFonts w:ascii="Times New Roman" w:hAnsi="Times New Roman" w:eastAsia="宋体" w:cs="Times New Roman"/>
          <w:bCs/>
          <w:color w:val="auto"/>
          <w:szCs w:val="21"/>
        </w:rPr>
        <w:t>. 现代教育论. 北京人民教育出版社，2004.</w:t>
      </w:r>
    </w:p>
    <w:p w14:paraId="7958E4E7">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3.贾馥茗. 教育的本质：什么是真正的教育</w:t>
      </w:r>
      <w:r>
        <w:rPr>
          <w:rFonts w:ascii="Times New Roman" w:hAnsi="Times New Roman" w:eastAsia="宋体" w:cs="Times New Roman"/>
          <w:bCs/>
          <w:color w:val="auto"/>
          <w:szCs w:val="21"/>
        </w:rPr>
        <w:t>. 北京：世界图书出版公司北京公司，2006</w:t>
      </w:r>
      <w:r>
        <w:rPr>
          <w:rFonts w:hint="eastAsia" w:ascii="Times New Roman" w:hAnsi="Times New Roman" w:eastAsia="宋体" w:cs="Times New Roman"/>
          <w:bCs/>
          <w:color w:val="auto"/>
          <w:szCs w:val="21"/>
        </w:rPr>
        <w:t>.</w:t>
      </w:r>
    </w:p>
    <w:p w14:paraId="6252751E">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4.胡郁青、赵玲. 中国音乐史</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rPr>
        <w:t>西南大学出版社，2022年.</w:t>
      </w:r>
    </w:p>
    <w:p w14:paraId="4458A65C">
      <w:pPr>
        <w:keepNext w:val="0"/>
        <w:keepLines w:val="0"/>
        <w:pageBreakBefore w:val="0"/>
        <w:widowControl w:val="0"/>
        <w:kinsoku/>
        <w:wordWrap/>
        <w:overflowPunct/>
        <w:topLinePunct w:val="0"/>
        <w:autoSpaceDE/>
        <w:autoSpaceDN/>
        <w:bidi w:val="0"/>
        <w:adjustRightInd/>
        <w:snapToGrid/>
        <w:spacing w:line="312" w:lineRule="auto"/>
        <w:ind w:right="0"/>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执 笔 人：姚雨豪</w:t>
      </w:r>
    </w:p>
    <w:p w14:paraId="17F2E008">
      <w:pPr>
        <w:keepNext w:val="0"/>
        <w:keepLines w:val="0"/>
        <w:pageBreakBefore w:val="0"/>
        <w:widowControl w:val="0"/>
        <w:kinsoku/>
        <w:wordWrap/>
        <w:overflowPunct/>
        <w:topLinePunct w:val="0"/>
        <w:autoSpaceDE/>
        <w:autoSpaceDN/>
        <w:bidi w:val="0"/>
        <w:adjustRightInd/>
        <w:snapToGrid/>
        <w:spacing w:line="312" w:lineRule="auto"/>
        <w:ind w:right="0"/>
        <w:jc w:val="righ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审 定 人：</w:t>
      </w:r>
      <w:r>
        <w:rPr>
          <w:rFonts w:hint="eastAsia" w:ascii="Times New Roman" w:hAnsi="Times New Roman" w:eastAsia="宋体" w:cs="Times New Roman"/>
          <w:color w:val="auto"/>
          <w:sz w:val="21"/>
          <w:szCs w:val="21"/>
          <w:lang w:val="en-US" w:eastAsia="zh-CN"/>
        </w:rPr>
        <w:t>王  健</w:t>
      </w:r>
    </w:p>
    <w:p w14:paraId="5B8946C1">
      <w:pPr>
        <w:keepNext w:val="0"/>
        <w:keepLines w:val="0"/>
        <w:pageBreakBefore w:val="0"/>
        <w:widowControl w:val="0"/>
        <w:kinsoku/>
        <w:wordWrap/>
        <w:overflowPunct/>
        <w:topLinePunct w:val="0"/>
        <w:autoSpaceDE/>
        <w:autoSpaceDN/>
        <w:bidi w:val="0"/>
        <w:adjustRightInd/>
        <w:snapToGrid/>
        <w:spacing w:line="312" w:lineRule="auto"/>
        <w:ind w:right="0"/>
        <w:jc w:val="righ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审 批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lang w:val="en-US" w:eastAsia="zh-CN"/>
        </w:rPr>
        <w:t>张志欣</w:t>
      </w:r>
    </w:p>
    <w:p w14:paraId="3C6C4EA1">
      <w:pPr>
        <w:keepNext w:val="0"/>
        <w:keepLines w:val="0"/>
        <w:pageBreakBefore w:val="0"/>
        <w:widowControl w:val="0"/>
        <w:kinsoku/>
        <w:wordWrap/>
        <w:overflowPunct/>
        <w:topLinePunct w:val="0"/>
        <w:autoSpaceDE/>
        <w:autoSpaceDN/>
        <w:bidi w:val="0"/>
        <w:adjustRightInd/>
        <w:snapToGrid/>
        <w:spacing w:line="312" w:lineRule="auto"/>
        <w:ind w:right="0"/>
        <w:jc w:val="righ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批准时间：2025年7月1日</w:t>
      </w:r>
    </w:p>
    <w:p w14:paraId="22113B46">
      <w:pPr>
        <w:rPr>
          <w:color w:val="auto"/>
        </w:rPr>
      </w:pPr>
      <w:r>
        <w:rPr>
          <w:rFonts w:hint="eastAsia"/>
          <w:color w:val="auto"/>
        </w:rPr>
        <w:br w:type="page"/>
      </w:r>
    </w:p>
    <w:p w14:paraId="0A1BBC88">
      <w:pPr>
        <w:spacing w:line="360" w:lineRule="auto"/>
        <w:jc w:val="center"/>
        <w:outlineLvl w:val="0"/>
        <w:rPr>
          <w:rFonts w:hint="eastAsia" w:ascii="Times New Roman" w:hAnsi="Times New Roman" w:eastAsia="宋体" w:cs="Times New Roman"/>
          <w:b/>
          <w:color w:val="auto"/>
          <w:sz w:val="44"/>
          <w:szCs w:val="44"/>
        </w:rPr>
      </w:pPr>
      <w:bookmarkStart w:id="396" w:name="_Toc11678"/>
      <w:r>
        <w:rPr>
          <w:rFonts w:hint="eastAsia" w:ascii="Times New Roman" w:hAnsi="Times New Roman" w:eastAsia="宋体" w:cs="Times New Roman"/>
          <w:b/>
          <w:color w:val="auto"/>
          <w:sz w:val="44"/>
          <w:szCs w:val="44"/>
        </w:rPr>
        <w:t>《小学科学课程与教学论》课程教学大纲</w:t>
      </w:r>
      <w:bookmarkEnd w:id="394"/>
      <w:bookmarkEnd w:id="396"/>
    </w:p>
    <w:p w14:paraId="651C678C">
      <w:pPr>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（The Theory of Curriculum and Instruction in Primary School Science）</w:t>
      </w:r>
    </w:p>
    <w:p w14:paraId="0DBD6444">
      <w:pPr>
        <w:spacing w:line="360" w:lineRule="auto"/>
        <w:jc w:val="center"/>
        <w:rPr>
          <w:rFonts w:ascii="Times New Roman" w:hAnsi="Times New Roman" w:eastAsia="宋体" w:cs="Times New Roman"/>
          <w:bCs/>
          <w:color w:val="auto"/>
          <w:sz w:val="21"/>
          <w:szCs w:val="21"/>
        </w:rPr>
      </w:pPr>
    </w:p>
    <w:p w14:paraId="35BC4897">
      <w:pPr>
        <w:spacing w:line="360" w:lineRule="auto"/>
        <w:ind w:firstLine="482" w:firstLineChars="200"/>
        <w:jc w:val="left"/>
        <w:rPr>
          <w:rFonts w:ascii="Times New Roman" w:hAnsi="Times New Roman" w:eastAsia="宋体" w:cs="Times New Roman"/>
          <w:bCs/>
          <w:color w:val="auto"/>
          <w:sz w:val="24"/>
          <w:szCs w:val="24"/>
        </w:rPr>
      </w:pPr>
      <w:r>
        <w:rPr>
          <w:rFonts w:hint="eastAsia" w:ascii="Times New Roman" w:hAnsi="Times New Roman" w:eastAsia="宋体" w:cs="Times New Roman"/>
          <w:b/>
          <w:color w:val="auto"/>
          <w:sz w:val="24"/>
          <w:szCs w:val="24"/>
        </w:rPr>
        <w:t>课程名称：</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Cs/>
          <w:color w:val="auto"/>
          <w:sz w:val="24"/>
          <w:szCs w:val="24"/>
        </w:rPr>
        <w:t>小学科学课程与教学论</w:t>
      </w:r>
    </w:p>
    <w:p w14:paraId="13399210">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w:t>
      </w:r>
      <w:r>
        <w:rPr>
          <w:rFonts w:ascii="Times New Roman" w:hAnsi="Times New Roman" w:eastAsia="宋体" w:cs="Times New Roman"/>
          <w:color w:val="auto"/>
          <w:kern w:val="0"/>
          <w:sz w:val="24"/>
          <w:szCs w:val="24"/>
        </w:rPr>
        <w:t>2401037</w:t>
      </w:r>
    </w:p>
    <w:p w14:paraId="22A5350C">
      <w:pPr>
        <w:spacing w:line="360" w:lineRule="auto"/>
        <w:ind w:firstLine="482" w:firstLineChars="200"/>
        <w:jc w:val="left"/>
        <w:rPr>
          <w:rFonts w:ascii="Times New Roman" w:hAnsi="Times New Roman" w:eastAsia="宋体" w:cs="Times New Roman"/>
          <w:bCs/>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分：</w:t>
      </w:r>
      <w:r>
        <w:rPr>
          <w:rFonts w:hint="eastAsia" w:ascii="Times New Roman" w:hAnsi="Times New Roman" w:eastAsia="宋体" w:cs="Times New Roman"/>
          <w:bCs/>
          <w:color w:val="auto"/>
          <w:sz w:val="24"/>
          <w:szCs w:val="24"/>
        </w:rPr>
        <w:t>3</w:t>
      </w:r>
    </w:p>
    <w:p w14:paraId="36F0E0E8">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时：</w:t>
      </w:r>
      <w:r>
        <w:rPr>
          <w:rFonts w:hint="eastAsia" w:ascii="Times New Roman" w:hAnsi="Times New Roman" w:eastAsia="宋体" w:cs="Times New Roman"/>
          <w:bCs/>
          <w:color w:val="auto"/>
          <w:sz w:val="24"/>
          <w:szCs w:val="24"/>
        </w:rPr>
        <w:t>48</w:t>
      </w:r>
      <w:r>
        <w:rPr>
          <w:rFonts w:hint="eastAsia" w:ascii="Times New Roman" w:hAnsi="Times New Roman" w:eastAsia="宋体" w:cs="Times New Roman"/>
          <w:color w:val="auto"/>
          <w:kern w:val="0"/>
          <w:sz w:val="24"/>
          <w:szCs w:val="24"/>
        </w:rPr>
        <w:t>（其中：讲授学时</w:t>
      </w:r>
      <w:r>
        <w:rPr>
          <w:rFonts w:ascii="Times New Roman" w:hAnsi="Times New Roman" w:eastAsia="宋体" w:cs="Times New Roman"/>
          <w:color w:val="auto"/>
          <w:kern w:val="0"/>
          <w:sz w:val="24"/>
          <w:szCs w:val="24"/>
        </w:rPr>
        <w:t>32</w:t>
      </w:r>
      <w:r>
        <w:rPr>
          <w:rFonts w:hint="eastAsia" w:ascii="Times New Roman" w:hAnsi="Times New Roman" w:eastAsia="宋体" w:cs="Times New Roman"/>
          <w:color w:val="auto"/>
          <w:kern w:val="0"/>
          <w:sz w:val="24"/>
          <w:szCs w:val="24"/>
        </w:rPr>
        <w:t>，实践学时</w:t>
      </w:r>
      <w:r>
        <w:rPr>
          <w:rFonts w:ascii="Times New Roman" w:hAnsi="Times New Roman" w:eastAsia="宋体" w:cs="Times New Roman"/>
          <w:color w:val="auto"/>
          <w:kern w:val="0"/>
          <w:sz w:val="24"/>
          <w:szCs w:val="24"/>
        </w:rPr>
        <w:t>16</w:t>
      </w:r>
      <w:r>
        <w:rPr>
          <w:rFonts w:hint="eastAsia" w:ascii="Times New Roman" w:hAnsi="Times New Roman" w:eastAsia="宋体" w:cs="Times New Roman"/>
          <w:color w:val="auto"/>
          <w:kern w:val="0"/>
          <w:sz w:val="24"/>
          <w:szCs w:val="24"/>
        </w:rPr>
        <w:t>）</w:t>
      </w:r>
    </w:p>
    <w:p w14:paraId="51F0EC10">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先修课程：</w:t>
      </w:r>
      <w:r>
        <w:rPr>
          <w:rFonts w:hint="eastAsia" w:ascii="Times New Roman" w:hAnsi="Times New Roman" w:eastAsia="宋体" w:cs="Times New Roman"/>
          <w:color w:val="auto"/>
          <w:kern w:val="0"/>
          <w:sz w:val="24"/>
          <w:szCs w:val="24"/>
        </w:rPr>
        <w:t>教育心理学、课程与教学论</w:t>
      </w:r>
    </w:p>
    <w:p w14:paraId="229CFC1A">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适用专业：</w:t>
      </w:r>
      <w:r>
        <w:rPr>
          <w:rFonts w:hint="eastAsia" w:ascii="Times New Roman" w:hAnsi="Times New Roman" w:eastAsia="宋体" w:cs="Times New Roman"/>
          <w:bCs/>
          <w:color w:val="auto"/>
          <w:sz w:val="24"/>
          <w:szCs w:val="24"/>
        </w:rPr>
        <w:t>小学教育</w:t>
      </w:r>
      <w:r>
        <w:rPr>
          <w:rFonts w:hint="eastAsia" w:ascii="Times New Roman" w:hAnsi="Times New Roman" w:eastAsia="宋体" w:cs="Times New Roman"/>
          <w:color w:val="auto"/>
          <w:kern w:val="0"/>
          <w:sz w:val="24"/>
          <w:szCs w:val="24"/>
        </w:rPr>
        <w:t>（理）</w:t>
      </w:r>
    </w:p>
    <w:p w14:paraId="031FE95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一、课程简介</w:t>
      </w:r>
    </w:p>
    <w:p w14:paraId="7A477F26">
      <w:pPr>
        <w:spacing w:line="360" w:lineRule="auto"/>
        <w:ind w:firstLine="420" w:firstLineChars="200"/>
        <w:jc w:val="left"/>
        <w:rPr>
          <w:rFonts w:ascii="Times New Roman" w:hAnsi="Times New Roman" w:eastAsia="宋体" w:cs="Times New Roman"/>
          <w:color w:val="auto"/>
          <w:szCs w:val="21"/>
        </w:rPr>
      </w:pPr>
      <w:r>
        <w:rPr>
          <w:rFonts w:ascii="Times New Roman" w:hAnsi="Times New Roman" w:eastAsia="宋体" w:cs="Times New Roman"/>
          <w:color w:val="auto"/>
          <w:szCs w:val="21"/>
        </w:rPr>
        <w:t>本课程是小学教育专业（理）的专业选修课程，旨在培养未来的小学科学教师的教学能力和实践能力。课程结合最新的科学教育理论，注重学生的教学设计、实施与评价能力，帮助学生掌握教育教学基本理论，熟悉课程标准和教材内容，适应现代教育技术（如信息化、人工智能）带来的变革。课程通过理论学习与实践结合，强化学生的教学创新与能力应用，培养具备教书育人意识的专业化教师。课程内容涵盖科学教学设计、教学方法应用、课堂管理与评价等，重视学生的综合能力提升。在教学过程中融入社会主义核心价值观，培养学生的社会责任感、创新精神和团队合作意识，推动学生全面发展，为培养具备学科素养和育人能力的小学科学教师奠定基础。</w:t>
      </w:r>
    </w:p>
    <w:p w14:paraId="23E5DF2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二、课程目标</w:t>
      </w:r>
    </w:p>
    <w:p w14:paraId="44ADA504">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54A074DA">
      <w:pPr>
        <w:spacing w:line="360" w:lineRule="auto"/>
        <w:ind w:firstLine="482"/>
        <w:jc w:val="left"/>
        <w:rPr>
          <w:rFonts w:ascii="Times New Roman" w:hAnsi="Times New Roman" w:eastAsia="宋体" w:cs="Times New Roman"/>
          <w:bCs/>
          <w:color w:val="auto"/>
          <w:szCs w:val="21"/>
        </w:rPr>
      </w:pPr>
      <w:r>
        <w:rPr>
          <w:rFonts w:hint="eastAsia" w:ascii="Times New Roman" w:hAnsi="Times New Roman" w:eastAsia="宋体" w:cs="Times New Roman"/>
          <w:b/>
          <w:color w:val="auto"/>
          <w:szCs w:val="21"/>
        </w:rPr>
        <w:t>目标1：</w:t>
      </w:r>
      <w:r>
        <w:rPr>
          <w:rFonts w:hint="eastAsia" w:ascii="Times New Roman" w:hAnsi="Times New Roman" w:eastAsia="宋体" w:cs="Times New Roman"/>
          <w:bCs/>
          <w:color w:val="auto"/>
          <w:szCs w:val="21"/>
        </w:rPr>
        <w:t>掌握教育教学基本理论，认识科学本质及其特征，分析科学本质观对小学科学教学的启示。深入理解行为主义、认知主义、建构主义学习理论及脑科学对科学教学的影响，能够结合现代教育技术，设计有效的教学方案。</w:t>
      </w:r>
    </w:p>
    <w:p w14:paraId="2AAFA657">
      <w:pPr>
        <w:spacing w:line="360" w:lineRule="auto"/>
        <w:ind w:firstLine="482"/>
        <w:jc w:val="left"/>
        <w:rPr>
          <w:rFonts w:ascii="Times New Roman" w:hAnsi="Times New Roman" w:eastAsia="宋体" w:cs="Times New Roman"/>
          <w:bCs/>
          <w:color w:val="auto"/>
          <w:szCs w:val="21"/>
        </w:rPr>
      </w:pPr>
      <w:r>
        <w:rPr>
          <w:rFonts w:hint="eastAsia" w:ascii="Times New Roman" w:hAnsi="Times New Roman" w:eastAsia="宋体" w:cs="Times New Roman"/>
          <w:b/>
          <w:color w:val="auto"/>
          <w:szCs w:val="21"/>
        </w:rPr>
        <w:t>目标2：</w:t>
      </w:r>
      <w:r>
        <w:rPr>
          <w:rFonts w:hint="eastAsia" w:ascii="Times New Roman" w:hAnsi="Times New Roman" w:eastAsia="宋体" w:cs="Times New Roman"/>
          <w:bCs/>
          <w:color w:val="auto"/>
          <w:szCs w:val="21"/>
        </w:rPr>
        <w:t>阐释现行小学科学课程标准的发展历程，学会解读课程的性质、理念、目标与内容；熟悉教材编排特点及内容体系，能够依据课程标准和教材设计合理的教学方案，注重课程内容的育人功能。</w:t>
      </w:r>
    </w:p>
    <w:p w14:paraId="2F8D1499">
      <w:pPr>
        <w:spacing w:line="360" w:lineRule="auto"/>
        <w:ind w:firstLine="482"/>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目标3：</w:t>
      </w:r>
      <w:r>
        <w:rPr>
          <w:rFonts w:hint="eastAsia" w:ascii="Times New Roman" w:hAnsi="Times New Roman" w:eastAsia="宋体" w:cs="Times New Roman"/>
          <w:bCs/>
          <w:color w:val="auto"/>
          <w:szCs w:val="21"/>
        </w:rPr>
        <w:t>学会应用科学方法教育的基本原理，依据科学教学设计理论和方法，结合教材内容进行合理的教学设计与课堂演示；能够运用教学评估与反馈改进教学效果，提升学生的综合能力。</w:t>
      </w:r>
    </w:p>
    <w:p w14:paraId="525C05E0">
      <w:pPr>
        <w:spacing w:line="360" w:lineRule="auto"/>
        <w:ind w:firstLine="482"/>
        <w:jc w:val="left"/>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6313"/>
        <w:gridCol w:w="1194"/>
      </w:tblGrid>
      <w:tr w14:paraId="3F13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2F5A497A">
            <w:pPr>
              <w:spacing w:line="360"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毕业要求</w:t>
            </w:r>
          </w:p>
        </w:tc>
        <w:tc>
          <w:tcPr>
            <w:tcW w:w="6313" w:type="dxa"/>
            <w:vAlign w:val="center"/>
          </w:tcPr>
          <w:p w14:paraId="35C1A4C3">
            <w:pPr>
              <w:spacing w:line="360"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毕业要求指标点</w:t>
            </w:r>
          </w:p>
        </w:tc>
        <w:tc>
          <w:tcPr>
            <w:tcW w:w="1194" w:type="dxa"/>
            <w:vAlign w:val="center"/>
          </w:tcPr>
          <w:p w14:paraId="60DAA5B4">
            <w:pPr>
              <w:spacing w:line="360"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课程目标</w:t>
            </w:r>
          </w:p>
        </w:tc>
      </w:tr>
      <w:tr w14:paraId="6545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restart"/>
            <w:vAlign w:val="center"/>
          </w:tcPr>
          <w:p w14:paraId="7946F0A1">
            <w:pPr>
              <w:spacing w:line="276" w:lineRule="auto"/>
              <w:jc w:val="center"/>
              <w:rPr>
                <w:rFonts w:hint="eastAsia" w:ascii="宋体" w:hAnsi="宋体" w:eastAsia="宋体"/>
                <w:b/>
                <w:bCs/>
                <w:color w:val="auto"/>
                <w:szCs w:val="21"/>
              </w:rPr>
            </w:pPr>
            <w:r>
              <w:rPr>
                <w:rFonts w:hint="eastAsia" w:ascii="宋体" w:hAnsi="宋体" w:eastAsia="宋体"/>
                <w:b/>
                <w:bCs/>
                <w:color w:val="auto"/>
                <w:szCs w:val="21"/>
              </w:rPr>
              <w:t>毕业要求4</w:t>
            </w:r>
          </w:p>
          <w:p w14:paraId="56DDAB8B">
            <w:pPr>
              <w:spacing w:line="276" w:lineRule="auto"/>
              <w:jc w:val="center"/>
              <w:rPr>
                <w:rFonts w:hint="eastAsia" w:ascii="宋体" w:hAnsi="宋体" w:eastAsia="宋体" w:cs="Times New Roman"/>
                <w:b/>
                <w:bCs/>
                <w:color w:val="auto"/>
                <w:szCs w:val="21"/>
              </w:rPr>
            </w:pPr>
            <w:r>
              <w:rPr>
                <w:rFonts w:hint="eastAsia" w:ascii="宋体" w:hAnsi="宋体" w:eastAsia="宋体"/>
                <w:b/>
                <w:bCs/>
                <w:color w:val="auto"/>
                <w:szCs w:val="21"/>
              </w:rPr>
              <w:t>教学能力</w:t>
            </w:r>
          </w:p>
        </w:tc>
        <w:tc>
          <w:tcPr>
            <w:tcW w:w="6313" w:type="dxa"/>
          </w:tcPr>
          <w:p w14:paraId="6B345A5C">
            <w:pPr>
              <w:spacing w:line="276" w:lineRule="auto"/>
              <w:jc w:val="left"/>
              <w:rPr>
                <w:rFonts w:hint="eastAsia" w:ascii="宋体" w:hAnsi="宋体" w:eastAsia="宋体" w:cs="Times New Roman"/>
                <w:b w:val="0"/>
                <w:bCs w:val="0"/>
                <w:color w:val="auto"/>
                <w:szCs w:val="21"/>
                <w:lang w:eastAsia="zh-CN"/>
              </w:rPr>
            </w:pPr>
            <w:r>
              <w:rPr>
                <w:rFonts w:hint="eastAsia" w:ascii="宋体" w:hAnsi="宋体" w:eastAsia="宋体"/>
                <w:b w:val="0"/>
                <w:bCs w:val="0"/>
                <w:color w:val="auto"/>
                <w:szCs w:val="21"/>
                <w:lang w:eastAsia="zh-CN"/>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4" w:type="dxa"/>
            <w:vAlign w:val="center"/>
          </w:tcPr>
          <w:p w14:paraId="527B7508">
            <w:pPr>
              <w:spacing w:line="276" w:lineRule="auto"/>
              <w:jc w:val="center"/>
              <w:rPr>
                <w:rFonts w:hint="eastAsia" w:ascii="宋体" w:hAnsi="宋体" w:eastAsia="宋体" w:cs="Times New Roman"/>
                <w:color w:val="auto"/>
                <w:szCs w:val="21"/>
              </w:rPr>
            </w:pPr>
            <w:r>
              <w:rPr>
                <w:rFonts w:hint="eastAsia" w:ascii="宋体" w:hAnsi="宋体" w:eastAsia="宋体"/>
                <w:color w:val="auto"/>
                <w:szCs w:val="21"/>
              </w:rPr>
              <w:t>目标1</w:t>
            </w:r>
          </w:p>
        </w:tc>
      </w:tr>
      <w:tr w14:paraId="32B0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vAlign w:val="center"/>
          </w:tcPr>
          <w:p w14:paraId="373C36FE">
            <w:pPr>
              <w:spacing w:line="276" w:lineRule="auto"/>
              <w:jc w:val="center"/>
              <w:rPr>
                <w:rFonts w:hint="eastAsia" w:ascii="宋体" w:hAnsi="宋体" w:eastAsia="宋体" w:cs="Times New Roman"/>
                <w:b/>
                <w:bCs/>
                <w:color w:val="auto"/>
                <w:szCs w:val="21"/>
              </w:rPr>
            </w:pPr>
          </w:p>
        </w:tc>
        <w:tc>
          <w:tcPr>
            <w:tcW w:w="6313" w:type="dxa"/>
          </w:tcPr>
          <w:p w14:paraId="1C167DC6">
            <w:pPr>
              <w:spacing w:line="276" w:lineRule="auto"/>
              <w:jc w:val="left"/>
              <w:rPr>
                <w:rFonts w:hint="eastAsia" w:ascii="宋体" w:hAnsi="宋体" w:eastAsia="宋体" w:cs="Times New Roman"/>
                <w:b w:val="0"/>
                <w:bCs w:val="0"/>
                <w:color w:val="auto"/>
                <w:szCs w:val="21"/>
                <w:lang w:eastAsia="zh-CN"/>
              </w:rPr>
            </w:pPr>
            <w:r>
              <w:rPr>
                <w:rFonts w:hint="eastAsia" w:ascii="宋体" w:hAnsi="宋体" w:eastAsia="宋体"/>
                <w:b w:val="0"/>
                <w:bCs w:val="0"/>
                <w:color w:val="auto"/>
                <w:szCs w:val="21"/>
                <w:lang w:eastAsia="zh-CN"/>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194" w:type="dxa"/>
            <w:vAlign w:val="center"/>
          </w:tcPr>
          <w:p w14:paraId="25E3E40E">
            <w:pPr>
              <w:spacing w:line="276" w:lineRule="auto"/>
              <w:jc w:val="center"/>
              <w:rPr>
                <w:rFonts w:hint="eastAsia" w:ascii="宋体" w:hAnsi="宋体" w:eastAsia="宋体" w:cs="Times New Roman"/>
                <w:color w:val="auto"/>
                <w:szCs w:val="21"/>
              </w:rPr>
            </w:pPr>
            <w:r>
              <w:rPr>
                <w:rFonts w:hint="eastAsia" w:ascii="宋体" w:hAnsi="宋体" w:eastAsia="宋体"/>
                <w:color w:val="auto"/>
                <w:szCs w:val="21"/>
              </w:rPr>
              <w:t>目标2</w:t>
            </w:r>
          </w:p>
        </w:tc>
      </w:tr>
      <w:tr w14:paraId="327F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41B8502F">
            <w:pPr>
              <w:spacing w:line="276" w:lineRule="auto"/>
              <w:jc w:val="center"/>
              <w:rPr>
                <w:rFonts w:hint="eastAsia" w:ascii="宋体" w:hAnsi="宋体" w:eastAsia="宋体" w:cs="Times New Roman"/>
                <w:b/>
                <w:bCs/>
                <w:color w:val="auto"/>
                <w:szCs w:val="21"/>
              </w:rPr>
            </w:pPr>
            <w:r>
              <w:rPr>
                <w:rFonts w:hint="eastAsia" w:ascii="宋体" w:hAnsi="宋体" w:eastAsia="宋体"/>
                <w:b/>
                <w:bCs/>
                <w:color w:val="auto"/>
                <w:szCs w:val="21"/>
              </w:rPr>
              <w:t>毕业要求6：综合育人</w:t>
            </w:r>
          </w:p>
        </w:tc>
        <w:tc>
          <w:tcPr>
            <w:tcW w:w="6313" w:type="dxa"/>
          </w:tcPr>
          <w:p w14:paraId="56E90073">
            <w:pPr>
              <w:spacing w:line="276" w:lineRule="auto"/>
              <w:jc w:val="left"/>
              <w:rPr>
                <w:rFonts w:hint="eastAsia" w:ascii="宋体" w:hAnsi="宋体" w:eastAsia="宋体" w:cs="Times New Roman"/>
                <w:b w:val="0"/>
                <w:bCs w:val="0"/>
                <w:color w:val="auto"/>
                <w:szCs w:val="21"/>
              </w:rPr>
            </w:pPr>
            <w:r>
              <w:rPr>
                <w:rFonts w:hint="eastAsia" w:ascii="宋体" w:hAnsi="宋体" w:eastAsia="宋体"/>
                <w:b w:val="0"/>
                <w:bCs w:val="0"/>
                <w:color w:val="auto"/>
                <w:szCs w:val="21"/>
              </w:rPr>
              <w:t>指标点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194" w:type="dxa"/>
            <w:vAlign w:val="center"/>
          </w:tcPr>
          <w:p w14:paraId="43C332C3">
            <w:pPr>
              <w:spacing w:line="276" w:lineRule="auto"/>
              <w:jc w:val="center"/>
              <w:rPr>
                <w:rFonts w:hint="eastAsia" w:ascii="宋体" w:hAnsi="宋体" w:eastAsia="宋体" w:cs="Times New Roman"/>
                <w:color w:val="auto"/>
                <w:szCs w:val="21"/>
              </w:rPr>
            </w:pPr>
            <w:r>
              <w:rPr>
                <w:rFonts w:hint="eastAsia" w:ascii="宋体" w:hAnsi="宋体" w:eastAsia="宋体"/>
                <w:color w:val="auto"/>
                <w:szCs w:val="21"/>
              </w:rPr>
              <w:t>目标3</w:t>
            </w:r>
          </w:p>
        </w:tc>
      </w:tr>
    </w:tbl>
    <w:p w14:paraId="58D71365">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4E0FF690">
      <w:pPr>
        <w:spacing w:line="360" w:lineRule="auto"/>
        <w:ind w:firstLine="420" w:firstLineChars="200"/>
        <w:jc w:val="left"/>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b/>
          <w:bCs/>
          <w:color w:val="auto"/>
          <w:szCs w:val="21"/>
        </w:rPr>
        <w:t>培养科学精神与社会责任感</w:t>
      </w:r>
    </w:p>
    <w:p w14:paraId="5572C93A">
      <w:pPr>
        <w:spacing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t>通过科学教学设计的理论教学，引导学生认识科学的本质，树立求真务实的科学精神，并将其应用于教育实践中。同时，引导学生关注科学技术与社会发展的关系，增强学生的社会责任感，特别是如何通过科学教育为社会进步和科技创新贡献力量。</w:t>
      </w:r>
    </w:p>
    <w:p w14:paraId="2F9EAAE3">
      <w:pPr>
        <w:spacing w:line="360" w:lineRule="auto"/>
        <w:ind w:firstLine="420" w:firstLineChars="200"/>
        <w:jc w:val="left"/>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b/>
          <w:bCs/>
          <w:color w:val="auto"/>
          <w:szCs w:val="21"/>
        </w:rPr>
        <w:t>弘扬社会主义核心价值观</w:t>
      </w:r>
    </w:p>
    <w:p w14:paraId="750E80C2">
      <w:pPr>
        <w:spacing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t>科学教育过程中，渗透社会主义核心价值观，尤其是对集体主义、创新精神和责任感的培养。通过课堂讨论、案例分析等方式，鼓励学生理解科技创新与社会发展之间的密切关系，促进学生树立正确的价值观，推动学生全面发展。</w:t>
      </w:r>
    </w:p>
    <w:p w14:paraId="486E7874">
      <w:pPr>
        <w:spacing w:line="360" w:lineRule="auto"/>
        <w:ind w:firstLine="420" w:firstLineChars="200"/>
        <w:jc w:val="left"/>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b/>
          <w:bCs/>
          <w:color w:val="auto"/>
          <w:szCs w:val="21"/>
        </w:rPr>
        <w:t>注重教育的育人功能</w:t>
      </w:r>
    </w:p>
    <w:p w14:paraId="510FDC39">
      <w:pPr>
        <w:spacing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t>强调科学课程不仅是知识的传授，更是品德和能力的培养。课程设计中将知识学习、能力发展与品德养成有机结合，特别是在探究学习和合作学习过程中，培养学生的团队精神、合作意识和社会责任感。通过对科学课程的育人功能的认知和理解，使学生能够在未来的教育教学实践中，以更全面的视角看待教育教学的意义。</w:t>
      </w:r>
    </w:p>
    <w:p w14:paraId="688047A1">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2353"/>
        <w:gridCol w:w="1134"/>
        <w:gridCol w:w="2552"/>
        <w:gridCol w:w="1646"/>
        <w:gridCol w:w="427"/>
      </w:tblGrid>
      <w:tr w14:paraId="36037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1C48CBEC">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w:t>
            </w:r>
          </w:p>
          <w:p w14:paraId="2FC3EDCF">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单元</w:t>
            </w:r>
          </w:p>
        </w:tc>
        <w:tc>
          <w:tcPr>
            <w:tcW w:w="2353" w:type="dxa"/>
            <w:vAlign w:val="center"/>
          </w:tcPr>
          <w:p w14:paraId="0A86E635">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知识点</w:t>
            </w:r>
          </w:p>
        </w:tc>
        <w:tc>
          <w:tcPr>
            <w:tcW w:w="1134" w:type="dxa"/>
            <w:vAlign w:val="center"/>
          </w:tcPr>
          <w:p w14:paraId="743A4815">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对应</w:t>
            </w:r>
          </w:p>
          <w:p w14:paraId="7AEC3CBF">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课程目标</w:t>
            </w:r>
          </w:p>
        </w:tc>
        <w:tc>
          <w:tcPr>
            <w:tcW w:w="2552" w:type="dxa"/>
            <w:vAlign w:val="center"/>
          </w:tcPr>
          <w:p w14:paraId="53E3539C">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预期学习成效</w:t>
            </w:r>
          </w:p>
        </w:tc>
        <w:tc>
          <w:tcPr>
            <w:tcW w:w="1646" w:type="dxa"/>
            <w:vAlign w:val="center"/>
          </w:tcPr>
          <w:p w14:paraId="530B7AFC">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实现环节</w:t>
            </w:r>
          </w:p>
        </w:tc>
        <w:tc>
          <w:tcPr>
            <w:tcW w:w="427" w:type="dxa"/>
            <w:vAlign w:val="center"/>
          </w:tcPr>
          <w:p w14:paraId="7A7A044A">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学时</w:t>
            </w:r>
          </w:p>
        </w:tc>
      </w:tr>
      <w:tr w14:paraId="0FFC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14:paraId="3DE8002D">
            <w:pPr>
              <w:spacing w:line="240" w:lineRule="auto"/>
              <w:jc w:val="center"/>
              <w:rPr>
                <w:rFonts w:hint="eastAsia" w:ascii="宋体" w:hAnsi="宋体" w:eastAsia="宋体"/>
                <w:color w:val="auto"/>
                <w:sz w:val="21"/>
                <w:szCs w:val="21"/>
              </w:rPr>
            </w:pPr>
            <w:r>
              <w:rPr>
                <w:rFonts w:hint="eastAsia" w:ascii="宋体" w:hAnsi="宋体" w:eastAsia="宋体"/>
                <w:color w:val="auto"/>
                <w:sz w:val="21"/>
                <w:szCs w:val="21"/>
              </w:rPr>
              <w:t>第一章</w:t>
            </w:r>
          </w:p>
          <w:p w14:paraId="085B88FB">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科学与科学教育概述</w:t>
            </w:r>
          </w:p>
        </w:tc>
        <w:tc>
          <w:tcPr>
            <w:tcW w:w="2353" w:type="dxa"/>
          </w:tcPr>
          <w:p w14:paraId="3AA2B55D">
            <w:pPr>
              <w:spacing w:line="240" w:lineRule="auto"/>
              <w:jc w:val="left"/>
              <w:rPr>
                <w:rFonts w:hint="eastAsia" w:ascii="宋体" w:hAnsi="宋体" w:eastAsia="宋体"/>
                <w:color w:val="auto"/>
                <w:sz w:val="21"/>
                <w:szCs w:val="21"/>
              </w:rPr>
            </w:pPr>
            <w:r>
              <w:rPr>
                <w:rFonts w:hint="eastAsia" w:ascii="宋体" w:hAnsi="宋体" w:eastAsia="宋体"/>
                <w:color w:val="auto"/>
                <w:sz w:val="21"/>
                <w:szCs w:val="21"/>
              </w:rPr>
              <w:t>1.科学的本质</w:t>
            </w:r>
          </w:p>
          <w:p w14:paraId="0F1482C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2.科学本质观下的科学教育</w:t>
            </w:r>
          </w:p>
        </w:tc>
        <w:tc>
          <w:tcPr>
            <w:tcW w:w="1134" w:type="dxa"/>
          </w:tcPr>
          <w:p w14:paraId="20E91B61">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目标1</w:t>
            </w:r>
          </w:p>
        </w:tc>
        <w:tc>
          <w:tcPr>
            <w:tcW w:w="2552" w:type="dxa"/>
          </w:tcPr>
          <w:p w14:paraId="29CC15FB">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理解科学本质，分析其对科学教学的启示，掌握科学教育的基本理论。</w:t>
            </w:r>
          </w:p>
        </w:tc>
        <w:tc>
          <w:tcPr>
            <w:tcW w:w="1646" w:type="dxa"/>
          </w:tcPr>
          <w:p w14:paraId="15740B70">
            <w:pPr>
              <w:spacing w:line="240" w:lineRule="auto"/>
              <w:jc w:val="left"/>
              <w:rPr>
                <w:rFonts w:hint="eastAsia" w:ascii="宋体" w:hAnsi="宋体" w:eastAsia="宋体" w:cs="Times New Roman"/>
                <w:color w:val="auto"/>
                <w:sz w:val="21"/>
                <w:szCs w:val="21"/>
              </w:rPr>
            </w:pPr>
            <w:r>
              <w:rPr>
                <w:rFonts w:hint="eastAsia" w:ascii="宋体" w:hAnsi="宋体" w:eastAsia="宋体"/>
                <w:color w:val="auto"/>
                <w:sz w:val="21"/>
                <w:szCs w:val="21"/>
              </w:rPr>
              <w:t>1</w:t>
            </w:r>
            <w:r>
              <w:rPr>
                <w:rFonts w:ascii="宋体" w:hAnsi="宋体" w:eastAsia="宋体"/>
                <w:color w:val="auto"/>
                <w:sz w:val="21"/>
                <w:szCs w:val="21"/>
              </w:rPr>
              <w:t>. 多媒体教学</w:t>
            </w:r>
            <w:r>
              <w:rPr>
                <w:rFonts w:ascii="宋体" w:hAnsi="宋体" w:eastAsia="宋体"/>
                <w:color w:val="auto"/>
                <w:sz w:val="21"/>
                <w:szCs w:val="21"/>
              </w:rPr>
              <w:br w:type="textWrapping"/>
            </w:r>
            <w:r>
              <w:rPr>
                <w:rFonts w:hint="eastAsia" w:ascii="宋体" w:hAnsi="宋体" w:eastAsia="宋体"/>
                <w:color w:val="auto"/>
                <w:sz w:val="21"/>
                <w:szCs w:val="21"/>
              </w:rPr>
              <w:t>2</w:t>
            </w:r>
            <w:r>
              <w:rPr>
                <w:rFonts w:ascii="宋体" w:hAnsi="宋体" w:eastAsia="宋体"/>
                <w:color w:val="auto"/>
                <w:sz w:val="21"/>
                <w:szCs w:val="21"/>
              </w:rPr>
              <w:t>. 课堂讨论</w:t>
            </w:r>
          </w:p>
        </w:tc>
        <w:tc>
          <w:tcPr>
            <w:tcW w:w="427" w:type="dxa"/>
          </w:tcPr>
          <w:p w14:paraId="1FE78595">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2</w:t>
            </w:r>
          </w:p>
        </w:tc>
      </w:tr>
      <w:tr w14:paraId="152E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5F13C1A7">
            <w:pPr>
              <w:spacing w:line="240" w:lineRule="auto"/>
              <w:jc w:val="center"/>
              <w:rPr>
                <w:rFonts w:hint="eastAsia" w:ascii="宋体" w:hAnsi="宋体" w:eastAsia="宋体" w:cs="Times New Roman"/>
                <w:color w:val="auto"/>
                <w:sz w:val="21"/>
                <w:szCs w:val="21"/>
              </w:rPr>
            </w:pPr>
          </w:p>
        </w:tc>
        <w:tc>
          <w:tcPr>
            <w:tcW w:w="8112" w:type="dxa"/>
            <w:gridSpan w:val="5"/>
            <w:vAlign w:val="center"/>
          </w:tcPr>
          <w:p w14:paraId="5272B24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 xml:space="preserve"> </w:t>
            </w:r>
            <w:r>
              <w:rPr>
                <w:rFonts w:ascii="宋体" w:hAnsi="宋体" w:eastAsia="宋体" w:cs="Times New Roman"/>
                <w:b/>
                <w:bCs/>
                <w:color w:val="auto"/>
                <w:sz w:val="21"/>
                <w:szCs w:val="21"/>
              </w:rPr>
              <w:t>培养科学精神与社会责任感</w:t>
            </w:r>
            <w:r>
              <w:rPr>
                <w:rFonts w:hint="eastAsia" w:ascii="宋体" w:hAnsi="宋体" w:eastAsia="宋体" w:cs="Times New Roman"/>
                <w:b/>
                <w:bCs/>
                <w:color w:val="auto"/>
                <w:sz w:val="21"/>
                <w:szCs w:val="21"/>
              </w:rPr>
              <w:t>。</w:t>
            </w:r>
            <w:r>
              <w:rPr>
                <w:rFonts w:ascii="宋体" w:hAnsi="宋体" w:eastAsia="宋体" w:cs="Times New Roman"/>
                <w:color w:val="auto"/>
                <w:sz w:val="21"/>
                <w:szCs w:val="21"/>
              </w:rPr>
              <w:t>通过分析科学本质，树立求真务实的科学精神。</w:t>
            </w:r>
          </w:p>
        </w:tc>
      </w:tr>
      <w:tr w14:paraId="5735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14:paraId="269684D2">
            <w:pPr>
              <w:spacing w:line="240" w:lineRule="auto"/>
              <w:jc w:val="center"/>
              <w:rPr>
                <w:rFonts w:hint="eastAsia" w:ascii="宋体" w:hAnsi="宋体" w:eastAsia="宋体"/>
                <w:color w:val="auto"/>
                <w:sz w:val="21"/>
                <w:szCs w:val="21"/>
              </w:rPr>
            </w:pPr>
            <w:r>
              <w:rPr>
                <w:rFonts w:hint="eastAsia" w:ascii="宋体" w:hAnsi="宋体" w:eastAsia="宋体"/>
                <w:color w:val="auto"/>
                <w:sz w:val="21"/>
                <w:szCs w:val="21"/>
              </w:rPr>
              <w:t>第二章</w:t>
            </w:r>
          </w:p>
          <w:p w14:paraId="77722229">
            <w:pPr>
              <w:spacing w:line="240" w:lineRule="auto"/>
              <w:jc w:val="center"/>
              <w:rPr>
                <w:rFonts w:hint="eastAsia" w:ascii="宋体" w:hAnsi="宋体" w:eastAsia="宋体" w:cs="Times New Roman"/>
                <w:color w:val="auto"/>
                <w:sz w:val="21"/>
                <w:szCs w:val="21"/>
              </w:rPr>
            </w:pPr>
            <w:r>
              <w:rPr>
                <w:rFonts w:hint="eastAsia" w:ascii="宋体" w:hAnsi="宋体" w:eastAsia="宋体"/>
                <w:color w:val="auto"/>
                <w:sz w:val="21"/>
                <w:szCs w:val="21"/>
              </w:rPr>
              <w:t>科学教育相关的理论</w:t>
            </w:r>
          </w:p>
        </w:tc>
        <w:tc>
          <w:tcPr>
            <w:tcW w:w="2353" w:type="dxa"/>
          </w:tcPr>
          <w:p w14:paraId="70956FBC">
            <w:pPr>
              <w:spacing w:line="240" w:lineRule="auto"/>
              <w:jc w:val="left"/>
              <w:rPr>
                <w:rFonts w:hint="eastAsia" w:ascii="宋体" w:hAnsi="宋体" w:eastAsia="宋体"/>
                <w:color w:val="auto"/>
                <w:sz w:val="21"/>
                <w:szCs w:val="21"/>
              </w:rPr>
            </w:pPr>
            <w:r>
              <w:rPr>
                <w:rFonts w:hint="eastAsia" w:ascii="宋体" w:hAnsi="宋体" w:eastAsia="宋体"/>
                <w:color w:val="auto"/>
                <w:sz w:val="21"/>
                <w:szCs w:val="21"/>
              </w:rPr>
              <w:t>1.行为主义学习理论</w:t>
            </w:r>
          </w:p>
          <w:p w14:paraId="2FEC6E6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r>
              <w:rPr>
                <w:rFonts w:ascii="宋体" w:hAnsi="宋体" w:eastAsia="宋体" w:cs="Times New Roman"/>
                <w:color w:val="auto"/>
                <w:sz w:val="21"/>
                <w:szCs w:val="21"/>
              </w:rPr>
              <w:t>认知主义学习理论</w:t>
            </w:r>
            <w:r>
              <w:rPr>
                <w:rFonts w:ascii="宋体" w:hAnsi="宋体" w:eastAsia="宋体" w:cs="Times New Roman"/>
                <w:color w:val="auto"/>
                <w:sz w:val="21"/>
                <w:szCs w:val="21"/>
              </w:rPr>
              <w:br w:type="textWrapping"/>
            </w:r>
            <w:r>
              <w:rPr>
                <w:rFonts w:hint="eastAsia" w:ascii="宋体" w:hAnsi="宋体" w:eastAsia="宋体" w:cs="Times New Roman"/>
                <w:color w:val="auto"/>
                <w:sz w:val="21"/>
                <w:szCs w:val="21"/>
              </w:rPr>
              <w:t>3.</w:t>
            </w:r>
            <w:r>
              <w:rPr>
                <w:rFonts w:ascii="宋体" w:hAnsi="宋体" w:eastAsia="宋体" w:cs="Times New Roman"/>
                <w:color w:val="auto"/>
                <w:sz w:val="21"/>
                <w:szCs w:val="21"/>
              </w:rPr>
              <w:t>建构主义学习理论</w:t>
            </w:r>
            <w:r>
              <w:rPr>
                <w:rFonts w:ascii="宋体" w:hAnsi="宋体" w:eastAsia="宋体" w:cs="Times New Roman"/>
                <w:color w:val="auto"/>
                <w:sz w:val="21"/>
                <w:szCs w:val="21"/>
              </w:rPr>
              <w:br w:type="textWrapping"/>
            </w:r>
            <w:r>
              <w:rPr>
                <w:rFonts w:hint="eastAsia" w:ascii="宋体" w:hAnsi="宋体" w:eastAsia="宋体" w:cs="Times New Roman"/>
                <w:color w:val="auto"/>
                <w:sz w:val="21"/>
                <w:szCs w:val="21"/>
              </w:rPr>
              <w:t>4.</w:t>
            </w:r>
            <w:r>
              <w:rPr>
                <w:rFonts w:ascii="宋体" w:hAnsi="宋体" w:eastAsia="宋体" w:cs="Times New Roman"/>
                <w:color w:val="auto"/>
                <w:sz w:val="21"/>
                <w:szCs w:val="21"/>
              </w:rPr>
              <w:t>脑科学与科学教育</w:t>
            </w:r>
          </w:p>
        </w:tc>
        <w:tc>
          <w:tcPr>
            <w:tcW w:w="1134" w:type="dxa"/>
            <w:vAlign w:val="center"/>
          </w:tcPr>
          <w:p w14:paraId="1C54C0BC">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目标1</w:t>
            </w:r>
          </w:p>
        </w:tc>
        <w:tc>
          <w:tcPr>
            <w:tcW w:w="2552" w:type="dxa"/>
            <w:vAlign w:val="center"/>
          </w:tcPr>
          <w:p w14:paraId="7A72B92C">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掌握主要学习理论，分析其对教学实践的指导意义，理解脑科学应用。</w:t>
            </w:r>
          </w:p>
        </w:tc>
        <w:tc>
          <w:tcPr>
            <w:tcW w:w="1646" w:type="dxa"/>
            <w:vAlign w:val="center"/>
          </w:tcPr>
          <w:p w14:paraId="1E36B4C3">
            <w:pPr>
              <w:spacing w:line="240" w:lineRule="auto"/>
              <w:jc w:val="left"/>
              <w:rPr>
                <w:rFonts w:hint="eastAsia" w:ascii="宋体" w:hAnsi="宋体" w:eastAsia="宋体"/>
                <w:color w:val="auto"/>
                <w:sz w:val="21"/>
                <w:szCs w:val="21"/>
              </w:rPr>
            </w:pPr>
            <w:r>
              <w:rPr>
                <w:rFonts w:hint="eastAsia" w:ascii="宋体" w:hAnsi="宋体"/>
                <w:color w:val="auto"/>
                <w:sz w:val="21"/>
                <w:szCs w:val="21"/>
              </w:rPr>
              <w:t>1</w:t>
            </w:r>
            <w:r>
              <w:rPr>
                <w:rFonts w:hint="eastAsia" w:ascii="宋体" w:hAnsi="宋体" w:eastAsia="宋体"/>
                <w:color w:val="auto"/>
                <w:sz w:val="21"/>
                <w:szCs w:val="21"/>
              </w:rPr>
              <w:t>.多媒体教学</w:t>
            </w:r>
          </w:p>
          <w:p w14:paraId="33C16658">
            <w:pPr>
              <w:spacing w:line="240" w:lineRule="auto"/>
              <w:jc w:val="left"/>
              <w:rPr>
                <w:rFonts w:hint="eastAsia" w:ascii="宋体" w:hAnsi="宋体"/>
                <w:color w:val="auto"/>
                <w:sz w:val="21"/>
                <w:szCs w:val="21"/>
              </w:rPr>
            </w:pPr>
            <w:r>
              <w:rPr>
                <w:rFonts w:hint="eastAsia" w:ascii="宋体" w:hAnsi="宋体" w:eastAsia="宋体"/>
                <w:color w:val="auto"/>
                <w:sz w:val="21"/>
                <w:szCs w:val="21"/>
              </w:rPr>
              <w:t>2.课堂</w:t>
            </w:r>
            <w:r>
              <w:rPr>
                <w:rFonts w:hint="eastAsia" w:ascii="宋体" w:hAnsi="宋体"/>
                <w:color w:val="auto"/>
                <w:sz w:val="21"/>
                <w:szCs w:val="21"/>
              </w:rPr>
              <w:t>讨论</w:t>
            </w:r>
            <w:r>
              <w:rPr>
                <w:rFonts w:ascii="宋体" w:hAnsi="宋体" w:eastAsia="宋体" w:cs="Times New Roman"/>
                <w:color w:val="auto"/>
                <w:sz w:val="21"/>
                <w:szCs w:val="21"/>
              </w:rPr>
              <w:br w:type="textWrapping"/>
            </w:r>
            <w:r>
              <w:rPr>
                <w:rFonts w:hint="eastAsia" w:ascii="宋体" w:hAnsi="宋体" w:eastAsia="宋体" w:cs="Times New Roman"/>
                <w:color w:val="auto"/>
                <w:sz w:val="21"/>
                <w:szCs w:val="21"/>
              </w:rPr>
              <w:t>2</w:t>
            </w:r>
            <w:r>
              <w:rPr>
                <w:rFonts w:ascii="宋体" w:hAnsi="宋体" w:eastAsia="宋体" w:cs="Times New Roman"/>
                <w:color w:val="auto"/>
                <w:sz w:val="21"/>
                <w:szCs w:val="21"/>
              </w:rPr>
              <w:t>. 案例分析</w:t>
            </w:r>
          </w:p>
        </w:tc>
        <w:tc>
          <w:tcPr>
            <w:tcW w:w="427" w:type="dxa"/>
            <w:vAlign w:val="center"/>
          </w:tcPr>
          <w:p w14:paraId="1D801F14">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p>
        </w:tc>
      </w:tr>
      <w:tr w14:paraId="6ADF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281A30CC">
            <w:pPr>
              <w:spacing w:line="240" w:lineRule="auto"/>
              <w:jc w:val="center"/>
              <w:rPr>
                <w:rFonts w:hint="eastAsia" w:ascii="宋体" w:hAnsi="宋体" w:eastAsia="宋体" w:cs="Times New Roman"/>
                <w:color w:val="auto"/>
                <w:sz w:val="21"/>
                <w:szCs w:val="21"/>
              </w:rPr>
            </w:pPr>
          </w:p>
        </w:tc>
        <w:tc>
          <w:tcPr>
            <w:tcW w:w="8112" w:type="dxa"/>
            <w:gridSpan w:val="5"/>
            <w:vAlign w:val="center"/>
          </w:tcPr>
          <w:p w14:paraId="0FCECE5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 xml:space="preserve"> </w:t>
            </w:r>
            <w:r>
              <w:rPr>
                <w:rFonts w:ascii="宋体" w:hAnsi="宋体" w:eastAsia="宋体" w:cs="Times New Roman"/>
                <w:b/>
                <w:bCs/>
                <w:color w:val="auto"/>
                <w:sz w:val="21"/>
                <w:szCs w:val="21"/>
              </w:rPr>
              <w:t>弘扬社会主义核心价值观</w:t>
            </w:r>
            <w:r>
              <w:rPr>
                <w:rFonts w:hint="eastAsia" w:ascii="宋体" w:hAnsi="宋体" w:eastAsia="宋体" w:cs="Times New Roman"/>
                <w:color w:val="auto"/>
                <w:sz w:val="21"/>
                <w:szCs w:val="21"/>
              </w:rPr>
              <w:t>。</w:t>
            </w:r>
            <w:r>
              <w:rPr>
                <w:rFonts w:ascii="宋体" w:hAnsi="宋体" w:eastAsia="宋体" w:cs="Times New Roman"/>
                <w:color w:val="auto"/>
                <w:sz w:val="21"/>
                <w:szCs w:val="21"/>
              </w:rPr>
              <w:t>理解教育教学理论中的社会价值，培养责任感与创新精神。</w:t>
            </w:r>
          </w:p>
          <w:p w14:paraId="0BCDA27D">
            <w:pPr>
              <w:spacing w:line="240" w:lineRule="auto"/>
              <w:jc w:val="left"/>
              <w:rPr>
                <w:rFonts w:hint="eastAsia" w:ascii="宋体" w:hAnsi="宋体" w:eastAsia="宋体" w:cs="Times New Roman"/>
                <w:color w:val="auto"/>
                <w:sz w:val="21"/>
                <w:szCs w:val="21"/>
              </w:rPr>
            </w:pPr>
          </w:p>
        </w:tc>
      </w:tr>
      <w:tr w14:paraId="1609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14:paraId="16155A72">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第三章</w:t>
            </w:r>
          </w:p>
          <w:p w14:paraId="0EC72AA6">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小学科学课程标准与教材分析</w:t>
            </w:r>
          </w:p>
        </w:tc>
        <w:tc>
          <w:tcPr>
            <w:tcW w:w="2353" w:type="dxa"/>
            <w:vAlign w:val="center"/>
          </w:tcPr>
          <w:p w14:paraId="09BBE5B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小学科学课程标准解析</w:t>
            </w:r>
            <w:r>
              <w:rPr>
                <w:rFonts w:ascii="宋体" w:hAnsi="宋体" w:eastAsia="宋体" w:cs="Times New Roman"/>
                <w:color w:val="auto"/>
                <w:sz w:val="21"/>
                <w:szCs w:val="21"/>
              </w:rPr>
              <w:br w:type="textWrapping"/>
            </w:r>
            <w:r>
              <w:rPr>
                <w:rFonts w:hint="eastAsia" w:ascii="宋体" w:hAnsi="宋体" w:eastAsia="宋体" w:cs="Times New Roman"/>
                <w:color w:val="auto"/>
                <w:sz w:val="21"/>
                <w:szCs w:val="21"/>
              </w:rPr>
              <w:t>2.</w:t>
            </w:r>
            <w:r>
              <w:rPr>
                <w:rFonts w:ascii="宋体" w:hAnsi="宋体" w:eastAsia="宋体" w:cs="Times New Roman"/>
                <w:color w:val="auto"/>
                <w:sz w:val="21"/>
                <w:szCs w:val="21"/>
              </w:rPr>
              <w:t>小学科学教材分析</w:t>
            </w:r>
          </w:p>
        </w:tc>
        <w:tc>
          <w:tcPr>
            <w:tcW w:w="1134" w:type="dxa"/>
            <w:vAlign w:val="center"/>
          </w:tcPr>
          <w:p w14:paraId="08696FC9">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目标</w:t>
            </w:r>
            <w:r>
              <w:rPr>
                <w:rFonts w:hint="eastAsia" w:ascii="宋体" w:hAnsi="宋体" w:eastAsia="宋体" w:cs="Times New Roman"/>
                <w:color w:val="auto"/>
                <w:sz w:val="21"/>
                <w:szCs w:val="21"/>
              </w:rPr>
              <w:t>2</w:t>
            </w:r>
          </w:p>
        </w:tc>
        <w:tc>
          <w:tcPr>
            <w:tcW w:w="2552" w:type="dxa"/>
            <w:vAlign w:val="center"/>
          </w:tcPr>
          <w:p w14:paraId="4FF2299E">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解读课程标准，理解教材内容和编排特点，能够基于标准设计教学。</w:t>
            </w:r>
          </w:p>
        </w:tc>
        <w:tc>
          <w:tcPr>
            <w:tcW w:w="1646" w:type="dxa"/>
            <w:vAlign w:val="center"/>
          </w:tcPr>
          <w:p w14:paraId="183363B3">
            <w:pPr>
              <w:spacing w:line="240" w:lineRule="auto"/>
              <w:jc w:val="left"/>
              <w:rPr>
                <w:rFonts w:hint="eastAsia" w:ascii="宋体" w:hAnsi="宋体" w:eastAsia="宋体"/>
                <w:color w:val="auto"/>
                <w:sz w:val="21"/>
                <w:szCs w:val="21"/>
              </w:rPr>
            </w:pPr>
            <w:r>
              <w:rPr>
                <w:rFonts w:hint="eastAsia" w:ascii="宋体" w:hAnsi="宋体" w:eastAsia="宋体"/>
                <w:color w:val="auto"/>
                <w:sz w:val="21"/>
                <w:szCs w:val="21"/>
              </w:rPr>
              <w:t>1.多媒体教学</w:t>
            </w:r>
          </w:p>
          <w:p w14:paraId="06848094">
            <w:pPr>
              <w:spacing w:line="240" w:lineRule="auto"/>
              <w:jc w:val="left"/>
              <w:rPr>
                <w:rFonts w:hint="eastAsia" w:ascii="宋体" w:hAnsi="宋体"/>
                <w:color w:val="auto"/>
                <w:sz w:val="21"/>
                <w:szCs w:val="21"/>
              </w:rPr>
            </w:pPr>
            <w:r>
              <w:rPr>
                <w:rFonts w:hint="eastAsia" w:ascii="宋体" w:hAnsi="宋体" w:eastAsia="宋体"/>
                <w:color w:val="auto"/>
                <w:sz w:val="21"/>
                <w:szCs w:val="21"/>
              </w:rPr>
              <w:t>2.课堂讨论</w:t>
            </w:r>
            <w:r>
              <w:rPr>
                <w:rFonts w:ascii="宋体" w:hAnsi="宋体" w:eastAsia="宋体" w:cs="Times New Roman"/>
                <w:color w:val="auto"/>
                <w:sz w:val="21"/>
                <w:szCs w:val="21"/>
              </w:rPr>
              <w:br w:type="textWrapping"/>
            </w:r>
            <w:r>
              <w:rPr>
                <w:rFonts w:ascii="宋体" w:hAnsi="宋体" w:eastAsia="宋体" w:cs="Times New Roman"/>
                <w:color w:val="auto"/>
                <w:sz w:val="21"/>
                <w:szCs w:val="21"/>
              </w:rPr>
              <w:t>3. 教材分析</w:t>
            </w:r>
          </w:p>
        </w:tc>
        <w:tc>
          <w:tcPr>
            <w:tcW w:w="427" w:type="dxa"/>
            <w:vAlign w:val="center"/>
          </w:tcPr>
          <w:p w14:paraId="24456A3C">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8</w:t>
            </w:r>
          </w:p>
        </w:tc>
      </w:tr>
      <w:tr w14:paraId="593D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7D5C4F6E">
            <w:pPr>
              <w:spacing w:line="240" w:lineRule="auto"/>
              <w:jc w:val="center"/>
              <w:rPr>
                <w:rFonts w:hint="eastAsia" w:ascii="宋体" w:hAnsi="宋体" w:eastAsia="宋体" w:cs="Times New Roman"/>
                <w:color w:val="auto"/>
                <w:sz w:val="21"/>
                <w:szCs w:val="21"/>
              </w:rPr>
            </w:pPr>
          </w:p>
        </w:tc>
        <w:tc>
          <w:tcPr>
            <w:tcW w:w="8112" w:type="dxa"/>
            <w:gridSpan w:val="5"/>
            <w:vAlign w:val="center"/>
          </w:tcPr>
          <w:p w14:paraId="59602A2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宋体" w:hAnsi="宋体" w:eastAsia="宋体" w:cs="Times New Roman"/>
                <w:b/>
                <w:bCs/>
                <w:color w:val="auto"/>
                <w:sz w:val="21"/>
                <w:szCs w:val="21"/>
              </w:rPr>
              <w:t>注重教育的育人功能</w:t>
            </w:r>
            <w:r>
              <w:rPr>
                <w:rFonts w:hint="eastAsia" w:ascii="宋体" w:hAnsi="宋体" w:eastAsia="宋体" w:cs="Times New Roman"/>
                <w:color w:val="auto"/>
                <w:sz w:val="21"/>
                <w:szCs w:val="21"/>
              </w:rPr>
              <w:t>。</w:t>
            </w:r>
            <w:r>
              <w:rPr>
                <w:rFonts w:ascii="宋体" w:hAnsi="宋体" w:eastAsia="宋体" w:cs="Times New Roman"/>
                <w:color w:val="auto"/>
                <w:sz w:val="21"/>
                <w:szCs w:val="21"/>
              </w:rPr>
              <w:t>将科学课程的知识学习与品德养成相结合，注重学生的全面发展。</w:t>
            </w:r>
          </w:p>
        </w:tc>
      </w:tr>
      <w:tr w14:paraId="4F2A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14:paraId="2B13E02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第四章</w:t>
            </w:r>
          </w:p>
          <w:p w14:paraId="348BF9D6">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科学方法教育</w:t>
            </w:r>
          </w:p>
        </w:tc>
        <w:tc>
          <w:tcPr>
            <w:tcW w:w="2353" w:type="dxa"/>
            <w:vAlign w:val="center"/>
          </w:tcPr>
          <w:p w14:paraId="78FC584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基本的科学方法</w:t>
            </w:r>
            <w:r>
              <w:rPr>
                <w:rFonts w:ascii="宋体" w:hAnsi="宋体" w:eastAsia="宋体" w:cs="Times New Roman"/>
                <w:color w:val="auto"/>
                <w:sz w:val="21"/>
                <w:szCs w:val="21"/>
              </w:rPr>
              <w:br w:type="textWrapping"/>
            </w:r>
            <w:r>
              <w:rPr>
                <w:rFonts w:hint="eastAsia" w:ascii="宋体" w:hAnsi="宋体" w:eastAsia="宋体" w:cs="Times New Roman"/>
                <w:color w:val="auto"/>
                <w:sz w:val="21"/>
                <w:szCs w:val="21"/>
              </w:rPr>
              <w:t>2.</w:t>
            </w:r>
            <w:r>
              <w:rPr>
                <w:rFonts w:ascii="宋体" w:hAnsi="宋体" w:eastAsia="宋体" w:cs="Times New Roman"/>
                <w:color w:val="auto"/>
                <w:sz w:val="21"/>
                <w:szCs w:val="21"/>
              </w:rPr>
              <w:t>科学研究方法</w:t>
            </w:r>
            <w:r>
              <w:rPr>
                <w:rFonts w:ascii="宋体" w:hAnsi="宋体" w:eastAsia="宋体" w:cs="Times New Roman"/>
                <w:color w:val="auto"/>
                <w:sz w:val="21"/>
                <w:szCs w:val="21"/>
              </w:rPr>
              <w:br w:type="textWrapping"/>
            </w:r>
            <w:r>
              <w:rPr>
                <w:rFonts w:hint="eastAsia" w:ascii="宋体" w:hAnsi="宋体" w:eastAsia="宋体" w:cs="Times New Roman"/>
                <w:color w:val="auto"/>
                <w:sz w:val="21"/>
                <w:szCs w:val="21"/>
              </w:rPr>
              <w:t>3.</w:t>
            </w:r>
            <w:r>
              <w:rPr>
                <w:rFonts w:ascii="宋体" w:hAnsi="宋体" w:eastAsia="宋体" w:cs="Times New Roman"/>
                <w:color w:val="auto"/>
                <w:sz w:val="21"/>
                <w:szCs w:val="21"/>
              </w:rPr>
              <w:t>科学思维方法</w:t>
            </w:r>
          </w:p>
        </w:tc>
        <w:tc>
          <w:tcPr>
            <w:tcW w:w="1134" w:type="dxa"/>
            <w:vAlign w:val="center"/>
          </w:tcPr>
          <w:p w14:paraId="03D2F429">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目标</w:t>
            </w:r>
            <w:r>
              <w:rPr>
                <w:rFonts w:hint="eastAsia" w:ascii="宋体" w:hAnsi="宋体" w:eastAsia="宋体" w:cs="Times New Roman"/>
                <w:color w:val="auto"/>
                <w:sz w:val="21"/>
                <w:szCs w:val="21"/>
              </w:rPr>
              <w:t>1</w:t>
            </w:r>
          </w:p>
        </w:tc>
        <w:tc>
          <w:tcPr>
            <w:tcW w:w="2552" w:type="dxa"/>
            <w:vAlign w:val="center"/>
          </w:tcPr>
          <w:p w14:paraId="4EED7913">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了解科学方法，掌握其在教学中的应用，设计科学思维训练活动。</w:t>
            </w:r>
          </w:p>
        </w:tc>
        <w:tc>
          <w:tcPr>
            <w:tcW w:w="1646" w:type="dxa"/>
            <w:vAlign w:val="center"/>
          </w:tcPr>
          <w:p w14:paraId="074A9FE1">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 线上学习</w:t>
            </w:r>
            <w:r>
              <w:rPr>
                <w:rFonts w:ascii="宋体" w:hAnsi="宋体" w:eastAsia="宋体" w:cs="Times New Roman"/>
                <w:color w:val="auto"/>
                <w:sz w:val="21"/>
                <w:szCs w:val="21"/>
              </w:rPr>
              <w:br w:type="textWrapping"/>
            </w:r>
            <w:r>
              <w:rPr>
                <w:rFonts w:ascii="宋体" w:hAnsi="宋体" w:eastAsia="宋体" w:cs="Times New Roman"/>
                <w:color w:val="auto"/>
                <w:sz w:val="21"/>
                <w:szCs w:val="21"/>
              </w:rPr>
              <w:t>2. 案例分析</w:t>
            </w:r>
            <w:r>
              <w:rPr>
                <w:rFonts w:ascii="宋体" w:hAnsi="宋体" w:eastAsia="宋体" w:cs="Times New Roman"/>
                <w:color w:val="auto"/>
                <w:sz w:val="21"/>
                <w:szCs w:val="21"/>
              </w:rPr>
              <w:br w:type="textWrapping"/>
            </w:r>
            <w:r>
              <w:rPr>
                <w:rFonts w:ascii="宋体" w:hAnsi="宋体" w:eastAsia="宋体" w:cs="Times New Roman"/>
                <w:color w:val="auto"/>
                <w:sz w:val="21"/>
                <w:szCs w:val="21"/>
              </w:rPr>
              <w:t>3. 小组讨论</w:t>
            </w:r>
          </w:p>
        </w:tc>
        <w:tc>
          <w:tcPr>
            <w:tcW w:w="427" w:type="dxa"/>
            <w:vAlign w:val="center"/>
          </w:tcPr>
          <w:p w14:paraId="54E4234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p>
        </w:tc>
      </w:tr>
      <w:tr w14:paraId="7FDB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1CFC0D06">
            <w:pPr>
              <w:spacing w:line="240" w:lineRule="auto"/>
              <w:jc w:val="center"/>
              <w:rPr>
                <w:rFonts w:hint="eastAsia" w:ascii="宋体" w:hAnsi="宋体" w:eastAsia="宋体" w:cs="Times New Roman"/>
                <w:color w:val="auto"/>
                <w:sz w:val="21"/>
                <w:szCs w:val="21"/>
              </w:rPr>
            </w:pPr>
          </w:p>
        </w:tc>
        <w:tc>
          <w:tcPr>
            <w:tcW w:w="8112" w:type="dxa"/>
            <w:gridSpan w:val="5"/>
            <w:vAlign w:val="center"/>
          </w:tcPr>
          <w:p w14:paraId="0C8C5D1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宋体" w:hAnsi="宋体" w:eastAsia="宋体" w:cs="Times New Roman"/>
                <w:b/>
                <w:bCs/>
                <w:color w:val="auto"/>
                <w:sz w:val="21"/>
                <w:szCs w:val="21"/>
              </w:rPr>
              <w:t>培养批判性与创新性思维</w:t>
            </w:r>
            <w:r>
              <w:rPr>
                <w:rFonts w:hint="eastAsia" w:ascii="宋体" w:hAnsi="宋体" w:eastAsia="宋体" w:cs="Times New Roman"/>
                <w:color w:val="auto"/>
                <w:sz w:val="21"/>
                <w:szCs w:val="21"/>
              </w:rPr>
              <w:t>。</w:t>
            </w:r>
            <w:r>
              <w:rPr>
                <w:rFonts w:ascii="宋体" w:hAnsi="宋体" w:eastAsia="宋体" w:cs="Times New Roman"/>
                <w:color w:val="auto"/>
                <w:sz w:val="21"/>
                <w:szCs w:val="21"/>
              </w:rPr>
              <w:t>通过科学方法教育，培养学生的批判性思维和创新解决问题的能力。</w:t>
            </w:r>
          </w:p>
        </w:tc>
      </w:tr>
      <w:tr w14:paraId="0482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14:paraId="1C9AF99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第五章</w:t>
            </w:r>
          </w:p>
          <w:p w14:paraId="0065A512">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科学教学设计与基本技能</w:t>
            </w:r>
          </w:p>
        </w:tc>
        <w:tc>
          <w:tcPr>
            <w:tcW w:w="2353" w:type="dxa"/>
            <w:vAlign w:val="center"/>
          </w:tcPr>
          <w:p w14:paraId="567A522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科学教学设计的基本原理</w:t>
            </w:r>
            <w:r>
              <w:rPr>
                <w:rFonts w:ascii="宋体" w:hAnsi="宋体" w:eastAsia="宋体" w:cs="Times New Roman"/>
                <w:color w:val="auto"/>
                <w:sz w:val="21"/>
                <w:szCs w:val="21"/>
              </w:rPr>
              <w:br w:type="textWrapping"/>
            </w:r>
            <w:r>
              <w:rPr>
                <w:rFonts w:hint="eastAsia" w:ascii="宋体" w:hAnsi="宋体" w:eastAsia="宋体" w:cs="Times New Roman"/>
                <w:color w:val="auto"/>
                <w:sz w:val="21"/>
                <w:szCs w:val="21"/>
              </w:rPr>
              <w:t>2.</w:t>
            </w:r>
            <w:r>
              <w:rPr>
                <w:rFonts w:ascii="宋体" w:hAnsi="宋体" w:eastAsia="宋体" w:cs="Times New Roman"/>
                <w:color w:val="auto"/>
                <w:sz w:val="21"/>
                <w:szCs w:val="21"/>
              </w:rPr>
              <w:t>教学目标与教学方法</w:t>
            </w:r>
          </w:p>
        </w:tc>
        <w:tc>
          <w:tcPr>
            <w:tcW w:w="1134" w:type="dxa"/>
            <w:vAlign w:val="center"/>
          </w:tcPr>
          <w:p w14:paraId="2DAE2E89">
            <w:pPr>
              <w:spacing w:line="240" w:lineRule="auto"/>
              <w:jc w:val="center"/>
              <w:rPr>
                <w:rFonts w:hint="eastAsia" w:ascii="宋体" w:hAnsi="宋体" w:eastAsia="宋体" w:cs="Times New Roman"/>
                <w:color w:val="auto"/>
                <w:sz w:val="21"/>
                <w:szCs w:val="21"/>
              </w:rPr>
            </w:pPr>
            <w:bookmarkStart w:id="397" w:name="OLE_LINK4"/>
            <w:r>
              <w:rPr>
                <w:rFonts w:ascii="宋体" w:hAnsi="宋体" w:eastAsia="宋体" w:cs="Times New Roman"/>
                <w:color w:val="auto"/>
                <w:sz w:val="21"/>
                <w:szCs w:val="21"/>
              </w:rPr>
              <w:t>目标</w:t>
            </w:r>
            <w:r>
              <w:rPr>
                <w:rFonts w:hint="eastAsia" w:ascii="宋体" w:hAnsi="宋体" w:eastAsia="宋体" w:cs="Times New Roman"/>
                <w:color w:val="auto"/>
                <w:sz w:val="21"/>
                <w:szCs w:val="21"/>
              </w:rPr>
              <w:t>2</w:t>
            </w:r>
            <w:bookmarkEnd w:id="397"/>
          </w:p>
        </w:tc>
        <w:tc>
          <w:tcPr>
            <w:tcW w:w="2552" w:type="dxa"/>
            <w:vAlign w:val="center"/>
          </w:tcPr>
          <w:p w14:paraId="0E3BFE83">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设计科学课程的教学目标与方法，掌握教学技能并能实施课堂教学。</w:t>
            </w:r>
          </w:p>
        </w:tc>
        <w:tc>
          <w:tcPr>
            <w:tcW w:w="1646" w:type="dxa"/>
            <w:vAlign w:val="center"/>
          </w:tcPr>
          <w:p w14:paraId="2E9F98AB">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 线上学习</w:t>
            </w:r>
            <w:r>
              <w:rPr>
                <w:rFonts w:ascii="宋体" w:hAnsi="宋体" w:eastAsia="宋体" w:cs="Times New Roman"/>
                <w:color w:val="auto"/>
                <w:sz w:val="21"/>
                <w:szCs w:val="21"/>
              </w:rPr>
              <w:br w:type="textWrapping"/>
            </w:r>
            <w:r>
              <w:rPr>
                <w:rFonts w:ascii="宋体" w:hAnsi="宋体" w:eastAsia="宋体" w:cs="Times New Roman"/>
                <w:color w:val="auto"/>
                <w:sz w:val="21"/>
                <w:szCs w:val="21"/>
              </w:rPr>
              <w:t>2. 小组活动</w:t>
            </w:r>
            <w:r>
              <w:rPr>
                <w:rFonts w:ascii="宋体" w:hAnsi="宋体" w:eastAsia="宋体" w:cs="Times New Roman"/>
                <w:color w:val="auto"/>
                <w:sz w:val="21"/>
                <w:szCs w:val="21"/>
              </w:rPr>
              <w:br w:type="textWrapping"/>
            </w:r>
            <w:r>
              <w:rPr>
                <w:rFonts w:ascii="宋体" w:hAnsi="宋体" w:eastAsia="宋体" w:cs="Times New Roman"/>
                <w:color w:val="auto"/>
                <w:sz w:val="21"/>
                <w:szCs w:val="21"/>
              </w:rPr>
              <w:t>3. 教案写作</w:t>
            </w:r>
          </w:p>
        </w:tc>
        <w:tc>
          <w:tcPr>
            <w:tcW w:w="427" w:type="dxa"/>
            <w:vAlign w:val="center"/>
          </w:tcPr>
          <w:p w14:paraId="3BB0B0F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14</w:t>
            </w:r>
          </w:p>
        </w:tc>
      </w:tr>
      <w:tr w14:paraId="66C4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21E98472">
            <w:pPr>
              <w:spacing w:line="240" w:lineRule="auto"/>
              <w:jc w:val="center"/>
              <w:rPr>
                <w:rFonts w:hint="eastAsia" w:ascii="宋体" w:hAnsi="宋体" w:eastAsia="宋体" w:cs="Times New Roman"/>
                <w:color w:val="auto"/>
                <w:sz w:val="21"/>
                <w:szCs w:val="21"/>
              </w:rPr>
            </w:pPr>
          </w:p>
        </w:tc>
        <w:tc>
          <w:tcPr>
            <w:tcW w:w="8112" w:type="dxa"/>
            <w:gridSpan w:val="5"/>
            <w:vAlign w:val="center"/>
          </w:tcPr>
          <w:p w14:paraId="168AD2C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宋体" w:hAnsi="宋体" w:eastAsia="宋体" w:cs="Times New Roman"/>
                <w:b/>
                <w:bCs/>
                <w:color w:val="auto"/>
                <w:sz w:val="21"/>
                <w:szCs w:val="21"/>
              </w:rPr>
              <w:t>引导学生关注学科的育人资源与要素</w:t>
            </w:r>
            <w:r>
              <w:rPr>
                <w:rFonts w:hint="eastAsia" w:ascii="宋体" w:hAnsi="宋体" w:eastAsia="宋体" w:cs="Times New Roman"/>
                <w:color w:val="auto"/>
                <w:sz w:val="21"/>
                <w:szCs w:val="21"/>
              </w:rPr>
              <w:t>。</w:t>
            </w:r>
            <w:r>
              <w:rPr>
                <w:rFonts w:ascii="宋体" w:hAnsi="宋体" w:eastAsia="宋体" w:cs="Times New Roman"/>
                <w:color w:val="auto"/>
                <w:sz w:val="21"/>
                <w:szCs w:val="21"/>
              </w:rPr>
              <w:t>在设计教学时挖掘课程中的育人要素，注重德智体美劳的全面发展。</w:t>
            </w:r>
          </w:p>
        </w:tc>
      </w:tr>
      <w:tr w14:paraId="71CB9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14:paraId="20A3F7F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第六章</w:t>
            </w:r>
          </w:p>
          <w:p w14:paraId="4D6C8743">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科学教学方法</w:t>
            </w:r>
          </w:p>
        </w:tc>
        <w:tc>
          <w:tcPr>
            <w:tcW w:w="2353" w:type="dxa"/>
            <w:vAlign w:val="center"/>
          </w:tcPr>
          <w:p w14:paraId="578DE89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讲授式教学与案例</w:t>
            </w:r>
            <w:r>
              <w:rPr>
                <w:rFonts w:ascii="宋体" w:hAnsi="宋体" w:eastAsia="宋体" w:cs="Times New Roman"/>
                <w:color w:val="auto"/>
                <w:sz w:val="21"/>
                <w:szCs w:val="21"/>
              </w:rPr>
              <w:br w:type="textWrapping"/>
            </w:r>
            <w:r>
              <w:rPr>
                <w:rFonts w:hint="eastAsia" w:ascii="宋体" w:hAnsi="宋体" w:eastAsia="宋体" w:cs="Times New Roman"/>
                <w:color w:val="auto"/>
                <w:sz w:val="21"/>
                <w:szCs w:val="21"/>
              </w:rPr>
              <w:t>2.</w:t>
            </w:r>
            <w:r>
              <w:rPr>
                <w:rFonts w:ascii="宋体" w:hAnsi="宋体" w:eastAsia="宋体" w:cs="Times New Roman"/>
                <w:color w:val="auto"/>
                <w:sz w:val="21"/>
                <w:szCs w:val="21"/>
              </w:rPr>
              <w:t xml:space="preserve"> 探究式教学与案例</w:t>
            </w:r>
            <w:r>
              <w:rPr>
                <w:rFonts w:ascii="宋体" w:hAnsi="宋体" w:eastAsia="宋体" w:cs="Times New Roman"/>
                <w:color w:val="auto"/>
                <w:sz w:val="21"/>
                <w:szCs w:val="21"/>
              </w:rPr>
              <w:br w:type="textWrapping"/>
            </w:r>
            <w:r>
              <w:rPr>
                <w:rFonts w:hint="eastAsia" w:ascii="宋体" w:hAnsi="宋体" w:eastAsia="宋体" w:cs="Times New Roman"/>
                <w:color w:val="auto"/>
                <w:sz w:val="21"/>
                <w:szCs w:val="21"/>
              </w:rPr>
              <w:t>3.</w:t>
            </w:r>
            <w:r>
              <w:rPr>
                <w:rFonts w:ascii="宋体" w:hAnsi="宋体" w:eastAsia="宋体" w:cs="Times New Roman"/>
                <w:color w:val="auto"/>
                <w:sz w:val="21"/>
                <w:szCs w:val="21"/>
              </w:rPr>
              <w:t xml:space="preserve"> 研究性学习与案例</w:t>
            </w:r>
            <w:r>
              <w:rPr>
                <w:rFonts w:ascii="宋体" w:hAnsi="宋体" w:eastAsia="宋体" w:cs="Times New Roman"/>
                <w:color w:val="auto"/>
                <w:sz w:val="21"/>
                <w:szCs w:val="21"/>
              </w:rPr>
              <w:br w:type="textWrapping"/>
            </w:r>
            <w:r>
              <w:rPr>
                <w:rFonts w:hint="eastAsia" w:ascii="宋体" w:hAnsi="宋体" w:eastAsia="宋体" w:cs="Times New Roman"/>
                <w:color w:val="auto"/>
                <w:sz w:val="21"/>
                <w:szCs w:val="21"/>
              </w:rPr>
              <w:t>4.</w:t>
            </w:r>
            <w:r>
              <w:rPr>
                <w:rFonts w:ascii="宋体" w:hAnsi="宋体" w:eastAsia="宋体" w:cs="Times New Roman"/>
                <w:color w:val="auto"/>
                <w:sz w:val="21"/>
                <w:szCs w:val="21"/>
              </w:rPr>
              <w:t xml:space="preserve"> HPS教学与案例</w:t>
            </w:r>
          </w:p>
        </w:tc>
        <w:tc>
          <w:tcPr>
            <w:tcW w:w="1134" w:type="dxa"/>
            <w:vAlign w:val="center"/>
          </w:tcPr>
          <w:p w14:paraId="7A2094C3">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目标</w:t>
            </w:r>
            <w:r>
              <w:rPr>
                <w:rFonts w:hint="eastAsia" w:ascii="宋体" w:hAnsi="宋体" w:eastAsia="宋体" w:cs="Times New Roman"/>
                <w:color w:val="auto"/>
                <w:sz w:val="21"/>
                <w:szCs w:val="21"/>
              </w:rPr>
              <w:t>1、2</w:t>
            </w:r>
          </w:p>
        </w:tc>
        <w:tc>
          <w:tcPr>
            <w:tcW w:w="2552" w:type="dxa"/>
            <w:vAlign w:val="center"/>
          </w:tcPr>
          <w:p w14:paraId="4EF7E79D">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掌握多种教学方法，能够灵活应用于不同教学情境，提升课堂互动性。</w:t>
            </w:r>
          </w:p>
        </w:tc>
        <w:tc>
          <w:tcPr>
            <w:tcW w:w="1646" w:type="dxa"/>
            <w:vAlign w:val="center"/>
          </w:tcPr>
          <w:p w14:paraId="177D45BC">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 线上学习</w:t>
            </w:r>
            <w:r>
              <w:rPr>
                <w:rFonts w:ascii="宋体" w:hAnsi="宋体" w:eastAsia="宋体" w:cs="Times New Roman"/>
                <w:color w:val="auto"/>
                <w:sz w:val="21"/>
                <w:szCs w:val="21"/>
              </w:rPr>
              <w:br w:type="textWrapping"/>
            </w:r>
            <w:r>
              <w:rPr>
                <w:rFonts w:ascii="宋体" w:hAnsi="宋体" w:eastAsia="宋体" w:cs="Times New Roman"/>
                <w:color w:val="auto"/>
                <w:sz w:val="21"/>
                <w:szCs w:val="21"/>
              </w:rPr>
              <w:t>2. 小组讨论</w:t>
            </w:r>
            <w:r>
              <w:rPr>
                <w:rFonts w:ascii="宋体" w:hAnsi="宋体" w:eastAsia="宋体" w:cs="Times New Roman"/>
                <w:color w:val="auto"/>
                <w:sz w:val="21"/>
                <w:szCs w:val="21"/>
              </w:rPr>
              <w:br w:type="textWrapping"/>
            </w:r>
            <w:r>
              <w:rPr>
                <w:rFonts w:ascii="宋体" w:hAnsi="宋体" w:eastAsia="宋体" w:cs="Times New Roman"/>
                <w:color w:val="auto"/>
                <w:sz w:val="21"/>
                <w:szCs w:val="21"/>
              </w:rPr>
              <w:t>3. 案例分析</w:t>
            </w:r>
          </w:p>
        </w:tc>
        <w:tc>
          <w:tcPr>
            <w:tcW w:w="427" w:type="dxa"/>
            <w:vAlign w:val="center"/>
          </w:tcPr>
          <w:p w14:paraId="3BE8ECA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8</w:t>
            </w:r>
          </w:p>
        </w:tc>
      </w:tr>
      <w:tr w14:paraId="61980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2A15065A">
            <w:pPr>
              <w:spacing w:line="240" w:lineRule="auto"/>
              <w:jc w:val="center"/>
              <w:rPr>
                <w:rFonts w:hint="eastAsia" w:ascii="宋体" w:hAnsi="宋体" w:eastAsia="宋体" w:cs="Times New Roman"/>
                <w:color w:val="auto"/>
                <w:sz w:val="21"/>
                <w:szCs w:val="21"/>
              </w:rPr>
            </w:pPr>
          </w:p>
        </w:tc>
        <w:tc>
          <w:tcPr>
            <w:tcW w:w="8112" w:type="dxa"/>
            <w:gridSpan w:val="5"/>
            <w:vAlign w:val="center"/>
          </w:tcPr>
          <w:p w14:paraId="03A1647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 xml:space="preserve"> </w:t>
            </w:r>
            <w:r>
              <w:rPr>
                <w:rFonts w:ascii="宋体" w:hAnsi="宋体" w:eastAsia="宋体" w:cs="Times New Roman"/>
                <w:b/>
                <w:bCs/>
                <w:color w:val="auto"/>
                <w:sz w:val="21"/>
                <w:szCs w:val="21"/>
              </w:rPr>
              <w:t>强化教师职业素养和教育情怀</w:t>
            </w:r>
            <w:r>
              <w:rPr>
                <w:rFonts w:ascii="宋体" w:hAnsi="宋体" w:eastAsia="宋体" w:cs="Times New Roman"/>
                <w:color w:val="auto"/>
                <w:sz w:val="21"/>
                <w:szCs w:val="21"/>
              </w:rPr>
              <w:t>：通过教学方法的学习，树立教师职业责任感与教育情怀。</w:t>
            </w:r>
          </w:p>
        </w:tc>
      </w:tr>
      <w:tr w14:paraId="00D6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14:paraId="1FFCB83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第七章</w:t>
            </w:r>
          </w:p>
          <w:p w14:paraId="3D34C37E">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科学教学评价</w:t>
            </w:r>
          </w:p>
        </w:tc>
        <w:tc>
          <w:tcPr>
            <w:tcW w:w="2353" w:type="dxa"/>
            <w:vAlign w:val="center"/>
          </w:tcPr>
          <w:p w14:paraId="2C3C8F9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小学科学教学评价的功能与特征</w:t>
            </w:r>
            <w:r>
              <w:rPr>
                <w:rFonts w:ascii="宋体" w:hAnsi="宋体" w:eastAsia="宋体" w:cs="Times New Roman"/>
                <w:color w:val="auto"/>
                <w:sz w:val="21"/>
                <w:szCs w:val="21"/>
              </w:rPr>
              <w:br w:type="textWrapping"/>
            </w:r>
            <w:r>
              <w:rPr>
                <w:rFonts w:hint="eastAsia" w:ascii="宋体" w:hAnsi="宋体" w:eastAsia="宋体" w:cs="Times New Roman"/>
                <w:color w:val="auto"/>
                <w:sz w:val="21"/>
                <w:szCs w:val="21"/>
              </w:rPr>
              <w:t>2.</w:t>
            </w:r>
            <w:r>
              <w:rPr>
                <w:rFonts w:ascii="宋体" w:hAnsi="宋体" w:eastAsia="宋体" w:cs="Times New Roman"/>
                <w:color w:val="auto"/>
                <w:sz w:val="21"/>
                <w:szCs w:val="21"/>
              </w:rPr>
              <w:t>小学科学教学评价的目标与类型</w:t>
            </w:r>
          </w:p>
        </w:tc>
        <w:tc>
          <w:tcPr>
            <w:tcW w:w="1134" w:type="dxa"/>
            <w:vAlign w:val="center"/>
          </w:tcPr>
          <w:p w14:paraId="2A5E67E2">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目标2、3</w:t>
            </w:r>
          </w:p>
        </w:tc>
        <w:tc>
          <w:tcPr>
            <w:tcW w:w="2552" w:type="dxa"/>
            <w:vAlign w:val="center"/>
          </w:tcPr>
          <w:p w14:paraId="02C40785">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掌握教学评价方法，能独立进行科学课程的评价并提出改进方案。</w:t>
            </w:r>
          </w:p>
        </w:tc>
        <w:tc>
          <w:tcPr>
            <w:tcW w:w="1646" w:type="dxa"/>
            <w:vAlign w:val="center"/>
          </w:tcPr>
          <w:p w14:paraId="3561388F">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 线上学习</w:t>
            </w:r>
            <w:r>
              <w:rPr>
                <w:rFonts w:ascii="宋体" w:hAnsi="宋体" w:eastAsia="宋体" w:cs="Times New Roman"/>
                <w:color w:val="auto"/>
                <w:sz w:val="21"/>
                <w:szCs w:val="21"/>
              </w:rPr>
              <w:br w:type="textWrapping"/>
            </w:r>
            <w:r>
              <w:rPr>
                <w:rFonts w:ascii="宋体" w:hAnsi="宋体" w:eastAsia="宋体" w:cs="Times New Roman"/>
                <w:color w:val="auto"/>
                <w:sz w:val="21"/>
                <w:szCs w:val="21"/>
              </w:rPr>
              <w:t>2. 小组讨论</w:t>
            </w:r>
            <w:r>
              <w:rPr>
                <w:rFonts w:ascii="宋体" w:hAnsi="宋体" w:eastAsia="宋体" w:cs="Times New Roman"/>
                <w:color w:val="auto"/>
                <w:sz w:val="21"/>
                <w:szCs w:val="21"/>
              </w:rPr>
              <w:br w:type="textWrapping"/>
            </w:r>
            <w:r>
              <w:rPr>
                <w:rFonts w:ascii="宋体" w:hAnsi="宋体" w:eastAsia="宋体" w:cs="Times New Roman"/>
                <w:color w:val="auto"/>
                <w:sz w:val="21"/>
                <w:szCs w:val="21"/>
              </w:rPr>
              <w:t>3. 教学评价实践</w:t>
            </w:r>
          </w:p>
        </w:tc>
        <w:tc>
          <w:tcPr>
            <w:tcW w:w="427" w:type="dxa"/>
            <w:vAlign w:val="center"/>
          </w:tcPr>
          <w:p w14:paraId="6DC3851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8</w:t>
            </w:r>
          </w:p>
        </w:tc>
      </w:tr>
      <w:tr w14:paraId="6BB3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44A25BC5">
            <w:pPr>
              <w:spacing w:line="240" w:lineRule="auto"/>
              <w:jc w:val="center"/>
              <w:rPr>
                <w:rFonts w:hint="eastAsia" w:ascii="宋体" w:hAnsi="宋体" w:eastAsia="宋体" w:cs="Times New Roman"/>
                <w:color w:val="auto"/>
                <w:sz w:val="21"/>
                <w:szCs w:val="21"/>
              </w:rPr>
            </w:pPr>
          </w:p>
        </w:tc>
        <w:tc>
          <w:tcPr>
            <w:tcW w:w="8112" w:type="dxa"/>
            <w:gridSpan w:val="5"/>
            <w:vAlign w:val="center"/>
          </w:tcPr>
          <w:p w14:paraId="23A77EA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 xml:space="preserve"> </w:t>
            </w:r>
            <w:r>
              <w:rPr>
                <w:rFonts w:ascii="宋体" w:hAnsi="宋体" w:eastAsia="宋体" w:cs="Times New Roman"/>
                <w:b/>
                <w:bCs/>
                <w:color w:val="auto"/>
                <w:sz w:val="21"/>
                <w:szCs w:val="21"/>
              </w:rPr>
              <w:t>辩证认识评价的工具性与教育性</w:t>
            </w:r>
            <w:r>
              <w:rPr>
                <w:rFonts w:ascii="宋体" w:hAnsi="宋体" w:eastAsia="宋体" w:cs="Times New Roman"/>
                <w:color w:val="auto"/>
                <w:sz w:val="21"/>
                <w:szCs w:val="21"/>
              </w:rPr>
              <w:t>：通过科学的评价促进教学发展，帮助学生认识自我提升。</w:t>
            </w:r>
          </w:p>
        </w:tc>
      </w:tr>
      <w:tr w14:paraId="456B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14:paraId="53CC9304">
            <w:pPr>
              <w:adjustRightInd w:val="0"/>
              <w:snapToGrid w:val="0"/>
              <w:spacing w:line="240" w:lineRule="auto"/>
              <w:jc w:val="center"/>
              <w:rPr>
                <w:rFonts w:hint="eastAsia" w:ascii="宋体" w:hAnsi="宋体" w:eastAsia="宋体"/>
                <w:bCs/>
                <w:color w:val="auto"/>
                <w:sz w:val="21"/>
                <w:szCs w:val="21"/>
              </w:rPr>
            </w:pPr>
            <w:bookmarkStart w:id="398" w:name="_Hlk184911855"/>
            <w:r>
              <w:rPr>
                <w:rFonts w:hint="eastAsia" w:ascii="宋体" w:hAnsi="宋体" w:eastAsia="宋体"/>
                <w:bCs/>
                <w:color w:val="auto"/>
                <w:sz w:val="21"/>
                <w:szCs w:val="21"/>
              </w:rPr>
              <w:t>第八章</w:t>
            </w:r>
          </w:p>
          <w:p w14:paraId="6A30E8FA">
            <w:pPr>
              <w:spacing w:line="240" w:lineRule="auto"/>
              <w:jc w:val="center"/>
              <w:rPr>
                <w:rFonts w:hint="eastAsia" w:ascii="宋体" w:hAnsi="宋体" w:eastAsia="宋体" w:cs="Times New Roman"/>
                <w:color w:val="auto"/>
                <w:sz w:val="21"/>
                <w:szCs w:val="21"/>
              </w:rPr>
            </w:pPr>
            <w:bookmarkStart w:id="399" w:name="_Hlk184911949"/>
            <w:r>
              <w:rPr>
                <w:rFonts w:hint="eastAsia" w:ascii="宋体" w:hAnsi="宋体" w:eastAsia="宋体"/>
                <w:bCs/>
                <w:color w:val="auto"/>
                <w:sz w:val="21"/>
                <w:szCs w:val="21"/>
              </w:rPr>
              <w:t>小学科学教师专业发展</w:t>
            </w:r>
            <w:bookmarkEnd w:id="399"/>
          </w:p>
        </w:tc>
        <w:tc>
          <w:tcPr>
            <w:tcW w:w="2353" w:type="dxa"/>
          </w:tcPr>
          <w:p w14:paraId="7166A791">
            <w:pPr>
              <w:adjustRightInd w:val="0"/>
              <w:snapToGrid w:val="0"/>
              <w:spacing w:line="240" w:lineRule="auto"/>
              <w:rPr>
                <w:rFonts w:hint="eastAsia" w:ascii="宋体" w:hAnsi="宋体" w:eastAsia="宋体"/>
                <w:bCs/>
                <w:color w:val="auto"/>
                <w:sz w:val="21"/>
                <w:szCs w:val="21"/>
              </w:rPr>
            </w:pPr>
            <w:r>
              <w:rPr>
                <w:rFonts w:hint="eastAsia" w:ascii="宋体" w:hAnsi="宋体" w:eastAsia="宋体"/>
                <w:bCs/>
                <w:color w:val="auto"/>
                <w:sz w:val="21"/>
                <w:szCs w:val="21"/>
              </w:rPr>
              <w:t>1</w:t>
            </w:r>
            <w:r>
              <w:rPr>
                <w:rFonts w:ascii="宋体" w:hAnsi="宋体" w:eastAsia="宋体"/>
                <w:bCs/>
                <w:color w:val="auto"/>
                <w:sz w:val="21"/>
                <w:szCs w:val="21"/>
              </w:rPr>
              <w:t>.</w:t>
            </w:r>
            <w:r>
              <w:rPr>
                <w:rFonts w:hint="eastAsia" w:ascii="宋体" w:hAnsi="宋体" w:eastAsia="宋体"/>
                <w:bCs/>
                <w:color w:val="auto"/>
                <w:sz w:val="21"/>
                <w:szCs w:val="21"/>
              </w:rPr>
              <w:t>科学课教师的角色和行为</w:t>
            </w:r>
          </w:p>
          <w:p w14:paraId="0A376356">
            <w:pPr>
              <w:spacing w:line="240" w:lineRule="auto"/>
              <w:jc w:val="left"/>
              <w:rPr>
                <w:rFonts w:hint="eastAsia" w:ascii="宋体" w:hAnsi="宋体" w:eastAsia="宋体" w:cs="Times New Roman"/>
                <w:color w:val="auto"/>
                <w:sz w:val="21"/>
                <w:szCs w:val="21"/>
              </w:rPr>
            </w:pPr>
            <w:r>
              <w:rPr>
                <w:rFonts w:hint="eastAsia" w:ascii="宋体" w:hAnsi="宋体" w:eastAsia="宋体"/>
                <w:bCs/>
                <w:color w:val="auto"/>
                <w:sz w:val="21"/>
                <w:szCs w:val="21"/>
              </w:rPr>
              <w:t>2</w:t>
            </w:r>
            <w:r>
              <w:rPr>
                <w:rFonts w:ascii="宋体" w:hAnsi="宋体" w:eastAsia="宋体"/>
                <w:bCs/>
                <w:color w:val="auto"/>
                <w:sz w:val="21"/>
                <w:szCs w:val="21"/>
              </w:rPr>
              <w:t>.</w:t>
            </w:r>
            <w:r>
              <w:rPr>
                <w:rFonts w:hint="eastAsia" w:ascii="宋体" w:hAnsi="宋体" w:eastAsia="宋体"/>
                <w:bCs/>
                <w:color w:val="auto"/>
                <w:sz w:val="21"/>
                <w:szCs w:val="21"/>
              </w:rPr>
              <w:t>科学课教师的基本素质和专业化发展路径</w:t>
            </w:r>
          </w:p>
        </w:tc>
        <w:tc>
          <w:tcPr>
            <w:tcW w:w="1134" w:type="dxa"/>
            <w:vAlign w:val="center"/>
          </w:tcPr>
          <w:p w14:paraId="09EA7EE3">
            <w:pPr>
              <w:spacing w:line="240" w:lineRule="auto"/>
              <w:jc w:val="center"/>
              <w:rPr>
                <w:rFonts w:hint="eastAsia" w:ascii="宋体" w:hAnsi="宋体" w:eastAsia="宋体" w:cs="Times New Roman"/>
                <w:color w:val="auto"/>
                <w:sz w:val="21"/>
                <w:szCs w:val="21"/>
              </w:rPr>
            </w:pPr>
            <w:r>
              <w:rPr>
                <w:rFonts w:hint="eastAsia" w:ascii="宋体" w:hAnsi="宋体" w:eastAsia="宋体"/>
                <w:bCs/>
                <w:color w:val="auto"/>
                <w:sz w:val="21"/>
                <w:szCs w:val="21"/>
              </w:rPr>
              <w:t>目标3</w:t>
            </w:r>
          </w:p>
        </w:tc>
        <w:tc>
          <w:tcPr>
            <w:tcW w:w="2552" w:type="dxa"/>
          </w:tcPr>
          <w:p w14:paraId="04127720">
            <w:pPr>
              <w:spacing w:line="240" w:lineRule="auto"/>
              <w:jc w:val="left"/>
              <w:rPr>
                <w:rFonts w:hint="eastAsia" w:ascii="宋体" w:hAnsi="宋体" w:eastAsia="宋体" w:cs="Times New Roman"/>
                <w:color w:val="auto"/>
                <w:sz w:val="21"/>
                <w:szCs w:val="21"/>
              </w:rPr>
            </w:pPr>
            <w:r>
              <w:rPr>
                <w:rFonts w:hint="eastAsia" w:ascii="宋体" w:hAnsi="宋体" w:eastAsia="宋体"/>
                <w:bCs/>
                <w:color w:val="auto"/>
                <w:sz w:val="21"/>
                <w:szCs w:val="21"/>
              </w:rPr>
              <w:t>了解小学科学教师的专业发展趋势，掌握科学教师的专业角色与基本素养要求。</w:t>
            </w:r>
          </w:p>
        </w:tc>
        <w:tc>
          <w:tcPr>
            <w:tcW w:w="1646" w:type="dxa"/>
          </w:tcPr>
          <w:p w14:paraId="5370C3FE">
            <w:pPr>
              <w:spacing w:line="240" w:lineRule="auto"/>
              <w:jc w:val="left"/>
              <w:rPr>
                <w:rFonts w:hint="eastAsia" w:ascii="宋体" w:hAnsi="宋体" w:eastAsia="宋体"/>
                <w:color w:val="auto"/>
                <w:sz w:val="21"/>
                <w:szCs w:val="21"/>
              </w:rPr>
            </w:pPr>
            <w:r>
              <w:rPr>
                <w:rFonts w:hint="eastAsia" w:ascii="宋体" w:hAnsi="宋体" w:eastAsia="宋体"/>
                <w:color w:val="auto"/>
                <w:sz w:val="21"/>
                <w:szCs w:val="21"/>
              </w:rPr>
              <w:t>1.多媒体教学</w:t>
            </w:r>
          </w:p>
          <w:p w14:paraId="281BB80C">
            <w:pPr>
              <w:spacing w:line="240" w:lineRule="auto"/>
              <w:jc w:val="left"/>
              <w:rPr>
                <w:rFonts w:hint="eastAsia" w:ascii="宋体" w:hAnsi="宋体" w:eastAsia="宋体"/>
                <w:color w:val="auto"/>
                <w:sz w:val="21"/>
                <w:szCs w:val="21"/>
              </w:rPr>
            </w:pPr>
            <w:r>
              <w:rPr>
                <w:rFonts w:hint="eastAsia" w:ascii="宋体" w:hAnsi="宋体" w:eastAsia="宋体"/>
                <w:color w:val="auto"/>
                <w:sz w:val="21"/>
                <w:szCs w:val="21"/>
              </w:rPr>
              <w:t>2.课堂讨论</w:t>
            </w:r>
          </w:p>
          <w:p w14:paraId="4A7076DB">
            <w:pPr>
              <w:spacing w:line="240" w:lineRule="auto"/>
              <w:jc w:val="left"/>
              <w:rPr>
                <w:rFonts w:hint="eastAsia" w:ascii="宋体" w:hAnsi="宋体" w:eastAsia="宋体" w:cs="Times New Roman"/>
                <w:color w:val="auto"/>
                <w:sz w:val="21"/>
                <w:szCs w:val="21"/>
              </w:rPr>
            </w:pPr>
            <w:r>
              <w:rPr>
                <w:rFonts w:hint="eastAsia" w:ascii="宋体" w:hAnsi="宋体" w:eastAsia="宋体"/>
                <w:color w:val="auto"/>
                <w:sz w:val="21"/>
                <w:szCs w:val="21"/>
              </w:rPr>
              <w:t>3</w:t>
            </w:r>
            <w:r>
              <w:rPr>
                <w:rFonts w:ascii="宋体" w:hAnsi="宋体" w:eastAsia="宋体"/>
                <w:color w:val="auto"/>
                <w:sz w:val="21"/>
                <w:szCs w:val="21"/>
              </w:rPr>
              <w:t>.</w:t>
            </w:r>
            <w:r>
              <w:rPr>
                <w:rFonts w:hint="eastAsia" w:ascii="宋体" w:hAnsi="宋体" w:eastAsia="宋体"/>
                <w:color w:val="auto"/>
                <w:sz w:val="21"/>
                <w:szCs w:val="21"/>
              </w:rPr>
              <w:t>案例分析</w:t>
            </w:r>
          </w:p>
        </w:tc>
        <w:tc>
          <w:tcPr>
            <w:tcW w:w="427" w:type="dxa"/>
            <w:vAlign w:val="center"/>
          </w:tcPr>
          <w:p w14:paraId="578C88DF">
            <w:pPr>
              <w:spacing w:line="240" w:lineRule="auto"/>
              <w:jc w:val="center"/>
              <w:rPr>
                <w:rFonts w:hint="eastAsia" w:ascii="宋体" w:hAnsi="宋体" w:eastAsia="宋体" w:cs="Times New Roman"/>
                <w:color w:val="auto"/>
                <w:sz w:val="21"/>
                <w:szCs w:val="21"/>
              </w:rPr>
            </w:pPr>
            <w:r>
              <w:rPr>
                <w:rFonts w:hint="eastAsia" w:ascii="宋体" w:hAnsi="宋体"/>
                <w:bCs/>
                <w:color w:val="auto"/>
                <w:sz w:val="21"/>
                <w:szCs w:val="21"/>
              </w:rPr>
              <w:t>2</w:t>
            </w:r>
          </w:p>
        </w:tc>
      </w:tr>
      <w:bookmarkEnd w:id="398"/>
      <w:tr w14:paraId="66B2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51C9D6B9">
            <w:pPr>
              <w:spacing w:line="240" w:lineRule="auto"/>
              <w:jc w:val="center"/>
              <w:rPr>
                <w:rFonts w:hint="eastAsia" w:ascii="宋体" w:hAnsi="宋体" w:eastAsia="宋体" w:cs="Times New Roman"/>
                <w:color w:val="auto"/>
                <w:sz w:val="21"/>
                <w:szCs w:val="21"/>
              </w:rPr>
            </w:pPr>
          </w:p>
        </w:tc>
        <w:tc>
          <w:tcPr>
            <w:tcW w:w="8112" w:type="dxa"/>
            <w:gridSpan w:val="5"/>
            <w:vAlign w:val="center"/>
          </w:tcPr>
          <w:p w14:paraId="473F692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宋体" w:hAnsi="宋体" w:eastAsia="宋体" w:cs="Times New Roman"/>
                <w:b/>
                <w:bCs/>
                <w:color w:val="auto"/>
                <w:sz w:val="21"/>
                <w:szCs w:val="21"/>
              </w:rPr>
              <w:t>注重教育的育人功能</w:t>
            </w:r>
            <w:r>
              <w:rPr>
                <w:rFonts w:hint="eastAsia" w:ascii="宋体" w:hAnsi="宋体" w:eastAsia="宋体" w:cs="Times New Roman"/>
                <w:color w:val="auto"/>
                <w:sz w:val="21"/>
                <w:szCs w:val="21"/>
              </w:rPr>
              <w:t>。</w:t>
            </w:r>
            <w:r>
              <w:rPr>
                <w:rFonts w:ascii="宋体" w:hAnsi="宋体" w:eastAsia="宋体" w:cs="Times New Roman"/>
                <w:color w:val="auto"/>
                <w:sz w:val="21"/>
                <w:szCs w:val="21"/>
              </w:rPr>
              <w:t>通过对科学课程的育人功能的认知和理解，使学生能够在未来的教育教学实践中，以更全面的视角看待教育教学的意义。</w:t>
            </w:r>
          </w:p>
        </w:tc>
      </w:tr>
    </w:tbl>
    <w:p w14:paraId="349C122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四、目标评价与成绩评定</w:t>
      </w:r>
    </w:p>
    <w:p w14:paraId="62703276">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054CB4BC">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3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559"/>
        <w:gridCol w:w="1418"/>
        <w:gridCol w:w="1276"/>
        <w:gridCol w:w="1417"/>
        <w:gridCol w:w="1355"/>
      </w:tblGrid>
      <w:tr w14:paraId="10C28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271" w:type="dxa"/>
            <w:vMerge w:val="restart"/>
            <w:vAlign w:val="center"/>
          </w:tcPr>
          <w:p w14:paraId="7C85969B">
            <w:pPr>
              <w:adjustRightInd w:val="0"/>
              <w:snapToGrid w:val="0"/>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5670" w:type="dxa"/>
            <w:gridSpan w:val="4"/>
          </w:tcPr>
          <w:p w14:paraId="2BEFBE6F">
            <w:pPr>
              <w:adjustRightInd w:val="0"/>
              <w:snapToGrid w:val="0"/>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355" w:type="dxa"/>
            <w:vMerge w:val="restart"/>
            <w:vAlign w:val="center"/>
          </w:tcPr>
          <w:p w14:paraId="27696132">
            <w:pPr>
              <w:adjustRightInd w:val="0"/>
              <w:snapToGrid w:val="0"/>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3428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271" w:type="dxa"/>
            <w:vMerge w:val="continue"/>
            <w:vAlign w:val="center"/>
          </w:tcPr>
          <w:p w14:paraId="1314C1F6">
            <w:pPr>
              <w:adjustRightInd w:val="0"/>
              <w:snapToGrid w:val="0"/>
              <w:spacing w:line="276" w:lineRule="auto"/>
              <w:jc w:val="center"/>
              <w:rPr>
                <w:rFonts w:hint="eastAsia" w:ascii="宋体" w:hAnsi="宋体" w:eastAsia="宋体" w:cs="Times New Roman"/>
                <w:color w:val="auto"/>
                <w:szCs w:val="21"/>
              </w:rPr>
            </w:pPr>
          </w:p>
        </w:tc>
        <w:tc>
          <w:tcPr>
            <w:tcW w:w="1559" w:type="dxa"/>
            <w:vAlign w:val="center"/>
          </w:tcPr>
          <w:p w14:paraId="1E61BD35">
            <w:pPr>
              <w:adjustRightInd w:val="0"/>
              <w:snapToGrid w:val="0"/>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课堂发言</w:t>
            </w:r>
          </w:p>
        </w:tc>
        <w:tc>
          <w:tcPr>
            <w:tcW w:w="1418" w:type="dxa"/>
            <w:vAlign w:val="center"/>
          </w:tcPr>
          <w:p w14:paraId="26A44EA1">
            <w:pPr>
              <w:adjustRightInd w:val="0"/>
              <w:snapToGrid w:val="0"/>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1276" w:type="dxa"/>
            <w:vAlign w:val="center"/>
          </w:tcPr>
          <w:p w14:paraId="08694F0F">
            <w:pPr>
              <w:adjustRightInd w:val="0"/>
              <w:snapToGrid w:val="0"/>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课内实践</w:t>
            </w:r>
          </w:p>
        </w:tc>
        <w:tc>
          <w:tcPr>
            <w:tcW w:w="1417" w:type="dxa"/>
            <w:vAlign w:val="center"/>
          </w:tcPr>
          <w:p w14:paraId="4B0A9A63">
            <w:pPr>
              <w:adjustRightInd w:val="0"/>
              <w:snapToGrid w:val="0"/>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1355" w:type="dxa"/>
            <w:vMerge w:val="continue"/>
            <w:vAlign w:val="center"/>
          </w:tcPr>
          <w:p w14:paraId="70D19AAF">
            <w:pPr>
              <w:adjustRightInd w:val="0"/>
              <w:snapToGrid w:val="0"/>
              <w:spacing w:line="276" w:lineRule="auto"/>
              <w:jc w:val="center"/>
              <w:rPr>
                <w:rFonts w:hint="eastAsia" w:ascii="宋体" w:hAnsi="宋体" w:eastAsia="宋体" w:cs="Times New Roman"/>
                <w:color w:val="auto"/>
                <w:szCs w:val="21"/>
              </w:rPr>
            </w:pPr>
          </w:p>
        </w:tc>
      </w:tr>
      <w:tr w14:paraId="5706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271" w:type="dxa"/>
            <w:vAlign w:val="center"/>
          </w:tcPr>
          <w:p w14:paraId="01726215">
            <w:pPr>
              <w:adjustRightInd w:val="0"/>
              <w:snapToGrid w:val="0"/>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559" w:type="dxa"/>
            <w:vAlign w:val="center"/>
          </w:tcPr>
          <w:p w14:paraId="1C29713C">
            <w:pPr>
              <w:adjustRightInd w:val="0"/>
              <w:snapToGrid w:val="0"/>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18" w:type="dxa"/>
            <w:vAlign w:val="center"/>
          </w:tcPr>
          <w:p w14:paraId="7CE9C7B6">
            <w:pPr>
              <w:adjustRightInd w:val="0"/>
              <w:snapToGrid w:val="0"/>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76" w:type="dxa"/>
            <w:vAlign w:val="center"/>
          </w:tcPr>
          <w:p w14:paraId="2F9F904F">
            <w:pPr>
              <w:adjustRightInd w:val="0"/>
              <w:snapToGrid w:val="0"/>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17" w:type="dxa"/>
            <w:vAlign w:val="center"/>
          </w:tcPr>
          <w:p w14:paraId="176FFA3F">
            <w:pPr>
              <w:adjustRightInd w:val="0"/>
              <w:snapToGrid w:val="0"/>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355" w:type="dxa"/>
            <w:vAlign w:val="center"/>
          </w:tcPr>
          <w:p w14:paraId="3DE00AAB">
            <w:pPr>
              <w:adjustRightInd w:val="0"/>
              <w:snapToGrid w:val="0"/>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0</w:t>
            </w:r>
          </w:p>
        </w:tc>
      </w:tr>
      <w:tr w14:paraId="784E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207CBD44">
            <w:pPr>
              <w:adjustRightInd w:val="0"/>
              <w:snapToGrid w:val="0"/>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559" w:type="dxa"/>
            <w:vAlign w:val="center"/>
          </w:tcPr>
          <w:p w14:paraId="6C759A5D">
            <w:pPr>
              <w:adjustRightInd w:val="0"/>
              <w:snapToGrid w:val="0"/>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18" w:type="dxa"/>
            <w:vAlign w:val="center"/>
          </w:tcPr>
          <w:p w14:paraId="76AFD89E">
            <w:pPr>
              <w:adjustRightInd w:val="0"/>
              <w:snapToGrid w:val="0"/>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76" w:type="dxa"/>
            <w:vAlign w:val="center"/>
          </w:tcPr>
          <w:p w14:paraId="531628E6">
            <w:pPr>
              <w:adjustRightInd w:val="0"/>
              <w:snapToGrid w:val="0"/>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17" w:type="dxa"/>
            <w:vAlign w:val="center"/>
          </w:tcPr>
          <w:p w14:paraId="142BD101">
            <w:pPr>
              <w:adjustRightInd w:val="0"/>
              <w:snapToGrid w:val="0"/>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355" w:type="dxa"/>
            <w:vAlign w:val="center"/>
          </w:tcPr>
          <w:p w14:paraId="6FFDD7D8">
            <w:pPr>
              <w:adjustRightInd w:val="0"/>
              <w:snapToGrid w:val="0"/>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t>30</w:t>
            </w:r>
          </w:p>
        </w:tc>
      </w:tr>
      <w:tr w14:paraId="0AA4D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75BB4BEF">
            <w:pPr>
              <w:adjustRightInd w:val="0"/>
              <w:snapToGrid w:val="0"/>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1559" w:type="dxa"/>
            <w:vAlign w:val="center"/>
          </w:tcPr>
          <w:p w14:paraId="2D5D13C6">
            <w:pPr>
              <w:adjustRightInd w:val="0"/>
              <w:snapToGrid w:val="0"/>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18" w:type="dxa"/>
            <w:vAlign w:val="center"/>
          </w:tcPr>
          <w:p w14:paraId="66CC67D2">
            <w:pPr>
              <w:adjustRightInd w:val="0"/>
              <w:snapToGrid w:val="0"/>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76" w:type="dxa"/>
            <w:vAlign w:val="center"/>
          </w:tcPr>
          <w:p w14:paraId="4AB7DBC6">
            <w:pPr>
              <w:adjustRightInd w:val="0"/>
              <w:snapToGrid w:val="0"/>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17" w:type="dxa"/>
            <w:vAlign w:val="center"/>
          </w:tcPr>
          <w:p w14:paraId="0A7717C5">
            <w:pPr>
              <w:adjustRightInd w:val="0"/>
              <w:snapToGrid w:val="0"/>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355" w:type="dxa"/>
            <w:vAlign w:val="center"/>
          </w:tcPr>
          <w:p w14:paraId="15D79611">
            <w:pPr>
              <w:adjustRightInd w:val="0"/>
              <w:snapToGrid w:val="0"/>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t>30</w:t>
            </w:r>
          </w:p>
        </w:tc>
      </w:tr>
      <w:tr w14:paraId="5157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7106138E">
            <w:pPr>
              <w:adjustRightInd w:val="0"/>
              <w:snapToGrid w:val="0"/>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559" w:type="dxa"/>
            <w:vAlign w:val="center"/>
          </w:tcPr>
          <w:p w14:paraId="11292D4B">
            <w:pPr>
              <w:adjustRightInd w:val="0"/>
              <w:snapToGrid w:val="0"/>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0</w:t>
            </w:r>
          </w:p>
        </w:tc>
        <w:tc>
          <w:tcPr>
            <w:tcW w:w="1418" w:type="dxa"/>
            <w:vAlign w:val="center"/>
          </w:tcPr>
          <w:p w14:paraId="73BB4FB7">
            <w:pPr>
              <w:adjustRightInd w:val="0"/>
              <w:snapToGrid w:val="0"/>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t>20</w:t>
            </w:r>
          </w:p>
        </w:tc>
        <w:tc>
          <w:tcPr>
            <w:tcW w:w="1276" w:type="dxa"/>
            <w:vAlign w:val="center"/>
          </w:tcPr>
          <w:p w14:paraId="73EE0588">
            <w:pPr>
              <w:adjustRightInd w:val="0"/>
              <w:snapToGrid w:val="0"/>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0</w:t>
            </w:r>
          </w:p>
        </w:tc>
        <w:tc>
          <w:tcPr>
            <w:tcW w:w="1417" w:type="dxa"/>
            <w:vAlign w:val="center"/>
          </w:tcPr>
          <w:p w14:paraId="0D571B89">
            <w:pPr>
              <w:adjustRightInd w:val="0"/>
              <w:snapToGrid w:val="0"/>
              <w:spacing w:line="276" w:lineRule="auto"/>
              <w:jc w:val="center"/>
              <w:rPr>
                <w:rFonts w:hint="eastAsia" w:ascii="宋体" w:hAnsi="宋体" w:eastAsia="宋体" w:cs="Times New Roman"/>
                <w:color w:val="auto"/>
                <w:szCs w:val="21"/>
              </w:rPr>
            </w:pPr>
            <w:r>
              <w:rPr>
                <w:rFonts w:ascii="宋体" w:hAnsi="宋体" w:eastAsia="宋体" w:cs="Times New Roman"/>
                <w:color w:val="auto"/>
                <w:szCs w:val="21"/>
              </w:rPr>
              <w:t>50</w:t>
            </w:r>
          </w:p>
        </w:tc>
        <w:tc>
          <w:tcPr>
            <w:tcW w:w="1355" w:type="dxa"/>
            <w:vAlign w:val="center"/>
          </w:tcPr>
          <w:p w14:paraId="61C80440">
            <w:pPr>
              <w:adjustRightInd w:val="0"/>
              <w:snapToGrid w:val="0"/>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35750416">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652A969B">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509"/>
        <w:gridCol w:w="757"/>
      </w:tblGrid>
      <w:tr w14:paraId="495D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dxa"/>
            <w:vAlign w:val="center"/>
          </w:tcPr>
          <w:p w14:paraId="20F0CCD1">
            <w:pPr>
              <w:adjustRightInd w:val="0"/>
              <w:snapToGrid w:val="0"/>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509" w:type="dxa"/>
            <w:vAlign w:val="center"/>
          </w:tcPr>
          <w:p w14:paraId="50EE2C0A">
            <w:pPr>
              <w:adjustRightInd w:val="0"/>
              <w:snapToGrid w:val="0"/>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5C1C6BB9">
            <w:pPr>
              <w:adjustRightInd w:val="0"/>
              <w:snapToGrid w:val="0"/>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423D9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22" w:type="dxa"/>
            <w:tcBorders>
              <w:top w:val="single" w:color="auto" w:sz="4" w:space="0"/>
              <w:left w:val="single" w:color="auto" w:sz="4" w:space="0"/>
              <w:bottom w:val="single" w:color="auto" w:sz="4" w:space="0"/>
              <w:right w:val="single" w:color="auto" w:sz="4" w:space="0"/>
            </w:tcBorders>
            <w:vAlign w:val="center"/>
          </w:tcPr>
          <w:p w14:paraId="2525D768">
            <w:pPr>
              <w:snapToGrid w:val="0"/>
              <w:spacing w:line="276" w:lineRule="auto"/>
              <w:rPr>
                <w:rFonts w:hint="eastAsia" w:ascii="宋体" w:hAnsi="宋体" w:eastAsia="宋体"/>
                <w:color w:val="auto"/>
                <w:szCs w:val="21"/>
              </w:rPr>
            </w:pPr>
            <w:r>
              <w:rPr>
                <w:rFonts w:hint="eastAsia" w:ascii="宋体" w:hAnsi="宋体" w:eastAsia="宋体"/>
                <w:color w:val="auto"/>
                <w:szCs w:val="21"/>
              </w:rPr>
              <w:t>课堂发言</w:t>
            </w:r>
          </w:p>
        </w:tc>
        <w:tc>
          <w:tcPr>
            <w:tcW w:w="7509" w:type="dxa"/>
            <w:tcBorders>
              <w:top w:val="single" w:color="auto" w:sz="4" w:space="0"/>
              <w:left w:val="single" w:color="auto" w:sz="4" w:space="0"/>
              <w:bottom w:val="single" w:color="auto" w:sz="4" w:space="0"/>
              <w:right w:val="single" w:color="auto" w:sz="4" w:space="0"/>
            </w:tcBorders>
            <w:vAlign w:val="center"/>
          </w:tcPr>
          <w:p w14:paraId="37C57B30">
            <w:pPr>
              <w:snapToGrid w:val="0"/>
              <w:spacing w:line="276" w:lineRule="auto"/>
              <w:rPr>
                <w:rFonts w:hint="eastAsia" w:ascii="宋体" w:hAnsi="宋体" w:eastAsia="宋体"/>
                <w:color w:val="auto"/>
                <w:szCs w:val="21"/>
              </w:rPr>
            </w:pPr>
            <w:r>
              <w:rPr>
                <w:rFonts w:hint="eastAsia" w:ascii="宋体" w:hAnsi="宋体" w:eastAsia="宋体"/>
                <w:color w:val="auto"/>
                <w:szCs w:val="21"/>
              </w:rPr>
              <w:t>根据学生课堂发言情况、学习</w:t>
            </w:r>
            <w:r>
              <w:rPr>
                <w:rFonts w:ascii="宋体" w:hAnsi="宋体" w:eastAsia="宋体"/>
                <w:color w:val="auto"/>
                <w:szCs w:val="21"/>
              </w:rPr>
              <w:t>态度</w:t>
            </w:r>
            <w:r>
              <w:rPr>
                <w:rFonts w:hint="eastAsia" w:ascii="宋体" w:hAnsi="宋体" w:eastAsia="宋体"/>
                <w:color w:val="auto"/>
                <w:szCs w:val="21"/>
              </w:rPr>
              <w:t>、回答质量进行评分，考察学生课堂听讲效果、课后预习和复习的效果，以及对基础知识的掌握情况。</w:t>
            </w:r>
          </w:p>
        </w:tc>
        <w:tc>
          <w:tcPr>
            <w:tcW w:w="0" w:type="auto"/>
            <w:tcBorders>
              <w:top w:val="single" w:color="auto" w:sz="4" w:space="0"/>
              <w:left w:val="single" w:color="auto" w:sz="4" w:space="0"/>
              <w:bottom w:val="single" w:color="auto" w:sz="4" w:space="0"/>
              <w:right w:val="single" w:color="auto" w:sz="4" w:space="0"/>
            </w:tcBorders>
            <w:vAlign w:val="center"/>
          </w:tcPr>
          <w:p w14:paraId="2E13A213">
            <w:pPr>
              <w:snapToGrid w:val="0"/>
              <w:spacing w:line="276" w:lineRule="auto"/>
              <w:rPr>
                <w:rFonts w:hint="eastAsia" w:ascii="宋体" w:hAnsi="宋体" w:eastAsia="宋体"/>
                <w:color w:val="auto"/>
                <w:szCs w:val="21"/>
              </w:rPr>
            </w:pPr>
            <w:r>
              <w:rPr>
                <w:rFonts w:ascii="宋体" w:hAnsi="宋体" w:eastAsia="宋体"/>
                <w:color w:val="auto"/>
                <w:szCs w:val="21"/>
              </w:rPr>
              <w:t>10%</w:t>
            </w:r>
          </w:p>
        </w:tc>
      </w:tr>
      <w:tr w14:paraId="4CA7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22" w:type="dxa"/>
            <w:tcBorders>
              <w:top w:val="single" w:color="auto" w:sz="4" w:space="0"/>
              <w:left w:val="single" w:color="auto" w:sz="4" w:space="0"/>
              <w:bottom w:val="single" w:color="auto" w:sz="4" w:space="0"/>
              <w:right w:val="single" w:color="auto" w:sz="4" w:space="0"/>
            </w:tcBorders>
            <w:vAlign w:val="center"/>
          </w:tcPr>
          <w:p w14:paraId="4EF99EEF">
            <w:pPr>
              <w:snapToGrid w:val="0"/>
              <w:spacing w:line="276" w:lineRule="auto"/>
              <w:rPr>
                <w:rFonts w:hint="eastAsia" w:ascii="宋体" w:hAnsi="宋体" w:eastAsia="宋体"/>
                <w:color w:val="auto"/>
                <w:szCs w:val="21"/>
              </w:rPr>
            </w:pPr>
            <w:r>
              <w:rPr>
                <w:rFonts w:hint="eastAsia" w:ascii="宋体" w:hAnsi="宋体" w:eastAsia="宋体"/>
                <w:color w:val="auto"/>
                <w:szCs w:val="21"/>
              </w:rPr>
              <w:t>平时作业</w:t>
            </w:r>
          </w:p>
        </w:tc>
        <w:tc>
          <w:tcPr>
            <w:tcW w:w="7509" w:type="dxa"/>
            <w:tcBorders>
              <w:top w:val="single" w:color="auto" w:sz="4" w:space="0"/>
              <w:left w:val="single" w:color="auto" w:sz="4" w:space="0"/>
              <w:bottom w:val="single" w:color="auto" w:sz="4" w:space="0"/>
              <w:right w:val="single" w:color="auto" w:sz="4" w:space="0"/>
            </w:tcBorders>
            <w:vAlign w:val="center"/>
          </w:tcPr>
          <w:p w14:paraId="5953257E">
            <w:pPr>
              <w:snapToGrid w:val="0"/>
              <w:spacing w:line="276" w:lineRule="auto"/>
              <w:rPr>
                <w:rFonts w:hint="eastAsia" w:ascii="宋体" w:hAnsi="宋体" w:eastAsia="宋体"/>
                <w:color w:val="auto"/>
                <w:szCs w:val="21"/>
              </w:rPr>
            </w:pPr>
            <w:r>
              <w:rPr>
                <w:rFonts w:ascii="宋体" w:hAnsi="宋体" w:eastAsia="宋体" w:cs="Times New Roman"/>
                <w:color w:val="auto"/>
                <w:szCs w:val="21"/>
              </w:rPr>
              <w:t>考核学生对</w:t>
            </w:r>
            <w:r>
              <w:rPr>
                <w:rFonts w:hint="eastAsia" w:ascii="宋体" w:hAnsi="宋体" w:eastAsia="宋体" w:cs="Times New Roman"/>
                <w:color w:val="auto"/>
                <w:szCs w:val="21"/>
              </w:rPr>
              <w:t>各章节重要</w:t>
            </w:r>
            <w:r>
              <w:rPr>
                <w:rFonts w:ascii="宋体" w:hAnsi="宋体" w:eastAsia="宋体" w:cs="Times New Roman"/>
                <w:color w:val="auto"/>
                <w:szCs w:val="21"/>
              </w:rPr>
              <w:t>知识点的理解和掌握</w:t>
            </w:r>
            <w:r>
              <w:rPr>
                <w:rFonts w:hint="eastAsia" w:ascii="宋体" w:hAnsi="宋体" w:eastAsia="宋体" w:cs="Times New Roman"/>
                <w:color w:val="auto"/>
                <w:szCs w:val="21"/>
              </w:rPr>
              <w:t>情况</w:t>
            </w:r>
            <w:r>
              <w:rPr>
                <w:rFonts w:ascii="宋体" w:hAnsi="宋体" w:eastAsia="宋体" w:cs="Times New Roman"/>
                <w:color w:val="auto"/>
                <w:szCs w:val="21"/>
              </w:rPr>
              <w:t>，</w:t>
            </w:r>
            <w:r>
              <w:rPr>
                <w:rFonts w:hint="eastAsia" w:ascii="宋体" w:hAnsi="宋体" w:eastAsia="宋体" w:cs="Times New Roman"/>
                <w:color w:val="auto"/>
                <w:szCs w:val="21"/>
              </w:rPr>
              <w:t>作业次数不少于3次，安排在课后，教师批改反馈并进行讲解。</w:t>
            </w:r>
          </w:p>
        </w:tc>
        <w:tc>
          <w:tcPr>
            <w:tcW w:w="0" w:type="auto"/>
            <w:tcBorders>
              <w:top w:val="single" w:color="auto" w:sz="4" w:space="0"/>
              <w:left w:val="single" w:color="auto" w:sz="4" w:space="0"/>
              <w:bottom w:val="single" w:color="auto" w:sz="4" w:space="0"/>
              <w:right w:val="single" w:color="auto" w:sz="4" w:space="0"/>
            </w:tcBorders>
            <w:vAlign w:val="center"/>
          </w:tcPr>
          <w:p w14:paraId="65D2377A">
            <w:pPr>
              <w:snapToGrid w:val="0"/>
              <w:spacing w:line="276" w:lineRule="auto"/>
              <w:rPr>
                <w:rFonts w:hint="eastAsia" w:ascii="宋体" w:hAnsi="宋体" w:eastAsia="宋体"/>
                <w:color w:val="auto"/>
                <w:szCs w:val="21"/>
              </w:rPr>
            </w:pPr>
            <w:r>
              <w:rPr>
                <w:rFonts w:hint="eastAsia" w:ascii="宋体" w:hAnsi="宋体" w:eastAsia="宋体"/>
                <w:color w:val="auto"/>
                <w:szCs w:val="21"/>
              </w:rPr>
              <w:t>2</w:t>
            </w:r>
            <w:r>
              <w:rPr>
                <w:rFonts w:ascii="宋体" w:hAnsi="宋体" w:eastAsia="宋体"/>
                <w:color w:val="auto"/>
                <w:szCs w:val="21"/>
              </w:rPr>
              <w:t>0%</w:t>
            </w:r>
          </w:p>
        </w:tc>
      </w:tr>
      <w:tr w14:paraId="2B54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22" w:type="dxa"/>
            <w:tcBorders>
              <w:top w:val="single" w:color="auto" w:sz="4" w:space="0"/>
              <w:left w:val="single" w:color="auto" w:sz="4" w:space="0"/>
              <w:bottom w:val="single" w:color="auto" w:sz="4" w:space="0"/>
              <w:right w:val="single" w:color="auto" w:sz="4" w:space="0"/>
            </w:tcBorders>
            <w:vAlign w:val="center"/>
          </w:tcPr>
          <w:p w14:paraId="42CE774A">
            <w:pPr>
              <w:snapToGrid w:val="0"/>
              <w:spacing w:line="276" w:lineRule="auto"/>
              <w:rPr>
                <w:rFonts w:hint="eastAsia" w:ascii="宋体" w:hAnsi="宋体" w:eastAsia="宋体"/>
                <w:color w:val="auto"/>
                <w:szCs w:val="21"/>
              </w:rPr>
            </w:pPr>
            <w:r>
              <w:rPr>
                <w:rFonts w:hint="eastAsia" w:ascii="宋体" w:hAnsi="宋体" w:eastAsia="宋体"/>
                <w:color w:val="auto"/>
                <w:szCs w:val="21"/>
              </w:rPr>
              <w:t>课内实践</w:t>
            </w:r>
          </w:p>
        </w:tc>
        <w:tc>
          <w:tcPr>
            <w:tcW w:w="7509" w:type="dxa"/>
            <w:tcBorders>
              <w:top w:val="single" w:color="auto" w:sz="4" w:space="0"/>
              <w:left w:val="single" w:color="auto" w:sz="4" w:space="0"/>
              <w:bottom w:val="single" w:color="auto" w:sz="4" w:space="0"/>
              <w:right w:val="single" w:color="auto" w:sz="4" w:space="0"/>
            </w:tcBorders>
            <w:vAlign w:val="center"/>
          </w:tcPr>
          <w:p w14:paraId="05C33012">
            <w:pPr>
              <w:snapToGrid w:val="0"/>
              <w:spacing w:line="276" w:lineRule="auto"/>
              <w:rPr>
                <w:rFonts w:hint="eastAsia" w:ascii="宋体" w:hAnsi="宋体" w:eastAsia="宋体"/>
                <w:color w:val="auto"/>
                <w:szCs w:val="21"/>
              </w:rPr>
            </w:pPr>
            <w:r>
              <w:rPr>
                <w:rFonts w:hint="eastAsia" w:ascii="宋体" w:hAnsi="宋体" w:eastAsia="宋体" w:cs="Times New Roman"/>
                <w:color w:val="auto"/>
                <w:szCs w:val="21"/>
              </w:rPr>
              <w:t>按照实践主题要求，准备相应的实践内容，并进行汇报。部分主题需要小组合作。</w:t>
            </w:r>
            <w:r>
              <w:rPr>
                <w:rFonts w:ascii="宋体" w:hAnsi="宋体" w:eastAsia="宋体" w:cs="宋体"/>
                <w:color w:val="auto"/>
                <w:kern w:val="0"/>
                <w:szCs w:val="21"/>
              </w:rPr>
              <w:t>主要考核学生应用</w:t>
            </w:r>
            <w:r>
              <w:rPr>
                <w:rFonts w:hint="eastAsia" w:ascii="宋体" w:hAnsi="宋体" w:eastAsia="宋体" w:cs="宋体"/>
                <w:color w:val="auto"/>
                <w:kern w:val="0"/>
                <w:szCs w:val="21"/>
              </w:rPr>
              <w:t>科学教育教学理论进行课程分析、设计</w:t>
            </w:r>
            <w:r>
              <w:rPr>
                <w:rFonts w:ascii="宋体" w:hAnsi="宋体" w:eastAsia="宋体" w:cs="宋体"/>
                <w:color w:val="auto"/>
                <w:kern w:val="0"/>
                <w:szCs w:val="21"/>
              </w:rPr>
              <w:t>与评价</w:t>
            </w:r>
            <w:r>
              <w:rPr>
                <w:rFonts w:hint="eastAsia" w:ascii="宋体" w:hAnsi="宋体" w:eastAsia="宋体" w:cs="宋体"/>
                <w:color w:val="auto"/>
                <w:kern w:val="0"/>
                <w:szCs w:val="21"/>
              </w:rPr>
              <w:t>的</w:t>
            </w:r>
            <w:r>
              <w:rPr>
                <w:rFonts w:ascii="宋体" w:hAnsi="宋体" w:eastAsia="宋体" w:cs="宋体"/>
                <w:color w:val="auto"/>
                <w:kern w:val="0"/>
                <w:szCs w:val="21"/>
              </w:rPr>
              <w:t>能力</w:t>
            </w:r>
            <w:r>
              <w:rPr>
                <w:rFonts w:hint="eastAsia" w:ascii="宋体" w:hAnsi="宋体" w:eastAsia="宋体" w:cs="宋体"/>
                <w:color w:val="auto"/>
                <w:kern w:val="0"/>
                <w:szCs w:val="21"/>
              </w:rPr>
              <w:t>。</w:t>
            </w:r>
          </w:p>
        </w:tc>
        <w:tc>
          <w:tcPr>
            <w:tcW w:w="0" w:type="auto"/>
            <w:tcBorders>
              <w:top w:val="single" w:color="auto" w:sz="4" w:space="0"/>
              <w:left w:val="single" w:color="auto" w:sz="4" w:space="0"/>
              <w:bottom w:val="single" w:color="auto" w:sz="4" w:space="0"/>
              <w:right w:val="single" w:color="auto" w:sz="4" w:space="0"/>
            </w:tcBorders>
            <w:vAlign w:val="center"/>
          </w:tcPr>
          <w:p w14:paraId="2C17E261">
            <w:pPr>
              <w:snapToGrid w:val="0"/>
              <w:spacing w:line="276" w:lineRule="auto"/>
              <w:rPr>
                <w:rFonts w:hint="eastAsia" w:ascii="宋体" w:hAnsi="宋体" w:eastAsia="宋体"/>
                <w:color w:val="auto"/>
                <w:szCs w:val="21"/>
              </w:rPr>
            </w:pPr>
            <w:r>
              <w:rPr>
                <w:rFonts w:hint="eastAsia" w:ascii="宋体" w:hAnsi="宋体" w:eastAsia="宋体"/>
                <w:color w:val="auto"/>
                <w:szCs w:val="21"/>
              </w:rPr>
              <w:t>2</w:t>
            </w:r>
            <w:r>
              <w:rPr>
                <w:rFonts w:ascii="宋体" w:hAnsi="宋体" w:eastAsia="宋体"/>
                <w:color w:val="auto"/>
                <w:szCs w:val="21"/>
              </w:rPr>
              <w:t>0%</w:t>
            </w:r>
          </w:p>
        </w:tc>
      </w:tr>
      <w:tr w14:paraId="5539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22" w:type="dxa"/>
            <w:tcBorders>
              <w:top w:val="single" w:color="auto" w:sz="4" w:space="0"/>
              <w:left w:val="single" w:color="auto" w:sz="4" w:space="0"/>
              <w:bottom w:val="single" w:color="auto" w:sz="4" w:space="0"/>
              <w:right w:val="single" w:color="auto" w:sz="4" w:space="0"/>
            </w:tcBorders>
            <w:vAlign w:val="center"/>
          </w:tcPr>
          <w:p w14:paraId="61EAC9F9">
            <w:pPr>
              <w:snapToGrid w:val="0"/>
              <w:spacing w:line="276" w:lineRule="auto"/>
              <w:rPr>
                <w:rFonts w:hint="eastAsia" w:ascii="宋体" w:hAnsi="宋体" w:eastAsia="宋体"/>
                <w:color w:val="auto"/>
                <w:szCs w:val="21"/>
              </w:rPr>
            </w:pPr>
            <w:r>
              <w:rPr>
                <w:rFonts w:hint="eastAsia" w:ascii="宋体" w:hAnsi="宋体" w:eastAsia="宋体"/>
                <w:color w:val="auto"/>
                <w:szCs w:val="21"/>
              </w:rPr>
              <w:t>期末考试</w:t>
            </w:r>
          </w:p>
        </w:tc>
        <w:tc>
          <w:tcPr>
            <w:tcW w:w="7509" w:type="dxa"/>
            <w:tcBorders>
              <w:top w:val="single" w:color="auto" w:sz="4" w:space="0"/>
              <w:left w:val="single" w:color="auto" w:sz="4" w:space="0"/>
              <w:bottom w:val="single" w:color="auto" w:sz="4" w:space="0"/>
              <w:right w:val="single" w:color="auto" w:sz="4" w:space="0"/>
            </w:tcBorders>
            <w:vAlign w:val="center"/>
          </w:tcPr>
          <w:p w14:paraId="07533B23">
            <w:pPr>
              <w:snapToGrid w:val="0"/>
              <w:spacing w:line="276" w:lineRule="auto"/>
              <w:rPr>
                <w:rFonts w:hint="eastAsia" w:ascii="宋体" w:hAnsi="宋体" w:eastAsia="宋体"/>
                <w:color w:val="auto"/>
                <w:szCs w:val="21"/>
              </w:rPr>
            </w:pPr>
            <w:r>
              <w:rPr>
                <w:rFonts w:hint="eastAsia" w:ascii="宋体" w:hAnsi="宋体" w:eastAsia="宋体"/>
                <w:color w:val="auto"/>
                <w:szCs w:val="21"/>
              </w:rPr>
              <w:t>考试形式由教师确定，</w:t>
            </w:r>
            <w:r>
              <w:rPr>
                <w:rFonts w:eastAsia="宋体"/>
                <w:color w:val="auto"/>
                <w:szCs w:val="21"/>
              </w:rPr>
              <w:t>试卷题型包括填空题、简答题、</w:t>
            </w:r>
            <w:r>
              <w:rPr>
                <w:rFonts w:hint="eastAsia" w:eastAsia="宋体"/>
                <w:color w:val="auto"/>
                <w:szCs w:val="21"/>
              </w:rPr>
              <w:t>论述</w:t>
            </w:r>
            <w:r>
              <w:rPr>
                <w:rFonts w:eastAsia="宋体"/>
                <w:color w:val="auto"/>
                <w:szCs w:val="21"/>
              </w:rPr>
              <w:t>题和</w:t>
            </w:r>
            <w:r>
              <w:rPr>
                <w:rFonts w:hint="eastAsia" w:eastAsia="宋体"/>
                <w:color w:val="auto"/>
                <w:szCs w:val="21"/>
              </w:rPr>
              <w:t>教学设计</w:t>
            </w:r>
            <w:r>
              <w:rPr>
                <w:rFonts w:eastAsia="宋体"/>
                <w:color w:val="auto"/>
                <w:szCs w:val="21"/>
              </w:rPr>
              <w:t>题等</w:t>
            </w:r>
            <w:r>
              <w:rPr>
                <w:rFonts w:hint="eastAsia" w:eastAsia="宋体"/>
                <w:color w:val="auto"/>
                <w:szCs w:val="21"/>
              </w:rPr>
              <w:t>。</w:t>
            </w:r>
            <w:r>
              <w:rPr>
                <w:rFonts w:ascii="宋体" w:hAnsi="宋体" w:eastAsia="宋体"/>
                <w:color w:val="auto"/>
                <w:szCs w:val="21"/>
              </w:rPr>
              <w:t>其中</w:t>
            </w:r>
            <w:r>
              <w:rPr>
                <w:rFonts w:hint="eastAsia" w:ascii="宋体" w:hAnsi="宋体" w:eastAsia="宋体"/>
                <w:color w:val="auto"/>
                <w:szCs w:val="21"/>
              </w:rPr>
              <w:t>：</w:t>
            </w:r>
            <w:r>
              <w:rPr>
                <w:rFonts w:ascii="宋体" w:hAnsi="宋体" w:eastAsia="宋体"/>
                <w:color w:val="auto"/>
                <w:szCs w:val="21"/>
              </w:rPr>
              <w:t>考核</w:t>
            </w:r>
            <w:r>
              <w:rPr>
                <w:rFonts w:hint="eastAsia" w:ascii="宋体" w:hAnsi="宋体" w:eastAsia="宋体"/>
                <w:color w:val="auto"/>
                <w:szCs w:val="21"/>
              </w:rPr>
              <w:t>基本概念</w:t>
            </w:r>
            <w:r>
              <w:rPr>
                <w:rFonts w:ascii="宋体" w:hAnsi="宋体" w:eastAsia="宋体"/>
                <w:color w:val="auto"/>
                <w:szCs w:val="21"/>
              </w:rPr>
              <w:t>知识型题目占30%；</w:t>
            </w:r>
            <w:r>
              <w:rPr>
                <w:rFonts w:hint="eastAsia" w:ascii="宋体" w:hAnsi="宋体" w:eastAsia="宋体"/>
                <w:color w:val="auto"/>
                <w:szCs w:val="21"/>
              </w:rPr>
              <w:t>考核科学教育学习方式占30%；考核教材分析与教学设计占40%。</w:t>
            </w:r>
          </w:p>
        </w:tc>
        <w:tc>
          <w:tcPr>
            <w:tcW w:w="0" w:type="auto"/>
            <w:tcBorders>
              <w:top w:val="single" w:color="auto" w:sz="4" w:space="0"/>
              <w:left w:val="single" w:color="auto" w:sz="4" w:space="0"/>
              <w:bottom w:val="single" w:color="auto" w:sz="4" w:space="0"/>
              <w:right w:val="single" w:color="auto" w:sz="4" w:space="0"/>
            </w:tcBorders>
            <w:vAlign w:val="center"/>
          </w:tcPr>
          <w:p w14:paraId="1F1073DA">
            <w:pPr>
              <w:snapToGrid w:val="0"/>
              <w:spacing w:line="276" w:lineRule="auto"/>
              <w:rPr>
                <w:rFonts w:hint="eastAsia" w:ascii="宋体" w:hAnsi="宋体" w:eastAsia="宋体"/>
                <w:color w:val="auto"/>
                <w:szCs w:val="21"/>
              </w:rPr>
            </w:pPr>
            <w:r>
              <w:rPr>
                <w:rFonts w:ascii="宋体" w:hAnsi="宋体" w:eastAsia="宋体"/>
                <w:color w:val="auto"/>
                <w:szCs w:val="21"/>
              </w:rPr>
              <w:t>50%</w:t>
            </w:r>
          </w:p>
        </w:tc>
      </w:tr>
      <w:tr w14:paraId="5CDF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231" w:type="dxa"/>
            <w:gridSpan w:val="2"/>
            <w:tcBorders>
              <w:top w:val="single" w:color="auto" w:sz="4" w:space="0"/>
              <w:left w:val="single" w:color="auto" w:sz="4" w:space="0"/>
              <w:bottom w:val="single" w:color="auto" w:sz="4" w:space="0"/>
              <w:right w:val="single" w:color="auto" w:sz="4" w:space="0"/>
            </w:tcBorders>
            <w:vAlign w:val="center"/>
          </w:tcPr>
          <w:p w14:paraId="0C7E0820">
            <w:pPr>
              <w:snapToGrid w:val="0"/>
              <w:spacing w:line="276" w:lineRule="auto"/>
              <w:jc w:val="center"/>
              <w:rPr>
                <w:rFonts w:hint="eastAsia" w:ascii="宋体" w:hAnsi="宋体" w:eastAsia="宋体"/>
                <w:color w:val="auto"/>
                <w:szCs w:val="21"/>
              </w:rPr>
            </w:pPr>
            <w:r>
              <w:rPr>
                <w:rFonts w:hint="eastAsia" w:ascii="宋体" w:hAnsi="宋体" w:eastAsia="宋体"/>
                <w:color w:val="auto"/>
                <w:szCs w:val="21"/>
              </w:rPr>
              <w:t>合计</w:t>
            </w:r>
          </w:p>
        </w:tc>
        <w:tc>
          <w:tcPr>
            <w:tcW w:w="0" w:type="auto"/>
            <w:tcBorders>
              <w:top w:val="single" w:color="auto" w:sz="4" w:space="0"/>
              <w:left w:val="single" w:color="auto" w:sz="4" w:space="0"/>
              <w:bottom w:val="single" w:color="auto" w:sz="4" w:space="0"/>
              <w:right w:val="single" w:color="auto" w:sz="4" w:space="0"/>
            </w:tcBorders>
            <w:vAlign w:val="center"/>
          </w:tcPr>
          <w:p w14:paraId="5A0A6C0B">
            <w:pPr>
              <w:snapToGrid w:val="0"/>
              <w:spacing w:line="276" w:lineRule="auto"/>
              <w:rPr>
                <w:rFonts w:hint="eastAsia" w:ascii="宋体" w:hAnsi="宋体" w:eastAsia="宋体"/>
                <w:color w:val="auto"/>
                <w:szCs w:val="21"/>
              </w:rPr>
            </w:pPr>
            <w:r>
              <w:rPr>
                <w:rFonts w:hint="eastAsia" w:ascii="宋体" w:hAnsi="宋体" w:eastAsia="宋体"/>
                <w:color w:val="auto"/>
                <w:szCs w:val="21"/>
              </w:rPr>
              <w:t>1</w:t>
            </w:r>
            <w:r>
              <w:rPr>
                <w:rFonts w:ascii="宋体" w:hAnsi="宋体" w:eastAsia="宋体"/>
                <w:color w:val="auto"/>
                <w:szCs w:val="21"/>
              </w:rPr>
              <w:t>00%</w:t>
            </w:r>
          </w:p>
        </w:tc>
      </w:tr>
    </w:tbl>
    <w:p w14:paraId="45083C7E">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68057747">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6E77C3FA">
      <w:pPr>
        <w:spacing w:before="156" w:beforeLines="50" w:line="360" w:lineRule="auto"/>
        <w:ind w:firstLine="420" w:firstLineChars="200"/>
        <w:jc w:val="left"/>
        <w:rPr>
          <w:rFonts w:hint="eastAsia" w:ascii="Times New Roman" w:hAnsi="Times New Roman" w:eastAsia="宋体" w:cs="Times New Roman"/>
          <w:b/>
          <w:color w:val="auto"/>
          <w:sz w:val="24"/>
        </w:rPr>
      </w:pPr>
      <w:r>
        <w:rPr>
          <w:rFonts w:ascii="宋体" w:hAnsi="宋体" w:eastAsia="宋体" w:cs="Times New Roman"/>
          <w:color w:val="auto"/>
          <w:szCs w:val="21"/>
        </w:rPr>
        <w:object>
          <v:shape id="_x0000_i1068"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68" DrawAspect="Content" ObjectID="_1468075767" r:id="rId54">
            <o:LockedField>false</o:LockedField>
          </o:OLEObject>
        </w:object>
      </w:r>
      <w:r>
        <w:rPr>
          <w:rFonts w:hint="eastAsia" w:ascii="Times New Roman" w:hAnsi="Times New Roman" w:eastAsia="宋体" w:cs="Times New Roman"/>
          <w:b/>
          <w:color w:val="auto"/>
          <w:sz w:val="24"/>
        </w:rPr>
        <w:t>五、课内实践</w:t>
      </w:r>
    </w:p>
    <w:p w14:paraId="03A63D78">
      <w:pPr>
        <w:spacing w:line="276" w:lineRule="auto"/>
        <w:ind w:firstLine="420" w:firstLineChars="200"/>
        <w:rPr>
          <w:rFonts w:ascii="Calibri" w:hAnsi="Calibri" w:eastAsia="宋体" w:cs="Times New Roman"/>
          <w:bCs/>
          <w:color w:val="auto"/>
          <w:szCs w:val="21"/>
        </w:rPr>
      </w:pPr>
      <w:r>
        <w:rPr>
          <w:rFonts w:hint="eastAsia" w:ascii="Calibri" w:hAnsi="Calibri" w:eastAsia="宋体" w:cs="Times New Roman"/>
          <w:bCs/>
          <w:color w:val="auto"/>
          <w:szCs w:val="21"/>
        </w:rPr>
        <w:t>本课程共有</w:t>
      </w:r>
      <w:r>
        <w:rPr>
          <w:rFonts w:ascii="Times New Roman" w:hAnsi="Times New Roman" w:eastAsia="宋体" w:cs="Times New Roman"/>
          <w:bCs/>
          <w:color w:val="auto"/>
          <w:szCs w:val="21"/>
        </w:rPr>
        <w:t>16</w:t>
      </w:r>
      <w:r>
        <w:rPr>
          <w:rFonts w:hint="eastAsia" w:ascii="Calibri" w:hAnsi="Calibri" w:eastAsia="宋体" w:cs="Times New Roman"/>
          <w:bCs/>
          <w:color w:val="auto"/>
          <w:szCs w:val="21"/>
        </w:rPr>
        <w:t>课时的课内实践学时，根据教学内容的安排，分别进行四次实践项目。具体项目内容及要求如下。</w:t>
      </w:r>
    </w:p>
    <w:p w14:paraId="1B90CA96">
      <w:pPr>
        <w:spacing w:line="276" w:lineRule="auto"/>
        <w:ind w:firstLine="420" w:firstLineChars="200"/>
        <w:rPr>
          <w:rFonts w:ascii="Calibri" w:hAnsi="Calibri" w:eastAsia="宋体" w:cs="Times New Roman"/>
          <w:bCs/>
          <w:color w:val="auto"/>
          <w:szCs w:val="21"/>
        </w:rPr>
      </w:pPr>
    </w:p>
    <w:tbl>
      <w:tblPr>
        <w:tblStyle w:val="15"/>
        <w:tblW w:w="8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501"/>
        <w:gridCol w:w="4041"/>
        <w:gridCol w:w="667"/>
        <w:gridCol w:w="1487"/>
      </w:tblGrid>
      <w:tr w14:paraId="1B49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90" w:type="dxa"/>
            <w:shd w:val="clear" w:color="auto" w:fill="FFFFFF"/>
            <w:vAlign w:val="center"/>
          </w:tcPr>
          <w:p w14:paraId="1CB8937E">
            <w:pPr>
              <w:adjustRightInd w:val="0"/>
              <w:snapToGrid w:val="0"/>
              <w:jc w:val="center"/>
              <w:rPr>
                <w:rFonts w:hint="eastAsia" w:ascii="宋体" w:hAnsi="宋体" w:eastAsia="宋体"/>
                <w:b/>
                <w:bCs/>
                <w:color w:val="auto"/>
                <w:spacing w:val="-20"/>
                <w:sz w:val="21"/>
                <w:szCs w:val="21"/>
              </w:rPr>
            </w:pPr>
            <w:r>
              <w:rPr>
                <w:rFonts w:ascii="宋体" w:hAnsi="宋体" w:eastAsia="宋体"/>
                <w:b/>
                <w:bCs/>
                <w:color w:val="auto"/>
                <w:spacing w:val="-20"/>
                <w:sz w:val="21"/>
                <w:szCs w:val="21"/>
              </w:rPr>
              <w:t>序号</w:t>
            </w:r>
          </w:p>
        </w:tc>
        <w:tc>
          <w:tcPr>
            <w:tcW w:w="1501" w:type="dxa"/>
            <w:shd w:val="clear" w:color="auto" w:fill="FFFFFF"/>
            <w:vAlign w:val="center"/>
          </w:tcPr>
          <w:p w14:paraId="6FFF08AF">
            <w:pPr>
              <w:adjustRightInd w:val="0"/>
              <w:snapToGrid w:val="0"/>
              <w:jc w:val="center"/>
              <w:rPr>
                <w:rFonts w:hint="eastAsia" w:ascii="宋体" w:hAnsi="宋体" w:eastAsia="宋体"/>
                <w:b/>
                <w:bCs/>
                <w:color w:val="auto"/>
                <w:sz w:val="21"/>
                <w:szCs w:val="21"/>
              </w:rPr>
            </w:pPr>
            <w:r>
              <w:rPr>
                <w:rFonts w:hint="eastAsia" w:ascii="宋体" w:hAnsi="宋体" w:eastAsia="宋体"/>
                <w:b/>
                <w:bCs/>
                <w:color w:val="auto"/>
                <w:sz w:val="21"/>
                <w:szCs w:val="21"/>
              </w:rPr>
              <w:t>实践</w:t>
            </w:r>
            <w:r>
              <w:rPr>
                <w:rFonts w:ascii="宋体" w:hAnsi="宋体" w:eastAsia="宋体"/>
                <w:b/>
                <w:bCs/>
                <w:color w:val="auto"/>
                <w:sz w:val="21"/>
                <w:szCs w:val="21"/>
              </w:rPr>
              <w:t>项目名称</w:t>
            </w:r>
          </w:p>
        </w:tc>
        <w:tc>
          <w:tcPr>
            <w:tcW w:w="4041" w:type="dxa"/>
            <w:shd w:val="clear" w:color="auto" w:fill="FFFFFF"/>
            <w:vAlign w:val="center"/>
          </w:tcPr>
          <w:p w14:paraId="25FD1F75">
            <w:pPr>
              <w:adjustRightInd w:val="0"/>
              <w:snapToGrid w:val="0"/>
              <w:jc w:val="center"/>
              <w:rPr>
                <w:rFonts w:hint="eastAsia" w:ascii="宋体" w:hAnsi="宋体" w:eastAsia="宋体"/>
                <w:b/>
                <w:bCs/>
                <w:color w:val="auto"/>
                <w:sz w:val="21"/>
                <w:szCs w:val="21"/>
              </w:rPr>
            </w:pPr>
            <w:r>
              <w:rPr>
                <w:rFonts w:hint="eastAsia" w:ascii="宋体" w:hAnsi="宋体" w:eastAsia="宋体"/>
                <w:b/>
                <w:bCs/>
                <w:color w:val="auto"/>
                <w:sz w:val="21"/>
                <w:szCs w:val="21"/>
              </w:rPr>
              <w:t>实践</w:t>
            </w:r>
            <w:r>
              <w:rPr>
                <w:rFonts w:ascii="宋体" w:hAnsi="宋体" w:eastAsia="宋体"/>
                <w:b/>
                <w:bCs/>
                <w:color w:val="auto"/>
                <w:sz w:val="21"/>
                <w:szCs w:val="21"/>
              </w:rPr>
              <w:t>内容</w:t>
            </w:r>
            <w:r>
              <w:rPr>
                <w:rFonts w:hint="eastAsia" w:ascii="宋体" w:hAnsi="宋体" w:eastAsia="宋体"/>
                <w:b/>
                <w:bCs/>
                <w:color w:val="auto"/>
                <w:sz w:val="21"/>
                <w:szCs w:val="21"/>
              </w:rPr>
              <w:t>及要求</w:t>
            </w:r>
          </w:p>
        </w:tc>
        <w:tc>
          <w:tcPr>
            <w:tcW w:w="667" w:type="dxa"/>
            <w:shd w:val="clear" w:color="auto" w:fill="FFFFFF"/>
            <w:vAlign w:val="center"/>
          </w:tcPr>
          <w:p w14:paraId="7AAC84F8">
            <w:pPr>
              <w:adjustRightInd w:val="0"/>
              <w:snapToGrid w:val="0"/>
              <w:jc w:val="center"/>
              <w:rPr>
                <w:rFonts w:hint="eastAsia" w:ascii="宋体" w:hAnsi="宋体" w:eastAsia="宋体"/>
                <w:b/>
                <w:bCs/>
                <w:color w:val="auto"/>
                <w:sz w:val="21"/>
                <w:szCs w:val="21"/>
              </w:rPr>
            </w:pPr>
            <w:r>
              <w:rPr>
                <w:rFonts w:ascii="宋体" w:hAnsi="宋体" w:eastAsia="宋体"/>
                <w:b/>
                <w:bCs/>
                <w:color w:val="auto"/>
                <w:sz w:val="21"/>
                <w:szCs w:val="21"/>
              </w:rPr>
              <w:t>学时</w:t>
            </w:r>
          </w:p>
        </w:tc>
        <w:tc>
          <w:tcPr>
            <w:tcW w:w="1487" w:type="dxa"/>
            <w:shd w:val="clear" w:color="auto" w:fill="FFFFFF"/>
            <w:vAlign w:val="center"/>
          </w:tcPr>
          <w:p w14:paraId="47762A82">
            <w:pPr>
              <w:adjustRightInd w:val="0"/>
              <w:snapToGrid w:val="0"/>
              <w:jc w:val="center"/>
              <w:rPr>
                <w:rFonts w:hint="eastAsia" w:ascii="宋体" w:hAnsi="宋体" w:eastAsia="宋体"/>
                <w:b/>
                <w:bCs/>
                <w:color w:val="auto"/>
                <w:sz w:val="21"/>
                <w:szCs w:val="21"/>
              </w:rPr>
            </w:pPr>
            <w:r>
              <w:rPr>
                <w:rFonts w:ascii="宋体" w:hAnsi="宋体" w:eastAsia="宋体"/>
                <w:b/>
                <w:bCs/>
                <w:color w:val="auto"/>
                <w:sz w:val="21"/>
                <w:szCs w:val="21"/>
              </w:rPr>
              <w:t>对</w:t>
            </w:r>
            <w:r>
              <w:rPr>
                <w:rFonts w:hint="eastAsia" w:ascii="宋体" w:hAnsi="宋体" w:eastAsia="宋体"/>
                <w:b/>
                <w:bCs/>
                <w:color w:val="auto"/>
                <w:sz w:val="21"/>
                <w:szCs w:val="21"/>
              </w:rPr>
              <w:t>应课程目标</w:t>
            </w:r>
          </w:p>
        </w:tc>
      </w:tr>
      <w:tr w14:paraId="69A3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690" w:type="dxa"/>
            <w:vAlign w:val="center"/>
          </w:tcPr>
          <w:p w14:paraId="737F9E76">
            <w:pPr>
              <w:adjustRightInd w:val="0"/>
              <w:snapToGrid w:val="0"/>
              <w:jc w:val="center"/>
              <w:rPr>
                <w:rFonts w:hint="eastAsia" w:ascii="宋体" w:hAnsi="宋体" w:eastAsia="宋体"/>
                <w:bCs/>
                <w:color w:val="auto"/>
                <w:sz w:val="21"/>
                <w:szCs w:val="21"/>
              </w:rPr>
            </w:pPr>
            <w:r>
              <w:rPr>
                <w:rFonts w:ascii="宋体" w:hAnsi="宋体" w:eastAsia="宋体"/>
                <w:bCs/>
                <w:color w:val="auto"/>
                <w:sz w:val="21"/>
                <w:szCs w:val="21"/>
              </w:rPr>
              <w:t>1</w:t>
            </w:r>
          </w:p>
        </w:tc>
        <w:tc>
          <w:tcPr>
            <w:tcW w:w="1501" w:type="dxa"/>
            <w:vAlign w:val="center"/>
          </w:tcPr>
          <w:p w14:paraId="15372583">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小学科学</w:t>
            </w:r>
          </w:p>
          <w:p w14:paraId="01EF17EC">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教材分析</w:t>
            </w:r>
          </w:p>
        </w:tc>
        <w:tc>
          <w:tcPr>
            <w:tcW w:w="4041" w:type="dxa"/>
            <w:vAlign w:val="center"/>
          </w:tcPr>
          <w:p w14:paraId="4C75605F">
            <w:pPr>
              <w:rPr>
                <w:rFonts w:hint="eastAsia" w:ascii="宋体" w:hAnsi="宋体" w:eastAsia="宋体" w:cs="宋体"/>
                <w:color w:val="auto"/>
                <w:kern w:val="0"/>
                <w:sz w:val="21"/>
                <w:szCs w:val="21"/>
              </w:rPr>
            </w:pPr>
            <w:r>
              <w:rPr>
                <w:rFonts w:hint="eastAsia" w:ascii="宋体" w:hAnsi="宋体" w:eastAsia="宋体" w:cs="宋体"/>
                <w:b/>
                <w:color w:val="auto"/>
                <w:sz w:val="21"/>
                <w:szCs w:val="21"/>
              </w:rPr>
              <w:t>实践内容</w:t>
            </w:r>
            <w:r>
              <w:rPr>
                <w:rFonts w:hint="eastAsia" w:ascii="宋体" w:hAnsi="宋体" w:eastAsia="宋体" w:cs="宋体"/>
                <w:color w:val="auto"/>
                <w:sz w:val="21"/>
                <w:szCs w:val="21"/>
              </w:rPr>
              <w:t>：选择小学</w:t>
            </w:r>
            <w:r>
              <w:rPr>
                <w:rFonts w:hint="eastAsia" w:ascii="宋体" w:hAnsi="宋体" w:eastAsia="宋体" w:cs="宋体"/>
                <w:color w:val="auto"/>
                <w:kern w:val="0"/>
                <w:sz w:val="21"/>
                <w:szCs w:val="21"/>
              </w:rPr>
              <w:t>科学教材某个单元模块内容进行分析，合作完成一份教材研究报告。</w:t>
            </w:r>
          </w:p>
          <w:p w14:paraId="4DFEF9B9">
            <w:pPr>
              <w:adjustRightInd w:val="0"/>
              <w:snapToGrid w:val="0"/>
              <w:rPr>
                <w:rFonts w:hint="eastAsia" w:ascii="宋体" w:hAnsi="宋体" w:eastAsia="宋体"/>
                <w:b/>
                <w:bCs/>
                <w:color w:val="auto"/>
                <w:sz w:val="21"/>
                <w:szCs w:val="21"/>
              </w:rPr>
            </w:pPr>
            <w:r>
              <w:rPr>
                <w:rFonts w:hint="eastAsia" w:ascii="Calibri" w:hAnsi="Calibri" w:eastAsia="宋体" w:cs="Times New Roman"/>
                <w:b/>
                <w:bCs/>
                <w:color w:val="auto"/>
                <w:sz w:val="21"/>
                <w:szCs w:val="21"/>
              </w:rPr>
              <w:t>实践要求</w:t>
            </w:r>
            <w:r>
              <w:rPr>
                <w:rFonts w:hint="eastAsia" w:ascii="Calibri" w:hAnsi="Calibri" w:eastAsia="宋体" w:cs="Times New Roman"/>
                <w:bCs/>
                <w:color w:val="auto"/>
                <w:sz w:val="21"/>
                <w:szCs w:val="21"/>
              </w:rPr>
              <w:t>：小组提交一份教材研读报告。</w:t>
            </w:r>
          </w:p>
        </w:tc>
        <w:tc>
          <w:tcPr>
            <w:tcW w:w="667" w:type="dxa"/>
            <w:vAlign w:val="center"/>
          </w:tcPr>
          <w:p w14:paraId="49BF1D8D">
            <w:pPr>
              <w:adjustRightInd w:val="0"/>
              <w:snapToGrid w:val="0"/>
              <w:jc w:val="center"/>
              <w:rPr>
                <w:rFonts w:hint="eastAsia" w:ascii="宋体" w:hAnsi="宋体" w:eastAsia="宋体"/>
                <w:bCs/>
                <w:color w:val="auto"/>
                <w:sz w:val="21"/>
                <w:szCs w:val="21"/>
              </w:rPr>
            </w:pPr>
            <w:r>
              <w:rPr>
                <w:rFonts w:ascii="宋体" w:hAnsi="宋体" w:eastAsia="宋体"/>
                <w:bCs/>
                <w:color w:val="auto"/>
                <w:sz w:val="21"/>
                <w:szCs w:val="21"/>
              </w:rPr>
              <w:t>4</w:t>
            </w:r>
          </w:p>
        </w:tc>
        <w:tc>
          <w:tcPr>
            <w:tcW w:w="1487" w:type="dxa"/>
            <w:vAlign w:val="center"/>
          </w:tcPr>
          <w:p w14:paraId="43DD80EA">
            <w:pPr>
              <w:adjustRightInd w:val="0"/>
              <w:snapToGrid w:val="0"/>
              <w:jc w:val="center"/>
              <w:rPr>
                <w:rFonts w:hint="eastAsia" w:ascii="宋体" w:hAnsi="宋体" w:eastAsia="宋体"/>
                <w:bCs/>
                <w:color w:val="auto"/>
                <w:sz w:val="21"/>
                <w:szCs w:val="21"/>
              </w:rPr>
            </w:pPr>
            <w:r>
              <w:rPr>
                <w:rFonts w:hint="eastAsia" w:ascii="宋体" w:hAnsi="宋体" w:eastAsia="宋体"/>
                <w:bCs/>
                <w:color w:val="auto"/>
                <w:sz w:val="21"/>
                <w:szCs w:val="21"/>
              </w:rPr>
              <w:t>目标1</w:t>
            </w:r>
          </w:p>
          <w:p w14:paraId="23A770EB">
            <w:pPr>
              <w:adjustRightInd w:val="0"/>
              <w:snapToGrid w:val="0"/>
              <w:jc w:val="center"/>
              <w:rPr>
                <w:rFonts w:hint="eastAsia" w:ascii="宋体" w:hAnsi="宋体" w:eastAsia="宋体"/>
                <w:bCs/>
                <w:color w:val="auto"/>
                <w:sz w:val="21"/>
                <w:szCs w:val="21"/>
              </w:rPr>
            </w:pPr>
          </w:p>
        </w:tc>
      </w:tr>
      <w:tr w14:paraId="6469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690" w:type="dxa"/>
            <w:vAlign w:val="center"/>
          </w:tcPr>
          <w:p w14:paraId="47582765">
            <w:pPr>
              <w:adjustRightInd w:val="0"/>
              <w:snapToGrid w:val="0"/>
              <w:jc w:val="center"/>
              <w:rPr>
                <w:rFonts w:hint="eastAsia" w:ascii="宋体" w:hAnsi="宋体" w:eastAsia="宋体"/>
                <w:bCs/>
                <w:color w:val="auto"/>
                <w:sz w:val="21"/>
                <w:szCs w:val="21"/>
              </w:rPr>
            </w:pPr>
            <w:r>
              <w:rPr>
                <w:rFonts w:hint="eastAsia" w:ascii="宋体" w:hAnsi="宋体" w:eastAsia="宋体"/>
                <w:bCs/>
                <w:color w:val="auto"/>
                <w:sz w:val="21"/>
                <w:szCs w:val="21"/>
              </w:rPr>
              <w:t>2</w:t>
            </w:r>
          </w:p>
        </w:tc>
        <w:tc>
          <w:tcPr>
            <w:tcW w:w="1501" w:type="dxa"/>
            <w:vAlign w:val="center"/>
          </w:tcPr>
          <w:p w14:paraId="2D2D1F8C">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小学科学</w:t>
            </w:r>
          </w:p>
          <w:p w14:paraId="1BEC3A44">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教学设计</w:t>
            </w:r>
          </w:p>
        </w:tc>
        <w:tc>
          <w:tcPr>
            <w:tcW w:w="4041" w:type="dxa"/>
            <w:vAlign w:val="center"/>
          </w:tcPr>
          <w:p w14:paraId="5083FDBF">
            <w:pPr>
              <w:rPr>
                <w:rFonts w:hint="eastAsia" w:ascii="宋体" w:hAnsi="宋体" w:eastAsia="宋体" w:cs="Times New Roman"/>
                <w:color w:val="auto"/>
                <w:sz w:val="21"/>
                <w:szCs w:val="21"/>
              </w:rPr>
            </w:pPr>
            <w:r>
              <w:rPr>
                <w:rFonts w:hint="eastAsia" w:ascii="宋体" w:hAnsi="宋体" w:eastAsia="宋体" w:cs="Times New Roman"/>
                <w:b/>
                <w:bCs/>
                <w:color w:val="auto"/>
                <w:sz w:val="21"/>
                <w:szCs w:val="21"/>
              </w:rPr>
              <w:t>实践内容：</w:t>
            </w:r>
            <w:r>
              <w:rPr>
                <w:rFonts w:hint="eastAsia" w:ascii="宋体" w:hAnsi="宋体" w:eastAsia="宋体" w:cs="Times New Roman"/>
                <w:color w:val="auto"/>
                <w:sz w:val="21"/>
                <w:szCs w:val="21"/>
              </w:rPr>
              <w:t>观摩一节科学课。小组选择一项</w:t>
            </w:r>
            <w:r>
              <w:rPr>
                <w:rFonts w:hint="eastAsia" w:ascii="宋体" w:hAnsi="宋体" w:eastAsia="宋体" w:cs="宋体"/>
                <w:color w:val="auto"/>
                <w:kern w:val="0"/>
                <w:sz w:val="21"/>
                <w:szCs w:val="21"/>
              </w:rPr>
              <w:t>科学教育</w:t>
            </w:r>
            <w:r>
              <w:rPr>
                <w:rFonts w:hint="eastAsia" w:ascii="宋体" w:hAnsi="宋体" w:eastAsia="宋体" w:cs="Times New Roman"/>
                <w:color w:val="auto"/>
                <w:sz w:val="21"/>
                <w:szCs w:val="21"/>
              </w:rPr>
              <w:t>内容，合作撰写教学设计方案。</w:t>
            </w:r>
          </w:p>
          <w:p w14:paraId="72AA6751">
            <w:pPr>
              <w:adjustRightInd w:val="0"/>
              <w:snapToGrid w:val="0"/>
              <w:rPr>
                <w:rFonts w:hint="eastAsia" w:ascii="宋体" w:hAnsi="宋体" w:eastAsia="宋体" w:cs="宋体"/>
                <w:color w:val="auto"/>
                <w:kern w:val="0"/>
                <w:sz w:val="21"/>
                <w:szCs w:val="21"/>
              </w:rPr>
            </w:pPr>
            <w:r>
              <w:rPr>
                <w:rFonts w:hint="eastAsia" w:ascii="宋体" w:hAnsi="宋体" w:eastAsia="宋体" w:cs="Times New Roman"/>
                <w:b/>
                <w:bCs/>
                <w:color w:val="auto"/>
                <w:sz w:val="21"/>
                <w:szCs w:val="21"/>
              </w:rPr>
              <w:t>实践要求：</w:t>
            </w:r>
            <w:r>
              <w:rPr>
                <w:rFonts w:hint="eastAsia" w:ascii="宋体" w:hAnsi="宋体" w:eastAsia="宋体" w:cs="Times New Roman"/>
                <w:bCs/>
                <w:color w:val="auto"/>
                <w:sz w:val="21"/>
                <w:szCs w:val="21"/>
              </w:rPr>
              <w:t>每人</w:t>
            </w:r>
            <w:r>
              <w:rPr>
                <w:rFonts w:hint="eastAsia" w:ascii="宋体" w:hAnsi="宋体" w:eastAsia="宋体" w:cs="Times New Roman"/>
                <w:color w:val="auto"/>
                <w:sz w:val="21"/>
                <w:szCs w:val="21"/>
              </w:rPr>
              <w:t>提交一篇观摩课教学记录与分析；每人提交一篇</w:t>
            </w:r>
            <w:r>
              <w:rPr>
                <w:rFonts w:hint="eastAsia" w:ascii="宋体" w:hAnsi="宋体" w:eastAsia="宋体" w:cs="宋体"/>
                <w:color w:val="auto"/>
                <w:kern w:val="0"/>
                <w:sz w:val="21"/>
                <w:szCs w:val="21"/>
              </w:rPr>
              <w:t>科学课（科学教育活动）设计方案。</w:t>
            </w:r>
          </w:p>
        </w:tc>
        <w:tc>
          <w:tcPr>
            <w:tcW w:w="667" w:type="dxa"/>
            <w:vAlign w:val="center"/>
          </w:tcPr>
          <w:p w14:paraId="0E4A93F4">
            <w:pPr>
              <w:adjustRightInd w:val="0"/>
              <w:snapToGrid w:val="0"/>
              <w:jc w:val="center"/>
              <w:rPr>
                <w:rFonts w:hint="eastAsia" w:ascii="宋体" w:hAnsi="宋体" w:eastAsia="宋体"/>
                <w:bCs/>
                <w:color w:val="auto"/>
                <w:sz w:val="21"/>
                <w:szCs w:val="21"/>
              </w:rPr>
            </w:pPr>
            <w:r>
              <w:rPr>
                <w:rFonts w:ascii="宋体" w:hAnsi="宋体" w:eastAsia="宋体"/>
                <w:bCs/>
                <w:color w:val="auto"/>
                <w:sz w:val="21"/>
                <w:szCs w:val="21"/>
              </w:rPr>
              <w:t>4</w:t>
            </w:r>
          </w:p>
        </w:tc>
        <w:tc>
          <w:tcPr>
            <w:tcW w:w="1487" w:type="dxa"/>
            <w:vAlign w:val="center"/>
          </w:tcPr>
          <w:p w14:paraId="5E1A9F20">
            <w:pPr>
              <w:adjustRightInd w:val="0"/>
              <w:snapToGrid w:val="0"/>
              <w:jc w:val="center"/>
              <w:rPr>
                <w:rFonts w:hint="eastAsia" w:ascii="宋体" w:hAnsi="宋体" w:eastAsia="宋体"/>
                <w:bCs/>
                <w:color w:val="auto"/>
                <w:sz w:val="21"/>
                <w:szCs w:val="21"/>
              </w:rPr>
            </w:pPr>
            <w:r>
              <w:rPr>
                <w:rFonts w:hint="eastAsia" w:ascii="宋体" w:hAnsi="宋体" w:eastAsia="宋体"/>
                <w:bCs/>
                <w:color w:val="auto"/>
                <w:sz w:val="21"/>
                <w:szCs w:val="21"/>
              </w:rPr>
              <w:t>目标1</w:t>
            </w:r>
          </w:p>
          <w:p w14:paraId="3E578443">
            <w:pPr>
              <w:adjustRightInd w:val="0"/>
              <w:snapToGrid w:val="0"/>
              <w:jc w:val="center"/>
              <w:rPr>
                <w:rFonts w:hint="eastAsia" w:ascii="宋体" w:hAnsi="宋体" w:eastAsia="宋体"/>
                <w:bCs/>
                <w:color w:val="auto"/>
                <w:sz w:val="21"/>
                <w:szCs w:val="21"/>
              </w:rPr>
            </w:pPr>
            <w:r>
              <w:rPr>
                <w:rFonts w:hint="eastAsia" w:ascii="宋体" w:hAnsi="宋体" w:eastAsia="宋体"/>
                <w:bCs/>
                <w:color w:val="auto"/>
                <w:sz w:val="21"/>
                <w:szCs w:val="21"/>
              </w:rPr>
              <w:t>目标2</w:t>
            </w:r>
          </w:p>
          <w:p w14:paraId="3E79DEEC">
            <w:pPr>
              <w:adjustRightInd w:val="0"/>
              <w:snapToGrid w:val="0"/>
              <w:jc w:val="center"/>
              <w:rPr>
                <w:rFonts w:hint="eastAsia" w:ascii="宋体" w:hAnsi="宋体" w:eastAsia="宋体"/>
                <w:bCs/>
                <w:color w:val="auto"/>
                <w:sz w:val="21"/>
                <w:szCs w:val="21"/>
              </w:rPr>
            </w:pPr>
          </w:p>
        </w:tc>
      </w:tr>
      <w:tr w14:paraId="4DB8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690" w:type="dxa"/>
            <w:vAlign w:val="center"/>
          </w:tcPr>
          <w:p w14:paraId="4D2C7926">
            <w:pPr>
              <w:adjustRightInd w:val="0"/>
              <w:snapToGrid w:val="0"/>
              <w:jc w:val="center"/>
              <w:rPr>
                <w:rFonts w:hint="eastAsia" w:ascii="宋体" w:hAnsi="宋体" w:eastAsia="宋体"/>
                <w:bCs/>
                <w:color w:val="auto"/>
                <w:sz w:val="21"/>
                <w:szCs w:val="21"/>
              </w:rPr>
            </w:pPr>
            <w:r>
              <w:rPr>
                <w:rFonts w:hint="eastAsia" w:ascii="宋体" w:hAnsi="宋体" w:eastAsia="宋体"/>
                <w:bCs/>
                <w:color w:val="auto"/>
                <w:sz w:val="21"/>
                <w:szCs w:val="21"/>
              </w:rPr>
              <w:t>3</w:t>
            </w:r>
          </w:p>
        </w:tc>
        <w:tc>
          <w:tcPr>
            <w:tcW w:w="1501" w:type="dxa"/>
            <w:vAlign w:val="center"/>
          </w:tcPr>
          <w:p w14:paraId="0211E41D">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小学科学</w:t>
            </w:r>
          </w:p>
          <w:p w14:paraId="3E3096BF">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教学实践</w:t>
            </w:r>
          </w:p>
        </w:tc>
        <w:tc>
          <w:tcPr>
            <w:tcW w:w="4041" w:type="dxa"/>
            <w:vAlign w:val="center"/>
          </w:tcPr>
          <w:p w14:paraId="69140576">
            <w:pPr>
              <w:rPr>
                <w:rFonts w:hint="eastAsia" w:ascii="宋体" w:hAnsi="宋体" w:eastAsia="宋体" w:cs="Times New Roman"/>
                <w:color w:val="auto"/>
                <w:sz w:val="21"/>
                <w:szCs w:val="21"/>
              </w:rPr>
            </w:pPr>
            <w:r>
              <w:rPr>
                <w:rFonts w:hint="eastAsia" w:ascii="宋体" w:hAnsi="宋体" w:eastAsia="宋体" w:cs="Times New Roman"/>
                <w:b/>
                <w:bCs/>
                <w:color w:val="auto"/>
                <w:sz w:val="21"/>
                <w:szCs w:val="21"/>
              </w:rPr>
              <w:t>实践内容：</w:t>
            </w:r>
            <w:r>
              <w:rPr>
                <w:rFonts w:hint="eastAsia" w:ascii="宋体" w:hAnsi="宋体" w:eastAsia="宋体" w:cs="Times New Roman"/>
                <w:bCs/>
                <w:color w:val="auto"/>
                <w:sz w:val="21"/>
                <w:szCs w:val="21"/>
              </w:rPr>
              <w:t>小组内选择探究法，结合其他方法开展教学研究活动，打磨教案</w:t>
            </w:r>
            <w:r>
              <w:rPr>
                <w:rFonts w:hint="eastAsia" w:ascii="宋体" w:hAnsi="宋体" w:eastAsia="宋体" w:cs="Times New Roman"/>
                <w:color w:val="auto"/>
                <w:sz w:val="21"/>
                <w:szCs w:val="21"/>
              </w:rPr>
              <w:t>。将教案转化为教学活动，在微格教室完成试讲、录制后评课。</w:t>
            </w:r>
          </w:p>
          <w:p w14:paraId="4022652C">
            <w:pPr>
              <w:adjustRightInd w:val="0"/>
              <w:snapToGrid w:val="0"/>
              <w:rPr>
                <w:rFonts w:hint="eastAsia" w:ascii="宋体" w:hAnsi="宋体" w:eastAsia="宋体" w:cs="宋体"/>
                <w:color w:val="auto"/>
                <w:kern w:val="0"/>
                <w:sz w:val="21"/>
                <w:szCs w:val="21"/>
              </w:rPr>
            </w:pPr>
            <w:r>
              <w:rPr>
                <w:rFonts w:hint="eastAsia" w:ascii="宋体" w:hAnsi="宋体" w:eastAsia="宋体" w:cs="Times New Roman"/>
                <w:b/>
                <w:bCs/>
                <w:color w:val="auto"/>
                <w:sz w:val="21"/>
                <w:szCs w:val="21"/>
              </w:rPr>
              <w:t>实践要求：</w:t>
            </w:r>
            <w:r>
              <w:rPr>
                <w:rFonts w:hint="eastAsia" w:ascii="宋体" w:hAnsi="宋体" w:eastAsia="宋体" w:cs="Times New Roman"/>
                <w:color w:val="auto"/>
                <w:sz w:val="21"/>
                <w:szCs w:val="21"/>
              </w:rPr>
              <w:t>小组集体提交</w:t>
            </w:r>
            <w:r>
              <w:rPr>
                <w:rFonts w:hint="eastAsia" w:ascii="宋体" w:hAnsi="宋体" w:eastAsia="宋体" w:cs="宋体"/>
                <w:color w:val="auto"/>
                <w:kern w:val="0"/>
                <w:sz w:val="21"/>
                <w:szCs w:val="21"/>
              </w:rPr>
              <w:t>科学课设计方案、教学评价及模拟教学光盘。</w:t>
            </w:r>
          </w:p>
        </w:tc>
        <w:tc>
          <w:tcPr>
            <w:tcW w:w="667" w:type="dxa"/>
            <w:vAlign w:val="center"/>
          </w:tcPr>
          <w:p w14:paraId="029012A5">
            <w:pPr>
              <w:adjustRightInd w:val="0"/>
              <w:snapToGrid w:val="0"/>
              <w:jc w:val="center"/>
              <w:rPr>
                <w:rFonts w:hint="eastAsia" w:ascii="宋体" w:hAnsi="宋体" w:eastAsia="宋体"/>
                <w:bCs/>
                <w:color w:val="auto"/>
                <w:sz w:val="21"/>
                <w:szCs w:val="21"/>
              </w:rPr>
            </w:pPr>
            <w:r>
              <w:rPr>
                <w:rFonts w:ascii="宋体" w:hAnsi="宋体" w:eastAsia="宋体"/>
                <w:bCs/>
                <w:color w:val="auto"/>
                <w:sz w:val="21"/>
                <w:szCs w:val="21"/>
              </w:rPr>
              <w:t>4</w:t>
            </w:r>
          </w:p>
        </w:tc>
        <w:tc>
          <w:tcPr>
            <w:tcW w:w="1487" w:type="dxa"/>
            <w:vAlign w:val="center"/>
          </w:tcPr>
          <w:p w14:paraId="6C27E642">
            <w:pPr>
              <w:adjustRightInd w:val="0"/>
              <w:snapToGrid w:val="0"/>
              <w:jc w:val="center"/>
              <w:rPr>
                <w:rFonts w:hint="eastAsia" w:ascii="宋体" w:hAnsi="宋体" w:eastAsia="宋体"/>
                <w:bCs/>
                <w:color w:val="auto"/>
                <w:sz w:val="21"/>
                <w:szCs w:val="21"/>
              </w:rPr>
            </w:pPr>
            <w:r>
              <w:rPr>
                <w:rFonts w:hint="eastAsia" w:ascii="宋体" w:hAnsi="宋体" w:eastAsia="宋体"/>
                <w:bCs/>
                <w:color w:val="auto"/>
                <w:sz w:val="21"/>
                <w:szCs w:val="21"/>
              </w:rPr>
              <w:t>目标2</w:t>
            </w:r>
          </w:p>
          <w:p w14:paraId="51B95329">
            <w:pPr>
              <w:adjustRightInd w:val="0"/>
              <w:snapToGrid w:val="0"/>
              <w:jc w:val="center"/>
              <w:rPr>
                <w:rFonts w:hint="eastAsia" w:ascii="宋体" w:hAnsi="宋体" w:eastAsia="宋体"/>
                <w:bCs/>
                <w:color w:val="auto"/>
                <w:sz w:val="21"/>
                <w:szCs w:val="21"/>
              </w:rPr>
            </w:pPr>
            <w:r>
              <w:rPr>
                <w:rFonts w:hint="eastAsia" w:ascii="宋体" w:hAnsi="宋体" w:eastAsia="宋体"/>
                <w:bCs/>
                <w:color w:val="auto"/>
                <w:sz w:val="21"/>
                <w:szCs w:val="21"/>
              </w:rPr>
              <w:t>目标3</w:t>
            </w:r>
          </w:p>
        </w:tc>
      </w:tr>
      <w:tr w14:paraId="33E3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690" w:type="dxa"/>
            <w:vAlign w:val="center"/>
          </w:tcPr>
          <w:p w14:paraId="2DA0628E">
            <w:pPr>
              <w:adjustRightInd w:val="0"/>
              <w:snapToGrid w:val="0"/>
              <w:jc w:val="center"/>
              <w:rPr>
                <w:rFonts w:hint="eastAsia" w:ascii="宋体" w:hAnsi="宋体" w:eastAsia="宋体"/>
                <w:bCs/>
                <w:color w:val="auto"/>
                <w:sz w:val="21"/>
                <w:szCs w:val="21"/>
              </w:rPr>
            </w:pPr>
            <w:r>
              <w:rPr>
                <w:rFonts w:hint="eastAsia" w:ascii="宋体" w:hAnsi="宋体" w:eastAsia="宋体"/>
                <w:bCs/>
                <w:color w:val="auto"/>
                <w:sz w:val="21"/>
                <w:szCs w:val="21"/>
              </w:rPr>
              <w:t>4</w:t>
            </w:r>
          </w:p>
        </w:tc>
        <w:tc>
          <w:tcPr>
            <w:tcW w:w="1501" w:type="dxa"/>
            <w:vAlign w:val="center"/>
          </w:tcPr>
          <w:p w14:paraId="7CF1AEFC">
            <w:pPr>
              <w:adjustRightInd w:val="0"/>
              <w:snapToGrid w:val="0"/>
              <w:jc w:val="center"/>
              <w:rPr>
                <w:rFonts w:hint="eastAsia" w:ascii="宋体" w:hAnsi="宋体" w:eastAsia="宋体" w:cs="宋体"/>
                <w:color w:val="auto"/>
                <w:kern w:val="0"/>
                <w:sz w:val="21"/>
                <w:szCs w:val="21"/>
              </w:rPr>
            </w:pPr>
            <w:r>
              <w:rPr>
                <w:rFonts w:hint="eastAsia" w:ascii="Calibri" w:hAnsi="Calibri" w:eastAsia="宋体" w:cs="Times New Roman"/>
                <w:bCs/>
                <w:color w:val="auto"/>
                <w:sz w:val="21"/>
                <w:szCs w:val="21"/>
              </w:rPr>
              <w:t>小学科学教学评价</w:t>
            </w:r>
          </w:p>
        </w:tc>
        <w:tc>
          <w:tcPr>
            <w:tcW w:w="4041" w:type="dxa"/>
            <w:vAlign w:val="center"/>
          </w:tcPr>
          <w:p w14:paraId="5ED2EBBC">
            <w:pPr>
              <w:rPr>
                <w:rFonts w:hint="eastAsia" w:ascii="宋体" w:hAnsi="宋体" w:eastAsia="宋体" w:cs="Times New Roman"/>
                <w:color w:val="auto"/>
                <w:sz w:val="21"/>
                <w:szCs w:val="21"/>
              </w:rPr>
            </w:pPr>
            <w:r>
              <w:rPr>
                <w:rFonts w:hint="eastAsia" w:ascii="宋体" w:hAnsi="宋体" w:eastAsia="宋体" w:cs="Times New Roman"/>
                <w:b/>
                <w:bCs/>
                <w:color w:val="auto"/>
                <w:sz w:val="21"/>
                <w:szCs w:val="21"/>
              </w:rPr>
              <w:t>实践内容：</w:t>
            </w:r>
            <w:r>
              <w:rPr>
                <w:rFonts w:hint="eastAsia" w:ascii="宋体" w:hAnsi="宋体" w:eastAsia="宋体" w:cs="Times New Roman"/>
                <w:color w:val="auto"/>
                <w:sz w:val="21"/>
                <w:szCs w:val="21"/>
              </w:rPr>
              <w:t>观摩小学科学教学视频，小组内进行评课，提出改进建议。</w:t>
            </w:r>
          </w:p>
          <w:p w14:paraId="5CAA849B">
            <w:pPr>
              <w:adjustRightInd w:val="0"/>
              <w:snapToGrid w:val="0"/>
              <w:rPr>
                <w:rFonts w:hint="eastAsia" w:ascii="宋体" w:hAnsi="宋体" w:eastAsia="宋体" w:cs="宋体"/>
                <w:color w:val="auto"/>
                <w:kern w:val="0"/>
                <w:sz w:val="21"/>
                <w:szCs w:val="21"/>
              </w:rPr>
            </w:pPr>
            <w:r>
              <w:rPr>
                <w:rFonts w:hint="eastAsia" w:ascii="宋体" w:hAnsi="宋体" w:eastAsia="宋体" w:cs="Times New Roman"/>
                <w:b/>
                <w:bCs/>
                <w:color w:val="auto"/>
                <w:sz w:val="21"/>
                <w:szCs w:val="21"/>
              </w:rPr>
              <w:t>实践要求：</w:t>
            </w:r>
            <w:r>
              <w:rPr>
                <w:rFonts w:hint="eastAsia" w:ascii="宋体" w:hAnsi="宋体" w:eastAsia="宋体" w:cs="Times New Roman"/>
                <w:color w:val="auto"/>
                <w:sz w:val="21"/>
                <w:szCs w:val="21"/>
              </w:rPr>
              <w:t>小组集体提交一份</w:t>
            </w:r>
            <w:r>
              <w:rPr>
                <w:rFonts w:hint="eastAsia" w:ascii="宋体" w:hAnsi="宋体" w:eastAsia="宋体" w:cs="宋体"/>
                <w:color w:val="auto"/>
                <w:kern w:val="0"/>
                <w:sz w:val="21"/>
                <w:szCs w:val="21"/>
              </w:rPr>
              <w:t>教学评价。</w:t>
            </w:r>
          </w:p>
        </w:tc>
        <w:tc>
          <w:tcPr>
            <w:tcW w:w="667" w:type="dxa"/>
            <w:vAlign w:val="center"/>
          </w:tcPr>
          <w:p w14:paraId="14AE0B13">
            <w:pPr>
              <w:adjustRightInd w:val="0"/>
              <w:snapToGrid w:val="0"/>
              <w:jc w:val="center"/>
              <w:rPr>
                <w:rFonts w:hint="eastAsia" w:ascii="宋体" w:hAnsi="宋体" w:eastAsia="宋体"/>
                <w:bCs/>
                <w:color w:val="auto"/>
                <w:sz w:val="21"/>
                <w:szCs w:val="21"/>
              </w:rPr>
            </w:pPr>
            <w:r>
              <w:rPr>
                <w:rFonts w:ascii="宋体" w:hAnsi="宋体" w:eastAsia="宋体"/>
                <w:bCs/>
                <w:color w:val="auto"/>
                <w:sz w:val="21"/>
                <w:szCs w:val="21"/>
              </w:rPr>
              <w:t>4</w:t>
            </w:r>
          </w:p>
        </w:tc>
        <w:tc>
          <w:tcPr>
            <w:tcW w:w="1487" w:type="dxa"/>
            <w:vAlign w:val="center"/>
          </w:tcPr>
          <w:p w14:paraId="73EB866E">
            <w:pPr>
              <w:adjustRightInd w:val="0"/>
              <w:snapToGrid w:val="0"/>
              <w:jc w:val="center"/>
              <w:rPr>
                <w:rFonts w:hint="eastAsia" w:ascii="宋体" w:hAnsi="宋体" w:eastAsia="宋体"/>
                <w:bCs/>
                <w:color w:val="auto"/>
                <w:sz w:val="21"/>
                <w:szCs w:val="21"/>
              </w:rPr>
            </w:pPr>
            <w:r>
              <w:rPr>
                <w:rFonts w:hint="eastAsia" w:ascii="宋体" w:hAnsi="宋体" w:eastAsia="宋体"/>
                <w:bCs/>
                <w:color w:val="auto"/>
                <w:sz w:val="21"/>
                <w:szCs w:val="21"/>
              </w:rPr>
              <w:t>目标2</w:t>
            </w:r>
          </w:p>
          <w:p w14:paraId="2D912272">
            <w:pPr>
              <w:adjustRightInd w:val="0"/>
              <w:snapToGrid w:val="0"/>
              <w:jc w:val="center"/>
              <w:rPr>
                <w:rFonts w:hint="eastAsia" w:ascii="宋体" w:hAnsi="宋体" w:eastAsia="宋体"/>
                <w:bCs/>
                <w:color w:val="auto"/>
                <w:sz w:val="21"/>
                <w:szCs w:val="21"/>
              </w:rPr>
            </w:pPr>
            <w:r>
              <w:rPr>
                <w:rFonts w:hint="eastAsia" w:ascii="宋体" w:hAnsi="宋体" w:eastAsia="宋体"/>
                <w:bCs/>
                <w:color w:val="auto"/>
                <w:sz w:val="21"/>
                <w:szCs w:val="21"/>
              </w:rPr>
              <w:t>目标3</w:t>
            </w:r>
          </w:p>
        </w:tc>
      </w:tr>
    </w:tbl>
    <w:p w14:paraId="07DD998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六、有关说明</w:t>
      </w:r>
    </w:p>
    <w:p w14:paraId="5B57F9FB">
      <w:pPr>
        <w:keepNext w:val="0"/>
        <w:keepLines w:val="0"/>
        <w:pageBreakBefore w:val="0"/>
        <w:widowControl w:val="0"/>
        <w:kinsoku/>
        <w:wordWrap/>
        <w:overflowPunct/>
        <w:topLinePunct w:val="0"/>
        <w:bidi w:val="0"/>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591DEA86">
      <w:pPr>
        <w:keepNext w:val="0"/>
        <w:keepLines w:val="0"/>
        <w:pageBreakBefore w:val="0"/>
        <w:widowControl w:val="0"/>
        <w:kinsoku/>
        <w:wordWrap/>
        <w:overflowPunct/>
        <w:topLinePunct w:val="0"/>
        <w:bidi w:val="0"/>
        <w:spacing w:line="312" w:lineRule="auto"/>
        <w:ind w:firstLine="420" w:firstLineChars="200"/>
        <w:jc w:val="left"/>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本课程根据学生作业、课堂讨论、教学环节、平时考核情况和学生、教学督导等的反馈，及时对教学中的不足之处进行改进，并在下一轮课程教学中整改完善，确保相应毕业要求指标点达成。</w:t>
      </w:r>
    </w:p>
    <w:p w14:paraId="6BBAF670">
      <w:pPr>
        <w:keepNext w:val="0"/>
        <w:keepLines w:val="0"/>
        <w:pageBreakBefore w:val="0"/>
        <w:widowControl w:val="0"/>
        <w:kinsoku/>
        <w:wordWrap/>
        <w:overflowPunct/>
        <w:topLinePunct w:val="0"/>
        <w:bidi w:val="0"/>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7E8D05C5">
      <w:pPr>
        <w:keepNext w:val="0"/>
        <w:keepLines w:val="0"/>
        <w:pageBreakBefore w:val="0"/>
        <w:widowControl w:val="0"/>
        <w:kinsoku/>
        <w:wordWrap/>
        <w:overflowPunct/>
        <w:topLinePunct w:val="0"/>
        <w:bidi w:val="0"/>
        <w:spacing w:line="312" w:lineRule="auto"/>
        <w:ind w:firstLine="420" w:firstLineChars="200"/>
        <w:jc w:val="left"/>
        <w:textAlignment w:val="auto"/>
        <w:rPr>
          <w:rFonts w:ascii="Times New Roman" w:hAnsi="Times New Roman" w:eastAsia="宋体" w:cs="Times New Roman"/>
          <w:bCs/>
          <w:color w:val="auto"/>
          <w:szCs w:val="21"/>
        </w:rPr>
      </w:pPr>
      <w:r>
        <w:rPr>
          <w:rFonts w:hint="eastAsia" w:ascii="Times New Roman" w:hAnsi="Times New Roman" w:eastAsia="宋体" w:cs="Times New Roman"/>
          <w:color w:val="auto"/>
          <w:kern w:val="0"/>
          <w:szCs w:val="21"/>
        </w:rPr>
        <w:t>潘洪建</w:t>
      </w:r>
      <w:r>
        <w:rPr>
          <w:rFonts w:ascii="宋体" w:hAnsi="宋体" w:eastAsia="宋体" w:cs="Times New Roman"/>
          <w:color w:val="auto"/>
          <w:szCs w:val="21"/>
        </w:rPr>
        <w:t>,</w:t>
      </w:r>
      <w:r>
        <w:rPr>
          <w:rFonts w:hint="eastAsia" w:ascii="宋体" w:hAnsi="宋体" w:eastAsia="宋体" w:cs="Times New Roman"/>
          <w:color w:val="auto"/>
          <w:szCs w:val="21"/>
        </w:rPr>
        <w:t xml:space="preserve"> </w:t>
      </w:r>
      <w:r>
        <w:rPr>
          <w:rFonts w:hint="eastAsia" w:ascii="Times New Roman" w:hAnsi="Times New Roman" w:eastAsia="宋体" w:cs="Times New Roman"/>
          <w:color w:val="auto"/>
          <w:kern w:val="0"/>
          <w:szCs w:val="21"/>
        </w:rPr>
        <w:t>王天锋等</w:t>
      </w:r>
      <w:r>
        <w:rPr>
          <w:rFonts w:ascii="Times New Roman" w:hAnsi="Times New Roman" w:eastAsia="宋体" w:cs="Times New Roman"/>
          <w:color w:val="auto"/>
          <w:kern w:val="0"/>
          <w:szCs w:val="21"/>
        </w:rPr>
        <w:t xml:space="preserve"> 编</w:t>
      </w:r>
      <w:r>
        <w:rPr>
          <w:rFonts w:hint="eastAsia" w:ascii="Times New Roman" w:hAnsi="Times New Roman" w:eastAsia="宋体" w:cs="Times New Roman"/>
          <w:color w:val="auto"/>
          <w:kern w:val="0"/>
          <w:szCs w:val="21"/>
        </w:rPr>
        <w:t xml:space="preserve">. </w:t>
      </w:r>
      <w:r>
        <w:rPr>
          <w:rFonts w:ascii="Times New Roman" w:hAnsi="Times New Roman" w:eastAsia="宋体" w:cs="Times New Roman"/>
          <w:color w:val="auto"/>
          <w:kern w:val="0"/>
          <w:szCs w:val="21"/>
        </w:rPr>
        <w:t>小学科学课程与教学论</w:t>
      </w:r>
      <w:r>
        <w:rPr>
          <w:rFonts w:hint="eastAsia" w:ascii="Times New Roman" w:hAnsi="Times New Roman" w:eastAsia="宋体" w:cs="Times New Roman"/>
          <w:color w:val="auto"/>
          <w:kern w:val="0"/>
          <w:szCs w:val="21"/>
        </w:rPr>
        <w:t>. 南京：</w:t>
      </w:r>
      <w:r>
        <w:rPr>
          <w:rFonts w:ascii="Times New Roman" w:hAnsi="Times New Roman" w:eastAsia="宋体" w:cs="Times New Roman"/>
          <w:color w:val="auto"/>
          <w:kern w:val="0"/>
          <w:szCs w:val="21"/>
        </w:rPr>
        <w:t>江苏大学出版社</w:t>
      </w:r>
      <w:r>
        <w:rPr>
          <w:rFonts w:hint="eastAsia" w:ascii="Times New Roman" w:hAnsi="Times New Roman" w:eastAsia="宋体" w:cs="Times New Roman"/>
          <w:color w:val="auto"/>
          <w:kern w:val="0"/>
          <w:szCs w:val="21"/>
        </w:rPr>
        <w:t xml:space="preserve">, </w:t>
      </w:r>
      <w:r>
        <w:rPr>
          <w:rFonts w:ascii="Times New Roman" w:hAnsi="Times New Roman" w:eastAsia="宋体" w:cs="Times New Roman"/>
          <w:color w:val="auto"/>
          <w:kern w:val="0"/>
          <w:szCs w:val="21"/>
        </w:rPr>
        <w:t>2022</w:t>
      </w:r>
      <w:r>
        <w:rPr>
          <w:rFonts w:hint="eastAsia" w:ascii="Times New Roman" w:hAnsi="Times New Roman" w:eastAsia="宋体" w:cs="Times New Roman"/>
          <w:color w:val="auto"/>
          <w:kern w:val="0"/>
          <w:szCs w:val="21"/>
        </w:rPr>
        <w:t>.</w:t>
      </w:r>
      <w:r>
        <w:rPr>
          <w:rFonts w:ascii="Times New Roman" w:hAnsi="Times New Roman" w:eastAsia="宋体" w:cs="Times New Roman"/>
          <w:bCs/>
          <w:color w:val="auto"/>
          <w:szCs w:val="21"/>
        </w:rPr>
        <w:t xml:space="preserve"> </w:t>
      </w:r>
    </w:p>
    <w:p w14:paraId="032343BE">
      <w:pPr>
        <w:keepNext w:val="0"/>
        <w:keepLines w:val="0"/>
        <w:pageBreakBefore w:val="0"/>
        <w:widowControl w:val="0"/>
        <w:kinsoku/>
        <w:wordWrap/>
        <w:overflowPunct/>
        <w:topLinePunct w:val="0"/>
        <w:bidi w:val="0"/>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7AEA7629">
      <w:pPr>
        <w:keepNext w:val="0"/>
        <w:keepLines w:val="0"/>
        <w:pageBreakBefore w:val="0"/>
        <w:widowControl w:val="0"/>
        <w:kinsoku/>
        <w:wordWrap/>
        <w:overflowPunct/>
        <w:topLinePunct w:val="0"/>
        <w:autoSpaceDE w:val="0"/>
        <w:autoSpaceDN w:val="0"/>
        <w:bidi w:val="0"/>
        <w:adjustRightInd w:val="0"/>
        <w:snapToGrid w:val="0"/>
        <w:spacing w:line="312" w:lineRule="auto"/>
        <w:ind w:firstLine="420" w:firstLineChars="200"/>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教育部. 义务教育科学课程标准（2022版）. 北京：北京师范大学出版社, 2022.</w:t>
      </w:r>
    </w:p>
    <w:p w14:paraId="0FC3EE33">
      <w:pPr>
        <w:keepNext w:val="0"/>
        <w:keepLines w:val="0"/>
        <w:pageBreakBefore w:val="0"/>
        <w:widowControl w:val="0"/>
        <w:kinsoku/>
        <w:wordWrap/>
        <w:overflowPunct/>
        <w:topLinePunct w:val="0"/>
        <w:autoSpaceDE w:val="0"/>
        <w:autoSpaceDN w:val="0"/>
        <w:bidi w:val="0"/>
        <w:adjustRightInd w:val="0"/>
        <w:snapToGrid w:val="0"/>
        <w:spacing w:line="312" w:lineRule="auto"/>
        <w:ind w:firstLine="420" w:firstLineChars="200"/>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胡卫平, 刘守印编. 义务教育科学课程标准（2022年版）解读. 北京：高等教育出版社, 2022.</w:t>
      </w:r>
    </w:p>
    <w:p w14:paraId="6A95C2E9">
      <w:pPr>
        <w:keepNext w:val="0"/>
        <w:keepLines w:val="0"/>
        <w:pageBreakBefore w:val="0"/>
        <w:widowControl w:val="0"/>
        <w:kinsoku/>
        <w:wordWrap/>
        <w:overflowPunct/>
        <w:topLinePunct w:val="0"/>
        <w:autoSpaceDE w:val="0"/>
        <w:autoSpaceDN w:val="0"/>
        <w:bidi w:val="0"/>
        <w:adjustRightInd w:val="0"/>
        <w:snapToGrid w:val="0"/>
        <w:spacing w:line="312" w:lineRule="auto"/>
        <w:ind w:firstLine="420" w:firstLineChars="200"/>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张平柯, 范增. 小学科学教师成长指导与实践案例. 武汉：武汉大学出版社, 2018.</w:t>
      </w:r>
    </w:p>
    <w:p w14:paraId="0E63612E">
      <w:pPr>
        <w:keepNext w:val="0"/>
        <w:keepLines w:val="0"/>
        <w:pageBreakBefore w:val="0"/>
        <w:widowControl w:val="0"/>
        <w:kinsoku/>
        <w:wordWrap/>
        <w:overflowPunct/>
        <w:topLinePunct w:val="0"/>
        <w:autoSpaceDE w:val="0"/>
        <w:autoSpaceDN w:val="0"/>
        <w:bidi w:val="0"/>
        <w:adjustRightInd w:val="0"/>
        <w:snapToGrid w:val="0"/>
        <w:spacing w:line="312" w:lineRule="auto"/>
        <w:ind w:firstLine="420"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张二庆, 乔建生. 小学科学课程与教学论. 北京：北京师范大学出版社,</w:t>
      </w:r>
      <w:r>
        <w:rPr>
          <w:rFonts w:hint="eastAsia" w:ascii="宋体" w:hAnsi="宋体" w:eastAsia="宋体" w:cs="Times New Roman"/>
          <w:color w:val="auto"/>
          <w:szCs w:val="21"/>
        </w:rPr>
        <w:t xml:space="preserve"> </w:t>
      </w:r>
      <w:r>
        <w:rPr>
          <w:rFonts w:ascii="宋体" w:hAnsi="宋体" w:eastAsia="宋体" w:cs="Times New Roman"/>
          <w:color w:val="auto"/>
          <w:szCs w:val="21"/>
        </w:rPr>
        <w:t>2016.</w:t>
      </w:r>
    </w:p>
    <w:p w14:paraId="174229B0">
      <w:pPr>
        <w:keepNext w:val="0"/>
        <w:keepLines w:val="0"/>
        <w:pageBreakBefore w:val="0"/>
        <w:widowControl w:val="0"/>
        <w:kinsoku/>
        <w:wordWrap/>
        <w:overflowPunct/>
        <w:topLinePunct w:val="0"/>
        <w:bidi w:val="0"/>
        <w:spacing w:line="312" w:lineRule="auto"/>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执 笔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金玉宏</w:t>
      </w:r>
    </w:p>
    <w:p w14:paraId="604604B3">
      <w:pPr>
        <w:keepNext w:val="0"/>
        <w:keepLines w:val="0"/>
        <w:pageBreakBefore w:val="0"/>
        <w:widowControl w:val="0"/>
        <w:kinsoku/>
        <w:wordWrap/>
        <w:overflowPunct/>
        <w:topLinePunct w:val="0"/>
        <w:bidi w:val="0"/>
        <w:spacing w:line="312" w:lineRule="auto"/>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定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王</w:t>
      </w:r>
      <w:r>
        <w:rPr>
          <w:rFonts w:hint="eastAsia"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rPr>
        <w:t>健</w:t>
      </w:r>
    </w:p>
    <w:p w14:paraId="792F36F8">
      <w:pPr>
        <w:keepNext w:val="0"/>
        <w:keepLines w:val="0"/>
        <w:pageBreakBefore w:val="0"/>
        <w:widowControl w:val="0"/>
        <w:kinsoku/>
        <w:wordWrap/>
        <w:overflowPunct/>
        <w:topLinePunct w:val="0"/>
        <w:bidi w:val="0"/>
        <w:spacing w:line="312" w:lineRule="auto"/>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批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张志欣</w:t>
      </w:r>
    </w:p>
    <w:p w14:paraId="235CB02C">
      <w:pPr>
        <w:keepNext w:val="0"/>
        <w:keepLines w:val="0"/>
        <w:pageBreakBefore w:val="0"/>
        <w:widowControl w:val="0"/>
        <w:kinsoku/>
        <w:wordWrap/>
        <w:overflowPunct/>
        <w:topLinePunct w:val="0"/>
        <w:bidi w:val="0"/>
        <w:spacing w:line="312" w:lineRule="auto"/>
        <w:jc w:val="right"/>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批准时间：2025年7月1日</w:t>
      </w:r>
    </w:p>
    <w:p w14:paraId="35DF4700">
      <w:pPr>
        <w:rPr>
          <w:rFonts w:hint="eastAsia" w:ascii="等线" w:hAnsi="等线" w:eastAsia="等线" w:cs="等线"/>
          <w:b/>
          <w:bCs/>
          <w:color w:val="auto"/>
          <w:sz w:val="36"/>
          <w:szCs w:val="36"/>
        </w:rPr>
      </w:pPr>
      <w:r>
        <w:rPr>
          <w:rFonts w:hint="eastAsia" w:ascii="等线" w:hAnsi="等线" w:eastAsia="等线" w:cs="等线"/>
          <w:b/>
          <w:bCs/>
          <w:color w:val="auto"/>
          <w:sz w:val="36"/>
          <w:szCs w:val="36"/>
        </w:rPr>
        <w:br w:type="page"/>
      </w:r>
    </w:p>
    <w:p w14:paraId="51B39B9F">
      <w:pPr>
        <w:spacing w:line="360" w:lineRule="auto"/>
        <w:jc w:val="center"/>
        <w:outlineLvl w:val="0"/>
        <w:rPr>
          <w:rFonts w:hint="eastAsia" w:ascii="Times New Roman" w:hAnsi="Times New Roman" w:eastAsia="宋体" w:cs="Times New Roman"/>
          <w:b/>
          <w:color w:val="auto"/>
          <w:sz w:val="44"/>
          <w:szCs w:val="44"/>
        </w:rPr>
      </w:pPr>
      <w:bookmarkStart w:id="400" w:name="_Toc22080"/>
      <w:bookmarkStart w:id="401" w:name="_Toc19850"/>
      <w:r>
        <w:rPr>
          <w:rFonts w:hint="eastAsia" w:ascii="Times New Roman" w:hAnsi="Times New Roman" w:eastAsia="宋体" w:cs="Times New Roman"/>
          <w:b/>
          <w:color w:val="auto"/>
          <w:sz w:val="44"/>
          <w:szCs w:val="44"/>
        </w:rPr>
        <w:t>《逻辑学》课程教学大纲</w:t>
      </w:r>
      <w:bookmarkEnd w:id="400"/>
      <w:bookmarkEnd w:id="401"/>
    </w:p>
    <w:p w14:paraId="72660DAE">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（Logic）</w:t>
      </w:r>
    </w:p>
    <w:p w14:paraId="5027D421">
      <w:pPr>
        <w:spacing w:line="360" w:lineRule="auto"/>
        <w:ind w:firstLine="482" w:firstLineChars="200"/>
        <w:jc w:val="left"/>
        <w:rPr>
          <w:b/>
          <w:color w:val="auto"/>
          <w:sz w:val="24"/>
        </w:rPr>
      </w:pPr>
      <w:r>
        <w:rPr>
          <w:rFonts w:hint="eastAsia"/>
          <w:b/>
          <w:color w:val="auto"/>
          <w:sz w:val="24"/>
        </w:rPr>
        <w:t>课程名称：逻辑学</w:t>
      </w:r>
    </w:p>
    <w:p w14:paraId="2301E303">
      <w:pPr>
        <w:spacing w:line="360" w:lineRule="auto"/>
        <w:ind w:firstLine="482" w:firstLineChars="200"/>
        <w:jc w:val="left"/>
        <w:rPr>
          <w:b/>
          <w:color w:val="auto"/>
          <w:sz w:val="24"/>
        </w:rPr>
      </w:pPr>
      <w:r>
        <w:rPr>
          <w:rFonts w:hint="eastAsia"/>
          <w:b/>
          <w:color w:val="auto"/>
          <w:sz w:val="24"/>
        </w:rPr>
        <w:t>课程代码：2401033</w:t>
      </w:r>
    </w:p>
    <w:p w14:paraId="1A6EA895">
      <w:pPr>
        <w:spacing w:line="360" w:lineRule="auto"/>
        <w:ind w:firstLine="482" w:firstLineChars="200"/>
        <w:jc w:val="left"/>
        <w:rPr>
          <w:color w:val="auto"/>
          <w:sz w:val="24"/>
        </w:rPr>
      </w:pPr>
      <w:r>
        <w:rPr>
          <w:rFonts w:hint="eastAsia"/>
          <w:b/>
          <w:color w:val="auto"/>
          <w:sz w:val="24"/>
        </w:rPr>
        <w:t xml:space="preserve">学 </w:t>
      </w:r>
      <w:r>
        <w:rPr>
          <w:b/>
          <w:color w:val="auto"/>
          <w:sz w:val="24"/>
        </w:rPr>
        <w:t xml:space="preserve">   </w:t>
      </w:r>
      <w:r>
        <w:rPr>
          <w:rFonts w:hint="eastAsia"/>
          <w:b/>
          <w:color w:val="auto"/>
          <w:sz w:val="24"/>
        </w:rPr>
        <w:t>分：2</w:t>
      </w:r>
    </w:p>
    <w:p w14:paraId="22462257">
      <w:pPr>
        <w:spacing w:line="360" w:lineRule="auto"/>
        <w:ind w:firstLine="482" w:firstLineChars="200"/>
        <w:jc w:val="left"/>
        <w:rPr>
          <w:rFonts w:hint="eastAsia" w:eastAsiaTheme="minorEastAsia"/>
          <w:color w:val="auto"/>
          <w:sz w:val="24"/>
          <w:lang w:eastAsia="zh-CN"/>
        </w:rPr>
      </w:pPr>
      <w:r>
        <w:rPr>
          <w:rFonts w:hint="eastAsia"/>
          <w:b/>
          <w:color w:val="auto"/>
          <w:sz w:val="24"/>
        </w:rPr>
        <w:t xml:space="preserve">学 </w:t>
      </w:r>
      <w:r>
        <w:rPr>
          <w:b/>
          <w:color w:val="auto"/>
          <w:sz w:val="24"/>
        </w:rPr>
        <w:t xml:space="preserve">   </w:t>
      </w:r>
      <w:r>
        <w:rPr>
          <w:rFonts w:hint="eastAsia"/>
          <w:b/>
          <w:color w:val="auto"/>
          <w:sz w:val="24"/>
        </w:rPr>
        <w:t>时：32</w:t>
      </w:r>
      <w:r>
        <w:rPr>
          <w:rFonts w:hint="eastAsia"/>
          <w:b/>
          <w:color w:val="auto"/>
          <w:sz w:val="24"/>
          <w:lang w:eastAsia="zh-CN"/>
        </w:rPr>
        <w:t>（</w:t>
      </w:r>
      <w:r>
        <w:rPr>
          <w:rFonts w:hint="eastAsia"/>
          <w:b/>
          <w:color w:val="auto"/>
          <w:sz w:val="24"/>
          <w:lang w:val="en-US" w:eastAsia="zh-CN"/>
        </w:rPr>
        <w:t>理论学时16，实践学时16</w:t>
      </w:r>
      <w:r>
        <w:rPr>
          <w:rFonts w:hint="eastAsia"/>
          <w:b/>
          <w:color w:val="auto"/>
          <w:sz w:val="24"/>
          <w:lang w:eastAsia="zh-CN"/>
        </w:rPr>
        <w:t>）</w:t>
      </w:r>
    </w:p>
    <w:p w14:paraId="77A01EA5">
      <w:pPr>
        <w:spacing w:line="360" w:lineRule="auto"/>
        <w:ind w:firstLine="482" w:firstLineChars="200"/>
        <w:jc w:val="left"/>
        <w:rPr>
          <w:color w:val="auto"/>
          <w:sz w:val="24"/>
        </w:rPr>
      </w:pPr>
      <w:r>
        <w:rPr>
          <w:rFonts w:hint="eastAsia"/>
          <w:b/>
          <w:color w:val="auto"/>
          <w:sz w:val="24"/>
        </w:rPr>
        <w:t>先修课程：无</w:t>
      </w:r>
    </w:p>
    <w:p w14:paraId="54C4A53D">
      <w:pPr>
        <w:spacing w:line="360" w:lineRule="auto"/>
        <w:ind w:firstLine="482" w:firstLineChars="200"/>
        <w:jc w:val="left"/>
        <w:rPr>
          <w:b/>
          <w:color w:val="auto"/>
          <w:sz w:val="24"/>
        </w:rPr>
      </w:pPr>
      <w:r>
        <w:rPr>
          <w:rFonts w:hint="eastAsia"/>
          <w:b/>
          <w:color w:val="auto"/>
          <w:sz w:val="24"/>
        </w:rPr>
        <w:t>适用专业：小学教育</w:t>
      </w:r>
    </w:p>
    <w:p w14:paraId="1703F466">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一、课程简介</w:t>
      </w:r>
    </w:p>
    <w:p w14:paraId="0DC39B5D">
      <w:pPr>
        <w:spacing w:line="360" w:lineRule="auto"/>
        <w:ind w:firstLine="420" w:firstLineChars="200"/>
        <w:jc w:val="left"/>
        <w:rPr>
          <w:color w:val="auto"/>
          <w:szCs w:val="21"/>
        </w:rPr>
      </w:pPr>
      <w:r>
        <w:rPr>
          <w:rFonts w:hint="eastAsia"/>
          <w:color w:val="auto"/>
          <w:szCs w:val="21"/>
        </w:rPr>
        <w:t>逻辑学是以思维形式及其规律和某些简单的逻辑方法为研究对象的一门工具性学科，是高等院校文科专业学生必修的基础课程。本课程通过对概念、命题及推理等基本思维形式等的概念和规律等逻辑的基本内容的讲授，也对定义、划分、限制、概括、论证等基本逻辑方法进行介绍，通过练习，学生能在日常生活中进行运用，学会基本的辩论和论述。</w:t>
      </w:r>
    </w:p>
    <w:p w14:paraId="242BFC01">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二、课程目标</w:t>
      </w:r>
    </w:p>
    <w:p w14:paraId="466F753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b/>
          <w:color w:val="auto"/>
          <w:szCs w:val="21"/>
        </w:rPr>
      </w:pPr>
      <w:r>
        <w:rPr>
          <w:rFonts w:hint="eastAsia" w:ascii="宋体" w:hAnsi="宋体"/>
          <w:b/>
          <w:color w:val="auto"/>
          <w:szCs w:val="21"/>
        </w:rPr>
        <w:t>（一）课程具体目标</w:t>
      </w:r>
    </w:p>
    <w:p w14:paraId="3CF00044">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color w:val="auto"/>
          <w:szCs w:val="21"/>
        </w:rPr>
      </w:pPr>
      <w:r>
        <w:rPr>
          <w:rFonts w:hint="eastAsia"/>
          <w:b/>
          <w:color w:val="auto"/>
          <w:szCs w:val="21"/>
        </w:rPr>
        <w:t>目标</w:t>
      </w:r>
      <w:r>
        <w:rPr>
          <w:b/>
          <w:color w:val="auto"/>
          <w:szCs w:val="21"/>
        </w:rPr>
        <w:t>1.</w:t>
      </w:r>
      <w:r>
        <w:rPr>
          <w:rFonts w:hint="eastAsia"/>
          <w:color w:val="auto"/>
          <w:szCs w:val="21"/>
        </w:rPr>
        <w:t>了解逻辑学的学科特点，知道逻辑学与其他学科的关系，掌握逻辑学的研究对象及研究方法。</w:t>
      </w:r>
    </w:p>
    <w:p w14:paraId="5E470944">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bCs/>
          <w:color w:val="auto"/>
          <w:szCs w:val="21"/>
        </w:rPr>
      </w:pPr>
      <w:r>
        <w:rPr>
          <w:rFonts w:hint="eastAsia"/>
          <w:b/>
          <w:color w:val="auto"/>
          <w:szCs w:val="21"/>
        </w:rPr>
        <w:t>目标2</w:t>
      </w:r>
      <w:r>
        <w:rPr>
          <w:b/>
          <w:color w:val="auto"/>
          <w:szCs w:val="21"/>
        </w:rPr>
        <w:t>.</w:t>
      </w:r>
      <w:r>
        <w:rPr>
          <w:rFonts w:hint="eastAsia"/>
          <w:color w:val="auto"/>
        </w:rPr>
        <w:t xml:space="preserve"> </w:t>
      </w:r>
      <w:r>
        <w:rPr>
          <w:rFonts w:hint="eastAsia"/>
          <w:bCs/>
          <w:color w:val="auto"/>
          <w:szCs w:val="21"/>
        </w:rPr>
        <w:t>了解判断、推理的逻辑特征和类型；理解概念的特征、种类、概念间的关系，三段论推理的规则，定义、划分的方法与规则；能正确地对概念进行概括与限制；会用欧拉图解表示概念间的关系、分析三段论的构成，掌握复合判断的逻辑特征、逻辑结构式及其逻辑简式、真值表、归纳推理与演绎推理，能在生活中的运用二难推理，会用推理解决问题。</w:t>
      </w:r>
    </w:p>
    <w:p w14:paraId="663B6A5D">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color w:val="auto"/>
          <w:szCs w:val="21"/>
        </w:rPr>
      </w:pPr>
      <w:r>
        <w:rPr>
          <w:rFonts w:hint="eastAsia"/>
          <w:b/>
          <w:color w:val="auto"/>
          <w:szCs w:val="21"/>
        </w:rPr>
        <w:t>目标3</w:t>
      </w:r>
      <w:r>
        <w:rPr>
          <w:rFonts w:hint="eastAsia"/>
          <w:b/>
          <w:color w:val="auto"/>
          <w:kern w:val="0"/>
          <w:szCs w:val="21"/>
        </w:rPr>
        <w:t>．</w:t>
      </w:r>
      <w:r>
        <w:rPr>
          <w:rFonts w:hint="eastAsia"/>
          <w:color w:val="auto"/>
          <w:szCs w:val="21"/>
        </w:rPr>
        <w:t>熟练掌握形式逻辑基本规律和论证的主要方法；能正确运用这些规律和方法解决现实问题。</w:t>
      </w:r>
    </w:p>
    <w:p w14:paraId="106C6ADF">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b/>
          <w:bCs/>
          <w:color w:val="auto"/>
          <w:szCs w:val="21"/>
        </w:rPr>
      </w:pPr>
      <w:r>
        <w:rPr>
          <w:rFonts w:hint="eastAsia"/>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B2A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A4CB4DF">
            <w:pPr>
              <w:spacing w:line="360" w:lineRule="auto"/>
              <w:jc w:val="center"/>
              <w:rPr>
                <w:b/>
                <w:bCs/>
                <w:color w:val="auto"/>
                <w:szCs w:val="21"/>
              </w:rPr>
            </w:pPr>
            <w:r>
              <w:rPr>
                <w:rFonts w:hint="eastAsia"/>
                <w:b/>
                <w:bCs/>
                <w:color w:val="auto"/>
                <w:szCs w:val="21"/>
              </w:rPr>
              <w:t>毕业要求</w:t>
            </w:r>
          </w:p>
        </w:tc>
        <w:tc>
          <w:tcPr>
            <w:tcW w:w="5688" w:type="dxa"/>
            <w:vAlign w:val="center"/>
          </w:tcPr>
          <w:p w14:paraId="5BC389E7">
            <w:pPr>
              <w:spacing w:line="360" w:lineRule="auto"/>
              <w:jc w:val="center"/>
              <w:rPr>
                <w:b/>
                <w:bCs/>
                <w:color w:val="auto"/>
                <w:szCs w:val="21"/>
              </w:rPr>
            </w:pPr>
            <w:r>
              <w:rPr>
                <w:rFonts w:hint="eastAsia"/>
                <w:b/>
                <w:bCs/>
                <w:color w:val="auto"/>
                <w:szCs w:val="21"/>
              </w:rPr>
              <w:t>毕业要求指标点</w:t>
            </w:r>
          </w:p>
        </w:tc>
        <w:tc>
          <w:tcPr>
            <w:tcW w:w="1191" w:type="dxa"/>
            <w:vAlign w:val="center"/>
          </w:tcPr>
          <w:p w14:paraId="778E5A47">
            <w:pPr>
              <w:spacing w:line="360" w:lineRule="auto"/>
              <w:jc w:val="center"/>
              <w:rPr>
                <w:b/>
                <w:bCs/>
                <w:color w:val="auto"/>
                <w:szCs w:val="21"/>
              </w:rPr>
            </w:pPr>
            <w:r>
              <w:rPr>
                <w:rFonts w:hint="eastAsia"/>
                <w:b/>
                <w:bCs/>
                <w:color w:val="auto"/>
                <w:szCs w:val="21"/>
              </w:rPr>
              <w:t>课程目标</w:t>
            </w:r>
          </w:p>
        </w:tc>
      </w:tr>
      <w:tr w14:paraId="00CE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E7A741E">
            <w:pPr>
              <w:spacing w:line="276" w:lineRule="auto"/>
              <w:jc w:val="left"/>
              <w:rPr>
                <w:b/>
                <w:bCs/>
                <w:color w:val="auto"/>
                <w:szCs w:val="21"/>
              </w:rPr>
            </w:pPr>
            <w:r>
              <w:rPr>
                <w:rFonts w:hint="eastAsia"/>
                <w:b/>
                <w:bCs/>
                <w:color w:val="auto"/>
                <w:szCs w:val="21"/>
              </w:rPr>
              <w:t>毕业要求3学科素养</w:t>
            </w:r>
          </w:p>
        </w:tc>
        <w:tc>
          <w:tcPr>
            <w:tcW w:w="5688" w:type="dxa"/>
            <w:vAlign w:val="center"/>
          </w:tcPr>
          <w:p w14:paraId="0AC56B48">
            <w:pPr>
              <w:spacing w:line="276" w:lineRule="auto"/>
              <w:jc w:val="left"/>
              <w:rPr>
                <w:rFonts w:hint="eastAsia" w:eastAsiaTheme="minorEastAsia"/>
                <w:b w:val="0"/>
                <w:bCs w:val="0"/>
                <w:color w:val="auto"/>
                <w:szCs w:val="21"/>
                <w:lang w:eastAsia="zh-CN"/>
              </w:rPr>
            </w:pPr>
            <w:r>
              <w:rPr>
                <w:rFonts w:hint="eastAsia" w:ascii="宋体" w:hAnsi="宋体"/>
                <w:b w:val="0"/>
                <w:bCs w:val="0"/>
                <w:color w:val="auto"/>
                <w:spacing w:val="2"/>
                <w:kern w:val="0"/>
                <w:szCs w:val="21"/>
                <w:lang w:eastAsia="zh-CN"/>
              </w:rPr>
              <w:t>指标点3-1：【通识知识广博】具有小学教育本科专业相应的自然科学和人文社会科学知识素养。</w:t>
            </w:r>
          </w:p>
        </w:tc>
        <w:tc>
          <w:tcPr>
            <w:tcW w:w="1191" w:type="dxa"/>
            <w:vAlign w:val="center"/>
          </w:tcPr>
          <w:p w14:paraId="52B16E77">
            <w:pPr>
              <w:spacing w:line="276" w:lineRule="auto"/>
              <w:jc w:val="left"/>
              <w:rPr>
                <w:color w:val="auto"/>
                <w:szCs w:val="21"/>
              </w:rPr>
            </w:pPr>
            <w:r>
              <w:rPr>
                <w:rFonts w:hint="eastAsia"/>
                <w:color w:val="auto"/>
                <w:szCs w:val="21"/>
              </w:rPr>
              <w:t>课程目标1</w:t>
            </w:r>
          </w:p>
          <w:p w14:paraId="7BE7A5BE">
            <w:pPr>
              <w:spacing w:line="276" w:lineRule="auto"/>
              <w:jc w:val="left"/>
              <w:rPr>
                <w:color w:val="auto"/>
                <w:szCs w:val="21"/>
              </w:rPr>
            </w:pPr>
            <w:r>
              <w:rPr>
                <w:rFonts w:hint="eastAsia"/>
                <w:color w:val="auto"/>
                <w:szCs w:val="21"/>
              </w:rPr>
              <w:t>课程目标2</w:t>
            </w:r>
          </w:p>
        </w:tc>
      </w:tr>
      <w:tr w14:paraId="04E2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67B2B1A">
            <w:pPr>
              <w:spacing w:line="276" w:lineRule="auto"/>
              <w:jc w:val="left"/>
              <w:rPr>
                <w:b/>
                <w:bCs/>
                <w:color w:val="auto"/>
                <w:szCs w:val="21"/>
              </w:rPr>
            </w:pPr>
            <w:r>
              <w:rPr>
                <w:rFonts w:hint="eastAsia"/>
                <w:b/>
                <w:bCs/>
                <w:color w:val="auto"/>
                <w:szCs w:val="21"/>
              </w:rPr>
              <w:t>毕业要求8沟通合作</w:t>
            </w:r>
          </w:p>
        </w:tc>
        <w:tc>
          <w:tcPr>
            <w:tcW w:w="5688" w:type="dxa"/>
            <w:vAlign w:val="center"/>
          </w:tcPr>
          <w:p w14:paraId="3E3136A6">
            <w:pPr>
              <w:spacing w:line="276" w:lineRule="auto"/>
              <w:jc w:val="left"/>
              <w:rPr>
                <w:rFonts w:hint="eastAsia" w:eastAsiaTheme="minorEastAsia"/>
                <w:b w:val="0"/>
                <w:bCs w:val="0"/>
                <w:color w:val="auto"/>
                <w:szCs w:val="21"/>
                <w:lang w:eastAsia="zh-CN"/>
              </w:rPr>
            </w:pPr>
            <w:r>
              <w:rPr>
                <w:rFonts w:hint="eastAsia"/>
                <w:b w:val="0"/>
                <w:bCs w:val="0"/>
                <w:color w:val="auto"/>
                <w:szCs w:val="21"/>
                <w:lang w:eastAsia="zh-CN"/>
              </w:rPr>
              <w:t>指标点8-2：【学会沟通交流】掌握人际沟通合作技能与方法，在教育教学实践中，能与学生和家长以及同行、同事、专家进行有效沟通与合作，实现共同发展。</w:t>
            </w:r>
          </w:p>
        </w:tc>
        <w:tc>
          <w:tcPr>
            <w:tcW w:w="1191" w:type="dxa"/>
            <w:vAlign w:val="center"/>
          </w:tcPr>
          <w:p w14:paraId="010A581B">
            <w:pPr>
              <w:spacing w:line="276" w:lineRule="auto"/>
              <w:jc w:val="left"/>
              <w:rPr>
                <w:color w:val="auto"/>
                <w:szCs w:val="21"/>
              </w:rPr>
            </w:pPr>
            <w:r>
              <w:rPr>
                <w:rFonts w:hint="eastAsia"/>
                <w:color w:val="auto"/>
                <w:szCs w:val="21"/>
              </w:rPr>
              <w:t>课程目标3</w:t>
            </w:r>
          </w:p>
        </w:tc>
      </w:tr>
    </w:tbl>
    <w:p w14:paraId="089B5D53">
      <w:pPr>
        <w:spacing w:before="156" w:beforeLines="50" w:line="360" w:lineRule="auto"/>
        <w:ind w:firstLine="422" w:firstLineChars="200"/>
        <w:jc w:val="left"/>
        <w:rPr>
          <w:rFonts w:hint="eastAsia" w:ascii="宋体" w:hAnsi="宋体"/>
          <w:b/>
          <w:color w:val="auto"/>
          <w:szCs w:val="21"/>
        </w:rPr>
      </w:pPr>
      <w:r>
        <w:rPr>
          <w:rFonts w:hint="eastAsia" w:ascii="宋体" w:hAnsi="宋体"/>
          <w:b/>
          <w:color w:val="auto"/>
          <w:szCs w:val="21"/>
        </w:rPr>
        <w:t>（三）课程思政目标</w:t>
      </w:r>
    </w:p>
    <w:p w14:paraId="4B57FBCC">
      <w:pPr>
        <w:spacing w:line="360" w:lineRule="auto"/>
        <w:ind w:firstLine="420" w:firstLineChars="200"/>
        <w:jc w:val="left"/>
        <w:rPr>
          <w:rFonts w:hint="eastAsia" w:ascii="宋体" w:hAnsi="宋体"/>
          <w:color w:val="auto"/>
          <w:szCs w:val="21"/>
        </w:rPr>
      </w:pPr>
      <w:r>
        <w:rPr>
          <w:rFonts w:hint="eastAsia" w:ascii="宋体" w:hAnsi="宋体"/>
          <w:color w:val="auto"/>
          <w:szCs w:val="21"/>
        </w:rPr>
        <w:t>促使学生基本养成科学思维的意识，提高学生对我国传统的逻辑学等传统文化的兴趣；通过例证渗透爱国主义思想，社会主义核心价值观，分析不当言论的逻辑错误，提高学生的判断能力，并通过辩论等形式提高学生解决问题的能力，学习理性思维，关注社会现象，提高批判思维能力。</w:t>
      </w:r>
    </w:p>
    <w:p w14:paraId="4C7DBE89">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BC7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F036D62">
            <w:pPr>
              <w:spacing w:line="240" w:lineRule="auto"/>
              <w:jc w:val="center"/>
              <w:rPr>
                <w:rFonts w:hint="eastAsia" w:ascii="宋体" w:hAnsi="宋体"/>
                <w:b/>
                <w:color w:val="auto"/>
                <w:sz w:val="21"/>
                <w:szCs w:val="21"/>
              </w:rPr>
            </w:pPr>
            <w:r>
              <w:rPr>
                <w:rFonts w:hint="eastAsia" w:ascii="宋体" w:hAnsi="宋体"/>
                <w:b/>
                <w:color w:val="auto"/>
                <w:sz w:val="21"/>
                <w:szCs w:val="21"/>
              </w:rPr>
              <w:t>知识</w:t>
            </w:r>
          </w:p>
          <w:p w14:paraId="1187F364">
            <w:pPr>
              <w:spacing w:line="240" w:lineRule="auto"/>
              <w:jc w:val="center"/>
              <w:rPr>
                <w:rFonts w:hint="eastAsia" w:ascii="宋体" w:hAnsi="宋体"/>
                <w:b/>
                <w:color w:val="auto"/>
                <w:sz w:val="21"/>
                <w:szCs w:val="21"/>
              </w:rPr>
            </w:pPr>
            <w:r>
              <w:rPr>
                <w:rFonts w:hint="eastAsia" w:ascii="宋体" w:hAnsi="宋体"/>
                <w:b/>
                <w:color w:val="auto"/>
                <w:sz w:val="21"/>
                <w:szCs w:val="21"/>
              </w:rPr>
              <w:t>单元</w:t>
            </w:r>
          </w:p>
        </w:tc>
        <w:tc>
          <w:tcPr>
            <w:tcW w:w="1701" w:type="dxa"/>
            <w:vAlign w:val="center"/>
          </w:tcPr>
          <w:p w14:paraId="2790EBF1">
            <w:pPr>
              <w:spacing w:line="240" w:lineRule="auto"/>
              <w:jc w:val="center"/>
              <w:rPr>
                <w:rFonts w:hint="eastAsia" w:ascii="宋体" w:hAnsi="宋体"/>
                <w:b/>
                <w:color w:val="auto"/>
                <w:sz w:val="21"/>
                <w:szCs w:val="21"/>
              </w:rPr>
            </w:pPr>
            <w:r>
              <w:rPr>
                <w:rFonts w:hint="eastAsia" w:ascii="宋体" w:hAnsi="宋体"/>
                <w:b/>
                <w:color w:val="auto"/>
                <w:sz w:val="21"/>
                <w:szCs w:val="21"/>
              </w:rPr>
              <w:t>知识点</w:t>
            </w:r>
          </w:p>
        </w:tc>
        <w:tc>
          <w:tcPr>
            <w:tcW w:w="1134" w:type="dxa"/>
            <w:vAlign w:val="center"/>
          </w:tcPr>
          <w:p w14:paraId="7DB84142">
            <w:pPr>
              <w:spacing w:line="240" w:lineRule="auto"/>
              <w:jc w:val="center"/>
              <w:rPr>
                <w:rFonts w:hint="eastAsia" w:ascii="宋体" w:hAnsi="宋体"/>
                <w:b/>
                <w:color w:val="auto"/>
                <w:sz w:val="21"/>
                <w:szCs w:val="21"/>
              </w:rPr>
            </w:pPr>
            <w:r>
              <w:rPr>
                <w:rFonts w:hint="eastAsia" w:ascii="宋体" w:hAnsi="宋体"/>
                <w:b/>
                <w:color w:val="auto"/>
                <w:sz w:val="21"/>
                <w:szCs w:val="21"/>
              </w:rPr>
              <w:t>对应</w:t>
            </w:r>
          </w:p>
          <w:p w14:paraId="20AC7079">
            <w:pPr>
              <w:spacing w:line="240" w:lineRule="auto"/>
              <w:jc w:val="center"/>
              <w:rPr>
                <w:rFonts w:hint="eastAsia" w:ascii="宋体" w:hAnsi="宋体"/>
                <w:b/>
                <w:color w:val="auto"/>
                <w:sz w:val="21"/>
                <w:szCs w:val="21"/>
              </w:rPr>
            </w:pPr>
            <w:r>
              <w:rPr>
                <w:rFonts w:hint="eastAsia" w:ascii="宋体" w:hAnsi="宋体"/>
                <w:b/>
                <w:color w:val="auto"/>
                <w:sz w:val="21"/>
                <w:szCs w:val="21"/>
              </w:rPr>
              <w:t>课程目标</w:t>
            </w:r>
          </w:p>
        </w:tc>
        <w:tc>
          <w:tcPr>
            <w:tcW w:w="3260" w:type="dxa"/>
            <w:vAlign w:val="center"/>
          </w:tcPr>
          <w:p w14:paraId="1263903A">
            <w:pPr>
              <w:spacing w:line="240" w:lineRule="auto"/>
              <w:jc w:val="center"/>
              <w:rPr>
                <w:rFonts w:hint="eastAsia" w:ascii="宋体" w:hAnsi="宋体"/>
                <w:b/>
                <w:color w:val="auto"/>
                <w:sz w:val="21"/>
                <w:szCs w:val="21"/>
              </w:rPr>
            </w:pPr>
            <w:r>
              <w:rPr>
                <w:rFonts w:hint="eastAsia" w:ascii="宋体" w:hAnsi="宋体"/>
                <w:b/>
                <w:color w:val="auto"/>
                <w:sz w:val="21"/>
                <w:szCs w:val="21"/>
              </w:rPr>
              <w:t>预期学习成效</w:t>
            </w:r>
          </w:p>
        </w:tc>
        <w:tc>
          <w:tcPr>
            <w:tcW w:w="1560" w:type="dxa"/>
            <w:vAlign w:val="center"/>
          </w:tcPr>
          <w:p w14:paraId="10A0B260">
            <w:pPr>
              <w:spacing w:line="240" w:lineRule="auto"/>
              <w:jc w:val="center"/>
              <w:rPr>
                <w:rFonts w:hint="eastAsia" w:ascii="宋体" w:hAnsi="宋体"/>
                <w:b/>
                <w:color w:val="auto"/>
                <w:sz w:val="21"/>
                <w:szCs w:val="21"/>
              </w:rPr>
            </w:pPr>
            <w:r>
              <w:rPr>
                <w:rFonts w:hint="eastAsia" w:ascii="宋体" w:hAnsi="宋体"/>
                <w:b/>
                <w:color w:val="auto"/>
                <w:sz w:val="21"/>
                <w:szCs w:val="21"/>
              </w:rPr>
              <w:t>实现环节</w:t>
            </w:r>
          </w:p>
        </w:tc>
        <w:tc>
          <w:tcPr>
            <w:tcW w:w="438" w:type="dxa"/>
            <w:vAlign w:val="center"/>
          </w:tcPr>
          <w:p w14:paraId="7FE7D447">
            <w:pPr>
              <w:spacing w:line="240" w:lineRule="auto"/>
              <w:jc w:val="center"/>
              <w:rPr>
                <w:rFonts w:hint="eastAsia" w:ascii="宋体" w:hAnsi="宋体"/>
                <w:b/>
                <w:color w:val="auto"/>
                <w:sz w:val="21"/>
                <w:szCs w:val="21"/>
              </w:rPr>
            </w:pPr>
            <w:r>
              <w:rPr>
                <w:rFonts w:hint="eastAsia" w:ascii="宋体" w:hAnsi="宋体"/>
                <w:b/>
                <w:color w:val="auto"/>
                <w:sz w:val="21"/>
                <w:szCs w:val="21"/>
              </w:rPr>
              <w:t>学时</w:t>
            </w:r>
          </w:p>
        </w:tc>
      </w:tr>
      <w:tr w14:paraId="07EF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61D0C75">
            <w:pPr>
              <w:spacing w:line="240" w:lineRule="auto"/>
              <w:jc w:val="center"/>
              <w:rPr>
                <w:rFonts w:hint="eastAsia" w:ascii="宋体" w:hAnsi="宋体"/>
                <w:color w:val="auto"/>
                <w:sz w:val="21"/>
                <w:szCs w:val="21"/>
              </w:rPr>
            </w:pPr>
            <w:r>
              <w:rPr>
                <w:rFonts w:hint="eastAsia" w:ascii="宋体" w:hAnsi="宋体"/>
                <w:color w:val="auto"/>
                <w:sz w:val="21"/>
                <w:szCs w:val="21"/>
              </w:rPr>
              <w:t>1. 绪论</w:t>
            </w:r>
          </w:p>
        </w:tc>
        <w:tc>
          <w:tcPr>
            <w:tcW w:w="1701" w:type="dxa"/>
            <w:vAlign w:val="center"/>
          </w:tcPr>
          <w:p w14:paraId="1373A35F">
            <w:pPr>
              <w:spacing w:line="240" w:lineRule="auto"/>
              <w:jc w:val="left"/>
              <w:rPr>
                <w:rFonts w:hint="eastAsia" w:ascii="宋体" w:hAnsi="宋体"/>
                <w:color w:val="auto"/>
                <w:sz w:val="21"/>
                <w:szCs w:val="21"/>
              </w:rPr>
            </w:pPr>
            <w:r>
              <w:rPr>
                <w:rFonts w:hint="eastAsia" w:ascii="宋体" w:hAnsi="宋体"/>
                <w:color w:val="auto"/>
                <w:sz w:val="21"/>
                <w:szCs w:val="21"/>
              </w:rPr>
              <w:t>1.形式逻辑的研究对象、性质和作用</w:t>
            </w:r>
          </w:p>
          <w:p w14:paraId="564F3632">
            <w:pPr>
              <w:spacing w:line="240" w:lineRule="auto"/>
              <w:jc w:val="left"/>
              <w:rPr>
                <w:rFonts w:hint="eastAsia" w:ascii="宋体" w:hAnsi="宋体"/>
                <w:color w:val="auto"/>
                <w:sz w:val="21"/>
                <w:szCs w:val="21"/>
              </w:rPr>
            </w:pPr>
            <w:r>
              <w:rPr>
                <w:rFonts w:hint="eastAsia" w:ascii="宋体" w:hAnsi="宋体"/>
                <w:color w:val="auto"/>
                <w:sz w:val="21"/>
                <w:szCs w:val="21"/>
              </w:rPr>
              <w:t>2.形式逻辑、数理逻辑和辩证逻辑三者间的关系</w:t>
            </w:r>
          </w:p>
        </w:tc>
        <w:tc>
          <w:tcPr>
            <w:tcW w:w="1134" w:type="dxa"/>
            <w:vAlign w:val="center"/>
          </w:tcPr>
          <w:p w14:paraId="37DF0F54">
            <w:pPr>
              <w:spacing w:line="240" w:lineRule="auto"/>
              <w:jc w:val="center"/>
              <w:rPr>
                <w:rFonts w:hint="eastAsia" w:ascii="宋体" w:hAnsi="宋体"/>
                <w:color w:val="auto"/>
                <w:sz w:val="21"/>
                <w:szCs w:val="21"/>
              </w:rPr>
            </w:pPr>
            <w:r>
              <w:rPr>
                <w:rFonts w:hint="eastAsia" w:ascii="宋体" w:hAnsi="宋体"/>
                <w:color w:val="auto"/>
                <w:sz w:val="21"/>
                <w:szCs w:val="21"/>
              </w:rPr>
              <w:t>课程目标1</w:t>
            </w:r>
          </w:p>
        </w:tc>
        <w:tc>
          <w:tcPr>
            <w:tcW w:w="3260" w:type="dxa"/>
            <w:vAlign w:val="center"/>
          </w:tcPr>
          <w:p w14:paraId="035BEA54">
            <w:pPr>
              <w:pStyle w:val="37"/>
              <w:numPr>
                <w:ilvl w:val="0"/>
                <w:numId w:val="0"/>
              </w:numPr>
              <w:spacing w:line="240" w:lineRule="auto"/>
              <w:ind w:leftChars="0"/>
              <w:jc w:val="left"/>
              <w:rPr>
                <w:rFonts w:hint="eastAsia" w:ascii="宋体" w:hAnsi="宋体"/>
                <w:color w:val="auto"/>
                <w:sz w:val="21"/>
                <w:szCs w:val="21"/>
              </w:rPr>
            </w:pPr>
            <w:r>
              <w:rPr>
                <w:rFonts w:hint="eastAsia" w:ascii="宋体" w:hAnsi="宋体"/>
                <w:color w:val="auto"/>
                <w:sz w:val="21"/>
                <w:szCs w:val="21"/>
                <w:lang w:val="en-US" w:eastAsia="zh-CN"/>
              </w:rPr>
              <w:t>1.</w:t>
            </w:r>
            <w:r>
              <w:rPr>
                <w:rFonts w:hint="eastAsia" w:ascii="宋体" w:hAnsi="宋体"/>
                <w:color w:val="auto"/>
                <w:sz w:val="21"/>
                <w:szCs w:val="21"/>
              </w:rPr>
              <w:t>掌握形式逻辑的研究对象</w:t>
            </w:r>
          </w:p>
          <w:p w14:paraId="78393FB3">
            <w:pPr>
              <w:pStyle w:val="37"/>
              <w:numPr>
                <w:ilvl w:val="0"/>
                <w:numId w:val="0"/>
              </w:numPr>
              <w:spacing w:line="240" w:lineRule="auto"/>
              <w:ind w:leftChars="0"/>
              <w:jc w:val="left"/>
              <w:rPr>
                <w:rFonts w:hint="eastAsia" w:ascii="宋体" w:hAnsi="宋体"/>
                <w:color w:val="auto"/>
                <w:sz w:val="21"/>
                <w:szCs w:val="21"/>
              </w:rPr>
            </w:pPr>
            <w:r>
              <w:rPr>
                <w:rFonts w:hint="eastAsia" w:ascii="宋体" w:hAnsi="宋体"/>
                <w:color w:val="auto"/>
                <w:sz w:val="21"/>
                <w:szCs w:val="21"/>
                <w:lang w:val="en-US" w:eastAsia="zh-CN"/>
              </w:rPr>
              <w:t>2.</w:t>
            </w:r>
            <w:r>
              <w:rPr>
                <w:rFonts w:hint="eastAsia" w:ascii="宋体" w:hAnsi="宋体"/>
                <w:color w:val="auto"/>
                <w:sz w:val="21"/>
                <w:szCs w:val="21"/>
              </w:rPr>
              <w:t>了解形式逻辑的性质、作用及其和数理逻辑、辩证逻辑的关系。</w:t>
            </w:r>
          </w:p>
        </w:tc>
        <w:tc>
          <w:tcPr>
            <w:tcW w:w="1560" w:type="dxa"/>
            <w:vAlign w:val="center"/>
          </w:tcPr>
          <w:p w14:paraId="474DB628">
            <w:pPr>
              <w:spacing w:line="240" w:lineRule="auto"/>
              <w:jc w:val="left"/>
              <w:rPr>
                <w:rFonts w:hint="eastAsia" w:ascii="宋体" w:hAnsi="宋体"/>
                <w:color w:val="auto"/>
                <w:sz w:val="21"/>
                <w:szCs w:val="21"/>
              </w:rPr>
            </w:pPr>
            <w:r>
              <w:rPr>
                <w:rFonts w:hint="eastAsia" w:ascii="宋体" w:hAnsi="宋体"/>
                <w:color w:val="auto"/>
                <w:sz w:val="21"/>
                <w:szCs w:val="21"/>
              </w:rPr>
              <w:t>1.线上学习</w:t>
            </w:r>
          </w:p>
          <w:p w14:paraId="0B51E763">
            <w:pPr>
              <w:spacing w:line="240" w:lineRule="auto"/>
              <w:jc w:val="left"/>
              <w:rPr>
                <w:rFonts w:hint="eastAsia" w:ascii="宋体" w:hAnsi="宋体"/>
                <w:color w:val="auto"/>
                <w:sz w:val="21"/>
                <w:szCs w:val="21"/>
              </w:rPr>
            </w:pPr>
            <w:r>
              <w:rPr>
                <w:rFonts w:hint="eastAsia" w:ascii="宋体" w:hAnsi="宋体"/>
                <w:color w:val="auto"/>
                <w:sz w:val="21"/>
                <w:szCs w:val="21"/>
              </w:rPr>
              <w:t>2.多媒体教学3.课堂讨论</w:t>
            </w:r>
          </w:p>
          <w:p w14:paraId="6026860C">
            <w:pPr>
              <w:spacing w:line="240" w:lineRule="auto"/>
              <w:jc w:val="left"/>
              <w:rPr>
                <w:rFonts w:hint="eastAsia" w:ascii="宋体" w:hAnsi="宋体"/>
                <w:color w:val="auto"/>
                <w:sz w:val="21"/>
                <w:szCs w:val="21"/>
              </w:rPr>
            </w:pPr>
            <w:r>
              <w:rPr>
                <w:rFonts w:hint="eastAsia" w:ascii="宋体" w:hAnsi="宋体"/>
                <w:color w:val="auto"/>
                <w:sz w:val="21"/>
                <w:szCs w:val="21"/>
              </w:rPr>
              <w:t>4.课内实践</w:t>
            </w:r>
          </w:p>
        </w:tc>
        <w:tc>
          <w:tcPr>
            <w:tcW w:w="438" w:type="dxa"/>
            <w:vAlign w:val="center"/>
          </w:tcPr>
          <w:p w14:paraId="40F16655">
            <w:pPr>
              <w:spacing w:line="240" w:lineRule="auto"/>
              <w:jc w:val="center"/>
              <w:rPr>
                <w:rFonts w:hint="eastAsia" w:ascii="宋体" w:hAnsi="宋体"/>
                <w:color w:val="auto"/>
                <w:sz w:val="21"/>
                <w:szCs w:val="21"/>
              </w:rPr>
            </w:pPr>
            <w:r>
              <w:rPr>
                <w:rFonts w:hint="eastAsia" w:ascii="宋体" w:hAnsi="宋体"/>
                <w:color w:val="auto"/>
                <w:sz w:val="21"/>
                <w:szCs w:val="21"/>
              </w:rPr>
              <w:t>2</w:t>
            </w:r>
          </w:p>
        </w:tc>
      </w:tr>
      <w:tr w14:paraId="6A26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E166976">
            <w:pPr>
              <w:spacing w:line="240" w:lineRule="auto"/>
              <w:jc w:val="center"/>
              <w:rPr>
                <w:rFonts w:hint="eastAsia" w:ascii="宋体" w:hAnsi="宋体"/>
                <w:color w:val="auto"/>
                <w:sz w:val="21"/>
                <w:szCs w:val="21"/>
              </w:rPr>
            </w:pPr>
          </w:p>
        </w:tc>
        <w:tc>
          <w:tcPr>
            <w:tcW w:w="8093" w:type="dxa"/>
            <w:gridSpan w:val="5"/>
            <w:vAlign w:val="center"/>
          </w:tcPr>
          <w:p w14:paraId="0CD889AB">
            <w:pPr>
              <w:spacing w:line="240" w:lineRule="auto"/>
              <w:jc w:val="left"/>
              <w:rPr>
                <w:rFonts w:hint="eastAsia" w:ascii="宋体" w:hAnsi="宋体"/>
                <w:color w:val="auto"/>
                <w:sz w:val="21"/>
                <w:szCs w:val="21"/>
              </w:rPr>
            </w:pPr>
            <w:r>
              <w:rPr>
                <w:rFonts w:hint="eastAsia" w:ascii="宋体" w:hAnsi="宋体"/>
                <w:b/>
                <w:color w:val="auto"/>
                <w:sz w:val="21"/>
                <w:szCs w:val="21"/>
              </w:rPr>
              <w:t>课程思政目标：</w:t>
            </w:r>
            <w:r>
              <w:rPr>
                <w:rFonts w:hint="eastAsia" w:ascii="宋体" w:hAnsi="宋体"/>
                <w:color w:val="auto"/>
                <w:sz w:val="21"/>
                <w:szCs w:val="21"/>
              </w:rPr>
              <w:t>养成科学思维的意识，提高学生对我国传统的逻辑学等传统文化的兴趣</w:t>
            </w:r>
          </w:p>
        </w:tc>
      </w:tr>
      <w:tr w14:paraId="0EE5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4F19B94">
            <w:pPr>
              <w:spacing w:line="240" w:lineRule="auto"/>
              <w:jc w:val="center"/>
              <w:rPr>
                <w:rFonts w:hint="eastAsia" w:ascii="宋体" w:hAnsi="宋体"/>
                <w:color w:val="auto"/>
                <w:sz w:val="21"/>
                <w:szCs w:val="21"/>
              </w:rPr>
            </w:pPr>
            <w:r>
              <w:rPr>
                <w:rFonts w:hint="eastAsia" w:ascii="宋体" w:hAnsi="宋体"/>
                <w:color w:val="auto"/>
                <w:sz w:val="21"/>
                <w:szCs w:val="21"/>
              </w:rPr>
              <w:t>2．概念</w:t>
            </w:r>
          </w:p>
        </w:tc>
        <w:tc>
          <w:tcPr>
            <w:tcW w:w="1701" w:type="dxa"/>
            <w:vAlign w:val="center"/>
          </w:tcPr>
          <w:p w14:paraId="53EA569B">
            <w:pPr>
              <w:spacing w:line="240" w:lineRule="auto"/>
              <w:jc w:val="left"/>
              <w:rPr>
                <w:rFonts w:hint="eastAsia" w:ascii="宋体" w:hAnsi="宋体"/>
                <w:color w:val="auto"/>
                <w:sz w:val="21"/>
                <w:szCs w:val="21"/>
              </w:rPr>
            </w:pPr>
            <w:r>
              <w:rPr>
                <w:rFonts w:hint="eastAsia" w:ascii="宋体" w:hAnsi="宋体"/>
                <w:color w:val="auto"/>
                <w:sz w:val="21"/>
                <w:szCs w:val="21"/>
              </w:rPr>
              <w:t>1.概念的内涵与外延</w:t>
            </w:r>
          </w:p>
          <w:p w14:paraId="600949FB">
            <w:pPr>
              <w:spacing w:line="240" w:lineRule="auto"/>
              <w:jc w:val="left"/>
              <w:rPr>
                <w:rFonts w:hint="eastAsia" w:ascii="宋体" w:hAnsi="宋体"/>
                <w:color w:val="auto"/>
                <w:sz w:val="21"/>
                <w:szCs w:val="21"/>
              </w:rPr>
            </w:pPr>
            <w:r>
              <w:rPr>
                <w:rFonts w:hint="eastAsia" w:ascii="宋体" w:hAnsi="宋体"/>
                <w:color w:val="auto"/>
                <w:sz w:val="21"/>
                <w:szCs w:val="21"/>
              </w:rPr>
              <w:t>2.概念的种类</w:t>
            </w:r>
          </w:p>
          <w:p w14:paraId="5F67FB92">
            <w:pPr>
              <w:spacing w:line="240" w:lineRule="auto"/>
              <w:jc w:val="left"/>
              <w:rPr>
                <w:rFonts w:hint="eastAsia" w:ascii="宋体" w:hAnsi="宋体"/>
                <w:color w:val="auto"/>
                <w:sz w:val="21"/>
                <w:szCs w:val="21"/>
              </w:rPr>
            </w:pPr>
            <w:r>
              <w:rPr>
                <w:rFonts w:hint="eastAsia" w:ascii="宋体" w:hAnsi="宋体"/>
                <w:color w:val="auto"/>
                <w:sz w:val="21"/>
                <w:szCs w:val="21"/>
              </w:rPr>
              <w:t>3.概念间的关系</w:t>
            </w:r>
          </w:p>
          <w:p w14:paraId="332B04A1">
            <w:pPr>
              <w:spacing w:line="240" w:lineRule="auto"/>
              <w:jc w:val="left"/>
              <w:rPr>
                <w:rFonts w:hint="eastAsia" w:ascii="宋体" w:hAnsi="宋体"/>
                <w:color w:val="auto"/>
                <w:sz w:val="21"/>
                <w:szCs w:val="21"/>
              </w:rPr>
            </w:pPr>
            <w:r>
              <w:rPr>
                <w:rFonts w:hint="eastAsia" w:ascii="宋体" w:hAnsi="宋体"/>
                <w:color w:val="auto"/>
                <w:sz w:val="21"/>
                <w:szCs w:val="21"/>
              </w:rPr>
              <w:t>4.定义</w:t>
            </w:r>
          </w:p>
          <w:p w14:paraId="145D603E">
            <w:pPr>
              <w:spacing w:line="240" w:lineRule="auto"/>
              <w:jc w:val="left"/>
              <w:rPr>
                <w:rFonts w:hint="eastAsia" w:ascii="宋体" w:hAnsi="宋体"/>
                <w:color w:val="auto"/>
                <w:sz w:val="21"/>
                <w:szCs w:val="21"/>
              </w:rPr>
            </w:pPr>
            <w:r>
              <w:rPr>
                <w:rFonts w:hint="eastAsia" w:ascii="宋体" w:hAnsi="宋体"/>
                <w:color w:val="auto"/>
                <w:sz w:val="21"/>
                <w:szCs w:val="21"/>
              </w:rPr>
              <w:t>5.划分</w:t>
            </w:r>
          </w:p>
          <w:p w14:paraId="5D41F680">
            <w:pPr>
              <w:spacing w:line="240" w:lineRule="auto"/>
              <w:jc w:val="left"/>
              <w:rPr>
                <w:rFonts w:hint="eastAsia" w:ascii="宋体" w:hAnsi="宋体"/>
                <w:color w:val="auto"/>
                <w:sz w:val="21"/>
                <w:szCs w:val="21"/>
              </w:rPr>
            </w:pPr>
            <w:r>
              <w:rPr>
                <w:rFonts w:hint="eastAsia" w:ascii="宋体" w:hAnsi="宋体"/>
                <w:color w:val="auto"/>
                <w:sz w:val="21"/>
                <w:szCs w:val="21"/>
              </w:rPr>
              <w:t>6.概括与限制</w:t>
            </w:r>
          </w:p>
        </w:tc>
        <w:tc>
          <w:tcPr>
            <w:tcW w:w="1134" w:type="dxa"/>
            <w:vAlign w:val="center"/>
          </w:tcPr>
          <w:p w14:paraId="469A6D62">
            <w:pPr>
              <w:spacing w:line="240" w:lineRule="auto"/>
              <w:jc w:val="center"/>
              <w:rPr>
                <w:rFonts w:hint="eastAsia" w:ascii="宋体" w:hAnsi="宋体"/>
                <w:color w:val="auto"/>
                <w:sz w:val="21"/>
                <w:szCs w:val="21"/>
              </w:rPr>
            </w:pPr>
            <w:r>
              <w:rPr>
                <w:rFonts w:hint="eastAsia" w:ascii="宋体" w:hAnsi="宋体"/>
                <w:color w:val="auto"/>
                <w:sz w:val="21"/>
                <w:szCs w:val="21"/>
              </w:rPr>
              <w:t>课程目标2</w:t>
            </w:r>
          </w:p>
        </w:tc>
        <w:tc>
          <w:tcPr>
            <w:tcW w:w="3260" w:type="dxa"/>
            <w:vAlign w:val="center"/>
          </w:tcPr>
          <w:p w14:paraId="2D631D1F">
            <w:pPr>
              <w:spacing w:line="240" w:lineRule="auto"/>
              <w:jc w:val="left"/>
              <w:rPr>
                <w:rFonts w:hint="eastAsia" w:ascii="宋体" w:hAnsi="宋体"/>
                <w:color w:val="auto"/>
                <w:sz w:val="21"/>
                <w:szCs w:val="21"/>
              </w:rPr>
            </w:pPr>
            <w:r>
              <w:rPr>
                <w:rFonts w:hint="eastAsia" w:ascii="宋体" w:hAnsi="宋体"/>
                <w:color w:val="auto"/>
                <w:sz w:val="21"/>
                <w:szCs w:val="21"/>
              </w:rPr>
              <w:t>1.理解概念的特征、种类、概念间的关系；</w:t>
            </w:r>
          </w:p>
          <w:p w14:paraId="4E6103E7">
            <w:pPr>
              <w:spacing w:line="240" w:lineRule="auto"/>
              <w:jc w:val="left"/>
              <w:rPr>
                <w:rFonts w:hint="eastAsia" w:ascii="宋体" w:hAnsi="宋体"/>
                <w:color w:val="auto"/>
                <w:sz w:val="21"/>
                <w:szCs w:val="21"/>
              </w:rPr>
            </w:pPr>
            <w:r>
              <w:rPr>
                <w:rFonts w:hint="eastAsia" w:ascii="宋体" w:hAnsi="宋体"/>
                <w:color w:val="auto"/>
                <w:sz w:val="21"/>
                <w:szCs w:val="21"/>
              </w:rPr>
              <w:t>2.掌握定义、划分的方法与规则；</w:t>
            </w:r>
          </w:p>
          <w:p w14:paraId="7ADFA65B">
            <w:pPr>
              <w:spacing w:line="240" w:lineRule="auto"/>
              <w:jc w:val="left"/>
              <w:rPr>
                <w:rFonts w:hint="eastAsia" w:ascii="宋体" w:hAnsi="宋体"/>
                <w:color w:val="auto"/>
                <w:sz w:val="21"/>
                <w:szCs w:val="21"/>
              </w:rPr>
            </w:pPr>
            <w:r>
              <w:rPr>
                <w:rFonts w:hint="eastAsia" w:ascii="宋体" w:hAnsi="宋体"/>
                <w:color w:val="auto"/>
                <w:sz w:val="21"/>
                <w:szCs w:val="21"/>
              </w:rPr>
              <w:t>3.能正确地对概念进行概括与限制；会用欧拉图解表示概念间的关系。</w:t>
            </w:r>
          </w:p>
        </w:tc>
        <w:tc>
          <w:tcPr>
            <w:tcW w:w="1560" w:type="dxa"/>
            <w:vAlign w:val="center"/>
          </w:tcPr>
          <w:p w14:paraId="70FDF168">
            <w:pPr>
              <w:spacing w:line="240" w:lineRule="auto"/>
              <w:jc w:val="left"/>
              <w:rPr>
                <w:rFonts w:hint="eastAsia" w:ascii="宋体" w:hAnsi="宋体"/>
                <w:color w:val="auto"/>
                <w:sz w:val="21"/>
                <w:szCs w:val="21"/>
              </w:rPr>
            </w:pPr>
            <w:r>
              <w:rPr>
                <w:rFonts w:hint="eastAsia" w:ascii="宋体" w:hAnsi="宋体"/>
                <w:color w:val="auto"/>
                <w:sz w:val="21"/>
                <w:szCs w:val="21"/>
              </w:rPr>
              <w:t>1.线上学习</w:t>
            </w:r>
          </w:p>
          <w:p w14:paraId="592328D4">
            <w:pPr>
              <w:spacing w:line="240" w:lineRule="auto"/>
              <w:jc w:val="left"/>
              <w:rPr>
                <w:rFonts w:hint="eastAsia" w:ascii="宋体" w:hAnsi="宋体"/>
                <w:color w:val="auto"/>
                <w:sz w:val="21"/>
                <w:szCs w:val="21"/>
              </w:rPr>
            </w:pPr>
            <w:r>
              <w:rPr>
                <w:rFonts w:hint="eastAsia" w:ascii="宋体" w:hAnsi="宋体"/>
                <w:color w:val="auto"/>
                <w:sz w:val="21"/>
                <w:szCs w:val="21"/>
              </w:rPr>
              <w:t>2.多媒体教学3.课堂讨论</w:t>
            </w:r>
          </w:p>
          <w:p w14:paraId="34E22535">
            <w:pPr>
              <w:spacing w:line="240" w:lineRule="auto"/>
              <w:jc w:val="left"/>
              <w:rPr>
                <w:rFonts w:hint="eastAsia" w:ascii="宋体" w:hAnsi="宋体"/>
                <w:color w:val="auto"/>
                <w:sz w:val="21"/>
                <w:szCs w:val="21"/>
              </w:rPr>
            </w:pPr>
            <w:r>
              <w:rPr>
                <w:rFonts w:hint="eastAsia" w:ascii="宋体" w:hAnsi="宋体"/>
                <w:color w:val="auto"/>
                <w:sz w:val="21"/>
                <w:szCs w:val="21"/>
              </w:rPr>
              <w:t>4.单元测验</w:t>
            </w:r>
          </w:p>
          <w:p w14:paraId="62BA3413">
            <w:pPr>
              <w:spacing w:line="240" w:lineRule="auto"/>
              <w:jc w:val="left"/>
              <w:rPr>
                <w:rFonts w:hint="eastAsia" w:ascii="宋体" w:hAnsi="宋体"/>
                <w:color w:val="auto"/>
                <w:sz w:val="21"/>
                <w:szCs w:val="21"/>
              </w:rPr>
            </w:pPr>
            <w:r>
              <w:rPr>
                <w:rFonts w:hint="eastAsia" w:ascii="宋体" w:hAnsi="宋体"/>
                <w:color w:val="auto"/>
                <w:sz w:val="21"/>
                <w:szCs w:val="21"/>
              </w:rPr>
              <w:t>5.课内实践</w:t>
            </w:r>
          </w:p>
        </w:tc>
        <w:tc>
          <w:tcPr>
            <w:tcW w:w="438" w:type="dxa"/>
            <w:vAlign w:val="center"/>
          </w:tcPr>
          <w:p w14:paraId="1C6CA43B">
            <w:pPr>
              <w:spacing w:line="240" w:lineRule="auto"/>
              <w:jc w:val="center"/>
              <w:rPr>
                <w:rFonts w:hint="eastAsia" w:ascii="宋体" w:hAnsi="宋体"/>
                <w:color w:val="auto"/>
                <w:sz w:val="21"/>
                <w:szCs w:val="21"/>
              </w:rPr>
            </w:pPr>
            <w:r>
              <w:rPr>
                <w:rFonts w:hint="eastAsia" w:ascii="宋体" w:hAnsi="宋体"/>
                <w:color w:val="auto"/>
                <w:sz w:val="21"/>
                <w:szCs w:val="21"/>
              </w:rPr>
              <w:t>6</w:t>
            </w:r>
          </w:p>
        </w:tc>
      </w:tr>
      <w:tr w14:paraId="3579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9A5A260">
            <w:pPr>
              <w:spacing w:line="240" w:lineRule="auto"/>
              <w:jc w:val="center"/>
              <w:rPr>
                <w:rFonts w:hint="eastAsia" w:ascii="宋体" w:hAnsi="宋体"/>
                <w:color w:val="auto"/>
                <w:sz w:val="21"/>
                <w:szCs w:val="21"/>
              </w:rPr>
            </w:pPr>
          </w:p>
        </w:tc>
        <w:tc>
          <w:tcPr>
            <w:tcW w:w="8093" w:type="dxa"/>
            <w:gridSpan w:val="5"/>
            <w:vAlign w:val="center"/>
          </w:tcPr>
          <w:p w14:paraId="325301CF">
            <w:pPr>
              <w:spacing w:line="240" w:lineRule="auto"/>
              <w:jc w:val="left"/>
              <w:rPr>
                <w:rFonts w:hint="eastAsia" w:ascii="宋体" w:hAnsi="宋体"/>
                <w:color w:val="auto"/>
                <w:sz w:val="21"/>
                <w:szCs w:val="21"/>
              </w:rPr>
            </w:pPr>
            <w:r>
              <w:rPr>
                <w:rFonts w:hint="eastAsia" w:ascii="宋体" w:hAnsi="宋体"/>
                <w:b/>
                <w:color w:val="auto"/>
                <w:sz w:val="21"/>
                <w:szCs w:val="21"/>
              </w:rPr>
              <w:t>课程思政目标：</w:t>
            </w:r>
            <w:r>
              <w:rPr>
                <w:rFonts w:hint="eastAsia" w:ascii="宋体" w:hAnsi="宋体"/>
                <w:color w:val="auto"/>
                <w:sz w:val="21"/>
                <w:szCs w:val="21"/>
              </w:rPr>
              <w:t>通过例证渗透爱国主义思想，社会主义核心价值观，分析不当言论的逻辑错误，提高学生的判断能力。</w:t>
            </w:r>
          </w:p>
        </w:tc>
      </w:tr>
      <w:tr w14:paraId="23C2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7A21611">
            <w:pPr>
              <w:spacing w:line="240" w:lineRule="auto"/>
              <w:jc w:val="center"/>
              <w:rPr>
                <w:rFonts w:hint="eastAsia" w:ascii="宋体" w:hAnsi="宋体"/>
                <w:color w:val="auto"/>
                <w:sz w:val="21"/>
                <w:szCs w:val="21"/>
              </w:rPr>
            </w:pPr>
            <w:r>
              <w:rPr>
                <w:rFonts w:hint="eastAsia" w:ascii="宋体" w:hAnsi="宋体"/>
                <w:color w:val="auto"/>
                <w:sz w:val="21"/>
                <w:szCs w:val="21"/>
              </w:rPr>
              <w:t>3.直言命题及其推理</w:t>
            </w:r>
          </w:p>
        </w:tc>
        <w:tc>
          <w:tcPr>
            <w:tcW w:w="1701" w:type="dxa"/>
            <w:vAlign w:val="center"/>
          </w:tcPr>
          <w:p w14:paraId="70353C9A">
            <w:pPr>
              <w:spacing w:line="240" w:lineRule="auto"/>
              <w:jc w:val="left"/>
              <w:rPr>
                <w:rFonts w:hint="eastAsia" w:ascii="宋体" w:hAnsi="宋体"/>
                <w:color w:val="auto"/>
                <w:sz w:val="21"/>
                <w:szCs w:val="21"/>
              </w:rPr>
            </w:pPr>
            <w:r>
              <w:rPr>
                <w:rFonts w:hint="eastAsia" w:ascii="宋体" w:hAnsi="宋体"/>
                <w:color w:val="auto"/>
                <w:sz w:val="21"/>
                <w:szCs w:val="21"/>
              </w:rPr>
              <w:t>1.命题的定义、表达与种类</w:t>
            </w:r>
          </w:p>
          <w:p w14:paraId="4562C326">
            <w:pPr>
              <w:spacing w:line="240" w:lineRule="auto"/>
              <w:jc w:val="left"/>
              <w:rPr>
                <w:rFonts w:hint="eastAsia" w:ascii="宋体" w:hAnsi="宋体"/>
                <w:color w:val="auto"/>
                <w:sz w:val="21"/>
                <w:szCs w:val="21"/>
              </w:rPr>
            </w:pPr>
            <w:r>
              <w:rPr>
                <w:rFonts w:hint="eastAsia" w:ascii="宋体" w:hAnsi="宋体"/>
                <w:color w:val="auto"/>
                <w:sz w:val="21"/>
                <w:szCs w:val="21"/>
              </w:rPr>
              <w:t>2.直言命题</w:t>
            </w:r>
          </w:p>
          <w:p w14:paraId="78E57586">
            <w:pPr>
              <w:spacing w:line="240" w:lineRule="auto"/>
              <w:jc w:val="left"/>
              <w:rPr>
                <w:rFonts w:hint="eastAsia" w:ascii="宋体" w:hAnsi="宋体"/>
                <w:color w:val="auto"/>
                <w:sz w:val="21"/>
                <w:szCs w:val="21"/>
              </w:rPr>
            </w:pPr>
            <w:r>
              <w:rPr>
                <w:rFonts w:hint="eastAsia" w:ascii="宋体" w:hAnsi="宋体"/>
                <w:color w:val="auto"/>
                <w:sz w:val="21"/>
                <w:szCs w:val="21"/>
              </w:rPr>
              <w:t xml:space="preserve">3.推理的定义、表达与种类 </w:t>
            </w:r>
          </w:p>
          <w:p w14:paraId="15DA8507">
            <w:pPr>
              <w:spacing w:line="240" w:lineRule="auto"/>
              <w:jc w:val="left"/>
              <w:rPr>
                <w:rFonts w:hint="eastAsia" w:ascii="宋体" w:hAnsi="宋体"/>
                <w:color w:val="auto"/>
                <w:sz w:val="21"/>
                <w:szCs w:val="21"/>
              </w:rPr>
            </w:pPr>
            <w:r>
              <w:rPr>
                <w:rFonts w:hint="eastAsia" w:ascii="宋体" w:hAnsi="宋体"/>
                <w:color w:val="auto"/>
                <w:sz w:val="21"/>
                <w:szCs w:val="21"/>
              </w:rPr>
              <w:t>4.直接推理</w:t>
            </w:r>
          </w:p>
          <w:p w14:paraId="7B2E0E05">
            <w:pPr>
              <w:spacing w:line="240" w:lineRule="auto"/>
              <w:jc w:val="left"/>
              <w:rPr>
                <w:rFonts w:hint="eastAsia" w:ascii="宋体" w:hAnsi="宋体"/>
                <w:color w:val="auto"/>
                <w:sz w:val="21"/>
                <w:szCs w:val="21"/>
              </w:rPr>
            </w:pPr>
            <w:r>
              <w:rPr>
                <w:rFonts w:hint="eastAsia" w:ascii="宋体" w:hAnsi="宋体"/>
                <w:color w:val="auto"/>
                <w:sz w:val="21"/>
                <w:szCs w:val="21"/>
              </w:rPr>
              <w:t>5.三段论</w:t>
            </w:r>
          </w:p>
        </w:tc>
        <w:tc>
          <w:tcPr>
            <w:tcW w:w="1134" w:type="dxa"/>
            <w:vAlign w:val="center"/>
          </w:tcPr>
          <w:p w14:paraId="30DCC3AA">
            <w:pPr>
              <w:spacing w:line="240" w:lineRule="auto"/>
              <w:jc w:val="center"/>
              <w:rPr>
                <w:rFonts w:hint="eastAsia" w:ascii="宋体" w:hAnsi="宋体"/>
                <w:color w:val="auto"/>
                <w:sz w:val="21"/>
                <w:szCs w:val="21"/>
              </w:rPr>
            </w:pPr>
            <w:r>
              <w:rPr>
                <w:rFonts w:hint="eastAsia" w:ascii="宋体" w:hAnsi="宋体"/>
                <w:color w:val="auto"/>
                <w:sz w:val="21"/>
                <w:szCs w:val="21"/>
              </w:rPr>
              <w:t>课程目标2、3</w:t>
            </w:r>
          </w:p>
        </w:tc>
        <w:tc>
          <w:tcPr>
            <w:tcW w:w="3260" w:type="dxa"/>
            <w:vAlign w:val="center"/>
          </w:tcPr>
          <w:p w14:paraId="204B0F53">
            <w:pPr>
              <w:spacing w:line="240" w:lineRule="auto"/>
              <w:jc w:val="left"/>
              <w:rPr>
                <w:rFonts w:hint="eastAsia" w:ascii="宋体" w:hAnsi="宋体"/>
                <w:color w:val="auto"/>
                <w:sz w:val="21"/>
                <w:szCs w:val="21"/>
              </w:rPr>
            </w:pPr>
            <w:r>
              <w:rPr>
                <w:rFonts w:hint="eastAsia" w:ascii="宋体" w:hAnsi="宋体"/>
                <w:color w:val="auto"/>
                <w:sz w:val="21"/>
                <w:szCs w:val="21"/>
              </w:rPr>
              <w:t>1.了解判断、推理的逻辑特征和类型，常见直言命题及其推理；</w:t>
            </w:r>
          </w:p>
          <w:p w14:paraId="7A97B053">
            <w:pPr>
              <w:spacing w:line="240" w:lineRule="auto"/>
              <w:jc w:val="left"/>
              <w:rPr>
                <w:rFonts w:hint="eastAsia" w:ascii="宋体" w:hAnsi="宋体"/>
                <w:color w:val="auto"/>
                <w:sz w:val="21"/>
                <w:szCs w:val="21"/>
              </w:rPr>
            </w:pPr>
            <w:r>
              <w:rPr>
                <w:rFonts w:hint="eastAsia" w:ascii="宋体" w:hAnsi="宋体"/>
                <w:color w:val="auto"/>
                <w:sz w:val="21"/>
                <w:szCs w:val="21"/>
              </w:rPr>
              <w:t>2.掌握直言命题的种类，性质相同的A、E、I、O四种直言命题间的对当关系，直言命题构成的直接推理。</w:t>
            </w:r>
          </w:p>
          <w:p w14:paraId="285463CE">
            <w:pPr>
              <w:spacing w:line="240" w:lineRule="auto"/>
              <w:jc w:val="left"/>
              <w:rPr>
                <w:rFonts w:hint="eastAsia" w:ascii="宋体" w:hAnsi="宋体"/>
                <w:color w:val="auto"/>
                <w:sz w:val="21"/>
                <w:szCs w:val="21"/>
              </w:rPr>
            </w:pPr>
            <w:r>
              <w:rPr>
                <w:rFonts w:hint="eastAsia" w:ascii="宋体" w:hAnsi="宋体"/>
                <w:color w:val="auto"/>
                <w:sz w:val="21"/>
                <w:szCs w:val="21"/>
              </w:rPr>
              <w:t>3.掌握三段论推理的规则及省略三段论的补充；会分析三段论的构成。</w:t>
            </w:r>
          </w:p>
        </w:tc>
        <w:tc>
          <w:tcPr>
            <w:tcW w:w="1560" w:type="dxa"/>
            <w:vAlign w:val="center"/>
          </w:tcPr>
          <w:p w14:paraId="48858EDB">
            <w:pPr>
              <w:spacing w:line="240" w:lineRule="auto"/>
              <w:jc w:val="left"/>
              <w:rPr>
                <w:rFonts w:hint="eastAsia" w:ascii="宋体" w:hAnsi="宋体"/>
                <w:color w:val="auto"/>
                <w:sz w:val="21"/>
                <w:szCs w:val="21"/>
              </w:rPr>
            </w:pPr>
            <w:r>
              <w:rPr>
                <w:rFonts w:ascii="宋体" w:hAnsi="宋体"/>
                <w:color w:val="auto"/>
                <w:sz w:val="21"/>
                <w:szCs w:val="21"/>
              </w:rPr>
              <w:t>1.线上学习</w:t>
            </w:r>
          </w:p>
          <w:p w14:paraId="46C64A2A">
            <w:pPr>
              <w:spacing w:line="240" w:lineRule="auto"/>
              <w:jc w:val="left"/>
              <w:rPr>
                <w:rFonts w:hint="eastAsia" w:ascii="宋体" w:hAnsi="宋体"/>
                <w:color w:val="auto"/>
                <w:sz w:val="21"/>
                <w:szCs w:val="21"/>
              </w:rPr>
            </w:pPr>
            <w:r>
              <w:rPr>
                <w:rFonts w:ascii="宋体" w:hAnsi="宋体"/>
                <w:color w:val="auto"/>
                <w:sz w:val="21"/>
                <w:szCs w:val="21"/>
              </w:rPr>
              <w:t>2.多媒体教学3.课堂讨论</w:t>
            </w:r>
          </w:p>
          <w:p w14:paraId="40180899">
            <w:pPr>
              <w:spacing w:line="240" w:lineRule="auto"/>
              <w:jc w:val="left"/>
              <w:rPr>
                <w:rFonts w:hint="eastAsia" w:ascii="宋体" w:hAnsi="宋体"/>
                <w:color w:val="auto"/>
                <w:sz w:val="21"/>
                <w:szCs w:val="21"/>
              </w:rPr>
            </w:pPr>
            <w:r>
              <w:rPr>
                <w:rFonts w:ascii="宋体" w:hAnsi="宋体"/>
                <w:color w:val="auto"/>
                <w:sz w:val="21"/>
                <w:szCs w:val="21"/>
              </w:rPr>
              <w:t>4.单元测验</w:t>
            </w:r>
          </w:p>
          <w:p w14:paraId="750E992A">
            <w:pPr>
              <w:spacing w:line="240" w:lineRule="auto"/>
              <w:jc w:val="left"/>
              <w:rPr>
                <w:rFonts w:hint="eastAsia" w:ascii="宋体" w:hAnsi="宋体"/>
                <w:color w:val="auto"/>
                <w:sz w:val="21"/>
                <w:szCs w:val="21"/>
              </w:rPr>
            </w:pPr>
            <w:r>
              <w:rPr>
                <w:rFonts w:hint="eastAsia" w:ascii="宋体" w:hAnsi="宋体"/>
                <w:color w:val="auto"/>
                <w:sz w:val="21"/>
                <w:szCs w:val="21"/>
              </w:rPr>
              <w:t>5.课内实践</w:t>
            </w:r>
          </w:p>
        </w:tc>
        <w:tc>
          <w:tcPr>
            <w:tcW w:w="438" w:type="dxa"/>
            <w:vAlign w:val="center"/>
          </w:tcPr>
          <w:p w14:paraId="4C16DA51">
            <w:pPr>
              <w:spacing w:line="240" w:lineRule="auto"/>
              <w:jc w:val="center"/>
              <w:rPr>
                <w:rFonts w:hint="eastAsia" w:ascii="宋体" w:hAnsi="宋体"/>
                <w:color w:val="auto"/>
                <w:sz w:val="21"/>
                <w:szCs w:val="21"/>
              </w:rPr>
            </w:pPr>
            <w:r>
              <w:rPr>
                <w:rFonts w:hint="eastAsia" w:ascii="宋体" w:hAnsi="宋体"/>
                <w:color w:val="auto"/>
                <w:sz w:val="21"/>
                <w:szCs w:val="21"/>
              </w:rPr>
              <w:t>4</w:t>
            </w:r>
          </w:p>
        </w:tc>
      </w:tr>
      <w:tr w14:paraId="30D8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B00DC5B">
            <w:pPr>
              <w:spacing w:line="240" w:lineRule="auto"/>
              <w:jc w:val="center"/>
              <w:rPr>
                <w:rFonts w:hint="eastAsia" w:ascii="宋体" w:hAnsi="宋体"/>
                <w:color w:val="auto"/>
                <w:sz w:val="21"/>
                <w:szCs w:val="21"/>
              </w:rPr>
            </w:pPr>
          </w:p>
        </w:tc>
        <w:tc>
          <w:tcPr>
            <w:tcW w:w="8093" w:type="dxa"/>
            <w:gridSpan w:val="5"/>
            <w:vAlign w:val="center"/>
          </w:tcPr>
          <w:p w14:paraId="1B12872C">
            <w:pPr>
              <w:spacing w:line="240" w:lineRule="auto"/>
              <w:jc w:val="left"/>
              <w:rPr>
                <w:rFonts w:hint="eastAsia" w:ascii="宋体" w:hAnsi="宋体"/>
                <w:color w:val="auto"/>
                <w:sz w:val="21"/>
                <w:szCs w:val="21"/>
              </w:rPr>
            </w:pPr>
            <w:r>
              <w:rPr>
                <w:rFonts w:hint="eastAsia" w:ascii="宋体" w:hAnsi="宋体"/>
                <w:b/>
                <w:color w:val="auto"/>
                <w:sz w:val="21"/>
                <w:szCs w:val="21"/>
              </w:rPr>
              <w:t>课程思政目标：</w:t>
            </w:r>
            <w:r>
              <w:rPr>
                <w:rFonts w:hint="eastAsia" w:ascii="宋体" w:hAnsi="宋体"/>
                <w:color w:val="auto"/>
                <w:sz w:val="21"/>
                <w:szCs w:val="21"/>
              </w:rPr>
              <w:t>通过例证渗透爱国主义思想，社会主义核心价值观，分析不当言论的逻辑错误，提高学生的判断能力，并通过辩论等形式提高学生解决问题的能力，学习理性思维，关注社会现象，提高批判思维能力。</w:t>
            </w:r>
          </w:p>
        </w:tc>
      </w:tr>
      <w:tr w14:paraId="1A5D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776B328">
            <w:pPr>
              <w:spacing w:line="240" w:lineRule="auto"/>
              <w:jc w:val="center"/>
              <w:rPr>
                <w:rFonts w:hint="eastAsia" w:ascii="宋体" w:hAnsi="宋体"/>
                <w:color w:val="auto"/>
                <w:sz w:val="21"/>
                <w:szCs w:val="21"/>
              </w:rPr>
            </w:pPr>
            <w:r>
              <w:rPr>
                <w:rFonts w:hint="eastAsia" w:ascii="宋体" w:hAnsi="宋体"/>
                <w:color w:val="auto"/>
                <w:sz w:val="21"/>
                <w:szCs w:val="21"/>
              </w:rPr>
              <w:t>4. 复合命题及其推理</w:t>
            </w:r>
          </w:p>
        </w:tc>
        <w:tc>
          <w:tcPr>
            <w:tcW w:w="1701" w:type="dxa"/>
            <w:vAlign w:val="center"/>
          </w:tcPr>
          <w:p w14:paraId="1FC3F3E7">
            <w:pPr>
              <w:spacing w:line="240" w:lineRule="auto"/>
              <w:jc w:val="left"/>
              <w:rPr>
                <w:rFonts w:hint="eastAsia" w:ascii="宋体" w:hAnsi="宋体"/>
                <w:color w:val="auto"/>
                <w:sz w:val="21"/>
                <w:szCs w:val="21"/>
              </w:rPr>
            </w:pPr>
            <w:r>
              <w:rPr>
                <w:rFonts w:hint="eastAsia" w:ascii="宋体" w:hAnsi="宋体"/>
                <w:color w:val="auto"/>
                <w:sz w:val="21"/>
                <w:szCs w:val="21"/>
              </w:rPr>
              <w:t>1.联言判断及其推理</w:t>
            </w:r>
          </w:p>
          <w:p w14:paraId="3B70ADD3">
            <w:pPr>
              <w:spacing w:line="240" w:lineRule="auto"/>
              <w:jc w:val="left"/>
              <w:rPr>
                <w:rFonts w:hint="eastAsia" w:ascii="宋体" w:hAnsi="宋体"/>
                <w:color w:val="auto"/>
                <w:sz w:val="21"/>
                <w:szCs w:val="21"/>
              </w:rPr>
            </w:pPr>
            <w:r>
              <w:rPr>
                <w:rFonts w:hint="eastAsia" w:ascii="宋体" w:hAnsi="宋体"/>
                <w:color w:val="auto"/>
                <w:sz w:val="21"/>
                <w:szCs w:val="21"/>
              </w:rPr>
              <w:t>2.选言判断及其推理</w:t>
            </w:r>
          </w:p>
          <w:p w14:paraId="6CC94760">
            <w:pPr>
              <w:spacing w:line="240" w:lineRule="auto"/>
              <w:jc w:val="left"/>
              <w:rPr>
                <w:rFonts w:hint="eastAsia" w:ascii="宋体" w:hAnsi="宋体"/>
                <w:color w:val="auto"/>
                <w:sz w:val="21"/>
                <w:szCs w:val="21"/>
              </w:rPr>
            </w:pPr>
            <w:r>
              <w:rPr>
                <w:rFonts w:hint="eastAsia" w:ascii="宋体" w:hAnsi="宋体"/>
                <w:color w:val="auto"/>
                <w:sz w:val="21"/>
                <w:szCs w:val="21"/>
              </w:rPr>
              <w:t>3.假言判断及其推理</w:t>
            </w:r>
          </w:p>
          <w:p w14:paraId="00C411E9">
            <w:pPr>
              <w:spacing w:line="240" w:lineRule="auto"/>
              <w:jc w:val="left"/>
              <w:rPr>
                <w:rFonts w:hint="eastAsia" w:ascii="宋体" w:hAnsi="宋体"/>
                <w:color w:val="auto"/>
                <w:sz w:val="21"/>
                <w:szCs w:val="21"/>
              </w:rPr>
            </w:pPr>
            <w:r>
              <w:rPr>
                <w:rFonts w:hint="eastAsia" w:ascii="宋体" w:hAnsi="宋体"/>
                <w:color w:val="auto"/>
                <w:sz w:val="21"/>
                <w:szCs w:val="21"/>
              </w:rPr>
              <w:t>4.负判断及其推理</w:t>
            </w:r>
          </w:p>
          <w:p w14:paraId="7CEFB7A3">
            <w:pPr>
              <w:spacing w:line="240" w:lineRule="auto"/>
              <w:jc w:val="left"/>
              <w:rPr>
                <w:rFonts w:hint="eastAsia" w:ascii="宋体" w:hAnsi="宋体"/>
                <w:color w:val="auto"/>
                <w:sz w:val="21"/>
                <w:szCs w:val="21"/>
              </w:rPr>
            </w:pPr>
            <w:r>
              <w:rPr>
                <w:rFonts w:hint="eastAsia" w:ascii="宋体" w:hAnsi="宋体"/>
                <w:color w:val="auto"/>
                <w:sz w:val="21"/>
                <w:szCs w:val="21"/>
              </w:rPr>
              <w:t>5.真值表的判定作用</w:t>
            </w:r>
          </w:p>
          <w:p w14:paraId="1364D790">
            <w:pPr>
              <w:spacing w:line="240" w:lineRule="auto"/>
              <w:jc w:val="left"/>
              <w:rPr>
                <w:rFonts w:hint="eastAsia" w:ascii="宋体" w:hAnsi="宋体"/>
                <w:color w:val="auto"/>
                <w:sz w:val="21"/>
                <w:szCs w:val="21"/>
              </w:rPr>
            </w:pPr>
            <w:r>
              <w:rPr>
                <w:rFonts w:hint="eastAsia" w:ascii="宋体" w:hAnsi="宋体"/>
                <w:color w:val="auto"/>
                <w:sz w:val="21"/>
                <w:szCs w:val="21"/>
              </w:rPr>
              <w:t>6.二难推理</w:t>
            </w:r>
          </w:p>
        </w:tc>
        <w:tc>
          <w:tcPr>
            <w:tcW w:w="1134" w:type="dxa"/>
            <w:vAlign w:val="center"/>
          </w:tcPr>
          <w:p w14:paraId="1EAE6B2F">
            <w:pPr>
              <w:spacing w:line="240" w:lineRule="auto"/>
              <w:jc w:val="center"/>
              <w:rPr>
                <w:rFonts w:hint="eastAsia" w:ascii="宋体" w:hAnsi="宋体"/>
                <w:color w:val="auto"/>
                <w:sz w:val="21"/>
                <w:szCs w:val="21"/>
              </w:rPr>
            </w:pPr>
            <w:r>
              <w:rPr>
                <w:rFonts w:hint="eastAsia" w:ascii="宋体" w:hAnsi="宋体"/>
                <w:color w:val="auto"/>
                <w:sz w:val="21"/>
                <w:szCs w:val="21"/>
              </w:rPr>
              <w:t>课程目标1、2、3</w:t>
            </w:r>
          </w:p>
        </w:tc>
        <w:tc>
          <w:tcPr>
            <w:tcW w:w="3260" w:type="dxa"/>
            <w:vAlign w:val="center"/>
          </w:tcPr>
          <w:p w14:paraId="2452A292">
            <w:pPr>
              <w:spacing w:line="240" w:lineRule="auto"/>
              <w:jc w:val="left"/>
              <w:rPr>
                <w:rFonts w:hint="eastAsia" w:ascii="宋体" w:hAnsi="宋体"/>
                <w:color w:val="auto"/>
                <w:sz w:val="21"/>
                <w:szCs w:val="21"/>
              </w:rPr>
            </w:pPr>
            <w:r>
              <w:rPr>
                <w:rFonts w:hint="eastAsia" w:ascii="宋体" w:hAnsi="宋体"/>
                <w:color w:val="auto"/>
                <w:sz w:val="21"/>
                <w:szCs w:val="21"/>
              </w:rPr>
              <w:t>1.了解负命题及其等值命题；掌握三种复合命题的逻辑特征、逻辑结构式及其逻辑简式、真值表。</w:t>
            </w:r>
          </w:p>
          <w:p w14:paraId="1133933C">
            <w:pPr>
              <w:spacing w:line="240" w:lineRule="auto"/>
              <w:jc w:val="left"/>
              <w:rPr>
                <w:rFonts w:hint="eastAsia" w:ascii="宋体" w:hAnsi="宋体"/>
                <w:color w:val="auto"/>
                <w:sz w:val="21"/>
                <w:szCs w:val="21"/>
              </w:rPr>
            </w:pPr>
            <w:r>
              <w:rPr>
                <w:rFonts w:hint="eastAsia" w:ascii="宋体" w:hAnsi="宋体"/>
                <w:color w:val="auto"/>
                <w:sz w:val="21"/>
                <w:szCs w:val="21"/>
              </w:rPr>
              <w:t>2.学会运用三种复合推理的方法。</w:t>
            </w:r>
          </w:p>
          <w:p w14:paraId="02A41042">
            <w:pPr>
              <w:spacing w:line="240" w:lineRule="auto"/>
              <w:jc w:val="left"/>
              <w:rPr>
                <w:rFonts w:hint="eastAsia" w:ascii="宋体" w:hAnsi="宋体"/>
                <w:color w:val="auto"/>
                <w:sz w:val="21"/>
                <w:szCs w:val="21"/>
              </w:rPr>
            </w:pPr>
            <w:r>
              <w:rPr>
                <w:rFonts w:hint="eastAsia" w:ascii="宋体" w:hAnsi="宋体"/>
                <w:color w:val="auto"/>
                <w:sz w:val="21"/>
                <w:szCs w:val="21"/>
              </w:rPr>
              <w:t>3.把握真值表的两种判定作用；能在生活中的运用二难推理。</w:t>
            </w:r>
          </w:p>
        </w:tc>
        <w:tc>
          <w:tcPr>
            <w:tcW w:w="1560" w:type="dxa"/>
            <w:vAlign w:val="center"/>
          </w:tcPr>
          <w:p w14:paraId="6B1074F0">
            <w:pPr>
              <w:spacing w:line="240" w:lineRule="auto"/>
              <w:jc w:val="left"/>
              <w:rPr>
                <w:rFonts w:hint="eastAsia" w:ascii="宋体" w:hAnsi="宋体"/>
                <w:color w:val="auto"/>
                <w:sz w:val="21"/>
                <w:szCs w:val="21"/>
              </w:rPr>
            </w:pPr>
            <w:r>
              <w:rPr>
                <w:rFonts w:ascii="宋体" w:hAnsi="宋体"/>
                <w:color w:val="auto"/>
                <w:sz w:val="21"/>
                <w:szCs w:val="21"/>
              </w:rPr>
              <w:t>1.线上学习</w:t>
            </w:r>
          </w:p>
          <w:p w14:paraId="71630789">
            <w:pPr>
              <w:spacing w:line="240" w:lineRule="auto"/>
              <w:jc w:val="left"/>
              <w:rPr>
                <w:rFonts w:hint="eastAsia" w:ascii="宋体" w:hAnsi="宋体"/>
                <w:color w:val="auto"/>
                <w:sz w:val="21"/>
                <w:szCs w:val="21"/>
              </w:rPr>
            </w:pPr>
            <w:r>
              <w:rPr>
                <w:rFonts w:ascii="宋体" w:hAnsi="宋体"/>
                <w:color w:val="auto"/>
                <w:sz w:val="21"/>
                <w:szCs w:val="21"/>
              </w:rPr>
              <w:t>2.多媒体教学3.课堂讨论</w:t>
            </w:r>
          </w:p>
          <w:p w14:paraId="7F24F659">
            <w:pPr>
              <w:spacing w:line="240" w:lineRule="auto"/>
              <w:jc w:val="left"/>
              <w:rPr>
                <w:rFonts w:hint="eastAsia" w:ascii="宋体" w:hAnsi="宋体"/>
                <w:color w:val="auto"/>
                <w:sz w:val="21"/>
                <w:szCs w:val="21"/>
              </w:rPr>
            </w:pPr>
            <w:r>
              <w:rPr>
                <w:rFonts w:ascii="宋体" w:hAnsi="宋体"/>
                <w:color w:val="auto"/>
                <w:sz w:val="21"/>
                <w:szCs w:val="21"/>
              </w:rPr>
              <w:t>4.单元测验</w:t>
            </w:r>
          </w:p>
          <w:p w14:paraId="480B9D9B">
            <w:pPr>
              <w:spacing w:line="240" w:lineRule="auto"/>
              <w:jc w:val="left"/>
              <w:rPr>
                <w:rFonts w:hint="eastAsia" w:ascii="宋体" w:hAnsi="宋体"/>
                <w:color w:val="auto"/>
                <w:sz w:val="21"/>
                <w:szCs w:val="21"/>
              </w:rPr>
            </w:pPr>
            <w:r>
              <w:rPr>
                <w:rFonts w:hint="eastAsia" w:ascii="宋体" w:hAnsi="宋体"/>
                <w:color w:val="auto"/>
                <w:sz w:val="21"/>
                <w:szCs w:val="21"/>
              </w:rPr>
              <w:t>5.课内实践</w:t>
            </w:r>
          </w:p>
        </w:tc>
        <w:tc>
          <w:tcPr>
            <w:tcW w:w="438" w:type="dxa"/>
            <w:vAlign w:val="center"/>
          </w:tcPr>
          <w:p w14:paraId="00AA2518">
            <w:pPr>
              <w:spacing w:line="240" w:lineRule="auto"/>
              <w:jc w:val="center"/>
              <w:rPr>
                <w:rFonts w:hint="eastAsia" w:ascii="宋体" w:hAnsi="宋体"/>
                <w:color w:val="auto"/>
                <w:sz w:val="21"/>
                <w:szCs w:val="21"/>
              </w:rPr>
            </w:pPr>
            <w:r>
              <w:rPr>
                <w:rFonts w:hint="eastAsia" w:ascii="宋体" w:hAnsi="宋体"/>
                <w:color w:val="auto"/>
                <w:sz w:val="21"/>
                <w:szCs w:val="21"/>
              </w:rPr>
              <w:t>4</w:t>
            </w:r>
          </w:p>
        </w:tc>
      </w:tr>
      <w:tr w14:paraId="2502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96C5620">
            <w:pPr>
              <w:spacing w:line="240" w:lineRule="auto"/>
              <w:jc w:val="center"/>
              <w:rPr>
                <w:rFonts w:hint="eastAsia" w:ascii="宋体" w:hAnsi="宋体"/>
                <w:color w:val="auto"/>
                <w:sz w:val="21"/>
                <w:szCs w:val="21"/>
              </w:rPr>
            </w:pPr>
          </w:p>
        </w:tc>
        <w:tc>
          <w:tcPr>
            <w:tcW w:w="8093" w:type="dxa"/>
            <w:gridSpan w:val="5"/>
            <w:vAlign w:val="center"/>
          </w:tcPr>
          <w:p w14:paraId="6C30BE56">
            <w:pPr>
              <w:spacing w:line="240" w:lineRule="auto"/>
              <w:jc w:val="left"/>
              <w:rPr>
                <w:rFonts w:hint="eastAsia" w:ascii="宋体" w:hAnsi="宋体"/>
                <w:color w:val="auto"/>
                <w:sz w:val="21"/>
                <w:szCs w:val="21"/>
              </w:rPr>
            </w:pPr>
            <w:r>
              <w:rPr>
                <w:rFonts w:hint="eastAsia" w:ascii="宋体" w:hAnsi="宋体"/>
                <w:b/>
                <w:color w:val="auto"/>
                <w:sz w:val="21"/>
                <w:szCs w:val="21"/>
              </w:rPr>
              <w:t>课程思政目标：</w:t>
            </w:r>
            <w:r>
              <w:rPr>
                <w:rFonts w:hint="eastAsia" w:ascii="宋体" w:hAnsi="宋体"/>
                <w:color w:val="auto"/>
                <w:sz w:val="21"/>
                <w:szCs w:val="21"/>
              </w:rPr>
              <w:t>通过例证渗透爱国主义思想，社会主义核心价值观，分析不当言论的逻辑错误，提高学生的判断能力，学习理性思维，关注社会现象，提高批判思维能力。</w:t>
            </w:r>
          </w:p>
        </w:tc>
      </w:tr>
      <w:tr w14:paraId="5739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7A50B98">
            <w:pPr>
              <w:spacing w:line="240" w:lineRule="auto"/>
              <w:jc w:val="center"/>
              <w:rPr>
                <w:rFonts w:hint="eastAsia" w:ascii="宋体" w:hAnsi="宋体"/>
                <w:color w:val="auto"/>
                <w:sz w:val="21"/>
                <w:szCs w:val="21"/>
              </w:rPr>
            </w:pPr>
            <w:r>
              <w:rPr>
                <w:rFonts w:hint="eastAsia" w:ascii="宋体" w:hAnsi="宋体"/>
                <w:color w:val="auto"/>
                <w:sz w:val="21"/>
                <w:szCs w:val="21"/>
              </w:rPr>
              <w:t>5. 模态命题其推理</w:t>
            </w:r>
          </w:p>
        </w:tc>
        <w:tc>
          <w:tcPr>
            <w:tcW w:w="1701" w:type="dxa"/>
            <w:vAlign w:val="center"/>
          </w:tcPr>
          <w:p w14:paraId="11BAB843">
            <w:pPr>
              <w:spacing w:line="240" w:lineRule="auto"/>
              <w:jc w:val="left"/>
              <w:rPr>
                <w:rFonts w:hint="eastAsia" w:ascii="宋体" w:hAnsi="宋体"/>
                <w:color w:val="auto"/>
                <w:sz w:val="21"/>
                <w:szCs w:val="21"/>
              </w:rPr>
            </w:pPr>
            <w:r>
              <w:rPr>
                <w:rFonts w:hint="eastAsia" w:ascii="宋体" w:hAnsi="宋体"/>
                <w:color w:val="auto"/>
                <w:sz w:val="21"/>
                <w:szCs w:val="21"/>
              </w:rPr>
              <w:t>1.模态判断</w:t>
            </w:r>
          </w:p>
          <w:p w14:paraId="433BA780">
            <w:pPr>
              <w:spacing w:line="240" w:lineRule="auto"/>
              <w:jc w:val="left"/>
              <w:rPr>
                <w:rFonts w:hint="eastAsia" w:ascii="宋体" w:hAnsi="宋体"/>
                <w:color w:val="auto"/>
                <w:sz w:val="21"/>
                <w:szCs w:val="21"/>
              </w:rPr>
            </w:pPr>
            <w:r>
              <w:rPr>
                <w:rFonts w:hint="eastAsia" w:ascii="宋体" w:hAnsi="宋体"/>
                <w:color w:val="auto"/>
                <w:sz w:val="21"/>
                <w:szCs w:val="21"/>
              </w:rPr>
              <w:t>2.模态推理</w:t>
            </w:r>
          </w:p>
        </w:tc>
        <w:tc>
          <w:tcPr>
            <w:tcW w:w="1134" w:type="dxa"/>
            <w:vAlign w:val="center"/>
          </w:tcPr>
          <w:p w14:paraId="6295A613">
            <w:pPr>
              <w:spacing w:line="240" w:lineRule="auto"/>
              <w:jc w:val="center"/>
              <w:rPr>
                <w:rFonts w:hint="eastAsia" w:ascii="宋体" w:hAnsi="宋体"/>
                <w:color w:val="auto"/>
                <w:sz w:val="21"/>
                <w:szCs w:val="21"/>
              </w:rPr>
            </w:pPr>
            <w:r>
              <w:rPr>
                <w:rFonts w:hint="eastAsia" w:ascii="宋体" w:hAnsi="宋体"/>
                <w:color w:val="auto"/>
                <w:sz w:val="21"/>
                <w:szCs w:val="21"/>
              </w:rPr>
              <w:t>课程目标2</w:t>
            </w:r>
          </w:p>
        </w:tc>
        <w:tc>
          <w:tcPr>
            <w:tcW w:w="3260" w:type="dxa"/>
            <w:vAlign w:val="center"/>
          </w:tcPr>
          <w:p w14:paraId="2211192C">
            <w:pPr>
              <w:spacing w:line="240" w:lineRule="auto"/>
              <w:jc w:val="left"/>
              <w:rPr>
                <w:rFonts w:hint="eastAsia" w:ascii="宋体" w:hAnsi="宋体"/>
                <w:color w:val="auto"/>
                <w:sz w:val="21"/>
                <w:szCs w:val="21"/>
              </w:rPr>
            </w:pPr>
            <w:r>
              <w:rPr>
                <w:rFonts w:hint="eastAsia" w:ascii="宋体" w:hAnsi="宋体"/>
                <w:color w:val="auto"/>
                <w:sz w:val="21"/>
                <w:szCs w:val="21"/>
              </w:rPr>
              <w:t>了解常见模态判断、模态推理的种类与方法，能简单运用模态推理。</w:t>
            </w:r>
          </w:p>
        </w:tc>
        <w:tc>
          <w:tcPr>
            <w:tcW w:w="1560" w:type="dxa"/>
            <w:vAlign w:val="center"/>
          </w:tcPr>
          <w:p w14:paraId="04FF608A">
            <w:pPr>
              <w:spacing w:line="240" w:lineRule="auto"/>
              <w:jc w:val="left"/>
              <w:rPr>
                <w:rFonts w:hint="eastAsia" w:ascii="宋体" w:hAnsi="宋体"/>
                <w:color w:val="auto"/>
                <w:sz w:val="21"/>
                <w:szCs w:val="21"/>
              </w:rPr>
            </w:pPr>
            <w:r>
              <w:rPr>
                <w:rFonts w:ascii="宋体" w:hAnsi="宋体"/>
                <w:color w:val="auto"/>
                <w:sz w:val="21"/>
                <w:szCs w:val="21"/>
              </w:rPr>
              <w:t>1.线上学习</w:t>
            </w:r>
          </w:p>
          <w:p w14:paraId="54274069">
            <w:pPr>
              <w:spacing w:line="240" w:lineRule="auto"/>
              <w:jc w:val="left"/>
              <w:rPr>
                <w:rFonts w:hint="eastAsia" w:ascii="宋体" w:hAnsi="宋体"/>
                <w:color w:val="auto"/>
                <w:sz w:val="21"/>
                <w:szCs w:val="21"/>
              </w:rPr>
            </w:pPr>
            <w:r>
              <w:rPr>
                <w:rFonts w:ascii="宋体" w:hAnsi="宋体"/>
                <w:color w:val="auto"/>
                <w:sz w:val="21"/>
                <w:szCs w:val="21"/>
              </w:rPr>
              <w:t>2.多媒体教学3.课堂讨论</w:t>
            </w:r>
          </w:p>
          <w:p w14:paraId="00DED16B">
            <w:pPr>
              <w:spacing w:line="240" w:lineRule="auto"/>
              <w:jc w:val="left"/>
              <w:rPr>
                <w:rFonts w:hint="eastAsia" w:ascii="宋体" w:hAnsi="宋体"/>
                <w:color w:val="auto"/>
                <w:sz w:val="21"/>
                <w:szCs w:val="21"/>
              </w:rPr>
            </w:pPr>
            <w:r>
              <w:rPr>
                <w:rFonts w:ascii="宋体" w:hAnsi="宋体"/>
                <w:color w:val="auto"/>
                <w:sz w:val="21"/>
                <w:szCs w:val="21"/>
              </w:rPr>
              <w:t>4.单元测验</w:t>
            </w:r>
          </w:p>
          <w:p w14:paraId="7F149E1B">
            <w:pPr>
              <w:spacing w:line="240" w:lineRule="auto"/>
              <w:jc w:val="left"/>
              <w:rPr>
                <w:rFonts w:hint="eastAsia" w:ascii="宋体" w:hAnsi="宋体"/>
                <w:color w:val="auto"/>
                <w:sz w:val="21"/>
                <w:szCs w:val="21"/>
              </w:rPr>
            </w:pPr>
            <w:r>
              <w:rPr>
                <w:rFonts w:hint="eastAsia" w:ascii="宋体" w:hAnsi="宋体"/>
                <w:color w:val="auto"/>
                <w:sz w:val="21"/>
                <w:szCs w:val="21"/>
              </w:rPr>
              <w:t>5.课内实践</w:t>
            </w:r>
          </w:p>
        </w:tc>
        <w:tc>
          <w:tcPr>
            <w:tcW w:w="438" w:type="dxa"/>
            <w:vAlign w:val="center"/>
          </w:tcPr>
          <w:p w14:paraId="55026067">
            <w:pPr>
              <w:spacing w:line="240" w:lineRule="auto"/>
              <w:jc w:val="center"/>
              <w:rPr>
                <w:rFonts w:hint="eastAsia" w:ascii="宋体" w:hAnsi="宋体"/>
                <w:color w:val="auto"/>
                <w:sz w:val="21"/>
                <w:szCs w:val="21"/>
              </w:rPr>
            </w:pPr>
            <w:r>
              <w:rPr>
                <w:rFonts w:hint="eastAsia" w:ascii="宋体" w:hAnsi="宋体"/>
                <w:color w:val="auto"/>
                <w:sz w:val="21"/>
                <w:szCs w:val="21"/>
              </w:rPr>
              <w:t>2</w:t>
            </w:r>
          </w:p>
        </w:tc>
      </w:tr>
      <w:tr w14:paraId="7355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940C002">
            <w:pPr>
              <w:spacing w:line="240" w:lineRule="auto"/>
              <w:jc w:val="center"/>
              <w:rPr>
                <w:rFonts w:hint="eastAsia" w:ascii="宋体" w:hAnsi="宋体"/>
                <w:color w:val="auto"/>
                <w:sz w:val="21"/>
                <w:szCs w:val="21"/>
              </w:rPr>
            </w:pPr>
          </w:p>
        </w:tc>
        <w:tc>
          <w:tcPr>
            <w:tcW w:w="8093" w:type="dxa"/>
            <w:gridSpan w:val="5"/>
            <w:vAlign w:val="center"/>
          </w:tcPr>
          <w:p w14:paraId="5412E12B">
            <w:pPr>
              <w:spacing w:line="240" w:lineRule="auto"/>
              <w:jc w:val="left"/>
              <w:rPr>
                <w:rFonts w:hint="eastAsia" w:ascii="宋体" w:hAnsi="宋体"/>
                <w:color w:val="auto"/>
                <w:sz w:val="21"/>
                <w:szCs w:val="21"/>
              </w:rPr>
            </w:pPr>
            <w:r>
              <w:rPr>
                <w:rFonts w:hint="eastAsia" w:ascii="宋体" w:hAnsi="宋体"/>
                <w:b/>
                <w:color w:val="auto"/>
                <w:sz w:val="21"/>
                <w:szCs w:val="21"/>
              </w:rPr>
              <w:t>课程思政目标：</w:t>
            </w:r>
            <w:r>
              <w:rPr>
                <w:rFonts w:hint="eastAsia" w:ascii="宋体" w:hAnsi="宋体"/>
                <w:color w:val="auto"/>
                <w:sz w:val="21"/>
                <w:szCs w:val="21"/>
              </w:rPr>
              <w:t>通过例证渗透爱国主义思想，社会主义核心价值观，分析不当言论的逻辑错误，提高学生的判断能力。</w:t>
            </w:r>
          </w:p>
        </w:tc>
      </w:tr>
      <w:tr w14:paraId="4AE5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445D999">
            <w:pPr>
              <w:spacing w:line="240" w:lineRule="auto"/>
              <w:jc w:val="center"/>
              <w:rPr>
                <w:rFonts w:hint="eastAsia" w:ascii="宋体" w:hAnsi="宋体"/>
                <w:color w:val="auto"/>
                <w:sz w:val="21"/>
                <w:szCs w:val="21"/>
              </w:rPr>
            </w:pPr>
            <w:r>
              <w:rPr>
                <w:rFonts w:hint="eastAsia" w:ascii="宋体" w:hAnsi="宋体"/>
                <w:color w:val="auto"/>
                <w:sz w:val="21"/>
                <w:szCs w:val="21"/>
              </w:rPr>
              <w:t>6. 归纳推理</w:t>
            </w:r>
          </w:p>
        </w:tc>
        <w:tc>
          <w:tcPr>
            <w:tcW w:w="1701" w:type="dxa"/>
            <w:vAlign w:val="center"/>
          </w:tcPr>
          <w:p w14:paraId="26B975E9">
            <w:pPr>
              <w:spacing w:line="240" w:lineRule="auto"/>
              <w:jc w:val="left"/>
              <w:rPr>
                <w:rFonts w:hint="eastAsia" w:ascii="宋体" w:hAnsi="宋体"/>
                <w:color w:val="auto"/>
                <w:sz w:val="21"/>
                <w:szCs w:val="21"/>
              </w:rPr>
            </w:pPr>
            <w:r>
              <w:rPr>
                <w:rFonts w:hint="eastAsia" w:ascii="宋体" w:hAnsi="宋体"/>
                <w:color w:val="auto"/>
                <w:sz w:val="21"/>
                <w:szCs w:val="21"/>
              </w:rPr>
              <w:t>1.完全归纳推理</w:t>
            </w:r>
          </w:p>
          <w:p w14:paraId="33ED2F61">
            <w:pPr>
              <w:spacing w:line="240" w:lineRule="auto"/>
              <w:jc w:val="left"/>
              <w:rPr>
                <w:rFonts w:hint="eastAsia" w:ascii="宋体" w:hAnsi="宋体"/>
                <w:color w:val="auto"/>
                <w:sz w:val="21"/>
                <w:szCs w:val="21"/>
              </w:rPr>
            </w:pPr>
            <w:r>
              <w:rPr>
                <w:rFonts w:hint="eastAsia" w:ascii="宋体" w:hAnsi="宋体"/>
                <w:color w:val="auto"/>
                <w:sz w:val="21"/>
                <w:szCs w:val="21"/>
              </w:rPr>
              <w:t>2.简单枚举归纳推理</w:t>
            </w:r>
          </w:p>
          <w:p w14:paraId="2D3F7DDF">
            <w:pPr>
              <w:spacing w:line="240" w:lineRule="auto"/>
              <w:jc w:val="left"/>
              <w:rPr>
                <w:rFonts w:hint="eastAsia" w:ascii="宋体" w:hAnsi="宋体"/>
                <w:color w:val="auto"/>
                <w:sz w:val="21"/>
                <w:szCs w:val="21"/>
              </w:rPr>
            </w:pPr>
            <w:r>
              <w:rPr>
                <w:rFonts w:hint="eastAsia" w:ascii="宋体" w:hAnsi="宋体"/>
                <w:color w:val="auto"/>
                <w:sz w:val="21"/>
                <w:szCs w:val="21"/>
              </w:rPr>
              <w:t>3.科学归纳推理</w:t>
            </w:r>
          </w:p>
          <w:p w14:paraId="77CCA17C">
            <w:pPr>
              <w:spacing w:line="240" w:lineRule="auto"/>
              <w:jc w:val="left"/>
              <w:rPr>
                <w:rFonts w:hint="eastAsia" w:ascii="宋体" w:hAnsi="宋体"/>
                <w:color w:val="auto"/>
                <w:sz w:val="21"/>
                <w:szCs w:val="21"/>
              </w:rPr>
            </w:pPr>
            <w:r>
              <w:rPr>
                <w:rFonts w:hint="eastAsia" w:ascii="宋体" w:hAnsi="宋体"/>
                <w:color w:val="auto"/>
                <w:sz w:val="21"/>
                <w:szCs w:val="21"/>
              </w:rPr>
              <w:t>4.归纳推理与演绎推理的异同</w:t>
            </w:r>
          </w:p>
          <w:p w14:paraId="005C0B36">
            <w:pPr>
              <w:spacing w:line="240" w:lineRule="auto"/>
              <w:jc w:val="left"/>
              <w:rPr>
                <w:rFonts w:hint="eastAsia" w:ascii="宋体" w:hAnsi="宋体"/>
                <w:color w:val="auto"/>
                <w:sz w:val="21"/>
                <w:szCs w:val="21"/>
              </w:rPr>
            </w:pPr>
            <w:r>
              <w:rPr>
                <w:rFonts w:hint="eastAsia" w:ascii="宋体" w:hAnsi="宋体"/>
                <w:color w:val="auto"/>
                <w:sz w:val="21"/>
                <w:szCs w:val="21"/>
              </w:rPr>
              <w:t>5.探求现象间因果联系的方法</w:t>
            </w:r>
          </w:p>
        </w:tc>
        <w:tc>
          <w:tcPr>
            <w:tcW w:w="1134" w:type="dxa"/>
            <w:vAlign w:val="center"/>
          </w:tcPr>
          <w:p w14:paraId="6626BF27">
            <w:pPr>
              <w:spacing w:line="240" w:lineRule="auto"/>
              <w:jc w:val="center"/>
              <w:rPr>
                <w:rFonts w:hint="eastAsia" w:ascii="宋体" w:hAnsi="宋体"/>
                <w:color w:val="auto"/>
                <w:sz w:val="21"/>
                <w:szCs w:val="21"/>
              </w:rPr>
            </w:pPr>
            <w:r>
              <w:rPr>
                <w:rFonts w:hint="eastAsia" w:ascii="宋体" w:hAnsi="宋体"/>
                <w:color w:val="auto"/>
                <w:sz w:val="21"/>
                <w:szCs w:val="21"/>
              </w:rPr>
              <w:t>课程目标2、3</w:t>
            </w:r>
          </w:p>
        </w:tc>
        <w:tc>
          <w:tcPr>
            <w:tcW w:w="3260" w:type="dxa"/>
            <w:vAlign w:val="center"/>
          </w:tcPr>
          <w:p w14:paraId="77801F45">
            <w:pPr>
              <w:spacing w:line="240" w:lineRule="auto"/>
              <w:jc w:val="left"/>
              <w:rPr>
                <w:rFonts w:hint="eastAsia" w:ascii="宋体" w:hAnsi="宋体"/>
                <w:color w:val="auto"/>
                <w:sz w:val="21"/>
                <w:szCs w:val="21"/>
              </w:rPr>
            </w:pPr>
            <w:r>
              <w:rPr>
                <w:rFonts w:hint="eastAsia" w:ascii="宋体" w:hAnsi="宋体"/>
                <w:color w:val="auto"/>
                <w:sz w:val="21"/>
                <w:szCs w:val="21"/>
              </w:rPr>
              <w:t>1.了解归纳推理的三种方法的概念；掌握归纳推理与演绎推理的异同</w:t>
            </w:r>
          </w:p>
          <w:p w14:paraId="093C9C12">
            <w:pPr>
              <w:spacing w:line="240" w:lineRule="auto"/>
              <w:jc w:val="left"/>
              <w:rPr>
                <w:rFonts w:hint="eastAsia" w:ascii="宋体" w:hAnsi="宋体"/>
                <w:color w:val="auto"/>
                <w:sz w:val="21"/>
                <w:szCs w:val="21"/>
              </w:rPr>
            </w:pPr>
            <w:r>
              <w:rPr>
                <w:rFonts w:hint="eastAsia" w:ascii="宋体" w:hAnsi="宋体"/>
                <w:color w:val="auto"/>
                <w:sz w:val="21"/>
                <w:szCs w:val="21"/>
              </w:rPr>
              <w:t>3.学会探求现象间因果联系的方法，能找出生活中的三种推理的事例</w:t>
            </w:r>
          </w:p>
        </w:tc>
        <w:tc>
          <w:tcPr>
            <w:tcW w:w="1560" w:type="dxa"/>
            <w:vAlign w:val="center"/>
          </w:tcPr>
          <w:p w14:paraId="753C17B5">
            <w:pPr>
              <w:spacing w:line="240" w:lineRule="auto"/>
              <w:jc w:val="left"/>
              <w:rPr>
                <w:rFonts w:hint="eastAsia" w:ascii="宋体" w:hAnsi="宋体"/>
                <w:color w:val="auto"/>
                <w:sz w:val="21"/>
                <w:szCs w:val="21"/>
              </w:rPr>
            </w:pPr>
            <w:r>
              <w:rPr>
                <w:rFonts w:ascii="宋体" w:hAnsi="宋体"/>
                <w:color w:val="auto"/>
                <w:sz w:val="21"/>
                <w:szCs w:val="21"/>
              </w:rPr>
              <w:t>1.线上学习</w:t>
            </w:r>
          </w:p>
          <w:p w14:paraId="1D666B4C">
            <w:pPr>
              <w:spacing w:line="240" w:lineRule="auto"/>
              <w:jc w:val="left"/>
              <w:rPr>
                <w:rFonts w:hint="eastAsia" w:ascii="宋体" w:hAnsi="宋体"/>
                <w:color w:val="auto"/>
                <w:sz w:val="21"/>
                <w:szCs w:val="21"/>
              </w:rPr>
            </w:pPr>
            <w:r>
              <w:rPr>
                <w:rFonts w:ascii="宋体" w:hAnsi="宋体"/>
                <w:color w:val="auto"/>
                <w:sz w:val="21"/>
                <w:szCs w:val="21"/>
              </w:rPr>
              <w:t>2.多媒体教学3.课堂</w:t>
            </w:r>
            <w:r>
              <w:rPr>
                <w:rFonts w:hint="eastAsia" w:ascii="宋体" w:hAnsi="宋体"/>
                <w:color w:val="auto"/>
                <w:sz w:val="21"/>
                <w:szCs w:val="21"/>
              </w:rPr>
              <w:t>辩论</w:t>
            </w:r>
          </w:p>
          <w:p w14:paraId="7D2F15DA">
            <w:pPr>
              <w:spacing w:line="240" w:lineRule="auto"/>
              <w:jc w:val="left"/>
              <w:rPr>
                <w:rFonts w:hint="eastAsia" w:ascii="宋体" w:hAnsi="宋体"/>
                <w:color w:val="auto"/>
                <w:sz w:val="21"/>
                <w:szCs w:val="21"/>
              </w:rPr>
            </w:pPr>
            <w:r>
              <w:rPr>
                <w:rFonts w:ascii="宋体" w:hAnsi="宋体"/>
                <w:color w:val="auto"/>
                <w:sz w:val="21"/>
                <w:szCs w:val="21"/>
              </w:rPr>
              <w:t>4.单元测验</w:t>
            </w:r>
          </w:p>
          <w:p w14:paraId="126644D5">
            <w:pPr>
              <w:spacing w:line="240" w:lineRule="auto"/>
              <w:jc w:val="left"/>
              <w:rPr>
                <w:rFonts w:hint="eastAsia" w:ascii="宋体" w:hAnsi="宋体"/>
                <w:color w:val="auto"/>
                <w:sz w:val="21"/>
                <w:szCs w:val="21"/>
              </w:rPr>
            </w:pPr>
            <w:r>
              <w:rPr>
                <w:rFonts w:hint="eastAsia" w:ascii="宋体" w:hAnsi="宋体"/>
                <w:color w:val="auto"/>
                <w:sz w:val="21"/>
                <w:szCs w:val="21"/>
              </w:rPr>
              <w:t>5.课内实践</w:t>
            </w:r>
          </w:p>
        </w:tc>
        <w:tc>
          <w:tcPr>
            <w:tcW w:w="438" w:type="dxa"/>
            <w:vAlign w:val="center"/>
          </w:tcPr>
          <w:p w14:paraId="786B63EF">
            <w:pPr>
              <w:spacing w:line="240" w:lineRule="auto"/>
              <w:jc w:val="center"/>
              <w:rPr>
                <w:rFonts w:hint="eastAsia" w:ascii="宋体" w:hAnsi="宋体"/>
                <w:color w:val="auto"/>
                <w:sz w:val="21"/>
                <w:szCs w:val="21"/>
              </w:rPr>
            </w:pPr>
            <w:r>
              <w:rPr>
                <w:rFonts w:hint="eastAsia" w:ascii="宋体" w:hAnsi="宋体"/>
                <w:color w:val="auto"/>
                <w:sz w:val="21"/>
                <w:szCs w:val="21"/>
              </w:rPr>
              <w:t>4</w:t>
            </w:r>
          </w:p>
        </w:tc>
      </w:tr>
      <w:tr w14:paraId="32F5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D5F990B">
            <w:pPr>
              <w:spacing w:line="240" w:lineRule="auto"/>
              <w:jc w:val="center"/>
              <w:rPr>
                <w:rFonts w:hint="eastAsia" w:ascii="宋体" w:hAnsi="宋体"/>
                <w:color w:val="auto"/>
                <w:sz w:val="21"/>
                <w:szCs w:val="21"/>
              </w:rPr>
            </w:pPr>
          </w:p>
        </w:tc>
        <w:tc>
          <w:tcPr>
            <w:tcW w:w="8093" w:type="dxa"/>
            <w:gridSpan w:val="5"/>
            <w:vAlign w:val="center"/>
          </w:tcPr>
          <w:p w14:paraId="077F1FDA">
            <w:pPr>
              <w:spacing w:line="240" w:lineRule="auto"/>
              <w:jc w:val="left"/>
              <w:rPr>
                <w:rFonts w:hint="eastAsia" w:ascii="宋体" w:hAnsi="宋体"/>
                <w:color w:val="auto"/>
                <w:sz w:val="21"/>
                <w:szCs w:val="21"/>
              </w:rPr>
            </w:pPr>
            <w:r>
              <w:rPr>
                <w:rFonts w:hint="eastAsia" w:ascii="宋体" w:hAnsi="宋体"/>
                <w:b/>
                <w:color w:val="auto"/>
                <w:sz w:val="21"/>
                <w:szCs w:val="21"/>
              </w:rPr>
              <w:t>课程思政目标：</w:t>
            </w:r>
            <w:r>
              <w:rPr>
                <w:rFonts w:hint="eastAsia" w:ascii="宋体" w:hAnsi="宋体"/>
                <w:color w:val="auto"/>
                <w:sz w:val="21"/>
                <w:szCs w:val="21"/>
              </w:rPr>
              <w:t>通过例证渗透爱国主义思想，社会主义核心价值观，分析不当言论的逻辑错误，提高学生的判断能力，并通过辩论等形式提高学生解决问题的能力，学习理性思维，关注社会现象，提高批判思维能力。</w:t>
            </w:r>
          </w:p>
        </w:tc>
      </w:tr>
      <w:tr w14:paraId="1993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71C7492">
            <w:pPr>
              <w:spacing w:line="240" w:lineRule="auto"/>
              <w:jc w:val="center"/>
              <w:rPr>
                <w:rFonts w:hint="eastAsia" w:ascii="宋体" w:hAnsi="宋体"/>
                <w:color w:val="auto"/>
                <w:sz w:val="21"/>
                <w:szCs w:val="21"/>
              </w:rPr>
            </w:pPr>
            <w:r>
              <w:rPr>
                <w:rFonts w:hint="eastAsia" w:ascii="宋体" w:hAnsi="宋体"/>
                <w:color w:val="auto"/>
                <w:sz w:val="21"/>
                <w:szCs w:val="21"/>
              </w:rPr>
              <w:t>7. 类比推理与假说</w:t>
            </w:r>
          </w:p>
        </w:tc>
        <w:tc>
          <w:tcPr>
            <w:tcW w:w="1701" w:type="dxa"/>
            <w:vAlign w:val="center"/>
          </w:tcPr>
          <w:p w14:paraId="39B0B55E">
            <w:pPr>
              <w:spacing w:line="240" w:lineRule="auto"/>
              <w:jc w:val="left"/>
              <w:rPr>
                <w:rFonts w:hint="eastAsia" w:ascii="宋体" w:hAnsi="宋体"/>
                <w:color w:val="auto"/>
                <w:sz w:val="21"/>
                <w:szCs w:val="21"/>
              </w:rPr>
            </w:pPr>
            <w:r>
              <w:rPr>
                <w:rFonts w:hint="eastAsia" w:ascii="宋体" w:hAnsi="宋体"/>
                <w:color w:val="auto"/>
                <w:sz w:val="21"/>
                <w:szCs w:val="21"/>
              </w:rPr>
              <w:t>1.类比推理</w:t>
            </w:r>
          </w:p>
          <w:p w14:paraId="4B2AB70E">
            <w:pPr>
              <w:spacing w:line="240" w:lineRule="auto"/>
              <w:jc w:val="left"/>
              <w:rPr>
                <w:rFonts w:hint="eastAsia" w:ascii="宋体" w:hAnsi="宋体"/>
                <w:color w:val="auto"/>
                <w:sz w:val="21"/>
                <w:szCs w:val="21"/>
              </w:rPr>
            </w:pPr>
            <w:r>
              <w:rPr>
                <w:rFonts w:hint="eastAsia" w:ascii="宋体" w:hAnsi="宋体"/>
                <w:color w:val="auto"/>
                <w:sz w:val="21"/>
                <w:szCs w:val="21"/>
              </w:rPr>
              <w:t>2.假说</w:t>
            </w:r>
          </w:p>
        </w:tc>
        <w:tc>
          <w:tcPr>
            <w:tcW w:w="1134" w:type="dxa"/>
            <w:vAlign w:val="center"/>
          </w:tcPr>
          <w:p w14:paraId="40BD811B">
            <w:pPr>
              <w:spacing w:line="240" w:lineRule="auto"/>
              <w:jc w:val="center"/>
              <w:rPr>
                <w:rFonts w:hint="eastAsia" w:ascii="宋体" w:hAnsi="宋体"/>
                <w:color w:val="auto"/>
                <w:sz w:val="21"/>
                <w:szCs w:val="21"/>
              </w:rPr>
            </w:pPr>
            <w:r>
              <w:rPr>
                <w:rFonts w:hint="eastAsia" w:ascii="宋体" w:hAnsi="宋体"/>
                <w:color w:val="auto"/>
                <w:sz w:val="21"/>
                <w:szCs w:val="21"/>
              </w:rPr>
              <w:t>课程目标1、3</w:t>
            </w:r>
          </w:p>
        </w:tc>
        <w:tc>
          <w:tcPr>
            <w:tcW w:w="3260" w:type="dxa"/>
            <w:vAlign w:val="center"/>
          </w:tcPr>
          <w:p w14:paraId="410ECDAA">
            <w:pPr>
              <w:spacing w:line="240" w:lineRule="auto"/>
              <w:jc w:val="left"/>
              <w:rPr>
                <w:rFonts w:hint="eastAsia" w:ascii="宋体" w:hAnsi="宋体"/>
                <w:color w:val="auto"/>
                <w:sz w:val="21"/>
                <w:szCs w:val="21"/>
              </w:rPr>
            </w:pPr>
            <w:r>
              <w:rPr>
                <w:rFonts w:hint="eastAsia" w:ascii="宋体" w:hAnsi="宋体"/>
                <w:color w:val="auto"/>
                <w:sz w:val="21"/>
                <w:szCs w:val="21"/>
              </w:rPr>
              <w:t>把握类比推理与归纳推理、演绎推理的区别；了解假说的构成与步骤</w:t>
            </w:r>
          </w:p>
        </w:tc>
        <w:tc>
          <w:tcPr>
            <w:tcW w:w="1560" w:type="dxa"/>
            <w:vAlign w:val="center"/>
          </w:tcPr>
          <w:p w14:paraId="6FF4B8F7">
            <w:pPr>
              <w:spacing w:line="240" w:lineRule="auto"/>
              <w:jc w:val="left"/>
              <w:rPr>
                <w:rFonts w:hint="eastAsia" w:ascii="宋体" w:hAnsi="宋体"/>
                <w:color w:val="auto"/>
                <w:sz w:val="21"/>
                <w:szCs w:val="21"/>
              </w:rPr>
            </w:pPr>
            <w:r>
              <w:rPr>
                <w:rFonts w:ascii="宋体" w:hAnsi="宋体"/>
                <w:color w:val="auto"/>
                <w:sz w:val="21"/>
                <w:szCs w:val="21"/>
              </w:rPr>
              <w:t>1.线上学习</w:t>
            </w:r>
          </w:p>
          <w:p w14:paraId="1A68BD24">
            <w:pPr>
              <w:spacing w:line="240" w:lineRule="auto"/>
              <w:jc w:val="left"/>
              <w:rPr>
                <w:rFonts w:hint="eastAsia" w:ascii="宋体" w:hAnsi="宋体"/>
                <w:color w:val="auto"/>
                <w:sz w:val="21"/>
                <w:szCs w:val="21"/>
              </w:rPr>
            </w:pPr>
            <w:r>
              <w:rPr>
                <w:rFonts w:ascii="宋体" w:hAnsi="宋体"/>
                <w:color w:val="auto"/>
                <w:sz w:val="21"/>
                <w:szCs w:val="21"/>
              </w:rPr>
              <w:t>2.多媒体教学3.课堂讨论</w:t>
            </w:r>
          </w:p>
          <w:p w14:paraId="3F2CC6A6">
            <w:pPr>
              <w:spacing w:line="240" w:lineRule="auto"/>
              <w:jc w:val="left"/>
              <w:rPr>
                <w:rFonts w:hint="eastAsia" w:ascii="宋体" w:hAnsi="宋体"/>
                <w:color w:val="auto"/>
                <w:sz w:val="21"/>
                <w:szCs w:val="21"/>
              </w:rPr>
            </w:pPr>
            <w:r>
              <w:rPr>
                <w:rFonts w:ascii="宋体" w:hAnsi="宋体"/>
                <w:color w:val="auto"/>
                <w:sz w:val="21"/>
                <w:szCs w:val="21"/>
              </w:rPr>
              <w:t>4.单元测验</w:t>
            </w:r>
          </w:p>
          <w:p w14:paraId="33CDAD77">
            <w:pPr>
              <w:spacing w:line="240" w:lineRule="auto"/>
              <w:jc w:val="left"/>
              <w:rPr>
                <w:rFonts w:hint="eastAsia" w:ascii="宋体" w:hAnsi="宋体"/>
                <w:color w:val="auto"/>
                <w:sz w:val="21"/>
                <w:szCs w:val="21"/>
              </w:rPr>
            </w:pPr>
            <w:r>
              <w:rPr>
                <w:rFonts w:hint="eastAsia" w:ascii="宋体" w:hAnsi="宋体"/>
                <w:color w:val="auto"/>
                <w:sz w:val="21"/>
                <w:szCs w:val="21"/>
              </w:rPr>
              <w:t>5.课内实践</w:t>
            </w:r>
          </w:p>
        </w:tc>
        <w:tc>
          <w:tcPr>
            <w:tcW w:w="438" w:type="dxa"/>
            <w:vAlign w:val="center"/>
          </w:tcPr>
          <w:p w14:paraId="74847BEE">
            <w:pPr>
              <w:spacing w:line="240" w:lineRule="auto"/>
              <w:jc w:val="center"/>
              <w:rPr>
                <w:rFonts w:hint="eastAsia" w:ascii="宋体" w:hAnsi="宋体"/>
                <w:color w:val="auto"/>
                <w:sz w:val="21"/>
                <w:szCs w:val="21"/>
              </w:rPr>
            </w:pPr>
            <w:r>
              <w:rPr>
                <w:rFonts w:hint="eastAsia" w:ascii="宋体" w:hAnsi="宋体"/>
                <w:color w:val="auto"/>
                <w:sz w:val="21"/>
                <w:szCs w:val="21"/>
              </w:rPr>
              <w:t>2</w:t>
            </w:r>
          </w:p>
        </w:tc>
      </w:tr>
      <w:tr w14:paraId="1CBE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137AAB8">
            <w:pPr>
              <w:spacing w:line="240" w:lineRule="auto"/>
              <w:jc w:val="center"/>
              <w:rPr>
                <w:rFonts w:hint="eastAsia" w:ascii="宋体" w:hAnsi="宋体"/>
                <w:color w:val="auto"/>
                <w:sz w:val="21"/>
                <w:szCs w:val="21"/>
              </w:rPr>
            </w:pPr>
          </w:p>
        </w:tc>
        <w:tc>
          <w:tcPr>
            <w:tcW w:w="8093" w:type="dxa"/>
            <w:gridSpan w:val="5"/>
            <w:vAlign w:val="center"/>
          </w:tcPr>
          <w:p w14:paraId="0F9D331B">
            <w:pPr>
              <w:spacing w:line="240" w:lineRule="auto"/>
              <w:jc w:val="left"/>
              <w:rPr>
                <w:rFonts w:hint="eastAsia" w:ascii="宋体" w:hAnsi="宋体"/>
                <w:color w:val="auto"/>
                <w:sz w:val="21"/>
                <w:szCs w:val="21"/>
              </w:rPr>
            </w:pPr>
            <w:r>
              <w:rPr>
                <w:rFonts w:hint="eastAsia" w:ascii="宋体" w:hAnsi="宋体"/>
                <w:b/>
                <w:color w:val="auto"/>
                <w:sz w:val="21"/>
                <w:szCs w:val="21"/>
              </w:rPr>
              <w:t>课程思政目标：</w:t>
            </w:r>
            <w:r>
              <w:rPr>
                <w:rFonts w:hint="eastAsia" w:ascii="宋体" w:hAnsi="宋体"/>
                <w:color w:val="auto"/>
                <w:sz w:val="21"/>
                <w:szCs w:val="21"/>
              </w:rPr>
              <w:t>学习理性思维，关注社会现象，提高批判思维能力。</w:t>
            </w:r>
          </w:p>
        </w:tc>
      </w:tr>
      <w:tr w14:paraId="26B0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D80CED3">
            <w:pPr>
              <w:spacing w:line="240" w:lineRule="auto"/>
              <w:jc w:val="center"/>
              <w:rPr>
                <w:rFonts w:hint="eastAsia" w:ascii="宋体" w:hAnsi="宋体"/>
                <w:color w:val="auto"/>
                <w:sz w:val="21"/>
                <w:szCs w:val="21"/>
              </w:rPr>
            </w:pPr>
            <w:r>
              <w:rPr>
                <w:rFonts w:hint="eastAsia" w:ascii="宋体" w:hAnsi="宋体"/>
                <w:color w:val="auto"/>
                <w:sz w:val="21"/>
                <w:szCs w:val="21"/>
              </w:rPr>
              <w:t>8. 普通逻辑的基本规律</w:t>
            </w:r>
          </w:p>
        </w:tc>
        <w:tc>
          <w:tcPr>
            <w:tcW w:w="1701" w:type="dxa"/>
            <w:vAlign w:val="center"/>
          </w:tcPr>
          <w:p w14:paraId="618B58FB">
            <w:pPr>
              <w:spacing w:line="240" w:lineRule="auto"/>
              <w:jc w:val="left"/>
              <w:rPr>
                <w:rFonts w:hint="eastAsia" w:ascii="宋体" w:hAnsi="宋体"/>
                <w:color w:val="auto"/>
                <w:sz w:val="21"/>
                <w:szCs w:val="21"/>
              </w:rPr>
            </w:pPr>
            <w:r>
              <w:rPr>
                <w:rFonts w:hint="eastAsia" w:ascii="宋体" w:hAnsi="宋体"/>
                <w:color w:val="auto"/>
                <w:sz w:val="21"/>
                <w:szCs w:val="21"/>
              </w:rPr>
              <w:t>1.同一律</w:t>
            </w:r>
          </w:p>
          <w:p w14:paraId="39E17757">
            <w:pPr>
              <w:spacing w:line="240" w:lineRule="auto"/>
              <w:jc w:val="left"/>
              <w:rPr>
                <w:rFonts w:hint="eastAsia" w:ascii="宋体" w:hAnsi="宋体"/>
                <w:color w:val="auto"/>
                <w:sz w:val="21"/>
                <w:szCs w:val="21"/>
              </w:rPr>
            </w:pPr>
            <w:r>
              <w:rPr>
                <w:rFonts w:hint="eastAsia" w:ascii="宋体" w:hAnsi="宋体"/>
                <w:color w:val="auto"/>
                <w:sz w:val="21"/>
                <w:szCs w:val="21"/>
              </w:rPr>
              <w:t>2.矛盾律</w:t>
            </w:r>
          </w:p>
          <w:p w14:paraId="19AC1C80">
            <w:pPr>
              <w:spacing w:line="240" w:lineRule="auto"/>
              <w:jc w:val="left"/>
              <w:rPr>
                <w:rFonts w:hint="eastAsia" w:ascii="宋体" w:hAnsi="宋体"/>
                <w:color w:val="auto"/>
                <w:sz w:val="21"/>
                <w:szCs w:val="21"/>
              </w:rPr>
            </w:pPr>
            <w:r>
              <w:rPr>
                <w:rFonts w:hint="eastAsia" w:ascii="宋体" w:hAnsi="宋体"/>
                <w:color w:val="auto"/>
                <w:sz w:val="21"/>
                <w:szCs w:val="21"/>
              </w:rPr>
              <w:t>3.排中律</w:t>
            </w:r>
          </w:p>
          <w:p w14:paraId="7ACE1072">
            <w:pPr>
              <w:spacing w:line="240" w:lineRule="auto"/>
              <w:jc w:val="left"/>
              <w:rPr>
                <w:rFonts w:hint="eastAsia" w:ascii="宋体" w:hAnsi="宋体"/>
                <w:color w:val="auto"/>
                <w:sz w:val="21"/>
                <w:szCs w:val="21"/>
              </w:rPr>
            </w:pPr>
            <w:r>
              <w:rPr>
                <w:rFonts w:hint="eastAsia" w:ascii="宋体" w:hAnsi="宋体"/>
                <w:color w:val="auto"/>
                <w:sz w:val="21"/>
                <w:szCs w:val="21"/>
              </w:rPr>
              <w:t>4.充足理由律</w:t>
            </w:r>
          </w:p>
        </w:tc>
        <w:tc>
          <w:tcPr>
            <w:tcW w:w="1134" w:type="dxa"/>
            <w:vAlign w:val="center"/>
          </w:tcPr>
          <w:p w14:paraId="4E59DD39">
            <w:pPr>
              <w:spacing w:line="240" w:lineRule="auto"/>
              <w:jc w:val="center"/>
              <w:rPr>
                <w:rFonts w:hint="eastAsia" w:ascii="宋体" w:hAnsi="宋体"/>
                <w:color w:val="auto"/>
                <w:sz w:val="21"/>
                <w:szCs w:val="21"/>
              </w:rPr>
            </w:pPr>
            <w:r>
              <w:rPr>
                <w:rFonts w:hint="eastAsia" w:ascii="宋体" w:hAnsi="宋体"/>
                <w:color w:val="auto"/>
                <w:sz w:val="21"/>
                <w:szCs w:val="21"/>
              </w:rPr>
              <w:t>课程目标3</w:t>
            </w:r>
          </w:p>
        </w:tc>
        <w:tc>
          <w:tcPr>
            <w:tcW w:w="3260" w:type="dxa"/>
            <w:vAlign w:val="center"/>
          </w:tcPr>
          <w:p w14:paraId="6888BEA1">
            <w:pPr>
              <w:spacing w:line="240" w:lineRule="auto"/>
              <w:jc w:val="left"/>
              <w:rPr>
                <w:rFonts w:hint="eastAsia" w:ascii="宋体" w:hAnsi="宋体"/>
                <w:color w:val="auto"/>
                <w:sz w:val="21"/>
                <w:szCs w:val="21"/>
              </w:rPr>
            </w:pPr>
            <w:r>
              <w:rPr>
                <w:rFonts w:hint="eastAsia" w:ascii="宋体" w:hAnsi="宋体"/>
                <w:color w:val="auto"/>
                <w:sz w:val="21"/>
                <w:szCs w:val="21"/>
              </w:rPr>
              <w:t>1.熟练掌握各条基本规律的基本内容、基本要求、作用以及违反该条规律所犯的逻辑错误；</w:t>
            </w:r>
          </w:p>
          <w:p w14:paraId="6106080B">
            <w:pPr>
              <w:spacing w:line="240" w:lineRule="auto"/>
              <w:jc w:val="left"/>
              <w:rPr>
                <w:rFonts w:hint="eastAsia" w:ascii="宋体" w:hAnsi="宋体"/>
                <w:color w:val="auto"/>
                <w:sz w:val="21"/>
                <w:szCs w:val="21"/>
              </w:rPr>
            </w:pPr>
            <w:r>
              <w:rPr>
                <w:rFonts w:hint="eastAsia" w:ascii="宋体" w:hAnsi="宋体"/>
                <w:color w:val="auto"/>
                <w:sz w:val="21"/>
                <w:szCs w:val="21"/>
              </w:rPr>
              <w:t>2.能正确运用这些规律分析现实中遇到的问题。掌握普通逻辑的研究对象；了解普通逻辑的性质、作用及其和数理逻辑、辩证逻辑的关系。</w:t>
            </w:r>
          </w:p>
        </w:tc>
        <w:tc>
          <w:tcPr>
            <w:tcW w:w="1560" w:type="dxa"/>
            <w:vAlign w:val="center"/>
          </w:tcPr>
          <w:p w14:paraId="3F6F7ADE">
            <w:pPr>
              <w:spacing w:line="240" w:lineRule="auto"/>
              <w:jc w:val="left"/>
              <w:rPr>
                <w:rFonts w:hint="eastAsia" w:ascii="宋体" w:hAnsi="宋体"/>
                <w:color w:val="auto"/>
                <w:sz w:val="21"/>
                <w:szCs w:val="21"/>
              </w:rPr>
            </w:pPr>
            <w:r>
              <w:rPr>
                <w:rFonts w:ascii="宋体" w:hAnsi="宋体"/>
                <w:color w:val="auto"/>
                <w:sz w:val="21"/>
                <w:szCs w:val="21"/>
              </w:rPr>
              <w:t>1.线上学习</w:t>
            </w:r>
          </w:p>
          <w:p w14:paraId="32C96D91">
            <w:pPr>
              <w:spacing w:line="240" w:lineRule="auto"/>
              <w:jc w:val="left"/>
              <w:rPr>
                <w:rFonts w:hint="eastAsia" w:ascii="宋体" w:hAnsi="宋体"/>
                <w:color w:val="auto"/>
                <w:sz w:val="21"/>
                <w:szCs w:val="21"/>
              </w:rPr>
            </w:pPr>
            <w:r>
              <w:rPr>
                <w:rFonts w:ascii="宋体" w:hAnsi="宋体"/>
                <w:color w:val="auto"/>
                <w:sz w:val="21"/>
                <w:szCs w:val="21"/>
              </w:rPr>
              <w:t>2.多媒体教学3.课堂讨论</w:t>
            </w:r>
          </w:p>
          <w:p w14:paraId="747D221F">
            <w:pPr>
              <w:spacing w:line="240" w:lineRule="auto"/>
              <w:jc w:val="left"/>
              <w:rPr>
                <w:rFonts w:hint="eastAsia" w:ascii="宋体" w:hAnsi="宋体"/>
                <w:color w:val="auto"/>
                <w:sz w:val="21"/>
                <w:szCs w:val="21"/>
              </w:rPr>
            </w:pPr>
            <w:r>
              <w:rPr>
                <w:rFonts w:ascii="宋体" w:hAnsi="宋体"/>
                <w:color w:val="auto"/>
                <w:sz w:val="21"/>
                <w:szCs w:val="21"/>
              </w:rPr>
              <w:t>4.单元测验</w:t>
            </w:r>
          </w:p>
          <w:p w14:paraId="7F930647">
            <w:pPr>
              <w:spacing w:line="240" w:lineRule="auto"/>
              <w:jc w:val="left"/>
              <w:rPr>
                <w:rFonts w:hint="eastAsia" w:ascii="宋体" w:hAnsi="宋体"/>
                <w:color w:val="auto"/>
                <w:sz w:val="21"/>
                <w:szCs w:val="21"/>
              </w:rPr>
            </w:pPr>
            <w:r>
              <w:rPr>
                <w:rFonts w:hint="eastAsia" w:ascii="宋体" w:hAnsi="宋体"/>
                <w:color w:val="auto"/>
                <w:sz w:val="21"/>
                <w:szCs w:val="21"/>
              </w:rPr>
              <w:t>5.课内实践</w:t>
            </w:r>
          </w:p>
        </w:tc>
        <w:tc>
          <w:tcPr>
            <w:tcW w:w="438" w:type="dxa"/>
            <w:vAlign w:val="center"/>
          </w:tcPr>
          <w:p w14:paraId="4664DE49">
            <w:pPr>
              <w:spacing w:line="240" w:lineRule="auto"/>
              <w:jc w:val="center"/>
              <w:rPr>
                <w:rFonts w:hint="eastAsia" w:ascii="宋体" w:hAnsi="宋体"/>
                <w:color w:val="auto"/>
                <w:sz w:val="21"/>
                <w:szCs w:val="21"/>
              </w:rPr>
            </w:pPr>
            <w:r>
              <w:rPr>
                <w:rFonts w:hint="eastAsia" w:ascii="宋体" w:hAnsi="宋体"/>
                <w:color w:val="auto"/>
                <w:sz w:val="21"/>
                <w:szCs w:val="21"/>
              </w:rPr>
              <w:t>4</w:t>
            </w:r>
          </w:p>
        </w:tc>
      </w:tr>
      <w:tr w14:paraId="12D7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7666707">
            <w:pPr>
              <w:spacing w:line="240" w:lineRule="auto"/>
              <w:jc w:val="center"/>
              <w:rPr>
                <w:rFonts w:hint="eastAsia" w:ascii="宋体" w:hAnsi="宋体"/>
                <w:color w:val="auto"/>
                <w:sz w:val="21"/>
                <w:szCs w:val="21"/>
              </w:rPr>
            </w:pPr>
          </w:p>
        </w:tc>
        <w:tc>
          <w:tcPr>
            <w:tcW w:w="8093" w:type="dxa"/>
            <w:gridSpan w:val="5"/>
            <w:vAlign w:val="center"/>
          </w:tcPr>
          <w:p w14:paraId="0E8B58BA">
            <w:pPr>
              <w:spacing w:line="240" w:lineRule="auto"/>
              <w:jc w:val="left"/>
              <w:rPr>
                <w:rFonts w:hint="eastAsia" w:ascii="宋体" w:hAnsi="宋体"/>
                <w:color w:val="auto"/>
                <w:sz w:val="21"/>
                <w:szCs w:val="21"/>
              </w:rPr>
            </w:pPr>
            <w:r>
              <w:rPr>
                <w:rFonts w:hint="eastAsia" w:ascii="宋体" w:hAnsi="宋体"/>
                <w:b/>
                <w:color w:val="auto"/>
                <w:sz w:val="21"/>
                <w:szCs w:val="21"/>
              </w:rPr>
              <w:t>课程思政目标：</w:t>
            </w:r>
            <w:r>
              <w:rPr>
                <w:rFonts w:hint="eastAsia" w:ascii="宋体" w:hAnsi="宋体"/>
                <w:color w:val="auto"/>
                <w:sz w:val="21"/>
                <w:szCs w:val="21"/>
              </w:rPr>
              <w:t>通过辩论等形式提高学生解决问题的能力，学习理性思维，关注社会现象，提高批判思维能力。</w:t>
            </w:r>
          </w:p>
        </w:tc>
      </w:tr>
      <w:tr w14:paraId="16D8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55F561A">
            <w:pPr>
              <w:spacing w:line="240" w:lineRule="auto"/>
              <w:jc w:val="center"/>
              <w:rPr>
                <w:rFonts w:hint="eastAsia" w:ascii="宋体" w:hAnsi="宋体"/>
                <w:color w:val="auto"/>
                <w:sz w:val="21"/>
                <w:szCs w:val="21"/>
              </w:rPr>
            </w:pPr>
            <w:r>
              <w:rPr>
                <w:rFonts w:hint="eastAsia" w:ascii="宋体" w:hAnsi="宋体"/>
                <w:color w:val="auto"/>
                <w:sz w:val="21"/>
                <w:szCs w:val="21"/>
              </w:rPr>
              <w:t>9. 论证</w:t>
            </w:r>
          </w:p>
        </w:tc>
        <w:tc>
          <w:tcPr>
            <w:tcW w:w="1701" w:type="dxa"/>
            <w:vAlign w:val="center"/>
          </w:tcPr>
          <w:p w14:paraId="65771662">
            <w:pPr>
              <w:spacing w:line="240" w:lineRule="auto"/>
              <w:jc w:val="left"/>
              <w:rPr>
                <w:rFonts w:hint="eastAsia" w:ascii="宋体" w:hAnsi="宋体"/>
                <w:color w:val="auto"/>
                <w:sz w:val="21"/>
                <w:szCs w:val="21"/>
              </w:rPr>
            </w:pPr>
            <w:r>
              <w:rPr>
                <w:rFonts w:hint="eastAsia" w:ascii="宋体" w:hAnsi="宋体"/>
                <w:color w:val="auto"/>
                <w:sz w:val="21"/>
                <w:szCs w:val="21"/>
              </w:rPr>
              <w:t>1.证明的种类与规则</w:t>
            </w:r>
          </w:p>
          <w:p w14:paraId="24A2A005">
            <w:pPr>
              <w:spacing w:line="240" w:lineRule="auto"/>
              <w:jc w:val="left"/>
              <w:rPr>
                <w:rFonts w:hint="eastAsia" w:ascii="宋体" w:hAnsi="宋体"/>
                <w:color w:val="auto"/>
                <w:sz w:val="21"/>
                <w:szCs w:val="21"/>
              </w:rPr>
            </w:pPr>
            <w:r>
              <w:rPr>
                <w:rFonts w:hint="eastAsia" w:ascii="宋体" w:hAnsi="宋体"/>
                <w:color w:val="auto"/>
                <w:sz w:val="21"/>
                <w:szCs w:val="21"/>
              </w:rPr>
              <w:t>2.反驳的种类与规则</w:t>
            </w:r>
          </w:p>
        </w:tc>
        <w:tc>
          <w:tcPr>
            <w:tcW w:w="1134" w:type="dxa"/>
            <w:vAlign w:val="center"/>
          </w:tcPr>
          <w:p w14:paraId="0DE1A14F">
            <w:pPr>
              <w:spacing w:line="240" w:lineRule="auto"/>
              <w:jc w:val="center"/>
              <w:rPr>
                <w:rFonts w:hint="eastAsia" w:ascii="宋体" w:hAnsi="宋体"/>
                <w:color w:val="auto"/>
                <w:sz w:val="21"/>
                <w:szCs w:val="21"/>
              </w:rPr>
            </w:pPr>
            <w:r>
              <w:rPr>
                <w:rFonts w:hint="eastAsia" w:ascii="宋体" w:hAnsi="宋体"/>
                <w:color w:val="auto"/>
                <w:sz w:val="21"/>
                <w:szCs w:val="21"/>
              </w:rPr>
              <w:t>课程目标3</w:t>
            </w:r>
          </w:p>
        </w:tc>
        <w:tc>
          <w:tcPr>
            <w:tcW w:w="3260" w:type="dxa"/>
            <w:vAlign w:val="center"/>
          </w:tcPr>
          <w:p w14:paraId="23F5FDBC">
            <w:pPr>
              <w:spacing w:line="240" w:lineRule="auto"/>
              <w:jc w:val="left"/>
              <w:rPr>
                <w:rFonts w:hint="eastAsia" w:ascii="宋体" w:hAnsi="宋体"/>
                <w:color w:val="auto"/>
                <w:sz w:val="21"/>
                <w:szCs w:val="21"/>
              </w:rPr>
            </w:pPr>
            <w:r>
              <w:rPr>
                <w:rFonts w:hint="eastAsia" w:ascii="宋体" w:hAnsi="宋体"/>
                <w:color w:val="auto"/>
                <w:sz w:val="21"/>
                <w:szCs w:val="21"/>
              </w:rPr>
              <w:t>掌握论证的主要方法，能运用论证的方法解决一些基本的现实问题。</w:t>
            </w:r>
          </w:p>
        </w:tc>
        <w:tc>
          <w:tcPr>
            <w:tcW w:w="1560" w:type="dxa"/>
            <w:vAlign w:val="center"/>
          </w:tcPr>
          <w:p w14:paraId="2F13EB51">
            <w:pPr>
              <w:spacing w:line="240" w:lineRule="auto"/>
              <w:jc w:val="left"/>
              <w:rPr>
                <w:rFonts w:hint="eastAsia" w:ascii="宋体" w:hAnsi="宋体"/>
                <w:color w:val="auto"/>
                <w:sz w:val="21"/>
                <w:szCs w:val="21"/>
              </w:rPr>
            </w:pPr>
            <w:r>
              <w:rPr>
                <w:rFonts w:ascii="宋体" w:hAnsi="宋体"/>
                <w:color w:val="auto"/>
                <w:sz w:val="21"/>
                <w:szCs w:val="21"/>
              </w:rPr>
              <w:t>1.线上学习</w:t>
            </w:r>
          </w:p>
          <w:p w14:paraId="2A3749FC">
            <w:pPr>
              <w:spacing w:line="240" w:lineRule="auto"/>
              <w:jc w:val="left"/>
              <w:rPr>
                <w:rFonts w:hint="eastAsia" w:ascii="宋体" w:hAnsi="宋体"/>
                <w:color w:val="auto"/>
                <w:sz w:val="21"/>
                <w:szCs w:val="21"/>
              </w:rPr>
            </w:pPr>
            <w:r>
              <w:rPr>
                <w:rFonts w:ascii="宋体" w:hAnsi="宋体"/>
                <w:color w:val="auto"/>
                <w:sz w:val="21"/>
                <w:szCs w:val="21"/>
              </w:rPr>
              <w:t>2.多媒体教学3.课堂讨论</w:t>
            </w:r>
          </w:p>
          <w:p w14:paraId="261E0DEF">
            <w:pPr>
              <w:spacing w:line="240" w:lineRule="auto"/>
              <w:jc w:val="left"/>
              <w:rPr>
                <w:rFonts w:hint="eastAsia" w:ascii="宋体" w:hAnsi="宋体"/>
                <w:color w:val="auto"/>
                <w:sz w:val="21"/>
                <w:szCs w:val="21"/>
              </w:rPr>
            </w:pPr>
            <w:r>
              <w:rPr>
                <w:rFonts w:ascii="宋体" w:hAnsi="宋体"/>
                <w:color w:val="auto"/>
                <w:sz w:val="21"/>
                <w:szCs w:val="21"/>
              </w:rPr>
              <w:t>4.单元测验</w:t>
            </w:r>
          </w:p>
          <w:p w14:paraId="6A0944F1">
            <w:pPr>
              <w:spacing w:line="240" w:lineRule="auto"/>
              <w:jc w:val="left"/>
              <w:rPr>
                <w:rFonts w:hint="eastAsia" w:ascii="宋体" w:hAnsi="宋体"/>
                <w:color w:val="auto"/>
                <w:sz w:val="21"/>
                <w:szCs w:val="21"/>
              </w:rPr>
            </w:pPr>
            <w:r>
              <w:rPr>
                <w:rFonts w:hint="eastAsia" w:ascii="宋体" w:hAnsi="宋体"/>
                <w:color w:val="auto"/>
                <w:sz w:val="21"/>
                <w:szCs w:val="21"/>
              </w:rPr>
              <w:t>5.课内实践</w:t>
            </w:r>
          </w:p>
        </w:tc>
        <w:tc>
          <w:tcPr>
            <w:tcW w:w="438" w:type="dxa"/>
            <w:vAlign w:val="center"/>
          </w:tcPr>
          <w:p w14:paraId="00A6B775">
            <w:pPr>
              <w:spacing w:line="240" w:lineRule="auto"/>
              <w:jc w:val="center"/>
              <w:rPr>
                <w:rFonts w:hint="eastAsia" w:ascii="宋体" w:hAnsi="宋体"/>
                <w:color w:val="auto"/>
                <w:sz w:val="21"/>
                <w:szCs w:val="21"/>
              </w:rPr>
            </w:pPr>
            <w:r>
              <w:rPr>
                <w:rFonts w:hint="eastAsia" w:ascii="宋体" w:hAnsi="宋体"/>
                <w:color w:val="auto"/>
                <w:sz w:val="21"/>
                <w:szCs w:val="21"/>
              </w:rPr>
              <w:t>4</w:t>
            </w:r>
          </w:p>
        </w:tc>
      </w:tr>
      <w:tr w14:paraId="62BC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31E8ACA">
            <w:pPr>
              <w:spacing w:line="240" w:lineRule="auto"/>
              <w:jc w:val="center"/>
              <w:rPr>
                <w:rFonts w:hint="eastAsia" w:ascii="宋体" w:hAnsi="宋体"/>
                <w:color w:val="auto"/>
                <w:sz w:val="21"/>
                <w:szCs w:val="21"/>
              </w:rPr>
            </w:pPr>
          </w:p>
        </w:tc>
        <w:tc>
          <w:tcPr>
            <w:tcW w:w="8093" w:type="dxa"/>
            <w:gridSpan w:val="5"/>
            <w:vAlign w:val="center"/>
          </w:tcPr>
          <w:p w14:paraId="15BF30B4">
            <w:pPr>
              <w:spacing w:line="240" w:lineRule="auto"/>
              <w:jc w:val="left"/>
              <w:rPr>
                <w:rFonts w:hint="eastAsia" w:ascii="宋体" w:hAnsi="宋体"/>
                <w:color w:val="auto"/>
                <w:sz w:val="21"/>
                <w:szCs w:val="21"/>
              </w:rPr>
            </w:pPr>
            <w:r>
              <w:rPr>
                <w:rFonts w:hint="eastAsia" w:ascii="宋体" w:hAnsi="宋体"/>
                <w:b/>
                <w:color w:val="auto"/>
                <w:sz w:val="21"/>
                <w:szCs w:val="21"/>
              </w:rPr>
              <w:t>课程思政目标：</w:t>
            </w:r>
            <w:r>
              <w:rPr>
                <w:rFonts w:hint="eastAsia" w:ascii="宋体" w:hAnsi="宋体"/>
                <w:color w:val="auto"/>
                <w:sz w:val="21"/>
                <w:szCs w:val="21"/>
              </w:rPr>
              <w:t>通过例证渗透爱国主义思想，社会主义核心价值观，分析不当言论的逻辑错误，通过辩论等形式提高学生解决问题的能力，学习理性思维，关注社会现象，提高批判思维能力。</w:t>
            </w:r>
          </w:p>
        </w:tc>
      </w:tr>
    </w:tbl>
    <w:p w14:paraId="049DF50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四、课内实践</w:t>
      </w:r>
    </w:p>
    <w:tbl>
      <w:tblPr>
        <w:tblStyle w:val="15"/>
        <w:tblW w:w="85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009"/>
        <w:gridCol w:w="5834"/>
        <w:gridCol w:w="815"/>
      </w:tblGrid>
      <w:tr w14:paraId="365B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48" w:type="dxa"/>
            <w:shd w:val="clear" w:color="auto" w:fill="FFFFFF"/>
            <w:vAlign w:val="center"/>
          </w:tcPr>
          <w:p w14:paraId="3ACE6C4E">
            <w:pPr>
              <w:jc w:val="center"/>
              <w:rPr>
                <w:bCs/>
                <w:color w:val="auto"/>
                <w:spacing w:val="-20"/>
                <w:szCs w:val="21"/>
              </w:rPr>
            </w:pPr>
            <w:r>
              <w:rPr>
                <w:bCs/>
                <w:color w:val="auto"/>
                <w:spacing w:val="-20"/>
                <w:szCs w:val="21"/>
              </w:rPr>
              <w:t>序号</w:t>
            </w:r>
          </w:p>
        </w:tc>
        <w:tc>
          <w:tcPr>
            <w:tcW w:w="1009" w:type="dxa"/>
            <w:shd w:val="clear" w:color="auto" w:fill="FFFFFF"/>
            <w:vAlign w:val="center"/>
          </w:tcPr>
          <w:p w14:paraId="1C1DC6DA">
            <w:pPr>
              <w:jc w:val="center"/>
              <w:rPr>
                <w:bCs/>
                <w:color w:val="auto"/>
                <w:szCs w:val="21"/>
              </w:rPr>
            </w:pPr>
            <w:r>
              <w:rPr>
                <w:bCs/>
                <w:color w:val="auto"/>
                <w:szCs w:val="21"/>
              </w:rPr>
              <w:t>项目名称</w:t>
            </w:r>
          </w:p>
        </w:tc>
        <w:tc>
          <w:tcPr>
            <w:tcW w:w="5834" w:type="dxa"/>
            <w:shd w:val="clear" w:color="auto" w:fill="FFFFFF"/>
            <w:vAlign w:val="center"/>
          </w:tcPr>
          <w:p w14:paraId="3D625CDB">
            <w:pPr>
              <w:jc w:val="center"/>
              <w:rPr>
                <w:bCs/>
                <w:color w:val="auto"/>
                <w:szCs w:val="21"/>
              </w:rPr>
            </w:pPr>
            <w:r>
              <w:rPr>
                <w:rFonts w:hint="eastAsia"/>
                <w:bCs/>
                <w:color w:val="auto"/>
                <w:szCs w:val="21"/>
              </w:rPr>
              <w:t>实践</w:t>
            </w:r>
            <w:r>
              <w:rPr>
                <w:bCs/>
                <w:color w:val="auto"/>
                <w:szCs w:val="21"/>
              </w:rPr>
              <w:t>内容及要求</w:t>
            </w:r>
          </w:p>
        </w:tc>
        <w:tc>
          <w:tcPr>
            <w:tcW w:w="815" w:type="dxa"/>
            <w:shd w:val="clear" w:color="auto" w:fill="FFFFFF"/>
            <w:vAlign w:val="center"/>
          </w:tcPr>
          <w:p w14:paraId="0191183A">
            <w:pPr>
              <w:jc w:val="center"/>
              <w:rPr>
                <w:bCs/>
                <w:color w:val="auto"/>
                <w:szCs w:val="21"/>
              </w:rPr>
            </w:pPr>
            <w:r>
              <w:rPr>
                <w:bCs/>
                <w:color w:val="auto"/>
                <w:szCs w:val="21"/>
              </w:rPr>
              <w:t>学时</w:t>
            </w:r>
          </w:p>
        </w:tc>
      </w:tr>
      <w:tr w14:paraId="7C36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48" w:type="dxa"/>
            <w:tcBorders>
              <w:top w:val="single" w:color="auto" w:sz="4" w:space="0"/>
              <w:bottom w:val="single" w:color="auto" w:sz="4" w:space="0"/>
              <w:right w:val="single" w:color="auto" w:sz="4" w:space="0"/>
            </w:tcBorders>
            <w:vAlign w:val="center"/>
          </w:tcPr>
          <w:p w14:paraId="5F26C6C2">
            <w:pPr>
              <w:ind w:firstLine="200"/>
              <w:jc w:val="center"/>
              <w:rPr>
                <w:rFonts w:hint="eastAsia" w:ascii="新宋体" w:hAnsi="新宋体" w:eastAsia="新宋体"/>
                <w:color w:val="auto"/>
                <w:szCs w:val="21"/>
              </w:rPr>
            </w:pPr>
            <w:r>
              <w:rPr>
                <w:rFonts w:hint="eastAsia" w:ascii="新宋体" w:hAnsi="新宋体" w:eastAsia="新宋体"/>
                <w:color w:val="auto"/>
                <w:szCs w:val="21"/>
              </w:rPr>
              <w:t>1</w:t>
            </w:r>
          </w:p>
        </w:tc>
        <w:tc>
          <w:tcPr>
            <w:tcW w:w="1009" w:type="dxa"/>
            <w:tcBorders>
              <w:top w:val="single" w:color="auto" w:sz="4" w:space="0"/>
              <w:left w:val="single" w:color="auto" w:sz="4" w:space="0"/>
              <w:bottom w:val="single" w:color="auto" w:sz="4" w:space="0"/>
              <w:right w:val="single" w:color="auto" w:sz="4" w:space="0"/>
            </w:tcBorders>
            <w:vAlign w:val="center"/>
          </w:tcPr>
          <w:p w14:paraId="6DA3DE49">
            <w:pPr>
              <w:keepNext w:val="0"/>
              <w:keepLines w:val="0"/>
              <w:pageBreakBefore w:val="0"/>
              <w:widowControl w:val="0"/>
              <w:kinsoku/>
              <w:wordWrap/>
              <w:overflowPunct/>
              <w:topLinePunct w:val="0"/>
              <w:autoSpaceDE/>
              <w:autoSpaceDN/>
              <w:bidi w:val="0"/>
              <w:adjustRightInd w:val="0"/>
              <w:snapToGrid/>
              <w:ind w:firstLine="0"/>
              <w:jc w:val="center"/>
              <w:textAlignment w:val="auto"/>
              <w:rPr>
                <w:rFonts w:hint="eastAsia" w:ascii="新宋体" w:hAnsi="新宋体" w:eastAsia="新宋体"/>
                <w:bCs/>
                <w:color w:val="auto"/>
                <w:szCs w:val="21"/>
              </w:rPr>
            </w:pPr>
            <w:r>
              <w:rPr>
                <w:rFonts w:hint="eastAsia" w:ascii="新宋体" w:hAnsi="新宋体" w:eastAsia="新宋体"/>
                <w:color w:val="auto"/>
                <w:szCs w:val="21"/>
              </w:rPr>
              <w:t>观摩辩论赛</w:t>
            </w:r>
          </w:p>
        </w:tc>
        <w:tc>
          <w:tcPr>
            <w:tcW w:w="5834" w:type="dxa"/>
            <w:tcBorders>
              <w:top w:val="single" w:color="auto" w:sz="4" w:space="0"/>
              <w:left w:val="single" w:color="auto" w:sz="4" w:space="0"/>
              <w:bottom w:val="single" w:color="auto" w:sz="4" w:space="0"/>
              <w:right w:val="single" w:color="auto" w:sz="4" w:space="0"/>
            </w:tcBorders>
            <w:vAlign w:val="center"/>
          </w:tcPr>
          <w:p w14:paraId="4293803E">
            <w:pPr>
              <w:keepNext w:val="0"/>
              <w:keepLines w:val="0"/>
              <w:pageBreakBefore w:val="0"/>
              <w:widowControl w:val="0"/>
              <w:kinsoku/>
              <w:wordWrap/>
              <w:overflowPunct/>
              <w:topLinePunct w:val="0"/>
              <w:autoSpaceDE/>
              <w:autoSpaceDN/>
              <w:bidi w:val="0"/>
              <w:adjustRightInd/>
              <w:snapToGrid/>
              <w:ind w:firstLine="0"/>
              <w:textAlignment w:val="auto"/>
              <w:rPr>
                <w:rFonts w:hint="eastAsia" w:ascii="新宋体" w:hAnsi="新宋体" w:eastAsia="新宋体"/>
                <w:color w:val="auto"/>
                <w:szCs w:val="21"/>
              </w:rPr>
            </w:pPr>
            <w:r>
              <w:rPr>
                <w:rFonts w:hint="eastAsia" w:ascii="新宋体" w:hAnsi="新宋体" w:eastAsia="新宋体"/>
                <w:color w:val="auto"/>
                <w:szCs w:val="21"/>
              </w:rPr>
              <w:t>实践内容：观看世界大学生辩论赛的一场比赛录像</w:t>
            </w:r>
          </w:p>
          <w:p w14:paraId="2FABAFC1">
            <w:pPr>
              <w:keepNext w:val="0"/>
              <w:keepLines w:val="0"/>
              <w:pageBreakBefore w:val="0"/>
              <w:widowControl w:val="0"/>
              <w:kinsoku/>
              <w:wordWrap/>
              <w:overflowPunct/>
              <w:topLinePunct w:val="0"/>
              <w:autoSpaceDE/>
              <w:autoSpaceDN/>
              <w:bidi w:val="0"/>
              <w:adjustRightInd/>
              <w:snapToGrid/>
              <w:ind w:firstLine="0"/>
              <w:textAlignment w:val="auto"/>
              <w:rPr>
                <w:rFonts w:hint="eastAsia" w:ascii="新宋体" w:hAnsi="新宋体" w:eastAsia="新宋体"/>
                <w:color w:val="auto"/>
                <w:szCs w:val="21"/>
              </w:rPr>
            </w:pPr>
            <w:r>
              <w:rPr>
                <w:rFonts w:hint="eastAsia" w:ascii="新宋体" w:hAnsi="新宋体" w:eastAsia="新宋体"/>
                <w:color w:val="auto"/>
                <w:szCs w:val="21"/>
              </w:rPr>
              <w:t>实践要求：（1）知道辩论赛流程</w:t>
            </w:r>
          </w:p>
          <w:p w14:paraId="688241CC">
            <w:pPr>
              <w:keepNext w:val="0"/>
              <w:keepLines w:val="0"/>
              <w:pageBreakBefore w:val="0"/>
              <w:widowControl w:val="0"/>
              <w:kinsoku/>
              <w:wordWrap/>
              <w:overflowPunct/>
              <w:topLinePunct w:val="0"/>
              <w:autoSpaceDE/>
              <w:autoSpaceDN/>
              <w:bidi w:val="0"/>
              <w:adjustRightInd/>
              <w:snapToGrid/>
              <w:ind w:firstLine="0"/>
              <w:textAlignment w:val="auto"/>
              <w:rPr>
                <w:rFonts w:hint="eastAsia" w:ascii="新宋体" w:hAnsi="新宋体" w:eastAsia="新宋体"/>
                <w:color w:val="auto"/>
                <w:szCs w:val="21"/>
              </w:rPr>
            </w:pPr>
            <w:r>
              <w:rPr>
                <w:rFonts w:hint="eastAsia" w:ascii="新宋体" w:hAnsi="新宋体" w:eastAsia="新宋体"/>
                <w:color w:val="auto"/>
                <w:szCs w:val="21"/>
              </w:rPr>
              <w:t>（2）讨论辩论赛中双方的论点和论据，并能做出相应的评论</w:t>
            </w:r>
          </w:p>
          <w:p w14:paraId="68232246">
            <w:pPr>
              <w:keepNext w:val="0"/>
              <w:keepLines w:val="0"/>
              <w:pageBreakBefore w:val="0"/>
              <w:widowControl w:val="0"/>
              <w:kinsoku/>
              <w:wordWrap/>
              <w:overflowPunct/>
              <w:topLinePunct w:val="0"/>
              <w:autoSpaceDE/>
              <w:autoSpaceDN/>
              <w:bidi w:val="0"/>
              <w:adjustRightInd/>
              <w:snapToGrid/>
              <w:ind w:firstLine="0"/>
              <w:textAlignment w:val="auto"/>
              <w:rPr>
                <w:rFonts w:hint="eastAsia" w:ascii="新宋体" w:hAnsi="新宋体" w:eastAsia="新宋体"/>
                <w:color w:val="auto"/>
                <w:szCs w:val="21"/>
              </w:rPr>
            </w:pPr>
            <w:r>
              <w:rPr>
                <w:rFonts w:hint="eastAsia" w:ascii="新宋体" w:hAnsi="新宋体" w:eastAsia="新宋体"/>
                <w:color w:val="auto"/>
                <w:szCs w:val="21"/>
              </w:rPr>
              <w:t>（3）选一个辩手角色模拟练习</w:t>
            </w:r>
          </w:p>
        </w:tc>
        <w:tc>
          <w:tcPr>
            <w:tcW w:w="815" w:type="dxa"/>
            <w:vAlign w:val="center"/>
          </w:tcPr>
          <w:p w14:paraId="26E6B83D">
            <w:pPr>
              <w:jc w:val="center"/>
              <w:rPr>
                <w:bCs/>
                <w:color w:val="auto"/>
                <w:szCs w:val="21"/>
              </w:rPr>
            </w:pPr>
            <w:r>
              <w:rPr>
                <w:rFonts w:hint="eastAsia"/>
                <w:bCs/>
                <w:color w:val="auto"/>
                <w:szCs w:val="21"/>
              </w:rPr>
              <w:t>4</w:t>
            </w:r>
          </w:p>
        </w:tc>
      </w:tr>
      <w:tr w14:paraId="11BD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48" w:type="dxa"/>
            <w:tcBorders>
              <w:top w:val="single" w:color="auto" w:sz="4" w:space="0"/>
              <w:bottom w:val="single" w:color="auto" w:sz="4" w:space="0"/>
              <w:right w:val="single" w:color="auto" w:sz="4" w:space="0"/>
            </w:tcBorders>
            <w:vAlign w:val="center"/>
          </w:tcPr>
          <w:p w14:paraId="5CE524E1">
            <w:pPr>
              <w:ind w:firstLine="200"/>
              <w:jc w:val="center"/>
              <w:rPr>
                <w:rFonts w:hint="eastAsia" w:ascii="新宋体" w:hAnsi="新宋体" w:eastAsia="新宋体"/>
                <w:color w:val="auto"/>
                <w:szCs w:val="21"/>
              </w:rPr>
            </w:pPr>
            <w:r>
              <w:rPr>
                <w:rFonts w:hint="eastAsia" w:ascii="新宋体" w:hAnsi="新宋体" w:eastAsia="新宋体"/>
                <w:color w:val="auto"/>
                <w:szCs w:val="21"/>
              </w:rPr>
              <w:t>2</w:t>
            </w:r>
          </w:p>
        </w:tc>
        <w:tc>
          <w:tcPr>
            <w:tcW w:w="1009" w:type="dxa"/>
            <w:tcBorders>
              <w:top w:val="single" w:color="auto" w:sz="4" w:space="0"/>
              <w:left w:val="single" w:color="auto" w:sz="4" w:space="0"/>
              <w:bottom w:val="single" w:color="auto" w:sz="4" w:space="0"/>
              <w:right w:val="single" w:color="auto" w:sz="4" w:space="0"/>
            </w:tcBorders>
            <w:vAlign w:val="center"/>
          </w:tcPr>
          <w:p w14:paraId="5B62041D">
            <w:pPr>
              <w:keepNext w:val="0"/>
              <w:keepLines w:val="0"/>
              <w:pageBreakBefore w:val="0"/>
              <w:widowControl w:val="0"/>
              <w:kinsoku/>
              <w:wordWrap/>
              <w:overflowPunct/>
              <w:topLinePunct w:val="0"/>
              <w:autoSpaceDE/>
              <w:autoSpaceDN/>
              <w:bidi w:val="0"/>
              <w:adjustRightInd w:val="0"/>
              <w:snapToGrid/>
              <w:ind w:firstLine="0"/>
              <w:jc w:val="center"/>
              <w:textAlignment w:val="auto"/>
              <w:rPr>
                <w:rFonts w:hint="eastAsia" w:ascii="宋体" w:hAnsi="宋体"/>
                <w:bCs/>
                <w:color w:val="auto"/>
                <w:szCs w:val="21"/>
              </w:rPr>
            </w:pPr>
            <w:r>
              <w:rPr>
                <w:rFonts w:hint="eastAsia" w:ascii="宋体" w:hAnsi="宋体"/>
                <w:bCs/>
                <w:color w:val="auto"/>
                <w:szCs w:val="21"/>
              </w:rPr>
              <w:t>辩题</w:t>
            </w:r>
          </w:p>
          <w:p w14:paraId="5DC4BCF4">
            <w:pPr>
              <w:keepNext w:val="0"/>
              <w:keepLines w:val="0"/>
              <w:pageBreakBefore w:val="0"/>
              <w:widowControl w:val="0"/>
              <w:kinsoku/>
              <w:wordWrap/>
              <w:overflowPunct/>
              <w:topLinePunct w:val="0"/>
              <w:autoSpaceDE/>
              <w:autoSpaceDN/>
              <w:bidi w:val="0"/>
              <w:adjustRightInd w:val="0"/>
              <w:snapToGrid/>
              <w:ind w:firstLine="0"/>
              <w:jc w:val="center"/>
              <w:textAlignment w:val="auto"/>
              <w:rPr>
                <w:rFonts w:hint="eastAsia" w:ascii="宋体" w:hAnsi="宋体"/>
                <w:bCs/>
                <w:color w:val="auto"/>
                <w:szCs w:val="21"/>
              </w:rPr>
            </w:pPr>
            <w:r>
              <w:rPr>
                <w:rFonts w:hint="eastAsia" w:ascii="宋体" w:hAnsi="宋体"/>
                <w:bCs/>
                <w:color w:val="auto"/>
                <w:szCs w:val="21"/>
              </w:rPr>
              <w:t>设计</w:t>
            </w:r>
          </w:p>
        </w:tc>
        <w:tc>
          <w:tcPr>
            <w:tcW w:w="5834" w:type="dxa"/>
            <w:tcBorders>
              <w:top w:val="single" w:color="auto" w:sz="4" w:space="0"/>
              <w:left w:val="single" w:color="auto" w:sz="4" w:space="0"/>
              <w:bottom w:val="single" w:color="auto" w:sz="4" w:space="0"/>
              <w:right w:val="single" w:color="auto" w:sz="4" w:space="0"/>
            </w:tcBorders>
            <w:vAlign w:val="center"/>
          </w:tcPr>
          <w:p w14:paraId="5F91C816">
            <w:pPr>
              <w:keepNext w:val="0"/>
              <w:keepLines w:val="0"/>
              <w:pageBreakBefore w:val="0"/>
              <w:widowControl w:val="0"/>
              <w:kinsoku/>
              <w:wordWrap/>
              <w:overflowPunct/>
              <w:topLinePunct w:val="0"/>
              <w:autoSpaceDE/>
              <w:autoSpaceDN/>
              <w:bidi w:val="0"/>
              <w:adjustRightInd/>
              <w:snapToGrid/>
              <w:ind w:firstLine="0"/>
              <w:textAlignment w:val="auto"/>
              <w:rPr>
                <w:rFonts w:hint="eastAsia" w:ascii="宋体" w:hAnsi="宋体"/>
                <w:color w:val="auto"/>
                <w:szCs w:val="21"/>
              </w:rPr>
            </w:pPr>
            <w:r>
              <w:rPr>
                <w:rFonts w:hint="eastAsia" w:ascii="宋体" w:hAnsi="宋体"/>
                <w:color w:val="auto"/>
                <w:szCs w:val="21"/>
              </w:rPr>
              <w:t>实践内容：分小组查找相关资料，结合专业特点，提出两个以上的辩题，并对正反双方的辩题进行讨论</w:t>
            </w:r>
          </w:p>
          <w:p w14:paraId="76B5DFF6">
            <w:pPr>
              <w:keepNext w:val="0"/>
              <w:keepLines w:val="0"/>
              <w:pageBreakBefore w:val="0"/>
              <w:widowControl w:val="0"/>
              <w:kinsoku/>
              <w:wordWrap/>
              <w:overflowPunct/>
              <w:topLinePunct w:val="0"/>
              <w:autoSpaceDE/>
              <w:autoSpaceDN/>
              <w:bidi w:val="0"/>
              <w:adjustRightInd/>
              <w:snapToGrid/>
              <w:ind w:firstLine="0"/>
              <w:textAlignment w:val="auto"/>
              <w:rPr>
                <w:rFonts w:hint="eastAsia" w:ascii="宋体" w:hAnsi="宋体"/>
                <w:color w:val="auto"/>
                <w:szCs w:val="21"/>
              </w:rPr>
            </w:pPr>
            <w:r>
              <w:rPr>
                <w:rFonts w:hint="eastAsia" w:ascii="宋体" w:hAnsi="宋体"/>
                <w:color w:val="auto"/>
                <w:szCs w:val="21"/>
              </w:rPr>
              <w:t>实践要求：（1）辩题结合专业特点，无方向性错误</w:t>
            </w:r>
          </w:p>
          <w:p w14:paraId="3A5DD6C1">
            <w:pPr>
              <w:keepNext w:val="0"/>
              <w:keepLines w:val="0"/>
              <w:pageBreakBefore w:val="0"/>
              <w:widowControl w:val="0"/>
              <w:kinsoku/>
              <w:wordWrap/>
              <w:overflowPunct/>
              <w:topLinePunct w:val="0"/>
              <w:autoSpaceDE/>
              <w:autoSpaceDN/>
              <w:bidi w:val="0"/>
              <w:adjustRightInd/>
              <w:snapToGrid/>
              <w:ind w:firstLine="0"/>
              <w:textAlignment w:val="auto"/>
              <w:rPr>
                <w:rFonts w:hint="eastAsia" w:ascii="宋体" w:hAnsi="宋体"/>
                <w:color w:val="auto"/>
                <w:szCs w:val="21"/>
              </w:rPr>
            </w:pPr>
            <w:r>
              <w:rPr>
                <w:rFonts w:hint="eastAsia" w:ascii="宋体" w:hAnsi="宋体"/>
                <w:color w:val="auto"/>
                <w:szCs w:val="21"/>
              </w:rPr>
              <w:t>（2）小组合作分工合理</w:t>
            </w:r>
          </w:p>
          <w:p w14:paraId="3D0483A7">
            <w:pPr>
              <w:keepNext w:val="0"/>
              <w:keepLines w:val="0"/>
              <w:pageBreakBefore w:val="0"/>
              <w:widowControl w:val="0"/>
              <w:kinsoku/>
              <w:wordWrap/>
              <w:overflowPunct/>
              <w:topLinePunct w:val="0"/>
              <w:autoSpaceDE/>
              <w:autoSpaceDN/>
              <w:bidi w:val="0"/>
              <w:adjustRightInd/>
              <w:snapToGrid/>
              <w:ind w:firstLine="0"/>
              <w:textAlignment w:val="auto"/>
              <w:rPr>
                <w:rFonts w:hint="eastAsia" w:ascii="宋体" w:hAnsi="宋体"/>
                <w:color w:val="auto"/>
                <w:szCs w:val="21"/>
              </w:rPr>
            </w:pPr>
            <w:r>
              <w:rPr>
                <w:rFonts w:hint="eastAsia" w:ascii="宋体" w:hAnsi="宋体"/>
                <w:color w:val="auto"/>
                <w:szCs w:val="21"/>
              </w:rPr>
              <w:t>（3）辩题具有逻辑性</w:t>
            </w:r>
          </w:p>
        </w:tc>
        <w:tc>
          <w:tcPr>
            <w:tcW w:w="815" w:type="dxa"/>
            <w:vAlign w:val="center"/>
          </w:tcPr>
          <w:p w14:paraId="713B79D4">
            <w:pPr>
              <w:jc w:val="center"/>
              <w:rPr>
                <w:bCs/>
                <w:color w:val="auto"/>
                <w:szCs w:val="21"/>
              </w:rPr>
            </w:pPr>
            <w:r>
              <w:rPr>
                <w:rFonts w:hint="eastAsia"/>
                <w:bCs/>
                <w:color w:val="auto"/>
                <w:szCs w:val="21"/>
              </w:rPr>
              <w:t>3</w:t>
            </w:r>
          </w:p>
        </w:tc>
      </w:tr>
      <w:tr w14:paraId="3E9C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48" w:type="dxa"/>
            <w:tcBorders>
              <w:top w:val="single" w:color="auto" w:sz="4" w:space="0"/>
              <w:bottom w:val="single" w:color="auto" w:sz="4" w:space="0"/>
              <w:right w:val="single" w:color="auto" w:sz="4" w:space="0"/>
            </w:tcBorders>
            <w:vAlign w:val="center"/>
          </w:tcPr>
          <w:p w14:paraId="33452EA1">
            <w:pPr>
              <w:ind w:firstLine="200"/>
              <w:jc w:val="center"/>
              <w:rPr>
                <w:rFonts w:hint="eastAsia" w:ascii="宋体" w:hAnsi="宋体"/>
                <w:color w:val="auto"/>
                <w:szCs w:val="21"/>
              </w:rPr>
            </w:pPr>
            <w:r>
              <w:rPr>
                <w:rFonts w:hint="eastAsia" w:ascii="宋体" w:hAnsi="宋体"/>
                <w:color w:val="auto"/>
                <w:szCs w:val="21"/>
              </w:rPr>
              <w:t>3</w:t>
            </w:r>
          </w:p>
        </w:tc>
        <w:tc>
          <w:tcPr>
            <w:tcW w:w="1009" w:type="dxa"/>
            <w:tcBorders>
              <w:top w:val="single" w:color="auto" w:sz="4" w:space="0"/>
              <w:left w:val="single" w:color="auto" w:sz="4" w:space="0"/>
              <w:bottom w:val="single" w:color="auto" w:sz="4" w:space="0"/>
              <w:right w:val="single" w:color="auto" w:sz="4" w:space="0"/>
            </w:tcBorders>
            <w:vAlign w:val="center"/>
          </w:tcPr>
          <w:p w14:paraId="001AB74D">
            <w:pPr>
              <w:keepNext w:val="0"/>
              <w:keepLines w:val="0"/>
              <w:pageBreakBefore w:val="0"/>
              <w:widowControl w:val="0"/>
              <w:kinsoku/>
              <w:wordWrap/>
              <w:overflowPunct/>
              <w:topLinePunct w:val="0"/>
              <w:autoSpaceDE/>
              <w:autoSpaceDN/>
              <w:bidi w:val="0"/>
              <w:adjustRightInd w:val="0"/>
              <w:snapToGrid/>
              <w:ind w:firstLine="0"/>
              <w:jc w:val="center"/>
              <w:textAlignment w:val="auto"/>
              <w:rPr>
                <w:rFonts w:hint="eastAsia" w:ascii="宋体" w:hAnsi="宋体"/>
                <w:bCs/>
                <w:color w:val="auto"/>
                <w:szCs w:val="21"/>
              </w:rPr>
            </w:pPr>
            <w:r>
              <w:rPr>
                <w:rFonts w:hint="eastAsia" w:ascii="宋体" w:hAnsi="宋体"/>
                <w:bCs/>
                <w:color w:val="auto"/>
                <w:szCs w:val="21"/>
              </w:rPr>
              <w:t>辩论赛</w:t>
            </w:r>
          </w:p>
        </w:tc>
        <w:tc>
          <w:tcPr>
            <w:tcW w:w="5834" w:type="dxa"/>
            <w:tcBorders>
              <w:top w:val="single" w:color="auto" w:sz="4" w:space="0"/>
              <w:left w:val="single" w:color="auto" w:sz="4" w:space="0"/>
              <w:bottom w:val="single" w:color="auto" w:sz="4" w:space="0"/>
              <w:right w:val="single" w:color="auto" w:sz="4" w:space="0"/>
            </w:tcBorders>
            <w:vAlign w:val="center"/>
          </w:tcPr>
          <w:p w14:paraId="1BF6AC2A">
            <w:pPr>
              <w:keepNext w:val="0"/>
              <w:keepLines w:val="0"/>
              <w:pageBreakBefore w:val="0"/>
              <w:widowControl w:val="0"/>
              <w:kinsoku/>
              <w:wordWrap/>
              <w:overflowPunct/>
              <w:topLinePunct w:val="0"/>
              <w:autoSpaceDE/>
              <w:autoSpaceDN/>
              <w:bidi w:val="0"/>
              <w:adjustRightInd/>
              <w:snapToGrid/>
              <w:ind w:firstLine="0"/>
              <w:textAlignment w:val="auto"/>
              <w:rPr>
                <w:rFonts w:hint="eastAsia" w:ascii="宋体" w:hAnsi="宋体"/>
                <w:color w:val="auto"/>
                <w:szCs w:val="21"/>
              </w:rPr>
            </w:pPr>
            <w:r>
              <w:rPr>
                <w:rFonts w:hint="eastAsia" w:ascii="宋体" w:hAnsi="宋体"/>
                <w:color w:val="auto"/>
                <w:szCs w:val="21"/>
              </w:rPr>
              <w:t>实践内容：以小组为单位，在班内开展辩论赛活动</w:t>
            </w:r>
          </w:p>
          <w:p w14:paraId="61377AA9">
            <w:pPr>
              <w:keepNext w:val="0"/>
              <w:keepLines w:val="0"/>
              <w:pageBreakBefore w:val="0"/>
              <w:widowControl w:val="0"/>
              <w:kinsoku/>
              <w:wordWrap/>
              <w:overflowPunct/>
              <w:topLinePunct w:val="0"/>
              <w:autoSpaceDE/>
              <w:autoSpaceDN/>
              <w:bidi w:val="0"/>
              <w:adjustRightInd/>
              <w:snapToGrid/>
              <w:ind w:firstLine="0"/>
              <w:textAlignment w:val="auto"/>
              <w:rPr>
                <w:rFonts w:hint="eastAsia" w:ascii="宋体" w:hAnsi="宋体"/>
                <w:color w:val="auto"/>
                <w:szCs w:val="21"/>
              </w:rPr>
            </w:pPr>
            <w:r>
              <w:rPr>
                <w:rFonts w:hint="eastAsia" w:ascii="宋体" w:hAnsi="宋体"/>
                <w:color w:val="auto"/>
                <w:szCs w:val="21"/>
              </w:rPr>
              <w:t>实践要求：（1）活动安排组织流程清楚，能顺利进行比赛</w:t>
            </w:r>
          </w:p>
          <w:p w14:paraId="28697E7C">
            <w:pPr>
              <w:keepNext w:val="0"/>
              <w:keepLines w:val="0"/>
              <w:pageBreakBefore w:val="0"/>
              <w:widowControl w:val="0"/>
              <w:kinsoku/>
              <w:wordWrap/>
              <w:overflowPunct/>
              <w:topLinePunct w:val="0"/>
              <w:autoSpaceDE/>
              <w:autoSpaceDN/>
              <w:bidi w:val="0"/>
              <w:adjustRightInd/>
              <w:snapToGrid/>
              <w:ind w:firstLine="0"/>
              <w:textAlignment w:val="auto"/>
              <w:rPr>
                <w:rFonts w:hint="eastAsia" w:ascii="宋体" w:hAnsi="宋体"/>
                <w:color w:val="auto"/>
                <w:szCs w:val="21"/>
              </w:rPr>
            </w:pPr>
            <w:r>
              <w:rPr>
                <w:rFonts w:hint="eastAsia" w:ascii="宋体" w:hAnsi="宋体"/>
                <w:color w:val="auto"/>
                <w:szCs w:val="21"/>
              </w:rPr>
              <w:t>（2）比赛准备充分，学生参与度高</w:t>
            </w:r>
          </w:p>
        </w:tc>
        <w:tc>
          <w:tcPr>
            <w:tcW w:w="815" w:type="dxa"/>
            <w:vAlign w:val="center"/>
          </w:tcPr>
          <w:p w14:paraId="722633C2">
            <w:pPr>
              <w:jc w:val="center"/>
              <w:rPr>
                <w:rFonts w:hint="eastAsia" w:ascii="宋体" w:hAnsi="宋体"/>
                <w:bCs/>
                <w:color w:val="auto"/>
                <w:szCs w:val="21"/>
              </w:rPr>
            </w:pPr>
            <w:r>
              <w:rPr>
                <w:rFonts w:hint="eastAsia" w:ascii="宋体" w:hAnsi="宋体"/>
                <w:bCs/>
                <w:color w:val="auto"/>
                <w:szCs w:val="21"/>
              </w:rPr>
              <w:t>3</w:t>
            </w:r>
          </w:p>
        </w:tc>
      </w:tr>
      <w:tr w14:paraId="742A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857" w:type="dxa"/>
            <w:gridSpan w:val="2"/>
            <w:tcBorders>
              <w:top w:val="single" w:color="auto" w:sz="4" w:space="0"/>
              <w:bottom w:val="single" w:color="auto" w:sz="4" w:space="0"/>
              <w:right w:val="single" w:color="auto" w:sz="4" w:space="0"/>
            </w:tcBorders>
            <w:vAlign w:val="center"/>
          </w:tcPr>
          <w:p w14:paraId="191C75D2">
            <w:pPr>
              <w:adjustRightInd w:val="0"/>
              <w:ind w:firstLine="198"/>
              <w:rPr>
                <w:rFonts w:hint="eastAsia" w:ascii="新宋体" w:hAnsi="新宋体" w:eastAsia="新宋体"/>
                <w:bCs/>
                <w:color w:val="auto"/>
                <w:szCs w:val="21"/>
              </w:rPr>
            </w:pPr>
            <w:r>
              <w:rPr>
                <w:rFonts w:hint="eastAsia" w:ascii="新宋体" w:hAnsi="新宋体" w:eastAsia="新宋体"/>
                <w:bCs/>
                <w:color w:val="auto"/>
                <w:szCs w:val="21"/>
              </w:rPr>
              <w:t>合计</w:t>
            </w:r>
          </w:p>
        </w:tc>
        <w:tc>
          <w:tcPr>
            <w:tcW w:w="5834" w:type="dxa"/>
            <w:tcBorders>
              <w:top w:val="single" w:color="auto" w:sz="4" w:space="0"/>
              <w:left w:val="single" w:color="auto" w:sz="4" w:space="0"/>
              <w:bottom w:val="single" w:color="auto" w:sz="4" w:space="0"/>
              <w:right w:val="single" w:color="auto" w:sz="4" w:space="0"/>
            </w:tcBorders>
            <w:vAlign w:val="center"/>
          </w:tcPr>
          <w:p w14:paraId="73E0C8DC">
            <w:pPr>
              <w:ind w:firstLine="200"/>
              <w:rPr>
                <w:rFonts w:hint="eastAsia" w:ascii="新宋体" w:hAnsi="新宋体" w:eastAsia="新宋体"/>
                <w:color w:val="auto"/>
                <w:szCs w:val="21"/>
              </w:rPr>
            </w:pPr>
          </w:p>
        </w:tc>
        <w:tc>
          <w:tcPr>
            <w:tcW w:w="815" w:type="dxa"/>
            <w:vAlign w:val="center"/>
          </w:tcPr>
          <w:p w14:paraId="11869C62">
            <w:pPr>
              <w:jc w:val="center"/>
              <w:rPr>
                <w:bCs/>
                <w:color w:val="auto"/>
                <w:szCs w:val="21"/>
              </w:rPr>
            </w:pPr>
            <w:r>
              <w:rPr>
                <w:rFonts w:hint="eastAsia"/>
                <w:bCs/>
                <w:color w:val="auto"/>
                <w:szCs w:val="21"/>
              </w:rPr>
              <w:t>10</w:t>
            </w:r>
          </w:p>
        </w:tc>
      </w:tr>
    </w:tbl>
    <w:p w14:paraId="1EA61BF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五、目标评价与成绩评定</w:t>
      </w:r>
    </w:p>
    <w:p w14:paraId="658C2893">
      <w:pPr>
        <w:spacing w:line="360" w:lineRule="auto"/>
        <w:ind w:firstLine="422" w:firstLineChars="200"/>
        <w:jc w:val="left"/>
        <w:rPr>
          <w:b/>
          <w:color w:val="auto"/>
          <w:szCs w:val="21"/>
        </w:rPr>
      </w:pPr>
      <w:r>
        <w:rPr>
          <w:rFonts w:hint="eastAsia"/>
          <w:b/>
          <w:color w:val="auto"/>
          <w:szCs w:val="21"/>
        </w:rPr>
        <w:t>（一）课程目标评价方式</w:t>
      </w:r>
    </w:p>
    <w:p w14:paraId="4CFD78AD">
      <w:pPr>
        <w:spacing w:line="360" w:lineRule="auto"/>
        <w:ind w:firstLine="420" w:firstLineChars="200"/>
        <w:jc w:val="left"/>
        <w:rPr>
          <w:color w:val="auto"/>
          <w:szCs w:val="21"/>
        </w:rPr>
      </w:pPr>
      <w:r>
        <w:rPr>
          <w:rFonts w:hint="eastAsia"/>
          <w:color w:val="auto"/>
          <w:szCs w:val="21"/>
        </w:rPr>
        <w:t>根据总体设计，用于评价各课程目标的评价方式</w:t>
      </w:r>
      <w:r>
        <w:rPr>
          <w:rFonts w:hint="eastAsia"/>
          <w:color w:val="auto"/>
          <w:szCs w:val="21"/>
          <w:lang w:eastAsia="zh-CN"/>
        </w:rPr>
        <w:t>如下表所示</w:t>
      </w:r>
      <w:r>
        <w:rPr>
          <w:color w:val="auto"/>
          <w:szCs w:val="21"/>
        </w:rPr>
        <w:t>。</w:t>
      </w:r>
    </w:p>
    <w:tbl>
      <w:tblPr>
        <w:tblStyle w:val="16"/>
        <w:tblW w:w="8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1447"/>
        <w:gridCol w:w="1448"/>
        <w:gridCol w:w="1448"/>
        <w:gridCol w:w="1448"/>
        <w:gridCol w:w="872"/>
      </w:tblGrid>
      <w:tr w14:paraId="45AD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0" w:type="auto"/>
            <w:vMerge w:val="restart"/>
            <w:vAlign w:val="center"/>
          </w:tcPr>
          <w:p w14:paraId="576A2A07">
            <w:pPr>
              <w:spacing w:line="360" w:lineRule="auto"/>
              <w:jc w:val="center"/>
              <w:rPr>
                <w:rFonts w:hint="eastAsia" w:ascii="宋体" w:hAnsi="宋体"/>
                <w:color w:val="auto"/>
                <w:szCs w:val="21"/>
              </w:rPr>
            </w:pPr>
            <w:r>
              <w:rPr>
                <w:rFonts w:hint="eastAsia" w:ascii="宋体" w:hAnsi="宋体"/>
                <w:color w:val="auto"/>
                <w:szCs w:val="21"/>
              </w:rPr>
              <w:t>课程目标</w:t>
            </w:r>
          </w:p>
        </w:tc>
        <w:tc>
          <w:tcPr>
            <w:tcW w:w="0" w:type="auto"/>
            <w:gridSpan w:val="4"/>
            <w:vAlign w:val="center"/>
          </w:tcPr>
          <w:p w14:paraId="1EDB4395">
            <w:pPr>
              <w:spacing w:line="360" w:lineRule="auto"/>
              <w:jc w:val="center"/>
              <w:rPr>
                <w:rFonts w:hint="eastAsia" w:ascii="宋体" w:hAnsi="宋体"/>
                <w:color w:val="auto"/>
                <w:szCs w:val="21"/>
              </w:rPr>
            </w:pPr>
            <w:r>
              <w:rPr>
                <w:rFonts w:hint="eastAsia" w:ascii="宋体" w:hAnsi="宋体"/>
                <w:color w:val="auto"/>
                <w:szCs w:val="21"/>
              </w:rPr>
              <w:t>评价与成绩评定方法</w:t>
            </w:r>
          </w:p>
        </w:tc>
        <w:tc>
          <w:tcPr>
            <w:tcW w:w="0" w:type="auto"/>
            <w:vMerge w:val="restart"/>
            <w:vAlign w:val="center"/>
          </w:tcPr>
          <w:p w14:paraId="5CBC7A54">
            <w:pPr>
              <w:spacing w:line="360" w:lineRule="auto"/>
              <w:jc w:val="center"/>
              <w:rPr>
                <w:rFonts w:hint="eastAsia" w:ascii="宋体" w:hAnsi="宋体"/>
                <w:color w:val="auto"/>
                <w:szCs w:val="21"/>
              </w:rPr>
            </w:pPr>
            <w:r>
              <w:rPr>
                <w:rFonts w:hint="eastAsia" w:ascii="宋体" w:hAnsi="宋体"/>
                <w:color w:val="auto"/>
                <w:szCs w:val="21"/>
              </w:rPr>
              <w:t>分值</w:t>
            </w:r>
          </w:p>
        </w:tc>
      </w:tr>
      <w:tr w14:paraId="0F7C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0" w:type="auto"/>
            <w:vMerge w:val="continue"/>
            <w:vAlign w:val="center"/>
          </w:tcPr>
          <w:p w14:paraId="35FD4F1F">
            <w:pPr>
              <w:spacing w:line="360" w:lineRule="auto"/>
              <w:jc w:val="center"/>
              <w:rPr>
                <w:rFonts w:hint="eastAsia" w:ascii="宋体" w:hAnsi="宋体"/>
                <w:color w:val="auto"/>
                <w:szCs w:val="21"/>
              </w:rPr>
            </w:pPr>
          </w:p>
        </w:tc>
        <w:tc>
          <w:tcPr>
            <w:tcW w:w="0" w:type="auto"/>
            <w:vAlign w:val="center"/>
          </w:tcPr>
          <w:p w14:paraId="51D117A6">
            <w:pPr>
              <w:spacing w:line="360" w:lineRule="auto"/>
              <w:jc w:val="center"/>
              <w:rPr>
                <w:rFonts w:hint="eastAsia" w:ascii="宋体" w:hAnsi="宋体"/>
                <w:color w:val="auto"/>
                <w:szCs w:val="21"/>
              </w:rPr>
            </w:pPr>
            <w:r>
              <w:rPr>
                <w:rFonts w:hint="eastAsia" w:ascii="宋体" w:hAnsi="宋体"/>
                <w:color w:val="auto"/>
                <w:szCs w:val="21"/>
              </w:rPr>
              <w:t>平时作业</w:t>
            </w:r>
          </w:p>
        </w:tc>
        <w:tc>
          <w:tcPr>
            <w:tcW w:w="0" w:type="auto"/>
            <w:vAlign w:val="center"/>
          </w:tcPr>
          <w:p w14:paraId="5D852EC5">
            <w:pPr>
              <w:spacing w:line="360" w:lineRule="auto"/>
              <w:jc w:val="center"/>
              <w:rPr>
                <w:rFonts w:hint="eastAsia" w:ascii="宋体" w:hAnsi="宋体"/>
                <w:color w:val="auto"/>
                <w:szCs w:val="21"/>
              </w:rPr>
            </w:pPr>
            <w:r>
              <w:rPr>
                <w:rFonts w:hint="eastAsia" w:ascii="宋体" w:hAnsi="宋体"/>
                <w:color w:val="auto"/>
                <w:szCs w:val="21"/>
              </w:rPr>
              <w:t>课堂表现</w:t>
            </w:r>
          </w:p>
        </w:tc>
        <w:tc>
          <w:tcPr>
            <w:tcW w:w="0" w:type="auto"/>
            <w:vAlign w:val="center"/>
          </w:tcPr>
          <w:p w14:paraId="596011E2">
            <w:pPr>
              <w:spacing w:line="360" w:lineRule="auto"/>
              <w:jc w:val="center"/>
              <w:rPr>
                <w:rFonts w:hint="eastAsia" w:ascii="宋体" w:hAnsi="宋体"/>
                <w:color w:val="auto"/>
                <w:szCs w:val="21"/>
              </w:rPr>
            </w:pPr>
            <w:r>
              <w:rPr>
                <w:rFonts w:hint="eastAsia" w:ascii="宋体" w:hAnsi="宋体"/>
                <w:color w:val="auto"/>
                <w:szCs w:val="21"/>
              </w:rPr>
              <w:t>课内实践</w:t>
            </w:r>
          </w:p>
        </w:tc>
        <w:tc>
          <w:tcPr>
            <w:tcW w:w="0" w:type="auto"/>
            <w:vAlign w:val="center"/>
          </w:tcPr>
          <w:p w14:paraId="559AEE88">
            <w:pPr>
              <w:spacing w:line="360" w:lineRule="auto"/>
              <w:jc w:val="center"/>
              <w:rPr>
                <w:rFonts w:hint="eastAsia" w:ascii="宋体" w:hAnsi="宋体"/>
                <w:color w:val="auto"/>
                <w:szCs w:val="21"/>
              </w:rPr>
            </w:pPr>
            <w:r>
              <w:rPr>
                <w:rFonts w:hint="eastAsia" w:ascii="宋体" w:hAnsi="宋体"/>
                <w:color w:val="auto"/>
                <w:szCs w:val="21"/>
              </w:rPr>
              <w:t>期末考试</w:t>
            </w:r>
          </w:p>
        </w:tc>
        <w:tc>
          <w:tcPr>
            <w:tcW w:w="0" w:type="auto"/>
            <w:vMerge w:val="continue"/>
            <w:vAlign w:val="center"/>
          </w:tcPr>
          <w:p w14:paraId="33BDB2AC">
            <w:pPr>
              <w:spacing w:line="360" w:lineRule="auto"/>
              <w:jc w:val="center"/>
              <w:rPr>
                <w:rFonts w:hint="eastAsia" w:ascii="宋体" w:hAnsi="宋体"/>
                <w:color w:val="auto"/>
                <w:szCs w:val="21"/>
              </w:rPr>
            </w:pPr>
          </w:p>
        </w:tc>
      </w:tr>
      <w:tr w14:paraId="14B0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0" w:type="auto"/>
            <w:vAlign w:val="center"/>
          </w:tcPr>
          <w:p w14:paraId="29DB1643">
            <w:pPr>
              <w:spacing w:line="360" w:lineRule="auto"/>
              <w:jc w:val="center"/>
              <w:rPr>
                <w:rFonts w:hint="eastAsia" w:ascii="宋体" w:hAnsi="宋体"/>
                <w:color w:val="auto"/>
                <w:szCs w:val="21"/>
              </w:rPr>
            </w:pPr>
            <w:r>
              <w:rPr>
                <w:rFonts w:hint="eastAsia" w:ascii="宋体" w:hAnsi="宋体"/>
                <w:color w:val="auto"/>
                <w:szCs w:val="21"/>
              </w:rPr>
              <w:t>课程目标1</w:t>
            </w:r>
          </w:p>
        </w:tc>
        <w:tc>
          <w:tcPr>
            <w:tcW w:w="0" w:type="auto"/>
            <w:vAlign w:val="center"/>
          </w:tcPr>
          <w:p w14:paraId="54F1DDAF">
            <w:pPr>
              <w:spacing w:line="360" w:lineRule="auto"/>
              <w:jc w:val="center"/>
              <w:rPr>
                <w:rFonts w:hint="eastAsia" w:ascii="宋体" w:hAnsi="宋体"/>
                <w:color w:val="auto"/>
                <w:szCs w:val="21"/>
              </w:rPr>
            </w:pPr>
          </w:p>
        </w:tc>
        <w:tc>
          <w:tcPr>
            <w:tcW w:w="0" w:type="auto"/>
            <w:vAlign w:val="center"/>
          </w:tcPr>
          <w:p w14:paraId="5DD25824">
            <w:pPr>
              <w:spacing w:line="360" w:lineRule="auto"/>
              <w:jc w:val="center"/>
              <w:rPr>
                <w:rFonts w:hint="eastAsia" w:ascii="宋体" w:hAnsi="宋体"/>
                <w:color w:val="auto"/>
                <w:szCs w:val="21"/>
              </w:rPr>
            </w:pPr>
            <w:r>
              <w:rPr>
                <w:rFonts w:ascii="宋体" w:hAnsi="宋体"/>
                <w:color w:val="auto"/>
                <w:szCs w:val="21"/>
              </w:rPr>
              <w:sym w:font="Wingdings 2" w:char="F050"/>
            </w:r>
          </w:p>
        </w:tc>
        <w:tc>
          <w:tcPr>
            <w:tcW w:w="0" w:type="auto"/>
            <w:vAlign w:val="center"/>
          </w:tcPr>
          <w:p w14:paraId="698C478D">
            <w:pPr>
              <w:spacing w:line="360" w:lineRule="auto"/>
              <w:jc w:val="center"/>
              <w:rPr>
                <w:rFonts w:hint="eastAsia" w:ascii="宋体" w:hAnsi="宋体"/>
                <w:color w:val="auto"/>
                <w:szCs w:val="21"/>
              </w:rPr>
            </w:pPr>
          </w:p>
        </w:tc>
        <w:tc>
          <w:tcPr>
            <w:tcW w:w="0" w:type="auto"/>
            <w:vAlign w:val="center"/>
          </w:tcPr>
          <w:p w14:paraId="45A1CA55">
            <w:pPr>
              <w:spacing w:line="360" w:lineRule="auto"/>
              <w:jc w:val="center"/>
              <w:rPr>
                <w:rFonts w:hint="eastAsia" w:ascii="宋体" w:hAnsi="宋体"/>
                <w:color w:val="auto"/>
                <w:szCs w:val="21"/>
              </w:rPr>
            </w:pPr>
            <w:r>
              <w:rPr>
                <w:rFonts w:ascii="宋体" w:hAnsi="宋体"/>
                <w:color w:val="auto"/>
                <w:szCs w:val="21"/>
              </w:rPr>
              <w:sym w:font="Wingdings 2" w:char="F050"/>
            </w:r>
          </w:p>
        </w:tc>
        <w:tc>
          <w:tcPr>
            <w:tcW w:w="0" w:type="auto"/>
            <w:vAlign w:val="center"/>
          </w:tcPr>
          <w:p w14:paraId="6ADBFE1C">
            <w:pPr>
              <w:spacing w:line="360" w:lineRule="auto"/>
              <w:jc w:val="center"/>
              <w:rPr>
                <w:rFonts w:hint="eastAsia" w:ascii="宋体" w:hAnsi="宋体"/>
                <w:color w:val="auto"/>
                <w:szCs w:val="21"/>
              </w:rPr>
            </w:pPr>
            <w:r>
              <w:rPr>
                <w:rFonts w:hint="eastAsia" w:ascii="宋体" w:hAnsi="宋体"/>
                <w:color w:val="auto"/>
                <w:szCs w:val="21"/>
              </w:rPr>
              <w:t>20</w:t>
            </w:r>
          </w:p>
        </w:tc>
      </w:tr>
      <w:tr w14:paraId="4C82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0" w:type="auto"/>
            <w:vAlign w:val="center"/>
          </w:tcPr>
          <w:p w14:paraId="5040759F">
            <w:pPr>
              <w:spacing w:line="360" w:lineRule="auto"/>
              <w:jc w:val="center"/>
              <w:rPr>
                <w:rFonts w:hint="eastAsia" w:ascii="宋体" w:hAnsi="宋体"/>
                <w:color w:val="auto"/>
                <w:szCs w:val="21"/>
              </w:rPr>
            </w:pPr>
            <w:r>
              <w:rPr>
                <w:rFonts w:hint="eastAsia" w:ascii="宋体" w:hAnsi="宋体"/>
                <w:color w:val="auto"/>
                <w:szCs w:val="21"/>
              </w:rPr>
              <w:t>课程目标2</w:t>
            </w:r>
          </w:p>
        </w:tc>
        <w:tc>
          <w:tcPr>
            <w:tcW w:w="0" w:type="auto"/>
            <w:vAlign w:val="center"/>
          </w:tcPr>
          <w:p w14:paraId="53ED2589">
            <w:pPr>
              <w:spacing w:line="360" w:lineRule="auto"/>
              <w:jc w:val="center"/>
              <w:rPr>
                <w:rFonts w:hint="eastAsia" w:ascii="宋体" w:hAnsi="宋体"/>
                <w:color w:val="auto"/>
                <w:szCs w:val="21"/>
              </w:rPr>
            </w:pPr>
            <w:r>
              <w:rPr>
                <w:rFonts w:ascii="宋体" w:hAnsi="宋体"/>
                <w:color w:val="auto"/>
                <w:szCs w:val="21"/>
              </w:rPr>
              <w:sym w:font="Wingdings 2" w:char="F050"/>
            </w:r>
          </w:p>
        </w:tc>
        <w:tc>
          <w:tcPr>
            <w:tcW w:w="0" w:type="auto"/>
            <w:vAlign w:val="center"/>
          </w:tcPr>
          <w:p w14:paraId="4BC5CB44">
            <w:pPr>
              <w:spacing w:line="360" w:lineRule="auto"/>
              <w:jc w:val="center"/>
              <w:rPr>
                <w:rFonts w:hint="eastAsia" w:ascii="宋体" w:hAnsi="宋体"/>
                <w:color w:val="auto"/>
                <w:szCs w:val="21"/>
              </w:rPr>
            </w:pPr>
            <w:r>
              <w:rPr>
                <w:rFonts w:ascii="宋体" w:hAnsi="宋体"/>
                <w:color w:val="auto"/>
                <w:szCs w:val="21"/>
              </w:rPr>
              <w:sym w:font="Wingdings 2" w:char="F050"/>
            </w:r>
          </w:p>
        </w:tc>
        <w:tc>
          <w:tcPr>
            <w:tcW w:w="0" w:type="auto"/>
            <w:vAlign w:val="center"/>
          </w:tcPr>
          <w:p w14:paraId="7E13C904">
            <w:pPr>
              <w:spacing w:line="360" w:lineRule="auto"/>
              <w:jc w:val="center"/>
              <w:rPr>
                <w:rFonts w:hint="eastAsia" w:ascii="宋体" w:hAnsi="宋体"/>
                <w:color w:val="auto"/>
                <w:szCs w:val="21"/>
              </w:rPr>
            </w:pPr>
            <w:r>
              <w:rPr>
                <w:rFonts w:ascii="宋体" w:hAnsi="宋体"/>
                <w:color w:val="auto"/>
                <w:szCs w:val="21"/>
              </w:rPr>
              <w:sym w:font="Wingdings 2" w:char="F050"/>
            </w:r>
          </w:p>
        </w:tc>
        <w:tc>
          <w:tcPr>
            <w:tcW w:w="0" w:type="auto"/>
            <w:vAlign w:val="center"/>
          </w:tcPr>
          <w:p w14:paraId="58138C12">
            <w:pPr>
              <w:spacing w:line="360" w:lineRule="auto"/>
              <w:jc w:val="center"/>
              <w:rPr>
                <w:rFonts w:hint="eastAsia" w:ascii="宋体" w:hAnsi="宋体"/>
                <w:color w:val="auto"/>
                <w:szCs w:val="21"/>
              </w:rPr>
            </w:pPr>
            <w:r>
              <w:rPr>
                <w:rFonts w:ascii="宋体" w:hAnsi="宋体"/>
                <w:color w:val="auto"/>
                <w:szCs w:val="21"/>
              </w:rPr>
              <w:sym w:font="Wingdings 2" w:char="F050"/>
            </w:r>
          </w:p>
        </w:tc>
        <w:tc>
          <w:tcPr>
            <w:tcW w:w="0" w:type="auto"/>
            <w:vAlign w:val="center"/>
          </w:tcPr>
          <w:p w14:paraId="00F184DB">
            <w:pPr>
              <w:spacing w:line="360" w:lineRule="auto"/>
              <w:jc w:val="center"/>
              <w:rPr>
                <w:rFonts w:hint="eastAsia" w:ascii="宋体" w:hAnsi="宋体"/>
                <w:color w:val="auto"/>
                <w:szCs w:val="21"/>
              </w:rPr>
            </w:pPr>
            <w:r>
              <w:rPr>
                <w:rFonts w:hint="eastAsia" w:ascii="宋体" w:hAnsi="宋体"/>
                <w:color w:val="auto"/>
                <w:szCs w:val="21"/>
              </w:rPr>
              <w:t>40</w:t>
            </w:r>
          </w:p>
        </w:tc>
      </w:tr>
      <w:tr w14:paraId="2DB1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0" w:type="auto"/>
            <w:vAlign w:val="center"/>
          </w:tcPr>
          <w:p w14:paraId="43534C7D">
            <w:pPr>
              <w:spacing w:line="360" w:lineRule="auto"/>
              <w:jc w:val="center"/>
              <w:rPr>
                <w:rFonts w:hint="eastAsia" w:ascii="宋体" w:hAnsi="宋体"/>
                <w:color w:val="auto"/>
                <w:szCs w:val="21"/>
              </w:rPr>
            </w:pPr>
            <w:r>
              <w:rPr>
                <w:rFonts w:hint="eastAsia" w:ascii="宋体" w:hAnsi="宋体"/>
                <w:color w:val="auto"/>
                <w:szCs w:val="21"/>
              </w:rPr>
              <w:t>课程目标3</w:t>
            </w:r>
          </w:p>
        </w:tc>
        <w:tc>
          <w:tcPr>
            <w:tcW w:w="0" w:type="auto"/>
            <w:vAlign w:val="center"/>
          </w:tcPr>
          <w:p w14:paraId="6DAA2602">
            <w:pPr>
              <w:spacing w:line="360" w:lineRule="auto"/>
              <w:jc w:val="center"/>
              <w:rPr>
                <w:rFonts w:hint="eastAsia" w:ascii="宋体" w:hAnsi="宋体"/>
                <w:color w:val="auto"/>
                <w:szCs w:val="21"/>
              </w:rPr>
            </w:pPr>
            <w:r>
              <w:rPr>
                <w:rFonts w:ascii="宋体" w:hAnsi="宋体"/>
                <w:color w:val="auto"/>
                <w:szCs w:val="21"/>
              </w:rPr>
              <w:sym w:font="Wingdings 2" w:char="F050"/>
            </w:r>
          </w:p>
        </w:tc>
        <w:tc>
          <w:tcPr>
            <w:tcW w:w="0" w:type="auto"/>
            <w:vAlign w:val="center"/>
          </w:tcPr>
          <w:p w14:paraId="33810952">
            <w:pPr>
              <w:spacing w:line="360" w:lineRule="auto"/>
              <w:jc w:val="center"/>
              <w:rPr>
                <w:rFonts w:hint="eastAsia" w:ascii="宋体" w:hAnsi="宋体"/>
                <w:color w:val="auto"/>
                <w:szCs w:val="21"/>
              </w:rPr>
            </w:pPr>
            <w:r>
              <w:rPr>
                <w:rFonts w:ascii="宋体" w:hAnsi="宋体"/>
                <w:color w:val="auto"/>
                <w:szCs w:val="21"/>
              </w:rPr>
              <w:sym w:font="Wingdings 2" w:char="F050"/>
            </w:r>
          </w:p>
        </w:tc>
        <w:tc>
          <w:tcPr>
            <w:tcW w:w="0" w:type="auto"/>
            <w:vAlign w:val="center"/>
          </w:tcPr>
          <w:p w14:paraId="784F6C85">
            <w:pPr>
              <w:spacing w:line="360" w:lineRule="auto"/>
              <w:jc w:val="center"/>
              <w:rPr>
                <w:rFonts w:hint="eastAsia" w:ascii="宋体" w:hAnsi="宋体"/>
                <w:color w:val="auto"/>
                <w:szCs w:val="21"/>
              </w:rPr>
            </w:pPr>
            <w:r>
              <w:rPr>
                <w:rFonts w:ascii="宋体" w:hAnsi="宋体"/>
                <w:color w:val="auto"/>
                <w:szCs w:val="21"/>
              </w:rPr>
              <w:sym w:font="Wingdings 2" w:char="F050"/>
            </w:r>
          </w:p>
        </w:tc>
        <w:tc>
          <w:tcPr>
            <w:tcW w:w="0" w:type="auto"/>
            <w:vAlign w:val="center"/>
          </w:tcPr>
          <w:p w14:paraId="1A033370">
            <w:pPr>
              <w:spacing w:line="360" w:lineRule="auto"/>
              <w:jc w:val="center"/>
              <w:rPr>
                <w:rFonts w:hint="eastAsia" w:ascii="宋体" w:hAnsi="宋体"/>
                <w:color w:val="auto"/>
                <w:szCs w:val="21"/>
              </w:rPr>
            </w:pPr>
            <w:r>
              <w:rPr>
                <w:rFonts w:ascii="宋体" w:hAnsi="宋体"/>
                <w:color w:val="auto"/>
                <w:szCs w:val="21"/>
              </w:rPr>
              <w:sym w:font="Wingdings 2" w:char="F050"/>
            </w:r>
          </w:p>
        </w:tc>
        <w:tc>
          <w:tcPr>
            <w:tcW w:w="0" w:type="auto"/>
            <w:vAlign w:val="center"/>
          </w:tcPr>
          <w:p w14:paraId="07D912C1">
            <w:pPr>
              <w:spacing w:line="360" w:lineRule="auto"/>
              <w:jc w:val="center"/>
              <w:rPr>
                <w:rFonts w:hint="eastAsia" w:ascii="宋体" w:hAnsi="宋体"/>
                <w:color w:val="auto"/>
                <w:szCs w:val="21"/>
              </w:rPr>
            </w:pPr>
            <w:r>
              <w:rPr>
                <w:rFonts w:hint="eastAsia" w:ascii="宋体" w:hAnsi="宋体"/>
                <w:color w:val="auto"/>
                <w:szCs w:val="21"/>
              </w:rPr>
              <w:t>40</w:t>
            </w:r>
          </w:p>
        </w:tc>
      </w:tr>
      <w:tr w14:paraId="7345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0" w:type="auto"/>
            <w:vAlign w:val="center"/>
          </w:tcPr>
          <w:p w14:paraId="7E1A141B">
            <w:pPr>
              <w:spacing w:line="360" w:lineRule="auto"/>
              <w:jc w:val="center"/>
              <w:rPr>
                <w:rFonts w:hint="eastAsia" w:ascii="宋体" w:hAnsi="宋体"/>
                <w:color w:val="auto"/>
                <w:szCs w:val="21"/>
              </w:rPr>
            </w:pPr>
            <w:r>
              <w:rPr>
                <w:rFonts w:hint="eastAsia" w:ascii="宋体" w:hAnsi="宋体"/>
                <w:color w:val="auto"/>
                <w:szCs w:val="21"/>
              </w:rPr>
              <w:t>合计</w:t>
            </w:r>
          </w:p>
        </w:tc>
        <w:tc>
          <w:tcPr>
            <w:tcW w:w="0" w:type="auto"/>
            <w:vAlign w:val="center"/>
          </w:tcPr>
          <w:p w14:paraId="49824598">
            <w:pPr>
              <w:spacing w:line="360" w:lineRule="auto"/>
              <w:jc w:val="center"/>
              <w:rPr>
                <w:rFonts w:hint="eastAsia" w:ascii="宋体" w:hAnsi="宋体"/>
                <w:color w:val="auto"/>
                <w:szCs w:val="21"/>
              </w:rPr>
            </w:pPr>
          </w:p>
        </w:tc>
        <w:tc>
          <w:tcPr>
            <w:tcW w:w="0" w:type="auto"/>
            <w:vAlign w:val="center"/>
          </w:tcPr>
          <w:p w14:paraId="25B4C6BD">
            <w:pPr>
              <w:spacing w:line="360" w:lineRule="auto"/>
              <w:jc w:val="center"/>
              <w:rPr>
                <w:rFonts w:hint="eastAsia" w:ascii="宋体" w:hAnsi="宋体"/>
                <w:color w:val="auto"/>
                <w:szCs w:val="21"/>
              </w:rPr>
            </w:pPr>
          </w:p>
        </w:tc>
        <w:tc>
          <w:tcPr>
            <w:tcW w:w="0" w:type="auto"/>
            <w:vAlign w:val="center"/>
          </w:tcPr>
          <w:p w14:paraId="2339176E">
            <w:pPr>
              <w:spacing w:line="360" w:lineRule="auto"/>
              <w:jc w:val="center"/>
              <w:rPr>
                <w:rFonts w:hint="eastAsia" w:ascii="宋体" w:hAnsi="宋体"/>
                <w:color w:val="auto"/>
                <w:szCs w:val="21"/>
              </w:rPr>
            </w:pPr>
          </w:p>
        </w:tc>
        <w:tc>
          <w:tcPr>
            <w:tcW w:w="0" w:type="auto"/>
            <w:vAlign w:val="center"/>
          </w:tcPr>
          <w:p w14:paraId="60449779">
            <w:pPr>
              <w:spacing w:line="360" w:lineRule="auto"/>
              <w:jc w:val="center"/>
              <w:rPr>
                <w:rFonts w:hint="eastAsia" w:ascii="宋体" w:hAnsi="宋体"/>
                <w:color w:val="auto"/>
                <w:szCs w:val="21"/>
              </w:rPr>
            </w:pPr>
          </w:p>
        </w:tc>
        <w:tc>
          <w:tcPr>
            <w:tcW w:w="0" w:type="auto"/>
            <w:vAlign w:val="center"/>
          </w:tcPr>
          <w:p w14:paraId="4273E5DB">
            <w:pPr>
              <w:spacing w:line="360" w:lineRule="auto"/>
              <w:jc w:val="center"/>
              <w:rPr>
                <w:rFonts w:hint="eastAsia" w:ascii="宋体" w:hAnsi="宋体"/>
                <w:color w:val="auto"/>
                <w:szCs w:val="21"/>
              </w:rPr>
            </w:pPr>
            <w:r>
              <w:rPr>
                <w:rFonts w:hint="eastAsia" w:ascii="宋体" w:hAnsi="宋体"/>
                <w:color w:val="auto"/>
                <w:szCs w:val="21"/>
              </w:rPr>
              <w:t>100</w:t>
            </w:r>
          </w:p>
        </w:tc>
      </w:tr>
    </w:tbl>
    <w:p w14:paraId="5BD9F311">
      <w:pPr>
        <w:spacing w:before="156" w:beforeLines="50" w:line="360" w:lineRule="auto"/>
        <w:ind w:firstLine="422" w:firstLineChars="200"/>
        <w:jc w:val="left"/>
        <w:rPr>
          <w:b/>
          <w:color w:val="auto"/>
          <w:szCs w:val="21"/>
        </w:rPr>
      </w:pPr>
      <w:r>
        <w:rPr>
          <w:rFonts w:hint="eastAsia"/>
          <w:b/>
          <w:color w:val="auto"/>
          <w:szCs w:val="21"/>
        </w:rPr>
        <w:t>（二）成绩评定细则</w:t>
      </w:r>
    </w:p>
    <w:p w14:paraId="534EC67D">
      <w:pPr>
        <w:spacing w:line="360" w:lineRule="auto"/>
        <w:ind w:firstLine="420" w:firstLineChars="200"/>
        <w:jc w:val="left"/>
        <w:rPr>
          <w:color w:val="auto"/>
          <w:szCs w:val="21"/>
        </w:rPr>
      </w:pPr>
      <w:r>
        <w:rPr>
          <w:rFonts w:hint="eastAsia"/>
          <w:color w:val="auto"/>
          <w:szCs w:val="21"/>
        </w:rPr>
        <w:t>各部分的评价方式和成绩评定的细则</w:t>
      </w:r>
      <w:r>
        <w:rPr>
          <w:rFonts w:hint="eastAsia"/>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86"/>
      </w:tblGrid>
      <w:tr w14:paraId="08C9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3D6FBD6">
            <w:pPr>
              <w:jc w:val="center"/>
              <w:rPr>
                <w:b/>
                <w:bCs/>
                <w:color w:val="auto"/>
                <w:szCs w:val="21"/>
              </w:rPr>
            </w:pPr>
            <w:r>
              <w:rPr>
                <w:rFonts w:hint="eastAsia"/>
                <w:b/>
                <w:bCs/>
                <w:color w:val="auto"/>
                <w:szCs w:val="21"/>
              </w:rPr>
              <w:t>评价方式</w:t>
            </w:r>
          </w:p>
        </w:tc>
        <w:tc>
          <w:tcPr>
            <w:tcW w:w="7141" w:type="dxa"/>
            <w:vAlign w:val="center"/>
          </w:tcPr>
          <w:p w14:paraId="1988419F">
            <w:pPr>
              <w:jc w:val="center"/>
              <w:rPr>
                <w:b/>
                <w:bCs/>
                <w:color w:val="auto"/>
                <w:szCs w:val="21"/>
              </w:rPr>
            </w:pPr>
            <w:r>
              <w:rPr>
                <w:rFonts w:hint="eastAsia"/>
                <w:b/>
                <w:bCs/>
                <w:color w:val="auto"/>
                <w:szCs w:val="21"/>
              </w:rPr>
              <w:t>评定细则</w:t>
            </w:r>
          </w:p>
        </w:tc>
        <w:tc>
          <w:tcPr>
            <w:tcW w:w="0" w:type="auto"/>
            <w:vAlign w:val="center"/>
          </w:tcPr>
          <w:p w14:paraId="1B4A346D">
            <w:pPr>
              <w:jc w:val="center"/>
              <w:rPr>
                <w:b/>
                <w:bCs/>
                <w:color w:val="auto"/>
                <w:szCs w:val="21"/>
              </w:rPr>
            </w:pPr>
            <w:r>
              <w:rPr>
                <w:rFonts w:hint="eastAsia"/>
                <w:b/>
                <w:bCs/>
                <w:color w:val="auto"/>
                <w:szCs w:val="21"/>
              </w:rPr>
              <w:t>占比</w:t>
            </w:r>
          </w:p>
        </w:tc>
      </w:tr>
      <w:tr w14:paraId="485AC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5B86227">
            <w:pPr>
              <w:rPr>
                <w:color w:val="auto"/>
                <w:szCs w:val="21"/>
              </w:rPr>
            </w:pPr>
            <w:r>
              <w:rPr>
                <w:rFonts w:hint="eastAsia"/>
                <w:color w:val="auto"/>
                <w:szCs w:val="21"/>
              </w:rPr>
              <w:t>平时作业</w:t>
            </w:r>
          </w:p>
        </w:tc>
        <w:tc>
          <w:tcPr>
            <w:tcW w:w="7141" w:type="dxa"/>
            <w:vAlign w:val="center"/>
          </w:tcPr>
          <w:p w14:paraId="4D9A4497">
            <w:pPr>
              <w:spacing w:line="264" w:lineRule="auto"/>
              <w:jc w:val="left"/>
              <w:rPr>
                <w:color w:val="auto"/>
                <w:szCs w:val="21"/>
              </w:rPr>
            </w:pPr>
            <w:r>
              <w:rPr>
                <w:rFonts w:hint="eastAsia"/>
                <w:color w:val="auto"/>
                <w:szCs w:val="21"/>
              </w:rPr>
              <w:t>课后完成练习题，主要考核学生对每节课知识点的复习、理解和掌握程度，计算全部作业的平均成绩。</w:t>
            </w:r>
          </w:p>
        </w:tc>
        <w:tc>
          <w:tcPr>
            <w:tcW w:w="0" w:type="auto"/>
            <w:vAlign w:val="center"/>
          </w:tcPr>
          <w:p w14:paraId="32462734">
            <w:pPr>
              <w:jc w:val="center"/>
              <w:rPr>
                <w:color w:val="auto"/>
                <w:szCs w:val="21"/>
              </w:rPr>
            </w:pPr>
            <w:r>
              <w:rPr>
                <w:rFonts w:hint="eastAsia"/>
                <w:color w:val="auto"/>
                <w:szCs w:val="21"/>
              </w:rPr>
              <w:t>10%</w:t>
            </w:r>
          </w:p>
        </w:tc>
      </w:tr>
      <w:tr w14:paraId="19A9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CB54390">
            <w:pPr>
              <w:rPr>
                <w:color w:val="auto"/>
                <w:szCs w:val="21"/>
              </w:rPr>
            </w:pPr>
            <w:r>
              <w:rPr>
                <w:rFonts w:hint="eastAsia"/>
                <w:color w:val="auto"/>
                <w:szCs w:val="21"/>
              </w:rPr>
              <w:t>课堂表现</w:t>
            </w:r>
          </w:p>
        </w:tc>
        <w:tc>
          <w:tcPr>
            <w:tcW w:w="7141" w:type="dxa"/>
            <w:vAlign w:val="center"/>
          </w:tcPr>
          <w:p w14:paraId="30EDE0CD">
            <w:pPr>
              <w:widowControl/>
              <w:spacing w:line="264" w:lineRule="auto"/>
              <w:jc w:val="left"/>
              <w:rPr>
                <w:color w:val="auto"/>
                <w:szCs w:val="21"/>
              </w:rPr>
            </w:pPr>
            <w:r>
              <w:rPr>
                <w:rFonts w:hint="eastAsia" w:ascii="宋体" w:hAnsi="宋体" w:cs="宋体"/>
                <w:color w:val="auto"/>
                <w:kern w:val="0"/>
                <w:szCs w:val="21"/>
                <w:lang w:bidi="ar"/>
              </w:rPr>
              <w:t>课堂考勤，全勤不扣分，迟到每3次扣1分，病假和事假扣2分，旷课扣5分，超过三分之一取消考试资格；以随机的形式，在课堂上根据讨论的参与度，问题回答的表现，主要考核学生课堂的听课效果和课后及时复习情况。</w:t>
            </w:r>
          </w:p>
        </w:tc>
        <w:tc>
          <w:tcPr>
            <w:tcW w:w="0" w:type="auto"/>
            <w:vAlign w:val="center"/>
          </w:tcPr>
          <w:p w14:paraId="30D5EB1F">
            <w:pPr>
              <w:jc w:val="center"/>
              <w:rPr>
                <w:color w:val="auto"/>
                <w:szCs w:val="21"/>
              </w:rPr>
            </w:pPr>
            <w:r>
              <w:rPr>
                <w:rFonts w:hint="eastAsia"/>
                <w:color w:val="auto"/>
                <w:szCs w:val="21"/>
              </w:rPr>
              <w:t>20%</w:t>
            </w:r>
          </w:p>
        </w:tc>
      </w:tr>
      <w:tr w14:paraId="0D66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0FD282F">
            <w:pPr>
              <w:rPr>
                <w:color w:val="auto"/>
                <w:szCs w:val="21"/>
              </w:rPr>
            </w:pPr>
            <w:r>
              <w:rPr>
                <w:rFonts w:hint="eastAsia"/>
                <w:color w:val="auto"/>
                <w:szCs w:val="21"/>
              </w:rPr>
              <w:t>课内实践</w:t>
            </w:r>
          </w:p>
        </w:tc>
        <w:tc>
          <w:tcPr>
            <w:tcW w:w="7141" w:type="dxa"/>
            <w:vAlign w:val="center"/>
          </w:tcPr>
          <w:p w14:paraId="2AFB63B3">
            <w:pPr>
              <w:widowControl/>
              <w:spacing w:line="264"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一是观摩辩论赛推荐、辩题设计，这两项根据发言稿和课堂表现由教师打分，辩论赛则分组进行，由自评、组内互评、组件互评和教师评分，三次活动的平均分作为得分</w:t>
            </w:r>
          </w:p>
        </w:tc>
        <w:tc>
          <w:tcPr>
            <w:tcW w:w="0" w:type="auto"/>
            <w:vAlign w:val="center"/>
          </w:tcPr>
          <w:p w14:paraId="092C8E97">
            <w:pPr>
              <w:jc w:val="center"/>
              <w:rPr>
                <w:color w:val="auto"/>
                <w:szCs w:val="21"/>
              </w:rPr>
            </w:pPr>
            <w:r>
              <w:rPr>
                <w:rFonts w:hint="eastAsia"/>
                <w:color w:val="auto"/>
                <w:szCs w:val="21"/>
              </w:rPr>
              <w:t>30%</w:t>
            </w:r>
          </w:p>
        </w:tc>
      </w:tr>
      <w:tr w14:paraId="1178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160A33B">
            <w:pPr>
              <w:rPr>
                <w:color w:val="auto"/>
                <w:szCs w:val="21"/>
              </w:rPr>
            </w:pPr>
            <w:r>
              <w:rPr>
                <w:rFonts w:hint="eastAsia"/>
                <w:color w:val="auto"/>
                <w:szCs w:val="21"/>
              </w:rPr>
              <w:t>期末考试</w:t>
            </w:r>
          </w:p>
        </w:tc>
        <w:tc>
          <w:tcPr>
            <w:tcW w:w="7141" w:type="dxa"/>
            <w:vAlign w:val="center"/>
          </w:tcPr>
          <w:p w14:paraId="3362E55A">
            <w:pPr>
              <w:spacing w:line="264" w:lineRule="auto"/>
              <w:jc w:val="left"/>
              <w:rPr>
                <w:color w:val="auto"/>
                <w:szCs w:val="21"/>
              </w:rPr>
            </w:pPr>
            <w:r>
              <w:rPr>
                <w:color w:val="auto"/>
                <w:szCs w:val="21"/>
              </w:rPr>
              <w:t>试卷</w:t>
            </w:r>
            <w:r>
              <w:rPr>
                <w:rFonts w:hint="eastAsia"/>
                <w:color w:val="auto"/>
                <w:szCs w:val="21"/>
              </w:rPr>
              <w:t>为开卷考，</w:t>
            </w:r>
            <w:r>
              <w:rPr>
                <w:color w:val="auto"/>
                <w:szCs w:val="21"/>
              </w:rPr>
              <w:t>题型包括</w:t>
            </w:r>
            <w:r>
              <w:rPr>
                <w:rFonts w:hint="eastAsia"/>
                <w:color w:val="auto"/>
                <w:szCs w:val="21"/>
              </w:rPr>
              <w:t>选择题</w:t>
            </w:r>
            <w:r>
              <w:rPr>
                <w:color w:val="auto"/>
                <w:szCs w:val="21"/>
              </w:rPr>
              <w:t>、</w:t>
            </w:r>
            <w:r>
              <w:rPr>
                <w:rFonts w:hint="eastAsia"/>
                <w:color w:val="auto"/>
                <w:szCs w:val="21"/>
              </w:rPr>
              <w:t>简答题、论述题</w:t>
            </w:r>
            <w:r>
              <w:rPr>
                <w:color w:val="auto"/>
                <w:szCs w:val="21"/>
              </w:rPr>
              <w:t>等。其中考核</w:t>
            </w:r>
            <w:r>
              <w:rPr>
                <w:rFonts w:hint="eastAsia"/>
                <w:color w:val="auto"/>
                <w:szCs w:val="21"/>
              </w:rPr>
              <w:t>逻辑学基础知识的客观题占3</w:t>
            </w:r>
            <w:r>
              <w:rPr>
                <w:color w:val="auto"/>
                <w:szCs w:val="21"/>
              </w:rPr>
              <w:t>0</w:t>
            </w:r>
            <w:r>
              <w:rPr>
                <w:rFonts w:hint="eastAsia"/>
                <w:color w:val="auto"/>
                <w:szCs w:val="21"/>
              </w:rPr>
              <w:t>%；考核学生运用逻辑学知识进行分析能力的题型占6</w:t>
            </w:r>
            <w:r>
              <w:rPr>
                <w:color w:val="auto"/>
                <w:szCs w:val="21"/>
              </w:rPr>
              <w:t>0</w:t>
            </w:r>
            <w:r>
              <w:rPr>
                <w:rFonts w:hint="eastAsia"/>
                <w:color w:val="auto"/>
                <w:szCs w:val="21"/>
              </w:rPr>
              <w:t>%；考核学生运用逻辑学能力解决问题能力的题型占2</w:t>
            </w:r>
            <w:r>
              <w:rPr>
                <w:color w:val="auto"/>
                <w:szCs w:val="21"/>
              </w:rPr>
              <w:t>0</w:t>
            </w:r>
            <w:r>
              <w:rPr>
                <w:rFonts w:hint="eastAsia"/>
                <w:color w:val="auto"/>
                <w:szCs w:val="21"/>
              </w:rPr>
              <w:t>%。</w:t>
            </w:r>
          </w:p>
        </w:tc>
        <w:tc>
          <w:tcPr>
            <w:tcW w:w="0" w:type="auto"/>
            <w:vAlign w:val="center"/>
          </w:tcPr>
          <w:p w14:paraId="74057C24">
            <w:pPr>
              <w:jc w:val="center"/>
              <w:rPr>
                <w:color w:val="auto"/>
                <w:szCs w:val="21"/>
              </w:rPr>
            </w:pPr>
            <w:r>
              <w:rPr>
                <w:rFonts w:hint="eastAsia"/>
                <w:color w:val="auto"/>
                <w:szCs w:val="21"/>
              </w:rPr>
              <w:t>40%</w:t>
            </w:r>
          </w:p>
        </w:tc>
      </w:tr>
      <w:tr w14:paraId="4801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5A43D35">
            <w:pPr>
              <w:jc w:val="center"/>
              <w:rPr>
                <w:b/>
                <w:bCs/>
                <w:color w:val="auto"/>
                <w:szCs w:val="21"/>
              </w:rPr>
            </w:pPr>
            <w:r>
              <w:rPr>
                <w:rFonts w:hint="eastAsia"/>
                <w:b/>
                <w:bCs/>
                <w:color w:val="auto"/>
                <w:szCs w:val="21"/>
              </w:rPr>
              <w:t>合计</w:t>
            </w:r>
          </w:p>
        </w:tc>
        <w:tc>
          <w:tcPr>
            <w:tcW w:w="0" w:type="auto"/>
            <w:vAlign w:val="center"/>
          </w:tcPr>
          <w:p w14:paraId="18CD0A33">
            <w:pPr>
              <w:jc w:val="left"/>
              <w:rPr>
                <w:color w:val="auto"/>
                <w:szCs w:val="21"/>
              </w:rPr>
            </w:pPr>
          </w:p>
        </w:tc>
        <w:tc>
          <w:tcPr>
            <w:tcW w:w="0" w:type="auto"/>
            <w:vAlign w:val="center"/>
          </w:tcPr>
          <w:p w14:paraId="0D0D083E">
            <w:pPr>
              <w:jc w:val="center"/>
              <w:rPr>
                <w:color w:val="auto"/>
                <w:szCs w:val="21"/>
              </w:rPr>
            </w:pPr>
            <w:r>
              <w:rPr>
                <w:rFonts w:hint="eastAsia"/>
                <w:color w:val="auto"/>
                <w:szCs w:val="21"/>
              </w:rPr>
              <w:t>100%</w:t>
            </w:r>
          </w:p>
        </w:tc>
      </w:tr>
    </w:tbl>
    <w:p w14:paraId="0D992BE3">
      <w:pPr>
        <w:spacing w:line="360" w:lineRule="auto"/>
        <w:ind w:firstLine="422" w:firstLineChars="200"/>
        <w:jc w:val="left"/>
        <w:rPr>
          <w:rFonts w:hint="eastAsia" w:ascii="宋体" w:hAnsi="宋体"/>
          <w:b/>
          <w:color w:val="auto"/>
          <w:szCs w:val="21"/>
        </w:rPr>
      </w:pPr>
      <w:r>
        <w:rPr>
          <w:rFonts w:hint="eastAsia" w:ascii="宋体" w:hAnsi="宋体"/>
          <w:b/>
          <w:color w:val="auto"/>
          <w:szCs w:val="21"/>
        </w:rPr>
        <w:t>（三）课程目标达成度计算方法</w:t>
      </w:r>
    </w:p>
    <w:p w14:paraId="48356C25">
      <w:pPr>
        <w:spacing w:line="360" w:lineRule="auto"/>
        <w:ind w:firstLine="411" w:firstLineChars="196"/>
        <w:jc w:val="left"/>
        <w:rPr>
          <w:rFonts w:hint="eastAsia" w:ascii="宋体" w:hAnsi="宋体"/>
          <w:color w:val="auto"/>
          <w:szCs w:val="21"/>
        </w:rPr>
      </w:pPr>
      <w:r>
        <w:rPr>
          <w:rFonts w:hint="eastAsia" w:ascii="宋体" w:hAnsi="宋体"/>
          <w:color w:val="auto"/>
          <w:szCs w:val="21"/>
        </w:rPr>
        <w:t>所有课程目标均需大于等于</w:t>
      </w:r>
      <w:r>
        <w:rPr>
          <w:rFonts w:ascii="宋体" w:hAnsi="宋体"/>
          <w:color w:val="auto"/>
          <w:szCs w:val="21"/>
        </w:rPr>
        <w:t>0.6，否则总评成绩不及格，需要补考或重修。每门课程目标总体达成度计算方法如下：</w:t>
      </w:r>
    </w:p>
    <w:p w14:paraId="638BCC27">
      <w:pPr>
        <w:spacing w:line="360" w:lineRule="auto"/>
        <w:ind w:firstLine="420" w:firstLineChars="200"/>
        <w:rPr>
          <w:rFonts w:hint="eastAsia" w:ascii="Times New Roman" w:hAnsi="Times New Roman" w:eastAsia="宋体" w:cs="Times New Roman"/>
          <w:b/>
          <w:color w:val="auto"/>
          <w:sz w:val="24"/>
        </w:rPr>
      </w:pPr>
      <w:r>
        <w:rPr>
          <w:rFonts w:ascii="宋体" w:hAnsi="宋体"/>
          <w:color w:val="auto"/>
          <w:szCs w:val="21"/>
        </w:rPr>
        <w:object>
          <v:shape id="_x0000_i1069"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69" DrawAspect="Content" ObjectID="_1468075768" r:id="rId55">
            <o:LockedField>false</o:LockedField>
          </o:OLEObject>
        </w:object>
      </w:r>
      <w:r>
        <w:rPr>
          <w:rFonts w:hint="eastAsia" w:ascii="Times New Roman" w:hAnsi="Times New Roman" w:eastAsia="宋体" w:cs="Times New Roman"/>
          <w:b/>
          <w:color w:val="auto"/>
          <w:sz w:val="24"/>
        </w:rPr>
        <w:t>六、有关说明</w:t>
      </w:r>
    </w:p>
    <w:p w14:paraId="0523DFB2">
      <w:pPr>
        <w:keepNext w:val="0"/>
        <w:keepLines w:val="0"/>
        <w:pageBreakBefore w:val="0"/>
        <w:widowControl w:val="0"/>
        <w:kinsoku/>
        <w:wordWrap/>
        <w:overflowPunct/>
        <w:topLinePunct w:val="0"/>
        <w:bidi w:val="0"/>
        <w:snapToGrid/>
        <w:spacing w:line="360" w:lineRule="auto"/>
        <w:ind w:firstLine="422" w:firstLineChars="200"/>
        <w:textAlignment w:val="auto"/>
        <w:rPr>
          <w:b/>
          <w:color w:val="auto"/>
          <w:szCs w:val="21"/>
        </w:rPr>
      </w:pPr>
      <w:r>
        <w:rPr>
          <w:rFonts w:hint="eastAsia"/>
          <w:b/>
          <w:color w:val="auto"/>
          <w:szCs w:val="21"/>
        </w:rPr>
        <w:t>（一）持续改进</w:t>
      </w:r>
    </w:p>
    <w:p w14:paraId="4C4955E1">
      <w:pPr>
        <w:keepNext w:val="0"/>
        <w:keepLines w:val="0"/>
        <w:pageBreakBefore w:val="0"/>
        <w:widowControl w:val="0"/>
        <w:kinsoku/>
        <w:wordWrap/>
        <w:overflowPunct/>
        <w:topLinePunct w:val="0"/>
        <w:bidi w:val="0"/>
        <w:snapToGrid/>
        <w:spacing w:line="360" w:lineRule="auto"/>
        <w:ind w:firstLine="420" w:firstLineChars="200"/>
        <w:textAlignment w:val="auto"/>
        <w:rPr>
          <w:color w:val="auto"/>
          <w:szCs w:val="21"/>
        </w:rPr>
      </w:pPr>
      <w:r>
        <w:rPr>
          <w:color w:val="auto"/>
          <w:szCs w:val="21"/>
        </w:rPr>
        <w:t>本课程根据学生作业、课堂讨论、实验环节、平时考核情况和学生、教学督导等</w:t>
      </w:r>
      <w:r>
        <w:rPr>
          <w:rFonts w:hint="eastAsia"/>
          <w:color w:val="auto"/>
          <w:szCs w:val="21"/>
        </w:rPr>
        <w:t>的</w:t>
      </w:r>
      <w:r>
        <w:rPr>
          <w:color w:val="auto"/>
          <w:szCs w:val="21"/>
        </w:rPr>
        <w:t>反馈，及时对教学中</w:t>
      </w:r>
      <w:r>
        <w:rPr>
          <w:rFonts w:hint="eastAsia"/>
          <w:color w:val="auto"/>
          <w:szCs w:val="21"/>
        </w:rPr>
        <w:t>的</w:t>
      </w:r>
      <w:r>
        <w:rPr>
          <w:color w:val="auto"/>
          <w:szCs w:val="21"/>
        </w:rPr>
        <w:t>不足之处进行改进，并在下一轮课程教学中</w:t>
      </w:r>
      <w:r>
        <w:rPr>
          <w:rFonts w:hint="eastAsia"/>
          <w:color w:val="auto"/>
          <w:szCs w:val="21"/>
        </w:rPr>
        <w:t>整改完善</w:t>
      </w:r>
      <w:r>
        <w:rPr>
          <w:color w:val="auto"/>
          <w:szCs w:val="21"/>
        </w:rPr>
        <w:t>，确保相应毕业要求指标点达成。</w:t>
      </w:r>
    </w:p>
    <w:p w14:paraId="347064A4">
      <w:pPr>
        <w:keepNext w:val="0"/>
        <w:keepLines w:val="0"/>
        <w:pageBreakBefore w:val="0"/>
        <w:widowControl w:val="0"/>
        <w:kinsoku/>
        <w:wordWrap/>
        <w:overflowPunct/>
        <w:topLinePunct w:val="0"/>
        <w:bidi w:val="0"/>
        <w:snapToGrid/>
        <w:spacing w:line="360" w:lineRule="auto"/>
        <w:ind w:firstLine="422" w:firstLineChars="200"/>
        <w:textAlignment w:val="auto"/>
        <w:rPr>
          <w:b/>
          <w:bCs/>
          <w:color w:val="auto"/>
          <w:szCs w:val="21"/>
        </w:rPr>
      </w:pPr>
      <w:r>
        <w:rPr>
          <w:rFonts w:hint="eastAsia"/>
          <w:b/>
          <w:bCs/>
          <w:color w:val="auto"/>
          <w:szCs w:val="21"/>
        </w:rPr>
        <w:t>（二）建议教材</w:t>
      </w:r>
    </w:p>
    <w:p w14:paraId="56D1C17E">
      <w:pPr>
        <w:keepNext w:val="0"/>
        <w:keepLines w:val="0"/>
        <w:pageBreakBefore w:val="0"/>
        <w:widowControl w:val="0"/>
        <w:kinsoku/>
        <w:wordWrap/>
        <w:overflowPunct/>
        <w:topLinePunct w:val="0"/>
        <w:bidi w:val="0"/>
        <w:snapToGrid/>
        <w:spacing w:line="360" w:lineRule="auto"/>
        <w:ind w:firstLine="422" w:firstLineChars="200"/>
        <w:textAlignment w:val="auto"/>
        <w:rPr>
          <w:b/>
          <w:color w:val="auto"/>
          <w:kern w:val="0"/>
          <w:szCs w:val="21"/>
        </w:rPr>
      </w:pPr>
      <w:r>
        <w:rPr>
          <w:rFonts w:hint="eastAsia"/>
          <w:b/>
          <w:bCs/>
          <w:color w:val="auto"/>
          <w:kern w:val="0"/>
          <w:szCs w:val="21"/>
        </w:rPr>
        <w:t>1.</w:t>
      </w:r>
      <w:r>
        <w:rPr>
          <w:rFonts w:hint="eastAsia"/>
          <w:bCs/>
          <w:color w:val="auto"/>
          <w:kern w:val="0"/>
          <w:szCs w:val="21"/>
        </w:rPr>
        <w:t>何向东主编，《逻辑学》，高等教育出版社，2019</w:t>
      </w:r>
    </w:p>
    <w:p w14:paraId="47F8D76A">
      <w:pPr>
        <w:keepNext w:val="0"/>
        <w:keepLines w:val="0"/>
        <w:pageBreakBefore w:val="0"/>
        <w:widowControl w:val="0"/>
        <w:kinsoku/>
        <w:wordWrap/>
        <w:overflowPunct/>
        <w:topLinePunct w:val="0"/>
        <w:bidi w:val="0"/>
        <w:snapToGrid/>
        <w:spacing w:line="360" w:lineRule="auto"/>
        <w:ind w:firstLine="422" w:firstLineChars="200"/>
        <w:textAlignment w:val="auto"/>
        <w:rPr>
          <w:color w:val="auto"/>
          <w:szCs w:val="21"/>
        </w:rPr>
      </w:pPr>
      <w:r>
        <w:rPr>
          <w:rFonts w:hint="eastAsia"/>
          <w:b/>
          <w:color w:val="auto"/>
          <w:kern w:val="0"/>
          <w:szCs w:val="21"/>
        </w:rPr>
        <w:t>2.</w:t>
      </w:r>
      <w:r>
        <w:rPr>
          <w:rFonts w:hint="eastAsia"/>
          <w:color w:val="auto"/>
          <w:kern w:val="0"/>
          <w:szCs w:val="21"/>
        </w:rPr>
        <w:t>华东师范大学哲学系逻辑学教研室，《形式逻辑》（第五版），华东师范大学出版社，2</w:t>
      </w:r>
      <w:r>
        <w:rPr>
          <w:color w:val="auto"/>
          <w:kern w:val="0"/>
          <w:szCs w:val="21"/>
        </w:rPr>
        <w:t>016</w:t>
      </w:r>
    </w:p>
    <w:p w14:paraId="306CD2C7">
      <w:pPr>
        <w:keepNext w:val="0"/>
        <w:keepLines w:val="0"/>
        <w:pageBreakBefore w:val="0"/>
        <w:widowControl w:val="0"/>
        <w:kinsoku/>
        <w:wordWrap/>
        <w:overflowPunct/>
        <w:topLinePunct w:val="0"/>
        <w:bidi w:val="0"/>
        <w:snapToGrid/>
        <w:spacing w:line="360" w:lineRule="auto"/>
        <w:ind w:firstLine="422" w:firstLineChars="200"/>
        <w:textAlignment w:val="auto"/>
        <w:rPr>
          <w:b/>
          <w:color w:val="auto"/>
          <w:szCs w:val="21"/>
        </w:rPr>
      </w:pPr>
      <w:r>
        <w:rPr>
          <w:rFonts w:hint="eastAsia"/>
          <w:b/>
          <w:color w:val="auto"/>
          <w:szCs w:val="21"/>
        </w:rPr>
        <w:t>（三）</w:t>
      </w:r>
      <w:r>
        <w:rPr>
          <w:b/>
          <w:color w:val="auto"/>
          <w:szCs w:val="21"/>
        </w:rPr>
        <w:t>参考书目</w:t>
      </w:r>
    </w:p>
    <w:p w14:paraId="59DEEAE4">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color w:val="auto"/>
          <w:kern w:val="0"/>
          <w:szCs w:val="21"/>
        </w:rPr>
      </w:pPr>
      <w:r>
        <w:rPr>
          <w:rFonts w:hint="eastAsia"/>
          <w:color w:val="auto"/>
          <w:kern w:val="0"/>
          <w:szCs w:val="21"/>
        </w:rPr>
        <w:t>1．蔡贤浩，宋荣主编，形式逻辑，华中师范大学出版社，2015</w:t>
      </w:r>
    </w:p>
    <w:p w14:paraId="57E61B6C">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color w:val="auto"/>
          <w:kern w:val="0"/>
          <w:szCs w:val="21"/>
        </w:rPr>
      </w:pPr>
      <w:r>
        <w:rPr>
          <w:color w:val="auto"/>
          <w:kern w:val="0"/>
          <w:szCs w:val="21"/>
        </w:rPr>
        <w:t>2</w:t>
      </w:r>
      <w:r>
        <w:rPr>
          <w:rFonts w:hint="eastAsia"/>
          <w:color w:val="auto"/>
          <w:kern w:val="0"/>
          <w:szCs w:val="21"/>
        </w:rPr>
        <w:t>．[美]欧文·M·柯匹 卡尔·科恩，逻辑学导论（第13版），中国人民大学出版社 ，20</w:t>
      </w:r>
      <w:r>
        <w:rPr>
          <w:color w:val="auto"/>
          <w:kern w:val="0"/>
          <w:szCs w:val="21"/>
        </w:rPr>
        <w:t>21</w:t>
      </w:r>
    </w:p>
    <w:p w14:paraId="31B6DBF9">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color w:val="auto"/>
          <w:kern w:val="0"/>
          <w:szCs w:val="21"/>
        </w:rPr>
      </w:pPr>
      <w:r>
        <w:rPr>
          <w:color w:val="auto"/>
          <w:kern w:val="0"/>
          <w:szCs w:val="21"/>
        </w:rPr>
        <w:t>3</w:t>
      </w:r>
      <w:r>
        <w:rPr>
          <w:rFonts w:hint="eastAsia"/>
          <w:color w:val="auto"/>
          <w:kern w:val="0"/>
          <w:szCs w:val="21"/>
        </w:rPr>
        <w:t>．陈波著，逻辑学十五讲（第二版），北京大学出版社，2016</w:t>
      </w:r>
    </w:p>
    <w:p w14:paraId="4F219BD9">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color w:val="auto"/>
          <w:kern w:val="0"/>
          <w:szCs w:val="21"/>
        </w:rPr>
      </w:pPr>
      <w:r>
        <w:rPr>
          <w:color w:val="auto"/>
          <w:kern w:val="0"/>
          <w:szCs w:val="21"/>
        </w:rPr>
        <w:t>4</w:t>
      </w:r>
      <w:r>
        <w:rPr>
          <w:rFonts w:hint="eastAsia"/>
          <w:color w:val="auto"/>
          <w:kern w:val="0"/>
          <w:szCs w:val="21"/>
        </w:rPr>
        <w:t>．丁毓峰编著，逻辑学原来如此有趣，化学工业出版社，2015</w:t>
      </w:r>
      <w:r>
        <w:rPr>
          <w:color w:val="auto"/>
          <w:kern w:val="0"/>
          <w:szCs w:val="21"/>
        </w:rPr>
        <w:t xml:space="preserve"> </w:t>
      </w:r>
    </w:p>
    <w:p w14:paraId="5764BD1B">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color w:val="auto"/>
          <w:kern w:val="0"/>
          <w:szCs w:val="21"/>
        </w:rPr>
      </w:pPr>
      <w:r>
        <w:rPr>
          <w:color w:val="auto"/>
          <w:kern w:val="0"/>
          <w:szCs w:val="21"/>
        </w:rPr>
        <w:t>5</w:t>
      </w:r>
      <w:r>
        <w:rPr>
          <w:rFonts w:hint="eastAsia"/>
          <w:color w:val="auto"/>
          <w:kern w:val="0"/>
          <w:szCs w:val="21"/>
        </w:rPr>
        <w:t>．董桂萍著，逻辑学原来这么有趣，化学工业出版社，2016</w:t>
      </w:r>
    </w:p>
    <w:p w14:paraId="4EB79684">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color w:val="auto"/>
          <w:kern w:val="0"/>
          <w:szCs w:val="21"/>
        </w:rPr>
      </w:pPr>
      <w:r>
        <w:rPr>
          <w:color w:val="auto"/>
          <w:kern w:val="0"/>
          <w:szCs w:val="21"/>
        </w:rPr>
        <w:t>6</w:t>
      </w:r>
      <w:r>
        <w:rPr>
          <w:rFonts w:hint="eastAsia"/>
          <w:color w:val="auto"/>
          <w:kern w:val="0"/>
          <w:szCs w:val="21"/>
        </w:rPr>
        <w:t>．兰晓华著，逻辑学入门很简单，人民邮电出版社，2017</w:t>
      </w:r>
      <w:r>
        <w:rPr>
          <w:color w:val="auto"/>
          <w:kern w:val="0"/>
          <w:szCs w:val="21"/>
        </w:rPr>
        <w:t xml:space="preserve"> </w:t>
      </w:r>
    </w:p>
    <w:p w14:paraId="7C539A48">
      <w:pPr>
        <w:autoSpaceDE w:val="0"/>
        <w:autoSpaceDN w:val="0"/>
        <w:adjustRightInd w:val="0"/>
        <w:spacing w:line="360" w:lineRule="auto"/>
        <w:ind w:firstLine="6405" w:firstLineChars="3050"/>
        <w:jc w:val="left"/>
        <w:rPr>
          <w:color w:val="auto"/>
          <w:kern w:val="0"/>
          <w:szCs w:val="21"/>
        </w:rPr>
      </w:pPr>
      <w:r>
        <w:rPr>
          <w:color w:val="auto"/>
          <w:kern w:val="0"/>
          <w:szCs w:val="21"/>
        </w:rPr>
        <w:t>执笔人：</w:t>
      </w:r>
      <w:r>
        <w:rPr>
          <w:rFonts w:hint="eastAsia"/>
          <w:color w:val="auto"/>
          <w:kern w:val="0"/>
          <w:szCs w:val="21"/>
        </w:rPr>
        <w:t>缪周芬</w:t>
      </w:r>
    </w:p>
    <w:p w14:paraId="2E52A3B5">
      <w:pPr>
        <w:autoSpaceDE w:val="0"/>
        <w:autoSpaceDN w:val="0"/>
        <w:adjustRightInd w:val="0"/>
        <w:spacing w:line="360" w:lineRule="auto"/>
        <w:ind w:firstLine="6405" w:firstLineChars="3050"/>
        <w:jc w:val="left"/>
        <w:rPr>
          <w:color w:val="auto"/>
          <w:kern w:val="0"/>
          <w:szCs w:val="21"/>
        </w:rPr>
      </w:pPr>
      <w:r>
        <w:rPr>
          <w:color w:val="auto"/>
          <w:kern w:val="0"/>
          <w:szCs w:val="21"/>
        </w:rPr>
        <w:t>审定人：</w:t>
      </w:r>
      <w:r>
        <w:rPr>
          <w:rFonts w:hint="eastAsia"/>
          <w:color w:val="auto"/>
          <w:kern w:val="0"/>
          <w:szCs w:val="21"/>
        </w:rPr>
        <w:t>王  健</w:t>
      </w:r>
    </w:p>
    <w:p w14:paraId="335F31CB">
      <w:pPr>
        <w:autoSpaceDE w:val="0"/>
        <w:autoSpaceDN w:val="0"/>
        <w:adjustRightInd w:val="0"/>
        <w:spacing w:line="360" w:lineRule="auto"/>
        <w:ind w:firstLine="6405" w:firstLineChars="3050"/>
        <w:jc w:val="left"/>
        <w:rPr>
          <w:color w:val="auto"/>
          <w:kern w:val="0"/>
          <w:szCs w:val="21"/>
        </w:rPr>
      </w:pPr>
      <w:r>
        <w:rPr>
          <w:rFonts w:hint="eastAsia"/>
          <w:color w:val="auto"/>
          <w:kern w:val="0"/>
          <w:szCs w:val="21"/>
        </w:rPr>
        <w:t>审批</w:t>
      </w:r>
      <w:r>
        <w:rPr>
          <w:color w:val="auto"/>
          <w:kern w:val="0"/>
          <w:szCs w:val="21"/>
        </w:rPr>
        <w:t>人：</w:t>
      </w:r>
      <w:r>
        <w:rPr>
          <w:rFonts w:hint="eastAsia"/>
          <w:color w:val="auto"/>
          <w:kern w:val="0"/>
          <w:szCs w:val="21"/>
        </w:rPr>
        <w:t>张志欣</w:t>
      </w:r>
    </w:p>
    <w:p w14:paraId="660606D2">
      <w:pPr>
        <w:autoSpaceDE w:val="0"/>
        <w:autoSpaceDN w:val="0"/>
        <w:adjustRightInd w:val="0"/>
        <w:spacing w:line="360" w:lineRule="auto"/>
        <w:ind w:right="210"/>
        <w:jc w:val="right"/>
        <w:rPr>
          <w:rFonts w:hint="eastAsia" w:eastAsiaTheme="minorEastAsia"/>
          <w:color w:val="auto"/>
          <w:kern w:val="0"/>
          <w:szCs w:val="21"/>
          <w:lang w:eastAsia="zh-CN"/>
        </w:rPr>
      </w:pPr>
      <w:r>
        <w:rPr>
          <w:rFonts w:hint="eastAsia"/>
          <w:color w:val="auto"/>
          <w:kern w:val="0"/>
          <w:szCs w:val="21"/>
          <w:lang w:eastAsia="zh-CN"/>
        </w:rPr>
        <w:t>批准时间：2025年7月1日</w:t>
      </w:r>
    </w:p>
    <w:p w14:paraId="10408A79">
      <w:pPr>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170CF1D1">
      <w:pPr>
        <w:spacing w:line="360" w:lineRule="auto"/>
        <w:jc w:val="center"/>
        <w:outlineLvl w:val="0"/>
        <w:rPr>
          <w:rFonts w:hint="eastAsia" w:ascii="Times New Roman" w:hAnsi="Times New Roman" w:eastAsia="宋体" w:cs="Times New Roman"/>
          <w:b/>
          <w:color w:val="auto"/>
          <w:sz w:val="44"/>
          <w:szCs w:val="44"/>
        </w:rPr>
      </w:pPr>
      <w:bookmarkStart w:id="402" w:name="_Toc15574"/>
      <w:bookmarkStart w:id="403" w:name="_Toc32299"/>
      <w:r>
        <w:rPr>
          <w:rFonts w:hint="eastAsia" w:ascii="Times New Roman" w:hAnsi="Times New Roman" w:eastAsia="宋体" w:cs="Times New Roman"/>
          <w:b/>
          <w:color w:val="auto"/>
          <w:sz w:val="44"/>
          <w:szCs w:val="44"/>
        </w:rPr>
        <w:t>《数学史》课程教学大纲</w:t>
      </w:r>
      <w:bookmarkEnd w:id="402"/>
    </w:p>
    <w:p w14:paraId="66A598B2">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w:t>
      </w:r>
      <w:r>
        <w:rPr>
          <w:rFonts w:hint="eastAsia" w:ascii="Times New Roman" w:hAnsi="Times New Roman" w:eastAsia="宋体" w:cs="Times New Roman"/>
          <w:b/>
          <w:bCs/>
          <w:color w:val="auto"/>
          <w:sz w:val="28"/>
          <w:szCs w:val="28"/>
        </w:rPr>
        <w:t>Pedagogical Principles</w:t>
      </w:r>
      <w:r>
        <w:rPr>
          <w:rFonts w:ascii="Times New Roman" w:hAnsi="Times New Roman" w:eastAsia="宋体" w:cs="Times New Roman"/>
          <w:b/>
          <w:bCs/>
          <w:color w:val="auto"/>
          <w:sz w:val="28"/>
          <w:szCs w:val="28"/>
        </w:rPr>
        <w:t>）</w:t>
      </w:r>
    </w:p>
    <w:p w14:paraId="79DFC039">
      <w:pPr>
        <w:spacing w:line="360" w:lineRule="auto"/>
        <w:jc w:val="center"/>
        <w:rPr>
          <w:rFonts w:ascii="Times New Roman" w:hAnsi="Times New Roman" w:eastAsia="宋体" w:cs="Times New Roman"/>
          <w:bCs/>
          <w:color w:val="auto"/>
          <w:sz w:val="21"/>
          <w:szCs w:val="21"/>
        </w:rPr>
      </w:pPr>
    </w:p>
    <w:p w14:paraId="17DE4990">
      <w:pPr>
        <w:spacing w:line="360" w:lineRule="auto"/>
        <w:ind w:firstLine="482" w:firstLineChars="200"/>
        <w:jc w:val="left"/>
        <w:rPr>
          <w:rFonts w:ascii="Times New Roman" w:hAnsi="Times New Roman" w:eastAsia="宋体" w:cs="Times New Roman"/>
          <w:b/>
          <w:bCs/>
          <w:color w:val="auto"/>
          <w:sz w:val="30"/>
        </w:rPr>
      </w:pPr>
      <w:r>
        <w:rPr>
          <w:rFonts w:hint="eastAsia" w:ascii="Times New Roman" w:hAnsi="Times New Roman" w:eastAsia="宋体" w:cs="Times New Roman"/>
          <w:b/>
          <w:color w:val="auto"/>
          <w:sz w:val="24"/>
        </w:rPr>
        <w:t>课程名称：数学史</w:t>
      </w:r>
    </w:p>
    <w:p w14:paraId="45B8E0B8">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课程代码：0821020</w:t>
      </w:r>
    </w:p>
    <w:p w14:paraId="6091D0A7">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分：2</w:t>
      </w:r>
    </w:p>
    <w:p w14:paraId="54FE8064">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时：32（其中：讲授学时32  ， 实验学时0  ，上机学时0）</w:t>
      </w:r>
    </w:p>
    <w:p w14:paraId="4290617B">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先修课程：数学分析，高等代数，空间解析几何</w:t>
      </w:r>
    </w:p>
    <w:p w14:paraId="37F88DC4">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适用专业：小学教育（理）专业</w:t>
      </w:r>
    </w:p>
    <w:p w14:paraId="61C4D10E">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4"/>
        </w:rPr>
      </w:pPr>
      <w:r>
        <w:rPr>
          <w:rFonts w:hint="eastAsia" w:ascii="Times New Roman" w:hAnsi="Times New Roman" w:eastAsia="宋体" w:cs="Times New Roman"/>
          <w:b/>
          <w:color w:val="auto"/>
          <w:sz w:val="24"/>
        </w:rPr>
        <w:t>一、课程简介</w:t>
      </w:r>
    </w:p>
    <w:p w14:paraId="5694FD85">
      <w:pPr>
        <w:spacing w:line="360" w:lineRule="auto"/>
        <w:ind w:firstLine="420" w:firstLineChars="200"/>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本课程是小学教育（理）专业的一门重要选修课。通过本课程的学习，使学生系统地获得数学史的基本知识、必要的基础理论；提高学生的数学视野、数学思维能力、逻辑推理能力；提高学生的数学素养，为学生学习后续相关课程及终身学习奠定必要的数学基础。</w:t>
      </w:r>
    </w:p>
    <w:p w14:paraId="2CCEC5B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二、课程目标</w:t>
      </w:r>
    </w:p>
    <w:p w14:paraId="1382B9C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191D8353">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b/>
          <w:color w:val="auto"/>
          <w:sz w:val="21"/>
          <w:szCs w:val="21"/>
        </w:rPr>
        <w:t>目标</w:t>
      </w:r>
      <w:r>
        <w:rPr>
          <w:rFonts w:ascii="Times New Roman" w:hAnsi="Times New Roman" w:eastAsia="宋体" w:cs="Times New Roman"/>
          <w:b/>
          <w:color w:val="auto"/>
          <w:sz w:val="21"/>
          <w:szCs w:val="21"/>
        </w:rPr>
        <w:t>1.</w:t>
      </w:r>
      <w:r>
        <w:rPr>
          <w:rFonts w:hint="eastAsia" w:ascii="Times New Roman" w:hAnsi="Times New Roman" w:eastAsia="宋体" w:cs="Times New Roman"/>
          <w:b/>
          <w:color w:val="auto"/>
          <w:sz w:val="21"/>
          <w:szCs w:val="21"/>
        </w:rPr>
        <w:t xml:space="preserve"> </w:t>
      </w:r>
      <w:r>
        <w:rPr>
          <w:rFonts w:ascii="Times New Roman" w:hAnsi="Times New Roman" w:eastAsia="宋体" w:cs="Times New Roman"/>
          <w:color w:val="auto"/>
          <w:sz w:val="21"/>
          <w:szCs w:val="21"/>
        </w:rPr>
        <w:t>能够获得课程基本概念与性质。</w:t>
      </w:r>
    </w:p>
    <w:p w14:paraId="1C43C8F1">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b/>
          <w:color w:val="auto"/>
          <w:sz w:val="21"/>
          <w:szCs w:val="21"/>
        </w:rPr>
        <w:t>目标2</w:t>
      </w:r>
      <w:r>
        <w:rPr>
          <w:rFonts w:ascii="Times New Roman" w:hAnsi="Times New Roman" w:eastAsia="宋体" w:cs="Times New Roman"/>
          <w:b/>
          <w:color w:val="auto"/>
          <w:sz w:val="21"/>
          <w:szCs w:val="21"/>
        </w:rPr>
        <w:t xml:space="preserve">. </w:t>
      </w:r>
      <w:r>
        <w:rPr>
          <w:rFonts w:ascii="Times New Roman" w:hAnsi="Times New Roman" w:eastAsia="宋体" w:cs="Times New Roman"/>
          <w:color w:val="auto"/>
          <w:sz w:val="21"/>
          <w:szCs w:val="21"/>
        </w:rPr>
        <w:t>能够掌握本课程要求的计算方法</w:t>
      </w:r>
      <w:r>
        <w:rPr>
          <w:rFonts w:hint="eastAsia" w:ascii="Times New Roman" w:hAnsi="Times New Roman" w:eastAsia="宋体" w:cs="Times New Roman"/>
          <w:color w:val="auto"/>
          <w:sz w:val="21"/>
          <w:szCs w:val="21"/>
        </w:rPr>
        <w:t>。</w:t>
      </w:r>
    </w:p>
    <w:p w14:paraId="6F808B75">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b/>
          <w:color w:val="auto"/>
          <w:sz w:val="21"/>
          <w:szCs w:val="21"/>
        </w:rPr>
        <w:t>目标3</w:t>
      </w:r>
      <w:r>
        <w:rPr>
          <w:rFonts w:hint="eastAsia" w:ascii="Times New Roman" w:hAnsi="Times New Roman" w:eastAsia="宋体" w:cs="Times New Roman"/>
          <w:b/>
          <w:color w:val="auto"/>
          <w:kern w:val="0"/>
          <w:sz w:val="21"/>
          <w:szCs w:val="21"/>
        </w:rPr>
        <w:t>．</w:t>
      </w:r>
      <w:r>
        <w:rPr>
          <w:rFonts w:ascii="Times New Roman" w:hAnsi="Times New Roman" w:eastAsia="宋体" w:cs="Times New Roman"/>
          <w:color w:val="auto"/>
          <w:sz w:val="21"/>
          <w:szCs w:val="21"/>
        </w:rPr>
        <w:t>能够具有一定的抽象概括、逻辑推理等能力。</w:t>
      </w:r>
    </w:p>
    <w:p w14:paraId="3172F36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rPr>
        <w:t>目标4.</w:t>
      </w:r>
      <w:r>
        <w:rPr>
          <w:rFonts w:ascii="Times New Roman" w:hAnsi="Times New Roman" w:eastAsia="宋体" w:cs="Times New Roman"/>
          <w:color w:val="auto"/>
          <w:sz w:val="21"/>
          <w:szCs w:val="21"/>
        </w:rPr>
        <w:t xml:space="preserve"> 能够具有一定的运算能力。</w:t>
      </w:r>
    </w:p>
    <w:p w14:paraId="21F07F7A">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目标5.</w:t>
      </w:r>
      <w:r>
        <w:rPr>
          <w:rFonts w:ascii="Times New Roman" w:hAnsi="Times New Roman" w:eastAsia="宋体" w:cs="Times New Roman"/>
          <w:color w:val="auto"/>
          <w:sz w:val="21"/>
          <w:szCs w:val="21"/>
        </w:rPr>
        <w:t xml:space="preserve"> 能够具有一定的数学思维与分析能力。</w:t>
      </w:r>
    </w:p>
    <w:p w14:paraId="2257229F">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6175"/>
        <w:gridCol w:w="1191"/>
      </w:tblGrid>
      <w:tr w14:paraId="6863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1" w:type="dxa"/>
            <w:vAlign w:val="center"/>
          </w:tcPr>
          <w:p w14:paraId="03D7E331">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175" w:type="dxa"/>
            <w:vAlign w:val="center"/>
          </w:tcPr>
          <w:p w14:paraId="0C336F79">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2C482FED">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4C3F0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1" w:type="dxa"/>
            <w:vAlign w:val="center"/>
          </w:tcPr>
          <w:p w14:paraId="5591A0B2">
            <w:pPr>
              <w:spacing w:line="276" w:lineRule="auto"/>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毕业要求3</w:t>
            </w:r>
          </w:p>
          <w:p w14:paraId="49A89C18">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学科素养</w:t>
            </w:r>
          </w:p>
        </w:tc>
        <w:tc>
          <w:tcPr>
            <w:tcW w:w="6175" w:type="dxa"/>
            <w:vAlign w:val="center"/>
          </w:tcPr>
          <w:p w14:paraId="6479120B">
            <w:pPr>
              <w:spacing w:line="276" w:lineRule="auto"/>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指标点3-2：【学科知识扎实】具有学科专业能力，掌握小学数学学科的基本知识、原理和技能。熟悉小学科学的知识体系，掌握小学科学的基本知识、原理和技能。</w:t>
            </w:r>
          </w:p>
        </w:tc>
        <w:tc>
          <w:tcPr>
            <w:tcW w:w="1191" w:type="dxa"/>
            <w:vAlign w:val="center"/>
          </w:tcPr>
          <w:p w14:paraId="13B61B39">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课程目标1、2、3、</w:t>
            </w:r>
            <w:r>
              <w:rPr>
                <w:rFonts w:hint="eastAsia" w:ascii="Times New Roman" w:hAnsi="Times New Roman" w:eastAsia="宋体" w:cs="Times New Roman"/>
                <w:color w:val="auto"/>
                <w:szCs w:val="21"/>
                <w:lang w:val="en-US" w:eastAsia="zh-CN"/>
              </w:rPr>
              <w:t>4</w:t>
            </w:r>
          </w:p>
        </w:tc>
      </w:tr>
      <w:tr w14:paraId="6E3C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1" w:type="dxa"/>
            <w:vAlign w:val="center"/>
          </w:tcPr>
          <w:p w14:paraId="7FF96F87">
            <w:pPr>
              <w:spacing w:line="276" w:lineRule="auto"/>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毕业要求6</w:t>
            </w:r>
          </w:p>
          <w:p w14:paraId="297F3A88">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综合育人</w:t>
            </w:r>
          </w:p>
        </w:tc>
        <w:tc>
          <w:tcPr>
            <w:tcW w:w="6175" w:type="dxa"/>
            <w:vAlign w:val="center"/>
          </w:tcPr>
          <w:p w14:paraId="10F54BD3">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指标点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191" w:type="dxa"/>
            <w:vAlign w:val="center"/>
          </w:tcPr>
          <w:p w14:paraId="4BD3B145">
            <w:pPr>
              <w:spacing w:line="276"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p>
          <w:p w14:paraId="2D6A9E04">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4、</w:t>
            </w:r>
            <w:r>
              <w:rPr>
                <w:rFonts w:hint="eastAsia" w:ascii="Times New Roman" w:hAnsi="Times New Roman" w:eastAsia="宋体" w:cs="Times New Roman"/>
                <w:color w:val="auto"/>
                <w:szCs w:val="21"/>
              </w:rPr>
              <w:t>5</w:t>
            </w:r>
          </w:p>
        </w:tc>
      </w:tr>
    </w:tbl>
    <w:p w14:paraId="2F9401FB">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5C1CBC3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Times New Roman"/>
          <w:b/>
          <w:color w:val="auto"/>
          <w:sz w:val="28"/>
          <w:szCs w:val="28"/>
        </w:rPr>
      </w:pPr>
      <w:r>
        <w:rPr>
          <w:rFonts w:hint="eastAsia" w:ascii="宋体" w:hAnsi="宋体" w:eastAsia="宋体" w:cs="Times New Roman"/>
          <w:color w:val="auto"/>
          <w:szCs w:val="21"/>
        </w:rPr>
        <w:t>通过数学发展的历史脉络，引导学生理解理论与实践辩证统一的关系，树立社会主义核心价值观，并提升专业素养，帮助学生掌握“实践—理论—实践”的认知规律，培养唯物史观和求真务实的科学精神。同时，通过挖掘中国数学成就（如《九章算术》的实用传统、祖冲之的圆周率计算）和对比中外数学贡献，增强学生的文化自信与爱国情怀，践行“爱国、敬业”的核心价值观。通过分析数学在现代科技（如人工智能、大数据）中的关键作用，激发学生服务国家战略需求的使命感，实现知识传授、能力培养与价值引领的有机统一。</w:t>
      </w:r>
    </w:p>
    <w:p w14:paraId="556CA4F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230"/>
        <w:gridCol w:w="1146"/>
        <w:gridCol w:w="2780"/>
        <w:gridCol w:w="93"/>
        <w:gridCol w:w="1406"/>
        <w:gridCol w:w="49"/>
        <w:gridCol w:w="24"/>
        <w:gridCol w:w="365"/>
      </w:tblGrid>
      <w:tr w14:paraId="3BF0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401EA5B">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w:t>
            </w:r>
          </w:p>
          <w:p w14:paraId="18886F3E">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单元</w:t>
            </w:r>
          </w:p>
        </w:tc>
        <w:tc>
          <w:tcPr>
            <w:tcW w:w="2230" w:type="dxa"/>
            <w:vAlign w:val="center"/>
          </w:tcPr>
          <w:p w14:paraId="45204A41">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知识点</w:t>
            </w:r>
          </w:p>
        </w:tc>
        <w:tc>
          <w:tcPr>
            <w:tcW w:w="1146" w:type="dxa"/>
            <w:vAlign w:val="center"/>
          </w:tcPr>
          <w:p w14:paraId="02CD8A51">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对应</w:t>
            </w:r>
          </w:p>
          <w:p w14:paraId="223FEBB7">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课程目标</w:t>
            </w:r>
          </w:p>
        </w:tc>
        <w:tc>
          <w:tcPr>
            <w:tcW w:w="2873" w:type="dxa"/>
            <w:gridSpan w:val="2"/>
            <w:vAlign w:val="center"/>
          </w:tcPr>
          <w:p w14:paraId="09429E5B">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预期学习成效</w:t>
            </w:r>
          </w:p>
        </w:tc>
        <w:tc>
          <w:tcPr>
            <w:tcW w:w="1406" w:type="dxa"/>
            <w:vAlign w:val="center"/>
          </w:tcPr>
          <w:p w14:paraId="5BC1CF7D">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实现环节</w:t>
            </w:r>
          </w:p>
        </w:tc>
        <w:tc>
          <w:tcPr>
            <w:tcW w:w="438" w:type="dxa"/>
            <w:gridSpan w:val="3"/>
            <w:vAlign w:val="center"/>
          </w:tcPr>
          <w:p w14:paraId="3541E4B9">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学时</w:t>
            </w:r>
          </w:p>
        </w:tc>
      </w:tr>
      <w:tr w14:paraId="1402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6EF31E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1.数学的萌芽</w:t>
            </w:r>
          </w:p>
        </w:tc>
        <w:tc>
          <w:tcPr>
            <w:tcW w:w="2230" w:type="dxa"/>
            <w:vAlign w:val="center"/>
          </w:tcPr>
          <w:p w14:paraId="115A3B2B">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（1）能够了解古埃及的数学</w:t>
            </w:r>
          </w:p>
          <w:p w14:paraId="4D9CA8B4">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（2）能够了解古巴比伦的数学</w:t>
            </w:r>
          </w:p>
        </w:tc>
        <w:tc>
          <w:tcPr>
            <w:tcW w:w="1146" w:type="dxa"/>
            <w:vAlign w:val="center"/>
          </w:tcPr>
          <w:p w14:paraId="0E00D131">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873" w:type="dxa"/>
            <w:gridSpan w:val="2"/>
            <w:vAlign w:val="center"/>
          </w:tcPr>
          <w:p w14:paraId="5066096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重点与难点：古埃及的数学。</w:t>
            </w:r>
          </w:p>
          <w:p w14:paraId="7584CFD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r>
              <w:rPr>
                <w:rFonts w:ascii="宋体" w:hAnsi="宋体" w:eastAsia="宋体" w:cs="Times New Roman"/>
                <w:color w:val="auto"/>
                <w:sz w:val="21"/>
                <w:szCs w:val="21"/>
              </w:rPr>
              <w:t>教学方法：启发式互动讲授结合多媒体辅助；适当课堂练习；及时了解学生的作业状况并对共同的问题作及时解答；安排好课后答疑。</w:t>
            </w:r>
          </w:p>
        </w:tc>
        <w:tc>
          <w:tcPr>
            <w:tcW w:w="1406" w:type="dxa"/>
            <w:vAlign w:val="center"/>
          </w:tcPr>
          <w:p w14:paraId="0326A09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7BEB4B9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2.多媒体教学3.课堂讨论</w:t>
            </w:r>
          </w:p>
          <w:p w14:paraId="0CBEF8E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4.单元测验</w:t>
            </w:r>
          </w:p>
        </w:tc>
        <w:tc>
          <w:tcPr>
            <w:tcW w:w="438" w:type="dxa"/>
            <w:gridSpan w:val="3"/>
            <w:vAlign w:val="center"/>
          </w:tcPr>
          <w:p w14:paraId="155FB72C">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p>
        </w:tc>
      </w:tr>
      <w:tr w14:paraId="2DEA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B6A38AF">
            <w:pPr>
              <w:spacing w:line="240" w:lineRule="auto"/>
              <w:jc w:val="center"/>
              <w:rPr>
                <w:rFonts w:hint="eastAsia" w:ascii="宋体" w:hAnsi="宋体" w:eastAsia="宋体" w:cs="Times New Roman"/>
                <w:color w:val="auto"/>
                <w:sz w:val="21"/>
                <w:szCs w:val="21"/>
              </w:rPr>
            </w:pPr>
          </w:p>
        </w:tc>
        <w:tc>
          <w:tcPr>
            <w:tcW w:w="8093" w:type="dxa"/>
            <w:gridSpan w:val="8"/>
            <w:vAlign w:val="center"/>
          </w:tcPr>
          <w:p w14:paraId="450D650B">
            <w:pPr>
              <w:spacing w:line="240" w:lineRule="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671A7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3628370">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2.希腊的数学</w:t>
            </w:r>
          </w:p>
        </w:tc>
        <w:tc>
          <w:tcPr>
            <w:tcW w:w="2230" w:type="dxa"/>
            <w:vAlign w:val="center"/>
          </w:tcPr>
          <w:p w14:paraId="455923DF">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（1）能够知道希腊数学学派与演绎数学的产生</w:t>
            </w:r>
          </w:p>
          <w:p w14:paraId="07C20718">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（2）能够了解希腊数学的黄金时期</w:t>
            </w:r>
          </w:p>
          <w:p w14:paraId="3996D878">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（3）能够知道希腊数学的衰落</w:t>
            </w:r>
          </w:p>
        </w:tc>
        <w:tc>
          <w:tcPr>
            <w:tcW w:w="1146" w:type="dxa"/>
            <w:vAlign w:val="center"/>
          </w:tcPr>
          <w:p w14:paraId="6AFB48A3">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tc>
        <w:tc>
          <w:tcPr>
            <w:tcW w:w="2873" w:type="dxa"/>
            <w:gridSpan w:val="2"/>
            <w:vAlign w:val="center"/>
          </w:tcPr>
          <w:p w14:paraId="451E754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重点与难点：希腊数学的黄金时期，希腊数学学派与演绎数学的产生。</w:t>
            </w:r>
          </w:p>
          <w:p w14:paraId="3C85D32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r>
              <w:rPr>
                <w:rFonts w:ascii="宋体" w:hAnsi="宋体" w:eastAsia="宋体" w:cs="Times New Roman"/>
                <w:color w:val="auto"/>
                <w:sz w:val="21"/>
                <w:szCs w:val="21"/>
              </w:rPr>
              <w:t>教学方法：启发式互动讲授结合多媒体辅助；适当课堂练习；及时了解学生的作业状况并对共同的问题作及时解答；安排好课后答疑。</w:t>
            </w:r>
          </w:p>
        </w:tc>
        <w:tc>
          <w:tcPr>
            <w:tcW w:w="1406" w:type="dxa"/>
            <w:vAlign w:val="center"/>
          </w:tcPr>
          <w:p w14:paraId="7503298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155D2B7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2.多媒体教学3.课堂讨论</w:t>
            </w:r>
          </w:p>
          <w:p w14:paraId="325A0F3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4.单元测验</w:t>
            </w:r>
          </w:p>
        </w:tc>
        <w:tc>
          <w:tcPr>
            <w:tcW w:w="438" w:type="dxa"/>
            <w:gridSpan w:val="3"/>
            <w:vAlign w:val="center"/>
          </w:tcPr>
          <w:p w14:paraId="44074CCF">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p>
        </w:tc>
      </w:tr>
      <w:tr w14:paraId="4768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E3F7CAE">
            <w:pPr>
              <w:spacing w:line="240" w:lineRule="auto"/>
              <w:jc w:val="center"/>
              <w:rPr>
                <w:rFonts w:hint="eastAsia" w:ascii="宋体" w:hAnsi="宋体" w:eastAsia="宋体" w:cs="Times New Roman"/>
                <w:color w:val="auto"/>
                <w:sz w:val="21"/>
                <w:szCs w:val="21"/>
              </w:rPr>
            </w:pPr>
          </w:p>
        </w:tc>
        <w:tc>
          <w:tcPr>
            <w:tcW w:w="8093" w:type="dxa"/>
            <w:gridSpan w:val="8"/>
            <w:vAlign w:val="center"/>
          </w:tcPr>
          <w:p w14:paraId="649F1EA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74BE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77CF089">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3.印度与阿拉伯的数学</w:t>
            </w:r>
          </w:p>
        </w:tc>
        <w:tc>
          <w:tcPr>
            <w:tcW w:w="2230" w:type="dxa"/>
            <w:vAlign w:val="center"/>
          </w:tcPr>
          <w:p w14:paraId="1F2480C1">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（1）能够了解印度的数学</w:t>
            </w:r>
          </w:p>
          <w:p w14:paraId="566C1C71">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（2）能够了解阿拉伯的数学</w:t>
            </w:r>
          </w:p>
          <w:p w14:paraId="0C8BFAF6">
            <w:pPr>
              <w:spacing w:line="240" w:lineRule="auto"/>
              <w:jc w:val="left"/>
              <w:rPr>
                <w:rFonts w:hint="eastAsia" w:ascii="宋体" w:hAnsi="宋体" w:eastAsia="宋体" w:cs="Times New Roman"/>
                <w:color w:val="auto"/>
                <w:sz w:val="21"/>
                <w:szCs w:val="21"/>
              </w:rPr>
            </w:pPr>
          </w:p>
        </w:tc>
        <w:tc>
          <w:tcPr>
            <w:tcW w:w="1146" w:type="dxa"/>
            <w:vAlign w:val="center"/>
          </w:tcPr>
          <w:p w14:paraId="7127760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tc>
        <w:tc>
          <w:tcPr>
            <w:tcW w:w="2873" w:type="dxa"/>
            <w:gridSpan w:val="2"/>
            <w:vAlign w:val="center"/>
          </w:tcPr>
          <w:p w14:paraId="11E7A90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重点与难点：印度的数学，阿拉伯的数学。</w:t>
            </w:r>
          </w:p>
          <w:p w14:paraId="7F4C84A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r>
              <w:rPr>
                <w:rFonts w:ascii="宋体" w:hAnsi="宋体" w:eastAsia="宋体" w:cs="Times New Roman"/>
                <w:color w:val="auto"/>
                <w:sz w:val="21"/>
                <w:szCs w:val="21"/>
              </w:rPr>
              <w:t>教学方法：启发式互动讲授结合多媒体辅助；适当课堂练习；及时了解学生的作业状况并对共同的问题作及时解答；安排好课后答疑。</w:t>
            </w:r>
          </w:p>
        </w:tc>
        <w:tc>
          <w:tcPr>
            <w:tcW w:w="1406" w:type="dxa"/>
            <w:vAlign w:val="center"/>
          </w:tcPr>
          <w:p w14:paraId="3588DD78">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5EA51B6F">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7F1A5F2A">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gridSpan w:val="3"/>
            <w:vAlign w:val="center"/>
          </w:tcPr>
          <w:p w14:paraId="31C1D96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p>
        </w:tc>
      </w:tr>
      <w:tr w14:paraId="1E66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8A2096E">
            <w:pPr>
              <w:spacing w:line="240" w:lineRule="auto"/>
              <w:jc w:val="center"/>
              <w:rPr>
                <w:rFonts w:hint="eastAsia" w:ascii="宋体" w:hAnsi="宋体" w:eastAsia="宋体" w:cs="Times New Roman"/>
                <w:color w:val="auto"/>
                <w:sz w:val="21"/>
                <w:szCs w:val="21"/>
              </w:rPr>
            </w:pPr>
          </w:p>
        </w:tc>
        <w:tc>
          <w:tcPr>
            <w:tcW w:w="8093" w:type="dxa"/>
            <w:gridSpan w:val="8"/>
            <w:shd w:val="clear" w:color="auto" w:fill="auto"/>
            <w:vAlign w:val="center"/>
          </w:tcPr>
          <w:p w14:paraId="3B509B6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1E2F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509EB3A">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4.中国古代数学</w:t>
            </w:r>
          </w:p>
        </w:tc>
        <w:tc>
          <w:tcPr>
            <w:tcW w:w="2230" w:type="dxa"/>
            <w:vAlign w:val="center"/>
          </w:tcPr>
          <w:p w14:paraId="2891E604">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（1）能够了解先秦时期——中国古代数学的萌芽</w:t>
            </w:r>
          </w:p>
          <w:p w14:paraId="0031E80C">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（2）能够了解汉唐时期——中国传统数学体系的形成</w:t>
            </w:r>
          </w:p>
          <w:p w14:paraId="159FB781">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（3）能够理解宋元时期——中国传统数学的兴盛</w:t>
            </w:r>
          </w:p>
          <w:p w14:paraId="2B4F8A9C">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（4）能够了解明清时期——中国传统数学的衰落与复苏</w:t>
            </w:r>
          </w:p>
          <w:p w14:paraId="2585541A">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（5）能够知道中国传统数学的特点</w:t>
            </w:r>
          </w:p>
        </w:tc>
        <w:tc>
          <w:tcPr>
            <w:tcW w:w="1146" w:type="dxa"/>
            <w:vAlign w:val="center"/>
          </w:tcPr>
          <w:p w14:paraId="06F835C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873" w:type="dxa"/>
            <w:gridSpan w:val="2"/>
            <w:vAlign w:val="center"/>
          </w:tcPr>
          <w:p w14:paraId="7B34B07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重点与难点：宋元时期——中国传统数学的兴盛。</w:t>
            </w:r>
          </w:p>
          <w:p w14:paraId="2F62D1D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r>
              <w:rPr>
                <w:rFonts w:ascii="宋体" w:hAnsi="宋体" w:eastAsia="宋体" w:cs="Times New Roman"/>
                <w:color w:val="auto"/>
                <w:sz w:val="21"/>
                <w:szCs w:val="21"/>
              </w:rPr>
              <w:t>教学方法：启发式互动讲授结合多媒体辅助；适当课堂练习；及时了解学生的作业状况并对共同的问题作及时解答；安排好课后答疑。</w:t>
            </w:r>
          </w:p>
        </w:tc>
        <w:tc>
          <w:tcPr>
            <w:tcW w:w="1406" w:type="dxa"/>
            <w:vAlign w:val="center"/>
          </w:tcPr>
          <w:p w14:paraId="7D1A2F99">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70A10DBF">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6D993A51">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gridSpan w:val="3"/>
            <w:vAlign w:val="center"/>
          </w:tcPr>
          <w:p w14:paraId="2A5F1EDA">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p>
        </w:tc>
      </w:tr>
      <w:tr w14:paraId="478F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9B1A665">
            <w:pPr>
              <w:spacing w:line="240" w:lineRule="auto"/>
              <w:jc w:val="center"/>
              <w:rPr>
                <w:rFonts w:hint="eastAsia" w:ascii="宋体" w:hAnsi="宋体" w:eastAsia="宋体" w:cs="Times New Roman"/>
                <w:color w:val="auto"/>
                <w:sz w:val="21"/>
                <w:szCs w:val="21"/>
              </w:rPr>
            </w:pPr>
          </w:p>
        </w:tc>
        <w:tc>
          <w:tcPr>
            <w:tcW w:w="8093" w:type="dxa"/>
            <w:gridSpan w:val="8"/>
            <w:vAlign w:val="center"/>
          </w:tcPr>
          <w:p w14:paraId="4F493BF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4154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31928EB">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5.欧洲文艺复兴时期的数学</w:t>
            </w:r>
          </w:p>
        </w:tc>
        <w:tc>
          <w:tcPr>
            <w:tcW w:w="2230" w:type="dxa"/>
            <w:vAlign w:val="center"/>
          </w:tcPr>
          <w:p w14:paraId="2743AA25">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（1）能够了解欧洲中世纪的回顾</w:t>
            </w:r>
          </w:p>
          <w:p w14:paraId="69E32122">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（2）能够知道欧洲文艺复兴时期的数学</w:t>
            </w:r>
          </w:p>
        </w:tc>
        <w:tc>
          <w:tcPr>
            <w:tcW w:w="1146" w:type="dxa"/>
            <w:vAlign w:val="center"/>
          </w:tcPr>
          <w:p w14:paraId="497B116F">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873" w:type="dxa"/>
            <w:gridSpan w:val="2"/>
            <w:vAlign w:val="center"/>
          </w:tcPr>
          <w:p w14:paraId="1158A16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重点与难点：欧洲文艺复兴时期的数学。</w:t>
            </w:r>
          </w:p>
          <w:p w14:paraId="10338F6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r>
              <w:rPr>
                <w:rFonts w:ascii="宋体" w:hAnsi="宋体" w:eastAsia="宋体" w:cs="Times New Roman"/>
                <w:color w:val="auto"/>
                <w:sz w:val="21"/>
                <w:szCs w:val="21"/>
              </w:rPr>
              <w:t>教学方法：启发式互动讲授结合多媒体辅助；适当课堂练习；及时了解学生的作业状况并对共同的问题作及时解答；安排好课后答疑。</w:t>
            </w:r>
          </w:p>
        </w:tc>
        <w:tc>
          <w:tcPr>
            <w:tcW w:w="1406" w:type="dxa"/>
            <w:vAlign w:val="center"/>
          </w:tcPr>
          <w:p w14:paraId="25105C39">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7FAEC454">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6EAED19C">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gridSpan w:val="3"/>
            <w:vAlign w:val="center"/>
          </w:tcPr>
          <w:p w14:paraId="43AC3AB1">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p>
        </w:tc>
      </w:tr>
      <w:tr w14:paraId="41C9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1550D9C">
            <w:pPr>
              <w:spacing w:line="240" w:lineRule="auto"/>
              <w:jc w:val="center"/>
              <w:rPr>
                <w:rFonts w:hint="eastAsia" w:ascii="宋体" w:hAnsi="宋体" w:eastAsia="宋体" w:cs="Times New Roman"/>
                <w:color w:val="auto"/>
                <w:sz w:val="21"/>
                <w:szCs w:val="21"/>
              </w:rPr>
            </w:pPr>
          </w:p>
        </w:tc>
        <w:tc>
          <w:tcPr>
            <w:tcW w:w="8093" w:type="dxa"/>
            <w:gridSpan w:val="8"/>
            <w:vAlign w:val="center"/>
          </w:tcPr>
          <w:p w14:paraId="16F7F6F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5BCD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FF2BE7C">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6.解析几何的产生</w:t>
            </w:r>
          </w:p>
        </w:tc>
        <w:tc>
          <w:tcPr>
            <w:tcW w:w="2230" w:type="dxa"/>
            <w:vAlign w:val="center"/>
          </w:tcPr>
          <w:p w14:paraId="4E8284C5">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（1）能够了解解析几何产生的背景</w:t>
            </w:r>
          </w:p>
          <w:p w14:paraId="002C5ECC">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（2）能够理解笛卡尔与他的几何学</w:t>
            </w:r>
          </w:p>
          <w:p w14:paraId="413D7ACC">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（3）能够了解费马与他的几何学</w:t>
            </w:r>
          </w:p>
          <w:p w14:paraId="6E9CB0E9">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（4）能够知道解析几何的进一步完善和发展</w:t>
            </w:r>
          </w:p>
        </w:tc>
        <w:tc>
          <w:tcPr>
            <w:tcW w:w="1146" w:type="dxa"/>
            <w:vAlign w:val="center"/>
          </w:tcPr>
          <w:p w14:paraId="0C3BC9D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tc>
        <w:tc>
          <w:tcPr>
            <w:tcW w:w="2873" w:type="dxa"/>
            <w:gridSpan w:val="2"/>
            <w:vAlign w:val="center"/>
          </w:tcPr>
          <w:p w14:paraId="6CBB05D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重点与难点：笛卡尔与他的几何学，费马与他的几何学，解析几何产生的背景。</w:t>
            </w:r>
          </w:p>
          <w:p w14:paraId="5DDCB11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r>
              <w:rPr>
                <w:rFonts w:ascii="宋体" w:hAnsi="宋体" w:eastAsia="宋体" w:cs="Times New Roman"/>
                <w:color w:val="auto"/>
                <w:sz w:val="21"/>
                <w:szCs w:val="21"/>
              </w:rPr>
              <w:t>教学方法：启发式互动讲授结合多媒体辅助；适当课堂练习；及时了解学生的作业状况并对共同的问题作及时解答；安排好课后答疑。</w:t>
            </w:r>
          </w:p>
        </w:tc>
        <w:tc>
          <w:tcPr>
            <w:tcW w:w="1406" w:type="dxa"/>
            <w:vAlign w:val="center"/>
          </w:tcPr>
          <w:p w14:paraId="7681EBF5">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71460FD6">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27DA6C12">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gridSpan w:val="3"/>
            <w:vAlign w:val="center"/>
          </w:tcPr>
          <w:p w14:paraId="0170B49A">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p>
        </w:tc>
      </w:tr>
      <w:tr w14:paraId="2E80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8134AE6">
            <w:pPr>
              <w:spacing w:line="240" w:lineRule="auto"/>
              <w:jc w:val="center"/>
              <w:rPr>
                <w:rFonts w:hint="eastAsia" w:ascii="宋体" w:hAnsi="宋体" w:eastAsia="宋体" w:cs="Times New Roman"/>
                <w:color w:val="auto"/>
                <w:sz w:val="21"/>
                <w:szCs w:val="21"/>
              </w:rPr>
            </w:pPr>
          </w:p>
        </w:tc>
        <w:tc>
          <w:tcPr>
            <w:tcW w:w="8093" w:type="dxa"/>
            <w:gridSpan w:val="8"/>
            <w:vAlign w:val="center"/>
          </w:tcPr>
          <w:p w14:paraId="472D436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4A6E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4402FF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7.微积分的创立</w:t>
            </w:r>
          </w:p>
        </w:tc>
        <w:tc>
          <w:tcPr>
            <w:tcW w:w="2230" w:type="dxa"/>
            <w:vAlign w:val="center"/>
          </w:tcPr>
          <w:p w14:paraId="0D7CF020">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（1）能够了解微积分产生的背景</w:t>
            </w:r>
          </w:p>
          <w:p w14:paraId="0D14A37E">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（2）能够理解先驱们的探索</w:t>
            </w:r>
          </w:p>
          <w:p w14:paraId="6BD0BE29">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（3）能够理解牛顿的流数术</w:t>
            </w:r>
          </w:p>
          <w:p w14:paraId="421C1D3C">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（4）能够理解莱布尼茨的微积分</w:t>
            </w:r>
          </w:p>
        </w:tc>
        <w:tc>
          <w:tcPr>
            <w:tcW w:w="1146" w:type="dxa"/>
            <w:vAlign w:val="center"/>
          </w:tcPr>
          <w:p w14:paraId="4B9A67D4">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tc>
        <w:tc>
          <w:tcPr>
            <w:tcW w:w="2873" w:type="dxa"/>
            <w:gridSpan w:val="2"/>
            <w:vAlign w:val="center"/>
          </w:tcPr>
          <w:p w14:paraId="7D8E127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重点与难点：牛顿的流数术，莱布尼茨的微积分。</w:t>
            </w:r>
          </w:p>
          <w:p w14:paraId="4E67795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r>
              <w:rPr>
                <w:rFonts w:ascii="宋体" w:hAnsi="宋体" w:eastAsia="宋体" w:cs="Times New Roman"/>
                <w:color w:val="auto"/>
                <w:sz w:val="21"/>
                <w:szCs w:val="21"/>
              </w:rPr>
              <w:t>教学方法：启发式互动讲授结合多媒体辅助；适当课堂练习；及时了解学生的作业状况并对共同的问题作及时解答；安排好课后答疑。</w:t>
            </w:r>
          </w:p>
        </w:tc>
        <w:tc>
          <w:tcPr>
            <w:tcW w:w="1406" w:type="dxa"/>
            <w:vAlign w:val="center"/>
          </w:tcPr>
          <w:p w14:paraId="72A78A52">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20726C12">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60A8A0D0">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gridSpan w:val="3"/>
            <w:vAlign w:val="center"/>
          </w:tcPr>
          <w:p w14:paraId="402E4732">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p>
        </w:tc>
      </w:tr>
      <w:tr w14:paraId="4CC8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C92826E">
            <w:pPr>
              <w:spacing w:line="240" w:lineRule="auto"/>
              <w:jc w:val="center"/>
              <w:rPr>
                <w:rFonts w:hint="eastAsia" w:ascii="宋体" w:hAnsi="宋体" w:eastAsia="宋体" w:cs="Times New Roman"/>
                <w:color w:val="auto"/>
                <w:sz w:val="21"/>
                <w:szCs w:val="21"/>
              </w:rPr>
            </w:pPr>
          </w:p>
        </w:tc>
        <w:tc>
          <w:tcPr>
            <w:tcW w:w="8093" w:type="dxa"/>
            <w:gridSpan w:val="8"/>
            <w:vAlign w:val="center"/>
          </w:tcPr>
          <w:p w14:paraId="1BA2BA1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6444B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AB8F809">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8.概率论的产生与发展</w:t>
            </w:r>
          </w:p>
        </w:tc>
        <w:tc>
          <w:tcPr>
            <w:tcW w:w="2230" w:type="dxa"/>
            <w:vAlign w:val="center"/>
          </w:tcPr>
          <w:p w14:paraId="35104EDB">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（1）能够了解概率论的产生</w:t>
            </w:r>
          </w:p>
          <w:p w14:paraId="4DADFC60">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（2）能够理解推动概率论发展的因素</w:t>
            </w:r>
          </w:p>
          <w:p w14:paraId="26B7E065">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（3）能够理解概率论的发展和完善</w:t>
            </w:r>
          </w:p>
          <w:p w14:paraId="77283D48">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（4）能够了解概率论的应用</w:t>
            </w:r>
          </w:p>
        </w:tc>
        <w:tc>
          <w:tcPr>
            <w:tcW w:w="1146" w:type="dxa"/>
            <w:vAlign w:val="center"/>
          </w:tcPr>
          <w:p w14:paraId="5DC3F501">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873" w:type="dxa"/>
            <w:gridSpan w:val="2"/>
            <w:vAlign w:val="center"/>
          </w:tcPr>
          <w:p w14:paraId="419B1F53">
            <w:pPr>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r>
              <w:rPr>
                <w:rFonts w:ascii="Times New Roman" w:hAnsi="Times New Roman" w:eastAsia="宋体" w:cs="Times New Roman"/>
                <w:color w:val="auto"/>
                <w:sz w:val="21"/>
                <w:szCs w:val="21"/>
              </w:rPr>
              <w:t>重点与难点：</w:t>
            </w:r>
            <w:r>
              <w:rPr>
                <w:rFonts w:ascii="Times New Roman" w:hAnsi="Times New Roman" w:eastAsia="宋体" w:cs="Times New Roman"/>
                <w:bCs/>
                <w:color w:val="auto"/>
                <w:kern w:val="11"/>
                <w:sz w:val="21"/>
                <w:szCs w:val="21"/>
              </w:rPr>
              <w:t>概率论的发展和完善</w:t>
            </w:r>
            <w:r>
              <w:rPr>
                <w:rFonts w:ascii="Times New Roman" w:hAnsi="Times New Roman" w:eastAsia="宋体" w:cs="Times New Roman"/>
                <w:color w:val="auto"/>
                <w:sz w:val="21"/>
                <w:szCs w:val="21"/>
              </w:rPr>
              <w:t>。</w:t>
            </w:r>
          </w:p>
          <w:p w14:paraId="770D8592">
            <w:pPr>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w:t>
            </w:r>
            <w:r>
              <w:rPr>
                <w:rFonts w:ascii="Times New Roman" w:hAnsi="Times New Roman" w:eastAsia="宋体" w:cs="Times New Roman"/>
                <w:color w:val="auto"/>
                <w:sz w:val="21"/>
                <w:szCs w:val="21"/>
              </w:rPr>
              <w:t>教学方法：启发式互动讲授结合多媒体辅助；适当课堂练习；及时了解学生的作业状况并对共同的问题作及时解答；安排好课后答疑。</w:t>
            </w:r>
          </w:p>
          <w:p w14:paraId="5CCA2ABF">
            <w:pPr>
              <w:spacing w:line="240" w:lineRule="auto"/>
              <w:jc w:val="left"/>
              <w:rPr>
                <w:rFonts w:hint="eastAsia" w:ascii="宋体" w:hAnsi="宋体" w:eastAsia="宋体" w:cs="Times New Roman"/>
                <w:color w:val="auto"/>
                <w:sz w:val="21"/>
                <w:szCs w:val="21"/>
              </w:rPr>
            </w:pPr>
          </w:p>
        </w:tc>
        <w:tc>
          <w:tcPr>
            <w:tcW w:w="1406" w:type="dxa"/>
            <w:vAlign w:val="center"/>
          </w:tcPr>
          <w:p w14:paraId="52D6D334">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1671485C">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12F1BC6E">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gridSpan w:val="3"/>
            <w:vAlign w:val="center"/>
          </w:tcPr>
          <w:p w14:paraId="5ED6749E">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p>
        </w:tc>
      </w:tr>
      <w:tr w14:paraId="23EC9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AE583C3">
            <w:pPr>
              <w:spacing w:line="240" w:lineRule="auto"/>
              <w:jc w:val="center"/>
              <w:rPr>
                <w:rFonts w:hint="eastAsia" w:ascii="宋体" w:hAnsi="宋体" w:eastAsia="宋体" w:cs="Times New Roman"/>
                <w:color w:val="auto"/>
                <w:sz w:val="21"/>
                <w:szCs w:val="21"/>
              </w:rPr>
            </w:pPr>
          </w:p>
        </w:tc>
        <w:tc>
          <w:tcPr>
            <w:tcW w:w="8093" w:type="dxa"/>
            <w:gridSpan w:val="8"/>
            <w:vAlign w:val="center"/>
          </w:tcPr>
          <w:p w14:paraId="11FCA25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23DD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3DFC820">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9.微积分的进一步发展</w:t>
            </w:r>
          </w:p>
        </w:tc>
        <w:tc>
          <w:tcPr>
            <w:tcW w:w="2230" w:type="dxa"/>
            <w:vAlign w:val="center"/>
          </w:tcPr>
          <w:p w14:paraId="4B0D6597">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（1）能够了解微分方程</w:t>
            </w:r>
          </w:p>
          <w:p w14:paraId="5BFF3642">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（2）能够理解变分法</w:t>
            </w:r>
          </w:p>
          <w:p w14:paraId="68D16B19">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（3）能够理解分析基础的严密化</w:t>
            </w:r>
          </w:p>
        </w:tc>
        <w:tc>
          <w:tcPr>
            <w:tcW w:w="1146" w:type="dxa"/>
            <w:vAlign w:val="center"/>
          </w:tcPr>
          <w:p w14:paraId="4506983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873" w:type="dxa"/>
            <w:gridSpan w:val="2"/>
            <w:vAlign w:val="center"/>
          </w:tcPr>
          <w:p w14:paraId="290A52A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重点与难点：分析基础的严密化，变分法。</w:t>
            </w:r>
          </w:p>
          <w:p w14:paraId="0C12380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r>
              <w:rPr>
                <w:rFonts w:ascii="宋体" w:hAnsi="宋体" w:eastAsia="宋体" w:cs="Times New Roman"/>
                <w:color w:val="auto"/>
                <w:sz w:val="21"/>
                <w:szCs w:val="21"/>
              </w:rPr>
              <w:t>教学方法：启发式互动讲授结合多媒体辅助；适当课堂练习；及时了解学生的作业状况并对共同的问题作及时解答；安排好课后答疑。</w:t>
            </w:r>
          </w:p>
        </w:tc>
        <w:tc>
          <w:tcPr>
            <w:tcW w:w="1406" w:type="dxa"/>
            <w:vAlign w:val="center"/>
          </w:tcPr>
          <w:p w14:paraId="31FCFA9A">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5126C268">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56FCEF2A">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gridSpan w:val="3"/>
            <w:vAlign w:val="center"/>
          </w:tcPr>
          <w:p w14:paraId="407000D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p>
        </w:tc>
      </w:tr>
      <w:tr w14:paraId="37B2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5BE32B7">
            <w:pPr>
              <w:spacing w:line="240" w:lineRule="auto"/>
              <w:jc w:val="center"/>
              <w:rPr>
                <w:rFonts w:hint="eastAsia" w:ascii="宋体" w:hAnsi="宋体" w:eastAsia="宋体" w:cs="Times New Roman"/>
                <w:color w:val="auto"/>
                <w:sz w:val="21"/>
                <w:szCs w:val="21"/>
              </w:rPr>
            </w:pPr>
          </w:p>
        </w:tc>
        <w:tc>
          <w:tcPr>
            <w:tcW w:w="8093" w:type="dxa"/>
            <w:gridSpan w:val="8"/>
            <w:vAlign w:val="center"/>
          </w:tcPr>
          <w:p w14:paraId="3CAC43D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0F33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1CF64C3">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10.几何学的革命</w:t>
            </w:r>
          </w:p>
        </w:tc>
        <w:tc>
          <w:tcPr>
            <w:tcW w:w="2230" w:type="dxa"/>
            <w:vAlign w:val="center"/>
          </w:tcPr>
          <w:p w14:paraId="0C594677">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（1）能够了解第五公设的思考</w:t>
            </w:r>
          </w:p>
          <w:p w14:paraId="57F0EA7E">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（2）能够知道高斯、波约尔和罗巴切夫斯基的突破性工作</w:t>
            </w:r>
          </w:p>
          <w:p w14:paraId="5060DB80">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（3）能够知道非欧几何学</w:t>
            </w:r>
          </w:p>
          <w:p w14:paraId="2ED19218">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（4）能够知道黎曼对非欧几何的贡献</w:t>
            </w:r>
          </w:p>
        </w:tc>
        <w:tc>
          <w:tcPr>
            <w:tcW w:w="1146" w:type="dxa"/>
            <w:vAlign w:val="center"/>
          </w:tcPr>
          <w:p w14:paraId="38DE7F55">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p w14:paraId="4AC7A6D6">
            <w:pPr>
              <w:spacing w:line="240" w:lineRule="auto"/>
              <w:jc w:val="center"/>
              <w:rPr>
                <w:rFonts w:hint="eastAsia" w:ascii="宋体" w:hAnsi="宋体" w:eastAsia="宋体" w:cs="Times New Roman"/>
                <w:color w:val="auto"/>
                <w:sz w:val="21"/>
                <w:szCs w:val="21"/>
              </w:rPr>
            </w:pPr>
          </w:p>
        </w:tc>
        <w:tc>
          <w:tcPr>
            <w:tcW w:w="2873" w:type="dxa"/>
            <w:gridSpan w:val="2"/>
            <w:vAlign w:val="center"/>
          </w:tcPr>
          <w:p w14:paraId="68583A1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重点与难点：高斯、波约尔和罗巴切夫斯基的突破性工作，第五公设的思考。</w:t>
            </w:r>
          </w:p>
          <w:p w14:paraId="1BB9F9E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r>
              <w:rPr>
                <w:rFonts w:ascii="宋体" w:hAnsi="宋体" w:eastAsia="宋体" w:cs="Times New Roman"/>
                <w:color w:val="auto"/>
                <w:sz w:val="21"/>
                <w:szCs w:val="21"/>
              </w:rPr>
              <w:t>教学方法：启发式互动讲授结合多媒体辅助；适当课堂练习；及时了解学生的作业状况并对共同的问题作及时解答；安排好课后答疑。</w:t>
            </w:r>
          </w:p>
        </w:tc>
        <w:tc>
          <w:tcPr>
            <w:tcW w:w="1406" w:type="dxa"/>
            <w:vAlign w:val="center"/>
          </w:tcPr>
          <w:p w14:paraId="48B4A919">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55C7F4EE">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730C27EC">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gridSpan w:val="3"/>
            <w:vAlign w:val="center"/>
          </w:tcPr>
          <w:p w14:paraId="3464844B">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p>
        </w:tc>
      </w:tr>
      <w:tr w14:paraId="57D8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7E27BF6">
            <w:pPr>
              <w:spacing w:line="240" w:lineRule="auto"/>
              <w:jc w:val="center"/>
              <w:rPr>
                <w:rFonts w:hint="eastAsia" w:ascii="宋体" w:hAnsi="宋体" w:eastAsia="宋体" w:cs="Times New Roman"/>
                <w:color w:val="auto"/>
                <w:sz w:val="21"/>
                <w:szCs w:val="21"/>
              </w:rPr>
            </w:pPr>
          </w:p>
        </w:tc>
        <w:tc>
          <w:tcPr>
            <w:tcW w:w="8093" w:type="dxa"/>
            <w:gridSpan w:val="8"/>
            <w:vAlign w:val="center"/>
          </w:tcPr>
          <w:p w14:paraId="26BA659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1A8A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6F72103">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11.</w:t>
            </w:r>
            <w:r>
              <w:rPr>
                <w:rFonts w:ascii="宋体" w:hAnsi="宋体" w:eastAsia="宋体" w:cs="Times New Roman"/>
                <w:color w:val="auto"/>
                <w:sz w:val="21"/>
                <w:szCs w:val="21"/>
              </w:rPr>
              <w:t>代数学的革命</w:t>
            </w:r>
          </w:p>
        </w:tc>
        <w:tc>
          <w:tcPr>
            <w:tcW w:w="2230" w:type="dxa"/>
            <w:vAlign w:val="center"/>
          </w:tcPr>
          <w:p w14:paraId="61BA5803">
            <w:pPr>
              <w:spacing w:line="240" w:lineRule="auto"/>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（1）能够了解从代数方程的解法到群论</w:t>
            </w:r>
          </w:p>
          <w:p w14:paraId="44CF68D2">
            <w:pPr>
              <w:spacing w:line="240" w:lineRule="auto"/>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（2）能够了解代数学的扩张</w:t>
            </w:r>
          </w:p>
          <w:p w14:paraId="63F5122F">
            <w:pPr>
              <w:spacing w:line="240" w:lineRule="auto"/>
              <w:jc w:val="left"/>
              <w:rPr>
                <w:rFonts w:hint="eastAsia" w:ascii="宋体" w:hAnsi="宋体" w:eastAsia="宋体" w:cs="Times New Roman"/>
                <w:bCs/>
                <w:color w:val="auto"/>
                <w:sz w:val="21"/>
                <w:szCs w:val="21"/>
              </w:rPr>
            </w:pPr>
          </w:p>
        </w:tc>
        <w:tc>
          <w:tcPr>
            <w:tcW w:w="1146" w:type="dxa"/>
            <w:vAlign w:val="center"/>
          </w:tcPr>
          <w:p w14:paraId="4BC7835E">
            <w:pPr>
              <w:spacing w:line="240" w:lineRule="auto"/>
              <w:jc w:val="center"/>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课程目标1、2、3、4、5</w:t>
            </w:r>
          </w:p>
        </w:tc>
        <w:tc>
          <w:tcPr>
            <w:tcW w:w="2873" w:type="dxa"/>
            <w:gridSpan w:val="2"/>
            <w:vAlign w:val="center"/>
          </w:tcPr>
          <w:p w14:paraId="40079560">
            <w:pPr>
              <w:spacing w:line="240" w:lineRule="auto"/>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（1）重点与难点：从代数方程的解法到群论，代数学的扩张。</w:t>
            </w:r>
          </w:p>
          <w:p w14:paraId="7DFA50BF">
            <w:pPr>
              <w:spacing w:line="240" w:lineRule="auto"/>
              <w:jc w:val="left"/>
              <w:rPr>
                <w:rFonts w:hint="eastAsia" w:ascii="宋体" w:hAnsi="宋体" w:eastAsia="宋体" w:cs="Times New Roman"/>
                <w:b/>
                <w:color w:val="auto"/>
                <w:sz w:val="21"/>
                <w:szCs w:val="21"/>
              </w:rPr>
            </w:pPr>
            <w:r>
              <w:rPr>
                <w:rFonts w:hint="eastAsia" w:ascii="宋体" w:hAnsi="宋体" w:eastAsia="宋体" w:cs="Times New Roman"/>
                <w:bCs/>
                <w:color w:val="auto"/>
                <w:sz w:val="21"/>
                <w:szCs w:val="21"/>
              </w:rPr>
              <w:t>（2）教学方法：启发式互动讲授结合多媒体辅助；适当课堂练习；及时了解学生的作业状况并对共同的问题作及时解答；安排好课后答疑。</w:t>
            </w:r>
          </w:p>
        </w:tc>
        <w:tc>
          <w:tcPr>
            <w:tcW w:w="1455" w:type="dxa"/>
            <w:gridSpan w:val="2"/>
            <w:vAlign w:val="center"/>
          </w:tcPr>
          <w:p w14:paraId="06F8BD88">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0F8BAD8D">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7C8DB4F7">
            <w:pPr>
              <w:spacing w:line="240" w:lineRule="auto"/>
              <w:jc w:val="left"/>
              <w:rPr>
                <w:rFonts w:hint="eastAsia" w:ascii="宋体" w:hAnsi="宋体" w:eastAsia="宋体" w:cs="Times New Roman"/>
                <w:b/>
                <w:color w:val="auto"/>
                <w:sz w:val="21"/>
                <w:szCs w:val="21"/>
              </w:rPr>
            </w:pPr>
            <w:r>
              <w:rPr>
                <w:rFonts w:ascii="宋体" w:hAnsi="宋体" w:eastAsia="宋体" w:cs="Times New Roman"/>
                <w:color w:val="auto"/>
                <w:sz w:val="21"/>
                <w:szCs w:val="21"/>
              </w:rPr>
              <w:t>4.单元测验</w:t>
            </w:r>
          </w:p>
        </w:tc>
        <w:tc>
          <w:tcPr>
            <w:tcW w:w="389" w:type="dxa"/>
            <w:gridSpan w:val="2"/>
            <w:vAlign w:val="center"/>
          </w:tcPr>
          <w:p w14:paraId="63645127">
            <w:pPr>
              <w:spacing w:line="240" w:lineRule="auto"/>
              <w:jc w:val="left"/>
              <w:rPr>
                <w:rFonts w:hint="eastAsia" w:ascii="宋体" w:hAnsi="宋体" w:eastAsia="宋体" w:cs="Times New Roman"/>
                <w:b/>
                <w:color w:val="auto"/>
                <w:sz w:val="21"/>
                <w:szCs w:val="21"/>
              </w:rPr>
            </w:pPr>
            <w:r>
              <w:rPr>
                <w:rFonts w:hint="eastAsia" w:ascii="宋体" w:hAnsi="宋体" w:eastAsia="宋体" w:cs="Times New Roman"/>
                <w:bCs/>
                <w:color w:val="auto"/>
                <w:sz w:val="21"/>
                <w:szCs w:val="21"/>
              </w:rPr>
              <w:t>2</w:t>
            </w:r>
          </w:p>
        </w:tc>
      </w:tr>
      <w:tr w14:paraId="2CCA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shd w:val="clear" w:color="auto" w:fill="auto"/>
            <w:vAlign w:val="center"/>
          </w:tcPr>
          <w:p w14:paraId="431BBBA3">
            <w:pPr>
              <w:spacing w:line="240" w:lineRule="auto"/>
              <w:jc w:val="center"/>
              <w:rPr>
                <w:rFonts w:hint="eastAsia" w:ascii="宋体" w:hAnsi="宋体" w:eastAsia="宋体" w:cs="Times New Roman"/>
                <w:color w:val="auto"/>
                <w:sz w:val="21"/>
                <w:szCs w:val="21"/>
              </w:rPr>
            </w:pPr>
          </w:p>
        </w:tc>
        <w:tc>
          <w:tcPr>
            <w:tcW w:w="8093" w:type="dxa"/>
            <w:gridSpan w:val="8"/>
            <w:vAlign w:val="center"/>
          </w:tcPr>
          <w:p w14:paraId="19FA2785">
            <w:pPr>
              <w:spacing w:line="240" w:lineRule="auto"/>
              <w:jc w:val="left"/>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4212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shd w:val="clear" w:color="auto" w:fill="auto"/>
            <w:vAlign w:val="center"/>
          </w:tcPr>
          <w:p w14:paraId="0800728A">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12.</w:t>
            </w:r>
            <w:r>
              <w:rPr>
                <w:rFonts w:ascii="宋体" w:hAnsi="宋体" w:eastAsia="宋体" w:cs="Times New Roman"/>
                <w:color w:val="auto"/>
                <w:sz w:val="21"/>
                <w:szCs w:val="21"/>
              </w:rPr>
              <w:t>现代数学选论</w:t>
            </w:r>
          </w:p>
        </w:tc>
        <w:tc>
          <w:tcPr>
            <w:tcW w:w="2230" w:type="dxa"/>
            <w:vAlign w:val="center"/>
          </w:tcPr>
          <w:p w14:paraId="1436DCB2">
            <w:pPr>
              <w:spacing w:line="240" w:lineRule="auto"/>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（1）能够了解泛函分析的诞生</w:t>
            </w:r>
          </w:p>
          <w:p w14:paraId="17BD53DC">
            <w:pPr>
              <w:spacing w:line="240" w:lineRule="auto"/>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（2）能够知道抽象代数的确立</w:t>
            </w:r>
          </w:p>
          <w:p w14:paraId="5546E56E">
            <w:pPr>
              <w:spacing w:line="240" w:lineRule="auto"/>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（3）能够知道拓朴学的起源与发展</w:t>
            </w:r>
          </w:p>
          <w:p w14:paraId="1BDC83E1">
            <w:pPr>
              <w:spacing w:line="240" w:lineRule="auto"/>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（4）能够了解应用数学的崛起</w:t>
            </w:r>
          </w:p>
          <w:p w14:paraId="75BC1D2F">
            <w:pPr>
              <w:spacing w:line="240" w:lineRule="auto"/>
              <w:jc w:val="left"/>
              <w:rPr>
                <w:rFonts w:hint="eastAsia" w:ascii="宋体" w:hAnsi="宋体" w:eastAsia="宋体" w:cs="Times New Roman"/>
                <w:b/>
                <w:color w:val="auto"/>
                <w:sz w:val="21"/>
                <w:szCs w:val="21"/>
              </w:rPr>
            </w:pPr>
            <w:r>
              <w:rPr>
                <w:rFonts w:hint="eastAsia" w:ascii="宋体" w:hAnsi="宋体" w:eastAsia="宋体" w:cs="Times New Roman"/>
                <w:bCs/>
                <w:color w:val="auto"/>
                <w:sz w:val="21"/>
                <w:szCs w:val="21"/>
              </w:rPr>
              <w:t>（5）能够了解计算机与计算数学</w:t>
            </w:r>
          </w:p>
        </w:tc>
        <w:tc>
          <w:tcPr>
            <w:tcW w:w="1146" w:type="dxa"/>
            <w:vAlign w:val="center"/>
          </w:tcPr>
          <w:p w14:paraId="4CB89B18">
            <w:pPr>
              <w:spacing w:line="240" w:lineRule="auto"/>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课程目标1、2、3</w:t>
            </w:r>
          </w:p>
        </w:tc>
        <w:tc>
          <w:tcPr>
            <w:tcW w:w="2780" w:type="dxa"/>
            <w:vAlign w:val="center"/>
          </w:tcPr>
          <w:p w14:paraId="6122CDD8">
            <w:pPr>
              <w:spacing w:line="240" w:lineRule="auto"/>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（1）重点与难点：应用数学的崛起，泛函分析的诞生，抽象代数的确立。</w:t>
            </w:r>
          </w:p>
          <w:p w14:paraId="0F3FC76A">
            <w:pPr>
              <w:spacing w:line="240" w:lineRule="auto"/>
              <w:jc w:val="left"/>
              <w:rPr>
                <w:rFonts w:hint="eastAsia" w:ascii="宋体" w:hAnsi="宋体" w:eastAsia="宋体" w:cs="Times New Roman"/>
                <w:b/>
                <w:color w:val="auto"/>
                <w:sz w:val="21"/>
                <w:szCs w:val="21"/>
              </w:rPr>
            </w:pPr>
            <w:r>
              <w:rPr>
                <w:rFonts w:hint="eastAsia" w:ascii="宋体" w:hAnsi="宋体" w:eastAsia="宋体" w:cs="Times New Roman"/>
                <w:bCs/>
                <w:color w:val="auto"/>
                <w:sz w:val="21"/>
                <w:szCs w:val="21"/>
              </w:rPr>
              <w:t>（2）教学方法：启发式互动讲授结合多媒体辅助；适当课堂练习；及时了解学生的作业状况并对共同的问题作及时解答；安排好课后答疑。</w:t>
            </w:r>
          </w:p>
        </w:tc>
        <w:tc>
          <w:tcPr>
            <w:tcW w:w="1572" w:type="dxa"/>
            <w:gridSpan w:val="4"/>
            <w:vAlign w:val="center"/>
          </w:tcPr>
          <w:p w14:paraId="1CD1EF39">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3CD31CA6">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09FED5F6">
            <w:pPr>
              <w:spacing w:line="240" w:lineRule="auto"/>
              <w:jc w:val="left"/>
              <w:rPr>
                <w:rFonts w:hint="eastAsia" w:ascii="宋体" w:hAnsi="宋体" w:eastAsia="宋体" w:cs="Times New Roman"/>
                <w:b/>
                <w:color w:val="auto"/>
                <w:sz w:val="21"/>
                <w:szCs w:val="21"/>
              </w:rPr>
            </w:pPr>
            <w:r>
              <w:rPr>
                <w:rFonts w:ascii="宋体" w:hAnsi="宋体" w:eastAsia="宋体" w:cs="Times New Roman"/>
                <w:color w:val="auto"/>
                <w:sz w:val="21"/>
                <w:szCs w:val="21"/>
              </w:rPr>
              <w:t>4.单元测验</w:t>
            </w:r>
          </w:p>
        </w:tc>
        <w:tc>
          <w:tcPr>
            <w:tcW w:w="365" w:type="dxa"/>
            <w:vAlign w:val="center"/>
          </w:tcPr>
          <w:p w14:paraId="1063070D">
            <w:pPr>
              <w:spacing w:line="240" w:lineRule="auto"/>
              <w:jc w:val="left"/>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4</w:t>
            </w:r>
          </w:p>
        </w:tc>
      </w:tr>
      <w:tr w14:paraId="0B37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shd w:val="clear" w:color="auto" w:fill="auto"/>
            <w:vAlign w:val="center"/>
          </w:tcPr>
          <w:p w14:paraId="500FF686">
            <w:pPr>
              <w:spacing w:line="240" w:lineRule="auto"/>
              <w:jc w:val="center"/>
              <w:rPr>
                <w:rFonts w:hint="eastAsia" w:ascii="宋体" w:hAnsi="宋体" w:eastAsia="宋体" w:cs="Times New Roman"/>
                <w:color w:val="auto"/>
                <w:sz w:val="21"/>
                <w:szCs w:val="21"/>
              </w:rPr>
            </w:pPr>
          </w:p>
        </w:tc>
        <w:tc>
          <w:tcPr>
            <w:tcW w:w="8093" w:type="dxa"/>
            <w:gridSpan w:val="8"/>
            <w:vAlign w:val="center"/>
          </w:tcPr>
          <w:p w14:paraId="0F715E34">
            <w:pPr>
              <w:spacing w:line="240" w:lineRule="auto"/>
              <w:jc w:val="left"/>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bl>
    <w:p w14:paraId="7F24920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四、目标评价与成绩评定</w:t>
      </w:r>
    </w:p>
    <w:p w14:paraId="3903D55D">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631D262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1998"/>
        <w:gridCol w:w="2374"/>
        <w:gridCol w:w="1835"/>
      </w:tblGrid>
      <w:tr w14:paraId="19B8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031" w:type="dxa"/>
            <w:vMerge w:val="restart"/>
            <w:vAlign w:val="center"/>
          </w:tcPr>
          <w:p w14:paraId="4512530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3865" w:type="dxa"/>
            <w:gridSpan w:val="2"/>
            <w:vAlign w:val="center"/>
          </w:tcPr>
          <w:p w14:paraId="6B0944A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622" w:type="dxa"/>
            <w:vMerge w:val="restart"/>
            <w:vAlign w:val="center"/>
          </w:tcPr>
          <w:p w14:paraId="5D9AE10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7D16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031" w:type="dxa"/>
            <w:vMerge w:val="continue"/>
            <w:vAlign w:val="center"/>
          </w:tcPr>
          <w:p w14:paraId="5BDD78CE">
            <w:pPr>
              <w:spacing w:line="360" w:lineRule="auto"/>
              <w:jc w:val="center"/>
              <w:rPr>
                <w:rFonts w:hint="eastAsia" w:ascii="宋体" w:hAnsi="宋体" w:eastAsia="宋体" w:cs="Times New Roman"/>
                <w:color w:val="auto"/>
                <w:szCs w:val="21"/>
              </w:rPr>
            </w:pPr>
          </w:p>
        </w:tc>
        <w:tc>
          <w:tcPr>
            <w:tcW w:w="1766" w:type="dxa"/>
            <w:vAlign w:val="center"/>
          </w:tcPr>
          <w:p w14:paraId="5A705C8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2099" w:type="dxa"/>
            <w:vAlign w:val="center"/>
          </w:tcPr>
          <w:p w14:paraId="2399FA1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1622" w:type="dxa"/>
            <w:vMerge w:val="continue"/>
            <w:vAlign w:val="center"/>
          </w:tcPr>
          <w:p w14:paraId="651BF86E">
            <w:pPr>
              <w:spacing w:line="360" w:lineRule="auto"/>
              <w:jc w:val="center"/>
              <w:rPr>
                <w:rFonts w:hint="eastAsia" w:ascii="宋体" w:hAnsi="宋体" w:eastAsia="宋体" w:cs="Times New Roman"/>
                <w:color w:val="auto"/>
                <w:szCs w:val="21"/>
              </w:rPr>
            </w:pPr>
          </w:p>
        </w:tc>
      </w:tr>
      <w:tr w14:paraId="1E86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031" w:type="dxa"/>
            <w:vAlign w:val="center"/>
          </w:tcPr>
          <w:p w14:paraId="61E0B33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766" w:type="dxa"/>
            <w:vAlign w:val="center"/>
          </w:tcPr>
          <w:p w14:paraId="0448FC7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099" w:type="dxa"/>
            <w:vAlign w:val="center"/>
          </w:tcPr>
          <w:p w14:paraId="7F09F169">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22" w:type="dxa"/>
            <w:vAlign w:val="center"/>
          </w:tcPr>
          <w:p w14:paraId="3B7F525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6836D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031" w:type="dxa"/>
            <w:vAlign w:val="center"/>
          </w:tcPr>
          <w:p w14:paraId="2D575B8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766" w:type="dxa"/>
            <w:vAlign w:val="center"/>
          </w:tcPr>
          <w:p w14:paraId="0B5E349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099" w:type="dxa"/>
            <w:vAlign w:val="center"/>
          </w:tcPr>
          <w:p w14:paraId="381343D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22" w:type="dxa"/>
            <w:vAlign w:val="center"/>
          </w:tcPr>
          <w:p w14:paraId="561E6C8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3BAD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031" w:type="dxa"/>
            <w:vAlign w:val="center"/>
          </w:tcPr>
          <w:p w14:paraId="1AF177A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1766" w:type="dxa"/>
            <w:vAlign w:val="center"/>
          </w:tcPr>
          <w:p w14:paraId="3C87620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099" w:type="dxa"/>
            <w:vAlign w:val="center"/>
          </w:tcPr>
          <w:p w14:paraId="30C9BBFB">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22" w:type="dxa"/>
            <w:vAlign w:val="center"/>
          </w:tcPr>
          <w:p w14:paraId="463D608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1AEA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031" w:type="dxa"/>
            <w:vAlign w:val="center"/>
          </w:tcPr>
          <w:p w14:paraId="1AC1E39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课程目标4</w:t>
            </w:r>
          </w:p>
        </w:tc>
        <w:tc>
          <w:tcPr>
            <w:tcW w:w="1766" w:type="dxa"/>
            <w:vAlign w:val="center"/>
          </w:tcPr>
          <w:p w14:paraId="1B440AEB">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099" w:type="dxa"/>
            <w:vAlign w:val="center"/>
          </w:tcPr>
          <w:p w14:paraId="1C6399A9">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22" w:type="dxa"/>
            <w:vAlign w:val="center"/>
          </w:tcPr>
          <w:p w14:paraId="340ABC6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378A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031" w:type="dxa"/>
            <w:vAlign w:val="center"/>
          </w:tcPr>
          <w:p w14:paraId="20FD168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课程目标5</w:t>
            </w:r>
          </w:p>
        </w:tc>
        <w:tc>
          <w:tcPr>
            <w:tcW w:w="1766" w:type="dxa"/>
            <w:vAlign w:val="center"/>
          </w:tcPr>
          <w:p w14:paraId="285576F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099" w:type="dxa"/>
            <w:vAlign w:val="center"/>
          </w:tcPr>
          <w:p w14:paraId="71C166E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22" w:type="dxa"/>
            <w:vAlign w:val="center"/>
          </w:tcPr>
          <w:p w14:paraId="239573D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4F85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031" w:type="dxa"/>
            <w:vAlign w:val="center"/>
          </w:tcPr>
          <w:p w14:paraId="4BFBF05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766" w:type="dxa"/>
            <w:vAlign w:val="center"/>
          </w:tcPr>
          <w:p w14:paraId="1B3F87E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50</w:t>
            </w:r>
          </w:p>
        </w:tc>
        <w:tc>
          <w:tcPr>
            <w:tcW w:w="2099" w:type="dxa"/>
            <w:vAlign w:val="center"/>
          </w:tcPr>
          <w:p w14:paraId="6F4E7EE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50</w:t>
            </w:r>
          </w:p>
        </w:tc>
        <w:tc>
          <w:tcPr>
            <w:tcW w:w="1622" w:type="dxa"/>
            <w:vAlign w:val="center"/>
          </w:tcPr>
          <w:p w14:paraId="3166CAF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48DB7392">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25ED73A5">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6534"/>
        <w:gridCol w:w="706"/>
      </w:tblGrid>
      <w:tr w14:paraId="11A6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dxa"/>
            <w:vAlign w:val="center"/>
          </w:tcPr>
          <w:p w14:paraId="69CF0C4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534" w:type="dxa"/>
            <w:vAlign w:val="center"/>
          </w:tcPr>
          <w:p w14:paraId="4718067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7FBD0647">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317D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dxa"/>
            <w:vAlign w:val="center"/>
          </w:tcPr>
          <w:p w14:paraId="4609E9DF">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6534" w:type="dxa"/>
            <w:vAlign w:val="center"/>
          </w:tcPr>
          <w:p w14:paraId="055DEC7A">
            <w:pPr>
              <w:spacing w:line="264" w:lineRule="auto"/>
              <w:jc w:val="left"/>
              <w:rPr>
                <w:rFonts w:ascii="Times New Roman" w:hAnsi="Times New Roman" w:eastAsia="宋体" w:cs="Times New Roman"/>
                <w:color w:val="auto"/>
                <w:szCs w:val="21"/>
              </w:rPr>
            </w:pPr>
            <w:r>
              <w:rPr>
                <w:rFonts w:ascii="Times New Roman" w:hAnsi="Times New Roman" w:eastAsia="宋体" w:cs="Times New Roman"/>
                <w:color w:val="auto"/>
                <w:lang w:bidi="ar"/>
              </w:rPr>
              <w:t>课堂不定期点名，考核出勤情况并打分。</w:t>
            </w:r>
            <w:r>
              <w:rPr>
                <w:rFonts w:ascii="Times New Roman" w:hAnsi="Times New Roman" w:eastAsia="宋体" w:cs="Times New Roman"/>
                <w:color w:val="auto"/>
              </w:rPr>
              <w:t>课堂不定期通过提问或小练习实施师生互动，考核考核学生课堂学习情况，按照互动情况打分。</w:t>
            </w:r>
            <w:r>
              <w:rPr>
                <w:rFonts w:ascii="Times New Roman" w:hAnsi="Times New Roman" w:eastAsia="宋体" w:cs="Times New Roman"/>
                <w:color w:val="auto"/>
                <w:lang w:bidi="ar"/>
              </w:rPr>
              <w:t>定期布置习题，考核学生对所学知识点的复习、理解和掌握度。对作业完成情况做记录并百分制打分，计算作业的平均成绩。</w:t>
            </w:r>
          </w:p>
        </w:tc>
        <w:tc>
          <w:tcPr>
            <w:tcW w:w="0" w:type="auto"/>
            <w:vAlign w:val="center"/>
          </w:tcPr>
          <w:p w14:paraId="7F45BD5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0A18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dxa"/>
            <w:vAlign w:val="center"/>
          </w:tcPr>
          <w:p w14:paraId="39D213F5">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6534" w:type="dxa"/>
            <w:vAlign w:val="center"/>
          </w:tcPr>
          <w:p w14:paraId="4B546197">
            <w:pPr>
              <w:jc w:val="left"/>
              <w:rPr>
                <w:rFonts w:ascii="Times New Roman" w:hAnsi="Times New Roman" w:eastAsia="宋体" w:cs="Times New Roman"/>
                <w:color w:val="auto"/>
                <w:szCs w:val="21"/>
              </w:rPr>
            </w:pPr>
            <w:r>
              <w:rPr>
                <w:rFonts w:ascii="Times New Roman" w:hAnsi="Times New Roman" w:eastAsia="宋体" w:cs="Times New Roman"/>
                <w:color w:val="auto"/>
                <w:lang w:bidi="ar"/>
              </w:rPr>
              <w:t>试卷题型包括选择题、计算题、解答题等。</w:t>
            </w:r>
          </w:p>
        </w:tc>
        <w:tc>
          <w:tcPr>
            <w:tcW w:w="0" w:type="auto"/>
            <w:vAlign w:val="center"/>
          </w:tcPr>
          <w:p w14:paraId="7F30B18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4097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82" w:type="dxa"/>
            <w:vAlign w:val="center"/>
          </w:tcPr>
          <w:p w14:paraId="5FF3469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6534" w:type="dxa"/>
            <w:vAlign w:val="center"/>
          </w:tcPr>
          <w:p w14:paraId="12E83174">
            <w:pPr>
              <w:jc w:val="left"/>
              <w:rPr>
                <w:rFonts w:ascii="Times New Roman" w:hAnsi="Times New Roman" w:eastAsia="宋体" w:cs="Times New Roman"/>
                <w:color w:val="auto"/>
                <w:szCs w:val="21"/>
              </w:rPr>
            </w:pPr>
          </w:p>
        </w:tc>
        <w:tc>
          <w:tcPr>
            <w:tcW w:w="0" w:type="auto"/>
            <w:vAlign w:val="center"/>
          </w:tcPr>
          <w:p w14:paraId="70BDE8C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07AA0BF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3C7F9889">
      <w:pPr>
        <w:spacing w:line="360" w:lineRule="auto"/>
        <w:ind w:firstLine="411" w:firstLineChars="196"/>
        <w:jc w:val="left"/>
        <w:rPr>
          <w:rFonts w:hint="eastAsia" w:ascii="宋体" w:hAnsi="宋体" w:eastAsia="宋体" w:cs="Times New Roman"/>
          <w:color w:val="auto"/>
          <w:szCs w:val="21"/>
        </w:rPr>
      </w:pPr>
      <w:r>
        <w:rPr>
          <w:rFonts w:ascii="Times New Roman" w:hAnsi="Times New Roman" w:eastAsia="宋体" w:cs="Times New Roman"/>
          <w:color w:val="auto"/>
          <w:sz w:val="21"/>
          <w:szCs w:val="21"/>
        </w:rPr>
        <w:t>课程总评成绩=出勤情况成绩×10% +师生互动成绩×10% +作业成绩×30%+期末考试成绩×50%。</w:t>
      </w:r>
      <w:r>
        <w:rPr>
          <w:rFonts w:ascii="宋体" w:hAnsi="宋体" w:eastAsia="宋体" w:cs="Times New Roman"/>
          <w:color w:val="auto"/>
          <w:szCs w:val="21"/>
        </w:rPr>
        <w:t>每门课程目标总体达成度计算方法如下：</w:t>
      </w:r>
    </w:p>
    <w:p w14:paraId="23CCDFF3">
      <w:pPr>
        <w:spacing w:before="156" w:beforeLines="50" w:line="360" w:lineRule="auto"/>
        <w:ind w:firstLine="420" w:firstLineChars="200"/>
        <w:jc w:val="left"/>
        <w:rPr>
          <w:rFonts w:hint="eastAsia" w:ascii="Times New Roman" w:hAnsi="Times New Roman" w:eastAsia="宋体" w:cs="Times New Roman"/>
          <w:b/>
          <w:color w:val="auto"/>
          <w:sz w:val="24"/>
        </w:rPr>
      </w:pPr>
      <w:r>
        <w:rPr>
          <w:rFonts w:ascii="宋体" w:hAnsi="宋体" w:eastAsia="宋体" w:cs="Times New Roman"/>
          <w:color w:val="auto"/>
          <w:szCs w:val="21"/>
        </w:rPr>
        <w:object>
          <v:shape id="_x0000_i1070"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70" DrawAspect="Content" ObjectID="_1468075769" r:id="rId56">
            <o:LockedField>false</o:LockedField>
          </o:OLEObject>
        </w:object>
      </w:r>
      <w:r>
        <w:rPr>
          <w:rFonts w:hint="eastAsia" w:ascii="Times New Roman" w:hAnsi="Times New Roman" w:eastAsia="宋体" w:cs="Times New Roman"/>
          <w:b/>
          <w:color w:val="auto"/>
          <w:sz w:val="24"/>
        </w:rPr>
        <w:t>五、课程实践</w:t>
      </w:r>
    </w:p>
    <w:p w14:paraId="05B8379C">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olor w:val="auto"/>
          <w:szCs w:val="21"/>
        </w:rPr>
      </w:pPr>
      <w:r>
        <w:rPr>
          <w:rFonts w:hint="eastAsia" w:ascii="宋体" w:hAnsi="宋体" w:eastAsia="宋体"/>
          <w:color w:val="auto"/>
          <w:szCs w:val="21"/>
        </w:rPr>
        <w:t>本课程在系统教学的基础上，以学生为主题，整合各类教育资源，科学设计实践活动，丰富教育教学形式，提升教育教学效果，从而实现思政育人。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905"/>
        <w:gridCol w:w="1015"/>
        <w:gridCol w:w="2387"/>
      </w:tblGrid>
      <w:tr w14:paraId="4968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212" w:type="dxa"/>
            <w:vAlign w:val="center"/>
          </w:tcPr>
          <w:p w14:paraId="5A77EA0F">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活动主题</w:t>
            </w:r>
          </w:p>
        </w:tc>
        <w:tc>
          <w:tcPr>
            <w:tcW w:w="3905" w:type="dxa"/>
            <w:vAlign w:val="center"/>
          </w:tcPr>
          <w:p w14:paraId="455B3537">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活动内容</w:t>
            </w:r>
          </w:p>
        </w:tc>
        <w:tc>
          <w:tcPr>
            <w:tcW w:w="1015" w:type="dxa"/>
            <w:vAlign w:val="center"/>
          </w:tcPr>
          <w:p w14:paraId="57154ACF">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活动方式</w:t>
            </w:r>
          </w:p>
        </w:tc>
        <w:tc>
          <w:tcPr>
            <w:tcW w:w="2387" w:type="dxa"/>
            <w:vAlign w:val="center"/>
          </w:tcPr>
          <w:p w14:paraId="66E3BA25">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思政目标</w:t>
            </w:r>
          </w:p>
        </w:tc>
      </w:tr>
      <w:tr w14:paraId="4BA5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212" w:type="dxa"/>
            <w:vAlign w:val="center"/>
          </w:tcPr>
          <w:p w14:paraId="5B5371C8">
            <w:pPr>
              <w:spacing w:line="240" w:lineRule="auto"/>
              <w:jc w:val="center"/>
              <w:rPr>
                <w:rFonts w:hint="eastAsia" w:ascii="宋体" w:hAnsi="宋体" w:eastAsia="宋体" w:cs="宋体"/>
                <w:color w:val="auto"/>
                <w:sz w:val="21"/>
                <w:szCs w:val="21"/>
              </w:rPr>
            </w:pPr>
            <w:r>
              <w:rPr>
                <w:rFonts w:ascii="宋体" w:hAnsi="宋体" w:eastAsia="宋体" w:cs="宋体"/>
                <w:color w:val="auto"/>
                <w:sz w:val="21"/>
                <w:szCs w:val="21"/>
              </w:rPr>
              <w:t>数学概念的历史重构</w:t>
            </w:r>
          </w:p>
        </w:tc>
        <w:tc>
          <w:tcPr>
            <w:tcW w:w="3905" w:type="dxa"/>
            <w:vAlign w:val="center"/>
          </w:tcPr>
          <w:p w14:paraId="2B40FE24">
            <w:pPr>
              <w:spacing w:line="240" w:lineRule="auto"/>
              <w:jc w:val="left"/>
              <w:rPr>
                <w:rFonts w:hint="eastAsia" w:ascii="宋体" w:hAnsi="宋体" w:eastAsia="宋体" w:cs="宋体"/>
                <w:color w:val="auto"/>
                <w:sz w:val="21"/>
                <w:szCs w:val="21"/>
              </w:rPr>
            </w:pPr>
            <w:r>
              <w:rPr>
                <w:rFonts w:ascii="宋体" w:hAnsi="宋体" w:eastAsia="宋体" w:cs="宋体"/>
                <w:color w:val="auto"/>
                <w:sz w:val="21"/>
                <w:szCs w:val="21"/>
              </w:rPr>
              <w:t>选取中小学核心概念（如负数、勾股定理、函数），梳理其历史演进过程，设计基于历史脉络的教学案例。分组制作微课视频，对比古今方法（如《九章算术》vs 现代方程解法），分析学生认知难点。</w:t>
            </w:r>
          </w:p>
        </w:tc>
        <w:tc>
          <w:tcPr>
            <w:tcW w:w="1015" w:type="dxa"/>
            <w:vAlign w:val="center"/>
          </w:tcPr>
          <w:p w14:paraId="776287E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课程实践作业</w:t>
            </w:r>
          </w:p>
        </w:tc>
        <w:tc>
          <w:tcPr>
            <w:tcW w:w="2387" w:type="dxa"/>
            <w:vAlign w:val="center"/>
          </w:tcPr>
          <w:p w14:paraId="1A04F7DF">
            <w:pPr>
              <w:spacing w:line="240" w:lineRule="auto"/>
              <w:jc w:val="left"/>
              <w:rPr>
                <w:rFonts w:hint="eastAsia" w:ascii="宋体" w:hAnsi="宋体" w:eastAsia="宋体" w:cs="宋体"/>
                <w:color w:val="auto"/>
                <w:sz w:val="21"/>
                <w:szCs w:val="21"/>
              </w:rPr>
            </w:pP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6FC9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3894B40B">
            <w:pPr>
              <w:spacing w:line="240" w:lineRule="auto"/>
              <w:jc w:val="center"/>
              <w:rPr>
                <w:rFonts w:hint="eastAsia" w:ascii="宋体" w:hAnsi="宋体" w:eastAsia="宋体" w:cs="宋体"/>
                <w:color w:val="auto"/>
                <w:sz w:val="21"/>
                <w:szCs w:val="21"/>
              </w:rPr>
            </w:pPr>
            <w:r>
              <w:rPr>
                <w:rFonts w:ascii="宋体" w:hAnsi="宋体" w:eastAsia="宋体" w:cs="宋体"/>
                <w:color w:val="auto"/>
                <w:sz w:val="21"/>
                <w:szCs w:val="21"/>
              </w:rPr>
              <w:t>数学文化课堂活动设计</w:t>
            </w:r>
          </w:p>
        </w:tc>
        <w:tc>
          <w:tcPr>
            <w:tcW w:w="3905" w:type="dxa"/>
            <w:vAlign w:val="center"/>
          </w:tcPr>
          <w:p w14:paraId="3BCBDA18">
            <w:pPr>
              <w:spacing w:line="240" w:lineRule="auto"/>
              <w:jc w:val="left"/>
              <w:rPr>
                <w:rFonts w:hint="eastAsia" w:ascii="宋体" w:hAnsi="宋体" w:eastAsia="宋体" w:cs="宋体"/>
                <w:color w:val="auto"/>
                <w:sz w:val="21"/>
                <w:szCs w:val="21"/>
              </w:rPr>
            </w:pPr>
            <w:r>
              <w:rPr>
                <w:rFonts w:ascii="宋体" w:hAnsi="宋体" w:eastAsia="宋体" w:cs="宋体"/>
                <w:color w:val="auto"/>
                <w:sz w:val="21"/>
                <w:szCs w:val="21"/>
              </w:rPr>
              <w:t>结合数学史上的多元文化（如巴比伦六十进制、阿拉伯代数、中国算筹），设计跨学科主题活动。模拟"数学博物馆"课堂，学生角色扮演历史数学家，制作文化展板或互动游戏。</w:t>
            </w:r>
          </w:p>
        </w:tc>
        <w:tc>
          <w:tcPr>
            <w:tcW w:w="1015" w:type="dxa"/>
            <w:vAlign w:val="center"/>
          </w:tcPr>
          <w:p w14:paraId="167AAB3B">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课程实践作业</w:t>
            </w:r>
          </w:p>
        </w:tc>
        <w:tc>
          <w:tcPr>
            <w:tcW w:w="2387" w:type="dxa"/>
            <w:vAlign w:val="center"/>
          </w:tcPr>
          <w:p w14:paraId="7B07A81C">
            <w:pPr>
              <w:spacing w:line="240" w:lineRule="auto"/>
              <w:jc w:val="left"/>
              <w:rPr>
                <w:rFonts w:hint="eastAsia" w:ascii="宋体" w:hAnsi="宋体" w:eastAsia="宋体" w:cs="宋体"/>
                <w:color w:val="auto"/>
                <w:sz w:val="21"/>
                <w:szCs w:val="21"/>
              </w:rPr>
            </w:pP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6248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12870C98">
            <w:pPr>
              <w:spacing w:line="240" w:lineRule="auto"/>
              <w:jc w:val="center"/>
              <w:rPr>
                <w:rFonts w:hint="eastAsia" w:ascii="宋体" w:hAnsi="宋体" w:eastAsia="宋体" w:cs="宋体"/>
                <w:color w:val="auto"/>
                <w:sz w:val="21"/>
                <w:szCs w:val="21"/>
              </w:rPr>
            </w:pPr>
            <w:r>
              <w:rPr>
                <w:rFonts w:ascii="宋体" w:hAnsi="宋体" w:eastAsia="宋体" w:cs="宋体"/>
                <w:color w:val="auto"/>
                <w:sz w:val="21"/>
                <w:szCs w:val="21"/>
              </w:rPr>
              <w:t>历史名题的教学转化研究</w:t>
            </w:r>
          </w:p>
        </w:tc>
        <w:tc>
          <w:tcPr>
            <w:tcW w:w="3905" w:type="dxa"/>
            <w:vAlign w:val="center"/>
          </w:tcPr>
          <w:p w14:paraId="61FAD019">
            <w:pPr>
              <w:spacing w:line="240" w:lineRule="auto"/>
              <w:jc w:val="left"/>
              <w:rPr>
                <w:rFonts w:hint="eastAsia" w:ascii="宋体" w:hAnsi="宋体" w:eastAsia="宋体" w:cs="宋体"/>
                <w:color w:val="auto"/>
                <w:sz w:val="21"/>
                <w:szCs w:val="21"/>
              </w:rPr>
            </w:pPr>
            <w:r>
              <w:rPr>
                <w:rFonts w:ascii="宋体" w:hAnsi="宋体" w:eastAsia="宋体" w:cs="宋体"/>
                <w:color w:val="auto"/>
                <w:sz w:val="21"/>
                <w:szCs w:val="21"/>
              </w:rPr>
              <w:t>精选经典问题（如费马点、哥尼斯堡七桥），开发适合中学课堂的探究式教案。实地试讲并录制教学片段，撰写反思报告，对比历史解法与教材编排差异。</w:t>
            </w:r>
          </w:p>
        </w:tc>
        <w:tc>
          <w:tcPr>
            <w:tcW w:w="1015" w:type="dxa"/>
            <w:vAlign w:val="center"/>
          </w:tcPr>
          <w:p w14:paraId="6E0E47B7">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课程实践作业</w:t>
            </w:r>
          </w:p>
        </w:tc>
        <w:tc>
          <w:tcPr>
            <w:tcW w:w="2387" w:type="dxa"/>
            <w:vAlign w:val="center"/>
          </w:tcPr>
          <w:p w14:paraId="34E22241">
            <w:pPr>
              <w:spacing w:line="240" w:lineRule="auto"/>
              <w:jc w:val="left"/>
              <w:rPr>
                <w:rFonts w:hint="eastAsia" w:ascii="宋体" w:hAnsi="宋体" w:eastAsia="宋体" w:cs="宋体"/>
                <w:color w:val="auto"/>
                <w:sz w:val="21"/>
                <w:szCs w:val="21"/>
              </w:rPr>
            </w:pP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4C50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22780B6B">
            <w:pPr>
              <w:spacing w:line="240" w:lineRule="auto"/>
              <w:jc w:val="center"/>
              <w:rPr>
                <w:rFonts w:hint="eastAsia" w:ascii="宋体" w:hAnsi="宋体" w:eastAsia="宋体" w:cs="宋体"/>
                <w:color w:val="auto"/>
                <w:sz w:val="21"/>
                <w:szCs w:val="21"/>
              </w:rPr>
            </w:pPr>
            <w:r>
              <w:rPr>
                <w:rFonts w:ascii="宋体" w:hAnsi="宋体" w:eastAsia="宋体" w:cs="宋体"/>
                <w:color w:val="auto"/>
                <w:sz w:val="21"/>
                <w:szCs w:val="21"/>
              </w:rPr>
              <w:t>信息技术辅助数学史教学</w:t>
            </w:r>
          </w:p>
        </w:tc>
        <w:tc>
          <w:tcPr>
            <w:tcW w:w="3905" w:type="dxa"/>
            <w:vAlign w:val="center"/>
          </w:tcPr>
          <w:p w14:paraId="725AD9EA">
            <w:pPr>
              <w:spacing w:line="240" w:lineRule="auto"/>
              <w:jc w:val="left"/>
              <w:rPr>
                <w:rFonts w:hint="eastAsia" w:ascii="宋体" w:hAnsi="宋体" w:eastAsia="宋体" w:cs="宋体"/>
                <w:color w:val="auto"/>
                <w:sz w:val="21"/>
                <w:szCs w:val="21"/>
              </w:rPr>
            </w:pPr>
            <w:r>
              <w:rPr>
                <w:rFonts w:ascii="宋体" w:hAnsi="宋体" w:eastAsia="宋体" w:cs="宋体"/>
                <w:color w:val="auto"/>
                <w:sz w:val="21"/>
                <w:szCs w:val="21"/>
              </w:rPr>
              <w:t>利用动态几何软件（Geogebra）、时间轴工具还原历史工具（如阿基米德杠杆证明）。创建数字化教学资源包，包含动画、交互式习题及历史文献摘录。</w:t>
            </w:r>
          </w:p>
        </w:tc>
        <w:tc>
          <w:tcPr>
            <w:tcW w:w="1015" w:type="dxa"/>
            <w:vAlign w:val="center"/>
          </w:tcPr>
          <w:p w14:paraId="2266E23E">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课程实践作业</w:t>
            </w:r>
          </w:p>
        </w:tc>
        <w:tc>
          <w:tcPr>
            <w:tcW w:w="2387" w:type="dxa"/>
            <w:vAlign w:val="center"/>
          </w:tcPr>
          <w:p w14:paraId="60021E4B">
            <w:pPr>
              <w:spacing w:line="240" w:lineRule="auto"/>
              <w:jc w:val="left"/>
              <w:rPr>
                <w:rFonts w:hint="eastAsia" w:ascii="宋体" w:hAnsi="宋体" w:eastAsia="宋体" w:cs="宋体"/>
                <w:color w:val="auto"/>
                <w:sz w:val="21"/>
                <w:szCs w:val="21"/>
              </w:rPr>
            </w:pP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bl>
    <w:p w14:paraId="360204A2">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六、有关说明</w:t>
      </w:r>
    </w:p>
    <w:p w14:paraId="067891B3">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ascii="Times New Roman" w:hAnsi="Times New Roman" w:eastAsia="宋体" w:cs="Times New Roman"/>
          <w:b/>
          <w:color w:val="auto"/>
          <w:szCs w:val="21"/>
        </w:rPr>
      </w:pPr>
      <w:r>
        <w:rPr>
          <w:rFonts w:ascii="Times New Roman" w:hAnsi="Times New Roman" w:eastAsia="宋体" w:cs="Times New Roman"/>
          <w:b/>
          <w:color w:val="auto"/>
          <w:szCs w:val="21"/>
        </w:rPr>
        <w:t>（一）持续改进</w:t>
      </w:r>
    </w:p>
    <w:p w14:paraId="5A7A2125">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1. 提倡改革教学方法，强调应用现代化教学手段，如课件、互联网视频教学和网络答疑等。</w:t>
      </w:r>
    </w:p>
    <w:p w14:paraId="1A566D39">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2.合理安排教学课时，加强课堂提问、课堂小测验等旨在督促学生自主学习的教学环节；引导学生做好课前预习、课后整理笔记并及时完成作业的复习工作；保证学生完成一定数量的作业和习题。</w:t>
      </w:r>
    </w:p>
    <w:p w14:paraId="00A8E2F3">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3．教学用的例题和习题，应适当结合工程实际。</w:t>
      </w:r>
    </w:p>
    <w:p w14:paraId="6A174371">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ascii="Times New Roman" w:hAnsi="Times New Roman" w:eastAsia="宋体" w:cs="Times New Roman"/>
          <w:b/>
          <w:color w:val="auto"/>
          <w:szCs w:val="21"/>
        </w:rPr>
      </w:pPr>
      <w:r>
        <w:rPr>
          <w:rFonts w:ascii="Times New Roman" w:hAnsi="Times New Roman" w:eastAsia="宋体" w:cs="Times New Roman"/>
          <w:b/>
          <w:color w:val="auto"/>
          <w:szCs w:val="21"/>
        </w:rPr>
        <w:t>（二）参考书目及学习资料</w:t>
      </w:r>
    </w:p>
    <w:p w14:paraId="1983249D">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Times New Roman" w:hAnsi="Times New Roman" w:eastAsia="宋体" w:cs="Times New Roman"/>
          <w:color w:val="auto"/>
          <w:kern w:val="10"/>
          <w:szCs w:val="21"/>
        </w:rPr>
      </w:pPr>
      <w:r>
        <w:rPr>
          <w:rFonts w:ascii="Times New Roman" w:hAnsi="Times New Roman" w:eastAsia="宋体" w:cs="Times New Roman"/>
          <w:color w:val="auto"/>
          <w:szCs w:val="21"/>
        </w:rPr>
        <w:t>1</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 xml:space="preserve"> </w:t>
      </w:r>
      <w:r>
        <w:rPr>
          <w:rFonts w:ascii="Times New Roman" w:hAnsi="Times New Roman" w:eastAsia="宋体" w:cs="Times New Roman"/>
          <w:color w:val="auto"/>
          <w:szCs w:val="21"/>
        </w:rPr>
        <w:t>朱家生 数学史（第2版）北京：高等教育出版社，2011.</w:t>
      </w:r>
    </w:p>
    <w:p w14:paraId="572062D1">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2. 李文林 数学史概论      北京：高等教育出版社，2000.</w:t>
      </w:r>
    </w:p>
    <w:p w14:paraId="1F6F19B9">
      <w:pPr>
        <w:keepNext w:val="0"/>
        <w:keepLines w:val="0"/>
        <w:pageBreakBefore w:val="0"/>
        <w:widowControl w:val="0"/>
        <w:kinsoku/>
        <w:wordWrap/>
        <w:overflowPunct/>
        <w:topLinePunct w:val="0"/>
        <w:bidi w:val="0"/>
        <w:snapToGrid/>
        <w:spacing w:line="240" w:lineRule="auto"/>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    执 笔 人：王志芳</w:t>
      </w:r>
    </w:p>
    <w:p w14:paraId="043A8BCD">
      <w:pPr>
        <w:keepNext w:val="0"/>
        <w:keepLines w:val="0"/>
        <w:pageBreakBefore w:val="0"/>
        <w:widowControl w:val="0"/>
        <w:kinsoku/>
        <w:wordWrap/>
        <w:overflowPunct/>
        <w:topLinePunct w:val="0"/>
        <w:bidi w:val="0"/>
        <w:snapToGrid/>
        <w:spacing w:line="240" w:lineRule="auto"/>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                                                  审 定 人：钱</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峰</w:t>
      </w:r>
    </w:p>
    <w:p w14:paraId="5511F6C9">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                     审 批 人：</w:t>
      </w:r>
      <w:r>
        <w:rPr>
          <w:rFonts w:ascii="Times New Roman" w:hAnsi="Times New Roman" w:eastAsia="宋体" w:cs="Times New Roman"/>
          <w:color w:val="auto"/>
          <w:kern w:val="0"/>
          <w:sz w:val="21"/>
          <w:szCs w:val="21"/>
        </w:rPr>
        <w:t>王献东</w:t>
      </w:r>
    </w:p>
    <w:p w14:paraId="2D356984">
      <w:pPr>
        <w:keepNext w:val="0"/>
        <w:keepLines w:val="0"/>
        <w:pageBreakBefore w:val="0"/>
        <w:widowControl w:val="0"/>
        <w:kinsoku/>
        <w:wordWrap/>
        <w:overflowPunct/>
        <w:topLinePunct w:val="0"/>
        <w:bidi w:val="0"/>
        <w:snapToGrid/>
        <w:spacing w:line="240" w:lineRule="auto"/>
        <w:jc w:val="righ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批准时间：2025年7月1日</w:t>
      </w:r>
    </w:p>
    <w:p w14:paraId="751DC763">
      <w:pPr>
        <w:rPr>
          <w:rFonts w:ascii="Times New Roman" w:hAnsi="Times New Roman" w:eastAsia="宋体" w:cs="Times New Roman"/>
          <w:color w:val="auto"/>
          <w:sz w:val="24"/>
        </w:rPr>
      </w:pPr>
      <w:r>
        <w:rPr>
          <w:rFonts w:hint="eastAsia" w:ascii="Times New Roman" w:hAnsi="Times New Roman" w:eastAsia="宋体" w:cs="Times New Roman"/>
          <w:color w:val="auto"/>
          <w:sz w:val="24"/>
        </w:rPr>
        <w:br w:type="page"/>
      </w:r>
    </w:p>
    <w:p w14:paraId="12772A63">
      <w:pPr>
        <w:spacing w:line="360" w:lineRule="auto"/>
        <w:jc w:val="right"/>
        <w:rPr>
          <w:rFonts w:ascii="Times New Roman" w:hAnsi="Times New Roman" w:eastAsia="宋体" w:cs="Times New Roman"/>
          <w:color w:val="auto"/>
          <w:sz w:val="24"/>
        </w:rPr>
        <w:sectPr>
          <w:footerReference r:id="rId7" w:type="default"/>
          <w:pgSz w:w="11906" w:h="16838"/>
          <w:pgMar w:top="1440" w:right="1800" w:bottom="1440" w:left="1800" w:header="851" w:footer="992" w:gutter="0"/>
          <w:pgNumType w:fmt="decimal"/>
          <w:cols w:space="425" w:num="1"/>
          <w:docGrid w:type="lines" w:linePitch="312" w:charSpace="0"/>
        </w:sectPr>
      </w:pPr>
    </w:p>
    <w:p w14:paraId="00A1D08A">
      <w:pPr>
        <w:spacing w:line="360" w:lineRule="auto"/>
        <w:jc w:val="center"/>
        <w:outlineLvl w:val="0"/>
        <w:rPr>
          <w:rFonts w:hint="eastAsia" w:ascii="Times New Roman" w:hAnsi="Times New Roman" w:eastAsia="宋体" w:cs="Times New Roman"/>
          <w:b/>
          <w:color w:val="auto"/>
          <w:sz w:val="44"/>
          <w:szCs w:val="44"/>
        </w:rPr>
      </w:pPr>
      <w:bookmarkStart w:id="404" w:name="_Toc23117"/>
      <w:r>
        <w:rPr>
          <w:rFonts w:hint="eastAsia" w:ascii="Times New Roman" w:hAnsi="Times New Roman" w:eastAsia="宋体" w:cs="Times New Roman"/>
          <w:b/>
          <w:color w:val="auto"/>
          <w:sz w:val="44"/>
          <w:szCs w:val="44"/>
        </w:rPr>
        <w:t>《计算方法》课程教学大纲</w:t>
      </w:r>
      <w:bookmarkEnd w:id="404"/>
    </w:p>
    <w:p w14:paraId="5AC9F6ED">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（Calculation Method）</w:t>
      </w:r>
    </w:p>
    <w:p w14:paraId="10A23942">
      <w:pPr>
        <w:spacing w:line="360" w:lineRule="auto"/>
        <w:ind w:firstLine="422" w:firstLineChars="200"/>
        <w:jc w:val="left"/>
        <w:rPr>
          <w:rFonts w:hint="eastAsia" w:ascii="Times New Roman" w:hAnsi="Times New Roman" w:eastAsia="宋体" w:cs="Times New Roman"/>
          <w:b/>
          <w:color w:val="auto"/>
          <w:sz w:val="21"/>
          <w:szCs w:val="21"/>
        </w:rPr>
      </w:pPr>
    </w:p>
    <w:p w14:paraId="1112D62A">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课程名称：计算方法课程</w:t>
      </w:r>
    </w:p>
    <w:p w14:paraId="1AAED610">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课程代码：0821018</w:t>
      </w:r>
    </w:p>
    <w:p w14:paraId="4056DE42">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分：2</w:t>
      </w:r>
    </w:p>
    <w:p w14:paraId="5F995787">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时：48（其中：讲授学时32  ， 实验学时16  ，上机学时0）</w:t>
      </w:r>
    </w:p>
    <w:p w14:paraId="18BFAFCF">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先修课程：数学分析，高等代数等</w:t>
      </w:r>
    </w:p>
    <w:p w14:paraId="0CC862E8">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适用专业：小学教育（理）专业</w:t>
      </w:r>
    </w:p>
    <w:p w14:paraId="1F4DEAD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一、课程简介</w:t>
      </w:r>
    </w:p>
    <w:p w14:paraId="0B35FCEA">
      <w:pPr>
        <w:spacing w:line="360" w:lineRule="auto"/>
        <w:jc w:val="left"/>
        <w:rPr>
          <w:rFonts w:hint="eastAsia" w:ascii="宋体" w:hAnsi="宋体" w:eastAsia="宋体" w:cs="Times New Roman"/>
          <w:bCs/>
          <w:color w:val="auto"/>
          <w:szCs w:val="21"/>
        </w:rPr>
      </w:pPr>
      <w:r>
        <w:rPr>
          <w:rFonts w:ascii="宋体" w:hAnsi="宋体" w:eastAsia="宋体" w:cs="Times New Roman"/>
          <w:bCs/>
          <w:color w:val="auto"/>
          <w:szCs w:val="21"/>
        </w:rPr>
        <w:t>本课程是小学教育（理）专业的一门重要基础课。通过本课程的学习，使学生系统地获得计算方法的基本知识、必要的基础理论；提高学生的数学视野、数学思维能力、逻辑推理能力；提高学生的数学素养，为学生学习后续相关课程及终身学习奠定必要的数学基础。</w:t>
      </w:r>
    </w:p>
    <w:p w14:paraId="31345E32">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二、课程目标</w:t>
      </w:r>
    </w:p>
    <w:p w14:paraId="410E7F0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642CFC39">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1.</w:t>
      </w:r>
      <w:r>
        <w:rPr>
          <w:rFonts w:hint="eastAsia" w:ascii="Times New Roman" w:hAnsi="Times New Roman" w:eastAsia="宋体" w:cs="Times New Roman"/>
          <w:b/>
          <w:color w:val="auto"/>
          <w:szCs w:val="21"/>
        </w:rPr>
        <w:t xml:space="preserve"> </w:t>
      </w:r>
      <w:r>
        <w:rPr>
          <w:rFonts w:hint="eastAsia" w:ascii="Times New Roman" w:hAnsi="Times New Roman" w:eastAsia="宋体" w:cs="Times New Roman"/>
          <w:bCs/>
          <w:color w:val="auto"/>
          <w:szCs w:val="21"/>
        </w:rPr>
        <w:t>能够获得课程基本概念与性质。</w:t>
      </w:r>
    </w:p>
    <w:p w14:paraId="2CD50321">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目标2</w:t>
      </w:r>
      <w:r>
        <w:rPr>
          <w:rFonts w:ascii="Times New Roman" w:hAnsi="Times New Roman" w:eastAsia="宋体" w:cs="Times New Roman"/>
          <w:b/>
          <w:color w:val="auto"/>
          <w:szCs w:val="21"/>
        </w:rPr>
        <w:t xml:space="preserve">. </w:t>
      </w:r>
      <w:r>
        <w:rPr>
          <w:rFonts w:ascii="Times New Roman" w:hAnsi="Times New Roman" w:eastAsia="宋体" w:cs="Times New Roman"/>
          <w:bCs/>
          <w:color w:val="auto"/>
          <w:szCs w:val="21"/>
        </w:rPr>
        <w:t>能够掌握本课程要求的计算方法。</w:t>
      </w:r>
    </w:p>
    <w:p w14:paraId="02E5DC76">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Cs/>
          <w:color w:val="auto"/>
          <w:kern w:val="0"/>
          <w:szCs w:val="21"/>
        </w:rPr>
      </w:pPr>
      <w:r>
        <w:rPr>
          <w:rFonts w:hint="eastAsia" w:ascii="Times New Roman" w:hAnsi="Times New Roman" w:eastAsia="宋体" w:cs="Times New Roman"/>
          <w:b/>
          <w:color w:val="auto"/>
          <w:szCs w:val="21"/>
        </w:rPr>
        <w:t>目标3</w:t>
      </w:r>
      <w:r>
        <w:rPr>
          <w:rFonts w:hint="eastAsia" w:ascii="Times New Roman" w:hAnsi="Times New Roman" w:eastAsia="宋体" w:cs="Times New Roman"/>
          <w:b/>
          <w:color w:val="auto"/>
          <w:kern w:val="0"/>
          <w:szCs w:val="21"/>
        </w:rPr>
        <w:t>．</w:t>
      </w:r>
      <w:r>
        <w:rPr>
          <w:rFonts w:hint="eastAsia" w:ascii="Times New Roman" w:hAnsi="Times New Roman" w:eastAsia="宋体" w:cs="Times New Roman"/>
          <w:bCs/>
          <w:color w:val="auto"/>
          <w:kern w:val="0"/>
          <w:szCs w:val="21"/>
        </w:rPr>
        <w:t>能够具有一定的抽象概括、逻辑推理等能力。</w:t>
      </w:r>
    </w:p>
    <w:p w14:paraId="47475BAE">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Cs/>
          <w:color w:val="auto"/>
          <w:kern w:val="0"/>
          <w:szCs w:val="21"/>
        </w:rPr>
      </w:pPr>
      <w:r>
        <w:rPr>
          <w:rFonts w:hint="eastAsia" w:ascii="Times New Roman" w:hAnsi="Times New Roman" w:eastAsia="宋体" w:cs="Times New Roman"/>
          <w:b/>
          <w:color w:val="auto"/>
          <w:szCs w:val="21"/>
        </w:rPr>
        <w:t>目标4</w:t>
      </w:r>
      <w:r>
        <w:rPr>
          <w:rFonts w:hint="eastAsia" w:ascii="Times New Roman" w:hAnsi="Times New Roman" w:eastAsia="宋体" w:cs="Times New Roman"/>
          <w:b/>
          <w:color w:val="auto"/>
          <w:kern w:val="0"/>
          <w:szCs w:val="21"/>
        </w:rPr>
        <w:t>．</w:t>
      </w:r>
      <w:r>
        <w:rPr>
          <w:rFonts w:hint="eastAsia" w:ascii="Times New Roman" w:hAnsi="Times New Roman" w:eastAsia="宋体" w:cs="Times New Roman"/>
          <w:bCs/>
          <w:color w:val="auto"/>
          <w:kern w:val="0"/>
          <w:szCs w:val="21"/>
        </w:rPr>
        <w:t>能够具有一定的运算能力。</w:t>
      </w:r>
    </w:p>
    <w:p w14:paraId="179500A0">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Cs/>
          <w:color w:val="auto"/>
          <w:kern w:val="0"/>
          <w:szCs w:val="21"/>
        </w:rPr>
      </w:pPr>
      <w:r>
        <w:rPr>
          <w:rFonts w:hint="eastAsia" w:ascii="Times New Roman" w:hAnsi="Times New Roman" w:eastAsia="宋体" w:cs="Times New Roman"/>
          <w:b/>
          <w:color w:val="auto"/>
          <w:szCs w:val="21"/>
        </w:rPr>
        <w:t>目标5</w:t>
      </w:r>
      <w:r>
        <w:rPr>
          <w:rFonts w:hint="eastAsia" w:ascii="Times New Roman" w:hAnsi="Times New Roman" w:eastAsia="宋体" w:cs="Times New Roman"/>
          <w:b/>
          <w:color w:val="auto"/>
          <w:kern w:val="0"/>
          <w:szCs w:val="21"/>
        </w:rPr>
        <w:t>．</w:t>
      </w:r>
      <w:r>
        <w:rPr>
          <w:rFonts w:hint="eastAsia" w:ascii="Times New Roman" w:hAnsi="Times New Roman" w:eastAsia="宋体" w:cs="Times New Roman"/>
          <w:bCs/>
          <w:color w:val="auto"/>
          <w:kern w:val="0"/>
          <w:szCs w:val="21"/>
        </w:rPr>
        <w:t>能够具有一定的数学思维与分析能力。</w:t>
      </w:r>
    </w:p>
    <w:p w14:paraId="4A45BF82">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C79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0D0BFB5">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5688" w:type="dxa"/>
            <w:vAlign w:val="center"/>
          </w:tcPr>
          <w:p w14:paraId="135768A9">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1B56D012">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1BE4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B7F3B36">
            <w:pPr>
              <w:spacing w:line="276" w:lineRule="auto"/>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毕业要求3学科素养</w:t>
            </w:r>
          </w:p>
        </w:tc>
        <w:tc>
          <w:tcPr>
            <w:tcW w:w="5688" w:type="dxa"/>
            <w:vAlign w:val="center"/>
          </w:tcPr>
          <w:p w14:paraId="5B0F8146">
            <w:pPr>
              <w:spacing w:line="276" w:lineRule="auto"/>
              <w:jc w:val="left"/>
              <w:rPr>
                <w:rFonts w:hint="eastAsia" w:ascii="宋体" w:hAnsi="宋体" w:cs="宋体" w:eastAsiaTheme="minorEastAsia"/>
                <w:color w:val="auto"/>
                <w:szCs w:val="21"/>
                <w:lang w:eastAsia="zh-CN"/>
              </w:rPr>
            </w:pPr>
            <w:r>
              <w:rPr>
                <w:rFonts w:hint="eastAsia" w:ascii="宋体" w:hAnsi="宋体" w:cs="宋体"/>
                <w:color w:val="auto"/>
                <w:kern w:val="0"/>
                <w:szCs w:val="21"/>
                <w:lang w:eastAsia="zh-CN"/>
              </w:rPr>
              <w:t>指标点3-2：【学科知识扎实】具有学科专业能力，掌握小学数学学科的基本知识、原理和技能。熟悉小学科学的知识体系，掌握小学科学的基本知识、原理和技能。</w:t>
            </w:r>
          </w:p>
        </w:tc>
        <w:tc>
          <w:tcPr>
            <w:tcW w:w="1191" w:type="dxa"/>
            <w:vAlign w:val="center"/>
          </w:tcPr>
          <w:p w14:paraId="7CDF419A">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课程目标1、2、3、4、5</w:t>
            </w:r>
          </w:p>
        </w:tc>
      </w:tr>
    </w:tbl>
    <w:p w14:paraId="301C2897">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434DED0A">
      <w:pPr>
        <w:spacing w:line="360" w:lineRule="auto"/>
        <w:ind w:firstLine="420" w:firstLineChars="200"/>
        <w:jc w:val="left"/>
        <w:rPr>
          <w:rFonts w:hint="eastAsia" w:ascii="宋体" w:hAnsi="宋体" w:eastAsia="宋体" w:cs="宋体"/>
          <w:color w:val="auto"/>
          <w:szCs w:val="21"/>
        </w:rPr>
      </w:pPr>
      <w:r>
        <w:rPr>
          <w:rFonts w:ascii="宋体" w:hAnsi="宋体" w:eastAsia="宋体" w:cs="宋体"/>
          <w:color w:val="auto"/>
          <w:szCs w:val="21"/>
        </w:rPr>
        <w:t>理论联系实际是推动社会发展的重要方法论，它要求我们在掌握科学理论的基础上，深入实践、调查研究，将抽象的理论知识转化为解决实际问题的具体方案。尊重客观规律是开展一切工作的前提，只有遵循事物发展的内在逻辑，才能避免主观臆断和盲目冒进。社会主义核心价值观为我们提供了价值引领和精神支撑，要将其融入专业学习和工作实践的全过程。专业素养的提升需要理论与实践的双向互动，既要夯实理论基础，又要注重实践能力的培养。理论对实践的指导意义体现在：科学的理论能够帮助我们把握事物本质，预见发展趋势，优化实践路径。因此，我们要坚持知行合一的原则，在实践中检验理论、发展理论，用创新的理论成果指导新的实践，形成理论与实践良性循环的发展格局，从而更好地服务社会发展和人民需求。</w:t>
      </w:r>
    </w:p>
    <w:p w14:paraId="1F8B7DB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465"/>
        <w:gridCol w:w="1225"/>
        <w:gridCol w:w="2541"/>
        <w:gridCol w:w="1424"/>
        <w:gridCol w:w="438"/>
      </w:tblGrid>
      <w:tr w14:paraId="19FF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5628A3B">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w:t>
            </w:r>
          </w:p>
          <w:p w14:paraId="705DCE79">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单元</w:t>
            </w:r>
          </w:p>
        </w:tc>
        <w:tc>
          <w:tcPr>
            <w:tcW w:w="2465" w:type="dxa"/>
            <w:vAlign w:val="center"/>
          </w:tcPr>
          <w:p w14:paraId="59C6FE61">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知识点</w:t>
            </w:r>
          </w:p>
        </w:tc>
        <w:tc>
          <w:tcPr>
            <w:tcW w:w="1225" w:type="dxa"/>
            <w:vAlign w:val="center"/>
          </w:tcPr>
          <w:p w14:paraId="4219A3FB">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对应</w:t>
            </w:r>
          </w:p>
          <w:p w14:paraId="6CB4BEBB">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课程目标</w:t>
            </w:r>
          </w:p>
        </w:tc>
        <w:tc>
          <w:tcPr>
            <w:tcW w:w="2541" w:type="dxa"/>
            <w:vAlign w:val="center"/>
          </w:tcPr>
          <w:p w14:paraId="6D05F102">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预期学习成效</w:t>
            </w:r>
          </w:p>
        </w:tc>
        <w:tc>
          <w:tcPr>
            <w:tcW w:w="1424" w:type="dxa"/>
            <w:vAlign w:val="center"/>
          </w:tcPr>
          <w:p w14:paraId="17FBDB48">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实现环节</w:t>
            </w:r>
          </w:p>
        </w:tc>
        <w:tc>
          <w:tcPr>
            <w:tcW w:w="438" w:type="dxa"/>
            <w:vAlign w:val="center"/>
          </w:tcPr>
          <w:p w14:paraId="34180EE2">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学时</w:t>
            </w:r>
          </w:p>
        </w:tc>
      </w:tr>
      <w:tr w14:paraId="4E56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1287ACB">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1.数值计算的基本概念</w:t>
            </w:r>
          </w:p>
        </w:tc>
        <w:tc>
          <w:tcPr>
            <w:tcW w:w="2465" w:type="dxa"/>
            <w:vAlign w:val="center"/>
          </w:tcPr>
          <w:p w14:paraId="08FB70D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（1）能够了解数值计算的研究对象和内容</w:t>
            </w:r>
          </w:p>
          <w:p w14:paraId="31250A0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（2）能够了解数值算法的基本概念</w:t>
            </w:r>
          </w:p>
          <w:p w14:paraId="74FE81A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（3）能够了解误差的基本理论</w:t>
            </w:r>
          </w:p>
          <w:p w14:paraId="62C1A4D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（4）能够了解数值算法设计的若干原则</w:t>
            </w:r>
          </w:p>
        </w:tc>
        <w:tc>
          <w:tcPr>
            <w:tcW w:w="1225" w:type="dxa"/>
            <w:vAlign w:val="center"/>
          </w:tcPr>
          <w:p w14:paraId="39DDF6B8">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541" w:type="dxa"/>
            <w:vAlign w:val="center"/>
          </w:tcPr>
          <w:p w14:paraId="134EBB2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1.初步理解</w:t>
            </w:r>
            <w:r>
              <w:rPr>
                <w:rFonts w:ascii="宋体" w:hAnsi="宋体" w:eastAsia="宋体" w:cs="Times New Roman"/>
                <w:color w:val="auto"/>
                <w:sz w:val="21"/>
                <w:szCs w:val="21"/>
              </w:rPr>
              <w:t>误差的计算。</w:t>
            </w:r>
          </w:p>
          <w:p w14:paraId="4E6F680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2.运用</w:t>
            </w:r>
            <w:r>
              <w:rPr>
                <w:rFonts w:ascii="宋体" w:hAnsi="宋体" w:eastAsia="宋体" w:cs="Times New Roman"/>
                <w:color w:val="auto"/>
                <w:sz w:val="21"/>
                <w:szCs w:val="21"/>
              </w:rPr>
              <w:t>教学方法：启发式互动讲授结合多媒体辅助；适当课堂练习；及时了解学生的作业状况并对共同的问题作及时解答；安排好课后答疑。</w:t>
            </w:r>
          </w:p>
        </w:tc>
        <w:tc>
          <w:tcPr>
            <w:tcW w:w="1424" w:type="dxa"/>
            <w:vAlign w:val="center"/>
          </w:tcPr>
          <w:p w14:paraId="22F643E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5C980F0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2.多媒体教学3.课堂讨论</w:t>
            </w:r>
          </w:p>
          <w:p w14:paraId="50860B3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4.单元测验</w:t>
            </w:r>
          </w:p>
        </w:tc>
        <w:tc>
          <w:tcPr>
            <w:tcW w:w="438" w:type="dxa"/>
            <w:vAlign w:val="center"/>
          </w:tcPr>
          <w:p w14:paraId="41680362">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p>
        </w:tc>
      </w:tr>
      <w:tr w14:paraId="14F9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CC5FBAD">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0255145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bCs/>
                <w:color w:val="auto"/>
                <w:sz w:val="21"/>
                <w:szCs w:val="21"/>
              </w:rPr>
              <w:t>注重理论联系实际，尊重客观规律，树立社会主义核心价值观，增强专业素养，强调理论对实践的指导意义。</w:t>
            </w:r>
          </w:p>
        </w:tc>
      </w:tr>
      <w:tr w14:paraId="1943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0BB9158">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2.非线性方程的迭代法</w:t>
            </w:r>
          </w:p>
        </w:tc>
        <w:tc>
          <w:tcPr>
            <w:tcW w:w="2465" w:type="dxa"/>
            <w:vAlign w:val="center"/>
          </w:tcPr>
          <w:p w14:paraId="46C3C1F9">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（1）能够了解二分法</w:t>
            </w:r>
          </w:p>
          <w:p w14:paraId="5EF5419A">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（2）能够掌握Picard迭代法</w:t>
            </w:r>
          </w:p>
          <w:p w14:paraId="01E28A1D">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（3）能够掌握牛顿型迭代法</w:t>
            </w:r>
          </w:p>
        </w:tc>
        <w:tc>
          <w:tcPr>
            <w:tcW w:w="1225" w:type="dxa"/>
            <w:vAlign w:val="center"/>
          </w:tcPr>
          <w:p w14:paraId="6AD933DA">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tc>
        <w:tc>
          <w:tcPr>
            <w:tcW w:w="2541" w:type="dxa"/>
            <w:vAlign w:val="center"/>
          </w:tcPr>
          <w:p w14:paraId="29A730A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1.初步理解</w:t>
            </w:r>
            <w:r>
              <w:rPr>
                <w:rFonts w:ascii="宋体" w:hAnsi="宋体" w:eastAsia="宋体" w:cs="Times New Roman"/>
                <w:color w:val="auto"/>
                <w:sz w:val="21"/>
                <w:szCs w:val="21"/>
              </w:rPr>
              <w:t>Picard迭代法、牛顿型迭代法及其实现。</w:t>
            </w:r>
          </w:p>
          <w:p w14:paraId="0E033EC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2.运用</w:t>
            </w:r>
            <w:r>
              <w:rPr>
                <w:rFonts w:ascii="宋体" w:hAnsi="宋体" w:eastAsia="宋体" w:cs="Times New Roman"/>
                <w:color w:val="auto"/>
                <w:sz w:val="21"/>
                <w:szCs w:val="21"/>
              </w:rPr>
              <w:t>教学方法：启发式互动讲授结合多媒体辅助；适当课堂练习；及时了解学生的作业状况并对共同的问题作及时解答；安排好课后答疑。</w:t>
            </w:r>
          </w:p>
        </w:tc>
        <w:tc>
          <w:tcPr>
            <w:tcW w:w="1424" w:type="dxa"/>
            <w:vAlign w:val="center"/>
          </w:tcPr>
          <w:p w14:paraId="2D8C41A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78BF194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2.多媒体教学3.课堂讨论</w:t>
            </w:r>
          </w:p>
          <w:p w14:paraId="5638A2E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4.单元测验</w:t>
            </w:r>
          </w:p>
        </w:tc>
        <w:tc>
          <w:tcPr>
            <w:tcW w:w="438" w:type="dxa"/>
            <w:vAlign w:val="center"/>
          </w:tcPr>
          <w:p w14:paraId="55CFA03C">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w:t>
            </w:r>
          </w:p>
        </w:tc>
      </w:tr>
      <w:tr w14:paraId="0E95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CC3701D">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30B0ED8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bCs/>
                <w:color w:val="auto"/>
                <w:sz w:val="21"/>
                <w:szCs w:val="21"/>
              </w:rPr>
              <w:t>注重理论联系实际，尊重客观规律，树立社会主义核心价值观，增强专业素养，强调理论对实践的指导意义。</w:t>
            </w:r>
          </w:p>
        </w:tc>
      </w:tr>
      <w:tr w14:paraId="3C52D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shd w:val="clear" w:color="auto" w:fill="auto"/>
            <w:vAlign w:val="center"/>
          </w:tcPr>
          <w:p w14:paraId="1C72CBF6">
            <w:pPr>
              <w:spacing w:line="240" w:lineRule="auto"/>
              <w:jc w:val="left"/>
              <w:rPr>
                <w:rFonts w:hint="eastAsia" w:ascii="宋体" w:hAnsi="宋体" w:eastAsia="宋体" w:cs="Times New Roman"/>
                <w:color w:val="auto"/>
                <w:sz w:val="21"/>
                <w:szCs w:val="21"/>
              </w:rPr>
            </w:pPr>
            <w:r>
              <w:rPr>
                <w:rFonts w:hint="eastAsia" w:ascii="宋体" w:hAnsi="宋体" w:eastAsia="宋体" w:cs="宋体"/>
                <w:color w:val="auto"/>
                <w:kern w:val="0"/>
                <w:sz w:val="21"/>
                <w:szCs w:val="21"/>
              </w:rPr>
              <w:t>3.</w:t>
            </w:r>
            <w:r>
              <w:rPr>
                <w:rFonts w:ascii="Times New Roman" w:hAnsi="Times New Roman" w:eastAsia="宋体" w:cs="Times New Roman"/>
                <w:color w:val="auto"/>
                <w:sz w:val="21"/>
                <w:szCs w:val="21"/>
              </w:rPr>
              <w:t>线性方程组直接法</w:t>
            </w:r>
          </w:p>
        </w:tc>
        <w:tc>
          <w:tcPr>
            <w:tcW w:w="2465" w:type="dxa"/>
            <w:vAlign w:val="center"/>
          </w:tcPr>
          <w:p w14:paraId="7B0755AF">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（1）能够掌握顺序Gauss消元法</w:t>
            </w:r>
          </w:p>
          <w:p w14:paraId="636F190D">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（2）能够了解列主元Gauss消元法</w:t>
            </w:r>
          </w:p>
          <w:p w14:paraId="3820F8F1">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（3）能够了解追赶法</w:t>
            </w:r>
          </w:p>
          <w:p w14:paraId="63FAFAA2">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（4）能够掌握LU分解法</w:t>
            </w:r>
          </w:p>
          <w:p w14:paraId="2E6E04D3">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（5）能够掌握Cholesky分解法</w:t>
            </w:r>
          </w:p>
        </w:tc>
        <w:tc>
          <w:tcPr>
            <w:tcW w:w="1225" w:type="dxa"/>
            <w:vAlign w:val="center"/>
          </w:tcPr>
          <w:p w14:paraId="4DBBE2A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tc>
        <w:tc>
          <w:tcPr>
            <w:tcW w:w="2541" w:type="dxa"/>
            <w:vAlign w:val="center"/>
          </w:tcPr>
          <w:p w14:paraId="3BF3E06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1.初步理解</w:t>
            </w:r>
            <w:r>
              <w:rPr>
                <w:rFonts w:ascii="宋体" w:hAnsi="宋体" w:eastAsia="宋体" w:cs="Times New Roman"/>
                <w:color w:val="auto"/>
                <w:sz w:val="21"/>
                <w:szCs w:val="21"/>
              </w:rPr>
              <w:t>重点与难点：消去法和分解法理论基础，LU分解法和Cholesky分解法。</w:t>
            </w:r>
          </w:p>
          <w:p w14:paraId="15F4122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2.运用</w:t>
            </w:r>
            <w:r>
              <w:rPr>
                <w:rFonts w:ascii="宋体" w:hAnsi="宋体" w:eastAsia="宋体" w:cs="Times New Roman"/>
                <w:color w:val="auto"/>
                <w:sz w:val="21"/>
                <w:szCs w:val="21"/>
              </w:rPr>
              <w:t>教学方法：启发式互动讲授结合多媒体辅助；适当课堂练习；及时了解学生的作业状况并对共同的问题作及时解答；安排好课后答疑。</w:t>
            </w:r>
          </w:p>
        </w:tc>
        <w:tc>
          <w:tcPr>
            <w:tcW w:w="1424" w:type="dxa"/>
            <w:vAlign w:val="center"/>
          </w:tcPr>
          <w:p w14:paraId="4F683F80">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6D58DE39">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055230EA">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3D2B2C64">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w:t>
            </w:r>
          </w:p>
        </w:tc>
      </w:tr>
      <w:tr w14:paraId="145D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14FA20A">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77084C1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bCs/>
                <w:color w:val="auto"/>
                <w:sz w:val="21"/>
                <w:szCs w:val="21"/>
              </w:rPr>
              <w:t>注重理论联系实际，尊重客观规律，树立社会主义核心价值观，增强专业素养，强调理论对实践的指导意义。</w:t>
            </w:r>
          </w:p>
        </w:tc>
      </w:tr>
      <w:tr w14:paraId="48D8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60A61FB">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Times New Roman" w:hAnsi="Times New Roman" w:eastAsia="宋体" w:cs="Times New Roman"/>
                <w:color w:val="auto"/>
                <w:sz w:val="21"/>
                <w:szCs w:val="21"/>
              </w:rPr>
              <w:t>线性方程组的迭代方法</w:t>
            </w:r>
          </w:p>
        </w:tc>
        <w:tc>
          <w:tcPr>
            <w:tcW w:w="2465" w:type="dxa"/>
            <w:vAlign w:val="center"/>
          </w:tcPr>
          <w:p w14:paraId="675DB78B">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（1）能够理解迭代法的一般理论</w:t>
            </w:r>
          </w:p>
          <w:p w14:paraId="115735C7">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（2）能够掌握雅可比迭代法</w:t>
            </w:r>
          </w:p>
          <w:p w14:paraId="59B6C472">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（3）能够掌握高斯—赛德尔迭代法</w:t>
            </w:r>
          </w:p>
          <w:p w14:paraId="539B293F">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（4）能够掌握逐次超松弛迭代法</w:t>
            </w:r>
          </w:p>
        </w:tc>
        <w:tc>
          <w:tcPr>
            <w:tcW w:w="1225" w:type="dxa"/>
            <w:vAlign w:val="center"/>
          </w:tcPr>
          <w:p w14:paraId="028A3BF1">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541" w:type="dxa"/>
            <w:vAlign w:val="center"/>
          </w:tcPr>
          <w:p w14:paraId="0C2A4F2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1.初步理解</w:t>
            </w:r>
            <w:r>
              <w:rPr>
                <w:rFonts w:ascii="宋体" w:hAnsi="宋体" w:eastAsia="宋体" w:cs="Times New Roman"/>
                <w:color w:val="auto"/>
                <w:sz w:val="21"/>
                <w:szCs w:val="21"/>
              </w:rPr>
              <w:t>重点与难点：雅可比迭代法、高斯-赛德尔迭代法、逐次超松弛迭代法。</w:t>
            </w:r>
          </w:p>
          <w:p w14:paraId="4E2BC41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2.运用</w:t>
            </w:r>
            <w:r>
              <w:rPr>
                <w:rFonts w:ascii="宋体" w:hAnsi="宋体" w:eastAsia="宋体" w:cs="Times New Roman"/>
                <w:color w:val="auto"/>
                <w:sz w:val="21"/>
                <w:szCs w:val="21"/>
              </w:rPr>
              <w:t>教学方法：启发式互动讲授结合多媒体辅助；适当课堂练习；及时了解学生的作业状况并对共同的问题作及时解答；安排好课后答疑。</w:t>
            </w:r>
          </w:p>
        </w:tc>
        <w:tc>
          <w:tcPr>
            <w:tcW w:w="1424" w:type="dxa"/>
            <w:vAlign w:val="center"/>
          </w:tcPr>
          <w:p w14:paraId="000EA248">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4C7458FB">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26867133">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0EB174BE">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7</w:t>
            </w:r>
          </w:p>
        </w:tc>
      </w:tr>
      <w:tr w14:paraId="275B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D3074B3">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36F9C73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bCs/>
                <w:color w:val="auto"/>
                <w:sz w:val="21"/>
                <w:szCs w:val="21"/>
              </w:rPr>
              <w:t>注重理论联系实际，尊重客观规律，树立社会主义核心价值观，增强专业素养，强调理论对实践的指导意义。</w:t>
            </w:r>
          </w:p>
        </w:tc>
      </w:tr>
      <w:tr w14:paraId="791D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9541549">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5.</w:t>
            </w:r>
            <w:r>
              <w:rPr>
                <w:rFonts w:ascii="Times New Roman" w:hAnsi="Times New Roman" w:eastAsia="宋体" w:cs="Times New Roman"/>
                <w:color w:val="auto"/>
                <w:sz w:val="21"/>
                <w:szCs w:val="21"/>
              </w:rPr>
              <w:t>插值和最小二乘逼近</w:t>
            </w:r>
          </w:p>
        </w:tc>
        <w:tc>
          <w:tcPr>
            <w:tcW w:w="2465" w:type="dxa"/>
            <w:vAlign w:val="center"/>
          </w:tcPr>
          <w:p w14:paraId="79C155C7">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（1）能够掌握多项式插值</w:t>
            </w:r>
          </w:p>
          <w:p w14:paraId="09049F58">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（2）能够了解牛顿插值法</w:t>
            </w:r>
          </w:p>
          <w:p w14:paraId="1161A3C0">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（3）能够了解样条插值法</w:t>
            </w:r>
          </w:p>
          <w:p w14:paraId="69D3B9BD">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（4）能够掌握最小二乘拟合</w:t>
            </w:r>
          </w:p>
        </w:tc>
        <w:tc>
          <w:tcPr>
            <w:tcW w:w="1225" w:type="dxa"/>
            <w:vAlign w:val="center"/>
          </w:tcPr>
          <w:p w14:paraId="7A898251">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tc>
        <w:tc>
          <w:tcPr>
            <w:tcW w:w="2541" w:type="dxa"/>
            <w:vAlign w:val="center"/>
          </w:tcPr>
          <w:p w14:paraId="0859448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1.初步理解</w:t>
            </w:r>
            <w:r>
              <w:rPr>
                <w:rFonts w:ascii="宋体" w:hAnsi="宋体" w:eastAsia="宋体" w:cs="Times New Roman"/>
                <w:color w:val="auto"/>
                <w:sz w:val="21"/>
                <w:szCs w:val="21"/>
              </w:rPr>
              <w:t>重点与难点：多项式插值和最小二乘拟合。</w:t>
            </w:r>
          </w:p>
          <w:p w14:paraId="63A6C67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2.运用</w:t>
            </w:r>
            <w:r>
              <w:rPr>
                <w:rFonts w:ascii="宋体" w:hAnsi="宋体" w:eastAsia="宋体" w:cs="Times New Roman"/>
                <w:color w:val="auto"/>
                <w:sz w:val="21"/>
                <w:szCs w:val="21"/>
              </w:rPr>
              <w:t>教学方法：启发式互动讲授结合多媒体辅助；适当课堂练习；及时了解学生的作业状况并对共同的问题作及时解答；安排好课后答疑。</w:t>
            </w:r>
          </w:p>
        </w:tc>
        <w:tc>
          <w:tcPr>
            <w:tcW w:w="1424" w:type="dxa"/>
            <w:vAlign w:val="center"/>
          </w:tcPr>
          <w:p w14:paraId="10195BEA">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37E7E3D2">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561BB186">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7F765165">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11</w:t>
            </w:r>
          </w:p>
        </w:tc>
      </w:tr>
      <w:tr w14:paraId="58F2C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D264185">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3FAC883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bCs/>
                <w:color w:val="auto"/>
                <w:sz w:val="21"/>
                <w:szCs w:val="21"/>
              </w:rPr>
              <w:t>注重理论联系实际，尊重客观规律，树立社会主义核心价值观，增强专业素养，强调理论对实践的指导意义。</w:t>
            </w:r>
          </w:p>
        </w:tc>
      </w:tr>
      <w:tr w14:paraId="6526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472F5FA">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w:t>
            </w:r>
            <w:r>
              <w:rPr>
                <w:rFonts w:ascii="Times New Roman" w:hAnsi="Times New Roman" w:eastAsia="宋体" w:cs="Times New Roman"/>
                <w:color w:val="auto"/>
                <w:sz w:val="21"/>
                <w:szCs w:val="21"/>
              </w:rPr>
              <w:t>数值积分和数值微分</w:t>
            </w:r>
          </w:p>
        </w:tc>
        <w:tc>
          <w:tcPr>
            <w:tcW w:w="2465" w:type="dxa"/>
            <w:vAlign w:val="center"/>
          </w:tcPr>
          <w:p w14:paraId="79537E2A">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（1）能够掌握插值型求积公式</w:t>
            </w:r>
          </w:p>
          <w:p w14:paraId="131C0553">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（2）能够掌握复化求积公式</w:t>
            </w:r>
          </w:p>
          <w:p w14:paraId="35050291">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（3）能够了解龙贝格求积公式</w:t>
            </w:r>
          </w:p>
          <w:p w14:paraId="1C403E1C">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（4）能够掌握Gauss求积公式</w:t>
            </w:r>
          </w:p>
        </w:tc>
        <w:tc>
          <w:tcPr>
            <w:tcW w:w="1225" w:type="dxa"/>
            <w:vAlign w:val="center"/>
          </w:tcPr>
          <w:p w14:paraId="679B6BF2">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tc>
        <w:tc>
          <w:tcPr>
            <w:tcW w:w="2541" w:type="dxa"/>
            <w:vAlign w:val="center"/>
          </w:tcPr>
          <w:p w14:paraId="5089107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1.初步理解</w:t>
            </w:r>
            <w:r>
              <w:rPr>
                <w:rFonts w:ascii="宋体" w:hAnsi="宋体" w:eastAsia="宋体" w:cs="Times New Roman"/>
                <w:color w:val="auto"/>
                <w:sz w:val="21"/>
                <w:szCs w:val="21"/>
              </w:rPr>
              <w:t>重点与难点：插值型求积公式、复化求积公式、Gauss求积公式。</w:t>
            </w:r>
          </w:p>
          <w:p w14:paraId="354947C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2.运用</w:t>
            </w:r>
            <w:r>
              <w:rPr>
                <w:rFonts w:ascii="宋体" w:hAnsi="宋体" w:eastAsia="宋体" w:cs="Times New Roman"/>
                <w:color w:val="auto"/>
                <w:sz w:val="21"/>
                <w:szCs w:val="21"/>
              </w:rPr>
              <w:t>教学方法：启发式互动讲授结合多媒体辅助；适当课堂练习；及时了解学生的作业状况并对共同的问题作及时解答；安排好课后答疑。</w:t>
            </w:r>
          </w:p>
        </w:tc>
        <w:tc>
          <w:tcPr>
            <w:tcW w:w="1424" w:type="dxa"/>
            <w:vAlign w:val="center"/>
          </w:tcPr>
          <w:p w14:paraId="575346A7">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30CA58B3">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5DB9914F">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33086C13">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11</w:t>
            </w:r>
          </w:p>
        </w:tc>
      </w:tr>
      <w:tr w14:paraId="13EE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1C71F04">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6EFDA6A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bCs/>
                <w:color w:val="auto"/>
                <w:sz w:val="21"/>
                <w:szCs w:val="21"/>
              </w:rPr>
              <w:t>注重理论联系实际，尊重客观规律，树立社会主义核心价值观，增强专业素养，强调理论对实践的指导意义。</w:t>
            </w:r>
          </w:p>
        </w:tc>
      </w:tr>
      <w:tr w14:paraId="6A23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C1699B0">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7.</w:t>
            </w:r>
            <w:r>
              <w:rPr>
                <w:rFonts w:ascii="Times New Roman" w:hAnsi="Times New Roman" w:eastAsia="宋体" w:cs="Times New Roman"/>
                <w:color w:val="auto"/>
                <w:sz w:val="21"/>
                <w:szCs w:val="21"/>
              </w:rPr>
              <w:t>常微分方程的数值解法</w:t>
            </w:r>
          </w:p>
        </w:tc>
        <w:tc>
          <w:tcPr>
            <w:tcW w:w="2465" w:type="dxa"/>
            <w:vAlign w:val="center"/>
          </w:tcPr>
          <w:p w14:paraId="4A12C88F">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（1）能够掌握欧拉法</w:t>
            </w:r>
          </w:p>
          <w:p w14:paraId="4DA4E4B3">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（2）能够掌握龙格—库塔法</w:t>
            </w:r>
          </w:p>
          <w:p w14:paraId="49E67D32">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（3）能够了解Adams格式</w:t>
            </w:r>
          </w:p>
        </w:tc>
        <w:tc>
          <w:tcPr>
            <w:tcW w:w="1225" w:type="dxa"/>
            <w:vAlign w:val="center"/>
          </w:tcPr>
          <w:p w14:paraId="2A5DBCA9">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tc>
        <w:tc>
          <w:tcPr>
            <w:tcW w:w="2541" w:type="dxa"/>
            <w:vAlign w:val="center"/>
          </w:tcPr>
          <w:p w14:paraId="691B5C8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1.初步理解</w:t>
            </w:r>
            <w:r>
              <w:rPr>
                <w:rFonts w:ascii="宋体" w:hAnsi="宋体" w:eastAsia="宋体" w:cs="Times New Roman"/>
                <w:color w:val="auto"/>
                <w:sz w:val="21"/>
                <w:szCs w:val="21"/>
              </w:rPr>
              <w:t>重点与难点：欧拉法、龙格—库塔法基本理论及其实现。</w:t>
            </w:r>
          </w:p>
          <w:p w14:paraId="59B9D60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2.运用</w:t>
            </w:r>
            <w:r>
              <w:rPr>
                <w:rFonts w:ascii="宋体" w:hAnsi="宋体" w:eastAsia="宋体" w:cs="Times New Roman"/>
                <w:color w:val="auto"/>
                <w:sz w:val="21"/>
                <w:szCs w:val="21"/>
              </w:rPr>
              <w:t>教学方法：启发式互动讲授结合多媒体辅助；适当课堂练习；及时了解学生的作业状况并对共同的问题作及时解答；安排好课后答疑。</w:t>
            </w:r>
          </w:p>
        </w:tc>
        <w:tc>
          <w:tcPr>
            <w:tcW w:w="1424" w:type="dxa"/>
            <w:vAlign w:val="center"/>
          </w:tcPr>
          <w:p w14:paraId="49539CDC">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27B57C1D">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7867365B">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2A9D2863">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5</w:t>
            </w:r>
          </w:p>
        </w:tc>
      </w:tr>
      <w:tr w14:paraId="2C8D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129CDA6">
            <w:pPr>
              <w:spacing w:line="240" w:lineRule="auto"/>
              <w:jc w:val="center"/>
              <w:rPr>
                <w:rFonts w:hint="eastAsia" w:ascii="宋体" w:hAnsi="宋体" w:eastAsia="宋体" w:cs="Times New Roman"/>
                <w:color w:val="auto"/>
                <w:sz w:val="21"/>
                <w:szCs w:val="21"/>
              </w:rPr>
            </w:pPr>
          </w:p>
        </w:tc>
        <w:tc>
          <w:tcPr>
            <w:tcW w:w="8093" w:type="dxa"/>
            <w:gridSpan w:val="5"/>
            <w:vAlign w:val="center"/>
          </w:tcPr>
          <w:p w14:paraId="1BC3407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bCs/>
                <w:color w:val="auto"/>
                <w:sz w:val="21"/>
                <w:szCs w:val="21"/>
              </w:rPr>
              <w:t>注重理论联系实际，尊重客观规律，树立社会主义核心价值观，增强专业素养，强调理论对实践的指导意义。</w:t>
            </w:r>
          </w:p>
        </w:tc>
      </w:tr>
    </w:tbl>
    <w:p w14:paraId="0F80E76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四、目标评价与成绩评定</w:t>
      </w:r>
    </w:p>
    <w:p w14:paraId="5F3AB296">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69E1FF9A">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8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2076"/>
        <w:gridCol w:w="2707"/>
        <w:gridCol w:w="1757"/>
      </w:tblGrid>
      <w:tr w14:paraId="1BEB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67" w:type="dxa"/>
            <w:vMerge w:val="restart"/>
            <w:vAlign w:val="center"/>
          </w:tcPr>
          <w:p w14:paraId="0E2206C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4783" w:type="dxa"/>
            <w:gridSpan w:val="2"/>
            <w:vAlign w:val="center"/>
          </w:tcPr>
          <w:p w14:paraId="4A69EEB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757" w:type="dxa"/>
            <w:vMerge w:val="restart"/>
            <w:vAlign w:val="center"/>
          </w:tcPr>
          <w:p w14:paraId="5CF7725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2EA0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67" w:type="dxa"/>
            <w:vMerge w:val="continue"/>
            <w:vAlign w:val="center"/>
          </w:tcPr>
          <w:p w14:paraId="2C13B12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2076" w:type="dxa"/>
            <w:vAlign w:val="center"/>
          </w:tcPr>
          <w:p w14:paraId="0A80C11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平时成绩</w:t>
            </w:r>
          </w:p>
        </w:tc>
        <w:tc>
          <w:tcPr>
            <w:tcW w:w="2707" w:type="dxa"/>
            <w:vAlign w:val="center"/>
          </w:tcPr>
          <w:p w14:paraId="087BB27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期末成绩</w:t>
            </w:r>
          </w:p>
        </w:tc>
        <w:tc>
          <w:tcPr>
            <w:tcW w:w="1757" w:type="dxa"/>
            <w:vMerge w:val="continue"/>
          </w:tcPr>
          <w:p w14:paraId="0C79904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r>
      <w:tr w14:paraId="6942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267" w:type="dxa"/>
            <w:vAlign w:val="center"/>
          </w:tcPr>
          <w:p w14:paraId="52F03B0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2076" w:type="dxa"/>
            <w:vAlign w:val="center"/>
          </w:tcPr>
          <w:p w14:paraId="6515698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707" w:type="dxa"/>
            <w:vAlign w:val="center"/>
          </w:tcPr>
          <w:p w14:paraId="017E9F7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757" w:type="dxa"/>
            <w:vAlign w:val="center"/>
          </w:tcPr>
          <w:p w14:paraId="71B9356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2A92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267" w:type="dxa"/>
            <w:vAlign w:val="center"/>
          </w:tcPr>
          <w:p w14:paraId="405BCB9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2076" w:type="dxa"/>
            <w:vAlign w:val="center"/>
          </w:tcPr>
          <w:p w14:paraId="1C9DD28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707" w:type="dxa"/>
            <w:vAlign w:val="center"/>
          </w:tcPr>
          <w:p w14:paraId="6DA2056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757" w:type="dxa"/>
            <w:vAlign w:val="center"/>
          </w:tcPr>
          <w:p w14:paraId="7BB6B02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060E0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267" w:type="dxa"/>
            <w:vAlign w:val="center"/>
          </w:tcPr>
          <w:p w14:paraId="3ED193F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2076" w:type="dxa"/>
            <w:vAlign w:val="center"/>
          </w:tcPr>
          <w:p w14:paraId="0927148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707" w:type="dxa"/>
            <w:vAlign w:val="center"/>
          </w:tcPr>
          <w:p w14:paraId="3B4A1FD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757" w:type="dxa"/>
            <w:vAlign w:val="center"/>
          </w:tcPr>
          <w:p w14:paraId="25B4041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14B8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7" w:type="dxa"/>
            <w:vAlign w:val="center"/>
          </w:tcPr>
          <w:p w14:paraId="62E798D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课程目标4</w:t>
            </w:r>
          </w:p>
        </w:tc>
        <w:tc>
          <w:tcPr>
            <w:tcW w:w="2076" w:type="dxa"/>
            <w:vAlign w:val="center"/>
          </w:tcPr>
          <w:p w14:paraId="69DFE98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707" w:type="dxa"/>
            <w:vAlign w:val="center"/>
          </w:tcPr>
          <w:p w14:paraId="4E0F471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757" w:type="dxa"/>
            <w:vAlign w:val="center"/>
          </w:tcPr>
          <w:p w14:paraId="3B2850F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21F1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267" w:type="dxa"/>
            <w:vAlign w:val="center"/>
          </w:tcPr>
          <w:p w14:paraId="73DFFB3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课程目标5</w:t>
            </w:r>
          </w:p>
        </w:tc>
        <w:tc>
          <w:tcPr>
            <w:tcW w:w="2076" w:type="dxa"/>
            <w:vAlign w:val="center"/>
          </w:tcPr>
          <w:p w14:paraId="72B5D0C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707" w:type="dxa"/>
            <w:vAlign w:val="center"/>
          </w:tcPr>
          <w:p w14:paraId="4416A9D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757" w:type="dxa"/>
            <w:vAlign w:val="center"/>
          </w:tcPr>
          <w:p w14:paraId="347FB28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41F4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267" w:type="dxa"/>
            <w:vAlign w:val="center"/>
          </w:tcPr>
          <w:p w14:paraId="4204D65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2076" w:type="dxa"/>
            <w:vAlign w:val="center"/>
          </w:tcPr>
          <w:p w14:paraId="4EA0346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50</w:t>
            </w:r>
          </w:p>
        </w:tc>
        <w:tc>
          <w:tcPr>
            <w:tcW w:w="2707" w:type="dxa"/>
            <w:vAlign w:val="center"/>
          </w:tcPr>
          <w:p w14:paraId="7306467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50</w:t>
            </w:r>
          </w:p>
        </w:tc>
        <w:tc>
          <w:tcPr>
            <w:tcW w:w="1757" w:type="dxa"/>
            <w:vAlign w:val="center"/>
          </w:tcPr>
          <w:p w14:paraId="52CA9CF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67F37D1C">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03137ADC">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18F0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32FE6B5">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2FB2637B">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699F223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3FF5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B319FD5">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平时成绩</w:t>
            </w:r>
          </w:p>
        </w:tc>
        <w:tc>
          <w:tcPr>
            <w:tcW w:w="7141" w:type="dxa"/>
            <w:vAlign w:val="center"/>
          </w:tcPr>
          <w:p w14:paraId="69CDA9EF">
            <w:pPr>
              <w:rPr>
                <w:color w:val="auto"/>
              </w:rPr>
            </w:pPr>
            <w:r>
              <w:rPr>
                <w:rFonts w:ascii="Times New Roman" w:hAnsi="Times New Roman" w:eastAsia="宋体" w:cs="Times New Roman"/>
                <w:color w:val="auto"/>
                <w:lang w:bidi="ar"/>
              </w:rPr>
              <w:t>课堂不定期点名，考核出勤情况并打分。</w:t>
            </w:r>
          </w:p>
          <w:p w14:paraId="11FD23E6">
            <w:pPr>
              <w:spacing w:line="276" w:lineRule="auto"/>
              <w:jc w:val="left"/>
              <w:rPr>
                <w:rFonts w:ascii="Times New Roman" w:hAnsi="Times New Roman" w:eastAsia="宋体" w:cs="Times New Roman"/>
                <w:color w:val="auto"/>
              </w:rPr>
            </w:pPr>
            <w:r>
              <w:rPr>
                <w:rFonts w:ascii="Times New Roman" w:hAnsi="Times New Roman" w:eastAsia="宋体" w:cs="Times New Roman"/>
                <w:color w:val="auto"/>
              </w:rPr>
              <w:t>课堂不定期通过提问或小练习实施师生互动，考核考核学生课堂学习情况，按照互动情况打分。</w:t>
            </w:r>
          </w:p>
          <w:p w14:paraId="3756DB83">
            <w:pPr>
              <w:spacing w:line="276" w:lineRule="auto"/>
              <w:jc w:val="left"/>
              <w:rPr>
                <w:rFonts w:ascii="Times New Roman" w:hAnsi="Times New Roman" w:eastAsia="宋体" w:cs="Times New Roman"/>
                <w:color w:val="auto"/>
                <w:szCs w:val="21"/>
              </w:rPr>
            </w:pPr>
            <w:r>
              <w:rPr>
                <w:rFonts w:ascii="Times New Roman" w:hAnsi="Times New Roman" w:eastAsia="宋体" w:cs="Times New Roman"/>
                <w:color w:val="auto"/>
                <w:lang w:bidi="ar"/>
              </w:rPr>
              <w:t>定期布置习题，考核学生对所学知识点的复习、理解和掌握度。对作业完成情况做记录并百分制打分，计算作业的平均成绩。</w:t>
            </w:r>
          </w:p>
        </w:tc>
        <w:tc>
          <w:tcPr>
            <w:tcW w:w="0" w:type="auto"/>
            <w:vAlign w:val="center"/>
          </w:tcPr>
          <w:p w14:paraId="1A3009D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2510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91EA41D">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7141" w:type="dxa"/>
            <w:vAlign w:val="center"/>
          </w:tcPr>
          <w:p w14:paraId="078ADE21">
            <w:pPr>
              <w:widowControl/>
              <w:spacing w:line="264" w:lineRule="auto"/>
              <w:jc w:val="left"/>
              <w:rPr>
                <w:rFonts w:hint="eastAsia" w:ascii="宋体" w:hAnsi="宋体" w:eastAsia="宋体" w:cs="宋体"/>
                <w:color w:val="auto"/>
                <w:kern w:val="0"/>
                <w:szCs w:val="21"/>
                <w:lang w:bidi="ar"/>
              </w:rPr>
            </w:pPr>
            <w:r>
              <w:rPr>
                <w:rFonts w:ascii="Times New Roman" w:hAnsi="Times New Roman" w:eastAsia="宋体" w:cs="Times New Roman"/>
                <w:color w:val="auto"/>
                <w:lang w:bidi="ar"/>
              </w:rPr>
              <w:t>试卷题型包括选择题、计算题、解答题等。</w:t>
            </w:r>
          </w:p>
        </w:tc>
        <w:tc>
          <w:tcPr>
            <w:tcW w:w="0" w:type="auto"/>
            <w:vAlign w:val="center"/>
          </w:tcPr>
          <w:p w14:paraId="7578598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28BE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D7D6BE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4FA152C9">
            <w:pPr>
              <w:jc w:val="left"/>
              <w:rPr>
                <w:rFonts w:ascii="Times New Roman" w:hAnsi="Times New Roman" w:eastAsia="宋体" w:cs="Times New Roman"/>
                <w:color w:val="auto"/>
                <w:szCs w:val="21"/>
              </w:rPr>
            </w:pPr>
          </w:p>
        </w:tc>
        <w:tc>
          <w:tcPr>
            <w:tcW w:w="0" w:type="auto"/>
            <w:vAlign w:val="center"/>
          </w:tcPr>
          <w:p w14:paraId="7AF1C92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37C1B693">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1D85FAAC">
      <w:pPr>
        <w:spacing w:line="360" w:lineRule="auto"/>
        <w:ind w:firstLine="480"/>
        <w:rPr>
          <w:rFonts w:hint="eastAsia" w:ascii="宋体" w:hAnsi="宋体" w:eastAsia="宋体" w:cs="Times New Roman"/>
          <w:color w:val="auto"/>
          <w:sz w:val="21"/>
          <w:szCs w:val="21"/>
        </w:rPr>
      </w:pPr>
      <w:r>
        <w:rPr>
          <w:rFonts w:ascii="宋体" w:hAnsi="宋体" w:eastAsia="宋体" w:cs="Times New Roman"/>
          <w:color w:val="auto"/>
          <w:sz w:val="21"/>
          <w:szCs w:val="21"/>
        </w:rPr>
        <w:t>所有课程目标均</w:t>
      </w:r>
      <w:r>
        <w:rPr>
          <w:rFonts w:hint="eastAsia" w:ascii="宋体" w:hAnsi="宋体" w:eastAsia="宋体" w:cs="Times New Roman"/>
          <w:color w:val="auto"/>
          <w:sz w:val="21"/>
          <w:szCs w:val="21"/>
        </w:rPr>
        <w:t>需</w:t>
      </w:r>
      <w:r>
        <w:rPr>
          <w:rFonts w:ascii="宋体" w:hAnsi="宋体" w:eastAsia="宋体" w:cs="Times New Roman"/>
          <w:color w:val="auto"/>
          <w:sz w:val="21"/>
          <w:szCs w:val="21"/>
        </w:rPr>
        <w:t>大于等于0.6，否则总评成绩不及格，需要补考或重</w:t>
      </w:r>
      <w:r>
        <w:rPr>
          <w:rFonts w:hint="eastAsia" w:ascii="宋体" w:hAnsi="宋体" w:eastAsia="宋体" w:cs="Times New Roman"/>
          <w:color w:val="auto"/>
          <w:sz w:val="21"/>
          <w:szCs w:val="21"/>
        </w:rPr>
        <w:t>修。</w:t>
      </w:r>
    </w:p>
    <w:p w14:paraId="74FA07E8">
      <w:pPr>
        <w:spacing w:line="360" w:lineRule="auto"/>
        <w:ind w:firstLine="621" w:firstLineChars="296"/>
        <w:jc w:val="left"/>
        <w:rPr>
          <w:rFonts w:hint="eastAsia" w:ascii="宋体" w:hAnsi="宋体" w:eastAsia="宋体" w:cs="Times New Roman"/>
          <w:color w:val="auto"/>
          <w:szCs w:val="21"/>
        </w:rPr>
      </w:pPr>
      <w:r>
        <w:rPr>
          <w:rFonts w:ascii="Times New Roman" w:hAnsi="Times New Roman" w:eastAsia="宋体" w:cs="Times New Roman"/>
          <w:color w:val="auto"/>
          <w:sz w:val="21"/>
          <w:szCs w:val="21"/>
        </w:rPr>
        <w:t>课程总评成绩=出勤情况成绩×10% +师生互动成绩×10% +作业成绩×30%+期末考试成绩×50%。</w:t>
      </w:r>
      <w:r>
        <w:rPr>
          <w:rFonts w:ascii="宋体" w:hAnsi="宋体" w:eastAsia="宋体" w:cs="Times New Roman"/>
          <w:color w:val="auto"/>
          <w:szCs w:val="21"/>
        </w:rPr>
        <w:t>每门课程目标总体达成度计算方法如下：</w:t>
      </w:r>
    </w:p>
    <w:p w14:paraId="5C4833E1">
      <w:pPr>
        <w:spacing w:before="156" w:beforeLines="50" w:line="360" w:lineRule="auto"/>
        <w:jc w:val="left"/>
        <w:rPr>
          <w:rFonts w:ascii="Times New Roman" w:hAnsi="Times New Roman" w:eastAsia="宋体" w:cs="Times New Roman"/>
          <w:color w:val="auto"/>
          <w:sz w:val="21"/>
          <w:szCs w:val="21"/>
        </w:rPr>
      </w:pPr>
      <w:r>
        <w:rPr>
          <w:rFonts w:ascii="宋体" w:hAnsi="宋体" w:eastAsia="宋体" w:cs="Times New Roman"/>
          <w:color w:val="auto"/>
          <w:szCs w:val="21"/>
        </w:rPr>
        <w:object>
          <v:shape id="_x0000_i1071"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71" DrawAspect="Content" ObjectID="_1468075770" r:id="rId57">
            <o:LockedField>false</o:LockedField>
          </o:OLEObject>
        </w:object>
      </w:r>
    </w:p>
    <w:p w14:paraId="4FF57F39">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五、课程实践</w:t>
      </w:r>
    </w:p>
    <w:p w14:paraId="181E8B72">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本课程在系统教学的基础上，以学生为主题，整合各类教育资源，科学设计实践活动，丰富教育教学形式，提升教育教学效果，从而实现思政育人。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429"/>
        <w:gridCol w:w="1133"/>
        <w:gridCol w:w="3745"/>
      </w:tblGrid>
      <w:tr w14:paraId="50E3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1212" w:type="dxa"/>
            <w:vAlign w:val="center"/>
          </w:tcPr>
          <w:p w14:paraId="13A0D81D">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2429" w:type="dxa"/>
            <w:vAlign w:val="center"/>
          </w:tcPr>
          <w:p w14:paraId="1C8F8BE1">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1133" w:type="dxa"/>
            <w:vAlign w:val="center"/>
          </w:tcPr>
          <w:p w14:paraId="49F60B2F">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3745" w:type="dxa"/>
            <w:vAlign w:val="center"/>
          </w:tcPr>
          <w:p w14:paraId="7F17D8BF">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思政目标</w:t>
            </w:r>
          </w:p>
        </w:tc>
      </w:tr>
      <w:tr w14:paraId="42756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31749FF8">
            <w:pPr>
              <w:spacing w:line="276" w:lineRule="auto"/>
              <w:jc w:val="center"/>
              <w:rPr>
                <w:rFonts w:hint="eastAsia" w:ascii="宋体" w:hAnsi="宋体" w:eastAsia="宋体" w:cs="宋体"/>
                <w:color w:val="auto"/>
                <w:szCs w:val="21"/>
              </w:rPr>
            </w:pPr>
            <w:r>
              <w:rPr>
                <w:rFonts w:ascii="Times New Roman" w:hAnsi="Times New Roman" w:eastAsia="宋体" w:cs="Times New Roman"/>
                <w:bCs/>
                <w:color w:val="auto"/>
                <w:szCs w:val="21"/>
              </w:rPr>
              <w:t>Matlab数值实验</w:t>
            </w:r>
          </w:p>
        </w:tc>
        <w:tc>
          <w:tcPr>
            <w:tcW w:w="2429" w:type="dxa"/>
            <w:vAlign w:val="center"/>
          </w:tcPr>
          <w:p w14:paraId="6229B0D4">
            <w:pPr>
              <w:spacing w:line="276" w:lineRule="auto"/>
              <w:jc w:val="center"/>
              <w:rPr>
                <w:rFonts w:hint="eastAsia" w:ascii="宋体" w:hAnsi="宋体" w:eastAsia="宋体" w:cs="宋体"/>
                <w:color w:val="auto"/>
                <w:szCs w:val="21"/>
              </w:rPr>
            </w:pPr>
            <w:r>
              <w:rPr>
                <w:rFonts w:ascii="宋体" w:hAnsi="宋体" w:eastAsia="宋体" w:cs="宋体"/>
                <w:color w:val="auto"/>
                <w:szCs w:val="21"/>
              </w:rPr>
              <w:t>书第2章到第4章，数值方法Matlab编程实现</w:t>
            </w:r>
          </w:p>
        </w:tc>
        <w:tc>
          <w:tcPr>
            <w:tcW w:w="1133" w:type="dxa"/>
            <w:vAlign w:val="center"/>
          </w:tcPr>
          <w:p w14:paraId="747196A5">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课程实践作业</w:t>
            </w:r>
          </w:p>
        </w:tc>
        <w:tc>
          <w:tcPr>
            <w:tcW w:w="3745" w:type="dxa"/>
            <w:vAlign w:val="center"/>
          </w:tcPr>
          <w:p w14:paraId="44AD2BC8">
            <w:pPr>
              <w:spacing w:line="276" w:lineRule="auto"/>
              <w:jc w:val="left"/>
              <w:rPr>
                <w:rFonts w:hint="eastAsia" w:ascii="宋体" w:hAnsi="宋体" w:eastAsia="宋体" w:cs="宋体"/>
                <w:color w:val="auto"/>
                <w:szCs w:val="21"/>
              </w:rPr>
            </w:pPr>
            <w:r>
              <w:rPr>
                <w:rFonts w:ascii="宋体" w:hAnsi="宋体" w:eastAsia="宋体" w:cs="宋体"/>
                <w:color w:val="auto"/>
                <w:szCs w:val="21"/>
              </w:rPr>
              <w:t>注重理论联系实际，尊重客观规律，树立社会主义核心价值观，增强专业素养，强调理论对实践的指导意义。</w:t>
            </w:r>
          </w:p>
        </w:tc>
      </w:tr>
      <w:tr w14:paraId="0201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2D8772B5">
            <w:pPr>
              <w:jc w:val="center"/>
              <w:rPr>
                <w:rFonts w:hint="eastAsia" w:ascii="宋体" w:hAnsi="宋体" w:eastAsia="宋体" w:cs="宋体"/>
                <w:color w:val="auto"/>
                <w:szCs w:val="21"/>
              </w:rPr>
            </w:pPr>
            <w:r>
              <w:rPr>
                <w:rFonts w:ascii="宋体" w:hAnsi="宋体" w:eastAsia="宋体" w:cs="宋体"/>
                <w:color w:val="auto"/>
                <w:szCs w:val="21"/>
              </w:rPr>
              <w:t>Matlab数值实验</w:t>
            </w:r>
          </w:p>
        </w:tc>
        <w:tc>
          <w:tcPr>
            <w:tcW w:w="2429" w:type="dxa"/>
            <w:vAlign w:val="center"/>
          </w:tcPr>
          <w:p w14:paraId="40485EA6">
            <w:pPr>
              <w:spacing w:line="276" w:lineRule="auto"/>
              <w:jc w:val="center"/>
              <w:rPr>
                <w:rFonts w:hint="eastAsia" w:ascii="宋体" w:hAnsi="宋体" w:eastAsia="宋体" w:cs="宋体"/>
                <w:color w:val="auto"/>
                <w:szCs w:val="21"/>
              </w:rPr>
            </w:pPr>
            <w:r>
              <w:rPr>
                <w:rFonts w:ascii="Times New Roman" w:hAnsi="Times New Roman" w:eastAsia="宋体" w:cs="Times New Roman"/>
                <w:bCs/>
                <w:color w:val="auto"/>
                <w:szCs w:val="21"/>
              </w:rPr>
              <w:t>书第5章到第7章，数值方法Matlab编程实现</w:t>
            </w:r>
          </w:p>
        </w:tc>
        <w:tc>
          <w:tcPr>
            <w:tcW w:w="1133" w:type="dxa"/>
            <w:vAlign w:val="center"/>
          </w:tcPr>
          <w:p w14:paraId="3363D86D">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课程实践作业</w:t>
            </w:r>
          </w:p>
        </w:tc>
        <w:tc>
          <w:tcPr>
            <w:tcW w:w="3745" w:type="dxa"/>
            <w:vAlign w:val="center"/>
          </w:tcPr>
          <w:p w14:paraId="1872AA70">
            <w:pPr>
              <w:spacing w:line="276" w:lineRule="auto"/>
              <w:jc w:val="left"/>
              <w:rPr>
                <w:rFonts w:hint="eastAsia" w:ascii="宋体" w:hAnsi="宋体" w:eastAsia="宋体" w:cs="宋体"/>
                <w:color w:val="auto"/>
                <w:szCs w:val="21"/>
              </w:rPr>
            </w:pPr>
            <w:r>
              <w:rPr>
                <w:rFonts w:ascii="宋体" w:hAnsi="宋体" w:eastAsia="宋体" w:cs="宋体"/>
                <w:color w:val="auto"/>
                <w:szCs w:val="21"/>
              </w:rPr>
              <w:t>注重理论联系实际，尊重客观规律，树立社会主义核心价值观，增强专业素养，强调理论对实践的指导意义。</w:t>
            </w:r>
          </w:p>
        </w:tc>
      </w:tr>
    </w:tbl>
    <w:p w14:paraId="287688E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六、有关说明</w:t>
      </w:r>
    </w:p>
    <w:p w14:paraId="666ECEE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rFonts w:hint="eastAsia"/>
          <w:color w:val="auto"/>
        </w:rPr>
        <w:t>（一）持续改进</w:t>
      </w:r>
    </w:p>
    <w:p w14:paraId="4403C84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rFonts w:hint="eastAsia"/>
          <w:color w:val="auto"/>
        </w:rPr>
        <w:t>1. 提倡改革教学方法，强调应用现代化教学手段，如课件、互联网视频教学和网络答疑等。</w:t>
      </w:r>
    </w:p>
    <w:p w14:paraId="6026F3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rFonts w:hint="eastAsia"/>
          <w:color w:val="auto"/>
        </w:rPr>
        <w:t>2.合理安排教学课时，加强课堂提问、课堂小测验等旨在督促学生自主学习的教学环节；引导学生做好课前预习、课后整理笔记并及时完成作业的复习工作；保证学生完成一定数量的作业和习题。</w:t>
      </w:r>
    </w:p>
    <w:p w14:paraId="5158800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rFonts w:hint="eastAsia"/>
          <w:color w:val="auto"/>
        </w:rPr>
        <w:t>3．教学用的例题和习题，应适当结合工程实际。</w:t>
      </w:r>
    </w:p>
    <w:p w14:paraId="4B34FA3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rFonts w:hint="eastAsia"/>
          <w:color w:val="auto"/>
        </w:rPr>
        <w:t>（二）参考书目及学习资料</w:t>
      </w:r>
    </w:p>
    <w:p w14:paraId="4A6FF0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rFonts w:hint="eastAsia"/>
          <w:color w:val="auto"/>
        </w:rPr>
        <w:t>《计算方法》，易大义，浙江大学出版社， 2017.5</w:t>
      </w:r>
    </w:p>
    <w:p w14:paraId="6CCC5C23">
      <w:pPr>
        <w:spacing w:line="360" w:lineRule="auto"/>
        <w:jc w:val="righ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执 笔 人：李  森</w:t>
      </w:r>
    </w:p>
    <w:p w14:paraId="76F7988F">
      <w:pPr>
        <w:spacing w:line="360" w:lineRule="auto"/>
        <w:jc w:val="righ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 定 人：钱  峰</w:t>
      </w:r>
    </w:p>
    <w:p w14:paraId="13A48AE1">
      <w:pPr>
        <w:spacing w:line="360" w:lineRule="auto"/>
        <w:jc w:val="righ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 批 人：王献东</w:t>
      </w:r>
    </w:p>
    <w:p w14:paraId="2A70A6FE">
      <w:pPr>
        <w:wordWrap w:val="0"/>
        <w:spacing w:line="360" w:lineRule="auto"/>
        <w:jc w:val="right"/>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1"/>
          <w:szCs w:val="21"/>
          <w:lang w:eastAsia="zh-CN"/>
        </w:rPr>
        <w:t>批准时间：2025年7月1日</w:t>
      </w:r>
    </w:p>
    <w:p w14:paraId="5E1C5272">
      <w:pPr>
        <w:rPr>
          <w:color w:val="auto"/>
        </w:rPr>
      </w:pPr>
      <w:r>
        <w:rPr>
          <w:rFonts w:hint="eastAsia"/>
          <w:color w:val="auto"/>
        </w:rPr>
        <w:br w:type="page"/>
      </w:r>
    </w:p>
    <w:p w14:paraId="7F93BB6C">
      <w:pPr>
        <w:spacing w:line="360" w:lineRule="auto"/>
        <w:jc w:val="center"/>
        <w:outlineLvl w:val="0"/>
        <w:rPr>
          <w:rFonts w:hint="eastAsia" w:ascii="Times New Roman" w:hAnsi="Times New Roman" w:eastAsia="宋体" w:cs="Times New Roman"/>
          <w:b/>
          <w:color w:val="auto"/>
          <w:sz w:val="44"/>
          <w:szCs w:val="44"/>
        </w:rPr>
      </w:pPr>
      <w:bookmarkStart w:id="405" w:name="_Toc30253"/>
      <w:r>
        <w:rPr>
          <w:rFonts w:hint="eastAsia" w:ascii="Times New Roman" w:hAnsi="Times New Roman" w:eastAsia="宋体" w:cs="Times New Roman"/>
          <w:b/>
          <w:color w:val="auto"/>
          <w:sz w:val="44"/>
          <w:szCs w:val="44"/>
        </w:rPr>
        <w:t>《小学数学思维训练》课程教学大纲</w:t>
      </w:r>
      <w:bookmarkEnd w:id="403"/>
      <w:bookmarkEnd w:id="405"/>
    </w:p>
    <w:p w14:paraId="618A2088">
      <w:pPr>
        <w:spacing w:line="312" w:lineRule="auto"/>
        <w:jc w:val="center"/>
        <w:rPr>
          <w:rFonts w:ascii="Times New Roman" w:hAnsi="Times New Roman"/>
          <w:b/>
          <w:bCs/>
          <w:color w:val="auto"/>
          <w:sz w:val="30"/>
        </w:rPr>
      </w:pPr>
      <w:r>
        <w:rPr>
          <w:rFonts w:ascii="Times New Roman" w:hAnsi="Times New Roman"/>
          <w:b/>
          <w:bCs/>
          <w:color w:val="auto"/>
          <w:sz w:val="30"/>
        </w:rPr>
        <w:t>（Training of Math thinking）</w:t>
      </w:r>
    </w:p>
    <w:p w14:paraId="6D405891">
      <w:pPr>
        <w:spacing w:line="360" w:lineRule="auto"/>
        <w:ind w:firstLine="422" w:firstLineChars="200"/>
        <w:jc w:val="left"/>
        <w:rPr>
          <w:rFonts w:hint="eastAsia" w:ascii="Times New Roman" w:hAnsi="Times New Roman" w:eastAsia="宋体" w:cs="Times New Roman"/>
          <w:b/>
          <w:color w:val="auto"/>
          <w:sz w:val="21"/>
          <w:szCs w:val="21"/>
          <w:lang w:val="en-US" w:eastAsia="zh-CN"/>
        </w:rPr>
      </w:pPr>
    </w:p>
    <w:p w14:paraId="1F6C07C6">
      <w:pPr>
        <w:spacing w:line="360" w:lineRule="auto"/>
        <w:ind w:firstLine="482" w:firstLineChars="200"/>
        <w:jc w:val="left"/>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课程名称：小学数学思维训练</w:t>
      </w:r>
    </w:p>
    <w:p w14:paraId="167529C3">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课程代码：0821015</w:t>
      </w:r>
    </w:p>
    <w:p w14:paraId="15658BE0">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    分：2</w:t>
      </w:r>
    </w:p>
    <w:p w14:paraId="109C1560">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    时：32</w:t>
      </w:r>
    </w:p>
    <w:p w14:paraId="280B42BA">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先修课程：初等数论、概率统计</w:t>
      </w:r>
    </w:p>
    <w:p w14:paraId="5477BE8A">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适用专业：小学教育</w:t>
      </w:r>
    </w:p>
    <w:p w14:paraId="77680244">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一、课程简介</w:t>
      </w:r>
    </w:p>
    <w:p w14:paraId="207DBADD">
      <w:pPr>
        <w:autoSpaceDE w:val="0"/>
        <w:autoSpaceDN w:val="0"/>
        <w:adjustRightInd w:val="0"/>
        <w:spacing w:line="360" w:lineRule="auto"/>
        <w:ind w:firstLine="420" w:firstLineChars="200"/>
        <w:jc w:val="left"/>
        <w:rPr>
          <w:rFonts w:ascii="Times New Roman" w:hAnsi="Times New Roman"/>
          <w:color w:val="auto"/>
          <w:kern w:val="0"/>
          <w:sz w:val="21"/>
          <w:szCs w:val="21"/>
        </w:rPr>
      </w:pPr>
      <w:r>
        <w:rPr>
          <w:rFonts w:ascii="Times New Roman" w:hAnsi="Times New Roman"/>
          <w:color w:val="auto"/>
          <w:kern w:val="0"/>
          <w:sz w:val="21"/>
          <w:szCs w:val="21"/>
        </w:rPr>
        <w:t>本课程是小学教育（理）专业的一门</w:t>
      </w:r>
      <w:r>
        <w:rPr>
          <w:rFonts w:ascii="Times New Roman" w:hAnsi="Times New Roman"/>
          <w:color w:val="auto"/>
          <w:sz w:val="21"/>
          <w:szCs w:val="21"/>
        </w:rPr>
        <w:t>重要基础课。</w:t>
      </w:r>
      <w:r>
        <w:rPr>
          <w:rFonts w:ascii="Times New Roman" w:hAnsi="Times New Roman"/>
          <w:color w:val="auto"/>
          <w:kern w:val="0"/>
          <w:sz w:val="21"/>
          <w:szCs w:val="21"/>
        </w:rPr>
        <w:t>通过本课程的学习，使学生系统地获得</w:t>
      </w:r>
      <w:r>
        <w:rPr>
          <w:rFonts w:ascii="Times New Roman" w:hAnsi="Times New Roman"/>
          <w:color w:val="auto"/>
          <w:sz w:val="21"/>
          <w:szCs w:val="21"/>
        </w:rPr>
        <w:t>小学数学竞赛</w:t>
      </w:r>
      <w:r>
        <w:rPr>
          <w:rFonts w:ascii="Times New Roman" w:hAnsi="Times New Roman"/>
          <w:color w:val="auto"/>
          <w:kern w:val="0"/>
          <w:sz w:val="21"/>
          <w:szCs w:val="21"/>
        </w:rPr>
        <w:t>的基本知识、必要的基础理论和常用的运算方法；提高学生的运算能力、数学思维能力、逻辑推理能力；并能运用数学知识、理论、方法解决相关的实际应用问题；提高学生的数学素养，为学生学习后续相关课程及终身学习奠定必要的数学基础。</w:t>
      </w:r>
    </w:p>
    <w:p w14:paraId="084FFAD7">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360" w:lineRule="auto"/>
        <w:jc w:val="left"/>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二、课程目标</w:t>
      </w:r>
    </w:p>
    <w:p w14:paraId="44ADB8EE">
      <w:pPr>
        <w:spacing w:line="360" w:lineRule="auto"/>
        <w:ind w:firstLine="422" w:firstLineChars="200"/>
        <w:rPr>
          <w:rFonts w:ascii="Times New Roman" w:hAnsi="Times New Roman"/>
          <w:color w:val="auto"/>
          <w:sz w:val="21"/>
          <w:szCs w:val="21"/>
        </w:rPr>
      </w:pPr>
      <w:r>
        <w:rPr>
          <w:rFonts w:hint="eastAsia" w:ascii="宋体" w:hAnsi="宋体" w:eastAsia="宋体" w:cs="Times New Roman"/>
          <w:b/>
          <w:color w:val="auto"/>
          <w:szCs w:val="21"/>
        </w:rPr>
        <w:t>（一）课程具体目标</w:t>
      </w:r>
    </w:p>
    <w:p w14:paraId="023906B7">
      <w:pPr>
        <w:spacing w:line="360" w:lineRule="auto"/>
        <w:ind w:firstLine="482"/>
        <w:jc w:val="left"/>
        <w:rPr>
          <w:rFonts w:ascii="Times New Roman" w:hAnsi="Times New Roman"/>
          <w:color w:val="auto"/>
          <w:sz w:val="21"/>
          <w:szCs w:val="21"/>
        </w:rPr>
      </w:pPr>
      <w:r>
        <w:rPr>
          <w:rFonts w:ascii="Times New Roman" w:hAnsi="Times New Roman"/>
          <w:b/>
          <w:bCs/>
          <w:color w:val="auto"/>
          <w:sz w:val="21"/>
          <w:szCs w:val="21"/>
        </w:rPr>
        <w:t>目标1.</w:t>
      </w:r>
      <w:r>
        <w:rPr>
          <w:rFonts w:ascii="Times New Roman" w:hAnsi="Times New Roman"/>
          <w:color w:val="auto"/>
          <w:sz w:val="21"/>
          <w:szCs w:val="21"/>
        </w:rPr>
        <w:t xml:space="preserve"> 能够获得课程基本概念与性质</w:t>
      </w:r>
      <w:r>
        <w:rPr>
          <w:rFonts w:hint="eastAsia" w:ascii="Times New Roman" w:hAnsi="Times New Roman"/>
          <w:color w:val="auto"/>
          <w:sz w:val="21"/>
          <w:szCs w:val="21"/>
        </w:rPr>
        <w:t>，</w:t>
      </w:r>
      <w:r>
        <w:rPr>
          <w:rFonts w:ascii="Times New Roman" w:hAnsi="Times New Roman"/>
          <w:color w:val="auto"/>
          <w:sz w:val="21"/>
          <w:szCs w:val="21"/>
        </w:rPr>
        <w:t>能够掌握本课程要求的计算方法。</w:t>
      </w:r>
    </w:p>
    <w:p w14:paraId="4E968D32">
      <w:pPr>
        <w:spacing w:line="360" w:lineRule="auto"/>
        <w:ind w:firstLine="482"/>
        <w:jc w:val="left"/>
        <w:rPr>
          <w:rFonts w:ascii="Times New Roman" w:hAnsi="Times New Roman"/>
          <w:color w:val="auto"/>
          <w:sz w:val="21"/>
          <w:szCs w:val="21"/>
        </w:rPr>
      </w:pPr>
      <w:r>
        <w:rPr>
          <w:rFonts w:ascii="Times New Roman" w:hAnsi="Times New Roman"/>
          <w:b/>
          <w:bCs/>
          <w:color w:val="auto"/>
          <w:sz w:val="21"/>
          <w:szCs w:val="21"/>
        </w:rPr>
        <w:t>目标2.</w:t>
      </w:r>
      <w:r>
        <w:rPr>
          <w:rFonts w:ascii="Times New Roman" w:hAnsi="Times New Roman"/>
          <w:color w:val="auto"/>
          <w:sz w:val="21"/>
          <w:szCs w:val="21"/>
        </w:rPr>
        <w:t xml:space="preserve"> 能够具有一定的抽象概括、逻辑推理能力</w:t>
      </w:r>
      <w:r>
        <w:rPr>
          <w:rFonts w:hint="eastAsia" w:ascii="Times New Roman" w:hAnsi="Times New Roman"/>
          <w:color w:val="auto"/>
          <w:sz w:val="21"/>
          <w:szCs w:val="21"/>
        </w:rPr>
        <w:t>，</w:t>
      </w:r>
      <w:r>
        <w:rPr>
          <w:rFonts w:ascii="Times New Roman" w:hAnsi="Times New Roman"/>
          <w:color w:val="auto"/>
          <w:sz w:val="21"/>
          <w:szCs w:val="21"/>
        </w:rPr>
        <w:t>运算能力</w:t>
      </w:r>
      <w:r>
        <w:rPr>
          <w:rFonts w:hint="eastAsia" w:ascii="Times New Roman" w:hAnsi="Times New Roman"/>
          <w:color w:val="auto"/>
          <w:sz w:val="21"/>
          <w:szCs w:val="21"/>
        </w:rPr>
        <w:t>，以及</w:t>
      </w:r>
      <w:r>
        <w:rPr>
          <w:rFonts w:ascii="Times New Roman" w:hAnsi="Times New Roman"/>
          <w:color w:val="auto"/>
          <w:sz w:val="21"/>
          <w:szCs w:val="21"/>
        </w:rPr>
        <w:t>数学思维与分析</w:t>
      </w:r>
      <w:r>
        <w:rPr>
          <w:rFonts w:hint="eastAsia" w:ascii="Times New Roman" w:hAnsi="Times New Roman"/>
          <w:color w:val="auto"/>
          <w:sz w:val="21"/>
          <w:szCs w:val="21"/>
        </w:rPr>
        <w:t>等</w:t>
      </w:r>
      <w:r>
        <w:rPr>
          <w:rFonts w:ascii="Times New Roman" w:hAnsi="Times New Roman"/>
          <w:color w:val="auto"/>
          <w:sz w:val="21"/>
          <w:szCs w:val="21"/>
        </w:rPr>
        <w:t>能力。</w:t>
      </w:r>
    </w:p>
    <w:p w14:paraId="10E4B344">
      <w:pPr>
        <w:numPr>
          <w:ilvl w:val="0"/>
          <w:numId w:val="30"/>
        </w:numPr>
        <w:spacing w:line="360" w:lineRule="auto"/>
        <w:ind w:firstLine="482"/>
        <w:jc w:val="left"/>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课程目标及其对毕业要求指标点的支撑</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0"/>
        <w:gridCol w:w="4625"/>
        <w:gridCol w:w="1617"/>
      </w:tblGrid>
      <w:tr w14:paraId="38B9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0" w:type="dxa"/>
            <w:vAlign w:val="center"/>
          </w:tcPr>
          <w:p w14:paraId="3D335F1E">
            <w:pPr>
              <w:numPr>
                <w:ilvl w:val="0"/>
                <w:numId w:val="0"/>
              </w:numPr>
              <w:spacing w:line="360" w:lineRule="auto"/>
              <w:jc w:val="center"/>
              <w:rPr>
                <w:rFonts w:hint="default" w:ascii="Times New Roman" w:hAnsi="Times New Roman" w:eastAsia="宋体" w:cs="Times New Roman"/>
                <w:b/>
                <w:bCs/>
                <w:color w:val="auto"/>
                <w:szCs w:val="21"/>
                <w:vertAlign w:val="baseline"/>
                <w:lang w:val="en-US" w:eastAsia="zh-CN"/>
              </w:rPr>
            </w:pPr>
            <w:r>
              <w:rPr>
                <w:rFonts w:hint="eastAsia" w:ascii="Times New Roman" w:hAnsi="Times New Roman" w:eastAsia="宋体" w:cs="Times New Roman"/>
                <w:b/>
                <w:bCs/>
                <w:color w:val="auto"/>
                <w:szCs w:val="21"/>
                <w:vertAlign w:val="baseline"/>
                <w:lang w:val="en-US" w:eastAsia="zh-CN"/>
              </w:rPr>
              <w:t>毕业要求</w:t>
            </w:r>
          </w:p>
        </w:tc>
        <w:tc>
          <w:tcPr>
            <w:tcW w:w="4625" w:type="dxa"/>
            <w:vAlign w:val="center"/>
          </w:tcPr>
          <w:p w14:paraId="1C94ED95">
            <w:pPr>
              <w:numPr>
                <w:ilvl w:val="0"/>
                <w:numId w:val="0"/>
              </w:numPr>
              <w:spacing w:line="360" w:lineRule="auto"/>
              <w:jc w:val="center"/>
              <w:rPr>
                <w:rFonts w:hint="default" w:ascii="Times New Roman" w:hAnsi="Times New Roman" w:eastAsia="宋体" w:cs="Times New Roman"/>
                <w:b/>
                <w:bCs/>
                <w:color w:val="auto"/>
                <w:szCs w:val="21"/>
                <w:vertAlign w:val="baseline"/>
                <w:lang w:val="en-US" w:eastAsia="zh-CN"/>
              </w:rPr>
            </w:pPr>
            <w:r>
              <w:rPr>
                <w:rFonts w:hint="eastAsia" w:ascii="Times New Roman" w:hAnsi="Times New Roman" w:eastAsia="宋体" w:cs="Times New Roman"/>
                <w:b/>
                <w:bCs/>
                <w:color w:val="auto"/>
                <w:szCs w:val="21"/>
                <w:vertAlign w:val="baseline"/>
                <w:lang w:val="en-US" w:eastAsia="zh-CN"/>
              </w:rPr>
              <w:t>毕业要求指标点</w:t>
            </w:r>
          </w:p>
        </w:tc>
        <w:tc>
          <w:tcPr>
            <w:tcW w:w="1617" w:type="dxa"/>
            <w:vAlign w:val="center"/>
          </w:tcPr>
          <w:p w14:paraId="055CF45E">
            <w:pPr>
              <w:numPr>
                <w:ilvl w:val="0"/>
                <w:numId w:val="0"/>
              </w:numPr>
              <w:spacing w:line="360" w:lineRule="auto"/>
              <w:jc w:val="center"/>
              <w:rPr>
                <w:rFonts w:hint="default" w:ascii="Times New Roman" w:hAnsi="Times New Roman" w:eastAsia="宋体" w:cs="Times New Roman"/>
                <w:b/>
                <w:bCs/>
                <w:color w:val="auto"/>
                <w:szCs w:val="21"/>
                <w:vertAlign w:val="baseline"/>
                <w:lang w:val="en-US" w:eastAsia="zh-CN"/>
              </w:rPr>
            </w:pPr>
            <w:r>
              <w:rPr>
                <w:rFonts w:hint="eastAsia" w:ascii="Times New Roman" w:hAnsi="Times New Roman" w:eastAsia="宋体" w:cs="Times New Roman"/>
                <w:b/>
                <w:bCs/>
                <w:color w:val="auto"/>
                <w:szCs w:val="21"/>
                <w:vertAlign w:val="baseline"/>
                <w:lang w:val="en-US" w:eastAsia="zh-CN"/>
              </w:rPr>
              <w:t>课程目标</w:t>
            </w:r>
          </w:p>
        </w:tc>
      </w:tr>
      <w:tr w14:paraId="6B05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0" w:type="dxa"/>
            <w:vAlign w:val="center"/>
          </w:tcPr>
          <w:p w14:paraId="04D5BC85">
            <w:pPr>
              <w:numPr>
                <w:ilvl w:val="0"/>
                <w:numId w:val="0"/>
              </w:numPr>
              <w:spacing w:line="360" w:lineRule="auto"/>
              <w:jc w:val="center"/>
              <w:rPr>
                <w:rFonts w:hint="default" w:ascii="Times New Roman" w:hAnsi="Times New Roman" w:eastAsia="宋体" w:cs="Times New Roman"/>
                <w:b w:val="0"/>
                <w:bCs w:val="0"/>
                <w:color w:val="auto"/>
                <w:szCs w:val="21"/>
                <w:vertAlign w:val="baseline"/>
                <w:lang w:val="en-US" w:eastAsia="zh-CN"/>
              </w:rPr>
            </w:pPr>
            <w:r>
              <w:rPr>
                <w:rFonts w:hint="eastAsia" w:ascii="Times New Roman" w:hAnsi="Times New Roman" w:eastAsia="宋体" w:cs="Times New Roman"/>
                <w:b w:val="0"/>
                <w:bCs w:val="0"/>
                <w:color w:val="auto"/>
                <w:szCs w:val="21"/>
                <w:vertAlign w:val="baseline"/>
                <w:lang w:val="en-US" w:eastAsia="zh-CN"/>
              </w:rPr>
              <w:t>毕业要求3：学科素养</w:t>
            </w:r>
          </w:p>
        </w:tc>
        <w:tc>
          <w:tcPr>
            <w:tcW w:w="4625" w:type="dxa"/>
            <w:vAlign w:val="center"/>
          </w:tcPr>
          <w:p w14:paraId="2483A121">
            <w:pPr>
              <w:autoSpaceDE w:val="0"/>
              <w:autoSpaceDN w:val="0"/>
              <w:jc w:val="both"/>
              <w:rPr>
                <w:rFonts w:hint="eastAsia" w:asciiTheme="minorHAnsi" w:hAnsiTheme="minorHAnsi" w:eastAsiaTheme="minorEastAsia" w:cstheme="minorBidi"/>
                <w:color w:val="auto"/>
                <w:kern w:val="0"/>
                <w:sz w:val="21"/>
                <w:szCs w:val="21"/>
                <w:lang w:val="en-US" w:eastAsia="zh-CN" w:bidi="ar-SA"/>
              </w:rPr>
            </w:pPr>
            <w:r>
              <w:rPr>
                <w:rFonts w:hint="eastAsia" w:ascii="宋体" w:hAnsi="宋体" w:cs="宋体"/>
                <w:color w:val="auto"/>
                <w:kern w:val="0"/>
                <w:szCs w:val="21"/>
              </w:rPr>
              <w:t>指标点</w:t>
            </w:r>
            <w:r>
              <w:rPr>
                <w:rFonts w:hint="eastAsia" w:ascii="宋体" w:hAnsi="宋体" w:cs="宋体"/>
                <w:color w:val="auto"/>
                <w:szCs w:val="21"/>
              </w:rPr>
              <w:t>3-2：【学科知识扎实】具有学科专业能力，掌握小学数学学科的基本知识、原理和技能。熟悉小学科学的知识体系，掌握小学科学的基本知识、原理和技能。</w:t>
            </w:r>
          </w:p>
        </w:tc>
        <w:tc>
          <w:tcPr>
            <w:tcW w:w="1617" w:type="dxa"/>
            <w:vAlign w:val="center"/>
          </w:tcPr>
          <w:p w14:paraId="04DFBF69">
            <w:pPr>
              <w:numPr>
                <w:ilvl w:val="0"/>
                <w:numId w:val="0"/>
              </w:numPr>
              <w:spacing w:line="360" w:lineRule="auto"/>
              <w:jc w:val="center"/>
              <w:rPr>
                <w:rFonts w:hint="default" w:ascii="Times New Roman" w:hAnsi="Times New Roman" w:eastAsia="宋体" w:cs="Times New Roman"/>
                <w:b w:val="0"/>
                <w:bCs w:val="0"/>
                <w:color w:val="auto"/>
                <w:szCs w:val="21"/>
                <w:vertAlign w:val="baseline"/>
                <w:lang w:val="en-US" w:eastAsia="zh-CN"/>
              </w:rPr>
            </w:pPr>
            <w:r>
              <w:rPr>
                <w:rFonts w:hint="eastAsia" w:ascii="Times New Roman" w:hAnsi="Times New Roman" w:eastAsia="宋体" w:cs="Times New Roman"/>
                <w:b w:val="0"/>
                <w:bCs w:val="0"/>
                <w:color w:val="auto"/>
                <w:szCs w:val="21"/>
                <w:vertAlign w:val="baseline"/>
                <w:lang w:val="en-US" w:eastAsia="zh-CN"/>
              </w:rPr>
              <w:t>课程目标1、2</w:t>
            </w:r>
          </w:p>
        </w:tc>
      </w:tr>
      <w:tr w14:paraId="7787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0" w:type="dxa"/>
            <w:vAlign w:val="center"/>
          </w:tcPr>
          <w:p w14:paraId="79C80B30">
            <w:pPr>
              <w:numPr>
                <w:ilvl w:val="0"/>
                <w:numId w:val="0"/>
              </w:numPr>
              <w:spacing w:line="360" w:lineRule="auto"/>
              <w:jc w:val="center"/>
              <w:rPr>
                <w:rFonts w:hint="default" w:ascii="Times New Roman" w:hAnsi="Times New Roman" w:eastAsia="宋体" w:cs="Times New Roman"/>
                <w:b w:val="0"/>
                <w:bCs w:val="0"/>
                <w:color w:val="auto"/>
                <w:szCs w:val="21"/>
                <w:vertAlign w:val="baseline"/>
                <w:lang w:val="en-US" w:eastAsia="zh-CN"/>
              </w:rPr>
            </w:pPr>
            <w:r>
              <w:rPr>
                <w:rFonts w:hint="eastAsia" w:ascii="Times New Roman" w:hAnsi="Times New Roman" w:eastAsia="宋体" w:cs="Times New Roman"/>
                <w:b w:val="0"/>
                <w:bCs w:val="0"/>
                <w:color w:val="auto"/>
                <w:szCs w:val="21"/>
                <w:vertAlign w:val="baseline"/>
                <w:lang w:val="en-US" w:eastAsia="zh-CN"/>
              </w:rPr>
              <w:t>毕业要求4：教学能力</w:t>
            </w:r>
          </w:p>
        </w:tc>
        <w:tc>
          <w:tcPr>
            <w:tcW w:w="4625" w:type="dxa"/>
            <w:vAlign w:val="center"/>
          </w:tcPr>
          <w:p w14:paraId="2497B2A4">
            <w:pPr>
              <w:autoSpaceDE w:val="0"/>
              <w:autoSpaceDN w:val="0"/>
              <w:jc w:val="both"/>
              <w:rPr>
                <w:rFonts w:hint="eastAsia" w:asciiTheme="minorHAnsi" w:hAnsiTheme="minorHAnsi" w:eastAsiaTheme="minorEastAsia" w:cstheme="minorBidi"/>
                <w:color w:val="auto"/>
                <w:kern w:val="2"/>
                <w:sz w:val="21"/>
                <w:szCs w:val="21"/>
                <w:lang w:val="en-US" w:eastAsia="zh-CN" w:bidi="ar-SA"/>
              </w:rPr>
            </w:pPr>
            <w:r>
              <w:rPr>
                <w:rFonts w:hint="eastAsia" w:ascii="宋体" w:hAnsi="宋体" w:cs="宋体"/>
                <w:color w:val="auto"/>
                <w:szCs w:val="21"/>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617" w:type="dxa"/>
            <w:vAlign w:val="center"/>
          </w:tcPr>
          <w:p w14:paraId="0AA016E1">
            <w:pPr>
              <w:numPr>
                <w:ilvl w:val="0"/>
                <w:numId w:val="0"/>
              </w:numPr>
              <w:spacing w:line="360" w:lineRule="auto"/>
              <w:jc w:val="center"/>
              <w:rPr>
                <w:rFonts w:hint="default" w:ascii="Times New Roman" w:hAnsi="Times New Roman" w:eastAsia="宋体" w:cs="Times New Roman"/>
                <w:b w:val="0"/>
                <w:bCs w:val="0"/>
                <w:color w:val="auto"/>
                <w:szCs w:val="21"/>
                <w:vertAlign w:val="baseline"/>
                <w:lang w:val="en-US" w:eastAsia="zh-CN"/>
              </w:rPr>
            </w:pPr>
            <w:r>
              <w:rPr>
                <w:rFonts w:hint="eastAsia" w:ascii="Times New Roman" w:hAnsi="Times New Roman" w:eastAsia="宋体" w:cs="Times New Roman"/>
                <w:b w:val="0"/>
                <w:bCs w:val="0"/>
                <w:color w:val="auto"/>
                <w:szCs w:val="21"/>
                <w:vertAlign w:val="baseline"/>
                <w:lang w:val="en-US" w:eastAsia="zh-CN"/>
              </w:rPr>
              <w:t>课程目标1、2</w:t>
            </w:r>
          </w:p>
        </w:tc>
      </w:tr>
    </w:tbl>
    <w:p w14:paraId="240C4496">
      <w:pPr>
        <w:spacing w:before="156" w:beforeLines="50" w:line="360" w:lineRule="auto"/>
        <w:ind w:firstLine="422" w:firstLineChars="200"/>
        <w:jc w:val="left"/>
        <w:rPr>
          <w:rFonts w:ascii="宋体" w:hAnsi="宋体" w:eastAsia="宋体" w:cs="Times New Roman"/>
          <w:b/>
          <w:color w:val="auto"/>
          <w:szCs w:val="21"/>
        </w:rPr>
      </w:pPr>
      <w:bookmarkStart w:id="406" w:name="OLE_LINK9"/>
      <w:r>
        <w:rPr>
          <w:rFonts w:hint="eastAsia" w:ascii="宋体" w:hAnsi="宋体" w:eastAsia="宋体" w:cs="Times New Roman"/>
          <w:b/>
          <w:color w:val="auto"/>
          <w:szCs w:val="21"/>
        </w:rPr>
        <w:t>（三）课程思政目标</w:t>
      </w:r>
    </w:p>
    <w:bookmarkEnd w:id="406"/>
    <w:p w14:paraId="2536904C">
      <w:pPr>
        <w:spacing w:line="360" w:lineRule="auto"/>
        <w:ind w:firstLine="420" w:firstLineChars="200"/>
        <w:jc w:val="left"/>
        <w:rPr>
          <w:rFonts w:ascii="Times New Roman" w:hAnsi="Times New Roman"/>
          <w:color w:val="auto"/>
          <w:sz w:val="21"/>
          <w:szCs w:val="21"/>
        </w:rPr>
      </w:pPr>
      <w:r>
        <w:rPr>
          <w:rFonts w:ascii="Times New Roman" w:hAnsi="Times New Roman"/>
          <w:color w:val="auto"/>
          <w:sz w:val="21"/>
          <w:szCs w:val="21"/>
        </w:rPr>
        <w:t>注重理论联系实际，尊重客观规律，树立社会主义核心价值观，增强专业素养，强调理论对实践的指导意义。</w:t>
      </w:r>
    </w:p>
    <w:p w14:paraId="5A402C17">
      <w:pPr>
        <w:spacing w:line="360" w:lineRule="auto"/>
        <w:jc w:val="left"/>
        <w:rPr>
          <w:rFonts w:ascii="Times New Roman" w:hAnsi="Times New Roman"/>
          <w:color w:val="auto"/>
          <w:sz w:val="21"/>
          <w:szCs w:val="21"/>
        </w:rPr>
      </w:pPr>
      <w:r>
        <w:rPr>
          <w:rFonts w:hint="eastAsia" w:ascii="宋体" w:hAnsi="宋体" w:eastAsia="宋体" w:cs="Times New Roman"/>
          <w:b/>
          <w:color w:val="auto"/>
          <w:sz w:val="24"/>
          <w:szCs w:val="24"/>
        </w:rPr>
        <w:t>三、教学内容与预期学习成效</w:t>
      </w:r>
    </w:p>
    <w:tbl>
      <w:tblPr>
        <w:tblStyle w:val="16"/>
        <w:tblW w:w="54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1517"/>
        <w:gridCol w:w="1139"/>
        <w:gridCol w:w="3263"/>
        <w:gridCol w:w="1362"/>
        <w:gridCol w:w="742"/>
      </w:tblGrid>
      <w:tr w14:paraId="764F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94" w:type="pct"/>
            <w:vAlign w:val="center"/>
          </w:tcPr>
          <w:p w14:paraId="5C78ED89">
            <w:pPr>
              <w:spacing w:line="240" w:lineRule="auto"/>
              <w:jc w:val="center"/>
              <w:rPr>
                <w:rFonts w:hint="eastAsia"/>
                <w:b/>
                <w:bCs/>
                <w:color w:val="auto"/>
                <w:sz w:val="21"/>
                <w:szCs w:val="21"/>
                <w:vertAlign w:val="baseline"/>
                <w:lang w:val="en-US" w:eastAsia="zh-CN"/>
              </w:rPr>
            </w:pPr>
            <w:r>
              <w:rPr>
                <w:rFonts w:hint="eastAsia"/>
                <w:b/>
                <w:bCs/>
                <w:color w:val="auto"/>
                <w:sz w:val="21"/>
                <w:szCs w:val="21"/>
                <w:vertAlign w:val="baseline"/>
                <w:lang w:val="en-US" w:eastAsia="zh-CN"/>
              </w:rPr>
              <w:t>知识</w:t>
            </w:r>
          </w:p>
          <w:p w14:paraId="35BAA42B">
            <w:pPr>
              <w:spacing w:line="240" w:lineRule="auto"/>
              <w:jc w:val="center"/>
              <w:rPr>
                <w:rFonts w:hint="default" w:eastAsiaTheme="minorEastAsia"/>
                <w:b/>
                <w:bCs/>
                <w:color w:val="auto"/>
                <w:sz w:val="21"/>
                <w:szCs w:val="21"/>
                <w:vertAlign w:val="baseline"/>
                <w:lang w:val="en-US" w:eastAsia="zh-CN"/>
              </w:rPr>
            </w:pPr>
            <w:r>
              <w:rPr>
                <w:rFonts w:hint="eastAsia"/>
                <w:b/>
                <w:bCs/>
                <w:color w:val="auto"/>
                <w:sz w:val="21"/>
                <w:szCs w:val="21"/>
                <w:vertAlign w:val="baseline"/>
                <w:lang w:val="en-US" w:eastAsia="zh-CN"/>
              </w:rPr>
              <w:t>单元</w:t>
            </w:r>
          </w:p>
        </w:tc>
        <w:tc>
          <w:tcPr>
            <w:tcW w:w="814" w:type="pct"/>
            <w:vAlign w:val="center"/>
          </w:tcPr>
          <w:p w14:paraId="2866FA42">
            <w:pPr>
              <w:spacing w:line="240" w:lineRule="auto"/>
              <w:jc w:val="center"/>
              <w:rPr>
                <w:rFonts w:hint="default" w:eastAsiaTheme="minorEastAsia"/>
                <w:b/>
                <w:bCs/>
                <w:color w:val="auto"/>
                <w:sz w:val="21"/>
                <w:szCs w:val="21"/>
                <w:vertAlign w:val="baseline"/>
                <w:lang w:val="en-US" w:eastAsia="zh-CN"/>
              </w:rPr>
            </w:pPr>
            <w:r>
              <w:rPr>
                <w:rFonts w:hint="eastAsia"/>
                <w:b/>
                <w:bCs/>
                <w:color w:val="auto"/>
                <w:sz w:val="21"/>
                <w:szCs w:val="21"/>
                <w:vertAlign w:val="baseline"/>
                <w:lang w:val="en-US" w:eastAsia="zh-CN"/>
              </w:rPr>
              <w:t>知识点</w:t>
            </w:r>
          </w:p>
        </w:tc>
        <w:tc>
          <w:tcPr>
            <w:tcW w:w="611" w:type="pct"/>
            <w:vAlign w:val="center"/>
          </w:tcPr>
          <w:p w14:paraId="1FBCFE94">
            <w:pPr>
              <w:spacing w:line="240" w:lineRule="auto"/>
              <w:jc w:val="center"/>
              <w:rPr>
                <w:rFonts w:hint="eastAsia"/>
                <w:b/>
                <w:bCs/>
                <w:color w:val="auto"/>
                <w:sz w:val="21"/>
                <w:szCs w:val="21"/>
                <w:vertAlign w:val="baseline"/>
                <w:lang w:val="en-US" w:eastAsia="zh-CN"/>
              </w:rPr>
            </w:pPr>
            <w:r>
              <w:rPr>
                <w:rFonts w:hint="eastAsia"/>
                <w:b/>
                <w:bCs/>
                <w:color w:val="auto"/>
                <w:sz w:val="21"/>
                <w:szCs w:val="21"/>
                <w:vertAlign w:val="baseline"/>
                <w:lang w:val="en-US" w:eastAsia="zh-CN"/>
              </w:rPr>
              <w:t>对应</w:t>
            </w:r>
          </w:p>
          <w:p w14:paraId="736441D0">
            <w:pPr>
              <w:spacing w:line="240" w:lineRule="auto"/>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课程目标</w:t>
            </w:r>
          </w:p>
        </w:tc>
        <w:tc>
          <w:tcPr>
            <w:tcW w:w="1751" w:type="pct"/>
            <w:vAlign w:val="center"/>
          </w:tcPr>
          <w:p w14:paraId="237058B8">
            <w:pPr>
              <w:spacing w:line="240" w:lineRule="auto"/>
              <w:jc w:val="center"/>
              <w:rPr>
                <w:rFonts w:hint="default" w:eastAsiaTheme="minorEastAsia"/>
                <w:b/>
                <w:bCs/>
                <w:color w:val="auto"/>
                <w:sz w:val="21"/>
                <w:szCs w:val="21"/>
                <w:vertAlign w:val="baseline"/>
                <w:lang w:val="en-US" w:eastAsia="zh-CN"/>
              </w:rPr>
            </w:pPr>
            <w:r>
              <w:rPr>
                <w:rFonts w:hint="eastAsia"/>
                <w:b/>
                <w:bCs/>
                <w:color w:val="auto"/>
                <w:sz w:val="21"/>
                <w:szCs w:val="21"/>
                <w:vertAlign w:val="baseline"/>
                <w:lang w:val="en-US" w:eastAsia="zh-CN"/>
              </w:rPr>
              <w:t>预期学习成效</w:t>
            </w:r>
          </w:p>
        </w:tc>
        <w:tc>
          <w:tcPr>
            <w:tcW w:w="731" w:type="pct"/>
            <w:vAlign w:val="center"/>
          </w:tcPr>
          <w:p w14:paraId="288E36B2">
            <w:pPr>
              <w:spacing w:line="240" w:lineRule="auto"/>
              <w:jc w:val="center"/>
              <w:rPr>
                <w:rFonts w:hint="default" w:eastAsiaTheme="minorEastAsia"/>
                <w:b/>
                <w:bCs/>
                <w:color w:val="auto"/>
                <w:sz w:val="21"/>
                <w:szCs w:val="21"/>
                <w:vertAlign w:val="baseline"/>
                <w:lang w:val="en-US" w:eastAsia="zh-CN"/>
              </w:rPr>
            </w:pPr>
            <w:r>
              <w:rPr>
                <w:rFonts w:hint="eastAsia"/>
                <w:b/>
                <w:bCs/>
                <w:color w:val="auto"/>
                <w:sz w:val="21"/>
                <w:szCs w:val="21"/>
                <w:vertAlign w:val="baseline"/>
                <w:lang w:val="en-US" w:eastAsia="zh-CN"/>
              </w:rPr>
              <w:t>实现环节</w:t>
            </w:r>
          </w:p>
        </w:tc>
        <w:tc>
          <w:tcPr>
            <w:tcW w:w="397" w:type="pct"/>
            <w:vAlign w:val="center"/>
          </w:tcPr>
          <w:p w14:paraId="25BD12AC">
            <w:pPr>
              <w:spacing w:line="240" w:lineRule="auto"/>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学时</w:t>
            </w:r>
          </w:p>
        </w:tc>
      </w:tr>
      <w:tr w14:paraId="5E9E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94" w:type="pct"/>
            <w:vMerge w:val="restart"/>
            <w:vAlign w:val="center"/>
          </w:tcPr>
          <w:p w14:paraId="3569948F">
            <w:pPr>
              <w:spacing w:line="240" w:lineRule="auto"/>
              <w:jc w:val="center"/>
              <w:rPr>
                <w:rFonts w:hint="eastAsia"/>
                <w:color w:val="auto"/>
                <w:sz w:val="21"/>
                <w:szCs w:val="21"/>
                <w:vertAlign w:val="baseline"/>
                <w:lang w:val="en-US" w:eastAsia="zh-CN"/>
              </w:rPr>
            </w:pPr>
            <w:r>
              <w:rPr>
                <w:rFonts w:hint="eastAsia"/>
                <w:color w:val="auto"/>
                <w:sz w:val="21"/>
                <w:szCs w:val="21"/>
                <w:vertAlign w:val="baseline"/>
                <w:lang w:val="en-US" w:eastAsia="zh-CN"/>
              </w:rPr>
              <w:t>1、数学培优</w:t>
            </w:r>
          </w:p>
          <w:p w14:paraId="37E9F87A">
            <w:pPr>
              <w:spacing w:line="240" w:lineRule="auto"/>
              <w:jc w:val="center"/>
              <w:rPr>
                <w:rFonts w:hint="default" w:eastAsiaTheme="minorEastAsia"/>
                <w:color w:val="auto"/>
                <w:sz w:val="21"/>
                <w:szCs w:val="21"/>
                <w:vertAlign w:val="baseline"/>
                <w:lang w:val="en-US" w:eastAsia="zh-CN"/>
              </w:rPr>
            </w:pPr>
            <w:r>
              <w:rPr>
                <w:rFonts w:hint="eastAsia"/>
                <w:color w:val="auto"/>
                <w:sz w:val="21"/>
                <w:szCs w:val="21"/>
                <w:vertAlign w:val="baseline"/>
                <w:lang w:val="en-US" w:eastAsia="zh-CN"/>
              </w:rPr>
              <w:t>竞赛讲座</w:t>
            </w:r>
          </w:p>
        </w:tc>
        <w:tc>
          <w:tcPr>
            <w:tcW w:w="814" w:type="pct"/>
            <w:vAlign w:val="center"/>
          </w:tcPr>
          <w:p w14:paraId="1E64D6FE">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分数的巧算</w:t>
            </w:r>
          </w:p>
          <w:p w14:paraId="56B0AC31">
            <w:pPr>
              <w:spacing w:line="240" w:lineRule="auto"/>
              <w:jc w:val="center"/>
              <w:rPr>
                <w:color w:val="auto"/>
                <w:sz w:val="21"/>
                <w:szCs w:val="21"/>
                <w:vertAlign w:val="baseline"/>
              </w:rPr>
            </w:pPr>
            <w:r>
              <w:rPr>
                <w:rFonts w:hint="eastAsia" w:ascii="Times New Roman" w:hAnsi="Times New Roman"/>
                <w:color w:val="auto"/>
                <w:sz w:val="21"/>
                <w:szCs w:val="21"/>
              </w:rPr>
              <w:t>比较大小</w:t>
            </w:r>
          </w:p>
        </w:tc>
        <w:tc>
          <w:tcPr>
            <w:tcW w:w="611" w:type="pct"/>
            <w:vAlign w:val="center"/>
          </w:tcPr>
          <w:p w14:paraId="4710C332">
            <w:pPr>
              <w:spacing w:line="240" w:lineRule="auto"/>
              <w:jc w:val="center"/>
              <w:rPr>
                <w:rFonts w:hint="default" w:eastAsiaTheme="minorEastAsia"/>
                <w:color w:val="auto"/>
                <w:sz w:val="21"/>
                <w:szCs w:val="21"/>
                <w:vertAlign w:val="baseline"/>
                <w:lang w:val="en-US" w:eastAsia="zh-CN"/>
              </w:rPr>
            </w:pPr>
            <w:r>
              <w:rPr>
                <w:rFonts w:hint="eastAsia"/>
                <w:color w:val="auto"/>
                <w:sz w:val="21"/>
                <w:szCs w:val="21"/>
                <w:vertAlign w:val="baseline"/>
                <w:lang w:val="en-US" w:eastAsia="zh-CN"/>
              </w:rPr>
              <w:t>课程目标1、2</w:t>
            </w:r>
          </w:p>
        </w:tc>
        <w:tc>
          <w:tcPr>
            <w:tcW w:w="1751" w:type="pct"/>
            <w:vAlign w:val="center"/>
          </w:tcPr>
          <w:p w14:paraId="0B778EE0">
            <w:pPr>
              <w:spacing w:line="240" w:lineRule="auto"/>
              <w:jc w:val="both"/>
              <w:rPr>
                <w:rFonts w:hint="eastAsia"/>
                <w:color w:val="auto"/>
                <w:sz w:val="21"/>
                <w:szCs w:val="21"/>
                <w:vertAlign w:val="baseline"/>
              </w:rPr>
            </w:pPr>
            <w:r>
              <w:rPr>
                <w:rFonts w:hint="eastAsia"/>
                <w:color w:val="auto"/>
                <w:sz w:val="21"/>
                <w:szCs w:val="21"/>
                <w:vertAlign w:val="baseline"/>
                <w:lang w:val="en-US" w:eastAsia="zh-CN"/>
              </w:rPr>
              <w:t>1、</w:t>
            </w:r>
            <w:r>
              <w:rPr>
                <w:rFonts w:hint="eastAsia"/>
                <w:color w:val="auto"/>
                <w:sz w:val="21"/>
                <w:szCs w:val="21"/>
                <w:vertAlign w:val="baseline"/>
              </w:rPr>
              <w:t>全面梳理分数巧算与比较大小的原理、方法及适用场景，形成完整的知识体系。</w:t>
            </w:r>
          </w:p>
          <w:p w14:paraId="5B8A056C">
            <w:pPr>
              <w:spacing w:line="240" w:lineRule="auto"/>
              <w:jc w:val="both"/>
              <w:rPr>
                <w:rFonts w:hint="eastAsia" w:eastAsiaTheme="minorEastAsia"/>
                <w:color w:val="auto"/>
                <w:sz w:val="21"/>
                <w:szCs w:val="21"/>
                <w:vertAlign w:val="baseline"/>
                <w:lang w:eastAsia="zh-CN"/>
              </w:rPr>
            </w:pPr>
            <w:r>
              <w:rPr>
                <w:rFonts w:hint="eastAsia"/>
                <w:color w:val="auto"/>
                <w:sz w:val="21"/>
                <w:szCs w:val="21"/>
                <w:vertAlign w:val="baseline"/>
                <w:lang w:val="en-US" w:eastAsia="zh-CN"/>
              </w:rPr>
              <w:t>2、</w:t>
            </w:r>
            <w:r>
              <w:rPr>
                <w:rFonts w:hint="eastAsia"/>
                <w:color w:val="auto"/>
                <w:sz w:val="21"/>
                <w:szCs w:val="21"/>
                <w:vertAlign w:val="baseline"/>
              </w:rPr>
              <w:t>深入探究分数运算与比较大小的本质</w:t>
            </w:r>
            <w:r>
              <w:rPr>
                <w:rFonts w:hint="eastAsia"/>
                <w:color w:val="auto"/>
                <w:sz w:val="21"/>
                <w:szCs w:val="21"/>
                <w:vertAlign w:val="baseline"/>
                <w:lang w:eastAsia="zh-CN"/>
              </w:rPr>
              <w:t>。</w:t>
            </w:r>
          </w:p>
        </w:tc>
        <w:tc>
          <w:tcPr>
            <w:tcW w:w="731" w:type="pct"/>
            <w:vAlign w:val="center"/>
          </w:tcPr>
          <w:p w14:paraId="35B31A3E">
            <w:pPr>
              <w:numPr>
                <w:ilvl w:val="0"/>
                <w:numId w:val="0"/>
              </w:numPr>
              <w:spacing w:line="240" w:lineRule="auto"/>
              <w:jc w:val="center"/>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多媒体教学</w:t>
            </w:r>
          </w:p>
          <w:p w14:paraId="783F4759">
            <w:pPr>
              <w:numPr>
                <w:ilvl w:val="0"/>
                <w:numId w:val="0"/>
              </w:numPr>
              <w:spacing w:line="240" w:lineRule="auto"/>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课堂讨论</w:t>
            </w:r>
          </w:p>
        </w:tc>
        <w:tc>
          <w:tcPr>
            <w:tcW w:w="397" w:type="pct"/>
            <w:vAlign w:val="center"/>
          </w:tcPr>
          <w:p w14:paraId="1EC057D0">
            <w:pPr>
              <w:spacing w:line="240" w:lineRule="auto"/>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4</w:t>
            </w:r>
          </w:p>
        </w:tc>
      </w:tr>
      <w:tr w14:paraId="0747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94" w:type="pct"/>
            <w:vMerge w:val="continue"/>
            <w:vAlign w:val="center"/>
          </w:tcPr>
          <w:p w14:paraId="522727E3">
            <w:pPr>
              <w:spacing w:line="240" w:lineRule="auto"/>
              <w:jc w:val="both"/>
              <w:rPr>
                <w:color w:val="auto"/>
                <w:sz w:val="21"/>
                <w:szCs w:val="21"/>
              </w:rPr>
            </w:pPr>
          </w:p>
        </w:tc>
        <w:tc>
          <w:tcPr>
            <w:tcW w:w="814" w:type="pct"/>
            <w:vAlign w:val="center"/>
          </w:tcPr>
          <w:p w14:paraId="1078D922">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估计与估算</w:t>
            </w:r>
          </w:p>
          <w:p w14:paraId="678EFAEC">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定义新运算</w:t>
            </w:r>
          </w:p>
        </w:tc>
        <w:tc>
          <w:tcPr>
            <w:tcW w:w="611" w:type="pct"/>
            <w:vAlign w:val="center"/>
          </w:tcPr>
          <w:p w14:paraId="6AE1BC42">
            <w:pPr>
              <w:spacing w:line="240" w:lineRule="auto"/>
              <w:jc w:val="center"/>
              <w:rPr>
                <w:rFonts w:ascii="Times New Roman" w:hAnsi="Times New Roman"/>
                <w:color w:val="auto"/>
                <w:sz w:val="21"/>
                <w:szCs w:val="21"/>
              </w:rPr>
            </w:pPr>
            <w:r>
              <w:rPr>
                <w:rFonts w:hint="eastAsia"/>
                <w:color w:val="auto"/>
                <w:sz w:val="21"/>
                <w:szCs w:val="21"/>
                <w:vertAlign w:val="baseline"/>
                <w:lang w:val="en-US" w:eastAsia="zh-CN"/>
              </w:rPr>
              <w:t>课程目标1、2</w:t>
            </w:r>
          </w:p>
        </w:tc>
        <w:tc>
          <w:tcPr>
            <w:tcW w:w="1751" w:type="pct"/>
            <w:vAlign w:val="center"/>
          </w:tcPr>
          <w:p w14:paraId="05399DAC">
            <w:pPr>
              <w:numPr>
                <w:ilvl w:val="0"/>
                <w:numId w:val="31"/>
              </w:numPr>
              <w:spacing w:line="240" w:lineRule="auto"/>
              <w:jc w:val="both"/>
              <w:rPr>
                <w:rFonts w:hint="eastAsia" w:ascii="Times New Roman" w:hAnsi="Times New Roman"/>
                <w:color w:val="auto"/>
                <w:sz w:val="21"/>
                <w:szCs w:val="21"/>
                <w:lang w:eastAsia="zh-CN"/>
              </w:rPr>
            </w:pPr>
            <w:r>
              <w:rPr>
                <w:rFonts w:hint="eastAsia" w:ascii="Times New Roman" w:hAnsi="Times New Roman"/>
                <w:color w:val="auto"/>
                <w:sz w:val="21"/>
                <w:szCs w:val="21"/>
              </w:rPr>
              <w:t>掌握估算策略与技巧：学生能熟练运用四舍五入、取整、放缩法等方法，快速对数值进行合理估算</w:t>
            </w:r>
            <w:r>
              <w:rPr>
                <w:rFonts w:hint="eastAsia" w:ascii="Times New Roman" w:hAnsi="Times New Roman"/>
                <w:color w:val="auto"/>
                <w:sz w:val="21"/>
                <w:szCs w:val="21"/>
                <w:lang w:eastAsia="zh-CN"/>
              </w:rPr>
              <w:t>。</w:t>
            </w:r>
          </w:p>
          <w:p w14:paraId="4270F5ED">
            <w:pPr>
              <w:numPr>
                <w:ilvl w:val="0"/>
                <w:numId w:val="31"/>
              </w:numPr>
              <w:spacing w:line="240" w:lineRule="auto"/>
              <w:jc w:val="both"/>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理解定义新运算规则：学会依据题目给定的特殊运算规则，准确完成复杂算式的计算。</w:t>
            </w:r>
          </w:p>
        </w:tc>
        <w:tc>
          <w:tcPr>
            <w:tcW w:w="731" w:type="pct"/>
            <w:vAlign w:val="center"/>
          </w:tcPr>
          <w:p w14:paraId="1E95811A">
            <w:pPr>
              <w:numPr>
                <w:ilvl w:val="0"/>
                <w:numId w:val="0"/>
              </w:numPr>
              <w:spacing w:line="240" w:lineRule="auto"/>
              <w:jc w:val="center"/>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多媒体教学</w:t>
            </w:r>
          </w:p>
          <w:p w14:paraId="7C4BCB90">
            <w:pPr>
              <w:numPr>
                <w:ilvl w:val="0"/>
                <w:numId w:val="0"/>
              </w:numPr>
              <w:spacing w:line="240" w:lineRule="auto"/>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课堂讨论</w:t>
            </w:r>
          </w:p>
        </w:tc>
        <w:tc>
          <w:tcPr>
            <w:tcW w:w="397" w:type="pct"/>
            <w:vAlign w:val="center"/>
          </w:tcPr>
          <w:p w14:paraId="3D70B91D">
            <w:pPr>
              <w:spacing w:line="240" w:lineRule="auto"/>
              <w:jc w:val="center"/>
              <w:rPr>
                <w:rFonts w:hint="eastAsia" w:ascii="Times New Roman" w:hAnsi="Times New Roman" w:eastAsiaTheme="minorEastAsia"/>
                <w:color w:val="auto"/>
                <w:sz w:val="21"/>
                <w:szCs w:val="21"/>
                <w:lang w:eastAsia="zh-CN"/>
              </w:rPr>
            </w:pPr>
            <w:r>
              <w:rPr>
                <w:rFonts w:hint="eastAsia" w:ascii="Times New Roman" w:hAnsi="Times New Roman"/>
                <w:color w:val="auto"/>
                <w:sz w:val="21"/>
                <w:szCs w:val="21"/>
                <w:lang w:eastAsia="zh-CN"/>
              </w:rPr>
              <w:t>4</w:t>
            </w:r>
          </w:p>
        </w:tc>
      </w:tr>
      <w:tr w14:paraId="228B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94" w:type="pct"/>
            <w:vMerge w:val="continue"/>
            <w:vAlign w:val="center"/>
          </w:tcPr>
          <w:p w14:paraId="34D85F34">
            <w:pPr>
              <w:spacing w:line="240" w:lineRule="auto"/>
              <w:jc w:val="both"/>
              <w:rPr>
                <w:rFonts w:ascii="Times New Roman" w:hAnsi="Times New Roman"/>
                <w:color w:val="auto"/>
                <w:sz w:val="21"/>
                <w:szCs w:val="21"/>
              </w:rPr>
            </w:pPr>
          </w:p>
        </w:tc>
        <w:tc>
          <w:tcPr>
            <w:tcW w:w="814" w:type="pct"/>
            <w:vAlign w:val="center"/>
          </w:tcPr>
          <w:p w14:paraId="157640E3">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分数的分拆</w:t>
            </w:r>
          </w:p>
          <w:p w14:paraId="3E10B543">
            <w:pPr>
              <w:spacing w:line="240" w:lineRule="auto"/>
              <w:jc w:val="center"/>
              <w:rPr>
                <w:rFonts w:hint="eastAsia" w:ascii="Times New Roman" w:hAnsi="Times New Roman" w:eastAsiaTheme="minorEastAsia"/>
                <w:color w:val="auto"/>
                <w:sz w:val="21"/>
                <w:szCs w:val="21"/>
                <w:lang w:val="en-US" w:eastAsia="zh-CN"/>
              </w:rPr>
            </w:pPr>
            <w:r>
              <w:rPr>
                <w:rFonts w:hint="eastAsia" w:ascii="Times New Roman" w:hAnsi="Times New Roman"/>
                <w:color w:val="auto"/>
                <w:sz w:val="21"/>
                <w:szCs w:val="21"/>
              </w:rPr>
              <w:t>工程</w:t>
            </w:r>
            <w:r>
              <w:rPr>
                <w:rFonts w:hint="eastAsia" w:ascii="Times New Roman" w:hAnsi="Times New Roman"/>
                <w:color w:val="auto"/>
                <w:sz w:val="21"/>
                <w:szCs w:val="21"/>
                <w:lang w:val="en-US" w:eastAsia="zh-CN"/>
              </w:rPr>
              <w:t>问题</w:t>
            </w:r>
          </w:p>
        </w:tc>
        <w:tc>
          <w:tcPr>
            <w:tcW w:w="611" w:type="pct"/>
            <w:vAlign w:val="center"/>
          </w:tcPr>
          <w:p w14:paraId="59305523">
            <w:pPr>
              <w:spacing w:line="240" w:lineRule="auto"/>
              <w:jc w:val="center"/>
              <w:rPr>
                <w:rFonts w:ascii="Times New Roman" w:hAnsi="Times New Roman"/>
                <w:color w:val="auto"/>
                <w:sz w:val="21"/>
                <w:szCs w:val="21"/>
              </w:rPr>
            </w:pPr>
            <w:r>
              <w:rPr>
                <w:rFonts w:hint="eastAsia"/>
                <w:color w:val="auto"/>
                <w:sz w:val="21"/>
                <w:szCs w:val="21"/>
                <w:vertAlign w:val="baseline"/>
                <w:lang w:val="en-US" w:eastAsia="zh-CN"/>
              </w:rPr>
              <w:t>课程目标1、2</w:t>
            </w:r>
          </w:p>
        </w:tc>
        <w:tc>
          <w:tcPr>
            <w:tcW w:w="1751" w:type="pct"/>
            <w:vAlign w:val="center"/>
          </w:tcPr>
          <w:p w14:paraId="1EC4C846">
            <w:pPr>
              <w:numPr>
                <w:ilvl w:val="0"/>
                <w:numId w:val="32"/>
              </w:numPr>
              <w:spacing w:line="240" w:lineRule="auto"/>
              <w:jc w:val="both"/>
              <w:rPr>
                <w:rFonts w:hint="eastAsia" w:ascii="Times New Roman" w:hAnsi="Times New Roman"/>
                <w:color w:val="auto"/>
                <w:sz w:val="21"/>
                <w:szCs w:val="21"/>
                <w:lang w:eastAsia="zh-CN"/>
              </w:rPr>
            </w:pPr>
            <w:r>
              <w:rPr>
                <w:rFonts w:hint="eastAsia" w:ascii="Times New Roman" w:hAnsi="Times New Roman"/>
                <w:color w:val="auto"/>
                <w:sz w:val="21"/>
                <w:szCs w:val="21"/>
              </w:rPr>
              <w:t>分数概念灵活运用：学生能透彻理解分数的本质，熟练掌握分数在不同情境下的转化与应用</w:t>
            </w:r>
            <w:r>
              <w:rPr>
                <w:rFonts w:hint="eastAsia" w:ascii="Times New Roman" w:hAnsi="Times New Roman"/>
                <w:color w:val="auto"/>
                <w:sz w:val="21"/>
                <w:szCs w:val="21"/>
                <w:lang w:eastAsia="zh-CN"/>
              </w:rPr>
              <w:t>。</w:t>
            </w:r>
          </w:p>
          <w:p w14:paraId="31244CB3">
            <w:pPr>
              <w:numPr>
                <w:ilvl w:val="0"/>
                <w:numId w:val="32"/>
              </w:numPr>
              <w:spacing w:line="240" w:lineRule="auto"/>
              <w:jc w:val="both"/>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工程问题建模能力：掌握工程问题的核心公式。</w:t>
            </w:r>
          </w:p>
        </w:tc>
        <w:tc>
          <w:tcPr>
            <w:tcW w:w="731" w:type="pct"/>
            <w:vAlign w:val="center"/>
          </w:tcPr>
          <w:p w14:paraId="2CC0CA24">
            <w:pPr>
              <w:numPr>
                <w:ilvl w:val="0"/>
                <w:numId w:val="0"/>
              </w:numPr>
              <w:spacing w:line="240" w:lineRule="auto"/>
              <w:jc w:val="center"/>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多媒体教学</w:t>
            </w:r>
          </w:p>
          <w:p w14:paraId="597E0964">
            <w:pPr>
              <w:numPr>
                <w:ilvl w:val="0"/>
                <w:numId w:val="0"/>
              </w:numPr>
              <w:spacing w:line="240" w:lineRule="auto"/>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课堂讨论</w:t>
            </w:r>
          </w:p>
        </w:tc>
        <w:tc>
          <w:tcPr>
            <w:tcW w:w="397" w:type="pct"/>
            <w:vAlign w:val="center"/>
          </w:tcPr>
          <w:p w14:paraId="3BF67E41">
            <w:pPr>
              <w:spacing w:line="240" w:lineRule="auto"/>
              <w:jc w:val="center"/>
              <w:rPr>
                <w:rFonts w:hint="eastAsia" w:ascii="Times New Roman" w:hAnsi="Times New Roman" w:eastAsiaTheme="minorEastAsia"/>
                <w:color w:val="auto"/>
                <w:sz w:val="21"/>
                <w:szCs w:val="21"/>
                <w:lang w:val="en-US" w:eastAsia="zh-CN"/>
              </w:rPr>
            </w:pPr>
            <w:r>
              <w:rPr>
                <w:rFonts w:hint="eastAsia" w:ascii="Times New Roman" w:hAnsi="Times New Roman"/>
                <w:color w:val="auto"/>
                <w:sz w:val="21"/>
                <w:szCs w:val="21"/>
                <w:lang w:val="en-US" w:eastAsia="zh-CN"/>
              </w:rPr>
              <w:t>4</w:t>
            </w:r>
          </w:p>
        </w:tc>
      </w:tr>
      <w:tr w14:paraId="13E0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94" w:type="pct"/>
            <w:vMerge w:val="continue"/>
            <w:vAlign w:val="center"/>
          </w:tcPr>
          <w:p w14:paraId="40FF15B5">
            <w:pPr>
              <w:spacing w:line="240" w:lineRule="auto"/>
              <w:jc w:val="both"/>
              <w:rPr>
                <w:rFonts w:ascii="Times New Roman" w:hAnsi="Times New Roman"/>
                <w:color w:val="auto"/>
                <w:sz w:val="21"/>
                <w:szCs w:val="21"/>
              </w:rPr>
            </w:pPr>
          </w:p>
        </w:tc>
        <w:tc>
          <w:tcPr>
            <w:tcW w:w="814" w:type="pct"/>
            <w:vAlign w:val="center"/>
          </w:tcPr>
          <w:p w14:paraId="53E0D235">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分数应用题</w:t>
            </w:r>
          </w:p>
          <w:p w14:paraId="1A0A03D4">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百分数应用题</w:t>
            </w:r>
          </w:p>
        </w:tc>
        <w:tc>
          <w:tcPr>
            <w:tcW w:w="611" w:type="pct"/>
            <w:vAlign w:val="center"/>
          </w:tcPr>
          <w:p w14:paraId="5DC2AB0C">
            <w:pPr>
              <w:spacing w:line="240" w:lineRule="auto"/>
              <w:jc w:val="center"/>
              <w:rPr>
                <w:rFonts w:ascii="Times New Roman" w:hAnsi="Times New Roman"/>
                <w:color w:val="auto"/>
                <w:sz w:val="21"/>
                <w:szCs w:val="21"/>
              </w:rPr>
            </w:pPr>
            <w:r>
              <w:rPr>
                <w:rFonts w:hint="eastAsia"/>
                <w:color w:val="auto"/>
                <w:sz w:val="21"/>
                <w:szCs w:val="21"/>
                <w:vertAlign w:val="baseline"/>
                <w:lang w:val="en-US" w:eastAsia="zh-CN"/>
              </w:rPr>
              <w:t>课程目标1、2</w:t>
            </w:r>
          </w:p>
        </w:tc>
        <w:tc>
          <w:tcPr>
            <w:tcW w:w="1751" w:type="pct"/>
            <w:vAlign w:val="center"/>
          </w:tcPr>
          <w:p w14:paraId="238A660F">
            <w:pPr>
              <w:numPr>
                <w:ilvl w:val="0"/>
                <w:numId w:val="33"/>
              </w:numPr>
              <w:spacing w:line="240" w:lineRule="auto"/>
              <w:jc w:val="both"/>
              <w:rPr>
                <w:rFonts w:hint="eastAsia" w:ascii="Times New Roman" w:hAnsi="Times New Roman"/>
                <w:color w:val="auto"/>
                <w:sz w:val="21"/>
                <w:szCs w:val="21"/>
              </w:rPr>
            </w:pPr>
            <w:r>
              <w:rPr>
                <w:rFonts w:hint="eastAsia" w:ascii="Times New Roman" w:hAnsi="Times New Roman"/>
                <w:color w:val="auto"/>
                <w:sz w:val="21"/>
                <w:szCs w:val="21"/>
              </w:rPr>
              <w:t>熟练掌握解题方法：学生能精准识别不同类型的分数、百分数应用题，熟练运用单位“1”确定、数量关系分析、线段图绘制等方法解题。</w:t>
            </w:r>
          </w:p>
          <w:p w14:paraId="2B0FC866">
            <w:pPr>
              <w:numPr>
                <w:ilvl w:val="0"/>
                <w:numId w:val="33"/>
              </w:numPr>
              <w:spacing w:line="240" w:lineRule="auto"/>
              <w:jc w:val="both"/>
              <w:rPr>
                <w:rFonts w:hint="eastAsia" w:ascii="Times New Roman" w:hAnsi="Times New Roman"/>
                <w:color w:val="auto"/>
                <w:sz w:val="21"/>
                <w:szCs w:val="21"/>
              </w:rPr>
            </w:pPr>
            <w:r>
              <w:rPr>
                <w:rFonts w:hint="eastAsia" w:ascii="Times New Roman" w:hAnsi="Times New Roman"/>
                <w:color w:val="auto"/>
                <w:sz w:val="21"/>
                <w:szCs w:val="21"/>
              </w:rPr>
              <w:t>灵活运用转化策略：掌握分数与百分数、小数之间的相互转化，能将复杂的实际问题转化为熟悉的数学模型。</w:t>
            </w:r>
          </w:p>
        </w:tc>
        <w:tc>
          <w:tcPr>
            <w:tcW w:w="731" w:type="pct"/>
            <w:vAlign w:val="center"/>
          </w:tcPr>
          <w:p w14:paraId="3221BC28">
            <w:pPr>
              <w:numPr>
                <w:ilvl w:val="0"/>
                <w:numId w:val="0"/>
              </w:numPr>
              <w:spacing w:line="240" w:lineRule="auto"/>
              <w:jc w:val="center"/>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多媒体教学</w:t>
            </w:r>
          </w:p>
          <w:p w14:paraId="0F77880A">
            <w:pPr>
              <w:numPr>
                <w:ilvl w:val="0"/>
                <w:numId w:val="0"/>
              </w:numPr>
              <w:spacing w:line="240" w:lineRule="auto"/>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课堂讨论</w:t>
            </w:r>
          </w:p>
        </w:tc>
        <w:tc>
          <w:tcPr>
            <w:tcW w:w="397" w:type="pct"/>
            <w:vAlign w:val="center"/>
          </w:tcPr>
          <w:p w14:paraId="19E47486">
            <w:pPr>
              <w:spacing w:line="240" w:lineRule="auto"/>
              <w:jc w:val="center"/>
              <w:rPr>
                <w:rFonts w:hint="eastAsia" w:ascii="Times New Roman" w:hAnsi="Times New Roman" w:eastAsiaTheme="minorEastAsia"/>
                <w:color w:val="auto"/>
                <w:sz w:val="21"/>
                <w:szCs w:val="21"/>
                <w:lang w:val="en-US" w:eastAsia="zh-CN"/>
              </w:rPr>
            </w:pPr>
            <w:r>
              <w:rPr>
                <w:rFonts w:hint="eastAsia" w:ascii="Times New Roman" w:hAnsi="Times New Roman"/>
                <w:color w:val="auto"/>
                <w:sz w:val="21"/>
                <w:szCs w:val="21"/>
                <w:lang w:val="en-US" w:eastAsia="zh-CN"/>
              </w:rPr>
              <w:t>4</w:t>
            </w:r>
          </w:p>
        </w:tc>
      </w:tr>
      <w:tr w14:paraId="4A18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94" w:type="pct"/>
            <w:vMerge w:val="continue"/>
            <w:vAlign w:val="center"/>
          </w:tcPr>
          <w:p w14:paraId="0AB11E20">
            <w:pPr>
              <w:spacing w:line="240" w:lineRule="auto"/>
              <w:jc w:val="both"/>
              <w:rPr>
                <w:rFonts w:ascii="Times New Roman" w:hAnsi="Times New Roman"/>
                <w:color w:val="auto"/>
                <w:sz w:val="21"/>
                <w:szCs w:val="21"/>
              </w:rPr>
            </w:pPr>
          </w:p>
        </w:tc>
        <w:tc>
          <w:tcPr>
            <w:tcW w:w="814" w:type="pct"/>
            <w:vAlign w:val="center"/>
          </w:tcPr>
          <w:p w14:paraId="5BAA46A1">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比和比例问题</w:t>
            </w:r>
          </w:p>
          <w:p w14:paraId="7AFD4C1C">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行程问题</w:t>
            </w:r>
          </w:p>
        </w:tc>
        <w:tc>
          <w:tcPr>
            <w:tcW w:w="611" w:type="pct"/>
            <w:vAlign w:val="center"/>
          </w:tcPr>
          <w:p w14:paraId="7D7F801E">
            <w:pPr>
              <w:spacing w:line="240" w:lineRule="auto"/>
              <w:jc w:val="center"/>
              <w:rPr>
                <w:rFonts w:ascii="Times New Roman" w:hAnsi="Times New Roman"/>
                <w:color w:val="auto"/>
                <w:sz w:val="21"/>
                <w:szCs w:val="21"/>
              </w:rPr>
            </w:pPr>
            <w:r>
              <w:rPr>
                <w:rFonts w:hint="eastAsia"/>
                <w:color w:val="auto"/>
                <w:sz w:val="21"/>
                <w:szCs w:val="21"/>
                <w:vertAlign w:val="baseline"/>
                <w:lang w:val="en-US" w:eastAsia="zh-CN"/>
              </w:rPr>
              <w:t>课程目标1、2</w:t>
            </w:r>
          </w:p>
        </w:tc>
        <w:tc>
          <w:tcPr>
            <w:tcW w:w="1751" w:type="pct"/>
            <w:vAlign w:val="center"/>
          </w:tcPr>
          <w:p w14:paraId="2F9A20D7">
            <w:pPr>
              <w:numPr>
                <w:ilvl w:val="0"/>
                <w:numId w:val="34"/>
              </w:numPr>
              <w:spacing w:line="240" w:lineRule="auto"/>
              <w:jc w:val="both"/>
              <w:rPr>
                <w:rFonts w:hint="eastAsia" w:ascii="Times New Roman" w:hAnsi="Times New Roman"/>
                <w:color w:val="auto"/>
                <w:sz w:val="21"/>
                <w:szCs w:val="21"/>
                <w:lang w:eastAsia="zh-CN"/>
              </w:rPr>
            </w:pPr>
            <w:r>
              <w:rPr>
                <w:rFonts w:hint="eastAsia" w:ascii="Times New Roman" w:hAnsi="Times New Roman"/>
                <w:color w:val="auto"/>
                <w:sz w:val="21"/>
                <w:szCs w:val="21"/>
              </w:rPr>
              <w:t>深化概念理解：师范生能透彻掌握比、比例的基本概念，熟练运用比例性质解决分配、缩放、比例尺等实际问题</w:t>
            </w:r>
            <w:r>
              <w:rPr>
                <w:rFonts w:hint="eastAsia" w:ascii="Times New Roman" w:hAnsi="Times New Roman"/>
                <w:color w:val="auto"/>
                <w:sz w:val="21"/>
                <w:szCs w:val="21"/>
                <w:lang w:eastAsia="zh-CN"/>
              </w:rPr>
              <w:t>。</w:t>
            </w:r>
          </w:p>
          <w:p w14:paraId="441A0F22">
            <w:pPr>
              <w:numPr>
                <w:ilvl w:val="0"/>
                <w:numId w:val="34"/>
              </w:numPr>
              <w:spacing w:line="240" w:lineRule="auto"/>
              <w:jc w:val="both"/>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提升解题能力：针对比和比例问题，掌握按比例分配、解比例方程、比例转化等技巧。</w:t>
            </w:r>
          </w:p>
        </w:tc>
        <w:tc>
          <w:tcPr>
            <w:tcW w:w="731" w:type="pct"/>
            <w:vAlign w:val="center"/>
          </w:tcPr>
          <w:p w14:paraId="346E3F0D">
            <w:pPr>
              <w:numPr>
                <w:ilvl w:val="0"/>
                <w:numId w:val="0"/>
              </w:numPr>
              <w:spacing w:line="240" w:lineRule="auto"/>
              <w:jc w:val="center"/>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多媒体教学</w:t>
            </w:r>
          </w:p>
          <w:p w14:paraId="3A9386FE">
            <w:pPr>
              <w:numPr>
                <w:ilvl w:val="0"/>
                <w:numId w:val="0"/>
              </w:numPr>
              <w:spacing w:line="240" w:lineRule="auto"/>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课堂讨论</w:t>
            </w:r>
          </w:p>
        </w:tc>
        <w:tc>
          <w:tcPr>
            <w:tcW w:w="397" w:type="pct"/>
            <w:vAlign w:val="center"/>
          </w:tcPr>
          <w:p w14:paraId="467F7241">
            <w:pPr>
              <w:spacing w:line="240" w:lineRule="auto"/>
              <w:jc w:val="center"/>
              <w:rPr>
                <w:rFonts w:hint="eastAsia" w:ascii="Times New Roman" w:hAnsi="Times New Roman" w:eastAsiaTheme="minorEastAsia"/>
                <w:color w:val="auto"/>
                <w:sz w:val="21"/>
                <w:szCs w:val="21"/>
                <w:lang w:val="en-US" w:eastAsia="zh-CN"/>
              </w:rPr>
            </w:pPr>
            <w:r>
              <w:rPr>
                <w:rFonts w:hint="eastAsia" w:ascii="Times New Roman" w:hAnsi="Times New Roman"/>
                <w:color w:val="auto"/>
                <w:sz w:val="21"/>
                <w:szCs w:val="21"/>
                <w:lang w:val="en-US" w:eastAsia="zh-CN"/>
              </w:rPr>
              <w:t>4</w:t>
            </w:r>
          </w:p>
        </w:tc>
      </w:tr>
      <w:tr w14:paraId="65BE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94" w:type="pct"/>
            <w:vMerge w:val="continue"/>
            <w:vAlign w:val="center"/>
          </w:tcPr>
          <w:p w14:paraId="6C10536D">
            <w:pPr>
              <w:spacing w:line="240" w:lineRule="auto"/>
              <w:jc w:val="both"/>
              <w:rPr>
                <w:rFonts w:ascii="Times New Roman" w:hAnsi="Times New Roman"/>
                <w:color w:val="auto"/>
                <w:sz w:val="21"/>
                <w:szCs w:val="21"/>
              </w:rPr>
            </w:pPr>
          </w:p>
        </w:tc>
        <w:tc>
          <w:tcPr>
            <w:tcW w:w="814" w:type="pct"/>
            <w:vAlign w:val="center"/>
          </w:tcPr>
          <w:p w14:paraId="0B0D048A">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列方程解应用题</w:t>
            </w:r>
          </w:p>
          <w:p w14:paraId="52E543B8">
            <w:pPr>
              <w:spacing w:line="240" w:lineRule="auto"/>
              <w:jc w:val="center"/>
              <w:rPr>
                <w:rFonts w:hint="eastAsia" w:ascii="Times New Roman" w:hAnsi="Times New Roman" w:eastAsiaTheme="minorEastAsia"/>
                <w:color w:val="auto"/>
                <w:sz w:val="21"/>
                <w:szCs w:val="21"/>
                <w:lang w:val="en-US" w:eastAsia="zh-CN"/>
              </w:rPr>
            </w:pPr>
            <w:r>
              <w:rPr>
                <w:rFonts w:hint="eastAsia" w:ascii="Times New Roman" w:hAnsi="Times New Roman"/>
                <w:color w:val="auto"/>
                <w:sz w:val="21"/>
                <w:szCs w:val="21"/>
              </w:rPr>
              <w:t>方程</w:t>
            </w:r>
            <w:r>
              <w:rPr>
                <w:rFonts w:hint="eastAsia" w:ascii="Times New Roman" w:hAnsi="Times New Roman"/>
                <w:color w:val="auto"/>
                <w:sz w:val="21"/>
                <w:szCs w:val="21"/>
                <w:lang w:val="en-US" w:eastAsia="zh-CN"/>
              </w:rPr>
              <w:t>组</w:t>
            </w:r>
          </w:p>
        </w:tc>
        <w:tc>
          <w:tcPr>
            <w:tcW w:w="611" w:type="pct"/>
            <w:vAlign w:val="center"/>
          </w:tcPr>
          <w:p w14:paraId="2EA22B8B">
            <w:pPr>
              <w:spacing w:line="240" w:lineRule="auto"/>
              <w:jc w:val="center"/>
              <w:rPr>
                <w:rFonts w:ascii="Times New Roman" w:hAnsi="Times New Roman"/>
                <w:color w:val="auto"/>
                <w:sz w:val="21"/>
                <w:szCs w:val="21"/>
              </w:rPr>
            </w:pPr>
            <w:r>
              <w:rPr>
                <w:rFonts w:hint="eastAsia"/>
                <w:color w:val="auto"/>
                <w:sz w:val="21"/>
                <w:szCs w:val="21"/>
                <w:vertAlign w:val="baseline"/>
                <w:lang w:val="en-US" w:eastAsia="zh-CN"/>
              </w:rPr>
              <w:t>课程目标1、2</w:t>
            </w:r>
          </w:p>
        </w:tc>
        <w:tc>
          <w:tcPr>
            <w:tcW w:w="1751" w:type="pct"/>
            <w:vAlign w:val="center"/>
          </w:tcPr>
          <w:p w14:paraId="6F1D8A5A">
            <w:pPr>
              <w:numPr>
                <w:ilvl w:val="0"/>
                <w:numId w:val="35"/>
              </w:numPr>
              <w:spacing w:line="240" w:lineRule="auto"/>
              <w:jc w:val="both"/>
              <w:rPr>
                <w:rFonts w:hint="eastAsia" w:ascii="Times New Roman" w:hAnsi="Times New Roman"/>
                <w:color w:val="auto"/>
                <w:sz w:val="21"/>
                <w:szCs w:val="21"/>
              </w:rPr>
            </w:pPr>
            <w:r>
              <w:rPr>
                <w:rFonts w:hint="eastAsia" w:ascii="Times New Roman" w:hAnsi="Times New Roman"/>
                <w:color w:val="auto"/>
                <w:sz w:val="21"/>
                <w:szCs w:val="21"/>
              </w:rPr>
              <w:t>熟练方程应用：学生能够熟练掌握列方程解应用题的一般步骤，从分析题目中的数量关系，到设未知数、列出方程并求解，准确解决各类实际问题。</w:t>
            </w:r>
          </w:p>
          <w:p w14:paraId="457AD700">
            <w:pPr>
              <w:numPr>
                <w:ilvl w:val="0"/>
                <w:numId w:val="35"/>
              </w:numPr>
              <w:spacing w:line="240" w:lineRule="auto"/>
              <w:jc w:val="both"/>
              <w:rPr>
                <w:rFonts w:hint="eastAsia" w:ascii="Times New Roman" w:hAnsi="Times New Roman"/>
                <w:color w:val="auto"/>
                <w:sz w:val="21"/>
                <w:szCs w:val="21"/>
              </w:rPr>
            </w:pPr>
            <w:r>
              <w:rPr>
                <w:rFonts w:hint="eastAsia" w:ascii="Times New Roman" w:hAnsi="Times New Roman"/>
                <w:color w:val="auto"/>
                <w:sz w:val="21"/>
                <w:szCs w:val="21"/>
              </w:rPr>
              <w:t>掌握方程组解法：熟练运用代入消元法、加减消元法等求解二元一次方程组、三元一次方程组 ，并能根据方程组的特点灵活选择最优解法，准确得出方程组的解。</w:t>
            </w:r>
          </w:p>
        </w:tc>
        <w:tc>
          <w:tcPr>
            <w:tcW w:w="731" w:type="pct"/>
            <w:vAlign w:val="center"/>
          </w:tcPr>
          <w:p w14:paraId="3609B065">
            <w:pPr>
              <w:numPr>
                <w:ilvl w:val="0"/>
                <w:numId w:val="0"/>
              </w:numPr>
              <w:spacing w:line="240" w:lineRule="auto"/>
              <w:jc w:val="center"/>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多媒体教学</w:t>
            </w:r>
          </w:p>
          <w:p w14:paraId="5F925ECB">
            <w:pPr>
              <w:numPr>
                <w:ilvl w:val="0"/>
                <w:numId w:val="0"/>
              </w:numPr>
              <w:spacing w:line="240" w:lineRule="auto"/>
              <w:ind w:left="0" w:leftChars="0" w:firstLine="0" w:firstLineChars="0"/>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课堂讨论</w:t>
            </w:r>
          </w:p>
        </w:tc>
        <w:tc>
          <w:tcPr>
            <w:tcW w:w="397" w:type="pct"/>
            <w:vAlign w:val="center"/>
          </w:tcPr>
          <w:p w14:paraId="02C4255B">
            <w:pPr>
              <w:spacing w:line="240" w:lineRule="auto"/>
              <w:jc w:val="center"/>
              <w:rPr>
                <w:rFonts w:hint="eastAsia" w:ascii="Times New Roman" w:hAnsi="Times New Roman" w:eastAsiaTheme="minorEastAsia"/>
                <w:color w:val="auto"/>
                <w:sz w:val="21"/>
                <w:szCs w:val="21"/>
                <w:lang w:val="en-US" w:eastAsia="zh-CN"/>
              </w:rPr>
            </w:pPr>
            <w:r>
              <w:rPr>
                <w:rFonts w:hint="eastAsia" w:ascii="Times New Roman" w:hAnsi="Times New Roman"/>
                <w:color w:val="auto"/>
                <w:sz w:val="21"/>
                <w:szCs w:val="21"/>
                <w:lang w:val="en-US" w:eastAsia="zh-CN"/>
              </w:rPr>
              <w:t>4</w:t>
            </w:r>
          </w:p>
        </w:tc>
      </w:tr>
      <w:tr w14:paraId="3383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94" w:type="pct"/>
            <w:vMerge w:val="continue"/>
            <w:vAlign w:val="center"/>
          </w:tcPr>
          <w:p w14:paraId="4C9681F4">
            <w:pPr>
              <w:spacing w:line="240" w:lineRule="auto"/>
              <w:jc w:val="both"/>
              <w:rPr>
                <w:rFonts w:ascii="Times New Roman" w:hAnsi="Times New Roman"/>
                <w:color w:val="auto"/>
                <w:sz w:val="21"/>
                <w:szCs w:val="21"/>
              </w:rPr>
            </w:pPr>
          </w:p>
        </w:tc>
        <w:tc>
          <w:tcPr>
            <w:tcW w:w="814" w:type="pct"/>
            <w:vAlign w:val="center"/>
          </w:tcPr>
          <w:p w14:paraId="45543E11">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不定方程</w:t>
            </w:r>
          </w:p>
          <w:p w14:paraId="16997EC7">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列表与图解</w:t>
            </w:r>
          </w:p>
        </w:tc>
        <w:tc>
          <w:tcPr>
            <w:tcW w:w="611" w:type="pct"/>
            <w:vAlign w:val="center"/>
          </w:tcPr>
          <w:p w14:paraId="12240BAA">
            <w:pPr>
              <w:spacing w:line="240" w:lineRule="auto"/>
              <w:jc w:val="center"/>
              <w:rPr>
                <w:rFonts w:ascii="Times New Roman" w:hAnsi="Times New Roman"/>
                <w:color w:val="auto"/>
                <w:sz w:val="21"/>
                <w:szCs w:val="21"/>
              </w:rPr>
            </w:pPr>
            <w:r>
              <w:rPr>
                <w:rFonts w:hint="eastAsia"/>
                <w:color w:val="auto"/>
                <w:sz w:val="21"/>
                <w:szCs w:val="21"/>
                <w:vertAlign w:val="baseline"/>
                <w:lang w:val="en-US" w:eastAsia="zh-CN"/>
              </w:rPr>
              <w:t>课程目标1、2</w:t>
            </w:r>
          </w:p>
        </w:tc>
        <w:tc>
          <w:tcPr>
            <w:tcW w:w="1751" w:type="pct"/>
            <w:vAlign w:val="center"/>
          </w:tcPr>
          <w:p w14:paraId="6DDCE604">
            <w:pPr>
              <w:numPr>
                <w:ilvl w:val="0"/>
                <w:numId w:val="36"/>
              </w:numPr>
              <w:spacing w:line="240" w:lineRule="auto"/>
              <w:jc w:val="both"/>
              <w:rPr>
                <w:rFonts w:hint="eastAsia" w:ascii="Times New Roman" w:hAnsi="Times New Roman"/>
                <w:color w:val="auto"/>
                <w:sz w:val="21"/>
                <w:szCs w:val="21"/>
                <w:lang w:eastAsia="zh-CN"/>
              </w:rPr>
            </w:pPr>
            <w:r>
              <w:rPr>
                <w:rFonts w:hint="eastAsia" w:ascii="Times New Roman" w:hAnsi="Times New Roman"/>
                <w:color w:val="auto"/>
                <w:sz w:val="21"/>
                <w:szCs w:val="21"/>
              </w:rPr>
              <w:t>掌握不定方程解法：师范生能理解不定方程的概念，掌握用试值法、奇偶性分析、倍数关系等方法求解简单不定方程</w:t>
            </w:r>
            <w:r>
              <w:rPr>
                <w:rFonts w:hint="eastAsia" w:ascii="Times New Roman" w:hAnsi="Times New Roman"/>
                <w:color w:val="auto"/>
                <w:sz w:val="21"/>
                <w:szCs w:val="21"/>
                <w:lang w:eastAsia="zh-CN"/>
              </w:rPr>
              <w:t>。</w:t>
            </w:r>
          </w:p>
          <w:p w14:paraId="7E5B8B02">
            <w:pPr>
              <w:numPr>
                <w:ilvl w:val="0"/>
                <w:numId w:val="36"/>
              </w:numPr>
              <w:spacing w:line="240" w:lineRule="auto"/>
              <w:jc w:val="both"/>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熟练运用列表与图解：熟练运用列表法梳理数学信息、分析数量关系，通过表格呈现数据变化规律。</w:t>
            </w:r>
          </w:p>
        </w:tc>
        <w:tc>
          <w:tcPr>
            <w:tcW w:w="731" w:type="pct"/>
            <w:vAlign w:val="center"/>
          </w:tcPr>
          <w:p w14:paraId="66E6E318">
            <w:pPr>
              <w:numPr>
                <w:ilvl w:val="0"/>
                <w:numId w:val="0"/>
              </w:numPr>
              <w:spacing w:line="240" w:lineRule="auto"/>
              <w:jc w:val="center"/>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多媒体教学</w:t>
            </w:r>
          </w:p>
          <w:p w14:paraId="65CF3DA2">
            <w:pPr>
              <w:numPr>
                <w:ilvl w:val="0"/>
                <w:numId w:val="0"/>
              </w:numPr>
              <w:spacing w:line="240" w:lineRule="auto"/>
              <w:ind w:left="0" w:leftChars="0" w:firstLine="0" w:firstLineChars="0"/>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课堂讨论</w:t>
            </w:r>
          </w:p>
        </w:tc>
        <w:tc>
          <w:tcPr>
            <w:tcW w:w="397" w:type="pct"/>
            <w:vAlign w:val="center"/>
          </w:tcPr>
          <w:p w14:paraId="71BE99F5">
            <w:pPr>
              <w:spacing w:line="240" w:lineRule="auto"/>
              <w:jc w:val="center"/>
              <w:rPr>
                <w:rFonts w:hint="eastAsia" w:ascii="Times New Roman" w:hAnsi="Times New Roman" w:eastAsiaTheme="minorEastAsia"/>
                <w:color w:val="auto"/>
                <w:sz w:val="21"/>
                <w:szCs w:val="21"/>
                <w:lang w:val="en-US" w:eastAsia="zh-CN"/>
              </w:rPr>
            </w:pPr>
            <w:r>
              <w:rPr>
                <w:rFonts w:hint="eastAsia" w:ascii="Times New Roman" w:hAnsi="Times New Roman"/>
                <w:color w:val="auto"/>
                <w:sz w:val="21"/>
                <w:szCs w:val="21"/>
                <w:lang w:val="en-US" w:eastAsia="zh-CN"/>
              </w:rPr>
              <w:t>4</w:t>
            </w:r>
          </w:p>
        </w:tc>
      </w:tr>
      <w:tr w14:paraId="59C3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94" w:type="pct"/>
            <w:vMerge w:val="continue"/>
            <w:vAlign w:val="center"/>
          </w:tcPr>
          <w:p w14:paraId="4A3BAFE0">
            <w:pPr>
              <w:spacing w:line="240" w:lineRule="auto"/>
              <w:jc w:val="both"/>
              <w:rPr>
                <w:rFonts w:ascii="Times New Roman" w:hAnsi="Times New Roman"/>
                <w:color w:val="auto"/>
                <w:sz w:val="21"/>
                <w:szCs w:val="21"/>
              </w:rPr>
            </w:pPr>
          </w:p>
        </w:tc>
        <w:tc>
          <w:tcPr>
            <w:tcW w:w="814" w:type="pct"/>
            <w:vAlign w:val="center"/>
          </w:tcPr>
          <w:p w14:paraId="2ED1D927">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圆与组合图形</w:t>
            </w:r>
          </w:p>
          <w:p w14:paraId="3B996921">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勾股定理与弦图</w:t>
            </w:r>
          </w:p>
        </w:tc>
        <w:tc>
          <w:tcPr>
            <w:tcW w:w="611" w:type="pct"/>
            <w:vAlign w:val="center"/>
          </w:tcPr>
          <w:p w14:paraId="24AE43C1">
            <w:pPr>
              <w:spacing w:line="240" w:lineRule="auto"/>
              <w:jc w:val="center"/>
              <w:rPr>
                <w:rFonts w:ascii="Times New Roman" w:hAnsi="Times New Roman"/>
                <w:color w:val="auto"/>
                <w:sz w:val="21"/>
                <w:szCs w:val="21"/>
              </w:rPr>
            </w:pPr>
            <w:r>
              <w:rPr>
                <w:rFonts w:hint="eastAsia"/>
                <w:color w:val="auto"/>
                <w:sz w:val="21"/>
                <w:szCs w:val="21"/>
                <w:vertAlign w:val="baseline"/>
                <w:lang w:val="en-US" w:eastAsia="zh-CN"/>
              </w:rPr>
              <w:t>课程目标1、2</w:t>
            </w:r>
          </w:p>
        </w:tc>
        <w:tc>
          <w:tcPr>
            <w:tcW w:w="1751" w:type="pct"/>
            <w:vAlign w:val="center"/>
          </w:tcPr>
          <w:p w14:paraId="56485D6B">
            <w:pPr>
              <w:numPr>
                <w:ilvl w:val="0"/>
                <w:numId w:val="37"/>
              </w:numPr>
              <w:spacing w:line="240" w:lineRule="auto"/>
              <w:jc w:val="both"/>
              <w:rPr>
                <w:rFonts w:hint="eastAsia" w:ascii="Times New Roman" w:hAnsi="Times New Roman"/>
                <w:color w:val="auto"/>
                <w:sz w:val="21"/>
                <w:szCs w:val="21"/>
              </w:rPr>
            </w:pPr>
            <w:r>
              <w:rPr>
                <w:rFonts w:hint="eastAsia" w:ascii="Times New Roman" w:hAnsi="Times New Roman"/>
                <w:color w:val="auto"/>
                <w:sz w:val="21"/>
                <w:szCs w:val="21"/>
              </w:rPr>
              <w:t>图形认知与计算：学生能深入理解圆的概念、性质，熟练掌握圆的周长、面积，以及扇形面积、弧长等计算公式，并灵活运用到组合图形问题中。</w:t>
            </w:r>
          </w:p>
          <w:p w14:paraId="23E82C4D">
            <w:pPr>
              <w:numPr>
                <w:ilvl w:val="0"/>
                <w:numId w:val="37"/>
              </w:numPr>
              <w:spacing w:line="240" w:lineRule="auto"/>
              <w:jc w:val="both"/>
              <w:rPr>
                <w:rFonts w:hint="eastAsia" w:ascii="Times New Roman" w:hAnsi="Times New Roman"/>
                <w:color w:val="auto"/>
                <w:sz w:val="21"/>
                <w:szCs w:val="21"/>
              </w:rPr>
            </w:pPr>
            <w:r>
              <w:rPr>
                <w:rFonts w:hint="eastAsia" w:ascii="Times New Roman" w:hAnsi="Times New Roman"/>
                <w:color w:val="auto"/>
                <w:sz w:val="21"/>
                <w:szCs w:val="21"/>
              </w:rPr>
              <w:t>问题解决能力：针对圆与组合图形、勾股定理与弦图相关的实际问题，学生能够通过分析题目条件，建立数学模型，选择合适的方法解决。</w:t>
            </w:r>
          </w:p>
        </w:tc>
        <w:tc>
          <w:tcPr>
            <w:tcW w:w="731" w:type="pct"/>
            <w:vAlign w:val="center"/>
          </w:tcPr>
          <w:p w14:paraId="11275AF3">
            <w:pPr>
              <w:numPr>
                <w:ilvl w:val="0"/>
                <w:numId w:val="0"/>
              </w:numPr>
              <w:spacing w:line="240" w:lineRule="auto"/>
              <w:jc w:val="center"/>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多媒体教学</w:t>
            </w:r>
          </w:p>
          <w:p w14:paraId="0D47C2A9">
            <w:pPr>
              <w:numPr>
                <w:ilvl w:val="0"/>
                <w:numId w:val="0"/>
              </w:numPr>
              <w:spacing w:line="240" w:lineRule="auto"/>
              <w:ind w:left="0" w:leftChars="0" w:firstLine="0" w:firstLineChars="0"/>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课堂讨论</w:t>
            </w:r>
          </w:p>
        </w:tc>
        <w:tc>
          <w:tcPr>
            <w:tcW w:w="397" w:type="pct"/>
            <w:vAlign w:val="center"/>
          </w:tcPr>
          <w:p w14:paraId="29AD2B50">
            <w:pPr>
              <w:spacing w:line="240" w:lineRule="auto"/>
              <w:jc w:val="center"/>
              <w:rPr>
                <w:rFonts w:hint="default" w:ascii="Times New Roman" w:hAnsi="Times New Roman" w:eastAsiaTheme="minorEastAsia"/>
                <w:color w:val="auto"/>
                <w:sz w:val="21"/>
                <w:szCs w:val="21"/>
                <w:lang w:val="en-US" w:eastAsia="zh-CN"/>
              </w:rPr>
            </w:pPr>
            <w:r>
              <w:rPr>
                <w:rFonts w:hint="eastAsia" w:ascii="Times New Roman" w:hAnsi="Times New Roman"/>
                <w:color w:val="auto"/>
                <w:sz w:val="21"/>
                <w:szCs w:val="21"/>
                <w:lang w:val="en-US" w:eastAsia="zh-CN"/>
              </w:rPr>
              <w:t>4</w:t>
            </w:r>
          </w:p>
        </w:tc>
      </w:tr>
      <w:tr w14:paraId="793E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694" w:type="pct"/>
            <w:vMerge w:val="continue"/>
            <w:vAlign w:val="center"/>
          </w:tcPr>
          <w:p w14:paraId="45F155FE">
            <w:pPr>
              <w:spacing w:line="240" w:lineRule="auto"/>
              <w:jc w:val="center"/>
              <w:rPr>
                <w:color w:val="auto"/>
                <w:sz w:val="21"/>
                <w:szCs w:val="21"/>
                <w:vertAlign w:val="baseline"/>
              </w:rPr>
            </w:pPr>
          </w:p>
        </w:tc>
        <w:tc>
          <w:tcPr>
            <w:tcW w:w="4305" w:type="pct"/>
            <w:gridSpan w:val="5"/>
            <w:vAlign w:val="center"/>
          </w:tcPr>
          <w:p w14:paraId="31F87A3C">
            <w:pPr>
              <w:spacing w:line="240" w:lineRule="auto"/>
              <w:jc w:val="both"/>
              <w:rPr>
                <w:rFonts w:hint="eastAsia"/>
                <w:b/>
                <w:bCs/>
                <w:color w:val="auto"/>
                <w:sz w:val="21"/>
                <w:szCs w:val="21"/>
                <w:vertAlign w:val="baseline"/>
                <w:lang w:val="en-US" w:eastAsia="zh-CN"/>
              </w:rPr>
            </w:pPr>
            <w:r>
              <w:rPr>
                <w:rFonts w:hint="eastAsia"/>
                <w:b/>
                <w:bCs/>
                <w:color w:val="auto"/>
                <w:sz w:val="21"/>
                <w:szCs w:val="21"/>
                <w:vertAlign w:val="baseline"/>
                <w:lang w:val="en-US" w:eastAsia="zh-CN"/>
              </w:rPr>
              <w:t>课程思政目标：</w:t>
            </w:r>
            <w:r>
              <w:rPr>
                <w:rFonts w:ascii="Times New Roman" w:hAnsi="Times New Roman"/>
                <w:color w:val="auto"/>
                <w:sz w:val="21"/>
                <w:szCs w:val="21"/>
              </w:rPr>
              <w:t>注重理论联系实际，尊重客观规律，树立社会主义核心价值观，增强专业素养，强调理论对实践的指导意义。</w:t>
            </w:r>
          </w:p>
        </w:tc>
      </w:tr>
    </w:tbl>
    <w:p w14:paraId="1BED4078">
      <w:pPr>
        <w:numPr>
          <w:ilvl w:val="0"/>
          <w:numId w:val="0"/>
        </w:numPr>
        <w:spacing w:line="360" w:lineRule="auto"/>
        <w:jc w:val="left"/>
        <w:rPr>
          <w:rFonts w:hint="eastAsia" w:ascii="宋体" w:hAnsi="宋体" w:eastAsia="宋体" w:cs="Times New Roman"/>
          <w:b/>
          <w:color w:val="auto"/>
          <w:sz w:val="24"/>
          <w:szCs w:val="24"/>
        </w:rPr>
      </w:pPr>
      <w:r>
        <w:rPr>
          <w:rFonts w:hint="eastAsia" w:ascii="宋体" w:hAnsi="宋体" w:eastAsia="宋体" w:cs="Times New Roman"/>
          <w:b/>
          <w:color w:val="auto"/>
          <w:sz w:val="24"/>
          <w:szCs w:val="24"/>
          <w:lang w:val="en-US" w:eastAsia="zh-CN"/>
        </w:rPr>
        <w:t>四、</w:t>
      </w:r>
      <w:r>
        <w:rPr>
          <w:rFonts w:hint="eastAsia" w:ascii="宋体" w:hAnsi="宋体" w:eastAsia="宋体" w:cs="Times New Roman"/>
          <w:b/>
          <w:color w:val="auto"/>
          <w:sz w:val="24"/>
          <w:szCs w:val="24"/>
        </w:rPr>
        <w:t>目标评价与成绩评定</w:t>
      </w:r>
    </w:p>
    <w:p w14:paraId="2924CFD1">
      <w:pPr>
        <w:spacing w:line="360" w:lineRule="auto"/>
        <w:ind w:firstLine="422" w:firstLineChars="200"/>
        <w:jc w:val="left"/>
        <w:rPr>
          <w:rFonts w:ascii="Times New Roman" w:hAnsi="Times New Roman" w:eastAsia="宋体" w:cs="Times New Roman"/>
          <w:b/>
          <w:color w:val="auto"/>
          <w:szCs w:val="21"/>
        </w:rPr>
      </w:pPr>
      <w:bookmarkStart w:id="407" w:name="OLE_LINK13"/>
      <w:r>
        <w:rPr>
          <w:rFonts w:hint="eastAsia" w:ascii="Times New Roman" w:hAnsi="Times New Roman" w:eastAsia="宋体" w:cs="Times New Roman"/>
          <w:b/>
          <w:color w:val="auto"/>
          <w:szCs w:val="21"/>
        </w:rPr>
        <w:t>（一）课程目标评价方式</w:t>
      </w:r>
    </w:p>
    <w:p w14:paraId="2CD9D4A5">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bookmarkEnd w:id="407"/>
    <w:tbl>
      <w:tblPr>
        <w:tblStyle w:val="16"/>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1670"/>
        <w:gridCol w:w="1670"/>
        <w:gridCol w:w="1670"/>
        <w:gridCol w:w="1007"/>
      </w:tblGrid>
      <w:tr w14:paraId="7FE8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15CF5F89">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w:t>
            </w:r>
          </w:p>
        </w:tc>
        <w:tc>
          <w:tcPr>
            <w:tcW w:w="0" w:type="auto"/>
            <w:gridSpan w:val="3"/>
            <w:vAlign w:val="center"/>
          </w:tcPr>
          <w:p w14:paraId="7DB9F21E">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2EF5063A">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分值</w:t>
            </w:r>
          </w:p>
        </w:tc>
      </w:tr>
      <w:tr w14:paraId="5CA1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7F4A763">
            <w:pPr>
              <w:spacing w:line="360" w:lineRule="auto"/>
              <w:jc w:val="center"/>
              <w:rPr>
                <w:rFonts w:ascii="宋体" w:hAnsi="宋体" w:eastAsia="宋体" w:cs="Times New Roman"/>
                <w:color w:val="auto"/>
                <w:szCs w:val="21"/>
              </w:rPr>
            </w:pPr>
          </w:p>
        </w:tc>
        <w:tc>
          <w:tcPr>
            <w:tcW w:w="0" w:type="auto"/>
            <w:vAlign w:val="center"/>
          </w:tcPr>
          <w:p w14:paraId="1E81662A">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平时作业</w:t>
            </w:r>
          </w:p>
        </w:tc>
        <w:tc>
          <w:tcPr>
            <w:tcW w:w="0" w:type="auto"/>
            <w:vAlign w:val="center"/>
          </w:tcPr>
          <w:p w14:paraId="055AC3D1">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课堂表现</w:t>
            </w:r>
          </w:p>
        </w:tc>
        <w:tc>
          <w:tcPr>
            <w:tcW w:w="0" w:type="auto"/>
            <w:vAlign w:val="center"/>
          </w:tcPr>
          <w:p w14:paraId="1662ADC7">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期末考试</w:t>
            </w:r>
          </w:p>
        </w:tc>
        <w:tc>
          <w:tcPr>
            <w:tcW w:w="0" w:type="auto"/>
            <w:vMerge w:val="continue"/>
            <w:vAlign w:val="center"/>
          </w:tcPr>
          <w:p w14:paraId="34EC6F4E">
            <w:pPr>
              <w:spacing w:line="360" w:lineRule="auto"/>
              <w:jc w:val="center"/>
              <w:rPr>
                <w:rFonts w:ascii="宋体" w:hAnsi="宋体" w:eastAsia="宋体" w:cs="Times New Roman"/>
                <w:color w:val="auto"/>
                <w:szCs w:val="21"/>
              </w:rPr>
            </w:pPr>
          </w:p>
        </w:tc>
      </w:tr>
      <w:tr w14:paraId="00799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B32580">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课程目标1</w:t>
            </w:r>
          </w:p>
        </w:tc>
        <w:tc>
          <w:tcPr>
            <w:tcW w:w="0" w:type="auto"/>
            <w:vAlign w:val="center"/>
          </w:tcPr>
          <w:p w14:paraId="7B927E08">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65359CA">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5D9D0BD">
            <w:pPr>
              <w:spacing w:line="360" w:lineRule="auto"/>
              <w:jc w:val="center"/>
              <w:rPr>
                <w:rFonts w:ascii="宋体" w:hAnsi="宋体" w:eastAsia="宋体" w:cs="Times New Roman"/>
                <w:color w:val="auto"/>
                <w:szCs w:val="21"/>
              </w:rPr>
            </w:pPr>
          </w:p>
        </w:tc>
        <w:tc>
          <w:tcPr>
            <w:tcW w:w="0" w:type="auto"/>
            <w:vAlign w:val="center"/>
          </w:tcPr>
          <w:p w14:paraId="0865647D">
            <w:pPr>
              <w:spacing w:line="360" w:lineRule="auto"/>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50</w:t>
            </w:r>
          </w:p>
        </w:tc>
      </w:tr>
      <w:tr w14:paraId="1E95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92A87A">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课程目标2</w:t>
            </w:r>
          </w:p>
        </w:tc>
        <w:tc>
          <w:tcPr>
            <w:tcW w:w="0" w:type="auto"/>
            <w:vAlign w:val="center"/>
          </w:tcPr>
          <w:p w14:paraId="769F7919">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A64ED01">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FDE81F8">
            <w:pPr>
              <w:spacing w:line="360" w:lineRule="auto"/>
              <w:jc w:val="center"/>
              <w:rPr>
                <w:rFonts w:ascii="宋体" w:hAnsi="宋体" w:eastAsia="宋体" w:cs="Times New Roman"/>
                <w:color w:val="auto"/>
                <w:szCs w:val="21"/>
              </w:rPr>
            </w:pPr>
          </w:p>
        </w:tc>
        <w:tc>
          <w:tcPr>
            <w:tcW w:w="0" w:type="auto"/>
            <w:vAlign w:val="center"/>
          </w:tcPr>
          <w:p w14:paraId="437EB2E4">
            <w:pPr>
              <w:spacing w:line="360" w:lineRule="auto"/>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50</w:t>
            </w:r>
          </w:p>
        </w:tc>
      </w:tr>
      <w:tr w14:paraId="455B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FDE148">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合计</w:t>
            </w:r>
          </w:p>
        </w:tc>
        <w:tc>
          <w:tcPr>
            <w:tcW w:w="0" w:type="auto"/>
            <w:vAlign w:val="center"/>
          </w:tcPr>
          <w:p w14:paraId="3BC6EF37">
            <w:pPr>
              <w:spacing w:line="360" w:lineRule="auto"/>
              <w:jc w:val="center"/>
              <w:rPr>
                <w:rFonts w:ascii="宋体" w:hAnsi="宋体" w:eastAsia="宋体" w:cs="Times New Roman"/>
                <w:color w:val="auto"/>
                <w:szCs w:val="21"/>
              </w:rPr>
            </w:pPr>
          </w:p>
        </w:tc>
        <w:tc>
          <w:tcPr>
            <w:tcW w:w="0" w:type="auto"/>
            <w:vAlign w:val="center"/>
          </w:tcPr>
          <w:p w14:paraId="1E0C7C05">
            <w:pPr>
              <w:spacing w:line="360" w:lineRule="auto"/>
              <w:jc w:val="center"/>
              <w:rPr>
                <w:rFonts w:ascii="宋体" w:hAnsi="宋体" w:eastAsia="宋体" w:cs="Times New Roman"/>
                <w:color w:val="auto"/>
                <w:szCs w:val="21"/>
              </w:rPr>
            </w:pPr>
          </w:p>
        </w:tc>
        <w:tc>
          <w:tcPr>
            <w:tcW w:w="0" w:type="auto"/>
            <w:vAlign w:val="center"/>
          </w:tcPr>
          <w:p w14:paraId="7A5489C3">
            <w:pPr>
              <w:spacing w:line="360" w:lineRule="auto"/>
              <w:jc w:val="center"/>
              <w:rPr>
                <w:rFonts w:ascii="宋体" w:hAnsi="宋体" w:eastAsia="宋体" w:cs="Times New Roman"/>
                <w:color w:val="auto"/>
                <w:szCs w:val="21"/>
              </w:rPr>
            </w:pPr>
          </w:p>
        </w:tc>
        <w:tc>
          <w:tcPr>
            <w:tcW w:w="0" w:type="auto"/>
            <w:vAlign w:val="center"/>
          </w:tcPr>
          <w:p w14:paraId="120582C2">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100</w:t>
            </w:r>
          </w:p>
        </w:tc>
      </w:tr>
    </w:tbl>
    <w:p w14:paraId="16A9C824">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2BBB081D">
      <w:pPr>
        <w:spacing w:line="360" w:lineRule="auto"/>
        <w:ind w:firstLine="420" w:firstLineChars="200"/>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p w14:paraId="26DDB231">
      <w:pPr>
        <w:spacing w:line="360" w:lineRule="auto"/>
        <w:ind w:firstLine="420" w:firstLineChars="200"/>
        <w:jc w:val="left"/>
        <w:rPr>
          <w:rFonts w:hint="eastAsia" w:ascii="Times New Roman" w:hAnsi="Times New Roman" w:eastAsia="宋体" w:cs="Times New Roman"/>
          <w:color w:val="auto"/>
          <w:szCs w:val="21"/>
          <w:lang w:eastAsia="zh-CN"/>
        </w:rPr>
      </w:pPr>
    </w:p>
    <w:tbl>
      <w:tblPr>
        <w:tblStyle w:val="15"/>
        <w:tblW w:w="8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6672"/>
        <w:gridCol w:w="706"/>
      </w:tblGrid>
      <w:tr w14:paraId="72C0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93"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02E86D22">
            <w:pPr>
              <w:pStyle w:val="14"/>
              <w:spacing w:line="360" w:lineRule="auto"/>
              <w:jc w:val="center"/>
              <w:rPr>
                <w:rFonts w:hint="default" w:ascii="Times New Roman" w:hAnsi="Times New Roman" w:eastAsia="宋体"/>
                <w:color w:val="auto"/>
                <w:sz w:val="21"/>
                <w:szCs w:val="21"/>
                <w:lang w:val="en-US" w:eastAsia="zh-CN"/>
              </w:rPr>
            </w:pPr>
            <w:r>
              <w:rPr>
                <w:rFonts w:hint="eastAsia" w:ascii="Times New Roman" w:hAnsi="Times New Roman"/>
                <w:b/>
                <w:bCs/>
                <w:color w:val="auto"/>
                <w:sz w:val="21"/>
                <w:szCs w:val="21"/>
                <w:lang w:val="en-US" w:eastAsia="zh-CN" w:bidi="ar"/>
              </w:rPr>
              <w:t>评价方式</w:t>
            </w:r>
          </w:p>
        </w:tc>
        <w:tc>
          <w:tcPr>
            <w:tcW w:w="6672" w:type="dxa"/>
            <w:tcBorders>
              <w:top w:val="single" w:color="auto" w:sz="4" w:space="0"/>
              <w:left w:val="single" w:color="auto" w:sz="4" w:space="0"/>
              <w:bottom w:val="single" w:color="auto" w:sz="4" w:space="0"/>
              <w:right w:val="single" w:color="auto" w:sz="4" w:space="0"/>
            </w:tcBorders>
            <w:shd w:val="clear" w:color="auto" w:fill="FFFFFF"/>
            <w:vAlign w:val="center"/>
          </w:tcPr>
          <w:p w14:paraId="0ABDB792">
            <w:pPr>
              <w:pStyle w:val="14"/>
              <w:spacing w:line="360" w:lineRule="auto"/>
              <w:jc w:val="center"/>
              <w:rPr>
                <w:rFonts w:hint="default" w:ascii="Times New Roman" w:hAnsi="Times New Roman" w:eastAsia="宋体"/>
                <w:b/>
                <w:bCs/>
                <w:color w:val="auto"/>
                <w:sz w:val="21"/>
                <w:szCs w:val="21"/>
                <w:lang w:val="en-US" w:eastAsia="zh-CN"/>
              </w:rPr>
            </w:pPr>
            <w:r>
              <w:rPr>
                <w:rFonts w:hint="eastAsia" w:ascii="Times New Roman" w:hAnsi="Times New Roman"/>
                <w:b/>
                <w:bCs/>
                <w:color w:val="auto"/>
                <w:sz w:val="21"/>
                <w:szCs w:val="21"/>
                <w:lang w:val="en-US" w:eastAsia="zh-CN"/>
              </w:rPr>
              <w:t>评定细则</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06EFD05">
            <w:pPr>
              <w:pStyle w:val="14"/>
              <w:spacing w:line="360" w:lineRule="auto"/>
              <w:jc w:val="center"/>
              <w:rPr>
                <w:rFonts w:hint="default" w:ascii="Times New Roman" w:hAnsi="Times New Roman"/>
                <w:b/>
                <w:bCs/>
                <w:color w:val="auto"/>
                <w:sz w:val="21"/>
                <w:szCs w:val="21"/>
                <w:lang w:val="en-US" w:eastAsia="zh-CN"/>
              </w:rPr>
            </w:pPr>
            <w:r>
              <w:rPr>
                <w:rFonts w:hint="eastAsia" w:ascii="Times New Roman" w:hAnsi="Times New Roman"/>
                <w:b/>
                <w:bCs/>
                <w:color w:val="auto"/>
                <w:sz w:val="21"/>
                <w:szCs w:val="21"/>
                <w:lang w:val="en-US" w:eastAsia="zh-CN"/>
              </w:rPr>
              <w:t>占比</w:t>
            </w:r>
          </w:p>
        </w:tc>
      </w:tr>
      <w:tr w14:paraId="3D5E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093" w:type="dxa"/>
            <w:tcBorders>
              <w:top w:val="single" w:color="auto" w:sz="4" w:space="0"/>
              <w:left w:val="single" w:color="auto" w:sz="4" w:space="0"/>
              <w:right w:val="single" w:color="auto" w:sz="4" w:space="0"/>
            </w:tcBorders>
            <w:tcMar>
              <w:left w:w="57" w:type="dxa"/>
              <w:right w:w="57" w:type="dxa"/>
            </w:tcMar>
            <w:vAlign w:val="center"/>
          </w:tcPr>
          <w:p w14:paraId="7450EBD9">
            <w:pPr>
              <w:pStyle w:val="14"/>
              <w:spacing w:line="360" w:lineRule="auto"/>
              <w:jc w:val="center"/>
              <w:rPr>
                <w:rFonts w:ascii="Times New Roman" w:hAnsi="Times New Roman"/>
                <w:color w:val="auto"/>
                <w:sz w:val="21"/>
                <w:szCs w:val="21"/>
                <w:lang w:bidi="ar"/>
              </w:rPr>
            </w:pPr>
            <w:r>
              <w:rPr>
                <w:rFonts w:ascii="Times New Roman" w:hAnsi="Times New Roman"/>
                <w:color w:val="auto"/>
                <w:sz w:val="21"/>
                <w:szCs w:val="21"/>
                <w:lang w:bidi="ar"/>
              </w:rPr>
              <w:t>平时作业</w:t>
            </w:r>
          </w:p>
        </w:tc>
        <w:tc>
          <w:tcPr>
            <w:tcW w:w="6672" w:type="dxa"/>
            <w:tcBorders>
              <w:top w:val="single" w:color="auto" w:sz="4" w:space="0"/>
              <w:left w:val="single" w:color="auto" w:sz="4" w:space="0"/>
              <w:bottom w:val="single" w:color="auto" w:sz="4" w:space="0"/>
              <w:right w:val="single" w:color="auto" w:sz="4" w:space="0"/>
            </w:tcBorders>
            <w:vAlign w:val="center"/>
          </w:tcPr>
          <w:p w14:paraId="03307A6B">
            <w:pPr>
              <w:jc w:val="left"/>
              <w:rPr>
                <w:rFonts w:ascii="Times New Roman" w:hAnsi="Times New Roman"/>
                <w:color w:val="auto"/>
                <w:sz w:val="21"/>
                <w:szCs w:val="21"/>
              </w:rPr>
            </w:pPr>
            <w:r>
              <w:rPr>
                <w:rFonts w:ascii="Times New Roman" w:hAnsi="Times New Roman"/>
                <w:color w:val="auto"/>
                <w:sz w:val="21"/>
                <w:szCs w:val="21"/>
                <w:lang w:bidi="ar"/>
              </w:rPr>
              <w:t>定期布置习题，考核学生对所学知识点的复习、理解和掌握度。对作业完成情况做记录并百分制打分，计算作业的平均成绩。</w:t>
            </w:r>
          </w:p>
        </w:tc>
        <w:tc>
          <w:tcPr>
            <w:tcW w:w="0" w:type="auto"/>
            <w:tcBorders>
              <w:top w:val="single" w:color="auto" w:sz="4" w:space="0"/>
              <w:left w:val="single" w:color="auto" w:sz="4" w:space="0"/>
              <w:right w:val="single" w:color="auto" w:sz="4" w:space="0"/>
            </w:tcBorders>
            <w:vAlign w:val="center"/>
          </w:tcPr>
          <w:p w14:paraId="0FE9AE62">
            <w:pPr>
              <w:pStyle w:val="14"/>
              <w:spacing w:line="36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25%</w:t>
            </w:r>
          </w:p>
        </w:tc>
      </w:tr>
      <w:tr w14:paraId="769D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93" w:type="dxa"/>
            <w:tcBorders>
              <w:left w:val="single" w:color="auto" w:sz="4" w:space="0"/>
              <w:right w:val="single" w:color="auto" w:sz="4" w:space="0"/>
            </w:tcBorders>
            <w:tcMar>
              <w:left w:w="57" w:type="dxa"/>
              <w:right w:w="57" w:type="dxa"/>
            </w:tcMar>
            <w:vAlign w:val="center"/>
          </w:tcPr>
          <w:p w14:paraId="51F5E4E8">
            <w:pPr>
              <w:pStyle w:val="14"/>
              <w:spacing w:line="36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课堂表现</w:t>
            </w:r>
          </w:p>
        </w:tc>
        <w:tc>
          <w:tcPr>
            <w:tcW w:w="6672" w:type="dxa"/>
            <w:tcBorders>
              <w:top w:val="single" w:color="auto" w:sz="4" w:space="0"/>
              <w:left w:val="single" w:color="auto" w:sz="4" w:space="0"/>
              <w:bottom w:val="single" w:color="auto" w:sz="4" w:space="0"/>
              <w:right w:val="single" w:color="auto" w:sz="4" w:space="0"/>
            </w:tcBorders>
            <w:vAlign w:val="center"/>
          </w:tcPr>
          <w:p w14:paraId="15F16023">
            <w:pPr>
              <w:jc w:val="left"/>
              <w:rPr>
                <w:rFonts w:ascii="Times New Roman" w:hAnsi="Times New Roman"/>
                <w:color w:val="auto"/>
                <w:sz w:val="21"/>
                <w:szCs w:val="21"/>
              </w:rPr>
            </w:pPr>
            <w:r>
              <w:rPr>
                <w:rFonts w:ascii="Times New Roman" w:hAnsi="Times New Roman"/>
                <w:color w:val="auto"/>
                <w:sz w:val="21"/>
                <w:szCs w:val="21"/>
              </w:rPr>
              <w:t>课堂不定期通过提问或小练习实施师生互动，考核考核学生课堂学习情况，按照互动情况打分。</w:t>
            </w:r>
          </w:p>
        </w:tc>
        <w:tc>
          <w:tcPr>
            <w:tcW w:w="0" w:type="auto"/>
            <w:tcBorders>
              <w:left w:val="single" w:color="auto" w:sz="4" w:space="0"/>
              <w:right w:val="single" w:color="auto" w:sz="4" w:space="0"/>
            </w:tcBorders>
            <w:vAlign w:val="center"/>
          </w:tcPr>
          <w:p w14:paraId="73CBE19E">
            <w:pPr>
              <w:spacing w:line="360" w:lineRule="auto"/>
              <w:jc w:val="center"/>
              <w:rPr>
                <w:rFonts w:hint="default" w:ascii="Times New Roman" w:hAnsi="Times New Roman" w:eastAsiaTheme="minorEastAsia"/>
                <w:color w:val="auto"/>
                <w:sz w:val="21"/>
                <w:szCs w:val="21"/>
                <w:lang w:val="en-US" w:eastAsia="zh-CN"/>
              </w:rPr>
            </w:pPr>
            <w:r>
              <w:rPr>
                <w:rFonts w:hint="eastAsia" w:ascii="Times New Roman" w:hAnsi="Times New Roman"/>
                <w:color w:val="auto"/>
                <w:sz w:val="21"/>
                <w:szCs w:val="21"/>
                <w:lang w:val="en-US" w:eastAsia="zh-CN"/>
              </w:rPr>
              <w:t>25%</w:t>
            </w:r>
          </w:p>
        </w:tc>
      </w:tr>
      <w:tr w14:paraId="1064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093" w:type="dxa"/>
            <w:tcBorders>
              <w:left w:val="single" w:color="auto" w:sz="4" w:space="0"/>
              <w:right w:val="single" w:color="auto" w:sz="4" w:space="0"/>
            </w:tcBorders>
            <w:tcMar>
              <w:left w:w="57" w:type="dxa"/>
              <w:right w:w="57" w:type="dxa"/>
            </w:tcMar>
            <w:vAlign w:val="center"/>
          </w:tcPr>
          <w:p w14:paraId="3F757B27">
            <w:pPr>
              <w:pStyle w:val="14"/>
              <w:spacing w:line="360" w:lineRule="auto"/>
              <w:jc w:val="center"/>
              <w:rPr>
                <w:rFonts w:ascii="Times New Roman" w:hAnsi="Times New Roman"/>
                <w:color w:val="auto"/>
                <w:sz w:val="21"/>
                <w:szCs w:val="21"/>
              </w:rPr>
            </w:pPr>
            <w:r>
              <w:rPr>
                <w:rFonts w:ascii="Times New Roman" w:hAnsi="Times New Roman"/>
                <w:color w:val="auto"/>
                <w:sz w:val="21"/>
                <w:szCs w:val="21"/>
                <w:lang w:bidi="ar"/>
              </w:rPr>
              <w:t>期末考试</w:t>
            </w:r>
          </w:p>
        </w:tc>
        <w:tc>
          <w:tcPr>
            <w:tcW w:w="6672" w:type="dxa"/>
            <w:tcBorders>
              <w:top w:val="single" w:color="auto" w:sz="4" w:space="0"/>
              <w:left w:val="single" w:color="auto" w:sz="4" w:space="0"/>
              <w:bottom w:val="single" w:color="auto" w:sz="4" w:space="0"/>
              <w:right w:val="single" w:color="auto" w:sz="4" w:space="0"/>
            </w:tcBorders>
            <w:vAlign w:val="center"/>
          </w:tcPr>
          <w:p w14:paraId="63C92080">
            <w:pPr>
              <w:spacing w:line="360" w:lineRule="auto"/>
              <w:jc w:val="left"/>
              <w:rPr>
                <w:rFonts w:hint="eastAsia" w:ascii="Times New Roman" w:hAnsi="Times New Roman" w:eastAsiaTheme="minorEastAsia"/>
                <w:color w:val="auto"/>
                <w:sz w:val="21"/>
                <w:szCs w:val="21"/>
                <w:lang w:val="en-US" w:eastAsia="zh-CN"/>
              </w:rPr>
            </w:pPr>
            <w:r>
              <w:rPr>
                <w:rFonts w:ascii="Times New Roman" w:hAnsi="Times New Roman"/>
                <w:color w:val="auto"/>
                <w:sz w:val="21"/>
                <w:szCs w:val="21"/>
                <w:lang w:bidi="ar"/>
              </w:rPr>
              <w:t>试卷题型包括选择题、计算题、解答题等。</w:t>
            </w:r>
          </w:p>
        </w:tc>
        <w:tc>
          <w:tcPr>
            <w:tcW w:w="0" w:type="auto"/>
            <w:tcBorders>
              <w:left w:val="single" w:color="auto" w:sz="4" w:space="0"/>
              <w:right w:val="single" w:color="auto" w:sz="4" w:space="0"/>
            </w:tcBorders>
            <w:vAlign w:val="center"/>
          </w:tcPr>
          <w:p w14:paraId="02695D07">
            <w:pPr>
              <w:pStyle w:val="14"/>
              <w:spacing w:line="36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50%</w:t>
            </w:r>
          </w:p>
        </w:tc>
      </w:tr>
      <w:tr w14:paraId="7382F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093" w:type="dxa"/>
            <w:tcBorders>
              <w:left w:val="single" w:color="auto" w:sz="4" w:space="0"/>
              <w:right w:val="single" w:color="auto" w:sz="4" w:space="0"/>
            </w:tcBorders>
            <w:tcMar>
              <w:left w:w="57" w:type="dxa"/>
              <w:right w:w="57" w:type="dxa"/>
            </w:tcMar>
            <w:vAlign w:val="center"/>
          </w:tcPr>
          <w:p w14:paraId="37B449E0">
            <w:pPr>
              <w:pStyle w:val="14"/>
              <w:spacing w:line="360" w:lineRule="auto"/>
              <w:jc w:val="center"/>
              <w:rPr>
                <w:rFonts w:hint="eastAsia" w:ascii="Times New Roman" w:hAnsi="Times New Roman" w:eastAsia="宋体"/>
                <w:color w:val="auto"/>
                <w:sz w:val="21"/>
                <w:szCs w:val="21"/>
                <w:lang w:val="en-US" w:eastAsia="zh-CN" w:bidi="ar"/>
              </w:rPr>
            </w:pPr>
            <w:r>
              <w:rPr>
                <w:rFonts w:hint="eastAsia" w:ascii="Times New Roman" w:hAnsi="Times New Roman"/>
                <w:color w:val="auto"/>
                <w:sz w:val="21"/>
                <w:szCs w:val="21"/>
                <w:lang w:val="en-US" w:eastAsia="zh-CN" w:bidi="ar"/>
              </w:rPr>
              <w:t>合计</w:t>
            </w:r>
          </w:p>
        </w:tc>
        <w:tc>
          <w:tcPr>
            <w:tcW w:w="6672" w:type="dxa"/>
            <w:tcBorders>
              <w:top w:val="single" w:color="auto" w:sz="4" w:space="0"/>
              <w:left w:val="single" w:color="auto" w:sz="4" w:space="0"/>
              <w:right w:val="single" w:color="auto" w:sz="4" w:space="0"/>
            </w:tcBorders>
            <w:vAlign w:val="center"/>
          </w:tcPr>
          <w:p w14:paraId="51090189">
            <w:pPr>
              <w:spacing w:line="360" w:lineRule="auto"/>
              <w:jc w:val="left"/>
              <w:rPr>
                <w:rFonts w:ascii="Times New Roman" w:hAnsi="Times New Roman"/>
                <w:color w:val="auto"/>
                <w:sz w:val="21"/>
                <w:szCs w:val="21"/>
                <w:lang w:bidi="ar"/>
              </w:rPr>
            </w:pPr>
          </w:p>
        </w:tc>
        <w:tc>
          <w:tcPr>
            <w:tcW w:w="0" w:type="auto"/>
            <w:tcBorders>
              <w:left w:val="single" w:color="auto" w:sz="4" w:space="0"/>
              <w:bottom w:val="single" w:color="auto" w:sz="4" w:space="0"/>
              <w:right w:val="single" w:color="auto" w:sz="4" w:space="0"/>
            </w:tcBorders>
            <w:vAlign w:val="center"/>
          </w:tcPr>
          <w:p w14:paraId="2DE9F3A6">
            <w:pPr>
              <w:pStyle w:val="14"/>
              <w:spacing w:line="36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100%</w:t>
            </w:r>
          </w:p>
        </w:tc>
      </w:tr>
    </w:tbl>
    <w:p w14:paraId="6AB7A667">
      <w:pPr>
        <w:spacing w:line="360" w:lineRule="auto"/>
        <w:ind w:firstLine="422" w:firstLineChars="200"/>
        <w:jc w:val="left"/>
        <w:rPr>
          <w:rFonts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623AC89B">
      <w:pPr>
        <w:spacing w:line="360" w:lineRule="auto"/>
        <w:ind w:firstLine="411" w:firstLineChars="196"/>
        <w:jc w:val="left"/>
        <w:rPr>
          <w:rFonts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06F9A051">
      <w:pPr>
        <w:spacing w:before="156" w:beforeLines="50" w:line="360" w:lineRule="auto"/>
        <w:ind w:firstLine="420" w:firstLineChars="200"/>
        <w:jc w:val="left"/>
        <w:rPr>
          <w:rFonts w:ascii="Times New Roman" w:hAnsi="Times New Roman"/>
          <w:b/>
          <w:color w:val="auto"/>
          <w:sz w:val="24"/>
          <w:szCs w:val="24"/>
        </w:rPr>
      </w:pPr>
      <w:r>
        <w:rPr>
          <w:rFonts w:ascii="宋体" w:hAnsi="宋体" w:eastAsia="宋体" w:cs="Times New Roman"/>
          <w:color w:val="auto"/>
          <w:szCs w:val="21"/>
        </w:rPr>
        <w:object>
          <v:shape id="_x0000_i1072" o:spt="75" type="#_x0000_t75" style="height:25.05pt;width:404.45pt;" o:ole="t" filled="f" o:preferrelative="t" stroked="f" coordsize="21600,21600">
            <v:path/>
            <v:fill on="f" focussize="0,0"/>
            <v:stroke on="f" joinstyle="miter"/>
            <v:imagedata r:id="rId10" o:title=""/>
            <o:lock v:ext="edit" aspectratio="t"/>
            <w10:wrap type="none"/>
            <w10:anchorlock/>
          </v:shape>
          <o:OLEObject Type="Embed" ProgID="Equation.3" ShapeID="_x0000_i1072" DrawAspect="Content" ObjectID="_1468075771" r:id="rId58">
            <o:LockedField>false</o:LockedField>
          </o:OLEObject>
        </w:object>
      </w:r>
      <w:r>
        <w:rPr>
          <w:rFonts w:hint="eastAsia" w:ascii="Times New Roman" w:hAnsi="Times New Roman"/>
          <w:b/>
          <w:color w:val="auto"/>
          <w:sz w:val="24"/>
          <w:szCs w:val="24"/>
          <w:lang w:val="en-US" w:eastAsia="zh-CN"/>
        </w:rPr>
        <w:t>五</w:t>
      </w:r>
      <w:r>
        <w:rPr>
          <w:rFonts w:ascii="Times New Roman" w:hAnsi="Times New Roman"/>
          <w:b/>
          <w:color w:val="auto"/>
          <w:sz w:val="24"/>
          <w:szCs w:val="24"/>
        </w:rPr>
        <w:t>、有关说明</w:t>
      </w:r>
    </w:p>
    <w:p w14:paraId="45F4FE2F">
      <w:pPr>
        <w:spacing w:line="360" w:lineRule="auto"/>
        <w:ind w:firstLine="422" w:firstLineChars="200"/>
        <w:rPr>
          <w:rFonts w:ascii="Times New Roman" w:hAnsi="Times New Roman"/>
          <w:b/>
          <w:color w:val="auto"/>
          <w:sz w:val="21"/>
          <w:szCs w:val="21"/>
        </w:rPr>
      </w:pPr>
      <w:r>
        <w:rPr>
          <w:rFonts w:ascii="Times New Roman" w:hAnsi="Times New Roman"/>
          <w:b/>
          <w:color w:val="auto"/>
          <w:sz w:val="21"/>
          <w:szCs w:val="21"/>
        </w:rPr>
        <w:t>（一）持续改进</w:t>
      </w:r>
    </w:p>
    <w:p w14:paraId="741C5DE1">
      <w:pPr>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1. 提倡改革教学方法，强调应用现代化教学手段，如课件、互联网视频教学和网络答疑等。</w:t>
      </w:r>
    </w:p>
    <w:p w14:paraId="1D6E2728">
      <w:pPr>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2.</w:t>
      </w:r>
      <w:r>
        <w:rPr>
          <w:rFonts w:hint="eastAsia" w:ascii="Times New Roman" w:hAnsi="Times New Roman"/>
          <w:color w:val="auto"/>
          <w:sz w:val="21"/>
          <w:szCs w:val="21"/>
        </w:rPr>
        <w:t xml:space="preserve"> </w:t>
      </w:r>
      <w:r>
        <w:rPr>
          <w:rFonts w:ascii="Times New Roman" w:hAnsi="Times New Roman"/>
          <w:color w:val="auto"/>
          <w:sz w:val="21"/>
          <w:szCs w:val="21"/>
        </w:rPr>
        <w:t>合理安排教学课时，加强课堂提问、课堂小测验等旨在督促学生自主学习的教学环节；引导学生做好课前预习、课后整理笔记并及时完成作业的复习工作；保证学生完成一定数量的作业和习题。</w:t>
      </w:r>
    </w:p>
    <w:p w14:paraId="5AF9E82F">
      <w:pPr>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3．教学用的例题和习题，应适当结合实际。</w:t>
      </w:r>
    </w:p>
    <w:p w14:paraId="51B44297">
      <w:pPr>
        <w:spacing w:line="360" w:lineRule="auto"/>
        <w:ind w:firstLine="422" w:firstLineChars="200"/>
        <w:rPr>
          <w:rFonts w:ascii="Times New Roman" w:hAnsi="Times New Roman"/>
          <w:b/>
          <w:color w:val="auto"/>
          <w:sz w:val="21"/>
          <w:szCs w:val="21"/>
        </w:rPr>
      </w:pPr>
      <w:r>
        <w:rPr>
          <w:rFonts w:ascii="Times New Roman" w:hAnsi="Times New Roman"/>
          <w:b/>
          <w:color w:val="auto"/>
          <w:sz w:val="21"/>
          <w:szCs w:val="21"/>
        </w:rPr>
        <w:t>（二）参考书目及学习资料</w:t>
      </w:r>
    </w:p>
    <w:p w14:paraId="2859A6CC">
      <w:pPr>
        <w:spacing w:line="360" w:lineRule="auto"/>
        <w:ind w:firstLine="420" w:firstLineChars="200"/>
        <w:rPr>
          <w:rFonts w:ascii="Times New Roman" w:hAnsi="Times New Roman"/>
          <w:color w:val="auto"/>
          <w:kern w:val="0"/>
          <w:sz w:val="21"/>
          <w:szCs w:val="21"/>
        </w:rPr>
      </w:pPr>
      <w:r>
        <w:rPr>
          <w:rFonts w:ascii="Times New Roman" w:hAnsi="Times New Roman"/>
          <w:color w:val="auto"/>
          <w:sz w:val="21"/>
          <w:szCs w:val="21"/>
        </w:rPr>
        <w:t xml:space="preserve">1. </w:t>
      </w:r>
      <w:r>
        <w:rPr>
          <w:rFonts w:ascii="Times New Roman" w:hAnsi="Times New Roman"/>
          <w:color w:val="auto"/>
          <w:kern w:val="0"/>
          <w:sz w:val="21"/>
          <w:szCs w:val="21"/>
        </w:rPr>
        <w:t>《</w:t>
      </w:r>
      <w:r>
        <w:rPr>
          <w:rFonts w:ascii="Times New Roman" w:hAnsi="Times New Roman"/>
          <w:color w:val="auto"/>
          <w:sz w:val="21"/>
          <w:szCs w:val="21"/>
        </w:rPr>
        <w:t>数学</w:t>
      </w:r>
      <w:r>
        <w:rPr>
          <w:rFonts w:hint="eastAsia" w:ascii="Times New Roman" w:hAnsi="Times New Roman"/>
          <w:color w:val="auto"/>
          <w:sz w:val="21"/>
          <w:szCs w:val="21"/>
        </w:rPr>
        <w:t>培优</w:t>
      </w:r>
      <w:r>
        <w:rPr>
          <w:rFonts w:ascii="Times New Roman" w:hAnsi="Times New Roman"/>
          <w:color w:val="auto"/>
          <w:sz w:val="21"/>
          <w:szCs w:val="21"/>
        </w:rPr>
        <w:t>竞赛</w:t>
      </w:r>
      <w:r>
        <w:rPr>
          <w:rFonts w:hint="eastAsia" w:ascii="Times New Roman" w:hAnsi="Times New Roman"/>
          <w:color w:val="auto"/>
          <w:sz w:val="21"/>
          <w:szCs w:val="21"/>
        </w:rPr>
        <w:t>讲座</w:t>
      </w:r>
      <w:r>
        <w:rPr>
          <w:rFonts w:ascii="Times New Roman" w:hAnsi="Times New Roman"/>
          <w:color w:val="auto"/>
          <w:kern w:val="0"/>
          <w:sz w:val="21"/>
          <w:szCs w:val="21"/>
        </w:rPr>
        <w:t>》，</w:t>
      </w:r>
      <w:r>
        <w:rPr>
          <w:rFonts w:hint="eastAsia" w:ascii="Times New Roman" w:hAnsi="Times New Roman"/>
          <w:color w:val="auto"/>
          <w:sz w:val="21"/>
          <w:szCs w:val="21"/>
        </w:rPr>
        <w:t>朱华伟编著，清华大学</w:t>
      </w:r>
      <w:r>
        <w:rPr>
          <w:rFonts w:ascii="Times New Roman" w:hAnsi="Times New Roman"/>
          <w:color w:val="auto"/>
          <w:sz w:val="21"/>
          <w:szCs w:val="21"/>
        </w:rPr>
        <w:t>出版社</w:t>
      </w:r>
      <w:r>
        <w:rPr>
          <w:rFonts w:ascii="Times New Roman" w:hAnsi="Times New Roman"/>
          <w:color w:val="auto"/>
          <w:kern w:val="0"/>
          <w:sz w:val="21"/>
          <w:szCs w:val="21"/>
        </w:rPr>
        <w:t>，2021.8</w:t>
      </w:r>
    </w:p>
    <w:p w14:paraId="41A586A5">
      <w:pPr>
        <w:pStyle w:val="9"/>
        <w:spacing w:line="400" w:lineRule="exact"/>
        <w:ind w:firstLine="420" w:firstLineChars="200"/>
        <w:rPr>
          <w:rFonts w:ascii="Times New Roman" w:hAnsi="Times New Roman"/>
          <w:color w:val="auto"/>
          <w:sz w:val="21"/>
          <w:szCs w:val="21"/>
        </w:rPr>
      </w:pPr>
    </w:p>
    <w:p w14:paraId="7BEF01F8">
      <w:pPr>
        <w:autoSpaceDE w:val="0"/>
        <w:autoSpaceDN w:val="0"/>
        <w:adjustRightInd w:val="0"/>
        <w:spacing w:line="360" w:lineRule="auto"/>
        <w:ind w:firstLine="420" w:firstLineChars="200"/>
        <w:jc w:val="left"/>
        <w:rPr>
          <w:rFonts w:ascii="Times New Roman" w:hAnsi="Times New Roman"/>
          <w:color w:val="auto"/>
          <w:kern w:val="0"/>
          <w:sz w:val="21"/>
          <w:szCs w:val="21"/>
        </w:rPr>
      </w:pPr>
      <w:r>
        <w:rPr>
          <w:rFonts w:ascii="Times New Roman" w:hAnsi="Times New Roman"/>
          <w:color w:val="auto"/>
          <w:sz w:val="21"/>
          <w:szCs w:val="21"/>
        </w:rPr>
        <w:t xml:space="preserve">                                                </w:t>
      </w:r>
      <w:r>
        <w:rPr>
          <w:rFonts w:hint="eastAsia" w:ascii="Times New Roman" w:hAnsi="Times New Roman"/>
          <w:color w:val="auto"/>
          <w:sz w:val="21"/>
          <w:szCs w:val="21"/>
        </w:rPr>
        <w:t xml:space="preserve"> </w:t>
      </w:r>
      <w:r>
        <w:rPr>
          <w:rFonts w:ascii="Times New Roman" w:hAnsi="Times New Roman"/>
          <w:color w:val="auto"/>
          <w:sz w:val="21"/>
          <w:szCs w:val="21"/>
        </w:rPr>
        <w:t xml:space="preserve"> </w:t>
      </w:r>
      <w:r>
        <w:rPr>
          <w:rFonts w:ascii="Times New Roman" w:hAnsi="Times New Roman"/>
          <w:color w:val="auto"/>
          <w:kern w:val="0"/>
          <w:sz w:val="21"/>
          <w:szCs w:val="21"/>
        </w:rPr>
        <w:t>执笔人：黄  星</w:t>
      </w:r>
    </w:p>
    <w:p w14:paraId="6107E526">
      <w:pPr>
        <w:autoSpaceDE w:val="0"/>
        <w:autoSpaceDN w:val="0"/>
        <w:adjustRightInd w:val="0"/>
        <w:spacing w:line="360" w:lineRule="auto"/>
        <w:ind w:firstLine="5670" w:firstLineChars="2700"/>
        <w:jc w:val="left"/>
        <w:rPr>
          <w:rFonts w:ascii="Times New Roman" w:hAnsi="Times New Roman"/>
          <w:color w:val="auto"/>
          <w:kern w:val="0"/>
          <w:sz w:val="21"/>
          <w:szCs w:val="21"/>
        </w:rPr>
      </w:pPr>
      <w:r>
        <w:rPr>
          <w:rFonts w:hint="eastAsia" w:ascii="Times New Roman" w:hAnsi="Times New Roman"/>
          <w:color w:val="auto"/>
          <w:kern w:val="0"/>
          <w:sz w:val="21"/>
          <w:szCs w:val="21"/>
        </w:rPr>
        <w:t>审定人：</w:t>
      </w:r>
      <w:r>
        <w:rPr>
          <w:rFonts w:hint="eastAsia" w:ascii="Times New Roman" w:hAnsi="Times New Roman"/>
          <w:color w:val="auto"/>
          <w:sz w:val="21"/>
          <w:szCs w:val="21"/>
        </w:rPr>
        <w:t>黄</w:t>
      </w:r>
      <w:r>
        <w:rPr>
          <w:rFonts w:ascii="Times New Roman" w:hAnsi="Times New Roman"/>
          <w:color w:val="auto"/>
          <w:sz w:val="21"/>
          <w:szCs w:val="21"/>
        </w:rPr>
        <w:t xml:space="preserve">  </w:t>
      </w:r>
      <w:r>
        <w:rPr>
          <w:rFonts w:hint="eastAsia" w:ascii="Times New Roman" w:hAnsi="Times New Roman"/>
          <w:color w:val="auto"/>
          <w:sz w:val="21"/>
          <w:szCs w:val="21"/>
        </w:rPr>
        <w:t>星</w:t>
      </w:r>
    </w:p>
    <w:p w14:paraId="435C383F">
      <w:pPr>
        <w:autoSpaceDE w:val="0"/>
        <w:autoSpaceDN w:val="0"/>
        <w:adjustRightInd w:val="0"/>
        <w:spacing w:line="360" w:lineRule="auto"/>
        <w:ind w:firstLine="5670" w:firstLineChars="2700"/>
        <w:jc w:val="left"/>
        <w:rPr>
          <w:rFonts w:ascii="Times New Roman" w:hAnsi="Times New Roman"/>
          <w:color w:val="auto"/>
          <w:kern w:val="0"/>
          <w:sz w:val="21"/>
          <w:szCs w:val="21"/>
        </w:rPr>
      </w:pPr>
      <w:r>
        <w:rPr>
          <w:rFonts w:hint="eastAsia" w:ascii="Times New Roman" w:hAnsi="Times New Roman"/>
          <w:color w:val="auto"/>
          <w:kern w:val="0"/>
          <w:sz w:val="21"/>
          <w:szCs w:val="21"/>
        </w:rPr>
        <w:t>审批人：万志龙</w:t>
      </w:r>
    </w:p>
    <w:p w14:paraId="3971D5A9">
      <w:pPr>
        <w:autoSpaceDE w:val="0"/>
        <w:autoSpaceDN w:val="0"/>
        <w:adjustRightInd w:val="0"/>
        <w:spacing w:line="360" w:lineRule="auto"/>
        <w:ind w:firstLine="5670" w:firstLineChars="2700"/>
        <w:jc w:val="left"/>
        <w:rPr>
          <w:rFonts w:hint="default" w:ascii="Times New Roman" w:hAnsi="Times New Roman" w:eastAsiaTheme="minorEastAsia"/>
          <w:color w:val="auto"/>
          <w:kern w:val="0"/>
          <w:sz w:val="21"/>
          <w:szCs w:val="21"/>
          <w:lang w:val="en-US" w:eastAsia="zh-CN"/>
        </w:rPr>
      </w:pPr>
      <w:r>
        <w:rPr>
          <w:rFonts w:hint="eastAsia" w:ascii="Times New Roman" w:hAnsi="Times New Roman"/>
          <w:color w:val="auto"/>
          <w:kern w:val="0"/>
          <w:sz w:val="21"/>
          <w:szCs w:val="21"/>
        </w:rPr>
        <w:t>批准时间：</w:t>
      </w:r>
      <w:r>
        <w:rPr>
          <w:rFonts w:ascii="Times New Roman" w:hAnsi="Times New Roman"/>
          <w:color w:val="auto"/>
          <w:kern w:val="0"/>
          <w:sz w:val="21"/>
          <w:szCs w:val="21"/>
        </w:rPr>
        <w:t>202</w:t>
      </w:r>
      <w:r>
        <w:rPr>
          <w:rFonts w:hint="eastAsia" w:ascii="Times New Roman" w:hAnsi="Times New Roman"/>
          <w:color w:val="auto"/>
          <w:kern w:val="0"/>
          <w:sz w:val="21"/>
          <w:szCs w:val="21"/>
          <w:lang w:val="en-US" w:eastAsia="zh-CN"/>
        </w:rPr>
        <w:t>5年7月</w:t>
      </w:r>
    </w:p>
    <w:p w14:paraId="3AE5D30F">
      <w:pPr>
        <w:rPr>
          <w:color w:val="auto"/>
        </w:rPr>
      </w:pPr>
    </w:p>
    <w:p w14:paraId="7FDA42ED">
      <w:pPr>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73468A23">
      <w:pPr>
        <w:spacing w:line="360" w:lineRule="auto"/>
        <w:jc w:val="center"/>
        <w:outlineLvl w:val="0"/>
        <w:rPr>
          <w:rFonts w:hint="eastAsia" w:ascii="Times New Roman" w:hAnsi="Times New Roman" w:eastAsia="宋体" w:cs="Times New Roman"/>
          <w:b/>
          <w:color w:val="auto"/>
          <w:sz w:val="44"/>
          <w:szCs w:val="44"/>
        </w:rPr>
      </w:pPr>
      <w:bookmarkStart w:id="408" w:name="_Toc29434"/>
      <w:bookmarkStart w:id="409" w:name="_Toc19953"/>
      <w:r>
        <w:rPr>
          <w:rFonts w:hint="eastAsia" w:ascii="Times New Roman" w:hAnsi="Times New Roman" w:eastAsia="宋体" w:cs="Times New Roman"/>
          <w:b/>
          <w:color w:val="auto"/>
          <w:sz w:val="44"/>
          <w:szCs w:val="44"/>
        </w:rPr>
        <w:t>《综合实践活动设计》课程教学大纲</w:t>
      </w:r>
      <w:bookmarkEnd w:id="408"/>
      <w:bookmarkEnd w:id="409"/>
    </w:p>
    <w:p w14:paraId="742E4D48">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w:t>
      </w:r>
      <w:r>
        <w:rPr>
          <w:rFonts w:hint="eastAsia" w:ascii="Times New Roman" w:hAnsi="Times New Roman" w:eastAsia="宋体" w:cs="Times New Roman"/>
          <w:b/>
          <w:bCs/>
          <w:color w:val="auto"/>
          <w:sz w:val="28"/>
          <w:szCs w:val="28"/>
        </w:rPr>
        <w:t>Comprehensive Activity Design</w:t>
      </w:r>
      <w:r>
        <w:rPr>
          <w:rFonts w:ascii="Times New Roman" w:hAnsi="Times New Roman" w:eastAsia="宋体" w:cs="Times New Roman"/>
          <w:b/>
          <w:bCs/>
          <w:color w:val="auto"/>
          <w:sz w:val="28"/>
          <w:szCs w:val="28"/>
        </w:rPr>
        <w:t>）</w:t>
      </w:r>
    </w:p>
    <w:p w14:paraId="2F57CB01">
      <w:pPr>
        <w:spacing w:line="360" w:lineRule="auto"/>
        <w:jc w:val="center"/>
        <w:rPr>
          <w:rFonts w:ascii="Times New Roman" w:hAnsi="Times New Roman" w:eastAsia="宋体" w:cs="Times New Roman"/>
          <w:bCs/>
          <w:color w:val="auto"/>
          <w:sz w:val="24"/>
        </w:rPr>
      </w:pPr>
    </w:p>
    <w:p w14:paraId="5613A4FA">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课程名称：综合实践活动设计</w:t>
      </w:r>
    </w:p>
    <w:p w14:paraId="4AACECD4">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w:t>
      </w:r>
      <w:r>
        <w:rPr>
          <w:rFonts w:ascii="Times New Roman" w:hAnsi="Times New Roman" w:eastAsia="宋体" w:cs="Times New Roman"/>
          <w:b/>
          <w:color w:val="auto"/>
          <w:sz w:val="24"/>
          <w:szCs w:val="24"/>
        </w:rPr>
        <w:t>24010</w:t>
      </w:r>
      <w:r>
        <w:rPr>
          <w:rFonts w:hint="eastAsia" w:ascii="Times New Roman" w:hAnsi="Times New Roman" w:eastAsia="宋体" w:cs="Times New Roman"/>
          <w:b/>
          <w:color w:val="auto"/>
          <w:sz w:val="24"/>
          <w:szCs w:val="24"/>
        </w:rPr>
        <w:t>24</w:t>
      </w:r>
    </w:p>
    <w:p w14:paraId="67064AF8">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w:t>
      </w:r>
      <w:r>
        <w:rPr>
          <w:rFonts w:ascii="Times New Roman" w:hAnsi="Times New Roman" w:eastAsia="宋体" w:cs="Times New Roman"/>
          <w:b/>
          <w:color w:val="auto"/>
          <w:sz w:val="24"/>
          <w:szCs w:val="24"/>
        </w:rPr>
        <w:t xml:space="preserve">    分：2</w:t>
      </w:r>
    </w:p>
    <w:p w14:paraId="7776F0A5">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w:t>
      </w:r>
      <w:r>
        <w:rPr>
          <w:rFonts w:ascii="Times New Roman" w:hAnsi="Times New Roman" w:eastAsia="宋体" w:cs="Times New Roman"/>
          <w:b/>
          <w:color w:val="auto"/>
          <w:sz w:val="24"/>
          <w:szCs w:val="24"/>
        </w:rPr>
        <w:t xml:space="preserve">    时：32 （其中：讲授学时16， 实践学时16）</w:t>
      </w:r>
    </w:p>
    <w:p w14:paraId="28FAE101">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先修课程：教育原理、教育心理学、课程与教学论</w:t>
      </w:r>
    </w:p>
    <w:p w14:paraId="3B96AEF7">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适用专业：小学教育（文、理）</w:t>
      </w:r>
    </w:p>
    <w:p w14:paraId="3E67E77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ascii="Times New Roman" w:hAnsi="Times New Roman" w:eastAsia="宋体" w:cs="Times New Roman"/>
          <w:color w:val="auto"/>
          <w:sz w:val="22"/>
          <w:szCs w:val="22"/>
        </w:rPr>
      </w:pPr>
      <w:r>
        <w:rPr>
          <w:rFonts w:hint="eastAsia" w:ascii="Times New Roman" w:hAnsi="Times New Roman" w:eastAsia="宋体" w:cs="Times New Roman"/>
          <w:b/>
          <w:color w:val="auto"/>
          <w:sz w:val="22"/>
          <w:szCs w:val="22"/>
        </w:rPr>
        <w:t>一、课程简介</w:t>
      </w:r>
    </w:p>
    <w:p w14:paraId="33280717">
      <w:pPr>
        <w:spacing w:line="360" w:lineRule="auto"/>
        <w:ind w:firstLine="420" w:firstLineChars="200"/>
        <w:jc w:val="left"/>
        <w:rPr>
          <w:rFonts w:hint="eastAsia" w:ascii="宋体" w:hAnsi="宋体" w:eastAsia="宋体" w:cs="Times New Roman"/>
          <w:b/>
          <w:color w:val="auto"/>
          <w:szCs w:val="21"/>
        </w:rPr>
      </w:pPr>
      <w:r>
        <w:rPr>
          <w:rFonts w:hint="eastAsia" w:ascii="Times New Roman" w:hAnsi="Times New Roman" w:eastAsia="宋体" w:cs="Times New Roman"/>
          <w:color w:val="auto"/>
          <w:szCs w:val="21"/>
        </w:rPr>
        <w:t>本课程是小学教育（文、理）专业的一门专业选修课程。通过本课程的学习，全面认识综合实践活动课程在小学开设的重要意义，了解综合实践活动课程的基本内容，明确综合实践活动的理念、性质、目标和内容范围，掌握小学综合实践活动设计的基本原理和方法，激发从事实践活动的兴趣和意识，具有指导小学生开展综合实践活动的能力。</w:t>
      </w:r>
    </w:p>
    <w:p w14:paraId="21A4DA0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2"/>
          <w:szCs w:val="22"/>
        </w:rPr>
        <w:t>二、课程目标</w:t>
      </w:r>
    </w:p>
    <w:p w14:paraId="4C4DA5EC">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59E324FA">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1.理解综合实践活动课程产生的理论与社会背景，明确综合实践活动课程在基础教育课程体系中的作用，理解综合实践活动课程的现实意义。理解综合实践活动课程的特征与价值，理解综合实践活动课程的基本理念，明确综合实践活动课程的目标，了解综合实践活动课程的内容。</w:t>
      </w:r>
    </w:p>
    <w:p w14:paraId="7A0E6747">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目标2.理解小学综合实践活动设计的基本原则，明确小学综合实践活动设计的基本要求。能够运用所学理论独立设计综合实践活动方案，能够对综合实践活动方案进行全面的评价和优化。</w:t>
      </w:r>
    </w:p>
    <w:p w14:paraId="159D148B">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目标3.明确综合实践活动课程实施的特点，明确综合实践活动指导教师的职责，能具体指导小学生开展综合实践活动，具备开发和利用综合实践活动课程资源的能力.</w:t>
      </w:r>
    </w:p>
    <w:p w14:paraId="4629D4D0">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目标4.具有较强的合作与沟通能力，具有在活动中育人的意识和能力，具有一定的研究与反思能力。</w:t>
      </w:r>
    </w:p>
    <w:p w14:paraId="4DD611DE">
      <w:pPr>
        <w:spacing w:before="156" w:beforeLines="50" w:after="156" w:afterLines="50" w:line="360" w:lineRule="auto"/>
        <w:ind w:firstLine="422" w:firstLineChars="200"/>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6290"/>
        <w:gridCol w:w="1327"/>
      </w:tblGrid>
      <w:tr w14:paraId="3F39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0" w:type="dxa"/>
            <w:vAlign w:val="center"/>
          </w:tcPr>
          <w:p w14:paraId="2878577A">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290" w:type="dxa"/>
            <w:vAlign w:val="center"/>
          </w:tcPr>
          <w:p w14:paraId="2BC0B764">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327" w:type="dxa"/>
            <w:vAlign w:val="center"/>
          </w:tcPr>
          <w:p w14:paraId="1B484987">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7CEB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0" w:type="dxa"/>
            <w:vAlign w:val="center"/>
          </w:tcPr>
          <w:p w14:paraId="1B8FD5CA">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r>
              <w:rPr>
                <w:rFonts w:ascii="Times New Roman" w:hAnsi="Times New Roman" w:eastAsia="宋体" w:cs="Times New Roman"/>
                <w:b/>
                <w:bCs/>
                <w:color w:val="auto"/>
                <w:szCs w:val="21"/>
              </w:rPr>
              <w:t>4. 教学能力</w:t>
            </w:r>
          </w:p>
        </w:tc>
        <w:tc>
          <w:tcPr>
            <w:tcW w:w="6290" w:type="dxa"/>
            <w:vAlign w:val="center"/>
          </w:tcPr>
          <w:p w14:paraId="780974C1">
            <w:pPr>
              <w:spacing w:line="276" w:lineRule="auto"/>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1DD1102B">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1</w:t>
            </w:r>
          </w:p>
          <w:p w14:paraId="7866056E">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课程目标2</w:t>
            </w:r>
          </w:p>
        </w:tc>
      </w:tr>
      <w:tr w14:paraId="3917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0" w:type="dxa"/>
            <w:vAlign w:val="center"/>
          </w:tcPr>
          <w:p w14:paraId="66729EAA">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r>
              <w:rPr>
                <w:rFonts w:ascii="Times New Roman" w:hAnsi="Times New Roman" w:eastAsia="宋体" w:cs="Times New Roman"/>
                <w:b/>
                <w:bCs/>
                <w:color w:val="auto"/>
                <w:szCs w:val="21"/>
              </w:rPr>
              <w:t>6. 综合育人</w:t>
            </w:r>
          </w:p>
        </w:tc>
        <w:tc>
          <w:tcPr>
            <w:tcW w:w="6290" w:type="dxa"/>
            <w:vAlign w:val="center"/>
          </w:tcPr>
          <w:p w14:paraId="563DD95E">
            <w:pPr>
              <w:spacing w:line="276" w:lineRule="auto"/>
              <w:jc w:val="left"/>
              <w:rPr>
                <w:rFonts w:hint="eastAsia" w:ascii="Times New Roman" w:hAnsi="Times New Roman" w:eastAsia="宋体" w:cs="Times New Roman"/>
                <w:color w:val="auto"/>
                <w:szCs w:val="21"/>
                <w:lang w:eastAsia="zh-CN"/>
              </w:rPr>
            </w:pPr>
            <w:r>
              <w:rPr>
                <w:rFonts w:hint="eastAsia" w:ascii="宋体" w:hAnsi="宋体" w:eastAsia="宋体" w:cs="宋体"/>
                <w:color w:val="auto"/>
                <w:kern w:val="0"/>
                <w:szCs w:val="21"/>
                <w:lang w:eastAsia="zh-CN"/>
              </w:rPr>
              <w:t>指标点6-3：【善于文化与活动育人】了解课外活动组织和管理知识，掌握学校文化和各类课外教育活动的育人内涵和方法，在教育教学实践中，参与组织主题教育、少先队活动和社团活动，促进小学生全面、健康发展。</w:t>
            </w:r>
          </w:p>
        </w:tc>
        <w:tc>
          <w:tcPr>
            <w:tcW w:w="1327" w:type="dxa"/>
            <w:vAlign w:val="center"/>
          </w:tcPr>
          <w:p w14:paraId="1DC8BD6C">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3</w:t>
            </w:r>
          </w:p>
        </w:tc>
      </w:tr>
    </w:tbl>
    <w:p w14:paraId="59E1398F">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306A1810">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养成严谨治学的态度，掌握科学、严谨的学习方法，注重创新精神和实践能力的提升，树立以学生为主体的设计理念和全面的评价理念，</w:t>
      </w:r>
      <w:r>
        <w:rPr>
          <w:rFonts w:ascii="宋体" w:hAnsi="宋体" w:eastAsia="宋体" w:cs="Times New Roman"/>
          <w:color w:val="auto"/>
          <w:szCs w:val="21"/>
        </w:rPr>
        <w:t>增强专业自信心</w:t>
      </w:r>
      <w:r>
        <w:rPr>
          <w:rFonts w:hint="eastAsia" w:ascii="宋体" w:hAnsi="宋体" w:eastAsia="宋体" w:cs="Times New Roman"/>
          <w:color w:val="auto"/>
          <w:szCs w:val="21"/>
        </w:rPr>
        <w:t>，</w:t>
      </w:r>
      <w:r>
        <w:rPr>
          <w:rFonts w:ascii="宋体" w:hAnsi="宋体" w:eastAsia="宋体" w:cs="Times New Roman"/>
          <w:color w:val="auto"/>
          <w:szCs w:val="21"/>
        </w:rPr>
        <w:t>增强团队合作意识与沟通表达能力。</w:t>
      </w:r>
    </w:p>
    <w:p w14:paraId="7129F3F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2"/>
          <w:szCs w:val="22"/>
        </w:rPr>
        <w:t>三、教学内容与预期学习成效</w:t>
      </w:r>
    </w:p>
    <w:tbl>
      <w:tblPr>
        <w:tblStyle w:val="16"/>
        <w:tblW w:w="9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1701"/>
        <w:gridCol w:w="1134"/>
        <w:gridCol w:w="3385"/>
        <w:gridCol w:w="1435"/>
        <w:gridCol w:w="438"/>
      </w:tblGrid>
      <w:tr w14:paraId="08F6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Align w:val="center"/>
          </w:tcPr>
          <w:p w14:paraId="7181B9AD">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18BD056E">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1701" w:type="dxa"/>
            <w:vAlign w:val="center"/>
          </w:tcPr>
          <w:p w14:paraId="26860FE0">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34" w:type="dxa"/>
            <w:vAlign w:val="center"/>
          </w:tcPr>
          <w:p w14:paraId="001BBFB9">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4396CA4A">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3385" w:type="dxa"/>
            <w:vAlign w:val="center"/>
          </w:tcPr>
          <w:p w14:paraId="0ADB4790">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435" w:type="dxa"/>
            <w:vAlign w:val="center"/>
          </w:tcPr>
          <w:p w14:paraId="1955168A">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704E5A96">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3C92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64EA13C2">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w:t>
            </w:r>
            <w:r>
              <w:rPr>
                <w:rFonts w:hint="eastAsia"/>
                <w:color w:val="auto"/>
                <w:szCs w:val="21"/>
              </w:rPr>
              <w:t xml:space="preserve"> </w:t>
            </w:r>
            <w:r>
              <w:rPr>
                <w:rFonts w:hint="eastAsia" w:ascii="宋体" w:hAnsi="宋体" w:eastAsia="宋体" w:cs="Times New Roman"/>
                <w:color w:val="auto"/>
                <w:szCs w:val="21"/>
              </w:rPr>
              <w:t>综合实践活动课程概述</w:t>
            </w:r>
          </w:p>
        </w:tc>
        <w:tc>
          <w:tcPr>
            <w:tcW w:w="1701" w:type="dxa"/>
            <w:vAlign w:val="center"/>
          </w:tcPr>
          <w:p w14:paraId="0304DBF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（1）综合实践活动课程产生的基础</w:t>
            </w:r>
          </w:p>
          <w:p w14:paraId="6C762D39">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（2）综合实践活动课程的产生</w:t>
            </w:r>
          </w:p>
          <w:p w14:paraId="0CB1D5E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（3）国外和我国台湾地区的综合实践活动课程</w:t>
            </w:r>
          </w:p>
        </w:tc>
        <w:tc>
          <w:tcPr>
            <w:tcW w:w="1134" w:type="dxa"/>
            <w:vAlign w:val="center"/>
          </w:tcPr>
          <w:p w14:paraId="1D67C295">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3385" w:type="dxa"/>
            <w:vAlign w:val="center"/>
          </w:tcPr>
          <w:p w14:paraId="30A0826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（1）理解综合实践活动课程产生的理论和社会背景</w:t>
            </w:r>
          </w:p>
          <w:p w14:paraId="18B8879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（2）初步熟悉综合实践活动课程的产生过程</w:t>
            </w:r>
          </w:p>
          <w:p w14:paraId="7A354B5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（3）了解国内外综合实践活动课程概况</w:t>
            </w:r>
          </w:p>
        </w:tc>
        <w:tc>
          <w:tcPr>
            <w:tcW w:w="1435" w:type="dxa"/>
            <w:vAlign w:val="center"/>
          </w:tcPr>
          <w:p w14:paraId="69994DD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394CBC6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4FE38557">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.自主学习</w:t>
            </w:r>
          </w:p>
        </w:tc>
        <w:tc>
          <w:tcPr>
            <w:tcW w:w="438" w:type="dxa"/>
            <w:vAlign w:val="center"/>
          </w:tcPr>
          <w:p w14:paraId="667F4BF8">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w:t>
            </w:r>
          </w:p>
        </w:tc>
      </w:tr>
      <w:tr w14:paraId="14D0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56D8C60C">
            <w:pPr>
              <w:spacing w:line="264" w:lineRule="auto"/>
              <w:jc w:val="center"/>
              <w:rPr>
                <w:rFonts w:hint="eastAsia" w:ascii="宋体" w:hAnsi="宋体" w:eastAsia="宋体" w:cs="Times New Roman"/>
                <w:color w:val="auto"/>
                <w:szCs w:val="21"/>
              </w:rPr>
            </w:pPr>
          </w:p>
        </w:tc>
        <w:tc>
          <w:tcPr>
            <w:tcW w:w="8093" w:type="dxa"/>
            <w:gridSpan w:val="5"/>
            <w:vAlign w:val="center"/>
          </w:tcPr>
          <w:p w14:paraId="5532B17F">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养成严谨治学的态度，掌握科学、严谨的学习方法，注重创新精神和实践能力的提升，增强专业自信心；增强团队合作意识与沟通表达能力。</w:t>
            </w:r>
          </w:p>
        </w:tc>
      </w:tr>
      <w:tr w14:paraId="28CC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108D4B2B">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w:t>
            </w:r>
            <w:r>
              <w:rPr>
                <w:rFonts w:hint="eastAsia"/>
                <w:color w:val="auto"/>
                <w:szCs w:val="21"/>
              </w:rPr>
              <w:t xml:space="preserve"> </w:t>
            </w:r>
            <w:r>
              <w:rPr>
                <w:rFonts w:hint="eastAsia" w:ascii="宋体" w:hAnsi="宋体" w:eastAsia="宋体" w:cs="Times New Roman"/>
                <w:color w:val="auto"/>
                <w:szCs w:val="21"/>
              </w:rPr>
              <w:t>综合实践活动课程的特性、价值及理念</w:t>
            </w:r>
          </w:p>
        </w:tc>
        <w:tc>
          <w:tcPr>
            <w:tcW w:w="1701" w:type="dxa"/>
            <w:vAlign w:val="center"/>
          </w:tcPr>
          <w:p w14:paraId="178977E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（1）综合实践活动课程的特性及价值</w:t>
            </w:r>
          </w:p>
          <w:p w14:paraId="0FC8C29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（2）综合实践活动课程的基本理念</w:t>
            </w:r>
          </w:p>
        </w:tc>
        <w:tc>
          <w:tcPr>
            <w:tcW w:w="1134" w:type="dxa"/>
            <w:vAlign w:val="center"/>
          </w:tcPr>
          <w:p w14:paraId="23DECCA4">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3385" w:type="dxa"/>
            <w:vAlign w:val="center"/>
          </w:tcPr>
          <w:p w14:paraId="355D6D9F">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（1）理解综合实践活动课程的特性和价值</w:t>
            </w:r>
          </w:p>
          <w:p w14:paraId="5C432F8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（2）掌握综合实践活动课程的理念</w:t>
            </w:r>
          </w:p>
        </w:tc>
        <w:tc>
          <w:tcPr>
            <w:tcW w:w="1435" w:type="dxa"/>
            <w:vAlign w:val="center"/>
          </w:tcPr>
          <w:p w14:paraId="1882FB7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73F54776">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23C36E2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3.课内实践</w:t>
            </w:r>
          </w:p>
          <w:p w14:paraId="1B65CAC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4.自主学习</w:t>
            </w:r>
          </w:p>
        </w:tc>
        <w:tc>
          <w:tcPr>
            <w:tcW w:w="438" w:type="dxa"/>
            <w:vAlign w:val="center"/>
          </w:tcPr>
          <w:p w14:paraId="2B20EA65">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w:t>
            </w:r>
          </w:p>
        </w:tc>
      </w:tr>
      <w:tr w14:paraId="4E8F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566271B9">
            <w:pPr>
              <w:spacing w:line="264" w:lineRule="auto"/>
              <w:jc w:val="center"/>
              <w:rPr>
                <w:rFonts w:hint="eastAsia" w:ascii="宋体" w:hAnsi="宋体" w:eastAsia="宋体" w:cs="Times New Roman"/>
                <w:color w:val="auto"/>
                <w:szCs w:val="21"/>
              </w:rPr>
            </w:pPr>
          </w:p>
        </w:tc>
        <w:tc>
          <w:tcPr>
            <w:tcW w:w="8093" w:type="dxa"/>
            <w:gridSpan w:val="5"/>
            <w:vAlign w:val="center"/>
          </w:tcPr>
          <w:p w14:paraId="19B1A18C">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养成严谨治学的态度，掌握科学、严谨的学习方法，注重创新精神和实践能力的提升，增强专业自信心；增强团队合作意识与沟通表达能力。</w:t>
            </w:r>
          </w:p>
        </w:tc>
      </w:tr>
      <w:tr w14:paraId="5711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67E8581B">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w:t>
            </w:r>
            <w:r>
              <w:rPr>
                <w:rFonts w:hint="eastAsia"/>
                <w:color w:val="auto"/>
                <w:szCs w:val="21"/>
              </w:rPr>
              <w:t xml:space="preserve"> </w:t>
            </w:r>
            <w:r>
              <w:rPr>
                <w:rFonts w:hint="eastAsia" w:ascii="宋体" w:hAnsi="宋体" w:eastAsia="宋体" w:cs="Times New Roman"/>
                <w:color w:val="auto"/>
                <w:szCs w:val="21"/>
              </w:rPr>
              <w:t>小学综合实践活动课程的目标与内容</w:t>
            </w:r>
          </w:p>
        </w:tc>
        <w:tc>
          <w:tcPr>
            <w:tcW w:w="1701" w:type="dxa"/>
            <w:vAlign w:val="center"/>
          </w:tcPr>
          <w:p w14:paraId="5788FFE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（1）课程目标及其分类</w:t>
            </w:r>
          </w:p>
          <w:p w14:paraId="3DCD9FE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（2）小学综合实践活动课程的目标及具体化</w:t>
            </w:r>
          </w:p>
          <w:p w14:paraId="147B2A3F">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（3）小学综合实践活动课程的内容</w:t>
            </w:r>
          </w:p>
        </w:tc>
        <w:tc>
          <w:tcPr>
            <w:tcW w:w="1134" w:type="dxa"/>
            <w:vAlign w:val="center"/>
          </w:tcPr>
          <w:p w14:paraId="54106C81">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3385" w:type="dxa"/>
            <w:vAlign w:val="center"/>
          </w:tcPr>
          <w:p w14:paraId="151F84D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（1）熟悉综合实践活动课程的总体目标与学段目标的具体要求</w:t>
            </w:r>
          </w:p>
          <w:p w14:paraId="75387FE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（2）初步具备设计小学综合实践活动课程具体目标的意识和能力</w:t>
            </w:r>
          </w:p>
          <w:p w14:paraId="1390940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（3）熟悉小学综合实践活动课程各领域的基本内容及其开发</w:t>
            </w:r>
          </w:p>
        </w:tc>
        <w:tc>
          <w:tcPr>
            <w:tcW w:w="1435" w:type="dxa"/>
            <w:vAlign w:val="center"/>
          </w:tcPr>
          <w:p w14:paraId="2C8C480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1CB4332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481BF7C6">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.自主学习</w:t>
            </w:r>
          </w:p>
        </w:tc>
        <w:tc>
          <w:tcPr>
            <w:tcW w:w="438" w:type="dxa"/>
            <w:vAlign w:val="center"/>
          </w:tcPr>
          <w:p w14:paraId="73FD4A22">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5515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64DA8CF5">
            <w:pPr>
              <w:spacing w:line="264" w:lineRule="auto"/>
              <w:jc w:val="center"/>
              <w:rPr>
                <w:rFonts w:hint="eastAsia" w:ascii="宋体" w:hAnsi="宋体" w:eastAsia="宋体" w:cs="Times New Roman"/>
                <w:color w:val="auto"/>
                <w:szCs w:val="21"/>
              </w:rPr>
            </w:pPr>
          </w:p>
        </w:tc>
        <w:tc>
          <w:tcPr>
            <w:tcW w:w="8093" w:type="dxa"/>
            <w:gridSpan w:val="5"/>
            <w:vAlign w:val="center"/>
          </w:tcPr>
          <w:p w14:paraId="2F5E70AA">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养成严谨治学的态度，掌握科学、严谨的学习方法，注重创新精神和实践能力的提升，增强专业自信心；增强团队合作意识与沟通表达能力。</w:t>
            </w:r>
          </w:p>
        </w:tc>
      </w:tr>
      <w:tr w14:paraId="7F86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228292E5">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color w:val="auto"/>
                <w:szCs w:val="21"/>
              </w:rPr>
              <w:t xml:space="preserve"> </w:t>
            </w:r>
            <w:r>
              <w:rPr>
                <w:rFonts w:hint="eastAsia" w:ascii="宋体" w:hAnsi="宋体" w:eastAsia="宋体" w:cs="Times New Roman"/>
                <w:color w:val="auto"/>
                <w:szCs w:val="21"/>
              </w:rPr>
              <w:t>小学综合实践活动设计的原则</w:t>
            </w:r>
          </w:p>
        </w:tc>
        <w:tc>
          <w:tcPr>
            <w:tcW w:w="1701" w:type="dxa"/>
            <w:vAlign w:val="center"/>
          </w:tcPr>
          <w:p w14:paraId="064A162A">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（1）影响小学综合实践活动设计的主要因素</w:t>
            </w:r>
          </w:p>
          <w:p w14:paraId="6340FADC">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（2）小学综合实践活动设计的基本要求</w:t>
            </w:r>
          </w:p>
          <w:p w14:paraId="4EE4AD3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（3）小学综合实践活动设计的一般原则</w:t>
            </w:r>
          </w:p>
        </w:tc>
        <w:tc>
          <w:tcPr>
            <w:tcW w:w="1134" w:type="dxa"/>
            <w:vAlign w:val="center"/>
          </w:tcPr>
          <w:p w14:paraId="35D57138">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课程目标2、4</w:t>
            </w:r>
          </w:p>
        </w:tc>
        <w:tc>
          <w:tcPr>
            <w:tcW w:w="3385" w:type="dxa"/>
            <w:vAlign w:val="center"/>
          </w:tcPr>
          <w:p w14:paraId="5865363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（1）了解并能结合实例分析影响小学综合实践活动设计的主要因素</w:t>
            </w:r>
          </w:p>
          <w:p w14:paraId="3DDD3FF5">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（2）初步掌握小学综合实践活动设计的基本要求及一般原则</w:t>
            </w:r>
          </w:p>
        </w:tc>
        <w:tc>
          <w:tcPr>
            <w:tcW w:w="1435" w:type="dxa"/>
            <w:vAlign w:val="center"/>
          </w:tcPr>
          <w:p w14:paraId="6BEB766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4329B2B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31BB09C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w:t>
            </w:r>
            <w:r>
              <w:rPr>
                <w:rFonts w:hint="eastAsia" w:ascii="宋体" w:hAnsi="宋体" w:eastAsia="宋体" w:cs="Times New Roman"/>
                <w:color w:val="auto"/>
                <w:szCs w:val="21"/>
              </w:rPr>
              <w:t>自主学习</w:t>
            </w:r>
          </w:p>
        </w:tc>
        <w:tc>
          <w:tcPr>
            <w:tcW w:w="438" w:type="dxa"/>
            <w:vAlign w:val="center"/>
          </w:tcPr>
          <w:p w14:paraId="6F71E5B6">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475E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61CDB6DE">
            <w:pPr>
              <w:spacing w:line="276" w:lineRule="auto"/>
              <w:jc w:val="center"/>
              <w:rPr>
                <w:rFonts w:hint="eastAsia" w:ascii="宋体" w:hAnsi="宋体" w:eastAsia="宋体" w:cs="Times New Roman"/>
                <w:color w:val="auto"/>
                <w:szCs w:val="21"/>
              </w:rPr>
            </w:pPr>
          </w:p>
        </w:tc>
        <w:tc>
          <w:tcPr>
            <w:tcW w:w="8093" w:type="dxa"/>
            <w:gridSpan w:val="5"/>
            <w:vAlign w:val="center"/>
          </w:tcPr>
          <w:p w14:paraId="2BED3D8A">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养成严谨治学的态度，掌握科学、严谨的学习方法，强化学习意识，注重创新精神和实践能力的提升，树立以学生为主体的设计理念，增强团队合作意识与沟通表达能力。</w:t>
            </w:r>
          </w:p>
        </w:tc>
      </w:tr>
      <w:tr w14:paraId="0ED8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12DE1E7E">
            <w:pPr>
              <w:spacing w:line="276" w:lineRule="auto"/>
              <w:jc w:val="center"/>
              <w:rPr>
                <w:rFonts w:hint="eastAsia" w:ascii="宋体" w:hAnsi="宋体" w:eastAsia="宋体" w:cs="Times New Roman"/>
                <w:color w:val="auto"/>
                <w:szCs w:val="21"/>
              </w:rPr>
            </w:pPr>
            <w:bookmarkStart w:id="410" w:name="_Hlk183762484"/>
            <w:r>
              <w:rPr>
                <w:rFonts w:hint="eastAsia" w:ascii="宋体" w:hAnsi="宋体" w:eastAsia="宋体" w:cs="Times New Roman"/>
                <w:color w:val="auto"/>
                <w:szCs w:val="21"/>
              </w:rPr>
              <w:t>5</w:t>
            </w:r>
            <w:r>
              <w:rPr>
                <w:rFonts w:ascii="宋体" w:hAnsi="宋体" w:eastAsia="宋体" w:cs="Times New Roman"/>
                <w:color w:val="auto"/>
                <w:szCs w:val="21"/>
              </w:rPr>
              <w:t>.</w:t>
            </w:r>
            <w:r>
              <w:rPr>
                <w:rFonts w:hint="eastAsia"/>
                <w:color w:val="auto"/>
                <w:szCs w:val="21"/>
              </w:rPr>
              <w:t xml:space="preserve"> </w:t>
            </w:r>
            <w:r>
              <w:rPr>
                <w:rFonts w:hint="eastAsia" w:ascii="宋体" w:hAnsi="宋体" w:eastAsia="宋体" w:cs="Times New Roman"/>
                <w:color w:val="auto"/>
                <w:szCs w:val="21"/>
              </w:rPr>
              <w:t>小学综合实践活动设计的过程</w:t>
            </w:r>
          </w:p>
        </w:tc>
        <w:tc>
          <w:tcPr>
            <w:tcW w:w="1701" w:type="dxa"/>
            <w:vAlign w:val="center"/>
          </w:tcPr>
          <w:p w14:paraId="6E4474E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（1）小学综合实践活动设计的一般过程</w:t>
            </w:r>
          </w:p>
          <w:p w14:paraId="5344C2EA">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（2）小学综合实践活动方案的生成</w:t>
            </w:r>
          </w:p>
          <w:p w14:paraId="0FF6697F">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（3）小学综合实践活动方案的撰写及呈现形式</w:t>
            </w:r>
          </w:p>
        </w:tc>
        <w:tc>
          <w:tcPr>
            <w:tcW w:w="1134" w:type="dxa"/>
            <w:vAlign w:val="center"/>
          </w:tcPr>
          <w:p w14:paraId="7B39E27B">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课程目标2、4</w:t>
            </w:r>
          </w:p>
        </w:tc>
        <w:tc>
          <w:tcPr>
            <w:tcW w:w="3385" w:type="dxa"/>
            <w:vAlign w:val="center"/>
          </w:tcPr>
          <w:p w14:paraId="76B29579">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（1）理解小学综合实践活动设计的一般过程</w:t>
            </w:r>
          </w:p>
          <w:p w14:paraId="3C1D287C">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（2）掌握小学综合实践活动设计方案的设计方法</w:t>
            </w:r>
          </w:p>
          <w:p w14:paraId="45A6FBA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（3）会独立撰写小学综合实践活动设计方案，并能用恰当的方式呈现</w:t>
            </w:r>
          </w:p>
        </w:tc>
        <w:tc>
          <w:tcPr>
            <w:tcW w:w="1435" w:type="dxa"/>
            <w:vAlign w:val="center"/>
          </w:tcPr>
          <w:p w14:paraId="32122BD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7E29751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177E730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3.方案设计</w:t>
            </w:r>
          </w:p>
          <w:p w14:paraId="690F0AA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4.自主学习</w:t>
            </w:r>
          </w:p>
        </w:tc>
        <w:tc>
          <w:tcPr>
            <w:tcW w:w="438" w:type="dxa"/>
            <w:vAlign w:val="center"/>
          </w:tcPr>
          <w:p w14:paraId="0117F32C">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1CE9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273DB61C">
            <w:pPr>
              <w:spacing w:line="276" w:lineRule="auto"/>
              <w:jc w:val="center"/>
              <w:rPr>
                <w:rFonts w:hint="eastAsia" w:ascii="宋体" w:hAnsi="宋体" w:eastAsia="宋体" w:cs="Times New Roman"/>
                <w:color w:val="auto"/>
                <w:szCs w:val="21"/>
              </w:rPr>
            </w:pPr>
          </w:p>
        </w:tc>
        <w:tc>
          <w:tcPr>
            <w:tcW w:w="8093" w:type="dxa"/>
            <w:gridSpan w:val="5"/>
            <w:vAlign w:val="center"/>
          </w:tcPr>
          <w:p w14:paraId="05800FC1">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养成严谨治学的态度，掌握科学、严谨的学习方法，强化学习意识，注重创新精神和实践能力的提升，树立以学生为主体的设计理念，增强团队合作意识与沟通表达能力。</w:t>
            </w:r>
          </w:p>
        </w:tc>
      </w:tr>
      <w:tr w14:paraId="6998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324EC58E">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w:t>
            </w:r>
            <w:r>
              <w:rPr>
                <w:rFonts w:ascii="宋体" w:hAnsi="宋体" w:eastAsia="宋体" w:cs="Times New Roman"/>
                <w:color w:val="auto"/>
                <w:szCs w:val="21"/>
              </w:rPr>
              <w:t>.</w:t>
            </w:r>
            <w:r>
              <w:rPr>
                <w:rFonts w:hint="eastAsia"/>
                <w:color w:val="auto"/>
                <w:szCs w:val="21"/>
              </w:rPr>
              <w:t xml:space="preserve"> </w:t>
            </w:r>
            <w:r>
              <w:rPr>
                <w:rFonts w:hint="eastAsia" w:ascii="宋体" w:hAnsi="宋体" w:eastAsia="宋体" w:cs="Times New Roman"/>
                <w:color w:val="auto"/>
                <w:szCs w:val="21"/>
              </w:rPr>
              <w:t>小学综合实践活动设计的方法</w:t>
            </w:r>
          </w:p>
        </w:tc>
        <w:tc>
          <w:tcPr>
            <w:tcW w:w="1701" w:type="dxa"/>
            <w:vAlign w:val="center"/>
          </w:tcPr>
          <w:p w14:paraId="12FD969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（1）小学综合实践活动总体规划及其方法</w:t>
            </w:r>
          </w:p>
          <w:p w14:paraId="2586F15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（2）小学综合实践活动系列主题活动的设计</w:t>
            </w:r>
          </w:p>
          <w:p w14:paraId="44E4731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（3）小学综合实践活动单一主题活动的设计</w:t>
            </w:r>
          </w:p>
        </w:tc>
        <w:tc>
          <w:tcPr>
            <w:tcW w:w="1134" w:type="dxa"/>
            <w:vAlign w:val="center"/>
          </w:tcPr>
          <w:p w14:paraId="0B1F7C68">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课程目标2、4</w:t>
            </w:r>
          </w:p>
        </w:tc>
        <w:tc>
          <w:tcPr>
            <w:tcW w:w="3385" w:type="dxa"/>
            <w:vAlign w:val="center"/>
          </w:tcPr>
          <w:p w14:paraId="51F44B2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（1）理解综合实践活动总体规划的含义、内容及方法</w:t>
            </w:r>
          </w:p>
          <w:p w14:paraId="23F3881C">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（2）学会系列主题活动和单一主题活动方案的设计</w:t>
            </w:r>
          </w:p>
          <w:p w14:paraId="50B9607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（3）理解综合实践主题活动设计的整合思路和方法</w:t>
            </w:r>
          </w:p>
        </w:tc>
        <w:tc>
          <w:tcPr>
            <w:tcW w:w="1435" w:type="dxa"/>
            <w:vAlign w:val="center"/>
          </w:tcPr>
          <w:p w14:paraId="72B62A8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5189E4C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321A12B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3.方案设计</w:t>
            </w:r>
          </w:p>
          <w:p w14:paraId="2D4DA6D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4.自主学习</w:t>
            </w:r>
          </w:p>
        </w:tc>
        <w:tc>
          <w:tcPr>
            <w:tcW w:w="438" w:type="dxa"/>
            <w:vAlign w:val="center"/>
          </w:tcPr>
          <w:p w14:paraId="17065934">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bookmarkEnd w:id="410"/>
      <w:tr w14:paraId="4FD7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297851B9">
            <w:pPr>
              <w:spacing w:line="276" w:lineRule="auto"/>
              <w:jc w:val="center"/>
              <w:rPr>
                <w:rFonts w:hint="eastAsia" w:ascii="宋体" w:hAnsi="宋体" w:eastAsia="宋体" w:cs="Times New Roman"/>
                <w:color w:val="auto"/>
                <w:szCs w:val="21"/>
              </w:rPr>
            </w:pPr>
          </w:p>
        </w:tc>
        <w:tc>
          <w:tcPr>
            <w:tcW w:w="8093" w:type="dxa"/>
            <w:gridSpan w:val="5"/>
            <w:vAlign w:val="center"/>
          </w:tcPr>
          <w:p w14:paraId="07E3F915">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养成严谨治学的态度，掌握科学、严谨的学习方法，强化学习意识，注重创新精神和实践能力的提升，树立以学生为主体的设计理念，增强团队合作意识与沟通表达能力。</w:t>
            </w:r>
          </w:p>
        </w:tc>
      </w:tr>
      <w:tr w14:paraId="78BFC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1140FA78">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7</w:t>
            </w:r>
            <w:r>
              <w:rPr>
                <w:rFonts w:ascii="宋体" w:hAnsi="宋体" w:eastAsia="宋体" w:cs="Times New Roman"/>
                <w:color w:val="auto"/>
                <w:szCs w:val="21"/>
              </w:rPr>
              <w:t>.</w:t>
            </w:r>
            <w:r>
              <w:rPr>
                <w:rFonts w:hint="eastAsia"/>
                <w:color w:val="auto"/>
                <w:szCs w:val="21"/>
              </w:rPr>
              <w:t xml:space="preserve"> </w:t>
            </w:r>
            <w:r>
              <w:rPr>
                <w:rFonts w:hint="eastAsia" w:ascii="宋体" w:hAnsi="宋体" w:eastAsia="宋体" w:cs="Times New Roman"/>
                <w:color w:val="auto"/>
                <w:szCs w:val="21"/>
              </w:rPr>
              <w:t>小学综合实践活动方案的优化</w:t>
            </w:r>
          </w:p>
        </w:tc>
        <w:tc>
          <w:tcPr>
            <w:tcW w:w="1701" w:type="dxa"/>
            <w:vAlign w:val="center"/>
          </w:tcPr>
          <w:p w14:paraId="04D578FB">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（1）小学综合实践活动方案的评价</w:t>
            </w:r>
          </w:p>
          <w:p w14:paraId="0C8EEF2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（2）小学综合实践活动方案的优化</w:t>
            </w:r>
          </w:p>
        </w:tc>
        <w:tc>
          <w:tcPr>
            <w:tcW w:w="1134" w:type="dxa"/>
            <w:vAlign w:val="center"/>
          </w:tcPr>
          <w:p w14:paraId="627A81D0">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课程目标2、4</w:t>
            </w:r>
          </w:p>
        </w:tc>
        <w:tc>
          <w:tcPr>
            <w:tcW w:w="3385" w:type="dxa"/>
            <w:vAlign w:val="center"/>
          </w:tcPr>
          <w:p w14:paraId="10D2FB0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（1）理解综合实践活动方案评价的依据、内容及方法</w:t>
            </w:r>
          </w:p>
          <w:p w14:paraId="08F6108C">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（2）能对综合实践活动方案进行优化处理</w:t>
            </w:r>
          </w:p>
        </w:tc>
        <w:tc>
          <w:tcPr>
            <w:tcW w:w="1435" w:type="dxa"/>
            <w:vAlign w:val="center"/>
          </w:tcPr>
          <w:p w14:paraId="62E570C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1724325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62AB5E2F">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.方案设计</w:t>
            </w:r>
          </w:p>
          <w:p w14:paraId="63492E9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ascii="宋体" w:hAnsi="宋体" w:eastAsia="宋体" w:cs="Times New Roman"/>
                <w:color w:val="auto"/>
                <w:szCs w:val="21"/>
              </w:rPr>
              <w:t>自主学习</w:t>
            </w:r>
          </w:p>
        </w:tc>
        <w:tc>
          <w:tcPr>
            <w:tcW w:w="438" w:type="dxa"/>
            <w:vAlign w:val="center"/>
          </w:tcPr>
          <w:p w14:paraId="098CC720">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5F2F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6FE462AF">
            <w:pPr>
              <w:spacing w:line="276" w:lineRule="auto"/>
              <w:jc w:val="center"/>
              <w:rPr>
                <w:rFonts w:hint="eastAsia" w:ascii="宋体" w:hAnsi="宋体" w:eastAsia="宋体" w:cs="Times New Roman"/>
                <w:color w:val="auto"/>
                <w:szCs w:val="21"/>
              </w:rPr>
            </w:pPr>
          </w:p>
        </w:tc>
        <w:tc>
          <w:tcPr>
            <w:tcW w:w="8093" w:type="dxa"/>
            <w:gridSpan w:val="5"/>
            <w:vAlign w:val="center"/>
          </w:tcPr>
          <w:p w14:paraId="27AAD161">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养成严谨治学的态度，掌握科学、严谨的学习方法，树立全面的评价理念，增强专业自信心；增强团队合作意识与沟通表达能力。</w:t>
            </w:r>
          </w:p>
        </w:tc>
      </w:tr>
      <w:tr w14:paraId="17C1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34FD627E">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8</w:t>
            </w:r>
            <w:r>
              <w:rPr>
                <w:rFonts w:ascii="宋体" w:hAnsi="宋体" w:eastAsia="宋体" w:cs="Times New Roman"/>
                <w:color w:val="auto"/>
                <w:szCs w:val="21"/>
              </w:rPr>
              <w:t>.</w:t>
            </w:r>
            <w:r>
              <w:rPr>
                <w:rFonts w:hint="eastAsia"/>
                <w:color w:val="auto"/>
                <w:szCs w:val="21"/>
              </w:rPr>
              <w:t xml:space="preserve"> </w:t>
            </w:r>
            <w:r>
              <w:rPr>
                <w:rFonts w:hint="eastAsia" w:ascii="宋体" w:hAnsi="宋体" w:eastAsia="宋体" w:cs="Times New Roman"/>
                <w:color w:val="auto"/>
                <w:szCs w:val="21"/>
              </w:rPr>
              <w:t>小学综合实践活动课程的实施</w:t>
            </w:r>
          </w:p>
        </w:tc>
        <w:tc>
          <w:tcPr>
            <w:tcW w:w="1701" w:type="dxa"/>
            <w:vAlign w:val="center"/>
          </w:tcPr>
          <w:p w14:paraId="77B839E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（1）综合实践活动课程实施的特点</w:t>
            </w:r>
          </w:p>
          <w:p w14:paraId="7191A98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（2）小学综合实践活动课程实施的主体、任务及过程</w:t>
            </w:r>
          </w:p>
          <w:p w14:paraId="7C22A29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（3）小学综合实践活动课程实施中的问题</w:t>
            </w:r>
          </w:p>
        </w:tc>
        <w:tc>
          <w:tcPr>
            <w:tcW w:w="1134" w:type="dxa"/>
            <w:vAlign w:val="center"/>
          </w:tcPr>
          <w:p w14:paraId="57C4A4B7">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课程目标3、4</w:t>
            </w:r>
          </w:p>
        </w:tc>
        <w:tc>
          <w:tcPr>
            <w:tcW w:w="3385" w:type="dxa"/>
            <w:vAlign w:val="center"/>
          </w:tcPr>
          <w:p w14:paraId="2DEFF84B">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（1）了解小学综合实践活动课程实施的特点、主体、任务与过程</w:t>
            </w:r>
          </w:p>
          <w:p w14:paraId="6A1519BA">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（2）正确对待小学综合实践活动课程中的问题</w:t>
            </w:r>
          </w:p>
          <w:p w14:paraId="4688F586">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（3）具备初步实施综合实践活动课程的能力</w:t>
            </w:r>
          </w:p>
        </w:tc>
        <w:tc>
          <w:tcPr>
            <w:tcW w:w="1435" w:type="dxa"/>
            <w:vAlign w:val="center"/>
          </w:tcPr>
          <w:p w14:paraId="0F3FE05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208D0D3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5E41D57E">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.课内实践</w:t>
            </w:r>
          </w:p>
          <w:p w14:paraId="1EA8380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ascii="宋体" w:hAnsi="宋体" w:eastAsia="宋体" w:cs="Times New Roman"/>
                <w:color w:val="auto"/>
                <w:szCs w:val="21"/>
              </w:rPr>
              <w:t>自主学习</w:t>
            </w:r>
          </w:p>
        </w:tc>
        <w:tc>
          <w:tcPr>
            <w:tcW w:w="438" w:type="dxa"/>
            <w:vAlign w:val="center"/>
          </w:tcPr>
          <w:p w14:paraId="367A9560">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14</w:t>
            </w:r>
          </w:p>
        </w:tc>
      </w:tr>
      <w:tr w14:paraId="05EB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6E521CE0">
            <w:pPr>
              <w:spacing w:line="276" w:lineRule="auto"/>
              <w:jc w:val="center"/>
              <w:rPr>
                <w:rFonts w:hint="eastAsia" w:ascii="宋体" w:hAnsi="宋体" w:eastAsia="宋体" w:cs="Times New Roman"/>
                <w:color w:val="auto"/>
                <w:szCs w:val="21"/>
              </w:rPr>
            </w:pPr>
          </w:p>
        </w:tc>
        <w:tc>
          <w:tcPr>
            <w:tcW w:w="8093" w:type="dxa"/>
            <w:gridSpan w:val="5"/>
            <w:vAlign w:val="center"/>
          </w:tcPr>
          <w:p w14:paraId="5F2ABEED">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养成严谨治学的态度，掌握科学、严谨的学习方法，注重创新精神和实践能力的提升，树立全面的评价理念，增强团队合作意识与沟通表达能力。</w:t>
            </w:r>
          </w:p>
        </w:tc>
      </w:tr>
      <w:tr w14:paraId="4BD8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32BBFBFB">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9</w:t>
            </w:r>
            <w:r>
              <w:rPr>
                <w:rFonts w:ascii="宋体" w:hAnsi="宋体" w:eastAsia="宋体" w:cs="Times New Roman"/>
                <w:color w:val="auto"/>
                <w:szCs w:val="21"/>
              </w:rPr>
              <w:t>.</w:t>
            </w:r>
            <w:r>
              <w:rPr>
                <w:rFonts w:hint="eastAsia" w:ascii="宋体" w:hAnsi="宋体" w:eastAsia="宋体" w:cs="Times New Roman"/>
                <w:color w:val="auto"/>
                <w:szCs w:val="21"/>
              </w:rPr>
              <w:t xml:space="preserve"> 小学综合实践活动课程的管理</w:t>
            </w:r>
          </w:p>
        </w:tc>
        <w:tc>
          <w:tcPr>
            <w:tcW w:w="1701" w:type="dxa"/>
            <w:vAlign w:val="center"/>
          </w:tcPr>
          <w:p w14:paraId="70BE9D07">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（1）综合实践活动管理概述</w:t>
            </w:r>
          </w:p>
          <w:p w14:paraId="5B9B155F">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（2）综合实践活动课程资源的开发与利用</w:t>
            </w:r>
          </w:p>
          <w:p w14:paraId="678FB2DA">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（3）综合实践活动中的指导教师</w:t>
            </w:r>
          </w:p>
          <w:p w14:paraId="0ECD512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（4）小学综合实践活动课程的评价</w:t>
            </w:r>
          </w:p>
        </w:tc>
        <w:tc>
          <w:tcPr>
            <w:tcW w:w="1134" w:type="dxa"/>
            <w:vAlign w:val="center"/>
          </w:tcPr>
          <w:p w14:paraId="75AE2318">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课程目标3、4</w:t>
            </w:r>
          </w:p>
        </w:tc>
        <w:tc>
          <w:tcPr>
            <w:tcW w:w="3385" w:type="dxa"/>
            <w:vAlign w:val="center"/>
          </w:tcPr>
          <w:p w14:paraId="3485543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（1）明确学校在综合实践活动管理中的作用及管理要求</w:t>
            </w:r>
          </w:p>
          <w:p w14:paraId="79FBBB0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（2）知道如何进行综合实践活动课程资源的开发和利用</w:t>
            </w:r>
          </w:p>
          <w:p w14:paraId="49431CF0">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（3）理解指导教师在综合实践活动中的职责和义务</w:t>
            </w:r>
          </w:p>
          <w:p w14:paraId="2EBA06EB">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（4）明确担任综合实践活动指导教师的资格条件</w:t>
            </w:r>
          </w:p>
        </w:tc>
        <w:tc>
          <w:tcPr>
            <w:tcW w:w="1435" w:type="dxa"/>
            <w:vAlign w:val="center"/>
          </w:tcPr>
          <w:p w14:paraId="31A8362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1D31FBF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219AFF81">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.自主学习</w:t>
            </w:r>
          </w:p>
        </w:tc>
        <w:tc>
          <w:tcPr>
            <w:tcW w:w="438" w:type="dxa"/>
            <w:vAlign w:val="center"/>
          </w:tcPr>
          <w:p w14:paraId="5248BF1F">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1ED6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58E88251">
            <w:pPr>
              <w:spacing w:line="276" w:lineRule="auto"/>
              <w:jc w:val="center"/>
              <w:rPr>
                <w:rFonts w:hint="eastAsia" w:ascii="宋体" w:hAnsi="宋体" w:eastAsia="宋体" w:cs="Times New Roman"/>
                <w:color w:val="auto"/>
                <w:szCs w:val="21"/>
              </w:rPr>
            </w:pPr>
          </w:p>
        </w:tc>
        <w:tc>
          <w:tcPr>
            <w:tcW w:w="8093" w:type="dxa"/>
            <w:gridSpan w:val="5"/>
            <w:vAlign w:val="center"/>
          </w:tcPr>
          <w:p w14:paraId="6ADC41D4">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养成严谨治学的态度，掌握科学、严谨的学习方法，注重创新精神和实践能力的提升，增强团队合作意识与沟通表达能力。</w:t>
            </w:r>
          </w:p>
        </w:tc>
      </w:tr>
    </w:tbl>
    <w:p w14:paraId="05BE7C65">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2"/>
          <w:szCs w:val="22"/>
        </w:rPr>
        <w:t>四、目标评价与成绩评定</w:t>
      </w:r>
    </w:p>
    <w:p w14:paraId="77B6D221">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3BA838F8">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1545"/>
        <w:gridCol w:w="1405"/>
        <w:gridCol w:w="1405"/>
        <w:gridCol w:w="1405"/>
        <w:gridCol w:w="846"/>
      </w:tblGrid>
      <w:tr w14:paraId="5570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restart"/>
            <w:vAlign w:val="center"/>
          </w:tcPr>
          <w:p w14:paraId="3917330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0" w:type="auto"/>
            <w:gridSpan w:val="4"/>
            <w:vAlign w:val="center"/>
          </w:tcPr>
          <w:p w14:paraId="4A0E37D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1E80FCD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583D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continue"/>
            <w:vAlign w:val="center"/>
          </w:tcPr>
          <w:p w14:paraId="55217263">
            <w:pPr>
              <w:spacing w:line="360" w:lineRule="auto"/>
              <w:jc w:val="center"/>
              <w:rPr>
                <w:rFonts w:hint="eastAsia" w:ascii="宋体" w:hAnsi="宋体" w:eastAsia="宋体" w:cs="Times New Roman"/>
                <w:color w:val="auto"/>
                <w:szCs w:val="21"/>
              </w:rPr>
            </w:pPr>
          </w:p>
        </w:tc>
        <w:tc>
          <w:tcPr>
            <w:tcW w:w="0" w:type="auto"/>
            <w:vAlign w:val="center"/>
          </w:tcPr>
          <w:p w14:paraId="7F2E30B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作业</w:t>
            </w:r>
            <w:r>
              <w:rPr>
                <w:rFonts w:ascii="宋体" w:hAnsi="宋体" w:eastAsia="宋体" w:cs="Times New Roman"/>
                <w:color w:val="auto"/>
                <w:szCs w:val="21"/>
              </w:rPr>
              <w:t>+考勤</w:t>
            </w:r>
          </w:p>
        </w:tc>
        <w:tc>
          <w:tcPr>
            <w:tcW w:w="0" w:type="auto"/>
            <w:vAlign w:val="center"/>
          </w:tcPr>
          <w:p w14:paraId="2A105DF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0" w:type="auto"/>
            <w:vAlign w:val="center"/>
          </w:tcPr>
          <w:p w14:paraId="50F0782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课内实践</w:t>
            </w:r>
          </w:p>
        </w:tc>
        <w:tc>
          <w:tcPr>
            <w:tcW w:w="0" w:type="auto"/>
            <w:vAlign w:val="center"/>
          </w:tcPr>
          <w:p w14:paraId="343E8AA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0" w:type="auto"/>
            <w:vMerge w:val="continue"/>
            <w:vAlign w:val="center"/>
          </w:tcPr>
          <w:p w14:paraId="5E5AB0CA">
            <w:pPr>
              <w:spacing w:line="360" w:lineRule="auto"/>
              <w:jc w:val="center"/>
              <w:rPr>
                <w:rFonts w:hint="eastAsia" w:ascii="宋体" w:hAnsi="宋体" w:eastAsia="宋体" w:cs="Times New Roman"/>
                <w:color w:val="auto"/>
                <w:szCs w:val="21"/>
              </w:rPr>
            </w:pPr>
          </w:p>
        </w:tc>
      </w:tr>
      <w:tr w14:paraId="3005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0" w:type="auto"/>
            <w:vAlign w:val="center"/>
          </w:tcPr>
          <w:p w14:paraId="3B1E9CA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0" w:type="auto"/>
            <w:vAlign w:val="center"/>
          </w:tcPr>
          <w:p w14:paraId="206B8FC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59777D1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5807A7BC">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8BACE3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185AB3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5</w:t>
            </w:r>
          </w:p>
        </w:tc>
      </w:tr>
      <w:tr w14:paraId="2CF8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6FB8980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0" w:type="auto"/>
            <w:vAlign w:val="center"/>
          </w:tcPr>
          <w:p w14:paraId="17AD4C5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E5577F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5FE950CB">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4CD6FF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84CFFA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35</w:t>
            </w:r>
          </w:p>
        </w:tc>
      </w:tr>
      <w:tr w14:paraId="535D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449D5EE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0" w:type="auto"/>
            <w:vAlign w:val="center"/>
          </w:tcPr>
          <w:p w14:paraId="644EAA0B">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8DE57F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4E07A4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2BF41A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E46209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5</w:t>
            </w:r>
          </w:p>
        </w:tc>
      </w:tr>
      <w:tr w14:paraId="2B8D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3EC6096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课程目标4</w:t>
            </w:r>
          </w:p>
        </w:tc>
        <w:tc>
          <w:tcPr>
            <w:tcW w:w="0" w:type="auto"/>
            <w:vAlign w:val="center"/>
          </w:tcPr>
          <w:p w14:paraId="4E632D99">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DD9327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07261B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5F1C6D52">
            <w:pPr>
              <w:spacing w:line="360" w:lineRule="auto"/>
              <w:jc w:val="center"/>
              <w:rPr>
                <w:rFonts w:hint="eastAsia" w:ascii="宋体" w:hAnsi="宋体" w:eastAsia="宋体" w:cs="Times New Roman"/>
                <w:color w:val="auto"/>
                <w:szCs w:val="21"/>
              </w:rPr>
            </w:pPr>
          </w:p>
        </w:tc>
        <w:tc>
          <w:tcPr>
            <w:tcW w:w="0" w:type="auto"/>
            <w:vAlign w:val="center"/>
          </w:tcPr>
          <w:p w14:paraId="609ABE9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15</w:t>
            </w:r>
          </w:p>
        </w:tc>
      </w:tr>
      <w:tr w14:paraId="4A20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00DB457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0" w:type="auto"/>
            <w:vAlign w:val="center"/>
          </w:tcPr>
          <w:p w14:paraId="7703D80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20</w:t>
            </w:r>
          </w:p>
        </w:tc>
        <w:tc>
          <w:tcPr>
            <w:tcW w:w="0" w:type="auto"/>
            <w:vAlign w:val="center"/>
          </w:tcPr>
          <w:p w14:paraId="6982F4B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0</w:t>
            </w:r>
          </w:p>
        </w:tc>
        <w:tc>
          <w:tcPr>
            <w:tcW w:w="0" w:type="auto"/>
            <w:vAlign w:val="center"/>
          </w:tcPr>
          <w:p w14:paraId="5FF3A93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0</w:t>
            </w:r>
          </w:p>
        </w:tc>
        <w:tc>
          <w:tcPr>
            <w:tcW w:w="0" w:type="auto"/>
            <w:vAlign w:val="center"/>
          </w:tcPr>
          <w:p w14:paraId="21B053F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w:t>
            </w:r>
            <w:r>
              <w:rPr>
                <w:rFonts w:ascii="宋体" w:hAnsi="宋体" w:eastAsia="宋体" w:cs="Times New Roman"/>
                <w:color w:val="auto"/>
                <w:szCs w:val="21"/>
              </w:rPr>
              <w:t>0</w:t>
            </w:r>
          </w:p>
        </w:tc>
        <w:tc>
          <w:tcPr>
            <w:tcW w:w="0" w:type="auto"/>
            <w:vAlign w:val="center"/>
          </w:tcPr>
          <w:p w14:paraId="049102A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4E0C31D8">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44E10888">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3573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231D43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924" w:type="dxa"/>
            <w:vAlign w:val="center"/>
          </w:tcPr>
          <w:p w14:paraId="1CA686DD">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3B909A1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3DB5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CA4039B">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作业</w:t>
            </w:r>
            <w:r>
              <w:rPr>
                <w:rFonts w:ascii="Times New Roman" w:hAnsi="Times New Roman" w:eastAsia="宋体" w:cs="Times New Roman"/>
                <w:color w:val="auto"/>
                <w:szCs w:val="21"/>
              </w:rPr>
              <w:t>+考勤</w:t>
            </w:r>
          </w:p>
        </w:tc>
        <w:tc>
          <w:tcPr>
            <w:tcW w:w="6924" w:type="dxa"/>
            <w:vAlign w:val="center"/>
          </w:tcPr>
          <w:p w14:paraId="5B2B0994">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平时作业共3次，平时总评</w:t>
            </w:r>
            <w:r>
              <w:rPr>
                <w:rFonts w:ascii="Times New Roman" w:hAnsi="Times New Roman" w:eastAsia="宋体" w:cs="Times New Roman"/>
                <w:color w:val="auto"/>
                <w:szCs w:val="21"/>
              </w:rPr>
              <w:t>=作业平均—考勤扣分，旷课1次扣5分，事假一次扣2分，迟到1次扣1分，病假不扣分（但病假次数达本学期总授课学时的1/3以上者不得参加考核）。</w:t>
            </w:r>
          </w:p>
        </w:tc>
        <w:tc>
          <w:tcPr>
            <w:tcW w:w="0" w:type="auto"/>
            <w:vAlign w:val="center"/>
          </w:tcPr>
          <w:p w14:paraId="1D1B5C6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0%</w:t>
            </w:r>
          </w:p>
        </w:tc>
      </w:tr>
      <w:tr w14:paraId="7486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A806880">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6924" w:type="dxa"/>
            <w:vAlign w:val="center"/>
          </w:tcPr>
          <w:p w14:paraId="5B35ED69">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课堂表现。</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按照对应的课程目标及权重给予评定</w:t>
            </w:r>
            <w:r>
              <w:rPr>
                <w:rFonts w:hint="eastAsia" w:ascii="宋体" w:hAnsi="宋体" w:eastAsia="宋体" w:cs="宋体"/>
                <w:color w:val="auto"/>
                <w:kern w:val="0"/>
                <w:szCs w:val="21"/>
                <w:lang w:bidi="ar"/>
              </w:rPr>
              <w:t>。</w:t>
            </w:r>
          </w:p>
        </w:tc>
        <w:tc>
          <w:tcPr>
            <w:tcW w:w="0" w:type="auto"/>
            <w:vAlign w:val="center"/>
          </w:tcPr>
          <w:p w14:paraId="3EE1B91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6A04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745CD3F8">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课内实践</w:t>
            </w:r>
          </w:p>
        </w:tc>
        <w:tc>
          <w:tcPr>
            <w:tcW w:w="6924" w:type="dxa"/>
            <w:vAlign w:val="center"/>
          </w:tcPr>
          <w:p w14:paraId="283CD1E6">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认真完成</w:t>
            </w:r>
            <w:r>
              <w:rPr>
                <w:rFonts w:ascii="宋体" w:hAnsi="宋体" w:eastAsia="宋体" w:cs="宋体"/>
                <w:color w:val="auto"/>
                <w:kern w:val="0"/>
                <w:szCs w:val="21"/>
                <w:lang w:bidi="ar"/>
              </w:rPr>
              <w:t>4个项目的课内实践，</w:t>
            </w:r>
            <w:r>
              <w:rPr>
                <w:rFonts w:hint="eastAsia" w:ascii="宋体" w:hAnsi="宋体" w:eastAsia="宋体" w:cs="宋体"/>
                <w:color w:val="auto"/>
                <w:kern w:val="0"/>
                <w:szCs w:val="21"/>
                <w:lang w:bidi="ar"/>
              </w:rPr>
              <w:t>在认真学习综合实践设计理论的基础上</w:t>
            </w:r>
            <w:r>
              <w:rPr>
                <w:rFonts w:ascii="宋体" w:hAnsi="宋体" w:eastAsia="宋体" w:cs="宋体"/>
                <w:color w:val="auto"/>
                <w:kern w:val="0"/>
                <w:szCs w:val="21"/>
                <w:lang w:bidi="ar"/>
              </w:rPr>
              <w:t>，尝试进行</w:t>
            </w:r>
            <w:r>
              <w:rPr>
                <w:rFonts w:hint="eastAsia" w:ascii="宋体" w:hAnsi="宋体" w:eastAsia="宋体" w:cs="宋体"/>
                <w:color w:val="auto"/>
                <w:kern w:val="0"/>
                <w:szCs w:val="21"/>
                <w:lang w:bidi="ar"/>
              </w:rPr>
              <w:t>相关内容的综合实践活动设计并付诸实施</w:t>
            </w:r>
            <w:r>
              <w:rPr>
                <w:rFonts w:ascii="宋体" w:hAnsi="宋体" w:eastAsia="宋体" w:cs="宋体"/>
                <w:color w:val="auto"/>
                <w:kern w:val="0"/>
                <w:szCs w:val="21"/>
                <w:lang w:bidi="ar"/>
              </w:rPr>
              <w:t>。</w:t>
            </w:r>
            <w:r>
              <w:rPr>
                <w:rFonts w:hint="eastAsia" w:ascii="宋体" w:hAnsi="宋体" w:eastAsia="宋体" w:cs="宋体"/>
                <w:color w:val="auto"/>
                <w:kern w:val="0"/>
                <w:szCs w:val="21"/>
                <w:lang w:bidi="ar"/>
              </w:rPr>
              <w:t>实行组内互评与教师评价相结合的方式。</w:t>
            </w:r>
            <w:r>
              <w:rPr>
                <w:rFonts w:ascii="宋体" w:hAnsi="宋体" w:eastAsia="宋体" w:cs="宋体"/>
                <w:color w:val="auto"/>
                <w:kern w:val="0"/>
                <w:szCs w:val="21"/>
                <w:lang w:bidi="ar"/>
              </w:rPr>
              <w:t>4个项目成绩取平均分作为课内实践分。</w:t>
            </w:r>
          </w:p>
        </w:tc>
        <w:tc>
          <w:tcPr>
            <w:tcW w:w="0" w:type="auto"/>
            <w:vAlign w:val="center"/>
          </w:tcPr>
          <w:p w14:paraId="404D215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0%</w:t>
            </w:r>
          </w:p>
        </w:tc>
      </w:tr>
      <w:tr w14:paraId="1245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D2D9D99">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6924" w:type="dxa"/>
            <w:vAlign w:val="center"/>
          </w:tcPr>
          <w:p w14:paraId="1A03CCE7">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本课程考核的方式为开卷笔试。有下列情况之一者，总评成绩为不及格：</w:t>
            </w:r>
          </w:p>
          <w:p w14:paraId="1ED876FD">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（1）缺交作业次数达1/3以上者。</w:t>
            </w:r>
          </w:p>
          <w:p w14:paraId="71597CCF">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（2）缺课次数达本学期总授课学时的1/3以上者。</w:t>
            </w:r>
          </w:p>
        </w:tc>
        <w:tc>
          <w:tcPr>
            <w:tcW w:w="0" w:type="auto"/>
            <w:vAlign w:val="center"/>
          </w:tcPr>
          <w:p w14:paraId="1115F42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196A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A97D043">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7D1D456C">
            <w:pPr>
              <w:jc w:val="left"/>
              <w:rPr>
                <w:rFonts w:ascii="Times New Roman" w:hAnsi="Times New Roman" w:eastAsia="宋体" w:cs="Times New Roman"/>
                <w:color w:val="auto"/>
                <w:szCs w:val="21"/>
              </w:rPr>
            </w:pPr>
          </w:p>
        </w:tc>
        <w:tc>
          <w:tcPr>
            <w:tcW w:w="0" w:type="auto"/>
            <w:vAlign w:val="center"/>
          </w:tcPr>
          <w:p w14:paraId="66FD2B1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405E87C8">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058BD662">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60AC0F18">
      <w:pPr>
        <w:spacing w:before="156" w:beforeLines="50"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object>
          <v:shape id="_x0000_i1073"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73" DrawAspect="Content" ObjectID="_1468075772" r:id="rId59">
            <o:LockedField>false</o:LockedField>
          </o:OLEObject>
        </w:object>
      </w:r>
    </w:p>
    <w:p w14:paraId="43CBECF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2"/>
          <w:szCs w:val="22"/>
        </w:rPr>
        <w:t>五、课内实践</w:t>
      </w:r>
    </w:p>
    <w:p w14:paraId="014F03D2">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本课程在理论教学的基础上，安排了4个课内实践项目（共</w:t>
      </w:r>
      <w:r>
        <w:rPr>
          <w:rFonts w:ascii="宋体" w:hAnsi="宋体" w:eastAsia="宋体"/>
          <w:color w:val="auto"/>
          <w:szCs w:val="21"/>
        </w:rPr>
        <w:t>16</w:t>
      </w:r>
      <w:r>
        <w:rPr>
          <w:rFonts w:hint="eastAsia" w:ascii="宋体" w:hAnsi="宋体" w:eastAsia="宋体"/>
          <w:color w:val="auto"/>
          <w:szCs w:val="21"/>
        </w:rPr>
        <w:t>学时），体现了理论与实践的结合，强化对学生的课程思政。</w:t>
      </w:r>
    </w:p>
    <w:tbl>
      <w:tblPr>
        <w:tblStyle w:val="3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2339"/>
        <w:gridCol w:w="740"/>
        <w:gridCol w:w="3160"/>
      </w:tblGrid>
      <w:tr w14:paraId="5FDC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2280" w:type="dxa"/>
            <w:vAlign w:val="center"/>
          </w:tcPr>
          <w:p w14:paraId="300B1B33">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2339" w:type="dxa"/>
            <w:vAlign w:val="center"/>
          </w:tcPr>
          <w:p w14:paraId="2DA2672F">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740" w:type="dxa"/>
            <w:vAlign w:val="center"/>
          </w:tcPr>
          <w:p w14:paraId="419AA11C">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3160" w:type="dxa"/>
            <w:vAlign w:val="center"/>
          </w:tcPr>
          <w:p w14:paraId="69CBB1D2">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思政目标</w:t>
            </w:r>
          </w:p>
        </w:tc>
      </w:tr>
      <w:tr w14:paraId="40E2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2280" w:type="dxa"/>
            <w:vAlign w:val="center"/>
          </w:tcPr>
          <w:p w14:paraId="32F0E326">
            <w:pPr>
              <w:jc w:val="center"/>
              <w:rPr>
                <w:rFonts w:hint="eastAsia" w:ascii="宋体" w:hAnsi="宋体" w:eastAsia="宋体" w:cs="Times New Roman"/>
                <w:color w:val="auto"/>
                <w:szCs w:val="21"/>
              </w:rPr>
            </w:pPr>
            <w:r>
              <w:rPr>
                <w:rFonts w:hint="eastAsia" w:ascii="宋体" w:hAnsi="宋体" w:eastAsia="宋体" w:cs="Times New Roman"/>
                <w:color w:val="auto"/>
                <w:szCs w:val="21"/>
              </w:rPr>
              <w:t>《中小学综合实践活动课程指导纲要》研读</w:t>
            </w:r>
          </w:p>
        </w:tc>
        <w:tc>
          <w:tcPr>
            <w:tcW w:w="2339" w:type="dxa"/>
            <w:vAlign w:val="center"/>
          </w:tcPr>
          <w:p w14:paraId="11F0301B">
            <w:pPr>
              <w:rPr>
                <w:rFonts w:hint="eastAsia" w:ascii="宋体" w:hAnsi="宋体" w:eastAsia="宋体" w:cs="Times New Roman"/>
                <w:color w:val="auto"/>
                <w:szCs w:val="21"/>
              </w:rPr>
            </w:pPr>
            <w:r>
              <w:rPr>
                <w:rFonts w:hint="eastAsia" w:ascii="宋体" w:hAnsi="宋体" w:eastAsia="宋体" w:cs="Times New Roman"/>
                <w:color w:val="auto"/>
                <w:szCs w:val="21"/>
              </w:rPr>
              <w:t>认真学习《中小学综合实践活动课程指导纲要》，</w:t>
            </w:r>
            <w:r>
              <w:rPr>
                <w:rFonts w:ascii="宋体" w:hAnsi="宋体" w:eastAsia="宋体" w:cs="Times New Roman"/>
                <w:color w:val="auto"/>
                <w:szCs w:val="21"/>
              </w:rPr>
              <w:t>撰写一份</w:t>
            </w:r>
            <w:r>
              <w:rPr>
                <w:rFonts w:hint="eastAsia" w:ascii="宋体" w:hAnsi="宋体" w:eastAsia="宋体" w:cs="Times New Roman"/>
                <w:color w:val="auto"/>
                <w:szCs w:val="21"/>
              </w:rPr>
              <w:t>学习报告</w:t>
            </w:r>
            <w:r>
              <w:rPr>
                <w:rFonts w:ascii="宋体" w:hAnsi="宋体" w:eastAsia="宋体" w:cs="Times New Roman"/>
                <w:color w:val="auto"/>
                <w:szCs w:val="21"/>
              </w:rPr>
              <w:t>，并</w:t>
            </w:r>
            <w:r>
              <w:rPr>
                <w:rFonts w:hint="eastAsia" w:ascii="宋体" w:hAnsi="宋体" w:eastAsia="宋体" w:cs="Times New Roman"/>
                <w:color w:val="auto"/>
                <w:szCs w:val="21"/>
              </w:rPr>
              <w:t>与</w:t>
            </w:r>
            <w:r>
              <w:rPr>
                <w:rFonts w:ascii="宋体" w:hAnsi="宋体" w:eastAsia="宋体" w:cs="Times New Roman"/>
                <w:color w:val="auto"/>
                <w:szCs w:val="21"/>
              </w:rPr>
              <w:t>同学交流</w:t>
            </w:r>
          </w:p>
        </w:tc>
        <w:tc>
          <w:tcPr>
            <w:tcW w:w="740" w:type="dxa"/>
            <w:vAlign w:val="center"/>
          </w:tcPr>
          <w:p w14:paraId="06C66D16">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研讨</w:t>
            </w:r>
          </w:p>
          <w:p w14:paraId="5A115753">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交流</w:t>
            </w:r>
          </w:p>
        </w:tc>
        <w:tc>
          <w:tcPr>
            <w:tcW w:w="3160" w:type="dxa"/>
          </w:tcPr>
          <w:p w14:paraId="68156681">
            <w:pPr>
              <w:rPr>
                <w:rFonts w:hint="eastAsia" w:ascii="宋体" w:hAnsi="宋体" w:eastAsia="宋体" w:cs="Times New Roman"/>
                <w:color w:val="auto"/>
                <w:szCs w:val="21"/>
              </w:rPr>
            </w:pPr>
            <w:r>
              <w:rPr>
                <w:rFonts w:hint="eastAsia" w:ascii="宋体" w:hAnsi="宋体" w:eastAsia="宋体" w:cs="Times New Roman"/>
                <w:color w:val="auto"/>
                <w:szCs w:val="21"/>
              </w:rPr>
              <w:t>养成严谨治学的态度，掌握科学、严谨的学习方法，注重创新精神和实践能力的提升，增强专业自信心，增强团队合作意识与沟通表达能力。</w:t>
            </w:r>
          </w:p>
        </w:tc>
      </w:tr>
      <w:tr w14:paraId="7038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2280" w:type="dxa"/>
            <w:vAlign w:val="center"/>
          </w:tcPr>
          <w:p w14:paraId="32FE0490">
            <w:pPr>
              <w:jc w:val="center"/>
              <w:rPr>
                <w:rFonts w:hint="eastAsia" w:ascii="宋体" w:hAnsi="宋体" w:eastAsia="宋体" w:cs="Times New Roman"/>
                <w:color w:val="auto"/>
                <w:szCs w:val="21"/>
              </w:rPr>
            </w:pPr>
            <w:r>
              <w:rPr>
                <w:rFonts w:hint="eastAsia" w:ascii="宋体" w:hAnsi="宋体" w:eastAsia="宋体" w:cs="Times New Roman"/>
                <w:color w:val="auto"/>
                <w:szCs w:val="21"/>
              </w:rPr>
              <w:t>研究性学习的设计</w:t>
            </w:r>
          </w:p>
          <w:p w14:paraId="67799E1F">
            <w:pPr>
              <w:jc w:val="center"/>
              <w:rPr>
                <w:rFonts w:hint="eastAsia" w:ascii="宋体" w:hAnsi="宋体" w:eastAsia="宋体" w:cs="Times New Roman"/>
                <w:color w:val="auto"/>
                <w:szCs w:val="21"/>
              </w:rPr>
            </w:pPr>
            <w:r>
              <w:rPr>
                <w:rFonts w:hint="eastAsia" w:ascii="宋体" w:hAnsi="宋体" w:eastAsia="宋体" w:cs="Times New Roman"/>
                <w:color w:val="auto"/>
                <w:szCs w:val="21"/>
              </w:rPr>
              <w:t>与实施</w:t>
            </w:r>
          </w:p>
        </w:tc>
        <w:tc>
          <w:tcPr>
            <w:tcW w:w="2339" w:type="dxa"/>
            <w:vAlign w:val="center"/>
          </w:tcPr>
          <w:p w14:paraId="38C3751F">
            <w:pPr>
              <w:rPr>
                <w:rFonts w:hint="eastAsia" w:ascii="宋体" w:hAnsi="宋体" w:eastAsia="宋体" w:cs="Times New Roman"/>
                <w:color w:val="auto"/>
                <w:szCs w:val="21"/>
              </w:rPr>
            </w:pPr>
            <w:r>
              <w:rPr>
                <w:rFonts w:hint="eastAsia" w:ascii="宋体" w:hAnsi="宋体" w:eastAsia="宋体" w:cs="Times New Roman"/>
                <w:color w:val="auto"/>
                <w:szCs w:val="21"/>
              </w:rPr>
              <w:t>选择</w:t>
            </w:r>
            <w:r>
              <w:rPr>
                <w:rFonts w:ascii="宋体" w:hAnsi="宋体" w:eastAsia="宋体" w:cs="Times New Roman"/>
                <w:color w:val="auto"/>
                <w:szCs w:val="21"/>
              </w:rPr>
              <w:t>一个</w:t>
            </w:r>
            <w:r>
              <w:rPr>
                <w:rFonts w:hint="eastAsia" w:ascii="宋体" w:hAnsi="宋体" w:eastAsia="宋体" w:cs="Times New Roman"/>
                <w:color w:val="auto"/>
                <w:szCs w:val="21"/>
              </w:rPr>
              <w:t>研究</w:t>
            </w:r>
            <w:r>
              <w:rPr>
                <w:rFonts w:ascii="宋体" w:hAnsi="宋体" w:eastAsia="宋体" w:cs="Times New Roman"/>
                <w:color w:val="auto"/>
                <w:szCs w:val="21"/>
              </w:rPr>
              <w:t>性学习课题，</w:t>
            </w:r>
            <w:r>
              <w:rPr>
                <w:rFonts w:hint="eastAsia" w:ascii="宋体" w:hAnsi="宋体" w:eastAsia="宋体" w:cs="Times New Roman"/>
                <w:color w:val="auto"/>
                <w:szCs w:val="21"/>
              </w:rPr>
              <w:t>设计</w:t>
            </w:r>
            <w:r>
              <w:rPr>
                <w:rFonts w:ascii="宋体" w:hAnsi="宋体" w:eastAsia="宋体" w:cs="Times New Roman"/>
                <w:color w:val="auto"/>
                <w:szCs w:val="21"/>
              </w:rPr>
              <w:t>研究性学习方案，并具体开展</w:t>
            </w:r>
            <w:r>
              <w:rPr>
                <w:rFonts w:hint="eastAsia" w:ascii="宋体" w:hAnsi="宋体" w:eastAsia="宋体" w:cs="Times New Roman"/>
                <w:color w:val="auto"/>
                <w:szCs w:val="21"/>
              </w:rPr>
              <w:t>进行一次专题研究</w:t>
            </w:r>
          </w:p>
        </w:tc>
        <w:tc>
          <w:tcPr>
            <w:tcW w:w="740" w:type="dxa"/>
            <w:vAlign w:val="center"/>
          </w:tcPr>
          <w:p w14:paraId="2A2418D1">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设计</w:t>
            </w:r>
          </w:p>
          <w:p w14:paraId="4A656119">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实践</w:t>
            </w:r>
          </w:p>
        </w:tc>
        <w:tc>
          <w:tcPr>
            <w:tcW w:w="3160" w:type="dxa"/>
          </w:tcPr>
          <w:p w14:paraId="3F851D7D">
            <w:pPr>
              <w:rPr>
                <w:rFonts w:hint="eastAsia" w:ascii="宋体" w:hAnsi="宋体" w:eastAsia="宋体" w:cs="Times New Roman"/>
                <w:color w:val="auto"/>
                <w:szCs w:val="21"/>
              </w:rPr>
            </w:pPr>
            <w:r>
              <w:rPr>
                <w:rFonts w:hint="eastAsia" w:ascii="宋体" w:hAnsi="宋体" w:eastAsia="宋体" w:cs="Times New Roman"/>
                <w:color w:val="auto"/>
                <w:szCs w:val="21"/>
              </w:rPr>
              <w:t>注重创新精神和实践能力的提升，树立以学生为主体的设计理念和全面的评价理念，增强专业自信心，增强团队合作意识与沟通表达能力。</w:t>
            </w:r>
          </w:p>
        </w:tc>
      </w:tr>
      <w:tr w14:paraId="580A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2280" w:type="dxa"/>
            <w:vAlign w:val="center"/>
          </w:tcPr>
          <w:p w14:paraId="40919C57">
            <w:pPr>
              <w:jc w:val="center"/>
              <w:rPr>
                <w:rFonts w:hint="eastAsia" w:ascii="宋体" w:hAnsi="宋体" w:eastAsia="宋体" w:cs="Times New Roman"/>
                <w:color w:val="auto"/>
                <w:szCs w:val="21"/>
              </w:rPr>
            </w:pPr>
            <w:r>
              <w:rPr>
                <w:rFonts w:hint="eastAsia" w:ascii="宋体" w:hAnsi="宋体" w:eastAsia="宋体" w:cs="Times New Roman"/>
                <w:color w:val="auto"/>
                <w:szCs w:val="21"/>
              </w:rPr>
              <w:t>社区服务与社会实践的设计与实施</w:t>
            </w:r>
          </w:p>
        </w:tc>
        <w:tc>
          <w:tcPr>
            <w:tcW w:w="2339" w:type="dxa"/>
            <w:vAlign w:val="center"/>
          </w:tcPr>
          <w:p w14:paraId="1F01D896">
            <w:pPr>
              <w:rPr>
                <w:rFonts w:hint="eastAsia" w:ascii="宋体" w:hAnsi="宋体" w:eastAsia="宋体" w:cs="Times New Roman"/>
                <w:color w:val="auto"/>
                <w:szCs w:val="21"/>
              </w:rPr>
            </w:pPr>
            <w:r>
              <w:rPr>
                <w:rFonts w:hint="eastAsia" w:ascii="宋体" w:hAnsi="宋体" w:eastAsia="宋体" w:cs="Times New Roman"/>
                <w:color w:val="auto"/>
                <w:szCs w:val="21"/>
              </w:rPr>
              <w:t>选择</w:t>
            </w:r>
            <w:r>
              <w:rPr>
                <w:rFonts w:ascii="宋体" w:hAnsi="宋体" w:eastAsia="宋体" w:cs="Times New Roman"/>
                <w:color w:val="auto"/>
                <w:szCs w:val="21"/>
              </w:rPr>
              <w:t>一个</w:t>
            </w:r>
            <w:r>
              <w:rPr>
                <w:rFonts w:hint="eastAsia" w:ascii="宋体" w:hAnsi="宋体" w:eastAsia="宋体" w:cs="Times New Roman"/>
                <w:color w:val="auto"/>
                <w:szCs w:val="21"/>
              </w:rPr>
              <w:t>社区服务或社会实践活动主题</w:t>
            </w:r>
            <w:r>
              <w:rPr>
                <w:rFonts w:ascii="宋体" w:hAnsi="宋体" w:eastAsia="宋体" w:cs="Times New Roman"/>
                <w:color w:val="auto"/>
                <w:szCs w:val="21"/>
              </w:rPr>
              <w:t>，设计活动方案并具体</w:t>
            </w:r>
            <w:r>
              <w:rPr>
                <w:rFonts w:hint="eastAsia" w:ascii="宋体" w:hAnsi="宋体" w:eastAsia="宋体" w:cs="Times New Roman"/>
                <w:color w:val="auto"/>
                <w:szCs w:val="21"/>
              </w:rPr>
              <w:t>开展</w:t>
            </w:r>
            <w:r>
              <w:rPr>
                <w:rFonts w:ascii="宋体" w:hAnsi="宋体" w:eastAsia="宋体" w:cs="Times New Roman"/>
                <w:color w:val="auto"/>
                <w:szCs w:val="21"/>
              </w:rPr>
              <w:t>活动</w:t>
            </w:r>
          </w:p>
        </w:tc>
        <w:tc>
          <w:tcPr>
            <w:tcW w:w="740" w:type="dxa"/>
            <w:vAlign w:val="center"/>
          </w:tcPr>
          <w:p w14:paraId="30BDABCA">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设计</w:t>
            </w:r>
          </w:p>
          <w:p w14:paraId="2491D1D8">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实践</w:t>
            </w:r>
          </w:p>
        </w:tc>
        <w:tc>
          <w:tcPr>
            <w:tcW w:w="3160" w:type="dxa"/>
          </w:tcPr>
          <w:p w14:paraId="036098F0">
            <w:pPr>
              <w:rPr>
                <w:rFonts w:hint="eastAsia" w:ascii="宋体" w:hAnsi="宋体" w:eastAsia="宋体" w:cs="Times New Roman"/>
                <w:color w:val="auto"/>
                <w:szCs w:val="21"/>
              </w:rPr>
            </w:pPr>
            <w:r>
              <w:rPr>
                <w:rFonts w:hint="eastAsia" w:ascii="宋体" w:hAnsi="宋体" w:eastAsia="宋体" w:cs="Times New Roman"/>
                <w:color w:val="auto"/>
                <w:szCs w:val="21"/>
              </w:rPr>
              <w:t>注重创新精神和实践能力的提升，树立以学生为主体的设计理念和全面的评价理念，增强专业自信心，增强团队合作意识与沟通表达能力。</w:t>
            </w:r>
          </w:p>
        </w:tc>
      </w:tr>
      <w:tr w14:paraId="355B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2280" w:type="dxa"/>
            <w:vAlign w:val="center"/>
          </w:tcPr>
          <w:p w14:paraId="52A501E4">
            <w:pPr>
              <w:jc w:val="center"/>
              <w:rPr>
                <w:rFonts w:hint="eastAsia" w:ascii="宋体" w:hAnsi="宋体" w:eastAsia="宋体" w:cs="Times New Roman"/>
                <w:color w:val="auto"/>
                <w:szCs w:val="21"/>
              </w:rPr>
            </w:pPr>
            <w:r>
              <w:rPr>
                <w:rFonts w:hint="eastAsia" w:ascii="宋体" w:hAnsi="宋体" w:eastAsia="宋体" w:cs="Times New Roman"/>
                <w:color w:val="auto"/>
                <w:szCs w:val="21"/>
              </w:rPr>
              <w:t>劳动与技术教育和信息技术教育的设计与实施</w:t>
            </w:r>
          </w:p>
        </w:tc>
        <w:tc>
          <w:tcPr>
            <w:tcW w:w="2339" w:type="dxa"/>
            <w:vAlign w:val="center"/>
          </w:tcPr>
          <w:p w14:paraId="7A45BDFC">
            <w:pPr>
              <w:rPr>
                <w:rFonts w:hint="eastAsia" w:ascii="宋体" w:hAnsi="宋体" w:eastAsia="宋体" w:cs="Times New Roman"/>
                <w:color w:val="auto"/>
                <w:szCs w:val="21"/>
              </w:rPr>
            </w:pPr>
            <w:r>
              <w:rPr>
                <w:rFonts w:hint="eastAsia" w:ascii="宋体" w:hAnsi="宋体" w:eastAsia="宋体" w:cs="Times New Roman"/>
                <w:color w:val="auto"/>
                <w:szCs w:val="21"/>
              </w:rPr>
              <w:t>设计一份劳技制作活动方案并提交劳技</w:t>
            </w:r>
            <w:r>
              <w:rPr>
                <w:rFonts w:ascii="宋体" w:hAnsi="宋体" w:eastAsia="宋体" w:cs="Times New Roman"/>
                <w:color w:val="auto"/>
                <w:szCs w:val="21"/>
              </w:rPr>
              <w:t>作品一件</w:t>
            </w:r>
          </w:p>
        </w:tc>
        <w:tc>
          <w:tcPr>
            <w:tcW w:w="740" w:type="dxa"/>
            <w:vAlign w:val="center"/>
          </w:tcPr>
          <w:p w14:paraId="1C89C136">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设计</w:t>
            </w:r>
          </w:p>
          <w:p w14:paraId="33C8D975">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实践</w:t>
            </w:r>
          </w:p>
        </w:tc>
        <w:tc>
          <w:tcPr>
            <w:tcW w:w="3160" w:type="dxa"/>
          </w:tcPr>
          <w:p w14:paraId="3F80AFAC">
            <w:pPr>
              <w:rPr>
                <w:rFonts w:hint="eastAsia" w:ascii="宋体" w:hAnsi="宋体" w:eastAsia="宋体" w:cs="Times New Roman"/>
                <w:color w:val="auto"/>
                <w:szCs w:val="21"/>
              </w:rPr>
            </w:pPr>
            <w:r>
              <w:rPr>
                <w:rFonts w:hint="eastAsia" w:ascii="宋体" w:hAnsi="宋体" w:eastAsia="宋体" w:cs="Times New Roman"/>
                <w:color w:val="auto"/>
                <w:szCs w:val="21"/>
              </w:rPr>
              <w:t>注重创新精神和实践能力的提升，树立以学生为主体的设计理念和全面的评价理念，增强专业自信心，增强团队合作意识与沟通表达能力。</w:t>
            </w:r>
          </w:p>
        </w:tc>
      </w:tr>
    </w:tbl>
    <w:p w14:paraId="39F8BDEA">
      <w:pPr>
        <w:spacing w:line="360" w:lineRule="auto"/>
        <w:ind w:firstLine="413" w:firstLineChars="196"/>
        <w:jc w:val="left"/>
        <w:rPr>
          <w:rFonts w:hint="eastAsia" w:ascii="宋体" w:hAnsi="宋体" w:eastAsia="宋体" w:cs="Times New Roman"/>
          <w:b/>
          <w:color w:val="auto"/>
          <w:szCs w:val="21"/>
        </w:rPr>
      </w:pPr>
    </w:p>
    <w:p w14:paraId="272C9A33">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2"/>
          <w:szCs w:val="22"/>
        </w:rPr>
        <w:t>六、有关说明</w:t>
      </w:r>
    </w:p>
    <w:p w14:paraId="75246DAB">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23E02AB9">
      <w:pPr>
        <w:spacing w:line="360" w:lineRule="auto"/>
        <w:ind w:firstLine="315" w:firstLineChars="150"/>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本课程根据学生作业、课堂讨论、实践环节和学生、教学督导等的反馈，及时对教学中的不足之处进行改进，并在下一轮课程教学中整改完善，确保相应毕业要求指标点达成。</w:t>
      </w:r>
    </w:p>
    <w:p w14:paraId="11901C7B">
      <w:pPr>
        <w:spacing w:line="360" w:lineRule="auto"/>
        <w:ind w:firstLine="527" w:firstLineChars="25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60A148C3">
      <w:pPr>
        <w:spacing w:line="360" w:lineRule="auto"/>
        <w:ind w:firstLine="525" w:firstLineChars="250"/>
        <w:jc w:val="left"/>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顾建军．小学综合实践活动设计（第3版）．北京：高等教育出版社，2020．</w:t>
      </w:r>
    </w:p>
    <w:p w14:paraId="267155E1">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64F867F0">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1.柳夕浪.</w:t>
      </w:r>
      <w:r>
        <w:rPr>
          <w:rFonts w:hint="eastAsia"/>
          <w:color w:val="auto"/>
          <w:szCs w:val="21"/>
        </w:rPr>
        <w:t xml:space="preserve"> </w:t>
      </w:r>
      <w:r>
        <w:rPr>
          <w:rFonts w:hint="eastAsia" w:ascii="宋体" w:hAnsi="宋体" w:eastAsia="宋体" w:cs="Times New Roman"/>
          <w:color w:val="auto"/>
          <w:szCs w:val="21"/>
        </w:rPr>
        <w:t>《中小学综合实践活动课程指导纲要》解读.石家庄：河北教育出版社，2019.</w:t>
      </w:r>
    </w:p>
    <w:p w14:paraId="28B83BCE">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2.胡扬洋，白欣.综合实践活动课程与教学.北京：北京师范大学出版社，2023.</w:t>
      </w:r>
    </w:p>
    <w:p w14:paraId="3EDB0A9A">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3.刘道溶.中小学综合实践活动教学活动设计案例精选.北京：北京大学出版社，2012.</w:t>
      </w:r>
    </w:p>
    <w:p w14:paraId="74329BB2">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4.郭元祥．综合实践活动课程——设计与实施．首都师范大学出版社，2001．</w:t>
      </w:r>
    </w:p>
    <w:p w14:paraId="548BEF21">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5.郭元祥．综合实践活动课程的实施．高等教育出版社，2003．</w:t>
      </w:r>
    </w:p>
    <w:p w14:paraId="17619B62">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6.教育部基础教育司．走进新课程——与课程实施者对话．北京师范大学出版社，2002．</w:t>
      </w:r>
    </w:p>
    <w:p w14:paraId="1692C2A4">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7.姜平．综合实践活动教学设计与特色案例评析．首都师范大学出版社，2003．</w:t>
      </w:r>
    </w:p>
    <w:p w14:paraId="1741BE5C">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8.姜平．综合实践活动课程的整体推进与校本化实施．首都师范大学出版社，2006．</w:t>
      </w:r>
    </w:p>
    <w:p w14:paraId="50308C6A">
      <w:pPr>
        <w:rPr>
          <w:color w:val="auto"/>
          <w:szCs w:val="21"/>
        </w:rPr>
      </w:pPr>
    </w:p>
    <w:p w14:paraId="68174535">
      <w:pPr>
        <w:keepNext w:val="0"/>
        <w:keepLines w:val="0"/>
        <w:pageBreakBefore w:val="0"/>
        <w:widowControl w:val="0"/>
        <w:kinsoku/>
        <w:wordWrap/>
        <w:overflowPunct/>
        <w:topLinePunct w:val="0"/>
        <w:autoSpaceDE/>
        <w:autoSpaceDN/>
        <w:bidi w:val="0"/>
        <w:adjustRightInd/>
        <w:snapToGrid/>
        <w:spacing w:line="360" w:lineRule="auto"/>
        <w:ind w:right="1200" w:firstLine="5040" w:firstLineChars="24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执 笔 人：谢国忠</w:t>
      </w:r>
    </w:p>
    <w:p w14:paraId="5EE0AD34">
      <w:pPr>
        <w:keepNext w:val="0"/>
        <w:keepLines w:val="0"/>
        <w:pageBreakBefore w:val="0"/>
        <w:widowControl w:val="0"/>
        <w:kinsoku/>
        <w:wordWrap/>
        <w:overflowPunct/>
        <w:topLinePunct w:val="0"/>
        <w:autoSpaceDE/>
        <w:autoSpaceDN/>
        <w:bidi w:val="0"/>
        <w:adjustRightInd/>
        <w:snapToGrid/>
        <w:spacing w:line="360" w:lineRule="auto"/>
        <w:ind w:right="1440" w:firstLine="5040" w:firstLineChars="24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定 人：王 健</w:t>
      </w:r>
    </w:p>
    <w:p w14:paraId="1489EC7B">
      <w:pPr>
        <w:keepNext w:val="0"/>
        <w:keepLines w:val="0"/>
        <w:pageBreakBefore w:val="0"/>
        <w:widowControl w:val="0"/>
        <w:kinsoku/>
        <w:wordWrap/>
        <w:overflowPunct/>
        <w:topLinePunct w:val="0"/>
        <w:autoSpaceDE/>
        <w:autoSpaceDN/>
        <w:bidi w:val="0"/>
        <w:adjustRightInd/>
        <w:snapToGrid/>
        <w:spacing w:line="360" w:lineRule="auto"/>
        <w:ind w:right="1200" w:firstLine="5040" w:firstLineChars="24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批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张志欣</w:t>
      </w:r>
    </w:p>
    <w:p w14:paraId="2DF13ECA">
      <w:pPr>
        <w:keepNext w:val="0"/>
        <w:keepLines w:val="0"/>
        <w:pageBreakBefore w:val="0"/>
        <w:widowControl w:val="0"/>
        <w:kinsoku/>
        <w:wordWrap/>
        <w:overflowPunct/>
        <w:topLinePunct w:val="0"/>
        <w:autoSpaceDE/>
        <w:autoSpaceDN/>
        <w:bidi w:val="0"/>
        <w:adjustRightInd/>
        <w:snapToGrid/>
        <w:spacing w:line="360" w:lineRule="auto"/>
        <w:ind w:firstLine="5040" w:firstLineChars="2400"/>
        <w:jc w:val="left"/>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批准时间：2025年7月1日</w:t>
      </w:r>
    </w:p>
    <w:p w14:paraId="185D4D17">
      <w:pPr>
        <w:rPr>
          <w:color w:val="auto"/>
          <w:sz w:val="18"/>
          <w:szCs w:val="21"/>
        </w:rPr>
      </w:pPr>
    </w:p>
    <w:p w14:paraId="43ABFEC4">
      <w:pPr>
        <w:rPr>
          <w:rFonts w:hint="eastAsia" w:ascii="等线" w:hAnsi="等线" w:eastAsia="等线" w:cs="等线"/>
          <w:b/>
          <w:bCs/>
          <w:color w:val="auto"/>
          <w:sz w:val="36"/>
          <w:szCs w:val="36"/>
        </w:rPr>
      </w:pPr>
      <w:r>
        <w:rPr>
          <w:rFonts w:hint="eastAsia" w:ascii="等线" w:hAnsi="等线" w:eastAsia="等线" w:cs="等线"/>
          <w:b/>
          <w:bCs/>
          <w:color w:val="auto"/>
          <w:sz w:val="36"/>
          <w:szCs w:val="36"/>
        </w:rPr>
        <w:br w:type="page"/>
      </w:r>
    </w:p>
    <w:p w14:paraId="38598257">
      <w:pPr>
        <w:spacing w:line="360" w:lineRule="auto"/>
        <w:jc w:val="center"/>
        <w:outlineLvl w:val="0"/>
        <w:rPr>
          <w:rFonts w:ascii="Times New Roman" w:hAnsi="Times New Roman" w:eastAsia="宋体" w:cs="Times New Roman"/>
          <w:b/>
          <w:color w:val="auto"/>
          <w:sz w:val="44"/>
          <w:szCs w:val="44"/>
        </w:rPr>
      </w:pPr>
      <w:bookmarkStart w:id="411" w:name="_Toc27882"/>
      <w:bookmarkStart w:id="412" w:name="_Toc27629"/>
      <w:r>
        <w:rPr>
          <w:rFonts w:hint="eastAsia" w:ascii="Times New Roman" w:hAnsi="Times New Roman" w:eastAsia="宋体" w:cs="Times New Roman"/>
          <w:b/>
          <w:color w:val="auto"/>
          <w:sz w:val="44"/>
          <w:szCs w:val="44"/>
        </w:rPr>
        <w:t>《航模制作与训练》课程教学大纲</w:t>
      </w:r>
      <w:bookmarkEnd w:id="411"/>
      <w:bookmarkEnd w:id="412"/>
    </w:p>
    <w:p w14:paraId="5CEA14FA">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w:t>
      </w:r>
      <w:r>
        <w:rPr>
          <w:rFonts w:hint="eastAsia" w:ascii="Times New Roman" w:hAnsi="Times New Roman" w:eastAsia="宋体" w:cs="Times New Roman"/>
          <w:b/>
          <w:bCs/>
          <w:color w:val="auto"/>
          <w:sz w:val="28"/>
          <w:szCs w:val="28"/>
        </w:rPr>
        <w:t>Aeromodelling and Training</w:t>
      </w:r>
      <w:r>
        <w:rPr>
          <w:rFonts w:ascii="Times New Roman" w:hAnsi="Times New Roman" w:eastAsia="宋体" w:cs="Times New Roman"/>
          <w:b/>
          <w:bCs/>
          <w:color w:val="auto"/>
          <w:sz w:val="28"/>
          <w:szCs w:val="28"/>
        </w:rPr>
        <w:t>）</w:t>
      </w:r>
    </w:p>
    <w:p w14:paraId="1B339EB4">
      <w:pPr>
        <w:spacing w:line="360" w:lineRule="auto"/>
        <w:jc w:val="center"/>
        <w:rPr>
          <w:rFonts w:ascii="Times New Roman" w:hAnsi="Times New Roman" w:eastAsia="宋体" w:cs="Times New Roman"/>
          <w:bCs/>
          <w:color w:val="auto"/>
          <w:sz w:val="30"/>
          <w:szCs w:val="30"/>
        </w:rPr>
      </w:pPr>
    </w:p>
    <w:p w14:paraId="265C17BD">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课程名称：航模制作与训练课程</w:t>
      </w:r>
    </w:p>
    <w:p w14:paraId="360777EA">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课程代码：2401034</w:t>
      </w:r>
    </w:p>
    <w:p w14:paraId="57902612">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分：2</w:t>
      </w:r>
    </w:p>
    <w:p w14:paraId="5011671E">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时：32（其中：讲授学时16，实践学时16）</w:t>
      </w:r>
    </w:p>
    <w:p w14:paraId="46ADB6ED">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先修课程：数学分析、 高等代数、 空间解析几何、 概率与统计、初等数论</w:t>
      </w:r>
    </w:p>
    <w:p w14:paraId="2FC009F7">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适用专业：小学教育</w:t>
      </w:r>
    </w:p>
    <w:p w14:paraId="754B239E">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一、课程简介</w:t>
      </w:r>
    </w:p>
    <w:p w14:paraId="132045FB">
      <w:pPr>
        <w:spacing w:line="360" w:lineRule="auto"/>
        <w:ind w:firstLine="420" w:firstLineChars="200"/>
        <w:jc w:val="left"/>
        <w:rPr>
          <w:rFonts w:hint="eastAsia" w:ascii="宋体" w:hAnsi="宋体" w:eastAsia="宋体" w:cs="Times New Roman"/>
          <w:b/>
          <w:color w:val="auto"/>
          <w:szCs w:val="21"/>
        </w:rPr>
      </w:pPr>
      <w:r>
        <w:rPr>
          <w:rFonts w:hint="eastAsia" w:ascii="Times New Roman" w:hAnsi="Times New Roman" w:eastAsia="宋体" w:cs="Times New Roman"/>
          <w:color w:val="auto"/>
          <w:szCs w:val="21"/>
        </w:rPr>
        <w:t>本课程是小学教育专业的一门专业选修课程。通过本课程学习，使学生全面掌握航模制作与训练的内涵、价值、目标、内容、方法，要求学生能动手参与到制作过程中，获得锻炼并能享受这个过程和形成最终成果的成就感，旨在于让学生在扩充新的知识领域的同时培养发散性创新性思维，提高学生的动手能力与加强创新思维方式的培养，为后续创新实践课程学习奠定基础。</w:t>
      </w:r>
    </w:p>
    <w:p w14:paraId="58295B4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二、课程目标</w:t>
      </w:r>
    </w:p>
    <w:p w14:paraId="45A00D0F">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2821D6DC">
      <w:pPr>
        <w:spacing w:line="360" w:lineRule="auto"/>
        <w:ind w:firstLine="482"/>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1.</w:t>
      </w:r>
      <w:r>
        <w:rPr>
          <w:rFonts w:hint="eastAsia" w:ascii="Times New Roman" w:hAnsi="Times New Roman" w:eastAsia="宋体" w:cs="Times New Roman"/>
          <w:b/>
          <w:color w:val="auto"/>
          <w:szCs w:val="21"/>
        </w:rPr>
        <w:t xml:space="preserve"> </w:t>
      </w:r>
      <w:r>
        <w:rPr>
          <w:rFonts w:hint="eastAsia" w:ascii="Times New Roman" w:hAnsi="Times New Roman" w:eastAsia="宋体" w:cs="Times New Roman"/>
          <w:color w:val="auto"/>
          <w:szCs w:val="21"/>
        </w:rPr>
        <w:t>掌握学航模制作与训练的内涵与价值、航模制作与训练相关理论、航模制作与训练目标、航模制作与训练内容与方法、航模制作与训练设计与组织指导策略等基本理论及实践知识。</w:t>
      </w:r>
    </w:p>
    <w:p w14:paraId="353C8AAB">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目标2</w:t>
      </w:r>
      <w:r>
        <w:rPr>
          <w:rFonts w:ascii="Times New Roman" w:hAnsi="Times New Roman" w:eastAsia="宋体" w:cs="Times New Roman"/>
          <w:b/>
          <w:color w:val="auto"/>
          <w:szCs w:val="21"/>
        </w:rPr>
        <w:t xml:space="preserve">. </w:t>
      </w:r>
      <w:r>
        <w:rPr>
          <w:rFonts w:hint="eastAsia" w:ascii="Times New Roman" w:hAnsi="Times New Roman" w:eastAsia="宋体" w:cs="Times New Roman"/>
          <w:color w:val="auto"/>
          <w:szCs w:val="21"/>
        </w:rPr>
        <w:t>能根据儿童身心发展规律和学习特点，运用航模制作与训练的基础理论，结合小学教育教学实践进行研究，具有一定的教学研究能力。</w:t>
      </w:r>
    </w:p>
    <w:p w14:paraId="6EA0864E">
      <w:pPr>
        <w:pStyle w:val="14"/>
        <w:spacing w:before="0" w:beforeAutospacing="0" w:after="0" w:afterAutospacing="0" w:line="360" w:lineRule="auto"/>
        <w:ind w:firstLine="420"/>
        <w:jc w:val="both"/>
        <w:rPr>
          <w:rFonts w:ascii="Times New Roman" w:hAnsi="Times New Roman" w:cs="Times New Roman"/>
          <w:color w:val="auto"/>
          <w:kern w:val="2"/>
          <w:sz w:val="21"/>
          <w:szCs w:val="21"/>
        </w:rPr>
      </w:pPr>
      <w:r>
        <w:rPr>
          <w:rFonts w:hint="eastAsia" w:ascii="Times New Roman" w:hAnsi="Times New Roman" w:cs="Times New Roman"/>
          <w:b/>
          <w:color w:val="auto"/>
          <w:kern w:val="2"/>
          <w:sz w:val="21"/>
          <w:szCs w:val="21"/>
        </w:rPr>
        <w:t>目标3</w:t>
      </w:r>
      <w:r>
        <w:rPr>
          <w:rFonts w:hint="eastAsia" w:ascii="Times New Roman" w:hAnsi="Times New Roman" w:cs="Times New Roman"/>
          <w:b/>
          <w:color w:val="auto"/>
          <w:szCs w:val="21"/>
        </w:rPr>
        <w:t>．</w:t>
      </w:r>
      <w:r>
        <w:rPr>
          <w:rFonts w:hint="eastAsia" w:ascii="Times New Roman" w:hAnsi="Times New Roman" w:cs="Times New Roman"/>
          <w:color w:val="auto"/>
          <w:kern w:val="2"/>
          <w:sz w:val="21"/>
          <w:szCs w:val="21"/>
        </w:rPr>
        <w:t>具有终身学习与专业发展的意识，掌握学航模制作与训练的评价方法和技能，能够运用批判性思维方法，对航模制作与训练进行教育反思。</w:t>
      </w:r>
    </w:p>
    <w:p w14:paraId="1F4D436B">
      <w:pPr>
        <w:pStyle w:val="14"/>
        <w:spacing w:before="0" w:beforeAutospacing="0" w:after="0" w:afterAutospacing="0" w:line="360" w:lineRule="auto"/>
        <w:ind w:firstLine="420"/>
        <w:jc w:val="both"/>
        <w:rPr>
          <w:rFonts w:ascii="Times New Roman" w:hAnsi="Times New Roman" w:cs="Times New Roman"/>
          <w:color w:val="auto"/>
          <w:kern w:val="2"/>
          <w:sz w:val="21"/>
          <w:szCs w:val="21"/>
        </w:rPr>
      </w:pPr>
      <w:r>
        <w:rPr>
          <w:rFonts w:hint="eastAsia" w:ascii="Times New Roman" w:hAnsi="Times New Roman" w:cs="Times New Roman"/>
          <w:b/>
          <w:color w:val="auto"/>
          <w:kern w:val="2"/>
          <w:sz w:val="21"/>
          <w:szCs w:val="21"/>
        </w:rPr>
        <w:t>目标4.</w:t>
      </w:r>
      <w:r>
        <w:rPr>
          <w:rFonts w:hint="eastAsia" w:ascii="方正书宋_GBK" w:hAnsi="方正书宋_GBK" w:eastAsia="方正书宋_GBK" w:cs="方正书宋_GBK"/>
          <w:color w:val="auto"/>
        </w:rPr>
        <w:t xml:space="preserve"> </w:t>
      </w:r>
      <w:r>
        <w:rPr>
          <w:rFonts w:hint="eastAsia" w:ascii="Times New Roman" w:hAnsi="Times New Roman" w:cs="Times New Roman"/>
          <w:color w:val="auto"/>
          <w:kern w:val="2"/>
          <w:sz w:val="21"/>
          <w:szCs w:val="21"/>
        </w:rPr>
        <w:t>能够在小组合作活动中完成不同类型航模制作与训练活动、培养团队精神和团队成员合作意识，具有团队互助和合作学习体验。</w:t>
      </w:r>
    </w:p>
    <w:p w14:paraId="722014B1">
      <w:pPr>
        <w:spacing w:line="360" w:lineRule="auto"/>
        <w:ind w:firstLine="420" w:firstLineChars="200"/>
        <w:jc w:val="left"/>
        <w:rPr>
          <w:rFonts w:ascii="Times New Roman" w:hAnsi="Times New Roman" w:eastAsia="宋体" w:cs="Times New Roman"/>
          <w:color w:val="auto"/>
          <w:szCs w:val="21"/>
        </w:rPr>
      </w:pPr>
    </w:p>
    <w:p w14:paraId="53C6CCAD">
      <w:pPr>
        <w:spacing w:before="156" w:beforeLines="50" w:after="156" w:afterLines="50" w:line="360" w:lineRule="auto"/>
        <w:ind w:firstLine="422" w:firstLineChars="200"/>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9F1E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CA6E4CA">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5688" w:type="dxa"/>
            <w:vAlign w:val="center"/>
          </w:tcPr>
          <w:p w14:paraId="79A3C7FC">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1B3C0E01">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27EC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1629E98">
            <w:pPr>
              <w:spacing w:line="276" w:lineRule="auto"/>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毕业要求3知识学习</w:t>
            </w:r>
          </w:p>
        </w:tc>
        <w:tc>
          <w:tcPr>
            <w:tcW w:w="5688" w:type="dxa"/>
            <w:vAlign w:val="center"/>
          </w:tcPr>
          <w:p w14:paraId="3F6ACD37">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指标点3-4: 掌握健康、社会、语言、科学、艺术五大领域的基础知识、思想方法与策略，并能注重知识的整合与迁移。</w:t>
            </w:r>
          </w:p>
        </w:tc>
        <w:tc>
          <w:tcPr>
            <w:tcW w:w="1191" w:type="dxa"/>
            <w:vAlign w:val="center"/>
          </w:tcPr>
          <w:p w14:paraId="7F4F7FF5">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课程目标1</w:t>
            </w:r>
          </w:p>
        </w:tc>
      </w:tr>
      <w:tr w14:paraId="43F3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5BB06B8">
            <w:pPr>
              <w:spacing w:line="276" w:lineRule="auto"/>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毕业要求4能力培养</w:t>
            </w:r>
          </w:p>
        </w:tc>
        <w:tc>
          <w:tcPr>
            <w:tcW w:w="5688" w:type="dxa"/>
            <w:vAlign w:val="center"/>
          </w:tcPr>
          <w:p w14:paraId="32FDAB18">
            <w:pPr>
              <w:spacing w:line="276" w:lineRule="auto"/>
              <w:jc w:val="left"/>
              <w:rPr>
                <w:rFonts w:ascii="Times New Roman" w:hAnsi="Times New Roman" w:eastAsia="宋体" w:cs="Times New Roman"/>
                <w:color w:val="auto"/>
                <w:szCs w:val="21"/>
              </w:rPr>
            </w:pPr>
            <w:r>
              <w:rPr>
                <w:rFonts w:hint="eastAsia" w:ascii="宋体" w:hAnsi="宋体" w:eastAsia="宋体" w:cs="Times New Roman"/>
                <w:color w:val="auto"/>
                <w:spacing w:val="2"/>
                <w:kern w:val="0"/>
                <w:szCs w:val="21"/>
              </w:rPr>
              <w:t>指标点4-4: 掌握教育研究的基本方法，结合小学教育教学实践进行研究，具有一定的教学研究能力。</w:t>
            </w:r>
          </w:p>
        </w:tc>
        <w:tc>
          <w:tcPr>
            <w:tcW w:w="1191" w:type="dxa"/>
            <w:vAlign w:val="center"/>
          </w:tcPr>
          <w:p w14:paraId="489980EC">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课程目标2</w:t>
            </w:r>
          </w:p>
        </w:tc>
      </w:tr>
      <w:tr w14:paraId="4FF6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A7F956C">
            <w:pPr>
              <w:spacing w:line="276" w:lineRule="auto"/>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毕业要求7学会反思</w:t>
            </w:r>
          </w:p>
        </w:tc>
        <w:tc>
          <w:tcPr>
            <w:tcW w:w="5688" w:type="dxa"/>
            <w:vAlign w:val="center"/>
          </w:tcPr>
          <w:p w14:paraId="0B943E62">
            <w:pPr>
              <w:spacing w:line="276" w:lineRule="auto"/>
              <w:jc w:val="left"/>
              <w:rPr>
                <w:rFonts w:ascii="Times New Roman" w:hAnsi="Times New Roman" w:eastAsia="宋体" w:cs="Times New Roman"/>
                <w:color w:val="auto"/>
                <w:szCs w:val="21"/>
              </w:rPr>
            </w:pPr>
            <w:r>
              <w:rPr>
                <w:rFonts w:hint="eastAsia" w:ascii="宋体" w:hAnsi="宋体" w:eastAsia="宋体" w:cs="Times New Roman"/>
                <w:color w:val="auto"/>
                <w:spacing w:val="2"/>
                <w:kern w:val="0"/>
                <w:szCs w:val="21"/>
              </w:rPr>
              <w:t>指标点7-3：初步养成反思的习惯与意识，具有批判精神，并能在教育实践中从不同角度对问题进行思考和分析。</w:t>
            </w:r>
          </w:p>
        </w:tc>
        <w:tc>
          <w:tcPr>
            <w:tcW w:w="1191" w:type="dxa"/>
            <w:vAlign w:val="center"/>
          </w:tcPr>
          <w:p w14:paraId="5129E9AD">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课程目标3</w:t>
            </w:r>
          </w:p>
        </w:tc>
      </w:tr>
      <w:tr w14:paraId="0B1D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CEFA0B4">
            <w:pPr>
              <w:spacing w:line="276" w:lineRule="auto"/>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毕业要求8沟通合作</w:t>
            </w:r>
          </w:p>
        </w:tc>
        <w:tc>
          <w:tcPr>
            <w:tcW w:w="5688" w:type="dxa"/>
            <w:vAlign w:val="center"/>
          </w:tcPr>
          <w:p w14:paraId="4FF4EA9D">
            <w:pPr>
              <w:spacing w:line="276" w:lineRule="auto"/>
              <w:jc w:val="left"/>
              <w:rPr>
                <w:rFonts w:ascii="Times New Roman" w:hAnsi="Times New Roman" w:eastAsia="宋体" w:cs="Times New Roman"/>
                <w:color w:val="auto"/>
                <w:szCs w:val="21"/>
              </w:rPr>
            </w:pPr>
            <w:r>
              <w:rPr>
                <w:rFonts w:ascii="宋体" w:hAnsi="宋体" w:eastAsia="宋体" w:cs="Times New Roman"/>
                <w:color w:val="auto"/>
                <w:kern w:val="0"/>
                <w:szCs w:val="21"/>
              </w:rPr>
              <w:t>指标点</w:t>
            </w:r>
            <w:r>
              <w:rPr>
                <w:rFonts w:hint="eastAsia" w:ascii="宋体" w:hAnsi="宋体" w:eastAsia="宋体" w:cs="Times New Roman"/>
                <w:color w:val="auto"/>
                <w:kern w:val="0"/>
                <w:szCs w:val="21"/>
              </w:rPr>
              <w:t>8-1：认同团队协作的价值，掌握沟通、交流、合作的基本技能，积极参与学习共同体的构建，具有合作互助的能力。</w:t>
            </w:r>
          </w:p>
        </w:tc>
        <w:tc>
          <w:tcPr>
            <w:tcW w:w="1191" w:type="dxa"/>
            <w:vAlign w:val="center"/>
          </w:tcPr>
          <w:p w14:paraId="01D95EFB">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课程目标4</w:t>
            </w:r>
          </w:p>
        </w:tc>
      </w:tr>
    </w:tbl>
    <w:p w14:paraId="06550C71">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105C84B4">
      <w:pPr>
        <w:spacing w:line="360" w:lineRule="auto"/>
        <w:ind w:firstLine="420" w:firstLineChars="200"/>
        <w:jc w:val="left"/>
        <w:rPr>
          <w:rFonts w:hint="eastAsia" w:ascii="宋体" w:hAnsi="宋体" w:eastAsia="宋体" w:cs="Times New Roman"/>
          <w:color w:val="auto"/>
          <w:szCs w:val="21"/>
        </w:rPr>
      </w:pPr>
      <w:r>
        <w:rPr>
          <w:rFonts w:hint="eastAsia" w:ascii="宋体" w:hAnsi="宋体" w:eastAsia="宋体" w:cs="Times New Roman"/>
          <w:color w:val="auto"/>
          <w:szCs w:val="21"/>
        </w:rPr>
        <w:t xml:space="preserve">本课程以航模制作为载体，立足“立德树人”根本任务，深度融合思政教育与科学实践，培养小学生的核心素养与家国情怀。一是弘扬科学报国精神，通过探索飞行原理、分析中国航天成就（如北斗系统、载人航天），激发学生创新意识，树立“科技强国”的理想信念；二是厚植爱国情怀与文化自信，融入中国航空航天的奋斗故事，引导学生感悟航天精神，增强民族自豪感；三是锤炼团队品格与实践能力，在航模合作制作中学会沟通互助、责任担当，通过动手劳动体会工匠精神的价值；四是**涵养坚韧意志与责任意识，鼓励学生在试飞失败中积极反思、改进设计，理解“严谨求实”的重要性，同时强化安全规范与环保理念，树立科技向善的价值观。课程通过“做中学、学中悟”，助力学生成长为有理想、敢创新、肯奋斗的新时代少年。  </w:t>
      </w:r>
    </w:p>
    <w:p w14:paraId="485B9671">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3314"/>
        <w:gridCol w:w="1177"/>
        <w:gridCol w:w="1860"/>
        <w:gridCol w:w="1304"/>
        <w:gridCol w:w="438"/>
      </w:tblGrid>
      <w:tr w14:paraId="3919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CA74C52">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3927D116">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3314" w:type="dxa"/>
            <w:vAlign w:val="center"/>
          </w:tcPr>
          <w:p w14:paraId="478D1707">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77" w:type="dxa"/>
            <w:vAlign w:val="center"/>
          </w:tcPr>
          <w:p w14:paraId="0AB93FD0">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7FD1C0FC">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1860" w:type="dxa"/>
            <w:vAlign w:val="center"/>
          </w:tcPr>
          <w:p w14:paraId="2CE58D1E">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304" w:type="dxa"/>
            <w:vAlign w:val="center"/>
          </w:tcPr>
          <w:p w14:paraId="7D637E41">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6CEF72F4">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7710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4460764">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1.航空发展史与航空模型及其分类</w:t>
            </w:r>
          </w:p>
          <w:p w14:paraId="7D964CB5">
            <w:pPr>
              <w:spacing w:line="264" w:lineRule="auto"/>
              <w:jc w:val="center"/>
              <w:rPr>
                <w:rFonts w:hint="eastAsia" w:ascii="宋体" w:hAnsi="宋体" w:eastAsia="宋体" w:cs="Times New Roman"/>
                <w:color w:val="auto"/>
                <w:szCs w:val="21"/>
              </w:rPr>
            </w:pPr>
          </w:p>
        </w:tc>
        <w:tc>
          <w:tcPr>
            <w:tcW w:w="3314" w:type="dxa"/>
            <w:vAlign w:val="center"/>
          </w:tcPr>
          <w:p w14:paraId="0A09C39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（1）介绍人类早期的飞行幻想，著名的飞行梦事件；</w:t>
            </w:r>
          </w:p>
          <w:p w14:paraId="33A1AA8F">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（2）介绍工业革命时期飞艇和飞机的发明；</w:t>
            </w:r>
          </w:p>
          <w:p w14:paraId="5C1911F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（3）梳理航空史上的重要节点，简要介绍各种类型的飞机的诞生和发展；</w:t>
            </w:r>
          </w:p>
          <w:p w14:paraId="48D2ADF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（4）讲解当前世界的航空技术格局和我国的航空发展现状。</w:t>
            </w:r>
          </w:p>
          <w:p w14:paraId="5568748F">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（5）整理各种各样航空模型的图片、飞行视频，为学生展示各种场景下的航模飞行以及多种式样的飞机模型；</w:t>
            </w:r>
          </w:p>
          <w:p w14:paraId="234C62A6">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（6）展示航模实物，使其对航空模型建立形象的概念和认知；</w:t>
            </w:r>
          </w:p>
          <w:p w14:paraId="447145D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（7）简介航空模型的发展史，展示早期的航模照片；</w:t>
            </w:r>
          </w:p>
          <w:p w14:paraId="4890D9D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（8）对航空模型进行分类，让学生能正确识别各种类型的航空模型。</w:t>
            </w:r>
          </w:p>
        </w:tc>
        <w:tc>
          <w:tcPr>
            <w:tcW w:w="1177" w:type="dxa"/>
            <w:vAlign w:val="center"/>
          </w:tcPr>
          <w:p w14:paraId="7800EDCE">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860" w:type="dxa"/>
            <w:vAlign w:val="center"/>
          </w:tcPr>
          <w:p w14:paraId="56AFF19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（1）理解科学的内涵</w:t>
            </w:r>
          </w:p>
          <w:p w14:paraId="36D4348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（2）掌握学航模制作与训练的内涵与价值</w:t>
            </w:r>
          </w:p>
          <w:p w14:paraId="05EEFC0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（3）了解国内航空发展史与航空模型的发展趋势</w:t>
            </w:r>
          </w:p>
          <w:p w14:paraId="724DCB5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（4）运用航空发展史与航空模型理论知识分析小学儿童科学学习的特点</w:t>
            </w:r>
          </w:p>
        </w:tc>
        <w:tc>
          <w:tcPr>
            <w:tcW w:w="1304" w:type="dxa"/>
            <w:vAlign w:val="center"/>
          </w:tcPr>
          <w:p w14:paraId="2D7E4BA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5EF29CA7">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w:t>
            </w:r>
          </w:p>
          <w:p w14:paraId="612A16E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3.课堂讨论</w:t>
            </w:r>
          </w:p>
          <w:p w14:paraId="26BE24D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438" w:type="dxa"/>
            <w:vAlign w:val="center"/>
          </w:tcPr>
          <w:p w14:paraId="679916E9">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16A4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E6E4241">
            <w:pPr>
              <w:spacing w:line="264" w:lineRule="auto"/>
              <w:jc w:val="center"/>
              <w:rPr>
                <w:rFonts w:hint="eastAsia" w:ascii="宋体" w:hAnsi="宋体" w:eastAsia="宋体" w:cs="Times New Roman"/>
                <w:color w:val="auto"/>
                <w:szCs w:val="21"/>
              </w:rPr>
            </w:pPr>
          </w:p>
        </w:tc>
        <w:tc>
          <w:tcPr>
            <w:tcW w:w="8093" w:type="dxa"/>
            <w:gridSpan w:val="5"/>
            <w:vAlign w:val="center"/>
          </w:tcPr>
          <w:p w14:paraId="46F09580">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让学生了解学习航空发展史和发展趋势，观看实物模型图片，掌握相关的概念，让学生对我国航空发展在全球发展中的历程、地位和作用形成初步的认识，建立起对我国航空事业发展的兴趣，让“四个自信”理念落实到科学教育领域。</w:t>
            </w:r>
          </w:p>
        </w:tc>
      </w:tr>
      <w:tr w14:paraId="6A88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07FBB0D">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2.基本飞行原理与计算机模拟飞行软件</w:t>
            </w:r>
          </w:p>
        </w:tc>
        <w:tc>
          <w:tcPr>
            <w:tcW w:w="3314" w:type="dxa"/>
            <w:vAlign w:val="center"/>
          </w:tcPr>
          <w:p w14:paraId="2F379DD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（1）讲解固定翼飞机的常规布局和特殊布局、固定翼飞机机翼产生升力的原理、固定翼飞机的舵面控制效应；</w:t>
            </w:r>
          </w:p>
          <w:p w14:paraId="03AE285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（2）讲解直升飞机的升力来源与控制原理，同时做适当扩展，对变种直升机比如四旋翼飞机、共轴双桨直升机做一定程度的介绍；</w:t>
            </w:r>
          </w:p>
          <w:p w14:paraId="4B4DEA5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（3）讲解其他飞行器，比如热气球、飞艇、旋翼机、扑翼机等，的基本飞行原理。</w:t>
            </w:r>
          </w:p>
          <w:p w14:paraId="072404EB">
            <w:pPr>
              <w:spacing w:line="269" w:lineRule="auto"/>
              <w:jc w:val="left"/>
              <w:rPr>
                <w:rFonts w:hint="eastAsia" w:ascii="宋体" w:hAnsi="宋体" w:eastAsia="宋体" w:cs="Times New Roman"/>
                <w:color w:val="auto"/>
                <w:szCs w:val="21"/>
              </w:rPr>
            </w:pPr>
          </w:p>
        </w:tc>
        <w:tc>
          <w:tcPr>
            <w:tcW w:w="1177" w:type="dxa"/>
            <w:vAlign w:val="center"/>
          </w:tcPr>
          <w:p w14:paraId="0BDD61C6">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课程目标2、3</w:t>
            </w:r>
          </w:p>
        </w:tc>
        <w:tc>
          <w:tcPr>
            <w:tcW w:w="1860" w:type="dxa"/>
            <w:vAlign w:val="center"/>
          </w:tcPr>
          <w:p w14:paraId="46FC9776">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（1）理解飞行原理与计算机模拟飞行软件的制定依据</w:t>
            </w:r>
          </w:p>
          <w:p w14:paraId="634B5BF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（2）掌握学飞行原理总目标、各年龄段分目标、单元目标和具体活动目标制定方法</w:t>
            </w:r>
          </w:p>
          <w:p w14:paraId="0358DC4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（3）应用所学知识设计航空模型制作目标</w:t>
            </w:r>
          </w:p>
        </w:tc>
        <w:tc>
          <w:tcPr>
            <w:tcW w:w="1304" w:type="dxa"/>
            <w:vAlign w:val="center"/>
          </w:tcPr>
          <w:p w14:paraId="0306514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0F6137E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w:t>
            </w:r>
          </w:p>
          <w:p w14:paraId="2467E176">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3.课堂讨论</w:t>
            </w:r>
          </w:p>
          <w:p w14:paraId="40414436">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438" w:type="dxa"/>
            <w:vAlign w:val="center"/>
          </w:tcPr>
          <w:p w14:paraId="22E29C04">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69E5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292B885">
            <w:pPr>
              <w:spacing w:line="264" w:lineRule="auto"/>
              <w:jc w:val="center"/>
              <w:rPr>
                <w:rFonts w:hint="eastAsia" w:ascii="宋体" w:hAnsi="宋体" w:eastAsia="宋体" w:cs="Times New Roman"/>
                <w:color w:val="auto"/>
                <w:szCs w:val="21"/>
              </w:rPr>
            </w:pPr>
          </w:p>
        </w:tc>
        <w:tc>
          <w:tcPr>
            <w:tcW w:w="8093" w:type="dxa"/>
            <w:gridSpan w:val="5"/>
            <w:vAlign w:val="center"/>
          </w:tcPr>
          <w:p w14:paraId="51BD6556">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通过学习基本的飞行原理，了解相关的计算机飞行软件，让学生形成探究万物的运转规律、尊重科技创新精神，从而助推学生的科学素养。</w:t>
            </w:r>
          </w:p>
        </w:tc>
      </w:tr>
      <w:tr w14:paraId="7A3F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2E2371D">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3.遥控航空模型的结构与控制原理的内容</w:t>
            </w:r>
          </w:p>
        </w:tc>
        <w:tc>
          <w:tcPr>
            <w:tcW w:w="3314" w:type="dxa"/>
            <w:vAlign w:val="center"/>
          </w:tcPr>
          <w:p w14:paraId="5B69258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（1）综述遥控模型的整个控制链路，简要讲解无线电控制的实现与控制伺服器（舵机）原理；</w:t>
            </w:r>
          </w:p>
          <w:p w14:paraId="6BD0BB2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（2）以固定翼飞机为例，介绍模型飞机的基本结构；</w:t>
            </w:r>
          </w:p>
          <w:p w14:paraId="41A79EB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（3）根据动力源的形式，按电动和油动对模型飞机的动力系统做介绍，并延伸能源的形式，即电动模型的动力电池种类与特性和油动模型的燃料及其成分配比，列举处于安全性考虑的注意事项。</w:t>
            </w:r>
          </w:p>
          <w:p w14:paraId="5681392F">
            <w:pPr>
              <w:spacing w:line="269" w:lineRule="auto"/>
              <w:jc w:val="left"/>
              <w:rPr>
                <w:rFonts w:hint="eastAsia" w:ascii="宋体" w:hAnsi="宋体" w:eastAsia="宋体" w:cs="Times New Roman"/>
                <w:color w:val="auto"/>
                <w:szCs w:val="21"/>
              </w:rPr>
            </w:pPr>
          </w:p>
        </w:tc>
        <w:tc>
          <w:tcPr>
            <w:tcW w:w="1177" w:type="dxa"/>
            <w:vAlign w:val="center"/>
          </w:tcPr>
          <w:p w14:paraId="367BA454">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1860" w:type="dxa"/>
            <w:vAlign w:val="center"/>
          </w:tcPr>
          <w:p w14:paraId="405C05B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（1）了解无线电控制的实现与控制伺服器（舵机）原理内容</w:t>
            </w:r>
          </w:p>
          <w:p w14:paraId="2553A66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（2）掌握遥控航空模型的结构与控制原理内容的范围</w:t>
            </w:r>
          </w:p>
          <w:p w14:paraId="1523995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（3）掌握遥控航空模型的结构与控制原理内容的基本要求和方法</w:t>
            </w:r>
          </w:p>
          <w:p w14:paraId="69639EA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（4）应用所学理论科学掌握遥控航空模型的结构与控制原理内容</w:t>
            </w:r>
          </w:p>
        </w:tc>
        <w:tc>
          <w:tcPr>
            <w:tcW w:w="1304" w:type="dxa"/>
            <w:vAlign w:val="center"/>
          </w:tcPr>
          <w:p w14:paraId="2DC98591">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6B2D6756">
            <w:pPr>
              <w:spacing w:line="269" w:lineRule="auto"/>
              <w:jc w:val="left"/>
              <w:rPr>
                <w:rFonts w:ascii="宋体" w:hAnsi="宋体" w:eastAsia="宋体" w:cs="Times New Roman"/>
                <w:color w:val="auto"/>
                <w:szCs w:val="21"/>
              </w:rPr>
            </w:pPr>
            <w:r>
              <w:rPr>
                <w:rFonts w:ascii="宋体" w:hAnsi="宋体" w:eastAsia="宋体" w:cs="Times New Roman"/>
                <w:color w:val="auto"/>
                <w:szCs w:val="21"/>
              </w:rPr>
              <w:t>2.多媒体教学</w:t>
            </w:r>
          </w:p>
          <w:p w14:paraId="2715E7EA">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3.课堂讨论</w:t>
            </w:r>
          </w:p>
          <w:p w14:paraId="0E6EC67D">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4AC17204">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r>
      <w:tr w14:paraId="17A0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F27B745">
            <w:pPr>
              <w:spacing w:line="264" w:lineRule="auto"/>
              <w:jc w:val="center"/>
              <w:rPr>
                <w:rFonts w:hint="eastAsia" w:ascii="宋体" w:hAnsi="宋体" w:eastAsia="宋体" w:cs="Times New Roman"/>
                <w:color w:val="auto"/>
                <w:szCs w:val="21"/>
              </w:rPr>
            </w:pPr>
          </w:p>
        </w:tc>
        <w:tc>
          <w:tcPr>
            <w:tcW w:w="8093" w:type="dxa"/>
            <w:gridSpan w:val="5"/>
            <w:vAlign w:val="center"/>
          </w:tcPr>
          <w:p w14:paraId="31AEBD4A">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通过让学生了解并掌握相关遥控航空模型的结构与控制原理，让学生形成针对遥控航空模型的深入认识，进而培养学生深入钻研的科研精神。</w:t>
            </w:r>
          </w:p>
        </w:tc>
      </w:tr>
      <w:tr w14:paraId="03A2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6CEA48A">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4.航空模型与无人机及其在航空发展中的作用</w:t>
            </w:r>
          </w:p>
        </w:tc>
        <w:tc>
          <w:tcPr>
            <w:tcW w:w="3314" w:type="dxa"/>
            <w:vAlign w:val="center"/>
          </w:tcPr>
          <w:p w14:paraId="408AF010">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（1）无人机基础知识，包括无人机的用途、分类、系统结构等部分；</w:t>
            </w:r>
          </w:p>
          <w:p w14:paraId="2D287CEA">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（2）无人机的发展简史；</w:t>
            </w:r>
          </w:p>
          <w:p w14:paraId="054CF47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（3）无人机与航空模型的关系；</w:t>
            </w:r>
          </w:p>
          <w:p w14:paraId="744AB8A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（4）航空模型在培养航空人才方面的作用；</w:t>
            </w:r>
          </w:p>
          <w:p w14:paraId="719A55C0">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（5）航空模型在新型航空器设计中的验证作用。</w:t>
            </w:r>
          </w:p>
        </w:tc>
        <w:tc>
          <w:tcPr>
            <w:tcW w:w="1177" w:type="dxa"/>
            <w:vAlign w:val="center"/>
          </w:tcPr>
          <w:p w14:paraId="48D88F6D">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w:t>
            </w:r>
          </w:p>
        </w:tc>
        <w:tc>
          <w:tcPr>
            <w:tcW w:w="1860" w:type="dxa"/>
            <w:vAlign w:val="center"/>
          </w:tcPr>
          <w:p w14:paraId="370318FF">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（1）掌握无人机的基本组成架构及其与航空模型的关系；</w:t>
            </w:r>
          </w:p>
          <w:p w14:paraId="0CE2C4A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（2）航空模型在航空业发展中起到的作用及其重要性。</w:t>
            </w:r>
          </w:p>
        </w:tc>
        <w:tc>
          <w:tcPr>
            <w:tcW w:w="1304" w:type="dxa"/>
            <w:vAlign w:val="center"/>
          </w:tcPr>
          <w:p w14:paraId="729F2896">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4D92CC77">
            <w:pPr>
              <w:spacing w:line="276" w:lineRule="auto"/>
              <w:jc w:val="left"/>
              <w:rPr>
                <w:rFonts w:ascii="宋体" w:hAnsi="宋体" w:eastAsia="宋体" w:cs="Times New Roman"/>
                <w:color w:val="auto"/>
                <w:szCs w:val="21"/>
              </w:rPr>
            </w:pPr>
            <w:r>
              <w:rPr>
                <w:rFonts w:ascii="宋体" w:hAnsi="宋体" w:eastAsia="宋体" w:cs="Times New Roman"/>
                <w:color w:val="auto"/>
                <w:szCs w:val="21"/>
              </w:rPr>
              <w:t>2.多媒体教学</w:t>
            </w:r>
          </w:p>
          <w:p w14:paraId="5EE4EE3D">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3.课堂讨论</w:t>
            </w:r>
          </w:p>
          <w:p w14:paraId="0F947BCC">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4E5DE839">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w:t>
            </w:r>
          </w:p>
        </w:tc>
      </w:tr>
      <w:tr w14:paraId="10868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1B414B1">
            <w:pPr>
              <w:spacing w:line="276" w:lineRule="auto"/>
              <w:jc w:val="center"/>
              <w:rPr>
                <w:rFonts w:hint="eastAsia" w:ascii="宋体" w:hAnsi="宋体" w:eastAsia="宋体" w:cs="Times New Roman"/>
                <w:color w:val="auto"/>
                <w:szCs w:val="21"/>
              </w:rPr>
            </w:pPr>
          </w:p>
        </w:tc>
        <w:tc>
          <w:tcPr>
            <w:tcW w:w="8093" w:type="dxa"/>
            <w:gridSpan w:val="5"/>
            <w:vAlign w:val="center"/>
          </w:tcPr>
          <w:p w14:paraId="448A8113">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通过带领学生学习无人机的相关知识以及在航空业中的作用，让学生深入了解科技创新在社会经济发展中的重要作用，从而强化学生对创新是一个民族发展进步的不竭动力的理念的认识。</w:t>
            </w:r>
          </w:p>
        </w:tc>
      </w:tr>
      <w:tr w14:paraId="721C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4006C50">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5.航空模型竞赛</w:t>
            </w:r>
          </w:p>
        </w:tc>
        <w:tc>
          <w:tcPr>
            <w:tcW w:w="3314" w:type="dxa"/>
            <w:vAlign w:val="center"/>
          </w:tcPr>
          <w:p w14:paraId="6F47F16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（1）介绍体育性的竞技赛事，包括航模公开赛、航模锦标赛和3D飞行世锦赛等赛事中的各个子项目；</w:t>
            </w:r>
          </w:p>
          <w:p w14:paraId="36051366">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（2）介绍创新性航空模型在“挑战杯”全国大学生课外学术科技作品大赛中的角色；</w:t>
            </w:r>
          </w:p>
          <w:p w14:paraId="7BC60A31">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（3）重点介绍以高校学生和科研单位为主要参赛对象的全国科研类航空航天模型锦标赛，讲解其中的典型赛事规程，参赛申请流程，并展示比赛图片和赛事已取得的一些记录；</w:t>
            </w:r>
          </w:p>
          <w:p w14:paraId="7781E75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（4）介绍一些国外的著名航模赛事。</w:t>
            </w:r>
          </w:p>
          <w:p w14:paraId="4D950A63">
            <w:pPr>
              <w:spacing w:line="276" w:lineRule="auto"/>
              <w:jc w:val="left"/>
              <w:rPr>
                <w:rFonts w:hint="eastAsia" w:ascii="宋体" w:hAnsi="宋体" w:eastAsia="宋体" w:cs="Times New Roman"/>
                <w:color w:val="auto"/>
                <w:szCs w:val="21"/>
              </w:rPr>
            </w:pPr>
          </w:p>
        </w:tc>
        <w:tc>
          <w:tcPr>
            <w:tcW w:w="1177" w:type="dxa"/>
            <w:vAlign w:val="center"/>
          </w:tcPr>
          <w:p w14:paraId="69BC55B3">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课程目标1、2、3、4</w:t>
            </w:r>
          </w:p>
        </w:tc>
        <w:tc>
          <w:tcPr>
            <w:tcW w:w="1860" w:type="dxa"/>
            <w:vAlign w:val="center"/>
          </w:tcPr>
          <w:p w14:paraId="793096C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（1）重点介绍以高校学生和科研单位为主要参赛对象的全国科研类航空航天模型锦标赛；</w:t>
            </w:r>
          </w:p>
          <w:p w14:paraId="58155FE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（2）掌握典型赛事规程，参赛申请流程，并展示比赛图片和赛事已取得的一些记录；</w:t>
            </w:r>
          </w:p>
          <w:p w14:paraId="470E0F3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（3）了解一些国外的著名航模赛事。</w:t>
            </w:r>
          </w:p>
        </w:tc>
        <w:tc>
          <w:tcPr>
            <w:tcW w:w="1304" w:type="dxa"/>
            <w:vAlign w:val="center"/>
          </w:tcPr>
          <w:p w14:paraId="016B98F1">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78CEE5D3">
            <w:pPr>
              <w:spacing w:line="276" w:lineRule="auto"/>
              <w:jc w:val="left"/>
              <w:rPr>
                <w:rFonts w:ascii="宋体" w:hAnsi="宋体" w:eastAsia="宋体" w:cs="Times New Roman"/>
                <w:color w:val="auto"/>
                <w:szCs w:val="21"/>
              </w:rPr>
            </w:pPr>
            <w:r>
              <w:rPr>
                <w:rFonts w:ascii="宋体" w:hAnsi="宋体" w:eastAsia="宋体" w:cs="Times New Roman"/>
                <w:color w:val="auto"/>
                <w:szCs w:val="21"/>
              </w:rPr>
              <w:t>2.多媒体教学</w:t>
            </w:r>
          </w:p>
          <w:p w14:paraId="17D6F9BE">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3.课堂讨论</w:t>
            </w:r>
          </w:p>
          <w:p w14:paraId="2D37BD9A">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4E71782D">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8</w:t>
            </w:r>
          </w:p>
        </w:tc>
      </w:tr>
      <w:tr w14:paraId="2990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EF15D51">
            <w:pPr>
              <w:spacing w:line="276" w:lineRule="auto"/>
              <w:jc w:val="center"/>
              <w:rPr>
                <w:rFonts w:hint="eastAsia" w:ascii="宋体" w:hAnsi="宋体" w:eastAsia="宋体" w:cs="Times New Roman"/>
                <w:color w:val="auto"/>
                <w:szCs w:val="21"/>
              </w:rPr>
            </w:pPr>
          </w:p>
        </w:tc>
        <w:tc>
          <w:tcPr>
            <w:tcW w:w="8093" w:type="dxa"/>
            <w:gridSpan w:val="5"/>
            <w:vAlign w:val="center"/>
          </w:tcPr>
          <w:p w14:paraId="4C95CAC3">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通过让学生对航模公开赛等赛事的认识和了解，培养学生的实践创新能力，学以致用，进一步强化“立德树人”、“五育并举”等教育理念在具体实践中的渗透。</w:t>
            </w:r>
          </w:p>
        </w:tc>
      </w:tr>
      <w:tr w14:paraId="5155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40A3DB5">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6.航模制作概述及固定翼飞机模型的制作工艺简介</w:t>
            </w:r>
          </w:p>
        </w:tc>
        <w:tc>
          <w:tcPr>
            <w:tcW w:w="3314" w:type="dxa"/>
            <w:vAlign w:val="center"/>
          </w:tcPr>
          <w:p w14:paraId="37EE071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（1）直升机的制作方式；</w:t>
            </w:r>
          </w:p>
          <w:p w14:paraId="4193025A">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（2）旋翼机的制作方式；</w:t>
            </w:r>
          </w:p>
          <w:p w14:paraId="3FCE205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（3）飞艇的制作方式；</w:t>
            </w:r>
          </w:p>
          <w:p w14:paraId="61BBAE27">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（4）固定翼的制作方式；</w:t>
            </w:r>
          </w:p>
          <w:p w14:paraId="7814F45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（5）介绍比较著名的航空模型厂商及其典型产品；</w:t>
            </w:r>
          </w:p>
          <w:p w14:paraId="56EFB10F">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（6）航模制作材料简介；</w:t>
            </w:r>
          </w:p>
          <w:p w14:paraId="4468707B">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（7）轻木蒙皮结构的固定翼飞机结构及其制作工艺；</w:t>
            </w:r>
          </w:p>
          <w:p w14:paraId="75AFE4F7">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（8）采用玻璃纤维网或碳纤维网与环氧树脂为基本材料的固定翼飞机制作工艺；</w:t>
            </w:r>
          </w:p>
          <w:p w14:paraId="77EFC01A">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（9）采用发泡材料，比如KT板、EPS泡沫、EPO泡沫、EPP泡沫等，的固定翼飞机的制作工艺；</w:t>
            </w:r>
          </w:p>
          <w:p w14:paraId="43A9A6B2">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（10）介绍激光切割机、雕刻机、电热丝切割机等航模制作所需的辅助设备。</w:t>
            </w:r>
          </w:p>
        </w:tc>
        <w:tc>
          <w:tcPr>
            <w:tcW w:w="1177" w:type="dxa"/>
            <w:vAlign w:val="center"/>
          </w:tcPr>
          <w:p w14:paraId="5E6CE13D">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课程目标1、2、4</w:t>
            </w:r>
          </w:p>
        </w:tc>
        <w:tc>
          <w:tcPr>
            <w:tcW w:w="1860" w:type="dxa"/>
            <w:vAlign w:val="center"/>
          </w:tcPr>
          <w:p w14:paraId="1209D48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 xml:space="preserve">（1）掌握各类航空模型的制作形式和制作所需材料，以及针对三类材料的三种典型的固定翼飞机模型制作工艺； </w:t>
            </w:r>
          </w:p>
          <w:p w14:paraId="17526C9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（2）了解航模制作中的一些辅助机械设备。</w:t>
            </w:r>
          </w:p>
        </w:tc>
        <w:tc>
          <w:tcPr>
            <w:tcW w:w="1304" w:type="dxa"/>
            <w:vAlign w:val="center"/>
          </w:tcPr>
          <w:p w14:paraId="501CB7BE">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5DDC378A">
            <w:pPr>
              <w:spacing w:line="276" w:lineRule="auto"/>
              <w:jc w:val="left"/>
              <w:rPr>
                <w:rFonts w:ascii="宋体" w:hAnsi="宋体" w:eastAsia="宋体" w:cs="Times New Roman"/>
                <w:color w:val="auto"/>
                <w:szCs w:val="21"/>
              </w:rPr>
            </w:pPr>
            <w:r>
              <w:rPr>
                <w:rFonts w:ascii="宋体" w:hAnsi="宋体" w:eastAsia="宋体" w:cs="Times New Roman"/>
                <w:color w:val="auto"/>
                <w:szCs w:val="21"/>
              </w:rPr>
              <w:t>2.多媒体教学</w:t>
            </w:r>
          </w:p>
          <w:p w14:paraId="78C1DA86">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3.课堂讨论</w:t>
            </w:r>
          </w:p>
          <w:p w14:paraId="3FE9331A">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705A3FFD">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8</w:t>
            </w:r>
          </w:p>
        </w:tc>
      </w:tr>
      <w:tr w14:paraId="21B5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0F5E286">
            <w:pPr>
              <w:spacing w:line="276" w:lineRule="auto"/>
              <w:jc w:val="center"/>
              <w:rPr>
                <w:rFonts w:hint="eastAsia" w:ascii="宋体" w:hAnsi="宋体" w:eastAsia="宋体" w:cs="Times New Roman"/>
                <w:color w:val="auto"/>
                <w:szCs w:val="21"/>
              </w:rPr>
            </w:pPr>
          </w:p>
        </w:tc>
        <w:tc>
          <w:tcPr>
            <w:tcW w:w="8093" w:type="dxa"/>
            <w:gridSpan w:val="5"/>
            <w:vAlign w:val="center"/>
          </w:tcPr>
          <w:p w14:paraId="540011BC">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通过让学生学习有关航模制作及固定翼飞机模型的制作工艺的概况知识，增进学生对“中国智造”、“大国工匠”等概念的理解，进而体会自主研发和工匠精神的重要意义。</w:t>
            </w:r>
          </w:p>
        </w:tc>
      </w:tr>
    </w:tbl>
    <w:p w14:paraId="581ED723">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四、目标评价与成绩评定</w:t>
      </w:r>
    </w:p>
    <w:p w14:paraId="323040AB">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002DA9A1">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2295"/>
        <w:gridCol w:w="1911"/>
        <w:gridCol w:w="2130"/>
        <w:gridCol w:w="636"/>
      </w:tblGrid>
      <w:tr w14:paraId="7376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vAlign w:val="center"/>
          </w:tcPr>
          <w:p w14:paraId="609A00D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6336" w:type="dxa"/>
            <w:gridSpan w:val="3"/>
            <w:vAlign w:val="center"/>
          </w:tcPr>
          <w:p w14:paraId="0F1FCFA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526E7B2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0638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14:paraId="290CE6BC">
            <w:pPr>
              <w:spacing w:line="360" w:lineRule="auto"/>
              <w:jc w:val="center"/>
              <w:rPr>
                <w:rFonts w:hint="eastAsia" w:ascii="宋体" w:hAnsi="宋体" w:eastAsia="宋体" w:cs="Times New Roman"/>
                <w:color w:val="auto"/>
                <w:szCs w:val="21"/>
              </w:rPr>
            </w:pPr>
          </w:p>
        </w:tc>
        <w:tc>
          <w:tcPr>
            <w:tcW w:w="2295" w:type="dxa"/>
            <w:vAlign w:val="center"/>
          </w:tcPr>
          <w:p w14:paraId="6EFC759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1911" w:type="dxa"/>
            <w:vAlign w:val="center"/>
          </w:tcPr>
          <w:p w14:paraId="6637092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实践成绩</w:t>
            </w:r>
          </w:p>
        </w:tc>
        <w:tc>
          <w:tcPr>
            <w:tcW w:w="2130" w:type="dxa"/>
          </w:tcPr>
          <w:p w14:paraId="6866F01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0" w:type="auto"/>
            <w:vMerge w:val="continue"/>
            <w:vAlign w:val="center"/>
          </w:tcPr>
          <w:p w14:paraId="5016654C">
            <w:pPr>
              <w:spacing w:line="360" w:lineRule="auto"/>
              <w:jc w:val="center"/>
              <w:rPr>
                <w:rFonts w:hint="eastAsia" w:ascii="宋体" w:hAnsi="宋体" w:eastAsia="宋体" w:cs="Times New Roman"/>
                <w:color w:val="auto"/>
                <w:szCs w:val="21"/>
              </w:rPr>
            </w:pPr>
          </w:p>
        </w:tc>
      </w:tr>
      <w:tr w14:paraId="3012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5062CBF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2295" w:type="dxa"/>
            <w:vAlign w:val="center"/>
          </w:tcPr>
          <w:p w14:paraId="79385F6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911" w:type="dxa"/>
            <w:vAlign w:val="center"/>
          </w:tcPr>
          <w:p w14:paraId="02B00E78">
            <w:pPr>
              <w:spacing w:line="360" w:lineRule="auto"/>
              <w:jc w:val="center"/>
              <w:rPr>
                <w:rFonts w:hint="eastAsia" w:ascii="宋体" w:hAnsi="宋体" w:eastAsia="宋体" w:cs="Times New Roman"/>
                <w:color w:val="auto"/>
                <w:szCs w:val="21"/>
              </w:rPr>
            </w:pPr>
          </w:p>
        </w:tc>
        <w:tc>
          <w:tcPr>
            <w:tcW w:w="2130" w:type="dxa"/>
          </w:tcPr>
          <w:p w14:paraId="3727B96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09FFA96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1EDD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42B1BD9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2295" w:type="dxa"/>
            <w:vAlign w:val="center"/>
          </w:tcPr>
          <w:p w14:paraId="37C42F4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911" w:type="dxa"/>
            <w:vAlign w:val="center"/>
          </w:tcPr>
          <w:p w14:paraId="7C560783">
            <w:pPr>
              <w:spacing w:line="360" w:lineRule="auto"/>
              <w:jc w:val="center"/>
              <w:rPr>
                <w:color w:val="auto"/>
                <w:szCs w:val="22"/>
              </w:rPr>
            </w:pPr>
            <w:r>
              <w:rPr>
                <w:rFonts w:ascii="宋体" w:hAnsi="宋体" w:eastAsia="宋体" w:cs="Times New Roman"/>
                <w:color w:val="auto"/>
                <w:szCs w:val="21"/>
              </w:rPr>
              <w:sym w:font="Wingdings 2" w:char="F050"/>
            </w:r>
          </w:p>
        </w:tc>
        <w:tc>
          <w:tcPr>
            <w:tcW w:w="2130" w:type="dxa"/>
          </w:tcPr>
          <w:p w14:paraId="0B6B153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618C22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25C7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2AAE03B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2295" w:type="dxa"/>
            <w:vAlign w:val="center"/>
          </w:tcPr>
          <w:p w14:paraId="70D08C31">
            <w:pPr>
              <w:spacing w:line="360" w:lineRule="auto"/>
              <w:jc w:val="center"/>
              <w:rPr>
                <w:rFonts w:hint="eastAsia" w:ascii="宋体" w:hAnsi="宋体" w:eastAsia="宋体" w:cs="Times New Roman"/>
                <w:color w:val="auto"/>
                <w:szCs w:val="21"/>
              </w:rPr>
            </w:pPr>
          </w:p>
        </w:tc>
        <w:tc>
          <w:tcPr>
            <w:tcW w:w="1911" w:type="dxa"/>
            <w:vAlign w:val="center"/>
          </w:tcPr>
          <w:p w14:paraId="0B9F2D6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130" w:type="dxa"/>
          </w:tcPr>
          <w:p w14:paraId="749DE77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8C6982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15CA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7FE231F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课程目标4</w:t>
            </w:r>
          </w:p>
        </w:tc>
        <w:tc>
          <w:tcPr>
            <w:tcW w:w="2295" w:type="dxa"/>
            <w:vAlign w:val="center"/>
          </w:tcPr>
          <w:p w14:paraId="23A48151">
            <w:pPr>
              <w:spacing w:line="360" w:lineRule="auto"/>
              <w:jc w:val="center"/>
              <w:rPr>
                <w:rFonts w:hint="eastAsia" w:ascii="宋体" w:hAnsi="宋体" w:eastAsia="宋体" w:cs="Times New Roman"/>
                <w:color w:val="auto"/>
                <w:szCs w:val="21"/>
              </w:rPr>
            </w:pPr>
          </w:p>
        </w:tc>
        <w:tc>
          <w:tcPr>
            <w:tcW w:w="1911" w:type="dxa"/>
            <w:vAlign w:val="center"/>
          </w:tcPr>
          <w:p w14:paraId="7901C22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130" w:type="dxa"/>
          </w:tcPr>
          <w:p w14:paraId="53819E04">
            <w:pPr>
              <w:spacing w:line="360" w:lineRule="auto"/>
              <w:jc w:val="center"/>
              <w:rPr>
                <w:rFonts w:hint="eastAsia" w:ascii="宋体" w:hAnsi="宋体" w:eastAsia="宋体" w:cs="Times New Roman"/>
                <w:color w:val="auto"/>
                <w:szCs w:val="21"/>
              </w:rPr>
            </w:pPr>
          </w:p>
        </w:tc>
        <w:tc>
          <w:tcPr>
            <w:tcW w:w="0" w:type="auto"/>
            <w:vAlign w:val="center"/>
          </w:tcPr>
          <w:p w14:paraId="2E97EF7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7B13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1DD9F76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2295" w:type="dxa"/>
            <w:vAlign w:val="center"/>
          </w:tcPr>
          <w:p w14:paraId="4DF4CE1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c>
          <w:tcPr>
            <w:tcW w:w="1911" w:type="dxa"/>
            <w:vAlign w:val="center"/>
          </w:tcPr>
          <w:p w14:paraId="4392E72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c>
          <w:tcPr>
            <w:tcW w:w="2130" w:type="dxa"/>
          </w:tcPr>
          <w:p w14:paraId="75BA8FB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c>
          <w:tcPr>
            <w:tcW w:w="0" w:type="auto"/>
            <w:vAlign w:val="center"/>
          </w:tcPr>
          <w:p w14:paraId="11295E4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2661489F">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7D2BCCE8">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70BC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1EFF99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4E481FD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3FF9E467">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38AA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B84A11A">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7141" w:type="dxa"/>
            <w:vAlign w:val="center"/>
          </w:tcPr>
          <w:p w14:paraId="2A2563D9">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其中课堂考勤占20%，平时作业占80%。</w:t>
            </w:r>
          </w:p>
          <w:p w14:paraId="777449FB">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课堂考勤：病假和事假一次扣5分，无故缺席一次扣10分，无故缺席累积达5次以上（不含5次）取消课程成绩。</w:t>
            </w:r>
          </w:p>
          <w:p w14:paraId="43470D55">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平时作业：课后完成3次作业，主要考核学生对每节课知识点的复习、理解和掌握程度，计算全部作业的平均成绩。</w:t>
            </w:r>
          </w:p>
        </w:tc>
        <w:tc>
          <w:tcPr>
            <w:tcW w:w="0" w:type="auto"/>
            <w:vAlign w:val="center"/>
          </w:tcPr>
          <w:p w14:paraId="17D7462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w:t>
            </w:r>
          </w:p>
        </w:tc>
      </w:tr>
      <w:tr w14:paraId="422A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2D00A56">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单元测验</w:t>
            </w:r>
          </w:p>
        </w:tc>
        <w:tc>
          <w:tcPr>
            <w:tcW w:w="7141" w:type="dxa"/>
            <w:vAlign w:val="center"/>
          </w:tcPr>
          <w:p w14:paraId="3229703E">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完成4个实践活动，主要考核学生应用航模制作与训练基本理论进行活动设计与组织指导能力，并对模拟教学进行分析与评价能力。每个实践作业按百分制分别给出成绩。4个实践成绩平均后得到实践总评成绩并按40%计入课程总成绩。</w:t>
            </w:r>
          </w:p>
        </w:tc>
        <w:tc>
          <w:tcPr>
            <w:tcW w:w="0" w:type="auto"/>
            <w:vAlign w:val="center"/>
          </w:tcPr>
          <w:p w14:paraId="7AC3BCA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40%</w:t>
            </w:r>
          </w:p>
        </w:tc>
      </w:tr>
      <w:tr w14:paraId="7135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0D73D97">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7141" w:type="dxa"/>
            <w:vAlign w:val="center"/>
          </w:tcPr>
          <w:p w14:paraId="0C62C916">
            <w:pPr>
              <w:spacing w:line="264" w:lineRule="auto"/>
              <w:jc w:val="left"/>
              <w:rPr>
                <w:rFonts w:hint="eastAsia" w:ascii="宋体" w:hAnsi="宋体" w:eastAsia="宋体" w:cs="宋体"/>
                <w:color w:val="auto"/>
                <w:kern w:val="0"/>
                <w:szCs w:val="21"/>
                <w:lang w:bidi="ar"/>
              </w:rPr>
            </w:pPr>
            <w:r>
              <w:rPr>
                <w:rFonts w:hint="eastAsia" w:ascii="Times New Roman" w:hAnsi="Times New Roman" w:eastAsia="宋体" w:cs="Times New Roman"/>
                <w:color w:val="auto"/>
                <w:szCs w:val="21"/>
              </w:rPr>
              <w:t>按团队合作表现、作品制作的精细程度两方面给予评分。按40%计入课程总成绩。</w:t>
            </w:r>
          </w:p>
        </w:tc>
        <w:tc>
          <w:tcPr>
            <w:tcW w:w="0" w:type="auto"/>
            <w:vAlign w:val="center"/>
          </w:tcPr>
          <w:p w14:paraId="44C914F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40%</w:t>
            </w:r>
          </w:p>
        </w:tc>
      </w:tr>
      <w:tr w14:paraId="5275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00A70A">
            <w:pPr>
              <w:jc w:val="center"/>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合计</w:t>
            </w:r>
          </w:p>
        </w:tc>
        <w:tc>
          <w:tcPr>
            <w:tcW w:w="7141" w:type="dxa"/>
            <w:vAlign w:val="center"/>
          </w:tcPr>
          <w:p w14:paraId="5E14FEA0">
            <w:pPr>
              <w:jc w:val="left"/>
              <w:rPr>
                <w:rFonts w:ascii="Times New Roman" w:hAnsi="Times New Roman" w:eastAsia="宋体" w:cs="Times New Roman"/>
                <w:color w:val="auto"/>
                <w:szCs w:val="21"/>
              </w:rPr>
            </w:pPr>
          </w:p>
        </w:tc>
        <w:tc>
          <w:tcPr>
            <w:tcW w:w="0" w:type="auto"/>
            <w:vAlign w:val="center"/>
          </w:tcPr>
          <w:p w14:paraId="667931B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728F6A25">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02E805B5">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1A2F9266">
      <w:pPr>
        <w:spacing w:before="156" w:beforeLines="50"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object>
          <v:shape id="_x0000_i1074"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74" DrawAspect="Content" ObjectID="_1468075773" r:id="rId60">
            <o:LockedField>false</o:LockedField>
          </o:OLEObject>
        </w:object>
      </w:r>
    </w:p>
    <w:p w14:paraId="2E101BE4">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五、课程实践（利用第二课堂，不占总学时）</w:t>
      </w:r>
    </w:p>
    <w:p w14:paraId="6E15E27A">
      <w:pPr>
        <w:spacing w:after="156" w:afterLines="50" w:line="360" w:lineRule="auto"/>
        <w:ind w:firstLine="420" w:firstLineChars="200"/>
        <w:rPr>
          <w:rFonts w:hint="eastAsia" w:ascii="宋体" w:hAnsi="宋体" w:eastAsia="宋体" w:cs="宋体"/>
          <w:b/>
          <w:bCs/>
          <w:color w:val="auto"/>
          <w:szCs w:val="21"/>
        </w:rPr>
      </w:pPr>
      <w:r>
        <w:rPr>
          <w:rFonts w:hint="eastAsia" w:ascii="宋体" w:hAnsi="宋体" w:eastAsia="宋体"/>
          <w:color w:val="auto"/>
          <w:szCs w:val="21"/>
        </w:rPr>
        <w:t>本课程在系统教学的基础上，以学生为主题，整合各类教育资源，科学设计实践活动，丰富教育教学形式，提升教育教学效果，从而实现思政育人。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4F65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4C28A39A">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3407" w:type="dxa"/>
            <w:vAlign w:val="center"/>
          </w:tcPr>
          <w:p w14:paraId="4E1933B2">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740" w:type="dxa"/>
            <w:vAlign w:val="center"/>
          </w:tcPr>
          <w:p w14:paraId="37E10AF5">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3160" w:type="dxa"/>
            <w:vAlign w:val="center"/>
          </w:tcPr>
          <w:p w14:paraId="4F6E23EE">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思政目标</w:t>
            </w:r>
          </w:p>
        </w:tc>
      </w:tr>
      <w:tr w14:paraId="4245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212" w:type="dxa"/>
            <w:vAlign w:val="center"/>
          </w:tcPr>
          <w:p w14:paraId="7D4FA039">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一种固定翼模型飞机的制作流程</w:t>
            </w:r>
          </w:p>
        </w:tc>
        <w:tc>
          <w:tcPr>
            <w:tcW w:w="3407" w:type="dxa"/>
            <w:vAlign w:val="center"/>
          </w:tcPr>
          <w:p w14:paraId="72C2A177">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以最经典的轻木蒙皮结构固定翼飞机制作为例，展示此类飞机制作的整个流程。（1）机翼翼型、机身骨架结构的设计与排版切割；（2）机翼、机身等模块的骨架搭建与粘接；（3）机翼与机身蒙皮操作；（4）电子设备安装；（5）整体组装与重心调节、试飞。</w:t>
            </w:r>
          </w:p>
        </w:tc>
        <w:tc>
          <w:tcPr>
            <w:tcW w:w="740" w:type="dxa"/>
            <w:vAlign w:val="center"/>
          </w:tcPr>
          <w:p w14:paraId="2FB94EB0">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课程实践设计</w:t>
            </w:r>
          </w:p>
        </w:tc>
        <w:tc>
          <w:tcPr>
            <w:tcW w:w="3160" w:type="dxa"/>
            <w:vAlign w:val="center"/>
          </w:tcPr>
          <w:p w14:paraId="730C8489">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 xml:space="preserve">通过轻木蒙皮固定翼飞机制作，引导学生感悟科学探索的严谨性：在翼型设计与切割中理解空气动力学原理，培养精益求精的工匠精神；在团队协作搭建机身骨架时强化集体意识与责任担当；蒙皮与组装环节渗透“细节决定成败”的务实态度；试飞调试中鼓励直面失败、优化创新，锤炼坚韧品格。结合国产大飞机C919等案例，诠释中国航天人“特别能攻关”的精神，厚植科技报国情怀，树立“劳动创造价值、创新驱动发展”的价值观。  </w:t>
            </w:r>
          </w:p>
        </w:tc>
      </w:tr>
      <w:tr w14:paraId="783F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4C0D8412">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航空模型的创新设计展示与创新设计讨论</w:t>
            </w:r>
          </w:p>
        </w:tc>
        <w:tc>
          <w:tcPr>
            <w:tcW w:w="3407" w:type="dxa"/>
            <w:vAlign w:val="center"/>
          </w:tcPr>
          <w:p w14:paraId="3D908FF7">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1）展示各种各样的创新航模设计，并对部分创新设计进行一定程度的讲解，让学生明白设计者的设计意图与实现方式；（2）课堂讨论，把握课堂节奏，注意引导创新；（3）布置课后任务：以小组为单位完成一份创新设计，并做好相应展示材料。</w:t>
            </w:r>
          </w:p>
        </w:tc>
        <w:tc>
          <w:tcPr>
            <w:tcW w:w="740" w:type="dxa"/>
            <w:vAlign w:val="center"/>
          </w:tcPr>
          <w:p w14:paraId="6DEFC002">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专题报告</w:t>
            </w:r>
          </w:p>
        </w:tc>
        <w:tc>
          <w:tcPr>
            <w:tcW w:w="3160" w:type="dxa"/>
            <w:vAlign w:val="center"/>
          </w:tcPr>
          <w:p w14:paraId="21A5FF4B">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通过展示国内外优秀航模创新设计，引导学生理解设计背后的科学思维与创造力，结合中国航天科技成就（如无人机、空间站等），增强学生的民族自豪感和科技报国意识。</w:t>
            </w:r>
          </w:p>
        </w:tc>
      </w:tr>
      <w:tr w14:paraId="0D7C7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1EB4D13D">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航模创新设计展示</w:t>
            </w:r>
          </w:p>
        </w:tc>
        <w:tc>
          <w:tcPr>
            <w:tcW w:w="3407" w:type="dxa"/>
            <w:vAlign w:val="center"/>
          </w:tcPr>
          <w:p w14:paraId="19CBD20D">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（1）由小组成员对课后的创新设计做成果展示（以PPT的形式）；（2）现场提问与讨论，要求全体学生以答辩的形式参与其中；（3）对每一组的设计与报告做评价和总结，完成成绩记录。</w:t>
            </w:r>
          </w:p>
        </w:tc>
        <w:tc>
          <w:tcPr>
            <w:tcW w:w="740" w:type="dxa"/>
            <w:vAlign w:val="center"/>
          </w:tcPr>
          <w:p w14:paraId="3B45FBBD">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课程实践作业</w:t>
            </w:r>
          </w:p>
        </w:tc>
        <w:tc>
          <w:tcPr>
            <w:tcW w:w="3160" w:type="dxa"/>
            <w:vAlign w:val="center"/>
          </w:tcPr>
          <w:p w14:paraId="06D75249">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 xml:space="preserve">通过小组PPT展示，强化成员间的分工合作与集体荣誉感，让学生体会团队成果的来之不易，增强责任担当精神。  </w:t>
            </w:r>
          </w:p>
        </w:tc>
      </w:tr>
      <w:tr w14:paraId="119B6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0CB37C2A">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航空模型制作实践</w:t>
            </w:r>
          </w:p>
        </w:tc>
        <w:tc>
          <w:tcPr>
            <w:tcW w:w="3407" w:type="dxa"/>
            <w:vAlign w:val="center"/>
          </w:tcPr>
          <w:p w14:paraId="5CAF07E3">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（1）复习航模制作的基本步骤和要点；（2）指导学生进行实践制作；（3）指导学生进行组件装配；（5）对学生制作作品进行点评，完成成绩记录；（4）实践过程中的安全问题及注意事项。</w:t>
            </w:r>
          </w:p>
        </w:tc>
        <w:tc>
          <w:tcPr>
            <w:tcW w:w="740" w:type="dxa"/>
            <w:vAlign w:val="center"/>
          </w:tcPr>
          <w:p w14:paraId="41CE64E2">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课程实践设计</w:t>
            </w:r>
          </w:p>
        </w:tc>
        <w:tc>
          <w:tcPr>
            <w:tcW w:w="3160" w:type="dxa"/>
            <w:vAlign w:val="center"/>
          </w:tcPr>
          <w:p w14:paraId="26010EA4">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将安全规范教育融入实践全程，帮助学生树立"安全第一"的职业理念，为未来职业发展奠定基础。</w:t>
            </w:r>
          </w:p>
        </w:tc>
      </w:tr>
    </w:tbl>
    <w:p w14:paraId="7FE5069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2"/>
          <w:szCs w:val="22"/>
        </w:rPr>
        <w:t>六、有关说明</w:t>
      </w:r>
    </w:p>
    <w:p w14:paraId="103B4EBD">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4E4867D3">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本课程根据学生作业、课堂讨论、模拟教学、说课、平时考核情况和学生、教学督导等的反馈，及时对教学中的不足之处进行改进，并在下一轮课程教学中整改完善，确保相应毕业要求指标点达成。</w:t>
      </w:r>
    </w:p>
    <w:p w14:paraId="58B0424C">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7CEC3FE9">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贾玉红等，《放飞梦想——航模制作初步》，北京航空航天大学出版社.2014.</w:t>
      </w:r>
    </w:p>
    <w:p w14:paraId="0E5CD9D7">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1B1DBAE4">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吕涛.遥控模型飞机入门.航空工业出版社,2011.</w:t>
      </w:r>
    </w:p>
    <w:p w14:paraId="5E976FA1">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陆耀华. 无线电遥控电动模型飞机. 航空工业出版社,2008.</w:t>
      </w:r>
    </w:p>
    <w:p w14:paraId="72A2532B">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刘星,司海清,蔡中长.飞行原理.科学出版社,2011.</w:t>
      </w:r>
    </w:p>
    <w:p w14:paraId="20A79E7A">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执笔人：门艳忠</w:t>
      </w:r>
    </w:p>
    <w:p w14:paraId="5977617F">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审 定 人：王</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健</w:t>
      </w:r>
    </w:p>
    <w:p w14:paraId="53E4214C">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审 批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张志欣</w:t>
      </w:r>
    </w:p>
    <w:p w14:paraId="71DE4A7B">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righ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批准时间：2025年7月1日</w:t>
      </w:r>
    </w:p>
    <w:p w14:paraId="77DC43C5">
      <w:pPr>
        <w:rPr>
          <w:color w:val="auto"/>
        </w:rPr>
      </w:pPr>
      <w:r>
        <w:rPr>
          <w:rFonts w:ascii="Times New Roman" w:hAnsi="Times New Roman" w:eastAsia="宋体" w:cs="Times New Roman"/>
          <w:color w:val="auto"/>
          <w:sz w:val="24"/>
        </w:rPr>
        <w:br w:type="page"/>
      </w:r>
    </w:p>
    <w:p w14:paraId="7FC2434F">
      <w:pPr>
        <w:spacing w:line="360" w:lineRule="auto"/>
        <w:jc w:val="center"/>
        <w:outlineLvl w:val="0"/>
        <w:rPr>
          <w:rFonts w:hint="eastAsia" w:ascii="Times New Roman" w:hAnsi="Times New Roman" w:eastAsia="宋体" w:cs="Times New Roman"/>
          <w:b/>
          <w:sz w:val="44"/>
          <w:szCs w:val="44"/>
        </w:rPr>
      </w:pPr>
      <w:bookmarkStart w:id="413" w:name="_Toc166165225"/>
      <w:bookmarkStart w:id="414" w:name="_Toc27604"/>
      <w:bookmarkStart w:id="415" w:name="_Toc29395649"/>
      <w:bookmarkStart w:id="416" w:name="_Toc17557"/>
      <w:r>
        <w:rPr>
          <w:rFonts w:hint="eastAsia" w:ascii="Times New Roman" w:hAnsi="Times New Roman" w:eastAsia="宋体" w:cs="Times New Roman"/>
          <w:b/>
          <w:sz w:val="44"/>
          <w:szCs w:val="44"/>
        </w:rPr>
        <w:t>《机器人制作与训练课程》教学大纲</w:t>
      </w:r>
      <w:bookmarkEnd w:id="413"/>
      <w:bookmarkEnd w:id="414"/>
      <w:bookmarkEnd w:id="415"/>
      <w:bookmarkEnd w:id="416"/>
    </w:p>
    <w:p w14:paraId="5A9D346B">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（Robot Making and Training）</w:t>
      </w:r>
    </w:p>
    <w:p w14:paraId="2141CFB0">
      <w:pPr>
        <w:spacing w:line="360" w:lineRule="auto"/>
        <w:ind w:firstLine="422" w:firstLineChars="200"/>
        <w:jc w:val="left"/>
        <w:rPr>
          <w:rFonts w:hint="eastAsia" w:ascii="Times New Roman" w:hAnsi="Times New Roman" w:eastAsia="宋体" w:cs="Times New Roman"/>
          <w:b/>
          <w:color w:val="auto"/>
          <w:sz w:val="21"/>
          <w:szCs w:val="21"/>
        </w:rPr>
      </w:pPr>
    </w:p>
    <w:p w14:paraId="5BF0DD7D">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课程名称：</w:t>
      </w:r>
      <w:r>
        <w:rPr>
          <w:rFonts w:hint="eastAsia" w:ascii="宋体" w:hAnsi="宋体" w:eastAsia="宋体" w:cs="Times New Roman"/>
          <w:b/>
          <w:bCs/>
          <w:color w:val="auto"/>
          <w:sz w:val="24"/>
          <w:szCs w:val="24"/>
        </w:rPr>
        <w:t>机器人制作与训练</w:t>
      </w:r>
      <w:r>
        <w:rPr>
          <w:rFonts w:ascii="宋体" w:hAnsi="宋体" w:eastAsia="宋体" w:cs="Times New Roman"/>
          <w:b/>
          <w:bCs/>
          <w:color w:val="auto"/>
          <w:sz w:val="24"/>
          <w:szCs w:val="24"/>
        </w:rPr>
        <w:t>课程</w:t>
      </w:r>
    </w:p>
    <w:p w14:paraId="426DDE79">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课程代码：2401035</w:t>
      </w:r>
    </w:p>
    <w:p w14:paraId="0BFCAE8A">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分：2</w:t>
      </w:r>
    </w:p>
    <w:p w14:paraId="77C08ACB">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 xml:space="preserve">学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时：32 （其中：讲授学时16， 实践学时16）</w:t>
      </w:r>
    </w:p>
    <w:p w14:paraId="30998376">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先修课程：大学计算机信息基础</w:t>
      </w:r>
    </w:p>
    <w:p w14:paraId="0C550722">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适用专业：小学教育</w:t>
      </w:r>
    </w:p>
    <w:p w14:paraId="43E666D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2"/>
          <w:szCs w:val="22"/>
        </w:rPr>
        <w:t>一、课程简介</w:t>
      </w:r>
    </w:p>
    <w:p w14:paraId="79047FA0">
      <w:pPr>
        <w:spacing w:line="360" w:lineRule="auto"/>
        <w:ind w:firstLine="420" w:firstLineChars="200"/>
        <w:jc w:val="left"/>
        <w:rPr>
          <w:rFonts w:hint="eastAsia" w:ascii="宋体" w:hAnsi="宋体" w:eastAsia="宋体" w:cs="Times New Roman"/>
          <w:b/>
          <w:color w:val="auto"/>
          <w:szCs w:val="21"/>
        </w:rPr>
      </w:pPr>
      <w:r>
        <w:rPr>
          <w:rFonts w:hint="eastAsia" w:ascii="宋体" w:hAnsi="宋体" w:eastAsia="宋体" w:cs="Times New Roman"/>
          <w:color w:val="auto"/>
          <w:kern w:val="0"/>
          <w:szCs w:val="21"/>
        </w:rPr>
        <w:t>本课程</w:t>
      </w:r>
      <w:r>
        <w:rPr>
          <w:rFonts w:ascii="宋体" w:hAnsi="宋体" w:eastAsia="宋体" w:cs="Times New Roman"/>
          <w:color w:val="auto"/>
          <w:kern w:val="0"/>
          <w:szCs w:val="21"/>
        </w:rPr>
        <w:t>是</w:t>
      </w:r>
      <w:r>
        <w:rPr>
          <w:rFonts w:hint="eastAsia" w:ascii="宋体" w:hAnsi="宋体" w:eastAsia="宋体" w:cs="Times New Roman"/>
          <w:bCs/>
          <w:color w:val="auto"/>
          <w:kern w:val="0"/>
          <w:szCs w:val="21"/>
        </w:rPr>
        <w:t>小学教育</w:t>
      </w:r>
      <w:r>
        <w:rPr>
          <w:rFonts w:ascii="宋体" w:hAnsi="宋体" w:eastAsia="宋体" w:cs="Times New Roman"/>
          <w:color w:val="auto"/>
          <w:kern w:val="0"/>
          <w:szCs w:val="21"/>
        </w:rPr>
        <w:t>专业的一门</w:t>
      </w:r>
      <w:r>
        <w:rPr>
          <w:rFonts w:hint="eastAsia" w:ascii="宋体" w:hAnsi="宋体" w:eastAsia="宋体" w:cs="Times New Roman"/>
          <w:color w:val="auto"/>
          <w:kern w:val="0"/>
          <w:szCs w:val="21"/>
        </w:rPr>
        <w:t>专业选修</w:t>
      </w:r>
      <w:r>
        <w:rPr>
          <w:rFonts w:ascii="宋体" w:hAnsi="宋体" w:eastAsia="宋体" w:cs="Times New Roman"/>
          <w:color w:val="auto"/>
          <w:kern w:val="0"/>
          <w:szCs w:val="21"/>
        </w:rPr>
        <w:t>课程</w:t>
      </w:r>
      <w:r>
        <w:rPr>
          <w:rFonts w:hint="eastAsia" w:ascii="宋体" w:hAnsi="宋体" w:eastAsia="宋体" w:cs="Times New Roman"/>
          <w:color w:val="auto"/>
          <w:kern w:val="0"/>
          <w:szCs w:val="21"/>
        </w:rPr>
        <w:t>。通过本课程学习，培养学生设计、组装、编程和运行机器人的能力，使学生全面掌握小学机器人科学教育活动的内涵、价值、目标、内容、方法和不同类型机器人科学教育活动设计指导方法，具有开展小学机器人科学教育及竞赛活动的基本技能，为后续STEAM课程设计</w:t>
      </w:r>
      <w:r>
        <w:rPr>
          <w:rFonts w:ascii="宋体" w:hAnsi="宋体" w:eastAsia="宋体" w:cs="Times New Roman"/>
          <w:color w:val="auto"/>
          <w:kern w:val="0"/>
          <w:szCs w:val="21"/>
        </w:rPr>
        <w:t>及教育实习环节奠定基础。</w:t>
      </w:r>
    </w:p>
    <w:p w14:paraId="3CA1137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2"/>
          <w:szCs w:val="22"/>
        </w:rPr>
        <w:t>二、课程目标</w:t>
      </w:r>
    </w:p>
    <w:p w14:paraId="0A73825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0C5BDE22">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1.</w:t>
      </w:r>
      <w:r>
        <w:rPr>
          <w:rFonts w:hint="eastAsia" w:ascii="Times New Roman" w:hAnsi="Times New Roman" w:eastAsia="宋体" w:cs="Times New Roman"/>
          <w:b/>
          <w:color w:val="auto"/>
          <w:szCs w:val="21"/>
        </w:rPr>
        <w:t xml:space="preserve"> </w:t>
      </w:r>
      <w:r>
        <w:rPr>
          <w:rFonts w:hint="eastAsia" w:ascii="Times New Roman" w:hAnsi="Times New Roman" w:eastAsia="宋体" w:cs="Times New Roman"/>
          <w:bCs/>
          <w:color w:val="auto"/>
          <w:szCs w:val="21"/>
        </w:rPr>
        <w:t>了解机器人学科的发展历史与现状，理解机器人与人类的关系，掌握国内外中小学机器人教育的发展历史与现状。</w:t>
      </w:r>
    </w:p>
    <w:p w14:paraId="3B657D5E">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目标2</w:t>
      </w:r>
      <w:r>
        <w:rPr>
          <w:rFonts w:ascii="Times New Roman" w:hAnsi="Times New Roman" w:eastAsia="宋体" w:cs="Times New Roman"/>
          <w:b/>
          <w:color w:val="auto"/>
          <w:szCs w:val="21"/>
        </w:rPr>
        <w:t xml:space="preserve">. </w:t>
      </w:r>
      <w:r>
        <w:rPr>
          <w:rFonts w:hint="eastAsia" w:ascii="Times New Roman" w:hAnsi="Times New Roman" w:eastAsia="宋体" w:cs="Times New Roman"/>
          <w:bCs/>
          <w:color w:val="auto"/>
          <w:szCs w:val="21"/>
        </w:rPr>
        <w:t>掌握教育机器人搭建与软件环境安装方法，掌握Scratch图形化程序设计思想与方法，通过实践掌握机器人编程方法。</w:t>
      </w:r>
    </w:p>
    <w:p w14:paraId="3F874FC6">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Cs/>
          <w:color w:val="auto"/>
          <w:kern w:val="0"/>
          <w:szCs w:val="21"/>
        </w:rPr>
      </w:pPr>
      <w:r>
        <w:rPr>
          <w:rFonts w:hint="eastAsia" w:ascii="Times New Roman" w:hAnsi="Times New Roman" w:eastAsia="宋体" w:cs="Times New Roman"/>
          <w:b/>
          <w:color w:val="auto"/>
          <w:szCs w:val="21"/>
        </w:rPr>
        <w:t>目标3</w:t>
      </w:r>
      <w:r>
        <w:rPr>
          <w:rFonts w:hint="eastAsia" w:ascii="Times New Roman" w:hAnsi="Times New Roman" w:eastAsia="宋体" w:cs="Times New Roman"/>
          <w:b/>
          <w:color w:val="auto"/>
          <w:kern w:val="0"/>
          <w:szCs w:val="21"/>
        </w:rPr>
        <w:t>．</w:t>
      </w:r>
      <w:r>
        <w:rPr>
          <w:rFonts w:hint="eastAsia" w:ascii="Times New Roman" w:hAnsi="Times New Roman" w:eastAsia="宋体" w:cs="Times New Roman"/>
          <w:bCs/>
          <w:color w:val="auto"/>
          <w:kern w:val="0"/>
          <w:szCs w:val="21"/>
        </w:rPr>
        <w:t>具备针对某项机器人竞赛规则搭建机器人并设计相应程序的能力。</w:t>
      </w:r>
    </w:p>
    <w:p w14:paraId="450C237D">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Cs/>
          <w:color w:val="auto"/>
          <w:kern w:val="0"/>
          <w:szCs w:val="21"/>
        </w:rPr>
      </w:pPr>
      <w:r>
        <w:rPr>
          <w:rFonts w:hint="eastAsia" w:ascii="Times New Roman" w:hAnsi="Times New Roman" w:eastAsia="宋体" w:cs="Times New Roman"/>
          <w:b/>
          <w:color w:val="auto"/>
          <w:szCs w:val="21"/>
        </w:rPr>
        <w:t>目标4</w:t>
      </w:r>
      <w:r>
        <w:rPr>
          <w:rFonts w:hint="eastAsia" w:ascii="Times New Roman" w:hAnsi="Times New Roman" w:eastAsia="宋体" w:cs="Times New Roman"/>
          <w:b/>
          <w:color w:val="auto"/>
          <w:kern w:val="0"/>
          <w:szCs w:val="21"/>
        </w:rPr>
        <w:t>．</w:t>
      </w:r>
      <w:r>
        <w:rPr>
          <w:rFonts w:hint="eastAsia" w:ascii="Times New Roman" w:hAnsi="Times New Roman" w:eastAsia="宋体" w:cs="Times New Roman"/>
          <w:bCs/>
          <w:color w:val="auto"/>
          <w:kern w:val="0"/>
          <w:szCs w:val="21"/>
        </w:rPr>
        <w:t>具有终身学习与专业发展的意识，掌握小学机器人教育和竞赛活动的评价方法和技能，能够运用批判性思维方法，对小学机器人教育和竞赛活动进行教育反思。</w:t>
      </w:r>
    </w:p>
    <w:p w14:paraId="7DBA53F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Cs/>
          <w:color w:val="auto"/>
          <w:kern w:val="0"/>
          <w:szCs w:val="21"/>
        </w:rPr>
      </w:pPr>
      <w:r>
        <w:rPr>
          <w:rFonts w:hint="eastAsia" w:ascii="Times New Roman" w:hAnsi="Times New Roman" w:eastAsia="宋体" w:cs="Times New Roman"/>
          <w:b/>
          <w:color w:val="auto"/>
          <w:szCs w:val="21"/>
        </w:rPr>
        <w:t>目标5</w:t>
      </w:r>
      <w:r>
        <w:rPr>
          <w:rFonts w:hint="eastAsia" w:ascii="Times New Roman" w:hAnsi="Times New Roman" w:eastAsia="宋体" w:cs="Times New Roman"/>
          <w:b/>
          <w:color w:val="auto"/>
          <w:kern w:val="0"/>
          <w:szCs w:val="21"/>
        </w:rPr>
        <w:t>．</w:t>
      </w:r>
      <w:r>
        <w:rPr>
          <w:rFonts w:hint="eastAsia" w:ascii="Times New Roman" w:hAnsi="Times New Roman" w:eastAsia="宋体" w:cs="Times New Roman"/>
          <w:bCs/>
          <w:color w:val="auto"/>
          <w:kern w:val="0"/>
          <w:szCs w:val="21"/>
        </w:rPr>
        <w:t>能够完成校内机器人社团活动的设计与指导工作，促进小学生全面、健康发展。</w:t>
      </w:r>
    </w:p>
    <w:p w14:paraId="70341799">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90B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97A45F1">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5688" w:type="dxa"/>
            <w:vAlign w:val="center"/>
          </w:tcPr>
          <w:p w14:paraId="02D9DDAF">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7B1A3FB6">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4ACCF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98" w:type="dxa"/>
            <w:vMerge w:val="restart"/>
            <w:vAlign w:val="center"/>
          </w:tcPr>
          <w:p w14:paraId="7D7F08FA">
            <w:pPr>
              <w:spacing w:line="276" w:lineRule="auto"/>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毕业要求3学科素养</w:t>
            </w:r>
          </w:p>
        </w:tc>
        <w:tc>
          <w:tcPr>
            <w:tcW w:w="5688" w:type="dxa"/>
            <w:vAlign w:val="center"/>
          </w:tcPr>
          <w:p w14:paraId="0E337039">
            <w:pPr>
              <w:spacing w:line="276" w:lineRule="auto"/>
              <w:jc w:val="left"/>
              <w:rPr>
                <w:rFonts w:hint="eastAsia" w:ascii="宋体" w:hAnsi="宋体" w:cs="宋体" w:eastAsiaTheme="minorEastAsia"/>
                <w:color w:val="auto"/>
                <w:szCs w:val="21"/>
                <w:lang w:eastAsia="zh-CN"/>
              </w:rPr>
            </w:pPr>
            <w:r>
              <w:rPr>
                <w:rFonts w:hint="eastAsia" w:ascii="宋体" w:hAnsi="宋体" w:cs="宋体"/>
                <w:color w:val="auto"/>
                <w:kern w:val="0"/>
                <w:szCs w:val="21"/>
                <w:lang w:eastAsia="zh-CN"/>
              </w:rPr>
              <w:t>指标点3-1：【通识知识广博】具有小学教育本科专业相应的自然科学和人文社会科学知识素养。</w:t>
            </w:r>
          </w:p>
        </w:tc>
        <w:tc>
          <w:tcPr>
            <w:tcW w:w="1191" w:type="dxa"/>
            <w:vMerge w:val="restart"/>
            <w:vAlign w:val="center"/>
          </w:tcPr>
          <w:p w14:paraId="08C802AF">
            <w:pPr>
              <w:spacing w:line="276"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p>
          <w:p w14:paraId="6664F9B8">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1、2、3</w:t>
            </w:r>
          </w:p>
        </w:tc>
      </w:tr>
      <w:tr w14:paraId="2227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98" w:type="dxa"/>
            <w:vMerge w:val="continue"/>
            <w:vAlign w:val="center"/>
          </w:tcPr>
          <w:p w14:paraId="698EB632">
            <w:pPr>
              <w:spacing w:line="276" w:lineRule="auto"/>
              <w:jc w:val="left"/>
              <w:rPr>
                <w:rFonts w:hint="eastAsia" w:ascii="Times New Roman" w:hAnsi="Times New Roman" w:eastAsia="宋体" w:cs="Times New Roman"/>
                <w:b/>
                <w:bCs/>
                <w:color w:val="auto"/>
                <w:szCs w:val="21"/>
              </w:rPr>
            </w:pPr>
          </w:p>
        </w:tc>
        <w:tc>
          <w:tcPr>
            <w:tcW w:w="5688" w:type="dxa"/>
            <w:vAlign w:val="center"/>
          </w:tcPr>
          <w:p w14:paraId="22F07F72">
            <w:pPr>
              <w:spacing w:line="276" w:lineRule="auto"/>
              <w:jc w:val="left"/>
              <w:rPr>
                <w:rFonts w:hint="eastAsia" w:ascii="宋体" w:hAnsi="宋体" w:cs="宋体" w:eastAsiaTheme="minorEastAsia"/>
                <w:color w:val="auto"/>
                <w:kern w:val="0"/>
                <w:szCs w:val="21"/>
                <w:lang w:eastAsia="zh-CN"/>
              </w:rPr>
            </w:pPr>
            <w:r>
              <w:rPr>
                <w:rFonts w:hint="eastAsia" w:ascii="宋体" w:hAnsi="宋体" w:cs="宋体"/>
                <w:color w:val="auto"/>
                <w:kern w:val="0"/>
                <w:szCs w:val="21"/>
                <w:lang w:eastAsia="zh-CN"/>
              </w:rPr>
              <w:t>指标点3-2：【学科知识扎实】具有学科专业能力，掌握小学数学学科的基本知识、原理和技能。熟悉小学科学的知识体系，掌握小学科学的基本知识、原理和技能。</w:t>
            </w:r>
          </w:p>
        </w:tc>
        <w:tc>
          <w:tcPr>
            <w:tcW w:w="1191" w:type="dxa"/>
            <w:vMerge w:val="continue"/>
            <w:vAlign w:val="center"/>
          </w:tcPr>
          <w:p w14:paraId="7F5605BD">
            <w:pPr>
              <w:spacing w:line="276" w:lineRule="auto"/>
              <w:jc w:val="left"/>
              <w:rPr>
                <w:rFonts w:hint="eastAsia" w:ascii="Times New Roman" w:hAnsi="Times New Roman" w:eastAsia="宋体" w:cs="Times New Roman"/>
                <w:color w:val="auto"/>
                <w:szCs w:val="21"/>
              </w:rPr>
            </w:pPr>
          </w:p>
        </w:tc>
      </w:tr>
      <w:tr w14:paraId="2737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98" w:type="dxa"/>
            <w:vMerge w:val="continue"/>
            <w:vAlign w:val="center"/>
          </w:tcPr>
          <w:p w14:paraId="4F72CB3E">
            <w:pPr>
              <w:spacing w:line="276" w:lineRule="auto"/>
              <w:jc w:val="left"/>
              <w:rPr>
                <w:rFonts w:hint="eastAsia" w:ascii="Times New Roman" w:hAnsi="Times New Roman" w:eastAsia="宋体" w:cs="Times New Roman"/>
                <w:b/>
                <w:bCs/>
                <w:color w:val="auto"/>
                <w:szCs w:val="21"/>
              </w:rPr>
            </w:pPr>
          </w:p>
        </w:tc>
        <w:tc>
          <w:tcPr>
            <w:tcW w:w="5688" w:type="dxa"/>
            <w:vAlign w:val="center"/>
          </w:tcPr>
          <w:p w14:paraId="01EBECE2">
            <w:pPr>
              <w:spacing w:line="276" w:lineRule="auto"/>
              <w:jc w:val="left"/>
              <w:rPr>
                <w:rFonts w:hint="eastAsia" w:ascii="宋体" w:hAnsi="宋体" w:cs="宋体"/>
                <w:color w:val="auto"/>
                <w:kern w:val="0"/>
                <w:szCs w:val="21"/>
              </w:rPr>
            </w:pPr>
            <w:r>
              <w:rPr>
                <w:rFonts w:hint="eastAsia" w:ascii="宋体" w:hAnsi="宋体" w:cs="宋体"/>
                <w:color w:val="auto"/>
                <w:kern w:val="0"/>
                <w:szCs w:val="21"/>
              </w:rPr>
              <w:t>指标点</w:t>
            </w:r>
            <w:r>
              <w:rPr>
                <w:rFonts w:hint="eastAsia" w:ascii="宋体" w:hAnsi="宋体" w:cs="宋体"/>
                <w:color w:val="auto"/>
                <w:szCs w:val="21"/>
              </w:rPr>
              <w:t>3-3：【注重知识整合】了解所教学科与小学其他学科及与社会实践、小学生生活实践之间的联系，了解学科整合在小学教育中的价值，具有跨学科解决问题的意识和能力，能指导综合性学科教学活动。</w:t>
            </w:r>
          </w:p>
        </w:tc>
        <w:tc>
          <w:tcPr>
            <w:tcW w:w="1191" w:type="dxa"/>
            <w:vMerge w:val="continue"/>
            <w:vAlign w:val="center"/>
          </w:tcPr>
          <w:p w14:paraId="52EB4808">
            <w:pPr>
              <w:spacing w:line="276" w:lineRule="auto"/>
              <w:jc w:val="left"/>
              <w:rPr>
                <w:rFonts w:hint="eastAsia" w:ascii="Times New Roman" w:hAnsi="Times New Roman" w:eastAsia="宋体" w:cs="Times New Roman"/>
                <w:color w:val="auto"/>
                <w:szCs w:val="21"/>
              </w:rPr>
            </w:pPr>
          </w:p>
        </w:tc>
      </w:tr>
      <w:tr w14:paraId="282D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558F5F0">
            <w:pPr>
              <w:spacing w:line="276" w:lineRule="auto"/>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毕业要求6综合育人</w:t>
            </w:r>
          </w:p>
        </w:tc>
        <w:tc>
          <w:tcPr>
            <w:tcW w:w="5688" w:type="dxa"/>
            <w:vAlign w:val="center"/>
          </w:tcPr>
          <w:p w14:paraId="30DFD9BF">
            <w:pPr>
              <w:spacing w:line="276" w:lineRule="auto"/>
              <w:jc w:val="left"/>
              <w:rPr>
                <w:rFonts w:hint="eastAsia" w:ascii="Times New Roman" w:hAnsi="Times New Roman" w:eastAsia="宋体" w:cs="Times New Roman"/>
                <w:color w:val="auto"/>
                <w:szCs w:val="21"/>
                <w:lang w:eastAsia="zh-CN"/>
              </w:rPr>
            </w:pPr>
            <w:r>
              <w:rPr>
                <w:rFonts w:hint="eastAsia" w:ascii="宋体" w:hAnsi="宋体" w:eastAsia="宋体" w:cs="宋体"/>
                <w:color w:val="auto"/>
                <w:kern w:val="0"/>
                <w:sz w:val="20"/>
                <w:szCs w:val="20"/>
                <w:lang w:eastAsia="zh-CN"/>
              </w:rPr>
              <w:t>指标点6-3：【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4AEF083D">
            <w:pPr>
              <w:spacing w:line="276" w:lineRule="auto"/>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p>
          <w:p w14:paraId="16B13AE6">
            <w:pPr>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4、</w:t>
            </w:r>
            <w:r>
              <w:rPr>
                <w:rFonts w:hint="eastAsia" w:ascii="Times New Roman" w:hAnsi="Times New Roman" w:eastAsia="宋体" w:cs="Times New Roman"/>
                <w:color w:val="auto"/>
                <w:szCs w:val="21"/>
              </w:rPr>
              <w:t>5</w:t>
            </w:r>
          </w:p>
        </w:tc>
      </w:tr>
    </w:tbl>
    <w:p w14:paraId="6A1B129F">
      <w:pPr>
        <w:spacing w:before="156" w:beforeLines="50" w:line="360" w:lineRule="auto"/>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2BA63E6C">
      <w:pPr>
        <w:spacing w:line="360" w:lineRule="auto"/>
        <w:ind w:firstLine="420" w:firstLineChars="200"/>
        <w:jc w:val="left"/>
        <w:rPr>
          <w:rFonts w:hint="eastAsia" w:ascii="宋体" w:hAnsi="宋体" w:eastAsia="宋体" w:cs="宋体"/>
          <w:color w:val="auto"/>
          <w:szCs w:val="21"/>
        </w:rPr>
      </w:pPr>
      <w:r>
        <w:rPr>
          <w:rFonts w:ascii="宋体" w:hAnsi="宋体" w:eastAsia="宋体" w:cs="宋体"/>
          <w:color w:val="auto"/>
          <w:szCs w:val="21"/>
        </w:rPr>
        <w:t>本课程以机器人教育为载体，通过理论与实践相结合的方式，多维度培养学生的核心素养。在认知层面，引导学生深入思考机器人的发明意义及其社会价值，理解人类改造世界的主观能动性和创造力；在实践层面，通过机器人搭建、程序设计和操作应用等实操训练，强化劳动教育价值，提升动手实践能力。课程融入Scratch图形化编程教学，帮助学生掌握计算机语言逻辑，培养系统性思维能力，增强科学理性认识世界的水平。同时，通过解析机器人竞赛的搭建控制原理，深化学生对"中国智造"和"大国工匠"精神内涵的理解，培养创新意识和精益求精的工匠精神。在团队协作方面，通过社团组织与竞赛管理的学习实践，提升学生的组织协调能力和学以致用水平，深化对科学管理理念的认知。最终实现德智体美劳</w:t>
      </w:r>
      <w:r>
        <w:rPr>
          <w:rFonts w:hint="eastAsia" w:ascii="宋体" w:hAnsi="宋体" w:eastAsia="宋体" w:cs="宋体"/>
          <w:color w:val="auto"/>
          <w:szCs w:val="21"/>
          <w:lang w:eastAsia="zh-CN"/>
        </w:rPr>
        <w:t>“</w:t>
      </w:r>
      <w:r>
        <w:rPr>
          <w:rFonts w:ascii="宋体" w:hAnsi="宋体" w:eastAsia="宋体" w:cs="宋体"/>
          <w:color w:val="auto"/>
          <w:szCs w:val="21"/>
        </w:rPr>
        <w:t>五育并举</w:t>
      </w:r>
      <w:r>
        <w:rPr>
          <w:rFonts w:hint="eastAsia" w:ascii="宋体" w:hAnsi="宋体" w:eastAsia="宋体" w:cs="宋体"/>
          <w:color w:val="auto"/>
          <w:szCs w:val="21"/>
          <w:lang w:eastAsia="zh-CN"/>
        </w:rPr>
        <w:t>”</w:t>
      </w:r>
      <w:r>
        <w:rPr>
          <w:rFonts w:ascii="宋体" w:hAnsi="宋体" w:eastAsia="宋体" w:cs="宋体"/>
          <w:color w:val="auto"/>
          <w:szCs w:val="21"/>
        </w:rPr>
        <w:t>的教育目标，促进学生全面发展，培养其成为具有创新精神、实践能力和社会责任感的时代新人。</w:t>
      </w:r>
    </w:p>
    <w:p w14:paraId="23B574D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2"/>
          <w:szCs w:val="22"/>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6936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3508AD8">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43EB240F">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1701" w:type="dxa"/>
            <w:vAlign w:val="center"/>
          </w:tcPr>
          <w:p w14:paraId="2ED33802">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34" w:type="dxa"/>
            <w:vAlign w:val="center"/>
          </w:tcPr>
          <w:p w14:paraId="78186610">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5B105CA3">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3260" w:type="dxa"/>
            <w:vAlign w:val="center"/>
          </w:tcPr>
          <w:p w14:paraId="1DBEB78D">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560" w:type="dxa"/>
            <w:vAlign w:val="center"/>
          </w:tcPr>
          <w:p w14:paraId="38946A00">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30B34A4F">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545F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9819944">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1.机器人技术与教育概述</w:t>
            </w:r>
          </w:p>
        </w:tc>
        <w:tc>
          <w:tcPr>
            <w:tcW w:w="1701" w:type="dxa"/>
            <w:vAlign w:val="center"/>
          </w:tcPr>
          <w:p w14:paraId="2BE1AF5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（1）机器人学科的发展历史与现状</w:t>
            </w:r>
          </w:p>
          <w:p w14:paraId="0C10EDE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（2）国内外中小学机器人教育的发展历史与现状</w:t>
            </w:r>
          </w:p>
          <w:p w14:paraId="0082B6F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（3）机器人在人类社会中的重要地位与思考</w:t>
            </w:r>
          </w:p>
        </w:tc>
        <w:tc>
          <w:tcPr>
            <w:tcW w:w="1134" w:type="dxa"/>
            <w:vAlign w:val="center"/>
          </w:tcPr>
          <w:p w14:paraId="31B10C1A">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3260" w:type="dxa"/>
            <w:vAlign w:val="center"/>
          </w:tcPr>
          <w:p w14:paraId="7029FF09">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1.了解机器人学科的内涵</w:t>
            </w:r>
          </w:p>
          <w:p w14:paraId="1629ED7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2.掌握国内外中小学机器人教育的发展历史与现状</w:t>
            </w:r>
          </w:p>
          <w:p w14:paraId="618729A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3.理解机器人与人类的关系</w:t>
            </w:r>
          </w:p>
          <w:p w14:paraId="19567D9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4.初步掌握掌握国内外中小学机器人教育的发展历史与现状</w:t>
            </w:r>
          </w:p>
          <w:p w14:paraId="261D8026">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5.初步了解各种类型的中小学教育机器人的特点</w:t>
            </w:r>
          </w:p>
        </w:tc>
        <w:tc>
          <w:tcPr>
            <w:tcW w:w="1560" w:type="dxa"/>
            <w:vAlign w:val="center"/>
          </w:tcPr>
          <w:p w14:paraId="54C9E74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60BB6956">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2.多媒体教学3.课堂讨论</w:t>
            </w:r>
          </w:p>
          <w:p w14:paraId="10C4E57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438" w:type="dxa"/>
            <w:vAlign w:val="center"/>
          </w:tcPr>
          <w:p w14:paraId="6CA36B7B">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0F75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25F2748">
            <w:pPr>
              <w:spacing w:line="264" w:lineRule="auto"/>
              <w:jc w:val="center"/>
              <w:rPr>
                <w:rFonts w:hint="eastAsia" w:ascii="宋体" w:hAnsi="宋体" w:eastAsia="宋体" w:cs="Times New Roman"/>
                <w:color w:val="auto"/>
                <w:szCs w:val="21"/>
              </w:rPr>
            </w:pPr>
          </w:p>
        </w:tc>
        <w:tc>
          <w:tcPr>
            <w:tcW w:w="8093" w:type="dxa"/>
            <w:gridSpan w:val="5"/>
            <w:vAlign w:val="center"/>
          </w:tcPr>
          <w:p w14:paraId="7772F02F">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bCs/>
                <w:color w:val="auto"/>
                <w:szCs w:val="21"/>
              </w:rPr>
              <w:t>通过引发学生对机器人的发明及其在人类社会中的重要地位的思考，让学生充分理解人的创造力和主观能动性，人不仅要认识世界，还要改造世界。</w:t>
            </w:r>
          </w:p>
        </w:tc>
      </w:tr>
      <w:tr w14:paraId="0E41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0E593BB">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2.教育机器人搭建与软件环境安装</w:t>
            </w:r>
          </w:p>
        </w:tc>
        <w:tc>
          <w:tcPr>
            <w:tcW w:w="1701" w:type="dxa"/>
            <w:vAlign w:val="center"/>
          </w:tcPr>
          <w:p w14:paraId="22612847">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（1）</w:t>
            </w:r>
            <w:r>
              <w:rPr>
                <w:rFonts w:hint="eastAsia" w:ascii="宋体" w:hAnsi="宋体" w:eastAsia="宋体" w:cs="Times New Roman"/>
                <w:color w:val="auto"/>
                <w:szCs w:val="21"/>
              </w:rPr>
              <w:t>教育机器人搭建</w:t>
            </w:r>
          </w:p>
          <w:p w14:paraId="0453003E">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2</w:t>
            </w:r>
            <w:r>
              <w:rPr>
                <w:rFonts w:ascii="宋体" w:hAnsi="宋体" w:eastAsia="宋体" w:cs="Times New Roman"/>
                <w:color w:val="auto"/>
                <w:szCs w:val="21"/>
              </w:rPr>
              <w:t>）</w:t>
            </w:r>
            <w:r>
              <w:rPr>
                <w:rFonts w:hint="eastAsia" w:ascii="宋体" w:hAnsi="宋体" w:eastAsia="宋体" w:cs="Times New Roman"/>
                <w:color w:val="auto"/>
                <w:szCs w:val="21"/>
              </w:rPr>
              <w:t>软件环境安装</w:t>
            </w:r>
          </w:p>
          <w:p w14:paraId="7F3CF2D5">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3</w:t>
            </w:r>
            <w:r>
              <w:rPr>
                <w:rFonts w:ascii="宋体" w:hAnsi="宋体" w:eastAsia="宋体" w:cs="Times New Roman"/>
                <w:color w:val="auto"/>
                <w:szCs w:val="21"/>
              </w:rPr>
              <w:t>）</w:t>
            </w:r>
            <w:r>
              <w:rPr>
                <w:rFonts w:hint="eastAsia" w:ascii="宋体" w:hAnsi="宋体" w:eastAsia="宋体" w:cs="Times New Roman"/>
                <w:color w:val="auto"/>
                <w:szCs w:val="21"/>
              </w:rPr>
              <w:t>软件环境使用</w:t>
            </w:r>
          </w:p>
          <w:p w14:paraId="603CCAF1">
            <w:pPr>
              <w:spacing w:line="269" w:lineRule="auto"/>
              <w:jc w:val="left"/>
              <w:rPr>
                <w:rFonts w:hint="eastAsia" w:ascii="宋体" w:hAnsi="宋体" w:eastAsia="宋体" w:cs="Times New Roman"/>
                <w:color w:val="auto"/>
                <w:szCs w:val="21"/>
              </w:rPr>
            </w:pPr>
          </w:p>
        </w:tc>
        <w:tc>
          <w:tcPr>
            <w:tcW w:w="1134" w:type="dxa"/>
            <w:vAlign w:val="center"/>
          </w:tcPr>
          <w:p w14:paraId="1742593E">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3260" w:type="dxa"/>
            <w:vAlign w:val="center"/>
          </w:tcPr>
          <w:p w14:paraId="6766634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1.掌握教育机器人搭建与软件环境安装方法</w:t>
            </w:r>
          </w:p>
          <w:p w14:paraId="5DFABC9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2.初步了解教育机器人搭建及各模块功能</w:t>
            </w:r>
          </w:p>
          <w:p w14:paraId="77227A2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3.初步了解教育机器人各模块功能</w:t>
            </w:r>
          </w:p>
        </w:tc>
        <w:tc>
          <w:tcPr>
            <w:tcW w:w="1560" w:type="dxa"/>
            <w:vAlign w:val="center"/>
          </w:tcPr>
          <w:p w14:paraId="00B4D69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1.线上学习</w:t>
            </w:r>
          </w:p>
          <w:p w14:paraId="3499A0D9">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2.多媒体教学3.课堂讨论</w:t>
            </w:r>
          </w:p>
          <w:p w14:paraId="04BC629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4.单元测验</w:t>
            </w:r>
          </w:p>
        </w:tc>
        <w:tc>
          <w:tcPr>
            <w:tcW w:w="438" w:type="dxa"/>
            <w:vAlign w:val="center"/>
          </w:tcPr>
          <w:p w14:paraId="4A1E7A28">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264D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3051719">
            <w:pPr>
              <w:spacing w:line="264" w:lineRule="auto"/>
              <w:jc w:val="center"/>
              <w:rPr>
                <w:rFonts w:hint="eastAsia" w:ascii="宋体" w:hAnsi="宋体" w:eastAsia="宋体" w:cs="Times New Roman"/>
                <w:color w:val="auto"/>
                <w:szCs w:val="21"/>
              </w:rPr>
            </w:pPr>
          </w:p>
        </w:tc>
        <w:tc>
          <w:tcPr>
            <w:tcW w:w="8093" w:type="dxa"/>
            <w:gridSpan w:val="5"/>
            <w:vAlign w:val="center"/>
          </w:tcPr>
          <w:p w14:paraId="255418F0">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bCs/>
                <w:color w:val="auto"/>
                <w:szCs w:val="21"/>
              </w:rPr>
              <w:t>通过带领学生学习机器人的搭建、安装和使用知识，让学生实践操作能力的重要作用，进而明白劳动教育的重要价值意义</w:t>
            </w:r>
          </w:p>
        </w:tc>
      </w:tr>
      <w:tr w14:paraId="4BD7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shd w:val="clear" w:color="auto" w:fill="auto"/>
            <w:vAlign w:val="center"/>
          </w:tcPr>
          <w:p w14:paraId="04CB8308">
            <w:pPr>
              <w:jc w:val="left"/>
              <w:rPr>
                <w:rFonts w:hint="eastAsia" w:ascii="宋体" w:hAnsi="宋体" w:eastAsia="宋体" w:cs="Times New Roman"/>
                <w:color w:val="auto"/>
                <w:szCs w:val="21"/>
              </w:rPr>
            </w:pPr>
            <w:r>
              <w:rPr>
                <w:rFonts w:hint="eastAsia" w:ascii="宋体" w:hAnsi="宋体" w:eastAsia="宋体" w:cs="宋体"/>
                <w:color w:val="auto"/>
                <w:kern w:val="0"/>
                <w:szCs w:val="21"/>
              </w:rPr>
              <w:t>3.</w:t>
            </w:r>
            <w:r>
              <w:rPr>
                <w:rFonts w:ascii="宋体" w:hAnsi="宋体" w:eastAsia="宋体" w:cs="宋体"/>
                <w:color w:val="auto"/>
                <w:kern w:val="0"/>
                <w:szCs w:val="21"/>
              </w:rPr>
              <w:t>Scratch</w:t>
            </w:r>
            <w:r>
              <w:rPr>
                <w:rFonts w:hint="eastAsia" w:ascii="宋体" w:hAnsi="宋体" w:eastAsia="宋体" w:cs="宋体"/>
                <w:color w:val="auto"/>
                <w:kern w:val="0"/>
                <w:szCs w:val="21"/>
              </w:rPr>
              <w:t>图形化程序设计</w:t>
            </w:r>
          </w:p>
        </w:tc>
        <w:tc>
          <w:tcPr>
            <w:tcW w:w="1701" w:type="dxa"/>
            <w:vAlign w:val="center"/>
          </w:tcPr>
          <w:p w14:paraId="0E6E8D45">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（1）</w:t>
            </w:r>
            <w:r>
              <w:rPr>
                <w:rFonts w:hint="eastAsia" w:ascii="宋体" w:hAnsi="宋体" w:eastAsia="宋体" w:cs="Times New Roman"/>
                <w:color w:val="auto"/>
                <w:szCs w:val="21"/>
              </w:rPr>
              <w:t>Scratch界面、背景区、角色区、各种角色介绍</w:t>
            </w:r>
          </w:p>
          <w:p w14:paraId="422E4EDB">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2</w:t>
            </w:r>
            <w:r>
              <w:rPr>
                <w:rFonts w:ascii="宋体" w:hAnsi="宋体" w:eastAsia="宋体" w:cs="Times New Roman"/>
                <w:color w:val="auto"/>
                <w:szCs w:val="21"/>
              </w:rPr>
              <w:t>）</w:t>
            </w:r>
            <w:r>
              <w:rPr>
                <w:rFonts w:hint="eastAsia" w:ascii="宋体" w:hAnsi="宋体" w:eastAsia="宋体" w:cs="Times New Roman"/>
                <w:color w:val="auto"/>
                <w:szCs w:val="21"/>
              </w:rPr>
              <w:t>顺序、分支、循环程序设计</w:t>
            </w:r>
          </w:p>
          <w:p w14:paraId="059409A5">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3</w:t>
            </w:r>
            <w:r>
              <w:rPr>
                <w:rFonts w:ascii="宋体" w:hAnsi="宋体" w:eastAsia="宋体" w:cs="Times New Roman"/>
                <w:color w:val="auto"/>
                <w:szCs w:val="21"/>
              </w:rPr>
              <w:t>）</w:t>
            </w:r>
            <w:r>
              <w:rPr>
                <w:rFonts w:hint="eastAsia" w:ascii="宋体" w:hAnsi="宋体" w:eastAsia="宋体" w:cs="Times New Roman"/>
                <w:color w:val="auto"/>
                <w:szCs w:val="21"/>
              </w:rPr>
              <w:t>结构化程序设计</w:t>
            </w:r>
          </w:p>
          <w:p w14:paraId="1B42A981">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ascii="宋体" w:hAnsi="宋体" w:eastAsia="宋体" w:cs="Times New Roman"/>
                <w:color w:val="auto"/>
                <w:szCs w:val="21"/>
              </w:rPr>
              <w:t>熊猫漫步与猫捉老鼠实验</w:t>
            </w:r>
          </w:p>
          <w:p w14:paraId="676D73EE">
            <w:pPr>
              <w:spacing w:line="269" w:lineRule="auto"/>
              <w:jc w:val="left"/>
              <w:rPr>
                <w:rFonts w:hint="eastAsia" w:ascii="宋体" w:hAnsi="宋体" w:eastAsia="宋体" w:cs="Times New Roman"/>
                <w:color w:val="auto"/>
                <w:szCs w:val="21"/>
              </w:rPr>
            </w:pPr>
          </w:p>
        </w:tc>
        <w:tc>
          <w:tcPr>
            <w:tcW w:w="1134" w:type="dxa"/>
            <w:vAlign w:val="center"/>
          </w:tcPr>
          <w:p w14:paraId="6D0568E5">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3260" w:type="dxa"/>
            <w:vAlign w:val="center"/>
          </w:tcPr>
          <w:p w14:paraId="0396079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1.了解Scratch界面、背景区、角色区、各种角色</w:t>
            </w:r>
          </w:p>
          <w:p w14:paraId="2DACE838">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2.掌握顺序、分支、循环程序设计思想</w:t>
            </w:r>
          </w:p>
          <w:p w14:paraId="5D557C11">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3.掌握结构化程序设计思想</w:t>
            </w:r>
          </w:p>
          <w:p w14:paraId="33857C3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应用所学</w:t>
            </w:r>
            <w:r>
              <w:rPr>
                <w:rFonts w:hint="eastAsia" w:ascii="宋体" w:hAnsi="宋体" w:eastAsia="宋体" w:cs="Times New Roman"/>
                <w:color w:val="auto"/>
                <w:szCs w:val="21"/>
              </w:rPr>
              <w:t>内容实现熊猫漫步与猫捉老鼠实验</w:t>
            </w:r>
          </w:p>
          <w:p w14:paraId="22FAC38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5.初步掌握顺序、分支、循环程序设计和结构化程序设计的基本要求和方法</w:t>
            </w:r>
          </w:p>
          <w:p w14:paraId="092C4726">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6.初步应用所学内容实现熊猫漫步与猫捉老鼠实验</w:t>
            </w:r>
          </w:p>
        </w:tc>
        <w:tc>
          <w:tcPr>
            <w:tcW w:w="1560" w:type="dxa"/>
            <w:vAlign w:val="center"/>
          </w:tcPr>
          <w:p w14:paraId="02B23142">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09186A27">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08ACFDFD">
            <w:pPr>
              <w:spacing w:line="269"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6F9896A2">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2B17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E911CA7">
            <w:pPr>
              <w:spacing w:line="264" w:lineRule="auto"/>
              <w:jc w:val="center"/>
              <w:rPr>
                <w:rFonts w:hint="eastAsia" w:ascii="宋体" w:hAnsi="宋体" w:eastAsia="宋体" w:cs="Times New Roman"/>
                <w:color w:val="auto"/>
                <w:szCs w:val="21"/>
              </w:rPr>
            </w:pPr>
          </w:p>
        </w:tc>
        <w:tc>
          <w:tcPr>
            <w:tcW w:w="8093" w:type="dxa"/>
            <w:gridSpan w:val="5"/>
            <w:vAlign w:val="center"/>
          </w:tcPr>
          <w:p w14:paraId="1005017F">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bCs/>
                <w:color w:val="auto"/>
                <w:szCs w:val="21"/>
              </w:rPr>
              <w:t>学生通过学习Scratch图形化程序设计的基本知识，了解当代计算机语言的基本逻辑，进而增进学生对程序设计思想在培养逻辑思维能力方面的作用。</w:t>
            </w:r>
          </w:p>
        </w:tc>
      </w:tr>
      <w:tr w14:paraId="751C2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0968B05">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r>
              <w:rPr>
                <w:rFonts w:hint="eastAsia" w:ascii="宋体" w:hAnsi="宋体" w:eastAsia="宋体" w:cs="宋体"/>
                <w:color w:val="auto"/>
                <w:kern w:val="0"/>
                <w:szCs w:val="21"/>
              </w:rPr>
              <w:t>机器人编程与实践</w:t>
            </w:r>
          </w:p>
        </w:tc>
        <w:tc>
          <w:tcPr>
            <w:tcW w:w="1701" w:type="dxa"/>
            <w:vAlign w:val="center"/>
          </w:tcPr>
          <w:p w14:paraId="1A5FFC56">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w:t>
            </w:r>
            <w:r>
              <w:rPr>
                <w:rFonts w:hint="eastAsia" w:ascii="宋体" w:hAnsi="宋体" w:eastAsia="宋体" w:cs="Times New Roman"/>
                <w:color w:val="auto"/>
                <w:szCs w:val="21"/>
              </w:rPr>
              <w:t>LED、按键、蜂鸣器、红外遥控程序设计</w:t>
            </w:r>
          </w:p>
          <w:p w14:paraId="6F602796">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2</w:t>
            </w:r>
            <w:r>
              <w:rPr>
                <w:rFonts w:ascii="宋体" w:hAnsi="宋体" w:eastAsia="宋体" w:cs="Times New Roman"/>
                <w:color w:val="auto"/>
                <w:szCs w:val="21"/>
              </w:rPr>
              <w:t>）</w:t>
            </w:r>
            <w:r>
              <w:rPr>
                <w:rFonts w:hint="eastAsia" w:ascii="宋体" w:hAnsi="宋体" w:eastAsia="宋体" w:cs="Times New Roman"/>
                <w:color w:val="auto"/>
                <w:szCs w:val="21"/>
              </w:rPr>
              <w:t>巡线传感器与电机控制程序设计</w:t>
            </w:r>
          </w:p>
          <w:p w14:paraId="56DB961C">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3</w:t>
            </w:r>
            <w:r>
              <w:rPr>
                <w:rFonts w:ascii="宋体" w:hAnsi="宋体" w:eastAsia="宋体" w:cs="Times New Roman"/>
                <w:color w:val="auto"/>
                <w:szCs w:val="21"/>
              </w:rPr>
              <w:t>）</w:t>
            </w:r>
            <w:r>
              <w:rPr>
                <w:rFonts w:hint="eastAsia" w:ascii="宋体" w:hAnsi="宋体" w:eastAsia="宋体" w:cs="Times New Roman"/>
                <w:color w:val="auto"/>
                <w:szCs w:val="21"/>
              </w:rPr>
              <w:t>音乐家、遥控机器人综合程序设计与实验</w:t>
            </w:r>
          </w:p>
        </w:tc>
        <w:tc>
          <w:tcPr>
            <w:tcW w:w="1134" w:type="dxa"/>
            <w:vAlign w:val="center"/>
          </w:tcPr>
          <w:p w14:paraId="411A8A50">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3260" w:type="dxa"/>
            <w:vAlign w:val="center"/>
          </w:tcPr>
          <w:p w14:paraId="3238E63F">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1.掌握机器人各模块的程序设计方法</w:t>
            </w:r>
          </w:p>
          <w:p w14:paraId="4BE5C7CB">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2.音乐家、遥控机器人综合程序设计与实验</w:t>
            </w:r>
          </w:p>
          <w:p w14:paraId="492E867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3.初步掌握机器人各模块的程序设计方法</w:t>
            </w:r>
          </w:p>
          <w:p w14:paraId="52EAF96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4.能灵活运用所学进行音乐家、遥控机器人综合程序设计与实验</w:t>
            </w:r>
          </w:p>
        </w:tc>
        <w:tc>
          <w:tcPr>
            <w:tcW w:w="1560" w:type="dxa"/>
            <w:vAlign w:val="center"/>
          </w:tcPr>
          <w:p w14:paraId="1B6EF329">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0A732059">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7DACAF80">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64D5B20A">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0195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380D3CB">
            <w:pPr>
              <w:spacing w:line="276" w:lineRule="auto"/>
              <w:jc w:val="center"/>
              <w:rPr>
                <w:rFonts w:hint="eastAsia" w:ascii="宋体" w:hAnsi="宋体" w:eastAsia="宋体" w:cs="Times New Roman"/>
                <w:color w:val="auto"/>
                <w:szCs w:val="21"/>
              </w:rPr>
            </w:pPr>
          </w:p>
        </w:tc>
        <w:tc>
          <w:tcPr>
            <w:tcW w:w="8093" w:type="dxa"/>
            <w:gridSpan w:val="5"/>
            <w:vAlign w:val="center"/>
          </w:tcPr>
          <w:p w14:paraId="1049FDAC">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bCs/>
                <w:color w:val="auto"/>
                <w:szCs w:val="21"/>
              </w:rPr>
              <w:t>学生通过学习程序设计方法，了解社会生活中的相关设施设备的设计原理，增强学生科学和理性地认识世界的能力。</w:t>
            </w:r>
          </w:p>
        </w:tc>
      </w:tr>
      <w:tr w14:paraId="0BB5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C2A5BB8">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w:t>
            </w:r>
            <w:r>
              <w:rPr>
                <w:rFonts w:hint="eastAsia" w:ascii="宋体" w:hAnsi="宋体" w:eastAsia="宋体" w:cs="宋体"/>
                <w:color w:val="auto"/>
                <w:kern w:val="0"/>
                <w:szCs w:val="21"/>
              </w:rPr>
              <w:t>竞赛机器人搭建与程序设计</w:t>
            </w:r>
          </w:p>
        </w:tc>
        <w:tc>
          <w:tcPr>
            <w:tcW w:w="1701" w:type="dxa"/>
            <w:vAlign w:val="center"/>
          </w:tcPr>
          <w:p w14:paraId="600D78C3">
            <w:pPr>
              <w:spacing w:line="276" w:lineRule="auto"/>
              <w:jc w:val="left"/>
              <w:rPr>
                <w:rFonts w:hint="eastAsia" w:ascii="宋体" w:hAnsi="宋体" w:eastAsia="宋体" w:cs="Times New Roman"/>
                <w:color w:val="auto"/>
                <w:sz w:val="24"/>
              </w:rPr>
            </w:pPr>
            <w:r>
              <w:rPr>
                <w:rFonts w:ascii="宋体" w:hAnsi="宋体" w:eastAsia="宋体" w:cs="Times New Roman"/>
                <w:color w:val="auto"/>
                <w:sz w:val="24"/>
              </w:rPr>
              <w:t>（</w:t>
            </w:r>
            <w:r>
              <w:rPr>
                <w:rFonts w:hint="eastAsia" w:ascii="宋体" w:hAnsi="宋体" w:eastAsia="宋体" w:cs="Times New Roman"/>
                <w:color w:val="auto"/>
                <w:sz w:val="24"/>
              </w:rPr>
              <w:t>1</w:t>
            </w:r>
            <w:r>
              <w:rPr>
                <w:rFonts w:ascii="宋体" w:hAnsi="宋体" w:eastAsia="宋体" w:cs="Times New Roman"/>
                <w:color w:val="auto"/>
                <w:sz w:val="24"/>
              </w:rPr>
              <w:t>）</w:t>
            </w:r>
            <w:r>
              <w:rPr>
                <w:rFonts w:hint="eastAsia" w:ascii="宋体" w:hAnsi="宋体" w:eastAsia="宋体" w:cs="Times New Roman"/>
                <w:color w:val="auto"/>
                <w:sz w:val="24"/>
              </w:rPr>
              <w:t>机器人竞赛规则介绍</w:t>
            </w:r>
          </w:p>
          <w:p w14:paraId="7FDEAAC0">
            <w:pPr>
              <w:spacing w:line="276" w:lineRule="auto"/>
              <w:jc w:val="left"/>
              <w:rPr>
                <w:rFonts w:hint="eastAsia" w:ascii="宋体" w:hAnsi="宋体" w:eastAsia="宋体" w:cs="Times New Roman"/>
                <w:color w:val="auto"/>
                <w:sz w:val="24"/>
              </w:rPr>
            </w:pPr>
            <w:r>
              <w:rPr>
                <w:rFonts w:ascii="宋体" w:hAnsi="宋体" w:eastAsia="宋体" w:cs="Times New Roman"/>
                <w:color w:val="auto"/>
                <w:sz w:val="24"/>
              </w:rPr>
              <w:t>（</w:t>
            </w:r>
            <w:r>
              <w:rPr>
                <w:rFonts w:hint="eastAsia" w:ascii="宋体" w:hAnsi="宋体" w:eastAsia="宋体" w:cs="Times New Roman"/>
                <w:color w:val="auto"/>
                <w:sz w:val="24"/>
              </w:rPr>
              <w:t>2</w:t>
            </w:r>
            <w:r>
              <w:rPr>
                <w:rFonts w:ascii="宋体" w:hAnsi="宋体" w:eastAsia="宋体" w:cs="Times New Roman"/>
                <w:color w:val="auto"/>
                <w:sz w:val="24"/>
              </w:rPr>
              <w:t>）</w:t>
            </w:r>
            <w:r>
              <w:rPr>
                <w:rFonts w:hint="eastAsia" w:ascii="宋体" w:hAnsi="宋体" w:eastAsia="宋体" w:cs="Times New Roman"/>
                <w:color w:val="auto"/>
                <w:sz w:val="24"/>
              </w:rPr>
              <w:t>巡线机器人搭建与控制</w:t>
            </w:r>
          </w:p>
          <w:p w14:paraId="1C4986C2">
            <w:pPr>
              <w:spacing w:line="276" w:lineRule="auto"/>
              <w:jc w:val="left"/>
              <w:rPr>
                <w:rFonts w:hint="eastAsia" w:ascii="宋体" w:hAnsi="宋体" w:eastAsia="宋体" w:cs="Times New Roman"/>
                <w:color w:val="auto"/>
                <w:szCs w:val="21"/>
              </w:rPr>
            </w:pPr>
            <w:r>
              <w:rPr>
                <w:rFonts w:ascii="宋体" w:hAnsi="宋体" w:eastAsia="宋体" w:cs="Times New Roman"/>
                <w:color w:val="auto"/>
                <w:sz w:val="24"/>
              </w:rPr>
              <w:t>（</w:t>
            </w:r>
            <w:r>
              <w:rPr>
                <w:rFonts w:hint="eastAsia" w:ascii="宋体" w:hAnsi="宋体" w:eastAsia="宋体" w:cs="Times New Roman"/>
                <w:color w:val="auto"/>
                <w:sz w:val="24"/>
              </w:rPr>
              <w:t>3</w:t>
            </w:r>
            <w:r>
              <w:rPr>
                <w:rFonts w:ascii="宋体" w:hAnsi="宋体" w:eastAsia="宋体" w:cs="Times New Roman"/>
                <w:color w:val="auto"/>
                <w:sz w:val="24"/>
              </w:rPr>
              <w:t>）</w:t>
            </w:r>
            <w:r>
              <w:rPr>
                <w:rFonts w:hint="eastAsia" w:ascii="宋体" w:hAnsi="宋体" w:eastAsia="宋体" w:cs="Times New Roman"/>
                <w:color w:val="auto"/>
                <w:sz w:val="24"/>
              </w:rPr>
              <w:t>六足机器人搭建与控制</w:t>
            </w:r>
          </w:p>
        </w:tc>
        <w:tc>
          <w:tcPr>
            <w:tcW w:w="1134" w:type="dxa"/>
            <w:vAlign w:val="center"/>
          </w:tcPr>
          <w:p w14:paraId="4BC36F75">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3260" w:type="dxa"/>
            <w:vAlign w:val="center"/>
          </w:tcPr>
          <w:p w14:paraId="2397B11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1.了解一种机器人竞赛规则</w:t>
            </w:r>
          </w:p>
          <w:p w14:paraId="0D70EA0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2.掌握巡线机器人搭建与控制方法</w:t>
            </w:r>
          </w:p>
          <w:p w14:paraId="3FCE533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3.掌握六足机器人搭建与控制方法</w:t>
            </w:r>
          </w:p>
          <w:p w14:paraId="695AAAC2">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4.初步掌握巡线机器人搭建与控制方法</w:t>
            </w:r>
          </w:p>
          <w:p w14:paraId="5655CF82">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5.能够初步运用所学知识和竞赛规则控制机器人</w:t>
            </w:r>
          </w:p>
        </w:tc>
        <w:tc>
          <w:tcPr>
            <w:tcW w:w="1560" w:type="dxa"/>
            <w:vAlign w:val="center"/>
          </w:tcPr>
          <w:p w14:paraId="350691CF">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58147509">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23DAB502">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185EE64B">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16EC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0D06294">
            <w:pPr>
              <w:spacing w:line="276" w:lineRule="auto"/>
              <w:jc w:val="center"/>
              <w:rPr>
                <w:rFonts w:hint="eastAsia" w:ascii="宋体" w:hAnsi="宋体" w:eastAsia="宋体" w:cs="Times New Roman"/>
                <w:color w:val="auto"/>
                <w:szCs w:val="21"/>
              </w:rPr>
            </w:pPr>
          </w:p>
        </w:tc>
        <w:tc>
          <w:tcPr>
            <w:tcW w:w="8093" w:type="dxa"/>
            <w:gridSpan w:val="5"/>
            <w:vAlign w:val="center"/>
          </w:tcPr>
          <w:p w14:paraId="6562B5FC">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bCs/>
                <w:color w:val="auto"/>
                <w:szCs w:val="21"/>
              </w:rPr>
              <w:t>通过让学生学习有关机器人竞赛中的搭建与控制的基本知识，增进学生对“中国智造”、“大国工匠”等概念的理解，进而体会自主研发和工匠精神的重要意义。</w:t>
            </w:r>
          </w:p>
        </w:tc>
      </w:tr>
      <w:tr w14:paraId="2E98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60A60D6">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w:t>
            </w:r>
            <w:r>
              <w:rPr>
                <w:rFonts w:hint="eastAsia" w:ascii="宋体" w:hAnsi="宋体" w:eastAsia="宋体" w:cs="宋体"/>
                <w:color w:val="auto"/>
                <w:kern w:val="0"/>
                <w:szCs w:val="21"/>
              </w:rPr>
              <w:t>机器人竞赛组织与训练</w:t>
            </w:r>
          </w:p>
        </w:tc>
        <w:tc>
          <w:tcPr>
            <w:tcW w:w="1701" w:type="dxa"/>
            <w:vAlign w:val="center"/>
          </w:tcPr>
          <w:p w14:paraId="5731B2C7">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w:t>
            </w:r>
            <w:r>
              <w:rPr>
                <w:rFonts w:hint="eastAsia" w:ascii="宋体" w:hAnsi="宋体" w:eastAsia="宋体" w:cs="Times New Roman"/>
                <w:color w:val="auto"/>
                <w:szCs w:val="21"/>
              </w:rPr>
              <w:t>机器人竞赛概述</w:t>
            </w:r>
          </w:p>
          <w:p w14:paraId="28A46F9C">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2</w:t>
            </w:r>
            <w:r>
              <w:rPr>
                <w:rFonts w:ascii="宋体" w:hAnsi="宋体" w:eastAsia="宋体" w:cs="Times New Roman"/>
                <w:color w:val="auto"/>
                <w:szCs w:val="21"/>
              </w:rPr>
              <w:t>）</w:t>
            </w:r>
            <w:r>
              <w:rPr>
                <w:rFonts w:hint="eastAsia" w:ascii="宋体" w:hAnsi="宋体" w:eastAsia="宋体" w:cs="Times New Roman"/>
                <w:color w:val="auto"/>
                <w:szCs w:val="21"/>
              </w:rPr>
              <w:t>机器人竞赛教育活动的设计与组织指导</w:t>
            </w:r>
          </w:p>
          <w:p w14:paraId="475A7C0D">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3</w:t>
            </w:r>
            <w:r>
              <w:rPr>
                <w:rFonts w:ascii="宋体" w:hAnsi="宋体" w:eastAsia="宋体" w:cs="Times New Roman"/>
                <w:color w:val="auto"/>
                <w:szCs w:val="21"/>
              </w:rPr>
              <w:t>）</w:t>
            </w:r>
            <w:r>
              <w:rPr>
                <w:rFonts w:hint="eastAsia" w:ascii="宋体" w:hAnsi="宋体" w:eastAsia="宋体" w:cs="Times New Roman"/>
                <w:color w:val="auto"/>
                <w:szCs w:val="21"/>
              </w:rPr>
              <w:t>组织进行足球机器人竞赛</w:t>
            </w:r>
          </w:p>
        </w:tc>
        <w:tc>
          <w:tcPr>
            <w:tcW w:w="1134" w:type="dxa"/>
            <w:vAlign w:val="center"/>
          </w:tcPr>
          <w:p w14:paraId="7555EA64">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课程目标4</w:t>
            </w:r>
          </w:p>
        </w:tc>
        <w:tc>
          <w:tcPr>
            <w:tcW w:w="3260" w:type="dxa"/>
            <w:vAlign w:val="center"/>
          </w:tcPr>
          <w:p w14:paraId="7C0DFF34">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1.了解中小学机器人竞赛种类</w:t>
            </w:r>
          </w:p>
          <w:p w14:paraId="400457EA">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2.能够完成小学机器人竞赛教育活动的设计与组织指导活动</w:t>
            </w:r>
          </w:p>
          <w:p w14:paraId="01AD86C0">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3.初步掌握小学机器人竞赛教育活动的设计与组织指导方法</w:t>
            </w:r>
          </w:p>
          <w:p w14:paraId="791725F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4.能够初步设计与组织足球机器人竞赛教育活动</w:t>
            </w:r>
          </w:p>
          <w:p w14:paraId="0817CFF2">
            <w:pPr>
              <w:spacing w:line="276" w:lineRule="auto"/>
              <w:jc w:val="left"/>
              <w:rPr>
                <w:rFonts w:hint="eastAsia" w:ascii="宋体" w:hAnsi="宋体" w:eastAsia="宋体" w:cs="Times New Roman"/>
                <w:color w:val="auto"/>
                <w:szCs w:val="21"/>
              </w:rPr>
            </w:pPr>
          </w:p>
        </w:tc>
        <w:tc>
          <w:tcPr>
            <w:tcW w:w="1560" w:type="dxa"/>
            <w:vAlign w:val="center"/>
          </w:tcPr>
          <w:p w14:paraId="14913A47">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22757496">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0F065A37">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01BF9A8B">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385B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B890BC1">
            <w:pPr>
              <w:spacing w:line="276" w:lineRule="auto"/>
              <w:jc w:val="center"/>
              <w:rPr>
                <w:rFonts w:hint="eastAsia" w:ascii="宋体" w:hAnsi="宋体" w:eastAsia="宋体" w:cs="Times New Roman"/>
                <w:color w:val="auto"/>
                <w:szCs w:val="21"/>
              </w:rPr>
            </w:pPr>
          </w:p>
        </w:tc>
        <w:tc>
          <w:tcPr>
            <w:tcW w:w="8093" w:type="dxa"/>
            <w:gridSpan w:val="5"/>
            <w:vAlign w:val="center"/>
          </w:tcPr>
          <w:p w14:paraId="4394A3C2">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bCs/>
                <w:color w:val="auto"/>
                <w:szCs w:val="21"/>
              </w:rPr>
              <w:t>通过让学生对机器人竞赛及其相关设计组织知识的认识和了解，培养学生的实践动手能力，学以致用，进一步强化 “五育并举”等教育理念在具体教育实践中的渗透。</w:t>
            </w:r>
          </w:p>
        </w:tc>
      </w:tr>
      <w:tr w14:paraId="5218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D3E16E4">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7.</w:t>
            </w:r>
            <w:r>
              <w:rPr>
                <w:rFonts w:hint="eastAsia" w:ascii="宋体" w:hAnsi="宋体" w:eastAsia="宋体" w:cs="宋体"/>
                <w:color w:val="auto"/>
                <w:kern w:val="0"/>
                <w:szCs w:val="21"/>
              </w:rPr>
              <w:t>机器人教育与竞赛活动评价</w:t>
            </w:r>
          </w:p>
        </w:tc>
        <w:tc>
          <w:tcPr>
            <w:tcW w:w="1701" w:type="dxa"/>
            <w:vAlign w:val="center"/>
          </w:tcPr>
          <w:p w14:paraId="7200EA8A">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w:t>
            </w:r>
            <w:r>
              <w:rPr>
                <w:rFonts w:hint="eastAsia" w:ascii="宋体" w:hAnsi="宋体" w:eastAsia="宋体" w:cs="Times New Roman"/>
                <w:color w:val="auto"/>
                <w:szCs w:val="21"/>
              </w:rPr>
              <w:t>小学机器人社团的组织管理方法</w:t>
            </w:r>
          </w:p>
          <w:p w14:paraId="28329570">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2</w:t>
            </w:r>
            <w:r>
              <w:rPr>
                <w:rFonts w:ascii="宋体" w:hAnsi="宋体" w:eastAsia="宋体" w:cs="Times New Roman"/>
                <w:color w:val="auto"/>
                <w:szCs w:val="21"/>
              </w:rPr>
              <w:t>）</w:t>
            </w:r>
            <w:r>
              <w:rPr>
                <w:rFonts w:hint="eastAsia" w:ascii="宋体" w:hAnsi="宋体" w:eastAsia="宋体" w:cs="Times New Roman"/>
                <w:color w:val="auto"/>
                <w:szCs w:val="21"/>
              </w:rPr>
              <w:t>小学机器人竞赛项目选择与竞赛指导改进方法</w:t>
            </w:r>
          </w:p>
        </w:tc>
        <w:tc>
          <w:tcPr>
            <w:tcW w:w="1134" w:type="dxa"/>
            <w:vAlign w:val="center"/>
          </w:tcPr>
          <w:p w14:paraId="379BB358">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课程目标1、5</w:t>
            </w:r>
          </w:p>
        </w:tc>
        <w:tc>
          <w:tcPr>
            <w:tcW w:w="3260" w:type="dxa"/>
            <w:vAlign w:val="center"/>
          </w:tcPr>
          <w:p w14:paraId="6B3BFFA6">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1.掌握小学机器人社团的组织管理方法</w:t>
            </w:r>
          </w:p>
          <w:p w14:paraId="77CB647C">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2.掌握小学机器人竞赛项目选择与竞赛指导改进方法</w:t>
            </w:r>
          </w:p>
          <w:p w14:paraId="50DAD983">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3.初步掌握小学机器人社团的组织管理方法</w:t>
            </w:r>
          </w:p>
          <w:p w14:paraId="76D76927">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4.能够初步评价机器人竞赛项目，改进指导竞赛的方法。</w:t>
            </w:r>
          </w:p>
          <w:p w14:paraId="40E9F2F5">
            <w:pPr>
              <w:spacing w:line="276" w:lineRule="auto"/>
              <w:jc w:val="left"/>
              <w:rPr>
                <w:rFonts w:hint="eastAsia" w:ascii="宋体" w:hAnsi="宋体" w:eastAsia="宋体" w:cs="Times New Roman"/>
                <w:color w:val="auto"/>
                <w:szCs w:val="21"/>
              </w:rPr>
            </w:pPr>
          </w:p>
        </w:tc>
        <w:tc>
          <w:tcPr>
            <w:tcW w:w="1560" w:type="dxa"/>
            <w:vAlign w:val="center"/>
          </w:tcPr>
          <w:p w14:paraId="6A1A6928">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1.线上学习</w:t>
            </w:r>
          </w:p>
          <w:p w14:paraId="124120AA">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2.多媒体教学3.课堂讨论</w:t>
            </w:r>
          </w:p>
          <w:p w14:paraId="678EDA45">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4.单元测验</w:t>
            </w:r>
          </w:p>
        </w:tc>
        <w:tc>
          <w:tcPr>
            <w:tcW w:w="438" w:type="dxa"/>
            <w:vAlign w:val="center"/>
          </w:tcPr>
          <w:p w14:paraId="6E5871F7">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79D7E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2A0A121">
            <w:pPr>
              <w:spacing w:line="276" w:lineRule="auto"/>
              <w:jc w:val="center"/>
              <w:rPr>
                <w:rFonts w:hint="eastAsia" w:ascii="宋体" w:hAnsi="宋体" w:eastAsia="宋体" w:cs="Times New Roman"/>
                <w:color w:val="auto"/>
                <w:szCs w:val="21"/>
              </w:rPr>
            </w:pPr>
          </w:p>
        </w:tc>
        <w:tc>
          <w:tcPr>
            <w:tcW w:w="8093" w:type="dxa"/>
            <w:gridSpan w:val="5"/>
            <w:vAlign w:val="center"/>
          </w:tcPr>
          <w:p w14:paraId="075242C3">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bCs/>
                <w:color w:val="auto"/>
                <w:szCs w:val="21"/>
              </w:rPr>
              <w:t>学生通过对小学机器人社团的组织和竞赛的方法的学习和掌握，了解组织管理中的一般要求和困难所在，从而增强学生学以致用的能力，最终形成对国家政府的科学组织管理理念的正确认知和认同。</w:t>
            </w:r>
          </w:p>
        </w:tc>
      </w:tr>
    </w:tbl>
    <w:p w14:paraId="2F44E751">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2"/>
          <w:szCs w:val="22"/>
        </w:rPr>
        <w:t>四、目标评价与成绩评定</w:t>
      </w:r>
    </w:p>
    <w:p w14:paraId="016AEAF7">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7DC4C5B7">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1723"/>
        <w:gridCol w:w="1672"/>
        <w:gridCol w:w="1843"/>
        <w:gridCol w:w="1694"/>
      </w:tblGrid>
      <w:tr w14:paraId="5729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486" w:type="dxa"/>
            <w:vMerge w:val="restart"/>
            <w:vAlign w:val="center"/>
          </w:tcPr>
          <w:p w14:paraId="798037D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5238" w:type="dxa"/>
            <w:gridSpan w:val="3"/>
            <w:vAlign w:val="center"/>
          </w:tcPr>
          <w:p w14:paraId="46EB1F7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694" w:type="dxa"/>
            <w:vMerge w:val="restart"/>
            <w:vAlign w:val="center"/>
          </w:tcPr>
          <w:p w14:paraId="45227D2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51FB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486" w:type="dxa"/>
            <w:vMerge w:val="continue"/>
            <w:vAlign w:val="center"/>
          </w:tcPr>
          <w:p w14:paraId="6354A192">
            <w:pPr>
              <w:spacing w:line="360" w:lineRule="auto"/>
              <w:jc w:val="center"/>
              <w:rPr>
                <w:rFonts w:hint="eastAsia" w:ascii="宋体" w:hAnsi="宋体" w:eastAsia="宋体" w:cs="Times New Roman"/>
                <w:color w:val="auto"/>
                <w:szCs w:val="21"/>
              </w:rPr>
            </w:pPr>
          </w:p>
        </w:tc>
        <w:tc>
          <w:tcPr>
            <w:tcW w:w="1723" w:type="dxa"/>
            <w:vAlign w:val="center"/>
          </w:tcPr>
          <w:p w14:paraId="40C749A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平时成绩</w:t>
            </w:r>
          </w:p>
        </w:tc>
        <w:tc>
          <w:tcPr>
            <w:tcW w:w="1672" w:type="dxa"/>
            <w:vAlign w:val="center"/>
          </w:tcPr>
          <w:p w14:paraId="3860C5C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实验成绩</w:t>
            </w:r>
          </w:p>
        </w:tc>
        <w:tc>
          <w:tcPr>
            <w:tcW w:w="1843" w:type="dxa"/>
            <w:vAlign w:val="center"/>
          </w:tcPr>
          <w:p w14:paraId="738F919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期末成绩</w:t>
            </w:r>
          </w:p>
        </w:tc>
        <w:tc>
          <w:tcPr>
            <w:tcW w:w="1694" w:type="dxa"/>
            <w:vMerge w:val="continue"/>
          </w:tcPr>
          <w:p w14:paraId="65D25B0C">
            <w:pPr>
              <w:spacing w:line="360" w:lineRule="auto"/>
              <w:jc w:val="center"/>
              <w:rPr>
                <w:rFonts w:hint="eastAsia" w:ascii="宋体" w:hAnsi="宋体" w:eastAsia="宋体" w:cs="Times New Roman"/>
                <w:color w:val="auto"/>
                <w:szCs w:val="21"/>
              </w:rPr>
            </w:pPr>
          </w:p>
        </w:tc>
      </w:tr>
      <w:tr w14:paraId="5299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486" w:type="dxa"/>
            <w:vAlign w:val="center"/>
          </w:tcPr>
          <w:p w14:paraId="4570BD0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723" w:type="dxa"/>
            <w:vAlign w:val="center"/>
          </w:tcPr>
          <w:p w14:paraId="110F9BB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72" w:type="dxa"/>
            <w:vAlign w:val="center"/>
          </w:tcPr>
          <w:p w14:paraId="1ED598D8">
            <w:pPr>
              <w:spacing w:line="360" w:lineRule="auto"/>
              <w:jc w:val="center"/>
              <w:rPr>
                <w:rFonts w:hint="eastAsia" w:ascii="宋体" w:hAnsi="宋体" w:eastAsia="宋体" w:cs="Times New Roman"/>
                <w:color w:val="auto"/>
                <w:szCs w:val="21"/>
              </w:rPr>
            </w:pPr>
          </w:p>
        </w:tc>
        <w:tc>
          <w:tcPr>
            <w:tcW w:w="1843" w:type="dxa"/>
            <w:vAlign w:val="center"/>
          </w:tcPr>
          <w:p w14:paraId="0355566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94" w:type="dxa"/>
            <w:vAlign w:val="center"/>
          </w:tcPr>
          <w:p w14:paraId="7BDFC51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15</w:t>
            </w:r>
          </w:p>
        </w:tc>
      </w:tr>
      <w:tr w14:paraId="1F19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486" w:type="dxa"/>
            <w:vAlign w:val="center"/>
          </w:tcPr>
          <w:p w14:paraId="768ED5F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723" w:type="dxa"/>
            <w:vAlign w:val="center"/>
          </w:tcPr>
          <w:p w14:paraId="60B42AD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72" w:type="dxa"/>
            <w:vAlign w:val="center"/>
          </w:tcPr>
          <w:p w14:paraId="7ADB80F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843" w:type="dxa"/>
            <w:vAlign w:val="center"/>
          </w:tcPr>
          <w:p w14:paraId="51EEA8C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94" w:type="dxa"/>
            <w:vAlign w:val="center"/>
          </w:tcPr>
          <w:p w14:paraId="4BCD53E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14C7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486" w:type="dxa"/>
            <w:vAlign w:val="center"/>
          </w:tcPr>
          <w:p w14:paraId="2E86F9F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1723" w:type="dxa"/>
            <w:vAlign w:val="center"/>
          </w:tcPr>
          <w:p w14:paraId="0B300BE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72" w:type="dxa"/>
            <w:vAlign w:val="center"/>
          </w:tcPr>
          <w:p w14:paraId="4D45D6A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843" w:type="dxa"/>
            <w:vAlign w:val="center"/>
          </w:tcPr>
          <w:p w14:paraId="0B491C9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94" w:type="dxa"/>
            <w:vAlign w:val="center"/>
          </w:tcPr>
          <w:p w14:paraId="0EDB793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5060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86" w:type="dxa"/>
            <w:vAlign w:val="center"/>
          </w:tcPr>
          <w:p w14:paraId="3647296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课程目标4</w:t>
            </w:r>
          </w:p>
        </w:tc>
        <w:tc>
          <w:tcPr>
            <w:tcW w:w="1723" w:type="dxa"/>
            <w:vAlign w:val="center"/>
          </w:tcPr>
          <w:p w14:paraId="630BE6D9">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72" w:type="dxa"/>
            <w:vAlign w:val="center"/>
          </w:tcPr>
          <w:p w14:paraId="5AA406E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843" w:type="dxa"/>
            <w:vAlign w:val="center"/>
          </w:tcPr>
          <w:p w14:paraId="61A966E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94" w:type="dxa"/>
            <w:vAlign w:val="center"/>
          </w:tcPr>
          <w:p w14:paraId="3ADD21A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4394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86" w:type="dxa"/>
            <w:vAlign w:val="center"/>
          </w:tcPr>
          <w:p w14:paraId="2FC82E4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课程目标5</w:t>
            </w:r>
          </w:p>
        </w:tc>
        <w:tc>
          <w:tcPr>
            <w:tcW w:w="1723" w:type="dxa"/>
            <w:vAlign w:val="center"/>
          </w:tcPr>
          <w:p w14:paraId="2DA3D97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72" w:type="dxa"/>
            <w:vAlign w:val="center"/>
          </w:tcPr>
          <w:p w14:paraId="01DB9B1B">
            <w:pPr>
              <w:spacing w:line="360" w:lineRule="auto"/>
              <w:jc w:val="center"/>
              <w:rPr>
                <w:rFonts w:hint="eastAsia" w:ascii="宋体" w:hAnsi="宋体" w:eastAsia="宋体" w:cs="Times New Roman"/>
                <w:color w:val="auto"/>
                <w:szCs w:val="21"/>
              </w:rPr>
            </w:pPr>
          </w:p>
        </w:tc>
        <w:tc>
          <w:tcPr>
            <w:tcW w:w="1843" w:type="dxa"/>
            <w:vAlign w:val="center"/>
          </w:tcPr>
          <w:p w14:paraId="60DA169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94" w:type="dxa"/>
            <w:vAlign w:val="center"/>
          </w:tcPr>
          <w:p w14:paraId="29A1E9D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15</w:t>
            </w:r>
          </w:p>
        </w:tc>
      </w:tr>
      <w:tr w14:paraId="4BC6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86" w:type="dxa"/>
            <w:vAlign w:val="center"/>
          </w:tcPr>
          <w:p w14:paraId="394CC9D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723" w:type="dxa"/>
            <w:vAlign w:val="center"/>
          </w:tcPr>
          <w:p w14:paraId="51E7B5B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c>
          <w:tcPr>
            <w:tcW w:w="1672" w:type="dxa"/>
            <w:vAlign w:val="center"/>
          </w:tcPr>
          <w:p w14:paraId="4131FB7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c>
          <w:tcPr>
            <w:tcW w:w="1843" w:type="dxa"/>
            <w:vAlign w:val="center"/>
          </w:tcPr>
          <w:p w14:paraId="358854C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60</w:t>
            </w:r>
          </w:p>
        </w:tc>
        <w:tc>
          <w:tcPr>
            <w:tcW w:w="1694" w:type="dxa"/>
            <w:vAlign w:val="center"/>
          </w:tcPr>
          <w:p w14:paraId="4A2A172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160FAE7D">
      <w:pPr>
        <w:spacing w:before="156" w:beforeLines="50"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72A59D64">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19BC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57A3D3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3D8A378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7A7FF3E7">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21F3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B0E31B4">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平时成绩</w:t>
            </w:r>
          </w:p>
        </w:tc>
        <w:tc>
          <w:tcPr>
            <w:tcW w:w="7141" w:type="dxa"/>
            <w:vAlign w:val="center"/>
          </w:tcPr>
          <w:p w14:paraId="6A95BA87">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其中课堂考勤占20%，平时作业占80%。</w:t>
            </w:r>
          </w:p>
          <w:p w14:paraId="0D21BBDE">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课堂考勤：病假和事假一次扣5分，无故缺席一次扣10分，无故缺席累积达5次以上（不含5次）取消课程成绩。</w:t>
            </w:r>
          </w:p>
          <w:p w14:paraId="6230D98F">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r>
              <w:rPr>
                <w:rFonts w:ascii="Times New Roman" w:hAnsi="Times New Roman" w:eastAsia="宋体" w:cs="Times New Roman"/>
                <w:color w:val="auto"/>
                <w:szCs w:val="21"/>
              </w:rPr>
              <w:t>课后完成</w:t>
            </w:r>
            <w:r>
              <w:rPr>
                <w:rFonts w:hint="eastAsia" w:ascii="Times New Roman" w:hAnsi="Times New Roman" w:eastAsia="宋体" w:cs="Times New Roman"/>
                <w:color w:val="auto"/>
                <w:szCs w:val="21"/>
              </w:rPr>
              <w:t>5次作业</w:t>
            </w:r>
            <w:r>
              <w:rPr>
                <w:rFonts w:ascii="Times New Roman" w:hAnsi="Times New Roman" w:eastAsia="宋体" w:cs="Times New Roman"/>
                <w:color w:val="auto"/>
                <w:szCs w:val="21"/>
              </w:rPr>
              <w:t>，主要考核学生对每节课知识点的复习、理解和掌握程度，计算全部作业的平均成绩。</w:t>
            </w:r>
          </w:p>
        </w:tc>
        <w:tc>
          <w:tcPr>
            <w:tcW w:w="0" w:type="auto"/>
            <w:vAlign w:val="center"/>
          </w:tcPr>
          <w:p w14:paraId="07173FB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w:t>
            </w:r>
          </w:p>
        </w:tc>
      </w:tr>
      <w:tr w14:paraId="0C57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01E0A87">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实验成绩</w:t>
            </w:r>
          </w:p>
        </w:tc>
        <w:tc>
          <w:tcPr>
            <w:tcW w:w="7141" w:type="dxa"/>
            <w:vAlign w:val="center"/>
          </w:tcPr>
          <w:p w14:paraId="3B869A09">
            <w:pPr>
              <w:widowControl/>
              <w:spacing w:line="264"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t>完成</w:t>
            </w:r>
            <w:r>
              <w:rPr>
                <w:rFonts w:hint="eastAsia" w:ascii="Times New Roman" w:hAnsi="Times New Roman" w:eastAsia="宋体" w:cs="Times New Roman"/>
                <w:color w:val="auto"/>
                <w:szCs w:val="21"/>
              </w:rPr>
              <w:t>8</w:t>
            </w:r>
            <w:r>
              <w:rPr>
                <w:rFonts w:ascii="Times New Roman" w:hAnsi="Times New Roman" w:eastAsia="宋体" w:cs="Times New Roman"/>
                <w:color w:val="auto"/>
                <w:szCs w:val="21"/>
              </w:rPr>
              <w:t>个</w:t>
            </w:r>
            <w:r>
              <w:rPr>
                <w:rFonts w:hint="eastAsia" w:ascii="Times New Roman" w:hAnsi="Times New Roman" w:eastAsia="宋体" w:cs="Times New Roman"/>
                <w:color w:val="auto"/>
                <w:szCs w:val="21"/>
              </w:rPr>
              <w:t>实验活动</w:t>
            </w:r>
            <w:r>
              <w:rPr>
                <w:rFonts w:ascii="Times New Roman" w:hAnsi="Times New Roman" w:eastAsia="宋体" w:cs="Times New Roman"/>
                <w:color w:val="auto"/>
                <w:szCs w:val="21"/>
              </w:rPr>
              <w:t>，主要考核学生</w:t>
            </w:r>
            <w:r>
              <w:rPr>
                <w:rFonts w:hint="eastAsia" w:ascii="Times New Roman" w:hAnsi="Times New Roman" w:eastAsia="宋体" w:cs="Times New Roman"/>
                <w:color w:val="auto"/>
                <w:szCs w:val="21"/>
              </w:rPr>
              <w:t>教育机器人设计与与实践能力、机器人竞赛</w:t>
            </w:r>
            <w:r>
              <w:rPr>
                <w:rFonts w:ascii="Times New Roman" w:hAnsi="Times New Roman" w:eastAsia="宋体" w:cs="Times New Roman"/>
                <w:color w:val="auto"/>
                <w:szCs w:val="21"/>
              </w:rPr>
              <w:t>教育活动设计与组织指导能力</w:t>
            </w:r>
            <w:r>
              <w:rPr>
                <w:rFonts w:hint="eastAsia" w:ascii="Times New Roman" w:hAnsi="Times New Roman" w:eastAsia="宋体" w:cs="Times New Roman"/>
                <w:color w:val="auto"/>
                <w:szCs w:val="21"/>
              </w:rPr>
              <w:t>。每个实验作业按百分制分别给出成绩。8个实验成绩平均后得到实践总评成绩并</w:t>
            </w:r>
            <w:r>
              <w:rPr>
                <w:rFonts w:ascii="Times New Roman" w:hAnsi="Times New Roman" w:eastAsia="宋体" w:cs="Times New Roman"/>
                <w:color w:val="auto"/>
                <w:szCs w:val="21"/>
              </w:rPr>
              <w:t>按</w:t>
            </w: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0%计入课程总成绩。</w:t>
            </w:r>
          </w:p>
        </w:tc>
        <w:tc>
          <w:tcPr>
            <w:tcW w:w="0" w:type="auto"/>
            <w:vAlign w:val="center"/>
          </w:tcPr>
          <w:p w14:paraId="35D01F9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w:t>
            </w:r>
          </w:p>
        </w:tc>
      </w:tr>
      <w:tr w14:paraId="71C7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D30BFF4">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7141" w:type="dxa"/>
            <w:vAlign w:val="center"/>
          </w:tcPr>
          <w:p w14:paraId="7240A624">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开卷</w:t>
            </w:r>
            <w:r>
              <w:rPr>
                <w:rFonts w:ascii="宋体" w:hAnsi="宋体" w:eastAsia="宋体" w:cs="宋体"/>
                <w:color w:val="auto"/>
                <w:kern w:val="0"/>
                <w:szCs w:val="21"/>
                <w:lang w:bidi="ar"/>
              </w:rPr>
              <w:t>题型包括填空题、简答题、</w:t>
            </w:r>
            <w:r>
              <w:rPr>
                <w:rFonts w:hint="eastAsia" w:ascii="宋体" w:hAnsi="宋体" w:eastAsia="宋体" w:cs="宋体"/>
                <w:color w:val="auto"/>
                <w:kern w:val="0"/>
                <w:szCs w:val="21"/>
                <w:lang w:bidi="ar"/>
              </w:rPr>
              <w:t>判断</w:t>
            </w:r>
            <w:r>
              <w:rPr>
                <w:rFonts w:ascii="宋体" w:hAnsi="宋体" w:eastAsia="宋体" w:cs="宋体"/>
                <w:color w:val="auto"/>
                <w:kern w:val="0"/>
                <w:szCs w:val="21"/>
                <w:lang w:bidi="ar"/>
              </w:rPr>
              <w:t>题、</w:t>
            </w:r>
            <w:r>
              <w:rPr>
                <w:rFonts w:hint="eastAsia" w:ascii="宋体" w:hAnsi="宋体" w:eastAsia="宋体" w:cs="宋体"/>
                <w:color w:val="auto"/>
                <w:kern w:val="0"/>
                <w:szCs w:val="21"/>
                <w:lang w:bidi="ar"/>
              </w:rPr>
              <w:t>程序设计</w:t>
            </w:r>
            <w:r>
              <w:rPr>
                <w:rFonts w:ascii="宋体" w:hAnsi="宋体" w:eastAsia="宋体" w:cs="宋体"/>
                <w:color w:val="auto"/>
                <w:kern w:val="0"/>
                <w:szCs w:val="21"/>
                <w:lang w:bidi="ar"/>
              </w:rPr>
              <w:t>等，以卷面成绩的60%计入课程总成绩。其中考核学</w:t>
            </w:r>
            <w:r>
              <w:rPr>
                <w:rFonts w:hint="eastAsia" w:ascii="宋体" w:hAnsi="宋体" w:eastAsia="宋体" w:cs="宋体"/>
                <w:color w:val="auto"/>
                <w:kern w:val="0"/>
                <w:szCs w:val="21"/>
                <w:lang w:bidi="ar"/>
              </w:rPr>
              <w:t>小学机器人</w:t>
            </w:r>
            <w:r>
              <w:rPr>
                <w:rFonts w:ascii="宋体" w:hAnsi="宋体" w:eastAsia="宋体" w:cs="宋体"/>
                <w:color w:val="auto"/>
                <w:kern w:val="0"/>
                <w:szCs w:val="21"/>
                <w:lang w:bidi="ar"/>
              </w:rPr>
              <w:t>科学教育基本理论型题目占30%，考核</w:t>
            </w:r>
            <w:r>
              <w:rPr>
                <w:rFonts w:hint="eastAsia" w:ascii="宋体" w:hAnsi="宋体" w:eastAsia="宋体" w:cs="宋体"/>
                <w:color w:val="auto"/>
                <w:kern w:val="0"/>
                <w:szCs w:val="21"/>
                <w:lang w:bidi="ar"/>
              </w:rPr>
              <w:t>学生</w:t>
            </w:r>
            <w:r>
              <w:rPr>
                <w:rFonts w:ascii="宋体" w:hAnsi="宋体" w:eastAsia="宋体" w:cs="宋体"/>
                <w:color w:val="auto"/>
                <w:kern w:val="0"/>
                <w:szCs w:val="21"/>
                <w:lang w:bidi="ar"/>
              </w:rPr>
              <w:t>运用基本理论知识进行分析</w:t>
            </w:r>
            <w:r>
              <w:rPr>
                <w:rFonts w:hint="eastAsia" w:ascii="宋体" w:hAnsi="宋体" w:eastAsia="宋体" w:cs="宋体"/>
                <w:color w:val="auto"/>
                <w:kern w:val="0"/>
                <w:szCs w:val="21"/>
                <w:lang w:bidi="ar"/>
              </w:rPr>
              <w:t>设计</w:t>
            </w:r>
            <w:r>
              <w:rPr>
                <w:rFonts w:ascii="宋体" w:hAnsi="宋体" w:eastAsia="宋体" w:cs="宋体"/>
                <w:color w:val="auto"/>
                <w:kern w:val="0"/>
                <w:szCs w:val="21"/>
                <w:lang w:bidi="ar"/>
              </w:rPr>
              <w:t>能力型题目占</w:t>
            </w:r>
            <w:r>
              <w:rPr>
                <w:rFonts w:hint="eastAsia" w:ascii="宋体" w:hAnsi="宋体" w:eastAsia="宋体" w:cs="宋体"/>
                <w:color w:val="auto"/>
                <w:kern w:val="0"/>
                <w:szCs w:val="21"/>
                <w:lang w:bidi="ar"/>
              </w:rPr>
              <w:t>3</w:t>
            </w:r>
            <w:r>
              <w:rPr>
                <w:rFonts w:ascii="宋体" w:hAnsi="宋体" w:eastAsia="宋体" w:cs="宋体"/>
                <w:color w:val="auto"/>
                <w:kern w:val="0"/>
                <w:szCs w:val="21"/>
                <w:lang w:bidi="ar"/>
              </w:rPr>
              <w:t>0%；考核学生</w:t>
            </w:r>
            <w:r>
              <w:rPr>
                <w:rFonts w:hint="eastAsia" w:ascii="宋体" w:hAnsi="宋体" w:eastAsia="宋体" w:cs="宋体"/>
                <w:color w:val="auto"/>
                <w:kern w:val="0"/>
                <w:szCs w:val="21"/>
                <w:lang w:bidi="ar"/>
              </w:rPr>
              <w:t>小学机器人</w:t>
            </w:r>
            <w:r>
              <w:rPr>
                <w:rFonts w:ascii="宋体" w:hAnsi="宋体" w:eastAsia="宋体" w:cs="宋体"/>
                <w:color w:val="auto"/>
                <w:kern w:val="0"/>
                <w:szCs w:val="21"/>
                <w:lang w:bidi="ar"/>
              </w:rPr>
              <w:t>科学教育活动设计与评价能力型题目占40%。</w:t>
            </w:r>
          </w:p>
        </w:tc>
        <w:tc>
          <w:tcPr>
            <w:tcW w:w="0" w:type="auto"/>
            <w:vAlign w:val="center"/>
          </w:tcPr>
          <w:p w14:paraId="35329D4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60%</w:t>
            </w:r>
          </w:p>
        </w:tc>
      </w:tr>
      <w:tr w14:paraId="5D14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EDCBC6D">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45354A49">
            <w:pPr>
              <w:jc w:val="left"/>
              <w:rPr>
                <w:rFonts w:ascii="Times New Roman" w:hAnsi="Times New Roman" w:eastAsia="宋体" w:cs="Times New Roman"/>
                <w:color w:val="auto"/>
                <w:szCs w:val="21"/>
              </w:rPr>
            </w:pPr>
          </w:p>
        </w:tc>
        <w:tc>
          <w:tcPr>
            <w:tcW w:w="0" w:type="auto"/>
            <w:vAlign w:val="center"/>
          </w:tcPr>
          <w:p w14:paraId="286F9E3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026A9FC7">
      <w:pPr>
        <w:spacing w:line="360" w:lineRule="auto"/>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4F804313">
      <w:pPr>
        <w:spacing w:line="360" w:lineRule="auto"/>
        <w:ind w:firstLine="480"/>
        <w:rPr>
          <w:rFonts w:hint="eastAsia" w:ascii="宋体" w:hAnsi="宋体" w:eastAsia="宋体" w:cs="Times New Roman"/>
          <w:color w:val="auto"/>
          <w:sz w:val="21"/>
          <w:szCs w:val="21"/>
        </w:rPr>
      </w:pPr>
      <w:r>
        <w:rPr>
          <w:rFonts w:ascii="宋体" w:hAnsi="宋体" w:eastAsia="宋体" w:cs="Times New Roman"/>
          <w:color w:val="auto"/>
          <w:sz w:val="21"/>
          <w:szCs w:val="21"/>
        </w:rPr>
        <w:t>所有课程目标均</w:t>
      </w:r>
      <w:r>
        <w:rPr>
          <w:rFonts w:hint="eastAsia" w:ascii="宋体" w:hAnsi="宋体" w:eastAsia="宋体" w:cs="Times New Roman"/>
          <w:color w:val="auto"/>
          <w:sz w:val="21"/>
          <w:szCs w:val="21"/>
        </w:rPr>
        <w:t>需</w:t>
      </w:r>
      <w:r>
        <w:rPr>
          <w:rFonts w:ascii="宋体" w:hAnsi="宋体" w:eastAsia="宋体" w:cs="Times New Roman"/>
          <w:color w:val="auto"/>
          <w:sz w:val="21"/>
          <w:szCs w:val="21"/>
        </w:rPr>
        <w:t>大于等于0.6，否则总评成绩不及格，需要补考或重</w:t>
      </w:r>
      <w:r>
        <w:rPr>
          <w:rFonts w:hint="eastAsia" w:ascii="宋体" w:hAnsi="宋体" w:eastAsia="宋体" w:cs="Times New Roman"/>
          <w:color w:val="auto"/>
          <w:sz w:val="21"/>
          <w:szCs w:val="21"/>
        </w:rPr>
        <w:t>修。</w:t>
      </w:r>
      <w:r>
        <w:rPr>
          <w:rFonts w:ascii="宋体" w:hAnsi="宋体" w:eastAsia="宋体" w:cs="Times New Roman"/>
          <w:color w:val="auto"/>
          <w:sz w:val="21"/>
          <w:szCs w:val="21"/>
        </w:rPr>
        <w:t>每</w:t>
      </w:r>
      <w:r>
        <w:rPr>
          <w:rFonts w:hint="eastAsia" w:ascii="宋体" w:hAnsi="宋体" w:eastAsia="宋体" w:cs="Times New Roman"/>
          <w:color w:val="auto"/>
          <w:sz w:val="21"/>
          <w:szCs w:val="21"/>
        </w:rPr>
        <w:t>门</w:t>
      </w:r>
      <w:r>
        <w:rPr>
          <w:rFonts w:ascii="宋体" w:hAnsi="宋体" w:eastAsia="宋体" w:cs="Times New Roman"/>
          <w:color w:val="auto"/>
          <w:sz w:val="21"/>
          <w:szCs w:val="21"/>
        </w:rPr>
        <w:t>课程目标</w:t>
      </w:r>
      <w:r>
        <w:rPr>
          <w:rFonts w:hint="eastAsia" w:ascii="宋体" w:hAnsi="宋体" w:eastAsia="宋体" w:cs="Times New Roman"/>
          <w:color w:val="auto"/>
          <w:sz w:val="21"/>
          <w:szCs w:val="21"/>
        </w:rPr>
        <w:t>总体</w:t>
      </w:r>
      <w:r>
        <w:rPr>
          <w:rFonts w:ascii="宋体" w:hAnsi="宋体" w:eastAsia="宋体" w:cs="Times New Roman"/>
          <w:color w:val="auto"/>
          <w:sz w:val="21"/>
          <w:szCs w:val="21"/>
        </w:rPr>
        <w:t>达成度计算方法如下：</w:t>
      </w:r>
    </w:p>
    <w:p w14:paraId="069A0913">
      <w:pPr>
        <w:spacing w:before="156" w:beforeLines="50" w:line="360" w:lineRule="auto"/>
        <w:jc w:val="left"/>
        <w:rPr>
          <w:rFonts w:hint="eastAsia" w:ascii="Times New Roman" w:hAnsi="Times New Roman" w:eastAsia="宋体" w:cs="Times New Roman"/>
          <w:b/>
          <w:color w:val="auto"/>
          <w:sz w:val="22"/>
          <w:szCs w:val="22"/>
        </w:rPr>
      </w:pPr>
      <w:r>
        <w:rPr>
          <w:rFonts w:ascii="宋体" w:hAnsi="宋体" w:eastAsia="宋体" w:cs="Times New Roman"/>
          <w:color w:val="auto"/>
          <w:sz w:val="24"/>
        </w:rPr>
        <w:drawing>
          <wp:inline distT="0" distB="0" distL="0" distR="0">
            <wp:extent cx="5081270" cy="325120"/>
            <wp:effectExtent l="0" t="0" r="508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81270" cy="325120"/>
                    </a:xfrm>
                    <a:prstGeom prst="rect">
                      <a:avLst/>
                    </a:prstGeom>
                    <a:noFill/>
                    <a:ln>
                      <a:noFill/>
                    </a:ln>
                  </pic:spPr>
                </pic:pic>
              </a:graphicData>
            </a:graphic>
          </wp:inline>
        </w:drawing>
      </w:r>
      <w:r>
        <w:rPr>
          <w:rFonts w:hint="eastAsia" w:ascii="Times New Roman" w:hAnsi="Times New Roman" w:eastAsia="宋体" w:cs="Times New Roman"/>
          <w:b/>
          <w:color w:val="auto"/>
          <w:sz w:val="22"/>
          <w:szCs w:val="22"/>
        </w:rPr>
        <w:t>五、课程实践</w:t>
      </w:r>
    </w:p>
    <w:p w14:paraId="5E5AC7DC">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本课程在系统教学的基础上，以学生为主题，整合各类教育资源，科学设计实践活动，丰富教育教学形式，提升教育教学效果，从而实现思政育人。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4434"/>
        <w:gridCol w:w="757"/>
        <w:gridCol w:w="2116"/>
      </w:tblGrid>
      <w:tr w14:paraId="30E9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5F2806EB">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4434" w:type="dxa"/>
            <w:vAlign w:val="center"/>
          </w:tcPr>
          <w:p w14:paraId="1D9E50BF">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757" w:type="dxa"/>
            <w:vAlign w:val="center"/>
          </w:tcPr>
          <w:p w14:paraId="5D8C6E06">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2116" w:type="dxa"/>
            <w:vAlign w:val="center"/>
          </w:tcPr>
          <w:p w14:paraId="6F65D6AF">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思政目标</w:t>
            </w:r>
          </w:p>
        </w:tc>
      </w:tr>
      <w:tr w14:paraId="1772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1AB98048">
            <w:pPr>
              <w:spacing w:line="276" w:lineRule="auto"/>
              <w:jc w:val="center"/>
              <w:rPr>
                <w:rFonts w:hint="eastAsia" w:ascii="宋体" w:hAnsi="宋体" w:eastAsia="宋体" w:cs="宋体"/>
                <w:color w:val="auto"/>
                <w:szCs w:val="21"/>
              </w:rPr>
            </w:pPr>
            <w:r>
              <w:rPr>
                <w:rFonts w:hint="eastAsia" w:ascii="宋体" w:hAnsi="宋体" w:eastAsia="宋体" w:cs="宋体"/>
                <w:color w:val="auto"/>
                <w:kern w:val="0"/>
                <w:szCs w:val="21"/>
              </w:rPr>
              <w:t>一种固定翼模型飞机的制作流程</w:t>
            </w:r>
          </w:p>
        </w:tc>
        <w:tc>
          <w:tcPr>
            <w:tcW w:w="4434" w:type="dxa"/>
            <w:vAlign w:val="center"/>
          </w:tcPr>
          <w:p w14:paraId="597B09D8">
            <w:pPr>
              <w:spacing w:line="276" w:lineRule="auto"/>
              <w:jc w:val="left"/>
              <w:rPr>
                <w:rFonts w:hint="eastAsia" w:ascii="宋体" w:hAnsi="宋体" w:eastAsia="宋体" w:cs="Times New Roman"/>
                <w:bCs/>
                <w:color w:val="auto"/>
                <w:szCs w:val="21"/>
              </w:rPr>
            </w:pPr>
            <w:r>
              <w:rPr>
                <w:rFonts w:hint="eastAsia" w:ascii="宋体" w:hAnsi="宋体" w:eastAsia="宋体" w:cs="Times New Roman"/>
                <w:b/>
                <w:bCs/>
                <w:color w:val="auto"/>
                <w:szCs w:val="21"/>
              </w:rPr>
              <w:t>实践</w:t>
            </w:r>
            <w:r>
              <w:rPr>
                <w:rFonts w:ascii="宋体" w:hAnsi="宋体" w:eastAsia="宋体" w:cs="Times New Roman"/>
                <w:b/>
                <w:bCs/>
                <w:color w:val="auto"/>
                <w:szCs w:val="21"/>
              </w:rPr>
              <w:t>内容</w:t>
            </w:r>
            <w:r>
              <w:rPr>
                <w:rFonts w:hint="eastAsia" w:ascii="宋体" w:hAnsi="宋体" w:eastAsia="宋体" w:cs="Times New Roman"/>
                <w:b/>
                <w:bCs/>
                <w:color w:val="auto"/>
                <w:szCs w:val="21"/>
              </w:rPr>
              <w:t>：</w:t>
            </w:r>
            <w:r>
              <w:rPr>
                <w:rFonts w:hint="eastAsia" w:ascii="宋体" w:hAnsi="宋体" w:eastAsia="宋体" w:cs="Times New Roman"/>
                <w:bCs/>
                <w:color w:val="auto"/>
                <w:szCs w:val="21"/>
              </w:rPr>
              <w:t>以最经典的轻木蒙皮结构固定翼飞机制作为例，展示此类飞机制作的整个流程。（1）机翼翼型、机身骨架结构的设计与排版切割；（2）机翼、机身等模块的骨架搭建与粘接；（3）机翼与机身蒙皮操作；（4）电子设备安装；（5）整体组装与重心调节、试飞。</w:t>
            </w:r>
          </w:p>
          <w:p w14:paraId="60358C71">
            <w:pPr>
              <w:spacing w:line="276" w:lineRule="auto"/>
              <w:jc w:val="left"/>
              <w:rPr>
                <w:rFonts w:hint="eastAsia" w:ascii="宋体" w:hAnsi="宋体" w:eastAsia="宋体" w:cs="宋体"/>
                <w:color w:val="auto"/>
                <w:szCs w:val="21"/>
              </w:rPr>
            </w:pPr>
            <w:r>
              <w:rPr>
                <w:rFonts w:hint="eastAsia" w:ascii="宋体" w:hAnsi="宋体" w:eastAsia="宋体" w:cs="Times New Roman"/>
                <w:b/>
                <w:bCs/>
                <w:color w:val="auto"/>
                <w:szCs w:val="21"/>
              </w:rPr>
              <w:t>实践要求：</w:t>
            </w:r>
            <w:r>
              <w:rPr>
                <w:rFonts w:hint="eastAsia" w:ascii="宋体" w:hAnsi="宋体" w:eastAsia="宋体" w:cs="宋体"/>
                <w:color w:val="auto"/>
                <w:kern w:val="0"/>
                <w:szCs w:val="21"/>
              </w:rPr>
              <w:t>使学生掌握一种固定翼模型飞机的制作方法与流程，以及制作过程当中的一些注意事项。</w:t>
            </w:r>
          </w:p>
        </w:tc>
        <w:tc>
          <w:tcPr>
            <w:tcW w:w="757" w:type="dxa"/>
            <w:vAlign w:val="center"/>
          </w:tcPr>
          <w:p w14:paraId="0159B740">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专题报告</w:t>
            </w:r>
          </w:p>
        </w:tc>
        <w:tc>
          <w:tcPr>
            <w:tcW w:w="2116" w:type="dxa"/>
            <w:vAlign w:val="center"/>
          </w:tcPr>
          <w:p w14:paraId="69D7D0D0">
            <w:pPr>
              <w:spacing w:line="276" w:lineRule="auto"/>
              <w:jc w:val="left"/>
              <w:rPr>
                <w:rFonts w:hint="eastAsia" w:ascii="宋体" w:hAnsi="宋体" w:eastAsia="宋体" w:cs="宋体"/>
                <w:color w:val="auto"/>
                <w:szCs w:val="21"/>
              </w:rPr>
            </w:pPr>
            <w:r>
              <w:rPr>
                <w:rFonts w:hint="eastAsia" w:ascii="宋体" w:hAnsi="宋体" w:eastAsia="宋体" w:cs="Times New Roman"/>
                <w:bCs/>
                <w:color w:val="auto"/>
                <w:szCs w:val="21"/>
              </w:rPr>
              <w:t>通过带领学生学习飞机的搭建、安装和使用知识，让学生实践操作能力的重要作用，进而明白劳动教育的重要价值意义</w:t>
            </w:r>
          </w:p>
        </w:tc>
      </w:tr>
      <w:tr w14:paraId="6FD5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25B46132">
            <w:pPr>
              <w:jc w:val="center"/>
              <w:rPr>
                <w:rFonts w:hint="eastAsia" w:ascii="宋体" w:hAnsi="宋体" w:eastAsia="宋体" w:cs="宋体"/>
                <w:color w:val="auto"/>
                <w:szCs w:val="21"/>
              </w:rPr>
            </w:pPr>
            <w:r>
              <w:rPr>
                <w:rFonts w:hint="eastAsia" w:ascii="宋体" w:hAnsi="宋体" w:eastAsia="宋体" w:cs="宋体"/>
                <w:color w:val="auto"/>
                <w:kern w:val="0"/>
                <w:szCs w:val="21"/>
              </w:rPr>
              <w:t>航空模型的创新设计展示与创新设计讨论</w:t>
            </w:r>
          </w:p>
        </w:tc>
        <w:tc>
          <w:tcPr>
            <w:tcW w:w="4434" w:type="dxa"/>
            <w:vAlign w:val="center"/>
          </w:tcPr>
          <w:p w14:paraId="14019275">
            <w:pPr>
              <w:spacing w:line="276" w:lineRule="auto"/>
              <w:jc w:val="left"/>
              <w:rPr>
                <w:rFonts w:hint="eastAsia" w:ascii="宋体" w:hAnsi="宋体" w:eastAsia="宋体" w:cs="Times New Roman"/>
                <w:color w:val="auto"/>
                <w:szCs w:val="21"/>
              </w:rPr>
            </w:pPr>
            <w:r>
              <w:rPr>
                <w:rFonts w:hint="eastAsia" w:ascii="宋体" w:hAnsi="宋体" w:eastAsia="宋体" w:cs="Times New Roman"/>
                <w:b/>
                <w:bCs/>
                <w:color w:val="auto"/>
                <w:szCs w:val="21"/>
              </w:rPr>
              <w:t>实践</w:t>
            </w:r>
            <w:r>
              <w:rPr>
                <w:rFonts w:ascii="宋体" w:hAnsi="宋体" w:eastAsia="宋体" w:cs="Times New Roman"/>
                <w:b/>
                <w:bCs/>
                <w:color w:val="auto"/>
                <w:szCs w:val="21"/>
              </w:rPr>
              <w:t>内容</w:t>
            </w:r>
            <w:r>
              <w:rPr>
                <w:rFonts w:hint="eastAsia" w:ascii="宋体" w:hAnsi="宋体" w:eastAsia="宋体" w:cs="Times New Roman"/>
                <w:b/>
                <w:bCs/>
                <w:color w:val="auto"/>
                <w:szCs w:val="21"/>
              </w:rPr>
              <w:t>：</w:t>
            </w:r>
            <w:r>
              <w:rPr>
                <w:rFonts w:hint="eastAsia" w:ascii="宋体" w:hAnsi="宋体" w:eastAsia="宋体" w:cs="Times New Roman"/>
                <w:color w:val="auto"/>
                <w:szCs w:val="21"/>
              </w:rPr>
              <w:t>（1）展示各种各样的创新航模设计，并对部分创新设计进行一定程度的讲解，让学生明白设计者的设计意图与实现方式；（2）课堂讨论，把握课堂节奏，注意引导创新；（3）布置课后任务：以小组为单位完成一份创新设计，并做好相应展示材料。</w:t>
            </w:r>
          </w:p>
          <w:p w14:paraId="1B5C5D6F">
            <w:pPr>
              <w:spacing w:line="276" w:lineRule="auto"/>
              <w:jc w:val="left"/>
              <w:rPr>
                <w:rFonts w:hint="eastAsia" w:ascii="宋体" w:hAnsi="宋体" w:eastAsia="宋体" w:cs="宋体"/>
                <w:color w:val="auto"/>
                <w:szCs w:val="21"/>
              </w:rPr>
            </w:pPr>
            <w:r>
              <w:rPr>
                <w:rFonts w:hint="eastAsia" w:ascii="宋体" w:hAnsi="宋体" w:eastAsia="宋体" w:cs="Times New Roman"/>
                <w:b/>
                <w:bCs/>
                <w:color w:val="auto"/>
                <w:szCs w:val="21"/>
              </w:rPr>
              <w:t>实践要求：</w:t>
            </w:r>
            <w:r>
              <w:rPr>
                <w:rFonts w:hint="eastAsia" w:ascii="宋体" w:hAnsi="宋体" w:eastAsia="宋体" w:cs="宋体"/>
                <w:color w:val="auto"/>
                <w:kern w:val="0"/>
                <w:szCs w:val="21"/>
              </w:rPr>
              <w:t>通过展示，让学生了解当前航空模型领域的创新设计形式及成果，启发其创造性；通过课堂讨论，启发学生的思路，同时完成分组。</w:t>
            </w:r>
          </w:p>
        </w:tc>
        <w:tc>
          <w:tcPr>
            <w:tcW w:w="757" w:type="dxa"/>
            <w:vAlign w:val="center"/>
          </w:tcPr>
          <w:p w14:paraId="41793760">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专题报告</w:t>
            </w:r>
          </w:p>
        </w:tc>
        <w:tc>
          <w:tcPr>
            <w:tcW w:w="2116" w:type="dxa"/>
            <w:vAlign w:val="center"/>
          </w:tcPr>
          <w:p w14:paraId="624E45B9">
            <w:pPr>
              <w:spacing w:line="276" w:lineRule="auto"/>
              <w:jc w:val="left"/>
              <w:rPr>
                <w:rFonts w:hint="eastAsia" w:ascii="宋体" w:hAnsi="宋体" w:eastAsia="宋体" w:cs="宋体"/>
                <w:color w:val="auto"/>
                <w:szCs w:val="21"/>
              </w:rPr>
            </w:pPr>
            <w:r>
              <w:rPr>
                <w:rFonts w:hint="eastAsia" w:ascii="宋体" w:hAnsi="宋体" w:eastAsia="宋体" w:cs="Times New Roman"/>
                <w:bCs/>
                <w:color w:val="auto"/>
                <w:szCs w:val="21"/>
              </w:rPr>
              <w:t>学生通过学习程序设计方法，了解社会生活中的相关设施设备的设计原理，增强学生科学和理性地认识世界的能力。</w:t>
            </w:r>
          </w:p>
        </w:tc>
      </w:tr>
      <w:tr w14:paraId="1A59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7658C01C">
            <w:pPr>
              <w:jc w:val="center"/>
              <w:rPr>
                <w:rFonts w:hint="eastAsia" w:ascii="宋体" w:hAnsi="宋体" w:eastAsia="宋体" w:cs="宋体"/>
                <w:color w:val="auto"/>
                <w:szCs w:val="21"/>
              </w:rPr>
            </w:pPr>
            <w:r>
              <w:rPr>
                <w:rFonts w:hint="eastAsia" w:ascii="宋体" w:hAnsi="宋体" w:eastAsia="宋体" w:cs="宋体"/>
                <w:color w:val="auto"/>
                <w:kern w:val="0"/>
                <w:szCs w:val="21"/>
              </w:rPr>
              <w:t>航模创新设计展示</w:t>
            </w:r>
          </w:p>
        </w:tc>
        <w:tc>
          <w:tcPr>
            <w:tcW w:w="4434" w:type="dxa"/>
            <w:vAlign w:val="center"/>
          </w:tcPr>
          <w:p w14:paraId="45CEE017">
            <w:pPr>
              <w:rPr>
                <w:rFonts w:hint="eastAsia" w:ascii="宋体" w:hAnsi="宋体" w:eastAsia="宋体" w:cs="Times New Roman"/>
                <w:color w:val="auto"/>
                <w:szCs w:val="21"/>
              </w:rPr>
            </w:pPr>
            <w:r>
              <w:rPr>
                <w:rFonts w:hint="eastAsia" w:ascii="宋体" w:hAnsi="宋体" w:eastAsia="宋体" w:cs="Times New Roman"/>
                <w:b/>
                <w:bCs/>
                <w:color w:val="auto"/>
                <w:szCs w:val="21"/>
              </w:rPr>
              <w:t>实践</w:t>
            </w:r>
            <w:r>
              <w:rPr>
                <w:rFonts w:ascii="宋体" w:hAnsi="宋体" w:eastAsia="宋体" w:cs="Times New Roman"/>
                <w:b/>
                <w:bCs/>
                <w:color w:val="auto"/>
                <w:szCs w:val="21"/>
              </w:rPr>
              <w:t>内容</w:t>
            </w:r>
            <w:r>
              <w:rPr>
                <w:rFonts w:hint="eastAsia" w:ascii="宋体" w:hAnsi="宋体" w:eastAsia="宋体" w:cs="Times New Roman"/>
                <w:b/>
                <w:bCs/>
                <w:color w:val="auto"/>
                <w:szCs w:val="21"/>
              </w:rPr>
              <w:t>：</w:t>
            </w:r>
            <w:r>
              <w:rPr>
                <w:rFonts w:hint="eastAsia" w:ascii="宋体" w:hAnsi="宋体" w:eastAsia="宋体" w:cs="Times New Roman"/>
                <w:color w:val="auto"/>
                <w:szCs w:val="21"/>
              </w:rPr>
              <w:t>（1）由小组成员对课后的创新设计做成果展示（以PPT的形式）；（2）现场提问与讨论，要求全体学生以答辩的形式参与其中；（3）对每一组的设计与报告做评价和总结，完成成绩记录。</w:t>
            </w:r>
          </w:p>
          <w:p w14:paraId="2C77BE2E">
            <w:pPr>
              <w:spacing w:line="276" w:lineRule="auto"/>
              <w:jc w:val="left"/>
              <w:rPr>
                <w:rFonts w:hint="eastAsia" w:ascii="宋体" w:hAnsi="宋体" w:eastAsia="宋体" w:cs="宋体"/>
                <w:color w:val="auto"/>
                <w:szCs w:val="21"/>
              </w:rPr>
            </w:pPr>
            <w:r>
              <w:rPr>
                <w:rFonts w:hint="eastAsia" w:ascii="宋体" w:hAnsi="宋体" w:eastAsia="宋体" w:cs="Times New Roman"/>
                <w:b/>
                <w:bCs/>
                <w:color w:val="auto"/>
                <w:szCs w:val="21"/>
              </w:rPr>
              <w:t>实践要求：</w:t>
            </w:r>
            <w:r>
              <w:rPr>
                <w:rFonts w:hint="eastAsia" w:ascii="宋体" w:hAnsi="宋体" w:eastAsia="宋体" w:cs="Times New Roman"/>
                <w:bCs/>
                <w:color w:val="auto"/>
                <w:szCs w:val="21"/>
              </w:rPr>
              <w:t>本节为学生展示环节，训练学生做报告的能力。</w:t>
            </w:r>
            <w:r>
              <w:rPr>
                <w:rFonts w:hint="eastAsia" w:ascii="宋体" w:hAnsi="宋体" w:eastAsia="宋体" w:cs="宋体"/>
                <w:color w:val="auto"/>
                <w:kern w:val="0"/>
                <w:szCs w:val="21"/>
              </w:rPr>
              <w:t xml:space="preserve"> </w:t>
            </w:r>
          </w:p>
        </w:tc>
        <w:tc>
          <w:tcPr>
            <w:tcW w:w="757" w:type="dxa"/>
            <w:vAlign w:val="center"/>
          </w:tcPr>
          <w:p w14:paraId="08C7ACCD">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课程实践作业</w:t>
            </w:r>
          </w:p>
        </w:tc>
        <w:tc>
          <w:tcPr>
            <w:tcW w:w="2116" w:type="dxa"/>
            <w:vAlign w:val="center"/>
          </w:tcPr>
          <w:p w14:paraId="0FCBD93E">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通过让学生学习有关模型创新设计中的搭建与控制的基本知识，增进学生对“中国智造”、“大国工匠”等概念的理解，进而体会自主研发和工匠精神的重要意义。</w:t>
            </w:r>
          </w:p>
        </w:tc>
      </w:tr>
      <w:tr w14:paraId="6DFFD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0675D0D8">
            <w:pPr>
              <w:jc w:val="center"/>
              <w:rPr>
                <w:rFonts w:hint="eastAsia" w:ascii="宋体" w:hAnsi="宋体" w:eastAsia="宋体" w:cs="宋体"/>
                <w:color w:val="auto"/>
                <w:szCs w:val="21"/>
              </w:rPr>
            </w:pPr>
            <w:r>
              <w:rPr>
                <w:rFonts w:hint="eastAsia" w:ascii="宋体" w:hAnsi="宋体" w:eastAsia="宋体" w:cs="宋体"/>
                <w:color w:val="auto"/>
                <w:kern w:val="0"/>
                <w:szCs w:val="21"/>
              </w:rPr>
              <w:t>航空模型制作实践</w:t>
            </w:r>
          </w:p>
        </w:tc>
        <w:tc>
          <w:tcPr>
            <w:tcW w:w="4434" w:type="dxa"/>
            <w:vAlign w:val="center"/>
          </w:tcPr>
          <w:p w14:paraId="70D99E32">
            <w:pPr>
              <w:rPr>
                <w:rFonts w:hint="eastAsia" w:ascii="宋体" w:hAnsi="宋体" w:eastAsia="宋体" w:cs="Times New Roman"/>
                <w:color w:val="auto"/>
                <w:szCs w:val="21"/>
              </w:rPr>
            </w:pPr>
            <w:r>
              <w:rPr>
                <w:rFonts w:hint="eastAsia" w:ascii="宋体" w:hAnsi="宋体" w:eastAsia="宋体" w:cs="Times New Roman"/>
                <w:b/>
                <w:bCs/>
                <w:color w:val="auto"/>
                <w:szCs w:val="21"/>
              </w:rPr>
              <w:t>实践</w:t>
            </w:r>
            <w:r>
              <w:rPr>
                <w:rFonts w:ascii="宋体" w:hAnsi="宋体" w:eastAsia="宋体" w:cs="Times New Roman"/>
                <w:b/>
                <w:bCs/>
                <w:color w:val="auto"/>
                <w:szCs w:val="21"/>
              </w:rPr>
              <w:t>内容</w:t>
            </w:r>
            <w:r>
              <w:rPr>
                <w:rFonts w:hint="eastAsia" w:ascii="宋体" w:hAnsi="宋体" w:eastAsia="宋体" w:cs="Times New Roman"/>
                <w:b/>
                <w:bCs/>
                <w:color w:val="auto"/>
                <w:szCs w:val="21"/>
              </w:rPr>
              <w:t>：</w:t>
            </w:r>
            <w:r>
              <w:rPr>
                <w:rFonts w:hint="eastAsia" w:ascii="宋体" w:hAnsi="宋体" w:eastAsia="宋体" w:cs="Times New Roman"/>
                <w:color w:val="auto"/>
                <w:szCs w:val="21"/>
              </w:rPr>
              <w:t>（1）复习航模制作的基本步骤和要点；（2）指导学生进行实践制作；（3）指导学生进行组件装配；（5）对学生制作作品进行点评，完成成绩记录；（4）实践过程中的安全问题及注意事项。</w:t>
            </w:r>
          </w:p>
          <w:p w14:paraId="6796D90D">
            <w:pPr>
              <w:spacing w:line="276" w:lineRule="auto"/>
              <w:jc w:val="left"/>
              <w:rPr>
                <w:rFonts w:hint="eastAsia" w:ascii="宋体" w:hAnsi="宋体" w:eastAsia="宋体" w:cs="宋体"/>
                <w:color w:val="auto"/>
                <w:szCs w:val="21"/>
              </w:rPr>
            </w:pPr>
            <w:r>
              <w:rPr>
                <w:rFonts w:hint="eastAsia" w:ascii="宋体" w:hAnsi="宋体" w:eastAsia="宋体" w:cs="Times New Roman"/>
                <w:b/>
                <w:bCs/>
                <w:color w:val="auto"/>
                <w:szCs w:val="21"/>
              </w:rPr>
              <w:t>实践要求：</w:t>
            </w:r>
            <w:r>
              <w:rPr>
                <w:rFonts w:hint="eastAsia" w:ascii="宋体" w:hAnsi="宋体" w:eastAsia="宋体" w:cs="Times New Roman"/>
                <w:bCs/>
                <w:color w:val="auto"/>
                <w:szCs w:val="21"/>
              </w:rPr>
              <w:t>本课程的实践环节要求学生以小组为单位，根据课堂讲授的知识，按照小组的创新设计或者常规设计制作一个完整的模型飞机；该环节充分利用工程实训中心的设备和场地，锻炼学生的动手能力。</w:t>
            </w:r>
          </w:p>
        </w:tc>
        <w:tc>
          <w:tcPr>
            <w:tcW w:w="757" w:type="dxa"/>
            <w:vAlign w:val="center"/>
          </w:tcPr>
          <w:p w14:paraId="2111AF5A">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课程实践作业</w:t>
            </w:r>
          </w:p>
        </w:tc>
        <w:tc>
          <w:tcPr>
            <w:tcW w:w="2116" w:type="dxa"/>
            <w:vAlign w:val="center"/>
          </w:tcPr>
          <w:p w14:paraId="3E80CB30">
            <w:pPr>
              <w:spacing w:line="276" w:lineRule="auto"/>
              <w:jc w:val="left"/>
              <w:rPr>
                <w:rFonts w:hint="eastAsia" w:ascii="宋体" w:hAnsi="宋体" w:eastAsia="宋体" w:cs="宋体"/>
                <w:color w:val="auto"/>
                <w:szCs w:val="21"/>
              </w:rPr>
            </w:pPr>
            <w:r>
              <w:rPr>
                <w:rFonts w:hint="eastAsia" w:ascii="宋体" w:hAnsi="宋体" w:eastAsia="宋体" w:cs="宋体"/>
                <w:color w:val="auto"/>
                <w:szCs w:val="21"/>
              </w:rPr>
              <w:t>学生通过对航空模型制作的方法的学习和掌握，了解组织管理中的一般要求和困难所在，从而增强学生学以致用的能力，最终形成对国家政府的科学组织管理理念的正确认知和认同。</w:t>
            </w:r>
          </w:p>
        </w:tc>
      </w:tr>
    </w:tbl>
    <w:p w14:paraId="7554F12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2"/>
          <w:szCs w:val="22"/>
        </w:rPr>
        <w:t>六、有关说明</w:t>
      </w:r>
    </w:p>
    <w:p w14:paraId="56B45E1A">
      <w:pPr>
        <w:spacing w:line="360" w:lineRule="auto"/>
        <w:ind w:firstLine="420" w:firstLineChars="200"/>
        <w:rPr>
          <w:color w:val="auto"/>
        </w:rPr>
      </w:pPr>
      <w:bookmarkStart w:id="417" w:name="_Toc29395664"/>
      <w:r>
        <w:rPr>
          <w:rFonts w:hint="eastAsia"/>
          <w:color w:val="auto"/>
        </w:rPr>
        <w:t>（一）持续改进</w:t>
      </w:r>
      <w:bookmarkEnd w:id="417"/>
    </w:p>
    <w:p w14:paraId="608AEBE0">
      <w:pPr>
        <w:spacing w:line="360" w:lineRule="auto"/>
        <w:ind w:firstLine="420" w:firstLineChars="200"/>
        <w:rPr>
          <w:color w:val="auto"/>
        </w:rPr>
      </w:pPr>
      <w:r>
        <w:rPr>
          <w:color w:val="auto"/>
        </w:rPr>
        <w:t>本课程根据学生作业、课堂讨论、模拟教学、说课、平时考核情况和学生、教学督导等</w:t>
      </w:r>
      <w:r>
        <w:rPr>
          <w:rFonts w:hint="eastAsia"/>
          <w:color w:val="auto"/>
        </w:rPr>
        <w:t>的</w:t>
      </w:r>
      <w:r>
        <w:rPr>
          <w:color w:val="auto"/>
        </w:rPr>
        <w:t>反馈，及时对教学中</w:t>
      </w:r>
      <w:r>
        <w:rPr>
          <w:rFonts w:hint="eastAsia"/>
          <w:color w:val="auto"/>
        </w:rPr>
        <w:t>的</w:t>
      </w:r>
      <w:r>
        <w:rPr>
          <w:color w:val="auto"/>
        </w:rPr>
        <w:t>不足之处进行改进，并在下一轮课程教学中</w:t>
      </w:r>
      <w:r>
        <w:rPr>
          <w:rFonts w:hint="eastAsia"/>
          <w:color w:val="auto"/>
        </w:rPr>
        <w:t>整改完善</w:t>
      </w:r>
      <w:r>
        <w:rPr>
          <w:color w:val="auto"/>
        </w:rPr>
        <w:t>，确保相应毕业要求指标点达成。</w:t>
      </w:r>
    </w:p>
    <w:p w14:paraId="4C87E7CF">
      <w:pPr>
        <w:spacing w:line="360" w:lineRule="auto"/>
        <w:ind w:firstLine="420" w:firstLineChars="200"/>
        <w:rPr>
          <w:color w:val="auto"/>
        </w:rPr>
      </w:pPr>
      <w:bookmarkStart w:id="418" w:name="_Toc29395665"/>
      <w:r>
        <w:rPr>
          <w:rFonts w:hint="eastAsia"/>
          <w:color w:val="auto"/>
        </w:rPr>
        <w:t>（二）</w:t>
      </w:r>
      <w:r>
        <w:rPr>
          <w:color w:val="auto"/>
        </w:rPr>
        <w:t>参考书目及学习资料</w:t>
      </w:r>
      <w:bookmarkEnd w:id="418"/>
    </w:p>
    <w:p w14:paraId="14D4DE92">
      <w:pPr>
        <w:spacing w:line="360" w:lineRule="auto"/>
        <w:ind w:firstLine="420" w:firstLineChars="200"/>
        <w:rPr>
          <w:color w:val="auto"/>
        </w:rPr>
      </w:pPr>
      <w:r>
        <w:rPr>
          <w:rFonts w:hint="eastAsia"/>
          <w:color w:val="auto"/>
        </w:rPr>
        <w:t>1．教材</w:t>
      </w:r>
    </w:p>
    <w:p w14:paraId="456B4FDF">
      <w:pPr>
        <w:spacing w:line="360" w:lineRule="auto"/>
        <w:ind w:firstLine="420" w:firstLineChars="200"/>
        <w:rPr>
          <w:color w:val="auto"/>
        </w:rPr>
      </w:pPr>
      <w:r>
        <w:rPr>
          <w:rFonts w:hint="eastAsia"/>
          <w:color w:val="auto"/>
        </w:rPr>
        <w:t>王丽君. 用Scratch与mBlock玩转mBot智能机器人.北京：人民邮电出版社.2017.</w:t>
      </w:r>
    </w:p>
    <w:p w14:paraId="40E3E6C4">
      <w:pPr>
        <w:spacing w:line="360" w:lineRule="auto"/>
        <w:ind w:firstLine="420" w:firstLineChars="200"/>
        <w:rPr>
          <w:color w:val="auto"/>
        </w:rPr>
      </w:pPr>
      <w:bookmarkStart w:id="419" w:name="_Toc29395666"/>
      <w:r>
        <w:rPr>
          <w:rFonts w:hint="eastAsia"/>
          <w:color w:val="auto"/>
        </w:rPr>
        <w:t>2．教学参考书</w:t>
      </w:r>
      <w:bookmarkEnd w:id="419"/>
    </w:p>
    <w:p w14:paraId="0218D55C">
      <w:pPr>
        <w:spacing w:line="360" w:lineRule="auto"/>
        <w:ind w:firstLine="420" w:firstLineChars="200"/>
        <w:rPr>
          <w:color w:val="auto"/>
        </w:rPr>
      </w:pPr>
      <w:r>
        <w:rPr>
          <w:rFonts w:hint="eastAsia"/>
          <w:color w:val="auto"/>
        </w:rPr>
        <w:t>郑梦玉、马志强. Makeblock机器人与创客器材的应用.北京：清华大学出版社.2018.</w:t>
      </w:r>
    </w:p>
    <w:p w14:paraId="0DBDC9F8">
      <w:pPr>
        <w:spacing w:line="360" w:lineRule="auto"/>
        <w:ind w:firstLine="420" w:firstLineChars="200"/>
        <w:rPr>
          <w:color w:val="auto"/>
        </w:rPr>
      </w:pPr>
      <w:r>
        <w:rPr>
          <w:rFonts w:hint="eastAsia"/>
          <w:color w:val="auto"/>
        </w:rPr>
        <w:t>王同聚、崔萌、王希哲、柯维海. Scratch与机器人创新设计（初级篇）.上海：上海交通大学出版社.2017.</w:t>
      </w:r>
    </w:p>
    <w:p w14:paraId="44F9F4A1">
      <w:pPr>
        <w:spacing w:line="360" w:lineRule="auto"/>
        <w:ind w:firstLine="420" w:firstLineChars="200"/>
        <w:rPr>
          <w:color w:val="auto"/>
        </w:rPr>
      </w:pPr>
      <w:r>
        <w:rPr>
          <w:rFonts w:hint="eastAsia"/>
          <w:color w:val="auto"/>
        </w:rPr>
        <w:t>王同聚、崔萌、王希哲、柯维海. Scratch与机器人创新设计（中级篇）.上海：上海交通大学出版社.2017.</w:t>
      </w:r>
    </w:p>
    <w:p w14:paraId="442AA48C">
      <w:pPr>
        <w:spacing w:line="360" w:lineRule="auto"/>
        <w:jc w:val="center"/>
        <w:rPr>
          <w:color w:val="auto"/>
          <w:sz w:val="21"/>
          <w:szCs w:val="21"/>
        </w:rPr>
      </w:pPr>
    </w:p>
    <w:p w14:paraId="32F76374">
      <w:pPr>
        <w:spacing w:line="360" w:lineRule="auto"/>
        <w:jc w:val="righ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执 笔 人： 李春光</w:t>
      </w:r>
    </w:p>
    <w:p w14:paraId="57AF35C0">
      <w:pPr>
        <w:spacing w:line="360" w:lineRule="auto"/>
        <w:jc w:val="righ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 定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王  健</w:t>
      </w:r>
    </w:p>
    <w:p w14:paraId="77ADF411">
      <w:pPr>
        <w:spacing w:line="360" w:lineRule="auto"/>
        <w:jc w:val="righ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 批 人：</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张志欣</w:t>
      </w:r>
    </w:p>
    <w:p w14:paraId="677930E7">
      <w:pPr>
        <w:wordWrap w:val="0"/>
        <w:spacing w:line="360" w:lineRule="auto"/>
        <w:jc w:val="righ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批准时间：2025年7月1日</w:t>
      </w:r>
    </w:p>
    <w:p w14:paraId="2F55EA28">
      <w:pPr>
        <w:rPr>
          <w:rFonts w:ascii="Times New Roman" w:hAnsi="Times New Roman" w:eastAsia="宋体" w:cs="Times New Roman"/>
          <w:color w:val="auto"/>
          <w:sz w:val="24"/>
        </w:rPr>
      </w:pPr>
      <w:r>
        <w:rPr>
          <w:rFonts w:ascii="Times New Roman" w:hAnsi="Times New Roman" w:eastAsia="宋体" w:cs="Times New Roman"/>
          <w:color w:val="auto"/>
          <w:sz w:val="24"/>
        </w:rPr>
        <w:br w:type="page"/>
      </w:r>
    </w:p>
    <w:p w14:paraId="0E04CB03">
      <w:pPr>
        <w:spacing w:line="360" w:lineRule="auto"/>
        <w:jc w:val="center"/>
        <w:outlineLvl w:val="0"/>
        <w:rPr>
          <w:rFonts w:hint="eastAsia" w:ascii="Times New Roman" w:hAnsi="Times New Roman" w:eastAsia="宋体" w:cs="Times New Roman"/>
          <w:b/>
          <w:sz w:val="44"/>
          <w:szCs w:val="44"/>
        </w:rPr>
      </w:pPr>
      <w:bookmarkStart w:id="420" w:name="_Toc11916"/>
      <w:bookmarkStart w:id="421" w:name="_Toc16764"/>
      <w:bookmarkStart w:id="422" w:name="_Toc87705537"/>
      <w:bookmarkStart w:id="423" w:name="_Toc87724654"/>
      <w:r>
        <w:rPr>
          <w:rFonts w:hint="eastAsia" w:ascii="Times New Roman" w:hAnsi="Times New Roman" w:eastAsia="宋体" w:cs="Times New Roman"/>
          <w:b/>
          <w:sz w:val="44"/>
          <w:szCs w:val="44"/>
        </w:rPr>
        <w:t>《STEAM课程设计》课程教学大纲</w:t>
      </w:r>
      <w:bookmarkEnd w:id="420"/>
      <w:bookmarkEnd w:id="421"/>
    </w:p>
    <w:p w14:paraId="68ECFAB1">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w:t>
      </w:r>
      <w:r>
        <w:rPr>
          <w:rFonts w:hint="eastAsia" w:ascii="Times New Roman" w:hAnsi="Times New Roman" w:eastAsia="宋体" w:cs="Times New Roman"/>
          <w:b/>
          <w:bCs/>
          <w:color w:val="auto"/>
          <w:sz w:val="28"/>
          <w:szCs w:val="28"/>
        </w:rPr>
        <w:t>STEAM Course Design</w:t>
      </w:r>
      <w:r>
        <w:rPr>
          <w:rFonts w:ascii="Times New Roman" w:hAnsi="Times New Roman" w:eastAsia="宋体" w:cs="Times New Roman"/>
          <w:b/>
          <w:bCs/>
          <w:color w:val="auto"/>
          <w:sz w:val="28"/>
          <w:szCs w:val="28"/>
        </w:rPr>
        <w:t>）</w:t>
      </w:r>
    </w:p>
    <w:p w14:paraId="665A58E0">
      <w:pPr>
        <w:spacing w:line="360" w:lineRule="auto"/>
        <w:jc w:val="center"/>
        <w:rPr>
          <w:rFonts w:ascii="Times New Roman" w:hAnsi="Times New Roman" w:eastAsia="宋体" w:cs="Times New Roman"/>
          <w:bCs/>
          <w:color w:val="auto"/>
          <w:sz w:val="21"/>
          <w:szCs w:val="21"/>
        </w:rPr>
      </w:pPr>
    </w:p>
    <w:p w14:paraId="33107DE4">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STEAM课程设计</w:t>
      </w:r>
    </w:p>
    <w:p w14:paraId="1ABA589D">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课程代码：2401045</w:t>
      </w:r>
    </w:p>
    <w:p w14:paraId="79E64F21">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分：2</w:t>
      </w:r>
    </w:p>
    <w:p w14:paraId="1376ABDD">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时：32（其中：讲授学时16，课内实践学时16）</w:t>
      </w:r>
    </w:p>
    <w:p w14:paraId="4AABEEF6">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先修课程：科学概论</w:t>
      </w:r>
    </w:p>
    <w:p w14:paraId="40FB3D9E">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适用专业：小学教育</w:t>
      </w:r>
    </w:p>
    <w:p w14:paraId="6532C28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一、课程简介</w:t>
      </w:r>
    </w:p>
    <w:p w14:paraId="675E220A">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是小学教育（文）、小学教育（理）专业的专业选修课程。通过本课程的学习，使学生掌握STEAM教育的基本理念和方法，能够设计和实施STEAM课程，培养学生跨学科整合能力和创新思维，提高STEAM教育实践能力。</w:t>
      </w:r>
    </w:p>
    <w:p w14:paraId="1B50C3C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二、课程目标</w:t>
      </w:r>
    </w:p>
    <w:p w14:paraId="04742D86">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78031AEF">
      <w:pPr>
        <w:pStyle w:val="38"/>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color w:val="auto"/>
          <w:sz w:val="21"/>
          <w:szCs w:val="21"/>
        </w:rPr>
      </w:pPr>
      <w:r>
        <w:rPr>
          <w:rFonts w:hint="eastAsia"/>
          <w:b/>
          <w:color w:val="auto"/>
          <w:sz w:val="21"/>
          <w:szCs w:val="18"/>
        </w:rPr>
        <w:t>目标</w:t>
      </w:r>
      <w:r>
        <w:rPr>
          <w:b/>
          <w:color w:val="auto"/>
          <w:sz w:val="21"/>
          <w:szCs w:val="18"/>
        </w:rPr>
        <w:t>1.</w:t>
      </w:r>
      <w:r>
        <w:rPr>
          <w:rFonts w:ascii="宋体" w:hAnsi="宋体"/>
          <w:color w:val="auto"/>
          <w:sz w:val="21"/>
          <w:szCs w:val="21"/>
        </w:rPr>
        <w:t>掌握STEAM教育及艺术的基本理论和知识，具备广博的自然科学和人文社会科学知识素养，理解STEAM与小学其他学科及社会实践、小学生生活实践之间的联系，具备跨学科解决问题的能力，能够运用STEAM教育理论（包括艺术元素）指导教学实践，能指导综合性学科教学活动。</w:t>
      </w:r>
    </w:p>
    <w:p w14:paraId="2A2D37F0">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目标2</w:t>
      </w:r>
      <w:r>
        <w:rPr>
          <w:rFonts w:ascii="宋体" w:hAnsi="宋体" w:eastAsia="宋体" w:cs="Times New Roman"/>
          <w:b/>
          <w:color w:val="auto"/>
          <w:szCs w:val="21"/>
        </w:rPr>
        <w:t>.</w:t>
      </w:r>
      <w:r>
        <w:rPr>
          <w:rFonts w:ascii="宋体" w:hAnsi="宋体" w:eastAsia="宋体" w:cs="Times New Roman"/>
          <w:color w:val="auto"/>
          <w:szCs w:val="21"/>
        </w:rPr>
        <w:t xml:space="preserve"> </w:t>
      </w:r>
      <w:r>
        <w:rPr>
          <w:rFonts w:ascii="宋体" w:hAnsi="宋体" w:eastAsia="宋体"/>
          <w:color w:val="auto"/>
          <w:szCs w:val="21"/>
        </w:rPr>
        <w:t>掌握小学教师的基本技能，包括书写、沟通与表达、信息技术运用等，获得全面的小学教学体验，掌握STEAM课程设计与教学的方法和策略，能够独立进行STEAM课程的教学实施和评价，提升教学能力，促进学生的全面发展。</w:t>
      </w:r>
    </w:p>
    <w:p w14:paraId="23C7C86F">
      <w:pPr>
        <w:pStyle w:val="6"/>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目标3．</w:t>
      </w:r>
      <w:r>
        <w:rPr>
          <w:rFonts w:ascii="宋体" w:hAnsi="宋体"/>
          <w:color w:val="auto"/>
          <w:sz w:val="21"/>
          <w:szCs w:val="21"/>
        </w:rPr>
        <w:t xml:space="preserve"> 理解STEAM教育的育人价值，具备教书育人的意识，理解学科核心素养和STEAM课程的育人功能，能够结合课程内容挖掘育人要素与资源，合理设计育人目标、主题、内容和活动，将知识学习、能力发展与品德养成有机结合，促进小学生的全面、健康发展。</w:t>
      </w:r>
    </w:p>
    <w:p w14:paraId="1E5A0E9F">
      <w:pPr>
        <w:spacing w:before="156" w:beforeLines="50" w:after="156" w:afterLines="50" w:line="360" w:lineRule="auto"/>
        <w:ind w:firstLine="422" w:firstLineChars="200"/>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1"/>
        <w:gridCol w:w="6089"/>
        <w:gridCol w:w="1327"/>
      </w:tblGrid>
      <w:tr w14:paraId="7FDD7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1" w:type="dxa"/>
            <w:vAlign w:val="center"/>
          </w:tcPr>
          <w:p w14:paraId="7FEFA600">
            <w:pPr>
              <w:spacing w:line="360"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毕业要求</w:t>
            </w:r>
          </w:p>
        </w:tc>
        <w:tc>
          <w:tcPr>
            <w:tcW w:w="6089" w:type="dxa"/>
            <w:vAlign w:val="center"/>
          </w:tcPr>
          <w:p w14:paraId="27C04FB4">
            <w:pPr>
              <w:spacing w:line="360"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毕业要求指标点</w:t>
            </w:r>
          </w:p>
        </w:tc>
        <w:tc>
          <w:tcPr>
            <w:tcW w:w="1327" w:type="dxa"/>
            <w:vAlign w:val="center"/>
          </w:tcPr>
          <w:p w14:paraId="17BE700E">
            <w:pPr>
              <w:spacing w:line="360"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课程目标</w:t>
            </w:r>
          </w:p>
        </w:tc>
      </w:tr>
      <w:tr w14:paraId="3277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1" w:type="dxa"/>
            <w:vAlign w:val="center"/>
          </w:tcPr>
          <w:p w14:paraId="55C4500C">
            <w:pPr>
              <w:spacing w:line="276" w:lineRule="auto"/>
              <w:jc w:val="center"/>
              <w:rPr>
                <w:rFonts w:hint="eastAsia" w:ascii="宋体" w:hAnsi="宋体" w:eastAsia="宋体"/>
                <w:b/>
                <w:bCs/>
                <w:color w:val="auto"/>
                <w:szCs w:val="21"/>
              </w:rPr>
            </w:pPr>
            <w:r>
              <w:rPr>
                <w:rFonts w:hint="eastAsia" w:ascii="宋体" w:hAnsi="宋体" w:eastAsia="宋体"/>
                <w:b/>
                <w:bCs/>
                <w:color w:val="auto"/>
                <w:szCs w:val="21"/>
              </w:rPr>
              <w:t>毕业要求3</w:t>
            </w:r>
          </w:p>
          <w:p w14:paraId="6F20108F">
            <w:pPr>
              <w:spacing w:line="276" w:lineRule="auto"/>
              <w:jc w:val="center"/>
              <w:rPr>
                <w:rFonts w:hint="eastAsia" w:ascii="宋体" w:hAnsi="宋体" w:eastAsia="宋体" w:cs="Times New Roman"/>
                <w:b/>
                <w:bCs/>
                <w:color w:val="auto"/>
                <w:szCs w:val="21"/>
              </w:rPr>
            </w:pPr>
            <w:r>
              <w:rPr>
                <w:rFonts w:hint="eastAsia" w:ascii="宋体" w:hAnsi="宋体" w:eastAsia="宋体"/>
                <w:b/>
                <w:bCs/>
                <w:color w:val="auto"/>
                <w:szCs w:val="21"/>
              </w:rPr>
              <w:t>学科素养</w:t>
            </w:r>
          </w:p>
        </w:tc>
        <w:tc>
          <w:tcPr>
            <w:tcW w:w="6089" w:type="dxa"/>
            <w:vAlign w:val="center"/>
          </w:tcPr>
          <w:p w14:paraId="3C2836CF">
            <w:pPr>
              <w:spacing w:line="276" w:lineRule="auto"/>
              <w:jc w:val="left"/>
              <w:rPr>
                <w:rFonts w:hint="eastAsia" w:ascii="宋体" w:hAnsi="宋体" w:eastAsia="宋体" w:cs="Times New Roman"/>
                <w:color w:val="auto"/>
                <w:szCs w:val="21"/>
              </w:rPr>
            </w:pPr>
            <w:r>
              <w:rPr>
                <w:rFonts w:hint="eastAsia" w:ascii="宋体" w:hAnsi="宋体" w:eastAsia="宋体"/>
                <w:color w:val="auto"/>
                <w:szCs w:val="21"/>
              </w:rPr>
              <w:t>指标点3-3：【注重知识整合】了解所教学科与小学其他学科及与社会实践、小学生生活实践之间的联系，了解学科整合在小学教育中的价值，具有跨学科解决问题的意识和能力，能指导综合性学科教学活动。</w:t>
            </w:r>
          </w:p>
        </w:tc>
        <w:tc>
          <w:tcPr>
            <w:tcW w:w="1327" w:type="dxa"/>
            <w:vAlign w:val="center"/>
          </w:tcPr>
          <w:p w14:paraId="6DCB7C96">
            <w:pPr>
              <w:spacing w:line="276" w:lineRule="auto"/>
              <w:jc w:val="left"/>
              <w:rPr>
                <w:rFonts w:hint="eastAsia" w:ascii="宋体" w:hAnsi="宋体" w:eastAsia="宋体" w:cs="Times New Roman"/>
                <w:color w:val="auto"/>
                <w:szCs w:val="21"/>
              </w:rPr>
            </w:pPr>
            <w:r>
              <w:rPr>
                <w:rFonts w:hint="eastAsia" w:ascii="宋体" w:hAnsi="宋体" w:eastAsia="宋体"/>
                <w:color w:val="auto"/>
                <w:szCs w:val="21"/>
              </w:rPr>
              <w:t>课程目标1</w:t>
            </w:r>
          </w:p>
        </w:tc>
      </w:tr>
      <w:tr w14:paraId="46F8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1" w:type="dxa"/>
            <w:vAlign w:val="center"/>
          </w:tcPr>
          <w:p w14:paraId="72224405">
            <w:pPr>
              <w:spacing w:line="276" w:lineRule="auto"/>
              <w:jc w:val="center"/>
              <w:rPr>
                <w:rFonts w:hint="eastAsia" w:ascii="宋体" w:hAnsi="宋体" w:eastAsia="宋体"/>
                <w:b/>
                <w:bCs/>
                <w:color w:val="auto"/>
                <w:szCs w:val="21"/>
              </w:rPr>
            </w:pPr>
            <w:r>
              <w:rPr>
                <w:rFonts w:hint="eastAsia" w:ascii="宋体" w:hAnsi="宋体" w:eastAsia="宋体"/>
                <w:b/>
                <w:bCs/>
                <w:color w:val="auto"/>
                <w:szCs w:val="21"/>
              </w:rPr>
              <w:t>毕业要求4</w:t>
            </w:r>
          </w:p>
          <w:p w14:paraId="2CB9A062">
            <w:pPr>
              <w:spacing w:line="276" w:lineRule="auto"/>
              <w:jc w:val="center"/>
              <w:rPr>
                <w:rFonts w:hint="eastAsia" w:ascii="宋体" w:hAnsi="宋体" w:eastAsia="宋体" w:cs="Times New Roman"/>
                <w:b/>
                <w:bCs/>
                <w:color w:val="auto"/>
                <w:szCs w:val="21"/>
              </w:rPr>
            </w:pPr>
            <w:r>
              <w:rPr>
                <w:rFonts w:hint="eastAsia" w:ascii="宋体" w:hAnsi="宋体" w:eastAsia="宋体"/>
                <w:b/>
                <w:bCs/>
                <w:color w:val="auto"/>
                <w:szCs w:val="21"/>
              </w:rPr>
              <w:t>教学能力</w:t>
            </w:r>
          </w:p>
        </w:tc>
        <w:tc>
          <w:tcPr>
            <w:tcW w:w="6089" w:type="dxa"/>
          </w:tcPr>
          <w:p w14:paraId="684A9B94">
            <w:pPr>
              <w:spacing w:line="276" w:lineRule="auto"/>
              <w:jc w:val="left"/>
              <w:rPr>
                <w:rFonts w:hint="eastAsia" w:ascii="宋体" w:hAnsi="宋体" w:eastAsia="宋体" w:cs="Times New Roman"/>
                <w:color w:val="auto"/>
                <w:szCs w:val="21"/>
                <w:lang w:eastAsia="zh-CN"/>
              </w:rPr>
            </w:pPr>
            <w:r>
              <w:rPr>
                <w:rFonts w:hint="eastAsia" w:ascii="宋体" w:hAnsi="宋体" w:eastAsia="宋体"/>
                <w:color w:val="auto"/>
                <w:szCs w:val="21"/>
                <w:lang w:eastAsia="zh-CN"/>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113F5DA7">
            <w:pPr>
              <w:spacing w:line="276" w:lineRule="auto"/>
              <w:jc w:val="left"/>
              <w:rPr>
                <w:rFonts w:hint="eastAsia" w:ascii="宋体" w:hAnsi="宋体" w:eastAsia="宋体" w:cs="Times New Roman"/>
                <w:color w:val="auto"/>
                <w:szCs w:val="21"/>
              </w:rPr>
            </w:pPr>
            <w:r>
              <w:rPr>
                <w:rFonts w:hint="eastAsia" w:ascii="宋体" w:hAnsi="宋体" w:eastAsia="宋体"/>
                <w:color w:val="auto"/>
                <w:szCs w:val="21"/>
              </w:rPr>
              <w:t>课程目标2</w:t>
            </w:r>
          </w:p>
        </w:tc>
      </w:tr>
      <w:tr w14:paraId="267F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1" w:type="dxa"/>
            <w:vAlign w:val="center"/>
          </w:tcPr>
          <w:p w14:paraId="5F28BBC4">
            <w:pPr>
              <w:spacing w:line="276" w:lineRule="auto"/>
              <w:jc w:val="center"/>
              <w:rPr>
                <w:rFonts w:hint="eastAsia" w:ascii="宋体" w:hAnsi="宋体" w:eastAsia="宋体"/>
                <w:b/>
                <w:bCs/>
                <w:color w:val="auto"/>
                <w:szCs w:val="21"/>
              </w:rPr>
            </w:pPr>
            <w:r>
              <w:rPr>
                <w:rFonts w:hint="eastAsia" w:ascii="宋体" w:hAnsi="宋体" w:eastAsia="宋体"/>
                <w:b/>
                <w:bCs/>
                <w:color w:val="auto"/>
                <w:szCs w:val="21"/>
              </w:rPr>
              <w:t>毕业要求6</w:t>
            </w:r>
          </w:p>
          <w:p w14:paraId="45FFDD4C">
            <w:pPr>
              <w:spacing w:line="276" w:lineRule="auto"/>
              <w:jc w:val="center"/>
              <w:rPr>
                <w:rFonts w:hint="eastAsia" w:ascii="宋体" w:hAnsi="宋体" w:eastAsia="宋体" w:cs="Times New Roman"/>
                <w:b/>
                <w:bCs/>
                <w:color w:val="auto"/>
                <w:szCs w:val="21"/>
              </w:rPr>
            </w:pPr>
            <w:r>
              <w:rPr>
                <w:rFonts w:hint="eastAsia" w:ascii="宋体" w:hAnsi="宋体" w:eastAsia="宋体"/>
                <w:b/>
                <w:bCs/>
                <w:color w:val="auto"/>
                <w:szCs w:val="21"/>
              </w:rPr>
              <w:t>综合育人</w:t>
            </w:r>
          </w:p>
        </w:tc>
        <w:tc>
          <w:tcPr>
            <w:tcW w:w="6089" w:type="dxa"/>
            <w:vAlign w:val="center"/>
          </w:tcPr>
          <w:p w14:paraId="03D977B1">
            <w:pPr>
              <w:spacing w:line="276" w:lineRule="auto"/>
              <w:jc w:val="left"/>
              <w:rPr>
                <w:rFonts w:hint="eastAsia" w:ascii="宋体" w:hAnsi="宋体" w:eastAsia="宋体" w:cs="Times New Roman"/>
                <w:color w:val="auto"/>
                <w:szCs w:val="21"/>
              </w:rPr>
            </w:pPr>
            <w:r>
              <w:rPr>
                <w:rFonts w:hint="eastAsia" w:ascii="宋体" w:hAnsi="宋体" w:eastAsia="宋体" w:cs="宋体"/>
                <w:color w:val="auto"/>
                <w:kern w:val="0"/>
                <w:szCs w:val="21"/>
              </w:rPr>
              <w:t>指标点</w:t>
            </w:r>
            <w:r>
              <w:rPr>
                <w:rFonts w:hint="eastAsia" w:ascii="宋体" w:hAnsi="宋体" w:eastAsia="宋体" w:cs="宋体"/>
                <w:color w:val="auto"/>
                <w:szCs w:val="21"/>
              </w:rPr>
              <w:t>6-2：【胜任学科育人】具有教书育人的意识，理解学科核心素养和拟任教学科课程独特的育人功能，在教育教学实践中，能够</w:t>
            </w:r>
            <w:r>
              <w:rPr>
                <w:rFonts w:hint="eastAsia" w:ascii="宋体" w:hAnsi="宋体" w:eastAsia="宋体" w:cs="宋体"/>
                <w:bCs/>
                <w:color w:val="auto"/>
                <w:kern w:val="0"/>
                <w:szCs w:val="21"/>
              </w:rPr>
              <w:t>结合课程内容与特点，挖掘课程的育人要素与资源，合理设计育人目标、主题、内容和活动，将知识学习、能力发展与品德养成有机结合。</w:t>
            </w:r>
          </w:p>
        </w:tc>
        <w:tc>
          <w:tcPr>
            <w:tcW w:w="1327" w:type="dxa"/>
            <w:vAlign w:val="center"/>
          </w:tcPr>
          <w:p w14:paraId="48D174ED">
            <w:pPr>
              <w:spacing w:line="276" w:lineRule="auto"/>
              <w:jc w:val="left"/>
              <w:rPr>
                <w:rFonts w:hint="eastAsia" w:ascii="宋体" w:hAnsi="宋体" w:eastAsia="宋体" w:cs="Times New Roman"/>
                <w:color w:val="auto"/>
                <w:szCs w:val="21"/>
              </w:rPr>
            </w:pPr>
            <w:r>
              <w:rPr>
                <w:rFonts w:hint="eastAsia" w:ascii="宋体" w:hAnsi="宋体" w:eastAsia="宋体"/>
                <w:color w:val="auto"/>
                <w:szCs w:val="21"/>
              </w:rPr>
              <w:t>课程目标3</w:t>
            </w:r>
          </w:p>
        </w:tc>
      </w:tr>
    </w:tbl>
    <w:p w14:paraId="001D9BE6">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0AF264E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Times New Roman"/>
          <w:color w:val="auto"/>
          <w:szCs w:val="21"/>
        </w:rPr>
      </w:pPr>
      <w:r>
        <w:rPr>
          <w:rFonts w:hint="eastAsia" w:ascii="宋体" w:hAnsi="宋体" w:eastAsia="宋体" w:cs="Times New Roman"/>
          <w:b/>
          <w:bCs/>
          <w:color w:val="auto"/>
          <w:szCs w:val="21"/>
        </w:rPr>
        <w:t>目标1.</w:t>
      </w:r>
      <w:r>
        <w:rPr>
          <w:rFonts w:hint="eastAsia" w:ascii="宋体" w:hAnsi="宋体" w:eastAsia="宋体" w:cs="Times New Roman"/>
          <w:color w:val="auto"/>
          <w:szCs w:val="21"/>
        </w:rPr>
        <w:t xml:space="preserve"> 培养学生的社会责任感和创新精神，理解科技与社会发展的关系，树立正确的价值观念，认识STEAM课程建设在社会变迁与经济发展中的重要作用。</w:t>
      </w:r>
    </w:p>
    <w:p w14:paraId="1015BB0D">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Times New Roman"/>
          <w:color w:val="auto"/>
          <w:szCs w:val="21"/>
        </w:rPr>
      </w:pPr>
      <w:r>
        <w:rPr>
          <w:rFonts w:hint="eastAsia" w:ascii="宋体" w:hAnsi="宋体" w:eastAsia="宋体" w:cs="Times New Roman"/>
          <w:b/>
          <w:bCs/>
          <w:color w:val="auto"/>
          <w:szCs w:val="21"/>
        </w:rPr>
        <w:t>目标2.</w:t>
      </w:r>
      <w:r>
        <w:rPr>
          <w:rFonts w:hint="eastAsia" w:ascii="宋体" w:hAnsi="宋体" w:eastAsia="宋体" w:cs="Times New Roman"/>
          <w:color w:val="auto"/>
          <w:szCs w:val="21"/>
        </w:rPr>
        <w:t xml:space="preserve"> 增强学生的团队合作意识和沟通能力，培养集体荣誉感和协作精神，促进跨学科整合与教学设计中的社会责任感和解决问题的能力。</w:t>
      </w:r>
    </w:p>
    <w:p w14:paraId="2CB5AE5E">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Times New Roman"/>
          <w:color w:val="auto"/>
          <w:szCs w:val="21"/>
        </w:rPr>
      </w:pPr>
      <w:r>
        <w:rPr>
          <w:rFonts w:hint="eastAsia" w:ascii="宋体" w:hAnsi="宋体" w:eastAsia="宋体" w:cs="Times New Roman"/>
          <w:b/>
          <w:bCs/>
          <w:color w:val="auto"/>
          <w:szCs w:val="21"/>
        </w:rPr>
        <w:t>目标3.</w:t>
      </w:r>
      <w:r>
        <w:rPr>
          <w:rFonts w:hint="eastAsia" w:ascii="宋体" w:hAnsi="宋体" w:eastAsia="宋体" w:cs="Times New Roman"/>
          <w:color w:val="auto"/>
          <w:szCs w:val="21"/>
        </w:rPr>
        <w:t xml:space="preserve"> 引导学生关注可持续发展和环保理念，培养绿色思维和可持续发展的实践能力，促进绿色教育理念在课程设计中的应用。</w:t>
      </w:r>
    </w:p>
    <w:p w14:paraId="7E3CE2E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008"/>
        <w:gridCol w:w="1244"/>
        <w:gridCol w:w="1985"/>
        <w:gridCol w:w="1495"/>
        <w:gridCol w:w="578"/>
      </w:tblGrid>
      <w:tr w14:paraId="5839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88" w:type="dxa"/>
            <w:vAlign w:val="center"/>
          </w:tcPr>
          <w:p w14:paraId="00DA84E7">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5A294D7C">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3008" w:type="dxa"/>
            <w:vAlign w:val="center"/>
          </w:tcPr>
          <w:p w14:paraId="7D8E7765">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244" w:type="dxa"/>
            <w:vAlign w:val="center"/>
          </w:tcPr>
          <w:p w14:paraId="5D8751D4">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2B5B20D6">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1985" w:type="dxa"/>
            <w:vAlign w:val="center"/>
          </w:tcPr>
          <w:p w14:paraId="62077E04">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495" w:type="dxa"/>
            <w:vAlign w:val="center"/>
          </w:tcPr>
          <w:p w14:paraId="547A5C35">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578" w:type="dxa"/>
            <w:vAlign w:val="center"/>
          </w:tcPr>
          <w:p w14:paraId="753047A6">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7FA6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370DF0A1">
            <w:pPr>
              <w:spacing w:line="276" w:lineRule="auto"/>
              <w:jc w:val="center"/>
              <w:rPr>
                <w:rFonts w:hint="eastAsia" w:ascii="宋体" w:hAnsi="宋体" w:eastAsia="宋体" w:cs="Times New Roman"/>
                <w:color w:val="auto"/>
                <w:szCs w:val="21"/>
              </w:rPr>
            </w:pPr>
            <w:r>
              <w:rPr>
                <w:rFonts w:hint="eastAsia" w:ascii="宋体" w:hAnsi="宋体" w:eastAsia="宋体"/>
                <w:b/>
                <w:bCs/>
                <w:color w:val="auto"/>
                <w:szCs w:val="21"/>
              </w:rPr>
              <w:t>第一章</w:t>
            </w:r>
            <w:r>
              <w:rPr>
                <w:rFonts w:ascii="宋体" w:hAnsi="宋体" w:eastAsia="宋体"/>
                <w:b/>
                <w:bCs/>
                <w:color w:val="auto"/>
                <w:szCs w:val="21"/>
              </w:rPr>
              <w:t xml:space="preserve"> STEAM </w:t>
            </w:r>
            <w:r>
              <w:rPr>
                <w:rFonts w:hint="eastAsia" w:ascii="宋体" w:hAnsi="宋体" w:eastAsia="宋体"/>
                <w:b/>
                <w:bCs/>
                <w:color w:val="auto"/>
                <w:szCs w:val="21"/>
              </w:rPr>
              <w:t>课程建设概述</w:t>
            </w:r>
          </w:p>
        </w:tc>
        <w:tc>
          <w:tcPr>
            <w:tcW w:w="3008" w:type="dxa"/>
            <w:vAlign w:val="center"/>
          </w:tcPr>
          <w:p w14:paraId="2CD52BC1">
            <w:pPr>
              <w:spacing w:line="276" w:lineRule="auto"/>
              <w:jc w:val="left"/>
              <w:rPr>
                <w:rFonts w:hint="eastAsia" w:ascii="宋体" w:hAnsi="宋体" w:eastAsia="宋体" w:cs="Times New Roman"/>
                <w:color w:val="auto"/>
                <w:szCs w:val="21"/>
              </w:rPr>
            </w:pPr>
            <w:r>
              <w:rPr>
                <w:rFonts w:hint="eastAsia" w:ascii="宋体" w:hAnsi="宋体" w:eastAsia="宋体"/>
                <w:color w:val="auto"/>
                <w:szCs w:val="21"/>
              </w:rPr>
              <w:t>（1）STEAM</w:t>
            </w:r>
            <w:r>
              <w:rPr>
                <w:rFonts w:ascii="宋体" w:hAnsi="宋体" w:eastAsia="宋体"/>
                <w:color w:val="auto"/>
                <w:szCs w:val="21"/>
              </w:rPr>
              <w:t xml:space="preserve"> </w:t>
            </w:r>
            <w:r>
              <w:rPr>
                <w:rFonts w:hint="eastAsia" w:ascii="宋体" w:hAnsi="宋体" w:eastAsia="宋体"/>
                <w:color w:val="auto"/>
                <w:szCs w:val="21"/>
              </w:rPr>
              <w:t>课程建设的背景与挑战</w:t>
            </w:r>
            <w:r>
              <w:rPr>
                <w:rFonts w:ascii="宋体" w:hAnsi="宋体" w:eastAsia="宋体"/>
                <w:color w:val="auto"/>
                <w:szCs w:val="21"/>
              </w:rPr>
              <w:br w:type="textWrapping"/>
            </w:r>
            <w:r>
              <w:rPr>
                <w:rFonts w:hint="eastAsia" w:ascii="宋体" w:hAnsi="宋体" w:eastAsia="宋体"/>
                <w:color w:val="auto"/>
                <w:szCs w:val="21"/>
              </w:rPr>
              <w:t>（2）STEAM</w:t>
            </w:r>
            <w:r>
              <w:rPr>
                <w:rFonts w:ascii="宋体" w:hAnsi="宋体" w:eastAsia="宋体"/>
                <w:color w:val="auto"/>
                <w:szCs w:val="21"/>
              </w:rPr>
              <w:t xml:space="preserve"> </w:t>
            </w:r>
            <w:r>
              <w:rPr>
                <w:rFonts w:hint="eastAsia" w:ascii="宋体" w:hAnsi="宋体" w:eastAsia="宋体"/>
                <w:color w:val="auto"/>
                <w:szCs w:val="21"/>
              </w:rPr>
              <w:t>课程建设的本质、模式及特征</w:t>
            </w:r>
            <w:r>
              <w:rPr>
                <w:rFonts w:ascii="宋体" w:hAnsi="宋体" w:eastAsia="宋体"/>
                <w:color w:val="auto"/>
                <w:szCs w:val="21"/>
              </w:rPr>
              <w:br w:type="textWrapping"/>
            </w:r>
            <w:r>
              <w:rPr>
                <w:rFonts w:hint="eastAsia" w:ascii="宋体" w:hAnsi="宋体" w:eastAsia="宋体"/>
                <w:color w:val="auto"/>
                <w:szCs w:val="21"/>
              </w:rPr>
              <w:t>（3）STEAM</w:t>
            </w:r>
            <w:r>
              <w:rPr>
                <w:rFonts w:ascii="宋体" w:hAnsi="宋体" w:eastAsia="宋体"/>
                <w:color w:val="auto"/>
                <w:szCs w:val="21"/>
              </w:rPr>
              <w:t xml:space="preserve"> </w:t>
            </w:r>
            <w:r>
              <w:rPr>
                <w:rFonts w:hint="eastAsia" w:ascii="宋体" w:hAnsi="宋体" w:eastAsia="宋体"/>
                <w:color w:val="auto"/>
                <w:szCs w:val="21"/>
              </w:rPr>
              <w:t>课程建设的问题与对策</w:t>
            </w:r>
          </w:p>
        </w:tc>
        <w:tc>
          <w:tcPr>
            <w:tcW w:w="1244" w:type="dxa"/>
            <w:vAlign w:val="center"/>
          </w:tcPr>
          <w:p w14:paraId="08FC47BC">
            <w:pPr>
              <w:spacing w:line="276" w:lineRule="auto"/>
              <w:jc w:val="center"/>
              <w:rPr>
                <w:rFonts w:hint="eastAsia" w:ascii="宋体" w:hAnsi="宋体" w:eastAsia="宋体" w:cs="Times New Roman"/>
                <w:color w:val="auto"/>
                <w:szCs w:val="21"/>
              </w:rPr>
            </w:pPr>
            <w:r>
              <w:rPr>
                <w:rFonts w:hint="eastAsia" w:ascii="宋体" w:hAnsi="宋体" w:eastAsia="宋体"/>
                <w:color w:val="auto"/>
                <w:szCs w:val="21"/>
              </w:rPr>
              <w:t>目标1</w:t>
            </w:r>
          </w:p>
        </w:tc>
        <w:tc>
          <w:tcPr>
            <w:tcW w:w="1985" w:type="dxa"/>
          </w:tcPr>
          <w:p w14:paraId="5158A8C0">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理解STEAM教育的背景与挑战，掌握课程建设的本质和特征，能够识别问题并提出对策</w:t>
            </w:r>
          </w:p>
        </w:tc>
        <w:tc>
          <w:tcPr>
            <w:tcW w:w="1495" w:type="dxa"/>
          </w:tcPr>
          <w:p w14:paraId="514EA31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课堂讨论</w:t>
            </w:r>
          </w:p>
          <w:p w14:paraId="50D3A549">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案例分析</w:t>
            </w:r>
          </w:p>
          <w:p w14:paraId="6278CBF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小组活动</w:t>
            </w:r>
          </w:p>
        </w:tc>
        <w:tc>
          <w:tcPr>
            <w:tcW w:w="578" w:type="dxa"/>
            <w:vAlign w:val="center"/>
          </w:tcPr>
          <w:p w14:paraId="4F36AD62">
            <w:pPr>
              <w:spacing w:line="276" w:lineRule="auto"/>
              <w:jc w:val="center"/>
              <w:rPr>
                <w:rFonts w:hint="eastAsia" w:ascii="宋体" w:hAnsi="宋体" w:eastAsia="宋体" w:cs="Times New Roman"/>
                <w:color w:val="auto"/>
                <w:szCs w:val="21"/>
              </w:rPr>
            </w:pPr>
            <w:r>
              <w:rPr>
                <w:rFonts w:hint="eastAsia" w:ascii="宋体" w:hAnsi="宋体" w:eastAsia="宋体"/>
                <w:color w:val="auto"/>
                <w:szCs w:val="21"/>
              </w:rPr>
              <w:t>2</w:t>
            </w:r>
          </w:p>
        </w:tc>
      </w:tr>
      <w:tr w14:paraId="2DF4B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2DEA516A">
            <w:pPr>
              <w:spacing w:line="276" w:lineRule="auto"/>
              <w:jc w:val="center"/>
              <w:rPr>
                <w:rFonts w:hint="eastAsia" w:ascii="宋体" w:hAnsi="宋体" w:eastAsia="宋体" w:cs="Times New Roman"/>
                <w:color w:val="auto"/>
                <w:szCs w:val="21"/>
              </w:rPr>
            </w:pPr>
          </w:p>
        </w:tc>
        <w:tc>
          <w:tcPr>
            <w:tcW w:w="8310" w:type="dxa"/>
            <w:gridSpan w:val="5"/>
            <w:vAlign w:val="center"/>
          </w:tcPr>
          <w:p w14:paraId="11420CE1">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培养学生的社会责任感和创新精神，理解科技与社会发展的关系，树立正确的价值观念，认识STEAM课程建设在社会变迁与经济发展中的重要作用。</w:t>
            </w:r>
          </w:p>
        </w:tc>
      </w:tr>
      <w:tr w14:paraId="39A5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212F8A4E">
            <w:pPr>
              <w:spacing w:line="276" w:lineRule="auto"/>
              <w:jc w:val="center"/>
              <w:rPr>
                <w:rFonts w:hint="eastAsia" w:ascii="宋体" w:hAnsi="宋体" w:eastAsia="宋体" w:cs="Times New Roman"/>
                <w:color w:val="auto"/>
                <w:szCs w:val="21"/>
              </w:rPr>
            </w:pPr>
            <w:r>
              <w:rPr>
                <w:rFonts w:hint="eastAsia" w:ascii="宋体" w:hAnsi="宋体" w:eastAsia="宋体"/>
                <w:b/>
                <w:bCs/>
                <w:color w:val="auto"/>
                <w:szCs w:val="21"/>
              </w:rPr>
              <w:t>第二章</w:t>
            </w:r>
            <w:r>
              <w:rPr>
                <w:rFonts w:ascii="宋体" w:hAnsi="宋体" w:eastAsia="宋体"/>
                <w:b/>
                <w:bCs/>
                <w:color w:val="auto"/>
                <w:szCs w:val="21"/>
              </w:rPr>
              <w:t xml:space="preserve"> STEAM </w:t>
            </w:r>
            <w:r>
              <w:rPr>
                <w:rFonts w:hint="eastAsia" w:ascii="宋体" w:hAnsi="宋体" w:eastAsia="宋体"/>
                <w:b/>
                <w:bCs/>
                <w:color w:val="auto"/>
                <w:szCs w:val="21"/>
              </w:rPr>
              <w:t>课程目标设计</w:t>
            </w:r>
          </w:p>
        </w:tc>
        <w:tc>
          <w:tcPr>
            <w:tcW w:w="3008" w:type="dxa"/>
            <w:vAlign w:val="center"/>
          </w:tcPr>
          <w:p w14:paraId="37D9854A">
            <w:pPr>
              <w:spacing w:line="276" w:lineRule="auto"/>
              <w:jc w:val="left"/>
              <w:rPr>
                <w:rFonts w:hint="eastAsia" w:ascii="宋体" w:hAnsi="宋体" w:eastAsia="宋体" w:cs="Times New Roman"/>
                <w:color w:val="auto"/>
                <w:szCs w:val="21"/>
              </w:rPr>
            </w:pPr>
            <w:r>
              <w:rPr>
                <w:rFonts w:hint="eastAsia" w:ascii="宋体" w:hAnsi="宋体" w:eastAsia="宋体"/>
                <w:color w:val="auto"/>
                <w:szCs w:val="21"/>
              </w:rPr>
              <w:t>（1）STEAM</w:t>
            </w:r>
            <w:r>
              <w:rPr>
                <w:rFonts w:ascii="宋体" w:hAnsi="宋体" w:eastAsia="宋体"/>
                <w:color w:val="auto"/>
                <w:szCs w:val="21"/>
              </w:rPr>
              <w:t xml:space="preserve"> </w:t>
            </w:r>
            <w:r>
              <w:rPr>
                <w:rFonts w:hint="eastAsia" w:ascii="宋体" w:hAnsi="宋体" w:eastAsia="宋体"/>
                <w:color w:val="auto"/>
                <w:szCs w:val="21"/>
              </w:rPr>
              <w:t>课程目标设计：依据及框架</w:t>
            </w:r>
            <w:r>
              <w:rPr>
                <w:rFonts w:ascii="宋体" w:hAnsi="宋体" w:eastAsia="宋体"/>
                <w:color w:val="auto"/>
                <w:szCs w:val="21"/>
              </w:rPr>
              <w:br w:type="textWrapping"/>
            </w:r>
            <w:r>
              <w:rPr>
                <w:rFonts w:hint="eastAsia" w:ascii="宋体" w:hAnsi="宋体" w:eastAsia="宋体"/>
                <w:color w:val="auto"/>
                <w:szCs w:val="21"/>
              </w:rPr>
              <w:t>（2）STEAM</w:t>
            </w:r>
            <w:r>
              <w:rPr>
                <w:rFonts w:ascii="宋体" w:hAnsi="宋体" w:eastAsia="宋体"/>
                <w:color w:val="auto"/>
                <w:szCs w:val="21"/>
              </w:rPr>
              <w:t xml:space="preserve"> </w:t>
            </w:r>
            <w:r>
              <w:rPr>
                <w:rFonts w:hint="eastAsia" w:ascii="宋体" w:hAnsi="宋体" w:eastAsia="宋体"/>
                <w:color w:val="auto"/>
                <w:szCs w:val="21"/>
              </w:rPr>
              <w:t>课程目标设计：原则及要求</w:t>
            </w:r>
            <w:r>
              <w:rPr>
                <w:rFonts w:ascii="宋体" w:hAnsi="宋体" w:eastAsia="宋体"/>
                <w:color w:val="auto"/>
                <w:szCs w:val="21"/>
              </w:rPr>
              <w:br w:type="textWrapping"/>
            </w:r>
            <w:r>
              <w:rPr>
                <w:rFonts w:hint="eastAsia" w:ascii="宋体" w:hAnsi="宋体" w:eastAsia="宋体"/>
                <w:color w:val="auto"/>
                <w:szCs w:val="21"/>
              </w:rPr>
              <w:t>（3）STEAM</w:t>
            </w:r>
            <w:r>
              <w:rPr>
                <w:rFonts w:ascii="宋体" w:hAnsi="宋体" w:eastAsia="宋体"/>
                <w:color w:val="auto"/>
                <w:szCs w:val="21"/>
              </w:rPr>
              <w:t xml:space="preserve"> </w:t>
            </w:r>
            <w:r>
              <w:rPr>
                <w:rFonts w:hint="eastAsia" w:ascii="宋体" w:hAnsi="宋体" w:eastAsia="宋体"/>
                <w:color w:val="auto"/>
                <w:szCs w:val="21"/>
              </w:rPr>
              <w:t>课程目标设计：案例及示范</w:t>
            </w:r>
          </w:p>
        </w:tc>
        <w:tc>
          <w:tcPr>
            <w:tcW w:w="1244" w:type="dxa"/>
            <w:vAlign w:val="center"/>
          </w:tcPr>
          <w:p w14:paraId="2EDB2F24">
            <w:pPr>
              <w:spacing w:line="276" w:lineRule="auto"/>
              <w:jc w:val="center"/>
              <w:rPr>
                <w:rFonts w:hint="eastAsia" w:ascii="宋体" w:hAnsi="宋体" w:eastAsia="宋体" w:cs="Times New Roman"/>
                <w:color w:val="auto"/>
                <w:szCs w:val="21"/>
              </w:rPr>
            </w:pPr>
            <w:r>
              <w:rPr>
                <w:rFonts w:hint="eastAsia" w:ascii="宋体" w:hAnsi="宋体" w:eastAsia="宋体"/>
                <w:color w:val="auto"/>
                <w:szCs w:val="21"/>
              </w:rPr>
              <w:t>目标2</w:t>
            </w:r>
          </w:p>
        </w:tc>
        <w:tc>
          <w:tcPr>
            <w:tcW w:w="1985" w:type="dxa"/>
          </w:tcPr>
          <w:p w14:paraId="29AC47F4">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理解课程目标设计的依据和框架，掌握设计原则及要求，能够分析案例并进行示范</w:t>
            </w:r>
          </w:p>
        </w:tc>
        <w:tc>
          <w:tcPr>
            <w:tcW w:w="1495" w:type="dxa"/>
          </w:tcPr>
          <w:p w14:paraId="5151273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课堂讲解</w:t>
            </w:r>
          </w:p>
          <w:p w14:paraId="315B59EE">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小组讨论</w:t>
            </w:r>
          </w:p>
          <w:p w14:paraId="1895C23A">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案例分析</w:t>
            </w:r>
          </w:p>
        </w:tc>
        <w:tc>
          <w:tcPr>
            <w:tcW w:w="578" w:type="dxa"/>
          </w:tcPr>
          <w:p w14:paraId="4448D87A">
            <w:pPr>
              <w:spacing w:line="276" w:lineRule="auto"/>
              <w:jc w:val="center"/>
              <w:rPr>
                <w:rFonts w:hint="eastAsia" w:ascii="宋体" w:hAnsi="宋体" w:eastAsia="宋体" w:cs="Times New Roman"/>
                <w:color w:val="auto"/>
                <w:szCs w:val="21"/>
              </w:rPr>
            </w:pPr>
            <w:r>
              <w:rPr>
                <w:rFonts w:hint="eastAsia" w:ascii="宋体" w:hAnsi="宋体" w:eastAsia="宋体"/>
                <w:color w:val="auto"/>
                <w:szCs w:val="21"/>
              </w:rPr>
              <w:t>3+2</w:t>
            </w:r>
          </w:p>
        </w:tc>
      </w:tr>
      <w:tr w14:paraId="4FF8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218523A7">
            <w:pPr>
              <w:spacing w:line="276" w:lineRule="auto"/>
              <w:jc w:val="center"/>
              <w:rPr>
                <w:rFonts w:hint="eastAsia" w:ascii="宋体" w:hAnsi="宋体" w:eastAsia="宋体" w:cs="Times New Roman"/>
                <w:color w:val="auto"/>
                <w:szCs w:val="21"/>
              </w:rPr>
            </w:pPr>
          </w:p>
        </w:tc>
        <w:tc>
          <w:tcPr>
            <w:tcW w:w="8310" w:type="dxa"/>
            <w:gridSpan w:val="5"/>
            <w:vAlign w:val="center"/>
          </w:tcPr>
          <w:p w14:paraId="0BB593EA">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增强学生的团队合作意识和沟通能力，培养集体荣誉感和协作精神，促进跨学科整合与教学设计中的社会责任感和解决问题的能力。</w:t>
            </w:r>
          </w:p>
        </w:tc>
      </w:tr>
      <w:tr w14:paraId="15C4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7F0DA130">
            <w:pPr>
              <w:spacing w:line="276" w:lineRule="auto"/>
              <w:jc w:val="center"/>
              <w:rPr>
                <w:rFonts w:hint="eastAsia" w:ascii="宋体" w:hAnsi="宋体" w:eastAsia="宋体" w:cs="Times New Roman"/>
                <w:color w:val="auto"/>
                <w:szCs w:val="21"/>
              </w:rPr>
            </w:pPr>
            <w:r>
              <w:rPr>
                <w:rFonts w:hint="eastAsia" w:ascii="宋体" w:hAnsi="宋体" w:eastAsia="宋体"/>
                <w:b/>
                <w:bCs/>
                <w:color w:val="auto"/>
                <w:szCs w:val="21"/>
              </w:rPr>
              <w:t>第三章</w:t>
            </w:r>
            <w:r>
              <w:rPr>
                <w:rFonts w:ascii="宋体" w:hAnsi="宋体" w:eastAsia="宋体"/>
                <w:b/>
                <w:bCs/>
                <w:color w:val="auto"/>
                <w:szCs w:val="21"/>
              </w:rPr>
              <w:t xml:space="preserve"> STEAM </w:t>
            </w:r>
            <w:r>
              <w:rPr>
                <w:rFonts w:hint="eastAsia" w:ascii="宋体" w:hAnsi="宋体" w:eastAsia="宋体"/>
                <w:b/>
                <w:bCs/>
                <w:color w:val="auto"/>
                <w:szCs w:val="21"/>
              </w:rPr>
              <w:t>课程内容开发</w:t>
            </w:r>
          </w:p>
          <w:p w14:paraId="48EDB768">
            <w:pPr>
              <w:spacing w:line="276" w:lineRule="auto"/>
              <w:jc w:val="center"/>
              <w:rPr>
                <w:rFonts w:hint="eastAsia" w:ascii="宋体" w:hAnsi="宋体" w:eastAsia="宋体" w:cs="Times New Roman"/>
                <w:color w:val="auto"/>
                <w:szCs w:val="21"/>
              </w:rPr>
            </w:pPr>
          </w:p>
          <w:p w14:paraId="62A1EC1E">
            <w:pPr>
              <w:spacing w:line="276" w:lineRule="auto"/>
              <w:rPr>
                <w:rFonts w:hint="eastAsia" w:ascii="宋体" w:hAnsi="宋体" w:eastAsia="宋体" w:cs="Times New Roman"/>
                <w:color w:val="auto"/>
                <w:szCs w:val="21"/>
              </w:rPr>
            </w:pPr>
          </w:p>
        </w:tc>
        <w:tc>
          <w:tcPr>
            <w:tcW w:w="3008" w:type="dxa"/>
            <w:vAlign w:val="center"/>
          </w:tcPr>
          <w:p w14:paraId="78EC24D8">
            <w:pPr>
              <w:spacing w:line="276" w:lineRule="auto"/>
              <w:jc w:val="left"/>
              <w:rPr>
                <w:rFonts w:hint="eastAsia" w:ascii="宋体" w:hAnsi="宋体" w:eastAsia="宋体" w:cs="Times New Roman"/>
                <w:color w:val="auto"/>
                <w:szCs w:val="21"/>
              </w:rPr>
            </w:pPr>
            <w:r>
              <w:rPr>
                <w:rFonts w:hint="eastAsia" w:ascii="宋体" w:hAnsi="宋体" w:eastAsia="宋体"/>
                <w:color w:val="auto"/>
                <w:szCs w:val="21"/>
              </w:rPr>
              <w:t>（1）STEAM</w:t>
            </w:r>
            <w:r>
              <w:rPr>
                <w:rFonts w:ascii="宋体" w:hAnsi="宋体" w:eastAsia="宋体"/>
                <w:color w:val="auto"/>
                <w:szCs w:val="21"/>
              </w:rPr>
              <w:t xml:space="preserve"> </w:t>
            </w:r>
            <w:r>
              <w:rPr>
                <w:rFonts w:hint="eastAsia" w:ascii="宋体" w:hAnsi="宋体" w:eastAsia="宋体"/>
                <w:color w:val="auto"/>
                <w:szCs w:val="21"/>
              </w:rPr>
              <w:t>课程内容开发原则</w:t>
            </w:r>
            <w:r>
              <w:rPr>
                <w:rFonts w:ascii="宋体" w:hAnsi="宋体" w:eastAsia="宋体"/>
                <w:color w:val="auto"/>
                <w:szCs w:val="21"/>
              </w:rPr>
              <w:br w:type="textWrapping"/>
            </w:r>
            <w:r>
              <w:rPr>
                <w:rFonts w:hint="eastAsia" w:ascii="宋体" w:hAnsi="宋体" w:eastAsia="宋体"/>
                <w:color w:val="auto"/>
                <w:szCs w:val="21"/>
              </w:rPr>
              <w:t>（2）STEAM</w:t>
            </w:r>
            <w:r>
              <w:rPr>
                <w:rFonts w:ascii="宋体" w:hAnsi="宋体" w:eastAsia="宋体"/>
                <w:color w:val="auto"/>
                <w:szCs w:val="21"/>
              </w:rPr>
              <w:t xml:space="preserve"> </w:t>
            </w:r>
            <w:r>
              <w:rPr>
                <w:rFonts w:hint="eastAsia" w:ascii="宋体" w:hAnsi="宋体" w:eastAsia="宋体"/>
                <w:color w:val="auto"/>
                <w:szCs w:val="21"/>
              </w:rPr>
              <w:t>课程内容来源与转化</w:t>
            </w:r>
            <w:r>
              <w:rPr>
                <w:rFonts w:ascii="宋体" w:hAnsi="宋体" w:eastAsia="宋体"/>
                <w:color w:val="auto"/>
                <w:szCs w:val="21"/>
              </w:rPr>
              <w:br w:type="textWrapping"/>
            </w:r>
            <w:r>
              <w:rPr>
                <w:rFonts w:hint="eastAsia" w:ascii="宋体" w:hAnsi="宋体" w:eastAsia="宋体"/>
                <w:color w:val="auto"/>
                <w:szCs w:val="21"/>
              </w:rPr>
              <w:t>（3）STEAM</w:t>
            </w:r>
            <w:r>
              <w:rPr>
                <w:rFonts w:ascii="宋体" w:hAnsi="宋体" w:eastAsia="宋体"/>
                <w:color w:val="auto"/>
                <w:szCs w:val="21"/>
              </w:rPr>
              <w:t xml:space="preserve"> </w:t>
            </w:r>
            <w:r>
              <w:rPr>
                <w:rFonts w:hint="eastAsia" w:ascii="宋体" w:hAnsi="宋体" w:eastAsia="宋体"/>
                <w:color w:val="auto"/>
                <w:szCs w:val="21"/>
              </w:rPr>
              <w:t>课程内容组织与呈现</w:t>
            </w:r>
          </w:p>
        </w:tc>
        <w:tc>
          <w:tcPr>
            <w:tcW w:w="1244" w:type="dxa"/>
            <w:vAlign w:val="center"/>
          </w:tcPr>
          <w:p w14:paraId="164E6C88">
            <w:pPr>
              <w:spacing w:line="276" w:lineRule="auto"/>
              <w:jc w:val="center"/>
              <w:rPr>
                <w:rFonts w:hint="eastAsia" w:ascii="宋体" w:hAnsi="宋体" w:eastAsia="宋体" w:cs="Times New Roman"/>
                <w:color w:val="auto"/>
                <w:szCs w:val="21"/>
              </w:rPr>
            </w:pPr>
            <w:r>
              <w:rPr>
                <w:rFonts w:hint="eastAsia" w:ascii="宋体" w:hAnsi="宋体" w:eastAsia="宋体"/>
                <w:color w:val="auto"/>
                <w:szCs w:val="21"/>
              </w:rPr>
              <w:t>目标1、3</w:t>
            </w:r>
          </w:p>
        </w:tc>
        <w:tc>
          <w:tcPr>
            <w:tcW w:w="1985" w:type="dxa"/>
            <w:vAlign w:val="center"/>
          </w:tcPr>
          <w:p w14:paraId="59A64CD6">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理解课程内容开发的基本原则，掌握内容来源与转化的方法，能够有效组织和呈现课程内容</w:t>
            </w:r>
          </w:p>
        </w:tc>
        <w:tc>
          <w:tcPr>
            <w:tcW w:w="1495" w:type="dxa"/>
            <w:vAlign w:val="center"/>
          </w:tcPr>
          <w:p w14:paraId="5BDE86C1">
            <w:pPr>
              <w:spacing w:line="276" w:lineRule="auto"/>
              <w:jc w:val="left"/>
              <w:rPr>
                <w:rFonts w:hint="eastAsia" w:ascii="宋体" w:hAnsi="宋体" w:eastAsia="宋体" w:cs="Times New Roman"/>
                <w:color w:val="auto"/>
                <w:szCs w:val="21"/>
              </w:rPr>
            </w:pPr>
            <w:r>
              <w:rPr>
                <w:rFonts w:ascii="宋体" w:hAnsi="宋体" w:eastAsia="宋体"/>
                <w:color w:val="auto"/>
              </w:rPr>
              <w:t>1.</w:t>
            </w:r>
            <w:r>
              <w:rPr>
                <w:rFonts w:hint="eastAsia" w:ascii="宋体" w:hAnsi="宋体" w:eastAsia="宋体"/>
                <w:color w:val="auto"/>
              </w:rPr>
              <w:t>多媒体学习</w:t>
            </w:r>
            <w:r>
              <w:rPr>
                <w:rFonts w:ascii="宋体" w:hAnsi="宋体" w:eastAsia="宋体"/>
                <w:color w:val="auto"/>
              </w:rPr>
              <w:br w:type="textWrapping"/>
            </w:r>
            <w:r>
              <w:rPr>
                <w:rFonts w:ascii="宋体" w:hAnsi="宋体" w:eastAsia="宋体" w:cs="Times New Roman"/>
                <w:color w:val="auto"/>
                <w:szCs w:val="21"/>
              </w:rPr>
              <w:t xml:space="preserve">2.小组讨论 </w:t>
            </w:r>
          </w:p>
          <w:p w14:paraId="02E4923A">
            <w:pPr>
              <w:spacing w:line="276" w:lineRule="auto"/>
              <w:jc w:val="left"/>
              <w:rPr>
                <w:rFonts w:hint="eastAsia" w:ascii="宋体" w:hAnsi="宋体" w:eastAsia="宋体"/>
                <w:color w:val="auto"/>
              </w:rPr>
            </w:pPr>
            <w:r>
              <w:rPr>
                <w:rFonts w:ascii="宋体" w:hAnsi="宋体" w:eastAsia="宋体" w:cs="Times New Roman"/>
                <w:color w:val="auto"/>
                <w:szCs w:val="21"/>
              </w:rPr>
              <w:t>3.</w:t>
            </w:r>
            <w:r>
              <w:rPr>
                <w:rFonts w:ascii="宋体" w:hAnsi="宋体" w:eastAsia="宋体"/>
                <w:color w:val="auto"/>
              </w:rPr>
              <w:t>调研展示</w:t>
            </w:r>
          </w:p>
          <w:p w14:paraId="15CA7511">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4.案例分析</w:t>
            </w:r>
          </w:p>
        </w:tc>
        <w:tc>
          <w:tcPr>
            <w:tcW w:w="578" w:type="dxa"/>
            <w:vAlign w:val="center"/>
          </w:tcPr>
          <w:p w14:paraId="12F9D749">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3+3</w:t>
            </w:r>
          </w:p>
        </w:tc>
      </w:tr>
      <w:tr w14:paraId="7160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39447E46">
            <w:pPr>
              <w:spacing w:line="276" w:lineRule="auto"/>
              <w:jc w:val="center"/>
              <w:rPr>
                <w:rFonts w:hint="eastAsia" w:ascii="宋体" w:hAnsi="宋体" w:eastAsia="宋体" w:cs="Times New Roman"/>
                <w:color w:val="auto"/>
                <w:szCs w:val="21"/>
              </w:rPr>
            </w:pPr>
          </w:p>
        </w:tc>
        <w:tc>
          <w:tcPr>
            <w:tcW w:w="8310" w:type="dxa"/>
            <w:gridSpan w:val="5"/>
            <w:vAlign w:val="center"/>
          </w:tcPr>
          <w:p w14:paraId="13AD1089">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引导学生关注可持续发展和环保理念，培养绿色思维和可持续发展的实践能力，促进绿色教育理念在课程设计中的应用。</w:t>
            </w:r>
          </w:p>
        </w:tc>
      </w:tr>
      <w:tr w14:paraId="385B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0C1527A4">
            <w:pPr>
              <w:spacing w:line="276" w:lineRule="auto"/>
              <w:jc w:val="center"/>
              <w:rPr>
                <w:rFonts w:hint="eastAsia" w:ascii="宋体" w:hAnsi="宋体" w:eastAsia="宋体" w:cs="Times New Roman"/>
                <w:color w:val="auto"/>
                <w:szCs w:val="21"/>
              </w:rPr>
            </w:pPr>
            <w:r>
              <w:rPr>
                <w:rFonts w:hint="eastAsia" w:ascii="宋体" w:hAnsi="宋体" w:eastAsia="宋体"/>
                <w:b/>
                <w:bCs/>
                <w:color w:val="auto"/>
                <w:szCs w:val="21"/>
              </w:rPr>
              <w:t>第四章</w:t>
            </w:r>
            <w:r>
              <w:rPr>
                <w:rFonts w:ascii="宋体" w:hAnsi="宋体" w:eastAsia="宋体"/>
                <w:b/>
                <w:bCs/>
                <w:color w:val="auto"/>
                <w:szCs w:val="21"/>
              </w:rPr>
              <w:t xml:space="preserve"> STEAM </w:t>
            </w:r>
            <w:r>
              <w:rPr>
                <w:rFonts w:hint="eastAsia" w:ascii="宋体" w:hAnsi="宋体" w:eastAsia="宋体"/>
                <w:b/>
                <w:bCs/>
                <w:color w:val="auto"/>
                <w:szCs w:val="21"/>
              </w:rPr>
              <w:t>课程评价</w:t>
            </w:r>
          </w:p>
        </w:tc>
        <w:tc>
          <w:tcPr>
            <w:tcW w:w="3008" w:type="dxa"/>
          </w:tcPr>
          <w:p w14:paraId="229E738E">
            <w:pPr>
              <w:spacing w:line="276" w:lineRule="auto"/>
              <w:jc w:val="left"/>
              <w:rPr>
                <w:rFonts w:hint="eastAsia" w:ascii="宋体" w:hAnsi="宋体" w:eastAsia="宋体" w:cs="Times New Roman"/>
                <w:color w:val="auto"/>
                <w:szCs w:val="21"/>
              </w:rPr>
            </w:pPr>
            <w:r>
              <w:rPr>
                <w:rFonts w:hint="eastAsia" w:ascii="宋体" w:hAnsi="宋体" w:eastAsia="宋体"/>
                <w:color w:val="auto"/>
                <w:szCs w:val="21"/>
              </w:rPr>
              <w:t>（1）STEAM</w:t>
            </w:r>
            <w:r>
              <w:rPr>
                <w:rFonts w:ascii="宋体" w:hAnsi="宋体" w:eastAsia="宋体"/>
                <w:color w:val="auto"/>
                <w:szCs w:val="21"/>
              </w:rPr>
              <w:t xml:space="preserve"> </w:t>
            </w:r>
            <w:r>
              <w:rPr>
                <w:rFonts w:hint="eastAsia" w:ascii="宋体" w:hAnsi="宋体" w:eastAsia="宋体"/>
                <w:color w:val="auto"/>
                <w:szCs w:val="21"/>
              </w:rPr>
              <w:t>课程评价的特点和原则</w:t>
            </w:r>
            <w:r>
              <w:rPr>
                <w:rFonts w:ascii="宋体" w:hAnsi="宋体" w:eastAsia="宋体"/>
                <w:color w:val="auto"/>
                <w:szCs w:val="21"/>
              </w:rPr>
              <w:br w:type="textWrapping"/>
            </w:r>
            <w:r>
              <w:rPr>
                <w:rFonts w:hint="eastAsia" w:ascii="宋体" w:hAnsi="宋体" w:eastAsia="宋体"/>
                <w:color w:val="auto"/>
                <w:szCs w:val="21"/>
              </w:rPr>
              <w:t>（2）对课程的评价：提升教师课程知能</w:t>
            </w:r>
            <w:r>
              <w:rPr>
                <w:rFonts w:ascii="宋体" w:hAnsi="宋体" w:eastAsia="宋体"/>
                <w:color w:val="auto"/>
                <w:szCs w:val="21"/>
              </w:rPr>
              <w:br w:type="textWrapping"/>
            </w:r>
            <w:r>
              <w:rPr>
                <w:rFonts w:hint="eastAsia" w:ascii="宋体" w:hAnsi="宋体" w:eastAsia="宋体"/>
                <w:color w:val="auto"/>
                <w:szCs w:val="21"/>
              </w:rPr>
              <w:t>（3）对学生的评价：促进学生全面发展</w:t>
            </w:r>
          </w:p>
        </w:tc>
        <w:tc>
          <w:tcPr>
            <w:tcW w:w="1244" w:type="dxa"/>
            <w:vAlign w:val="center"/>
          </w:tcPr>
          <w:p w14:paraId="33C3D22C">
            <w:pPr>
              <w:spacing w:line="276" w:lineRule="auto"/>
              <w:jc w:val="center"/>
              <w:rPr>
                <w:rFonts w:hint="eastAsia" w:ascii="宋体" w:hAnsi="宋体" w:eastAsia="宋体" w:cs="Times New Roman"/>
                <w:color w:val="auto"/>
                <w:szCs w:val="21"/>
              </w:rPr>
            </w:pPr>
            <w:r>
              <w:rPr>
                <w:rFonts w:hint="eastAsia" w:ascii="宋体" w:hAnsi="宋体" w:eastAsia="宋体"/>
                <w:color w:val="auto"/>
                <w:szCs w:val="21"/>
              </w:rPr>
              <w:t>目标3</w:t>
            </w:r>
          </w:p>
        </w:tc>
        <w:tc>
          <w:tcPr>
            <w:tcW w:w="1985" w:type="dxa"/>
            <w:vAlign w:val="center"/>
          </w:tcPr>
          <w:p w14:paraId="7A62B5AD">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理解课程评价的特点和原则，掌握教师自我评价方法，能够设计有效的学生评价体系</w:t>
            </w:r>
          </w:p>
        </w:tc>
        <w:tc>
          <w:tcPr>
            <w:tcW w:w="1495" w:type="dxa"/>
            <w:vAlign w:val="center"/>
          </w:tcPr>
          <w:p w14:paraId="37E0A9EE">
            <w:pPr>
              <w:spacing w:line="276" w:lineRule="auto"/>
              <w:jc w:val="left"/>
              <w:rPr>
                <w:rFonts w:hint="eastAsia" w:ascii="宋体" w:hAnsi="宋体" w:eastAsia="宋体"/>
                <w:color w:val="auto"/>
              </w:rPr>
            </w:pPr>
            <w:r>
              <w:rPr>
                <w:rFonts w:ascii="宋体" w:hAnsi="宋体" w:eastAsia="宋体"/>
                <w:color w:val="auto"/>
              </w:rPr>
              <w:t>1.评价案例分析</w:t>
            </w:r>
          </w:p>
          <w:p w14:paraId="40E3E182">
            <w:pPr>
              <w:spacing w:line="276" w:lineRule="auto"/>
              <w:jc w:val="left"/>
              <w:rPr>
                <w:rFonts w:hint="eastAsia" w:ascii="宋体" w:hAnsi="宋体" w:eastAsia="宋体"/>
                <w:color w:val="auto"/>
              </w:rPr>
            </w:pPr>
            <w:r>
              <w:rPr>
                <w:rFonts w:hint="eastAsia" w:ascii="宋体" w:hAnsi="宋体" w:eastAsia="宋体"/>
                <w:color w:val="auto"/>
              </w:rPr>
              <w:t>2</w:t>
            </w:r>
            <w:r>
              <w:rPr>
                <w:rFonts w:ascii="宋体" w:hAnsi="宋体" w:eastAsia="宋体"/>
                <w:color w:val="auto"/>
              </w:rPr>
              <w:t>.评价工具制作</w:t>
            </w:r>
          </w:p>
          <w:p w14:paraId="014F0E19">
            <w:pPr>
              <w:spacing w:line="276" w:lineRule="auto"/>
              <w:jc w:val="left"/>
              <w:rPr>
                <w:rFonts w:hint="eastAsia" w:ascii="宋体" w:hAnsi="宋体" w:eastAsia="宋体" w:cs="Times New Roman"/>
                <w:color w:val="auto"/>
                <w:szCs w:val="21"/>
              </w:rPr>
            </w:pPr>
            <w:r>
              <w:rPr>
                <w:rFonts w:hint="eastAsia" w:ascii="宋体" w:hAnsi="宋体" w:eastAsia="宋体"/>
                <w:color w:val="auto"/>
              </w:rPr>
              <w:t>3</w:t>
            </w:r>
            <w:r>
              <w:rPr>
                <w:rFonts w:ascii="宋体" w:hAnsi="宋体" w:eastAsia="宋体"/>
                <w:color w:val="auto"/>
              </w:rPr>
              <w:t>.反馈改进</w:t>
            </w:r>
            <w:r>
              <w:rPr>
                <w:rFonts w:hint="eastAsia" w:ascii="宋体" w:hAnsi="宋体" w:eastAsia="宋体"/>
                <w:color w:val="auto"/>
              </w:rPr>
              <w:t>机制</w:t>
            </w:r>
          </w:p>
        </w:tc>
        <w:tc>
          <w:tcPr>
            <w:tcW w:w="578" w:type="dxa"/>
            <w:vAlign w:val="center"/>
          </w:tcPr>
          <w:p w14:paraId="50DC8EB4">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3+3</w:t>
            </w:r>
          </w:p>
        </w:tc>
      </w:tr>
      <w:tr w14:paraId="284B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240C4EA7">
            <w:pPr>
              <w:spacing w:line="276" w:lineRule="auto"/>
              <w:jc w:val="center"/>
              <w:rPr>
                <w:rFonts w:hint="eastAsia" w:ascii="宋体" w:hAnsi="宋体" w:eastAsia="宋体" w:cs="Times New Roman"/>
                <w:color w:val="auto"/>
                <w:szCs w:val="21"/>
              </w:rPr>
            </w:pPr>
          </w:p>
        </w:tc>
        <w:tc>
          <w:tcPr>
            <w:tcW w:w="8310" w:type="dxa"/>
            <w:gridSpan w:val="5"/>
            <w:vAlign w:val="center"/>
          </w:tcPr>
          <w:p w14:paraId="07321B3D">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引导学生关注可持续发展和环保理念，培养绿色思维和可持续发展的实践能力，促进绿色教育理念在课程设计中的应用。</w:t>
            </w:r>
          </w:p>
        </w:tc>
      </w:tr>
      <w:tr w14:paraId="47B9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775EC2BD">
            <w:pPr>
              <w:spacing w:line="276" w:lineRule="auto"/>
              <w:jc w:val="center"/>
              <w:rPr>
                <w:rFonts w:hint="eastAsia" w:ascii="宋体" w:hAnsi="宋体" w:eastAsia="宋体" w:cs="Times New Roman"/>
                <w:color w:val="auto"/>
                <w:szCs w:val="21"/>
              </w:rPr>
            </w:pPr>
            <w:r>
              <w:rPr>
                <w:rFonts w:hint="eastAsia" w:ascii="宋体" w:hAnsi="宋体" w:eastAsia="宋体"/>
                <w:b/>
                <w:bCs/>
                <w:color w:val="auto"/>
                <w:szCs w:val="21"/>
              </w:rPr>
              <w:t>第五章</w:t>
            </w:r>
            <w:r>
              <w:rPr>
                <w:rFonts w:ascii="宋体" w:hAnsi="宋体" w:eastAsia="宋体"/>
                <w:b/>
                <w:bCs/>
                <w:color w:val="auto"/>
                <w:szCs w:val="21"/>
              </w:rPr>
              <w:t xml:space="preserve"> STEAM </w:t>
            </w:r>
            <w:r>
              <w:rPr>
                <w:rFonts w:hint="eastAsia" w:ascii="宋体" w:hAnsi="宋体" w:eastAsia="宋体"/>
                <w:b/>
                <w:bCs/>
                <w:color w:val="auto"/>
                <w:szCs w:val="21"/>
              </w:rPr>
              <w:t>课程设计与实施案例</w:t>
            </w:r>
          </w:p>
        </w:tc>
        <w:tc>
          <w:tcPr>
            <w:tcW w:w="3008" w:type="dxa"/>
          </w:tcPr>
          <w:p w14:paraId="0961D256">
            <w:pPr>
              <w:spacing w:line="276" w:lineRule="auto"/>
              <w:jc w:val="left"/>
              <w:rPr>
                <w:rFonts w:hint="eastAsia" w:ascii="宋体" w:hAnsi="宋体" w:eastAsia="宋体" w:cs="Times New Roman"/>
                <w:color w:val="auto"/>
                <w:szCs w:val="21"/>
              </w:rPr>
            </w:pPr>
            <w:r>
              <w:rPr>
                <w:rFonts w:hint="eastAsia" w:ascii="宋体" w:hAnsi="宋体" w:eastAsia="宋体"/>
                <w:color w:val="auto"/>
                <w:szCs w:val="21"/>
              </w:rPr>
              <w:t>（1）创意设计与科技结合——设计制作互动艺术装置</w:t>
            </w:r>
            <w:r>
              <w:rPr>
                <w:rFonts w:ascii="宋体" w:hAnsi="宋体" w:eastAsia="宋体"/>
                <w:color w:val="auto"/>
                <w:szCs w:val="21"/>
              </w:rPr>
              <w:br w:type="textWrapping"/>
            </w:r>
            <w:r>
              <w:rPr>
                <w:rFonts w:hint="eastAsia" w:ascii="宋体" w:hAnsi="宋体" w:eastAsia="宋体"/>
                <w:color w:val="auto"/>
                <w:szCs w:val="21"/>
              </w:rPr>
              <w:t>（2）环境艺术与工程技术——设计一种智能环境监测艺术装置</w:t>
            </w:r>
            <w:r>
              <w:rPr>
                <w:rFonts w:ascii="宋体" w:hAnsi="宋体" w:eastAsia="宋体"/>
                <w:color w:val="auto"/>
                <w:szCs w:val="21"/>
              </w:rPr>
              <w:br w:type="textWrapping"/>
            </w:r>
            <w:r>
              <w:rPr>
                <w:rFonts w:hint="eastAsia" w:ascii="宋体" w:hAnsi="宋体" w:eastAsia="宋体"/>
                <w:color w:val="auto"/>
                <w:szCs w:val="21"/>
              </w:rPr>
              <w:t>（3）艺术与生物技术融合——设计与搭建生态艺术系统</w:t>
            </w:r>
          </w:p>
        </w:tc>
        <w:tc>
          <w:tcPr>
            <w:tcW w:w="1244" w:type="dxa"/>
            <w:vAlign w:val="center"/>
          </w:tcPr>
          <w:p w14:paraId="08CEE285">
            <w:pPr>
              <w:spacing w:line="276" w:lineRule="auto"/>
              <w:jc w:val="center"/>
              <w:rPr>
                <w:rFonts w:hint="eastAsia" w:ascii="宋体" w:hAnsi="宋体" w:eastAsia="宋体" w:cs="Times New Roman"/>
                <w:color w:val="auto"/>
                <w:szCs w:val="21"/>
              </w:rPr>
            </w:pPr>
            <w:r>
              <w:rPr>
                <w:rFonts w:hint="eastAsia" w:ascii="宋体" w:hAnsi="宋体" w:eastAsia="宋体"/>
                <w:color w:val="auto"/>
                <w:szCs w:val="21"/>
              </w:rPr>
              <w:t>目标1、3</w:t>
            </w:r>
          </w:p>
        </w:tc>
        <w:tc>
          <w:tcPr>
            <w:tcW w:w="1985" w:type="dxa"/>
            <w:vAlign w:val="center"/>
          </w:tcPr>
          <w:p w14:paraId="03D4C16A">
            <w:pPr>
              <w:spacing w:line="276" w:lineRule="auto"/>
              <w:jc w:val="left"/>
              <w:rPr>
                <w:rFonts w:hint="eastAsia" w:ascii="宋体" w:hAnsi="宋体" w:eastAsia="宋体" w:cs="Times New Roman"/>
                <w:color w:val="auto"/>
                <w:szCs w:val="21"/>
              </w:rPr>
            </w:pPr>
            <w:r>
              <w:rPr>
                <w:rFonts w:ascii="宋体" w:hAnsi="宋体" w:eastAsia="宋体" w:cs="Times New Roman"/>
                <w:color w:val="auto"/>
                <w:szCs w:val="21"/>
              </w:rPr>
              <w:t>理解创意设计与科技、环境艺术与工程技术、艺术与生物技术的融合方法，能够进行跨学科的创新设计</w:t>
            </w:r>
          </w:p>
        </w:tc>
        <w:tc>
          <w:tcPr>
            <w:tcW w:w="1495" w:type="dxa"/>
            <w:vAlign w:val="center"/>
          </w:tcPr>
          <w:p w14:paraId="140CC2B9">
            <w:pPr>
              <w:spacing w:line="276" w:lineRule="auto"/>
              <w:jc w:val="left"/>
              <w:rPr>
                <w:rFonts w:hint="eastAsia" w:ascii="宋体" w:hAnsi="宋体" w:eastAsia="宋体"/>
                <w:color w:val="auto"/>
              </w:rPr>
            </w:pPr>
            <w:r>
              <w:rPr>
                <w:rFonts w:ascii="宋体" w:hAnsi="宋体" w:eastAsia="宋体"/>
                <w:color w:val="auto"/>
              </w:rPr>
              <w:t>1.</w:t>
            </w:r>
            <w:r>
              <w:rPr>
                <w:rFonts w:hint="eastAsia" w:ascii="宋体" w:hAnsi="宋体" w:eastAsia="宋体"/>
                <w:color w:val="auto"/>
              </w:rPr>
              <w:t>小组</w:t>
            </w:r>
            <w:r>
              <w:rPr>
                <w:rFonts w:ascii="宋体" w:hAnsi="宋体" w:eastAsia="宋体"/>
                <w:color w:val="auto"/>
              </w:rPr>
              <w:t xml:space="preserve">讨论 </w:t>
            </w:r>
          </w:p>
          <w:p w14:paraId="4896E40F">
            <w:pPr>
              <w:spacing w:line="276" w:lineRule="auto"/>
              <w:jc w:val="left"/>
              <w:rPr>
                <w:rFonts w:hint="eastAsia" w:ascii="宋体" w:hAnsi="宋体" w:eastAsia="宋体"/>
                <w:color w:val="auto"/>
              </w:rPr>
            </w:pPr>
            <w:r>
              <w:rPr>
                <w:rFonts w:ascii="宋体" w:hAnsi="宋体" w:eastAsia="宋体"/>
                <w:color w:val="auto"/>
              </w:rPr>
              <w:t xml:space="preserve">2.方案展示 </w:t>
            </w:r>
          </w:p>
          <w:p w14:paraId="5FB7FDC5">
            <w:pPr>
              <w:spacing w:line="276" w:lineRule="auto"/>
              <w:jc w:val="left"/>
              <w:rPr>
                <w:rFonts w:hint="eastAsia" w:ascii="宋体" w:hAnsi="宋体" w:eastAsia="宋体"/>
                <w:color w:val="auto"/>
              </w:rPr>
            </w:pPr>
            <w:r>
              <w:rPr>
                <w:rFonts w:ascii="宋体" w:hAnsi="宋体" w:eastAsia="宋体"/>
                <w:color w:val="auto"/>
              </w:rPr>
              <w:t>3.</w:t>
            </w:r>
            <w:r>
              <w:rPr>
                <w:rFonts w:hint="eastAsia" w:ascii="宋体" w:hAnsi="宋体" w:eastAsia="宋体"/>
                <w:color w:val="auto"/>
              </w:rPr>
              <w:t>STEAM</w:t>
            </w:r>
            <w:r>
              <w:rPr>
                <w:rFonts w:ascii="宋体" w:hAnsi="宋体" w:eastAsia="宋体"/>
                <w:color w:val="auto"/>
              </w:rPr>
              <w:t xml:space="preserve">制作 </w:t>
            </w:r>
          </w:p>
          <w:p w14:paraId="308F651B">
            <w:pPr>
              <w:spacing w:line="276" w:lineRule="auto"/>
              <w:jc w:val="left"/>
              <w:rPr>
                <w:rFonts w:hint="eastAsia" w:ascii="宋体" w:hAnsi="宋体" w:eastAsia="宋体" w:cs="Times New Roman"/>
                <w:color w:val="auto"/>
                <w:szCs w:val="21"/>
              </w:rPr>
            </w:pPr>
            <w:r>
              <w:rPr>
                <w:rFonts w:ascii="宋体" w:hAnsi="宋体" w:eastAsia="宋体"/>
                <w:color w:val="auto"/>
              </w:rPr>
              <w:t>4.成果汇报与评价</w:t>
            </w:r>
          </w:p>
        </w:tc>
        <w:tc>
          <w:tcPr>
            <w:tcW w:w="578" w:type="dxa"/>
            <w:vAlign w:val="center"/>
          </w:tcPr>
          <w:p w14:paraId="08267DED">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5+8</w:t>
            </w:r>
          </w:p>
        </w:tc>
      </w:tr>
      <w:tr w14:paraId="7ADC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366EE34B">
            <w:pPr>
              <w:spacing w:line="276" w:lineRule="auto"/>
              <w:jc w:val="center"/>
              <w:rPr>
                <w:rFonts w:hint="eastAsia" w:ascii="宋体" w:hAnsi="宋体" w:eastAsia="宋体" w:cs="Times New Roman"/>
                <w:color w:val="auto"/>
                <w:szCs w:val="21"/>
              </w:rPr>
            </w:pPr>
          </w:p>
        </w:tc>
        <w:tc>
          <w:tcPr>
            <w:tcW w:w="8310" w:type="dxa"/>
            <w:gridSpan w:val="5"/>
            <w:vAlign w:val="center"/>
          </w:tcPr>
          <w:p w14:paraId="571279EE">
            <w:pPr>
              <w:spacing w:line="276"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培养学生的社会责任感和创新精神，理解科技与社会发展的关系，树立正确的价值观念，认识STEAM课程建设在社会变迁与经济发展中的重要作用。引导学生关注可持续发展和环保理念，培养绿色思维和可持续发展的实践能力，促进绿色教育理念在课程设计中的应用。</w:t>
            </w:r>
          </w:p>
        </w:tc>
      </w:tr>
    </w:tbl>
    <w:p w14:paraId="76B9158E">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4"/>
          <w:szCs w:val="24"/>
        </w:rPr>
        <w:t>四、目标评价与成绩评定</w:t>
      </w:r>
    </w:p>
    <w:p w14:paraId="357CEB7D">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1462DA7A">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118"/>
        <w:gridCol w:w="1118"/>
        <w:gridCol w:w="1118"/>
        <w:gridCol w:w="1118"/>
        <w:gridCol w:w="1118"/>
        <w:gridCol w:w="1120"/>
        <w:gridCol w:w="569"/>
      </w:tblGrid>
      <w:tr w14:paraId="626D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Merge w:val="restart"/>
            <w:vAlign w:val="center"/>
          </w:tcPr>
          <w:p w14:paraId="32FB48B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6710" w:type="dxa"/>
            <w:gridSpan w:val="6"/>
            <w:vAlign w:val="center"/>
          </w:tcPr>
          <w:p w14:paraId="6D223B1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5542100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1154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Merge w:val="continue"/>
            <w:vAlign w:val="center"/>
          </w:tcPr>
          <w:p w14:paraId="11518D3C">
            <w:pPr>
              <w:spacing w:line="360" w:lineRule="auto"/>
              <w:jc w:val="center"/>
              <w:rPr>
                <w:rFonts w:hint="eastAsia" w:ascii="宋体" w:hAnsi="宋体" w:eastAsia="宋体" w:cs="Times New Roman"/>
                <w:color w:val="auto"/>
                <w:szCs w:val="21"/>
              </w:rPr>
            </w:pPr>
          </w:p>
        </w:tc>
        <w:tc>
          <w:tcPr>
            <w:tcW w:w="1118" w:type="dxa"/>
            <w:vAlign w:val="center"/>
          </w:tcPr>
          <w:p w14:paraId="18BA6398">
            <w:pPr>
              <w:jc w:val="center"/>
              <w:rPr>
                <w:rFonts w:hint="eastAsia" w:ascii="宋体" w:hAnsi="宋体" w:eastAsia="宋体" w:cs="Times New Roman"/>
                <w:color w:val="auto"/>
                <w:szCs w:val="21"/>
              </w:rPr>
            </w:pPr>
            <w:r>
              <w:rPr>
                <w:rFonts w:hint="eastAsia" w:ascii="宋体" w:hAnsi="宋体" w:eastAsia="宋体" w:cs="Times New Roman"/>
                <w:color w:val="auto"/>
                <w:szCs w:val="21"/>
              </w:rPr>
              <w:t>课堂</w:t>
            </w:r>
          </w:p>
          <w:p w14:paraId="00A40301">
            <w:pPr>
              <w:jc w:val="center"/>
              <w:rPr>
                <w:rFonts w:hint="eastAsia" w:ascii="宋体" w:hAnsi="宋体" w:eastAsia="宋体" w:cs="Times New Roman"/>
                <w:color w:val="auto"/>
                <w:szCs w:val="21"/>
              </w:rPr>
            </w:pPr>
            <w:r>
              <w:rPr>
                <w:rFonts w:hint="eastAsia" w:ascii="宋体" w:hAnsi="宋体" w:eastAsia="宋体" w:cs="Times New Roman"/>
                <w:color w:val="auto"/>
                <w:szCs w:val="21"/>
              </w:rPr>
              <w:t>表现</w:t>
            </w:r>
          </w:p>
        </w:tc>
        <w:tc>
          <w:tcPr>
            <w:tcW w:w="1118" w:type="dxa"/>
            <w:vAlign w:val="center"/>
          </w:tcPr>
          <w:p w14:paraId="54330B47">
            <w:pPr>
              <w:jc w:val="center"/>
              <w:rPr>
                <w:rFonts w:hint="eastAsia" w:ascii="宋体" w:hAnsi="宋体" w:eastAsia="宋体" w:cs="Times New Roman"/>
                <w:color w:val="auto"/>
                <w:szCs w:val="21"/>
              </w:rPr>
            </w:pPr>
            <w:r>
              <w:rPr>
                <w:rFonts w:hint="eastAsia" w:ascii="宋体" w:hAnsi="宋体" w:eastAsia="宋体" w:cs="Times New Roman"/>
                <w:color w:val="auto"/>
                <w:szCs w:val="21"/>
              </w:rPr>
              <w:t>实验</w:t>
            </w:r>
          </w:p>
          <w:p w14:paraId="2F13E66D">
            <w:pPr>
              <w:jc w:val="center"/>
              <w:rPr>
                <w:rFonts w:hint="eastAsia" w:ascii="宋体" w:hAnsi="宋体" w:eastAsia="宋体" w:cs="Times New Roman"/>
                <w:color w:val="auto"/>
                <w:szCs w:val="21"/>
              </w:rPr>
            </w:pPr>
            <w:r>
              <w:rPr>
                <w:rFonts w:hint="eastAsia" w:ascii="宋体" w:hAnsi="宋体" w:eastAsia="宋体" w:cs="Times New Roman"/>
                <w:color w:val="auto"/>
                <w:szCs w:val="21"/>
              </w:rPr>
              <w:t>报告</w:t>
            </w:r>
          </w:p>
        </w:tc>
        <w:tc>
          <w:tcPr>
            <w:tcW w:w="1118" w:type="dxa"/>
            <w:vAlign w:val="center"/>
          </w:tcPr>
          <w:p w14:paraId="297BABC2">
            <w:pPr>
              <w:jc w:val="center"/>
              <w:rPr>
                <w:rFonts w:hint="eastAsia" w:ascii="宋体" w:hAnsi="宋体" w:eastAsia="宋体" w:cs="Times New Roman"/>
                <w:color w:val="auto"/>
                <w:szCs w:val="21"/>
              </w:rPr>
            </w:pPr>
            <w:r>
              <w:rPr>
                <w:rFonts w:hint="eastAsia" w:ascii="宋体" w:hAnsi="宋体" w:eastAsia="宋体" w:cs="Times New Roman"/>
                <w:color w:val="auto"/>
                <w:szCs w:val="21"/>
              </w:rPr>
              <w:t>实验作品</w:t>
            </w:r>
          </w:p>
        </w:tc>
        <w:tc>
          <w:tcPr>
            <w:tcW w:w="1118" w:type="dxa"/>
            <w:vAlign w:val="center"/>
          </w:tcPr>
          <w:p w14:paraId="0878ED63">
            <w:pPr>
              <w:jc w:val="center"/>
              <w:rPr>
                <w:rFonts w:hint="eastAsia" w:ascii="宋体" w:hAnsi="宋体" w:eastAsia="宋体" w:cs="Times New Roman"/>
                <w:color w:val="auto"/>
                <w:szCs w:val="21"/>
              </w:rPr>
            </w:pPr>
            <w:r>
              <w:rPr>
                <w:rFonts w:hint="eastAsia" w:ascii="宋体" w:hAnsi="宋体" w:eastAsia="宋体" w:cs="Times New Roman"/>
                <w:color w:val="auto"/>
                <w:szCs w:val="21"/>
              </w:rPr>
              <w:t>实验课程设计</w:t>
            </w:r>
          </w:p>
        </w:tc>
        <w:tc>
          <w:tcPr>
            <w:tcW w:w="1118" w:type="dxa"/>
            <w:vAlign w:val="center"/>
          </w:tcPr>
          <w:p w14:paraId="223797C4">
            <w:pPr>
              <w:jc w:val="center"/>
              <w:rPr>
                <w:rFonts w:hint="eastAsia" w:ascii="宋体" w:hAnsi="宋体" w:eastAsia="宋体" w:cs="Times New Roman"/>
                <w:color w:val="auto"/>
                <w:szCs w:val="21"/>
              </w:rPr>
            </w:pPr>
            <w:r>
              <w:rPr>
                <w:rFonts w:hint="eastAsia" w:ascii="宋体" w:hAnsi="宋体" w:eastAsia="宋体" w:cs="Times New Roman"/>
                <w:color w:val="auto"/>
                <w:szCs w:val="21"/>
              </w:rPr>
              <w:t>实验教学演示</w:t>
            </w:r>
          </w:p>
        </w:tc>
        <w:tc>
          <w:tcPr>
            <w:tcW w:w="1120" w:type="dxa"/>
          </w:tcPr>
          <w:p w14:paraId="5E9A4ED5">
            <w:pPr>
              <w:jc w:val="center"/>
              <w:rPr>
                <w:rFonts w:hint="eastAsia" w:ascii="宋体" w:hAnsi="宋体" w:eastAsia="宋体" w:cs="Times New Roman"/>
                <w:color w:val="auto"/>
                <w:szCs w:val="21"/>
              </w:rPr>
            </w:pPr>
            <w:r>
              <w:rPr>
                <w:rFonts w:hint="eastAsia" w:ascii="宋体" w:hAnsi="宋体" w:eastAsia="宋体" w:cs="Times New Roman"/>
                <w:color w:val="auto"/>
                <w:szCs w:val="21"/>
              </w:rPr>
              <w:t>期末</w:t>
            </w:r>
          </w:p>
          <w:p w14:paraId="49C5FD27">
            <w:pPr>
              <w:jc w:val="center"/>
              <w:rPr>
                <w:rFonts w:hint="eastAsia" w:ascii="宋体" w:hAnsi="宋体" w:eastAsia="宋体" w:cs="Times New Roman"/>
                <w:color w:val="auto"/>
                <w:szCs w:val="21"/>
              </w:rPr>
            </w:pPr>
            <w:r>
              <w:rPr>
                <w:rFonts w:hint="eastAsia" w:ascii="宋体" w:hAnsi="宋体" w:eastAsia="宋体" w:cs="Times New Roman"/>
                <w:color w:val="auto"/>
                <w:szCs w:val="21"/>
              </w:rPr>
              <w:t>考试</w:t>
            </w:r>
          </w:p>
        </w:tc>
        <w:tc>
          <w:tcPr>
            <w:tcW w:w="0" w:type="auto"/>
            <w:vMerge w:val="continue"/>
            <w:vAlign w:val="center"/>
          </w:tcPr>
          <w:p w14:paraId="4B8D932D">
            <w:pPr>
              <w:spacing w:line="360" w:lineRule="auto"/>
              <w:jc w:val="center"/>
              <w:rPr>
                <w:rFonts w:hint="eastAsia" w:ascii="宋体" w:hAnsi="宋体" w:eastAsia="宋体" w:cs="Times New Roman"/>
                <w:color w:val="auto"/>
                <w:szCs w:val="21"/>
              </w:rPr>
            </w:pPr>
          </w:p>
        </w:tc>
      </w:tr>
      <w:tr w14:paraId="0C85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center"/>
          </w:tcPr>
          <w:p w14:paraId="6034F1C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118" w:type="dxa"/>
            <w:vAlign w:val="center"/>
          </w:tcPr>
          <w:p w14:paraId="6A2D4A6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18" w:type="dxa"/>
            <w:vAlign w:val="center"/>
          </w:tcPr>
          <w:p w14:paraId="668BE75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18" w:type="dxa"/>
            <w:vAlign w:val="center"/>
          </w:tcPr>
          <w:p w14:paraId="203809D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18" w:type="dxa"/>
            <w:vAlign w:val="center"/>
          </w:tcPr>
          <w:p w14:paraId="20DD7CC1">
            <w:pPr>
              <w:spacing w:line="360" w:lineRule="auto"/>
              <w:jc w:val="center"/>
              <w:rPr>
                <w:rFonts w:hint="eastAsia" w:ascii="宋体" w:hAnsi="宋体" w:eastAsia="宋体" w:cs="Times New Roman"/>
                <w:color w:val="auto"/>
                <w:szCs w:val="21"/>
              </w:rPr>
            </w:pPr>
          </w:p>
        </w:tc>
        <w:tc>
          <w:tcPr>
            <w:tcW w:w="1118" w:type="dxa"/>
            <w:vAlign w:val="center"/>
          </w:tcPr>
          <w:p w14:paraId="6C07CC2E">
            <w:pPr>
              <w:spacing w:line="360" w:lineRule="auto"/>
              <w:jc w:val="center"/>
              <w:rPr>
                <w:rFonts w:hint="eastAsia" w:ascii="宋体" w:hAnsi="宋体" w:eastAsia="宋体" w:cs="Times New Roman"/>
                <w:color w:val="auto"/>
                <w:szCs w:val="21"/>
              </w:rPr>
            </w:pPr>
          </w:p>
        </w:tc>
        <w:tc>
          <w:tcPr>
            <w:tcW w:w="1120" w:type="dxa"/>
            <w:vAlign w:val="center"/>
          </w:tcPr>
          <w:p w14:paraId="0230F94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BD7AFF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2776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center"/>
          </w:tcPr>
          <w:p w14:paraId="00959C6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118" w:type="dxa"/>
            <w:vAlign w:val="center"/>
          </w:tcPr>
          <w:p w14:paraId="069D2C9A">
            <w:pPr>
              <w:spacing w:line="360" w:lineRule="auto"/>
              <w:jc w:val="center"/>
              <w:rPr>
                <w:rFonts w:hint="eastAsia" w:ascii="宋体" w:hAnsi="宋体" w:eastAsia="宋体" w:cs="Times New Roman"/>
                <w:color w:val="auto"/>
                <w:szCs w:val="21"/>
              </w:rPr>
            </w:pPr>
          </w:p>
        </w:tc>
        <w:tc>
          <w:tcPr>
            <w:tcW w:w="1118" w:type="dxa"/>
            <w:vAlign w:val="center"/>
          </w:tcPr>
          <w:p w14:paraId="56C4D0FC">
            <w:pPr>
              <w:spacing w:line="360" w:lineRule="auto"/>
              <w:jc w:val="center"/>
              <w:rPr>
                <w:rFonts w:hint="eastAsia" w:ascii="宋体" w:hAnsi="宋体" w:eastAsia="宋体" w:cs="Times New Roman"/>
                <w:color w:val="auto"/>
                <w:szCs w:val="21"/>
              </w:rPr>
            </w:pPr>
          </w:p>
        </w:tc>
        <w:tc>
          <w:tcPr>
            <w:tcW w:w="1118" w:type="dxa"/>
            <w:vAlign w:val="center"/>
          </w:tcPr>
          <w:p w14:paraId="57922BF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18" w:type="dxa"/>
            <w:vAlign w:val="center"/>
          </w:tcPr>
          <w:p w14:paraId="1DAEA51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18" w:type="dxa"/>
            <w:vAlign w:val="center"/>
          </w:tcPr>
          <w:p w14:paraId="4FFF1EF8">
            <w:pPr>
              <w:spacing w:line="360" w:lineRule="auto"/>
              <w:jc w:val="center"/>
              <w:rPr>
                <w:rFonts w:hint="eastAsia" w:ascii="宋体" w:hAnsi="宋体" w:eastAsia="宋体" w:cs="Times New Roman"/>
                <w:color w:val="auto"/>
                <w:szCs w:val="21"/>
              </w:rPr>
            </w:pPr>
          </w:p>
        </w:tc>
        <w:tc>
          <w:tcPr>
            <w:tcW w:w="1120" w:type="dxa"/>
            <w:vAlign w:val="center"/>
          </w:tcPr>
          <w:p w14:paraId="0953E6D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2CC6CC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570E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center"/>
          </w:tcPr>
          <w:p w14:paraId="1057ACF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1118" w:type="dxa"/>
            <w:vAlign w:val="center"/>
          </w:tcPr>
          <w:p w14:paraId="0E92F5B2">
            <w:pPr>
              <w:spacing w:line="360" w:lineRule="auto"/>
              <w:jc w:val="center"/>
              <w:rPr>
                <w:rFonts w:hint="eastAsia" w:ascii="宋体" w:hAnsi="宋体" w:eastAsia="宋体" w:cs="Times New Roman"/>
                <w:color w:val="auto"/>
                <w:szCs w:val="21"/>
              </w:rPr>
            </w:pPr>
          </w:p>
        </w:tc>
        <w:tc>
          <w:tcPr>
            <w:tcW w:w="1118" w:type="dxa"/>
            <w:vAlign w:val="center"/>
          </w:tcPr>
          <w:p w14:paraId="36E8541A">
            <w:pPr>
              <w:spacing w:line="360" w:lineRule="auto"/>
              <w:jc w:val="center"/>
              <w:rPr>
                <w:rFonts w:hint="eastAsia" w:ascii="宋体" w:hAnsi="宋体" w:eastAsia="宋体" w:cs="Times New Roman"/>
                <w:color w:val="auto"/>
                <w:szCs w:val="21"/>
              </w:rPr>
            </w:pPr>
          </w:p>
        </w:tc>
        <w:tc>
          <w:tcPr>
            <w:tcW w:w="1118" w:type="dxa"/>
            <w:vAlign w:val="center"/>
          </w:tcPr>
          <w:p w14:paraId="09EF4A42">
            <w:pPr>
              <w:spacing w:line="360" w:lineRule="auto"/>
              <w:jc w:val="center"/>
              <w:rPr>
                <w:rFonts w:hint="eastAsia" w:ascii="宋体" w:hAnsi="宋体" w:eastAsia="宋体" w:cs="Times New Roman"/>
                <w:color w:val="auto"/>
                <w:szCs w:val="21"/>
              </w:rPr>
            </w:pPr>
          </w:p>
        </w:tc>
        <w:tc>
          <w:tcPr>
            <w:tcW w:w="1118" w:type="dxa"/>
            <w:vAlign w:val="center"/>
          </w:tcPr>
          <w:p w14:paraId="3C006D2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18" w:type="dxa"/>
            <w:vAlign w:val="center"/>
          </w:tcPr>
          <w:p w14:paraId="7768BE0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20" w:type="dxa"/>
            <w:vAlign w:val="center"/>
          </w:tcPr>
          <w:p w14:paraId="084EB6E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ECAD9B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6B79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center"/>
          </w:tcPr>
          <w:p w14:paraId="509922A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118" w:type="dxa"/>
            <w:vAlign w:val="center"/>
          </w:tcPr>
          <w:p w14:paraId="1DD25B73">
            <w:pPr>
              <w:spacing w:line="360" w:lineRule="auto"/>
              <w:jc w:val="center"/>
              <w:rPr>
                <w:rFonts w:hint="eastAsia" w:ascii="宋体" w:hAnsi="宋体" w:eastAsia="宋体" w:cs="Times New Roman"/>
                <w:color w:val="auto"/>
                <w:szCs w:val="21"/>
              </w:rPr>
            </w:pPr>
          </w:p>
        </w:tc>
        <w:tc>
          <w:tcPr>
            <w:tcW w:w="1118" w:type="dxa"/>
            <w:vAlign w:val="center"/>
          </w:tcPr>
          <w:p w14:paraId="2A0AFFE7">
            <w:pPr>
              <w:spacing w:line="360" w:lineRule="auto"/>
              <w:jc w:val="center"/>
              <w:rPr>
                <w:rFonts w:hint="eastAsia" w:ascii="宋体" w:hAnsi="宋体" w:eastAsia="宋体" w:cs="Times New Roman"/>
                <w:color w:val="auto"/>
                <w:szCs w:val="21"/>
              </w:rPr>
            </w:pPr>
          </w:p>
        </w:tc>
        <w:tc>
          <w:tcPr>
            <w:tcW w:w="1118" w:type="dxa"/>
            <w:vAlign w:val="center"/>
          </w:tcPr>
          <w:p w14:paraId="03081272">
            <w:pPr>
              <w:spacing w:line="360" w:lineRule="auto"/>
              <w:jc w:val="center"/>
              <w:rPr>
                <w:rFonts w:hint="eastAsia" w:ascii="宋体" w:hAnsi="宋体" w:eastAsia="宋体" w:cs="Times New Roman"/>
                <w:color w:val="auto"/>
                <w:szCs w:val="21"/>
              </w:rPr>
            </w:pPr>
          </w:p>
        </w:tc>
        <w:tc>
          <w:tcPr>
            <w:tcW w:w="1118" w:type="dxa"/>
            <w:vAlign w:val="center"/>
          </w:tcPr>
          <w:p w14:paraId="67B84480">
            <w:pPr>
              <w:spacing w:line="360" w:lineRule="auto"/>
              <w:jc w:val="center"/>
              <w:rPr>
                <w:rFonts w:hint="eastAsia" w:ascii="宋体" w:hAnsi="宋体" w:eastAsia="宋体" w:cs="Times New Roman"/>
                <w:color w:val="auto"/>
                <w:szCs w:val="21"/>
              </w:rPr>
            </w:pPr>
          </w:p>
        </w:tc>
        <w:tc>
          <w:tcPr>
            <w:tcW w:w="1118" w:type="dxa"/>
            <w:vAlign w:val="center"/>
          </w:tcPr>
          <w:p w14:paraId="2328DF56">
            <w:pPr>
              <w:spacing w:line="360" w:lineRule="auto"/>
              <w:jc w:val="center"/>
              <w:rPr>
                <w:rFonts w:hint="eastAsia" w:ascii="宋体" w:hAnsi="宋体" w:eastAsia="宋体" w:cs="Times New Roman"/>
                <w:color w:val="auto"/>
                <w:szCs w:val="21"/>
              </w:rPr>
            </w:pPr>
          </w:p>
        </w:tc>
        <w:tc>
          <w:tcPr>
            <w:tcW w:w="1120" w:type="dxa"/>
          </w:tcPr>
          <w:p w14:paraId="720CA1E2">
            <w:pPr>
              <w:spacing w:line="360" w:lineRule="auto"/>
              <w:jc w:val="center"/>
              <w:rPr>
                <w:rFonts w:hint="eastAsia" w:ascii="宋体" w:hAnsi="宋体" w:eastAsia="宋体" w:cs="Times New Roman"/>
                <w:color w:val="auto"/>
                <w:szCs w:val="21"/>
              </w:rPr>
            </w:pPr>
          </w:p>
        </w:tc>
        <w:tc>
          <w:tcPr>
            <w:tcW w:w="0" w:type="auto"/>
            <w:vAlign w:val="center"/>
          </w:tcPr>
          <w:p w14:paraId="69AB4B6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22AD022B">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6238F32D">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6E4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38F0733">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3114156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6A86F7FF">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6C47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265B4B15">
            <w:pPr>
              <w:rPr>
                <w:rFonts w:hint="eastAsia" w:ascii="宋体" w:hAnsi="宋体" w:eastAsia="宋体" w:cs="Times New Roman"/>
                <w:color w:val="auto"/>
                <w:szCs w:val="21"/>
              </w:rPr>
            </w:pPr>
            <w:r>
              <w:rPr>
                <w:rFonts w:hint="eastAsia" w:ascii="宋体" w:hAnsi="宋体" w:eastAsia="宋体"/>
                <w:color w:val="auto"/>
              </w:rPr>
              <w:t>课堂表现</w:t>
            </w:r>
          </w:p>
        </w:tc>
        <w:tc>
          <w:tcPr>
            <w:tcW w:w="7141" w:type="dxa"/>
          </w:tcPr>
          <w:p w14:paraId="175C38DA">
            <w:pPr>
              <w:spacing w:line="264" w:lineRule="auto"/>
              <w:jc w:val="left"/>
              <w:rPr>
                <w:rFonts w:hint="eastAsia" w:ascii="宋体" w:hAnsi="宋体" w:eastAsia="宋体" w:cs="Times New Roman"/>
                <w:color w:val="auto"/>
                <w:szCs w:val="21"/>
              </w:rPr>
            </w:pPr>
            <w:r>
              <w:rPr>
                <w:rFonts w:hint="eastAsia" w:ascii="宋体" w:hAnsi="宋体" w:eastAsia="宋体"/>
                <w:color w:val="auto"/>
              </w:rPr>
              <w:t>包括课题考勤和课堂参与情况：迟到一次扣2分，无故缺席一次扣5分，累计达3次以上取消课程成绩；课堂参与情况通过实验操作、课堂讨论与交流表现进行综合评定。</w:t>
            </w:r>
          </w:p>
        </w:tc>
        <w:tc>
          <w:tcPr>
            <w:tcW w:w="0" w:type="auto"/>
          </w:tcPr>
          <w:p w14:paraId="47FDBCF7">
            <w:pPr>
              <w:jc w:val="center"/>
              <w:rPr>
                <w:rFonts w:hint="eastAsia" w:ascii="宋体" w:hAnsi="宋体" w:eastAsia="宋体" w:cs="Times New Roman"/>
                <w:color w:val="auto"/>
                <w:szCs w:val="21"/>
              </w:rPr>
            </w:pPr>
            <w:r>
              <w:rPr>
                <w:rFonts w:hint="eastAsia" w:ascii="宋体" w:hAnsi="宋体" w:eastAsia="宋体"/>
                <w:color w:val="auto"/>
              </w:rPr>
              <w:t>10%</w:t>
            </w:r>
          </w:p>
        </w:tc>
      </w:tr>
      <w:tr w14:paraId="5A20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0154B4BE">
            <w:pPr>
              <w:rPr>
                <w:rFonts w:hint="eastAsia" w:ascii="宋体" w:hAnsi="宋体" w:eastAsia="宋体" w:cs="Times New Roman"/>
                <w:color w:val="auto"/>
                <w:szCs w:val="21"/>
              </w:rPr>
            </w:pPr>
            <w:r>
              <w:rPr>
                <w:rFonts w:hint="eastAsia" w:ascii="宋体" w:hAnsi="宋体" w:eastAsia="宋体"/>
                <w:color w:val="auto"/>
              </w:rPr>
              <w:t>实验报告</w:t>
            </w:r>
          </w:p>
        </w:tc>
        <w:tc>
          <w:tcPr>
            <w:tcW w:w="7141" w:type="dxa"/>
          </w:tcPr>
          <w:p w14:paraId="29A67E12">
            <w:pPr>
              <w:widowControl/>
              <w:spacing w:line="264" w:lineRule="auto"/>
              <w:jc w:val="left"/>
              <w:rPr>
                <w:rFonts w:hint="eastAsia" w:ascii="宋体" w:hAnsi="宋体" w:eastAsia="宋体" w:cs="Times New Roman"/>
                <w:color w:val="auto"/>
                <w:szCs w:val="21"/>
              </w:rPr>
            </w:pPr>
            <w:r>
              <w:rPr>
                <w:rFonts w:ascii="宋体" w:hAnsi="宋体" w:eastAsia="宋体"/>
                <w:color w:val="auto"/>
              </w:rPr>
              <w:t>学生在项目过程中完成的实验报告，考核实验数据记录的完整性、分析的逻辑性及总结的科学性，报告需符合STEAM课程的目标和要求。</w:t>
            </w:r>
          </w:p>
        </w:tc>
        <w:tc>
          <w:tcPr>
            <w:tcW w:w="0" w:type="auto"/>
          </w:tcPr>
          <w:p w14:paraId="733F2FFC">
            <w:pPr>
              <w:jc w:val="center"/>
              <w:rPr>
                <w:rFonts w:hint="eastAsia" w:ascii="宋体" w:hAnsi="宋体" w:eastAsia="宋体" w:cs="Times New Roman"/>
                <w:color w:val="auto"/>
                <w:szCs w:val="21"/>
              </w:rPr>
            </w:pPr>
            <w:r>
              <w:rPr>
                <w:rFonts w:hint="eastAsia" w:ascii="宋体" w:hAnsi="宋体" w:eastAsia="宋体"/>
                <w:color w:val="auto"/>
              </w:rPr>
              <w:t>15%</w:t>
            </w:r>
          </w:p>
        </w:tc>
      </w:tr>
      <w:tr w14:paraId="1D72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3736387B">
            <w:pPr>
              <w:rPr>
                <w:rFonts w:hint="eastAsia" w:ascii="宋体" w:hAnsi="宋体" w:eastAsia="宋体" w:cs="Times New Roman"/>
                <w:color w:val="auto"/>
                <w:szCs w:val="21"/>
              </w:rPr>
            </w:pPr>
            <w:r>
              <w:rPr>
                <w:rFonts w:hint="eastAsia" w:ascii="宋体" w:hAnsi="宋体" w:eastAsia="宋体"/>
                <w:color w:val="auto"/>
              </w:rPr>
              <w:t>实验作品</w:t>
            </w:r>
          </w:p>
        </w:tc>
        <w:tc>
          <w:tcPr>
            <w:tcW w:w="7141" w:type="dxa"/>
          </w:tcPr>
          <w:p w14:paraId="3621A073">
            <w:pPr>
              <w:widowControl/>
              <w:spacing w:line="264" w:lineRule="auto"/>
              <w:jc w:val="left"/>
              <w:rPr>
                <w:rFonts w:hint="eastAsia" w:ascii="宋体" w:hAnsi="宋体" w:eastAsia="宋体" w:cs="宋体"/>
                <w:color w:val="auto"/>
                <w:kern w:val="0"/>
                <w:szCs w:val="21"/>
                <w:lang w:bidi="ar"/>
              </w:rPr>
            </w:pPr>
            <w:r>
              <w:rPr>
                <w:rFonts w:ascii="宋体" w:hAnsi="宋体" w:eastAsia="宋体"/>
                <w:color w:val="auto"/>
              </w:rPr>
              <w:t>针对STEAM课程设计并完成的作品，考查学生作品的科学性、创新性及教学适用性，包括实验模型制作或实验展示等成果，评分注重作品对教学的实际指导意义。</w:t>
            </w:r>
          </w:p>
        </w:tc>
        <w:tc>
          <w:tcPr>
            <w:tcW w:w="0" w:type="auto"/>
          </w:tcPr>
          <w:p w14:paraId="4315267B">
            <w:pPr>
              <w:jc w:val="center"/>
              <w:rPr>
                <w:rFonts w:hint="eastAsia" w:ascii="宋体" w:hAnsi="宋体" w:eastAsia="宋体" w:cs="Times New Roman"/>
                <w:color w:val="auto"/>
                <w:szCs w:val="21"/>
              </w:rPr>
            </w:pPr>
            <w:r>
              <w:rPr>
                <w:rFonts w:hint="eastAsia" w:ascii="宋体" w:hAnsi="宋体" w:eastAsia="宋体"/>
                <w:color w:val="auto"/>
              </w:rPr>
              <w:t>15%</w:t>
            </w:r>
          </w:p>
        </w:tc>
      </w:tr>
      <w:tr w14:paraId="7A11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3D63BE04">
            <w:pPr>
              <w:rPr>
                <w:rFonts w:hint="eastAsia" w:ascii="宋体" w:hAnsi="宋体" w:eastAsia="宋体" w:cs="Times New Roman"/>
                <w:color w:val="auto"/>
                <w:szCs w:val="21"/>
              </w:rPr>
            </w:pPr>
            <w:r>
              <w:rPr>
                <w:rFonts w:hint="eastAsia" w:ascii="宋体" w:hAnsi="宋体" w:eastAsia="宋体"/>
                <w:color w:val="auto"/>
              </w:rPr>
              <w:t>实验教学设计</w:t>
            </w:r>
          </w:p>
        </w:tc>
        <w:tc>
          <w:tcPr>
            <w:tcW w:w="7141" w:type="dxa"/>
          </w:tcPr>
          <w:p w14:paraId="367D6EBA">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olor w:val="auto"/>
              </w:rPr>
              <w:t>根据实验内容完成小学科学实验的教学设计，评分依据为设计的科学性、合理性、创新性及其在小学课堂中的实际应用价值，考察学生科学知识与教学方法的整合能力。</w:t>
            </w:r>
          </w:p>
        </w:tc>
        <w:tc>
          <w:tcPr>
            <w:tcW w:w="0" w:type="auto"/>
          </w:tcPr>
          <w:p w14:paraId="050DB628">
            <w:pPr>
              <w:jc w:val="center"/>
              <w:rPr>
                <w:rFonts w:hint="eastAsia" w:ascii="宋体" w:hAnsi="宋体" w:eastAsia="宋体" w:cs="Times New Roman"/>
                <w:color w:val="auto"/>
                <w:szCs w:val="21"/>
              </w:rPr>
            </w:pPr>
            <w:r>
              <w:rPr>
                <w:rFonts w:hint="eastAsia" w:ascii="宋体" w:hAnsi="宋体" w:eastAsia="宋体"/>
                <w:color w:val="auto"/>
              </w:rPr>
              <w:t>20%</w:t>
            </w:r>
          </w:p>
        </w:tc>
      </w:tr>
      <w:tr w14:paraId="5C70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92C057A">
            <w:pPr>
              <w:rPr>
                <w:rFonts w:hint="eastAsia" w:ascii="宋体" w:hAnsi="宋体" w:eastAsia="宋体" w:cs="Times New Roman"/>
                <w:color w:val="auto"/>
                <w:szCs w:val="21"/>
              </w:rPr>
            </w:pPr>
            <w:r>
              <w:rPr>
                <w:rFonts w:hint="eastAsia" w:ascii="宋体" w:hAnsi="宋体" w:eastAsia="宋体"/>
                <w:color w:val="auto"/>
              </w:rPr>
              <w:t>实验教学演示</w:t>
            </w:r>
          </w:p>
        </w:tc>
        <w:tc>
          <w:tcPr>
            <w:tcW w:w="7141" w:type="dxa"/>
          </w:tcPr>
          <w:p w14:paraId="48DAE2FA">
            <w:pPr>
              <w:spacing w:line="264" w:lineRule="auto"/>
              <w:jc w:val="left"/>
              <w:rPr>
                <w:rFonts w:hint="eastAsia" w:ascii="宋体" w:hAnsi="宋体" w:eastAsia="宋体" w:cs="Times New Roman"/>
                <w:color w:val="auto"/>
                <w:szCs w:val="21"/>
              </w:rPr>
            </w:pPr>
            <w:r>
              <w:rPr>
                <w:rFonts w:ascii="宋体" w:hAnsi="宋体" w:eastAsia="宋体"/>
                <w:color w:val="auto"/>
              </w:rPr>
              <w:t>通过模拟课堂或实验指导环节进行演示，考察学生的课堂教学组织能力、实验指导能力及与学生互动的表现，注重教学语言、表达逻辑和实验操作演示的流畅性。</w:t>
            </w:r>
          </w:p>
        </w:tc>
        <w:tc>
          <w:tcPr>
            <w:tcW w:w="0" w:type="auto"/>
          </w:tcPr>
          <w:p w14:paraId="10425981">
            <w:pPr>
              <w:jc w:val="center"/>
              <w:rPr>
                <w:rFonts w:hint="eastAsia" w:ascii="宋体" w:hAnsi="宋体" w:eastAsia="宋体" w:cs="Times New Roman"/>
                <w:color w:val="auto"/>
                <w:szCs w:val="21"/>
              </w:rPr>
            </w:pPr>
            <w:r>
              <w:rPr>
                <w:rFonts w:hint="eastAsia" w:ascii="宋体" w:hAnsi="宋体" w:eastAsia="宋体"/>
                <w:color w:val="auto"/>
              </w:rPr>
              <w:t>20%</w:t>
            </w:r>
          </w:p>
        </w:tc>
      </w:tr>
      <w:tr w14:paraId="5590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5ED3579A">
            <w:pPr>
              <w:rPr>
                <w:rFonts w:hint="eastAsia" w:ascii="宋体" w:hAnsi="宋体" w:eastAsia="宋体" w:cs="Times New Roman"/>
                <w:color w:val="auto"/>
                <w:szCs w:val="21"/>
              </w:rPr>
            </w:pPr>
            <w:r>
              <w:rPr>
                <w:rFonts w:hint="eastAsia" w:ascii="宋体" w:hAnsi="宋体" w:eastAsia="宋体"/>
                <w:color w:val="auto"/>
              </w:rPr>
              <w:t>期末考试</w:t>
            </w:r>
          </w:p>
        </w:tc>
        <w:tc>
          <w:tcPr>
            <w:tcW w:w="7141" w:type="dxa"/>
          </w:tcPr>
          <w:p w14:paraId="6CD49A77">
            <w:pPr>
              <w:spacing w:line="264" w:lineRule="auto"/>
              <w:jc w:val="left"/>
              <w:rPr>
                <w:rFonts w:hint="eastAsia" w:ascii="宋体" w:hAnsi="宋体" w:eastAsia="宋体" w:cs="Times New Roman"/>
                <w:color w:val="auto"/>
                <w:szCs w:val="21"/>
              </w:rPr>
            </w:pPr>
            <w:r>
              <w:rPr>
                <w:rFonts w:ascii="宋体" w:hAnsi="宋体" w:eastAsia="宋体"/>
                <w:color w:val="auto"/>
              </w:rPr>
              <w:t>试卷题型包括STEAM课程设计、简答题和案例分析题，以卷面成绩的50%计入课程总成绩。具体分值分配如下：课程设计占60%，重点考核学生设计跨学科综合性课程的能力；</w:t>
            </w:r>
            <w:r>
              <w:rPr>
                <w:rFonts w:hint="eastAsia" w:ascii="宋体" w:hAnsi="宋体" w:eastAsia="宋体"/>
                <w:color w:val="auto"/>
              </w:rPr>
              <w:t>简</w:t>
            </w:r>
            <w:r>
              <w:rPr>
                <w:rFonts w:ascii="宋体" w:hAnsi="宋体" w:eastAsia="宋体"/>
                <w:color w:val="auto"/>
              </w:rPr>
              <w:t>答题占20%，重点考核学生对</w:t>
            </w:r>
            <w:r>
              <w:rPr>
                <w:rFonts w:hint="eastAsia" w:ascii="宋体" w:hAnsi="宋体" w:eastAsia="宋体"/>
                <w:color w:val="auto"/>
              </w:rPr>
              <w:t>STEAM课程建设相关</w:t>
            </w:r>
            <w:r>
              <w:rPr>
                <w:rFonts w:ascii="宋体" w:hAnsi="宋体" w:eastAsia="宋体"/>
                <w:color w:val="auto"/>
              </w:rPr>
              <w:t>知识、方法及其应用的理解；案例分析题占20%，评估学生的</w:t>
            </w:r>
            <w:r>
              <w:rPr>
                <w:rFonts w:hint="eastAsia" w:ascii="宋体" w:hAnsi="宋体" w:eastAsia="宋体"/>
                <w:color w:val="auto"/>
              </w:rPr>
              <w:t>评价、</w:t>
            </w:r>
            <w:r>
              <w:rPr>
                <w:rFonts w:ascii="宋体" w:hAnsi="宋体" w:eastAsia="宋体"/>
                <w:color w:val="auto"/>
              </w:rPr>
              <w:t>反思能力和设计优化能力。</w:t>
            </w:r>
          </w:p>
        </w:tc>
        <w:tc>
          <w:tcPr>
            <w:tcW w:w="0" w:type="auto"/>
          </w:tcPr>
          <w:p w14:paraId="3336BA2C">
            <w:pPr>
              <w:jc w:val="center"/>
              <w:rPr>
                <w:rFonts w:hint="eastAsia" w:ascii="宋体" w:hAnsi="宋体" w:eastAsia="宋体" w:cs="Times New Roman"/>
                <w:color w:val="auto"/>
                <w:szCs w:val="21"/>
              </w:rPr>
            </w:pPr>
            <w:r>
              <w:rPr>
                <w:rFonts w:hint="eastAsia" w:ascii="宋体" w:hAnsi="宋体" w:eastAsia="宋体"/>
                <w:color w:val="auto"/>
              </w:rPr>
              <w:t>30%</w:t>
            </w:r>
          </w:p>
        </w:tc>
      </w:tr>
      <w:tr w14:paraId="3C87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53B9F1F">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4B5438A9">
            <w:pPr>
              <w:jc w:val="left"/>
              <w:rPr>
                <w:rFonts w:ascii="Times New Roman" w:hAnsi="Times New Roman" w:eastAsia="宋体" w:cs="Times New Roman"/>
                <w:color w:val="auto"/>
                <w:szCs w:val="21"/>
              </w:rPr>
            </w:pPr>
          </w:p>
        </w:tc>
        <w:tc>
          <w:tcPr>
            <w:tcW w:w="0" w:type="auto"/>
            <w:vAlign w:val="center"/>
          </w:tcPr>
          <w:p w14:paraId="790E816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03CF9B4E">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4E85BAC1">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51856F3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ascii="宋体" w:hAnsi="宋体" w:eastAsia="宋体" w:cs="Times New Roman"/>
          <w:color w:val="auto"/>
          <w:szCs w:val="21"/>
        </w:rPr>
        <w:object>
          <v:shape id="_x0000_i1075" o:spt="75" type="#_x0000_t75" style="height:25.6pt;width:404.55pt;" o:ole="t" filled="f" o:preferrelative="t" stroked="f" coordsize="21600,21600">
            <v:path/>
            <v:fill on="f" focussize="0,0"/>
            <v:stroke on="f" joinstyle="miter"/>
            <v:imagedata r:id="rId10" o:title=""/>
            <o:lock v:ext="edit" aspectratio="t"/>
            <w10:wrap type="none"/>
            <w10:anchorlock/>
          </v:shape>
          <o:OLEObject Type="Embed" ProgID="Equation.3" ShapeID="_x0000_i1075" DrawAspect="Content" ObjectID="_1468075774" r:id="rId61">
            <o:LockedField>false</o:LockedField>
          </o:OLEObject>
        </w:object>
      </w:r>
      <w:r>
        <w:rPr>
          <w:rFonts w:hint="eastAsia" w:ascii="Times New Roman" w:hAnsi="Times New Roman" w:eastAsia="宋体" w:cs="Times New Roman"/>
          <w:b/>
          <w:color w:val="auto"/>
          <w:sz w:val="24"/>
          <w:szCs w:val="24"/>
        </w:rPr>
        <w:t>五、课程实践</w:t>
      </w:r>
    </w:p>
    <w:p w14:paraId="07090780">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本课程在系统教学的基础上，以学生为主题，整合各类教育资源，科学设计实践活动，丰富教育教学形式，提升教育教学效果，从而实现思政育人。</w:t>
      </w:r>
    </w:p>
    <w:p w14:paraId="00715D8B">
      <w:pPr>
        <w:spacing w:line="276" w:lineRule="auto"/>
        <w:ind w:firstLine="422" w:firstLineChars="200"/>
        <w:jc w:val="center"/>
        <w:rPr>
          <w:rFonts w:hint="eastAsia" w:ascii="宋体" w:hAnsi="宋体" w:eastAsia="宋体" w:cs="宋体"/>
          <w:b/>
          <w:bCs/>
          <w:color w:val="auto"/>
          <w:szCs w:val="21"/>
        </w:rPr>
      </w:pPr>
      <w:r>
        <w:rPr>
          <w:rFonts w:hint="eastAsia" w:ascii="宋体" w:hAnsi="宋体" w:eastAsia="宋体" w:cs="宋体"/>
          <w:b/>
          <w:bCs/>
          <w:color w:val="auto"/>
          <w:szCs w:val="21"/>
        </w:rPr>
        <w:t>过程学习及考核</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613"/>
        <w:gridCol w:w="3122"/>
        <w:gridCol w:w="567"/>
        <w:gridCol w:w="1134"/>
        <w:gridCol w:w="567"/>
        <w:gridCol w:w="646"/>
      </w:tblGrid>
      <w:tr w14:paraId="5D82C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trPr>
        <w:tc>
          <w:tcPr>
            <w:tcW w:w="647" w:type="dxa"/>
            <w:tcBorders>
              <w:bottom w:val="single" w:color="auto" w:sz="0" w:space="0"/>
              <w:insideH w:val="single" w:sz="0" w:space="0"/>
            </w:tcBorders>
            <w:vAlign w:val="center"/>
          </w:tcPr>
          <w:p w14:paraId="181E5F23">
            <w:pPr>
              <w:pStyle w:val="39"/>
              <w:spacing w:before="0" w:after="0"/>
              <w:jc w:val="center"/>
              <w:rPr>
                <w:rFonts w:hint="eastAsia" w:ascii="宋体" w:hAnsi="宋体"/>
                <w:b/>
                <w:bCs/>
                <w:color w:val="auto"/>
                <w:sz w:val="21"/>
                <w:szCs w:val="21"/>
                <w:lang w:eastAsia="en-US"/>
              </w:rPr>
            </w:pPr>
            <w:r>
              <w:rPr>
                <w:rFonts w:hint="eastAsia" w:ascii="宋体" w:hAnsi="宋体"/>
                <w:b/>
                <w:bCs/>
                <w:color w:val="auto"/>
                <w:sz w:val="21"/>
                <w:szCs w:val="21"/>
                <w:lang w:eastAsia="en-US"/>
              </w:rPr>
              <w:t>序号</w:t>
            </w:r>
          </w:p>
        </w:tc>
        <w:tc>
          <w:tcPr>
            <w:tcW w:w="1613" w:type="dxa"/>
            <w:tcBorders>
              <w:bottom w:val="single" w:color="auto" w:sz="0" w:space="0"/>
              <w:insideH w:val="single" w:sz="0" w:space="0"/>
            </w:tcBorders>
            <w:vAlign w:val="center"/>
          </w:tcPr>
          <w:p w14:paraId="603479B0">
            <w:pPr>
              <w:pStyle w:val="39"/>
              <w:spacing w:before="0" w:after="0"/>
              <w:jc w:val="center"/>
              <w:rPr>
                <w:rFonts w:hint="eastAsia" w:ascii="宋体" w:hAnsi="宋体"/>
                <w:b/>
                <w:bCs/>
                <w:color w:val="auto"/>
                <w:sz w:val="21"/>
                <w:szCs w:val="21"/>
                <w:lang w:eastAsia="en-US"/>
              </w:rPr>
            </w:pPr>
            <w:r>
              <w:rPr>
                <w:rFonts w:hint="eastAsia" w:ascii="宋体" w:hAnsi="宋体"/>
                <w:b/>
                <w:bCs/>
                <w:color w:val="auto"/>
                <w:sz w:val="21"/>
                <w:szCs w:val="21"/>
                <w:lang w:eastAsia="en-US"/>
              </w:rPr>
              <w:t>实验项目名称</w:t>
            </w:r>
          </w:p>
        </w:tc>
        <w:tc>
          <w:tcPr>
            <w:tcW w:w="3122" w:type="dxa"/>
            <w:tcBorders>
              <w:bottom w:val="single" w:color="auto" w:sz="0" w:space="0"/>
              <w:insideH w:val="single" w:sz="0" w:space="0"/>
            </w:tcBorders>
            <w:vAlign w:val="center"/>
          </w:tcPr>
          <w:p w14:paraId="582D2E37">
            <w:pPr>
              <w:pStyle w:val="39"/>
              <w:spacing w:before="0" w:after="0"/>
              <w:jc w:val="center"/>
              <w:rPr>
                <w:rFonts w:hint="eastAsia" w:ascii="宋体" w:hAnsi="宋体"/>
                <w:b/>
                <w:bCs/>
                <w:color w:val="auto"/>
                <w:sz w:val="21"/>
                <w:szCs w:val="21"/>
                <w:lang w:eastAsia="en-US"/>
              </w:rPr>
            </w:pPr>
            <w:r>
              <w:rPr>
                <w:rFonts w:hint="eastAsia" w:ascii="宋体" w:hAnsi="宋体"/>
                <w:b/>
                <w:bCs/>
                <w:color w:val="auto"/>
                <w:sz w:val="21"/>
                <w:szCs w:val="21"/>
                <w:lang w:eastAsia="en-US"/>
              </w:rPr>
              <w:t>实验内容及要求</w:t>
            </w:r>
          </w:p>
        </w:tc>
        <w:tc>
          <w:tcPr>
            <w:tcW w:w="567" w:type="dxa"/>
            <w:tcBorders>
              <w:bottom w:val="single" w:color="auto" w:sz="0" w:space="0"/>
              <w:insideH w:val="single" w:sz="0" w:space="0"/>
            </w:tcBorders>
            <w:vAlign w:val="center"/>
          </w:tcPr>
          <w:p w14:paraId="5852CAE5">
            <w:pPr>
              <w:pStyle w:val="39"/>
              <w:spacing w:before="0" w:after="0"/>
              <w:jc w:val="center"/>
              <w:rPr>
                <w:rFonts w:hint="eastAsia" w:ascii="宋体" w:hAnsi="宋体"/>
                <w:b/>
                <w:bCs/>
                <w:color w:val="auto"/>
                <w:sz w:val="21"/>
                <w:szCs w:val="21"/>
                <w:lang w:eastAsia="en-US"/>
              </w:rPr>
            </w:pPr>
            <w:r>
              <w:rPr>
                <w:rFonts w:hint="eastAsia" w:ascii="宋体" w:hAnsi="宋体"/>
                <w:b/>
                <w:bCs/>
                <w:color w:val="auto"/>
                <w:sz w:val="21"/>
                <w:szCs w:val="21"/>
                <w:lang w:eastAsia="en-US"/>
              </w:rPr>
              <w:t>学时</w:t>
            </w:r>
          </w:p>
        </w:tc>
        <w:tc>
          <w:tcPr>
            <w:tcW w:w="1134" w:type="dxa"/>
            <w:tcBorders>
              <w:bottom w:val="single" w:color="auto" w:sz="0" w:space="0"/>
              <w:insideH w:val="single" w:sz="0" w:space="0"/>
            </w:tcBorders>
            <w:vAlign w:val="center"/>
          </w:tcPr>
          <w:p w14:paraId="7B3EA800">
            <w:pPr>
              <w:pStyle w:val="39"/>
              <w:spacing w:before="0" w:after="0"/>
              <w:jc w:val="center"/>
              <w:rPr>
                <w:rFonts w:hint="eastAsia" w:ascii="宋体" w:hAnsi="宋体"/>
                <w:b/>
                <w:bCs/>
                <w:color w:val="auto"/>
                <w:sz w:val="21"/>
                <w:szCs w:val="21"/>
                <w:lang w:eastAsia="en-US"/>
              </w:rPr>
            </w:pPr>
            <w:r>
              <w:rPr>
                <w:rFonts w:hint="eastAsia" w:ascii="宋体" w:hAnsi="宋体"/>
                <w:b/>
                <w:bCs/>
                <w:color w:val="auto"/>
                <w:sz w:val="21"/>
                <w:szCs w:val="21"/>
                <w:lang w:eastAsia="en-US"/>
              </w:rPr>
              <w:t>对毕业要求的支撑</w:t>
            </w:r>
          </w:p>
        </w:tc>
        <w:tc>
          <w:tcPr>
            <w:tcW w:w="567" w:type="dxa"/>
            <w:tcBorders>
              <w:bottom w:val="single" w:color="auto" w:sz="0" w:space="0"/>
              <w:insideH w:val="single" w:sz="0" w:space="0"/>
            </w:tcBorders>
            <w:vAlign w:val="center"/>
          </w:tcPr>
          <w:p w14:paraId="2DC00F06">
            <w:pPr>
              <w:pStyle w:val="39"/>
              <w:spacing w:before="0" w:after="0"/>
              <w:jc w:val="center"/>
              <w:rPr>
                <w:rFonts w:hint="eastAsia" w:ascii="宋体" w:hAnsi="宋体"/>
                <w:b/>
                <w:bCs/>
                <w:color w:val="auto"/>
                <w:sz w:val="21"/>
                <w:szCs w:val="21"/>
                <w:lang w:eastAsia="en-US"/>
              </w:rPr>
            </w:pPr>
            <w:r>
              <w:rPr>
                <w:rFonts w:hint="eastAsia" w:ascii="宋体" w:hAnsi="宋体"/>
                <w:b/>
                <w:bCs/>
                <w:color w:val="auto"/>
                <w:sz w:val="21"/>
                <w:szCs w:val="21"/>
                <w:lang w:eastAsia="en-US"/>
              </w:rPr>
              <w:t>类型</w:t>
            </w:r>
          </w:p>
        </w:tc>
        <w:tc>
          <w:tcPr>
            <w:tcW w:w="646" w:type="dxa"/>
            <w:tcBorders>
              <w:bottom w:val="single" w:color="auto" w:sz="0" w:space="0"/>
              <w:insideH w:val="single" w:sz="0" w:space="0"/>
            </w:tcBorders>
            <w:vAlign w:val="center"/>
          </w:tcPr>
          <w:p w14:paraId="3C0D18F2">
            <w:pPr>
              <w:pStyle w:val="39"/>
              <w:spacing w:before="0" w:after="0"/>
              <w:jc w:val="center"/>
              <w:rPr>
                <w:rFonts w:hint="eastAsia" w:ascii="宋体" w:hAnsi="宋体"/>
                <w:b/>
                <w:bCs/>
                <w:color w:val="auto"/>
                <w:sz w:val="21"/>
                <w:szCs w:val="21"/>
                <w:lang w:eastAsia="en-US"/>
              </w:rPr>
            </w:pPr>
            <w:r>
              <w:rPr>
                <w:rFonts w:hint="eastAsia" w:ascii="宋体" w:hAnsi="宋体"/>
                <w:b/>
                <w:bCs/>
                <w:color w:val="auto"/>
                <w:sz w:val="21"/>
                <w:szCs w:val="21"/>
                <w:lang w:eastAsia="en-US"/>
              </w:rPr>
              <w:t>备注</w:t>
            </w:r>
          </w:p>
        </w:tc>
      </w:tr>
      <w:tr w14:paraId="2A08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14:paraId="7CDF5AD8">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1</w:t>
            </w:r>
          </w:p>
        </w:tc>
        <w:tc>
          <w:tcPr>
            <w:tcW w:w="1613" w:type="dxa"/>
            <w:vAlign w:val="center"/>
          </w:tcPr>
          <w:p w14:paraId="1FAD1C23">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STEAM课程建设案例实施和分析</w:t>
            </w:r>
          </w:p>
        </w:tc>
        <w:tc>
          <w:tcPr>
            <w:tcW w:w="3122" w:type="dxa"/>
            <w:vAlign w:val="center"/>
          </w:tcPr>
          <w:p w14:paraId="4F1D345E">
            <w:pPr>
              <w:pStyle w:val="39"/>
              <w:spacing w:before="0" w:after="0"/>
              <w:jc w:val="both"/>
              <w:rPr>
                <w:rFonts w:hint="eastAsia" w:ascii="宋体" w:hAnsi="宋体"/>
                <w:color w:val="auto"/>
                <w:sz w:val="21"/>
                <w:szCs w:val="21"/>
                <w:lang w:eastAsia="zh-CN"/>
              </w:rPr>
            </w:pPr>
            <w:r>
              <w:rPr>
                <w:rFonts w:hint="eastAsia" w:ascii="宋体" w:hAnsi="宋体"/>
                <w:color w:val="auto"/>
                <w:sz w:val="21"/>
                <w:szCs w:val="21"/>
                <w:lang w:eastAsia="zh-CN"/>
              </w:rPr>
              <w:t>实施和分析一个成功的STEAM课程建设案例，识别其关键成功因素和面临的挑战，并撰写实施和分析报告。</w:t>
            </w:r>
          </w:p>
        </w:tc>
        <w:tc>
          <w:tcPr>
            <w:tcW w:w="567" w:type="dxa"/>
            <w:vAlign w:val="center"/>
          </w:tcPr>
          <w:p w14:paraId="2E6EE932">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6</w:t>
            </w:r>
          </w:p>
        </w:tc>
        <w:tc>
          <w:tcPr>
            <w:tcW w:w="1134" w:type="dxa"/>
            <w:vAlign w:val="center"/>
          </w:tcPr>
          <w:p w14:paraId="6FF4DDFB">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3-3</w:t>
            </w:r>
            <w:r>
              <w:rPr>
                <w:rFonts w:ascii="宋体" w:hAnsi="宋体"/>
                <w:color w:val="auto"/>
                <w:sz w:val="21"/>
                <w:szCs w:val="21"/>
                <w:lang w:eastAsia="en-US"/>
              </w:rPr>
              <w:br w:type="textWrapping"/>
            </w:r>
            <w:r>
              <w:rPr>
                <w:rFonts w:hint="eastAsia" w:ascii="宋体" w:hAnsi="宋体"/>
                <w:color w:val="auto"/>
                <w:sz w:val="21"/>
                <w:szCs w:val="21"/>
                <w:lang w:eastAsia="en-US"/>
              </w:rPr>
              <w:t>6-2</w:t>
            </w:r>
          </w:p>
        </w:tc>
        <w:tc>
          <w:tcPr>
            <w:tcW w:w="567" w:type="dxa"/>
            <w:vAlign w:val="center"/>
          </w:tcPr>
          <w:p w14:paraId="1FF4D694">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综合性</w:t>
            </w:r>
          </w:p>
        </w:tc>
        <w:tc>
          <w:tcPr>
            <w:tcW w:w="646" w:type="dxa"/>
            <w:vAlign w:val="center"/>
          </w:tcPr>
          <w:p w14:paraId="0ED8B0EE">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必做</w:t>
            </w:r>
          </w:p>
        </w:tc>
      </w:tr>
      <w:tr w14:paraId="2F3B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14:paraId="19A5F8C1">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2</w:t>
            </w:r>
          </w:p>
        </w:tc>
        <w:tc>
          <w:tcPr>
            <w:tcW w:w="1613" w:type="dxa"/>
            <w:vAlign w:val="center"/>
          </w:tcPr>
          <w:p w14:paraId="0F44B7AB">
            <w:pPr>
              <w:pStyle w:val="39"/>
              <w:spacing w:before="0" w:after="0"/>
              <w:jc w:val="center"/>
              <w:rPr>
                <w:rFonts w:hint="eastAsia" w:ascii="宋体" w:hAnsi="宋体"/>
                <w:color w:val="auto"/>
                <w:sz w:val="21"/>
                <w:szCs w:val="21"/>
                <w:lang w:eastAsia="zh-CN"/>
              </w:rPr>
            </w:pPr>
            <w:r>
              <w:rPr>
                <w:rFonts w:hint="eastAsia" w:ascii="宋体" w:hAnsi="宋体"/>
                <w:color w:val="auto"/>
                <w:sz w:val="21"/>
                <w:szCs w:val="21"/>
                <w:lang w:eastAsia="zh-CN"/>
              </w:rPr>
              <w:t>STEAM课程目标设计实践</w:t>
            </w:r>
          </w:p>
        </w:tc>
        <w:tc>
          <w:tcPr>
            <w:tcW w:w="3122" w:type="dxa"/>
            <w:vAlign w:val="center"/>
          </w:tcPr>
          <w:p w14:paraId="5A46CD66">
            <w:pPr>
              <w:pStyle w:val="39"/>
              <w:spacing w:before="0" w:after="0"/>
              <w:jc w:val="both"/>
              <w:rPr>
                <w:rFonts w:hint="eastAsia" w:ascii="宋体" w:hAnsi="宋体"/>
                <w:color w:val="auto"/>
                <w:sz w:val="21"/>
                <w:szCs w:val="21"/>
                <w:lang w:eastAsia="zh-CN"/>
              </w:rPr>
            </w:pPr>
            <w:r>
              <w:rPr>
                <w:rFonts w:hint="eastAsia" w:ascii="宋体" w:hAnsi="宋体"/>
                <w:color w:val="auto"/>
                <w:sz w:val="21"/>
                <w:szCs w:val="21"/>
                <w:lang w:eastAsia="zh-CN"/>
              </w:rPr>
              <w:t>根据课程设计原则，制定具体的STEAM课程目标，确保目标符合课程设计的框架和要求。</w:t>
            </w:r>
          </w:p>
        </w:tc>
        <w:tc>
          <w:tcPr>
            <w:tcW w:w="567" w:type="dxa"/>
            <w:vAlign w:val="center"/>
          </w:tcPr>
          <w:p w14:paraId="69429752">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4</w:t>
            </w:r>
          </w:p>
        </w:tc>
        <w:tc>
          <w:tcPr>
            <w:tcW w:w="1134" w:type="dxa"/>
            <w:vAlign w:val="center"/>
          </w:tcPr>
          <w:p w14:paraId="3AB419C1">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4-3</w:t>
            </w:r>
          </w:p>
        </w:tc>
        <w:tc>
          <w:tcPr>
            <w:tcW w:w="567" w:type="dxa"/>
            <w:vAlign w:val="center"/>
          </w:tcPr>
          <w:p w14:paraId="2A4CC959">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综合性</w:t>
            </w:r>
          </w:p>
        </w:tc>
        <w:tc>
          <w:tcPr>
            <w:tcW w:w="646" w:type="dxa"/>
            <w:vAlign w:val="center"/>
          </w:tcPr>
          <w:p w14:paraId="5ED512B4">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必做</w:t>
            </w:r>
          </w:p>
        </w:tc>
      </w:tr>
      <w:tr w14:paraId="3CB7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14:paraId="14CA82B8">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3</w:t>
            </w:r>
          </w:p>
        </w:tc>
        <w:tc>
          <w:tcPr>
            <w:tcW w:w="1613" w:type="dxa"/>
            <w:vAlign w:val="center"/>
          </w:tcPr>
          <w:p w14:paraId="38058830">
            <w:pPr>
              <w:pStyle w:val="39"/>
              <w:spacing w:before="0" w:after="0"/>
              <w:jc w:val="center"/>
              <w:rPr>
                <w:rFonts w:hint="eastAsia" w:ascii="宋体" w:hAnsi="宋体"/>
                <w:color w:val="auto"/>
                <w:sz w:val="21"/>
                <w:szCs w:val="21"/>
                <w:lang w:eastAsia="zh-CN"/>
              </w:rPr>
            </w:pPr>
            <w:r>
              <w:rPr>
                <w:rFonts w:hint="eastAsia" w:ascii="宋体" w:hAnsi="宋体"/>
                <w:color w:val="auto"/>
                <w:sz w:val="21"/>
                <w:szCs w:val="21"/>
                <w:lang w:eastAsia="zh-CN"/>
              </w:rPr>
              <w:t>STEAM课程内容开发实验</w:t>
            </w:r>
          </w:p>
        </w:tc>
        <w:tc>
          <w:tcPr>
            <w:tcW w:w="3122" w:type="dxa"/>
            <w:vAlign w:val="center"/>
          </w:tcPr>
          <w:p w14:paraId="47466DE2">
            <w:pPr>
              <w:pStyle w:val="39"/>
              <w:spacing w:before="0" w:after="0"/>
              <w:jc w:val="both"/>
              <w:rPr>
                <w:rFonts w:hint="eastAsia" w:ascii="宋体" w:hAnsi="宋体"/>
                <w:color w:val="auto"/>
                <w:sz w:val="21"/>
                <w:szCs w:val="21"/>
                <w:lang w:eastAsia="zh-CN"/>
              </w:rPr>
            </w:pPr>
            <w:r>
              <w:rPr>
                <w:rFonts w:hint="eastAsia" w:ascii="宋体" w:hAnsi="宋体"/>
                <w:color w:val="auto"/>
                <w:sz w:val="21"/>
                <w:szCs w:val="21"/>
                <w:lang w:eastAsia="zh-CN"/>
              </w:rPr>
              <w:t>设计一个涵盖科学、技术、工程、艺术和数学五个方面的STEAM课程模块，并进行展示。</w:t>
            </w:r>
          </w:p>
        </w:tc>
        <w:tc>
          <w:tcPr>
            <w:tcW w:w="567" w:type="dxa"/>
            <w:vAlign w:val="center"/>
          </w:tcPr>
          <w:p w14:paraId="73F245C6">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4</w:t>
            </w:r>
          </w:p>
        </w:tc>
        <w:tc>
          <w:tcPr>
            <w:tcW w:w="1134" w:type="dxa"/>
            <w:vAlign w:val="center"/>
          </w:tcPr>
          <w:p w14:paraId="306BB27E">
            <w:pPr>
              <w:spacing w:after="0"/>
              <w:jc w:val="center"/>
              <w:rPr>
                <w:rFonts w:hint="eastAsia" w:ascii="宋体" w:hAnsi="宋体" w:eastAsia="宋体"/>
                <w:color w:val="auto"/>
                <w:szCs w:val="21"/>
                <w:lang w:eastAsia="en-US"/>
              </w:rPr>
            </w:pPr>
            <w:r>
              <w:rPr>
                <w:rFonts w:hint="eastAsia" w:ascii="宋体" w:hAnsi="宋体" w:eastAsia="宋体"/>
                <w:color w:val="auto"/>
                <w:szCs w:val="21"/>
                <w:lang w:eastAsia="en-US"/>
              </w:rPr>
              <w:t>3-3</w:t>
            </w:r>
          </w:p>
          <w:p w14:paraId="2EAB6577">
            <w:pPr>
              <w:spacing w:after="0"/>
              <w:jc w:val="center"/>
              <w:rPr>
                <w:rFonts w:hint="eastAsia" w:ascii="宋体" w:hAnsi="宋体" w:eastAsia="宋体"/>
                <w:color w:val="auto"/>
                <w:szCs w:val="21"/>
                <w:lang w:eastAsia="en-US"/>
              </w:rPr>
            </w:pPr>
            <w:r>
              <w:rPr>
                <w:rFonts w:hint="eastAsia" w:ascii="宋体" w:hAnsi="宋体" w:eastAsia="宋体"/>
                <w:color w:val="auto"/>
                <w:szCs w:val="21"/>
                <w:lang w:eastAsia="en-US"/>
              </w:rPr>
              <w:t>6-2</w:t>
            </w:r>
          </w:p>
        </w:tc>
        <w:tc>
          <w:tcPr>
            <w:tcW w:w="567" w:type="dxa"/>
            <w:vAlign w:val="center"/>
          </w:tcPr>
          <w:p w14:paraId="006049F8">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综合性</w:t>
            </w:r>
          </w:p>
        </w:tc>
        <w:tc>
          <w:tcPr>
            <w:tcW w:w="646" w:type="dxa"/>
            <w:vAlign w:val="center"/>
          </w:tcPr>
          <w:p w14:paraId="09026A5E">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必做</w:t>
            </w:r>
          </w:p>
        </w:tc>
      </w:tr>
      <w:tr w14:paraId="0E5E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14:paraId="5D02CE83">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4</w:t>
            </w:r>
          </w:p>
        </w:tc>
        <w:tc>
          <w:tcPr>
            <w:tcW w:w="1613" w:type="dxa"/>
            <w:vAlign w:val="center"/>
          </w:tcPr>
          <w:p w14:paraId="4FB958B2">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STEAM课程评价模拟</w:t>
            </w:r>
          </w:p>
        </w:tc>
        <w:tc>
          <w:tcPr>
            <w:tcW w:w="3122" w:type="dxa"/>
            <w:vAlign w:val="center"/>
          </w:tcPr>
          <w:p w14:paraId="148C8E17">
            <w:pPr>
              <w:pStyle w:val="39"/>
              <w:spacing w:before="0" w:after="0"/>
              <w:jc w:val="both"/>
              <w:rPr>
                <w:rFonts w:hint="eastAsia" w:ascii="宋体" w:hAnsi="宋体"/>
                <w:color w:val="auto"/>
                <w:sz w:val="21"/>
                <w:szCs w:val="21"/>
                <w:lang w:eastAsia="zh-CN"/>
              </w:rPr>
            </w:pPr>
            <w:r>
              <w:rPr>
                <w:rFonts w:hint="eastAsia" w:ascii="宋体" w:hAnsi="宋体"/>
                <w:color w:val="auto"/>
                <w:sz w:val="21"/>
                <w:szCs w:val="21"/>
                <w:lang w:eastAsia="zh-CN"/>
              </w:rPr>
              <w:t>制定并应用一个STEAM课程评价方案，评估课程的实施效果，并提出改进建议。</w:t>
            </w:r>
          </w:p>
        </w:tc>
        <w:tc>
          <w:tcPr>
            <w:tcW w:w="567" w:type="dxa"/>
            <w:vAlign w:val="center"/>
          </w:tcPr>
          <w:p w14:paraId="6F33D1A2">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4</w:t>
            </w:r>
          </w:p>
        </w:tc>
        <w:tc>
          <w:tcPr>
            <w:tcW w:w="1134" w:type="dxa"/>
            <w:vAlign w:val="center"/>
          </w:tcPr>
          <w:p w14:paraId="31FE266B">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6-2</w:t>
            </w:r>
          </w:p>
        </w:tc>
        <w:tc>
          <w:tcPr>
            <w:tcW w:w="567" w:type="dxa"/>
            <w:vAlign w:val="center"/>
          </w:tcPr>
          <w:p w14:paraId="7E14A65E">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综合性</w:t>
            </w:r>
          </w:p>
        </w:tc>
        <w:tc>
          <w:tcPr>
            <w:tcW w:w="646" w:type="dxa"/>
            <w:vAlign w:val="center"/>
          </w:tcPr>
          <w:p w14:paraId="793F59A2">
            <w:pPr>
              <w:pStyle w:val="39"/>
              <w:spacing w:before="0" w:after="0"/>
              <w:jc w:val="center"/>
              <w:rPr>
                <w:rFonts w:hint="eastAsia" w:ascii="宋体" w:hAnsi="宋体"/>
                <w:color w:val="auto"/>
                <w:sz w:val="21"/>
                <w:szCs w:val="21"/>
                <w:lang w:eastAsia="en-US"/>
              </w:rPr>
            </w:pPr>
            <w:r>
              <w:rPr>
                <w:rFonts w:hint="eastAsia" w:ascii="宋体" w:hAnsi="宋体"/>
                <w:color w:val="auto"/>
                <w:sz w:val="21"/>
                <w:szCs w:val="21"/>
                <w:lang w:eastAsia="en-US"/>
              </w:rPr>
              <w:t>必做</w:t>
            </w:r>
          </w:p>
        </w:tc>
      </w:tr>
    </w:tbl>
    <w:p w14:paraId="5160943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六、有关说明</w:t>
      </w:r>
    </w:p>
    <w:p w14:paraId="01238E4E">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4C16E4E8">
      <w:pPr>
        <w:spacing w:line="360" w:lineRule="auto"/>
        <w:ind w:firstLine="420" w:firstLineChars="200"/>
        <w:jc w:val="left"/>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本课程根据学生作业、实验环节和学生、教学督导等的反馈，及时对教学中的不足之处进行改进，并在下一轮课程教学中整改完善，确保相应毕业要求指标点达成。</w:t>
      </w:r>
    </w:p>
    <w:p w14:paraId="25587652">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4DBFE528">
      <w:pPr>
        <w:spacing w:line="360" w:lineRule="auto"/>
        <w:ind w:firstLine="210" w:firstLineChars="100"/>
        <w:jc w:val="left"/>
        <w:rPr>
          <w:rFonts w:ascii="Times New Roman" w:hAnsi="Times New Roman" w:eastAsia="宋体" w:cs="Times New Roman"/>
          <w:bCs/>
          <w:color w:val="auto"/>
          <w:szCs w:val="21"/>
        </w:rPr>
      </w:pPr>
      <w:r>
        <w:rPr>
          <w:rFonts w:ascii="Times New Roman" w:hAnsi="Times New Roman" w:eastAsia="宋体" w:cs="Times New Roman"/>
          <w:bCs/>
          <w:color w:val="auto"/>
          <w:szCs w:val="21"/>
        </w:rPr>
        <w:t>印霞, 主编. 《STEAM课程的设计与实施》. 北京：华东师范大学出版社, 2021.</w:t>
      </w:r>
    </w:p>
    <w:p w14:paraId="4E6382D5">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5A9EFEB1">
      <w:pPr>
        <w:numPr>
          <w:ilvl w:val="0"/>
          <w:numId w:val="38"/>
        </w:numPr>
        <w:spacing w:line="360" w:lineRule="auto"/>
        <w:jc w:val="left"/>
        <w:rPr>
          <w:rFonts w:hint="eastAsia" w:ascii="宋体" w:hAnsi="宋体" w:eastAsia="宋体"/>
          <w:color w:val="auto"/>
        </w:rPr>
      </w:pPr>
      <w:r>
        <w:rPr>
          <w:rFonts w:ascii="宋体" w:hAnsi="宋体" w:eastAsia="宋体"/>
          <w:color w:val="auto"/>
        </w:rPr>
        <w:t>范曾丽. 《设计实践创新STEAM课程案例》. 北京：中国纺织出版社, 2023.</w:t>
      </w:r>
    </w:p>
    <w:p w14:paraId="209DB9EC">
      <w:pPr>
        <w:numPr>
          <w:ilvl w:val="0"/>
          <w:numId w:val="38"/>
        </w:numPr>
        <w:spacing w:line="360" w:lineRule="auto"/>
        <w:jc w:val="left"/>
        <w:rPr>
          <w:rFonts w:hint="eastAsia" w:ascii="宋体" w:hAnsi="宋体" w:eastAsia="宋体"/>
          <w:color w:val="auto"/>
        </w:rPr>
      </w:pPr>
      <w:r>
        <w:rPr>
          <w:rFonts w:ascii="宋体" w:hAnsi="宋体" w:eastAsia="宋体"/>
          <w:color w:val="auto"/>
        </w:rPr>
        <w:t>管光海. 《STEM教学设计与评价》. 北京：教育科学出版社, 2022.</w:t>
      </w:r>
    </w:p>
    <w:p w14:paraId="5DF2629B">
      <w:pPr>
        <w:numPr>
          <w:ilvl w:val="0"/>
          <w:numId w:val="38"/>
        </w:numPr>
        <w:spacing w:line="360" w:lineRule="auto"/>
        <w:jc w:val="left"/>
        <w:rPr>
          <w:rFonts w:hint="eastAsia" w:ascii="宋体" w:hAnsi="宋体" w:eastAsia="宋体"/>
          <w:color w:val="auto"/>
        </w:rPr>
      </w:pPr>
      <w:r>
        <w:rPr>
          <w:rFonts w:ascii="宋体" w:hAnsi="宋体" w:eastAsia="宋体"/>
          <w:color w:val="auto"/>
        </w:rPr>
        <w:t>王素, 李正福. 《STEM教育这样做》. 北京：教育科学出版社, 2019.</w:t>
      </w:r>
    </w:p>
    <w:p w14:paraId="36BDC647">
      <w:pPr>
        <w:numPr>
          <w:ilvl w:val="0"/>
          <w:numId w:val="38"/>
        </w:numPr>
        <w:spacing w:line="360" w:lineRule="auto"/>
        <w:jc w:val="left"/>
        <w:rPr>
          <w:rFonts w:hint="eastAsia" w:ascii="宋体" w:hAnsi="宋体" w:eastAsia="宋体"/>
          <w:color w:val="auto"/>
        </w:rPr>
      </w:pPr>
      <w:r>
        <w:rPr>
          <w:rFonts w:ascii="宋体" w:hAnsi="宋体" w:eastAsia="宋体"/>
          <w:color w:val="auto"/>
        </w:rPr>
        <w:t>杜娟, 石雪飞, 邹丽娜. 《核心素养导向的STEM教育》. 北京：清华大学出版社, 2021.</w:t>
      </w:r>
    </w:p>
    <w:p w14:paraId="296C4FD6">
      <w:pPr>
        <w:spacing w:line="360" w:lineRule="auto"/>
        <w:jc w:val="right"/>
        <w:rPr>
          <w:rFonts w:hint="eastAsia" w:ascii="宋体" w:hAnsi="宋体" w:eastAsia="宋体"/>
          <w:color w:val="auto"/>
          <w:sz w:val="21"/>
          <w:szCs w:val="22"/>
        </w:rPr>
      </w:pPr>
      <w:r>
        <w:rPr>
          <w:rFonts w:hint="eastAsia" w:ascii="宋体" w:hAnsi="宋体" w:eastAsia="宋体"/>
          <w:color w:val="auto"/>
          <w:sz w:val="21"/>
          <w:szCs w:val="22"/>
        </w:rPr>
        <w:t xml:space="preserve">执笔人：金玉宏 </w:t>
      </w:r>
    </w:p>
    <w:p w14:paraId="3B3F8781">
      <w:pPr>
        <w:spacing w:line="360" w:lineRule="auto"/>
        <w:jc w:val="right"/>
        <w:rPr>
          <w:rFonts w:hint="eastAsia" w:ascii="宋体" w:hAnsi="宋体" w:eastAsia="宋体"/>
          <w:color w:val="auto"/>
          <w:sz w:val="21"/>
          <w:szCs w:val="22"/>
        </w:rPr>
      </w:pPr>
      <w:r>
        <w:rPr>
          <w:rFonts w:hint="eastAsia" w:ascii="宋体" w:hAnsi="宋体" w:eastAsia="宋体"/>
          <w:color w:val="auto"/>
          <w:sz w:val="21"/>
          <w:szCs w:val="22"/>
        </w:rPr>
        <w:t>审定人：王  健</w:t>
      </w:r>
    </w:p>
    <w:p w14:paraId="0F3E33A3">
      <w:pPr>
        <w:spacing w:line="360" w:lineRule="auto"/>
        <w:jc w:val="right"/>
        <w:rPr>
          <w:rFonts w:hint="eastAsia" w:ascii="宋体" w:hAnsi="宋体" w:eastAsia="宋体"/>
          <w:color w:val="auto"/>
          <w:sz w:val="21"/>
          <w:szCs w:val="22"/>
        </w:rPr>
      </w:pPr>
      <w:r>
        <w:rPr>
          <w:rFonts w:hint="eastAsia" w:ascii="宋体" w:hAnsi="宋体" w:eastAsia="宋体"/>
          <w:color w:val="auto"/>
          <w:sz w:val="21"/>
          <w:szCs w:val="22"/>
        </w:rPr>
        <w:t>审批人：张志欣</w:t>
      </w:r>
    </w:p>
    <w:p w14:paraId="604FAA89">
      <w:pPr>
        <w:spacing w:line="360" w:lineRule="auto"/>
        <w:jc w:val="right"/>
        <w:rPr>
          <w:rFonts w:hint="eastAsia" w:ascii="宋体" w:hAnsi="宋体" w:eastAsia="宋体"/>
          <w:color w:val="auto"/>
          <w:sz w:val="21"/>
          <w:szCs w:val="22"/>
          <w:lang w:eastAsia="zh-CN"/>
        </w:rPr>
      </w:pPr>
      <w:r>
        <w:rPr>
          <w:rFonts w:hint="eastAsia" w:ascii="宋体" w:hAnsi="宋体" w:eastAsia="宋体"/>
          <w:color w:val="auto"/>
          <w:sz w:val="21"/>
          <w:szCs w:val="22"/>
          <w:lang w:eastAsia="zh-CN"/>
        </w:rPr>
        <w:t>批准时间：2025年7月1日</w:t>
      </w:r>
    </w:p>
    <w:p w14:paraId="6B4E3E0E">
      <w:pPr>
        <w:rPr>
          <w:rFonts w:hint="eastAsia" w:ascii="宋体" w:hAnsi="宋体" w:eastAsia="宋体"/>
          <w:color w:val="auto"/>
          <w:sz w:val="24"/>
          <w:szCs w:val="28"/>
        </w:rPr>
      </w:pPr>
      <w:r>
        <w:rPr>
          <w:rFonts w:hint="eastAsia" w:ascii="宋体" w:hAnsi="宋体" w:eastAsia="宋体"/>
          <w:color w:val="auto"/>
          <w:sz w:val="24"/>
          <w:szCs w:val="28"/>
        </w:rPr>
        <w:br w:type="page"/>
      </w:r>
    </w:p>
    <w:p w14:paraId="33AF9BB1">
      <w:pPr>
        <w:spacing w:line="360" w:lineRule="auto"/>
        <w:jc w:val="center"/>
        <w:outlineLvl w:val="0"/>
        <w:rPr>
          <w:rFonts w:hint="eastAsia" w:ascii="Times New Roman" w:hAnsi="Times New Roman" w:eastAsia="宋体" w:cs="Times New Roman"/>
          <w:b/>
          <w:sz w:val="44"/>
          <w:szCs w:val="44"/>
        </w:rPr>
      </w:pPr>
      <w:bookmarkStart w:id="424" w:name="_Toc22432"/>
      <w:bookmarkStart w:id="425" w:name="_Toc19622"/>
      <w:r>
        <w:rPr>
          <w:rFonts w:hint="eastAsia" w:ascii="Times New Roman" w:hAnsi="Times New Roman" w:eastAsia="宋体" w:cs="Times New Roman"/>
          <w:b/>
          <w:sz w:val="44"/>
          <w:szCs w:val="44"/>
        </w:rPr>
        <w:t>《科学实验指导》课程教学大纲</w:t>
      </w:r>
      <w:bookmarkEnd w:id="424"/>
      <w:bookmarkEnd w:id="425"/>
    </w:p>
    <w:p w14:paraId="72F4B1D6">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Pedagogical Principles</w:t>
      </w:r>
      <w:r>
        <w:rPr>
          <w:rFonts w:ascii="Times New Roman" w:hAnsi="Times New Roman" w:eastAsia="宋体" w:cs="Times New Roman"/>
          <w:b/>
          <w:bCs/>
          <w:sz w:val="28"/>
          <w:szCs w:val="28"/>
        </w:rPr>
        <w:t>）</w:t>
      </w:r>
    </w:p>
    <w:p w14:paraId="30574518">
      <w:pPr>
        <w:spacing w:line="360" w:lineRule="auto"/>
        <w:jc w:val="center"/>
        <w:rPr>
          <w:rFonts w:ascii="Times New Roman" w:hAnsi="Times New Roman" w:eastAsia="宋体" w:cs="Times New Roman"/>
          <w:bCs/>
          <w:color w:val="auto"/>
          <w:sz w:val="21"/>
          <w:szCs w:val="21"/>
        </w:rPr>
      </w:pPr>
    </w:p>
    <w:p w14:paraId="1F02885B">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课程名称：</w:t>
      </w:r>
      <w:r>
        <w:rPr>
          <w:rFonts w:ascii="Times New Roman" w:hAnsi="Times New Roman" w:eastAsia="宋体" w:cs="Times New Roman"/>
          <w:b/>
          <w:color w:val="auto"/>
          <w:szCs w:val="21"/>
        </w:rPr>
        <w:t xml:space="preserve"> </w:t>
      </w:r>
      <w:r>
        <w:rPr>
          <w:rFonts w:hint="eastAsia" w:ascii="Times New Roman" w:hAnsi="Times New Roman" w:eastAsia="宋体" w:cs="Times New Roman"/>
          <w:b/>
          <w:color w:val="auto"/>
          <w:szCs w:val="21"/>
        </w:rPr>
        <w:t>科学实验指导</w:t>
      </w:r>
    </w:p>
    <w:p w14:paraId="3F35CE58">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课程代码：24010038</w:t>
      </w:r>
    </w:p>
    <w:p w14:paraId="0E39E428">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 xml:space="preserve">学 </w:t>
      </w:r>
      <w:r>
        <w:rPr>
          <w:rFonts w:ascii="Times New Roman" w:hAnsi="Times New Roman" w:eastAsia="宋体" w:cs="Times New Roman"/>
          <w:b/>
          <w:color w:val="auto"/>
          <w:szCs w:val="21"/>
        </w:rPr>
        <w:t xml:space="preserve">   </w:t>
      </w:r>
      <w:r>
        <w:rPr>
          <w:rFonts w:hint="eastAsia" w:ascii="Times New Roman" w:hAnsi="Times New Roman" w:eastAsia="宋体" w:cs="Times New Roman"/>
          <w:b/>
          <w:color w:val="auto"/>
          <w:szCs w:val="21"/>
        </w:rPr>
        <w:t>分：2</w:t>
      </w:r>
    </w:p>
    <w:p w14:paraId="5DF2925E">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 xml:space="preserve">学 </w:t>
      </w:r>
      <w:r>
        <w:rPr>
          <w:rFonts w:ascii="Times New Roman" w:hAnsi="Times New Roman" w:eastAsia="宋体" w:cs="Times New Roman"/>
          <w:b/>
          <w:color w:val="auto"/>
          <w:szCs w:val="21"/>
        </w:rPr>
        <w:t xml:space="preserve">   </w:t>
      </w:r>
      <w:r>
        <w:rPr>
          <w:rFonts w:hint="eastAsia" w:ascii="Times New Roman" w:hAnsi="Times New Roman" w:eastAsia="宋体" w:cs="Times New Roman"/>
          <w:b/>
          <w:color w:val="auto"/>
          <w:szCs w:val="21"/>
        </w:rPr>
        <w:t>时：32（其中：讲授学时16，课内实践学时16）</w:t>
      </w:r>
    </w:p>
    <w:p w14:paraId="3DE6170F">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先修课程：科学概论</w:t>
      </w:r>
    </w:p>
    <w:p w14:paraId="3F0F7E67">
      <w:pPr>
        <w:spacing w:line="360" w:lineRule="auto"/>
        <w:ind w:firstLine="422" w:firstLineChars="200"/>
        <w:jc w:val="left"/>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适用专业：小学教育（理）</w:t>
      </w:r>
    </w:p>
    <w:p w14:paraId="1E29543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一、课程简介</w:t>
      </w:r>
    </w:p>
    <w:p w14:paraId="32909C6C">
      <w:pPr>
        <w:spacing w:line="360" w:lineRule="auto"/>
        <w:ind w:firstLine="420" w:firstLineChars="200"/>
        <w:jc w:val="left"/>
        <w:rPr>
          <w:rFonts w:ascii="Times New Roman" w:hAnsi="Times New Roman" w:eastAsia="宋体" w:cs="Times New Roman"/>
          <w:color w:val="auto"/>
          <w:szCs w:val="21"/>
        </w:rPr>
      </w:pPr>
      <w:r>
        <w:rPr>
          <w:rFonts w:ascii="Times New Roman" w:hAnsi="Times New Roman" w:eastAsia="宋体" w:cs="Times New Roman"/>
          <w:color w:val="auto"/>
          <w:szCs w:val="21"/>
        </w:rPr>
        <w:t>本课程是小学教育（理）专业的一门专业选修课程。通过本课程，学生能够以小学科学教育的基本理念为指导，明确小学科学实验教学的性质、目标和流程，理解小学科学知识体系，掌握科学实验教学的基本原理与实践方法。通过科学实验设计与实施，学生将培养科学精神、实验动手能力以及将科学教育融入课堂教学的能力。</w:t>
      </w:r>
    </w:p>
    <w:p w14:paraId="1A4A3DE2">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二、课程目标</w:t>
      </w:r>
    </w:p>
    <w:p w14:paraId="2D34D866">
      <w:pPr>
        <w:spacing w:line="360" w:lineRule="auto"/>
        <w:ind w:firstLine="422" w:firstLineChars="200"/>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33617E6A">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Cs/>
          <w:color w:val="auto"/>
          <w:szCs w:val="21"/>
        </w:rPr>
      </w:pPr>
      <w:r>
        <w:rPr>
          <w:rFonts w:ascii="Times New Roman" w:hAnsi="Times New Roman" w:eastAsia="宋体" w:cs="Times New Roman"/>
          <w:b/>
          <w:color w:val="auto"/>
          <w:szCs w:val="21"/>
        </w:rPr>
        <w:t xml:space="preserve">目标1. </w:t>
      </w:r>
      <w:r>
        <w:rPr>
          <w:rFonts w:ascii="Times New Roman" w:hAnsi="Times New Roman" w:eastAsia="宋体" w:cs="Times New Roman"/>
          <w:bCs/>
          <w:color w:val="auto"/>
          <w:szCs w:val="21"/>
        </w:rPr>
        <w:t>深入掌握小学科学实验的核心原理与操作技能，能够独立完成科学实验的设计与实施。结合小学课程内容和学生认知特点，开发适合小学教育目标的科学实验活动；能够指导学生完成实验操作，培养其科学探究能力与实践能力。</w:t>
      </w:r>
    </w:p>
    <w:p w14:paraId="59FE2AFB">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Cs/>
          <w:color w:val="auto"/>
          <w:szCs w:val="21"/>
        </w:rPr>
      </w:pPr>
      <w:r>
        <w:rPr>
          <w:rFonts w:ascii="Times New Roman" w:hAnsi="Times New Roman" w:eastAsia="宋体" w:cs="Times New Roman"/>
          <w:b/>
          <w:color w:val="auto"/>
          <w:szCs w:val="21"/>
        </w:rPr>
        <w:t xml:space="preserve">目标2. </w:t>
      </w:r>
      <w:r>
        <w:rPr>
          <w:rFonts w:ascii="Times New Roman" w:hAnsi="Times New Roman" w:eastAsia="宋体" w:cs="Times New Roman"/>
          <w:bCs/>
          <w:color w:val="auto"/>
          <w:szCs w:val="21"/>
        </w:rPr>
        <w:t>系统掌握科学实验教学的设计、实施与评价方法。能够基于小学教育的实际需求，设计科学合理的教学目标和实验活动流程，优化教学策略，提高课堂实验教学的有效性。在教学实践中能够运用科学的评价方法进行教学反思，并通过评价结果不断改进实验教学，促进教学目标的达成。</w:t>
      </w:r>
    </w:p>
    <w:p w14:paraId="5F5E9DF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Cs/>
          <w:color w:val="auto"/>
          <w:szCs w:val="21"/>
        </w:rPr>
      </w:pPr>
      <w:r>
        <w:rPr>
          <w:rFonts w:ascii="Times New Roman" w:hAnsi="Times New Roman" w:eastAsia="宋体" w:cs="Times New Roman"/>
          <w:b/>
          <w:color w:val="auto"/>
          <w:szCs w:val="21"/>
        </w:rPr>
        <w:t xml:space="preserve">目标3. </w:t>
      </w:r>
      <w:r>
        <w:rPr>
          <w:rFonts w:ascii="Times New Roman" w:hAnsi="Times New Roman" w:eastAsia="宋体" w:cs="Times New Roman"/>
          <w:bCs/>
          <w:color w:val="auto"/>
          <w:szCs w:val="21"/>
        </w:rPr>
        <w:t>理解小学科学课程与其他学科及社会实践之间的紧密关联，能够融合科学、技术、工程、艺术和数学（C-STEAM）的理念，设计跨学科、文化融合的综合性实验教学活动。通过将科学知识与地方文化、可持续发展等社会主题相结合，提升小学科学教育的创新性，增强学生对科学学习的兴趣与育人价值的实现。</w:t>
      </w:r>
    </w:p>
    <w:p w14:paraId="4BDEEF8F">
      <w:pPr>
        <w:spacing w:before="156" w:beforeLines="50" w:after="156" w:afterLines="50" w:line="360" w:lineRule="auto"/>
        <w:ind w:firstLine="422" w:firstLineChars="200"/>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5387"/>
        <w:gridCol w:w="1185"/>
      </w:tblGrid>
      <w:tr w14:paraId="0535F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Align w:val="center"/>
          </w:tcPr>
          <w:p w14:paraId="0A010264">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5387" w:type="dxa"/>
            <w:vAlign w:val="center"/>
          </w:tcPr>
          <w:p w14:paraId="63C564C8">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85" w:type="dxa"/>
            <w:vAlign w:val="center"/>
          </w:tcPr>
          <w:p w14:paraId="26B83E2D">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39A9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Pr>
          <w:p w14:paraId="03823F0B">
            <w:pPr>
              <w:spacing w:line="276" w:lineRule="auto"/>
              <w:jc w:val="left"/>
              <w:rPr>
                <w:rFonts w:hint="eastAsia" w:ascii="宋体" w:hAnsi="宋体" w:eastAsia="宋体" w:cs="Times New Roman"/>
                <w:b/>
                <w:bCs/>
                <w:color w:val="auto"/>
                <w:szCs w:val="21"/>
              </w:rPr>
            </w:pPr>
            <w:r>
              <w:rPr>
                <w:rFonts w:hint="eastAsia" w:ascii="宋体" w:hAnsi="宋体" w:eastAsia="宋体"/>
                <w:b/>
                <w:bCs/>
                <w:color w:val="auto"/>
                <w:szCs w:val="21"/>
              </w:rPr>
              <w:t>毕业要求3：学科素养</w:t>
            </w:r>
          </w:p>
        </w:tc>
        <w:tc>
          <w:tcPr>
            <w:tcW w:w="5387" w:type="dxa"/>
          </w:tcPr>
          <w:p w14:paraId="36B93428">
            <w:pPr>
              <w:spacing w:line="276" w:lineRule="auto"/>
              <w:jc w:val="left"/>
              <w:rPr>
                <w:rFonts w:hint="eastAsia" w:ascii="宋体" w:hAnsi="宋体" w:eastAsia="宋体" w:cs="Times New Roman"/>
                <w:color w:val="auto"/>
                <w:szCs w:val="21"/>
              </w:rPr>
            </w:pPr>
            <w:r>
              <w:rPr>
                <w:rFonts w:hint="eastAsia" w:ascii="宋体" w:hAnsi="宋体" w:eastAsia="宋体"/>
                <w:color w:val="auto"/>
                <w:szCs w:val="21"/>
              </w:rPr>
              <w:t>指标点3-2：【学科知识扎实】掌握小学科学知识体系和基本技能，能够在小学科学教育中有效传授科学知识和技能。</w:t>
            </w:r>
          </w:p>
        </w:tc>
        <w:tc>
          <w:tcPr>
            <w:tcW w:w="1185" w:type="dxa"/>
          </w:tcPr>
          <w:p w14:paraId="7A12ADFB">
            <w:pPr>
              <w:spacing w:line="276" w:lineRule="auto"/>
              <w:jc w:val="left"/>
              <w:rPr>
                <w:rFonts w:hint="eastAsia" w:ascii="宋体" w:hAnsi="宋体" w:eastAsia="宋体" w:cs="Times New Roman"/>
                <w:color w:val="auto"/>
                <w:szCs w:val="21"/>
              </w:rPr>
            </w:pPr>
            <w:r>
              <w:rPr>
                <w:rFonts w:hint="eastAsia" w:ascii="宋体" w:hAnsi="宋体" w:eastAsia="宋体"/>
                <w:color w:val="auto"/>
                <w:szCs w:val="21"/>
              </w:rPr>
              <w:t>目标1、目标2</w:t>
            </w:r>
          </w:p>
        </w:tc>
      </w:tr>
      <w:tr w14:paraId="04828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Pr>
          <w:p w14:paraId="34AE2B9B">
            <w:pPr>
              <w:spacing w:line="276" w:lineRule="auto"/>
              <w:jc w:val="left"/>
              <w:rPr>
                <w:rFonts w:hint="eastAsia" w:ascii="宋体" w:hAnsi="宋体" w:eastAsia="宋体" w:cs="Times New Roman"/>
                <w:b/>
                <w:bCs/>
                <w:color w:val="auto"/>
                <w:szCs w:val="21"/>
              </w:rPr>
            </w:pPr>
            <w:r>
              <w:rPr>
                <w:rFonts w:hint="eastAsia" w:ascii="宋体" w:hAnsi="宋体" w:eastAsia="宋体"/>
                <w:b/>
                <w:bCs/>
                <w:color w:val="auto"/>
                <w:szCs w:val="21"/>
              </w:rPr>
              <w:t>毕业要求3：学科素养</w:t>
            </w:r>
          </w:p>
        </w:tc>
        <w:tc>
          <w:tcPr>
            <w:tcW w:w="5387" w:type="dxa"/>
          </w:tcPr>
          <w:p w14:paraId="18CBBA45">
            <w:pPr>
              <w:spacing w:line="276" w:lineRule="auto"/>
              <w:jc w:val="left"/>
              <w:rPr>
                <w:rFonts w:hint="eastAsia" w:ascii="宋体" w:hAnsi="宋体" w:eastAsia="宋体" w:cs="Times New Roman"/>
                <w:color w:val="auto"/>
                <w:szCs w:val="21"/>
              </w:rPr>
            </w:pPr>
            <w:r>
              <w:rPr>
                <w:rFonts w:hint="eastAsia" w:ascii="宋体" w:hAnsi="宋体" w:eastAsia="宋体"/>
                <w:color w:val="auto"/>
                <w:szCs w:val="21"/>
              </w:rPr>
              <w:t>指标点3-3：【注重知识整合】能够在教学中综合科学与其他学科及社会实践的内容，设计跨学科实验活动。</w:t>
            </w:r>
          </w:p>
        </w:tc>
        <w:tc>
          <w:tcPr>
            <w:tcW w:w="1185" w:type="dxa"/>
          </w:tcPr>
          <w:p w14:paraId="5AB59E30">
            <w:pPr>
              <w:spacing w:line="276" w:lineRule="auto"/>
              <w:jc w:val="left"/>
              <w:rPr>
                <w:rFonts w:hint="eastAsia" w:ascii="宋体" w:hAnsi="宋体" w:eastAsia="宋体" w:cs="Times New Roman"/>
                <w:color w:val="auto"/>
                <w:szCs w:val="21"/>
              </w:rPr>
            </w:pPr>
            <w:r>
              <w:rPr>
                <w:rFonts w:hint="eastAsia" w:ascii="宋体" w:hAnsi="宋体" w:eastAsia="宋体"/>
                <w:color w:val="auto"/>
                <w:szCs w:val="21"/>
              </w:rPr>
              <w:t>目标3</w:t>
            </w:r>
          </w:p>
        </w:tc>
      </w:tr>
      <w:tr w14:paraId="20B7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Pr>
          <w:p w14:paraId="1FC12E9C">
            <w:pPr>
              <w:spacing w:line="276" w:lineRule="auto"/>
              <w:jc w:val="left"/>
              <w:rPr>
                <w:rFonts w:hint="eastAsia" w:ascii="宋体" w:hAnsi="宋体" w:eastAsia="宋体" w:cs="Times New Roman"/>
                <w:b/>
                <w:bCs/>
                <w:color w:val="auto"/>
                <w:szCs w:val="21"/>
              </w:rPr>
            </w:pPr>
            <w:r>
              <w:rPr>
                <w:rFonts w:hint="eastAsia" w:ascii="宋体" w:hAnsi="宋体" w:eastAsia="宋体"/>
                <w:b/>
                <w:bCs/>
                <w:color w:val="auto"/>
                <w:szCs w:val="21"/>
              </w:rPr>
              <w:t>毕业要求4：教学能力</w:t>
            </w:r>
          </w:p>
        </w:tc>
        <w:tc>
          <w:tcPr>
            <w:tcW w:w="5387" w:type="dxa"/>
          </w:tcPr>
          <w:p w14:paraId="5125C6C6">
            <w:pPr>
              <w:spacing w:line="276" w:lineRule="auto"/>
              <w:jc w:val="left"/>
              <w:rPr>
                <w:rFonts w:hint="eastAsia" w:ascii="宋体" w:hAnsi="宋体" w:eastAsia="宋体" w:cs="Times New Roman"/>
                <w:color w:val="auto"/>
                <w:szCs w:val="21"/>
              </w:rPr>
            </w:pPr>
            <w:r>
              <w:rPr>
                <w:rFonts w:hint="eastAsia" w:ascii="宋体" w:hAnsi="宋体" w:eastAsia="宋体"/>
                <w:color w:val="auto"/>
                <w:szCs w:val="21"/>
              </w:rPr>
              <w:t>指标点4-3：【教学实施与评价科学】掌握科学实验教学的设计、实施和评价能力，能够独立开展高质量教学活动并改进教学效果。</w:t>
            </w:r>
          </w:p>
        </w:tc>
        <w:tc>
          <w:tcPr>
            <w:tcW w:w="1185" w:type="dxa"/>
          </w:tcPr>
          <w:p w14:paraId="31478B4C">
            <w:pPr>
              <w:spacing w:line="276" w:lineRule="auto"/>
              <w:jc w:val="left"/>
              <w:rPr>
                <w:rFonts w:hint="eastAsia" w:ascii="宋体" w:hAnsi="宋体" w:eastAsia="宋体" w:cs="Times New Roman"/>
                <w:color w:val="auto"/>
                <w:szCs w:val="21"/>
              </w:rPr>
            </w:pPr>
            <w:r>
              <w:rPr>
                <w:rFonts w:hint="eastAsia" w:ascii="宋体" w:hAnsi="宋体" w:eastAsia="宋体"/>
                <w:color w:val="auto"/>
                <w:szCs w:val="21"/>
              </w:rPr>
              <w:t>目标2、目标3</w:t>
            </w:r>
          </w:p>
        </w:tc>
      </w:tr>
    </w:tbl>
    <w:p w14:paraId="51FDC61E">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Times New Roman"/>
          <w:b/>
          <w:bCs w:val="0"/>
          <w:color w:val="auto"/>
          <w:szCs w:val="21"/>
        </w:rPr>
      </w:pPr>
      <w:r>
        <w:rPr>
          <w:rFonts w:hint="eastAsia" w:ascii="宋体" w:hAnsi="宋体" w:eastAsia="宋体" w:cs="Times New Roman"/>
          <w:b/>
          <w:bCs w:val="0"/>
          <w:color w:val="auto"/>
          <w:szCs w:val="21"/>
          <w:lang w:eastAsia="zh-CN"/>
        </w:rPr>
        <w:t>（</w:t>
      </w:r>
      <w:r>
        <w:rPr>
          <w:rFonts w:hint="eastAsia" w:ascii="宋体" w:hAnsi="宋体" w:eastAsia="宋体" w:cs="Times New Roman"/>
          <w:b/>
          <w:bCs w:val="0"/>
          <w:color w:val="auto"/>
          <w:szCs w:val="21"/>
        </w:rPr>
        <w:t>三）课程思政目标</w:t>
      </w:r>
    </w:p>
    <w:p w14:paraId="0FA63F66">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思政目标1.</w:t>
      </w:r>
      <w:r>
        <w:rPr>
          <w:rFonts w:hint="eastAsia" w:ascii="宋体" w:hAnsi="宋体" w:eastAsia="宋体" w:cs="Times New Roman"/>
          <w:color w:val="auto"/>
          <w:szCs w:val="21"/>
        </w:rPr>
        <w:t>引导学生在科学实验中关注社会实际问题，增强服务社会的责任感。</w:t>
      </w:r>
    </w:p>
    <w:p w14:paraId="77DADF01">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思政目标2.</w:t>
      </w:r>
      <w:r>
        <w:rPr>
          <w:rFonts w:hint="eastAsia" w:ascii="宋体" w:hAnsi="宋体" w:eastAsia="宋体" w:cs="Times New Roman"/>
          <w:color w:val="auto"/>
          <w:szCs w:val="21"/>
        </w:rPr>
        <w:t>鼓励学生在科学实验教学中融入传统文化与生态文明理念，提升文化认同感和环境保护意识。</w:t>
      </w:r>
    </w:p>
    <w:p w14:paraId="22AA16FC">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思政目标3.</w:t>
      </w:r>
      <w:r>
        <w:rPr>
          <w:rFonts w:hint="eastAsia" w:ascii="宋体" w:hAnsi="宋体" w:eastAsia="宋体" w:cs="Times New Roman"/>
          <w:color w:val="auto"/>
          <w:szCs w:val="21"/>
        </w:rPr>
        <w:t>培养学生以开放、合作的态度解决科学教学中的实际问题，激发跨学科创新的主动性和实践力。</w:t>
      </w:r>
    </w:p>
    <w:p w14:paraId="321A87B5">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1966"/>
        <w:gridCol w:w="1163"/>
        <w:gridCol w:w="2701"/>
        <w:gridCol w:w="1703"/>
        <w:gridCol w:w="578"/>
      </w:tblGrid>
      <w:tr w14:paraId="0EA9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87" w:type="dxa"/>
            <w:vAlign w:val="center"/>
          </w:tcPr>
          <w:p w14:paraId="3ED50B30">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0E1B0183">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1966" w:type="dxa"/>
            <w:vAlign w:val="center"/>
          </w:tcPr>
          <w:p w14:paraId="3D15C699">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63" w:type="dxa"/>
            <w:vAlign w:val="center"/>
          </w:tcPr>
          <w:p w14:paraId="0770A46B">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07603F44">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2701" w:type="dxa"/>
            <w:vAlign w:val="center"/>
          </w:tcPr>
          <w:p w14:paraId="1267D57E">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703" w:type="dxa"/>
            <w:vAlign w:val="center"/>
          </w:tcPr>
          <w:p w14:paraId="347608AF">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578" w:type="dxa"/>
            <w:vAlign w:val="center"/>
          </w:tcPr>
          <w:p w14:paraId="2F37E71C">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4FE4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restart"/>
            <w:vAlign w:val="center"/>
          </w:tcPr>
          <w:p w14:paraId="26F21CBC">
            <w:pPr>
              <w:spacing w:line="264" w:lineRule="auto"/>
              <w:jc w:val="center"/>
              <w:rPr>
                <w:rFonts w:hint="eastAsia" w:ascii="宋体" w:hAnsi="宋体" w:eastAsia="宋体" w:cs="Times New Roman"/>
                <w:color w:val="auto"/>
                <w:szCs w:val="21"/>
              </w:rPr>
            </w:pPr>
            <w:r>
              <w:rPr>
                <w:rFonts w:hint="eastAsia" w:ascii="宋体" w:hAnsi="宋体" w:eastAsia="宋体"/>
                <w:color w:val="auto"/>
                <w:szCs w:val="21"/>
              </w:rPr>
              <w:t>绪论</w:t>
            </w:r>
          </w:p>
        </w:tc>
        <w:tc>
          <w:tcPr>
            <w:tcW w:w="1966" w:type="dxa"/>
            <w:vAlign w:val="center"/>
          </w:tcPr>
          <w:p w14:paraId="31450DB9">
            <w:pPr>
              <w:spacing w:line="269" w:lineRule="auto"/>
              <w:jc w:val="both"/>
              <w:rPr>
                <w:rFonts w:hint="eastAsia" w:ascii="宋体" w:hAnsi="宋体" w:eastAsia="宋体" w:cs="Times New Roman"/>
                <w:color w:val="auto"/>
                <w:szCs w:val="21"/>
              </w:rPr>
            </w:pPr>
            <w:r>
              <w:rPr>
                <w:rFonts w:hint="eastAsia" w:ascii="宋体" w:hAnsi="宋体" w:eastAsia="宋体"/>
                <w:color w:val="auto"/>
                <w:szCs w:val="21"/>
              </w:rPr>
              <w:t>小学科学实验与制作的理论与内容简介；科学教育发展趋势；探究学习理论</w:t>
            </w:r>
          </w:p>
        </w:tc>
        <w:tc>
          <w:tcPr>
            <w:tcW w:w="1163" w:type="dxa"/>
            <w:vAlign w:val="center"/>
          </w:tcPr>
          <w:p w14:paraId="412C393D">
            <w:pPr>
              <w:spacing w:line="269" w:lineRule="auto"/>
              <w:jc w:val="center"/>
              <w:rPr>
                <w:rFonts w:hint="eastAsia" w:ascii="宋体" w:hAnsi="宋体" w:eastAsia="宋体" w:cs="Times New Roman"/>
                <w:color w:val="auto"/>
                <w:szCs w:val="21"/>
              </w:rPr>
            </w:pPr>
            <w:r>
              <w:rPr>
                <w:rFonts w:hint="eastAsia" w:ascii="宋体" w:hAnsi="宋体" w:eastAsia="宋体"/>
                <w:color w:val="auto"/>
                <w:szCs w:val="21"/>
              </w:rPr>
              <w:t>目标1</w:t>
            </w:r>
          </w:p>
        </w:tc>
        <w:tc>
          <w:tcPr>
            <w:tcW w:w="2701" w:type="dxa"/>
            <w:vAlign w:val="center"/>
          </w:tcPr>
          <w:p w14:paraId="589CBA7E">
            <w:pPr>
              <w:spacing w:line="269" w:lineRule="auto"/>
              <w:jc w:val="both"/>
              <w:rPr>
                <w:rFonts w:hint="eastAsia" w:ascii="宋体" w:hAnsi="宋体" w:eastAsia="宋体" w:cs="Times New Roman"/>
                <w:color w:val="auto"/>
                <w:szCs w:val="21"/>
              </w:rPr>
            </w:pPr>
            <w:r>
              <w:rPr>
                <w:rFonts w:hint="eastAsia" w:ascii="宋体" w:hAnsi="宋体" w:eastAsia="宋体"/>
                <w:color w:val="auto"/>
                <w:szCs w:val="21"/>
              </w:rPr>
              <w:t>理解小学科学实验教学的重要性，掌握科学教育的发展趋势及探究学习的核心理念。</w:t>
            </w:r>
          </w:p>
        </w:tc>
        <w:tc>
          <w:tcPr>
            <w:tcW w:w="1703" w:type="dxa"/>
            <w:vAlign w:val="center"/>
          </w:tcPr>
          <w:p w14:paraId="0FAB4BBE">
            <w:pPr>
              <w:spacing w:line="269" w:lineRule="auto"/>
              <w:jc w:val="both"/>
              <w:rPr>
                <w:rFonts w:hint="eastAsia" w:ascii="宋体" w:hAnsi="宋体" w:eastAsia="宋体" w:cs="Times New Roman"/>
                <w:color w:val="auto"/>
                <w:szCs w:val="21"/>
              </w:rPr>
            </w:pPr>
            <w:r>
              <w:rPr>
                <w:rFonts w:hint="eastAsia" w:ascii="宋体" w:hAnsi="宋体" w:eastAsia="宋体"/>
                <w:color w:val="auto"/>
                <w:szCs w:val="21"/>
              </w:rPr>
              <w:t>1</w:t>
            </w:r>
            <w:r>
              <w:rPr>
                <w:rFonts w:ascii="宋体" w:hAnsi="宋体" w:eastAsia="宋体"/>
                <w:color w:val="auto"/>
                <w:szCs w:val="21"/>
              </w:rPr>
              <w:t>. 多媒体教学：分析案例讲解探究学习理论</w:t>
            </w:r>
            <w:r>
              <w:rPr>
                <w:rFonts w:ascii="宋体" w:hAnsi="宋体" w:eastAsia="宋体"/>
                <w:color w:val="auto"/>
                <w:szCs w:val="21"/>
              </w:rPr>
              <w:br w:type="textWrapping"/>
            </w:r>
            <w:r>
              <w:rPr>
                <w:rFonts w:hint="eastAsia" w:ascii="宋体" w:hAnsi="宋体" w:eastAsia="宋体"/>
                <w:color w:val="auto"/>
                <w:szCs w:val="21"/>
              </w:rPr>
              <w:t>2</w:t>
            </w:r>
            <w:r>
              <w:rPr>
                <w:rFonts w:ascii="宋体" w:hAnsi="宋体" w:eastAsia="宋体"/>
                <w:color w:val="auto"/>
                <w:szCs w:val="21"/>
              </w:rPr>
              <w:t>. 课堂讨论：科学教育与小学教育的联系</w:t>
            </w:r>
          </w:p>
        </w:tc>
        <w:tc>
          <w:tcPr>
            <w:tcW w:w="578" w:type="dxa"/>
            <w:vAlign w:val="center"/>
          </w:tcPr>
          <w:p w14:paraId="398574F1">
            <w:pPr>
              <w:spacing w:line="269" w:lineRule="auto"/>
              <w:jc w:val="both"/>
              <w:rPr>
                <w:rFonts w:hint="eastAsia" w:ascii="宋体" w:hAnsi="宋体" w:eastAsia="宋体" w:cs="Times New Roman"/>
                <w:color w:val="auto"/>
                <w:szCs w:val="21"/>
              </w:rPr>
            </w:pPr>
            <w:r>
              <w:rPr>
                <w:rFonts w:hint="eastAsia" w:ascii="宋体" w:hAnsi="宋体" w:eastAsia="宋体"/>
                <w:color w:val="auto"/>
                <w:szCs w:val="21"/>
              </w:rPr>
              <w:t>2</w:t>
            </w:r>
          </w:p>
        </w:tc>
      </w:tr>
      <w:tr w14:paraId="7B78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vAlign w:val="center"/>
          </w:tcPr>
          <w:p w14:paraId="7B1B9298">
            <w:pPr>
              <w:spacing w:line="264" w:lineRule="auto"/>
              <w:jc w:val="center"/>
              <w:rPr>
                <w:rFonts w:hint="eastAsia" w:ascii="宋体" w:hAnsi="宋体" w:eastAsia="宋体" w:cs="Times New Roman"/>
                <w:color w:val="auto"/>
                <w:szCs w:val="21"/>
              </w:rPr>
            </w:pPr>
          </w:p>
        </w:tc>
        <w:tc>
          <w:tcPr>
            <w:tcW w:w="8111" w:type="dxa"/>
            <w:gridSpan w:val="5"/>
            <w:vAlign w:val="center"/>
          </w:tcPr>
          <w:p w14:paraId="4C2D2888">
            <w:pPr>
              <w:spacing w:line="269" w:lineRule="auto"/>
              <w:jc w:val="both"/>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w:t>
            </w:r>
            <w:r>
              <w:rPr>
                <w:rFonts w:ascii="宋体" w:hAnsi="宋体" w:eastAsia="宋体" w:cs="Times New Roman"/>
                <w:color w:val="auto"/>
                <w:szCs w:val="21"/>
              </w:rPr>
              <w:t>增强学生对科学教育的社会意义与责任感的认知，树立科学精神和育人意识。</w:t>
            </w:r>
          </w:p>
        </w:tc>
      </w:tr>
      <w:tr w14:paraId="1EC3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restart"/>
            <w:vAlign w:val="center"/>
          </w:tcPr>
          <w:p w14:paraId="64A4A583">
            <w:pPr>
              <w:spacing w:line="264" w:lineRule="auto"/>
              <w:jc w:val="center"/>
              <w:rPr>
                <w:rFonts w:hint="eastAsia" w:ascii="宋体" w:hAnsi="宋体" w:eastAsia="宋体" w:cs="Times New Roman"/>
                <w:color w:val="auto"/>
                <w:szCs w:val="21"/>
              </w:rPr>
            </w:pPr>
            <w:r>
              <w:rPr>
                <w:rFonts w:hint="eastAsia" w:ascii="宋体" w:hAnsi="宋体" w:eastAsia="宋体"/>
                <w:color w:val="auto"/>
                <w:szCs w:val="21"/>
              </w:rPr>
              <w:t>小学科学实验与制作</w:t>
            </w:r>
          </w:p>
        </w:tc>
        <w:tc>
          <w:tcPr>
            <w:tcW w:w="1966" w:type="dxa"/>
            <w:vAlign w:val="center"/>
          </w:tcPr>
          <w:p w14:paraId="1B6E7978">
            <w:pPr>
              <w:spacing w:line="269" w:lineRule="auto"/>
              <w:jc w:val="both"/>
              <w:rPr>
                <w:rFonts w:hint="eastAsia" w:ascii="宋体" w:hAnsi="宋体" w:eastAsia="宋体" w:cs="Times New Roman"/>
                <w:color w:val="auto"/>
                <w:szCs w:val="21"/>
              </w:rPr>
            </w:pPr>
            <w:r>
              <w:rPr>
                <w:rFonts w:hint="eastAsia" w:ascii="宋体" w:hAnsi="宋体" w:eastAsia="宋体"/>
                <w:color w:val="auto"/>
                <w:szCs w:val="21"/>
              </w:rPr>
              <w:t>叶脉标本制作、骨骼标本制作、小学科学实验（水的实验、光实验、力实验等）</w:t>
            </w:r>
          </w:p>
        </w:tc>
        <w:tc>
          <w:tcPr>
            <w:tcW w:w="1163" w:type="dxa"/>
            <w:vAlign w:val="center"/>
          </w:tcPr>
          <w:p w14:paraId="7836B321">
            <w:pPr>
              <w:spacing w:line="269" w:lineRule="auto"/>
              <w:jc w:val="both"/>
              <w:rPr>
                <w:rFonts w:hint="eastAsia" w:ascii="宋体" w:hAnsi="宋体" w:eastAsia="宋体" w:cs="Times New Roman"/>
                <w:color w:val="auto"/>
                <w:szCs w:val="21"/>
              </w:rPr>
            </w:pPr>
            <w:r>
              <w:rPr>
                <w:rFonts w:hint="eastAsia" w:ascii="宋体" w:hAnsi="宋体" w:eastAsia="宋体"/>
                <w:color w:val="auto"/>
                <w:szCs w:val="21"/>
              </w:rPr>
              <w:t>目标1、2</w:t>
            </w:r>
          </w:p>
        </w:tc>
        <w:tc>
          <w:tcPr>
            <w:tcW w:w="2701" w:type="dxa"/>
            <w:vAlign w:val="center"/>
          </w:tcPr>
          <w:p w14:paraId="6582DE37">
            <w:pPr>
              <w:spacing w:line="269" w:lineRule="auto"/>
              <w:jc w:val="both"/>
              <w:rPr>
                <w:rFonts w:hint="eastAsia" w:ascii="宋体" w:hAnsi="宋体" w:eastAsia="宋体" w:cs="Times New Roman"/>
                <w:color w:val="auto"/>
                <w:szCs w:val="21"/>
              </w:rPr>
            </w:pPr>
            <w:r>
              <w:rPr>
                <w:rFonts w:hint="eastAsia" w:ascii="宋体" w:hAnsi="宋体" w:eastAsia="宋体"/>
                <w:color w:val="auto"/>
                <w:szCs w:val="21"/>
              </w:rPr>
              <w:t>掌握小学科学实验的基本技能，能够设计简单实验并指导学生操作，理解实验教学的基本流程。</w:t>
            </w:r>
          </w:p>
        </w:tc>
        <w:tc>
          <w:tcPr>
            <w:tcW w:w="1703" w:type="dxa"/>
            <w:vAlign w:val="center"/>
          </w:tcPr>
          <w:p w14:paraId="6893CD1A">
            <w:pPr>
              <w:spacing w:line="269" w:lineRule="auto"/>
              <w:jc w:val="both"/>
              <w:rPr>
                <w:rFonts w:hint="eastAsia" w:ascii="宋体" w:hAnsi="宋体" w:eastAsia="宋体" w:cs="Times New Roman"/>
                <w:color w:val="auto"/>
                <w:szCs w:val="21"/>
              </w:rPr>
            </w:pPr>
            <w:r>
              <w:rPr>
                <w:rFonts w:ascii="宋体" w:hAnsi="宋体" w:eastAsia="宋体"/>
                <w:color w:val="auto"/>
                <w:szCs w:val="21"/>
              </w:rPr>
              <w:t xml:space="preserve">1. 动手实验 </w:t>
            </w:r>
            <w:r>
              <w:rPr>
                <w:rFonts w:ascii="宋体" w:hAnsi="宋体" w:eastAsia="宋体"/>
                <w:color w:val="auto"/>
                <w:szCs w:val="21"/>
              </w:rPr>
              <w:br w:type="textWrapping"/>
            </w:r>
            <w:r>
              <w:rPr>
                <w:rFonts w:ascii="宋体" w:hAnsi="宋体" w:eastAsia="宋体"/>
                <w:color w:val="auto"/>
                <w:szCs w:val="21"/>
              </w:rPr>
              <w:t>2. 多媒体教学</w:t>
            </w:r>
            <w:r>
              <w:rPr>
                <w:rFonts w:ascii="宋体" w:hAnsi="宋体" w:eastAsia="宋体"/>
                <w:color w:val="auto"/>
                <w:szCs w:val="21"/>
              </w:rPr>
              <w:br w:type="textWrapping"/>
            </w:r>
            <w:r>
              <w:rPr>
                <w:rFonts w:ascii="宋体" w:hAnsi="宋体" w:eastAsia="宋体"/>
                <w:color w:val="auto"/>
                <w:szCs w:val="21"/>
              </w:rPr>
              <w:t>3. 小组合作</w:t>
            </w:r>
            <w:r>
              <w:rPr>
                <w:rFonts w:ascii="宋体" w:hAnsi="宋体" w:eastAsia="宋体"/>
                <w:color w:val="auto"/>
                <w:szCs w:val="21"/>
              </w:rPr>
              <w:br w:type="textWrapping"/>
            </w:r>
            <w:r>
              <w:rPr>
                <w:rFonts w:ascii="宋体" w:hAnsi="宋体" w:eastAsia="宋体"/>
                <w:color w:val="auto"/>
                <w:szCs w:val="21"/>
              </w:rPr>
              <w:t>4. 课堂讨论：分析实验在教学中的适用性</w:t>
            </w:r>
          </w:p>
        </w:tc>
        <w:tc>
          <w:tcPr>
            <w:tcW w:w="578" w:type="dxa"/>
            <w:vAlign w:val="center"/>
          </w:tcPr>
          <w:p w14:paraId="09305895">
            <w:pPr>
              <w:spacing w:line="269" w:lineRule="auto"/>
              <w:jc w:val="both"/>
              <w:rPr>
                <w:rFonts w:hint="eastAsia" w:ascii="宋体" w:hAnsi="宋体" w:eastAsia="宋体" w:cs="Times New Roman"/>
                <w:color w:val="auto"/>
                <w:szCs w:val="21"/>
              </w:rPr>
            </w:pPr>
            <w:r>
              <w:rPr>
                <w:rFonts w:hint="eastAsia" w:ascii="宋体" w:hAnsi="宋体" w:eastAsia="宋体"/>
                <w:color w:val="auto"/>
                <w:szCs w:val="21"/>
              </w:rPr>
              <w:t>6+6</w:t>
            </w:r>
          </w:p>
        </w:tc>
      </w:tr>
      <w:tr w14:paraId="35C2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vAlign w:val="center"/>
          </w:tcPr>
          <w:p w14:paraId="3A41EA11">
            <w:pPr>
              <w:spacing w:line="264" w:lineRule="auto"/>
              <w:jc w:val="center"/>
              <w:rPr>
                <w:rFonts w:hint="eastAsia" w:ascii="宋体" w:hAnsi="宋体" w:eastAsia="宋体" w:cs="Times New Roman"/>
                <w:color w:val="auto"/>
                <w:szCs w:val="21"/>
              </w:rPr>
            </w:pPr>
          </w:p>
        </w:tc>
        <w:tc>
          <w:tcPr>
            <w:tcW w:w="8111" w:type="dxa"/>
            <w:gridSpan w:val="5"/>
            <w:vAlign w:val="center"/>
          </w:tcPr>
          <w:p w14:paraId="0DBD646C">
            <w:pPr>
              <w:spacing w:line="269" w:lineRule="auto"/>
              <w:jc w:val="both"/>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w:t>
            </w:r>
            <w:r>
              <w:rPr>
                <w:rFonts w:ascii="宋体" w:hAnsi="宋体" w:eastAsia="宋体" w:cs="Times New Roman"/>
                <w:color w:val="auto"/>
                <w:szCs w:val="21"/>
              </w:rPr>
              <w:t>引导学生在科学实验中关注自然现象，激发尊重事实、实事求是的科学精神，增强热爱自然、保护生态环境的意识。</w:t>
            </w:r>
          </w:p>
        </w:tc>
      </w:tr>
      <w:tr w14:paraId="75E5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restart"/>
            <w:vAlign w:val="center"/>
          </w:tcPr>
          <w:p w14:paraId="771E5142">
            <w:pPr>
              <w:spacing w:line="264" w:lineRule="auto"/>
              <w:jc w:val="center"/>
              <w:rPr>
                <w:rFonts w:hint="eastAsia" w:ascii="宋体" w:hAnsi="宋体" w:eastAsia="宋体" w:cs="Times New Roman"/>
                <w:color w:val="auto"/>
                <w:szCs w:val="21"/>
              </w:rPr>
            </w:pPr>
            <w:r>
              <w:rPr>
                <w:rFonts w:hint="eastAsia" w:ascii="宋体" w:hAnsi="宋体" w:eastAsia="宋体"/>
                <w:color w:val="auto"/>
                <w:szCs w:val="21"/>
              </w:rPr>
              <w:t>STEM实验设计与实施</w:t>
            </w:r>
          </w:p>
        </w:tc>
        <w:tc>
          <w:tcPr>
            <w:tcW w:w="1966" w:type="dxa"/>
            <w:vAlign w:val="center"/>
          </w:tcPr>
          <w:p w14:paraId="612059F2">
            <w:pPr>
              <w:spacing w:line="269" w:lineRule="auto"/>
              <w:jc w:val="both"/>
              <w:rPr>
                <w:rFonts w:hint="eastAsia" w:ascii="宋体" w:hAnsi="宋体" w:eastAsia="宋体" w:cs="Times New Roman"/>
                <w:color w:val="auto"/>
                <w:szCs w:val="21"/>
              </w:rPr>
            </w:pPr>
            <w:r>
              <w:rPr>
                <w:rFonts w:hint="eastAsia" w:ascii="宋体" w:hAnsi="宋体" w:eastAsia="宋体"/>
                <w:color w:val="auto"/>
                <w:szCs w:val="21"/>
              </w:rPr>
              <w:t>STEM教育基础理论；资源受限条件下的STEM设计（废旧物品STEM和无设备STEM）；乐高编程实验；C-STEAM设计</w:t>
            </w:r>
          </w:p>
        </w:tc>
        <w:tc>
          <w:tcPr>
            <w:tcW w:w="1163" w:type="dxa"/>
            <w:vAlign w:val="center"/>
          </w:tcPr>
          <w:p w14:paraId="31277441">
            <w:pPr>
              <w:spacing w:line="269" w:lineRule="auto"/>
              <w:jc w:val="both"/>
              <w:rPr>
                <w:rFonts w:hint="eastAsia" w:ascii="宋体" w:hAnsi="宋体" w:eastAsia="宋体" w:cs="Times New Roman"/>
                <w:color w:val="auto"/>
                <w:szCs w:val="21"/>
              </w:rPr>
            </w:pPr>
            <w:r>
              <w:rPr>
                <w:rFonts w:hint="eastAsia" w:ascii="宋体" w:hAnsi="宋体" w:eastAsia="宋体"/>
                <w:color w:val="auto"/>
                <w:szCs w:val="21"/>
              </w:rPr>
              <w:t>目标2、3</w:t>
            </w:r>
          </w:p>
        </w:tc>
        <w:tc>
          <w:tcPr>
            <w:tcW w:w="2701" w:type="dxa"/>
            <w:vAlign w:val="center"/>
          </w:tcPr>
          <w:p w14:paraId="51A3A533">
            <w:pPr>
              <w:spacing w:line="269" w:lineRule="auto"/>
              <w:jc w:val="both"/>
              <w:rPr>
                <w:rFonts w:hint="eastAsia" w:ascii="宋体" w:hAnsi="宋体" w:eastAsia="宋体" w:cs="Times New Roman"/>
                <w:color w:val="auto"/>
                <w:szCs w:val="21"/>
              </w:rPr>
            </w:pPr>
            <w:r>
              <w:rPr>
                <w:rFonts w:hint="eastAsia" w:ascii="宋体" w:hAnsi="宋体" w:eastAsia="宋体"/>
                <w:color w:val="auto"/>
                <w:szCs w:val="21"/>
              </w:rPr>
              <w:t>掌握STEM实验设计方法，能够利用资源设计综合性实验教学方案，结合科学与文化实现教育创新。</w:t>
            </w:r>
          </w:p>
        </w:tc>
        <w:tc>
          <w:tcPr>
            <w:tcW w:w="1703" w:type="dxa"/>
            <w:vAlign w:val="center"/>
          </w:tcPr>
          <w:p w14:paraId="0E05693A">
            <w:pPr>
              <w:spacing w:line="269" w:lineRule="auto"/>
              <w:jc w:val="both"/>
              <w:rPr>
                <w:rFonts w:hint="eastAsia" w:ascii="宋体" w:hAnsi="宋体" w:eastAsia="宋体" w:cs="Times New Roman"/>
                <w:color w:val="auto"/>
                <w:szCs w:val="21"/>
              </w:rPr>
            </w:pPr>
            <w:r>
              <w:rPr>
                <w:rFonts w:ascii="宋体" w:hAnsi="宋体" w:eastAsia="宋体"/>
                <w:color w:val="auto"/>
                <w:szCs w:val="21"/>
              </w:rPr>
              <w:t>1.</w:t>
            </w:r>
            <w:r>
              <w:rPr>
                <w:rFonts w:hint="eastAsia" w:ascii="宋体" w:hAnsi="宋体" w:eastAsia="宋体"/>
                <w:color w:val="auto"/>
                <w:szCs w:val="21"/>
              </w:rPr>
              <w:t>多媒体学习</w:t>
            </w:r>
            <w:r>
              <w:rPr>
                <w:rFonts w:ascii="宋体" w:hAnsi="宋体" w:eastAsia="宋体"/>
                <w:color w:val="auto"/>
                <w:szCs w:val="21"/>
              </w:rPr>
              <w:br w:type="textWrapping"/>
            </w:r>
            <w:r>
              <w:rPr>
                <w:rFonts w:ascii="宋体" w:hAnsi="宋体" w:eastAsia="宋体"/>
                <w:color w:val="auto"/>
                <w:szCs w:val="21"/>
              </w:rPr>
              <w:t>2. 动手实践</w:t>
            </w:r>
            <w:r>
              <w:rPr>
                <w:rFonts w:ascii="宋体" w:hAnsi="宋体" w:eastAsia="宋体"/>
                <w:color w:val="auto"/>
                <w:szCs w:val="21"/>
              </w:rPr>
              <w:br w:type="textWrapping"/>
            </w:r>
            <w:r>
              <w:rPr>
                <w:rFonts w:ascii="宋体" w:hAnsi="宋体" w:eastAsia="宋体"/>
                <w:color w:val="auto"/>
                <w:szCs w:val="21"/>
              </w:rPr>
              <w:t>3. 编程操作</w:t>
            </w:r>
            <w:r>
              <w:rPr>
                <w:rFonts w:ascii="宋体" w:hAnsi="宋体" w:eastAsia="宋体"/>
                <w:color w:val="auto"/>
                <w:szCs w:val="21"/>
              </w:rPr>
              <w:br w:type="textWrapping"/>
            </w:r>
            <w:r>
              <w:rPr>
                <w:rFonts w:ascii="宋体" w:hAnsi="宋体" w:eastAsia="宋体"/>
                <w:color w:val="auto"/>
                <w:szCs w:val="21"/>
              </w:rPr>
              <w:t>4. 调研展示</w:t>
            </w:r>
          </w:p>
        </w:tc>
        <w:tc>
          <w:tcPr>
            <w:tcW w:w="578" w:type="dxa"/>
            <w:vAlign w:val="center"/>
          </w:tcPr>
          <w:p w14:paraId="00A2856E">
            <w:pPr>
              <w:spacing w:line="269" w:lineRule="auto"/>
              <w:jc w:val="both"/>
              <w:rPr>
                <w:rFonts w:hint="eastAsia" w:ascii="宋体" w:hAnsi="宋体" w:eastAsia="宋体" w:cs="Times New Roman"/>
                <w:color w:val="auto"/>
                <w:szCs w:val="21"/>
              </w:rPr>
            </w:pPr>
            <w:r>
              <w:rPr>
                <w:rFonts w:hint="eastAsia" w:ascii="宋体" w:hAnsi="宋体" w:eastAsia="宋体"/>
                <w:color w:val="auto"/>
                <w:szCs w:val="21"/>
              </w:rPr>
              <w:t>8+8</w:t>
            </w:r>
          </w:p>
        </w:tc>
      </w:tr>
      <w:tr w14:paraId="2266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vAlign w:val="center"/>
          </w:tcPr>
          <w:p w14:paraId="7F5227CF">
            <w:pPr>
              <w:spacing w:line="264" w:lineRule="auto"/>
              <w:jc w:val="center"/>
              <w:rPr>
                <w:rFonts w:hint="eastAsia" w:ascii="宋体" w:hAnsi="宋体" w:eastAsia="宋体" w:cs="Times New Roman"/>
                <w:color w:val="auto"/>
                <w:szCs w:val="21"/>
              </w:rPr>
            </w:pPr>
          </w:p>
        </w:tc>
        <w:tc>
          <w:tcPr>
            <w:tcW w:w="8111" w:type="dxa"/>
            <w:gridSpan w:val="5"/>
            <w:vAlign w:val="center"/>
          </w:tcPr>
          <w:p w14:paraId="370A54DC">
            <w:pPr>
              <w:spacing w:line="269" w:lineRule="auto"/>
              <w:jc w:val="both"/>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w:t>
            </w:r>
            <w:r>
              <w:rPr>
                <w:rFonts w:ascii="宋体" w:hAnsi="宋体" w:eastAsia="宋体" w:cs="Times New Roman"/>
                <w:color w:val="auto"/>
                <w:szCs w:val="21"/>
              </w:rPr>
              <w:t>强化学生对跨学科整合的理解，培养创新能力与实践力；通过C-STEAM设计增强学生对中国传统文化的认同感，树立文化自信与社会责任感。</w:t>
            </w:r>
          </w:p>
        </w:tc>
      </w:tr>
      <w:tr w14:paraId="22C9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restart"/>
            <w:vAlign w:val="center"/>
          </w:tcPr>
          <w:p w14:paraId="49E9978A">
            <w:pPr>
              <w:spacing w:line="276" w:lineRule="auto"/>
              <w:jc w:val="center"/>
              <w:rPr>
                <w:rFonts w:hint="eastAsia" w:ascii="宋体" w:hAnsi="宋体" w:eastAsia="宋体" w:cs="Times New Roman"/>
                <w:color w:val="auto"/>
                <w:szCs w:val="21"/>
              </w:rPr>
            </w:pPr>
            <w:r>
              <w:rPr>
                <w:rFonts w:hint="eastAsia" w:ascii="宋体" w:hAnsi="宋体" w:eastAsia="宋体"/>
                <w:color w:val="auto"/>
                <w:szCs w:val="21"/>
              </w:rPr>
              <w:t>实验教学的实施与评价</w:t>
            </w:r>
          </w:p>
        </w:tc>
        <w:tc>
          <w:tcPr>
            <w:tcW w:w="1966" w:type="dxa"/>
            <w:vAlign w:val="center"/>
          </w:tcPr>
          <w:p w14:paraId="21676226">
            <w:pPr>
              <w:spacing w:line="276" w:lineRule="auto"/>
              <w:jc w:val="both"/>
              <w:rPr>
                <w:rFonts w:hint="eastAsia" w:ascii="宋体" w:hAnsi="宋体" w:eastAsia="宋体" w:cs="Times New Roman"/>
                <w:color w:val="auto"/>
                <w:szCs w:val="21"/>
              </w:rPr>
            </w:pPr>
            <w:r>
              <w:rPr>
                <w:rFonts w:hint="eastAsia" w:ascii="宋体" w:hAnsi="宋体" w:eastAsia="宋体"/>
                <w:color w:val="auto"/>
                <w:szCs w:val="21"/>
              </w:rPr>
              <w:t>实验教学设计原则；小学实验教学实施与管理；实验教学评价方法与改进策略</w:t>
            </w:r>
          </w:p>
        </w:tc>
        <w:tc>
          <w:tcPr>
            <w:tcW w:w="1163" w:type="dxa"/>
            <w:vAlign w:val="center"/>
          </w:tcPr>
          <w:p w14:paraId="162D1D8E">
            <w:pPr>
              <w:spacing w:line="276" w:lineRule="auto"/>
              <w:jc w:val="both"/>
              <w:rPr>
                <w:rFonts w:hint="eastAsia" w:ascii="宋体" w:hAnsi="宋体" w:eastAsia="宋体" w:cs="Times New Roman"/>
                <w:color w:val="auto"/>
                <w:szCs w:val="21"/>
              </w:rPr>
            </w:pPr>
            <w:r>
              <w:rPr>
                <w:rFonts w:hint="eastAsia" w:ascii="宋体" w:hAnsi="宋体" w:eastAsia="宋体"/>
                <w:color w:val="auto"/>
                <w:szCs w:val="21"/>
              </w:rPr>
              <w:t>目标2、3</w:t>
            </w:r>
          </w:p>
        </w:tc>
        <w:tc>
          <w:tcPr>
            <w:tcW w:w="2701" w:type="dxa"/>
            <w:vAlign w:val="center"/>
          </w:tcPr>
          <w:p w14:paraId="5BD38A94">
            <w:pPr>
              <w:spacing w:line="276" w:lineRule="auto"/>
              <w:jc w:val="both"/>
              <w:rPr>
                <w:rFonts w:hint="eastAsia" w:ascii="宋体" w:hAnsi="宋体" w:eastAsia="宋体" w:cs="Times New Roman"/>
                <w:color w:val="auto"/>
                <w:szCs w:val="21"/>
              </w:rPr>
            </w:pPr>
            <w:r>
              <w:rPr>
                <w:rFonts w:hint="eastAsia" w:ascii="宋体" w:hAnsi="宋体" w:eastAsia="宋体"/>
                <w:color w:val="auto"/>
                <w:szCs w:val="21"/>
              </w:rPr>
              <w:t>掌握实验教学设计与实施的核心方法，能够独立开展实验教学并进行科学评价，优化教学策略。</w:t>
            </w:r>
          </w:p>
        </w:tc>
        <w:tc>
          <w:tcPr>
            <w:tcW w:w="1703" w:type="dxa"/>
            <w:vAlign w:val="center"/>
          </w:tcPr>
          <w:p w14:paraId="5D78403B">
            <w:pPr>
              <w:spacing w:line="276" w:lineRule="auto"/>
              <w:jc w:val="both"/>
              <w:rPr>
                <w:rFonts w:hint="eastAsia" w:ascii="宋体" w:hAnsi="宋体" w:eastAsia="宋体"/>
                <w:color w:val="auto"/>
                <w:szCs w:val="21"/>
              </w:rPr>
            </w:pPr>
            <w:r>
              <w:rPr>
                <w:rFonts w:ascii="宋体" w:hAnsi="宋体" w:eastAsia="宋体"/>
                <w:color w:val="auto"/>
                <w:szCs w:val="21"/>
              </w:rPr>
              <w:t xml:space="preserve">1. </w:t>
            </w:r>
            <w:r>
              <w:rPr>
                <w:rFonts w:hint="eastAsia" w:ascii="宋体" w:hAnsi="宋体" w:eastAsia="宋体"/>
                <w:color w:val="auto"/>
                <w:szCs w:val="21"/>
              </w:rPr>
              <w:t>多媒体学习</w:t>
            </w:r>
            <w:r>
              <w:rPr>
                <w:rFonts w:ascii="宋体" w:hAnsi="宋体" w:eastAsia="宋体"/>
                <w:color w:val="auto"/>
                <w:szCs w:val="21"/>
              </w:rPr>
              <w:t xml:space="preserve"> </w:t>
            </w:r>
            <w:r>
              <w:rPr>
                <w:rFonts w:ascii="宋体" w:hAnsi="宋体" w:eastAsia="宋体"/>
                <w:color w:val="auto"/>
                <w:szCs w:val="21"/>
              </w:rPr>
              <w:br w:type="textWrapping"/>
            </w:r>
            <w:r>
              <w:rPr>
                <w:rFonts w:ascii="宋体" w:hAnsi="宋体" w:eastAsia="宋体"/>
                <w:color w:val="auto"/>
                <w:szCs w:val="21"/>
              </w:rPr>
              <w:t>2. 动手操作</w:t>
            </w:r>
          </w:p>
          <w:p w14:paraId="694509EC">
            <w:pPr>
              <w:spacing w:line="276" w:lineRule="auto"/>
              <w:jc w:val="both"/>
              <w:rPr>
                <w:rFonts w:hint="eastAsia" w:ascii="宋体" w:hAnsi="宋体" w:eastAsia="宋体"/>
                <w:color w:val="auto"/>
                <w:szCs w:val="21"/>
              </w:rPr>
            </w:pPr>
            <w:r>
              <w:rPr>
                <w:rFonts w:ascii="宋体" w:hAnsi="宋体" w:eastAsia="宋体"/>
                <w:color w:val="auto"/>
                <w:szCs w:val="21"/>
              </w:rPr>
              <w:t>3. 课堂演练</w:t>
            </w:r>
          </w:p>
          <w:p w14:paraId="189A918E">
            <w:pPr>
              <w:spacing w:line="276" w:lineRule="auto"/>
              <w:jc w:val="both"/>
              <w:rPr>
                <w:rFonts w:hint="eastAsia" w:ascii="宋体" w:hAnsi="宋体" w:eastAsia="宋体" w:cs="Times New Roman"/>
                <w:color w:val="auto"/>
                <w:szCs w:val="21"/>
              </w:rPr>
            </w:pPr>
            <w:r>
              <w:rPr>
                <w:rFonts w:ascii="宋体" w:hAnsi="宋体" w:eastAsia="宋体"/>
                <w:color w:val="auto"/>
                <w:szCs w:val="21"/>
              </w:rPr>
              <w:t>4. 课后改进</w:t>
            </w:r>
          </w:p>
        </w:tc>
        <w:tc>
          <w:tcPr>
            <w:tcW w:w="578" w:type="dxa"/>
            <w:vAlign w:val="center"/>
          </w:tcPr>
          <w:p w14:paraId="7CCEC0DC">
            <w:pPr>
              <w:spacing w:line="276" w:lineRule="auto"/>
              <w:jc w:val="both"/>
              <w:rPr>
                <w:rFonts w:hint="eastAsia" w:ascii="宋体" w:hAnsi="宋体" w:eastAsia="宋体" w:cs="Times New Roman"/>
                <w:color w:val="auto"/>
                <w:szCs w:val="21"/>
              </w:rPr>
            </w:pPr>
            <w:r>
              <w:rPr>
                <w:rFonts w:hint="eastAsia" w:ascii="宋体" w:hAnsi="宋体" w:eastAsia="宋体"/>
                <w:color w:val="auto"/>
                <w:szCs w:val="21"/>
              </w:rPr>
              <w:t>2+2</w:t>
            </w:r>
          </w:p>
        </w:tc>
      </w:tr>
      <w:tr w14:paraId="167E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vAlign w:val="center"/>
          </w:tcPr>
          <w:p w14:paraId="2F253B52">
            <w:pPr>
              <w:spacing w:line="276" w:lineRule="auto"/>
              <w:jc w:val="center"/>
              <w:rPr>
                <w:rFonts w:hint="eastAsia" w:ascii="宋体" w:hAnsi="宋体" w:eastAsia="宋体" w:cs="Times New Roman"/>
                <w:color w:val="auto"/>
                <w:szCs w:val="21"/>
              </w:rPr>
            </w:pPr>
          </w:p>
        </w:tc>
        <w:tc>
          <w:tcPr>
            <w:tcW w:w="8111" w:type="dxa"/>
            <w:gridSpan w:val="5"/>
            <w:vAlign w:val="center"/>
          </w:tcPr>
          <w:p w14:paraId="34E6D4CA">
            <w:pPr>
              <w:spacing w:line="276" w:lineRule="auto"/>
              <w:jc w:val="both"/>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w:t>
            </w:r>
            <w:r>
              <w:rPr>
                <w:rFonts w:ascii="宋体" w:hAnsi="宋体" w:eastAsia="宋体" w:cs="Times New Roman"/>
                <w:color w:val="auto"/>
                <w:szCs w:val="21"/>
              </w:rPr>
              <w:t>引导学生关注教学效果与学生成长，增强育人意识，培养责任感与反思精神，提升科学教学的价值感和社会意义认知。</w:t>
            </w:r>
          </w:p>
        </w:tc>
      </w:tr>
    </w:tbl>
    <w:p w14:paraId="4A6BBF2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四、目标评价与成绩评定</w:t>
      </w:r>
    </w:p>
    <w:p w14:paraId="2291D5BA">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4FC0F2C6">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900"/>
        <w:gridCol w:w="998"/>
        <w:gridCol w:w="998"/>
        <w:gridCol w:w="1380"/>
        <w:gridCol w:w="1380"/>
        <w:gridCol w:w="998"/>
        <w:gridCol w:w="626"/>
      </w:tblGrid>
      <w:tr w14:paraId="69CF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216E0C6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6654" w:type="dxa"/>
            <w:gridSpan w:val="6"/>
            <w:vAlign w:val="center"/>
          </w:tcPr>
          <w:p w14:paraId="15DE133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039442B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6EDD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66096AB2">
            <w:pPr>
              <w:spacing w:line="360" w:lineRule="auto"/>
              <w:jc w:val="center"/>
              <w:rPr>
                <w:rFonts w:hint="eastAsia" w:ascii="宋体" w:hAnsi="宋体" w:eastAsia="宋体" w:cs="Times New Roman"/>
                <w:color w:val="auto"/>
                <w:szCs w:val="21"/>
              </w:rPr>
            </w:pPr>
          </w:p>
        </w:tc>
        <w:tc>
          <w:tcPr>
            <w:tcW w:w="900" w:type="dxa"/>
            <w:vAlign w:val="center"/>
          </w:tcPr>
          <w:p w14:paraId="124F1D69">
            <w:pPr>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0" w:type="auto"/>
            <w:vAlign w:val="center"/>
          </w:tcPr>
          <w:p w14:paraId="00280A75">
            <w:pPr>
              <w:jc w:val="center"/>
              <w:rPr>
                <w:rFonts w:hint="eastAsia" w:ascii="宋体" w:hAnsi="宋体" w:eastAsia="宋体" w:cs="Times New Roman"/>
                <w:color w:val="auto"/>
                <w:szCs w:val="21"/>
              </w:rPr>
            </w:pPr>
            <w:r>
              <w:rPr>
                <w:rFonts w:hint="eastAsia" w:ascii="宋体" w:hAnsi="宋体" w:eastAsia="宋体" w:cs="Times New Roman"/>
                <w:color w:val="auto"/>
                <w:szCs w:val="21"/>
              </w:rPr>
              <w:t>实验报告</w:t>
            </w:r>
          </w:p>
        </w:tc>
        <w:tc>
          <w:tcPr>
            <w:tcW w:w="0" w:type="auto"/>
            <w:vAlign w:val="center"/>
          </w:tcPr>
          <w:p w14:paraId="1B25DEA8">
            <w:pPr>
              <w:jc w:val="center"/>
              <w:rPr>
                <w:rFonts w:hint="eastAsia" w:ascii="宋体" w:hAnsi="宋体" w:eastAsia="宋体" w:cs="Times New Roman"/>
                <w:color w:val="auto"/>
                <w:szCs w:val="21"/>
              </w:rPr>
            </w:pPr>
            <w:r>
              <w:rPr>
                <w:rFonts w:hint="eastAsia" w:ascii="宋体" w:hAnsi="宋体" w:eastAsia="宋体" w:cs="Times New Roman"/>
                <w:color w:val="auto"/>
                <w:szCs w:val="21"/>
              </w:rPr>
              <w:t>实验作品</w:t>
            </w:r>
          </w:p>
        </w:tc>
        <w:tc>
          <w:tcPr>
            <w:tcW w:w="0" w:type="auto"/>
            <w:vAlign w:val="center"/>
          </w:tcPr>
          <w:p w14:paraId="16DB96B2">
            <w:pPr>
              <w:jc w:val="center"/>
              <w:rPr>
                <w:rFonts w:hint="eastAsia" w:ascii="宋体" w:hAnsi="宋体" w:eastAsia="宋体" w:cs="Times New Roman"/>
                <w:color w:val="auto"/>
                <w:szCs w:val="21"/>
              </w:rPr>
            </w:pPr>
            <w:r>
              <w:rPr>
                <w:rFonts w:hint="eastAsia" w:ascii="宋体" w:hAnsi="宋体" w:eastAsia="宋体" w:cs="Times New Roman"/>
                <w:color w:val="auto"/>
                <w:szCs w:val="21"/>
              </w:rPr>
              <w:t>实验教学设计</w:t>
            </w:r>
          </w:p>
        </w:tc>
        <w:tc>
          <w:tcPr>
            <w:tcW w:w="0" w:type="auto"/>
            <w:vAlign w:val="center"/>
          </w:tcPr>
          <w:p w14:paraId="0130ED5B">
            <w:pPr>
              <w:jc w:val="center"/>
              <w:rPr>
                <w:rFonts w:hint="eastAsia" w:ascii="宋体" w:hAnsi="宋体" w:eastAsia="宋体" w:cs="Times New Roman"/>
                <w:color w:val="auto"/>
                <w:szCs w:val="21"/>
              </w:rPr>
            </w:pPr>
            <w:r>
              <w:rPr>
                <w:rFonts w:hint="eastAsia" w:ascii="宋体" w:hAnsi="宋体" w:eastAsia="宋体" w:cs="Times New Roman"/>
                <w:color w:val="auto"/>
                <w:szCs w:val="21"/>
              </w:rPr>
              <w:t>实验教学演示</w:t>
            </w:r>
          </w:p>
        </w:tc>
        <w:tc>
          <w:tcPr>
            <w:tcW w:w="0" w:type="auto"/>
          </w:tcPr>
          <w:p w14:paraId="4D0E627F">
            <w:pPr>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0" w:type="auto"/>
            <w:vMerge w:val="continue"/>
            <w:vAlign w:val="center"/>
          </w:tcPr>
          <w:p w14:paraId="3BE582F2">
            <w:pPr>
              <w:spacing w:line="360" w:lineRule="auto"/>
              <w:jc w:val="center"/>
              <w:rPr>
                <w:rFonts w:hint="eastAsia" w:ascii="宋体" w:hAnsi="宋体" w:eastAsia="宋体" w:cs="Times New Roman"/>
                <w:color w:val="auto"/>
                <w:szCs w:val="21"/>
              </w:rPr>
            </w:pPr>
          </w:p>
        </w:tc>
      </w:tr>
      <w:tr w14:paraId="0BFB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3C5CBA3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900" w:type="dxa"/>
            <w:vAlign w:val="center"/>
          </w:tcPr>
          <w:p w14:paraId="4C6063B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8DD280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754C319">
            <w:pPr>
              <w:spacing w:line="360" w:lineRule="auto"/>
              <w:jc w:val="center"/>
              <w:rPr>
                <w:rFonts w:hint="eastAsia" w:ascii="宋体" w:hAnsi="宋体" w:eastAsia="宋体" w:cs="Times New Roman"/>
                <w:color w:val="auto"/>
                <w:szCs w:val="21"/>
              </w:rPr>
            </w:pPr>
          </w:p>
        </w:tc>
        <w:tc>
          <w:tcPr>
            <w:tcW w:w="0" w:type="auto"/>
            <w:vAlign w:val="center"/>
          </w:tcPr>
          <w:p w14:paraId="19CD5EEA">
            <w:pPr>
              <w:spacing w:line="360" w:lineRule="auto"/>
              <w:jc w:val="center"/>
              <w:rPr>
                <w:rFonts w:hint="eastAsia" w:ascii="宋体" w:hAnsi="宋体" w:eastAsia="宋体" w:cs="Times New Roman"/>
                <w:color w:val="auto"/>
                <w:szCs w:val="21"/>
              </w:rPr>
            </w:pPr>
          </w:p>
        </w:tc>
        <w:tc>
          <w:tcPr>
            <w:tcW w:w="0" w:type="auto"/>
            <w:vAlign w:val="center"/>
          </w:tcPr>
          <w:p w14:paraId="76BEFFC3">
            <w:pPr>
              <w:spacing w:line="360" w:lineRule="auto"/>
              <w:jc w:val="center"/>
              <w:rPr>
                <w:rFonts w:hint="eastAsia" w:ascii="宋体" w:hAnsi="宋体" w:eastAsia="宋体" w:cs="Times New Roman"/>
                <w:color w:val="auto"/>
                <w:szCs w:val="21"/>
              </w:rPr>
            </w:pPr>
          </w:p>
        </w:tc>
        <w:tc>
          <w:tcPr>
            <w:tcW w:w="0" w:type="auto"/>
            <w:vAlign w:val="center"/>
          </w:tcPr>
          <w:p w14:paraId="1866C3F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979AD5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7C72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4705628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900" w:type="dxa"/>
            <w:vAlign w:val="center"/>
          </w:tcPr>
          <w:p w14:paraId="34A0F3A3">
            <w:pPr>
              <w:spacing w:line="360" w:lineRule="auto"/>
              <w:jc w:val="center"/>
              <w:rPr>
                <w:rFonts w:hint="eastAsia" w:ascii="宋体" w:hAnsi="宋体" w:eastAsia="宋体" w:cs="Times New Roman"/>
                <w:color w:val="auto"/>
                <w:szCs w:val="21"/>
              </w:rPr>
            </w:pPr>
          </w:p>
        </w:tc>
        <w:tc>
          <w:tcPr>
            <w:tcW w:w="0" w:type="auto"/>
            <w:vAlign w:val="center"/>
          </w:tcPr>
          <w:p w14:paraId="1DAF88F6">
            <w:pPr>
              <w:spacing w:line="360" w:lineRule="auto"/>
              <w:jc w:val="center"/>
              <w:rPr>
                <w:rFonts w:hint="eastAsia" w:ascii="宋体" w:hAnsi="宋体" w:eastAsia="宋体" w:cs="Times New Roman"/>
                <w:color w:val="auto"/>
                <w:szCs w:val="21"/>
              </w:rPr>
            </w:pPr>
          </w:p>
        </w:tc>
        <w:tc>
          <w:tcPr>
            <w:tcW w:w="0" w:type="auto"/>
            <w:vAlign w:val="center"/>
          </w:tcPr>
          <w:p w14:paraId="7226098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8494B4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EDAA428">
            <w:pPr>
              <w:spacing w:line="360" w:lineRule="auto"/>
              <w:jc w:val="center"/>
              <w:rPr>
                <w:rFonts w:hint="eastAsia" w:ascii="宋体" w:hAnsi="宋体" w:eastAsia="宋体" w:cs="Times New Roman"/>
                <w:color w:val="auto"/>
                <w:szCs w:val="21"/>
              </w:rPr>
            </w:pPr>
          </w:p>
        </w:tc>
        <w:tc>
          <w:tcPr>
            <w:tcW w:w="0" w:type="auto"/>
            <w:vAlign w:val="center"/>
          </w:tcPr>
          <w:p w14:paraId="54D894E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3D5643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0B61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51A40F2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900" w:type="dxa"/>
            <w:vAlign w:val="center"/>
          </w:tcPr>
          <w:p w14:paraId="1DE623F6">
            <w:pPr>
              <w:spacing w:line="360" w:lineRule="auto"/>
              <w:jc w:val="center"/>
              <w:rPr>
                <w:rFonts w:hint="eastAsia" w:ascii="宋体" w:hAnsi="宋体" w:eastAsia="宋体" w:cs="Times New Roman"/>
                <w:color w:val="auto"/>
                <w:szCs w:val="21"/>
              </w:rPr>
            </w:pPr>
          </w:p>
        </w:tc>
        <w:tc>
          <w:tcPr>
            <w:tcW w:w="0" w:type="auto"/>
            <w:vAlign w:val="center"/>
          </w:tcPr>
          <w:p w14:paraId="20FE5136">
            <w:pPr>
              <w:spacing w:line="360" w:lineRule="auto"/>
              <w:jc w:val="center"/>
              <w:rPr>
                <w:rFonts w:hint="eastAsia" w:ascii="宋体" w:hAnsi="宋体" w:eastAsia="宋体" w:cs="Times New Roman"/>
                <w:color w:val="auto"/>
                <w:szCs w:val="21"/>
              </w:rPr>
            </w:pPr>
          </w:p>
        </w:tc>
        <w:tc>
          <w:tcPr>
            <w:tcW w:w="0" w:type="auto"/>
            <w:vAlign w:val="center"/>
          </w:tcPr>
          <w:p w14:paraId="577E4AF9">
            <w:pPr>
              <w:spacing w:line="360" w:lineRule="auto"/>
              <w:jc w:val="center"/>
              <w:rPr>
                <w:rFonts w:hint="eastAsia" w:ascii="宋体" w:hAnsi="宋体" w:eastAsia="宋体" w:cs="Times New Roman"/>
                <w:color w:val="auto"/>
                <w:szCs w:val="21"/>
              </w:rPr>
            </w:pPr>
          </w:p>
        </w:tc>
        <w:tc>
          <w:tcPr>
            <w:tcW w:w="0" w:type="auto"/>
            <w:vAlign w:val="center"/>
          </w:tcPr>
          <w:p w14:paraId="230F21C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6908C2B">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25E072B">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C45C34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4FDD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319F298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900" w:type="dxa"/>
            <w:vAlign w:val="center"/>
          </w:tcPr>
          <w:p w14:paraId="420867FF">
            <w:pPr>
              <w:spacing w:line="360" w:lineRule="auto"/>
              <w:jc w:val="center"/>
              <w:rPr>
                <w:rFonts w:hint="eastAsia" w:ascii="宋体" w:hAnsi="宋体" w:eastAsia="宋体" w:cs="Times New Roman"/>
                <w:color w:val="auto"/>
                <w:szCs w:val="21"/>
              </w:rPr>
            </w:pPr>
          </w:p>
        </w:tc>
        <w:tc>
          <w:tcPr>
            <w:tcW w:w="0" w:type="auto"/>
            <w:vAlign w:val="center"/>
          </w:tcPr>
          <w:p w14:paraId="578A8092">
            <w:pPr>
              <w:spacing w:line="360" w:lineRule="auto"/>
              <w:jc w:val="center"/>
              <w:rPr>
                <w:rFonts w:hint="eastAsia" w:ascii="宋体" w:hAnsi="宋体" w:eastAsia="宋体" w:cs="Times New Roman"/>
                <w:color w:val="auto"/>
                <w:szCs w:val="21"/>
              </w:rPr>
            </w:pPr>
          </w:p>
        </w:tc>
        <w:tc>
          <w:tcPr>
            <w:tcW w:w="0" w:type="auto"/>
            <w:vAlign w:val="center"/>
          </w:tcPr>
          <w:p w14:paraId="77734032">
            <w:pPr>
              <w:spacing w:line="360" w:lineRule="auto"/>
              <w:jc w:val="center"/>
              <w:rPr>
                <w:rFonts w:hint="eastAsia" w:ascii="宋体" w:hAnsi="宋体" w:eastAsia="宋体" w:cs="Times New Roman"/>
                <w:color w:val="auto"/>
                <w:szCs w:val="21"/>
              </w:rPr>
            </w:pPr>
          </w:p>
        </w:tc>
        <w:tc>
          <w:tcPr>
            <w:tcW w:w="0" w:type="auto"/>
            <w:vAlign w:val="center"/>
          </w:tcPr>
          <w:p w14:paraId="1B72B23B">
            <w:pPr>
              <w:spacing w:line="360" w:lineRule="auto"/>
              <w:jc w:val="center"/>
              <w:rPr>
                <w:rFonts w:hint="eastAsia" w:ascii="宋体" w:hAnsi="宋体" w:eastAsia="宋体" w:cs="Times New Roman"/>
                <w:color w:val="auto"/>
                <w:szCs w:val="21"/>
              </w:rPr>
            </w:pPr>
          </w:p>
        </w:tc>
        <w:tc>
          <w:tcPr>
            <w:tcW w:w="0" w:type="auto"/>
            <w:vAlign w:val="center"/>
          </w:tcPr>
          <w:p w14:paraId="1A2C42D9">
            <w:pPr>
              <w:spacing w:line="360" w:lineRule="auto"/>
              <w:jc w:val="center"/>
              <w:rPr>
                <w:rFonts w:hint="eastAsia" w:ascii="宋体" w:hAnsi="宋体" w:eastAsia="宋体" w:cs="Times New Roman"/>
                <w:color w:val="auto"/>
                <w:szCs w:val="21"/>
              </w:rPr>
            </w:pPr>
          </w:p>
        </w:tc>
        <w:tc>
          <w:tcPr>
            <w:tcW w:w="0" w:type="auto"/>
          </w:tcPr>
          <w:p w14:paraId="2F0D4843">
            <w:pPr>
              <w:spacing w:line="360" w:lineRule="auto"/>
              <w:jc w:val="center"/>
              <w:rPr>
                <w:rFonts w:hint="eastAsia" w:ascii="宋体" w:hAnsi="宋体" w:eastAsia="宋体" w:cs="Times New Roman"/>
                <w:color w:val="auto"/>
                <w:szCs w:val="21"/>
              </w:rPr>
            </w:pPr>
          </w:p>
        </w:tc>
        <w:tc>
          <w:tcPr>
            <w:tcW w:w="0" w:type="auto"/>
            <w:vAlign w:val="center"/>
          </w:tcPr>
          <w:p w14:paraId="2B9A0C7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0231BA8F">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48CEA94F">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6467"/>
        <w:gridCol w:w="706"/>
      </w:tblGrid>
      <w:tr w14:paraId="78290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72C82637">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467" w:type="dxa"/>
            <w:vAlign w:val="center"/>
          </w:tcPr>
          <w:p w14:paraId="036F11A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57050F4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0B2D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585D0F52">
            <w:pPr>
              <w:jc w:val="center"/>
              <w:rPr>
                <w:rFonts w:hint="eastAsia" w:ascii="宋体" w:hAnsi="宋体" w:eastAsia="宋体" w:cs="Times New Roman"/>
                <w:color w:val="auto"/>
                <w:szCs w:val="21"/>
              </w:rPr>
            </w:pPr>
            <w:r>
              <w:rPr>
                <w:rFonts w:hint="eastAsia" w:ascii="宋体" w:hAnsi="宋体" w:eastAsia="宋体"/>
                <w:color w:val="auto"/>
                <w:szCs w:val="21"/>
              </w:rPr>
              <w:t>课堂表现</w:t>
            </w:r>
          </w:p>
        </w:tc>
        <w:tc>
          <w:tcPr>
            <w:tcW w:w="6467" w:type="dxa"/>
          </w:tcPr>
          <w:p w14:paraId="05219416">
            <w:pPr>
              <w:spacing w:line="264" w:lineRule="auto"/>
              <w:jc w:val="left"/>
              <w:rPr>
                <w:rFonts w:hint="eastAsia" w:ascii="宋体" w:hAnsi="宋体" w:eastAsia="宋体" w:cs="Times New Roman"/>
                <w:color w:val="auto"/>
                <w:szCs w:val="21"/>
              </w:rPr>
            </w:pPr>
            <w:r>
              <w:rPr>
                <w:rFonts w:hint="eastAsia" w:ascii="宋体" w:hAnsi="宋体" w:eastAsia="宋体"/>
                <w:color w:val="auto"/>
                <w:szCs w:val="21"/>
              </w:rPr>
              <w:t>包括课题考勤和课堂参与情况：迟到一次扣2分，无故缺席一次扣5分，累计达3次以上取消课程成绩；课堂参与情况通过实验操作、课堂讨论与交流表现进行综合评定。</w:t>
            </w:r>
          </w:p>
        </w:tc>
        <w:tc>
          <w:tcPr>
            <w:tcW w:w="0" w:type="auto"/>
          </w:tcPr>
          <w:p w14:paraId="743AB48E">
            <w:pPr>
              <w:jc w:val="center"/>
              <w:rPr>
                <w:rFonts w:hint="eastAsia" w:ascii="宋体" w:hAnsi="宋体" w:eastAsia="宋体" w:cs="Times New Roman"/>
                <w:color w:val="auto"/>
                <w:szCs w:val="21"/>
              </w:rPr>
            </w:pPr>
            <w:r>
              <w:rPr>
                <w:rFonts w:hint="eastAsia" w:ascii="宋体" w:hAnsi="宋体" w:eastAsia="宋体"/>
                <w:color w:val="auto"/>
                <w:szCs w:val="21"/>
              </w:rPr>
              <w:t>10%</w:t>
            </w:r>
          </w:p>
        </w:tc>
      </w:tr>
      <w:tr w14:paraId="2EB3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70134DEC">
            <w:pPr>
              <w:jc w:val="center"/>
              <w:rPr>
                <w:rFonts w:hint="eastAsia" w:ascii="宋体" w:hAnsi="宋体" w:eastAsia="宋体" w:cs="Times New Roman"/>
                <w:color w:val="auto"/>
                <w:szCs w:val="21"/>
              </w:rPr>
            </w:pPr>
            <w:r>
              <w:rPr>
                <w:rFonts w:hint="eastAsia" w:ascii="宋体" w:hAnsi="宋体" w:eastAsia="宋体"/>
                <w:color w:val="auto"/>
                <w:szCs w:val="21"/>
              </w:rPr>
              <w:t>实验报告</w:t>
            </w:r>
          </w:p>
        </w:tc>
        <w:tc>
          <w:tcPr>
            <w:tcW w:w="6467" w:type="dxa"/>
          </w:tcPr>
          <w:p w14:paraId="2FA15477">
            <w:pPr>
              <w:widowControl/>
              <w:spacing w:line="264" w:lineRule="auto"/>
              <w:jc w:val="left"/>
              <w:rPr>
                <w:rFonts w:hint="eastAsia" w:ascii="宋体" w:hAnsi="宋体" w:eastAsia="宋体" w:cs="Times New Roman"/>
                <w:color w:val="auto"/>
                <w:szCs w:val="21"/>
              </w:rPr>
            </w:pPr>
            <w:r>
              <w:rPr>
                <w:rFonts w:hint="eastAsia" w:ascii="宋体" w:hAnsi="宋体" w:eastAsia="宋体"/>
                <w:color w:val="auto"/>
                <w:szCs w:val="21"/>
              </w:rPr>
              <w:t>学生在实验过程中完成的实验报告，主要考核实验数据记录的完整性、分析的逻辑性以及总结的科学性，报告是否符合小学科学教学的目标和要求。</w:t>
            </w:r>
          </w:p>
        </w:tc>
        <w:tc>
          <w:tcPr>
            <w:tcW w:w="0" w:type="auto"/>
          </w:tcPr>
          <w:p w14:paraId="5B322B47">
            <w:pPr>
              <w:jc w:val="center"/>
              <w:rPr>
                <w:rFonts w:hint="eastAsia" w:ascii="宋体" w:hAnsi="宋体" w:eastAsia="宋体" w:cs="Times New Roman"/>
                <w:color w:val="auto"/>
                <w:szCs w:val="21"/>
              </w:rPr>
            </w:pPr>
            <w:r>
              <w:rPr>
                <w:rFonts w:hint="eastAsia" w:ascii="宋体" w:hAnsi="宋体" w:eastAsia="宋体"/>
                <w:color w:val="auto"/>
                <w:szCs w:val="21"/>
              </w:rPr>
              <w:t>10%</w:t>
            </w:r>
          </w:p>
        </w:tc>
      </w:tr>
      <w:tr w14:paraId="0707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27C5EB61">
            <w:pPr>
              <w:jc w:val="center"/>
              <w:rPr>
                <w:rFonts w:hint="eastAsia" w:ascii="宋体" w:hAnsi="宋体" w:eastAsia="宋体" w:cs="Times New Roman"/>
                <w:color w:val="auto"/>
                <w:szCs w:val="21"/>
              </w:rPr>
            </w:pPr>
            <w:r>
              <w:rPr>
                <w:rFonts w:hint="eastAsia" w:ascii="宋体" w:hAnsi="宋体" w:eastAsia="宋体"/>
                <w:color w:val="auto"/>
                <w:szCs w:val="21"/>
              </w:rPr>
              <w:t>实验作品</w:t>
            </w:r>
          </w:p>
        </w:tc>
        <w:tc>
          <w:tcPr>
            <w:tcW w:w="6467" w:type="dxa"/>
          </w:tcPr>
          <w:p w14:paraId="6EE3B5DD">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olor w:val="auto"/>
                <w:szCs w:val="21"/>
              </w:rPr>
              <w:t>针对实验课程设计并完成的作品，主要考查学生作品的科学性、创新性及教学适用性，包括实验模型制作或实验展示等成果，评分注重作品对小学科学教学的实际指导意义。</w:t>
            </w:r>
          </w:p>
        </w:tc>
        <w:tc>
          <w:tcPr>
            <w:tcW w:w="0" w:type="auto"/>
          </w:tcPr>
          <w:p w14:paraId="30C4C005">
            <w:pPr>
              <w:jc w:val="center"/>
              <w:rPr>
                <w:rFonts w:hint="eastAsia" w:ascii="宋体" w:hAnsi="宋体" w:eastAsia="宋体" w:cs="Times New Roman"/>
                <w:color w:val="auto"/>
                <w:szCs w:val="21"/>
              </w:rPr>
            </w:pPr>
            <w:r>
              <w:rPr>
                <w:rFonts w:hint="eastAsia" w:ascii="宋体" w:hAnsi="宋体" w:eastAsia="宋体"/>
                <w:color w:val="auto"/>
                <w:szCs w:val="21"/>
              </w:rPr>
              <w:t>10%</w:t>
            </w:r>
          </w:p>
        </w:tc>
      </w:tr>
      <w:tr w14:paraId="7A8F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0B0EDC87">
            <w:pPr>
              <w:jc w:val="center"/>
              <w:rPr>
                <w:rFonts w:hint="eastAsia" w:ascii="宋体" w:hAnsi="宋体" w:eastAsia="宋体"/>
                <w:color w:val="auto"/>
                <w:szCs w:val="21"/>
              </w:rPr>
            </w:pPr>
            <w:r>
              <w:rPr>
                <w:rFonts w:hint="eastAsia" w:ascii="宋体" w:hAnsi="宋体" w:eastAsia="宋体"/>
                <w:color w:val="auto"/>
                <w:szCs w:val="21"/>
              </w:rPr>
              <w:t>实验教学</w:t>
            </w:r>
          </w:p>
          <w:p w14:paraId="3D2774D0">
            <w:pPr>
              <w:jc w:val="center"/>
              <w:rPr>
                <w:rFonts w:hint="eastAsia" w:ascii="宋体" w:hAnsi="宋体" w:eastAsia="宋体" w:cs="Times New Roman"/>
                <w:color w:val="auto"/>
                <w:szCs w:val="21"/>
              </w:rPr>
            </w:pPr>
            <w:r>
              <w:rPr>
                <w:rFonts w:hint="eastAsia" w:ascii="宋体" w:hAnsi="宋体" w:eastAsia="宋体"/>
                <w:color w:val="auto"/>
                <w:szCs w:val="21"/>
              </w:rPr>
              <w:t>设计</w:t>
            </w:r>
          </w:p>
        </w:tc>
        <w:tc>
          <w:tcPr>
            <w:tcW w:w="6467" w:type="dxa"/>
          </w:tcPr>
          <w:p w14:paraId="2DB915C6">
            <w:pPr>
              <w:widowControl/>
              <w:spacing w:line="264" w:lineRule="auto"/>
              <w:jc w:val="left"/>
              <w:rPr>
                <w:rFonts w:hint="eastAsia" w:ascii="宋体" w:hAnsi="宋体" w:eastAsia="宋体" w:cs="宋体"/>
                <w:color w:val="auto"/>
                <w:kern w:val="0"/>
                <w:szCs w:val="21"/>
                <w:lang w:bidi="ar"/>
              </w:rPr>
            </w:pPr>
            <w:r>
              <w:rPr>
                <w:rFonts w:ascii="宋体" w:hAnsi="宋体" w:eastAsia="宋体"/>
                <w:color w:val="auto"/>
                <w:szCs w:val="21"/>
              </w:rPr>
              <w:t>根据实验内容完成的教学设计，评分依据为设计的科学性、合理性、创新性及其在课堂中的实际应用价值，考察学生科学知识与教学方法的整合能力。</w:t>
            </w:r>
          </w:p>
        </w:tc>
        <w:tc>
          <w:tcPr>
            <w:tcW w:w="0" w:type="auto"/>
          </w:tcPr>
          <w:p w14:paraId="308507F9">
            <w:pPr>
              <w:jc w:val="center"/>
              <w:rPr>
                <w:rFonts w:hint="eastAsia" w:ascii="宋体" w:hAnsi="宋体" w:eastAsia="宋体" w:cs="Times New Roman"/>
                <w:color w:val="auto"/>
                <w:szCs w:val="21"/>
              </w:rPr>
            </w:pPr>
            <w:r>
              <w:rPr>
                <w:rFonts w:hint="eastAsia" w:ascii="宋体" w:hAnsi="宋体" w:eastAsia="宋体"/>
                <w:color w:val="auto"/>
                <w:szCs w:val="21"/>
              </w:rPr>
              <w:t>10%</w:t>
            </w:r>
          </w:p>
        </w:tc>
      </w:tr>
      <w:tr w14:paraId="1061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0AD3E9BD">
            <w:pPr>
              <w:jc w:val="center"/>
              <w:rPr>
                <w:rFonts w:hint="eastAsia" w:ascii="宋体" w:hAnsi="宋体" w:eastAsia="宋体"/>
                <w:color w:val="auto"/>
                <w:szCs w:val="21"/>
              </w:rPr>
            </w:pPr>
            <w:r>
              <w:rPr>
                <w:rFonts w:hint="eastAsia" w:ascii="宋体" w:hAnsi="宋体" w:eastAsia="宋体"/>
                <w:color w:val="auto"/>
                <w:szCs w:val="21"/>
              </w:rPr>
              <w:t>实验教学</w:t>
            </w:r>
          </w:p>
          <w:p w14:paraId="76EE6D7C">
            <w:pPr>
              <w:jc w:val="center"/>
              <w:rPr>
                <w:rFonts w:hint="eastAsia" w:ascii="宋体" w:hAnsi="宋体" w:eastAsia="宋体" w:cs="Times New Roman"/>
                <w:color w:val="auto"/>
                <w:szCs w:val="21"/>
              </w:rPr>
            </w:pPr>
            <w:r>
              <w:rPr>
                <w:rFonts w:hint="eastAsia" w:ascii="宋体" w:hAnsi="宋体" w:eastAsia="宋体"/>
                <w:color w:val="auto"/>
                <w:szCs w:val="21"/>
              </w:rPr>
              <w:t>演示</w:t>
            </w:r>
          </w:p>
        </w:tc>
        <w:tc>
          <w:tcPr>
            <w:tcW w:w="6467" w:type="dxa"/>
          </w:tcPr>
          <w:p w14:paraId="33EB2243">
            <w:pPr>
              <w:spacing w:line="264" w:lineRule="auto"/>
              <w:jc w:val="left"/>
              <w:rPr>
                <w:rFonts w:hint="eastAsia" w:ascii="宋体" w:hAnsi="宋体" w:eastAsia="宋体" w:cs="Times New Roman"/>
                <w:color w:val="auto"/>
                <w:szCs w:val="21"/>
              </w:rPr>
            </w:pPr>
            <w:r>
              <w:rPr>
                <w:rFonts w:hint="eastAsia" w:ascii="宋体" w:hAnsi="宋体" w:eastAsia="宋体"/>
                <w:color w:val="auto"/>
                <w:szCs w:val="21"/>
              </w:rPr>
              <w:t>通过模拟课堂或实验指导环节进行演示，考察学生的课堂教学组织能力、实验指导能力以及与学生互动的表现，注重教学语言、表达逻辑和实验操作演示的流畅性。</w:t>
            </w:r>
          </w:p>
        </w:tc>
        <w:tc>
          <w:tcPr>
            <w:tcW w:w="0" w:type="auto"/>
          </w:tcPr>
          <w:p w14:paraId="5E8E33B0">
            <w:pPr>
              <w:jc w:val="center"/>
              <w:rPr>
                <w:rFonts w:hint="eastAsia" w:ascii="宋体" w:hAnsi="宋体" w:eastAsia="宋体" w:cs="Times New Roman"/>
                <w:color w:val="auto"/>
                <w:szCs w:val="21"/>
              </w:rPr>
            </w:pPr>
            <w:r>
              <w:rPr>
                <w:rFonts w:hint="eastAsia" w:ascii="宋体" w:hAnsi="宋体" w:eastAsia="宋体"/>
                <w:color w:val="auto"/>
                <w:szCs w:val="21"/>
              </w:rPr>
              <w:t>10%</w:t>
            </w:r>
          </w:p>
        </w:tc>
      </w:tr>
      <w:tr w14:paraId="20C9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133B6C4D">
            <w:pPr>
              <w:jc w:val="center"/>
              <w:rPr>
                <w:rFonts w:hint="eastAsia" w:ascii="宋体" w:hAnsi="宋体" w:eastAsia="宋体" w:cs="Times New Roman"/>
                <w:color w:val="auto"/>
                <w:szCs w:val="21"/>
              </w:rPr>
            </w:pPr>
            <w:r>
              <w:rPr>
                <w:rFonts w:hint="eastAsia" w:ascii="宋体" w:hAnsi="宋体" w:eastAsia="宋体"/>
                <w:color w:val="auto"/>
                <w:szCs w:val="21"/>
              </w:rPr>
              <w:t>期末考试</w:t>
            </w:r>
          </w:p>
        </w:tc>
        <w:tc>
          <w:tcPr>
            <w:tcW w:w="6467" w:type="dxa"/>
          </w:tcPr>
          <w:p w14:paraId="69B6861C">
            <w:pPr>
              <w:spacing w:line="264" w:lineRule="auto"/>
              <w:jc w:val="left"/>
              <w:rPr>
                <w:rFonts w:hint="eastAsia" w:ascii="宋体" w:hAnsi="宋体" w:eastAsia="宋体"/>
                <w:color w:val="auto"/>
                <w:szCs w:val="21"/>
              </w:rPr>
            </w:pPr>
            <w:r>
              <w:rPr>
                <w:rFonts w:ascii="宋体" w:hAnsi="宋体" w:eastAsia="宋体"/>
                <w:color w:val="auto"/>
                <w:szCs w:val="21"/>
              </w:rPr>
              <w:t>试卷题型包括C-STEAM教学设计、简答题和案例分析题，以卷面成绩的50%计入课程总成绩。具体分值分配如下：C-STEAM教学设计</w:t>
            </w:r>
            <w:r>
              <w:rPr>
                <w:rFonts w:hint="eastAsia" w:ascii="宋体" w:hAnsi="宋体" w:eastAsia="宋体"/>
                <w:color w:val="auto"/>
                <w:szCs w:val="21"/>
              </w:rPr>
              <w:t>占</w:t>
            </w:r>
            <w:r>
              <w:rPr>
                <w:rFonts w:ascii="宋体" w:hAnsi="宋体" w:eastAsia="宋体"/>
                <w:color w:val="auto"/>
                <w:szCs w:val="21"/>
              </w:rPr>
              <w:t>60%</w:t>
            </w:r>
            <w:r>
              <w:rPr>
                <w:rFonts w:hint="eastAsia" w:ascii="宋体" w:hAnsi="宋体" w:eastAsia="宋体"/>
                <w:color w:val="auto"/>
                <w:szCs w:val="21"/>
              </w:rPr>
              <w:t>，</w:t>
            </w:r>
            <w:r>
              <w:rPr>
                <w:rFonts w:ascii="宋体" w:hAnsi="宋体" w:eastAsia="宋体"/>
                <w:color w:val="auto"/>
                <w:szCs w:val="21"/>
              </w:rPr>
              <w:t>重点考核学生设计跨学科综合性教学活动的能力</w:t>
            </w:r>
            <w:r>
              <w:rPr>
                <w:rFonts w:hint="eastAsia" w:ascii="宋体" w:hAnsi="宋体" w:eastAsia="宋体"/>
                <w:color w:val="auto"/>
                <w:szCs w:val="21"/>
              </w:rPr>
              <w:t>；</w:t>
            </w:r>
            <w:r>
              <w:rPr>
                <w:rFonts w:ascii="宋体" w:hAnsi="宋体" w:eastAsia="宋体"/>
                <w:color w:val="auto"/>
                <w:szCs w:val="21"/>
              </w:rPr>
              <w:t>答题</w:t>
            </w:r>
            <w:r>
              <w:rPr>
                <w:rFonts w:hint="eastAsia" w:ascii="宋体" w:hAnsi="宋体" w:eastAsia="宋体"/>
                <w:color w:val="auto"/>
                <w:szCs w:val="21"/>
              </w:rPr>
              <w:t>占</w:t>
            </w:r>
            <w:r>
              <w:rPr>
                <w:rFonts w:ascii="宋体" w:hAnsi="宋体" w:eastAsia="宋体"/>
                <w:color w:val="auto"/>
                <w:szCs w:val="21"/>
              </w:rPr>
              <w:t>20%</w:t>
            </w:r>
            <w:r>
              <w:rPr>
                <w:rFonts w:hint="eastAsia" w:ascii="宋体" w:hAnsi="宋体" w:eastAsia="宋体"/>
                <w:color w:val="auto"/>
                <w:szCs w:val="21"/>
              </w:rPr>
              <w:t>，</w:t>
            </w:r>
            <w:r>
              <w:rPr>
                <w:rFonts w:ascii="宋体" w:hAnsi="宋体" w:eastAsia="宋体"/>
                <w:color w:val="auto"/>
                <w:szCs w:val="21"/>
              </w:rPr>
              <w:t>重点考核学生对科学知识、方法及其教学运用的理解</w:t>
            </w:r>
            <w:r>
              <w:rPr>
                <w:rFonts w:hint="eastAsia" w:ascii="宋体" w:hAnsi="宋体" w:eastAsia="宋体"/>
                <w:color w:val="auto"/>
                <w:szCs w:val="21"/>
              </w:rPr>
              <w:t>；</w:t>
            </w:r>
            <w:r>
              <w:rPr>
                <w:rFonts w:ascii="宋体" w:hAnsi="宋体" w:eastAsia="宋体"/>
                <w:color w:val="auto"/>
                <w:szCs w:val="21"/>
              </w:rPr>
              <w:t>案例分析题占20%，评估学生的教学反思能力和设计优化能力</w:t>
            </w:r>
          </w:p>
          <w:p w14:paraId="1A43CC99">
            <w:pPr>
              <w:spacing w:line="264" w:lineRule="auto"/>
              <w:jc w:val="left"/>
              <w:rPr>
                <w:rFonts w:hint="eastAsia" w:ascii="宋体" w:hAnsi="宋体" w:eastAsia="宋体" w:cs="Times New Roman"/>
                <w:color w:val="auto"/>
                <w:szCs w:val="21"/>
              </w:rPr>
            </w:pPr>
          </w:p>
        </w:tc>
        <w:tc>
          <w:tcPr>
            <w:tcW w:w="0" w:type="auto"/>
          </w:tcPr>
          <w:p w14:paraId="360CB6B1">
            <w:pPr>
              <w:jc w:val="center"/>
              <w:rPr>
                <w:rFonts w:hint="eastAsia" w:ascii="宋体" w:hAnsi="宋体" w:eastAsia="宋体" w:cs="Times New Roman"/>
                <w:color w:val="auto"/>
                <w:szCs w:val="21"/>
              </w:rPr>
            </w:pPr>
            <w:r>
              <w:rPr>
                <w:rFonts w:hint="eastAsia" w:ascii="宋体" w:hAnsi="宋体" w:eastAsia="宋体"/>
                <w:color w:val="auto"/>
                <w:szCs w:val="21"/>
              </w:rPr>
              <w:t>50%</w:t>
            </w:r>
          </w:p>
        </w:tc>
      </w:tr>
      <w:tr w14:paraId="073B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79" w:type="dxa"/>
            <w:vAlign w:val="center"/>
          </w:tcPr>
          <w:p w14:paraId="6938E7F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6467" w:type="dxa"/>
            <w:vAlign w:val="center"/>
          </w:tcPr>
          <w:p w14:paraId="472703A8">
            <w:pPr>
              <w:jc w:val="left"/>
              <w:rPr>
                <w:rFonts w:ascii="Times New Roman" w:hAnsi="Times New Roman" w:eastAsia="宋体" w:cs="Times New Roman"/>
                <w:color w:val="auto"/>
                <w:szCs w:val="21"/>
              </w:rPr>
            </w:pPr>
          </w:p>
        </w:tc>
        <w:tc>
          <w:tcPr>
            <w:tcW w:w="0" w:type="auto"/>
            <w:vAlign w:val="center"/>
          </w:tcPr>
          <w:p w14:paraId="3EC42E9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399EE62C">
      <w:pPr>
        <w:spacing w:line="360" w:lineRule="auto"/>
        <w:ind w:firstLine="422" w:firstLineChars="200"/>
        <w:jc w:val="left"/>
        <w:rPr>
          <w:rFonts w:hint="eastAsia" w:ascii="宋体" w:hAnsi="宋体" w:eastAsia="宋体" w:cs="Times New Roman"/>
          <w:b/>
          <w:color w:val="auto"/>
          <w:szCs w:val="21"/>
        </w:rPr>
      </w:pPr>
      <w:bookmarkStart w:id="426" w:name="_Hlk186381662"/>
      <w:r>
        <w:rPr>
          <w:rFonts w:hint="eastAsia" w:ascii="宋体" w:hAnsi="宋体" w:eastAsia="宋体" w:cs="Times New Roman"/>
          <w:b/>
          <w:color w:val="auto"/>
          <w:szCs w:val="21"/>
        </w:rPr>
        <w:t>（三）课程目标达成度计算方法</w:t>
      </w:r>
    </w:p>
    <w:p w14:paraId="1FF1060B">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152D8578">
      <w:pPr>
        <w:spacing w:before="156" w:beforeLines="50" w:line="360" w:lineRule="auto"/>
        <w:ind w:firstLine="420" w:firstLineChars="200"/>
        <w:jc w:val="left"/>
        <w:rPr>
          <w:rFonts w:hint="eastAsia" w:ascii="Times New Roman" w:hAnsi="Times New Roman" w:eastAsia="宋体" w:cs="Times New Roman"/>
          <w:b/>
          <w:color w:val="auto"/>
          <w:sz w:val="24"/>
          <w:szCs w:val="24"/>
        </w:rPr>
      </w:pPr>
      <w:r>
        <w:rPr>
          <w:rFonts w:ascii="宋体" w:hAnsi="宋体" w:eastAsia="宋体" w:cs="Times New Roman"/>
          <w:color w:val="auto"/>
          <w:szCs w:val="21"/>
        </w:rPr>
        <w:object>
          <v:shape id="_x0000_i1076" o:spt="75" type="#_x0000_t75" style="height:25.1pt;width:405pt;" o:ole="t" filled="f" o:preferrelative="t" stroked="f" coordsize="21600,21600">
            <v:path/>
            <v:fill on="f" focussize="0,0"/>
            <v:stroke on="f" joinstyle="miter"/>
            <v:imagedata r:id="rId10" o:title=""/>
            <o:lock v:ext="edit" aspectratio="t"/>
            <w10:wrap type="none"/>
            <w10:anchorlock/>
          </v:shape>
          <o:OLEObject Type="Embed" ProgID="Equation.3" ShapeID="_x0000_i1076" DrawAspect="Content" ObjectID="_1468075775" r:id="rId62">
            <o:LockedField>false</o:LockedField>
          </o:OLEObject>
        </w:object>
      </w:r>
      <w:bookmarkEnd w:id="426"/>
      <w:r>
        <w:rPr>
          <w:rFonts w:hint="eastAsia" w:ascii="Times New Roman" w:hAnsi="Times New Roman" w:eastAsia="宋体" w:cs="Times New Roman"/>
          <w:b/>
          <w:color w:val="auto"/>
          <w:sz w:val="24"/>
          <w:szCs w:val="24"/>
        </w:rPr>
        <w:t>五、课程实践</w:t>
      </w:r>
    </w:p>
    <w:p w14:paraId="0E66138E">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本课程在系统教学的基础上，以学生为主题，整合各类教育资源，科学设计实践活动，丰富教育教学形式，提升教育教学效果，从而实现思政育人。</w:t>
      </w:r>
    </w:p>
    <w:tbl>
      <w:tblPr>
        <w:tblStyle w:val="3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3943"/>
        <w:gridCol w:w="1138"/>
        <w:gridCol w:w="1835"/>
      </w:tblGrid>
      <w:tr w14:paraId="5991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603" w:type="dxa"/>
            <w:vAlign w:val="center"/>
          </w:tcPr>
          <w:p w14:paraId="58E97094">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3943" w:type="dxa"/>
            <w:vAlign w:val="center"/>
          </w:tcPr>
          <w:p w14:paraId="0E90C0C0">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1138" w:type="dxa"/>
            <w:vAlign w:val="center"/>
          </w:tcPr>
          <w:p w14:paraId="623F3733">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1835" w:type="dxa"/>
            <w:vAlign w:val="center"/>
          </w:tcPr>
          <w:p w14:paraId="2E359B3C">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对应课程目标</w:t>
            </w:r>
          </w:p>
        </w:tc>
      </w:tr>
      <w:tr w14:paraId="33C72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603" w:type="dxa"/>
            <w:vAlign w:val="center"/>
          </w:tcPr>
          <w:p w14:paraId="2FE03442">
            <w:pPr>
              <w:spacing w:line="276" w:lineRule="auto"/>
              <w:jc w:val="center"/>
              <w:rPr>
                <w:rFonts w:hint="eastAsia" w:ascii="宋体" w:hAnsi="宋体" w:eastAsia="宋体" w:cs="宋体"/>
                <w:color w:val="auto"/>
                <w:szCs w:val="21"/>
              </w:rPr>
            </w:pPr>
            <w:r>
              <w:rPr>
                <w:rFonts w:hint="eastAsia" w:ascii="宋体" w:hAnsi="宋体" w:eastAsia="宋体" w:cs="Times New Roman"/>
                <w:color w:val="auto"/>
                <w:szCs w:val="21"/>
              </w:rPr>
              <w:t>叶脉标本、骨骼标本的制作</w:t>
            </w:r>
          </w:p>
        </w:tc>
        <w:tc>
          <w:tcPr>
            <w:tcW w:w="3943" w:type="dxa"/>
            <w:vAlign w:val="center"/>
          </w:tcPr>
          <w:p w14:paraId="4741A616">
            <w:pPr>
              <w:spacing w:line="276" w:lineRule="auto"/>
              <w:jc w:val="left"/>
              <w:rPr>
                <w:rFonts w:hint="eastAsia" w:ascii="宋体" w:hAnsi="宋体" w:eastAsia="宋体" w:cs="宋体"/>
                <w:color w:val="auto"/>
                <w:szCs w:val="21"/>
              </w:rPr>
            </w:pPr>
            <w:r>
              <w:rPr>
                <w:rFonts w:hint="eastAsia" w:ascii="宋体" w:hAnsi="宋体" w:eastAsia="宋体" w:cs="Times New Roman"/>
                <w:color w:val="auto"/>
                <w:szCs w:val="21"/>
              </w:rPr>
              <w:t>学会制作完整叶脉标本，并发挥创意对叶脉进行染色和包装；掌握生物标本制作方法，制作出完好的鲫鱼骨骼标本，培养动手能力和细致观察能力。</w:t>
            </w:r>
          </w:p>
        </w:tc>
        <w:tc>
          <w:tcPr>
            <w:tcW w:w="1138" w:type="dxa"/>
            <w:vAlign w:val="center"/>
          </w:tcPr>
          <w:p w14:paraId="3C8D793A">
            <w:pPr>
              <w:spacing w:line="276" w:lineRule="auto"/>
              <w:jc w:val="center"/>
              <w:rPr>
                <w:rFonts w:hint="eastAsia" w:ascii="宋体" w:hAnsi="宋体" w:eastAsia="宋体" w:cs="宋体"/>
                <w:color w:val="auto"/>
                <w:szCs w:val="21"/>
              </w:rPr>
            </w:pPr>
            <w:r>
              <w:rPr>
                <w:rFonts w:hint="eastAsia" w:ascii="宋体" w:hAnsi="宋体" w:eastAsia="宋体" w:cs="Times New Roman"/>
                <w:color w:val="auto"/>
                <w:szCs w:val="21"/>
              </w:rPr>
              <w:t>4</w:t>
            </w:r>
          </w:p>
        </w:tc>
        <w:tc>
          <w:tcPr>
            <w:tcW w:w="1835" w:type="dxa"/>
            <w:vAlign w:val="center"/>
          </w:tcPr>
          <w:p w14:paraId="1A707ABE">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目标1</w:t>
            </w:r>
          </w:p>
          <w:p w14:paraId="6821883D">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目标2</w:t>
            </w:r>
          </w:p>
          <w:p w14:paraId="6974755B">
            <w:pPr>
              <w:spacing w:line="276" w:lineRule="auto"/>
              <w:jc w:val="center"/>
              <w:rPr>
                <w:rFonts w:hint="eastAsia" w:ascii="宋体" w:hAnsi="宋体" w:eastAsia="宋体" w:cs="宋体"/>
                <w:color w:val="auto"/>
                <w:szCs w:val="21"/>
              </w:rPr>
            </w:pPr>
            <w:r>
              <w:rPr>
                <w:rFonts w:hint="eastAsia" w:ascii="宋体" w:hAnsi="宋体" w:eastAsia="宋体" w:cs="Times New Roman"/>
                <w:color w:val="auto"/>
                <w:szCs w:val="21"/>
              </w:rPr>
              <w:t>目标3</w:t>
            </w:r>
          </w:p>
        </w:tc>
      </w:tr>
      <w:tr w14:paraId="7553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603" w:type="dxa"/>
            <w:vAlign w:val="center"/>
          </w:tcPr>
          <w:p w14:paraId="79E96E75">
            <w:pPr>
              <w:spacing w:line="276" w:lineRule="auto"/>
              <w:jc w:val="center"/>
              <w:rPr>
                <w:rFonts w:hint="eastAsia" w:ascii="宋体" w:hAnsi="宋体" w:eastAsia="宋体" w:cs="宋体"/>
                <w:color w:val="auto"/>
                <w:szCs w:val="21"/>
              </w:rPr>
            </w:pPr>
            <w:r>
              <w:rPr>
                <w:rFonts w:hint="eastAsia" w:ascii="宋体" w:hAnsi="宋体" w:eastAsia="宋体" w:cs="Times New Roman"/>
                <w:color w:val="auto"/>
                <w:szCs w:val="21"/>
              </w:rPr>
              <w:t>小学科学实验与制作</w:t>
            </w:r>
          </w:p>
        </w:tc>
        <w:tc>
          <w:tcPr>
            <w:tcW w:w="3943" w:type="dxa"/>
            <w:vAlign w:val="center"/>
          </w:tcPr>
          <w:p w14:paraId="0B3F732C">
            <w:pPr>
              <w:spacing w:line="276" w:lineRule="auto"/>
              <w:jc w:val="left"/>
              <w:rPr>
                <w:rFonts w:hint="eastAsia" w:ascii="宋体" w:hAnsi="宋体" w:eastAsia="宋体" w:cs="宋体"/>
                <w:color w:val="auto"/>
                <w:szCs w:val="21"/>
              </w:rPr>
            </w:pPr>
            <w:r>
              <w:rPr>
                <w:rFonts w:hint="eastAsia" w:ascii="宋体" w:hAnsi="宋体" w:eastAsia="宋体" w:cs="Times New Roman"/>
                <w:color w:val="auto"/>
                <w:szCs w:val="21"/>
              </w:rPr>
              <w:t>进行水的实验、感官的实验、电的实验、空气的实验、光的实验、趣味实验及力的实验。通过动手操作，掌握小学科学实验课的基本技能，并初步学会指导小学生进行科学探究。</w:t>
            </w:r>
          </w:p>
        </w:tc>
        <w:tc>
          <w:tcPr>
            <w:tcW w:w="1138" w:type="dxa"/>
            <w:vAlign w:val="center"/>
          </w:tcPr>
          <w:p w14:paraId="1C320B6B">
            <w:pPr>
              <w:spacing w:line="276" w:lineRule="auto"/>
              <w:jc w:val="center"/>
              <w:rPr>
                <w:rFonts w:hint="eastAsia" w:ascii="宋体" w:hAnsi="宋体" w:eastAsia="宋体" w:cs="宋体"/>
                <w:color w:val="auto"/>
                <w:szCs w:val="21"/>
              </w:rPr>
            </w:pPr>
            <w:r>
              <w:rPr>
                <w:rFonts w:hint="eastAsia" w:ascii="宋体" w:hAnsi="宋体" w:eastAsia="宋体" w:cs="Times New Roman"/>
                <w:color w:val="auto"/>
                <w:szCs w:val="21"/>
              </w:rPr>
              <w:t>4</w:t>
            </w:r>
          </w:p>
        </w:tc>
        <w:tc>
          <w:tcPr>
            <w:tcW w:w="1835" w:type="dxa"/>
            <w:vAlign w:val="center"/>
          </w:tcPr>
          <w:p w14:paraId="46ECD6B2">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目标1</w:t>
            </w:r>
          </w:p>
          <w:p w14:paraId="06F547CE">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目标2</w:t>
            </w:r>
          </w:p>
          <w:p w14:paraId="0AD054D9">
            <w:pPr>
              <w:spacing w:line="276" w:lineRule="auto"/>
              <w:jc w:val="center"/>
              <w:rPr>
                <w:rFonts w:hint="eastAsia" w:ascii="宋体" w:hAnsi="宋体" w:eastAsia="宋体" w:cs="宋体"/>
                <w:color w:val="auto"/>
                <w:szCs w:val="21"/>
              </w:rPr>
            </w:pPr>
            <w:r>
              <w:rPr>
                <w:rFonts w:hint="eastAsia" w:ascii="宋体" w:hAnsi="宋体" w:eastAsia="宋体" w:cs="Times New Roman"/>
                <w:color w:val="auto"/>
                <w:szCs w:val="21"/>
              </w:rPr>
              <w:t>目标3</w:t>
            </w:r>
          </w:p>
        </w:tc>
      </w:tr>
      <w:tr w14:paraId="699F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603" w:type="dxa"/>
            <w:vAlign w:val="center"/>
          </w:tcPr>
          <w:p w14:paraId="29ED230B">
            <w:pPr>
              <w:spacing w:line="276" w:lineRule="auto"/>
              <w:jc w:val="center"/>
              <w:rPr>
                <w:rFonts w:hint="eastAsia" w:ascii="宋体" w:hAnsi="宋体" w:eastAsia="宋体" w:cs="宋体"/>
                <w:color w:val="auto"/>
                <w:szCs w:val="21"/>
              </w:rPr>
            </w:pPr>
            <w:r>
              <w:rPr>
                <w:rFonts w:hint="eastAsia" w:ascii="宋体" w:hAnsi="宋体" w:eastAsia="宋体" w:cs="Times New Roman"/>
                <w:color w:val="auto"/>
                <w:szCs w:val="21"/>
              </w:rPr>
              <w:t>STEM实验方案设计与实施</w:t>
            </w:r>
          </w:p>
        </w:tc>
        <w:tc>
          <w:tcPr>
            <w:tcW w:w="3943" w:type="dxa"/>
            <w:vAlign w:val="center"/>
          </w:tcPr>
          <w:p w14:paraId="09662741">
            <w:pPr>
              <w:spacing w:line="276" w:lineRule="auto"/>
              <w:jc w:val="left"/>
              <w:rPr>
                <w:rFonts w:hint="eastAsia" w:ascii="宋体" w:hAnsi="宋体" w:eastAsia="宋体" w:cs="宋体"/>
                <w:color w:val="auto"/>
                <w:szCs w:val="21"/>
              </w:rPr>
            </w:pPr>
            <w:r>
              <w:rPr>
                <w:rFonts w:hint="eastAsia" w:ascii="宋体" w:hAnsi="宋体" w:eastAsia="宋体" w:cs="Times New Roman"/>
                <w:color w:val="auto"/>
                <w:szCs w:val="21"/>
              </w:rPr>
              <w:t>设计并实施多种形式的STEM实验，包括：利用废旧物品进行STEM设计；无需复杂设备的STEM活动，培养创新能力和跨学科整合能力。</w:t>
            </w:r>
          </w:p>
        </w:tc>
        <w:tc>
          <w:tcPr>
            <w:tcW w:w="1138" w:type="dxa"/>
            <w:vAlign w:val="center"/>
          </w:tcPr>
          <w:p w14:paraId="2EFC9C51">
            <w:pPr>
              <w:spacing w:line="276" w:lineRule="auto"/>
              <w:jc w:val="center"/>
              <w:rPr>
                <w:rFonts w:hint="eastAsia" w:ascii="宋体" w:hAnsi="宋体" w:eastAsia="宋体" w:cs="宋体"/>
                <w:color w:val="auto"/>
                <w:szCs w:val="21"/>
              </w:rPr>
            </w:pPr>
            <w:r>
              <w:rPr>
                <w:rFonts w:hint="eastAsia" w:ascii="宋体" w:hAnsi="宋体" w:eastAsia="宋体" w:cs="Times New Roman"/>
                <w:color w:val="auto"/>
                <w:szCs w:val="21"/>
              </w:rPr>
              <w:t>4</w:t>
            </w:r>
          </w:p>
        </w:tc>
        <w:tc>
          <w:tcPr>
            <w:tcW w:w="1835" w:type="dxa"/>
            <w:vAlign w:val="center"/>
          </w:tcPr>
          <w:p w14:paraId="2C058FA4">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目标1</w:t>
            </w:r>
          </w:p>
          <w:p w14:paraId="6C64539A">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目标2</w:t>
            </w:r>
          </w:p>
          <w:p w14:paraId="5FE830A8">
            <w:pPr>
              <w:spacing w:line="276" w:lineRule="auto"/>
              <w:jc w:val="center"/>
              <w:rPr>
                <w:rFonts w:hint="eastAsia" w:ascii="宋体" w:hAnsi="宋体" w:eastAsia="宋体" w:cs="宋体"/>
                <w:color w:val="auto"/>
                <w:szCs w:val="21"/>
              </w:rPr>
            </w:pPr>
            <w:r>
              <w:rPr>
                <w:rFonts w:hint="eastAsia" w:ascii="宋体" w:hAnsi="宋体" w:eastAsia="宋体" w:cs="Times New Roman"/>
                <w:color w:val="auto"/>
                <w:szCs w:val="21"/>
              </w:rPr>
              <w:t>目标3</w:t>
            </w:r>
          </w:p>
        </w:tc>
      </w:tr>
      <w:tr w14:paraId="537D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603" w:type="dxa"/>
            <w:vAlign w:val="center"/>
          </w:tcPr>
          <w:p w14:paraId="27B102E4">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C-STEAM跨学科设计</w:t>
            </w:r>
          </w:p>
        </w:tc>
        <w:tc>
          <w:tcPr>
            <w:tcW w:w="3943" w:type="dxa"/>
            <w:vAlign w:val="center"/>
          </w:tcPr>
          <w:p w14:paraId="4CC8A0D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融合科学、技术、工程、艺术和数学，结合地方文化（如传统工艺）设计跨学科教学活动并制作调研报告。</w:t>
            </w:r>
          </w:p>
        </w:tc>
        <w:tc>
          <w:tcPr>
            <w:tcW w:w="1138" w:type="dxa"/>
            <w:vAlign w:val="center"/>
          </w:tcPr>
          <w:p w14:paraId="47CF6B44">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c>
          <w:tcPr>
            <w:tcW w:w="1835" w:type="dxa"/>
            <w:vAlign w:val="center"/>
          </w:tcPr>
          <w:p w14:paraId="7B52DFA6">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目标1</w:t>
            </w:r>
          </w:p>
          <w:p w14:paraId="355ADC3D">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目标2</w:t>
            </w:r>
          </w:p>
          <w:p w14:paraId="79BFF097">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目标3</w:t>
            </w:r>
          </w:p>
        </w:tc>
      </w:tr>
      <w:tr w14:paraId="6C14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603" w:type="dxa"/>
            <w:vAlign w:val="center"/>
          </w:tcPr>
          <w:p w14:paraId="1B79AD68">
            <w:pPr>
              <w:spacing w:line="276" w:lineRule="auto"/>
              <w:jc w:val="center"/>
              <w:rPr>
                <w:rFonts w:hint="eastAsia" w:ascii="宋体" w:hAnsi="宋体" w:eastAsia="宋体" w:cs="宋体"/>
                <w:color w:val="auto"/>
                <w:szCs w:val="21"/>
              </w:rPr>
            </w:pPr>
            <w:r>
              <w:rPr>
                <w:rFonts w:hint="eastAsia" w:ascii="宋体" w:hAnsi="宋体" w:eastAsia="宋体" w:cs="Times New Roman"/>
                <w:color w:val="auto"/>
                <w:szCs w:val="21"/>
              </w:rPr>
              <w:t>科学教育公益活动(选做)</w:t>
            </w:r>
          </w:p>
        </w:tc>
        <w:tc>
          <w:tcPr>
            <w:tcW w:w="3943" w:type="dxa"/>
            <w:vAlign w:val="center"/>
          </w:tcPr>
          <w:p w14:paraId="25FE1F30">
            <w:pPr>
              <w:spacing w:line="276" w:lineRule="auto"/>
              <w:jc w:val="left"/>
              <w:rPr>
                <w:rFonts w:hint="eastAsia" w:ascii="宋体" w:hAnsi="宋体" w:eastAsia="宋体" w:cs="宋体"/>
                <w:color w:val="auto"/>
                <w:szCs w:val="21"/>
              </w:rPr>
            </w:pPr>
            <w:r>
              <w:rPr>
                <w:rFonts w:hint="eastAsia" w:ascii="宋体" w:hAnsi="宋体" w:eastAsia="宋体" w:cs="Times New Roman"/>
                <w:color w:val="auto"/>
                <w:szCs w:val="21"/>
              </w:rPr>
              <w:t>组织学生走进乡村小学或社区，为学生或公众开展科学实验体验和科学知识普及活动。</w:t>
            </w:r>
          </w:p>
        </w:tc>
        <w:tc>
          <w:tcPr>
            <w:tcW w:w="1138" w:type="dxa"/>
            <w:vAlign w:val="center"/>
          </w:tcPr>
          <w:p w14:paraId="20FF34F4">
            <w:pPr>
              <w:spacing w:line="276" w:lineRule="auto"/>
              <w:jc w:val="center"/>
              <w:rPr>
                <w:rFonts w:hint="eastAsia" w:ascii="宋体" w:hAnsi="宋体" w:eastAsia="宋体" w:cs="宋体"/>
                <w:color w:val="auto"/>
                <w:szCs w:val="21"/>
              </w:rPr>
            </w:pPr>
            <w:r>
              <w:rPr>
                <w:rFonts w:hint="eastAsia" w:ascii="宋体" w:hAnsi="宋体" w:eastAsia="宋体" w:cs="Times New Roman"/>
                <w:color w:val="auto"/>
                <w:szCs w:val="21"/>
              </w:rPr>
              <w:t>不占课时</w:t>
            </w:r>
          </w:p>
        </w:tc>
        <w:tc>
          <w:tcPr>
            <w:tcW w:w="1835" w:type="dxa"/>
            <w:vAlign w:val="center"/>
          </w:tcPr>
          <w:p w14:paraId="799F372C">
            <w:pPr>
              <w:spacing w:line="276" w:lineRule="auto"/>
              <w:jc w:val="center"/>
              <w:rPr>
                <w:rFonts w:hint="eastAsia" w:ascii="宋体" w:hAnsi="宋体" w:eastAsia="宋体" w:cs="宋体"/>
                <w:color w:val="auto"/>
                <w:szCs w:val="21"/>
              </w:rPr>
            </w:pPr>
            <w:r>
              <w:rPr>
                <w:rFonts w:hint="eastAsia" w:ascii="宋体" w:hAnsi="宋体" w:eastAsia="宋体" w:cs="Times New Roman"/>
                <w:color w:val="auto"/>
                <w:szCs w:val="21"/>
              </w:rPr>
              <w:t>引导学生关注社会教育公平，培养服务社会的责任意识和奉献精神。</w:t>
            </w:r>
          </w:p>
        </w:tc>
      </w:tr>
    </w:tbl>
    <w:p w14:paraId="79BA8431">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六、有关说明</w:t>
      </w:r>
    </w:p>
    <w:p w14:paraId="036E42F1">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380AC3D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left"/>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本课程结合学生实验报告、教学设计和课堂实践等多维度反馈，及时改进教学内容与实践环节，确保教学目标的全面实现。通过以下措施实现持续改进：</w:t>
      </w:r>
    </w:p>
    <w:p w14:paraId="1007A9A2">
      <w:pPr>
        <w:pStyle w:val="3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bCs/>
          <w:color w:val="auto"/>
          <w:szCs w:val="21"/>
        </w:rPr>
      </w:pPr>
      <w:r>
        <w:rPr>
          <w:rFonts w:hint="eastAsia"/>
          <w:bCs/>
          <w:color w:val="auto"/>
          <w:szCs w:val="21"/>
          <w:lang w:val="en-US" w:eastAsia="zh-CN"/>
        </w:rPr>
        <w:t>1.</w:t>
      </w:r>
      <w:r>
        <w:rPr>
          <w:rFonts w:hint="eastAsia"/>
          <w:bCs/>
          <w:color w:val="auto"/>
          <w:szCs w:val="21"/>
        </w:rPr>
        <w:t>根据学生实验成果、教学演示质量及教学督导意见，对实验内容和考核方式进行动态调整。</w:t>
      </w:r>
    </w:p>
    <w:p w14:paraId="11036ADF">
      <w:pPr>
        <w:pStyle w:val="3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bCs/>
          <w:color w:val="auto"/>
          <w:szCs w:val="21"/>
        </w:rPr>
      </w:pPr>
      <w:r>
        <w:rPr>
          <w:rFonts w:hint="eastAsia"/>
          <w:bCs/>
          <w:color w:val="auto"/>
          <w:szCs w:val="21"/>
          <w:lang w:val="en-US" w:eastAsia="zh-CN"/>
        </w:rPr>
        <w:t>2.</w:t>
      </w:r>
      <w:r>
        <w:rPr>
          <w:rFonts w:hint="eastAsia"/>
          <w:bCs/>
          <w:color w:val="auto"/>
          <w:szCs w:val="21"/>
        </w:rPr>
        <w:t>优化C-STEAM教学设计环节，加强与跨学科整合和地方文化融合相关的案例教学和实践指导。</w:t>
      </w:r>
    </w:p>
    <w:p w14:paraId="4B279745">
      <w:pPr>
        <w:pStyle w:val="3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bCs/>
          <w:color w:val="auto"/>
          <w:szCs w:val="21"/>
        </w:rPr>
      </w:pPr>
      <w:r>
        <w:rPr>
          <w:rFonts w:hint="eastAsia"/>
          <w:bCs/>
          <w:color w:val="auto"/>
          <w:szCs w:val="21"/>
          <w:lang w:val="en-US" w:eastAsia="zh-CN"/>
        </w:rPr>
        <w:t>3.</w:t>
      </w:r>
      <w:r>
        <w:rPr>
          <w:rFonts w:hint="eastAsia"/>
          <w:bCs/>
          <w:color w:val="auto"/>
          <w:szCs w:val="21"/>
        </w:rPr>
        <w:t>结合学生在公益实践、科学教育活动中的表现，适时更新实验教学的案例内容和方法。</w:t>
      </w:r>
    </w:p>
    <w:p w14:paraId="48E31CF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left"/>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4.</w:t>
      </w:r>
      <w:r>
        <w:rPr>
          <w:rFonts w:hint="eastAsia" w:ascii="Times New Roman" w:hAnsi="Times New Roman" w:eastAsia="宋体" w:cs="Times New Roman"/>
          <w:bCs/>
          <w:color w:val="auto"/>
          <w:szCs w:val="21"/>
        </w:rPr>
        <w:t>每学期组织课程组教学研讨会，交流课程实施经验并对跨学科教学设计提出优化建议。</w:t>
      </w:r>
    </w:p>
    <w:p w14:paraId="4BDBF777">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50B17D1A">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hint="eastAsia" w:ascii="宋体" w:hAnsi="宋体" w:eastAsia="宋体" w:cs="Times New Roman"/>
          <w:bCs/>
          <w:color w:val="auto"/>
          <w:szCs w:val="21"/>
        </w:rPr>
      </w:pPr>
      <w:r>
        <w:rPr>
          <w:rFonts w:ascii="宋体" w:hAnsi="宋体" w:eastAsia="宋体" w:cs="Times New Roman"/>
          <w:b/>
          <w:bCs/>
          <w:color w:val="auto"/>
          <w:szCs w:val="21"/>
        </w:rPr>
        <w:t>郝京华等.</w:t>
      </w:r>
      <w:r>
        <w:rPr>
          <w:rFonts w:ascii="宋体" w:hAnsi="宋体" w:eastAsia="宋体" w:cs="Times New Roman"/>
          <w:bCs/>
          <w:color w:val="auto"/>
          <w:szCs w:val="21"/>
        </w:rPr>
        <w:t xml:space="preserve"> 科学 学生活动手册（3~6年级）. 南京：江苏凤凰教育出版社, 2020.</w:t>
      </w:r>
    </w:p>
    <w:p w14:paraId="4419255D">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hint="eastAsia" w:ascii="宋体" w:hAnsi="宋体" w:eastAsia="宋体" w:cs="Times New Roman"/>
          <w:bCs/>
          <w:color w:val="auto"/>
          <w:szCs w:val="21"/>
        </w:rPr>
      </w:pPr>
      <w:r>
        <w:rPr>
          <w:rFonts w:hint="eastAsia" w:ascii="宋体" w:hAnsi="宋体" w:eastAsia="宋体" w:cs="Times New Roman"/>
          <w:b/>
          <w:bCs/>
          <w:color w:val="auto"/>
          <w:szCs w:val="21"/>
        </w:rPr>
        <w:t>周忠和等</w:t>
      </w:r>
      <w:r>
        <w:rPr>
          <w:rFonts w:ascii="宋体" w:hAnsi="宋体" w:eastAsia="宋体" w:cs="Times New Roman"/>
          <w:b/>
          <w:bCs/>
          <w:color w:val="auto"/>
          <w:szCs w:val="21"/>
        </w:rPr>
        <w:t>.</w:t>
      </w:r>
      <w:r>
        <w:rPr>
          <w:rFonts w:hint="eastAsia" w:ascii="宋体" w:hAnsi="宋体" w:eastAsia="宋体" w:cs="Times New Roman"/>
          <w:bCs/>
          <w:color w:val="auto"/>
          <w:szCs w:val="21"/>
        </w:rPr>
        <w:t xml:space="preserve"> </w:t>
      </w:r>
      <w:r>
        <w:rPr>
          <w:rFonts w:ascii="宋体" w:hAnsi="宋体" w:eastAsia="宋体" w:cs="Times New Roman"/>
          <w:bCs/>
          <w:color w:val="auto"/>
          <w:szCs w:val="21"/>
        </w:rPr>
        <w:t>科学学生活动手册（3~6年级）. 北京：教育科学出版社, 2017.</w:t>
      </w:r>
    </w:p>
    <w:p w14:paraId="13BB2F3D">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0F0FF175">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olor w:val="auto"/>
          <w:szCs w:val="21"/>
        </w:rPr>
      </w:pPr>
      <w:r>
        <w:rPr>
          <w:rFonts w:hint="eastAsia" w:ascii="宋体" w:hAnsi="宋体" w:eastAsia="宋体"/>
          <w:color w:val="auto"/>
          <w:szCs w:val="21"/>
        </w:rPr>
        <w:t xml:space="preserve">1.王素等. “中国STEM教育2029行动计划”丛书. </w:t>
      </w:r>
      <w:r>
        <w:rPr>
          <w:rFonts w:ascii="宋体" w:hAnsi="宋体" w:eastAsia="宋体" w:cs="Times New Roman"/>
          <w:bCs/>
          <w:color w:val="auto"/>
          <w:szCs w:val="21"/>
        </w:rPr>
        <w:t>北京：教育科学出版社, 20</w:t>
      </w:r>
      <w:r>
        <w:rPr>
          <w:rFonts w:hint="eastAsia" w:ascii="宋体" w:hAnsi="宋体" w:eastAsia="宋体" w:cs="Times New Roman"/>
          <w:bCs/>
          <w:color w:val="auto"/>
          <w:szCs w:val="21"/>
        </w:rPr>
        <w:t>22</w:t>
      </w:r>
      <w:r>
        <w:rPr>
          <w:rFonts w:ascii="宋体" w:hAnsi="宋体" w:eastAsia="宋体" w:cs="Times New Roman"/>
          <w:bCs/>
          <w:color w:val="auto"/>
          <w:szCs w:val="21"/>
        </w:rPr>
        <w:t>.</w:t>
      </w:r>
    </w:p>
    <w:p w14:paraId="71AED51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olor w:val="auto"/>
          <w:szCs w:val="21"/>
        </w:rPr>
      </w:pPr>
      <w:r>
        <w:rPr>
          <w:rFonts w:hint="eastAsia" w:ascii="宋体" w:hAnsi="宋体" w:eastAsia="宋体"/>
          <w:color w:val="auto"/>
          <w:szCs w:val="21"/>
        </w:rPr>
        <w:t>1.张二庆, 乔建生. 小学科学课程与教学论. 北京：北京师范大学出版社, 2016.</w:t>
      </w:r>
    </w:p>
    <w:p w14:paraId="5B32C1E7">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olor w:val="auto"/>
          <w:szCs w:val="21"/>
        </w:rPr>
      </w:pPr>
      <w:r>
        <w:rPr>
          <w:rFonts w:hint="eastAsia" w:ascii="宋体" w:hAnsi="宋体" w:eastAsia="宋体"/>
          <w:color w:val="auto"/>
          <w:szCs w:val="21"/>
        </w:rPr>
        <w:t>2.尹显明, 王银铃. 科学技术概论. 北京：科学出版社, 2018.</w:t>
      </w:r>
    </w:p>
    <w:p w14:paraId="1E14B039">
      <w:pPr>
        <w:keepNext w:val="0"/>
        <w:keepLines w:val="0"/>
        <w:pageBreakBefore w:val="0"/>
        <w:widowControl w:val="0"/>
        <w:kinsoku/>
        <w:wordWrap/>
        <w:overflowPunct/>
        <w:topLinePunct w:val="0"/>
        <w:autoSpaceDE/>
        <w:autoSpaceDN/>
        <w:bidi w:val="0"/>
        <w:adjustRightInd/>
        <w:snapToGrid/>
        <w:spacing w:line="312" w:lineRule="auto"/>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执 笔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金玉宏</w:t>
      </w:r>
    </w:p>
    <w:p w14:paraId="1AB931C8">
      <w:pPr>
        <w:keepNext w:val="0"/>
        <w:keepLines w:val="0"/>
        <w:pageBreakBefore w:val="0"/>
        <w:widowControl w:val="0"/>
        <w:kinsoku/>
        <w:wordWrap/>
        <w:overflowPunct/>
        <w:topLinePunct w:val="0"/>
        <w:autoSpaceDE/>
        <w:autoSpaceDN/>
        <w:bidi w:val="0"/>
        <w:adjustRightInd/>
        <w:snapToGrid/>
        <w:spacing w:line="312" w:lineRule="auto"/>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定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王</w:t>
      </w:r>
      <w:r>
        <w:rPr>
          <w:rFonts w:hint="eastAsia"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rPr>
        <w:t>健</w:t>
      </w:r>
    </w:p>
    <w:p w14:paraId="4DB78C8A">
      <w:pPr>
        <w:keepNext w:val="0"/>
        <w:keepLines w:val="0"/>
        <w:pageBreakBefore w:val="0"/>
        <w:widowControl w:val="0"/>
        <w:kinsoku/>
        <w:wordWrap/>
        <w:overflowPunct/>
        <w:topLinePunct w:val="0"/>
        <w:autoSpaceDE/>
        <w:autoSpaceDN/>
        <w:bidi w:val="0"/>
        <w:adjustRightInd/>
        <w:snapToGrid/>
        <w:spacing w:line="312" w:lineRule="auto"/>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批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张志欣</w:t>
      </w:r>
    </w:p>
    <w:p w14:paraId="15975D88">
      <w:pPr>
        <w:keepNext w:val="0"/>
        <w:keepLines w:val="0"/>
        <w:pageBreakBefore w:val="0"/>
        <w:widowControl w:val="0"/>
        <w:kinsoku/>
        <w:wordWrap/>
        <w:overflowPunct/>
        <w:topLinePunct w:val="0"/>
        <w:autoSpaceDE/>
        <w:autoSpaceDN/>
        <w:bidi w:val="0"/>
        <w:adjustRightInd/>
        <w:snapToGrid/>
        <w:spacing w:line="312" w:lineRule="auto"/>
        <w:jc w:val="right"/>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批准时间：2025年7月1日</w:t>
      </w:r>
    </w:p>
    <w:bookmarkEnd w:id="422"/>
    <w:bookmarkEnd w:id="423"/>
    <w:p w14:paraId="7ED4C619">
      <w:pPr>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43C0A232">
      <w:pPr>
        <w:spacing w:line="360" w:lineRule="auto"/>
        <w:jc w:val="center"/>
        <w:outlineLvl w:val="0"/>
        <w:rPr>
          <w:rFonts w:hint="eastAsia" w:ascii="Times New Roman" w:hAnsi="Times New Roman" w:eastAsia="宋体" w:cs="Times New Roman"/>
          <w:b/>
          <w:sz w:val="44"/>
          <w:szCs w:val="44"/>
        </w:rPr>
      </w:pPr>
      <w:bookmarkStart w:id="427" w:name="_Toc19024"/>
      <w:bookmarkStart w:id="428" w:name="_Toc30792"/>
      <w:r>
        <w:rPr>
          <w:rFonts w:hint="eastAsia" w:ascii="Times New Roman" w:hAnsi="Times New Roman" w:eastAsia="宋体" w:cs="Times New Roman"/>
          <w:b/>
          <w:sz w:val="44"/>
          <w:szCs w:val="44"/>
        </w:rPr>
        <w:t>《小学科学教学案例研究》课程教学大纲</w:t>
      </w:r>
      <w:bookmarkEnd w:id="427"/>
      <w:bookmarkEnd w:id="428"/>
    </w:p>
    <w:p w14:paraId="501B2E68">
      <w:pPr>
        <w:spacing w:line="360" w:lineRule="auto"/>
        <w:jc w:val="center"/>
        <w:rPr>
          <w:rFonts w:ascii="Times New Roman" w:hAnsi="Times New Roman" w:eastAsia="宋体" w:cs="Times New Roman"/>
          <w:b/>
          <w:bCs/>
          <w:sz w:val="28"/>
          <w:szCs w:val="28"/>
        </w:rPr>
      </w:pPr>
      <w:bookmarkStart w:id="429" w:name="_Hlk184993230"/>
      <w:r>
        <w:rPr>
          <w:rFonts w:ascii="Times New Roman" w:hAnsi="Times New Roman" w:eastAsia="宋体" w:cs="Times New Roman"/>
          <w:b/>
          <w:bCs/>
          <w:sz w:val="28"/>
          <w:szCs w:val="28"/>
        </w:rPr>
        <w:t>（Elementary Science Teaching Case Study）</w:t>
      </w:r>
    </w:p>
    <w:bookmarkEnd w:id="429"/>
    <w:p w14:paraId="3DD0283E">
      <w:pPr>
        <w:spacing w:line="360" w:lineRule="auto"/>
        <w:jc w:val="center"/>
        <w:rPr>
          <w:rFonts w:ascii="Times New Roman" w:hAnsi="Times New Roman" w:eastAsia="宋体" w:cs="Times New Roman"/>
          <w:bCs/>
          <w:color w:val="auto"/>
          <w:sz w:val="21"/>
          <w:szCs w:val="21"/>
        </w:rPr>
      </w:pPr>
    </w:p>
    <w:p w14:paraId="47F5BAA3">
      <w:pPr>
        <w:spacing w:line="360" w:lineRule="auto"/>
        <w:ind w:left="420" w:leftChars="200"/>
        <w:rPr>
          <w:rFonts w:ascii="Times New Roman" w:hAnsi="Times New Roman" w:eastAsia="宋体" w:cs="Times New Roman"/>
          <w:b/>
          <w:sz w:val="24"/>
          <w:szCs w:val="24"/>
        </w:rPr>
      </w:pPr>
      <w:r>
        <w:rPr>
          <w:rFonts w:ascii="Times New Roman" w:hAnsi="Times New Roman" w:eastAsia="宋体" w:cs="Times New Roman"/>
          <w:b/>
          <w:bCs/>
          <w:sz w:val="24"/>
          <w:szCs w:val="24"/>
        </w:rPr>
        <w:t>课程名称</w:t>
      </w:r>
      <w:r>
        <w:rPr>
          <w:rFonts w:ascii="Times New Roman" w:hAnsi="Times New Roman" w:eastAsia="宋体" w:cs="Times New Roman"/>
          <w:b/>
          <w:sz w:val="24"/>
          <w:szCs w:val="24"/>
        </w:rPr>
        <w:t>：小学科学教学案例研究</w:t>
      </w:r>
    </w:p>
    <w:p w14:paraId="3905D070">
      <w:pPr>
        <w:spacing w:line="360" w:lineRule="auto"/>
        <w:ind w:left="420" w:leftChars="200"/>
        <w:rPr>
          <w:rFonts w:ascii="Times New Roman" w:hAnsi="Times New Roman" w:eastAsia="宋体" w:cs="Times New Roman"/>
          <w:b/>
          <w:sz w:val="24"/>
          <w:szCs w:val="24"/>
        </w:rPr>
      </w:pPr>
      <w:r>
        <w:rPr>
          <w:rFonts w:ascii="Times New Roman" w:hAnsi="Times New Roman" w:eastAsia="宋体" w:cs="Times New Roman"/>
          <w:b/>
          <w:bCs/>
          <w:sz w:val="24"/>
          <w:szCs w:val="24"/>
        </w:rPr>
        <w:t>课程代码</w:t>
      </w:r>
      <w:r>
        <w:rPr>
          <w:rFonts w:ascii="Times New Roman" w:hAnsi="Times New Roman" w:eastAsia="宋体" w:cs="Times New Roman"/>
          <w:b/>
          <w:sz w:val="24"/>
          <w:szCs w:val="24"/>
        </w:rPr>
        <w:t>：2401064</w:t>
      </w:r>
    </w:p>
    <w:p w14:paraId="2F1A2EA2">
      <w:pPr>
        <w:spacing w:line="360" w:lineRule="auto"/>
        <w:ind w:left="420" w:leftChars="200"/>
        <w:rPr>
          <w:rFonts w:ascii="Times New Roman" w:hAnsi="Times New Roman" w:eastAsia="宋体" w:cs="Times New Roman"/>
          <w:b/>
          <w:sz w:val="24"/>
          <w:szCs w:val="24"/>
        </w:rPr>
      </w:pPr>
      <w:r>
        <w:rPr>
          <w:rFonts w:ascii="Times New Roman" w:hAnsi="Times New Roman" w:eastAsia="宋体" w:cs="Times New Roman"/>
          <w:b/>
          <w:bCs/>
          <w:sz w:val="24"/>
          <w:szCs w:val="24"/>
        </w:rPr>
        <w:t>学 分</w:t>
      </w:r>
      <w:r>
        <w:rPr>
          <w:rFonts w:ascii="Times New Roman" w:hAnsi="Times New Roman" w:eastAsia="宋体" w:cs="Times New Roman"/>
          <w:b/>
          <w:sz w:val="24"/>
          <w:szCs w:val="24"/>
        </w:rPr>
        <w:t>：2</w:t>
      </w:r>
    </w:p>
    <w:p w14:paraId="1A7BBD71">
      <w:pPr>
        <w:spacing w:line="360" w:lineRule="auto"/>
        <w:ind w:left="420" w:leftChars="200"/>
        <w:rPr>
          <w:rFonts w:ascii="Times New Roman" w:hAnsi="Times New Roman" w:eastAsia="宋体" w:cs="Times New Roman"/>
          <w:b/>
          <w:sz w:val="24"/>
          <w:szCs w:val="24"/>
        </w:rPr>
      </w:pPr>
      <w:r>
        <w:rPr>
          <w:rFonts w:ascii="Times New Roman" w:hAnsi="Times New Roman" w:eastAsia="宋体" w:cs="Times New Roman"/>
          <w:b/>
          <w:bCs/>
          <w:sz w:val="24"/>
          <w:szCs w:val="24"/>
        </w:rPr>
        <w:t>学 时</w:t>
      </w:r>
      <w:r>
        <w:rPr>
          <w:rFonts w:ascii="Times New Roman" w:hAnsi="Times New Roman" w:eastAsia="宋体" w:cs="Times New Roman"/>
          <w:b/>
          <w:sz w:val="24"/>
          <w:szCs w:val="24"/>
        </w:rPr>
        <w:t>：32（其中：讲授学时16，实践学时16）</w:t>
      </w:r>
    </w:p>
    <w:p w14:paraId="181F618F">
      <w:pPr>
        <w:spacing w:line="360" w:lineRule="auto"/>
        <w:ind w:left="420" w:leftChars="200"/>
        <w:rPr>
          <w:rFonts w:ascii="Times New Roman" w:hAnsi="Times New Roman" w:eastAsia="宋体" w:cs="Times New Roman"/>
          <w:b/>
          <w:sz w:val="24"/>
          <w:szCs w:val="24"/>
        </w:rPr>
      </w:pPr>
      <w:r>
        <w:rPr>
          <w:rFonts w:ascii="Times New Roman" w:hAnsi="Times New Roman" w:eastAsia="宋体" w:cs="Times New Roman"/>
          <w:b/>
          <w:bCs/>
          <w:sz w:val="24"/>
          <w:szCs w:val="24"/>
        </w:rPr>
        <w:t>先修课程</w:t>
      </w:r>
      <w:r>
        <w:rPr>
          <w:rFonts w:ascii="Times New Roman" w:hAnsi="Times New Roman" w:eastAsia="宋体" w:cs="Times New Roman"/>
          <w:b/>
          <w:sz w:val="24"/>
          <w:szCs w:val="24"/>
        </w:rPr>
        <w:t>：科学概论、科学实验指导</w:t>
      </w:r>
    </w:p>
    <w:p w14:paraId="06EE65B2">
      <w:pPr>
        <w:spacing w:line="360" w:lineRule="auto"/>
        <w:ind w:left="420" w:leftChars="200"/>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rPr>
        <w:t>适用专业：小学教育</w:t>
      </w:r>
      <w:r>
        <w:rPr>
          <w:rFonts w:hint="eastAsia" w:ascii="Times New Roman" w:hAnsi="Times New Roman" w:eastAsia="宋体" w:cs="Times New Roman"/>
          <w:b/>
          <w:sz w:val="24"/>
          <w:szCs w:val="24"/>
          <w:lang w:eastAsia="zh-CN"/>
        </w:rPr>
        <w:t>（</w:t>
      </w:r>
      <w:r>
        <w:rPr>
          <w:rFonts w:hint="eastAsia" w:ascii="Times New Roman" w:hAnsi="Times New Roman" w:eastAsia="宋体" w:cs="Times New Roman"/>
          <w:b/>
          <w:sz w:val="24"/>
          <w:szCs w:val="24"/>
          <w:lang w:val="en-US" w:eastAsia="zh-CN"/>
        </w:rPr>
        <w:t>理</w:t>
      </w:r>
      <w:r>
        <w:rPr>
          <w:rFonts w:hint="eastAsia" w:ascii="Times New Roman" w:hAnsi="Times New Roman" w:eastAsia="宋体" w:cs="Times New Roman"/>
          <w:b/>
          <w:sz w:val="24"/>
          <w:szCs w:val="24"/>
          <w:lang w:eastAsia="zh-CN"/>
        </w:rPr>
        <w:t>）</w:t>
      </w:r>
    </w:p>
    <w:p w14:paraId="1FB448D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宋体"/>
          <w:sz w:val="21"/>
          <w:szCs w:val="21"/>
        </w:rPr>
      </w:pPr>
      <w:r>
        <w:rPr>
          <w:rFonts w:hint="eastAsia" w:ascii="宋体" w:hAnsi="宋体" w:eastAsia="宋体" w:cs="宋体"/>
          <w:b/>
          <w:sz w:val="24"/>
          <w:szCs w:val="24"/>
        </w:rPr>
        <w:t>一、课程简介</w:t>
      </w:r>
    </w:p>
    <w:p w14:paraId="625B9F66">
      <w:pPr>
        <w:spacing w:line="360" w:lineRule="auto"/>
        <w:ind w:firstLine="630" w:firstLineChars="300"/>
        <w:jc w:val="left"/>
        <w:rPr>
          <w:rFonts w:hint="eastAsia" w:ascii="宋体" w:hAnsi="宋体" w:eastAsia="宋体" w:cs="宋体"/>
          <w:sz w:val="21"/>
          <w:szCs w:val="21"/>
        </w:rPr>
      </w:pPr>
      <w:r>
        <w:rPr>
          <w:rFonts w:hint="eastAsia" w:ascii="宋体" w:hAnsi="宋体" w:eastAsia="宋体" w:cs="宋体"/>
          <w:sz w:val="21"/>
          <w:szCs w:val="21"/>
        </w:rPr>
        <w:t>本课程是小学教育（理）专业的选修课程之一，旨在通过对小学科学教学案例的研究，帮助学生深入理解小学科学教学的基本原理、设计方法和实践技巧。通过分析和设计具体的教学案例，培养学生的教学设计能力、教学实施能力以及教学评价能力，提升其专业素养和实际操作能力。最终，培养具备科学教育思维、创新能力和教学实践能力的教师。</w:t>
      </w:r>
    </w:p>
    <w:p w14:paraId="569A7B2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宋体"/>
          <w:b/>
          <w:sz w:val="24"/>
          <w:szCs w:val="24"/>
        </w:rPr>
      </w:pPr>
      <w:r>
        <w:rPr>
          <w:rFonts w:hint="eastAsia" w:ascii="宋体" w:hAnsi="宋体" w:eastAsia="宋体" w:cs="宋体"/>
          <w:b/>
          <w:sz w:val="24"/>
          <w:szCs w:val="24"/>
        </w:rPr>
        <w:t>二、课程目标</w:t>
      </w:r>
    </w:p>
    <w:p w14:paraId="071E3510">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sz w:val="21"/>
          <w:szCs w:val="21"/>
        </w:rPr>
      </w:pPr>
      <w:r>
        <w:rPr>
          <w:rFonts w:hint="eastAsia" w:ascii="宋体" w:hAnsi="宋体" w:eastAsia="宋体" w:cs="宋体"/>
          <w:b/>
          <w:sz w:val="21"/>
          <w:szCs w:val="21"/>
        </w:rPr>
        <w:t>（一）</w:t>
      </w:r>
      <w:bookmarkStart w:id="430" w:name="_Toc19729696"/>
      <w:r>
        <w:rPr>
          <w:rFonts w:hint="eastAsia" w:ascii="宋体" w:hAnsi="宋体" w:eastAsia="宋体" w:cs="宋体"/>
          <w:b/>
          <w:color w:val="000000"/>
          <w:sz w:val="21"/>
          <w:szCs w:val="21"/>
        </w:rPr>
        <w:t>课程具体目标</w:t>
      </w:r>
      <w:bookmarkEnd w:id="430"/>
    </w:p>
    <w:p w14:paraId="77A721A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目标1. 理解小学科学教学设计的一般原理，掌握小学科学教学的基本支撑和步骤，能够建构小学科学教学的目标分析和内容体系。</w:t>
      </w:r>
    </w:p>
    <w:p w14:paraId="1EFF039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目标2. 具有小学科学教学设计的能力，能够准确把握与解读小学科学教材、合理选择与使用小学科学教学方法、恰当组织与设计小学科学教学流程。</w:t>
      </w:r>
    </w:p>
    <w:p w14:paraId="3BF13FC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目标</w:t>
      </w:r>
      <w:r>
        <w:rPr>
          <w:rFonts w:hint="eastAsia" w:ascii="宋体" w:hAnsi="宋体" w:eastAsia="宋体" w:cs="宋体"/>
          <w:sz w:val="21"/>
          <w:szCs w:val="21"/>
          <w:lang w:val="en-US" w:eastAsia="zh-CN"/>
        </w:rPr>
        <w:t>3</w:t>
      </w:r>
      <w:r>
        <w:rPr>
          <w:rFonts w:hint="eastAsia" w:ascii="宋体" w:hAnsi="宋体" w:eastAsia="宋体" w:cs="宋体"/>
          <w:sz w:val="21"/>
          <w:szCs w:val="21"/>
        </w:rPr>
        <w:t>. 树立正确的课堂观、教师观、学生观，具备反思意识和批判性思维，主动收集教学案例并进行反思与改进，不断提升教学能力。</w:t>
      </w:r>
    </w:p>
    <w:p w14:paraId="178B2422">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5E84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FF5EE23">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毕业要求</w:t>
            </w:r>
          </w:p>
        </w:tc>
        <w:tc>
          <w:tcPr>
            <w:tcW w:w="5688" w:type="dxa"/>
            <w:vAlign w:val="center"/>
          </w:tcPr>
          <w:p w14:paraId="28BDA0FD">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毕业要求指标点</w:t>
            </w:r>
          </w:p>
        </w:tc>
        <w:tc>
          <w:tcPr>
            <w:tcW w:w="1191" w:type="dxa"/>
            <w:vAlign w:val="center"/>
          </w:tcPr>
          <w:p w14:paraId="0DD5CF72">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课程目标</w:t>
            </w:r>
          </w:p>
        </w:tc>
      </w:tr>
      <w:tr w14:paraId="27DF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B9F0642">
            <w:pPr>
              <w:spacing w:line="276" w:lineRule="auto"/>
              <w:jc w:val="left"/>
              <w:rPr>
                <w:rFonts w:hint="eastAsia" w:ascii="宋体" w:hAnsi="宋体" w:eastAsia="宋体" w:cs="宋体"/>
                <w:sz w:val="21"/>
                <w:szCs w:val="21"/>
              </w:rPr>
            </w:pPr>
            <w:r>
              <w:rPr>
                <w:rFonts w:hint="eastAsia" w:ascii="宋体" w:hAnsi="宋体" w:eastAsia="宋体" w:cs="宋体"/>
                <w:sz w:val="21"/>
                <w:szCs w:val="21"/>
              </w:rPr>
              <w:t>毕业要求4教学能力</w:t>
            </w:r>
          </w:p>
        </w:tc>
        <w:tc>
          <w:tcPr>
            <w:tcW w:w="5688" w:type="dxa"/>
          </w:tcPr>
          <w:p w14:paraId="6EBFC766">
            <w:pPr>
              <w:spacing w:line="276" w:lineRule="auto"/>
              <w:jc w:val="left"/>
              <w:rPr>
                <w:rFonts w:hint="eastAsia" w:ascii="宋体" w:hAnsi="宋体" w:eastAsia="宋体" w:cs="宋体"/>
                <w:sz w:val="21"/>
                <w:szCs w:val="21"/>
              </w:rPr>
            </w:pPr>
            <w:r>
              <w:rPr>
                <w:rFonts w:hint="eastAsia" w:ascii="宋体" w:hAnsi="宋体" w:eastAsia="宋体" w:cs="宋体"/>
                <w:sz w:val="21"/>
                <w:szCs w:val="21"/>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4E518173">
            <w:pPr>
              <w:spacing w:line="276" w:lineRule="auto"/>
              <w:jc w:val="left"/>
              <w:rPr>
                <w:rFonts w:hint="eastAsia" w:ascii="宋体" w:hAnsi="宋体" w:eastAsia="宋体" w:cs="宋体"/>
                <w:sz w:val="21"/>
                <w:szCs w:val="21"/>
                <w:lang w:eastAsia="zh-CN"/>
              </w:rPr>
            </w:pPr>
            <w:r>
              <w:rPr>
                <w:rFonts w:hint="eastAsia" w:ascii="宋体" w:hAnsi="宋体" w:eastAsia="宋体" w:cs="宋体"/>
                <w:sz w:val="21"/>
                <w:szCs w:val="21"/>
              </w:rPr>
              <w:t>课程目标</w:t>
            </w:r>
            <w:r>
              <w:rPr>
                <w:rFonts w:hint="eastAsia" w:ascii="宋体" w:hAnsi="宋体" w:eastAsia="宋体" w:cs="宋体"/>
                <w:sz w:val="21"/>
                <w:szCs w:val="21"/>
                <w:lang w:val="en-US" w:eastAsia="zh-CN"/>
              </w:rPr>
              <w:t>1</w:t>
            </w:r>
          </w:p>
        </w:tc>
      </w:tr>
      <w:tr w14:paraId="525B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68ADC23">
            <w:pPr>
              <w:spacing w:line="276" w:lineRule="auto"/>
              <w:jc w:val="left"/>
              <w:rPr>
                <w:rFonts w:hint="eastAsia" w:ascii="宋体" w:hAnsi="宋体" w:eastAsia="宋体" w:cs="宋体"/>
                <w:sz w:val="21"/>
                <w:szCs w:val="21"/>
              </w:rPr>
            </w:pPr>
            <w:r>
              <w:rPr>
                <w:rFonts w:hint="eastAsia" w:ascii="宋体" w:hAnsi="宋体" w:eastAsia="宋体" w:cs="宋体"/>
                <w:sz w:val="21"/>
                <w:szCs w:val="21"/>
              </w:rPr>
              <w:t>毕业要求4教学能力</w:t>
            </w:r>
          </w:p>
        </w:tc>
        <w:tc>
          <w:tcPr>
            <w:tcW w:w="5688" w:type="dxa"/>
          </w:tcPr>
          <w:p w14:paraId="282C0DFF">
            <w:pPr>
              <w:spacing w:line="276" w:lineRule="auto"/>
              <w:jc w:val="left"/>
              <w:rPr>
                <w:rFonts w:hint="eastAsia" w:ascii="宋体" w:hAnsi="宋体" w:eastAsia="宋体" w:cs="宋体"/>
                <w:sz w:val="21"/>
                <w:szCs w:val="21"/>
              </w:rPr>
            </w:pPr>
            <w:r>
              <w:rPr>
                <w:rFonts w:hint="eastAsia" w:ascii="宋体" w:hAnsi="宋体" w:eastAsia="宋体" w:cs="宋体"/>
                <w:sz w:val="21"/>
                <w:szCs w:val="21"/>
              </w:rPr>
              <w:t>指标点4-2：【教学设计恰当】理解教材的编写逻辑和体系结构，合理掌握不同学段目标与内容的递进关系，具有依据课标进行教学的意识和习惯。能依据单元内容进行整体设计，科学合理地依据教学目标及内容设计。</w:t>
            </w:r>
          </w:p>
        </w:tc>
        <w:tc>
          <w:tcPr>
            <w:tcW w:w="1191" w:type="dxa"/>
            <w:vAlign w:val="center"/>
          </w:tcPr>
          <w:p w14:paraId="3D21BCF7">
            <w:pPr>
              <w:spacing w:line="276" w:lineRule="auto"/>
              <w:jc w:val="left"/>
              <w:rPr>
                <w:rFonts w:hint="eastAsia" w:ascii="宋体" w:hAnsi="宋体" w:eastAsia="宋体" w:cs="宋体"/>
                <w:sz w:val="21"/>
                <w:szCs w:val="21"/>
                <w:lang w:eastAsia="zh-CN"/>
              </w:rPr>
            </w:pPr>
            <w:r>
              <w:rPr>
                <w:rFonts w:hint="eastAsia" w:ascii="宋体" w:hAnsi="宋体" w:eastAsia="宋体" w:cs="宋体"/>
                <w:sz w:val="21"/>
                <w:szCs w:val="21"/>
              </w:rPr>
              <w:t>课程目标</w:t>
            </w:r>
            <w:r>
              <w:rPr>
                <w:rFonts w:hint="eastAsia" w:ascii="宋体" w:hAnsi="宋体" w:eastAsia="宋体" w:cs="宋体"/>
                <w:sz w:val="21"/>
                <w:szCs w:val="21"/>
                <w:lang w:val="en-US" w:eastAsia="zh-CN"/>
              </w:rPr>
              <w:t>2</w:t>
            </w:r>
          </w:p>
        </w:tc>
      </w:tr>
      <w:tr w14:paraId="75CF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B31BBED">
            <w:pPr>
              <w:spacing w:line="276" w:lineRule="auto"/>
              <w:jc w:val="left"/>
              <w:rPr>
                <w:rFonts w:hint="eastAsia" w:ascii="宋体" w:hAnsi="宋体" w:eastAsia="宋体" w:cs="宋体"/>
                <w:sz w:val="21"/>
                <w:szCs w:val="21"/>
              </w:rPr>
            </w:pPr>
            <w:r>
              <w:rPr>
                <w:rFonts w:hint="eastAsia" w:ascii="宋体" w:hAnsi="宋体" w:eastAsia="宋体" w:cs="宋体"/>
                <w:sz w:val="21"/>
                <w:szCs w:val="21"/>
              </w:rPr>
              <w:t xml:space="preserve">毕业要求6综合育人 </w:t>
            </w:r>
          </w:p>
        </w:tc>
        <w:tc>
          <w:tcPr>
            <w:tcW w:w="5688" w:type="dxa"/>
            <w:vAlign w:val="center"/>
          </w:tcPr>
          <w:p w14:paraId="0E032920">
            <w:pPr>
              <w:spacing w:line="276" w:lineRule="auto"/>
              <w:jc w:val="left"/>
              <w:rPr>
                <w:rFonts w:hint="eastAsia" w:ascii="宋体" w:hAnsi="宋体" w:eastAsia="宋体" w:cs="宋体"/>
                <w:sz w:val="21"/>
                <w:szCs w:val="21"/>
              </w:rPr>
            </w:pPr>
            <w:r>
              <w:rPr>
                <w:rFonts w:hint="eastAsia" w:ascii="宋体" w:hAnsi="宋体" w:eastAsia="宋体" w:cs="宋体"/>
                <w:color w:val="000000"/>
                <w:spacing w:val="2"/>
                <w:kern w:val="0"/>
                <w:sz w:val="21"/>
                <w:szCs w:val="21"/>
              </w:rPr>
              <w:t>指标点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191" w:type="dxa"/>
            <w:vAlign w:val="center"/>
          </w:tcPr>
          <w:p w14:paraId="2A4D62AE">
            <w:pPr>
              <w:spacing w:line="276" w:lineRule="auto"/>
              <w:jc w:val="left"/>
              <w:rPr>
                <w:rFonts w:hint="eastAsia" w:ascii="宋体" w:hAnsi="宋体" w:eastAsia="宋体" w:cs="宋体"/>
                <w:sz w:val="21"/>
                <w:szCs w:val="21"/>
                <w:lang w:eastAsia="zh-CN"/>
              </w:rPr>
            </w:pPr>
            <w:r>
              <w:rPr>
                <w:rFonts w:hint="eastAsia" w:ascii="宋体" w:hAnsi="宋体" w:eastAsia="宋体" w:cs="宋体"/>
                <w:sz w:val="21"/>
                <w:szCs w:val="21"/>
              </w:rPr>
              <w:t>课程目标</w:t>
            </w:r>
            <w:r>
              <w:rPr>
                <w:rFonts w:hint="eastAsia" w:ascii="宋体" w:hAnsi="宋体" w:eastAsia="宋体" w:cs="宋体"/>
                <w:sz w:val="21"/>
                <w:szCs w:val="21"/>
                <w:lang w:val="en-US" w:eastAsia="zh-CN"/>
              </w:rPr>
              <w:t>3</w:t>
            </w:r>
          </w:p>
        </w:tc>
      </w:tr>
    </w:tbl>
    <w:p w14:paraId="247F4F49">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sz w:val="21"/>
          <w:szCs w:val="21"/>
        </w:rPr>
      </w:pPr>
      <w:r>
        <w:rPr>
          <w:rFonts w:hint="eastAsia" w:ascii="宋体" w:hAnsi="宋体" w:eastAsia="宋体" w:cs="宋体"/>
          <w:b/>
          <w:sz w:val="21"/>
          <w:szCs w:val="21"/>
        </w:rPr>
        <w:t>（</w:t>
      </w:r>
      <w:r>
        <w:rPr>
          <w:rFonts w:hint="eastAsia" w:ascii="宋体" w:hAnsi="宋体" w:eastAsia="宋体" w:cs="宋体"/>
          <w:b/>
          <w:sz w:val="21"/>
          <w:szCs w:val="21"/>
          <w:lang w:val="en-US" w:eastAsia="zh-CN"/>
        </w:rPr>
        <w:t>三</w:t>
      </w:r>
      <w:r>
        <w:rPr>
          <w:rFonts w:hint="eastAsia" w:ascii="宋体" w:hAnsi="宋体" w:eastAsia="宋体" w:cs="宋体"/>
          <w:b/>
          <w:sz w:val="21"/>
          <w:szCs w:val="21"/>
        </w:rPr>
        <w:t>）课程思政目标</w:t>
      </w:r>
    </w:p>
    <w:p w14:paraId="4311762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思政目标1：通过学习小学科学教学设计与实施，激发学生对教育事业的热情，树立为孩子们成长和发展提供科学教育的责任感，培养求真务实的科学精神，提升学生的综合素质。</w:t>
      </w:r>
    </w:p>
    <w:p w14:paraId="0FEF108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思政目标2：在科学教学中渗透科学与社会的关系，引导学生关注教育中的社会责任，增强环保意识、生态文明意识，理解科学教育在促进社会进步和文化传承中的重要作用。</w:t>
      </w:r>
    </w:p>
    <w:p w14:paraId="52410C3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color w:val="000000"/>
          <w:sz w:val="21"/>
          <w:szCs w:val="21"/>
        </w:rPr>
      </w:pPr>
      <w:r>
        <w:rPr>
          <w:rFonts w:hint="eastAsia" w:ascii="宋体" w:hAnsi="宋体" w:eastAsia="宋体" w:cs="宋体"/>
          <w:bCs/>
          <w:sz w:val="21"/>
          <w:szCs w:val="21"/>
        </w:rPr>
        <w:t>思政目标3：强化反思和批判性思维的培养，鼓励学生在教学实践中不断探索、总结与改进，培养具有教育创新精神和终身学习意识的教师职业素养，关注教师的专业成长与社会责任。</w:t>
      </w:r>
    </w:p>
    <w:p w14:paraId="5F25C63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宋体"/>
          <w:b/>
          <w:sz w:val="24"/>
          <w:szCs w:val="24"/>
        </w:rPr>
      </w:pPr>
      <w:r>
        <w:rPr>
          <w:rFonts w:hint="eastAsia" w:ascii="宋体" w:hAnsi="宋体" w:eastAsia="宋体" w:cs="宋体"/>
          <w:b/>
          <w:sz w:val="24"/>
          <w:szCs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7"/>
        <w:gridCol w:w="1907"/>
        <w:gridCol w:w="1361"/>
        <w:gridCol w:w="2451"/>
        <w:gridCol w:w="1546"/>
        <w:gridCol w:w="516"/>
      </w:tblGrid>
      <w:tr w14:paraId="69DB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Align w:val="center"/>
          </w:tcPr>
          <w:p w14:paraId="47329BAD">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知识</w:t>
            </w:r>
          </w:p>
          <w:p w14:paraId="7B8B184E">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单元</w:t>
            </w:r>
          </w:p>
        </w:tc>
        <w:tc>
          <w:tcPr>
            <w:tcW w:w="1907" w:type="dxa"/>
            <w:vAlign w:val="center"/>
          </w:tcPr>
          <w:p w14:paraId="22306E16">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知识点</w:t>
            </w:r>
          </w:p>
        </w:tc>
        <w:tc>
          <w:tcPr>
            <w:tcW w:w="1361" w:type="dxa"/>
            <w:vAlign w:val="center"/>
          </w:tcPr>
          <w:p w14:paraId="36FBFE4F">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对应</w:t>
            </w:r>
          </w:p>
          <w:p w14:paraId="7C57FF00">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课程目标</w:t>
            </w:r>
          </w:p>
        </w:tc>
        <w:tc>
          <w:tcPr>
            <w:tcW w:w="2451" w:type="dxa"/>
            <w:vAlign w:val="center"/>
          </w:tcPr>
          <w:p w14:paraId="56DEAF31">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预期学习成效</w:t>
            </w:r>
          </w:p>
        </w:tc>
        <w:tc>
          <w:tcPr>
            <w:tcW w:w="1546" w:type="dxa"/>
            <w:vAlign w:val="center"/>
          </w:tcPr>
          <w:p w14:paraId="37F3BEF2">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实现环节</w:t>
            </w:r>
          </w:p>
        </w:tc>
        <w:tc>
          <w:tcPr>
            <w:tcW w:w="516" w:type="dxa"/>
            <w:vAlign w:val="center"/>
          </w:tcPr>
          <w:p w14:paraId="1CF12315">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学时</w:t>
            </w:r>
          </w:p>
        </w:tc>
      </w:tr>
      <w:tr w14:paraId="1B09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restart"/>
            <w:vAlign w:val="center"/>
          </w:tcPr>
          <w:p w14:paraId="28146365">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（一）小学科学教学设计与组织</w:t>
            </w:r>
          </w:p>
        </w:tc>
        <w:tc>
          <w:tcPr>
            <w:tcW w:w="1907" w:type="dxa"/>
            <w:vAlign w:val="center"/>
          </w:tcPr>
          <w:p w14:paraId="77F694C6">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小学科学教学设计、备课、课堂教学组织、课外活动组织</w:t>
            </w:r>
          </w:p>
        </w:tc>
        <w:tc>
          <w:tcPr>
            <w:tcW w:w="1361" w:type="dxa"/>
            <w:vAlign w:val="center"/>
          </w:tcPr>
          <w:p w14:paraId="49B676CD">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目标1</w:t>
            </w:r>
          </w:p>
        </w:tc>
        <w:tc>
          <w:tcPr>
            <w:tcW w:w="2451" w:type="dxa"/>
            <w:vAlign w:val="center"/>
          </w:tcPr>
          <w:p w14:paraId="4476A786">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理解小学科学教学设计原理，掌握基本支撑和步骤，建构教学目标和内容体系</w:t>
            </w:r>
          </w:p>
        </w:tc>
        <w:tc>
          <w:tcPr>
            <w:tcW w:w="1546" w:type="dxa"/>
            <w:vAlign w:val="center"/>
          </w:tcPr>
          <w:p w14:paraId="58709423">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课堂讲授与讨论、教学设计实践</w:t>
            </w:r>
          </w:p>
        </w:tc>
        <w:tc>
          <w:tcPr>
            <w:tcW w:w="516" w:type="dxa"/>
            <w:vAlign w:val="center"/>
          </w:tcPr>
          <w:p w14:paraId="71EFE3F8">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1</w:t>
            </w:r>
          </w:p>
        </w:tc>
      </w:tr>
      <w:tr w14:paraId="4E1E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continue"/>
            <w:vAlign w:val="center"/>
          </w:tcPr>
          <w:p w14:paraId="5A2A819E">
            <w:pPr>
              <w:spacing w:line="240" w:lineRule="auto"/>
              <w:jc w:val="both"/>
              <w:rPr>
                <w:rFonts w:hint="eastAsia" w:ascii="宋体" w:hAnsi="宋体" w:eastAsia="宋体" w:cs="宋体"/>
                <w:color w:val="000000"/>
                <w:sz w:val="21"/>
                <w:szCs w:val="21"/>
              </w:rPr>
            </w:pPr>
          </w:p>
        </w:tc>
        <w:tc>
          <w:tcPr>
            <w:tcW w:w="7781" w:type="dxa"/>
            <w:gridSpan w:val="5"/>
            <w:vAlign w:val="center"/>
          </w:tcPr>
          <w:p w14:paraId="2BBB5E52">
            <w:pPr>
              <w:spacing w:line="240" w:lineRule="auto"/>
              <w:jc w:val="both"/>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color w:val="000000"/>
                <w:sz w:val="21"/>
                <w:szCs w:val="21"/>
              </w:rPr>
              <w:t>思政目标1通过学习小学科学教学设计与实施，激发学生对教育事业的热情，树立为孩子们成长和发展提供科学教育的责任感，培养求真务实的科学精神，提升学生的综合素质。</w:t>
            </w:r>
          </w:p>
        </w:tc>
      </w:tr>
      <w:tr w14:paraId="5F30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restart"/>
            <w:vAlign w:val="center"/>
          </w:tcPr>
          <w:p w14:paraId="77BF9C67">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（二）物质和能量内容分析与教学研究</w:t>
            </w:r>
          </w:p>
        </w:tc>
        <w:tc>
          <w:tcPr>
            <w:tcW w:w="1907" w:type="dxa"/>
            <w:vAlign w:val="center"/>
          </w:tcPr>
          <w:p w14:paraId="3E5EC7BD">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物质和能量课程目标分析、内容分析、教学策略</w:t>
            </w:r>
          </w:p>
        </w:tc>
        <w:tc>
          <w:tcPr>
            <w:tcW w:w="1361" w:type="dxa"/>
            <w:vAlign w:val="center"/>
          </w:tcPr>
          <w:p w14:paraId="55217FE4">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目标1、2</w:t>
            </w:r>
          </w:p>
        </w:tc>
        <w:tc>
          <w:tcPr>
            <w:tcW w:w="2451" w:type="dxa"/>
            <w:vAlign w:val="center"/>
          </w:tcPr>
          <w:p w14:paraId="1513A7D0">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理解小学科学物质和能量领域的目标要求，掌握教学过程与策略</w:t>
            </w:r>
          </w:p>
        </w:tc>
        <w:tc>
          <w:tcPr>
            <w:tcW w:w="1546" w:type="dxa"/>
            <w:vAlign w:val="center"/>
          </w:tcPr>
          <w:p w14:paraId="03D90E52">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课堂讲解、案例分析、讨论</w:t>
            </w:r>
          </w:p>
        </w:tc>
        <w:tc>
          <w:tcPr>
            <w:tcW w:w="516" w:type="dxa"/>
            <w:vAlign w:val="center"/>
          </w:tcPr>
          <w:p w14:paraId="39071151">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3</w:t>
            </w:r>
          </w:p>
        </w:tc>
      </w:tr>
      <w:tr w14:paraId="4605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continue"/>
            <w:vAlign w:val="center"/>
          </w:tcPr>
          <w:p w14:paraId="5631201B">
            <w:pPr>
              <w:spacing w:line="240" w:lineRule="auto"/>
              <w:jc w:val="both"/>
              <w:rPr>
                <w:rFonts w:hint="eastAsia" w:ascii="宋体" w:hAnsi="宋体" w:eastAsia="宋体" w:cs="宋体"/>
                <w:color w:val="000000"/>
                <w:sz w:val="21"/>
                <w:szCs w:val="21"/>
              </w:rPr>
            </w:pPr>
          </w:p>
        </w:tc>
        <w:tc>
          <w:tcPr>
            <w:tcW w:w="7781" w:type="dxa"/>
            <w:gridSpan w:val="5"/>
            <w:vAlign w:val="center"/>
          </w:tcPr>
          <w:p w14:paraId="35A996A8">
            <w:pPr>
              <w:spacing w:line="240" w:lineRule="auto"/>
              <w:jc w:val="both"/>
              <w:rPr>
                <w:rFonts w:hint="eastAsia" w:ascii="宋体" w:hAnsi="宋体" w:eastAsia="宋体" w:cs="宋体"/>
                <w:b/>
                <w:bCs/>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color w:val="000000"/>
                <w:sz w:val="21"/>
                <w:szCs w:val="21"/>
              </w:rPr>
              <w:t xml:space="preserve"> 思政目标2渗透科学与社会的关系，引导学生关注教育中的社会责任，增强环保意识、生态文明意识，理解科学教育在促进社会进步和文化传承中的作用。</w:t>
            </w:r>
          </w:p>
        </w:tc>
      </w:tr>
      <w:tr w14:paraId="3C50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restart"/>
            <w:vAlign w:val="center"/>
          </w:tcPr>
          <w:p w14:paraId="5CE3EF64">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（三）物质和能量专题案例研究（教学设计、试讲、说课等）</w:t>
            </w:r>
          </w:p>
        </w:tc>
        <w:tc>
          <w:tcPr>
            <w:tcW w:w="1907" w:type="dxa"/>
            <w:vAlign w:val="center"/>
          </w:tcPr>
          <w:p w14:paraId="38F3EB72">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物质和能量教学设计实践操作、试讲、演课、说课稿撰写</w:t>
            </w:r>
          </w:p>
        </w:tc>
        <w:tc>
          <w:tcPr>
            <w:tcW w:w="1361" w:type="dxa"/>
            <w:vAlign w:val="center"/>
          </w:tcPr>
          <w:p w14:paraId="009C5886">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目标3</w:t>
            </w:r>
          </w:p>
        </w:tc>
        <w:tc>
          <w:tcPr>
            <w:tcW w:w="2451" w:type="dxa"/>
            <w:vAlign w:val="center"/>
          </w:tcPr>
          <w:p w14:paraId="45C78226">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能够进行教学设计、试讲、演课及说课，掌握教学技巧和说课原则</w:t>
            </w:r>
          </w:p>
        </w:tc>
        <w:tc>
          <w:tcPr>
            <w:tcW w:w="1546" w:type="dxa"/>
            <w:vAlign w:val="center"/>
          </w:tcPr>
          <w:p w14:paraId="7DF09DD2">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教学设计实践、试讲、说课</w:t>
            </w:r>
          </w:p>
        </w:tc>
        <w:tc>
          <w:tcPr>
            <w:tcW w:w="516" w:type="dxa"/>
            <w:vAlign w:val="center"/>
          </w:tcPr>
          <w:p w14:paraId="12E37D73">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4</w:t>
            </w:r>
          </w:p>
        </w:tc>
      </w:tr>
      <w:tr w14:paraId="7149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continue"/>
            <w:vAlign w:val="center"/>
          </w:tcPr>
          <w:p w14:paraId="7139C893">
            <w:pPr>
              <w:spacing w:line="240" w:lineRule="auto"/>
              <w:jc w:val="both"/>
              <w:rPr>
                <w:rFonts w:hint="eastAsia" w:ascii="宋体" w:hAnsi="宋体" w:eastAsia="宋体" w:cs="宋体"/>
                <w:color w:val="000000"/>
                <w:sz w:val="21"/>
                <w:szCs w:val="21"/>
              </w:rPr>
            </w:pPr>
          </w:p>
        </w:tc>
        <w:tc>
          <w:tcPr>
            <w:tcW w:w="7781" w:type="dxa"/>
            <w:gridSpan w:val="5"/>
            <w:vAlign w:val="center"/>
          </w:tcPr>
          <w:p w14:paraId="50D0B200">
            <w:pPr>
              <w:spacing w:line="240" w:lineRule="auto"/>
              <w:jc w:val="both"/>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color w:val="000000"/>
                <w:sz w:val="21"/>
                <w:szCs w:val="21"/>
              </w:rPr>
              <w:t xml:space="preserve"> 思政目标3强化反思和批判性思维的培养，鼓励学生在教学实践中不断探索、总结与改进，培养具有教育创新精神和终身学习意识的教师职业素养，关注教师的专业成长与社会责任。</w:t>
            </w:r>
          </w:p>
        </w:tc>
      </w:tr>
      <w:tr w14:paraId="2B33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restart"/>
            <w:vAlign w:val="center"/>
          </w:tcPr>
          <w:p w14:paraId="2FC8F8F2">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（四）生物与进化内容分析与教学研究</w:t>
            </w:r>
          </w:p>
        </w:tc>
        <w:tc>
          <w:tcPr>
            <w:tcW w:w="1907" w:type="dxa"/>
            <w:vAlign w:val="center"/>
          </w:tcPr>
          <w:p w14:paraId="15D463A9">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生物与进化课程目标分析、内容分析、教学策略</w:t>
            </w:r>
          </w:p>
        </w:tc>
        <w:tc>
          <w:tcPr>
            <w:tcW w:w="1361" w:type="dxa"/>
            <w:vAlign w:val="center"/>
          </w:tcPr>
          <w:p w14:paraId="100006A4">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目标1、2</w:t>
            </w:r>
          </w:p>
        </w:tc>
        <w:tc>
          <w:tcPr>
            <w:tcW w:w="2451" w:type="dxa"/>
            <w:vAlign w:val="center"/>
          </w:tcPr>
          <w:p w14:paraId="0ECFE92D">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理解生物与进化领域的教学要求和内容体系，掌握教学方法和策略</w:t>
            </w:r>
          </w:p>
        </w:tc>
        <w:tc>
          <w:tcPr>
            <w:tcW w:w="1546" w:type="dxa"/>
            <w:vAlign w:val="center"/>
          </w:tcPr>
          <w:p w14:paraId="4BA5284A">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课堂讲解、案例分析、讨论</w:t>
            </w:r>
          </w:p>
        </w:tc>
        <w:tc>
          <w:tcPr>
            <w:tcW w:w="516" w:type="dxa"/>
            <w:vAlign w:val="center"/>
          </w:tcPr>
          <w:p w14:paraId="1A077581">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4</w:t>
            </w:r>
          </w:p>
        </w:tc>
      </w:tr>
      <w:tr w14:paraId="109C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continue"/>
            <w:vAlign w:val="center"/>
          </w:tcPr>
          <w:p w14:paraId="730621D4">
            <w:pPr>
              <w:spacing w:line="240" w:lineRule="auto"/>
              <w:jc w:val="both"/>
              <w:rPr>
                <w:rFonts w:hint="eastAsia" w:ascii="宋体" w:hAnsi="宋体" w:eastAsia="宋体" w:cs="宋体"/>
                <w:color w:val="000000"/>
                <w:sz w:val="21"/>
                <w:szCs w:val="21"/>
              </w:rPr>
            </w:pPr>
          </w:p>
        </w:tc>
        <w:tc>
          <w:tcPr>
            <w:tcW w:w="7781" w:type="dxa"/>
            <w:gridSpan w:val="5"/>
            <w:vAlign w:val="center"/>
          </w:tcPr>
          <w:p w14:paraId="4D4CA67E">
            <w:pPr>
              <w:spacing w:line="240" w:lineRule="auto"/>
              <w:jc w:val="both"/>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color w:val="000000"/>
                <w:sz w:val="21"/>
                <w:szCs w:val="21"/>
              </w:rPr>
              <w:t xml:space="preserve"> 思政目标2渗透科学与社会的关系，引导学生关注教育中的社会责任，增强环保意识、生态文明意识，理解科学教育在促进社会进步和文化传承中的作用。</w:t>
            </w:r>
          </w:p>
        </w:tc>
      </w:tr>
      <w:tr w14:paraId="6B85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restart"/>
            <w:vAlign w:val="center"/>
          </w:tcPr>
          <w:p w14:paraId="5082372B">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（五）生物与进化专题案例研究（教学设计、试讲、说课等）</w:t>
            </w:r>
          </w:p>
        </w:tc>
        <w:tc>
          <w:tcPr>
            <w:tcW w:w="1907" w:type="dxa"/>
            <w:vAlign w:val="center"/>
          </w:tcPr>
          <w:p w14:paraId="01A0097A">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生物与进化教学设计实践操作、试讲、演课、说课稿撰写</w:t>
            </w:r>
          </w:p>
        </w:tc>
        <w:tc>
          <w:tcPr>
            <w:tcW w:w="1361" w:type="dxa"/>
            <w:vAlign w:val="center"/>
          </w:tcPr>
          <w:p w14:paraId="7398369A">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目标3</w:t>
            </w:r>
          </w:p>
        </w:tc>
        <w:tc>
          <w:tcPr>
            <w:tcW w:w="2451" w:type="dxa"/>
            <w:vAlign w:val="center"/>
          </w:tcPr>
          <w:p w14:paraId="4419F018">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能够进行生物与进化的教学设计、试讲与说课，掌握说课原则和技巧</w:t>
            </w:r>
          </w:p>
        </w:tc>
        <w:tc>
          <w:tcPr>
            <w:tcW w:w="1546" w:type="dxa"/>
            <w:vAlign w:val="center"/>
          </w:tcPr>
          <w:p w14:paraId="7E0E95FC">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教学设计实践、试讲、说课</w:t>
            </w:r>
          </w:p>
        </w:tc>
        <w:tc>
          <w:tcPr>
            <w:tcW w:w="516" w:type="dxa"/>
            <w:vAlign w:val="center"/>
          </w:tcPr>
          <w:p w14:paraId="109CD431">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4</w:t>
            </w:r>
          </w:p>
        </w:tc>
      </w:tr>
      <w:tr w14:paraId="1638C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continue"/>
            <w:vAlign w:val="center"/>
          </w:tcPr>
          <w:p w14:paraId="6E623D87">
            <w:pPr>
              <w:spacing w:line="240" w:lineRule="auto"/>
              <w:jc w:val="both"/>
              <w:rPr>
                <w:rFonts w:hint="eastAsia" w:ascii="宋体" w:hAnsi="宋体" w:eastAsia="宋体" w:cs="宋体"/>
                <w:color w:val="000000"/>
                <w:sz w:val="21"/>
                <w:szCs w:val="21"/>
              </w:rPr>
            </w:pPr>
          </w:p>
        </w:tc>
        <w:tc>
          <w:tcPr>
            <w:tcW w:w="7781" w:type="dxa"/>
            <w:gridSpan w:val="5"/>
            <w:vAlign w:val="center"/>
          </w:tcPr>
          <w:p w14:paraId="49DF4A78">
            <w:pPr>
              <w:spacing w:line="240" w:lineRule="auto"/>
              <w:jc w:val="both"/>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color w:val="000000"/>
                <w:sz w:val="21"/>
                <w:szCs w:val="21"/>
              </w:rPr>
              <w:t xml:space="preserve"> 思政目标3强化反思和批判性思维的培养，鼓励学生在教学实践中不断探索、总结与改进，培养具有教育创新精神和终身学习意识的教师职业素养，关注教师的专业成长与社会责任。</w:t>
            </w:r>
          </w:p>
        </w:tc>
      </w:tr>
      <w:tr w14:paraId="5A9F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restart"/>
            <w:vAlign w:val="center"/>
          </w:tcPr>
          <w:p w14:paraId="1AA25AD3">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（六）地球与宇宙内容分析与教学研究</w:t>
            </w:r>
          </w:p>
        </w:tc>
        <w:tc>
          <w:tcPr>
            <w:tcW w:w="1907" w:type="dxa"/>
            <w:vAlign w:val="center"/>
          </w:tcPr>
          <w:p w14:paraId="2DBA1A0E">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地球与宇宙课程目标分析、内容分析、教学策略</w:t>
            </w:r>
          </w:p>
        </w:tc>
        <w:tc>
          <w:tcPr>
            <w:tcW w:w="1361" w:type="dxa"/>
            <w:vAlign w:val="center"/>
          </w:tcPr>
          <w:p w14:paraId="57864468">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目标1、2</w:t>
            </w:r>
          </w:p>
        </w:tc>
        <w:tc>
          <w:tcPr>
            <w:tcW w:w="2451" w:type="dxa"/>
            <w:vAlign w:val="center"/>
          </w:tcPr>
          <w:p w14:paraId="3E9D643B">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理解地球与宇宙领域的教学目标要求和内容体系，掌握相关的教学策略</w:t>
            </w:r>
          </w:p>
        </w:tc>
        <w:tc>
          <w:tcPr>
            <w:tcW w:w="1546" w:type="dxa"/>
            <w:vAlign w:val="center"/>
          </w:tcPr>
          <w:p w14:paraId="0BE6B05C">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课堂讲解、案例分析、讨论</w:t>
            </w:r>
          </w:p>
        </w:tc>
        <w:tc>
          <w:tcPr>
            <w:tcW w:w="516" w:type="dxa"/>
            <w:vAlign w:val="center"/>
          </w:tcPr>
          <w:p w14:paraId="2C086F39">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4</w:t>
            </w:r>
          </w:p>
        </w:tc>
      </w:tr>
      <w:tr w14:paraId="643F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continue"/>
            <w:vAlign w:val="center"/>
          </w:tcPr>
          <w:p w14:paraId="38F8AE12">
            <w:pPr>
              <w:spacing w:line="240" w:lineRule="auto"/>
              <w:jc w:val="both"/>
              <w:rPr>
                <w:rFonts w:hint="eastAsia" w:ascii="宋体" w:hAnsi="宋体" w:eastAsia="宋体" w:cs="宋体"/>
                <w:color w:val="000000"/>
                <w:sz w:val="21"/>
                <w:szCs w:val="21"/>
              </w:rPr>
            </w:pPr>
          </w:p>
        </w:tc>
        <w:tc>
          <w:tcPr>
            <w:tcW w:w="7781" w:type="dxa"/>
            <w:gridSpan w:val="5"/>
            <w:vAlign w:val="center"/>
          </w:tcPr>
          <w:p w14:paraId="373AC261">
            <w:pPr>
              <w:spacing w:line="240" w:lineRule="auto"/>
              <w:jc w:val="both"/>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color w:val="000000"/>
                <w:sz w:val="21"/>
                <w:szCs w:val="21"/>
              </w:rPr>
              <w:t xml:space="preserve"> 思政目标2渗透科学与社会的关系，引导学生关注教育中的社会责任，增强环保意识、生态文明意识，理解科学教育在促进社会进步和文化传承中的作用。</w:t>
            </w:r>
          </w:p>
        </w:tc>
      </w:tr>
      <w:tr w14:paraId="617B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restart"/>
            <w:vAlign w:val="center"/>
          </w:tcPr>
          <w:p w14:paraId="7FD7C808">
            <w:pPr>
              <w:spacing w:line="240" w:lineRule="auto"/>
              <w:jc w:val="both"/>
              <w:rPr>
                <w:rFonts w:hint="eastAsia" w:ascii="宋体" w:hAnsi="宋体" w:eastAsia="宋体" w:cs="宋体"/>
                <w:sz w:val="21"/>
                <w:szCs w:val="21"/>
              </w:rPr>
            </w:pPr>
            <w:r>
              <w:rPr>
                <w:rFonts w:hint="eastAsia" w:ascii="宋体" w:hAnsi="宋体" w:eastAsia="宋体" w:cs="宋体"/>
                <w:sz w:val="21"/>
                <w:szCs w:val="21"/>
              </w:rPr>
              <w:t>（七）地球与宇宙专题案例研究（教学设计、试讲、说课等）</w:t>
            </w:r>
          </w:p>
        </w:tc>
        <w:tc>
          <w:tcPr>
            <w:tcW w:w="1907" w:type="dxa"/>
            <w:vAlign w:val="center"/>
          </w:tcPr>
          <w:p w14:paraId="646F24CE">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地球与宇宙教学设计实践操作、试讲、演课、说课稿撰写</w:t>
            </w:r>
          </w:p>
        </w:tc>
        <w:tc>
          <w:tcPr>
            <w:tcW w:w="1361" w:type="dxa"/>
            <w:vAlign w:val="center"/>
          </w:tcPr>
          <w:p w14:paraId="16E3D3DF">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目标3</w:t>
            </w:r>
          </w:p>
        </w:tc>
        <w:tc>
          <w:tcPr>
            <w:tcW w:w="2451" w:type="dxa"/>
            <w:vAlign w:val="center"/>
          </w:tcPr>
          <w:p w14:paraId="1818C65D">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能够独立进行教学设计、试讲与说课，掌握课堂教学技巧</w:t>
            </w:r>
          </w:p>
        </w:tc>
        <w:tc>
          <w:tcPr>
            <w:tcW w:w="1546" w:type="dxa"/>
            <w:vAlign w:val="center"/>
          </w:tcPr>
          <w:p w14:paraId="382A3337">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教学设计实践、试讲、说课</w:t>
            </w:r>
          </w:p>
        </w:tc>
        <w:tc>
          <w:tcPr>
            <w:tcW w:w="516" w:type="dxa"/>
            <w:vAlign w:val="center"/>
          </w:tcPr>
          <w:p w14:paraId="45FBA1D1">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4</w:t>
            </w:r>
          </w:p>
        </w:tc>
      </w:tr>
      <w:tr w14:paraId="7C09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continue"/>
            <w:vAlign w:val="center"/>
          </w:tcPr>
          <w:p w14:paraId="6053D562">
            <w:pPr>
              <w:spacing w:line="240" w:lineRule="auto"/>
              <w:jc w:val="both"/>
              <w:rPr>
                <w:rFonts w:hint="eastAsia" w:ascii="宋体" w:hAnsi="宋体" w:eastAsia="宋体" w:cs="宋体"/>
                <w:color w:val="000000"/>
                <w:sz w:val="21"/>
                <w:szCs w:val="21"/>
              </w:rPr>
            </w:pPr>
          </w:p>
        </w:tc>
        <w:tc>
          <w:tcPr>
            <w:tcW w:w="7781" w:type="dxa"/>
            <w:gridSpan w:val="5"/>
            <w:vAlign w:val="center"/>
          </w:tcPr>
          <w:p w14:paraId="0B2DEDD1">
            <w:pPr>
              <w:spacing w:line="240" w:lineRule="auto"/>
              <w:jc w:val="both"/>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color w:val="000000"/>
                <w:sz w:val="21"/>
                <w:szCs w:val="21"/>
              </w:rPr>
              <w:t xml:space="preserve"> 思政目标3强化反思和批判性思维的培养，鼓励学生在教学实践中不断探索、总结与改进，培养具有教育创新精神和终身学习意识的教师职业素养，关注教师的专业成长与社会责任。</w:t>
            </w:r>
          </w:p>
        </w:tc>
      </w:tr>
      <w:tr w14:paraId="23D0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restart"/>
            <w:vAlign w:val="center"/>
          </w:tcPr>
          <w:p w14:paraId="04A6A9AE">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（八）技术、工程与社会内容分析与教学设计</w:t>
            </w:r>
          </w:p>
        </w:tc>
        <w:tc>
          <w:tcPr>
            <w:tcW w:w="1907" w:type="dxa"/>
            <w:vAlign w:val="center"/>
          </w:tcPr>
          <w:p w14:paraId="0F5D9231">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技术、工程与社会课程目标分析、内容分析、教学策略</w:t>
            </w:r>
          </w:p>
        </w:tc>
        <w:tc>
          <w:tcPr>
            <w:tcW w:w="1361" w:type="dxa"/>
            <w:vAlign w:val="center"/>
          </w:tcPr>
          <w:p w14:paraId="13BE24A4">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目标1、2</w:t>
            </w:r>
          </w:p>
        </w:tc>
        <w:tc>
          <w:tcPr>
            <w:tcW w:w="2451" w:type="dxa"/>
            <w:vAlign w:val="center"/>
          </w:tcPr>
          <w:p w14:paraId="799553FC">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理解技术、工程与社会领域的教学目标要求，掌握教学设计和策略</w:t>
            </w:r>
          </w:p>
        </w:tc>
        <w:tc>
          <w:tcPr>
            <w:tcW w:w="1546" w:type="dxa"/>
            <w:vAlign w:val="center"/>
          </w:tcPr>
          <w:p w14:paraId="76E53177">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课堂讲解、案例分析、讨论</w:t>
            </w:r>
          </w:p>
        </w:tc>
        <w:tc>
          <w:tcPr>
            <w:tcW w:w="516" w:type="dxa"/>
            <w:vAlign w:val="center"/>
          </w:tcPr>
          <w:p w14:paraId="51A78CC7">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4</w:t>
            </w:r>
          </w:p>
        </w:tc>
      </w:tr>
      <w:tr w14:paraId="34F0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continue"/>
            <w:vAlign w:val="center"/>
          </w:tcPr>
          <w:p w14:paraId="13B83E5E">
            <w:pPr>
              <w:spacing w:line="240" w:lineRule="auto"/>
              <w:jc w:val="both"/>
              <w:rPr>
                <w:rFonts w:hint="eastAsia" w:ascii="宋体" w:hAnsi="宋体" w:eastAsia="宋体" w:cs="宋体"/>
                <w:color w:val="000000"/>
                <w:sz w:val="21"/>
                <w:szCs w:val="21"/>
              </w:rPr>
            </w:pPr>
          </w:p>
        </w:tc>
        <w:tc>
          <w:tcPr>
            <w:tcW w:w="7781" w:type="dxa"/>
            <w:gridSpan w:val="5"/>
            <w:vAlign w:val="center"/>
          </w:tcPr>
          <w:p w14:paraId="1E3D68F4">
            <w:pPr>
              <w:spacing w:line="240" w:lineRule="auto"/>
              <w:jc w:val="both"/>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color w:val="000000"/>
                <w:sz w:val="21"/>
                <w:szCs w:val="21"/>
              </w:rPr>
              <w:t xml:space="preserve"> 思政目标2：渗透科学与社会的关系，引导学生关注教育中的社会责任，增强环保意识、生态文明意识，理解科学教育在促进社会进步和文化传承中的作用。</w:t>
            </w:r>
          </w:p>
        </w:tc>
      </w:tr>
      <w:tr w14:paraId="075D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restart"/>
            <w:vAlign w:val="center"/>
          </w:tcPr>
          <w:p w14:paraId="7919008A">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（九）技术、工程与社会专题案例研究（教学设计、试讲、说课等）</w:t>
            </w:r>
          </w:p>
        </w:tc>
        <w:tc>
          <w:tcPr>
            <w:tcW w:w="1907" w:type="dxa"/>
            <w:vAlign w:val="center"/>
          </w:tcPr>
          <w:p w14:paraId="2C945702">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技术、工程与社会教学设计实践操作、试讲、演课、说课稿撰写</w:t>
            </w:r>
          </w:p>
        </w:tc>
        <w:tc>
          <w:tcPr>
            <w:tcW w:w="1361" w:type="dxa"/>
            <w:vAlign w:val="center"/>
          </w:tcPr>
          <w:p w14:paraId="51DAC5B0">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目标3</w:t>
            </w:r>
          </w:p>
        </w:tc>
        <w:tc>
          <w:tcPr>
            <w:tcW w:w="2451" w:type="dxa"/>
            <w:vAlign w:val="center"/>
          </w:tcPr>
          <w:p w14:paraId="76FBF25E">
            <w:pPr>
              <w:spacing w:line="240" w:lineRule="auto"/>
              <w:jc w:val="both"/>
              <w:rPr>
                <w:rFonts w:hint="eastAsia" w:ascii="宋体" w:hAnsi="宋体" w:eastAsia="宋体" w:cs="宋体"/>
                <w:color w:val="000000"/>
                <w:sz w:val="21"/>
                <w:szCs w:val="21"/>
              </w:rPr>
            </w:pPr>
            <w:r>
              <w:rPr>
                <w:rFonts w:hint="eastAsia" w:ascii="宋体" w:hAnsi="宋体" w:eastAsia="宋体" w:cs="宋体"/>
                <w:sz w:val="21"/>
                <w:szCs w:val="21"/>
              </w:rPr>
              <w:t>能够进行技术、工程与社会的教学设计、试讲与说课，掌握说课技巧</w:t>
            </w:r>
          </w:p>
        </w:tc>
        <w:tc>
          <w:tcPr>
            <w:tcW w:w="1546" w:type="dxa"/>
            <w:vAlign w:val="center"/>
          </w:tcPr>
          <w:p w14:paraId="347ED3F1">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教学设计实践、试讲、说课</w:t>
            </w:r>
          </w:p>
        </w:tc>
        <w:tc>
          <w:tcPr>
            <w:tcW w:w="516" w:type="dxa"/>
            <w:vAlign w:val="center"/>
          </w:tcPr>
          <w:p w14:paraId="0095A164">
            <w:pPr>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4</w:t>
            </w:r>
          </w:p>
        </w:tc>
      </w:tr>
      <w:tr w14:paraId="368F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7" w:type="dxa"/>
            <w:vMerge w:val="continue"/>
            <w:vAlign w:val="center"/>
          </w:tcPr>
          <w:p w14:paraId="1CDA4905">
            <w:pPr>
              <w:spacing w:line="240" w:lineRule="auto"/>
              <w:jc w:val="center"/>
              <w:rPr>
                <w:rFonts w:hint="eastAsia" w:ascii="宋体" w:hAnsi="宋体" w:eastAsia="宋体" w:cs="宋体"/>
                <w:color w:val="000000"/>
                <w:sz w:val="21"/>
                <w:szCs w:val="21"/>
              </w:rPr>
            </w:pPr>
          </w:p>
        </w:tc>
        <w:tc>
          <w:tcPr>
            <w:tcW w:w="7781" w:type="dxa"/>
            <w:gridSpan w:val="5"/>
            <w:vAlign w:val="center"/>
          </w:tcPr>
          <w:p w14:paraId="7D300729">
            <w:pPr>
              <w:spacing w:line="240" w:lineRule="auto"/>
              <w:jc w:val="both"/>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color w:val="000000"/>
                <w:sz w:val="21"/>
                <w:szCs w:val="21"/>
              </w:rPr>
              <w:t xml:space="preserve"> 思政目标3强化反思和批判性思维的培养，鼓励学生在教学实践中不断探索、总结与改进，培养具有教育创新精神和终身学习意识的教师职业素养，关注教师的专业成长与社会责任。</w:t>
            </w:r>
          </w:p>
        </w:tc>
      </w:tr>
    </w:tbl>
    <w:p w14:paraId="5B29DE1D">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宋体"/>
          <w:b/>
          <w:sz w:val="24"/>
          <w:szCs w:val="24"/>
        </w:rPr>
      </w:pPr>
      <w:r>
        <w:rPr>
          <w:rFonts w:hint="eastAsia" w:ascii="宋体" w:hAnsi="宋体" w:eastAsia="宋体" w:cs="宋体"/>
          <w:b/>
          <w:sz w:val="24"/>
          <w:szCs w:val="24"/>
        </w:rPr>
        <w:t>四、目标评价与成绩评定</w:t>
      </w:r>
    </w:p>
    <w:p w14:paraId="703AD466">
      <w:pPr>
        <w:spacing w:line="360" w:lineRule="auto"/>
        <w:ind w:firstLine="422" w:firstLineChars="200"/>
        <w:jc w:val="left"/>
        <w:rPr>
          <w:rFonts w:hint="eastAsia" w:ascii="宋体" w:hAnsi="宋体" w:eastAsia="宋体" w:cs="宋体"/>
          <w:b/>
          <w:sz w:val="21"/>
          <w:szCs w:val="21"/>
        </w:rPr>
      </w:pPr>
      <w:r>
        <w:rPr>
          <w:rFonts w:hint="eastAsia" w:ascii="宋体" w:hAnsi="宋体" w:eastAsia="宋体" w:cs="宋体"/>
          <w:b/>
          <w:sz w:val="21"/>
          <w:szCs w:val="21"/>
        </w:rPr>
        <w:t>（一）课程目标评价方式</w:t>
      </w:r>
    </w:p>
    <w:p w14:paraId="1BF35367">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根据总体设计，用于评价各课程目标的评价方式如</w:t>
      </w:r>
      <w:r>
        <w:rPr>
          <w:rFonts w:hint="eastAsia" w:ascii="宋体" w:hAnsi="宋体" w:eastAsia="宋体" w:cs="宋体"/>
          <w:sz w:val="21"/>
          <w:szCs w:val="21"/>
          <w:lang w:val="en-US" w:eastAsia="zh-CN"/>
        </w:rPr>
        <w:t>下表</w:t>
      </w:r>
      <w:r>
        <w:rPr>
          <w:rFonts w:hint="eastAsia" w:ascii="宋体" w:hAnsi="宋体" w:eastAsia="宋体" w:cs="宋体"/>
          <w:sz w:val="21"/>
          <w:szCs w:val="21"/>
        </w:rPr>
        <w:t>所示。</w:t>
      </w:r>
    </w:p>
    <w:p w14:paraId="2A7B18CF">
      <w:pPr>
        <w:spacing w:line="360" w:lineRule="auto"/>
        <w:ind w:firstLine="420" w:firstLineChars="200"/>
        <w:jc w:val="left"/>
        <w:rPr>
          <w:rFonts w:hint="eastAsia" w:ascii="宋体" w:hAnsi="宋体" w:eastAsia="宋体" w:cs="宋体"/>
          <w:sz w:val="21"/>
          <w:szCs w:val="21"/>
        </w:rPr>
      </w:pP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1569"/>
        <w:gridCol w:w="1569"/>
        <w:gridCol w:w="1569"/>
        <w:gridCol w:w="1056"/>
        <w:gridCol w:w="937"/>
      </w:tblGrid>
      <w:tr w14:paraId="771E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4D363648">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课程目标</w:t>
            </w:r>
          </w:p>
        </w:tc>
        <w:tc>
          <w:tcPr>
            <w:tcW w:w="0" w:type="auto"/>
            <w:gridSpan w:val="4"/>
            <w:vAlign w:val="center"/>
          </w:tcPr>
          <w:p w14:paraId="33CD43F2">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评价与成绩评定方法</w:t>
            </w:r>
          </w:p>
        </w:tc>
        <w:tc>
          <w:tcPr>
            <w:tcW w:w="937" w:type="dxa"/>
            <w:vMerge w:val="restart"/>
            <w:vAlign w:val="center"/>
          </w:tcPr>
          <w:p w14:paraId="64B461F2">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分值</w:t>
            </w:r>
          </w:p>
        </w:tc>
      </w:tr>
      <w:tr w14:paraId="29DB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3ABE2DA">
            <w:pPr>
              <w:spacing w:line="360" w:lineRule="auto"/>
              <w:jc w:val="center"/>
              <w:rPr>
                <w:rFonts w:hint="eastAsia" w:ascii="宋体" w:hAnsi="宋体" w:eastAsia="宋体" w:cs="宋体"/>
                <w:sz w:val="21"/>
                <w:szCs w:val="21"/>
              </w:rPr>
            </w:pPr>
          </w:p>
        </w:tc>
        <w:tc>
          <w:tcPr>
            <w:tcW w:w="0" w:type="auto"/>
            <w:vAlign w:val="center"/>
          </w:tcPr>
          <w:p w14:paraId="542AA8A0">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平时作业</w:t>
            </w:r>
          </w:p>
        </w:tc>
        <w:tc>
          <w:tcPr>
            <w:tcW w:w="0" w:type="auto"/>
            <w:vAlign w:val="center"/>
          </w:tcPr>
          <w:p w14:paraId="0393DD64">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课堂表现</w:t>
            </w:r>
          </w:p>
        </w:tc>
        <w:tc>
          <w:tcPr>
            <w:tcW w:w="0" w:type="auto"/>
            <w:vAlign w:val="center"/>
          </w:tcPr>
          <w:p w14:paraId="5AA101F2">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课内实践</w:t>
            </w:r>
          </w:p>
        </w:tc>
        <w:tc>
          <w:tcPr>
            <w:tcW w:w="0" w:type="auto"/>
            <w:vAlign w:val="center"/>
          </w:tcPr>
          <w:p w14:paraId="6DD478BA">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期末考试</w:t>
            </w:r>
          </w:p>
        </w:tc>
        <w:tc>
          <w:tcPr>
            <w:tcW w:w="937" w:type="dxa"/>
            <w:vMerge w:val="continue"/>
            <w:vAlign w:val="center"/>
          </w:tcPr>
          <w:p w14:paraId="0B287348">
            <w:pPr>
              <w:spacing w:line="360" w:lineRule="auto"/>
              <w:jc w:val="center"/>
              <w:rPr>
                <w:rFonts w:hint="eastAsia" w:ascii="宋体" w:hAnsi="宋体" w:eastAsia="宋体" w:cs="宋体"/>
                <w:sz w:val="21"/>
                <w:szCs w:val="21"/>
              </w:rPr>
            </w:pPr>
          </w:p>
        </w:tc>
      </w:tr>
      <w:tr w14:paraId="4AAC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43D3C4">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课程目标1</w:t>
            </w:r>
          </w:p>
        </w:tc>
        <w:tc>
          <w:tcPr>
            <w:tcW w:w="0" w:type="auto"/>
            <w:vAlign w:val="center"/>
          </w:tcPr>
          <w:p w14:paraId="541FE031">
            <w:pPr>
              <w:spacing w:line="36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0" w:type="auto"/>
            <w:vAlign w:val="center"/>
          </w:tcPr>
          <w:p w14:paraId="65E89768">
            <w:pPr>
              <w:spacing w:line="36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0" w:type="auto"/>
            <w:vAlign w:val="center"/>
          </w:tcPr>
          <w:p w14:paraId="2705684B">
            <w:pPr>
              <w:spacing w:line="36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0" w:type="auto"/>
            <w:vAlign w:val="center"/>
          </w:tcPr>
          <w:p w14:paraId="157ED439">
            <w:pPr>
              <w:spacing w:line="36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937" w:type="dxa"/>
            <w:vAlign w:val="center"/>
          </w:tcPr>
          <w:p w14:paraId="3DA0536B">
            <w:pPr>
              <w:spacing w:line="360" w:lineRule="auto"/>
              <w:jc w:val="center"/>
              <w:rPr>
                <w:rFonts w:hint="eastAsia" w:ascii="宋体" w:hAnsi="宋体" w:eastAsia="宋体" w:cs="宋体"/>
                <w:sz w:val="21"/>
                <w:szCs w:val="21"/>
              </w:rPr>
            </w:pPr>
            <w:r>
              <w:rPr>
                <w:rFonts w:hint="eastAsia" w:ascii="宋体" w:hAnsi="宋体" w:eastAsia="宋体" w:cs="宋体"/>
                <w:sz w:val="21"/>
                <w:szCs w:val="21"/>
              </w:rPr>
              <w:t>40</w:t>
            </w:r>
          </w:p>
        </w:tc>
      </w:tr>
      <w:tr w14:paraId="01C5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D959A0">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课程目标2</w:t>
            </w:r>
          </w:p>
        </w:tc>
        <w:tc>
          <w:tcPr>
            <w:tcW w:w="0" w:type="auto"/>
            <w:vAlign w:val="center"/>
          </w:tcPr>
          <w:p w14:paraId="75504D27">
            <w:pPr>
              <w:spacing w:line="36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0" w:type="auto"/>
            <w:vAlign w:val="center"/>
          </w:tcPr>
          <w:p w14:paraId="24ACBEF1">
            <w:pPr>
              <w:spacing w:line="36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0" w:type="auto"/>
            <w:vAlign w:val="center"/>
          </w:tcPr>
          <w:p w14:paraId="1225DB13">
            <w:pPr>
              <w:spacing w:line="36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0" w:type="auto"/>
            <w:vAlign w:val="center"/>
          </w:tcPr>
          <w:p w14:paraId="5152323B">
            <w:pPr>
              <w:spacing w:line="36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937" w:type="dxa"/>
            <w:vAlign w:val="center"/>
          </w:tcPr>
          <w:p w14:paraId="595DE277">
            <w:pPr>
              <w:spacing w:line="360" w:lineRule="auto"/>
              <w:jc w:val="center"/>
              <w:rPr>
                <w:rFonts w:hint="eastAsia" w:ascii="宋体" w:hAnsi="宋体" w:eastAsia="宋体" w:cs="宋体"/>
                <w:sz w:val="21"/>
                <w:szCs w:val="21"/>
              </w:rPr>
            </w:pPr>
            <w:r>
              <w:rPr>
                <w:rFonts w:hint="eastAsia" w:ascii="宋体" w:hAnsi="宋体" w:eastAsia="宋体" w:cs="宋体"/>
                <w:sz w:val="21"/>
                <w:szCs w:val="21"/>
              </w:rPr>
              <w:t>40</w:t>
            </w:r>
          </w:p>
        </w:tc>
      </w:tr>
      <w:tr w14:paraId="0C6C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0A1A57">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课程目标3</w:t>
            </w:r>
          </w:p>
        </w:tc>
        <w:tc>
          <w:tcPr>
            <w:tcW w:w="0" w:type="auto"/>
            <w:vAlign w:val="center"/>
          </w:tcPr>
          <w:p w14:paraId="27A14770">
            <w:pPr>
              <w:spacing w:line="36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0" w:type="auto"/>
            <w:vAlign w:val="center"/>
          </w:tcPr>
          <w:p w14:paraId="713E5745">
            <w:pPr>
              <w:spacing w:line="36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0" w:type="auto"/>
            <w:vAlign w:val="center"/>
          </w:tcPr>
          <w:p w14:paraId="7FA6EC1F">
            <w:pPr>
              <w:spacing w:line="36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0" w:type="auto"/>
            <w:vAlign w:val="center"/>
          </w:tcPr>
          <w:p w14:paraId="41BD5D6B">
            <w:pPr>
              <w:spacing w:line="36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937" w:type="dxa"/>
            <w:vAlign w:val="center"/>
          </w:tcPr>
          <w:p w14:paraId="18B5AAF7">
            <w:pPr>
              <w:spacing w:line="360" w:lineRule="auto"/>
              <w:jc w:val="center"/>
              <w:rPr>
                <w:rFonts w:hint="eastAsia" w:ascii="宋体" w:hAnsi="宋体" w:eastAsia="宋体" w:cs="宋体"/>
                <w:sz w:val="21"/>
                <w:szCs w:val="21"/>
              </w:rPr>
            </w:pPr>
            <w:r>
              <w:rPr>
                <w:rFonts w:hint="eastAsia" w:ascii="宋体" w:hAnsi="宋体" w:eastAsia="宋体" w:cs="宋体"/>
                <w:sz w:val="21"/>
                <w:szCs w:val="21"/>
              </w:rPr>
              <w:t>2</w:t>
            </w:r>
          </w:p>
        </w:tc>
      </w:tr>
      <w:tr w14:paraId="09D2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4799DE">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合计</w:t>
            </w:r>
          </w:p>
        </w:tc>
        <w:tc>
          <w:tcPr>
            <w:tcW w:w="0" w:type="auto"/>
            <w:vAlign w:val="center"/>
          </w:tcPr>
          <w:p w14:paraId="2DE6A421">
            <w:pPr>
              <w:spacing w:line="360" w:lineRule="auto"/>
              <w:jc w:val="center"/>
              <w:rPr>
                <w:rFonts w:hint="eastAsia" w:ascii="宋体" w:hAnsi="宋体" w:eastAsia="宋体" w:cs="宋体"/>
                <w:sz w:val="21"/>
                <w:szCs w:val="21"/>
              </w:rPr>
            </w:pPr>
          </w:p>
        </w:tc>
        <w:tc>
          <w:tcPr>
            <w:tcW w:w="0" w:type="auto"/>
            <w:vAlign w:val="center"/>
          </w:tcPr>
          <w:p w14:paraId="04334E99">
            <w:pPr>
              <w:spacing w:line="360" w:lineRule="auto"/>
              <w:jc w:val="center"/>
              <w:rPr>
                <w:rFonts w:hint="eastAsia" w:ascii="宋体" w:hAnsi="宋体" w:eastAsia="宋体" w:cs="宋体"/>
                <w:sz w:val="21"/>
                <w:szCs w:val="21"/>
              </w:rPr>
            </w:pPr>
          </w:p>
        </w:tc>
        <w:tc>
          <w:tcPr>
            <w:tcW w:w="0" w:type="auto"/>
            <w:vAlign w:val="center"/>
          </w:tcPr>
          <w:p w14:paraId="3F5AF76F">
            <w:pPr>
              <w:spacing w:line="360" w:lineRule="auto"/>
              <w:jc w:val="center"/>
              <w:rPr>
                <w:rFonts w:hint="eastAsia" w:ascii="宋体" w:hAnsi="宋体" w:eastAsia="宋体" w:cs="宋体"/>
                <w:sz w:val="21"/>
                <w:szCs w:val="21"/>
              </w:rPr>
            </w:pPr>
          </w:p>
        </w:tc>
        <w:tc>
          <w:tcPr>
            <w:tcW w:w="1056" w:type="dxa"/>
            <w:vAlign w:val="center"/>
          </w:tcPr>
          <w:p w14:paraId="1FD32B7A">
            <w:pPr>
              <w:spacing w:line="360" w:lineRule="auto"/>
              <w:jc w:val="center"/>
              <w:rPr>
                <w:rFonts w:hint="eastAsia" w:ascii="宋体" w:hAnsi="宋体" w:eastAsia="宋体" w:cs="宋体"/>
                <w:sz w:val="21"/>
                <w:szCs w:val="21"/>
              </w:rPr>
            </w:pPr>
          </w:p>
        </w:tc>
        <w:tc>
          <w:tcPr>
            <w:tcW w:w="937" w:type="dxa"/>
            <w:vAlign w:val="center"/>
          </w:tcPr>
          <w:p w14:paraId="0337AC1C">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100</w:t>
            </w:r>
          </w:p>
        </w:tc>
      </w:tr>
    </w:tbl>
    <w:p w14:paraId="36C3C1C0">
      <w:pPr>
        <w:spacing w:before="156" w:beforeLines="50" w:line="360" w:lineRule="auto"/>
        <w:ind w:firstLine="422" w:firstLineChars="200"/>
        <w:jc w:val="left"/>
        <w:rPr>
          <w:rFonts w:hint="eastAsia" w:ascii="宋体" w:hAnsi="宋体" w:eastAsia="宋体" w:cs="宋体"/>
          <w:b/>
          <w:sz w:val="21"/>
          <w:szCs w:val="21"/>
        </w:rPr>
      </w:pPr>
      <w:r>
        <w:rPr>
          <w:rFonts w:hint="eastAsia" w:ascii="宋体" w:hAnsi="宋体" w:eastAsia="宋体" w:cs="宋体"/>
          <w:b/>
          <w:sz w:val="21"/>
          <w:szCs w:val="21"/>
        </w:rPr>
        <w:t>（二）成绩评定细则</w:t>
      </w:r>
    </w:p>
    <w:p w14:paraId="0EECC057">
      <w:pPr>
        <w:spacing w:line="360" w:lineRule="auto"/>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rPr>
        <w:t>各部分的评价方式和成绩评定的细则如</w:t>
      </w:r>
      <w:r>
        <w:rPr>
          <w:rFonts w:hint="eastAsia" w:ascii="宋体" w:hAnsi="宋体" w:eastAsia="宋体" w:cs="宋体"/>
          <w:sz w:val="21"/>
          <w:szCs w:val="21"/>
          <w:lang w:val="en-US" w:eastAsia="zh-CN"/>
        </w:rPr>
        <w:t>下表</w:t>
      </w:r>
      <w:r>
        <w:rPr>
          <w:rFonts w:hint="eastAsia" w:ascii="宋体" w:hAnsi="宋体" w:eastAsia="宋体" w:cs="宋体"/>
          <w:sz w:val="21"/>
          <w:szCs w:val="21"/>
        </w:rPr>
        <w:t>所示</w:t>
      </w:r>
      <w:r>
        <w:rPr>
          <w:rFonts w:hint="eastAsia" w:ascii="宋体" w:hAnsi="宋体" w:eastAsia="宋体" w:cs="宋体"/>
          <w:sz w:val="21"/>
          <w:szCs w:val="21"/>
          <w:lang w:eastAsia="zh-CN"/>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38"/>
      </w:tblGrid>
      <w:tr w14:paraId="32A0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659C8F8">
            <w:pPr>
              <w:jc w:val="center"/>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41" w:type="dxa"/>
            <w:vAlign w:val="center"/>
          </w:tcPr>
          <w:p w14:paraId="3D7F8CB0">
            <w:pPr>
              <w:jc w:val="center"/>
              <w:rPr>
                <w:rFonts w:hint="eastAsia" w:ascii="宋体" w:hAnsi="宋体" w:eastAsia="宋体" w:cs="宋体"/>
                <w:b/>
                <w:bCs/>
                <w:sz w:val="21"/>
                <w:szCs w:val="21"/>
              </w:rPr>
            </w:pPr>
            <w:r>
              <w:rPr>
                <w:rFonts w:hint="eastAsia" w:ascii="宋体" w:hAnsi="宋体" w:eastAsia="宋体" w:cs="宋体"/>
                <w:b/>
                <w:bCs/>
                <w:sz w:val="21"/>
                <w:szCs w:val="21"/>
              </w:rPr>
              <w:t>评定细则</w:t>
            </w:r>
          </w:p>
        </w:tc>
        <w:tc>
          <w:tcPr>
            <w:tcW w:w="0" w:type="auto"/>
            <w:vAlign w:val="center"/>
          </w:tcPr>
          <w:p w14:paraId="6145176C">
            <w:pPr>
              <w:jc w:val="center"/>
              <w:rPr>
                <w:rFonts w:hint="eastAsia" w:ascii="宋体" w:hAnsi="宋体" w:eastAsia="宋体" w:cs="宋体"/>
                <w:b/>
                <w:bCs/>
                <w:sz w:val="21"/>
                <w:szCs w:val="21"/>
              </w:rPr>
            </w:pPr>
            <w:r>
              <w:rPr>
                <w:rFonts w:hint="eastAsia" w:ascii="宋体" w:hAnsi="宋体" w:eastAsia="宋体" w:cs="宋体"/>
                <w:b/>
                <w:bCs/>
                <w:sz w:val="21"/>
                <w:szCs w:val="21"/>
              </w:rPr>
              <w:t>占比</w:t>
            </w:r>
          </w:p>
        </w:tc>
      </w:tr>
      <w:tr w14:paraId="335B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2ACAAB7">
            <w:pPr>
              <w:rPr>
                <w:rFonts w:hint="eastAsia" w:ascii="宋体" w:hAnsi="宋体" w:eastAsia="宋体" w:cs="宋体"/>
                <w:sz w:val="21"/>
                <w:szCs w:val="21"/>
              </w:rPr>
            </w:pPr>
            <w:r>
              <w:rPr>
                <w:rFonts w:hint="eastAsia" w:ascii="宋体" w:hAnsi="宋体" w:eastAsia="宋体" w:cs="宋体"/>
                <w:sz w:val="21"/>
                <w:szCs w:val="21"/>
              </w:rPr>
              <w:t>平时作业</w:t>
            </w:r>
          </w:p>
        </w:tc>
        <w:tc>
          <w:tcPr>
            <w:tcW w:w="7141" w:type="dxa"/>
            <w:vAlign w:val="center"/>
          </w:tcPr>
          <w:p w14:paraId="451E04F3">
            <w:pPr>
              <w:spacing w:line="264" w:lineRule="auto"/>
              <w:jc w:val="left"/>
              <w:rPr>
                <w:rFonts w:hint="eastAsia" w:ascii="宋体" w:hAnsi="宋体" w:eastAsia="宋体" w:cs="宋体"/>
                <w:sz w:val="21"/>
                <w:szCs w:val="21"/>
              </w:rPr>
            </w:pPr>
            <w:r>
              <w:rPr>
                <w:rFonts w:hint="eastAsia" w:ascii="宋体" w:hAnsi="宋体" w:eastAsia="宋体" w:cs="宋体"/>
                <w:sz w:val="21"/>
                <w:szCs w:val="21"/>
              </w:rPr>
              <w:t>3次教学设计作业：要求1.教学目标明确性与符合度（20%）：目标具体、可衡量，符合课程标准与教学需求。2.教学内容组织逻辑性与覆盖度（20%）：内容安排清晰、全面，覆盖必要的教学点。3.创新性和学生兴趣激发（20%）：方法和活动创新，能激发学生参与和兴趣。4.学生参与与互动性设计（20%）：设计促进学生积极参与，互动有效。5.评估与反馈机制（20%）：评价标准明确，反馈策略实用且具有指导性。</w:t>
            </w:r>
          </w:p>
        </w:tc>
        <w:tc>
          <w:tcPr>
            <w:tcW w:w="0" w:type="auto"/>
            <w:vAlign w:val="center"/>
          </w:tcPr>
          <w:p w14:paraId="2BB0A948">
            <w:pPr>
              <w:jc w:val="center"/>
              <w:rPr>
                <w:rFonts w:hint="eastAsia" w:ascii="宋体" w:hAnsi="宋体" w:eastAsia="宋体" w:cs="宋体"/>
                <w:sz w:val="21"/>
                <w:szCs w:val="21"/>
              </w:rPr>
            </w:pPr>
            <w:r>
              <w:rPr>
                <w:rFonts w:hint="eastAsia" w:ascii="宋体" w:hAnsi="宋体" w:eastAsia="宋体" w:cs="宋体"/>
                <w:sz w:val="21"/>
                <w:szCs w:val="21"/>
              </w:rPr>
              <w:t>20%</w:t>
            </w:r>
          </w:p>
        </w:tc>
      </w:tr>
      <w:tr w14:paraId="6336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56F5C14">
            <w:pPr>
              <w:rPr>
                <w:rFonts w:hint="eastAsia" w:ascii="宋体" w:hAnsi="宋体" w:eastAsia="宋体" w:cs="宋体"/>
                <w:sz w:val="21"/>
                <w:szCs w:val="21"/>
              </w:rPr>
            </w:pPr>
            <w:r>
              <w:rPr>
                <w:rFonts w:hint="eastAsia" w:ascii="宋体" w:hAnsi="宋体" w:eastAsia="宋体" w:cs="宋体"/>
                <w:sz w:val="21"/>
                <w:szCs w:val="21"/>
              </w:rPr>
              <w:t>课堂表现</w:t>
            </w:r>
          </w:p>
        </w:tc>
        <w:tc>
          <w:tcPr>
            <w:tcW w:w="7141" w:type="dxa"/>
            <w:vAlign w:val="center"/>
          </w:tcPr>
          <w:p w14:paraId="5C2C3C09">
            <w:pPr>
              <w:widowControl/>
              <w:spacing w:line="264"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bidi="ar"/>
              </w:rPr>
              <w:t>一是课题考勤情况。</w:t>
            </w:r>
            <w:r>
              <w:rPr>
                <w:rFonts w:hint="eastAsia" w:ascii="宋体" w:hAnsi="宋体" w:eastAsia="宋体" w:cs="宋体"/>
                <w:sz w:val="21"/>
                <w:szCs w:val="21"/>
              </w:rPr>
              <w:t>迟到一次扣2分，无故缺席一次扣5分，累计达3次以上（不含3次）取消课程成绩。</w:t>
            </w:r>
          </w:p>
          <w:p w14:paraId="28081E21">
            <w:pPr>
              <w:widowControl/>
              <w:spacing w:line="264" w:lineRule="auto"/>
              <w:jc w:val="left"/>
              <w:rPr>
                <w:rFonts w:hint="eastAsia" w:ascii="宋体" w:hAnsi="宋体" w:eastAsia="宋体" w:cs="宋体"/>
                <w:sz w:val="21"/>
                <w:szCs w:val="21"/>
              </w:rPr>
            </w:pPr>
            <w:r>
              <w:rPr>
                <w:rFonts w:hint="eastAsia" w:ascii="宋体" w:hAnsi="宋体" w:eastAsia="宋体" w:cs="宋体"/>
                <w:sz w:val="21"/>
                <w:szCs w:val="21"/>
              </w:rPr>
              <w:t>二是</w:t>
            </w:r>
            <w:r>
              <w:rPr>
                <w:rFonts w:hint="eastAsia" w:ascii="宋体" w:hAnsi="宋体" w:eastAsia="宋体" w:cs="宋体"/>
                <w:color w:val="000000"/>
                <w:kern w:val="0"/>
                <w:sz w:val="21"/>
                <w:szCs w:val="21"/>
                <w:lang w:bidi="ar"/>
              </w:rPr>
              <w:t>课堂参与情况。主要指课上教师随机提问、组织课堂讨论等，观察学生参与程度，表现良好，按照对应的课程目标及权重给予评定。</w:t>
            </w:r>
          </w:p>
        </w:tc>
        <w:tc>
          <w:tcPr>
            <w:tcW w:w="0" w:type="auto"/>
            <w:vAlign w:val="center"/>
          </w:tcPr>
          <w:p w14:paraId="5A78B14D">
            <w:pPr>
              <w:jc w:val="center"/>
              <w:rPr>
                <w:rFonts w:hint="eastAsia" w:ascii="宋体" w:hAnsi="宋体" w:eastAsia="宋体" w:cs="宋体"/>
                <w:sz w:val="21"/>
                <w:szCs w:val="21"/>
              </w:rPr>
            </w:pPr>
            <w:r>
              <w:rPr>
                <w:rFonts w:hint="eastAsia" w:ascii="宋体" w:hAnsi="宋体" w:eastAsia="宋体" w:cs="宋体"/>
                <w:sz w:val="21"/>
                <w:szCs w:val="21"/>
              </w:rPr>
              <w:t>10%</w:t>
            </w:r>
          </w:p>
        </w:tc>
      </w:tr>
      <w:tr w14:paraId="78FC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720CB18">
            <w:pPr>
              <w:rPr>
                <w:rFonts w:hint="eastAsia" w:ascii="宋体" w:hAnsi="宋体" w:eastAsia="宋体" w:cs="宋体"/>
                <w:sz w:val="21"/>
                <w:szCs w:val="21"/>
              </w:rPr>
            </w:pPr>
            <w:r>
              <w:rPr>
                <w:rFonts w:hint="eastAsia" w:ascii="宋体" w:hAnsi="宋体" w:eastAsia="宋体" w:cs="宋体"/>
                <w:sz w:val="21"/>
                <w:szCs w:val="21"/>
              </w:rPr>
              <w:t>课内实践</w:t>
            </w:r>
          </w:p>
        </w:tc>
        <w:tc>
          <w:tcPr>
            <w:tcW w:w="7141" w:type="dxa"/>
            <w:vAlign w:val="center"/>
          </w:tcPr>
          <w:p w14:paraId="61D2FC9B">
            <w:pPr>
              <w:widowControl/>
              <w:spacing w:line="264" w:lineRule="auto"/>
              <w:jc w:val="left"/>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微格教学的教学设计（60%）：目标明确性与内容适切性（20%）：教学目标具体明确，内容与学生实际水平和学习需求相匹配。设计创新性与教学策略（20%）：教学方法新颖，策略运用得当，能有效促进学生学习。评估与反馈机制（20%）：包含有效的评估工具和反馈方法，以促进学生学习进步。</w:t>
            </w:r>
          </w:p>
          <w:p w14:paraId="77EFB7B2">
            <w:pPr>
              <w:widowControl/>
              <w:spacing w:line="264" w:lineRule="auto"/>
              <w:jc w:val="left"/>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表现力（40%）：语言表达清晰度（15%）：语言准确，表达流畅，发音清晰，语速适中。教学互动与课堂管理（15%）：互动自然，能够有效引导学生参与，课堂管理得当。非语言沟通与教态（10%）：肢体语言得体，教态自然，能够吸引和维持学生注意力。</w:t>
            </w:r>
          </w:p>
          <w:p w14:paraId="42672099">
            <w:pPr>
              <w:widowControl/>
              <w:spacing w:line="264" w:lineRule="auto"/>
              <w:jc w:val="left"/>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评分细则：</w:t>
            </w:r>
          </w:p>
          <w:p w14:paraId="095A6E05">
            <w:pPr>
              <w:widowControl/>
              <w:spacing w:line="264" w:lineRule="auto"/>
              <w:jc w:val="left"/>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教学设计的评分基于教案的完整性、创新性以及教学策略的适应性和有效性。</w:t>
            </w:r>
          </w:p>
          <w:p w14:paraId="501C2352">
            <w:pPr>
              <w:widowControl/>
              <w:spacing w:line="264" w:lineRule="auto"/>
              <w:jc w:val="left"/>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表现力的评分基于教师在模拟教学过程中的语言表达、互动能力、课堂管理和非语言沟通技巧。</w:t>
            </w:r>
          </w:p>
        </w:tc>
        <w:tc>
          <w:tcPr>
            <w:tcW w:w="0" w:type="auto"/>
            <w:vAlign w:val="center"/>
          </w:tcPr>
          <w:p w14:paraId="6283E531">
            <w:pPr>
              <w:jc w:val="center"/>
              <w:rPr>
                <w:rFonts w:hint="eastAsia" w:ascii="宋体" w:hAnsi="宋体" w:eastAsia="宋体" w:cs="宋体"/>
                <w:sz w:val="21"/>
                <w:szCs w:val="21"/>
              </w:rPr>
            </w:pPr>
            <w:r>
              <w:rPr>
                <w:rFonts w:hint="eastAsia" w:ascii="宋体" w:hAnsi="宋体" w:eastAsia="宋体" w:cs="宋体"/>
                <w:sz w:val="21"/>
                <w:szCs w:val="21"/>
              </w:rPr>
              <w:t>30%</w:t>
            </w:r>
          </w:p>
        </w:tc>
      </w:tr>
      <w:tr w14:paraId="532F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7DF00F5">
            <w:pPr>
              <w:rPr>
                <w:rFonts w:hint="eastAsia" w:ascii="宋体" w:hAnsi="宋体" w:eastAsia="宋体" w:cs="宋体"/>
                <w:sz w:val="21"/>
                <w:szCs w:val="21"/>
              </w:rPr>
            </w:pPr>
            <w:r>
              <w:rPr>
                <w:rFonts w:hint="eastAsia" w:ascii="宋体" w:hAnsi="宋体" w:eastAsia="宋体" w:cs="宋体"/>
                <w:sz w:val="21"/>
                <w:szCs w:val="21"/>
              </w:rPr>
              <w:t>期末考试</w:t>
            </w:r>
          </w:p>
        </w:tc>
        <w:tc>
          <w:tcPr>
            <w:tcW w:w="7141" w:type="dxa"/>
            <w:vAlign w:val="center"/>
          </w:tcPr>
          <w:p w14:paraId="0B2BAFD7">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开卷考试，小学科学中高段一篇科学教学设计。1.教学目标设定（20%）：</w:t>
            </w:r>
          </w:p>
          <w:p w14:paraId="39F2E1B2">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目标明确、具体，与小学阶段学生的认知水平和学习需求相符；教学目标体现核心素养的要求，包括科学思维、科学探究、科学态度与责任等多个维度。</w:t>
            </w:r>
          </w:p>
          <w:p w14:paraId="54584D0C">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2.教学内容分析（20%）：对案例教学内容的分析深入，能够准确把握科学知识的核心要素和教育价值；教学内容安排合理，重点突出，难点处理得当。</w:t>
            </w:r>
          </w:p>
          <w:p w14:paraId="113467DD">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3.教学策略与方法（20%）：能够设计合理的教学策略，运用案例教学方法有效引导学生科学探究；教学活动具有创新性，能调动学生的学习兴趣和积极性。4.学生参与度与互动性（15%）：教学设计中包含丰富的互动环节，能够鼓励学生积极参与案例讨论与探究活动；能够充分考虑学生差异，设计多样化、层次化的学习活动。5.评估与反馈（15%）：教学设计包含科学的评估工具和方法，能够全面衡量学生学习成果；反馈内容具体，能引导学生反思和改进学习过程。教材分析与学情分析（10%）：对小学科学教材的内容结构和逻辑体系有较为准确的分析；能够结合学情分析教学案例的适用性，并提出合理的改进建议。</w:t>
            </w:r>
          </w:p>
        </w:tc>
        <w:tc>
          <w:tcPr>
            <w:tcW w:w="0" w:type="auto"/>
            <w:vAlign w:val="center"/>
          </w:tcPr>
          <w:p w14:paraId="22813DE1">
            <w:pPr>
              <w:jc w:val="center"/>
              <w:rPr>
                <w:rFonts w:hint="eastAsia" w:ascii="宋体" w:hAnsi="宋体" w:eastAsia="宋体" w:cs="宋体"/>
                <w:sz w:val="21"/>
                <w:szCs w:val="21"/>
              </w:rPr>
            </w:pPr>
            <w:r>
              <w:rPr>
                <w:rFonts w:hint="eastAsia" w:ascii="宋体" w:hAnsi="宋体" w:eastAsia="宋体" w:cs="宋体"/>
                <w:sz w:val="21"/>
                <w:szCs w:val="21"/>
              </w:rPr>
              <w:t>40%</w:t>
            </w:r>
          </w:p>
        </w:tc>
      </w:tr>
      <w:tr w14:paraId="3412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3FDFC16">
            <w:pPr>
              <w:jc w:val="center"/>
              <w:rPr>
                <w:rFonts w:hint="eastAsia" w:ascii="宋体" w:hAnsi="宋体" w:eastAsia="宋体" w:cs="宋体"/>
                <w:b/>
                <w:bCs/>
                <w:sz w:val="21"/>
                <w:szCs w:val="21"/>
              </w:rPr>
            </w:pPr>
            <w:r>
              <w:rPr>
                <w:rFonts w:hint="eastAsia" w:ascii="宋体" w:hAnsi="宋体" w:eastAsia="宋体" w:cs="宋体"/>
                <w:b/>
                <w:bCs/>
                <w:sz w:val="21"/>
                <w:szCs w:val="21"/>
              </w:rPr>
              <w:t>合计</w:t>
            </w:r>
          </w:p>
        </w:tc>
        <w:tc>
          <w:tcPr>
            <w:tcW w:w="0" w:type="auto"/>
            <w:vAlign w:val="center"/>
          </w:tcPr>
          <w:p w14:paraId="21BCB9B3">
            <w:pPr>
              <w:jc w:val="left"/>
              <w:rPr>
                <w:rFonts w:hint="eastAsia" w:ascii="宋体" w:hAnsi="宋体" w:eastAsia="宋体" w:cs="宋体"/>
                <w:sz w:val="21"/>
                <w:szCs w:val="21"/>
              </w:rPr>
            </w:pPr>
          </w:p>
        </w:tc>
        <w:tc>
          <w:tcPr>
            <w:tcW w:w="0" w:type="auto"/>
            <w:vAlign w:val="center"/>
          </w:tcPr>
          <w:p w14:paraId="602CDC78">
            <w:pPr>
              <w:jc w:val="center"/>
              <w:rPr>
                <w:rFonts w:hint="eastAsia" w:ascii="宋体" w:hAnsi="宋体" w:eastAsia="宋体" w:cs="宋体"/>
                <w:sz w:val="21"/>
                <w:szCs w:val="21"/>
              </w:rPr>
            </w:pPr>
            <w:r>
              <w:rPr>
                <w:rFonts w:hint="eastAsia" w:ascii="宋体" w:hAnsi="宋体" w:eastAsia="宋体" w:cs="宋体"/>
                <w:sz w:val="21"/>
                <w:szCs w:val="21"/>
              </w:rPr>
              <w:t>100%</w:t>
            </w:r>
          </w:p>
        </w:tc>
      </w:tr>
    </w:tbl>
    <w:p w14:paraId="52A7020D">
      <w:pPr>
        <w:spacing w:line="360" w:lineRule="auto"/>
        <w:ind w:firstLine="422" w:firstLineChars="200"/>
        <w:jc w:val="left"/>
        <w:rPr>
          <w:rFonts w:hint="eastAsia" w:ascii="宋体" w:hAnsi="宋体" w:eastAsia="宋体" w:cs="宋体"/>
          <w:b/>
          <w:color w:val="000000"/>
          <w:sz w:val="21"/>
          <w:szCs w:val="21"/>
        </w:rPr>
      </w:pPr>
      <w:r>
        <w:rPr>
          <w:rFonts w:hint="eastAsia" w:ascii="宋体" w:hAnsi="宋体" w:eastAsia="宋体" w:cs="宋体"/>
          <w:b/>
          <w:color w:val="000000"/>
          <w:sz w:val="21"/>
          <w:szCs w:val="21"/>
        </w:rPr>
        <w:t>（三）课程目标达成度计算方法</w:t>
      </w:r>
    </w:p>
    <w:p w14:paraId="6C068656">
      <w:pPr>
        <w:spacing w:line="360" w:lineRule="auto"/>
        <w:ind w:firstLine="411" w:firstLineChars="196"/>
        <w:jc w:val="left"/>
        <w:rPr>
          <w:rFonts w:hint="eastAsia" w:ascii="宋体" w:hAnsi="宋体" w:eastAsia="宋体" w:cs="宋体"/>
          <w:color w:val="000000"/>
          <w:sz w:val="21"/>
          <w:szCs w:val="21"/>
        </w:rPr>
      </w:pPr>
      <w:r>
        <w:rPr>
          <w:rFonts w:hint="eastAsia" w:ascii="宋体" w:hAnsi="宋体" w:eastAsia="宋体" w:cs="宋体"/>
          <w:color w:val="000000"/>
          <w:sz w:val="21"/>
          <w:szCs w:val="21"/>
        </w:rPr>
        <w:t>所有课程目标均需大于等于0.6，否则总评成绩不及格，需要补考或重修。每门课程目标总体达成度计算方法如下：</w:t>
      </w:r>
    </w:p>
    <w:p w14:paraId="62E94656">
      <w:pPr>
        <w:spacing w:before="156" w:beforeLines="50" w:line="360" w:lineRule="auto"/>
        <w:ind w:firstLine="420" w:firstLineChars="200"/>
        <w:jc w:val="left"/>
        <w:rPr>
          <w:rFonts w:hint="eastAsia" w:ascii="宋体" w:hAnsi="宋体" w:eastAsia="宋体" w:cs="宋体"/>
          <w:b/>
          <w:sz w:val="24"/>
          <w:szCs w:val="24"/>
        </w:rPr>
      </w:pPr>
      <w:r>
        <w:rPr>
          <w:rFonts w:hint="eastAsia" w:ascii="宋体" w:hAnsi="宋体" w:eastAsia="宋体" w:cs="宋体"/>
          <w:color w:val="000000"/>
          <w:sz w:val="21"/>
          <w:szCs w:val="21"/>
        </w:rPr>
        <w:object>
          <v:shape id="_x0000_i1077" o:spt="75" type="#_x0000_t75" style="height:25.15pt;width:404.65pt;" o:ole="t" filled="f" o:preferrelative="t" stroked="f" coordsize="21600,21600">
            <v:path/>
            <v:fill on="f" focussize="0,0"/>
            <v:stroke on="f" joinstyle="miter"/>
            <v:imagedata r:id="rId10" o:title=""/>
            <o:lock v:ext="edit" aspectratio="t"/>
            <w10:wrap type="none"/>
            <w10:anchorlock/>
          </v:shape>
          <o:OLEObject Type="Embed" ProgID="Equation.3" ShapeID="_x0000_i1077" DrawAspect="Content" ObjectID="_1468075776" r:id="rId63">
            <o:LockedField>false</o:LockedField>
          </o:OLEObject>
        </w:object>
      </w:r>
      <w:r>
        <w:rPr>
          <w:rFonts w:hint="eastAsia" w:ascii="宋体" w:hAnsi="宋体" w:eastAsia="宋体" w:cs="宋体"/>
          <w:b/>
          <w:sz w:val="24"/>
          <w:szCs w:val="24"/>
        </w:rPr>
        <w:t>五、课程实践</w:t>
      </w:r>
    </w:p>
    <w:p w14:paraId="2A3C4BAD">
      <w:pPr>
        <w:spacing w:line="276"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本课程共有16课时的课内实践学时，根据教学内容的安排，分别进行四次实践项目。具体项目内容及要求如下。</w:t>
      </w:r>
    </w:p>
    <w:p w14:paraId="662FFE0B">
      <w:pPr>
        <w:spacing w:line="276" w:lineRule="auto"/>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过程学习及考核与思政教育</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4714"/>
        <w:gridCol w:w="664"/>
        <w:gridCol w:w="1351"/>
      </w:tblGrid>
      <w:tr w14:paraId="70DF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790" w:type="dxa"/>
            <w:vAlign w:val="center"/>
          </w:tcPr>
          <w:p w14:paraId="5A31CFCD">
            <w:pPr>
              <w:spacing w:line="240" w:lineRule="exact"/>
              <w:jc w:val="center"/>
              <w:rPr>
                <w:rFonts w:hint="eastAsia" w:ascii="宋体" w:hAnsi="宋体" w:eastAsia="宋体" w:cs="宋体"/>
                <w:b/>
                <w:bCs/>
                <w:sz w:val="21"/>
                <w:szCs w:val="21"/>
              </w:rPr>
            </w:pPr>
            <w:r>
              <w:rPr>
                <w:rFonts w:hint="eastAsia" w:ascii="宋体" w:hAnsi="宋体" w:eastAsia="宋体" w:cs="宋体"/>
                <w:b/>
                <w:bCs/>
                <w:sz w:val="21"/>
                <w:szCs w:val="21"/>
              </w:rPr>
              <w:t>活动主题</w:t>
            </w:r>
          </w:p>
        </w:tc>
        <w:tc>
          <w:tcPr>
            <w:tcW w:w="4714" w:type="dxa"/>
            <w:vAlign w:val="center"/>
          </w:tcPr>
          <w:p w14:paraId="43FDC337">
            <w:pPr>
              <w:spacing w:line="240" w:lineRule="exact"/>
              <w:jc w:val="center"/>
              <w:rPr>
                <w:rFonts w:hint="eastAsia" w:ascii="宋体" w:hAnsi="宋体" w:eastAsia="宋体" w:cs="宋体"/>
                <w:b/>
                <w:bCs/>
                <w:sz w:val="21"/>
                <w:szCs w:val="21"/>
              </w:rPr>
            </w:pPr>
            <w:r>
              <w:rPr>
                <w:rFonts w:hint="eastAsia" w:ascii="宋体" w:hAnsi="宋体" w:eastAsia="宋体" w:cs="宋体"/>
                <w:b/>
                <w:bCs/>
                <w:sz w:val="21"/>
                <w:szCs w:val="21"/>
              </w:rPr>
              <w:t>活动内容</w:t>
            </w:r>
          </w:p>
        </w:tc>
        <w:tc>
          <w:tcPr>
            <w:tcW w:w="664" w:type="dxa"/>
            <w:vAlign w:val="center"/>
          </w:tcPr>
          <w:p w14:paraId="7936E35A">
            <w:pPr>
              <w:spacing w:line="240" w:lineRule="exact"/>
              <w:jc w:val="center"/>
              <w:rPr>
                <w:rFonts w:hint="eastAsia" w:ascii="宋体" w:hAnsi="宋体" w:eastAsia="宋体" w:cs="宋体"/>
                <w:b/>
                <w:bCs/>
                <w:sz w:val="21"/>
                <w:szCs w:val="21"/>
              </w:rPr>
            </w:pPr>
            <w:r>
              <w:rPr>
                <w:rFonts w:hint="eastAsia" w:ascii="宋体" w:hAnsi="宋体" w:eastAsia="宋体" w:cs="宋体"/>
                <w:b/>
                <w:bCs/>
                <w:sz w:val="21"/>
                <w:szCs w:val="21"/>
              </w:rPr>
              <w:t>学时</w:t>
            </w:r>
          </w:p>
        </w:tc>
        <w:tc>
          <w:tcPr>
            <w:tcW w:w="1351" w:type="dxa"/>
            <w:vAlign w:val="center"/>
          </w:tcPr>
          <w:p w14:paraId="49BCF3BF">
            <w:pPr>
              <w:spacing w:line="240" w:lineRule="exact"/>
              <w:jc w:val="center"/>
              <w:rPr>
                <w:rFonts w:hint="eastAsia" w:ascii="宋体" w:hAnsi="宋体" w:eastAsia="宋体" w:cs="宋体"/>
                <w:b/>
                <w:bCs/>
                <w:sz w:val="21"/>
                <w:szCs w:val="21"/>
              </w:rPr>
            </w:pPr>
            <w:r>
              <w:rPr>
                <w:rFonts w:hint="eastAsia" w:ascii="宋体" w:hAnsi="宋体" w:eastAsia="宋体" w:cs="宋体"/>
                <w:b/>
                <w:bCs/>
                <w:sz w:val="21"/>
                <w:szCs w:val="21"/>
              </w:rPr>
              <w:t>对毕业要求的支撑</w:t>
            </w:r>
          </w:p>
        </w:tc>
      </w:tr>
      <w:tr w14:paraId="362C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790" w:type="dxa"/>
            <w:vAlign w:val="center"/>
          </w:tcPr>
          <w:p w14:paraId="5550E68C">
            <w:pPr>
              <w:spacing w:line="276" w:lineRule="auto"/>
              <w:jc w:val="left"/>
              <w:rPr>
                <w:rFonts w:hint="eastAsia" w:ascii="宋体" w:hAnsi="宋体" w:eastAsia="宋体" w:cs="宋体"/>
                <w:sz w:val="21"/>
                <w:szCs w:val="21"/>
              </w:rPr>
            </w:pPr>
            <w:r>
              <w:rPr>
                <w:rFonts w:hint="eastAsia" w:ascii="宋体" w:hAnsi="宋体" w:eastAsia="宋体" w:cs="宋体"/>
                <w:color w:val="000000"/>
                <w:sz w:val="21"/>
                <w:szCs w:val="21"/>
              </w:rPr>
              <w:t>物质和能量专题案例研究（教学设计、试讲、说课等）</w:t>
            </w:r>
          </w:p>
        </w:tc>
        <w:tc>
          <w:tcPr>
            <w:tcW w:w="4714" w:type="dxa"/>
            <w:vAlign w:val="center"/>
          </w:tcPr>
          <w:p w14:paraId="25D2BBA5">
            <w:pPr>
              <w:rPr>
                <w:rFonts w:hint="eastAsia" w:ascii="宋体" w:hAnsi="宋体" w:eastAsia="宋体" w:cs="宋体"/>
                <w:kern w:val="0"/>
                <w:sz w:val="21"/>
                <w:szCs w:val="21"/>
              </w:rPr>
            </w:pPr>
            <w:r>
              <w:rPr>
                <w:rFonts w:hint="eastAsia" w:ascii="宋体" w:hAnsi="宋体" w:eastAsia="宋体" w:cs="宋体"/>
                <w:b/>
                <w:sz w:val="21"/>
                <w:szCs w:val="21"/>
              </w:rPr>
              <w:t>实践内容</w:t>
            </w:r>
            <w:r>
              <w:rPr>
                <w:rFonts w:hint="eastAsia" w:ascii="宋体" w:hAnsi="宋体" w:eastAsia="宋体" w:cs="宋体"/>
                <w:sz w:val="21"/>
                <w:szCs w:val="21"/>
              </w:rPr>
              <w:t>：</w:t>
            </w:r>
            <w:bookmarkStart w:id="431" w:name="OLE_LINK3"/>
            <w:r>
              <w:rPr>
                <w:rFonts w:hint="eastAsia" w:ascii="宋体" w:hAnsi="宋体" w:eastAsia="宋体" w:cs="宋体"/>
                <w:color w:val="000000"/>
                <w:sz w:val="21"/>
                <w:szCs w:val="21"/>
              </w:rPr>
              <w:t>物质和能量</w:t>
            </w:r>
            <w:bookmarkEnd w:id="431"/>
            <w:r>
              <w:rPr>
                <w:rFonts w:hint="eastAsia" w:ascii="宋体" w:hAnsi="宋体" w:eastAsia="宋体" w:cs="宋体"/>
                <w:color w:val="000000"/>
                <w:sz w:val="21"/>
                <w:szCs w:val="21"/>
              </w:rPr>
              <w:t>专题观摩一节科学课。对物质和能量内容进行</w:t>
            </w:r>
            <w:r>
              <w:rPr>
                <w:rFonts w:hint="eastAsia" w:ascii="宋体" w:hAnsi="宋体" w:eastAsia="宋体" w:cs="宋体"/>
                <w:kern w:val="0"/>
                <w:sz w:val="21"/>
                <w:szCs w:val="21"/>
              </w:rPr>
              <w:t>分析形成教学设计方案，并进行试讲和说课。</w:t>
            </w:r>
          </w:p>
          <w:p w14:paraId="1BA97894">
            <w:pPr>
              <w:spacing w:line="276" w:lineRule="auto"/>
              <w:jc w:val="left"/>
              <w:rPr>
                <w:rFonts w:hint="eastAsia" w:ascii="宋体" w:hAnsi="宋体" w:eastAsia="宋体" w:cs="宋体"/>
                <w:sz w:val="21"/>
                <w:szCs w:val="21"/>
              </w:rPr>
            </w:pPr>
            <w:r>
              <w:rPr>
                <w:rFonts w:hint="eastAsia" w:ascii="宋体" w:hAnsi="宋体" w:eastAsia="宋体" w:cs="宋体"/>
                <w:b/>
                <w:bCs/>
                <w:sz w:val="21"/>
                <w:szCs w:val="21"/>
              </w:rPr>
              <w:t>实践要求</w:t>
            </w:r>
            <w:r>
              <w:rPr>
                <w:rFonts w:hint="eastAsia" w:ascii="宋体" w:hAnsi="宋体" w:eastAsia="宋体" w:cs="宋体"/>
                <w:bCs/>
                <w:sz w:val="21"/>
                <w:szCs w:val="21"/>
              </w:rPr>
              <w:t>：小组</w:t>
            </w:r>
            <w:r>
              <w:rPr>
                <w:rFonts w:hint="eastAsia" w:ascii="宋体" w:hAnsi="宋体" w:eastAsia="宋体" w:cs="宋体"/>
                <w:color w:val="000000"/>
                <w:sz w:val="21"/>
                <w:szCs w:val="21"/>
              </w:rPr>
              <w:t>提交一篇观摩课教学记录与分析。每人提交一篇物质和能量内容的</w:t>
            </w:r>
            <w:r>
              <w:rPr>
                <w:rFonts w:hint="eastAsia" w:ascii="宋体" w:hAnsi="宋体" w:eastAsia="宋体" w:cs="宋体"/>
                <w:bCs/>
                <w:sz w:val="21"/>
                <w:szCs w:val="21"/>
              </w:rPr>
              <w:t>教学设计方案。</w:t>
            </w:r>
          </w:p>
        </w:tc>
        <w:tc>
          <w:tcPr>
            <w:tcW w:w="664" w:type="dxa"/>
            <w:vAlign w:val="center"/>
          </w:tcPr>
          <w:p w14:paraId="4F8398EF">
            <w:pPr>
              <w:spacing w:line="276" w:lineRule="auto"/>
              <w:jc w:val="center"/>
              <w:rPr>
                <w:rFonts w:hint="eastAsia" w:ascii="宋体" w:hAnsi="宋体" w:eastAsia="宋体" w:cs="宋体"/>
                <w:sz w:val="21"/>
                <w:szCs w:val="21"/>
              </w:rPr>
            </w:pPr>
            <w:r>
              <w:rPr>
                <w:rFonts w:hint="eastAsia" w:ascii="宋体" w:hAnsi="宋体" w:eastAsia="宋体" w:cs="宋体"/>
                <w:bCs/>
                <w:sz w:val="21"/>
                <w:szCs w:val="21"/>
              </w:rPr>
              <w:t>4</w:t>
            </w:r>
          </w:p>
        </w:tc>
        <w:tc>
          <w:tcPr>
            <w:tcW w:w="1351" w:type="dxa"/>
            <w:vAlign w:val="center"/>
          </w:tcPr>
          <w:p w14:paraId="2E8E1D1B">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4-1</w:t>
            </w:r>
          </w:p>
          <w:p w14:paraId="5CA47E7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4-2</w:t>
            </w:r>
          </w:p>
          <w:p w14:paraId="068EFA7F">
            <w:pPr>
              <w:jc w:val="center"/>
              <w:rPr>
                <w:rFonts w:hint="eastAsia" w:ascii="宋体" w:hAnsi="宋体" w:eastAsia="宋体" w:cs="宋体"/>
                <w:sz w:val="21"/>
                <w:szCs w:val="21"/>
              </w:rPr>
            </w:pPr>
            <w:r>
              <w:rPr>
                <w:rFonts w:hint="eastAsia" w:ascii="宋体" w:hAnsi="宋体" w:eastAsia="宋体" w:cs="宋体"/>
                <w:color w:val="000000"/>
                <w:sz w:val="21"/>
                <w:szCs w:val="21"/>
              </w:rPr>
              <w:t>6-2</w:t>
            </w:r>
          </w:p>
        </w:tc>
      </w:tr>
      <w:tr w14:paraId="060C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790" w:type="dxa"/>
            <w:vAlign w:val="center"/>
          </w:tcPr>
          <w:p w14:paraId="63A98F94">
            <w:pPr>
              <w:spacing w:line="276" w:lineRule="auto"/>
              <w:jc w:val="left"/>
              <w:rPr>
                <w:rFonts w:hint="eastAsia" w:ascii="宋体" w:hAnsi="宋体" w:eastAsia="宋体" w:cs="宋体"/>
                <w:sz w:val="21"/>
                <w:szCs w:val="21"/>
              </w:rPr>
            </w:pPr>
            <w:r>
              <w:rPr>
                <w:rFonts w:hint="eastAsia" w:ascii="宋体" w:hAnsi="宋体" w:eastAsia="宋体" w:cs="宋体"/>
                <w:color w:val="000000"/>
                <w:sz w:val="21"/>
                <w:szCs w:val="21"/>
              </w:rPr>
              <w:t>生物与进化专题案例研究（教学设计、试讲、说课等）</w:t>
            </w:r>
          </w:p>
        </w:tc>
        <w:tc>
          <w:tcPr>
            <w:tcW w:w="4714" w:type="dxa"/>
            <w:vAlign w:val="center"/>
          </w:tcPr>
          <w:p w14:paraId="636C34C1">
            <w:pPr>
              <w:rPr>
                <w:rFonts w:hint="eastAsia" w:ascii="宋体" w:hAnsi="宋体" w:eastAsia="宋体" w:cs="宋体"/>
                <w:kern w:val="0"/>
                <w:sz w:val="21"/>
                <w:szCs w:val="21"/>
              </w:rPr>
            </w:pPr>
            <w:r>
              <w:rPr>
                <w:rFonts w:hint="eastAsia" w:ascii="宋体" w:hAnsi="宋体" w:eastAsia="宋体" w:cs="宋体"/>
                <w:b/>
                <w:sz w:val="21"/>
                <w:szCs w:val="21"/>
              </w:rPr>
              <w:t>实践内容</w:t>
            </w:r>
            <w:r>
              <w:rPr>
                <w:rFonts w:hint="eastAsia" w:ascii="宋体" w:hAnsi="宋体" w:eastAsia="宋体" w:cs="宋体"/>
                <w:sz w:val="21"/>
                <w:szCs w:val="21"/>
              </w:rPr>
              <w:t>：</w:t>
            </w:r>
            <w:r>
              <w:rPr>
                <w:rFonts w:hint="eastAsia" w:ascii="宋体" w:hAnsi="宋体" w:eastAsia="宋体" w:cs="宋体"/>
                <w:color w:val="000000"/>
                <w:sz w:val="21"/>
                <w:szCs w:val="21"/>
              </w:rPr>
              <w:t>生物与进化专题观摩一节科学课。对生物与进化内容进行</w:t>
            </w:r>
            <w:r>
              <w:rPr>
                <w:rFonts w:hint="eastAsia" w:ascii="宋体" w:hAnsi="宋体" w:eastAsia="宋体" w:cs="宋体"/>
                <w:kern w:val="0"/>
                <w:sz w:val="21"/>
                <w:szCs w:val="21"/>
              </w:rPr>
              <w:t>分析形成教学设计方案，并进行试讲和说课。</w:t>
            </w:r>
          </w:p>
          <w:p w14:paraId="7AF61966">
            <w:pPr>
              <w:spacing w:line="276" w:lineRule="auto"/>
              <w:jc w:val="left"/>
              <w:rPr>
                <w:rFonts w:hint="eastAsia" w:ascii="宋体" w:hAnsi="宋体" w:eastAsia="宋体" w:cs="宋体"/>
                <w:sz w:val="21"/>
                <w:szCs w:val="21"/>
              </w:rPr>
            </w:pPr>
            <w:r>
              <w:rPr>
                <w:rFonts w:hint="eastAsia" w:ascii="宋体" w:hAnsi="宋体" w:eastAsia="宋体" w:cs="宋体"/>
                <w:b/>
                <w:bCs/>
                <w:sz w:val="21"/>
                <w:szCs w:val="21"/>
              </w:rPr>
              <w:t>实践要求：</w:t>
            </w:r>
            <w:r>
              <w:rPr>
                <w:rFonts w:hint="eastAsia" w:ascii="宋体" w:hAnsi="宋体" w:eastAsia="宋体" w:cs="宋体"/>
                <w:bCs/>
                <w:sz w:val="21"/>
                <w:szCs w:val="21"/>
              </w:rPr>
              <w:t>小组</w:t>
            </w:r>
            <w:r>
              <w:rPr>
                <w:rFonts w:hint="eastAsia" w:ascii="宋体" w:hAnsi="宋体" w:eastAsia="宋体" w:cs="宋体"/>
                <w:color w:val="000000"/>
                <w:sz w:val="21"/>
                <w:szCs w:val="21"/>
              </w:rPr>
              <w:t>提交一篇观摩课教学记录与分析。每人提交一篇物质和能量内容的</w:t>
            </w:r>
            <w:r>
              <w:rPr>
                <w:rFonts w:hint="eastAsia" w:ascii="宋体" w:hAnsi="宋体" w:eastAsia="宋体" w:cs="宋体"/>
                <w:bCs/>
                <w:sz w:val="21"/>
                <w:szCs w:val="21"/>
              </w:rPr>
              <w:t>教学设计方案。</w:t>
            </w:r>
          </w:p>
        </w:tc>
        <w:tc>
          <w:tcPr>
            <w:tcW w:w="664" w:type="dxa"/>
            <w:vAlign w:val="center"/>
          </w:tcPr>
          <w:p w14:paraId="4E3948D4">
            <w:pPr>
              <w:spacing w:line="276" w:lineRule="auto"/>
              <w:jc w:val="center"/>
              <w:rPr>
                <w:rFonts w:hint="eastAsia" w:ascii="宋体" w:hAnsi="宋体" w:eastAsia="宋体" w:cs="宋体"/>
                <w:sz w:val="21"/>
                <w:szCs w:val="21"/>
              </w:rPr>
            </w:pPr>
            <w:r>
              <w:rPr>
                <w:rFonts w:hint="eastAsia" w:ascii="宋体" w:hAnsi="宋体" w:eastAsia="宋体" w:cs="宋体"/>
                <w:bCs/>
                <w:sz w:val="21"/>
                <w:szCs w:val="21"/>
              </w:rPr>
              <w:t>4</w:t>
            </w:r>
          </w:p>
        </w:tc>
        <w:tc>
          <w:tcPr>
            <w:tcW w:w="1351" w:type="dxa"/>
            <w:vAlign w:val="center"/>
          </w:tcPr>
          <w:p w14:paraId="457C144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4-1</w:t>
            </w:r>
          </w:p>
          <w:p w14:paraId="5F50720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4-2</w:t>
            </w:r>
          </w:p>
          <w:p w14:paraId="06ABC0B7">
            <w:pPr>
              <w:jc w:val="center"/>
              <w:rPr>
                <w:rFonts w:hint="eastAsia" w:ascii="宋体" w:hAnsi="宋体" w:eastAsia="宋体" w:cs="宋体"/>
                <w:sz w:val="21"/>
                <w:szCs w:val="21"/>
              </w:rPr>
            </w:pPr>
            <w:r>
              <w:rPr>
                <w:rFonts w:hint="eastAsia" w:ascii="宋体" w:hAnsi="宋体" w:eastAsia="宋体" w:cs="宋体"/>
                <w:color w:val="000000"/>
                <w:sz w:val="21"/>
                <w:szCs w:val="21"/>
              </w:rPr>
              <w:t>6-2</w:t>
            </w:r>
          </w:p>
        </w:tc>
      </w:tr>
      <w:tr w14:paraId="4B4C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790" w:type="dxa"/>
            <w:vAlign w:val="center"/>
          </w:tcPr>
          <w:p w14:paraId="365A72CA">
            <w:pPr>
              <w:spacing w:line="276" w:lineRule="auto"/>
              <w:jc w:val="left"/>
              <w:rPr>
                <w:rFonts w:hint="eastAsia" w:ascii="宋体" w:hAnsi="宋体" w:eastAsia="宋体" w:cs="宋体"/>
                <w:sz w:val="21"/>
                <w:szCs w:val="21"/>
              </w:rPr>
            </w:pPr>
            <w:r>
              <w:rPr>
                <w:rFonts w:hint="eastAsia" w:ascii="宋体" w:hAnsi="宋体" w:eastAsia="宋体" w:cs="宋体"/>
                <w:kern w:val="0"/>
                <w:sz w:val="21"/>
                <w:szCs w:val="21"/>
              </w:rPr>
              <w:t>宇宙与地球专题案例研究（教学设计、试讲、说课等）</w:t>
            </w:r>
          </w:p>
        </w:tc>
        <w:tc>
          <w:tcPr>
            <w:tcW w:w="4714" w:type="dxa"/>
            <w:vAlign w:val="center"/>
          </w:tcPr>
          <w:p w14:paraId="2C4C89B7">
            <w:pPr>
              <w:rPr>
                <w:rFonts w:hint="eastAsia" w:ascii="宋体" w:hAnsi="宋体" w:eastAsia="宋体" w:cs="宋体"/>
                <w:kern w:val="0"/>
                <w:sz w:val="21"/>
                <w:szCs w:val="21"/>
              </w:rPr>
            </w:pPr>
            <w:r>
              <w:rPr>
                <w:rFonts w:hint="eastAsia" w:ascii="宋体" w:hAnsi="宋体" w:eastAsia="宋体" w:cs="宋体"/>
                <w:b/>
                <w:sz w:val="21"/>
                <w:szCs w:val="21"/>
              </w:rPr>
              <w:t>实践内容</w:t>
            </w:r>
            <w:r>
              <w:rPr>
                <w:rFonts w:hint="eastAsia" w:ascii="宋体" w:hAnsi="宋体" w:eastAsia="宋体" w:cs="宋体"/>
                <w:sz w:val="21"/>
                <w:szCs w:val="21"/>
              </w:rPr>
              <w:t>：</w:t>
            </w:r>
            <w:r>
              <w:rPr>
                <w:rFonts w:hint="eastAsia" w:ascii="宋体" w:hAnsi="宋体" w:eastAsia="宋体" w:cs="宋体"/>
                <w:kern w:val="0"/>
                <w:sz w:val="21"/>
                <w:szCs w:val="21"/>
              </w:rPr>
              <w:t>宇宙与地球</w:t>
            </w:r>
            <w:r>
              <w:rPr>
                <w:rFonts w:hint="eastAsia" w:ascii="宋体" w:hAnsi="宋体" w:eastAsia="宋体" w:cs="宋体"/>
                <w:color w:val="000000"/>
                <w:sz w:val="21"/>
                <w:szCs w:val="21"/>
              </w:rPr>
              <w:t>专题观摩一节科学课。对</w:t>
            </w:r>
            <w:r>
              <w:rPr>
                <w:rFonts w:hint="eastAsia" w:ascii="宋体" w:hAnsi="宋体" w:eastAsia="宋体" w:cs="宋体"/>
                <w:kern w:val="0"/>
                <w:sz w:val="21"/>
                <w:szCs w:val="21"/>
              </w:rPr>
              <w:t>宇宙与地球</w:t>
            </w:r>
            <w:r>
              <w:rPr>
                <w:rFonts w:hint="eastAsia" w:ascii="宋体" w:hAnsi="宋体" w:eastAsia="宋体" w:cs="宋体"/>
                <w:color w:val="000000"/>
                <w:sz w:val="21"/>
                <w:szCs w:val="21"/>
              </w:rPr>
              <w:t>内容进行</w:t>
            </w:r>
            <w:r>
              <w:rPr>
                <w:rFonts w:hint="eastAsia" w:ascii="宋体" w:hAnsi="宋体" w:eastAsia="宋体" w:cs="宋体"/>
                <w:kern w:val="0"/>
                <w:sz w:val="21"/>
                <w:szCs w:val="21"/>
              </w:rPr>
              <w:t>分析形成教学设计方案，并进行试讲、评课。</w:t>
            </w:r>
          </w:p>
          <w:p w14:paraId="46F28540">
            <w:pPr>
              <w:spacing w:line="276" w:lineRule="auto"/>
              <w:jc w:val="left"/>
              <w:rPr>
                <w:rFonts w:hint="eastAsia" w:ascii="宋体" w:hAnsi="宋体" w:eastAsia="宋体" w:cs="宋体"/>
                <w:sz w:val="21"/>
                <w:szCs w:val="21"/>
              </w:rPr>
            </w:pPr>
            <w:r>
              <w:rPr>
                <w:rFonts w:hint="eastAsia" w:ascii="宋体" w:hAnsi="宋体" w:eastAsia="宋体" w:cs="宋体"/>
                <w:b/>
                <w:bCs/>
                <w:sz w:val="21"/>
                <w:szCs w:val="21"/>
              </w:rPr>
              <w:t>实践要求</w:t>
            </w:r>
            <w:r>
              <w:rPr>
                <w:rFonts w:hint="eastAsia" w:ascii="宋体" w:hAnsi="宋体" w:eastAsia="宋体" w:cs="宋体"/>
                <w:bCs/>
                <w:sz w:val="21"/>
                <w:szCs w:val="21"/>
              </w:rPr>
              <w:t>：</w:t>
            </w:r>
            <w:r>
              <w:rPr>
                <w:rFonts w:hint="eastAsia" w:ascii="宋体" w:hAnsi="宋体" w:eastAsia="宋体" w:cs="宋体"/>
                <w:color w:val="000000"/>
                <w:sz w:val="21"/>
                <w:szCs w:val="21"/>
              </w:rPr>
              <w:t>每人提交一篇物质和能量内容的</w:t>
            </w:r>
            <w:r>
              <w:rPr>
                <w:rFonts w:hint="eastAsia" w:ascii="宋体" w:hAnsi="宋体" w:eastAsia="宋体" w:cs="宋体"/>
                <w:bCs/>
                <w:sz w:val="21"/>
                <w:szCs w:val="21"/>
              </w:rPr>
              <w:t>教学设计方案。小组提交</w:t>
            </w:r>
            <w:r>
              <w:rPr>
                <w:rFonts w:hint="eastAsia" w:ascii="宋体" w:hAnsi="宋体" w:eastAsia="宋体" w:cs="宋体"/>
                <w:color w:val="000000"/>
                <w:sz w:val="21"/>
                <w:szCs w:val="21"/>
              </w:rPr>
              <w:t>一篇评课记录。</w:t>
            </w:r>
          </w:p>
        </w:tc>
        <w:tc>
          <w:tcPr>
            <w:tcW w:w="664" w:type="dxa"/>
            <w:vAlign w:val="center"/>
          </w:tcPr>
          <w:p w14:paraId="60EEC83B">
            <w:pPr>
              <w:spacing w:line="276" w:lineRule="auto"/>
              <w:jc w:val="center"/>
              <w:rPr>
                <w:rFonts w:hint="eastAsia" w:ascii="宋体" w:hAnsi="宋体" w:eastAsia="宋体" w:cs="宋体"/>
                <w:sz w:val="21"/>
                <w:szCs w:val="21"/>
              </w:rPr>
            </w:pPr>
            <w:r>
              <w:rPr>
                <w:rFonts w:hint="eastAsia" w:ascii="宋体" w:hAnsi="宋体" w:eastAsia="宋体" w:cs="宋体"/>
                <w:bCs/>
                <w:sz w:val="21"/>
                <w:szCs w:val="21"/>
              </w:rPr>
              <w:t>4</w:t>
            </w:r>
          </w:p>
        </w:tc>
        <w:tc>
          <w:tcPr>
            <w:tcW w:w="1351" w:type="dxa"/>
            <w:vAlign w:val="center"/>
          </w:tcPr>
          <w:p w14:paraId="64B11439">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4-1</w:t>
            </w:r>
          </w:p>
          <w:p w14:paraId="24F1BE7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4-2</w:t>
            </w:r>
          </w:p>
          <w:p w14:paraId="4384736C">
            <w:pPr>
              <w:jc w:val="center"/>
              <w:rPr>
                <w:rFonts w:hint="eastAsia" w:ascii="宋体" w:hAnsi="宋体" w:eastAsia="宋体" w:cs="宋体"/>
                <w:sz w:val="21"/>
                <w:szCs w:val="21"/>
              </w:rPr>
            </w:pPr>
            <w:r>
              <w:rPr>
                <w:rFonts w:hint="eastAsia" w:ascii="宋体" w:hAnsi="宋体" w:eastAsia="宋体" w:cs="宋体"/>
                <w:color w:val="000000"/>
                <w:sz w:val="21"/>
                <w:szCs w:val="21"/>
              </w:rPr>
              <w:t>6-2</w:t>
            </w:r>
          </w:p>
        </w:tc>
      </w:tr>
      <w:tr w14:paraId="40F0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790" w:type="dxa"/>
            <w:vAlign w:val="center"/>
          </w:tcPr>
          <w:p w14:paraId="5DDFAEAD">
            <w:pPr>
              <w:spacing w:line="276" w:lineRule="auto"/>
              <w:jc w:val="left"/>
              <w:rPr>
                <w:rFonts w:hint="eastAsia" w:ascii="宋体" w:hAnsi="宋体" w:eastAsia="宋体" w:cs="宋体"/>
                <w:sz w:val="21"/>
                <w:szCs w:val="21"/>
              </w:rPr>
            </w:pPr>
            <w:r>
              <w:rPr>
                <w:rFonts w:hint="eastAsia" w:ascii="宋体" w:hAnsi="宋体" w:eastAsia="宋体" w:cs="宋体"/>
                <w:color w:val="000000"/>
                <w:sz w:val="21"/>
                <w:szCs w:val="21"/>
              </w:rPr>
              <w:t>技术、工程与社会专题案例研究（教学设计、试讲、说课等）</w:t>
            </w:r>
          </w:p>
        </w:tc>
        <w:tc>
          <w:tcPr>
            <w:tcW w:w="4714" w:type="dxa"/>
            <w:vAlign w:val="center"/>
          </w:tcPr>
          <w:p w14:paraId="43C2E429">
            <w:pPr>
              <w:rPr>
                <w:rFonts w:hint="eastAsia" w:ascii="宋体" w:hAnsi="宋体" w:eastAsia="宋体" w:cs="宋体"/>
                <w:kern w:val="0"/>
                <w:sz w:val="21"/>
                <w:szCs w:val="21"/>
              </w:rPr>
            </w:pPr>
            <w:r>
              <w:rPr>
                <w:rFonts w:hint="eastAsia" w:ascii="宋体" w:hAnsi="宋体" w:eastAsia="宋体" w:cs="宋体"/>
                <w:b/>
                <w:sz w:val="21"/>
                <w:szCs w:val="21"/>
              </w:rPr>
              <w:t>实践内容</w:t>
            </w:r>
            <w:r>
              <w:rPr>
                <w:rFonts w:hint="eastAsia" w:ascii="宋体" w:hAnsi="宋体" w:eastAsia="宋体" w:cs="宋体"/>
                <w:sz w:val="21"/>
                <w:szCs w:val="21"/>
              </w:rPr>
              <w:t>：</w:t>
            </w:r>
            <w:r>
              <w:rPr>
                <w:rFonts w:hint="eastAsia" w:ascii="宋体" w:hAnsi="宋体" w:eastAsia="宋体" w:cs="宋体"/>
                <w:color w:val="000000"/>
                <w:sz w:val="21"/>
                <w:szCs w:val="21"/>
              </w:rPr>
              <w:t>技术、工程与社会专题观摩一节科学课。对技术、工程与社会内容进行</w:t>
            </w:r>
            <w:r>
              <w:rPr>
                <w:rFonts w:hint="eastAsia" w:ascii="宋体" w:hAnsi="宋体" w:eastAsia="宋体" w:cs="宋体"/>
                <w:kern w:val="0"/>
                <w:sz w:val="21"/>
                <w:szCs w:val="21"/>
              </w:rPr>
              <w:t>分析形成教学设计方案，并进行试讲和评课。</w:t>
            </w:r>
          </w:p>
          <w:p w14:paraId="693D00BB">
            <w:pPr>
              <w:spacing w:line="276" w:lineRule="auto"/>
              <w:jc w:val="left"/>
              <w:rPr>
                <w:rFonts w:hint="eastAsia" w:ascii="宋体" w:hAnsi="宋体" w:eastAsia="宋体" w:cs="宋体"/>
                <w:sz w:val="21"/>
                <w:szCs w:val="21"/>
              </w:rPr>
            </w:pPr>
            <w:r>
              <w:rPr>
                <w:rFonts w:hint="eastAsia" w:ascii="宋体" w:hAnsi="宋体" w:eastAsia="宋体" w:cs="宋体"/>
                <w:b/>
                <w:bCs/>
                <w:sz w:val="21"/>
                <w:szCs w:val="21"/>
              </w:rPr>
              <w:t>实践要求：</w:t>
            </w:r>
            <w:r>
              <w:rPr>
                <w:rFonts w:hint="eastAsia" w:ascii="宋体" w:hAnsi="宋体" w:eastAsia="宋体" w:cs="宋体"/>
                <w:color w:val="000000"/>
                <w:sz w:val="21"/>
                <w:szCs w:val="21"/>
              </w:rPr>
              <w:t>每人提交一篇物质和能量内容的</w:t>
            </w:r>
            <w:r>
              <w:rPr>
                <w:rFonts w:hint="eastAsia" w:ascii="宋体" w:hAnsi="宋体" w:eastAsia="宋体" w:cs="宋体"/>
                <w:bCs/>
                <w:sz w:val="21"/>
                <w:szCs w:val="21"/>
              </w:rPr>
              <w:t>教学设计方案。小组提交</w:t>
            </w:r>
            <w:r>
              <w:rPr>
                <w:rFonts w:hint="eastAsia" w:ascii="宋体" w:hAnsi="宋体" w:eastAsia="宋体" w:cs="宋体"/>
                <w:color w:val="000000"/>
                <w:sz w:val="21"/>
                <w:szCs w:val="21"/>
              </w:rPr>
              <w:t>一篇评课记录。</w:t>
            </w:r>
          </w:p>
        </w:tc>
        <w:tc>
          <w:tcPr>
            <w:tcW w:w="664" w:type="dxa"/>
            <w:vAlign w:val="center"/>
          </w:tcPr>
          <w:p w14:paraId="6451F6A0">
            <w:pPr>
              <w:spacing w:line="276" w:lineRule="auto"/>
              <w:jc w:val="center"/>
              <w:rPr>
                <w:rFonts w:hint="eastAsia" w:ascii="宋体" w:hAnsi="宋体" w:eastAsia="宋体" w:cs="宋体"/>
                <w:sz w:val="21"/>
                <w:szCs w:val="21"/>
              </w:rPr>
            </w:pPr>
            <w:r>
              <w:rPr>
                <w:rFonts w:hint="eastAsia" w:ascii="宋体" w:hAnsi="宋体" w:eastAsia="宋体" w:cs="宋体"/>
                <w:bCs/>
                <w:sz w:val="21"/>
                <w:szCs w:val="21"/>
              </w:rPr>
              <w:t>4</w:t>
            </w:r>
          </w:p>
        </w:tc>
        <w:tc>
          <w:tcPr>
            <w:tcW w:w="1351" w:type="dxa"/>
            <w:vAlign w:val="center"/>
          </w:tcPr>
          <w:p w14:paraId="69A3F0C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4-1</w:t>
            </w:r>
          </w:p>
          <w:p w14:paraId="4361CEDA">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4-2</w:t>
            </w:r>
          </w:p>
          <w:p w14:paraId="376F3928">
            <w:pPr>
              <w:jc w:val="center"/>
              <w:rPr>
                <w:rFonts w:hint="eastAsia" w:ascii="宋体" w:hAnsi="宋体" w:eastAsia="宋体" w:cs="宋体"/>
                <w:sz w:val="21"/>
                <w:szCs w:val="21"/>
              </w:rPr>
            </w:pPr>
            <w:r>
              <w:rPr>
                <w:rFonts w:hint="eastAsia" w:ascii="宋体" w:hAnsi="宋体" w:eastAsia="宋体" w:cs="宋体"/>
                <w:color w:val="000000"/>
                <w:sz w:val="21"/>
                <w:szCs w:val="21"/>
              </w:rPr>
              <w:t>6-2</w:t>
            </w:r>
          </w:p>
        </w:tc>
      </w:tr>
    </w:tbl>
    <w:p w14:paraId="499540E4">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宋体"/>
          <w:b/>
          <w:sz w:val="24"/>
          <w:szCs w:val="24"/>
        </w:rPr>
      </w:pPr>
      <w:r>
        <w:rPr>
          <w:rFonts w:hint="eastAsia" w:ascii="宋体" w:hAnsi="宋体" w:eastAsia="宋体" w:cs="宋体"/>
          <w:b/>
          <w:sz w:val="24"/>
          <w:szCs w:val="24"/>
        </w:rPr>
        <w:t>六、有关说明</w:t>
      </w:r>
    </w:p>
    <w:p w14:paraId="7DE73DC5">
      <w:pPr>
        <w:keepNext w:val="0"/>
        <w:keepLines w:val="0"/>
        <w:pageBreakBefore w:val="0"/>
        <w:kinsoku/>
        <w:wordWrap/>
        <w:overflowPunct/>
        <w:topLinePunct w:val="0"/>
        <w:autoSpaceDE/>
        <w:autoSpaceDN/>
        <w:bidi w:val="0"/>
        <w:spacing w:line="360" w:lineRule="auto"/>
        <w:ind w:firstLine="422" w:firstLineChars="200"/>
        <w:jc w:val="left"/>
        <w:textAlignment w:val="auto"/>
        <w:rPr>
          <w:rFonts w:hint="eastAsia" w:ascii="宋体" w:hAnsi="宋体" w:eastAsia="宋体" w:cs="宋体"/>
          <w:b/>
          <w:sz w:val="21"/>
          <w:szCs w:val="21"/>
        </w:rPr>
      </w:pPr>
      <w:r>
        <w:rPr>
          <w:rFonts w:hint="eastAsia" w:ascii="宋体" w:hAnsi="宋体" w:eastAsia="宋体" w:cs="宋体"/>
          <w:b/>
          <w:sz w:val="21"/>
          <w:szCs w:val="21"/>
        </w:rPr>
        <w:t>（一）持续改进</w:t>
      </w:r>
    </w:p>
    <w:p w14:paraId="5F62A858">
      <w:pPr>
        <w:keepNext w:val="0"/>
        <w:keepLines w:val="0"/>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sz w:val="21"/>
          <w:szCs w:val="21"/>
        </w:rPr>
      </w:pPr>
      <w:r>
        <w:rPr>
          <w:rFonts w:hint="eastAsia" w:ascii="宋体" w:hAnsi="宋体" w:eastAsia="宋体" w:cs="宋体"/>
          <w:sz w:val="21"/>
          <w:szCs w:val="21"/>
        </w:rPr>
        <w:t>本课程根据学生作业、课堂讨论、实践环节、平时考核情况和学生、教学督导等的反馈，及时对教学中的不足之处进行改进，并在下一轮课程教学中整改完善，确保相应毕业要求指标点达成。</w:t>
      </w:r>
    </w:p>
    <w:p w14:paraId="66E11806">
      <w:pPr>
        <w:keepNext w:val="0"/>
        <w:keepLines w:val="0"/>
        <w:pageBreakBefore w:val="0"/>
        <w:kinsoku/>
        <w:wordWrap/>
        <w:overflowPunct/>
        <w:topLinePunct w:val="0"/>
        <w:autoSpaceDE/>
        <w:autoSpaceDN/>
        <w:bidi w:val="0"/>
        <w:spacing w:line="360" w:lineRule="auto"/>
        <w:ind w:firstLine="422" w:firstLineChars="200"/>
        <w:jc w:val="left"/>
        <w:textAlignment w:val="auto"/>
        <w:rPr>
          <w:rFonts w:hint="eastAsia" w:ascii="宋体" w:hAnsi="宋体" w:eastAsia="宋体" w:cs="宋体"/>
          <w:b/>
          <w:sz w:val="21"/>
          <w:szCs w:val="21"/>
        </w:rPr>
      </w:pPr>
      <w:r>
        <w:rPr>
          <w:rFonts w:hint="eastAsia" w:ascii="宋体" w:hAnsi="宋体" w:eastAsia="宋体" w:cs="宋体"/>
          <w:b/>
          <w:sz w:val="21"/>
          <w:szCs w:val="21"/>
        </w:rPr>
        <w:t>（二）建议教材</w:t>
      </w:r>
    </w:p>
    <w:p w14:paraId="64639923">
      <w:pPr>
        <w:pStyle w:val="14"/>
        <w:keepNext w:val="0"/>
        <w:keepLines w:val="0"/>
        <w:pageBreakBefore w:val="0"/>
        <w:kinsoku/>
        <w:wordWrap/>
        <w:overflowPunct/>
        <w:topLinePunct w:val="0"/>
        <w:autoSpaceDE/>
        <w:autoSpaceDN/>
        <w:bidi w:val="0"/>
        <w:spacing w:before="0" w:beforeAutospacing="0" w:after="0" w:afterAutospacing="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潘洪建，王天锋等 编. 小学科学课程与教学论. 江苏：江苏大学出版社, 2022.</w:t>
      </w:r>
    </w:p>
    <w:p w14:paraId="5BF6B053">
      <w:pPr>
        <w:keepNext w:val="0"/>
        <w:keepLines w:val="0"/>
        <w:pageBreakBefore w:val="0"/>
        <w:kinsoku/>
        <w:wordWrap/>
        <w:overflowPunct/>
        <w:topLinePunct w:val="0"/>
        <w:autoSpaceDE/>
        <w:autoSpaceDN/>
        <w:bidi w:val="0"/>
        <w:spacing w:line="360" w:lineRule="auto"/>
        <w:ind w:firstLine="422" w:firstLineChars="200"/>
        <w:jc w:val="left"/>
        <w:textAlignment w:val="auto"/>
        <w:rPr>
          <w:rFonts w:hint="eastAsia" w:ascii="宋体" w:hAnsi="宋体" w:eastAsia="宋体" w:cs="宋体"/>
          <w:b/>
          <w:sz w:val="21"/>
          <w:szCs w:val="21"/>
        </w:rPr>
      </w:pPr>
      <w:r>
        <w:rPr>
          <w:rFonts w:hint="eastAsia" w:ascii="宋体" w:hAnsi="宋体" w:eastAsia="宋体" w:cs="宋体"/>
          <w:b/>
          <w:sz w:val="21"/>
          <w:szCs w:val="21"/>
        </w:rPr>
        <w:t>（三）参考书目</w:t>
      </w:r>
    </w:p>
    <w:p w14:paraId="0B80620C">
      <w:pPr>
        <w:pStyle w:val="14"/>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柏毅 编. 全国小学科学优秀教学设计案例. 北京：电子工业出版社, 2021.</w:t>
      </w:r>
    </w:p>
    <w:p w14:paraId="4C942A6C">
      <w:pPr>
        <w:pStyle w:val="14"/>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中华人民共和国教育部. 义务教育科学课程标准2022版. 北京：北京师范大学出版社, 2022.</w:t>
      </w:r>
    </w:p>
    <w:p w14:paraId="6B2C4095">
      <w:pPr>
        <w:pStyle w:val="14"/>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 胡卫平，刘守印 编. 义务教育科学课程标准（2022年版）解读. 北京：高等教育出版社, 2022.</w:t>
      </w:r>
    </w:p>
    <w:p w14:paraId="1BB67BAF">
      <w:pPr>
        <w:pStyle w:val="14"/>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 张平柯，范增. 小学科学教师成长指导与实践案例. 武汉：武汉大学出版社, 2018.</w:t>
      </w:r>
    </w:p>
    <w:p w14:paraId="744A2161">
      <w:pPr>
        <w:rPr>
          <w:rFonts w:hint="eastAsia" w:ascii="宋体" w:hAnsi="宋体" w:eastAsia="宋体" w:cs="宋体"/>
          <w:sz w:val="21"/>
          <w:szCs w:val="21"/>
        </w:rPr>
      </w:pPr>
    </w:p>
    <w:p w14:paraId="082D9A9B">
      <w:pPr>
        <w:keepNext w:val="0"/>
        <w:keepLines w:val="0"/>
        <w:pageBreakBefore w:val="0"/>
        <w:widowControl w:val="0"/>
        <w:kinsoku/>
        <w:wordWrap/>
        <w:overflowPunct/>
        <w:topLinePunct w:val="0"/>
        <w:autoSpaceDE/>
        <w:autoSpaceDN/>
        <w:bidi w:val="0"/>
        <w:adjustRightInd/>
        <w:snapToGrid/>
        <w:spacing w:line="360" w:lineRule="auto"/>
        <w:ind w:firstLine="5250" w:firstLineChars="2500"/>
        <w:jc w:val="left"/>
        <w:textAlignment w:val="auto"/>
        <w:rPr>
          <w:rFonts w:hint="eastAsia" w:ascii="宋体" w:hAnsi="宋体" w:eastAsia="宋体" w:cs="宋体"/>
          <w:sz w:val="21"/>
          <w:szCs w:val="21"/>
        </w:rPr>
      </w:pPr>
      <w:r>
        <w:rPr>
          <w:rFonts w:hint="eastAsia" w:ascii="宋体" w:hAnsi="宋体" w:eastAsia="宋体" w:cs="宋体"/>
          <w:sz w:val="21"/>
          <w:szCs w:val="21"/>
        </w:rPr>
        <w:t>执 笔 人： 金玉宏</w:t>
      </w:r>
    </w:p>
    <w:p w14:paraId="5890D72B">
      <w:pPr>
        <w:keepNext w:val="0"/>
        <w:keepLines w:val="0"/>
        <w:pageBreakBefore w:val="0"/>
        <w:widowControl w:val="0"/>
        <w:kinsoku/>
        <w:wordWrap/>
        <w:overflowPunct/>
        <w:topLinePunct w:val="0"/>
        <w:autoSpaceDE/>
        <w:autoSpaceDN/>
        <w:bidi w:val="0"/>
        <w:adjustRightInd/>
        <w:snapToGrid/>
        <w:spacing w:line="360" w:lineRule="auto"/>
        <w:ind w:firstLine="5250" w:firstLineChars="2500"/>
        <w:jc w:val="left"/>
        <w:textAlignment w:val="auto"/>
        <w:rPr>
          <w:rFonts w:hint="eastAsia" w:ascii="宋体" w:hAnsi="宋体" w:eastAsia="宋体" w:cs="宋体"/>
          <w:sz w:val="21"/>
          <w:szCs w:val="21"/>
        </w:rPr>
      </w:pPr>
      <w:r>
        <w:rPr>
          <w:rFonts w:hint="eastAsia" w:ascii="宋体" w:hAnsi="宋体" w:eastAsia="宋体" w:cs="宋体"/>
          <w:sz w:val="21"/>
          <w:szCs w:val="21"/>
        </w:rPr>
        <w:t>审 定 人： 王</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健</w:t>
      </w:r>
    </w:p>
    <w:p w14:paraId="479B6290">
      <w:pPr>
        <w:keepNext w:val="0"/>
        <w:keepLines w:val="0"/>
        <w:pageBreakBefore w:val="0"/>
        <w:widowControl w:val="0"/>
        <w:kinsoku/>
        <w:wordWrap/>
        <w:overflowPunct/>
        <w:topLinePunct w:val="0"/>
        <w:autoSpaceDE/>
        <w:autoSpaceDN/>
        <w:bidi w:val="0"/>
        <w:adjustRightInd/>
        <w:snapToGrid/>
        <w:spacing w:line="360" w:lineRule="auto"/>
        <w:ind w:firstLine="5250" w:firstLineChars="2500"/>
        <w:jc w:val="left"/>
        <w:textAlignment w:val="auto"/>
        <w:rPr>
          <w:rFonts w:hint="eastAsia" w:ascii="宋体" w:hAnsi="宋体" w:eastAsia="宋体" w:cs="宋体"/>
          <w:sz w:val="21"/>
          <w:szCs w:val="21"/>
        </w:rPr>
      </w:pPr>
      <w:r>
        <w:rPr>
          <w:rFonts w:hint="eastAsia" w:ascii="宋体" w:hAnsi="宋体" w:eastAsia="宋体" w:cs="宋体"/>
          <w:sz w:val="21"/>
          <w:szCs w:val="21"/>
        </w:rPr>
        <w:t>审 批 人： 张志欣</w:t>
      </w:r>
    </w:p>
    <w:p w14:paraId="2F211544">
      <w:pPr>
        <w:keepNext w:val="0"/>
        <w:keepLines w:val="0"/>
        <w:pageBreakBefore w:val="0"/>
        <w:widowControl w:val="0"/>
        <w:kinsoku/>
        <w:wordWrap/>
        <w:overflowPunct/>
        <w:topLinePunct w:val="0"/>
        <w:autoSpaceDE/>
        <w:autoSpaceDN/>
        <w:bidi w:val="0"/>
        <w:adjustRightInd/>
        <w:snapToGrid/>
        <w:spacing w:line="360" w:lineRule="auto"/>
        <w:ind w:firstLine="5250" w:firstLineChars="25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批准时间：2025年7月1日</w:t>
      </w:r>
    </w:p>
    <w:p w14:paraId="6F37BC5A">
      <w:pPr>
        <w:rPr>
          <w:rFonts w:hint="eastAsia" w:ascii="等线" w:hAnsi="等线" w:eastAsia="等线" w:cs="等线"/>
          <w:b/>
          <w:bCs/>
          <w:color w:val="auto"/>
          <w:sz w:val="36"/>
          <w:szCs w:val="36"/>
        </w:rPr>
      </w:pPr>
      <w:r>
        <w:rPr>
          <w:rFonts w:hint="eastAsia" w:ascii="等线" w:hAnsi="等线" w:eastAsia="等线" w:cs="等线"/>
          <w:b/>
          <w:bCs/>
          <w:color w:val="auto"/>
          <w:sz w:val="36"/>
          <w:szCs w:val="36"/>
        </w:rPr>
        <w:br w:type="page"/>
      </w:r>
    </w:p>
    <w:p w14:paraId="4841CAB2">
      <w:pPr>
        <w:spacing w:line="360" w:lineRule="auto"/>
        <w:jc w:val="center"/>
        <w:outlineLvl w:val="0"/>
        <w:rPr>
          <w:rFonts w:hint="eastAsia" w:ascii="Times New Roman" w:hAnsi="Times New Roman" w:eastAsia="宋体" w:cs="Times New Roman"/>
          <w:b/>
          <w:sz w:val="44"/>
          <w:szCs w:val="44"/>
        </w:rPr>
      </w:pPr>
      <w:bookmarkStart w:id="432" w:name="_Toc166165222"/>
      <w:bookmarkStart w:id="433" w:name="_Toc9113"/>
      <w:bookmarkStart w:id="434" w:name="_Toc18245"/>
      <w:bookmarkStart w:id="435" w:name="_Toc1503"/>
      <w:r>
        <w:rPr>
          <w:rFonts w:hint="eastAsia" w:ascii="Times New Roman" w:hAnsi="Times New Roman" w:eastAsia="宋体" w:cs="Times New Roman"/>
          <w:b/>
          <w:sz w:val="44"/>
          <w:szCs w:val="44"/>
        </w:rPr>
        <w:t>《数学建模课程》教学大纲</w:t>
      </w:r>
      <w:bookmarkEnd w:id="432"/>
      <w:bookmarkEnd w:id="433"/>
    </w:p>
    <w:p w14:paraId="1F09EE33">
      <w:pPr>
        <w:spacing w:line="312" w:lineRule="auto"/>
        <w:jc w:val="center"/>
        <w:rPr>
          <w:rFonts w:ascii="Times New Roman" w:hAnsi="Times New Roman" w:eastAsia="宋体" w:cs="Times New Roman"/>
          <w:b/>
          <w:bCs/>
          <w:color w:val="auto"/>
          <w:sz w:val="30"/>
        </w:rPr>
      </w:pPr>
      <w:r>
        <w:rPr>
          <w:rFonts w:ascii="Times New Roman" w:hAnsi="Times New Roman" w:eastAsia="宋体" w:cs="Times New Roman"/>
          <w:b/>
          <w:bCs/>
          <w:color w:val="auto"/>
          <w:sz w:val="30"/>
        </w:rPr>
        <w:t>（Mathematical Modeling）</w:t>
      </w:r>
    </w:p>
    <w:p w14:paraId="5B03E4B4">
      <w:pPr>
        <w:spacing w:line="360" w:lineRule="auto"/>
        <w:jc w:val="center"/>
        <w:rPr>
          <w:rFonts w:ascii="Times New Roman" w:hAnsi="Times New Roman" w:eastAsia="宋体" w:cs="Times New Roman"/>
          <w:bCs/>
          <w:color w:val="auto"/>
          <w:sz w:val="22"/>
          <w:szCs w:val="22"/>
        </w:rPr>
      </w:pPr>
    </w:p>
    <w:p w14:paraId="3F69C6DA">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课程名称：数学建模课程</w:t>
      </w:r>
    </w:p>
    <w:p w14:paraId="57FE5D87">
      <w:pPr>
        <w:spacing w:line="360" w:lineRule="auto"/>
        <w:ind w:firstLine="482" w:firstLineChars="200"/>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w:t>
      </w:r>
      <w:r>
        <w:rPr>
          <w:rFonts w:ascii="Times New Roman" w:hAnsi="Times New Roman" w:eastAsia="宋体" w:cs="Times New Roman"/>
          <w:color w:val="auto"/>
          <w:sz w:val="24"/>
        </w:rPr>
        <w:t>0821019</w:t>
      </w:r>
    </w:p>
    <w:p w14:paraId="5456F70F">
      <w:pPr>
        <w:spacing w:line="360" w:lineRule="auto"/>
        <w:ind w:firstLine="482" w:firstLineChars="200"/>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w:t>
      </w:r>
      <w:r>
        <w:rPr>
          <w:rFonts w:ascii="Times New Roman" w:hAnsi="Times New Roman" w:eastAsia="宋体" w:cs="Times New Roman"/>
          <w:color w:val="auto"/>
          <w:kern w:val="0"/>
          <w:sz w:val="24"/>
        </w:rPr>
        <w:t>3</w:t>
      </w:r>
    </w:p>
    <w:p w14:paraId="2750CD52">
      <w:pPr>
        <w:spacing w:line="360" w:lineRule="auto"/>
        <w:ind w:firstLine="482" w:firstLineChars="200"/>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w:t>
      </w:r>
      <w:r>
        <w:rPr>
          <w:rFonts w:ascii="Times New Roman" w:hAnsi="Times New Roman" w:eastAsia="宋体" w:cs="Times New Roman"/>
          <w:color w:val="auto"/>
          <w:kern w:val="0"/>
          <w:sz w:val="24"/>
        </w:rPr>
        <w:t>48（其中：讲授学时32  ， 实验学时16  ，上机学时0）</w:t>
      </w:r>
    </w:p>
    <w:p w14:paraId="61E19895">
      <w:pPr>
        <w:spacing w:line="360" w:lineRule="auto"/>
        <w:ind w:firstLine="482" w:firstLineChars="200"/>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w:t>
      </w:r>
      <w:r>
        <w:rPr>
          <w:rFonts w:ascii="Times New Roman" w:hAnsi="Times New Roman" w:eastAsia="宋体" w:cs="Times New Roman"/>
          <w:color w:val="auto"/>
          <w:sz w:val="24"/>
        </w:rPr>
        <w:t>数学分析、高等代数、概率与统计</w:t>
      </w:r>
    </w:p>
    <w:p w14:paraId="26A76525">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w:t>
      </w:r>
      <w:r>
        <w:rPr>
          <w:rFonts w:ascii="Times New Roman" w:hAnsi="Times New Roman" w:eastAsia="宋体" w:cs="Times New Roman"/>
          <w:color w:val="auto"/>
          <w:kern w:val="0"/>
          <w:sz w:val="24"/>
        </w:rPr>
        <w:t>小学教育（理）专业</w:t>
      </w:r>
    </w:p>
    <w:p w14:paraId="748D27C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一、课程简介</w:t>
      </w:r>
    </w:p>
    <w:p w14:paraId="663C875C">
      <w:pPr>
        <w:autoSpaceDE w:val="0"/>
        <w:autoSpaceDN w:val="0"/>
        <w:adjustRightInd w:val="0"/>
        <w:spacing w:line="360" w:lineRule="auto"/>
        <w:ind w:firstLine="420" w:firstLineChars="200"/>
        <w:jc w:val="left"/>
        <w:rPr>
          <w:rFonts w:ascii="Times New Roman" w:hAnsi="Times New Roman" w:eastAsia="宋体" w:cs="Times New Roman"/>
          <w:color w:val="auto"/>
          <w:sz w:val="21"/>
          <w:szCs w:val="21"/>
        </w:rPr>
      </w:pPr>
      <w:r>
        <w:rPr>
          <w:rFonts w:ascii="Times New Roman" w:hAnsi="Times New Roman" w:eastAsia="宋体" w:cs="Times New Roman"/>
          <w:color w:val="auto"/>
          <w:kern w:val="0"/>
          <w:sz w:val="21"/>
          <w:szCs w:val="21"/>
        </w:rPr>
        <w:t>本课程是小学教育（理）专业的一门</w:t>
      </w:r>
      <w:r>
        <w:rPr>
          <w:rFonts w:ascii="Times New Roman" w:hAnsi="Times New Roman" w:eastAsia="宋体" w:cs="Times New Roman"/>
          <w:color w:val="auto"/>
          <w:sz w:val="21"/>
          <w:szCs w:val="21"/>
        </w:rPr>
        <w:t>重要</w:t>
      </w:r>
      <w:r>
        <w:rPr>
          <w:rFonts w:hint="eastAsia" w:ascii="Times New Roman" w:hAnsi="Times New Roman" w:eastAsia="宋体" w:cs="Times New Roman"/>
          <w:color w:val="auto"/>
          <w:sz w:val="21"/>
          <w:szCs w:val="21"/>
        </w:rPr>
        <w:t>选修</w:t>
      </w:r>
      <w:r>
        <w:rPr>
          <w:rFonts w:ascii="Times New Roman" w:hAnsi="Times New Roman" w:eastAsia="宋体" w:cs="Times New Roman"/>
          <w:color w:val="auto"/>
          <w:sz w:val="21"/>
          <w:szCs w:val="21"/>
        </w:rPr>
        <w:t>课。</w:t>
      </w:r>
      <w:r>
        <w:rPr>
          <w:rFonts w:ascii="Times New Roman" w:hAnsi="Times New Roman" w:eastAsia="宋体" w:cs="Times New Roman"/>
          <w:color w:val="auto"/>
          <w:kern w:val="0"/>
          <w:sz w:val="21"/>
          <w:szCs w:val="21"/>
        </w:rPr>
        <w:t>通过本课程的学习，使学生系统地获得</w:t>
      </w:r>
      <w:r>
        <w:rPr>
          <w:rFonts w:ascii="Times New Roman" w:hAnsi="Times New Roman" w:eastAsia="宋体" w:cs="Times New Roman"/>
          <w:color w:val="auto"/>
          <w:sz w:val="21"/>
          <w:szCs w:val="21"/>
        </w:rPr>
        <w:t>数学建模</w:t>
      </w:r>
      <w:r>
        <w:rPr>
          <w:rFonts w:ascii="Times New Roman" w:hAnsi="Times New Roman" w:eastAsia="宋体" w:cs="Times New Roman"/>
          <w:color w:val="auto"/>
          <w:kern w:val="0"/>
          <w:sz w:val="21"/>
          <w:szCs w:val="21"/>
        </w:rPr>
        <w:t>的基本知识、必要的基础理论和常用的运算方法；提高学生的运算能力、数学思维能力、逻辑推理能力；并能运用数学知识、理论、方法解决相关的实际应用问题；提高学生的数学素养，为学生学习后续相关课程及终身学习奠定必要的数学基础。</w:t>
      </w:r>
    </w:p>
    <w:p w14:paraId="1BF24F4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二、课程目标</w:t>
      </w:r>
    </w:p>
    <w:p w14:paraId="39D8461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3904A389">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目标1. 能够获得课程基本概念与性质。</w:t>
      </w:r>
    </w:p>
    <w:p w14:paraId="0202A2CE">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目标2. 能够掌握本课程要求的计算方法。</w:t>
      </w:r>
    </w:p>
    <w:p w14:paraId="3A2C58C2">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目标3. 能够具有一定的抽象概括、逻辑推理等能力。</w:t>
      </w:r>
    </w:p>
    <w:p w14:paraId="5255CC7D">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目标4. 能够具有一定的运算能力。</w:t>
      </w:r>
    </w:p>
    <w:p w14:paraId="4092C93A">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eastAsia" w:ascii="宋体" w:hAnsi="宋体" w:eastAsia="宋体" w:cs="Times New Roman"/>
          <w:b/>
          <w:color w:val="auto"/>
          <w:szCs w:val="21"/>
        </w:rPr>
      </w:pPr>
      <w:r>
        <w:rPr>
          <w:rFonts w:ascii="Times New Roman" w:hAnsi="Times New Roman" w:eastAsia="宋体" w:cs="Times New Roman"/>
          <w:color w:val="auto"/>
          <w:sz w:val="21"/>
          <w:szCs w:val="21"/>
        </w:rPr>
        <w:t>目标5. 能够具有一定的数学思维与分析能力。</w:t>
      </w:r>
    </w:p>
    <w:p w14:paraId="5A3E8C89">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9"/>
        <w:gridCol w:w="4917"/>
        <w:gridCol w:w="1191"/>
      </w:tblGrid>
      <w:tr w14:paraId="18A8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vAlign w:val="center"/>
          </w:tcPr>
          <w:p w14:paraId="2CA25523">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4917" w:type="dxa"/>
            <w:vAlign w:val="center"/>
          </w:tcPr>
          <w:p w14:paraId="6AA8F2BC">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6E74FA06">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7615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vAlign w:val="center"/>
          </w:tcPr>
          <w:p w14:paraId="1A5A8913">
            <w:pPr>
              <w:autoSpaceDE w:val="0"/>
              <w:autoSpaceDN w:val="0"/>
              <w:jc w:val="center"/>
              <w:rPr>
                <w:rFonts w:ascii="Times New Roman" w:hAnsi="Times New Roman" w:eastAsia="宋体" w:cs="Times New Roman"/>
                <w:color w:val="auto"/>
                <w:szCs w:val="21"/>
              </w:rPr>
            </w:pPr>
            <w:r>
              <w:rPr>
                <w:rFonts w:hint="eastAsia" w:ascii="宋体" w:hAnsi="宋体" w:cs="宋体"/>
                <w:b/>
                <w:bCs/>
                <w:color w:val="auto"/>
                <w:kern w:val="0"/>
                <w:szCs w:val="21"/>
              </w:rPr>
              <w:t>毕业要求3：学科</w:t>
            </w:r>
            <w:r>
              <w:rPr>
                <w:rFonts w:hint="eastAsia" w:ascii="宋体" w:hAnsi="宋体" w:cs="宋体"/>
                <w:b/>
                <w:bCs/>
                <w:color w:val="auto"/>
                <w:szCs w:val="21"/>
              </w:rPr>
              <w:t>素养</w:t>
            </w:r>
          </w:p>
        </w:tc>
        <w:tc>
          <w:tcPr>
            <w:tcW w:w="4917" w:type="dxa"/>
            <w:vAlign w:val="center"/>
          </w:tcPr>
          <w:p w14:paraId="1E495ECB">
            <w:pPr>
              <w:spacing w:line="276" w:lineRule="auto"/>
              <w:jc w:val="left"/>
              <w:rPr>
                <w:rFonts w:hint="eastAsia" w:ascii="宋体" w:hAnsi="宋体" w:cs="宋体" w:eastAsiaTheme="minorEastAsia"/>
                <w:color w:val="auto"/>
                <w:szCs w:val="21"/>
                <w:lang w:eastAsia="zh-CN"/>
              </w:rPr>
            </w:pPr>
            <w:r>
              <w:rPr>
                <w:rFonts w:hint="eastAsia" w:ascii="宋体" w:hAnsi="宋体" w:cs="宋体"/>
                <w:color w:val="auto"/>
                <w:kern w:val="0"/>
                <w:szCs w:val="21"/>
                <w:lang w:eastAsia="zh-CN"/>
              </w:rPr>
              <w:t>指标点3-2：【学科知识扎实】具有学科专业能力，掌握小学数学学科的基本知识、原理和技能。熟悉小学科学的知识体系，掌握小学科学的基本知识、原理和技能。</w:t>
            </w:r>
          </w:p>
        </w:tc>
        <w:tc>
          <w:tcPr>
            <w:tcW w:w="1191" w:type="dxa"/>
            <w:vAlign w:val="center"/>
          </w:tcPr>
          <w:p w14:paraId="7FC650C2">
            <w:pPr>
              <w:spacing w:line="276"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课程目标1、2、3</w:t>
            </w:r>
          </w:p>
          <w:p w14:paraId="1189A541">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w:t>
            </w:r>
          </w:p>
        </w:tc>
      </w:tr>
    </w:tbl>
    <w:p w14:paraId="227EAECB">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157E9E16">
      <w:pPr>
        <w:spacing w:line="360" w:lineRule="auto"/>
        <w:ind w:firstLine="420" w:firstLineChars="200"/>
        <w:jc w:val="left"/>
        <w:rPr>
          <w:rFonts w:ascii="宋体" w:hAnsi="宋体" w:eastAsia="宋体" w:cs="宋体"/>
          <w:color w:val="auto"/>
          <w:sz w:val="21"/>
          <w:szCs w:val="21"/>
        </w:rPr>
      </w:pPr>
      <w:r>
        <w:rPr>
          <w:rFonts w:ascii="宋体" w:hAnsi="宋体" w:eastAsia="宋体" w:cs="宋体"/>
          <w:color w:val="auto"/>
          <w:sz w:val="21"/>
          <w:szCs w:val="21"/>
        </w:rPr>
        <w:t>在学习与生活中，我们应高度重视理论联系实际。理论犹如灯塔，为实践指明方向；实践则是检验理论的试金石。只有将二者紧密结合，才能真正掌握知识、解决问题。同时，必须尊重客观规律。世间万物皆有其运行法则，违背规律必将遭受挫折。我们要以科学的态度认识规律、顺应规律，让行动更具成效。树立社会主义核心价值观至关重要，它是我们的精神坐标，引领着价值取向与行为准则。</w:t>
      </w:r>
    </w:p>
    <w:p w14:paraId="71045D03">
      <w:pPr>
        <w:spacing w:line="360" w:lineRule="auto"/>
        <w:ind w:firstLine="420" w:firstLineChars="200"/>
        <w:jc w:val="left"/>
        <w:rPr>
          <w:rFonts w:hint="eastAsia" w:ascii="宋体" w:hAnsi="宋体" w:eastAsia="宋体" w:cs="Times New Roman"/>
          <w:b/>
          <w:color w:val="auto"/>
          <w:sz w:val="28"/>
          <w:szCs w:val="28"/>
          <w:lang w:eastAsia="zh-CN"/>
        </w:rPr>
      </w:pPr>
      <w:r>
        <w:rPr>
          <w:rFonts w:ascii="宋体" w:hAnsi="宋体" w:eastAsia="宋体" w:cs="宋体"/>
          <w:color w:val="auto"/>
          <w:sz w:val="21"/>
          <w:szCs w:val="21"/>
        </w:rPr>
        <w:t>对于个人发展而言，增强专业素养是立足之本。扎实的专业知识与技能，能助力我们在各自领域发光发热。我们要深刻领悟理论对实践的指导意义，用先进理论武装头脑，指导实践活动，在实践中深化对理论的理解，实现理论与实践相互促进、共同提升，为个人成长与社会进步贡献力量</w:t>
      </w:r>
      <w:r>
        <w:rPr>
          <w:rFonts w:hint="eastAsia" w:ascii="宋体" w:hAnsi="宋体" w:eastAsia="宋体" w:cs="宋体"/>
          <w:color w:val="auto"/>
          <w:sz w:val="21"/>
          <w:szCs w:val="21"/>
          <w:lang w:eastAsia="zh-CN"/>
        </w:rPr>
        <w:t>。</w:t>
      </w:r>
    </w:p>
    <w:p w14:paraId="4F712FEE">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2009"/>
        <w:gridCol w:w="1093"/>
        <w:gridCol w:w="2890"/>
        <w:gridCol w:w="1517"/>
        <w:gridCol w:w="438"/>
      </w:tblGrid>
      <w:tr w14:paraId="7774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Align w:val="center"/>
          </w:tcPr>
          <w:p w14:paraId="44489068">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w:t>
            </w:r>
          </w:p>
          <w:p w14:paraId="2ED8C28B">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单元</w:t>
            </w:r>
          </w:p>
        </w:tc>
        <w:tc>
          <w:tcPr>
            <w:tcW w:w="2009" w:type="dxa"/>
            <w:vAlign w:val="center"/>
          </w:tcPr>
          <w:p w14:paraId="4CAC2364">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知识点</w:t>
            </w:r>
          </w:p>
        </w:tc>
        <w:tc>
          <w:tcPr>
            <w:tcW w:w="1093" w:type="dxa"/>
            <w:vAlign w:val="center"/>
          </w:tcPr>
          <w:p w14:paraId="02D68574">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对应</w:t>
            </w:r>
          </w:p>
          <w:p w14:paraId="7ACA699C">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课程目标</w:t>
            </w:r>
          </w:p>
        </w:tc>
        <w:tc>
          <w:tcPr>
            <w:tcW w:w="2890" w:type="dxa"/>
            <w:vAlign w:val="center"/>
          </w:tcPr>
          <w:p w14:paraId="424287E6">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预期学习成效</w:t>
            </w:r>
          </w:p>
        </w:tc>
        <w:tc>
          <w:tcPr>
            <w:tcW w:w="1517" w:type="dxa"/>
            <w:vAlign w:val="center"/>
          </w:tcPr>
          <w:p w14:paraId="0D6467A3">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实现环节</w:t>
            </w:r>
          </w:p>
        </w:tc>
        <w:tc>
          <w:tcPr>
            <w:tcW w:w="438" w:type="dxa"/>
            <w:vAlign w:val="center"/>
          </w:tcPr>
          <w:p w14:paraId="5FE88CF6">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学时</w:t>
            </w:r>
          </w:p>
        </w:tc>
      </w:tr>
      <w:tr w14:paraId="76EB6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5347EFFD">
            <w:pPr>
              <w:spacing w:line="240" w:lineRule="auto"/>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1.</w:t>
            </w:r>
            <w:r>
              <w:rPr>
                <w:rFonts w:ascii="Times New Roman" w:hAnsi="Times New Roman" w:eastAsia="宋体" w:cs="Times New Roman"/>
                <w:bCs/>
                <w:color w:val="auto"/>
                <w:sz w:val="21"/>
                <w:szCs w:val="21"/>
              </w:rPr>
              <w:t>数学建模概论</w:t>
            </w:r>
          </w:p>
          <w:p w14:paraId="09CE91A8">
            <w:pPr>
              <w:spacing w:line="240" w:lineRule="auto"/>
              <w:jc w:val="center"/>
              <w:rPr>
                <w:rFonts w:hint="eastAsia" w:ascii="宋体" w:hAnsi="宋体" w:eastAsia="宋体" w:cs="Times New Roman"/>
                <w:color w:val="auto"/>
                <w:sz w:val="21"/>
                <w:szCs w:val="21"/>
              </w:rPr>
            </w:pPr>
          </w:p>
        </w:tc>
        <w:tc>
          <w:tcPr>
            <w:tcW w:w="2009" w:type="dxa"/>
            <w:vAlign w:val="center"/>
          </w:tcPr>
          <w:p w14:paraId="54B69E37">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（1）能够了解数学建模内容和方法</w:t>
            </w:r>
          </w:p>
          <w:p w14:paraId="7CE0890E">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（2）能够理解数学建模基本步骤</w:t>
            </w:r>
          </w:p>
          <w:p w14:paraId="4CF6DF90">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（3）能够了解数学建模分类</w:t>
            </w:r>
          </w:p>
          <w:p w14:paraId="35EB6C5B">
            <w:pPr>
              <w:spacing w:line="240" w:lineRule="auto"/>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（4）能够理解数学建模基本算法</w:t>
            </w:r>
          </w:p>
        </w:tc>
        <w:tc>
          <w:tcPr>
            <w:tcW w:w="1093" w:type="dxa"/>
            <w:vAlign w:val="center"/>
          </w:tcPr>
          <w:p w14:paraId="23A8BF1E">
            <w:pPr>
              <w:spacing w:line="240" w:lineRule="auto"/>
              <w:jc w:val="center"/>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课程目标1</w:t>
            </w:r>
            <w:r>
              <w:rPr>
                <w:rFonts w:hint="eastAsia" w:ascii="Times New Roman" w:hAnsi="Times New Roman" w:eastAsia="宋体" w:cs="Times New Roman"/>
                <w:color w:val="auto"/>
                <w:sz w:val="21"/>
                <w:szCs w:val="21"/>
              </w:rPr>
              <w:t>、2、</w:t>
            </w:r>
            <w:r>
              <w:rPr>
                <w:rFonts w:ascii="Times New Roman" w:hAnsi="Times New Roman" w:eastAsia="宋体" w:cs="Times New Roman"/>
                <w:color w:val="auto"/>
                <w:sz w:val="21"/>
                <w:szCs w:val="21"/>
              </w:rPr>
              <w:t>3</w:t>
            </w:r>
          </w:p>
        </w:tc>
        <w:tc>
          <w:tcPr>
            <w:tcW w:w="2890" w:type="dxa"/>
            <w:vAlign w:val="center"/>
          </w:tcPr>
          <w:p w14:paraId="1BB8B67F">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（1）重点与难点：数学建模步骤，算法。</w:t>
            </w:r>
          </w:p>
          <w:p w14:paraId="183DDC63">
            <w:pPr>
              <w:spacing w:line="240" w:lineRule="auto"/>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（2）教学方法：启发式互动讲授结合多媒体辅助；适当课堂练习；及时了解学生的作业状况并对共同的问题作及时解答；安排好课后答疑。</w:t>
            </w:r>
          </w:p>
        </w:tc>
        <w:tc>
          <w:tcPr>
            <w:tcW w:w="1517" w:type="dxa"/>
            <w:vAlign w:val="center"/>
          </w:tcPr>
          <w:p w14:paraId="183C88E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655DA01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2.多媒体教学3.课堂讨论</w:t>
            </w:r>
          </w:p>
          <w:p w14:paraId="53D3BB2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4.单元测验</w:t>
            </w:r>
          </w:p>
        </w:tc>
        <w:tc>
          <w:tcPr>
            <w:tcW w:w="438" w:type="dxa"/>
            <w:vAlign w:val="center"/>
          </w:tcPr>
          <w:p w14:paraId="7CC0438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p>
        </w:tc>
      </w:tr>
      <w:tr w14:paraId="7AD8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3F3D9E5E">
            <w:pPr>
              <w:spacing w:line="240" w:lineRule="auto"/>
              <w:jc w:val="center"/>
              <w:rPr>
                <w:rFonts w:hint="eastAsia" w:ascii="宋体" w:hAnsi="宋体" w:eastAsia="宋体" w:cs="Times New Roman"/>
                <w:color w:val="auto"/>
                <w:sz w:val="21"/>
                <w:szCs w:val="21"/>
              </w:rPr>
            </w:pPr>
          </w:p>
        </w:tc>
        <w:tc>
          <w:tcPr>
            <w:tcW w:w="7947" w:type="dxa"/>
            <w:gridSpan w:val="5"/>
            <w:vAlign w:val="center"/>
          </w:tcPr>
          <w:p w14:paraId="39F15863">
            <w:pPr>
              <w:spacing w:line="240" w:lineRule="auto"/>
              <w:ind w:firstLine="422" w:firstLineChars="200"/>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2C62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625D1605">
            <w:pPr>
              <w:spacing w:line="240" w:lineRule="auto"/>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2.</w:t>
            </w:r>
            <w:r>
              <w:rPr>
                <w:rFonts w:ascii="Times New Roman" w:hAnsi="Times New Roman" w:eastAsia="宋体" w:cs="Times New Roman"/>
                <w:bCs/>
                <w:color w:val="auto"/>
                <w:sz w:val="21"/>
                <w:szCs w:val="21"/>
              </w:rPr>
              <w:t>初等模型</w:t>
            </w:r>
          </w:p>
          <w:p w14:paraId="2822981B">
            <w:pPr>
              <w:spacing w:line="240" w:lineRule="auto"/>
              <w:jc w:val="center"/>
              <w:rPr>
                <w:rFonts w:hint="eastAsia" w:ascii="宋体" w:hAnsi="宋体" w:eastAsia="宋体" w:cs="Times New Roman"/>
                <w:color w:val="auto"/>
                <w:sz w:val="21"/>
                <w:szCs w:val="21"/>
              </w:rPr>
            </w:pPr>
          </w:p>
        </w:tc>
        <w:tc>
          <w:tcPr>
            <w:tcW w:w="2009" w:type="dxa"/>
            <w:vAlign w:val="center"/>
          </w:tcPr>
          <w:p w14:paraId="523218ED">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（1）能够理解初等模型的建模</w:t>
            </w:r>
          </w:p>
          <w:p w14:paraId="66F3231F">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（2）能够理解</w:t>
            </w:r>
            <w:r>
              <w:rPr>
                <w:rFonts w:ascii="Times New Roman" w:hAnsi="Times New Roman" w:eastAsia="宋体" w:cs="Times New Roman"/>
                <w:color w:val="auto"/>
                <w:kern w:val="0"/>
                <w:sz w:val="21"/>
                <w:szCs w:val="21"/>
              </w:rPr>
              <w:t>初等模型的构造和求解方法</w:t>
            </w:r>
          </w:p>
          <w:p w14:paraId="1897531A">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（3）能够理解常见几种初等模型</w:t>
            </w:r>
          </w:p>
          <w:p w14:paraId="005BC312">
            <w:pPr>
              <w:spacing w:line="240" w:lineRule="auto"/>
              <w:jc w:val="left"/>
              <w:rPr>
                <w:rFonts w:hint="eastAsia" w:ascii="宋体" w:hAnsi="宋体" w:eastAsia="宋体" w:cs="Times New Roman"/>
                <w:color w:val="auto"/>
                <w:sz w:val="21"/>
                <w:szCs w:val="21"/>
              </w:rPr>
            </w:pPr>
          </w:p>
        </w:tc>
        <w:tc>
          <w:tcPr>
            <w:tcW w:w="1093" w:type="dxa"/>
            <w:vAlign w:val="center"/>
          </w:tcPr>
          <w:p w14:paraId="5B574CF9">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tc>
        <w:tc>
          <w:tcPr>
            <w:tcW w:w="2890" w:type="dxa"/>
            <w:vAlign w:val="center"/>
          </w:tcPr>
          <w:p w14:paraId="3F30D895">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（1）重点与难点：初等模型建模，</w:t>
            </w:r>
            <w:r>
              <w:rPr>
                <w:rFonts w:ascii="Times New Roman" w:hAnsi="Times New Roman" w:eastAsia="宋体" w:cs="Times New Roman"/>
                <w:color w:val="auto"/>
                <w:kern w:val="0"/>
                <w:sz w:val="21"/>
                <w:szCs w:val="21"/>
              </w:rPr>
              <w:t>初等模型求解方法</w:t>
            </w:r>
            <w:r>
              <w:rPr>
                <w:rFonts w:ascii="Times New Roman" w:hAnsi="Times New Roman" w:eastAsia="宋体" w:cs="Times New Roman"/>
                <w:color w:val="auto"/>
                <w:sz w:val="21"/>
                <w:szCs w:val="21"/>
              </w:rPr>
              <w:t>。</w:t>
            </w:r>
          </w:p>
          <w:p w14:paraId="4FF1921C">
            <w:pPr>
              <w:spacing w:line="240" w:lineRule="auto"/>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（2）教学方法：启发式互动讲授结合多媒体辅助；适当课堂练习；及时了解学生的作业状况并对共同的问题作及时解答；安排好课后答疑。</w:t>
            </w:r>
          </w:p>
        </w:tc>
        <w:tc>
          <w:tcPr>
            <w:tcW w:w="1517" w:type="dxa"/>
            <w:vAlign w:val="center"/>
          </w:tcPr>
          <w:p w14:paraId="017F2F0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073C579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2.多媒体教学3.课堂讨论</w:t>
            </w:r>
          </w:p>
          <w:p w14:paraId="30F833B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4.单元测验</w:t>
            </w:r>
          </w:p>
        </w:tc>
        <w:tc>
          <w:tcPr>
            <w:tcW w:w="438" w:type="dxa"/>
            <w:vAlign w:val="center"/>
          </w:tcPr>
          <w:p w14:paraId="3CE4B0E2">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8</w:t>
            </w:r>
          </w:p>
        </w:tc>
      </w:tr>
      <w:tr w14:paraId="4CAFD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61DB52C9">
            <w:pPr>
              <w:spacing w:line="240" w:lineRule="auto"/>
              <w:jc w:val="center"/>
              <w:rPr>
                <w:rFonts w:hint="eastAsia" w:ascii="宋体" w:hAnsi="宋体" w:eastAsia="宋体" w:cs="Times New Roman"/>
                <w:color w:val="auto"/>
                <w:sz w:val="21"/>
                <w:szCs w:val="21"/>
              </w:rPr>
            </w:pPr>
          </w:p>
        </w:tc>
        <w:tc>
          <w:tcPr>
            <w:tcW w:w="7947" w:type="dxa"/>
            <w:gridSpan w:val="5"/>
            <w:vAlign w:val="center"/>
          </w:tcPr>
          <w:p w14:paraId="3603D930">
            <w:pPr>
              <w:spacing w:line="240" w:lineRule="auto"/>
              <w:ind w:firstLine="422" w:firstLineChars="200"/>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15FF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11C03B07">
            <w:pPr>
              <w:spacing w:line="240" w:lineRule="auto"/>
              <w:jc w:val="center"/>
              <w:rPr>
                <w:rFonts w:ascii="Times New Roman" w:hAnsi="Times New Roman" w:eastAsia="宋体" w:cs="Times New Roman"/>
                <w:b/>
                <w:color w:val="auto"/>
                <w:sz w:val="21"/>
                <w:szCs w:val="21"/>
              </w:rPr>
            </w:pPr>
            <w:r>
              <w:rPr>
                <w:rFonts w:hint="eastAsia" w:ascii="Times New Roman" w:hAnsi="Times New Roman" w:eastAsia="宋体" w:cs="Times New Roman"/>
                <w:bCs/>
                <w:color w:val="auto"/>
                <w:sz w:val="21"/>
                <w:szCs w:val="21"/>
              </w:rPr>
              <w:t>3.</w:t>
            </w:r>
            <w:r>
              <w:rPr>
                <w:rFonts w:ascii="Times New Roman" w:hAnsi="Times New Roman" w:eastAsia="宋体" w:cs="Times New Roman"/>
                <w:bCs/>
                <w:color w:val="auto"/>
                <w:sz w:val="21"/>
                <w:szCs w:val="21"/>
              </w:rPr>
              <w:t>微分方程模型</w:t>
            </w:r>
          </w:p>
          <w:p w14:paraId="16A54653">
            <w:pPr>
              <w:spacing w:line="240" w:lineRule="auto"/>
              <w:jc w:val="center"/>
              <w:rPr>
                <w:rFonts w:hint="eastAsia" w:ascii="宋体" w:hAnsi="宋体" w:eastAsia="宋体" w:cs="Times New Roman"/>
                <w:color w:val="auto"/>
                <w:sz w:val="21"/>
                <w:szCs w:val="21"/>
              </w:rPr>
            </w:pPr>
          </w:p>
        </w:tc>
        <w:tc>
          <w:tcPr>
            <w:tcW w:w="2009" w:type="dxa"/>
            <w:vAlign w:val="center"/>
          </w:tcPr>
          <w:p w14:paraId="5D879C44">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（1）能够了解微分方程模型建模法</w:t>
            </w:r>
          </w:p>
          <w:p w14:paraId="3682CCCC">
            <w:pPr>
              <w:spacing w:line="240" w:lineRule="auto"/>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（2）能够了解常见几种微分方程模型</w:t>
            </w:r>
          </w:p>
        </w:tc>
        <w:tc>
          <w:tcPr>
            <w:tcW w:w="1093" w:type="dxa"/>
            <w:vAlign w:val="center"/>
          </w:tcPr>
          <w:p w14:paraId="52F77DC2">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tc>
        <w:tc>
          <w:tcPr>
            <w:tcW w:w="2890" w:type="dxa"/>
            <w:vAlign w:val="center"/>
          </w:tcPr>
          <w:p w14:paraId="7BA05889">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（1）重点与难点：微分方程建模与</w:t>
            </w:r>
            <w:r>
              <w:rPr>
                <w:rFonts w:ascii="Times New Roman" w:hAnsi="Times New Roman" w:eastAsia="宋体" w:cs="Times New Roman"/>
                <w:color w:val="auto"/>
                <w:kern w:val="0"/>
                <w:sz w:val="21"/>
                <w:szCs w:val="21"/>
              </w:rPr>
              <w:t>模型求解方法</w:t>
            </w:r>
            <w:r>
              <w:rPr>
                <w:rFonts w:ascii="Times New Roman" w:hAnsi="Times New Roman" w:eastAsia="宋体" w:cs="Times New Roman"/>
                <w:color w:val="auto"/>
                <w:sz w:val="21"/>
                <w:szCs w:val="21"/>
              </w:rPr>
              <w:t>。</w:t>
            </w:r>
          </w:p>
          <w:p w14:paraId="51717089">
            <w:pPr>
              <w:spacing w:line="240" w:lineRule="auto"/>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（2）教学方法：启发式互动讲授结合多媒体辅助；适当课堂练习；及时了解学生的作业状况并对共同的问题作及时解答；安排好课后答疑。</w:t>
            </w:r>
          </w:p>
        </w:tc>
        <w:tc>
          <w:tcPr>
            <w:tcW w:w="1517" w:type="dxa"/>
            <w:vAlign w:val="center"/>
          </w:tcPr>
          <w:p w14:paraId="07F71FD9">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2E8D86C6">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06782397">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49F9FA2C">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p>
        </w:tc>
      </w:tr>
      <w:tr w14:paraId="3F46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7DF37AA6">
            <w:pPr>
              <w:spacing w:line="240" w:lineRule="auto"/>
              <w:jc w:val="center"/>
              <w:rPr>
                <w:rFonts w:hint="eastAsia" w:ascii="宋体" w:hAnsi="宋体" w:eastAsia="宋体" w:cs="Times New Roman"/>
                <w:color w:val="auto"/>
                <w:sz w:val="21"/>
                <w:szCs w:val="21"/>
              </w:rPr>
            </w:pPr>
          </w:p>
        </w:tc>
        <w:tc>
          <w:tcPr>
            <w:tcW w:w="7947" w:type="dxa"/>
            <w:gridSpan w:val="5"/>
            <w:vAlign w:val="center"/>
          </w:tcPr>
          <w:p w14:paraId="00B51DD5">
            <w:pPr>
              <w:spacing w:line="240" w:lineRule="auto"/>
              <w:ind w:firstLine="422" w:firstLineChars="200"/>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78E1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7F79E4FD">
            <w:pPr>
              <w:spacing w:line="240" w:lineRule="auto"/>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4.</w:t>
            </w:r>
            <w:r>
              <w:rPr>
                <w:rFonts w:ascii="Times New Roman" w:hAnsi="Times New Roman" w:eastAsia="宋体" w:cs="Times New Roman"/>
                <w:bCs/>
                <w:color w:val="auto"/>
                <w:sz w:val="21"/>
                <w:szCs w:val="21"/>
              </w:rPr>
              <w:t>随机模型</w:t>
            </w:r>
          </w:p>
          <w:p w14:paraId="0252C589">
            <w:pPr>
              <w:spacing w:line="240" w:lineRule="auto"/>
              <w:jc w:val="center"/>
              <w:rPr>
                <w:rFonts w:hint="eastAsia" w:ascii="宋体" w:hAnsi="宋体" w:eastAsia="宋体" w:cs="Times New Roman"/>
                <w:color w:val="auto"/>
                <w:sz w:val="21"/>
                <w:szCs w:val="21"/>
              </w:rPr>
            </w:pPr>
          </w:p>
        </w:tc>
        <w:tc>
          <w:tcPr>
            <w:tcW w:w="2009" w:type="dxa"/>
            <w:vAlign w:val="center"/>
          </w:tcPr>
          <w:p w14:paraId="3C70C38E">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（1）能够理解随机模型的建模方法</w:t>
            </w:r>
          </w:p>
          <w:p w14:paraId="4D0AED90">
            <w:pPr>
              <w:spacing w:line="240" w:lineRule="auto"/>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（2）能够理解常见几种随机模型</w:t>
            </w:r>
          </w:p>
        </w:tc>
        <w:tc>
          <w:tcPr>
            <w:tcW w:w="1093" w:type="dxa"/>
            <w:vAlign w:val="center"/>
          </w:tcPr>
          <w:p w14:paraId="3748890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2890" w:type="dxa"/>
            <w:vAlign w:val="center"/>
          </w:tcPr>
          <w:p w14:paraId="74BD919B">
            <w:pPr>
              <w:numPr>
                <w:ilvl w:val="0"/>
                <w:numId w:val="39"/>
              </w:num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重点与难点：随机</w:t>
            </w:r>
            <w:r>
              <w:rPr>
                <w:rFonts w:ascii="Times New Roman" w:hAnsi="Times New Roman" w:eastAsia="宋体" w:cs="Times New Roman"/>
                <w:color w:val="auto"/>
                <w:kern w:val="0"/>
                <w:sz w:val="21"/>
                <w:szCs w:val="21"/>
              </w:rPr>
              <w:t>模型求解方法</w:t>
            </w:r>
            <w:r>
              <w:rPr>
                <w:rFonts w:ascii="Times New Roman" w:hAnsi="Times New Roman" w:eastAsia="宋体" w:cs="Times New Roman"/>
                <w:color w:val="auto"/>
                <w:sz w:val="21"/>
                <w:szCs w:val="21"/>
              </w:rPr>
              <w:t>。</w:t>
            </w:r>
          </w:p>
          <w:p w14:paraId="2787CCC3">
            <w:pPr>
              <w:spacing w:line="240" w:lineRule="auto"/>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（2）教学方法：启发式互动讲授结合多媒体辅助；适当课堂练习；及时了解学生的作业状况并对共同的问题作及时解答；安排好课后答疑。</w:t>
            </w:r>
          </w:p>
        </w:tc>
        <w:tc>
          <w:tcPr>
            <w:tcW w:w="1517" w:type="dxa"/>
            <w:vAlign w:val="center"/>
          </w:tcPr>
          <w:p w14:paraId="1FC72C95">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37061E81">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00CD148E">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569A4F52">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w:t>
            </w:r>
          </w:p>
        </w:tc>
      </w:tr>
      <w:tr w14:paraId="540FF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0C1EAE2E">
            <w:pPr>
              <w:spacing w:line="240" w:lineRule="auto"/>
              <w:jc w:val="center"/>
              <w:rPr>
                <w:rFonts w:hint="eastAsia" w:ascii="宋体" w:hAnsi="宋体" w:eastAsia="宋体" w:cs="Times New Roman"/>
                <w:color w:val="auto"/>
                <w:sz w:val="21"/>
                <w:szCs w:val="21"/>
              </w:rPr>
            </w:pPr>
          </w:p>
        </w:tc>
        <w:tc>
          <w:tcPr>
            <w:tcW w:w="7947" w:type="dxa"/>
            <w:gridSpan w:val="5"/>
            <w:vAlign w:val="center"/>
          </w:tcPr>
          <w:p w14:paraId="100CBF34">
            <w:pPr>
              <w:spacing w:line="240" w:lineRule="auto"/>
              <w:ind w:firstLine="422" w:firstLineChars="200"/>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04B6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096AEAF1">
            <w:pPr>
              <w:spacing w:line="240" w:lineRule="auto"/>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5.</w:t>
            </w:r>
            <w:r>
              <w:rPr>
                <w:rFonts w:ascii="Times New Roman" w:hAnsi="Times New Roman" w:eastAsia="宋体" w:cs="Times New Roman"/>
                <w:bCs/>
                <w:color w:val="auto"/>
                <w:sz w:val="21"/>
                <w:szCs w:val="21"/>
              </w:rPr>
              <w:t>运筹学</w:t>
            </w:r>
          </w:p>
          <w:p w14:paraId="02E9266F">
            <w:pPr>
              <w:spacing w:line="240" w:lineRule="auto"/>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模型</w:t>
            </w:r>
          </w:p>
          <w:p w14:paraId="457419FC">
            <w:pPr>
              <w:spacing w:line="240" w:lineRule="auto"/>
              <w:jc w:val="center"/>
              <w:rPr>
                <w:rFonts w:hint="eastAsia" w:ascii="宋体" w:hAnsi="宋体" w:eastAsia="宋体" w:cs="Times New Roman"/>
                <w:color w:val="auto"/>
                <w:sz w:val="21"/>
                <w:szCs w:val="21"/>
              </w:rPr>
            </w:pPr>
          </w:p>
        </w:tc>
        <w:tc>
          <w:tcPr>
            <w:tcW w:w="2009" w:type="dxa"/>
            <w:vAlign w:val="center"/>
          </w:tcPr>
          <w:p w14:paraId="1215B217">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（1）能够理解运筹学模型的建模方法</w:t>
            </w:r>
          </w:p>
          <w:p w14:paraId="655DE928">
            <w:pPr>
              <w:spacing w:line="240" w:lineRule="auto"/>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（2）能够理解常见几种运筹学模型</w:t>
            </w:r>
          </w:p>
        </w:tc>
        <w:tc>
          <w:tcPr>
            <w:tcW w:w="1093" w:type="dxa"/>
            <w:vAlign w:val="center"/>
          </w:tcPr>
          <w:p w14:paraId="5EC6845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tc>
        <w:tc>
          <w:tcPr>
            <w:tcW w:w="2890" w:type="dxa"/>
            <w:vAlign w:val="center"/>
          </w:tcPr>
          <w:p w14:paraId="00CFCB29">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（1）重点与难点：随机</w:t>
            </w:r>
            <w:r>
              <w:rPr>
                <w:rFonts w:ascii="Times New Roman" w:hAnsi="Times New Roman" w:eastAsia="宋体" w:cs="Times New Roman"/>
                <w:color w:val="auto"/>
                <w:kern w:val="0"/>
                <w:sz w:val="21"/>
                <w:szCs w:val="21"/>
              </w:rPr>
              <w:t>模型求解方法</w:t>
            </w:r>
            <w:r>
              <w:rPr>
                <w:rFonts w:ascii="Times New Roman" w:hAnsi="Times New Roman" w:eastAsia="宋体" w:cs="Times New Roman"/>
                <w:color w:val="auto"/>
                <w:sz w:val="21"/>
                <w:szCs w:val="21"/>
              </w:rPr>
              <w:t>。</w:t>
            </w:r>
          </w:p>
          <w:p w14:paraId="3EB1974C">
            <w:pPr>
              <w:spacing w:line="240" w:lineRule="auto"/>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（2）教学方法：启发式互动讲授结合多媒体辅助；适当课堂练习；及时了解学生的作业状况并对共同的问题作及时解答；安排好课后答疑。</w:t>
            </w:r>
          </w:p>
        </w:tc>
        <w:tc>
          <w:tcPr>
            <w:tcW w:w="1517" w:type="dxa"/>
            <w:vAlign w:val="center"/>
          </w:tcPr>
          <w:p w14:paraId="3E060951">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08A02B0A">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039FE478">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280C8E29">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p>
        </w:tc>
      </w:tr>
      <w:tr w14:paraId="4B84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698EF7D3">
            <w:pPr>
              <w:spacing w:line="240" w:lineRule="auto"/>
              <w:jc w:val="center"/>
              <w:rPr>
                <w:rFonts w:hint="eastAsia" w:ascii="宋体" w:hAnsi="宋体" w:eastAsia="宋体" w:cs="Times New Roman"/>
                <w:color w:val="auto"/>
                <w:sz w:val="21"/>
                <w:szCs w:val="21"/>
              </w:rPr>
            </w:pPr>
          </w:p>
        </w:tc>
        <w:tc>
          <w:tcPr>
            <w:tcW w:w="7947" w:type="dxa"/>
            <w:gridSpan w:val="5"/>
            <w:vAlign w:val="center"/>
          </w:tcPr>
          <w:p w14:paraId="2CC638F6">
            <w:pPr>
              <w:spacing w:line="240" w:lineRule="auto"/>
              <w:ind w:firstLine="422" w:firstLineChars="200"/>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0F99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10DCC5E4">
            <w:pPr>
              <w:spacing w:line="240" w:lineRule="auto"/>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6.</w:t>
            </w:r>
            <w:r>
              <w:rPr>
                <w:rFonts w:ascii="Times New Roman" w:hAnsi="Times New Roman" w:eastAsia="宋体" w:cs="Times New Roman"/>
                <w:bCs/>
                <w:color w:val="auto"/>
                <w:sz w:val="21"/>
                <w:szCs w:val="21"/>
              </w:rPr>
              <w:t>管理</w:t>
            </w:r>
          </w:p>
          <w:p w14:paraId="248D32D3">
            <w:pPr>
              <w:spacing w:line="240" w:lineRule="auto"/>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类模型</w:t>
            </w:r>
          </w:p>
          <w:p w14:paraId="57E38BDD">
            <w:pPr>
              <w:spacing w:line="240" w:lineRule="auto"/>
              <w:jc w:val="center"/>
              <w:rPr>
                <w:rFonts w:hint="eastAsia" w:ascii="宋体" w:hAnsi="宋体" w:eastAsia="宋体" w:cs="Times New Roman"/>
                <w:color w:val="auto"/>
                <w:sz w:val="21"/>
                <w:szCs w:val="21"/>
              </w:rPr>
            </w:pPr>
          </w:p>
        </w:tc>
        <w:tc>
          <w:tcPr>
            <w:tcW w:w="2009" w:type="dxa"/>
            <w:vAlign w:val="center"/>
          </w:tcPr>
          <w:p w14:paraId="4F797480">
            <w:pPr>
              <w:spacing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r>
              <w:rPr>
                <w:rFonts w:ascii="Times New Roman" w:hAnsi="Times New Roman" w:eastAsia="宋体" w:cs="Times New Roman"/>
                <w:color w:val="auto"/>
                <w:sz w:val="21"/>
                <w:szCs w:val="21"/>
              </w:rPr>
              <w:t>能够理解管理类模型的建模方法</w:t>
            </w:r>
          </w:p>
          <w:p w14:paraId="01773CD4">
            <w:pPr>
              <w:spacing w:line="240" w:lineRule="auto"/>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（2）能够理解常见几种管理类模型</w:t>
            </w:r>
          </w:p>
        </w:tc>
        <w:tc>
          <w:tcPr>
            <w:tcW w:w="1093" w:type="dxa"/>
            <w:vAlign w:val="center"/>
          </w:tcPr>
          <w:p w14:paraId="56653AD3">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tc>
        <w:tc>
          <w:tcPr>
            <w:tcW w:w="2890" w:type="dxa"/>
            <w:vAlign w:val="center"/>
          </w:tcPr>
          <w:p w14:paraId="048E9822">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（1）重点与难点：管理类</w:t>
            </w:r>
            <w:r>
              <w:rPr>
                <w:rFonts w:ascii="Times New Roman" w:hAnsi="Times New Roman" w:eastAsia="宋体" w:cs="Times New Roman"/>
                <w:color w:val="auto"/>
                <w:kern w:val="0"/>
                <w:sz w:val="21"/>
                <w:szCs w:val="21"/>
              </w:rPr>
              <w:t>模型求解方法</w:t>
            </w:r>
            <w:r>
              <w:rPr>
                <w:rFonts w:ascii="Times New Roman" w:hAnsi="Times New Roman" w:eastAsia="宋体" w:cs="Times New Roman"/>
                <w:color w:val="auto"/>
                <w:sz w:val="21"/>
                <w:szCs w:val="21"/>
              </w:rPr>
              <w:t>。</w:t>
            </w:r>
          </w:p>
          <w:p w14:paraId="6D6F095F">
            <w:pPr>
              <w:spacing w:line="240" w:lineRule="auto"/>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（2）教学方法：启发式互动讲授结合多媒体辅助；适当课堂练习；及时了解学生的作业状况并对共同的问题作及时解答；安排好课后答疑。</w:t>
            </w:r>
          </w:p>
        </w:tc>
        <w:tc>
          <w:tcPr>
            <w:tcW w:w="1517" w:type="dxa"/>
            <w:vAlign w:val="center"/>
          </w:tcPr>
          <w:p w14:paraId="57C7641E">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1758AE3D">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40211DBF">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517EFC15">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w:t>
            </w:r>
          </w:p>
        </w:tc>
      </w:tr>
      <w:tr w14:paraId="77A5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0FEA3362">
            <w:pPr>
              <w:spacing w:line="240" w:lineRule="auto"/>
              <w:jc w:val="center"/>
              <w:rPr>
                <w:rFonts w:hint="eastAsia" w:ascii="宋体" w:hAnsi="宋体" w:eastAsia="宋体" w:cs="Times New Roman"/>
                <w:color w:val="auto"/>
                <w:sz w:val="21"/>
                <w:szCs w:val="21"/>
              </w:rPr>
            </w:pPr>
          </w:p>
        </w:tc>
        <w:tc>
          <w:tcPr>
            <w:tcW w:w="7947" w:type="dxa"/>
            <w:gridSpan w:val="5"/>
            <w:vAlign w:val="center"/>
          </w:tcPr>
          <w:p w14:paraId="26C1E61C">
            <w:pPr>
              <w:spacing w:line="240" w:lineRule="auto"/>
              <w:ind w:firstLine="422" w:firstLineChars="200"/>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0C64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1FF874C7">
            <w:pPr>
              <w:numPr>
                <w:ilvl w:val="0"/>
                <w:numId w:val="0"/>
              </w:numPr>
              <w:spacing w:line="240" w:lineRule="auto"/>
              <w:ind w:left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7.</w:t>
            </w:r>
            <w:r>
              <w:rPr>
                <w:rFonts w:ascii="Times New Roman" w:hAnsi="Times New Roman" w:eastAsia="宋体" w:cs="Times New Roman"/>
                <w:bCs/>
                <w:color w:val="auto"/>
                <w:sz w:val="21"/>
                <w:szCs w:val="21"/>
              </w:rPr>
              <w:t>统计</w:t>
            </w:r>
          </w:p>
          <w:p w14:paraId="223E2E60">
            <w:pPr>
              <w:numPr>
                <w:ilvl w:val="0"/>
                <w:numId w:val="0"/>
              </w:numPr>
              <w:spacing w:line="240" w:lineRule="auto"/>
              <w:ind w:leftChars="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类模型</w:t>
            </w:r>
          </w:p>
          <w:p w14:paraId="4685D33E">
            <w:pPr>
              <w:spacing w:line="240" w:lineRule="auto"/>
              <w:jc w:val="center"/>
              <w:rPr>
                <w:rFonts w:hint="eastAsia" w:ascii="宋体" w:hAnsi="宋体" w:eastAsia="宋体" w:cs="Times New Roman"/>
                <w:color w:val="auto"/>
                <w:sz w:val="21"/>
                <w:szCs w:val="21"/>
              </w:rPr>
            </w:pPr>
          </w:p>
        </w:tc>
        <w:tc>
          <w:tcPr>
            <w:tcW w:w="2009" w:type="dxa"/>
            <w:vAlign w:val="center"/>
          </w:tcPr>
          <w:p w14:paraId="1705DE79">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（1）能够理解统计类模型的建模方法</w:t>
            </w:r>
          </w:p>
          <w:p w14:paraId="57347F7A">
            <w:pPr>
              <w:spacing w:line="240" w:lineRule="auto"/>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（2）能够理解常见几种统计类模型</w:t>
            </w:r>
          </w:p>
        </w:tc>
        <w:tc>
          <w:tcPr>
            <w:tcW w:w="1093" w:type="dxa"/>
            <w:vAlign w:val="center"/>
          </w:tcPr>
          <w:p w14:paraId="140B5C04">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tc>
        <w:tc>
          <w:tcPr>
            <w:tcW w:w="2890" w:type="dxa"/>
            <w:vAlign w:val="center"/>
          </w:tcPr>
          <w:p w14:paraId="12D5C020">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（1）重点与难点：随机</w:t>
            </w:r>
            <w:r>
              <w:rPr>
                <w:rFonts w:ascii="Times New Roman" w:hAnsi="Times New Roman" w:eastAsia="宋体" w:cs="Times New Roman"/>
                <w:color w:val="auto"/>
                <w:kern w:val="0"/>
                <w:sz w:val="21"/>
                <w:szCs w:val="21"/>
              </w:rPr>
              <w:t>模型求解方法</w:t>
            </w:r>
            <w:r>
              <w:rPr>
                <w:rFonts w:ascii="Times New Roman" w:hAnsi="Times New Roman" w:eastAsia="宋体" w:cs="Times New Roman"/>
                <w:color w:val="auto"/>
                <w:sz w:val="21"/>
                <w:szCs w:val="21"/>
              </w:rPr>
              <w:t>。</w:t>
            </w:r>
          </w:p>
          <w:p w14:paraId="2D3847B8">
            <w:pPr>
              <w:spacing w:line="240" w:lineRule="auto"/>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（2）教学方法：启发式互动讲授结合多媒体辅助；适当课堂练习；及时了解学生的作业状况并对共同的问题作及时解答；安排好课后答疑。</w:t>
            </w:r>
          </w:p>
        </w:tc>
        <w:tc>
          <w:tcPr>
            <w:tcW w:w="1517" w:type="dxa"/>
            <w:vAlign w:val="center"/>
          </w:tcPr>
          <w:p w14:paraId="63242B3E">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7D9BDBB6">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5F48CE6D">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07240870">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p>
        </w:tc>
      </w:tr>
      <w:tr w14:paraId="620E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02B10D71">
            <w:pPr>
              <w:spacing w:line="240" w:lineRule="auto"/>
              <w:jc w:val="center"/>
              <w:rPr>
                <w:rFonts w:hint="eastAsia" w:ascii="宋体" w:hAnsi="宋体" w:eastAsia="宋体" w:cs="Times New Roman"/>
                <w:color w:val="auto"/>
                <w:sz w:val="21"/>
                <w:szCs w:val="21"/>
              </w:rPr>
            </w:pPr>
          </w:p>
        </w:tc>
        <w:tc>
          <w:tcPr>
            <w:tcW w:w="7947" w:type="dxa"/>
            <w:gridSpan w:val="5"/>
            <w:vAlign w:val="center"/>
          </w:tcPr>
          <w:p w14:paraId="5D5D5EE6">
            <w:pPr>
              <w:spacing w:line="240" w:lineRule="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6BF0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5FCDC8F3">
            <w:pPr>
              <w:spacing w:line="240" w:lineRule="auto"/>
              <w:jc w:val="center"/>
              <w:rPr>
                <w:rFonts w:ascii="Times New Roman" w:hAnsi="Times New Roman" w:eastAsia="宋体" w:cs="Times New Roman"/>
                <w:b/>
                <w:color w:val="auto"/>
                <w:sz w:val="21"/>
                <w:szCs w:val="21"/>
              </w:rPr>
            </w:pPr>
            <w:r>
              <w:rPr>
                <w:rFonts w:hint="eastAsia" w:ascii="Times New Roman" w:hAnsi="Times New Roman" w:eastAsia="宋体" w:cs="Times New Roman"/>
                <w:bCs/>
                <w:color w:val="auto"/>
                <w:sz w:val="21"/>
                <w:szCs w:val="21"/>
              </w:rPr>
              <w:t>8.</w:t>
            </w:r>
            <w:r>
              <w:rPr>
                <w:rFonts w:ascii="Times New Roman" w:hAnsi="Times New Roman" w:eastAsia="宋体" w:cs="Times New Roman"/>
                <w:bCs/>
                <w:color w:val="auto"/>
                <w:sz w:val="21"/>
                <w:szCs w:val="21"/>
              </w:rPr>
              <w:t>数学建模软件</w:t>
            </w:r>
          </w:p>
          <w:p w14:paraId="74A30EA8">
            <w:pPr>
              <w:spacing w:line="240" w:lineRule="auto"/>
              <w:jc w:val="center"/>
              <w:rPr>
                <w:rFonts w:hint="eastAsia" w:ascii="宋体" w:hAnsi="宋体" w:eastAsia="宋体" w:cs="Times New Roman"/>
                <w:color w:val="auto"/>
                <w:sz w:val="21"/>
                <w:szCs w:val="21"/>
              </w:rPr>
            </w:pPr>
          </w:p>
        </w:tc>
        <w:tc>
          <w:tcPr>
            <w:tcW w:w="2009" w:type="dxa"/>
            <w:vAlign w:val="center"/>
          </w:tcPr>
          <w:p w14:paraId="2E7630F4">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（1）能够简单使用Lingo</w:t>
            </w:r>
          </w:p>
          <w:p w14:paraId="0740C61A">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（2）能够简单使用Mathematica</w:t>
            </w:r>
          </w:p>
          <w:p w14:paraId="5AFC9588">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（3）能够简单使用Matlab</w:t>
            </w:r>
          </w:p>
          <w:p w14:paraId="27016431">
            <w:pPr>
              <w:spacing w:line="240" w:lineRule="auto"/>
              <w:jc w:val="left"/>
              <w:rPr>
                <w:rFonts w:hint="eastAsia" w:ascii="宋体" w:hAnsi="宋体" w:eastAsia="宋体" w:cs="Times New Roman"/>
                <w:color w:val="auto"/>
                <w:sz w:val="21"/>
                <w:szCs w:val="21"/>
              </w:rPr>
            </w:pPr>
          </w:p>
        </w:tc>
        <w:tc>
          <w:tcPr>
            <w:tcW w:w="1093" w:type="dxa"/>
            <w:vAlign w:val="center"/>
          </w:tcPr>
          <w:p w14:paraId="7B6D60D9">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课程目标1、2、3、4、5</w:t>
            </w:r>
          </w:p>
        </w:tc>
        <w:tc>
          <w:tcPr>
            <w:tcW w:w="2890" w:type="dxa"/>
            <w:vAlign w:val="center"/>
          </w:tcPr>
          <w:p w14:paraId="2E2955C0">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（1）重点与难点：各种数学软件使用</w:t>
            </w:r>
            <w:r>
              <w:rPr>
                <w:rFonts w:ascii="Times New Roman" w:hAnsi="Times New Roman" w:eastAsia="宋体" w:cs="Times New Roman"/>
                <w:color w:val="auto"/>
                <w:kern w:val="0"/>
                <w:sz w:val="21"/>
                <w:szCs w:val="21"/>
              </w:rPr>
              <w:t>方法</w:t>
            </w:r>
            <w:r>
              <w:rPr>
                <w:rFonts w:ascii="Times New Roman" w:hAnsi="Times New Roman" w:eastAsia="宋体" w:cs="Times New Roman"/>
                <w:color w:val="auto"/>
                <w:sz w:val="21"/>
                <w:szCs w:val="21"/>
              </w:rPr>
              <w:t>。</w:t>
            </w:r>
          </w:p>
          <w:p w14:paraId="02CB7667">
            <w:pPr>
              <w:spacing w:line="240" w:lineRule="auto"/>
              <w:rPr>
                <w:rFonts w:hint="eastAsia" w:ascii="宋体" w:hAnsi="宋体" w:eastAsia="宋体" w:cs="Times New Roman"/>
                <w:color w:val="auto"/>
                <w:sz w:val="21"/>
                <w:szCs w:val="21"/>
              </w:rPr>
            </w:pPr>
            <w:r>
              <w:rPr>
                <w:rFonts w:ascii="Times New Roman" w:hAnsi="Times New Roman" w:eastAsia="宋体" w:cs="Times New Roman"/>
                <w:color w:val="auto"/>
                <w:sz w:val="21"/>
                <w:szCs w:val="21"/>
              </w:rPr>
              <w:t>（2）教学方法：启发式互动讲授结合多媒体辅助；适当课堂练习；及时了解学生的作业状况并对共同的问题作及时解答；安排好课后答疑。</w:t>
            </w:r>
          </w:p>
        </w:tc>
        <w:tc>
          <w:tcPr>
            <w:tcW w:w="1517" w:type="dxa"/>
            <w:vAlign w:val="center"/>
          </w:tcPr>
          <w:p w14:paraId="528A041D">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1.线上学习</w:t>
            </w:r>
          </w:p>
          <w:p w14:paraId="13CCBD4F">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308731FA">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4D951917">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p>
        </w:tc>
      </w:tr>
      <w:tr w14:paraId="434D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7E1E603B">
            <w:pPr>
              <w:spacing w:line="240" w:lineRule="auto"/>
              <w:jc w:val="center"/>
              <w:rPr>
                <w:rFonts w:hint="eastAsia" w:ascii="宋体" w:hAnsi="宋体" w:eastAsia="宋体" w:cs="Times New Roman"/>
                <w:color w:val="auto"/>
                <w:sz w:val="21"/>
                <w:szCs w:val="21"/>
              </w:rPr>
            </w:pPr>
          </w:p>
        </w:tc>
        <w:tc>
          <w:tcPr>
            <w:tcW w:w="7947" w:type="dxa"/>
            <w:gridSpan w:val="5"/>
            <w:vAlign w:val="center"/>
          </w:tcPr>
          <w:p w14:paraId="6E5EBB88">
            <w:pPr>
              <w:spacing w:line="240" w:lineRule="auto"/>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bl>
    <w:p w14:paraId="03B3751E">
      <w:pPr>
        <w:spacing w:line="360" w:lineRule="auto"/>
        <w:jc w:val="left"/>
        <w:rPr>
          <w:rFonts w:ascii="Times New Roman" w:hAnsi="Times New Roman" w:eastAsia="宋体" w:cs="Times New Roman"/>
          <w:color w:val="auto"/>
          <w:sz w:val="24"/>
        </w:rPr>
      </w:pPr>
    </w:p>
    <w:p w14:paraId="16A0BE1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四、目标评价与成绩评定</w:t>
      </w:r>
    </w:p>
    <w:p w14:paraId="2FA9490E">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0C64699E">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2159"/>
        <w:gridCol w:w="2250"/>
        <w:gridCol w:w="2020"/>
      </w:tblGrid>
      <w:tr w14:paraId="1729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Merge w:val="restart"/>
            <w:vAlign w:val="center"/>
          </w:tcPr>
          <w:p w14:paraId="103BE48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3549" w:type="dxa"/>
            <w:gridSpan w:val="2"/>
            <w:vAlign w:val="center"/>
          </w:tcPr>
          <w:p w14:paraId="64B9F9B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626" w:type="dxa"/>
            <w:vMerge w:val="restart"/>
            <w:vAlign w:val="center"/>
          </w:tcPr>
          <w:p w14:paraId="4DAD949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02AE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Merge w:val="continue"/>
            <w:vAlign w:val="center"/>
          </w:tcPr>
          <w:p w14:paraId="3E8250C9">
            <w:pPr>
              <w:spacing w:line="360" w:lineRule="auto"/>
              <w:jc w:val="center"/>
              <w:rPr>
                <w:rFonts w:hint="eastAsia" w:ascii="宋体" w:hAnsi="宋体" w:eastAsia="宋体" w:cs="Times New Roman"/>
                <w:color w:val="auto"/>
                <w:szCs w:val="21"/>
              </w:rPr>
            </w:pPr>
          </w:p>
        </w:tc>
        <w:tc>
          <w:tcPr>
            <w:tcW w:w="1738" w:type="dxa"/>
            <w:vAlign w:val="center"/>
          </w:tcPr>
          <w:p w14:paraId="2861FB6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平时作业</w:t>
            </w:r>
          </w:p>
        </w:tc>
        <w:tc>
          <w:tcPr>
            <w:tcW w:w="1811" w:type="dxa"/>
            <w:vAlign w:val="center"/>
          </w:tcPr>
          <w:p w14:paraId="51F548D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1626" w:type="dxa"/>
            <w:vMerge w:val="continue"/>
            <w:vAlign w:val="center"/>
          </w:tcPr>
          <w:p w14:paraId="49F9794A">
            <w:pPr>
              <w:spacing w:line="360" w:lineRule="auto"/>
              <w:jc w:val="center"/>
              <w:rPr>
                <w:rFonts w:hint="eastAsia" w:ascii="宋体" w:hAnsi="宋体" w:eastAsia="宋体" w:cs="Times New Roman"/>
                <w:color w:val="auto"/>
                <w:szCs w:val="21"/>
              </w:rPr>
            </w:pPr>
          </w:p>
        </w:tc>
      </w:tr>
      <w:tr w14:paraId="52FD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0A569FE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738" w:type="dxa"/>
            <w:vAlign w:val="center"/>
          </w:tcPr>
          <w:p w14:paraId="3840AD8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811" w:type="dxa"/>
            <w:vAlign w:val="center"/>
          </w:tcPr>
          <w:p w14:paraId="244DA0EC">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26" w:type="dxa"/>
            <w:vAlign w:val="center"/>
          </w:tcPr>
          <w:p w14:paraId="5123519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7C50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61E7BF0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738" w:type="dxa"/>
            <w:vAlign w:val="center"/>
          </w:tcPr>
          <w:p w14:paraId="1298B94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811" w:type="dxa"/>
            <w:vAlign w:val="center"/>
          </w:tcPr>
          <w:p w14:paraId="0807A53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26" w:type="dxa"/>
            <w:vAlign w:val="center"/>
          </w:tcPr>
          <w:p w14:paraId="2859139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1495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4976AF9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1738" w:type="dxa"/>
            <w:vAlign w:val="center"/>
          </w:tcPr>
          <w:p w14:paraId="693C100C">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811" w:type="dxa"/>
            <w:vAlign w:val="center"/>
          </w:tcPr>
          <w:p w14:paraId="4040796C">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26" w:type="dxa"/>
            <w:vAlign w:val="center"/>
          </w:tcPr>
          <w:p w14:paraId="047EEEA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63D5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51A1DB5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课程目标4</w:t>
            </w:r>
          </w:p>
        </w:tc>
        <w:tc>
          <w:tcPr>
            <w:tcW w:w="1738" w:type="dxa"/>
            <w:vAlign w:val="center"/>
          </w:tcPr>
          <w:p w14:paraId="4967803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811" w:type="dxa"/>
            <w:vAlign w:val="center"/>
          </w:tcPr>
          <w:p w14:paraId="22AE133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26" w:type="dxa"/>
            <w:vAlign w:val="center"/>
          </w:tcPr>
          <w:p w14:paraId="0B2349D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23BA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16A5BBC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课程目标5</w:t>
            </w:r>
          </w:p>
        </w:tc>
        <w:tc>
          <w:tcPr>
            <w:tcW w:w="1738" w:type="dxa"/>
            <w:vAlign w:val="center"/>
          </w:tcPr>
          <w:p w14:paraId="6F22AC0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811" w:type="dxa"/>
            <w:vAlign w:val="center"/>
          </w:tcPr>
          <w:p w14:paraId="202E220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26" w:type="dxa"/>
            <w:vAlign w:val="center"/>
          </w:tcPr>
          <w:p w14:paraId="24DBEA5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53842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51A6995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738" w:type="dxa"/>
            <w:vAlign w:val="center"/>
          </w:tcPr>
          <w:p w14:paraId="7F5564BC">
            <w:pPr>
              <w:spacing w:line="360" w:lineRule="auto"/>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50</w:t>
            </w:r>
          </w:p>
        </w:tc>
        <w:tc>
          <w:tcPr>
            <w:tcW w:w="1811" w:type="dxa"/>
            <w:vAlign w:val="center"/>
          </w:tcPr>
          <w:p w14:paraId="0A06811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5</w:t>
            </w:r>
            <w:r>
              <w:rPr>
                <w:rFonts w:hint="eastAsia" w:ascii="宋体" w:hAnsi="宋体" w:eastAsia="宋体" w:cs="Times New Roman"/>
                <w:color w:val="auto"/>
                <w:szCs w:val="21"/>
              </w:rPr>
              <w:t>0</w:t>
            </w:r>
          </w:p>
        </w:tc>
        <w:tc>
          <w:tcPr>
            <w:tcW w:w="1626" w:type="dxa"/>
            <w:vAlign w:val="center"/>
          </w:tcPr>
          <w:p w14:paraId="36937F3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0EDAA99E">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75A9C259">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0F9E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269D8F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41B53F5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706" w:type="dxa"/>
            <w:vAlign w:val="center"/>
          </w:tcPr>
          <w:p w14:paraId="614ADA1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6DD6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55EEB3B">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7141" w:type="dxa"/>
            <w:vAlign w:val="center"/>
          </w:tcPr>
          <w:p w14:paraId="35730C4D">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706" w:type="dxa"/>
            <w:vAlign w:val="center"/>
          </w:tcPr>
          <w:p w14:paraId="19ABC5F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w:t>
            </w:r>
            <w:r>
              <w:rPr>
                <w:rFonts w:hint="eastAsia" w:ascii="Times New Roman" w:hAnsi="Times New Roman" w:eastAsia="宋体" w:cs="Times New Roman"/>
                <w:color w:val="auto"/>
                <w:szCs w:val="21"/>
              </w:rPr>
              <w:t>0%</w:t>
            </w:r>
          </w:p>
        </w:tc>
      </w:tr>
      <w:tr w14:paraId="10A1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908A238">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7141" w:type="dxa"/>
            <w:vAlign w:val="center"/>
          </w:tcPr>
          <w:p w14:paraId="6B442B5D">
            <w:pPr>
              <w:spacing w:line="264" w:lineRule="auto"/>
              <w:jc w:val="left"/>
              <w:rPr>
                <w:rFonts w:ascii="Times New Roman" w:hAnsi="Times New Roman" w:eastAsia="宋体" w:cs="Times New Roman"/>
                <w:color w:val="auto"/>
                <w:szCs w:val="21"/>
              </w:rPr>
            </w:pPr>
            <w:r>
              <w:rPr>
                <w:rFonts w:ascii="Times New Roman" w:hAnsi="Times New Roman" w:eastAsia="宋体" w:cs="Times New Roman"/>
                <w:color w:val="auto"/>
                <w:szCs w:val="21"/>
              </w:rPr>
              <w:t>试卷题型包括</w:t>
            </w:r>
            <w:r>
              <w:rPr>
                <w:rFonts w:hint="eastAsia" w:ascii="Times New Roman" w:hAnsi="Times New Roman" w:eastAsia="宋体" w:cs="Times New Roman"/>
                <w:color w:val="auto"/>
                <w:szCs w:val="21"/>
              </w:rPr>
              <w:t>选择题</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辨析</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简答题、论述题</w:t>
            </w:r>
            <w:r>
              <w:rPr>
                <w:rFonts w:ascii="Times New Roman" w:hAnsi="Times New Roman" w:eastAsia="宋体" w:cs="Times New Roman"/>
                <w:color w:val="auto"/>
                <w:szCs w:val="21"/>
              </w:rPr>
              <w:t>等，以卷面成绩的50%计入课程总成绩。其中考核</w:t>
            </w:r>
            <w:r>
              <w:rPr>
                <w:rFonts w:hint="eastAsia" w:ascii="Times New Roman" w:hAnsi="Times New Roman" w:eastAsia="宋体" w:cs="Times New Roman"/>
                <w:color w:val="auto"/>
                <w:szCs w:val="21"/>
              </w:rPr>
              <w:t>教育基本理论和知识型题目占3</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%；考核学生运用基本理论知识进行分析能力的题型占</w:t>
            </w:r>
            <w:r>
              <w:rPr>
                <w:rFonts w:ascii="Times New Roman" w:hAnsi="Times New Roman" w:eastAsia="宋体" w:cs="Times New Roman"/>
                <w:color w:val="auto"/>
                <w:szCs w:val="21"/>
              </w:rPr>
              <w:t>30</w:t>
            </w:r>
            <w:r>
              <w:rPr>
                <w:rFonts w:hint="eastAsia" w:ascii="Times New Roman" w:hAnsi="Times New Roman" w:eastAsia="宋体" w:cs="Times New Roman"/>
                <w:color w:val="auto"/>
                <w:szCs w:val="21"/>
              </w:rPr>
              <w:t>%；考核学生运用学与教的基本理论和知识进行教学设计的题型占</w:t>
            </w:r>
            <w:r>
              <w:rPr>
                <w:rFonts w:ascii="Times New Roman" w:hAnsi="Times New Roman" w:eastAsia="宋体" w:cs="Times New Roman"/>
                <w:color w:val="auto"/>
                <w:szCs w:val="21"/>
              </w:rPr>
              <w:t>30</w:t>
            </w:r>
            <w:r>
              <w:rPr>
                <w:rFonts w:hint="eastAsia" w:ascii="Times New Roman" w:hAnsi="Times New Roman" w:eastAsia="宋体" w:cs="Times New Roman"/>
                <w:color w:val="auto"/>
                <w:szCs w:val="21"/>
              </w:rPr>
              <w:t>%；考核学生初步研究能力的题型占1</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w:t>
            </w:r>
          </w:p>
        </w:tc>
        <w:tc>
          <w:tcPr>
            <w:tcW w:w="706" w:type="dxa"/>
            <w:vAlign w:val="center"/>
          </w:tcPr>
          <w:p w14:paraId="314073A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w:t>
            </w:r>
            <w:r>
              <w:rPr>
                <w:rFonts w:hint="eastAsia" w:ascii="Times New Roman" w:hAnsi="Times New Roman" w:eastAsia="宋体" w:cs="Times New Roman"/>
                <w:color w:val="auto"/>
                <w:szCs w:val="21"/>
              </w:rPr>
              <w:t>0%</w:t>
            </w:r>
          </w:p>
        </w:tc>
      </w:tr>
      <w:tr w14:paraId="1F8C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75" w:type="dxa"/>
            <w:vAlign w:val="center"/>
          </w:tcPr>
          <w:p w14:paraId="1079602C">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7141" w:type="dxa"/>
            <w:vAlign w:val="center"/>
          </w:tcPr>
          <w:p w14:paraId="1B6B2851">
            <w:pPr>
              <w:jc w:val="left"/>
              <w:rPr>
                <w:rFonts w:ascii="Times New Roman" w:hAnsi="Times New Roman" w:eastAsia="宋体" w:cs="Times New Roman"/>
                <w:color w:val="auto"/>
                <w:szCs w:val="21"/>
              </w:rPr>
            </w:pPr>
          </w:p>
        </w:tc>
        <w:tc>
          <w:tcPr>
            <w:tcW w:w="706" w:type="dxa"/>
            <w:vAlign w:val="center"/>
          </w:tcPr>
          <w:p w14:paraId="78F664F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68F61C76">
      <w:pPr>
        <w:numPr>
          <w:ilvl w:val="0"/>
          <w:numId w:val="0"/>
        </w:num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lang w:eastAsia="zh-CN"/>
        </w:rPr>
        <w:t>（</w:t>
      </w:r>
      <w:r>
        <w:rPr>
          <w:rFonts w:hint="eastAsia" w:ascii="宋体" w:hAnsi="宋体" w:eastAsia="宋体" w:cs="Times New Roman"/>
          <w:b/>
          <w:color w:val="auto"/>
          <w:szCs w:val="21"/>
          <w:lang w:val="en-US" w:eastAsia="zh-CN"/>
        </w:rPr>
        <w:t>三</w:t>
      </w:r>
      <w:r>
        <w:rPr>
          <w:rFonts w:hint="eastAsia" w:ascii="宋体" w:hAnsi="宋体" w:eastAsia="宋体" w:cs="Times New Roman"/>
          <w:b/>
          <w:color w:val="auto"/>
          <w:szCs w:val="21"/>
          <w:lang w:eastAsia="zh-CN"/>
        </w:rPr>
        <w:t>）</w:t>
      </w:r>
      <w:r>
        <w:rPr>
          <w:rFonts w:hint="eastAsia" w:ascii="宋体" w:hAnsi="宋体" w:eastAsia="宋体" w:cs="Times New Roman"/>
          <w:b/>
          <w:color w:val="auto"/>
          <w:szCs w:val="21"/>
        </w:rPr>
        <w:t>课程目标达成度计算方法</w:t>
      </w:r>
    </w:p>
    <w:p w14:paraId="44AECE68">
      <w:pPr>
        <w:spacing w:line="360" w:lineRule="auto"/>
        <w:ind w:firstLine="480" w:firstLineChars="200"/>
        <w:rPr>
          <w:rFonts w:hint="eastAsia" w:ascii="宋体" w:hAnsi="宋体" w:eastAsia="宋体" w:cs="Times New Roman"/>
          <w:b/>
          <w:color w:val="auto"/>
          <w:szCs w:val="21"/>
        </w:rPr>
      </w:pPr>
      <w:r>
        <w:rPr>
          <w:rFonts w:ascii="Times New Roman" w:hAnsi="Times New Roman" w:eastAsia="宋体" w:cs="Times New Roman"/>
          <w:color w:val="auto"/>
          <w:sz w:val="24"/>
        </w:rPr>
        <w:t>课程总评成绩=出勤情况成绩×10% +师生互动成绩×10% +作业成绩×30%+期末考试成绩×50%。</w:t>
      </w:r>
    </w:p>
    <w:p w14:paraId="01314912">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五、课程实践</w:t>
      </w:r>
    </w:p>
    <w:p w14:paraId="5ACCF07C">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本课程在系统教学的基础上，以学生为主题，整合各类教育资源，科学设计实践活动，丰富教育教学形式，提升教育教学效果，从而实现思政育人。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3329"/>
        <w:gridCol w:w="740"/>
        <w:gridCol w:w="3160"/>
      </w:tblGrid>
      <w:tr w14:paraId="1F59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90" w:type="dxa"/>
            <w:vAlign w:val="center"/>
          </w:tcPr>
          <w:p w14:paraId="484B447F">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3329" w:type="dxa"/>
            <w:vAlign w:val="center"/>
          </w:tcPr>
          <w:p w14:paraId="0A8F9DB3">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740" w:type="dxa"/>
            <w:vAlign w:val="center"/>
          </w:tcPr>
          <w:p w14:paraId="42A1932D">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3160" w:type="dxa"/>
            <w:vAlign w:val="center"/>
          </w:tcPr>
          <w:p w14:paraId="4B97F333">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思政目标</w:t>
            </w:r>
          </w:p>
        </w:tc>
      </w:tr>
      <w:tr w14:paraId="73F9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90" w:type="dxa"/>
            <w:vAlign w:val="center"/>
          </w:tcPr>
          <w:p w14:paraId="50602B0E">
            <w:pPr>
              <w:adjustRightInd w:val="0"/>
              <w:ind w:firstLine="198"/>
              <w:jc w:val="center"/>
              <w:rPr>
                <w:rFonts w:hint="eastAsia" w:ascii="宋体" w:hAnsi="宋体" w:eastAsia="宋体" w:cs="宋体"/>
                <w:color w:val="auto"/>
                <w:szCs w:val="21"/>
              </w:rPr>
            </w:pPr>
            <w:r>
              <w:rPr>
                <w:rFonts w:ascii="Times New Roman" w:hAnsi="Times New Roman" w:eastAsia="宋体" w:cs="Times New Roman"/>
                <w:bCs/>
                <w:color w:val="auto"/>
                <w:szCs w:val="21"/>
              </w:rPr>
              <w:t>LINGO操作</w:t>
            </w:r>
          </w:p>
        </w:tc>
        <w:tc>
          <w:tcPr>
            <w:tcW w:w="3329" w:type="dxa"/>
            <w:vAlign w:val="center"/>
          </w:tcPr>
          <w:p w14:paraId="14609719">
            <w:pPr>
              <w:ind w:firstLine="200"/>
              <w:rPr>
                <w:rFonts w:hint="eastAsia" w:ascii="宋体" w:hAnsi="宋体" w:eastAsia="宋体" w:cs="宋体"/>
                <w:color w:val="auto"/>
                <w:szCs w:val="21"/>
              </w:rPr>
            </w:pPr>
            <w:r>
              <w:rPr>
                <w:rFonts w:ascii="Times New Roman" w:hAnsi="Times New Roman" w:eastAsia="宋体" w:cs="Times New Roman"/>
                <w:bCs/>
                <w:color w:val="auto"/>
                <w:szCs w:val="21"/>
              </w:rPr>
              <w:t>利用LINGO软件对数学规划模型求解并进行相关的灵敏度分析。</w:t>
            </w:r>
          </w:p>
        </w:tc>
        <w:tc>
          <w:tcPr>
            <w:tcW w:w="740" w:type="dxa"/>
            <w:vAlign w:val="center"/>
          </w:tcPr>
          <w:p w14:paraId="589159D8">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课程实践作业</w:t>
            </w:r>
          </w:p>
        </w:tc>
        <w:tc>
          <w:tcPr>
            <w:tcW w:w="3160" w:type="dxa"/>
            <w:vAlign w:val="center"/>
          </w:tcPr>
          <w:p w14:paraId="5B30A369">
            <w:pPr>
              <w:spacing w:line="276" w:lineRule="auto"/>
              <w:jc w:val="left"/>
              <w:rPr>
                <w:rFonts w:hint="eastAsia" w:ascii="宋体" w:hAnsi="宋体" w:eastAsia="宋体" w:cs="宋体"/>
                <w:color w:val="auto"/>
                <w:sz w:val="21"/>
                <w:szCs w:val="21"/>
              </w:rPr>
            </w:pP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3955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90" w:type="dxa"/>
            <w:vAlign w:val="center"/>
          </w:tcPr>
          <w:p w14:paraId="535BD8A5">
            <w:pPr>
              <w:adjustRightInd w:val="0"/>
              <w:ind w:firstLine="198"/>
              <w:jc w:val="center"/>
              <w:rPr>
                <w:rFonts w:hint="eastAsia" w:ascii="宋体" w:hAnsi="宋体" w:eastAsia="宋体" w:cs="宋体"/>
                <w:color w:val="auto"/>
                <w:szCs w:val="21"/>
              </w:rPr>
            </w:pPr>
            <w:r>
              <w:rPr>
                <w:rFonts w:ascii="Times New Roman" w:hAnsi="Times New Roman" w:eastAsia="宋体" w:cs="Times New Roman"/>
                <w:bCs/>
                <w:color w:val="auto"/>
                <w:szCs w:val="21"/>
              </w:rPr>
              <w:t>MATLAB操作</w:t>
            </w:r>
          </w:p>
        </w:tc>
        <w:tc>
          <w:tcPr>
            <w:tcW w:w="3329" w:type="dxa"/>
            <w:vAlign w:val="center"/>
          </w:tcPr>
          <w:p w14:paraId="059321F7">
            <w:pPr>
              <w:ind w:firstLine="200"/>
              <w:rPr>
                <w:rFonts w:hint="eastAsia" w:ascii="宋体" w:hAnsi="宋体" w:eastAsia="宋体" w:cs="宋体"/>
                <w:color w:val="auto"/>
                <w:szCs w:val="21"/>
              </w:rPr>
            </w:pPr>
            <w:r>
              <w:rPr>
                <w:rFonts w:ascii="Times New Roman" w:hAnsi="Times New Roman" w:eastAsia="宋体" w:cs="Times New Roman"/>
                <w:bCs/>
                <w:color w:val="auto"/>
                <w:szCs w:val="21"/>
              </w:rPr>
              <w:t>利用Matlab软件对微分方程的参数进行估计、模拟求解并给出相应的表格和图像；利用Matlab软件对微分方程数值解进行模拟。</w:t>
            </w:r>
          </w:p>
        </w:tc>
        <w:tc>
          <w:tcPr>
            <w:tcW w:w="740" w:type="dxa"/>
            <w:vAlign w:val="center"/>
          </w:tcPr>
          <w:p w14:paraId="788AA30B">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课程实践作业</w:t>
            </w:r>
          </w:p>
        </w:tc>
        <w:tc>
          <w:tcPr>
            <w:tcW w:w="3160" w:type="dxa"/>
            <w:vAlign w:val="center"/>
          </w:tcPr>
          <w:p w14:paraId="799DE48A">
            <w:pPr>
              <w:spacing w:line="276" w:lineRule="auto"/>
              <w:jc w:val="left"/>
              <w:rPr>
                <w:rFonts w:hint="eastAsia" w:ascii="宋体" w:hAnsi="宋体" w:eastAsia="宋体" w:cs="宋体"/>
                <w:color w:val="auto"/>
                <w:sz w:val="21"/>
                <w:szCs w:val="21"/>
              </w:rPr>
            </w:pP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4C71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90" w:type="dxa"/>
            <w:vAlign w:val="center"/>
          </w:tcPr>
          <w:p w14:paraId="1E1A4A26">
            <w:pPr>
              <w:adjustRightInd w:val="0"/>
              <w:ind w:firstLine="198"/>
              <w:jc w:val="center"/>
              <w:rPr>
                <w:rFonts w:hint="eastAsia" w:ascii="宋体" w:hAnsi="宋体" w:eastAsia="宋体" w:cs="宋体"/>
                <w:color w:val="auto"/>
                <w:szCs w:val="21"/>
              </w:rPr>
            </w:pPr>
            <w:r>
              <w:rPr>
                <w:rFonts w:ascii="Times New Roman" w:hAnsi="Times New Roman" w:eastAsia="宋体" w:cs="Times New Roman"/>
                <w:bCs/>
                <w:color w:val="auto"/>
                <w:szCs w:val="21"/>
              </w:rPr>
              <w:t>MATLAB操作</w:t>
            </w:r>
          </w:p>
        </w:tc>
        <w:tc>
          <w:tcPr>
            <w:tcW w:w="3329" w:type="dxa"/>
            <w:vAlign w:val="center"/>
          </w:tcPr>
          <w:p w14:paraId="719B633A">
            <w:pPr>
              <w:ind w:firstLine="200"/>
              <w:rPr>
                <w:rFonts w:hint="eastAsia" w:ascii="宋体" w:hAnsi="宋体" w:eastAsia="宋体" w:cs="宋体"/>
                <w:color w:val="auto"/>
                <w:szCs w:val="21"/>
              </w:rPr>
            </w:pPr>
            <w:r>
              <w:rPr>
                <w:rFonts w:ascii="Times New Roman" w:hAnsi="Times New Roman" w:eastAsia="宋体" w:cs="Times New Roman"/>
                <w:bCs/>
                <w:color w:val="auto"/>
                <w:szCs w:val="21"/>
              </w:rPr>
              <w:t>利用Matlab软件对差分方程和代数方程的进行模拟并作出图像。</w:t>
            </w:r>
          </w:p>
        </w:tc>
        <w:tc>
          <w:tcPr>
            <w:tcW w:w="740" w:type="dxa"/>
            <w:vAlign w:val="center"/>
          </w:tcPr>
          <w:p w14:paraId="713A9696">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课程实践作业</w:t>
            </w:r>
          </w:p>
        </w:tc>
        <w:tc>
          <w:tcPr>
            <w:tcW w:w="3160" w:type="dxa"/>
            <w:vAlign w:val="center"/>
          </w:tcPr>
          <w:p w14:paraId="6FAFF5B2">
            <w:pPr>
              <w:spacing w:line="276" w:lineRule="auto"/>
              <w:jc w:val="left"/>
              <w:rPr>
                <w:rFonts w:hint="eastAsia" w:ascii="宋体" w:hAnsi="宋体" w:eastAsia="宋体" w:cs="宋体"/>
                <w:b/>
                <w:bCs/>
                <w:color w:val="auto"/>
                <w:sz w:val="21"/>
                <w:szCs w:val="21"/>
              </w:rPr>
            </w:pP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p>
        </w:tc>
      </w:tr>
      <w:tr w14:paraId="2E56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90" w:type="dxa"/>
            <w:vAlign w:val="center"/>
          </w:tcPr>
          <w:p w14:paraId="3D6A8EF4">
            <w:pPr>
              <w:adjustRightInd w:val="0"/>
              <w:ind w:firstLine="198"/>
              <w:jc w:val="center"/>
              <w:rPr>
                <w:rFonts w:hint="eastAsia" w:ascii="宋体" w:hAnsi="宋体" w:eastAsia="宋体" w:cs="宋体"/>
                <w:color w:val="auto"/>
                <w:szCs w:val="21"/>
              </w:rPr>
            </w:pPr>
            <w:r>
              <w:rPr>
                <w:rFonts w:ascii="Times New Roman" w:hAnsi="Times New Roman" w:eastAsia="宋体" w:cs="Times New Roman"/>
                <w:bCs/>
                <w:color w:val="auto"/>
                <w:szCs w:val="21"/>
              </w:rPr>
              <w:t>MATLAB操作</w:t>
            </w:r>
          </w:p>
        </w:tc>
        <w:tc>
          <w:tcPr>
            <w:tcW w:w="3329" w:type="dxa"/>
            <w:vAlign w:val="center"/>
          </w:tcPr>
          <w:p w14:paraId="3BFAE8BA">
            <w:pPr>
              <w:ind w:firstLine="200"/>
              <w:rPr>
                <w:rFonts w:hint="eastAsia" w:ascii="宋体" w:hAnsi="宋体" w:eastAsia="宋体" w:cs="宋体"/>
                <w:color w:val="auto"/>
                <w:szCs w:val="21"/>
              </w:rPr>
            </w:pPr>
            <w:r>
              <w:rPr>
                <w:rFonts w:ascii="Times New Roman" w:hAnsi="Times New Roman" w:eastAsia="宋体" w:cs="Times New Roman"/>
                <w:bCs/>
                <w:color w:val="auto"/>
                <w:szCs w:val="21"/>
              </w:rPr>
              <w:t>基于多属性决策和层次分析法，利用Matlab软件对实际问题进行决策，并给出相应的最优方案。</w:t>
            </w:r>
          </w:p>
        </w:tc>
        <w:tc>
          <w:tcPr>
            <w:tcW w:w="740" w:type="dxa"/>
            <w:vAlign w:val="center"/>
          </w:tcPr>
          <w:p w14:paraId="23BF095B">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rPr>
              <w:t>课程实践作业</w:t>
            </w:r>
          </w:p>
        </w:tc>
        <w:tc>
          <w:tcPr>
            <w:tcW w:w="3160" w:type="dxa"/>
            <w:vAlign w:val="center"/>
          </w:tcPr>
          <w:p w14:paraId="72D69D1B">
            <w:pPr>
              <w:spacing w:line="276" w:lineRule="auto"/>
              <w:jc w:val="left"/>
              <w:rPr>
                <w:rFonts w:hint="eastAsia" w:ascii="宋体" w:hAnsi="宋体" w:eastAsia="宋体" w:cs="宋体"/>
                <w:color w:val="auto"/>
                <w:sz w:val="21"/>
                <w:szCs w:val="21"/>
              </w:rPr>
            </w:pPr>
            <w:r>
              <w:rPr>
                <w:rFonts w:ascii="Times New Roman" w:hAnsi="Times New Roman" w:eastAsia="宋体" w:cs="Times New Roman"/>
                <w:color w:val="auto"/>
                <w:sz w:val="21"/>
                <w:szCs w:val="21"/>
              </w:rPr>
              <w:t>注重理论联系实际，尊重客观规律，树立社会主义核心价值观，增强专业素养，强调理论对实践的指导意义</w:t>
            </w:r>
            <w:r>
              <w:rPr>
                <w:rFonts w:hint="eastAsia" w:ascii="宋体" w:hAnsi="宋体" w:eastAsia="宋体" w:cs="宋体"/>
                <w:color w:val="auto"/>
                <w:sz w:val="21"/>
                <w:szCs w:val="21"/>
              </w:rPr>
              <w:t>。</w:t>
            </w:r>
          </w:p>
        </w:tc>
      </w:tr>
    </w:tbl>
    <w:p w14:paraId="2111C16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4"/>
          <w:szCs w:val="24"/>
        </w:rPr>
        <w:t>六、有关说明</w:t>
      </w:r>
    </w:p>
    <w:p w14:paraId="41357D2F">
      <w:pPr>
        <w:spacing w:line="360" w:lineRule="auto"/>
        <w:ind w:firstLine="422" w:firstLineChars="20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（一）持续改进</w:t>
      </w:r>
    </w:p>
    <w:p w14:paraId="3C105C13">
      <w:pPr>
        <w:spacing w:line="360" w:lineRule="auto"/>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 提倡改革教学方法，强调应用现代化教学手段，如课件、互联网视频教学和网络答疑等。</w:t>
      </w:r>
    </w:p>
    <w:p w14:paraId="5AA9233C">
      <w:pPr>
        <w:spacing w:line="360" w:lineRule="auto"/>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2.合理安排教学课时，加强课堂提问、课堂小测验等旨在督促学生自主学习的教学环节；引导学生做好课前预习、课后整理笔记并及时完成作业的复习工作；保证学生完成一定数量的作业和习题。</w:t>
      </w:r>
    </w:p>
    <w:p w14:paraId="25B9A8F0">
      <w:pPr>
        <w:spacing w:line="360" w:lineRule="auto"/>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3．教学用的例题和习题，应适当结合工程实际。</w:t>
      </w:r>
    </w:p>
    <w:p w14:paraId="5E92C77E">
      <w:pPr>
        <w:spacing w:line="360" w:lineRule="auto"/>
        <w:ind w:firstLine="422" w:firstLineChars="20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（二）参考书目及学习资料</w:t>
      </w:r>
    </w:p>
    <w:p w14:paraId="3FFC117A">
      <w:pPr>
        <w:spacing w:line="400" w:lineRule="atLeast"/>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 《数学模型》，姜启源，高等教育出版社，2018.5</w:t>
      </w:r>
    </w:p>
    <w:p w14:paraId="199CA14B">
      <w:pPr>
        <w:wordWrap w:val="0"/>
        <w:autoSpaceDE w:val="0"/>
        <w:autoSpaceDN w:val="0"/>
        <w:adjustRightInd w:val="0"/>
        <w:spacing w:line="360" w:lineRule="auto"/>
        <w:jc w:val="right"/>
        <w:rPr>
          <w:rFonts w:hint="eastAsia" w:ascii="宋体" w:hAnsi="宋体" w:eastAsia="宋体" w:cs="Times New Roman"/>
          <w:color w:val="auto"/>
          <w:kern w:val="0"/>
          <w:sz w:val="21"/>
          <w:szCs w:val="18"/>
        </w:rPr>
      </w:pPr>
      <w:r>
        <w:rPr>
          <w:rFonts w:ascii="宋体" w:hAnsi="宋体" w:eastAsia="宋体" w:cs="Times New Roman"/>
          <w:color w:val="auto"/>
          <w:kern w:val="0"/>
          <w:sz w:val="21"/>
          <w:szCs w:val="18"/>
        </w:rPr>
        <w:t>执笔人：</w:t>
      </w:r>
      <w:r>
        <w:rPr>
          <w:rFonts w:hint="eastAsia" w:ascii="宋体" w:hAnsi="宋体" w:eastAsia="宋体" w:cs="Times New Roman"/>
          <w:color w:val="auto"/>
          <w:kern w:val="0"/>
          <w:sz w:val="21"/>
          <w:szCs w:val="18"/>
        </w:rPr>
        <w:t>李</w:t>
      </w:r>
      <w:r>
        <w:rPr>
          <w:rFonts w:hint="eastAsia" w:ascii="宋体" w:hAnsi="宋体" w:eastAsia="宋体" w:cs="Times New Roman"/>
          <w:color w:val="auto"/>
          <w:kern w:val="0"/>
          <w:sz w:val="21"/>
          <w:szCs w:val="18"/>
          <w:lang w:val="en-US" w:eastAsia="zh-CN"/>
        </w:rPr>
        <w:t xml:space="preserve">  </w:t>
      </w:r>
      <w:r>
        <w:rPr>
          <w:rFonts w:hint="eastAsia" w:ascii="宋体" w:hAnsi="宋体" w:eastAsia="宋体" w:cs="Times New Roman"/>
          <w:color w:val="auto"/>
          <w:kern w:val="0"/>
          <w:sz w:val="21"/>
          <w:szCs w:val="18"/>
        </w:rPr>
        <w:t xml:space="preserve">森  </w:t>
      </w:r>
    </w:p>
    <w:p w14:paraId="28E47212">
      <w:pPr>
        <w:wordWrap w:val="0"/>
        <w:autoSpaceDE w:val="0"/>
        <w:autoSpaceDN w:val="0"/>
        <w:adjustRightInd w:val="0"/>
        <w:spacing w:line="360" w:lineRule="auto"/>
        <w:jc w:val="right"/>
        <w:rPr>
          <w:rFonts w:hint="eastAsia" w:ascii="宋体" w:hAnsi="宋体" w:eastAsia="宋体" w:cs="Times New Roman"/>
          <w:color w:val="auto"/>
          <w:kern w:val="0"/>
          <w:sz w:val="21"/>
          <w:szCs w:val="18"/>
        </w:rPr>
      </w:pPr>
      <w:r>
        <w:rPr>
          <w:rFonts w:hint="eastAsia" w:ascii="宋体" w:hAnsi="宋体" w:eastAsia="宋体" w:cs="Times New Roman"/>
          <w:color w:val="auto"/>
          <w:kern w:val="0"/>
          <w:sz w:val="21"/>
          <w:szCs w:val="18"/>
        </w:rPr>
        <w:t>审定人：钱</w:t>
      </w:r>
      <w:r>
        <w:rPr>
          <w:rFonts w:hint="eastAsia" w:ascii="宋体" w:hAnsi="宋体" w:eastAsia="宋体" w:cs="Times New Roman"/>
          <w:color w:val="auto"/>
          <w:kern w:val="0"/>
          <w:sz w:val="21"/>
          <w:szCs w:val="18"/>
          <w:lang w:val="en-US" w:eastAsia="zh-CN"/>
        </w:rPr>
        <w:t xml:space="preserve">  </w:t>
      </w:r>
      <w:r>
        <w:rPr>
          <w:rFonts w:hint="eastAsia" w:ascii="宋体" w:hAnsi="宋体" w:eastAsia="宋体" w:cs="Times New Roman"/>
          <w:color w:val="auto"/>
          <w:kern w:val="0"/>
          <w:sz w:val="21"/>
          <w:szCs w:val="18"/>
        </w:rPr>
        <w:t xml:space="preserve">峰  </w:t>
      </w:r>
    </w:p>
    <w:p w14:paraId="5EF8DC60">
      <w:pPr>
        <w:wordWrap w:val="0"/>
        <w:autoSpaceDE w:val="0"/>
        <w:autoSpaceDN w:val="0"/>
        <w:adjustRightInd w:val="0"/>
        <w:spacing w:line="360" w:lineRule="auto"/>
        <w:jc w:val="right"/>
        <w:rPr>
          <w:rFonts w:hint="eastAsia" w:ascii="宋体" w:hAnsi="宋体" w:eastAsia="宋体" w:cs="Times New Roman"/>
          <w:color w:val="auto"/>
          <w:kern w:val="0"/>
          <w:sz w:val="21"/>
          <w:szCs w:val="18"/>
        </w:rPr>
      </w:pPr>
      <w:r>
        <w:rPr>
          <w:rFonts w:hint="eastAsia" w:ascii="宋体" w:hAnsi="宋体" w:eastAsia="宋体" w:cs="Times New Roman"/>
          <w:color w:val="auto"/>
          <w:kern w:val="0"/>
          <w:sz w:val="21"/>
          <w:szCs w:val="18"/>
        </w:rPr>
        <w:t xml:space="preserve">审批人：王献东  </w:t>
      </w:r>
    </w:p>
    <w:p w14:paraId="0C2B45CA">
      <w:pPr>
        <w:autoSpaceDE w:val="0"/>
        <w:autoSpaceDN w:val="0"/>
        <w:adjustRightInd w:val="0"/>
        <w:spacing w:line="360" w:lineRule="auto"/>
        <w:jc w:val="right"/>
        <w:rPr>
          <w:rFonts w:ascii="Calibri" w:hAnsi="Calibri" w:eastAsia="宋体" w:cs="Times New Roman"/>
          <w:color w:val="auto"/>
          <w:kern w:val="0"/>
          <w:sz w:val="21"/>
          <w:szCs w:val="18"/>
        </w:rPr>
      </w:pPr>
      <w:r>
        <w:rPr>
          <w:rFonts w:hint="eastAsia" w:ascii="Calibri" w:hAnsi="Calibri" w:eastAsia="宋体" w:cs="Times New Roman"/>
          <w:color w:val="auto"/>
          <w:kern w:val="0"/>
          <w:sz w:val="21"/>
          <w:szCs w:val="18"/>
          <w:lang w:eastAsia="zh-CN"/>
        </w:rPr>
        <w:t>批准时间：2025年7月1日</w:t>
      </w:r>
      <w:r>
        <w:rPr>
          <w:rFonts w:ascii="Calibri" w:hAnsi="Calibri" w:eastAsia="宋体" w:cs="Times New Roman"/>
          <w:color w:val="auto"/>
          <w:kern w:val="0"/>
          <w:sz w:val="21"/>
          <w:szCs w:val="18"/>
        </w:rPr>
        <w:t xml:space="preserve"> </w:t>
      </w:r>
    </w:p>
    <w:p w14:paraId="732113F9">
      <w:pPr>
        <w:rPr>
          <w:color w:val="auto"/>
        </w:rPr>
      </w:pPr>
    </w:p>
    <w:p w14:paraId="57081D22">
      <w:pPr>
        <w:rPr>
          <w:color w:val="auto"/>
        </w:rPr>
      </w:pPr>
      <w:r>
        <w:rPr>
          <w:rFonts w:hint="eastAsia"/>
          <w:color w:val="auto"/>
        </w:rPr>
        <w:br w:type="page"/>
      </w:r>
    </w:p>
    <w:p w14:paraId="6D528DEC">
      <w:pPr>
        <w:spacing w:line="360" w:lineRule="auto"/>
        <w:jc w:val="center"/>
        <w:outlineLvl w:val="0"/>
        <w:rPr>
          <w:rFonts w:hint="eastAsia" w:ascii="Times New Roman" w:hAnsi="Times New Roman" w:eastAsia="宋体" w:cs="Times New Roman"/>
          <w:b/>
          <w:color w:val="auto"/>
          <w:sz w:val="44"/>
          <w:szCs w:val="44"/>
        </w:rPr>
      </w:pPr>
      <w:bookmarkStart w:id="436" w:name="_Toc20895"/>
      <w:r>
        <w:rPr>
          <w:rFonts w:hint="eastAsia" w:ascii="Times New Roman" w:hAnsi="Times New Roman" w:eastAsia="宋体" w:cs="Times New Roman"/>
          <w:b/>
          <w:color w:val="auto"/>
          <w:sz w:val="44"/>
          <w:szCs w:val="44"/>
        </w:rPr>
        <w:t>《小学数学教学案例研究》课程教学大纲</w:t>
      </w:r>
      <w:bookmarkEnd w:id="434"/>
      <w:bookmarkEnd w:id="435"/>
      <w:bookmarkEnd w:id="436"/>
    </w:p>
    <w:p w14:paraId="131B7825">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（The Case Study of Mathematical Teaching in Primary School）</w:t>
      </w:r>
    </w:p>
    <w:p w14:paraId="1FDCDC04">
      <w:pPr>
        <w:spacing w:line="360" w:lineRule="auto"/>
        <w:jc w:val="center"/>
        <w:rPr>
          <w:rFonts w:ascii="Times New Roman" w:hAnsi="Times New Roman" w:eastAsia="宋体" w:cs="Times New Roman"/>
          <w:bCs/>
          <w:color w:val="auto"/>
          <w:sz w:val="21"/>
          <w:szCs w:val="21"/>
        </w:rPr>
      </w:pPr>
    </w:p>
    <w:p w14:paraId="76F13E3F">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课程名称：小学数学教学案例研究</w:t>
      </w:r>
    </w:p>
    <w:p w14:paraId="1FEDEAF4">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w:t>
      </w:r>
      <w:r>
        <w:rPr>
          <w:rFonts w:ascii="Times New Roman" w:hAnsi="Times New Roman" w:eastAsia="宋体" w:cs="Times New Roman"/>
          <w:b/>
          <w:color w:val="auto"/>
          <w:sz w:val="24"/>
          <w:szCs w:val="24"/>
        </w:rPr>
        <w:t>2401041</w:t>
      </w:r>
    </w:p>
    <w:p w14:paraId="055B540F">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w:t>
      </w:r>
      <w:r>
        <w:rPr>
          <w:rFonts w:ascii="Times New Roman" w:hAnsi="Times New Roman" w:eastAsia="宋体" w:cs="Times New Roman"/>
          <w:b/>
          <w:color w:val="auto"/>
          <w:sz w:val="24"/>
          <w:szCs w:val="24"/>
        </w:rPr>
        <w:t xml:space="preserve">    分：2</w:t>
      </w:r>
    </w:p>
    <w:p w14:paraId="1BB46685">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w:t>
      </w:r>
      <w:r>
        <w:rPr>
          <w:rFonts w:ascii="Times New Roman" w:hAnsi="Times New Roman" w:eastAsia="宋体" w:cs="Times New Roman"/>
          <w:b/>
          <w:color w:val="auto"/>
          <w:sz w:val="24"/>
          <w:szCs w:val="24"/>
        </w:rPr>
        <w:t xml:space="preserve">    时：32 （其中：讲授学时16， 实践学时16）</w:t>
      </w:r>
    </w:p>
    <w:p w14:paraId="72CDB017">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先修课程：教育心理学、课程与教学论、小学数学课程标准与教材分析、小学数学教学设计与实施</w:t>
      </w:r>
    </w:p>
    <w:p w14:paraId="57E94FE6">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适用专业：小学教育（理）</w:t>
      </w:r>
    </w:p>
    <w:p w14:paraId="3B10431E">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一、课程简介</w:t>
      </w:r>
    </w:p>
    <w:p w14:paraId="79EBB1AF">
      <w:pPr>
        <w:spacing w:line="360" w:lineRule="auto"/>
        <w:ind w:firstLine="420" w:firstLineChars="200"/>
        <w:jc w:val="left"/>
        <w:rPr>
          <w:rFonts w:hint="eastAsia" w:ascii="宋体" w:hAnsi="宋体" w:eastAsia="宋体" w:cs="Times New Roman"/>
          <w:b/>
          <w:color w:val="auto"/>
          <w:szCs w:val="21"/>
        </w:rPr>
      </w:pPr>
      <w:bookmarkStart w:id="437" w:name="_Toc27847296"/>
      <w:bookmarkStart w:id="438" w:name="_Toc27846278"/>
      <w:r>
        <w:rPr>
          <w:rFonts w:hint="eastAsia" w:ascii="Times New Roman" w:hAnsi="Times New Roman" w:eastAsia="宋体" w:cs="Times New Roman"/>
          <w:color w:val="auto"/>
          <w:szCs w:val="21"/>
        </w:rPr>
        <w:t>本课程是小学教育（理）专业的一门专业选修课程。本课程旨在帮助师范生通过对小学数学教学案例的分析，获取有益的数学教学经验，加深对数学教学理论的理解，树立正确的教学观，为成为一名合格的小学数学教师打下良好的基础。</w:t>
      </w:r>
    </w:p>
    <w:p w14:paraId="620C73F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二、课程目标</w:t>
      </w:r>
      <w:bookmarkEnd w:id="437"/>
      <w:bookmarkEnd w:id="438"/>
    </w:p>
    <w:p w14:paraId="12C9D26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Cs w:val="21"/>
        </w:rPr>
      </w:pPr>
      <w:bookmarkStart w:id="439" w:name="_Toc27847297"/>
      <w:bookmarkStart w:id="440" w:name="_Toc27846279"/>
      <w:r>
        <w:rPr>
          <w:rFonts w:hint="eastAsia" w:ascii="宋体" w:hAnsi="宋体" w:eastAsia="宋体" w:cs="Times New Roman"/>
          <w:b/>
          <w:color w:val="auto"/>
          <w:szCs w:val="21"/>
        </w:rPr>
        <w:t>（一）课程具体目标</w:t>
      </w:r>
      <w:bookmarkEnd w:id="439"/>
      <w:bookmarkEnd w:id="440"/>
    </w:p>
    <w:p w14:paraId="639A779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w:t>
      </w:r>
      <w:r>
        <w:rPr>
          <w:rFonts w:ascii="Times New Roman" w:hAnsi="Times New Roman" w:eastAsia="宋体" w:cs="Times New Roman"/>
          <w:color w:val="auto"/>
          <w:szCs w:val="21"/>
        </w:rPr>
        <w:t>1. 理解小学数学教学案例及案例研究的内涵；明确小学数学教学案例研究的价值；了解小学数学教学案例的结构与类型；理解小学数学教学案例研究的目标，掌握小学数学教学案例研究的基本方法。</w:t>
      </w:r>
    </w:p>
    <w:p w14:paraId="37E9B29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w:t>
      </w:r>
      <w:r>
        <w:rPr>
          <w:rFonts w:ascii="Times New Roman" w:hAnsi="Times New Roman" w:eastAsia="宋体" w:cs="Times New Roman"/>
          <w:color w:val="auto"/>
          <w:szCs w:val="21"/>
        </w:rPr>
        <w:t>2. 能够依据《数学课程标准》关于小学数学各领域的目标要求分析相关案例；了解各领域教学内容的一般特点及教学策略；能够对相关案例作出</w:t>
      </w:r>
      <w:r>
        <w:rPr>
          <w:rFonts w:hint="eastAsia" w:ascii="Times New Roman" w:hAnsi="Times New Roman" w:eastAsia="宋体" w:cs="Times New Roman"/>
          <w:color w:val="auto"/>
          <w:szCs w:val="21"/>
        </w:rPr>
        <w:t>合理</w:t>
      </w:r>
      <w:r>
        <w:rPr>
          <w:rFonts w:ascii="Times New Roman" w:hAnsi="Times New Roman" w:eastAsia="宋体" w:cs="Times New Roman"/>
          <w:color w:val="auto"/>
          <w:szCs w:val="21"/>
        </w:rPr>
        <w:t>的评价并提出自己的教学设想。</w:t>
      </w:r>
    </w:p>
    <w:p w14:paraId="1B753E8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w:t>
      </w:r>
      <w:r>
        <w:rPr>
          <w:rFonts w:ascii="Times New Roman" w:hAnsi="Times New Roman" w:eastAsia="宋体" w:cs="Times New Roman"/>
          <w:color w:val="auto"/>
          <w:szCs w:val="21"/>
        </w:rPr>
        <w:t xml:space="preserve">3. </w:t>
      </w:r>
      <w:r>
        <w:rPr>
          <w:rFonts w:hint="eastAsia" w:ascii="Times New Roman" w:hAnsi="Times New Roman" w:eastAsia="宋体" w:cs="Times New Roman"/>
          <w:color w:val="auto"/>
          <w:szCs w:val="21"/>
        </w:rPr>
        <w:t>坚持全面发展的教学评价观，能充分借鉴小学数学案例中的育人理念和方法，形成较强的学科育人意识，养成科学、严谨的教学态度。</w:t>
      </w:r>
    </w:p>
    <w:p w14:paraId="7BED45B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目标4</w:t>
      </w:r>
      <w:r>
        <w:rPr>
          <w:rFonts w:ascii="Times New Roman" w:hAnsi="Times New Roman" w:eastAsia="宋体" w:cs="Times New Roman"/>
          <w:color w:val="auto"/>
          <w:szCs w:val="21"/>
        </w:rPr>
        <w:t>. 借鉴名师的先进经验，敢于挑战权威，勇于创新，具有较强的研究能力和反思能力。形成严谨、踏实的学习和教学态度，能够主动寻求同学和老师的帮助，具有强烈的团队合作意识。</w:t>
      </w:r>
    </w:p>
    <w:p w14:paraId="58987AE9">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6173"/>
        <w:gridCol w:w="1327"/>
      </w:tblGrid>
      <w:tr w14:paraId="5623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7" w:type="dxa"/>
            <w:vAlign w:val="center"/>
          </w:tcPr>
          <w:p w14:paraId="6CB0192E">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173" w:type="dxa"/>
            <w:vAlign w:val="center"/>
          </w:tcPr>
          <w:p w14:paraId="3AC2E010">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327" w:type="dxa"/>
            <w:vAlign w:val="center"/>
          </w:tcPr>
          <w:p w14:paraId="611AA472">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1417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7" w:type="dxa"/>
            <w:vMerge w:val="restart"/>
            <w:vAlign w:val="center"/>
          </w:tcPr>
          <w:p w14:paraId="2DCDAB00">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r>
              <w:rPr>
                <w:rFonts w:ascii="Times New Roman" w:hAnsi="Times New Roman" w:eastAsia="宋体" w:cs="Times New Roman"/>
                <w:b/>
                <w:bCs/>
                <w:color w:val="auto"/>
                <w:szCs w:val="21"/>
              </w:rPr>
              <w:t>4</w:t>
            </w:r>
          </w:p>
          <w:p w14:paraId="4625DED7">
            <w:pPr>
              <w:spacing w:line="276" w:lineRule="auto"/>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教学能力</w:t>
            </w:r>
          </w:p>
        </w:tc>
        <w:tc>
          <w:tcPr>
            <w:tcW w:w="6173" w:type="dxa"/>
            <w:vAlign w:val="center"/>
          </w:tcPr>
          <w:p w14:paraId="35E2AEA8">
            <w:pPr>
              <w:spacing w:line="276" w:lineRule="auto"/>
              <w:jc w:val="left"/>
              <w:rPr>
                <w:rFonts w:hint="eastAsia" w:ascii="Times New Roman" w:hAnsi="Times New Roman" w:eastAsia="宋体" w:cs="Times New Roman"/>
                <w:color w:val="auto"/>
                <w:szCs w:val="21"/>
                <w:lang w:eastAsia="zh-CN"/>
              </w:rPr>
            </w:pPr>
            <w:r>
              <w:rPr>
                <w:rFonts w:hint="eastAsia" w:ascii="宋体" w:hAnsi="宋体" w:eastAsia="宋体" w:cs="Times New Roman"/>
                <w:color w:val="auto"/>
                <w:spacing w:val="2"/>
                <w:kern w:val="0"/>
                <w:szCs w:val="21"/>
                <w:lang w:eastAsia="zh-CN"/>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327" w:type="dxa"/>
            <w:vAlign w:val="center"/>
          </w:tcPr>
          <w:p w14:paraId="5453209F">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1</w:t>
            </w:r>
          </w:p>
        </w:tc>
      </w:tr>
      <w:tr w14:paraId="6F18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7" w:type="dxa"/>
            <w:vMerge w:val="continue"/>
            <w:vAlign w:val="center"/>
          </w:tcPr>
          <w:p w14:paraId="5ECF0A2F">
            <w:pPr>
              <w:spacing w:line="276" w:lineRule="auto"/>
              <w:jc w:val="center"/>
              <w:rPr>
                <w:rFonts w:ascii="Times New Roman" w:hAnsi="Times New Roman" w:eastAsia="宋体" w:cs="Times New Roman"/>
                <w:b/>
                <w:bCs/>
                <w:color w:val="auto"/>
                <w:szCs w:val="21"/>
              </w:rPr>
            </w:pPr>
          </w:p>
        </w:tc>
        <w:tc>
          <w:tcPr>
            <w:tcW w:w="6173" w:type="dxa"/>
            <w:vAlign w:val="center"/>
          </w:tcPr>
          <w:p w14:paraId="47C68783">
            <w:pPr>
              <w:spacing w:line="276" w:lineRule="auto"/>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26498FA6">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2</w:t>
            </w:r>
          </w:p>
        </w:tc>
      </w:tr>
      <w:tr w14:paraId="4858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7" w:type="dxa"/>
            <w:vAlign w:val="center"/>
          </w:tcPr>
          <w:p w14:paraId="1BB52FCC">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r>
              <w:rPr>
                <w:rFonts w:ascii="Times New Roman" w:hAnsi="Times New Roman" w:eastAsia="宋体" w:cs="Times New Roman"/>
                <w:b/>
                <w:bCs/>
                <w:color w:val="auto"/>
                <w:szCs w:val="21"/>
              </w:rPr>
              <w:t>6</w:t>
            </w:r>
          </w:p>
          <w:p w14:paraId="10F754B1">
            <w:pPr>
              <w:spacing w:line="276" w:lineRule="auto"/>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综合育人</w:t>
            </w:r>
          </w:p>
        </w:tc>
        <w:tc>
          <w:tcPr>
            <w:tcW w:w="6173" w:type="dxa"/>
            <w:vAlign w:val="center"/>
          </w:tcPr>
          <w:p w14:paraId="7B78CAE3">
            <w:pPr>
              <w:spacing w:line="276" w:lineRule="auto"/>
              <w:jc w:val="left"/>
              <w:rPr>
                <w:rFonts w:ascii="Times New Roman" w:hAnsi="Times New Roman" w:eastAsia="宋体" w:cs="Times New Roman"/>
                <w:color w:val="auto"/>
                <w:szCs w:val="21"/>
              </w:rPr>
            </w:pPr>
            <w:r>
              <w:rPr>
                <w:rFonts w:hint="eastAsia" w:ascii="宋体" w:hAnsi="宋体" w:eastAsia="宋体" w:cs="Times New Roman"/>
                <w:color w:val="auto"/>
                <w:spacing w:val="2"/>
                <w:kern w:val="0"/>
                <w:szCs w:val="21"/>
              </w:rPr>
              <w:t>指标点</w:t>
            </w:r>
            <w:r>
              <w:rPr>
                <w:rFonts w:ascii="宋体" w:hAnsi="宋体" w:eastAsia="宋体" w:cs="Times New Roman"/>
                <w:color w:val="auto"/>
                <w:spacing w:val="2"/>
                <w:kern w:val="0"/>
                <w:szCs w:val="21"/>
              </w:rPr>
              <w:t>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327" w:type="dxa"/>
            <w:vAlign w:val="center"/>
          </w:tcPr>
          <w:p w14:paraId="640C5655">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3</w:t>
            </w:r>
          </w:p>
        </w:tc>
      </w:tr>
      <w:tr w14:paraId="1805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7" w:type="dxa"/>
            <w:vAlign w:val="center"/>
          </w:tcPr>
          <w:p w14:paraId="13FF1BD8">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r>
              <w:rPr>
                <w:rFonts w:ascii="Times New Roman" w:hAnsi="Times New Roman" w:eastAsia="宋体" w:cs="Times New Roman"/>
                <w:b/>
                <w:bCs/>
                <w:color w:val="auto"/>
                <w:szCs w:val="21"/>
              </w:rPr>
              <w:t>7</w:t>
            </w:r>
          </w:p>
          <w:p w14:paraId="3CDBF2A1">
            <w:pPr>
              <w:spacing w:line="276" w:lineRule="auto"/>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学会反思</w:t>
            </w:r>
          </w:p>
        </w:tc>
        <w:tc>
          <w:tcPr>
            <w:tcW w:w="6173" w:type="dxa"/>
            <w:vAlign w:val="center"/>
          </w:tcPr>
          <w:p w14:paraId="5CF7D710">
            <w:pPr>
              <w:spacing w:line="276" w:lineRule="auto"/>
              <w:jc w:val="left"/>
              <w:rPr>
                <w:rFonts w:hint="eastAsia" w:ascii="宋体" w:hAnsi="宋体" w:eastAsia="宋体" w:cs="Times New Roman"/>
                <w:color w:val="auto"/>
                <w:spacing w:val="2"/>
                <w:kern w:val="0"/>
                <w:szCs w:val="21"/>
                <w:lang w:eastAsia="zh-CN"/>
              </w:rPr>
            </w:pPr>
            <w:r>
              <w:rPr>
                <w:rFonts w:hint="eastAsia" w:ascii="宋体" w:hAnsi="宋体" w:eastAsia="宋体" w:cs="Times New Roman"/>
                <w:color w:val="auto"/>
                <w:spacing w:val="2"/>
                <w:kern w:val="0"/>
                <w:szCs w:val="21"/>
                <w:lang w:eastAsia="zh-CN"/>
              </w:rPr>
              <w:t>指标点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27" w:type="dxa"/>
            <w:vAlign w:val="center"/>
          </w:tcPr>
          <w:p w14:paraId="2B027314">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4</w:t>
            </w:r>
          </w:p>
        </w:tc>
      </w:tr>
    </w:tbl>
    <w:p w14:paraId="2ADEDD5A">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42DE9AF7">
      <w:pPr>
        <w:spacing w:line="360" w:lineRule="auto"/>
        <w:ind w:firstLine="411" w:firstLineChars="196"/>
        <w:jc w:val="left"/>
        <w:rPr>
          <w:rFonts w:hint="eastAsia" w:ascii="宋体" w:hAnsi="宋体" w:eastAsia="宋体" w:cs="Times New Roman"/>
          <w:color w:val="auto"/>
          <w:szCs w:val="21"/>
        </w:rPr>
      </w:pPr>
      <w:r>
        <w:rPr>
          <w:rFonts w:ascii="宋体" w:hAnsi="宋体" w:eastAsia="宋体" w:cs="Times New Roman"/>
          <w:color w:val="auto"/>
          <w:szCs w:val="21"/>
        </w:rPr>
        <w:t>学习他人的先进理念和教学经验。增强师德水平，争做“四有”好老师</w:t>
      </w:r>
      <w:r>
        <w:rPr>
          <w:rFonts w:hint="eastAsia" w:ascii="宋体" w:hAnsi="宋体" w:eastAsia="宋体" w:cs="Times New Roman"/>
          <w:color w:val="auto"/>
          <w:szCs w:val="21"/>
        </w:rPr>
        <w:t>；养成</w:t>
      </w:r>
      <w:r>
        <w:rPr>
          <w:rFonts w:ascii="宋体" w:hAnsi="宋体" w:eastAsia="宋体" w:cs="Times New Roman"/>
          <w:color w:val="auto"/>
          <w:szCs w:val="21"/>
        </w:rPr>
        <w:t>踏实严谨的学习态度</w:t>
      </w:r>
      <w:r>
        <w:rPr>
          <w:rFonts w:hint="eastAsia" w:ascii="宋体" w:hAnsi="宋体" w:eastAsia="宋体" w:cs="Times New Roman"/>
          <w:color w:val="auto"/>
          <w:szCs w:val="21"/>
        </w:rPr>
        <w:t>；</w:t>
      </w:r>
      <w:r>
        <w:rPr>
          <w:rFonts w:ascii="宋体" w:hAnsi="宋体" w:eastAsia="宋体" w:cs="Times New Roman"/>
          <w:color w:val="auto"/>
          <w:szCs w:val="21"/>
        </w:rPr>
        <w:t>掌握科学、严谨的案例学习方法。通过</w:t>
      </w:r>
      <w:r>
        <w:rPr>
          <w:rFonts w:hint="eastAsia" w:ascii="宋体" w:hAnsi="宋体" w:eastAsia="宋体" w:cs="Times New Roman"/>
          <w:color w:val="auto"/>
          <w:szCs w:val="21"/>
        </w:rPr>
        <w:t>对</w:t>
      </w:r>
      <w:r>
        <w:rPr>
          <w:rFonts w:ascii="宋体" w:hAnsi="宋体" w:eastAsia="宋体" w:cs="Times New Roman"/>
          <w:color w:val="auto"/>
          <w:szCs w:val="21"/>
        </w:rPr>
        <w:t>优秀</w:t>
      </w:r>
      <w:r>
        <w:rPr>
          <w:rFonts w:hint="eastAsia" w:ascii="宋体" w:hAnsi="宋体" w:eastAsia="宋体" w:cs="Times New Roman"/>
          <w:color w:val="auto"/>
          <w:szCs w:val="21"/>
        </w:rPr>
        <w:t>教学</w:t>
      </w:r>
      <w:r>
        <w:rPr>
          <w:rFonts w:ascii="宋体" w:hAnsi="宋体" w:eastAsia="宋体" w:cs="Times New Roman"/>
          <w:color w:val="auto"/>
          <w:szCs w:val="21"/>
        </w:rPr>
        <w:t>案例</w:t>
      </w:r>
      <w:r>
        <w:rPr>
          <w:rFonts w:hint="eastAsia" w:ascii="宋体" w:hAnsi="宋体" w:eastAsia="宋体" w:cs="Times New Roman"/>
          <w:color w:val="auto"/>
          <w:szCs w:val="21"/>
        </w:rPr>
        <w:t>学习</w:t>
      </w:r>
      <w:r>
        <w:rPr>
          <w:rFonts w:ascii="宋体" w:hAnsi="宋体" w:eastAsia="宋体" w:cs="Times New Roman"/>
          <w:color w:val="auto"/>
          <w:szCs w:val="21"/>
        </w:rPr>
        <w:t>，</w:t>
      </w:r>
      <w:r>
        <w:rPr>
          <w:rFonts w:hint="eastAsia" w:ascii="宋体" w:hAnsi="宋体" w:eastAsia="宋体" w:cs="Times New Roman"/>
          <w:color w:val="auto"/>
          <w:szCs w:val="21"/>
        </w:rPr>
        <w:t>提升教学能力，</w:t>
      </w:r>
      <w:r>
        <w:rPr>
          <w:rFonts w:ascii="宋体" w:hAnsi="宋体" w:eastAsia="宋体" w:cs="Times New Roman"/>
          <w:color w:val="auto"/>
          <w:szCs w:val="21"/>
        </w:rPr>
        <w:t>增强专业自信心</w:t>
      </w:r>
      <w:r>
        <w:rPr>
          <w:rFonts w:hint="eastAsia" w:ascii="宋体" w:hAnsi="宋体" w:eastAsia="宋体" w:cs="Times New Roman"/>
          <w:color w:val="auto"/>
          <w:szCs w:val="21"/>
        </w:rPr>
        <w:t>；</w:t>
      </w:r>
      <w:r>
        <w:rPr>
          <w:rFonts w:ascii="宋体" w:hAnsi="宋体" w:eastAsia="宋体" w:cs="Times New Roman"/>
          <w:color w:val="auto"/>
          <w:szCs w:val="21"/>
        </w:rPr>
        <w:t>增强团队合作意识与沟通表达能力。</w:t>
      </w:r>
    </w:p>
    <w:p w14:paraId="70EBC454">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146"/>
        <w:gridCol w:w="1132"/>
        <w:gridCol w:w="2998"/>
        <w:gridCol w:w="1362"/>
        <w:gridCol w:w="457"/>
      </w:tblGrid>
      <w:tr w14:paraId="6C7D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Align w:val="center"/>
          </w:tcPr>
          <w:p w14:paraId="1FD7B91D">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w:t>
            </w:r>
          </w:p>
          <w:p w14:paraId="31E544E9">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单元</w:t>
            </w:r>
          </w:p>
        </w:tc>
        <w:tc>
          <w:tcPr>
            <w:tcW w:w="2146" w:type="dxa"/>
            <w:vAlign w:val="center"/>
          </w:tcPr>
          <w:p w14:paraId="43915B09">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知识点</w:t>
            </w:r>
          </w:p>
        </w:tc>
        <w:tc>
          <w:tcPr>
            <w:tcW w:w="1132" w:type="dxa"/>
            <w:vAlign w:val="center"/>
          </w:tcPr>
          <w:p w14:paraId="3A5E518B">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对应</w:t>
            </w:r>
          </w:p>
          <w:p w14:paraId="4F6B2334">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课程目标</w:t>
            </w:r>
          </w:p>
        </w:tc>
        <w:tc>
          <w:tcPr>
            <w:tcW w:w="2998" w:type="dxa"/>
            <w:vAlign w:val="center"/>
          </w:tcPr>
          <w:p w14:paraId="5C325655">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预期学习成效</w:t>
            </w:r>
          </w:p>
        </w:tc>
        <w:tc>
          <w:tcPr>
            <w:tcW w:w="1362" w:type="dxa"/>
            <w:vAlign w:val="center"/>
          </w:tcPr>
          <w:p w14:paraId="1226EFEC">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实现环节</w:t>
            </w:r>
          </w:p>
        </w:tc>
        <w:tc>
          <w:tcPr>
            <w:tcW w:w="457" w:type="dxa"/>
            <w:vAlign w:val="center"/>
          </w:tcPr>
          <w:p w14:paraId="7ACED991">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学时</w:t>
            </w:r>
          </w:p>
        </w:tc>
      </w:tr>
      <w:tr w14:paraId="1F43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27FCDCC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w:t>
            </w:r>
            <w:r>
              <w:rPr>
                <w:rFonts w:hint="eastAsia"/>
                <w:color w:val="auto"/>
                <w:sz w:val="21"/>
                <w:szCs w:val="21"/>
              </w:rPr>
              <w:t xml:space="preserve"> </w:t>
            </w:r>
            <w:r>
              <w:rPr>
                <w:rFonts w:hint="eastAsia" w:ascii="宋体" w:hAnsi="宋体" w:eastAsia="宋体" w:cs="Times New Roman"/>
                <w:color w:val="auto"/>
                <w:sz w:val="21"/>
                <w:szCs w:val="21"/>
              </w:rPr>
              <w:t>小学数学教学案例研究概述</w:t>
            </w:r>
          </w:p>
        </w:tc>
        <w:tc>
          <w:tcPr>
            <w:tcW w:w="2146" w:type="dxa"/>
            <w:vAlign w:val="center"/>
          </w:tcPr>
          <w:p w14:paraId="2AAF63F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⑴案例概述</w:t>
            </w:r>
          </w:p>
          <w:p w14:paraId="2599C24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⑵小学数学教学案例研究的内涵与价值</w:t>
            </w:r>
          </w:p>
          <w:p w14:paraId="16BE302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⑶小学数学教学案例的结构与类型</w:t>
            </w:r>
          </w:p>
          <w:p w14:paraId="194AEBC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⑷小学数学教学案例研究的目标</w:t>
            </w:r>
          </w:p>
        </w:tc>
        <w:tc>
          <w:tcPr>
            <w:tcW w:w="1132" w:type="dxa"/>
            <w:vAlign w:val="center"/>
          </w:tcPr>
          <w:p w14:paraId="6A447C1F">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课程目标1、3、4</w:t>
            </w:r>
          </w:p>
        </w:tc>
        <w:tc>
          <w:tcPr>
            <w:tcW w:w="2998" w:type="dxa"/>
            <w:vAlign w:val="center"/>
          </w:tcPr>
          <w:p w14:paraId="605AA60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1）理解小学数学教学案例及案例研究的内涵</w:t>
            </w:r>
          </w:p>
          <w:p w14:paraId="109F27B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2）明确小学数学教学案例研究的价值</w:t>
            </w:r>
          </w:p>
          <w:p w14:paraId="44C2750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3）理解小学数学教学案例研究的目标</w:t>
            </w:r>
          </w:p>
        </w:tc>
        <w:tc>
          <w:tcPr>
            <w:tcW w:w="1362" w:type="dxa"/>
            <w:vAlign w:val="center"/>
          </w:tcPr>
          <w:p w14:paraId="7310BBE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64055A6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3C69A7A3">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3C50F4F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自主学习</w:t>
            </w:r>
          </w:p>
        </w:tc>
        <w:tc>
          <w:tcPr>
            <w:tcW w:w="457" w:type="dxa"/>
            <w:vAlign w:val="center"/>
          </w:tcPr>
          <w:p w14:paraId="08D2EFB8">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2</w:t>
            </w:r>
          </w:p>
        </w:tc>
      </w:tr>
      <w:tr w14:paraId="4126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6B071DC7">
            <w:pPr>
              <w:spacing w:line="240" w:lineRule="auto"/>
              <w:jc w:val="center"/>
              <w:rPr>
                <w:rFonts w:hint="eastAsia" w:ascii="宋体" w:hAnsi="宋体" w:eastAsia="宋体" w:cs="Times New Roman"/>
                <w:color w:val="auto"/>
                <w:sz w:val="21"/>
                <w:szCs w:val="21"/>
              </w:rPr>
            </w:pPr>
          </w:p>
        </w:tc>
        <w:tc>
          <w:tcPr>
            <w:tcW w:w="8095" w:type="dxa"/>
            <w:gridSpan w:val="5"/>
            <w:vAlign w:val="center"/>
          </w:tcPr>
          <w:p w14:paraId="0B0E5D8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1）学习他人的先进理念和教学经验。</w:t>
            </w:r>
            <w:r>
              <w:rPr>
                <w:rFonts w:hint="eastAsia" w:ascii="宋体" w:hAnsi="宋体" w:eastAsia="宋体" w:cs="Times New Roman"/>
                <w:color w:val="auto"/>
                <w:sz w:val="21"/>
                <w:szCs w:val="21"/>
              </w:rPr>
              <w:t>（</w:t>
            </w:r>
            <w:r>
              <w:rPr>
                <w:rFonts w:ascii="宋体" w:hAnsi="宋体" w:eastAsia="宋体" w:cs="Times New Roman"/>
                <w:color w:val="auto"/>
                <w:sz w:val="21"/>
                <w:szCs w:val="21"/>
              </w:rPr>
              <w:t>2）增强师德水平，争做“四有”好老师。</w:t>
            </w:r>
          </w:p>
        </w:tc>
      </w:tr>
      <w:tr w14:paraId="70C6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7DDB1160">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2</w:t>
            </w:r>
            <w:r>
              <w:rPr>
                <w:rFonts w:ascii="宋体" w:hAnsi="宋体" w:eastAsia="宋体" w:cs="Times New Roman"/>
                <w:color w:val="auto"/>
                <w:sz w:val="21"/>
                <w:szCs w:val="21"/>
              </w:rPr>
              <w:t>.</w:t>
            </w:r>
            <w:r>
              <w:rPr>
                <w:rFonts w:hint="eastAsia"/>
                <w:color w:val="auto"/>
                <w:sz w:val="21"/>
                <w:szCs w:val="21"/>
              </w:rPr>
              <w:t xml:space="preserve"> </w:t>
            </w:r>
            <w:r>
              <w:rPr>
                <w:rFonts w:hint="eastAsia" w:ascii="宋体" w:hAnsi="宋体" w:eastAsia="宋体" w:cs="Times New Roman"/>
                <w:color w:val="auto"/>
                <w:sz w:val="21"/>
                <w:szCs w:val="21"/>
              </w:rPr>
              <w:t>小学数学教学案例研究的过程与方法</w:t>
            </w:r>
          </w:p>
        </w:tc>
        <w:tc>
          <w:tcPr>
            <w:tcW w:w="2146" w:type="dxa"/>
            <w:vAlign w:val="center"/>
          </w:tcPr>
          <w:p w14:paraId="5836865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⑴小学数学教学案例研究的理论依据</w:t>
            </w:r>
          </w:p>
          <w:p w14:paraId="3ECC71D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⑵小学数学教学案例研究的过程</w:t>
            </w:r>
          </w:p>
          <w:p w14:paraId="44378AA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⑶小学数学教学案例研究的方法</w:t>
            </w:r>
          </w:p>
        </w:tc>
        <w:tc>
          <w:tcPr>
            <w:tcW w:w="1132" w:type="dxa"/>
            <w:vAlign w:val="center"/>
          </w:tcPr>
          <w:p w14:paraId="21CF5B8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课程目标1、3、4</w:t>
            </w:r>
          </w:p>
        </w:tc>
        <w:tc>
          <w:tcPr>
            <w:tcW w:w="2998" w:type="dxa"/>
            <w:vAlign w:val="center"/>
          </w:tcPr>
          <w:p w14:paraId="2AF6ED4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1）明确小学教学案例研究的理论依据</w:t>
            </w:r>
          </w:p>
          <w:p w14:paraId="5DF8E50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2）了解小学数学教学案例研究的一般流程</w:t>
            </w:r>
          </w:p>
          <w:p w14:paraId="3078090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3）掌握小学数学教学案例研究的基本方法</w:t>
            </w:r>
          </w:p>
        </w:tc>
        <w:tc>
          <w:tcPr>
            <w:tcW w:w="1362" w:type="dxa"/>
            <w:vAlign w:val="center"/>
          </w:tcPr>
          <w:p w14:paraId="07FF1B3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60C33C3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3CE99E70">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696FF8B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自主学习</w:t>
            </w:r>
          </w:p>
        </w:tc>
        <w:tc>
          <w:tcPr>
            <w:tcW w:w="457" w:type="dxa"/>
            <w:vAlign w:val="center"/>
          </w:tcPr>
          <w:p w14:paraId="07A57002">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4</w:t>
            </w:r>
          </w:p>
        </w:tc>
      </w:tr>
      <w:tr w14:paraId="26D2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0F65C375">
            <w:pPr>
              <w:spacing w:line="240" w:lineRule="auto"/>
              <w:jc w:val="center"/>
              <w:rPr>
                <w:rFonts w:hint="eastAsia" w:ascii="宋体" w:hAnsi="宋体" w:eastAsia="宋体" w:cs="Times New Roman"/>
                <w:color w:val="auto"/>
                <w:sz w:val="21"/>
                <w:szCs w:val="21"/>
              </w:rPr>
            </w:pPr>
          </w:p>
        </w:tc>
        <w:tc>
          <w:tcPr>
            <w:tcW w:w="8095" w:type="dxa"/>
            <w:gridSpan w:val="5"/>
            <w:vAlign w:val="center"/>
          </w:tcPr>
          <w:p w14:paraId="4E08132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1）形成踏实严谨的学习态度。</w:t>
            </w:r>
            <w:r>
              <w:rPr>
                <w:rFonts w:hint="eastAsia" w:ascii="宋体" w:hAnsi="宋体" w:eastAsia="宋体" w:cs="Times New Roman"/>
                <w:color w:val="auto"/>
                <w:sz w:val="21"/>
                <w:szCs w:val="21"/>
              </w:rPr>
              <w:t>（</w:t>
            </w:r>
            <w:r>
              <w:rPr>
                <w:rFonts w:ascii="宋体" w:hAnsi="宋体" w:eastAsia="宋体" w:cs="Times New Roman"/>
                <w:color w:val="auto"/>
                <w:sz w:val="21"/>
                <w:szCs w:val="21"/>
              </w:rPr>
              <w:t>2）掌握科学、严谨的案例学习方法。</w:t>
            </w:r>
          </w:p>
        </w:tc>
      </w:tr>
      <w:tr w14:paraId="0FC4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7D0096BA">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r>
              <w:rPr>
                <w:rFonts w:ascii="宋体" w:hAnsi="宋体" w:eastAsia="宋体" w:cs="Times New Roman"/>
                <w:color w:val="auto"/>
                <w:sz w:val="21"/>
                <w:szCs w:val="21"/>
              </w:rPr>
              <w:t>.</w:t>
            </w:r>
            <w:r>
              <w:rPr>
                <w:rFonts w:hint="eastAsia"/>
                <w:color w:val="auto"/>
                <w:sz w:val="21"/>
                <w:szCs w:val="21"/>
              </w:rPr>
              <w:t xml:space="preserve"> </w:t>
            </w:r>
            <w:r>
              <w:rPr>
                <w:rFonts w:hint="eastAsia" w:ascii="宋体" w:hAnsi="宋体" w:eastAsia="宋体" w:cs="Times New Roman"/>
                <w:color w:val="auto"/>
                <w:sz w:val="21"/>
                <w:szCs w:val="21"/>
              </w:rPr>
              <w:t>“数与代数”教学案例研究</w:t>
            </w:r>
          </w:p>
        </w:tc>
        <w:tc>
          <w:tcPr>
            <w:tcW w:w="2146" w:type="dxa"/>
            <w:vAlign w:val="center"/>
          </w:tcPr>
          <w:p w14:paraId="1AA352E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⑴数与运算案例</w:t>
            </w:r>
          </w:p>
          <w:p w14:paraId="06B07982">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⑵数量关系</w:t>
            </w:r>
          </w:p>
        </w:tc>
        <w:tc>
          <w:tcPr>
            <w:tcW w:w="1132" w:type="dxa"/>
            <w:vAlign w:val="center"/>
          </w:tcPr>
          <w:p w14:paraId="3B3220EE">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课程目标2、3、4</w:t>
            </w:r>
          </w:p>
        </w:tc>
        <w:tc>
          <w:tcPr>
            <w:tcW w:w="2998" w:type="dxa"/>
            <w:vAlign w:val="center"/>
          </w:tcPr>
          <w:p w14:paraId="0D2626D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1）能够依据《数学课程标准》关于“数与代数”领域的目标要求分析相关案例</w:t>
            </w:r>
          </w:p>
          <w:p w14:paraId="0BAD2B4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2）了解“数与代数”教学内容的一般特点及教学策略</w:t>
            </w:r>
          </w:p>
          <w:p w14:paraId="0D60F69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3）能够对相关案例作出恰当的评价并提出自己的教学设想并实施</w:t>
            </w:r>
          </w:p>
        </w:tc>
        <w:tc>
          <w:tcPr>
            <w:tcW w:w="1362" w:type="dxa"/>
            <w:vAlign w:val="center"/>
          </w:tcPr>
          <w:p w14:paraId="5BE1BFF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7E8F871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633EFF1B">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02CDA90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自主学习</w:t>
            </w:r>
          </w:p>
        </w:tc>
        <w:tc>
          <w:tcPr>
            <w:tcW w:w="457" w:type="dxa"/>
            <w:vAlign w:val="center"/>
          </w:tcPr>
          <w:p w14:paraId="26D9E21C">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10</w:t>
            </w:r>
          </w:p>
        </w:tc>
      </w:tr>
      <w:tr w14:paraId="57D3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708C0570">
            <w:pPr>
              <w:spacing w:line="240" w:lineRule="auto"/>
              <w:jc w:val="center"/>
              <w:rPr>
                <w:rFonts w:hint="eastAsia" w:ascii="宋体" w:hAnsi="宋体" w:eastAsia="宋体" w:cs="Times New Roman"/>
                <w:color w:val="auto"/>
                <w:sz w:val="21"/>
                <w:szCs w:val="21"/>
              </w:rPr>
            </w:pPr>
          </w:p>
        </w:tc>
        <w:tc>
          <w:tcPr>
            <w:tcW w:w="8095" w:type="dxa"/>
            <w:gridSpan w:val="5"/>
            <w:vAlign w:val="center"/>
          </w:tcPr>
          <w:p w14:paraId="46B98FE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1）通过学习“数与代数”教学的优秀案例，增强专业自信心。</w:t>
            </w:r>
            <w:r>
              <w:rPr>
                <w:rFonts w:hint="eastAsia" w:ascii="宋体" w:hAnsi="宋体" w:eastAsia="宋体" w:cs="Times New Roman"/>
                <w:color w:val="auto"/>
                <w:sz w:val="21"/>
                <w:szCs w:val="21"/>
              </w:rPr>
              <w:t>（</w:t>
            </w:r>
            <w:r>
              <w:rPr>
                <w:rFonts w:ascii="宋体" w:hAnsi="宋体" w:eastAsia="宋体" w:cs="Times New Roman"/>
                <w:color w:val="auto"/>
                <w:sz w:val="21"/>
                <w:szCs w:val="21"/>
              </w:rPr>
              <w:t>2）树立全面育人的教学观，注重教学中情感、态度与价值观目标的达成。</w:t>
            </w:r>
            <w:r>
              <w:rPr>
                <w:rFonts w:hint="eastAsia" w:ascii="宋体" w:hAnsi="宋体" w:eastAsia="宋体" w:cs="Times New Roman"/>
                <w:color w:val="auto"/>
                <w:sz w:val="21"/>
                <w:szCs w:val="21"/>
              </w:rPr>
              <w:t>（</w:t>
            </w:r>
            <w:r>
              <w:rPr>
                <w:rFonts w:ascii="宋体" w:hAnsi="宋体" w:eastAsia="宋体" w:cs="Times New Roman"/>
                <w:color w:val="auto"/>
                <w:sz w:val="21"/>
                <w:szCs w:val="21"/>
              </w:rPr>
              <w:t>3）增强团队合作意识</w:t>
            </w:r>
            <w:r>
              <w:rPr>
                <w:rFonts w:hint="eastAsia" w:ascii="宋体" w:hAnsi="宋体" w:eastAsia="宋体" w:cs="Times New Roman"/>
                <w:color w:val="auto"/>
                <w:sz w:val="21"/>
                <w:szCs w:val="21"/>
              </w:rPr>
              <w:t>和专业自信心</w:t>
            </w:r>
            <w:r>
              <w:rPr>
                <w:rFonts w:ascii="宋体" w:hAnsi="宋体" w:eastAsia="宋体" w:cs="Times New Roman"/>
                <w:color w:val="auto"/>
                <w:sz w:val="21"/>
                <w:szCs w:val="21"/>
              </w:rPr>
              <w:t>。</w:t>
            </w:r>
          </w:p>
        </w:tc>
      </w:tr>
      <w:tr w14:paraId="2D96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5EB8712C">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color w:val="auto"/>
                <w:sz w:val="21"/>
                <w:szCs w:val="21"/>
              </w:rPr>
              <w:t xml:space="preserve"> </w:t>
            </w:r>
            <w:r>
              <w:rPr>
                <w:rFonts w:hint="eastAsia" w:ascii="宋体" w:hAnsi="宋体" w:eastAsia="宋体" w:cs="Times New Roman"/>
                <w:color w:val="auto"/>
                <w:sz w:val="21"/>
                <w:szCs w:val="21"/>
              </w:rPr>
              <w:t>“图形与几何”教学案例研究</w:t>
            </w:r>
          </w:p>
        </w:tc>
        <w:tc>
          <w:tcPr>
            <w:tcW w:w="2146" w:type="dxa"/>
            <w:vAlign w:val="center"/>
          </w:tcPr>
          <w:p w14:paraId="64DA85D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⑴图形的认识与测量案例</w:t>
            </w:r>
          </w:p>
          <w:p w14:paraId="40FA524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⑵图形的位置与运动案例</w:t>
            </w:r>
          </w:p>
          <w:p w14:paraId="114BC94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⑷图形与位置案例</w:t>
            </w:r>
          </w:p>
        </w:tc>
        <w:tc>
          <w:tcPr>
            <w:tcW w:w="1132" w:type="dxa"/>
            <w:vAlign w:val="center"/>
          </w:tcPr>
          <w:p w14:paraId="237500C9">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课程目标2、3、4</w:t>
            </w:r>
          </w:p>
        </w:tc>
        <w:tc>
          <w:tcPr>
            <w:tcW w:w="2998" w:type="dxa"/>
            <w:vAlign w:val="center"/>
          </w:tcPr>
          <w:p w14:paraId="5AABD2A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1）能够依据《数学课程标准》关于“图形与几何”领域的目标要求分析相关案例</w:t>
            </w:r>
          </w:p>
          <w:p w14:paraId="0CBCE38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2）了解“图形与几何”教学内容的一般特点及教学策略</w:t>
            </w:r>
          </w:p>
          <w:p w14:paraId="4572695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3）能够对相关案例作出恰当的评价并提出自己的教学设想并实施</w:t>
            </w:r>
          </w:p>
        </w:tc>
        <w:tc>
          <w:tcPr>
            <w:tcW w:w="1362" w:type="dxa"/>
            <w:vAlign w:val="center"/>
          </w:tcPr>
          <w:p w14:paraId="5141307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4CEDF01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5F219E64">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27C646F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自主学习</w:t>
            </w:r>
          </w:p>
        </w:tc>
        <w:tc>
          <w:tcPr>
            <w:tcW w:w="457" w:type="dxa"/>
            <w:vAlign w:val="center"/>
          </w:tcPr>
          <w:p w14:paraId="7C9CFCAB">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6</w:t>
            </w:r>
          </w:p>
        </w:tc>
      </w:tr>
      <w:tr w14:paraId="3C17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726C1DB6">
            <w:pPr>
              <w:spacing w:line="240" w:lineRule="auto"/>
              <w:jc w:val="center"/>
              <w:rPr>
                <w:rFonts w:hint="eastAsia" w:ascii="宋体" w:hAnsi="宋体" w:eastAsia="宋体" w:cs="Times New Roman"/>
                <w:color w:val="auto"/>
                <w:sz w:val="21"/>
                <w:szCs w:val="21"/>
              </w:rPr>
            </w:pPr>
          </w:p>
        </w:tc>
        <w:tc>
          <w:tcPr>
            <w:tcW w:w="8095" w:type="dxa"/>
            <w:gridSpan w:val="5"/>
            <w:vAlign w:val="center"/>
          </w:tcPr>
          <w:p w14:paraId="38BCBFC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1）通过学习“图形与几何”教学的优秀案例，增强专业自信心。</w:t>
            </w:r>
            <w:r>
              <w:rPr>
                <w:rFonts w:hint="eastAsia" w:ascii="宋体" w:hAnsi="宋体" w:eastAsia="宋体" w:cs="Times New Roman"/>
                <w:color w:val="auto"/>
                <w:sz w:val="21"/>
                <w:szCs w:val="21"/>
              </w:rPr>
              <w:t>（</w:t>
            </w:r>
            <w:r>
              <w:rPr>
                <w:rFonts w:ascii="宋体" w:hAnsi="宋体" w:eastAsia="宋体" w:cs="Times New Roman"/>
                <w:color w:val="auto"/>
                <w:sz w:val="21"/>
                <w:szCs w:val="21"/>
              </w:rPr>
              <w:t>2）树立全面育人的教学观，注重教学中情感、态度与价值观目标的达成。</w:t>
            </w:r>
            <w:r>
              <w:rPr>
                <w:rFonts w:hint="eastAsia" w:ascii="宋体" w:hAnsi="宋体" w:eastAsia="宋体" w:cs="Times New Roman"/>
                <w:color w:val="auto"/>
                <w:sz w:val="21"/>
                <w:szCs w:val="21"/>
              </w:rPr>
              <w:t>（</w:t>
            </w:r>
            <w:r>
              <w:rPr>
                <w:rFonts w:ascii="宋体" w:hAnsi="宋体" w:eastAsia="宋体" w:cs="Times New Roman"/>
                <w:color w:val="auto"/>
                <w:sz w:val="21"/>
                <w:szCs w:val="21"/>
              </w:rPr>
              <w:t>3）增强团队合作意识</w:t>
            </w:r>
            <w:r>
              <w:rPr>
                <w:rFonts w:hint="eastAsia" w:ascii="宋体" w:hAnsi="宋体" w:eastAsia="宋体" w:cs="Times New Roman"/>
                <w:color w:val="auto"/>
                <w:sz w:val="21"/>
                <w:szCs w:val="21"/>
              </w:rPr>
              <w:t>和专业自信心</w:t>
            </w:r>
            <w:r>
              <w:rPr>
                <w:rFonts w:ascii="宋体" w:hAnsi="宋体" w:eastAsia="宋体" w:cs="Times New Roman"/>
                <w:color w:val="auto"/>
                <w:sz w:val="21"/>
                <w:szCs w:val="21"/>
              </w:rPr>
              <w:t>。</w:t>
            </w:r>
          </w:p>
        </w:tc>
      </w:tr>
      <w:tr w14:paraId="7476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64613EE3">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5</w:t>
            </w:r>
            <w:r>
              <w:rPr>
                <w:rFonts w:ascii="宋体" w:hAnsi="宋体" w:eastAsia="宋体" w:cs="Times New Roman"/>
                <w:color w:val="auto"/>
                <w:sz w:val="21"/>
                <w:szCs w:val="21"/>
              </w:rPr>
              <w:t>.</w:t>
            </w:r>
            <w:r>
              <w:rPr>
                <w:rFonts w:hint="eastAsia"/>
                <w:color w:val="auto"/>
                <w:sz w:val="21"/>
                <w:szCs w:val="21"/>
              </w:rPr>
              <w:t xml:space="preserve"> </w:t>
            </w:r>
            <w:r>
              <w:rPr>
                <w:rFonts w:hint="eastAsia" w:ascii="宋体" w:hAnsi="宋体" w:eastAsia="宋体" w:cs="Times New Roman"/>
                <w:color w:val="auto"/>
                <w:sz w:val="21"/>
                <w:szCs w:val="21"/>
              </w:rPr>
              <w:t>“统计与概率”教学案例研究</w:t>
            </w:r>
          </w:p>
        </w:tc>
        <w:tc>
          <w:tcPr>
            <w:tcW w:w="2146" w:type="dxa"/>
            <w:vAlign w:val="center"/>
          </w:tcPr>
          <w:p w14:paraId="01B67E3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⑴数据分类案例</w:t>
            </w:r>
          </w:p>
          <w:p w14:paraId="5115694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⑵数据的收集、整理与表达案例</w:t>
            </w:r>
          </w:p>
          <w:p w14:paraId="3D74024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⑶随机现象的可能性案例</w:t>
            </w:r>
          </w:p>
        </w:tc>
        <w:tc>
          <w:tcPr>
            <w:tcW w:w="1132" w:type="dxa"/>
            <w:vAlign w:val="center"/>
          </w:tcPr>
          <w:p w14:paraId="26889E49">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课程目标2、3、4</w:t>
            </w:r>
          </w:p>
        </w:tc>
        <w:tc>
          <w:tcPr>
            <w:tcW w:w="2998" w:type="dxa"/>
            <w:vAlign w:val="center"/>
          </w:tcPr>
          <w:p w14:paraId="622D225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1）能够依据《数学课程标准》关于“统计与概率”领域的目标要求分析相关案例</w:t>
            </w:r>
          </w:p>
          <w:p w14:paraId="788B834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2）了解“统计与概率”教学内容的一般特点及教学策略</w:t>
            </w:r>
          </w:p>
          <w:p w14:paraId="1B38178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3）能够对相关案例作出恰当的评价并提出自己的教学设想并实施</w:t>
            </w:r>
          </w:p>
        </w:tc>
        <w:tc>
          <w:tcPr>
            <w:tcW w:w="1362" w:type="dxa"/>
            <w:vAlign w:val="center"/>
          </w:tcPr>
          <w:p w14:paraId="51EC77A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77B63B8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25173E75">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07C3C4D5">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自主学习</w:t>
            </w:r>
          </w:p>
        </w:tc>
        <w:tc>
          <w:tcPr>
            <w:tcW w:w="457" w:type="dxa"/>
            <w:vAlign w:val="center"/>
          </w:tcPr>
          <w:p w14:paraId="7C62C6F0">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6</w:t>
            </w:r>
          </w:p>
        </w:tc>
      </w:tr>
      <w:tr w14:paraId="111C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0FC10549">
            <w:pPr>
              <w:spacing w:line="240" w:lineRule="auto"/>
              <w:jc w:val="center"/>
              <w:rPr>
                <w:rFonts w:hint="eastAsia" w:ascii="宋体" w:hAnsi="宋体" w:eastAsia="宋体" w:cs="Times New Roman"/>
                <w:color w:val="auto"/>
                <w:sz w:val="21"/>
                <w:szCs w:val="21"/>
              </w:rPr>
            </w:pPr>
          </w:p>
        </w:tc>
        <w:tc>
          <w:tcPr>
            <w:tcW w:w="8095" w:type="dxa"/>
            <w:gridSpan w:val="5"/>
            <w:vAlign w:val="center"/>
          </w:tcPr>
          <w:p w14:paraId="7AF48194">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1）通过学习“统计与概率”教学的优秀案例，增强专业自信心。</w:t>
            </w:r>
            <w:r>
              <w:rPr>
                <w:rFonts w:hint="eastAsia" w:ascii="宋体" w:hAnsi="宋体" w:eastAsia="宋体" w:cs="Times New Roman"/>
                <w:color w:val="auto"/>
                <w:sz w:val="21"/>
                <w:szCs w:val="21"/>
              </w:rPr>
              <w:t>（</w:t>
            </w:r>
            <w:r>
              <w:rPr>
                <w:rFonts w:ascii="宋体" w:hAnsi="宋体" w:eastAsia="宋体" w:cs="Times New Roman"/>
                <w:color w:val="auto"/>
                <w:sz w:val="21"/>
                <w:szCs w:val="21"/>
              </w:rPr>
              <w:t>2）树立全面育人的教学观，注重教学中情感、态度与价值观目标的达成。</w:t>
            </w:r>
            <w:r>
              <w:rPr>
                <w:rFonts w:hint="eastAsia" w:ascii="宋体" w:hAnsi="宋体" w:eastAsia="宋体" w:cs="Times New Roman"/>
                <w:color w:val="auto"/>
                <w:sz w:val="21"/>
                <w:szCs w:val="21"/>
              </w:rPr>
              <w:t>（</w:t>
            </w:r>
            <w:r>
              <w:rPr>
                <w:rFonts w:ascii="宋体" w:hAnsi="宋体" w:eastAsia="宋体" w:cs="Times New Roman"/>
                <w:color w:val="auto"/>
                <w:sz w:val="21"/>
                <w:szCs w:val="21"/>
              </w:rPr>
              <w:t>3）增强团队合作意识</w:t>
            </w:r>
            <w:r>
              <w:rPr>
                <w:rFonts w:hint="eastAsia" w:ascii="宋体" w:hAnsi="宋体" w:eastAsia="宋体" w:cs="Times New Roman"/>
                <w:color w:val="auto"/>
                <w:sz w:val="21"/>
                <w:szCs w:val="21"/>
              </w:rPr>
              <w:t>和专业自信心</w:t>
            </w:r>
            <w:r>
              <w:rPr>
                <w:rFonts w:ascii="宋体" w:hAnsi="宋体" w:eastAsia="宋体" w:cs="Times New Roman"/>
                <w:color w:val="auto"/>
                <w:sz w:val="21"/>
                <w:szCs w:val="21"/>
              </w:rPr>
              <w:t>。</w:t>
            </w:r>
          </w:p>
        </w:tc>
      </w:tr>
      <w:tr w14:paraId="14F7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7D9B29DE">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6</w:t>
            </w:r>
            <w:r>
              <w:rPr>
                <w:rFonts w:ascii="宋体" w:hAnsi="宋体" w:eastAsia="宋体" w:cs="Times New Roman"/>
                <w:color w:val="auto"/>
                <w:sz w:val="21"/>
                <w:szCs w:val="21"/>
              </w:rPr>
              <w:t>.</w:t>
            </w:r>
            <w:r>
              <w:rPr>
                <w:rFonts w:hint="eastAsia"/>
                <w:color w:val="auto"/>
                <w:sz w:val="21"/>
                <w:szCs w:val="21"/>
              </w:rPr>
              <w:t xml:space="preserve"> </w:t>
            </w:r>
            <w:r>
              <w:rPr>
                <w:rFonts w:hint="eastAsia" w:ascii="宋体" w:hAnsi="宋体" w:eastAsia="宋体" w:cs="Times New Roman"/>
                <w:color w:val="auto"/>
                <w:sz w:val="21"/>
                <w:szCs w:val="21"/>
              </w:rPr>
              <w:t>“综合与实践”教学案例研究</w:t>
            </w:r>
          </w:p>
        </w:tc>
        <w:tc>
          <w:tcPr>
            <w:tcW w:w="2146" w:type="dxa"/>
            <w:vAlign w:val="center"/>
          </w:tcPr>
          <w:p w14:paraId="44A21E6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⑴主题活动案例</w:t>
            </w:r>
          </w:p>
          <w:p w14:paraId="1A7495C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⑵项目学习案例</w:t>
            </w:r>
          </w:p>
        </w:tc>
        <w:tc>
          <w:tcPr>
            <w:tcW w:w="1132" w:type="dxa"/>
            <w:vAlign w:val="center"/>
          </w:tcPr>
          <w:p w14:paraId="05A3D183">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课程目标2、3、4</w:t>
            </w:r>
          </w:p>
        </w:tc>
        <w:tc>
          <w:tcPr>
            <w:tcW w:w="2998" w:type="dxa"/>
            <w:vAlign w:val="center"/>
          </w:tcPr>
          <w:p w14:paraId="78A9419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1）能够依据《数学课程标准》关于“综合与实践”领域的目标要求分析相关案例</w:t>
            </w:r>
          </w:p>
          <w:p w14:paraId="104718A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2）了解“综合与实践”教学内容的一般特点及教学策略</w:t>
            </w:r>
          </w:p>
          <w:p w14:paraId="12887DE1">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ascii="宋体" w:hAnsi="宋体" w:eastAsia="宋体" w:cs="Times New Roman"/>
                <w:color w:val="auto"/>
                <w:sz w:val="21"/>
                <w:szCs w:val="21"/>
              </w:rPr>
              <w:t>3）能够对相关案例作出恰当的评价并提出自己的教学设想并实施</w:t>
            </w:r>
          </w:p>
        </w:tc>
        <w:tc>
          <w:tcPr>
            <w:tcW w:w="1362" w:type="dxa"/>
            <w:vAlign w:val="center"/>
          </w:tcPr>
          <w:p w14:paraId="1951ECB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1.理论讲解</w:t>
            </w:r>
          </w:p>
          <w:p w14:paraId="76F3095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2.课堂讨论</w:t>
            </w:r>
          </w:p>
          <w:p w14:paraId="64BB094D">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.模拟教学</w:t>
            </w:r>
          </w:p>
          <w:p w14:paraId="7660CAF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ascii="宋体" w:hAnsi="宋体" w:eastAsia="宋体" w:cs="Times New Roman"/>
                <w:color w:val="auto"/>
                <w:sz w:val="21"/>
                <w:szCs w:val="21"/>
              </w:rPr>
              <w:t>自主学习</w:t>
            </w:r>
          </w:p>
        </w:tc>
        <w:tc>
          <w:tcPr>
            <w:tcW w:w="457" w:type="dxa"/>
            <w:vAlign w:val="center"/>
          </w:tcPr>
          <w:p w14:paraId="7A57CA42">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4</w:t>
            </w:r>
          </w:p>
        </w:tc>
      </w:tr>
      <w:tr w14:paraId="6937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6D57A3F0">
            <w:pPr>
              <w:spacing w:line="240" w:lineRule="auto"/>
              <w:jc w:val="center"/>
              <w:rPr>
                <w:rFonts w:hint="eastAsia" w:ascii="宋体" w:hAnsi="宋体" w:eastAsia="宋体" w:cs="Times New Roman"/>
                <w:color w:val="auto"/>
                <w:sz w:val="21"/>
                <w:szCs w:val="21"/>
              </w:rPr>
            </w:pPr>
          </w:p>
        </w:tc>
        <w:tc>
          <w:tcPr>
            <w:tcW w:w="8095" w:type="dxa"/>
            <w:gridSpan w:val="5"/>
            <w:vAlign w:val="center"/>
          </w:tcPr>
          <w:p w14:paraId="5639246C">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w:t>
            </w:r>
            <w:r>
              <w:rPr>
                <w:rFonts w:ascii="宋体" w:hAnsi="宋体" w:eastAsia="宋体" w:cs="Times New Roman"/>
                <w:color w:val="auto"/>
                <w:sz w:val="21"/>
                <w:szCs w:val="21"/>
              </w:rPr>
              <w:t>1）通过学习“综合与实践”教学的优秀案例，增强专业自信心。</w:t>
            </w:r>
            <w:r>
              <w:rPr>
                <w:rFonts w:hint="eastAsia" w:ascii="宋体" w:hAnsi="宋体" w:eastAsia="宋体" w:cs="Times New Roman"/>
                <w:color w:val="auto"/>
                <w:sz w:val="21"/>
                <w:szCs w:val="21"/>
              </w:rPr>
              <w:t>（</w:t>
            </w:r>
            <w:r>
              <w:rPr>
                <w:rFonts w:ascii="宋体" w:hAnsi="宋体" w:eastAsia="宋体" w:cs="Times New Roman"/>
                <w:color w:val="auto"/>
                <w:sz w:val="21"/>
                <w:szCs w:val="21"/>
              </w:rPr>
              <w:t>2）树立全面育人的教学观，注重教学中情感、态度与价值观目标的达成。</w:t>
            </w:r>
            <w:r>
              <w:rPr>
                <w:rFonts w:hint="eastAsia" w:ascii="宋体" w:hAnsi="宋体" w:eastAsia="宋体" w:cs="Times New Roman"/>
                <w:color w:val="auto"/>
                <w:sz w:val="21"/>
                <w:szCs w:val="21"/>
              </w:rPr>
              <w:t>（</w:t>
            </w:r>
            <w:r>
              <w:rPr>
                <w:rFonts w:ascii="宋体" w:hAnsi="宋体" w:eastAsia="宋体" w:cs="Times New Roman"/>
                <w:color w:val="auto"/>
                <w:sz w:val="21"/>
                <w:szCs w:val="21"/>
              </w:rPr>
              <w:t>3）增强团队合作意识</w:t>
            </w:r>
            <w:r>
              <w:rPr>
                <w:rFonts w:hint="eastAsia" w:ascii="宋体" w:hAnsi="宋体" w:eastAsia="宋体" w:cs="Times New Roman"/>
                <w:color w:val="auto"/>
                <w:sz w:val="21"/>
                <w:szCs w:val="21"/>
              </w:rPr>
              <w:t>和专业自信心</w:t>
            </w:r>
            <w:r>
              <w:rPr>
                <w:rFonts w:ascii="宋体" w:hAnsi="宋体" w:eastAsia="宋体" w:cs="Times New Roman"/>
                <w:color w:val="auto"/>
                <w:sz w:val="21"/>
                <w:szCs w:val="21"/>
              </w:rPr>
              <w:t>。</w:t>
            </w:r>
          </w:p>
        </w:tc>
      </w:tr>
    </w:tbl>
    <w:p w14:paraId="43DC6C5E">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四、目标评价与成绩评定</w:t>
      </w:r>
    </w:p>
    <w:p w14:paraId="7A3626AA">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0A7643C5">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1545"/>
        <w:gridCol w:w="1405"/>
        <w:gridCol w:w="1405"/>
        <w:gridCol w:w="1405"/>
        <w:gridCol w:w="846"/>
      </w:tblGrid>
      <w:tr w14:paraId="55B8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0" w:type="auto"/>
            <w:vMerge w:val="restart"/>
            <w:vAlign w:val="center"/>
          </w:tcPr>
          <w:p w14:paraId="3EF9610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0" w:type="auto"/>
            <w:gridSpan w:val="4"/>
            <w:vAlign w:val="center"/>
          </w:tcPr>
          <w:p w14:paraId="000BB21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5BBBFBD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0054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0" w:type="auto"/>
            <w:vMerge w:val="continue"/>
            <w:vAlign w:val="center"/>
          </w:tcPr>
          <w:p w14:paraId="191AD792">
            <w:pPr>
              <w:spacing w:line="360" w:lineRule="auto"/>
              <w:jc w:val="center"/>
              <w:rPr>
                <w:rFonts w:hint="eastAsia" w:ascii="宋体" w:hAnsi="宋体" w:eastAsia="宋体" w:cs="Times New Roman"/>
                <w:color w:val="auto"/>
                <w:szCs w:val="21"/>
              </w:rPr>
            </w:pPr>
          </w:p>
        </w:tc>
        <w:tc>
          <w:tcPr>
            <w:tcW w:w="0" w:type="auto"/>
            <w:vAlign w:val="center"/>
          </w:tcPr>
          <w:p w14:paraId="35CCC23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作业</w:t>
            </w:r>
            <w:r>
              <w:rPr>
                <w:rFonts w:ascii="宋体" w:hAnsi="宋体" w:eastAsia="宋体" w:cs="Times New Roman"/>
                <w:color w:val="auto"/>
                <w:szCs w:val="21"/>
              </w:rPr>
              <w:t>+考勤</w:t>
            </w:r>
          </w:p>
        </w:tc>
        <w:tc>
          <w:tcPr>
            <w:tcW w:w="0" w:type="auto"/>
            <w:vAlign w:val="center"/>
          </w:tcPr>
          <w:p w14:paraId="0B44CC4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0" w:type="auto"/>
            <w:vAlign w:val="center"/>
          </w:tcPr>
          <w:p w14:paraId="695E382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课内实践</w:t>
            </w:r>
          </w:p>
        </w:tc>
        <w:tc>
          <w:tcPr>
            <w:tcW w:w="0" w:type="auto"/>
            <w:vAlign w:val="center"/>
          </w:tcPr>
          <w:p w14:paraId="5E9E1BD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0" w:type="auto"/>
            <w:vMerge w:val="continue"/>
            <w:vAlign w:val="center"/>
          </w:tcPr>
          <w:p w14:paraId="72A007B6">
            <w:pPr>
              <w:spacing w:line="360" w:lineRule="auto"/>
              <w:jc w:val="center"/>
              <w:rPr>
                <w:rFonts w:hint="eastAsia" w:ascii="宋体" w:hAnsi="宋体" w:eastAsia="宋体" w:cs="Times New Roman"/>
                <w:color w:val="auto"/>
                <w:szCs w:val="21"/>
              </w:rPr>
            </w:pPr>
          </w:p>
        </w:tc>
      </w:tr>
      <w:tr w14:paraId="7019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0" w:type="auto"/>
            <w:vAlign w:val="center"/>
          </w:tcPr>
          <w:p w14:paraId="4D4312C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0" w:type="auto"/>
            <w:vAlign w:val="center"/>
          </w:tcPr>
          <w:p w14:paraId="21332E0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378FE49">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3BFFE2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785EA8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782CDA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35</w:t>
            </w:r>
          </w:p>
        </w:tc>
      </w:tr>
      <w:tr w14:paraId="4E4E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0" w:type="auto"/>
            <w:vAlign w:val="center"/>
          </w:tcPr>
          <w:p w14:paraId="158A3F3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0" w:type="auto"/>
            <w:vAlign w:val="center"/>
          </w:tcPr>
          <w:p w14:paraId="73A807DB">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042457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596F7EBB">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55DB4FC">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6F4F45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35</w:t>
            </w:r>
          </w:p>
        </w:tc>
      </w:tr>
      <w:tr w14:paraId="0092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0" w:type="auto"/>
            <w:vAlign w:val="center"/>
          </w:tcPr>
          <w:p w14:paraId="4239C1A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0" w:type="auto"/>
            <w:vAlign w:val="center"/>
          </w:tcPr>
          <w:p w14:paraId="3CC6174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676E35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9FB77E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F350009">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5F4F4EE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15</w:t>
            </w:r>
          </w:p>
        </w:tc>
      </w:tr>
      <w:tr w14:paraId="3AA0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0" w:type="auto"/>
            <w:vAlign w:val="center"/>
          </w:tcPr>
          <w:p w14:paraId="21B48F0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课程目标4</w:t>
            </w:r>
          </w:p>
        </w:tc>
        <w:tc>
          <w:tcPr>
            <w:tcW w:w="0" w:type="auto"/>
            <w:vAlign w:val="center"/>
          </w:tcPr>
          <w:p w14:paraId="26E02A2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00BE165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76CB71B">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0B94351">
            <w:pPr>
              <w:spacing w:line="360" w:lineRule="auto"/>
              <w:jc w:val="center"/>
              <w:rPr>
                <w:rFonts w:hint="eastAsia" w:ascii="宋体" w:hAnsi="宋体" w:eastAsia="宋体" w:cs="Times New Roman"/>
                <w:color w:val="auto"/>
                <w:szCs w:val="21"/>
              </w:rPr>
            </w:pPr>
          </w:p>
        </w:tc>
        <w:tc>
          <w:tcPr>
            <w:tcW w:w="0" w:type="auto"/>
            <w:vAlign w:val="center"/>
          </w:tcPr>
          <w:p w14:paraId="1E58401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5</w:t>
            </w:r>
          </w:p>
        </w:tc>
      </w:tr>
      <w:tr w14:paraId="78B7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0" w:type="auto"/>
            <w:vAlign w:val="center"/>
          </w:tcPr>
          <w:p w14:paraId="3223A5A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0" w:type="auto"/>
            <w:vAlign w:val="center"/>
          </w:tcPr>
          <w:p w14:paraId="1C97BA6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20</w:t>
            </w:r>
          </w:p>
        </w:tc>
        <w:tc>
          <w:tcPr>
            <w:tcW w:w="0" w:type="auto"/>
            <w:vAlign w:val="center"/>
          </w:tcPr>
          <w:p w14:paraId="03D627F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0</w:t>
            </w:r>
          </w:p>
        </w:tc>
        <w:tc>
          <w:tcPr>
            <w:tcW w:w="0" w:type="auto"/>
            <w:vAlign w:val="center"/>
          </w:tcPr>
          <w:p w14:paraId="49C79A2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0</w:t>
            </w:r>
          </w:p>
        </w:tc>
        <w:tc>
          <w:tcPr>
            <w:tcW w:w="0" w:type="auto"/>
            <w:vAlign w:val="center"/>
          </w:tcPr>
          <w:p w14:paraId="0970995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w:t>
            </w:r>
            <w:r>
              <w:rPr>
                <w:rFonts w:ascii="宋体" w:hAnsi="宋体" w:eastAsia="宋体" w:cs="Times New Roman"/>
                <w:color w:val="auto"/>
                <w:szCs w:val="21"/>
              </w:rPr>
              <w:t>0</w:t>
            </w:r>
          </w:p>
        </w:tc>
        <w:tc>
          <w:tcPr>
            <w:tcW w:w="0" w:type="auto"/>
            <w:vAlign w:val="center"/>
          </w:tcPr>
          <w:p w14:paraId="3FB75EA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393DFDFF">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1A45E027">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6767"/>
        <w:gridCol w:w="706"/>
      </w:tblGrid>
      <w:tr w14:paraId="07412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0B02B09F">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767" w:type="dxa"/>
            <w:vAlign w:val="center"/>
          </w:tcPr>
          <w:p w14:paraId="013E867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56B8B69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2C8F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6A57DC6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作业</w:t>
            </w:r>
            <w:r>
              <w:rPr>
                <w:rFonts w:ascii="Times New Roman" w:hAnsi="Times New Roman" w:eastAsia="宋体" w:cs="Times New Roman"/>
                <w:color w:val="auto"/>
                <w:szCs w:val="21"/>
              </w:rPr>
              <w:t>+考勤</w:t>
            </w:r>
          </w:p>
        </w:tc>
        <w:tc>
          <w:tcPr>
            <w:tcW w:w="6767" w:type="dxa"/>
            <w:vAlign w:val="center"/>
          </w:tcPr>
          <w:p w14:paraId="47AFC69E">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平时作业共3次，平时总评</w:t>
            </w:r>
            <w:r>
              <w:rPr>
                <w:rFonts w:ascii="Times New Roman" w:hAnsi="Times New Roman" w:eastAsia="宋体" w:cs="Times New Roman"/>
                <w:color w:val="auto"/>
                <w:szCs w:val="21"/>
              </w:rPr>
              <w:t>=作业平均—考勤扣分，旷课1次扣5分，事假一次扣2分，迟到1次扣1分，病假不扣分（但病假次数达本学期总授课学时的1/3以上者不得参加考核）。</w:t>
            </w:r>
          </w:p>
        </w:tc>
        <w:tc>
          <w:tcPr>
            <w:tcW w:w="0" w:type="auto"/>
            <w:vAlign w:val="center"/>
          </w:tcPr>
          <w:p w14:paraId="3D637BC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0%</w:t>
            </w:r>
          </w:p>
        </w:tc>
      </w:tr>
      <w:tr w14:paraId="03BF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19EA9F4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6767" w:type="dxa"/>
            <w:vAlign w:val="center"/>
          </w:tcPr>
          <w:p w14:paraId="58EC6F6E">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课堂表现。</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按照对应的课程目标及权重给予评定</w:t>
            </w:r>
            <w:r>
              <w:rPr>
                <w:rFonts w:hint="eastAsia" w:ascii="宋体" w:hAnsi="宋体" w:eastAsia="宋体" w:cs="宋体"/>
                <w:color w:val="auto"/>
                <w:kern w:val="0"/>
                <w:szCs w:val="21"/>
                <w:lang w:bidi="ar"/>
              </w:rPr>
              <w:t>。</w:t>
            </w:r>
          </w:p>
        </w:tc>
        <w:tc>
          <w:tcPr>
            <w:tcW w:w="0" w:type="auto"/>
            <w:vAlign w:val="center"/>
          </w:tcPr>
          <w:p w14:paraId="017BC19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09B1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528958A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课内实践</w:t>
            </w:r>
          </w:p>
        </w:tc>
        <w:tc>
          <w:tcPr>
            <w:tcW w:w="6767" w:type="dxa"/>
            <w:vAlign w:val="center"/>
          </w:tcPr>
          <w:p w14:paraId="7A1A6E37">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认真完成</w:t>
            </w:r>
            <w:r>
              <w:rPr>
                <w:rFonts w:ascii="宋体" w:hAnsi="宋体" w:eastAsia="宋体" w:cs="宋体"/>
                <w:color w:val="auto"/>
                <w:kern w:val="0"/>
                <w:szCs w:val="21"/>
                <w:lang w:bidi="ar"/>
              </w:rPr>
              <w:t>4个项目的课内实践，</w:t>
            </w:r>
            <w:r>
              <w:rPr>
                <w:rFonts w:hint="eastAsia" w:ascii="宋体" w:hAnsi="宋体" w:eastAsia="宋体" w:cs="宋体"/>
                <w:color w:val="auto"/>
                <w:kern w:val="0"/>
                <w:szCs w:val="21"/>
                <w:lang w:bidi="ar"/>
              </w:rPr>
              <w:t>在充分观摩学习的基础上</w:t>
            </w:r>
            <w:r>
              <w:rPr>
                <w:rFonts w:ascii="宋体" w:hAnsi="宋体" w:eastAsia="宋体" w:cs="宋体"/>
                <w:color w:val="auto"/>
                <w:kern w:val="0"/>
                <w:szCs w:val="21"/>
                <w:lang w:bidi="ar"/>
              </w:rPr>
              <w:t>，</w:t>
            </w:r>
            <w:r>
              <w:rPr>
                <w:rFonts w:hint="eastAsia" w:ascii="宋体" w:hAnsi="宋体" w:eastAsia="宋体" w:cs="宋体"/>
                <w:color w:val="auto"/>
                <w:kern w:val="0"/>
                <w:szCs w:val="21"/>
                <w:lang w:bidi="ar"/>
              </w:rPr>
              <w:t>开展深入的案例研讨，</w:t>
            </w:r>
            <w:r>
              <w:rPr>
                <w:rFonts w:ascii="宋体" w:hAnsi="宋体" w:eastAsia="宋体" w:cs="宋体"/>
                <w:color w:val="auto"/>
                <w:kern w:val="0"/>
                <w:szCs w:val="21"/>
                <w:lang w:bidi="ar"/>
              </w:rPr>
              <w:t>尝试进行</w:t>
            </w:r>
            <w:r>
              <w:rPr>
                <w:rFonts w:hint="eastAsia" w:ascii="宋体" w:hAnsi="宋体" w:eastAsia="宋体" w:cs="宋体"/>
                <w:color w:val="auto"/>
                <w:kern w:val="0"/>
                <w:szCs w:val="21"/>
                <w:lang w:bidi="ar"/>
              </w:rPr>
              <w:t>相关内容的教学设计并付诸实施</w:t>
            </w:r>
            <w:r>
              <w:rPr>
                <w:rFonts w:ascii="宋体" w:hAnsi="宋体" w:eastAsia="宋体" w:cs="宋体"/>
                <w:color w:val="auto"/>
                <w:kern w:val="0"/>
                <w:szCs w:val="21"/>
                <w:lang w:bidi="ar"/>
              </w:rPr>
              <w:t>。</w:t>
            </w:r>
            <w:r>
              <w:rPr>
                <w:rFonts w:hint="eastAsia" w:ascii="宋体" w:hAnsi="宋体" w:eastAsia="宋体" w:cs="宋体"/>
                <w:color w:val="auto"/>
                <w:kern w:val="0"/>
                <w:szCs w:val="21"/>
                <w:lang w:bidi="ar"/>
              </w:rPr>
              <w:t>实行组内互评与教师评价相结合的方式。</w:t>
            </w:r>
            <w:r>
              <w:rPr>
                <w:rFonts w:ascii="宋体" w:hAnsi="宋体" w:eastAsia="宋体" w:cs="宋体"/>
                <w:color w:val="auto"/>
                <w:kern w:val="0"/>
                <w:szCs w:val="21"/>
                <w:lang w:bidi="ar"/>
              </w:rPr>
              <w:t>4个项目成绩取平均分作为课内实践分。</w:t>
            </w:r>
          </w:p>
        </w:tc>
        <w:tc>
          <w:tcPr>
            <w:tcW w:w="0" w:type="auto"/>
            <w:vAlign w:val="center"/>
          </w:tcPr>
          <w:p w14:paraId="63031E60">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0%</w:t>
            </w:r>
          </w:p>
        </w:tc>
      </w:tr>
      <w:tr w14:paraId="7C5C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70E5DA9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6767" w:type="dxa"/>
            <w:vAlign w:val="center"/>
          </w:tcPr>
          <w:p w14:paraId="3CFFCD83">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选择一个小学数学教学案例，提交一份小学数学教学案例研究报告</w:t>
            </w:r>
            <w:r>
              <w:rPr>
                <w:rFonts w:ascii="Times New Roman" w:hAnsi="Times New Roman" w:eastAsia="宋体" w:cs="Times New Roman"/>
                <w:color w:val="auto"/>
                <w:szCs w:val="21"/>
              </w:rPr>
              <w:t>。</w:t>
            </w:r>
          </w:p>
        </w:tc>
        <w:tc>
          <w:tcPr>
            <w:tcW w:w="0" w:type="auto"/>
            <w:vAlign w:val="center"/>
          </w:tcPr>
          <w:p w14:paraId="3C7C01C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39C2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23" w:type="dxa"/>
            <w:vAlign w:val="center"/>
          </w:tcPr>
          <w:p w14:paraId="07A44DC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6767" w:type="dxa"/>
            <w:vAlign w:val="center"/>
          </w:tcPr>
          <w:p w14:paraId="4548B5EA">
            <w:pPr>
              <w:jc w:val="left"/>
              <w:rPr>
                <w:rFonts w:ascii="Times New Roman" w:hAnsi="Times New Roman" w:eastAsia="宋体" w:cs="Times New Roman"/>
                <w:color w:val="auto"/>
                <w:szCs w:val="21"/>
              </w:rPr>
            </w:pPr>
          </w:p>
        </w:tc>
        <w:tc>
          <w:tcPr>
            <w:tcW w:w="0" w:type="auto"/>
            <w:vAlign w:val="center"/>
          </w:tcPr>
          <w:p w14:paraId="1177BE0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076732B0">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1D10401D">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0AE8EB2B">
      <w:pPr>
        <w:spacing w:before="156" w:beforeLines="50" w:line="360" w:lineRule="auto"/>
        <w:ind w:firstLine="420" w:firstLineChars="200"/>
        <w:jc w:val="left"/>
        <w:rPr>
          <w:rFonts w:hint="eastAsia" w:ascii="Times New Roman" w:hAnsi="Times New Roman" w:eastAsia="宋体" w:cs="Times New Roman"/>
          <w:b/>
          <w:color w:val="auto"/>
          <w:sz w:val="24"/>
          <w:szCs w:val="24"/>
        </w:rPr>
      </w:pPr>
      <w:r>
        <w:rPr>
          <w:rFonts w:ascii="宋体" w:hAnsi="宋体" w:eastAsia="宋体" w:cs="Times New Roman"/>
          <w:color w:val="auto"/>
          <w:szCs w:val="21"/>
        </w:rPr>
        <w:object>
          <v:shape id="_x0000_i1078"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78" DrawAspect="Content" ObjectID="_1468075777" r:id="rId64">
            <o:LockedField>false</o:LockedField>
          </o:OLEObject>
        </w:object>
      </w:r>
      <w:r>
        <w:rPr>
          <w:rFonts w:hint="eastAsia" w:ascii="Times New Roman" w:hAnsi="Times New Roman" w:eastAsia="宋体" w:cs="Times New Roman"/>
          <w:b/>
          <w:color w:val="auto"/>
          <w:sz w:val="24"/>
          <w:szCs w:val="24"/>
        </w:rPr>
        <w:t>五、课内实践</w:t>
      </w:r>
    </w:p>
    <w:p w14:paraId="249285F9">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本课程在理论教学的基础上，安排了4个课内实践项目（共</w:t>
      </w:r>
      <w:r>
        <w:rPr>
          <w:rFonts w:ascii="宋体" w:hAnsi="宋体" w:eastAsia="宋体"/>
          <w:color w:val="auto"/>
          <w:szCs w:val="21"/>
        </w:rPr>
        <w:t>16</w:t>
      </w:r>
      <w:r>
        <w:rPr>
          <w:rFonts w:hint="eastAsia" w:ascii="宋体" w:hAnsi="宋体" w:eastAsia="宋体"/>
          <w:color w:val="auto"/>
          <w:szCs w:val="21"/>
        </w:rPr>
        <w:t>学时），体现了理论与实践的结合，强化对学生的课程思政。</w:t>
      </w:r>
    </w:p>
    <w:tbl>
      <w:tblPr>
        <w:tblStyle w:val="3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5B7A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08EC10C6">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3407" w:type="dxa"/>
            <w:vAlign w:val="center"/>
          </w:tcPr>
          <w:p w14:paraId="634C2D28">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740" w:type="dxa"/>
            <w:vAlign w:val="center"/>
          </w:tcPr>
          <w:p w14:paraId="7C6D3E54">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3160" w:type="dxa"/>
            <w:vAlign w:val="center"/>
          </w:tcPr>
          <w:p w14:paraId="05FD24D0">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思政目标</w:t>
            </w:r>
          </w:p>
        </w:tc>
      </w:tr>
      <w:tr w14:paraId="708E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72C37D67">
            <w:pPr>
              <w:rPr>
                <w:rFonts w:hint="eastAsia" w:ascii="宋体" w:hAnsi="宋体" w:eastAsia="宋体" w:cs="Times New Roman"/>
                <w:color w:val="auto"/>
                <w:szCs w:val="21"/>
              </w:rPr>
            </w:pPr>
            <w:r>
              <w:rPr>
                <w:rFonts w:hint="eastAsia" w:ascii="宋体" w:hAnsi="宋体" w:eastAsia="宋体" w:cs="Times New Roman"/>
                <w:color w:val="auto"/>
                <w:szCs w:val="21"/>
              </w:rPr>
              <w:t>“数与代数”教学案例研讨</w:t>
            </w:r>
          </w:p>
        </w:tc>
        <w:tc>
          <w:tcPr>
            <w:tcW w:w="3407" w:type="dxa"/>
            <w:vAlign w:val="center"/>
          </w:tcPr>
          <w:p w14:paraId="50AECAFC">
            <w:pPr>
              <w:rPr>
                <w:rFonts w:hint="eastAsia" w:ascii="宋体" w:hAnsi="宋体" w:eastAsia="宋体" w:cs="Times New Roman"/>
                <w:color w:val="auto"/>
                <w:szCs w:val="21"/>
              </w:rPr>
            </w:pPr>
            <w:r>
              <w:rPr>
                <w:rFonts w:hint="eastAsia" w:ascii="宋体" w:hAnsi="宋体" w:eastAsia="宋体" w:cs="Times New Roman"/>
                <w:color w:val="auto"/>
                <w:szCs w:val="21"/>
              </w:rPr>
              <w:t>选择2</w:t>
            </w:r>
            <w:r>
              <w:rPr>
                <w:rFonts w:ascii="宋体" w:hAnsi="宋体" w:eastAsia="宋体" w:cs="Times New Roman"/>
                <w:color w:val="auto"/>
                <w:szCs w:val="21"/>
              </w:rPr>
              <w:t>-3</w:t>
            </w:r>
            <w:r>
              <w:rPr>
                <w:rFonts w:hint="eastAsia" w:ascii="宋体" w:hAnsi="宋体" w:eastAsia="宋体" w:cs="Times New Roman"/>
                <w:color w:val="auto"/>
                <w:szCs w:val="21"/>
              </w:rPr>
              <w:t>个“数与代数”领域的内容，围绕</w:t>
            </w:r>
            <w:r>
              <w:rPr>
                <w:rFonts w:ascii="宋体" w:hAnsi="宋体" w:eastAsia="宋体" w:cs="Times New Roman"/>
                <w:color w:val="auto"/>
                <w:szCs w:val="21"/>
              </w:rPr>
              <w:t>相关的</w:t>
            </w:r>
            <w:r>
              <w:rPr>
                <w:rFonts w:hint="eastAsia" w:ascii="宋体" w:hAnsi="宋体" w:eastAsia="宋体" w:cs="Times New Roman"/>
                <w:color w:val="auto"/>
                <w:szCs w:val="21"/>
              </w:rPr>
              <w:t>教学</w:t>
            </w:r>
            <w:r>
              <w:rPr>
                <w:rFonts w:ascii="宋体" w:hAnsi="宋体" w:eastAsia="宋体" w:cs="Times New Roman"/>
                <w:color w:val="auto"/>
                <w:szCs w:val="21"/>
              </w:rPr>
              <w:t>案例（教学设计、教学视频等），</w:t>
            </w:r>
            <w:r>
              <w:rPr>
                <w:rFonts w:hint="eastAsia" w:ascii="宋体" w:hAnsi="宋体" w:eastAsia="宋体" w:cs="Times New Roman"/>
                <w:color w:val="auto"/>
                <w:szCs w:val="21"/>
              </w:rPr>
              <w:t>进行观摩</w:t>
            </w:r>
            <w:r>
              <w:rPr>
                <w:rFonts w:ascii="宋体" w:hAnsi="宋体" w:eastAsia="宋体" w:cs="Times New Roman"/>
                <w:color w:val="auto"/>
                <w:szCs w:val="21"/>
              </w:rPr>
              <w:t>研讨</w:t>
            </w:r>
            <w:r>
              <w:rPr>
                <w:rFonts w:hint="eastAsia" w:ascii="宋体" w:hAnsi="宋体" w:eastAsia="宋体" w:cs="Times New Roman"/>
                <w:color w:val="auto"/>
                <w:szCs w:val="21"/>
              </w:rPr>
              <w:t>，并在</w:t>
            </w:r>
            <w:r>
              <w:rPr>
                <w:rFonts w:ascii="宋体" w:hAnsi="宋体" w:eastAsia="宋体" w:cs="Times New Roman"/>
                <w:color w:val="auto"/>
                <w:szCs w:val="21"/>
              </w:rPr>
              <w:t>此基础上进行教学设计。</w:t>
            </w:r>
          </w:p>
        </w:tc>
        <w:tc>
          <w:tcPr>
            <w:tcW w:w="740" w:type="dxa"/>
            <w:vAlign w:val="center"/>
          </w:tcPr>
          <w:p w14:paraId="189E9C7D">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观摩</w:t>
            </w:r>
            <w:r>
              <w:rPr>
                <w:rFonts w:hint="eastAsia" w:ascii="宋体" w:hAnsi="宋体" w:eastAsia="宋体" w:cs="宋体"/>
                <w:color w:val="auto"/>
                <w:szCs w:val="21"/>
              </w:rPr>
              <w:t>研讨</w:t>
            </w:r>
          </w:p>
        </w:tc>
        <w:tc>
          <w:tcPr>
            <w:tcW w:w="3160" w:type="dxa"/>
          </w:tcPr>
          <w:p w14:paraId="17E613B2">
            <w:pPr>
              <w:rPr>
                <w:rFonts w:hint="eastAsia" w:ascii="宋体" w:hAnsi="宋体" w:eastAsia="宋体" w:cs="Times New Roman"/>
                <w:color w:val="auto"/>
                <w:szCs w:val="21"/>
              </w:rPr>
            </w:pPr>
            <w:r>
              <w:rPr>
                <w:rFonts w:ascii="宋体" w:hAnsi="宋体" w:eastAsia="宋体" w:cs="Times New Roman"/>
                <w:color w:val="auto"/>
                <w:szCs w:val="21"/>
              </w:rPr>
              <w:t>增强专业自信心</w:t>
            </w:r>
            <w:r>
              <w:rPr>
                <w:rFonts w:hint="eastAsia" w:ascii="宋体" w:hAnsi="宋体" w:eastAsia="宋体" w:cs="Times New Roman"/>
                <w:color w:val="auto"/>
                <w:szCs w:val="21"/>
              </w:rPr>
              <w:t>，</w:t>
            </w:r>
            <w:r>
              <w:rPr>
                <w:rFonts w:ascii="宋体" w:hAnsi="宋体" w:eastAsia="宋体" w:cs="Times New Roman"/>
                <w:color w:val="auto"/>
                <w:szCs w:val="21"/>
              </w:rPr>
              <w:t>树立全面育人的教学观，注重教学中情感、态度与价值观目标的达成</w:t>
            </w:r>
            <w:r>
              <w:rPr>
                <w:rFonts w:hint="eastAsia" w:ascii="宋体" w:hAnsi="宋体" w:eastAsia="宋体" w:cs="Times New Roman"/>
                <w:color w:val="auto"/>
                <w:szCs w:val="21"/>
              </w:rPr>
              <w:t>，</w:t>
            </w:r>
            <w:r>
              <w:rPr>
                <w:rFonts w:ascii="宋体" w:hAnsi="宋体" w:eastAsia="宋体" w:cs="Times New Roman"/>
                <w:color w:val="auto"/>
                <w:szCs w:val="21"/>
              </w:rPr>
              <w:t>增强团队合作意识和专业自信心。</w:t>
            </w:r>
          </w:p>
        </w:tc>
      </w:tr>
      <w:tr w14:paraId="7F5C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1F4E8A9A">
            <w:pPr>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图形</w:t>
            </w:r>
            <w:r>
              <w:rPr>
                <w:rFonts w:hint="eastAsia" w:ascii="宋体" w:hAnsi="宋体" w:eastAsia="宋体" w:cs="Times New Roman"/>
                <w:color w:val="auto"/>
                <w:szCs w:val="21"/>
              </w:rPr>
              <w:t>与几何”教学案例研讨</w:t>
            </w:r>
          </w:p>
        </w:tc>
        <w:tc>
          <w:tcPr>
            <w:tcW w:w="3407" w:type="dxa"/>
            <w:vAlign w:val="center"/>
          </w:tcPr>
          <w:p w14:paraId="232806A5">
            <w:pPr>
              <w:rPr>
                <w:rFonts w:hint="eastAsia" w:ascii="宋体" w:hAnsi="宋体" w:eastAsia="宋体" w:cs="Times New Roman"/>
                <w:color w:val="auto"/>
                <w:szCs w:val="21"/>
              </w:rPr>
            </w:pPr>
            <w:r>
              <w:rPr>
                <w:rFonts w:hint="eastAsia" w:ascii="宋体" w:hAnsi="宋体" w:eastAsia="宋体" w:cs="Times New Roman"/>
                <w:color w:val="auto"/>
                <w:szCs w:val="21"/>
              </w:rPr>
              <w:t>选择1</w:t>
            </w:r>
            <w:r>
              <w:rPr>
                <w:rFonts w:ascii="宋体" w:hAnsi="宋体" w:eastAsia="宋体" w:cs="Times New Roman"/>
                <w:color w:val="auto"/>
                <w:szCs w:val="21"/>
              </w:rPr>
              <w:t>-2</w:t>
            </w:r>
            <w:r>
              <w:rPr>
                <w:rFonts w:hint="eastAsia" w:ascii="宋体" w:hAnsi="宋体" w:eastAsia="宋体" w:cs="Times New Roman"/>
                <w:color w:val="auto"/>
                <w:szCs w:val="21"/>
              </w:rPr>
              <w:t>个“图形与几何”领域的内容，围绕</w:t>
            </w:r>
            <w:r>
              <w:rPr>
                <w:rFonts w:ascii="宋体" w:hAnsi="宋体" w:eastAsia="宋体" w:cs="Times New Roman"/>
                <w:color w:val="auto"/>
                <w:szCs w:val="21"/>
              </w:rPr>
              <w:t>相关的</w:t>
            </w:r>
            <w:r>
              <w:rPr>
                <w:rFonts w:hint="eastAsia" w:ascii="宋体" w:hAnsi="宋体" w:eastAsia="宋体" w:cs="Times New Roman"/>
                <w:color w:val="auto"/>
                <w:szCs w:val="21"/>
              </w:rPr>
              <w:t>教学</w:t>
            </w:r>
            <w:r>
              <w:rPr>
                <w:rFonts w:ascii="宋体" w:hAnsi="宋体" w:eastAsia="宋体" w:cs="Times New Roman"/>
                <w:color w:val="auto"/>
                <w:szCs w:val="21"/>
              </w:rPr>
              <w:t>案例（教学设计、教学视频等），</w:t>
            </w:r>
            <w:r>
              <w:rPr>
                <w:rFonts w:hint="eastAsia" w:ascii="宋体" w:hAnsi="宋体" w:eastAsia="宋体" w:cs="Times New Roman"/>
                <w:color w:val="auto"/>
                <w:szCs w:val="21"/>
              </w:rPr>
              <w:t>进行观摩</w:t>
            </w:r>
            <w:r>
              <w:rPr>
                <w:rFonts w:ascii="宋体" w:hAnsi="宋体" w:eastAsia="宋体" w:cs="Times New Roman"/>
                <w:color w:val="auto"/>
                <w:szCs w:val="21"/>
              </w:rPr>
              <w:t>研讨</w:t>
            </w:r>
            <w:r>
              <w:rPr>
                <w:rFonts w:hint="eastAsia" w:ascii="宋体" w:hAnsi="宋体" w:eastAsia="宋体" w:cs="Times New Roman"/>
                <w:color w:val="auto"/>
                <w:szCs w:val="21"/>
              </w:rPr>
              <w:t>，并在</w:t>
            </w:r>
            <w:r>
              <w:rPr>
                <w:rFonts w:ascii="宋体" w:hAnsi="宋体" w:eastAsia="宋体" w:cs="Times New Roman"/>
                <w:color w:val="auto"/>
                <w:szCs w:val="21"/>
              </w:rPr>
              <w:t>此基础上进行教学设计。</w:t>
            </w:r>
          </w:p>
        </w:tc>
        <w:tc>
          <w:tcPr>
            <w:tcW w:w="740" w:type="dxa"/>
            <w:vAlign w:val="center"/>
          </w:tcPr>
          <w:p w14:paraId="2A58E008">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观摩</w:t>
            </w:r>
            <w:r>
              <w:rPr>
                <w:rFonts w:hint="eastAsia" w:ascii="宋体" w:hAnsi="宋体" w:eastAsia="宋体" w:cs="宋体"/>
                <w:color w:val="auto"/>
                <w:szCs w:val="21"/>
              </w:rPr>
              <w:t>研讨</w:t>
            </w:r>
          </w:p>
        </w:tc>
        <w:tc>
          <w:tcPr>
            <w:tcW w:w="3160" w:type="dxa"/>
          </w:tcPr>
          <w:p w14:paraId="2E9759CA">
            <w:pPr>
              <w:rPr>
                <w:rFonts w:hint="eastAsia" w:ascii="宋体" w:hAnsi="宋体" w:eastAsia="宋体" w:cs="Times New Roman"/>
                <w:color w:val="auto"/>
                <w:szCs w:val="21"/>
              </w:rPr>
            </w:pPr>
            <w:r>
              <w:rPr>
                <w:rFonts w:hint="eastAsia" w:ascii="宋体" w:hAnsi="宋体" w:eastAsia="宋体" w:cs="Times New Roman"/>
                <w:color w:val="auto"/>
                <w:szCs w:val="21"/>
              </w:rPr>
              <w:t>增强专业自信心，树立全面育人的教学观，注重教学中情感、态度与价值观目标的达成，增强团队合作意识和专业自信心。</w:t>
            </w:r>
          </w:p>
        </w:tc>
      </w:tr>
      <w:tr w14:paraId="2EED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17EC4B81">
            <w:pPr>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统计与概率</w:t>
            </w:r>
            <w:r>
              <w:rPr>
                <w:rFonts w:hint="eastAsia" w:ascii="宋体" w:hAnsi="宋体" w:eastAsia="宋体" w:cs="Times New Roman"/>
                <w:color w:val="auto"/>
                <w:szCs w:val="21"/>
              </w:rPr>
              <w:t>”教学案例研讨</w:t>
            </w:r>
          </w:p>
        </w:tc>
        <w:tc>
          <w:tcPr>
            <w:tcW w:w="3407" w:type="dxa"/>
            <w:vAlign w:val="center"/>
          </w:tcPr>
          <w:p w14:paraId="5F195007">
            <w:pPr>
              <w:rPr>
                <w:rFonts w:hint="eastAsia" w:ascii="宋体" w:hAnsi="宋体" w:eastAsia="宋体" w:cs="Times New Roman"/>
                <w:color w:val="auto"/>
                <w:szCs w:val="21"/>
              </w:rPr>
            </w:pPr>
            <w:r>
              <w:rPr>
                <w:rFonts w:hint="eastAsia" w:ascii="宋体" w:hAnsi="宋体" w:eastAsia="宋体" w:cs="Times New Roman"/>
                <w:color w:val="auto"/>
                <w:szCs w:val="21"/>
              </w:rPr>
              <w:t>选择1个“统计与概率”领域的内容，围绕</w:t>
            </w:r>
            <w:r>
              <w:rPr>
                <w:rFonts w:ascii="宋体" w:hAnsi="宋体" w:eastAsia="宋体" w:cs="Times New Roman"/>
                <w:color w:val="auto"/>
                <w:szCs w:val="21"/>
              </w:rPr>
              <w:t>相关的</w:t>
            </w:r>
            <w:r>
              <w:rPr>
                <w:rFonts w:hint="eastAsia" w:ascii="宋体" w:hAnsi="宋体" w:eastAsia="宋体" w:cs="Times New Roman"/>
                <w:color w:val="auto"/>
                <w:szCs w:val="21"/>
              </w:rPr>
              <w:t>教学</w:t>
            </w:r>
            <w:r>
              <w:rPr>
                <w:rFonts w:ascii="宋体" w:hAnsi="宋体" w:eastAsia="宋体" w:cs="Times New Roman"/>
                <w:color w:val="auto"/>
                <w:szCs w:val="21"/>
              </w:rPr>
              <w:t>案例（教学设计、教学视频等），</w:t>
            </w:r>
            <w:r>
              <w:rPr>
                <w:rFonts w:hint="eastAsia" w:ascii="宋体" w:hAnsi="宋体" w:eastAsia="宋体" w:cs="Times New Roman"/>
                <w:color w:val="auto"/>
                <w:szCs w:val="21"/>
              </w:rPr>
              <w:t>进行观摩</w:t>
            </w:r>
            <w:r>
              <w:rPr>
                <w:rFonts w:ascii="宋体" w:hAnsi="宋体" w:eastAsia="宋体" w:cs="Times New Roman"/>
                <w:color w:val="auto"/>
                <w:szCs w:val="21"/>
              </w:rPr>
              <w:t>研讨</w:t>
            </w:r>
            <w:r>
              <w:rPr>
                <w:rFonts w:hint="eastAsia" w:ascii="宋体" w:hAnsi="宋体" w:eastAsia="宋体" w:cs="Times New Roman"/>
                <w:color w:val="auto"/>
                <w:szCs w:val="21"/>
              </w:rPr>
              <w:t>，并在</w:t>
            </w:r>
            <w:r>
              <w:rPr>
                <w:rFonts w:ascii="宋体" w:hAnsi="宋体" w:eastAsia="宋体" w:cs="Times New Roman"/>
                <w:color w:val="auto"/>
                <w:szCs w:val="21"/>
              </w:rPr>
              <w:t>此基础上进行教学设计。</w:t>
            </w:r>
          </w:p>
        </w:tc>
        <w:tc>
          <w:tcPr>
            <w:tcW w:w="740" w:type="dxa"/>
            <w:vAlign w:val="center"/>
          </w:tcPr>
          <w:p w14:paraId="0F29C681">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观摩</w:t>
            </w:r>
            <w:r>
              <w:rPr>
                <w:rFonts w:hint="eastAsia" w:ascii="宋体" w:hAnsi="宋体" w:eastAsia="宋体" w:cs="宋体"/>
                <w:color w:val="auto"/>
                <w:szCs w:val="21"/>
              </w:rPr>
              <w:t>研讨</w:t>
            </w:r>
          </w:p>
        </w:tc>
        <w:tc>
          <w:tcPr>
            <w:tcW w:w="3160" w:type="dxa"/>
          </w:tcPr>
          <w:p w14:paraId="50B0EFD2">
            <w:pPr>
              <w:rPr>
                <w:rFonts w:hint="eastAsia" w:ascii="宋体" w:hAnsi="宋体" w:eastAsia="宋体" w:cs="Times New Roman"/>
                <w:color w:val="auto"/>
                <w:szCs w:val="21"/>
              </w:rPr>
            </w:pPr>
            <w:r>
              <w:rPr>
                <w:rFonts w:hint="eastAsia" w:ascii="宋体" w:hAnsi="宋体" w:eastAsia="宋体" w:cs="Times New Roman"/>
                <w:color w:val="auto"/>
                <w:szCs w:val="21"/>
              </w:rPr>
              <w:t>增强专业自信心，树立全面育人的教学观，注重教学中情感、态度与价值观目标的达成，增强团队合作意识和专业自信心。</w:t>
            </w:r>
          </w:p>
        </w:tc>
      </w:tr>
      <w:tr w14:paraId="2CA5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5A9F35B2">
            <w:pPr>
              <w:rPr>
                <w:rFonts w:hint="eastAsia" w:ascii="宋体" w:hAnsi="宋体" w:eastAsia="宋体" w:cs="Times New Roman"/>
                <w:color w:val="auto"/>
                <w:szCs w:val="21"/>
              </w:rPr>
            </w:pPr>
            <w:r>
              <w:rPr>
                <w:rFonts w:hint="eastAsia" w:ascii="宋体" w:hAnsi="宋体" w:eastAsia="宋体" w:cs="Times New Roman"/>
                <w:color w:val="auto"/>
                <w:szCs w:val="21"/>
              </w:rPr>
              <w:t>“</w:t>
            </w:r>
            <w:r>
              <w:rPr>
                <w:rFonts w:ascii="宋体" w:hAnsi="宋体" w:eastAsia="宋体" w:cs="Times New Roman"/>
                <w:color w:val="auto"/>
                <w:szCs w:val="21"/>
              </w:rPr>
              <w:t>综合</w:t>
            </w:r>
            <w:r>
              <w:rPr>
                <w:rFonts w:hint="eastAsia" w:ascii="宋体" w:hAnsi="宋体" w:eastAsia="宋体" w:cs="Times New Roman"/>
                <w:color w:val="auto"/>
                <w:szCs w:val="21"/>
              </w:rPr>
              <w:t>与实践”教学案例研讨</w:t>
            </w:r>
          </w:p>
        </w:tc>
        <w:tc>
          <w:tcPr>
            <w:tcW w:w="3407" w:type="dxa"/>
            <w:vAlign w:val="center"/>
          </w:tcPr>
          <w:p w14:paraId="28DBC1A9">
            <w:pPr>
              <w:rPr>
                <w:rFonts w:hint="eastAsia" w:ascii="宋体" w:hAnsi="宋体" w:eastAsia="宋体" w:cs="Times New Roman"/>
                <w:color w:val="auto"/>
                <w:szCs w:val="21"/>
              </w:rPr>
            </w:pPr>
            <w:r>
              <w:rPr>
                <w:rFonts w:hint="eastAsia" w:ascii="宋体" w:hAnsi="宋体" w:eastAsia="宋体" w:cs="Times New Roman"/>
                <w:color w:val="auto"/>
                <w:szCs w:val="21"/>
              </w:rPr>
              <w:t>选择1个“综合与实践”领域的内容，围绕</w:t>
            </w:r>
            <w:r>
              <w:rPr>
                <w:rFonts w:ascii="宋体" w:hAnsi="宋体" w:eastAsia="宋体" w:cs="Times New Roman"/>
                <w:color w:val="auto"/>
                <w:szCs w:val="21"/>
              </w:rPr>
              <w:t>相关的</w:t>
            </w:r>
            <w:r>
              <w:rPr>
                <w:rFonts w:hint="eastAsia" w:ascii="宋体" w:hAnsi="宋体" w:eastAsia="宋体" w:cs="Times New Roman"/>
                <w:color w:val="auto"/>
                <w:szCs w:val="21"/>
              </w:rPr>
              <w:t>教学</w:t>
            </w:r>
            <w:r>
              <w:rPr>
                <w:rFonts w:ascii="宋体" w:hAnsi="宋体" w:eastAsia="宋体" w:cs="Times New Roman"/>
                <w:color w:val="auto"/>
                <w:szCs w:val="21"/>
              </w:rPr>
              <w:t>案例（教学设计、教学视频等），</w:t>
            </w:r>
            <w:r>
              <w:rPr>
                <w:rFonts w:hint="eastAsia" w:ascii="宋体" w:hAnsi="宋体" w:eastAsia="宋体" w:cs="Times New Roman"/>
                <w:color w:val="auto"/>
                <w:szCs w:val="21"/>
              </w:rPr>
              <w:t>进行观摩</w:t>
            </w:r>
            <w:r>
              <w:rPr>
                <w:rFonts w:ascii="宋体" w:hAnsi="宋体" w:eastAsia="宋体" w:cs="Times New Roman"/>
                <w:color w:val="auto"/>
                <w:szCs w:val="21"/>
              </w:rPr>
              <w:t>研讨</w:t>
            </w:r>
            <w:r>
              <w:rPr>
                <w:rFonts w:hint="eastAsia" w:ascii="宋体" w:hAnsi="宋体" w:eastAsia="宋体" w:cs="Times New Roman"/>
                <w:color w:val="auto"/>
                <w:szCs w:val="21"/>
              </w:rPr>
              <w:t>，并在</w:t>
            </w:r>
            <w:r>
              <w:rPr>
                <w:rFonts w:ascii="宋体" w:hAnsi="宋体" w:eastAsia="宋体" w:cs="Times New Roman"/>
                <w:color w:val="auto"/>
                <w:szCs w:val="21"/>
              </w:rPr>
              <w:t>此基础上进行教学设计。</w:t>
            </w:r>
          </w:p>
        </w:tc>
        <w:tc>
          <w:tcPr>
            <w:tcW w:w="740" w:type="dxa"/>
            <w:vAlign w:val="center"/>
          </w:tcPr>
          <w:p w14:paraId="71792AAF">
            <w:pPr>
              <w:spacing w:line="276"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观摩</w:t>
            </w:r>
            <w:r>
              <w:rPr>
                <w:rFonts w:hint="eastAsia" w:ascii="宋体" w:hAnsi="宋体" w:eastAsia="宋体" w:cs="宋体"/>
                <w:color w:val="auto"/>
                <w:szCs w:val="21"/>
              </w:rPr>
              <w:t>研讨</w:t>
            </w:r>
          </w:p>
        </w:tc>
        <w:tc>
          <w:tcPr>
            <w:tcW w:w="3160" w:type="dxa"/>
          </w:tcPr>
          <w:p w14:paraId="5067794E">
            <w:pPr>
              <w:rPr>
                <w:rFonts w:hint="eastAsia" w:ascii="宋体" w:hAnsi="宋体" w:eastAsia="宋体" w:cs="Times New Roman"/>
                <w:color w:val="auto"/>
                <w:szCs w:val="21"/>
              </w:rPr>
            </w:pPr>
            <w:r>
              <w:rPr>
                <w:rFonts w:hint="eastAsia" w:ascii="宋体" w:hAnsi="宋体" w:eastAsia="宋体" w:cs="Times New Roman"/>
                <w:color w:val="auto"/>
                <w:szCs w:val="21"/>
              </w:rPr>
              <w:t>增强专业自信心，树立全面育人的教学观，注重教学中情感、态度与价值观目标的达成，增强团队合作意识和专业自信心。</w:t>
            </w:r>
          </w:p>
        </w:tc>
      </w:tr>
    </w:tbl>
    <w:p w14:paraId="62E1C078">
      <w:pPr>
        <w:spacing w:line="360" w:lineRule="auto"/>
        <w:ind w:firstLine="413" w:firstLineChars="196"/>
        <w:jc w:val="left"/>
        <w:rPr>
          <w:rFonts w:hint="eastAsia" w:ascii="宋体" w:hAnsi="宋体" w:eastAsia="宋体" w:cs="Times New Roman"/>
          <w:b/>
          <w:color w:val="auto"/>
          <w:szCs w:val="21"/>
        </w:rPr>
      </w:pPr>
    </w:p>
    <w:p w14:paraId="09A19B95">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六、有关说明</w:t>
      </w:r>
    </w:p>
    <w:p w14:paraId="17DA4A65">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4BC39A76">
      <w:pPr>
        <w:spacing w:line="360" w:lineRule="auto"/>
        <w:ind w:firstLine="315" w:firstLineChars="150"/>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本课程根据学生作业、课堂讨论、实践环节和学生、教学督导等的反馈，及时对教学中的不足之处进行改进，并在下一轮课程教学中整改完善，确保相应毕业要求指标点达成。</w:t>
      </w:r>
    </w:p>
    <w:p w14:paraId="2C64BF10">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30028F65">
      <w:pPr>
        <w:spacing w:line="360" w:lineRule="auto"/>
        <w:ind w:firstLine="525" w:firstLineChars="250"/>
        <w:jc w:val="left"/>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沈丹丹,杨宏</w:t>
      </w:r>
      <w:r>
        <w:rPr>
          <w:rFonts w:ascii="Times New Roman" w:hAnsi="Times New Roman" w:eastAsia="宋体" w:cs="Times New Roman"/>
          <w:bCs/>
          <w:color w:val="auto"/>
          <w:szCs w:val="21"/>
        </w:rPr>
        <w:t>.小学数学教学设计与案例分析</w:t>
      </w:r>
      <w:r>
        <w:rPr>
          <w:rFonts w:hint="eastAsia" w:ascii="Times New Roman" w:hAnsi="Times New Roman" w:eastAsia="宋体" w:cs="Times New Roman"/>
          <w:bCs/>
          <w:color w:val="auto"/>
          <w:szCs w:val="21"/>
        </w:rPr>
        <w:t>（第二版）</w:t>
      </w:r>
      <w:r>
        <w:rPr>
          <w:rFonts w:ascii="Times New Roman" w:hAnsi="Times New Roman" w:eastAsia="宋体" w:cs="Times New Roman"/>
          <w:bCs/>
          <w:color w:val="auto"/>
          <w:szCs w:val="21"/>
        </w:rPr>
        <w:t>.北京：中国人民大学出版社，2023.</w:t>
      </w:r>
    </w:p>
    <w:p w14:paraId="6D43F393">
      <w:pPr>
        <w:spacing w:line="360" w:lineRule="auto"/>
        <w:ind w:firstLine="527" w:firstLineChars="25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62E43F18">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w:t>
      </w:r>
      <w:r>
        <w:rPr>
          <w:rFonts w:hint="eastAsia" w:ascii="宋体" w:hAnsi="宋体" w:eastAsia="宋体" w:cs="Times New Roman"/>
          <w:color w:val="auto"/>
          <w:szCs w:val="21"/>
        </w:rPr>
        <w:t>教育部.义务教育</w:t>
      </w:r>
      <w:r>
        <w:rPr>
          <w:rFonts w:ascii="宋体" w:hAnsi="宋体" w:eastAsia="宋体" w:cs="Times New Roman"/>
          <w:color w:val="auto"/>
          <w:szCs w:val="21"/>
        </w:rPr>
        <w:t>数学课程标准</w:t>
      </w:r>
      <w:r>
        <w:rPr>
          <w:rFonts w:hint="eastAsia" w:ascii="宋体" w:hAnsi="宋体" w:eastAsia="宋体" w:cs="Times New Roman"/>
          <w:color w:val="auto"/>
          <w:szCs w:val="21"/>
        </w:rPr>
        <w:t>（20</w:t>
      </w:r>
      <w:r>
        <w:rPr>
          <w:rFonts w:ascii="宋体" w:hAnsi="宋体" w:eastAsia="宋体" w:cs="Times New Roman"/>
          <w:color w:val="auto"/>
          <w:szCs w:val="21"/>
        </w:rPr>
        <w:t>22</w:t>
      </w:r>
      <w:r>
        <w:rPr>
          <w:rFonts w:hint="eastAsia" w:ascii="宋体" w:hAnsi="宋体" w:eastAsia="宋体" w:cs="Times New Roman"/>
          <w:color w:val="auto"/>
          <w:szCs w:val="21"/>
        </w:rPr>
        <w:t>年</w:t>
      </w:r>
      <w:r>
        <w:rPr>
          <w:rFonts w:ascii="宋体" w:hAnsi="宋体" w:eastAsia="宋体" w:cs="Times New Roman"/>
          <w:color w:val="auto"/>
          <w:szCs w:val="21"/>
        </w:rPr>
        <w:t>版）</w:t>
      </w:r>
      <w:r>
        <w:rPr>
          <w:rFonts w:hint="eastAsia" w:ascii="宋体" w:hAnsi="宋体" w:eastAsia="宋体" w:cs="Times New Roman"/>
          <w:color w:val="auto"/>
          <w:szCs w:val="21"/>
        </w:rPr>
        <w:t>.北京：北京师范</w:t>
      </w:r>
      <w:r>
        <w:rPr>
          <w:rFonts w:ascii="宋体" w:hAnsi="宋体" w:eastAsia="宋体" w:cs="Times New Roman"/>
          <w:color w:val="auto"/>
          <w:szCs w:val="21"/>
        </w:rPr>
        <w:t>大学</w:t>
      </w:r>
      <w:r>
        <w:rPr>
          <w:rFonts w:hint="eastAsia" w:ascii="宋体" w:hAnsi="宋体" w:eastAsia="宋体" w:cs="Times New Roman"/>
          <w:color w:val="auto"/>
          <w:szCs w:val="21"/>
        </w:rPr>
        <w:t>大学出版社.20</w:t>
      </w:r>
      <w:r>
        <w:rPr>
          <w:rFonts w:ascii="宋体" w:hAnsi="宋体" w:eastAsia="宋体" w:cs="Times New Roman"/>
          <w:color w:val="auto"/>
          <w:szCs w:val="21"/>
        </w:rPr>
        <w:t>22</w:t>
      </w:r>
      <w:r>
        <w:rPr>
          <w:rFonts w:hint="eastAsia" w:ascii="宋体" w:hAnsi="宋体" w:eastAsia="宋体" w:cs="Times New Roman"/>
          <w:color w:val="auto"/>
          <w:szCs w:val="21"/>
        </w:rPr>
        <w:t>.</w:t>
      </w:r>
    </w:p>
    <w:p w14:paraId="69555CC0">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w:t>
      </w:r>
      <w:r>
        <w:rPr>
          <w:rFonts w:hint="eastAsia" w:ascii="宋体" w:hAnsi="宋体" w:eastAsia="宋体" w:cs="Times New Roman"/>
          <w:color w:val="auto"/>
          <w:szCs w:val="21"/>
        </w:rPr>
        <w:t>教育部.义务教育</w:t>
      </w:r>
      <w:r>
        <w:rPr>
          <w:rFonts w:ascii="宋体" w:hAnsi="宋体" w:eastAsia="宋体" w:cs="Times New Roman"/>
          <w:color w:val="auto"/>
          <w:szCs w:val="21"/>
        </w:rPr>
        <w:t>数学课程标准</w:t>
      </w:r>
      <w:r>
        <w:rPr>
          <w:rFonts w:hint="eastAsia" w:ascii="宋体" w:hAnsi="宋体" w:eastAsia="宋体" w:cs="Times New Roman"/>
          <w:color w:val="auto"/>
          <w:szCs w:val="21"/>
        </w:rPr>
        <w:t>（2011年</w:t>
      </w:r>
      <w:r>
        <w:rPr>
          <w:rFonts w:ascii="宋体" w:hAnsi="宋体" w:eastAsia="宋体" w:cs="Times New Roman"/>
          <w:color w:val="auto"/>
          <w:szCs w:val="21"/>
        </w:rPr>
        <w:t>版）</w:t>
      </w:r>
      <w:r>
        <w:rPr>
          <w:rFonts w:hint="eastAsia" w:ascii="宋体" w:hAnsi="宋体" w:eastAsia="宋体" w:cs="Times New Roman"/>
          <w:color w:val="auto"/>
          <w:szCs w:val="21"/>
        </w:rPr>
        <w:t>.北京：北京师范</w:t>
      </w:r>
      <w:r>
        <w:rPr>
          <w:rFonts w:ascii="宋体" w:hAnsi="宋体" w:eastAsia="宋体" w:cs="Times New Roman"/>
          <w:color w:val="auto"/>
          <w:szCs w:val="21"/>
        </w:rPr>
        <w:t>大学</w:t>
      </w:r>
      <w:r>
        <w:rPr>
          <w:rFonts w:hint="eastAsia" w:ascii="宋体" w:hAnsi="宋体" w:eastAsia="宋体" w:cs="Times New Roman"/>
          <w:color w:val="auto"/>
          <w:szCs w:val="21"/>
        </w:rPr>
        <w:t>大学出版社.201</w:t>
      </w:r>
      <w:r>
        <w:rPr>
          <w:rFonts w:ascii="宋体" w:hAnsi="宋体" w:eastAsia="宋体" w:cs="Times New Roman"/>
          <w:color w:val="auto"/>
          <w:szCs w:val="21"/>
        </w:rPr>
        <w:t>2</w:t>
      </w:r>
      <w:r>
        <w:rPr>
          <w:rFonts w:hint="eastAsia" w:ascii="宋体" w:hAnsi="宋体" w:eastAsia="宋体" w:cs="Times New Roman"/>
          <w:color w:val="auto"/>
          <w:szCs w:val="21"/>
        </w:rPr>
        <w:t>.</w:t>
      </w:r>
    </w:p>
    <w:p w14:paraId="0AD41436">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w:t>
      </w:r>
      <w:r>
        <w:rPr>
          <w:rFonts w:hint="eastAsia" w:ascii="宋体" w:hAnsi="宋体" w:eastAsia="宋体" w:cs="Times New Roman"/>
          <w:color w:val="auto"/>
          <w:szCs w:val="21"/>
        </w:rPr>
        <w:t>张奠宙，宋乃庆，金成梁</w:t>
      </w:r>
      <w:r>
        <w:rPr>
          <w:rFonts w:ascii="宋体" w:hAnsi="宋体" w:eastAsia="宋体" w:cs="Times New Roman"/>
          <w:color w:val="auto"/>
          <w:szCs w:val="21"/>
        </w:rPr>
        <w:t>.小学数学教学案例研究.北京:高等教育出版社，2010.</w:t>
      </w:r>
    </w:p>
    <w:p w14:paraId="051802A9">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ascii="宋体" w:hAnsi="宋体" w:eastAsia="宋体" w:cs="Times New Roman"/>
          <w:color w:val="auto"/>
          <w:szCs w:val="21"/>
        </w:rPr>
        <w:t>金成梁</w:t>
      </w:r>
      <w:r>
        <w:rPr>
          <w:rFonts w:ascii="宋体" w:hAnsi="宋体" w:eastAsia="宋体" w:cs="Times New Roman"/>
          <w:color w:val="auto"/>
          <w:szCs w:val="21"/>
        </w:rPr>
        <w:t>.小学数学教学案例研究与基本训练.南京:南京大学出版社，2005.</w:t>
      </w:r>
    </w:p>
    <w:p w14:paraId="052AB2DD">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5</w:t>
      </w:r>
      <w:r>
        <w:rPr>
          <w:rFonts w:ascii="宋体" w:hAnsi="宋体" w:eastAsia="宋体" w:cs="Times New Roman"/>
          <w:color w:val="auto"/>
          <w:szCs w:val="21"/>
        </w:rPr>
        <w:t>.</w:t>
      </w:r>
      <w:r>
        <w:rPr>
          <w:rFonts w:hint="eastAsia" w:ascii="宋体" w:hAnsi="宋体" w:eastAsia="宋体" w:cs="Times New Roman"/>
          <w:color w:val="auto"/>
          <w:szCs w:val="21"/>
        </w:rPr>
        <w:t>张晓霞</w:t>
      </w:r>
      <w:r>
        <w:rPr>
          <w:rFonts w:ascii="宋体" w:hAnsi="宋体" w:eastAsia="宋体" w:cs="Times New Roman"/>
          <w:color w:val="auto"/>
          <w:szCs w:val="21"/>
        </w:rPr>
        <w:t>.小学数学教学案例研究.北京:高等教育出版社，2010.</w:t>
      </w:r>
    </w:p>
    <w:p w14:paraId="521C74DE">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6</w:t>
      </w:r>
      <w:r>
        <w:rPr>
          <w:rFonts w:ascii="宋体" w:hAnsi="宋体" w:eastAsia="宋体" w:cs="Times New Roman"/>
          <w:color w:val="auto"/>
          <w:szCs w:val="21"/>
        </w:rPr>
        <w:t>.</w:t>
      </w:r>
      <w:r>
        <w:rPr>
          <w:rFonts w:hint="eastAsia" w:ascii="宋体" w:hAnsi="宋体" w:eastAsia="宋体" w:cs="Times New Roman"/>
          <w:color w:val="auto"/>
          <w:szCs w:val="21"/>
        </w:rPr>
        <w:t>课程教材研究所</w:t>
      </w:r>
      <w:r>
        <w:rPr>
          <w:rFonts w:ascii="宋体" w:hAnsi="宋体" w:eastAsia="宋体" w:cs="Times New Roman"/>
          <w:color w:val="auto"/>
          <w:szCs w:val="21"/>
        </w:rPr>
        <w:t>,数学课程教材研究开发中心.小学数学教学与研究.北京:人民教育出版社，2003.</w:t>
      </w:r>
    </w:p>
    <w:p w14:paraId="5F7367F3">
      <w:pPr>
        <w:rPr>
          <w:color w:val="auto"/>
          <w:szCs w:val="21"/>
        </w:rPr>
      </w:pPr>
    </w:p>
    <w:p w14:paraId="6967B123">
      <w:pPr>
        <w:keepNext w:val="0"/>
        <w:keepLines w:val="0"/>
        <w:pageBreakBefore w:val="0"/>
        <w:widowControl w:val="0"/>
        <w:kinsoku/>
        <w:overflowPunct/>
        <w:topLinePunct w:val="0"/>
        <w:autoSpaceDE/>
        <w:autoSpaceDN/>
        <w:bidi w:val="0"/>
        <w:adjustRightInd/>
        <w:snapToGrid/>
        <w:spacing w:line="360" w:lineRule="auto"/>
        <w:ind w:right="1200" w:firstLine="5040" w:firstLineChars="24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执 笔 人：谢国忠</w:t>
      </w:r>
    </w:p>
    <w:p w14:paraId="4A038014">
      <w:pPr>
        <w:keepNext w:val="0"/>
        <w:keepLines w:val="0"/>
        <w:pageBreakBefore w:val="0"/>
        <w:widowControl w:val="0"/>
        <w:kinsoku/>
        <w:wordWrap w:val="0"/>
        <w:overflowPunct/>
        <w:topLinePunct w:val="0"/>
        <w:autoSpaceDE/>
        <w:autoSpaceDN/>
        <w:bidi w:val="0"/>
        <w:adjustRightInd/>
        <w:snapToGrid/>
        <w:spacing w:line="360" w:lineRule="auto"/>
        <w:ind w:right="1440" w:firstLine="5040" w:firstLineChars="24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定 人：王 健</w:t>
      </w:r>
    </w:p>
    <w:p w14:paraId="03555C7B">
      <w:pPr>
        <w:keepNext w:val="0"/>
        <w:keepLines w:val="0"/>
        <w:pageBreakBefore w:val="0"/>
        <w:widowControl w:val="0"/>
        <w:kinsoku/>
        <w:overflowPunct/>
        <w:topLinePunct w:val="0"/>
        <w:autoSpaceDE/>
        <w:autoSpaceDN/>
        <w:bidi w:val="0"/>
        <w:adjustRightInd/>
        <w:snapToGrid/>
        <w:spacing w:line="360" w:lineRule="auto"/>
        <w:ind w:right="1200" w:firstLine="5040" w:firstLineChars="24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批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张志欣</w:t>
      </w:r>
    </w:p>
    <w:p w14:paraId="7CC98CA8">
      <w:pPr>
        <w:keepNext w:val="0"/>
        <w:keepLines w:val="0"/>
        <w:pageBreakBefore w:val="0"/>
        <w:widowControl w:val="0"/>
        <w:kinsoku/>
        <w:overflowPunct/>
        <w:topLinePunct w:val="0"/>
        <w:autoSpaceDE/>
        <w:autoSpaceDN/>
        <w:bidi w:val="0"/>
        <w:adjustRightInd/>
        <w:snapToGrid/>
        <w:spacing w:line="360" w:lineRule="auto"/>
        <w:ind w:firstLine="5040" w:firstLineChars="2400"/>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批准时间：2025年7月1日</w:t>
      </w:r>
    </w:p>
    <w:p w14:paraId="5B260F27">
      <w:pPr>
        <w:rPr>
          <w:rFonts w:hint="eastAsia" w:ascii="等线" w:hAnsi="等线" w:eastAsia="等线" w:cs="等线"/>
          <w:b/>
          <w:bCs/>
          <w:color w:val="auto"/>
          <w:sz w:val="44"/>
          <w:szCs w:val="44"/>
        </w:rPr>
      </w:pPr>
      <w:r>
        <w:rPr>
          <w:rFonts w:ascii="Times New Roman" w:hAnsi="Times New Roman" w:eastAsia="宋体" w:cs="Times New Roman"/>
          <w:color w:val="auto"/>
          <w:szCs w:val="21"/>
        </w:rPr>
        <w:br w:type="page"/>
      </w:r>
    </w:p>
    <w:p w14:paraId="5E204154">
      <w:pPr>
        <w:spacing w:line="360" w:lineRule="auto"/>
        <w:jc w:val="center"/>
        <w:outlineLvl w:val="0"/>
        <w:rPr>
          <w:rFonts w:hint="eastAsia" w:ascii="Times New Roman" w:hAnsi="Times New Roman" w:eastAsia="宋体" w:cs="Times New Roman"/>
          <w:b/>
          <w:color w:val="auto"/>
          <w:sz w:val="44"/>
          <w:szCs w:val="44"/>
        </w:rPr>
      </w:pPr>
      <w:bookmarkStart w:id="441" w:name="_Toc28701"/>
      <w:bookmarkStart w:id="442" w:name="_Toc3138"/>
      <w:r>
        <w:rPr>
          <w:rFonts w:hint="eastAsia" w:ascii="Times New Roman" w:hAnsi="Times New Roman" w:eastAsia="宋体" w:cs="Times New Roman"/>
          <w:b/>
          <w:color w:val="auto"/>
          <w:sz w:val="44"/>
          <w:szCs w:val="44"/>
        </w:rPr>
        <w:t>《小学数学解题指导》课程教学大纲</w:t>
      </w:r>
      <w:bookmarkEnd w:id="441"/>
      <w:bookmarkEnd w:id="442"/>
    </w:p>
    <w:p w14:paraId="16771E84">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w:t>
      </w:r>
      <w:r>
        <w:rPr>
          <w:rFonts w:hint="eastAsia" w:ascii="Times New Roman" w:hAnsi="Times New Roman" w:eastAsia="宋体" w:cs="Times New Roman"/>
          <w:b/>
          <w:bCs/>
          <w:color w:val="auto"/>
          <w:sz w:val="28"/>
          <w:szCs w:val="28"/>
        </w:rPr>
        <w:t>Mathematics Problem Solving Guide in Primary School</w:t>
      </w:r>
      <w:r>
        <w:rPr>
          <w:rFonts w:ascii="Times New Roman" w:hAnsi="Times New Roman" w:eastAsia="宋体" w:cs="Times New Roman"/>
          <w:b/>
          <w:bCs/>
          <w:color w:val="auto"/>
          <w:sz w:val="28"/>
          <w:szCs w:val="28"/>
        </w:rPr>
        <w:t>）</w:t>
      </w:r>
    </w:p>
    <w:p w14:paraId="72DA701D">
      <w:pPr>
        <w:spacing w:line="360" w:lineRule="auto"/>
        <w:jc w:val="center"/>
        <w:rPr>
          <w:rFonts w:ascii="Times New Roman" w:hAnsi="Times New Roman" w:eastAsia="宋体" w:cs="Times New Roman"/>
          <w:bCs/>
          <w:color w:val="auto"/>
          <w:sz w:val="24"/>
        </w:rPr>
      </w:pPr>
    </w:p>
    <w:p w14:paraId="410BF149">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课程名称：小学数学解题指导</w:t>
      </w:r>
    </w:p>
    <w:p w14:paraId="023454F7">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w:t>
      </w:r>
      <w:r>
        <w:rPr>
          <w:rFonts w:ascii="Times New Roman" w:hAnsi="Times New Roman" w:eastAsia="宋体" w:cs="Times New Roman"/>
          <w:b/>
          <w:color w:val="auto"/>
          <w:sz w:val="24"/>
          <w:szCs w:val="24"/>
        </w:rPr>
        <w:t>24010</w:t>
      </w:r>
      <w:r>
        <w:rPr>
          <w:rFonts w:hint="eastAsia" w:ascii="Times New Roman" w:hAnsi="Times New Roman" w:eastAsia="宋体" w:cs="Times New Roman"/>
          <w:b/>
          <w:color w:val="auto"/>
          <w:sz w:val="24"/>
          <w:szCs w:val="24"/>
        </w:rPr>
        <w:t>65</w:t>
      </w:r>
    </w:p>
    <w:p w14:paraId="2CAC3A3C">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w:t>
      </w:r>
      <w:r>
        <w:rPr>
          <w:rFonts w:ascii="Times New Roman" w:hAnsi="Times New Roman" w:eastAsia="宋体" w:cs="Times New Roman"/>
          <w:b/>
          <w:color w:val="auto"/>
          <w:sz w:val="24"/>
          <w:szCs w:val="24"/>
        </w:rPr>
        <w:t xml:space="preserve">    分：2</w:t>
      </w:r>
    </w:p>
    <w:p w14:paraId="6642D39B">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w:t>
      </w:r>
      <w:r>
        <w:rPr>
          <w:rFonts w:ascii="Times New Roman" w:hAnsi="Times New Roman" w:eastAsia="宋体" w:cs="Times New Roman"/>
          <w:b/>
          <w:color w:val="auto"/>
          <w:sz w:val="24"/>
          <w:szCs w:val="24"/>
        </w:rPr>
        <w:t xml:space="preserve">    时：32 （其中：讲授学时16， 实践学时16）</w:t>
      </w:r>
    </w:p>
    <w:p w14:paraId="2CBCE0EA">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先修课程：数学思想方法、初等数论、课程与教学论、小学数学课程标准与教材分析、小学数学教学设计与实施</w:t>
      </w:r>
    </w:p>
    <w:p w14:paraId="650D314B">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适用专业：小学教育（理）</w:t>
      </w:r>
    </w:p>
    <w:p w14:paraId="2EA2798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一、课程简介</w:t>
      </w:r>
    </w:p>
    <w:p w14:paraId="2A1D64B2">
      <w:pPr>
        <w:spacing w:line="360" w:lineRule="auto"/>
        <w:ind w:firstLine="420" w:firstLineChars="200"/>
        <w:jc w:val="left"/>
        <w:rPr>
          <w:rFonts w:hint="eastAsia" w:ascii="宋体" w:hAnsi="宋体" w:eastAsia="宋体" w:cs="Times New Roman"/>
          <w:b/>
          <w:color w:val="auto"/>
          <w:szCs w:val="21"/>
        </w:rPr>
      </w:pPr>
      <w:r>
        <w:rPr>
          <w:rFonts w:hint="eastAsia" w:ascii="Times New Roman" w:hAnsi="Times New Roman" w:eastAsia="宋体" w:cs="Times New Roman"/>
          <w:color w:val="auto"/>
          <w:szCs w:val="21"/>
        </w:rPr>
        <w:t>本课程是小学教育（理）专业的一门专业选修课程。通过本课程的学习，系统地获得小学数学解题的基本思路和方法；提高学生的数学视野、数学思维能力、逻辑推理能力和教学指导水平，提高学生的数学素养，为从事小学数学教学工作打下坚实基础。</w:t>
      </w:r>
    </w:p>
    <w:p w14:paraId="44ACD80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二、课程目标</w:t>
      </w:r>
    </w:p>
    <w:p w14:paraId="35E87CC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3308B2C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目标1.</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理解小学数学问题的解题思路，掌握小学数学问题的解题方法，提高小学数学解题指导能力。</w:t>
      </w:r>
    </w:p>
    <w:p w14:paraId="6FBEF16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目标2.</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拓宽数学视野，提高数学思维能力和逻辑推理能力，提高数学素养。</w:t>
      </w:r>
    </w:p>
    <w:p w14:paraId="0B40D5D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目标3.</w:t>
      </w:r>
      <w:r>
        <w:rPr>
          <w:rFonts w:hint="eastAsia"/>
          <w:color w:val="auto"/>
          <w:szCs w:val="21"/>
        </w:rPr>
        <w:t xml:space="preserve"> </w:t>
      </w:r>
      <w:r>
        <w:rPr>
          <w:rFonts w:hint="eastAsia" w:ascii="Times New Roman" w:hAnsi="Times New Roman" w:eastAsia="宋体" w:cs="Times New Roman"/>
          <w:color w:val="auto"/>
          <w:szCs w:val="21"/>
        </w:rPr>
        <w:t>养成严谨的学习态度，掌握科学、严谨的学习方法，注重创新精神和实践能力的提升，树立以学生为主体的教学理念，体会数学文化的魅力，获得积极的小学教学体验。</w:t>
      </w:r>
    </w:p>
    <w:p w14:paraId="51585AAB">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9"/>
        <w:gridCol w:w="6121"/>
        <w:gridCol w:w="1327"/>
      </w:tblGrid>
      <w:tr w14:paraId="4378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459B297D">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121" w:type="dxa"/>
            <w:vAlign w:val="center"/>
          </w:tcPr>
          <w:p w14:paraId="6C93724E">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327" w:type="dxa"/>
            <w:vAlign w:val="center"/>
          </w:tcPr>
          <w:p w14:paraId="6F9508A1">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181F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11B7696F">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毕业要求3</w:t>
            </w:r>
          </w:p>
          <w:p w14:paraId="44548FB4">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学科素养</w:t>
            </w:r>
          </w:p>
        </w:tc>
        <w:tc>
          <w:tcPr>
            <w:tcW w:w="6121" w:type="dxa"/>
            <w:vAlign w:val="center"/>
          </w:tcPr>
          <w:p w14:paraId="7B19D80F">
            <w:pPr>
              <w:spacing w:line="276" w:lineRule="auto"/>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指标点3-2：【学科知识扎实】具有学科专业能力，掌握小学数学学科的基本知识、原理和技能。熟悉小学科学的知识体系，掌握小学科学的基本知识、原理和技能。</w:t>
            </w:r>
          </w:p>
        </w:tc>
        <w:tc>
          <w:tcPr>
            <w:tcW w:w="1327" w:type="dxa"/>
            <w:vAlign w:val="center"/>
          </w:tcPr>
          <w:p w14:paraId="2982B854">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1</w:t>
            </w:r>
          </w:p>
          <w:p w14:paraId="16E6322E">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课程目标2</w:t>
            </w:r>
          </w:p>
        </w:tc>
      </w:tr>
      <w:tr w14:paraId="4188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15891BB1">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r>
              <w:rPr>
                <w:rFonts w:ascii="Times New Roman" w:hAnsi="Times New Roman" w:eastAsia="宋体" w:cs="Times New Roman"/>
                <w:b/>
                <w:bCs/>
                <w:color w:val="auto"/>
                <w:szCs w:val="21"/>
              </w:rPr>
              <w:t>4</w:t>
            </w:r>
          </w:p>
          <w:p w14:paraId="47F8015C">
            <w:pPr>
              <w:spacing w:line="276" w:lineRule="auto"/>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教学能力</w:t>
            </w:r>
          </w:p>
        </w:tc>
        <w:tc>
          <w:tcPr>
            <w:tcW w:w="6121" w:type="dxa"/>
            <w:vAlign w:val="center"/>
          </w:tcPr>
          <w:p w14:paraId="1058F8C5">
            <w:pPr>
              <w:spacing w:line="276" w:lineRule="auto"/>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4E62DB6A">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课程目标3</w:t>
            </w:r>
          </w:p>
        </w:tc>
      </w:tr>
    </w:tbl>
    <w:p w14:paraId="23245980">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448A4463">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养成严谨的学习态度，掌握科学、严谨的学习方法，注重创新精神和实践能力的提升，树立以学生为主体的教学理念，体会数学文化的魅力，获得积极的小学教学体验。</w:t>
      </w:r>
    </w:p>
    <w:p w14:paraId="076E6F59">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三、教学内容与预期学习成效</w:t>
      </w:r>
    </w:p>
    <w:tbl>
      <w:tblPr>
        <w:tblStyle w:val="16"/>
        <w:tblW w:w="9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1701"/>
        <w:gridCol w:w="1134"/>
        <w:gridCol w:w="3260"/>
        <w:gridCol w:w="1560"/>
        <w:gridCol w:w="438"/>
      </w:tblGrid>
      <w:tr w14:paraId="0161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Align w:val="center"/>
          </w:tcPr>
          <w:p w14:paraId="32B253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7E3DB2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1701" w:type="dxa"/>
            <w:vAlign w:val="center"/>
          </w:tcPr>
          <w:p w14:paraId="20005D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34" w:type="dxa"/>
            <w:vAlign w:val="center"/>
          </w:tcPr>
          <w:p w14:paraId="491D3A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0167A2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3260" w:type="dxa"/>
            <w:vAlign w:val="center"/>
          </w:tcPr>
          <w:p w14:paraId="7FC092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560" w:type="dxa"/>
            <w:vAlign w:val="center"/>
          </w:tcPr>
          <w:p w14:paraId="19D195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186F50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56D1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175F82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w:t>
            </w:r>
            <w:r>
              <w:rPr>
                <w:rFonts w:hint="eastAsia"/>
                <w:color w:val="auto"/>
                <w:szCs w:val="21"/>
              </w:rPr>
              <w:t xml:space="preserve"> 绪论</w:t>
            </w:r>
          </w:p>
        </w:tc>
        <w:tc>
          <w:tcPr>
            <w:tcW w:w="1701" w:type="dxa"/>
            <w:vAlign w:val="center"/>
          </w:tcPr>
          <w:p w14:paraId="4627AE0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（1）小学数学解题概述</w:t>
            </w:r>
          </w:p>
          <w:p w14:paraId="7B4D3E2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（2）小学数学解题指导的意义</w:t>
            </w:r>
          </w:p>
          <w:p w14:paraId="5D56C92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（3）小学数学解题指导方法</w:t>
            </w:r>
          </w:p>
        </w:tc>
        <w:tc>
          <w:tcPr>
            <w:tcW w:w="1134" w:type="dxa"/>
            <w:vAlign w:val="center"/>
          </w:tcPr>
          <w:p w14:paraId="656F5B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课程目标1、3</w:t>
            </w:r>
          </w:p>
        </w:tc>
        <w:tc>
          <w:tcPr>
            <w:tcW w:w="3260" w:type="dxa"/>
            <w:vAlign w:val="center"/>
          </w:tcPr>
          <w:p w14:paraId="7C2536A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（1）了解小学数学解题的一般过程。</w:t>
            </w:r>
          </w:p>
          <w:p w14:paraId="3AAEBC6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（2）理解小学数学解题指导的意义。</w:t>
            </w:r>
          </w:p>
          <w:p w14:paraId="5C7E682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（3）了解小学数学解题指导的常用方法</w:t>
            </w:r>
          </w:p>
        </w:tc>
        <w:tc>
          <w:tcPr>
            <w:tcW w:w="1560" w:type="dxa"/>
            <w:vAlign w:val="center"/>
          </w:tcPr>
          <w:p w14:paraId="786E648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3E12758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65331BE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.自主学习</w:t>
            </w:r>
          </w:p>
        </w:tc>
        <w:tc>
          <w:tcPr>
            <w:tcW w:w="438" w:type="dxa"/>
            <w:vAlign w:val="center"/>
          </w:tcPr>
          <w:p w14:paraId="74C223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w:t>
            </w:r>
          </w:p>
        </w:tc>
      </w:tr>
      <w:tr w14:paraId="35C0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453FAE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3728DD5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养成严谨的学习态度，掌握科学、严谨的学习方法，获得积极的小学教学体验。</w:t>
            </w:r>
          </w:p>
        </w:tc>
      </w:tr>
      <w:tr w14:paraId="4549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3964A0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w:t>
            </w:r>
            <w:r>
              <w:rPr>
                <w:rFonts w:hint="eastAsia"/>
                <w:color w:val="auto"/>
                <w:szCs w:val="21"/>
              </w:rPr>
              <w:t xml:space="preserve"> </w:t>
            </w:r>
            <w:r>
              <w:rPr>
                <w:rFonts w:hint="eastAsia" w:ascii="宋体" w:hAnsi="宋体" w:eastAsia="宋体" w:cs="Times New Roman"/>
                <w:color w:val="auto"/>
                <w:szCs w:val="21"/>
              </w:rPr>
              <w:t>数与代数解题指导</w:t>
            </w:r>
          </w:p>
        </w:tc>
        <w:tc>
          <w:tcPr>
            <w:tcW w:w="1701" w:type="dxa"/>
            <w:vAlign w:val="center"/>
          </w:tcPr>
          <w:p w14:paraId="645D5F8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（1）简便运算</w:t>
            </w:r>
          </w:p>
          <w:p w14:paraId="6D259B9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（2）探索规律</w:t>
            </w:r>
          </w:p>
          <w:p w14:paraId="56CF1E3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（3）数量关系</w:t>
            </w:r>
          </w:p>
          <w:p w14:paraId="62C6F18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（4）典型问题</w:t>
            </w:r>
          </w:p>
        </w:tc>
        <w:tc>
          <w:tcPr>
            <w:tcW w:w="1134" w:type="dxa"/>
            <w:vAlign w:val="center"/>
          </w:tcPr>
          <w:p w14:paraId="052CC8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260" w:type="dxa"/>
            <w:vAlign w:val="center"/>
          </w:tcPr>
          <w:p w14:paraId="22080AB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（1）掌握简便运算的解题技巧。</w:t>
            </w:r>
          </w:p>
          <w:p w14:paraId="298EDF7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（2）掌握探索规律问题的解题技巧。</w:t>
            </w:r>
          </w:p>
          <w:p w14:paraId="691F0CA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（3）理解数量关系对于问题解决的意义。</w:t>
            </w:r>
          </w:p>
          <w:p w14:paraId="67344BC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（4）具备典型数与代数问题的解题指导能力。</w:t>
            </w:r>
          </w:p>
        </w:tc>
        <w:tc>
          <w:tcPr>
            <w:tcW w:w="1560" w:type="dxa"/>
            <w:vAlign w:val="center"/>
          </w:tcPr>
          <w:p w14:paraId="5C4B586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518C063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03D85EA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3.课内实践</w:t>
            </w:r>
          </w:p>
          <w:p w14:paraId="1EB3F64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4.自主学习</w:t>
            </w:r>
          </w:p>
        </w:tc>
        <w:tc>
          <w:tcPr>
            <w:tcW w:w="438" w:type="dxa"/>
            <w:vAlign w:val="center"/>
          </w:tcPr>
          <w:p w14:paraId="78FAB6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8</w:t>
            </w:r>
          </w:p>
        </w:tc>
      </w:tr>
      <w:tr w14:paraId="0E7A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3E3CF0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42D55D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养成严谨的学习态度，掌握科学、严谨的学习方法，注重创新精神的培养，树立以学生为主体的教学理念，体会数学文化的魅力，获得积极的小学教学体验。</w:t>
            </w:r>
          </w:p>
        </w:tc>
      </w:tr>
      <w:tr w14:paraId="61A1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15A469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w:t>
            </w:r>
            <w:r>
              <w:rPr>
                <w:rFonts w:hint="eastAsia"/>
                <w:color w:val="auto"/>
                <w:szCs w:val="21"/>
              </w:rPr>
              <w:t xml:space="preserve"> </w:t>
            </w:r>
            <w:r>
              <w:rPr>
                <w:rFonts w:hint="eastAsia" w:ascii="宋体" w:hAnsi="宋体" w:eastAsia="宋体" w:cs="Times New Roman"/>
                <w:color w:val="auto"/>
                <w:szCs w:val="21"/>
              </w:rPr>
              <w:t>图形与几何解题指导</w:t>
            </w:r>
          </w:p>
        </w:tc>
        <w:tc>
          <w:tcPr>
            <w:tcW w:w="1701" w:type="dxa"/>
            <w:vAlign w:val="center"/>
          </w:tcPr>
          <w:p w14:paraId="5F6D3FC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（1）图形的认识问题</w:t>
            </w:r>
          </w:p>
          <w:p w14:paraId="7D33C20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（2）图形的测量问题</w:t>
            </w:r>
          </w:p>
          <w:p w14:paraId="45A85EF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（3）图形的运动与变换问题</w:t>
            </w:r>
          </w:p>
        </w:tc>
        <w:tc>
          <w:tcPr>
            <w:tcW w:w="1134" w:type="dxa"/>
            <w:vAlign w:val="center"/>
          </w:tcPr>
          <w:p w14:paraId="6750E9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260" w:type="dxa"/>
            <w:vAlign w:val="center"/>
          </w:tcPr>
          <w:p w14:paraId="2629FC2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（1）理解图形的认识与测量问题的解题思路。</w:t>
            </w:r>
          </w:p>
          <w:p w14:paraId="33BBA86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（2）掌握图形的认识与测量问题的解题技巧。</w:t>
            </w:r>
          </w:p>
          <w:p w14:paraId="41386C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（3）掌握图形的运动与变换问题的解题技巧。</w:t>
            </w:r>
          </w:p>
        </w:tc>
        <w:tc>
          <w:tcPr>
            <w:tcW w:w="1560" w:type="dxa"/>
            <w:vAlign w:val="center"/>
          </w:tcPr>
          <w:p w14:paraId="2CB1133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2039E19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678F5C4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.自主学习</w:t>
            </w:r>
          </w:p>
        </w:tc>
        <w:tc>
          <w:tcPr>
            <w:tcW w:w="438" w:type="dxa"/>
            <w:vAlign w:val="center"/>
          </w:tcPr>
          <w:p w14:paraId="01D4F4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8</w:t>
            </w:r>
          </w:p>
        </w:tc>
      </w:tr>
      <w:tr w14:paraId="2597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0E6210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631B339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养成严谨的学习态度，掌握科学、严谨的学习方法，注重创新精神的培养，树立以学生为主体的教学理念，体会数学文化的魅力，获得积极的小学教学体验。</w:t>
            </w:r>
          </w:p>
        </w:tc>
      </w:tr>
      <w:tr w14:paraId="1AEC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3EBE50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color w:val="auto"/>
                <w:szCs w:val="21"/>
              </w:rPr>
              <w:t xml:space="preserve"> </w:t>
            </w:r>
            <w:r>
              <w:rPr>
                <w:rFonts w:hint="eastAsia" w:ascii="宋体" w:hAnsi="宋体" w:eastAsia="宋体" w:cs="Times New Roman"/>
                <w:color w:val="auto"/>
                <w:szCs w:val="21"/>
              </w:rPr>
              <w:t>统计与概念解题指导</w:t>
            </w:r>
          </w:p>
        </w:tc>
        <w:tc>
          <w:tcPr>
            <w:tcW w:w="1701" w:type="dxa"/>
            <w:vAlign w:val="center"/>
          </w:tcPr>
          <w:p w14:paraId="262F0C6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（1）数据的收集与整理问题</w:t>
            </w:r>
          </w:p>
          <w:p w14:paraId="75FBF19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（2）平均问题</w:t>
            </w:r>
          </w:p>
          <w:p w14:paraId="5D70C2D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w:t>
            </w:r>
            <w:r>
              <w:rPr>
                <w:rFonts w:hint="eastAsia" w:ascii="Times New Roman" w:hAnsi="Times New Roman" w:eastAsia="宋体" w:cs="Times New Roman"/>
                <w:b w:val="0"/>
                <w:bCs/>
                <w:color w:val="auto"/>
                <w:sz w:val="21"/>
                <w:szCs w:val="21"/>
              </w:rPr>
              <w:t>可能性</w:t>
            </w:r>
            <w:r>
              <w:rPr>
                <w:rFonts w:hint="eastAsia" w:ascii="宋体" w:hAnsi="宋体" w:eastAsia="宋体" w:cs="Times New Roman"/>
                <w:color w:val="auto"/>
                <w:szCs w:val="21"/>
              </w:rPr>
              <w:t>问题</w:t>
            </w:r>
          </w:p>
        </w:tc>
        <w:tc>
          <w:tcPr>
            <w:tcW w:w="1134" w:type="dxa"/>
            <w:vAlign w:val="center"/>
          </w:tcPr>
          <w:p w14:paraId="49F086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260" w:type="dxa"/>
            <w:vAlign w:val="center"/>
          </w:tcPr>
          <w:p w14:paraId="2B5F246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（1）掌握数据收集、整理类问题的解题技巧。</w:t>
            </w:r>
          </w:p>
          <w:p w14:paraId="7C03767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（2）理解平均问题的解题思路。</w:t>
            </w:r>
          </w:p>
          <w:p w14:paraId="2BE50CF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（3）掌握可能性问题的解题技巧。</w:t>
            </w:r>
          </w:p>
        </w:tc>
        <w:tc>
          <w:tcPr>
            <w:tcW w:w="1560" w:type="dxa"/>
            <w:vAlign w:val="center"/>
          </w:tcPr>
          <w:p w14:paraId="0D2F809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72656D1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3817AAD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w:t>
            </w:r>
            <w:r>
              <w:rPr>
                <w:rFonts w:hint="eastAsia" w:ascii="宋体" w:hAnsi="宋体" w:eastAsia="宋体" w:cs="Times New Roman"/>
                <w:color w:val="auto"/>
                <w:szCs w:val="21"/>
              </w:rPr>
              <w:t>自主学习</w:t>
            </w:r>
          </w:p>
        </w:tc>
        <w:tc>
          <w:tcPr>
            <w:tcW w:w="438" w:type="dxa"/>
            <w:vAlign w:val="center"/>
          </w:tcPr>
          <w:p w14:paraId="7F026B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6</w:t>
            </w:r>
          </w:p>
        </w:tc>
      </w:tr>
      <w:tr w14:paraId="2941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7C8DA6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61342A2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养成严谨的学习态度，掌握科学、严谨的学习方法，注重创新精神的培养，树立以学生为主体的教学理念，体会数学文化的魅力，获得积极的小学教学体验。</w:t>
            </w:r>
          </w:p>
        </w:tc>
      </w:tr>
      <w:tr w14:paraId="5E52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438224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5</w:t>
            </w:r>
            <w:r>
              <w:rPr>
                <w:rFonts w:ascii="宋体" w:hAnsi="宋体" w:eastAsia="宋体" w:cs="Times New Roman"/>
                <w:color w:val="auto"/>
                <w:szCs w:val="21"/>
              </w:rPr>
              <w:t>.</w:t>
            </w:r>
            <w:r>
              <w:rPr>
                <w:rFonts w:hint="eastAsia"/>
                <w:color w:val="auto"/>
                <w:szCs w:val="21"/>
              </w:rPr>
              <w:t xml:space="preserve"> </w:t>
            </w:r>
            <w:r>
              <w:rPr>
                <w:rFonts w:hint="eastAsia" w:ascii="宋体" w:hAnsi="宋体" w:eastAsia="宋体" w:cs="Times New Roman"/>
                <w:color w:val="auto"/>
                <w:szCs w:val="21"/>
              </w:rPr>
              <w:t>小学数学竞赛题指导</w:t>
            </w:r>
          </w:p>
        </w:tc>
        <w:tc>
          <w:tcPr>
            <w:tcW w:w="1701" w:type="dxa"/>
            <w:vAlign w:val="center"/>
          </w:tcPr>
          <w:p w14:paraId="72B4E79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（1）小学数学竞赛题的类型</w:t>
            </w:r>
          </w:p>
          <w:p w14:paraId="212564D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（2）常见的小学数学竞赛题型分析</w:t>
            </w:r>
          </w:p>
          <w:p w14:paraId="329B90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（3）小学数学竞赛题的解题技巧</w:t>
            </w:r>
          </w:p>
        </w:tc>
        <w:tc>
          <w:tcPr>
            <w:tcW w:w="1134" w:type="dxa"/>
            <w:vAlign w:val="center"/>
          </w:tcPr>
          <w:p w14:paraId="150D42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课程目标1、2、3</w:t>
            </w:r>
          </w:p>
        </w:tc>
        <w:tc>
          <w:tcPr>
            <w:tcW w:w="3260" w:type="dxa"/>
            <w:vAlign w:val="center"/>
          </w:tcPr>
          <w:p w14:paraId="38C9D5D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（1）了解小学数学竞赛的类型。</w:t>
            </w:r>
          </w:p>
          <w:p w14:paraId="321DB1F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（2）了解小学数学竞赛的常见题型。</w:t>
            </w:r>
          </w:p>
          <w:p w14:paraId="3840F2D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（3）具备初步的小学数学竞赛指导能力。</w:t>
            </w:r>
          </w:p>
        </w:tc>
        <w:tc>
          <w:tcPr>
            <w:tcW w:w="1560" w:type="dxa"/>
            <w:vAlign w:val="center"/>
          </w:tcPr>
          <w:p w14:paraId="2EB054E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1.理论讲解</w:t>
            </w:r>
          </w:p>
          <w:p w14:paraId="3DB704D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2.课堂讨论</w:t>
            </w:r>
          </w:p>
          <w:p w14:paraId="3142099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ascii="宋体" w:hAnsi="宋体" w:eastAsia="宋体" w:cs="Times New Roman"/>
                <w:color w:val="auto"/>
                <w:szCs w:val="21"/>
              </w:rPr>
              <w:t>3</w:t>
            </w:r>
            <w:r>
              <w:rPr>
                <w:rFonts w:hint="eastAsia" w:ascii="宋体" w:hAnsi="宋体" w:eastAsia="宋体" w:cs="Times New Roman"/>
                <w:color w:val="auto"/>
                <w:szCs w:val="21"/>
              </w:rPr>
              <w:t>.课内实践</w:t>
            </w:r>
          </w:p>
          <w:p w14:paraId="4D76E35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w:t>
            </w:r>
            <w:r>
              <w:rPr>
                <w:rFonts w:hint="eastAsia" w:ascii="宋体" w:hAnsi="宋体" w:eastAsia="宋体" w:cs="Times New Roman"/>
                <w:color w:val="auto"/>
                <w:szCs w:val="21"/>
              </w:rPr>
              <w:t>自主学习</w:t>
            </w:r>
          </w:p>
        </w:tc>
        <w:tc>
          <w:tcPr>
            <w:tcW w:w="438" w:type="dxa"/>
            <w:vAlign w:val="center"/>
          </w:tcPr>
          <w:p w14:paraId="64FD23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8</w:t>
            </w:r>
          </w:p>
        </w:tc>
      </w:tr>
      <w:tr w14:paraId="6432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18DD2A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auto"/>
                <w:szCs w:val="21"/>
              </w:rPr>
            </w:pPr>
          </w:p>
        </w:tc>
        <w:tc>
          <w:tcPr>
            <w:tcW w:w="8093" w:type="dxa"/>
            <w:gridSpan w:val="5"/>
            <w:vAlign w:val="center"/>
          </w:tcPr>
          <w:p w14:paraId="77B7E0A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养成严谨的学习态度，掌握科学、严谨的学习方法，树立以学生为主体的教学理念，体会数学文化的魅力，获得积极的小学教学体验。</w:t>
            </w:r>
          </w:p>
        </w:tc>
      </w:tr>
    </w:tbl>
    <w:p w14:paraId="46011C25">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四、目标评价与成绩评定</w:t>
      </w:r>
    </w:p>
    <w:p w14:paraId="33A19EEC">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5A5A884B">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1545"/>
        <w:gridCol w:w="1405"/>
        <w:gridCol w:w="1405"/>
        <w:gridCol w:w="1405"/>
        <w:gridCol w:w="846"/>
      </w:tblGrid>
      <w:tr w14:paraId="2A6F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restart"/>
            <w:vAlign w:val="center"/>
          </w:tcPr>
          <w:p w14:paraId="46DF535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0" w:type="auto"/>
            <w:gridSpan w:val="4"/>
            <w:vAlign w:val="center"/>
          </w:tcPr>
          <w:p w14:paraId="008D2DE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0" w:type="auto"/>
            <w:vMerge w:val="restart"/>
            <w:vAlign w:val="center"/>
          </w:tcPr>
          <w:p w14:paraId="43262BE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2C1F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continue"/>
            <w:vAlign w:val="center"/>
          </w:tcPr>
          <w:p w14:paraId="150DBB34">
            <w:pPr>
              <w:spacing w:line="360" w:lineRule="auto"/>
              <w:jc w:val="center"/>
              <w:rPr>
                <w:rFonts w:hint="eastAsia" w:ascii="宋体" w:hAnsi="宋体" w:eastAsia="宋体" w:cs="Times New Roman"/>
                <w:color w:val="auto"/>
                <w:szCs w:val="21"/>
              </w:rPr>
            </w:pPr>
          </w:p>
        </w:tc>
        <w:tc>
          <w:tcPr>
            <w:tcW w:w="0" w:type="auto"/>
            <w:vAlign w:val="center"/>
          </w:tcPr>
          <w:p w14:paraId="4AD36D8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作业</w:t>
            </w:r>
            <w:r>
              <w:rPr>
                <w:rFonts w:ascii="宋体" w:hAnsi="宋体" w:eastAsia="宋体" w:cs="Times New Roman"/>
                <w:color w:val="auto"/>
                <w:szCs w:val="21"/>
              </w:rPr>
              <w:t>+考勤</w:t>
            </w:r>
          </w:p>
        </w:tc>
        <w:tc>
          <w:tcPr>
            <w:tcW w:w="0" w:type="auto"/>
            <w:vAlign w:val="center"/>
          </w:tcPr>
          <w:p w14:paraId="2C1D409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课堂表现</w:t>
            </w:r>
          </w:p>
        </w:tc>
        <w:tc>
          <w:tcPr>
            <w:tcW w:w="0" w:type="auto"/>
            <w:vAlign w:val="center"/>
          </w:tcPr>
          <w:p w14:paraId="7942A57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课内实践</w:t>
            </w:r>
          </w:p>
        </w:tc>
        <w:tc>
          <w:tcPr>
            <w:tcW w:w="0" w:type="auto"/>
            <w:vAlign w:val="center"/>
          </w:tcPr>
          <w:p w14:paraId="0CD26ED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期末考试</w:t>
            </w:r>
          </w:p>
        </w:tc>
        <w:tc>
          <w:tcPr>
            <w:tcW w:w="0" w:type="auto"/>
            <w:vMerge w:val="continue"/>
            <w:vAlign w:val="center"/>
          </w:tcPr>
          <w:p w14:paraId="7FF31953">
            <w:pPr>
              <w:spacing w:line="360" w:lineRule="auto"/>
              <w:jc w:val="center"/>
              <w:rPr>
                <w:rFonts w:hint="eastAsia" w:ascii="宋体" w:hAnsi="宋体" w:eastAsia="宋体" w:cs="Times New Roman"/>
                <w:color w:val="auto"/>
                <w:szCs w:val="21"/>
              </w:rPr>
            </w:pPr>
          </w:p>
        </w:tc>
      </w:tr>
      <w:tr w14:paraId="1012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0" w:type="auto"/>
            <w:vAlign w:val="center"/>
          </w:tcPr>
          <w:p w14:paraId="4FE16AA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0" w:type="auto"/>
            <w:vAlign w:val="center"/>
          </w:tcPr>
          <w:p w14:paraId="15C5E21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3802AA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46F14AB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1CD417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2A54BE3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05CA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38B78DF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0" w:type="auto"/>
            <w:vAlign w:val="center"/>
          </w:tcPr>
          <w:p w14:paraId="74CEB81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397A19E3">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C3FDBE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58E4F15B">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620C1D3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0A1F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3827D840">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0" w:type="auto"/>
            <w:vAlign w:val="center"/>
          </w:tcPr>
          <w:p w14:paraId="6B9FF16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1FCFAAB">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112974E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0" w:type="auto"/>
            <w:vAlign w:val="center"/>
          </w:tcPr>
          <w:p w14:paraId="7E756780">
            <w:pPr>
              <w:spacing w:line="360" w:lineRule="auto"/>
              <w:jc w:val="center"/>
              <w:rPr>
                <w:rFonts w:hint="eastAsia" w:ascii="宋体" w:hAnsi="宋体" w:eastAsia="宋体" w:cs="Times New Roman"/>
                <w:color w:val="auto"/>
                <w:szCs w:val="21"/>
              </w:rPr>
            </w:pPr>
          </w:p>
        </w:tc>
        <w:tc>
          <w:tcPr>
            <w:tcW w:w="0" w:type="auto"/>
            <w:vAlign w:val="center"/>
          </w:tcPr>
          <w:p w14:paraId="7910873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5576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70B2F44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0" w:type="auto"/>
            <w:vAlign w:val="center"/>
          </w:tcPr>
          <w:p w14:paraId="1C5259E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20</w:t>
            </w:r>
          </w:p>
        </w:tc>
        <w:tc>
          <w:tcPr>
            <w:tcW w:w="0" w:type="auto"/>
            <w:vAlign w:val="center"/>
          </w:tcPr>
          <w:p w14:paraId="1E4FD48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0</w:t>
            </w:r>
          </w:p>
        </w:tc>
        <w:tc>
          <w:tcPr>
            <w:tcW w:w="0" w:type="auto"/>
            <w:vAlign w:val="center"/>
          </w:tcPr>
          <w:p w14:paraId="7799F2B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0</w:t>
            </w:r>
          </w:p>
        </w:tc>
        <w:tc>
          <w:tcPr>
            <w:tcW w:w="0" w:type="auto"/>
            <w:vAlign w:val="center"/>
          </w:tcPr>
          <w:p w14:paraId="68008FD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5</w:t>
            </w:r>
            <w:r>
              <w:rPr>
                <w:rFonts w:ascii="宋体" w:hAnsi="宋体" w:eastAsia="宋体" w:cs="Times New Roman"/>
                <w:color w:val="auto"/>
                <w:szCs w:val="21"/>
              </w:rPr>
              <w:t>0</w:t>
            </w:r>
          </w:p>
        </w:tc>
        <w:tc>
          <w:tcPr>
            <w:tcW w:w="0" w:type="auto"/>
            <w:vAlign w:val="center"/>
          </w:tcPr>
          <w:p w14:paraId="789A608C">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4D4894C4">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74800774">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3F40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2E93D86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924" w:type="dxa"/>
            <w:vAlign w:val="center"/>
          </w:tcPr>
          <w:p w14:paraId="78E130F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721F8BB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6B5D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22D42B70">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作业</w:t>
            </w:r>
            <w:r>
              <w:rPr>
                <w:rFonts w:ascii="Times New Roman" w:hAnsi="Times New Roman" w:eastAsia="宋体" w:cs="Times New Roman"/>
                <w:color w:val="auto"/>
                <w:szCs w:val="21"/>
              </w:rPr>
              <w:t>+考勤</w:t>
            </w:r>
          </w:p>
        </w:tc>
        <w:tc>
          <w:tcPr>
            <w:tcW w:w="6924" w:type="dxa"/>
            <w:vAlign w:val="center"/>
          </w:tcPr>
          <w:p w14:paraId="409332C4">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平时作业共3次，平时总评</w:t>
            </w:r>
            <w:r>
              <w:rPr>
                <w:rFonts w:ascii="Times New Roman" w:hAnsi="Times New Roman" w:eastAsia="宋体" w:cs="Times New Roman"/>
                <w:color w:val="auto"/>
                <w:szCs w:val="21"/>
              </w:rPr>
              <w:t>=作业平均—考勤扣分，旷课1次扣5分，事假一次扣2分，迟到1次扣1分，病假不扣分（但病假次数达本学期总授课学时的1/3以上者不得参加考核）。</w:t>
            </w:r>
          </w:p>
        </w:tc>
        <w:tc>
          <w:tcPr>
            <w:tcW w:w="0" w:type="auto"/>
            <w:vAlign w:val="center"/>
          </w:tcPr>
          <w:p w14:paraId="6A0F633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0%</w:t>
            </w:r>
          </w:p>
        </w:tc>
      </w:tr>
      <w:tr w14:paraId="75E6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70CA434A">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课堂表现</w:t>
            </w:r>
          </w:p>
        </w:tc>
        <w:tc>
          <w:tcPr>
            <w:tcW w:w="6924" w:type="dxa"/>
            <w:vAlign w:val="center"/>
          </w:tcPr>
          <w:p w14:paraId="1A84634C">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课堂表现。</w:t>
            </w:r>
            <w:r>
              <w:rPr>
                <w:rFonts w:ascii="宋体" w:hAnsi="宋体" w:eastAsia="宋体" w:cs="宋体"/>
                <w:color w:val="auto"/>
                <w:kern w:val="0"/>
                <w:szCs w:val="21"/>
                <w:lang w:bidi="ar"/>
              </w:rPr>
              <w:t>主要指课上教师随机提问、组织课堂讨论等，观察学生参与程度</w:t>
            </w:r>
            <w:r>
              <w:rPr>
                <w:rFonts w:hint="eastAsia" w:ascii="宋体" w:hAnsi="宋体" w:eastAsia="宋体" w:cs="宋体"/>
                <w:color w:val="auto"/>
                <w:kern w:val="0"/>
                <w:szCs w:val="21"/>
                <w:lang w:bidi="ar"/>
              </w:rPr>
              <w:t>，</w:t>
            </w:r>
            <w:r>
              <w:rPr>
                <w:rFonts w:ascii="宋体" w:hAnsi="宋体" w:eastAsia="宋体" w:cs="宋体"/>
                <w:color w:val="auto"/>
                <w:kern w:val="0"/>
                <w:szCs w:val="21"/>
                <w:lang w:bidi="ar"/>
              </w:rPr>
              <w:t>按照对应的课程目标及权重给予评定</w:t>
            </w:r>
            <w:r>
              <w:rPr>
                <w:rFonts w:hint="eastAsia" w:ascii="宋体" w:hAnsi="宋体" w:eastAsia="宋体" w:cs="宋体"/>
                <w:color w:val="auto"/>
                <w:kern w:val="0"/>
                <w:szCs w:val="21"/>
                <w:lang w:bidi="ar"/>
              </w:rPr>
              <w:t>。</w:t>
            </w:r>
          </w:p>
        </w:tc>
        <w:tc>
          <w:tcPr>
            <w:tcW w:w="0" w:type="auto"/>
            <w:vAlign w:val="center"/>
          </w:tcPr>
          <w:p w14:paraId="63E2265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10A2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283FDEB9">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课内实践</w:t>
            </w:r>
          </w:p>
        </w:tc>
        <w:tc>
          <w:tcPr>
            <w:tcW w:w="6924" w:type="dxa"/>
            <w:vAlign w:val="center"/>
          </w:tcPr>
          <w:p w14:paraId="355033CD">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认真完成</w:t>
            </w:r>
            <w:r>
              <w:rPr>
                <w:rFonts w:ascii="宋体" w:hAnsi="宋体" w:eastAsia="宋体" w:cs="宋体"/>
                <w:color w:val="auto"/>
                <w:kern w:val="0"/>
                <w:szCs w:val="21"/>
                <w:lang w:bidi="ar"/>
              </w:rPr>
              <w:t>4个项目的课内实践，</w:t>
            </w:r>
            <w:r>
              <w:rPr>
                <w:rFonts w:hint="eastAsia" w:ascii="宋体" w:hAnsi="宋体" w:eastAsia="宋体" w:cs="宋体"/>
                <w:color w:val="auto"/>
                <w:kern w:val="0"/>
                <w:szCs w:val="21"/>
                <w:lang w:bidi="ar"/>
              </w:rPr>
              <w:t>在认真学习小学数学解题策略的基础上</w:t>
            </w:r>
            <w:r>
              <w:rPr>
                <w:rFonts w:ascii="宋体" w:hAnsi="宋体" w:eastAsia="宋体" w:cs="宋体"/>
                <w:color w:val="auto"/>
                <w:kern w:val="0"/>
                <w:szCs w:val="21"/>
                <w:lang w:bidi="ar"/>
              </w:rPr>
              <w:t>，尝试进行</w:t>
            </w:r>
            <w:r>
              <w:rPr>
                <w:rFonts w:hint="eastAsia" w:ascii="宋体" w:hAnsi="宋体" w:eastAsia="宋体" w:cs="宋体"/>
                <w:color w:val="auto"/>
                <w:kern w:val="0"/>
                <w:szCs w:val="21"/>
                <w:lang w:bidi="ar"/>
              </w:rPr>
              <w:t>相关的小学数学解题指导</w:t>
            </w:r>
            <w:r>
              <w:rPr>
                <w:rFonts w:ascii="宋体" w:hAnsi="宋体" w:eastAsia="宋体" w:cs="宋体"/>
                <w:color w:val="auto"/>
                <w:kern w:val="0"/>
                <w:szCs w:val="21"/>
                <w:lang w:bidi="ar"/>
              </w:rPr>
              <w:t>。</w:t>
            </w:r>
            <w:r>
              <w:rPr>
                <w:rFonts w:hint="eastAsia" w:ascii="宋体" w:hAnsi="宋体" w:eastAsia="宋体" w:cs="宋体"/>
                <w:color w:val="auto"/>
                <w:kern w:val="0"/>
                <w:szCs w:val="21"/>
                <w:lang w:bidi="ar"/>
              </w:rPr>
              <w:t>实行组内互评与教师评价相结合的方式。</w:t>
            </w:r>
            <w:r>
              <w:rPr>
                <w:rFonts w:ascii="宋体" w:hAnsi="宋体" w:eastAsia="宋体" w:cs="宋体"/>
                <w:color w:val="auto"/>
                <w:kern w:val="0"/>
                <w:szCs w:val="21"/>
                <w:lang w:bidi="ar"/>
              </w:rPr>
              <w:t>4个项目成绩取平均分作为课内实践分。</w:t>
            </w:r>
          </w:p>
        </w:tc>
        <w:tc>
          <w:tcPr>
            <w:tcW w:w="0" w:type="auto"/>
            <w:vAlign w:val="center"/>
          </w:tcPr>
          <w:p w14:paraId="60E01C1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0%</w:t>
            </w:r>
          </w:p>
        </w:tc>
      </w:tr>
      <w:tr w14:paraId="4565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B55CAA4">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期末考试</w:t>
            </w:r>
          </w:p>
        </w:tc>
        <w:tc>
          <w:tcPr>
            <w:tcW w:w="6924" w:type="dxa"/>
            <w:vAlign w:val="center"/>
          </w:tcPr>
          <w:p w14:paraId="654BD1AA">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本课程考核的方式为开卷笔试。有下列情况之一者，总评成绩为不及格：</w:t>
            </w:r>
          </w:p>
          <w:p w14:paraId="28B749AA">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（1）缺交作业次数达1/3以上者。</w:t>
            </w:r>
          </w:p>
          <w:p w14:paraId="1A91CF9C">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（2）缺课次数达本学期总授课学时的1/3以上者。</w:t>
            </w:r>
          </w:p>
        </w:tc>
        <w:tc>
          <w:tcPr>
            <w:tcW w:w="0" w:type="auto"/>
            <w:vAlign w:val="center"/>
          </w:tcPr>
          <w:p w14:paraId="66D646C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05D3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293664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1BC6BE55">
            <w:pPr>
              <w:jc w:val="left"/>
              <w:rPr>
                <w:rFonts w:ascii="Times New Roman" w:hAnsi="Times New Roman" w:eastAsia="宋体" w:cs="Times New Roman"/>
                <w:color w:val="auto"/>
                <w:szCs w:val="21"/>
              </w:rPr>
            </w:pPr>
          </w:p>
        </w:tc>
        <w:tc>
          <w:tcPr>
            <w:tcW w:w="0" w:type="auto"/>
            <w:vAlign w:val="center"/>
          </w:tcPr>
          <w:p w14:paraId="328079F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1E76AD1D">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49DBEDB4">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0FB38E8D">
      <w:pPr>
        <w:spacing w:before="156" w:beforeLines="50" w:line="360" w:lineRule="auto"/>
        <w:ind w:firstLine="420" w:firstLineChars="200"/>
        <w:jc w:val="left"/>
        <w:rPr>
          <w:rFonts w:hint="eastAsia" w:ascii="Times New Roman" w:hAnsi="Times New Roman" w:eastAsia="宋体" w:cs="Times New Roman"/>
          <w:b/>
          <w:color w:val="auto"/>
          <w:sz w:val="24"/>
          <w:szCs w:val="24"/>
        </w:rPr>
      </w:pPr>
      <w:r>
        <w:rPr>
          <w:rFonts w:ascii="宋体" w:hAnsi="宋体" w:eastAsia="宋体" w:cs="Times New Roman"/>
          <w:color w:val="auto"/>
          <w:szCs w:val="21"/>
        </w:rPr>
        <w:object>
          <v:shape id="_x0000_i1079"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79" DrawAspect="Content" ObjectID="_1468075778" r:id="rId65">
            <o:LockedField>false</o:LockedField>
          </o:OLEObject>
        </w:object>
      </w:r>
      <w:r>
        <w:rPr>
          <w:rFonts w:hint="eastAsia" w:ascii="Times New Roman" w:hAnsi="Times New Roman" w:eastAsia="宋体" w:cs="Times New Roman"/>
          <w:b/>
          <w:color w:val="auto"/>
          <w:sz w:val="24"/>
          <w:szCs w:val="24"/>
        </w:rPr>
        <w:t>五、课内实践</w:t>
      </w:r>
    </w:p>
    <w:p w14:paraId="7670642D">
      <w:pPr>
        <w:spacing w:after="156" w:afterLines="50" w:line="360" w:lineRule="auto"/>
        <w:ind w:firstLine="420" w:firstLineChars="200"/>
        <w:rPr>
          <w:rFonts w:hint="eastAsia" w:ascii="宋体" w:hAnsi="宋体" w:eastAsia="宋体"/>
          <w:color w:val="auto"/>
          <w:szCs w:val="21"/>
        </w:rPr>
      </w:pPr>
      <w:r>
        <w:rPr>
          <w:rFonts w:hint="eastAsia" w:ascii="宋体" w:hAnsi="宋体" w:eastAsia="宋体"/>
          <w:color w:val="auto"/>
          <w:szCs w:val="21"/>
        </w:rPr>
        <w:t>本课程在理论教学的基础上，安排了4个课内实践项目（共</w:t>
      </w:r>
      <w:r>
        <w:rPr>
          <w:rFonts w:ascii="宋体" w:hAnsi="宋体" w:eastAsia="宋体"/>
          <w:color w:val="auto"/>
          <w:szCs w:val="21"/>
        </w:rPr>
        <w:t>16</w:t>
      </w:r>
      <w:r>
        <w:rPr>
          <w:rFonts w:hint="eastAsia" w:ascii="宋体" w:hAnsi="宋体" w:eastAsia="宋体"/>
          <w:color w:val="auto"/>
          <w:szCs w:val="21"/>
        </w:rPr>
        <w:t>学时），体现了理论与实践的结合，强化对学生的课程思政。</w:t>
      </w:r>
    </w:p>
    <w:tbl>
      <w:tblPr>
        <w:tblStyle w:val="3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9"/>
        <w:gridCol w:w="2780"/>
        <w:gridCol w:w="740"/>
        <w:gridCol w:w="3160"/>
      </w:tblGrid>
      <w:tr w14:paraId="359E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839" w:type="dxa"/>
            <w:vAlign w:val="center"/>
          </w:tcPr>
          <w:p w14:paraId="737D7E00">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活动主题</w:t>
            </w:r>
          </w:p>
        </w:tc>
        <w:tc>
          <w:tcPr>
            <w:tcW w:w="2780" w:type="dxa"/>
            <w:vAlign w:val="center"/>
          </w:tcPr>
          <w:p w14:paraId="3057C754">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活动内容</w:t>
            </w:r>
          </w:p>
        </w:tc>
        <w:tc>
          <w:tcPr>
            <w:tcW w:w="740" w:type="dxa"/>
            <w:vAlign w:val="center"/>
          </w:tcPr>
          <w:p w14:paraId="3286A8C6">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活动方式</w:t>
            </w:r>
          </w:p>
        </w:tc>
        <w:tc>
          <w:tcPr>
            <w:tcW w:w="3160" w:type="dxa"/>
            <w:vAlign w:val="center"/>
          </w:tcPr>
          <w:p w14:paraId="730583CD">
            <w:pPr>
              <w:spacing w:line="24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思政目标</w:t>
            </w:r>
          </w:p>
        </w:tc>
      </w:tr>
      <w:tr w14:paraId="38E6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839" w:type="dxa"/>
            <w:vAlign w:val="center"/>
          </w:tcPr>
          <w:p w14:paraId="13414A2B">
            <w:pPr>
              <w:jc w:val="center"/>
              <w:rPr>
                <w:rFonts w:hint="eastAsia" w:ascii="宋体" w:hAnsi="宋体" w:eastAsia="宋体" w:cs="Times New Roman"/>
                <w:color w:val="auto"/>
                <w:szCs w:val="21"/>
              </w:rPr>
            </w:pPr>
            <w:r>
              <w:rPr>
                <w:rFonts w:hint="eastAsia" w:ascii="宋体" w:hAnsi="宋体" w:eastAsia="宋体" w:cs="Times New Roman"/>
                <w:color w:val="auto"/>
                <w:szCs w:val="21"/>
              </w:rPr>
              <w:t>数与代数解题训练与指导</w:t>
            </w:r>
          </w:p>
        </w:tc>
        <w:tc>
          <w:tcPr>
            <w:tcW w:w="2780" w:type="dxa"/>
            <w:vAlign w:val="center"/>
          </w:tcPr>
          <w:p w14:paraId="4AC71D5A">
            <w:pPr>
              <w:rPr>
                <w:rFonts w:hint="eastAsia" w:ascii="宋体" w:hAnsi="宋体" w:eastAsia="宋体" w:cs="Times New Roman"/>
                <w:color w:val="auto"/>
                <w:szCs w:val="21"/>
              </w:rPr>
            </w:pPr>
            <w:r>
              <w:rPr>
                <w:rFonts w:hint="eastAsia" w:ascii="宋体" w:hAnsi="宋体" w:eastAsia="宋体" w:cs="Times New Roman"/>
                <w:color w:val="auto"/>
                <w:szCs w:val="21"/>
              </w:rPr>
              <w:t>梳理数与代数领域的典型问题，在解题训练的基础上探讨指导策略，提交一份数与代数问题解题指导方案。</w:t>
            </w:r>
          </w:p>
        </w:tc>
        <w:tc>
          <w:tcPr>
            <w:tcW w:w="740" w:type="dxa"/>
            <w:vAlign w:val="center"/>
          </w:tcPr>
          <w:p w14:paraId="53BDD558">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练习</w:t>
            </w:r>
          </w:p>
          <w:p w14:paraId="34AE6E08">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交流</w:t>
            </w:r>
          </w:p>
        </w:tc>
        <w:tc>
          <w:tcPr>
            <w:tcW w:w="3160" w:type="dxa"/>
          </w:tcPr>
          <w:p w14:paraId="22BFF350">
            <w:pPr>
              <w:rPr>
                <w:rFonts w:hint="eastAsia" w:ascii="宋体" w:hAnsi="宋体" w:eastAsia="宋体" w:cs="Times New Roman"/>
                <w:color w:val="auto"/>
                <w:szCs w:val="21"/>
              </w:rPr>
            </w:pPr>
            <w:r>
              <w:rPr>
                <w:rFonts w:hint="eastAsia" w:ascii="宋体" w:hAnsi="宋体" w:eastAsia="宋体" w:cs="Times New Roman"/>
                <w:color w:val="auto"/>
                <w:szCs w:val="21"/>
              </w:rPr>
              <w:t>养成严谨的学习态度，掌握科学、严谨的学习方法，注重创新精神的培养，树立以学生为主体的教学理念，体会数学文化的魅力，获得积极的小学教学体验。</w:t>
            </w:r>
          </w:p>
        </w:tc>
      </w:tr>
      <w:tr w14:paraId="0B04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839" w:type="dxa"/>
            <w:vAlign w:val="center"/>
          </w:tcPr>
          <w:p w14:paraId="6B75825C">
            <w:pPr>
              <w:jc w:val="center"/>
              <w:rPr>
                <w:rFonts w:hint="eastAsia" w:ascii="宋体" w:hAnsi="宋体" w:eastAsia="宋体" w:cs="Times New Roman"/>
                <w:color w:val="auto"/>
                <w:szCs w:val="21"/>
              </w:rPr>
            </w:pPr>
            <w:r>
              <w:rPr>
                <w:rFonts w:hint="eastAsia" w:ascii="宋体" w:hAnsi="宋体" w:eastAsia="宋体" w:cs="Times New Roman"/>
                <w:color w:val="auto"/>
                <w:szCs w:val="21"/>
              </w:rPr>
              <w:t>图形与几何解题训练与指导</w:t>
            </w:r>
          </w:p>
        </w:tc>
        <w:tc>
          <w:tcPr>
            <w:tcW w:w="2780" w:type="dxa"/>
            <w:vAlign w:val="center"/>
          </w:tcPr>
          <w:p w14:paraId="1616F790">
            <w:pPr>
              <w:rPr>
                <w:rFonts w:hint="eastAsia" w:ascii="宋体" w:hAnsi="宋体" w:eastAsia="宋体" w:cs="Times New Roman"/>
                <w:color w:val="auto"/>
                <w:szCs w:val="21"/>
              </w:rPr>
            </w:pPr>
            <w:r>
              <w:rPr>
                <w:rFonts w:hint="eastAsia" w:ascii="宋体" w:hAnsi="宋体" w:eastAsia="宋体" w:cs="Times New Roman"/>
                <w:color w:val="auto"/>
                <w:szCs w:val="21"/>
              </w:rPr>
              <w:t>梳理图形与几何领域的典型问题，在解题训练的基础上探讨指导策略，提交一份图形与几何问题解题指导方案。</w:t>
            </w:r>
          </w:p>
        </w:tc>
        <w:tc>
          <w:tcPr>
            <w:tcW w:w="740" w:type="dxa"/>
            <w:vAlign w:val="center"/>
          </w:tcPr>
          <w:p w14:paraId="0A2417C6">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练习</w:t>
            </w:r>
          </w:p>
          <w:p w14:paraId="25B0ACD8">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交流</w:t>
            </w:r>
          </w:p>
        </w:tc>
        <w:tc>
          <w:tcPr>
            <w:tcW w:w="3160" w:type="dxa"/>
          </w:tcPr>
          <w:p w14:paraId="05E3B0DD">
            <w:pPr>
              <w:rPr>
                <w:rFonts w:hint="eastAsia" w:ascii="宋体" w:hAnsi="宋体" w:eastAsia="宋体" w:cs="Times New Roman"/>
                <w:color w:val="auto"/>
                <w:szCs w:val="21"/>
              </w:rPr>
            </w:pPr>
            <w:r>
              <w:rPr>
                <w:rFonts w:hint="eastAsia" w:ascii="宋体" w:hAnsi="宋体" w:eastAsia="宋体" w:cs="Times New Roman"/>
                <w:color w:val="auto"/>
                <w:szCs w:val="21"/>
              </w:rPr>
              <w:t>养成严谨的学习态度，掌握科学、严谨的学习方法，注重创新精神的培养，树立以学生为主体的教学理念，体会数学文化的魅力，获得积极的小学教学体验。</w:t>
            </w:r>
          </w:p>
        </w:tc>
      </w:tr>
      <w:tr w14:paraId="6BF1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839" w:type="dxa"/>
            <w:vAlign w:val="center"/>
          </w:tcPr>
          <w:p w14:paraId="53056AEE">
            <w:pPr>
              <w:jc w:val="center"/>
              <w:rPr>
                <w:rFonts w:hint="eastAsia" w:ascii="宋体" w:hAnsi="宋体" w:eastAsia="宋体" w:cs="Times New Roman"/>
                <w:color w:val="auto"/>
                <w:szCs w:val="21"/>
              </w:rPr>
            </w:pPr>
            <w:r>
              <w:rPr>
                <w:rFonts w:hint="eastAsia" w:ascii="宋体" w:hAnsi="宋体" w:eastAsia="宋体" w:cs="Times New Roman"/>
                <w:color w:val="auto"/>
                <w:szCs w:val="21"/>
              </w:rPr>
              <w:t>统计与概率解题训练与指导</w:t>
            </w:r>
          </w:p>
        </w:tc>
        <w:tc>
          <w:tcPr>
            <w:tcW w:w="2780" w:type="dxa"/>
            <w:vAlign w:val="center"/>
          </w:tcPr>
          <w:p w14:paraId="11E40FD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梳理统计与概率领域的典型问题，在解题训练的基础上探讨指导策略，提交一份统计与概率问题解题指导方案。</w:t>
            </w:r>
          </w:p>
        </w:tc>
        <w:tc>
          <w:tcPr>
            <w:tcW w:w="740" w:type="dxa"/>
            <w:vAlign w:val="center"/>
          </w:tcPr>
          <w:p w14:paraId="753F9938">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练习</w:t>
            </w:r>
          </w:p>
          <w:p w14:paraId="23E5E072">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交流</w:t>
            </w:r>
          </w:p>
        </w:tc>
        <w:tc>
          <w:tcPr>
            <w:tcW w:w="3160" w:type="dxa"/>
          </w:tcPr>
          <w:p w14:paraId="44E04CDB">
            <w:pPr>
              <w:rPr>
                <w:rFonts w:hint="eastAsia" w:ascii="宋体" w:hAnsi="宋体" w:eastAsia="宋体" w:cs="Times New Roman"/>
                <w:color w:val="auto"/>
                <w:szCs w:val="21"/>
              </w:rPr>
            </w:pPr>
            <w:r>
              <w:rPr>
                <w:rFonts w:hint="eastAsia" w:ascii="宋体" w:hAnsi="宋体" w:eastAsia="宋体" w:cs="Times New Roman"/>
                <w:color w:val="auto"/>
                <w:szCs w:val="21"/>
              </w:rPr>
              <w:t>养成严谨的学习态度，掌握科学、严谨的学习方法，注重创新精神的培养，树立以学生为主体的教学理念，体会数学文化的魅力，获得积极的小学教学体验。</w:t>
            </w:r>
          </w:p>
        </w:tc>
      </w:tr>
      <w:tr w14:paraId="66F6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839" w:type="dxa"/>
            <w:vAlign w:val="center"/>
          </w:tcPr>
          <w:p w14:paraId="22278769">
            <w:pPr>
              <w:jc w:val="center"/>
              <w:rPr>
                <w:rFonts w:hint="eastAsia" w:ascii="宋体" w:hAnsi="宋体" w:eastAsia="宋体" w:cs="Times New Roman"/>
                <w:color w:val="auto"/>
                <w:szCs w:val="21"/>
              </w:rPr>
            </w:pPr>
            <w:r>
              <w:rPr>
                <w:rFonts w:hint="eastAsia" w:ascii="宋体" w:hAnsi="宋体" w:eastAsia="宋体" w:cs="Times New Roman"/>
                <w:color w:val="auto"/>
                <w:szCs w:val="21"/>
              </w:rPr>
              <w:t>小学数学竞赛解题训练与指导</w:t>
            </w:r>
          </w:p>
        </w:tc>
        <w:tc>
          <w:tcPr>
            <w:tcW w:w="2780" w:type="dxa"/>
            <w:vAlign w:val="center"/>
          </w:tcPr>
          <w:p w14:paraId="61828974">
            <w:pPr>
              <w:rPr>
                <w:rFonts w:hint="eastAsia" w:ascii="宋体" w:hAnsi="宋体" w:eastAsia="宋体" w:cs="Times New Roman"/>
                <w:color w:val="auto"/>
                <w:szCs w:val="21"/>
              </w:rPr>
            </w:pPr>
            <w:r>
              <w:rPr>
                <w:rFonts w:hint="eastAsia" w:ascii="宋体" w:hAnsi="宋体" w:eastAsia="宋体" w:cs="Times New Roman"/>
                <w:color w:val="auto"/>
                <w:szCs w:val="21"/>
              </w:rPr>
              <w:t>梳理小学数学竞赛的典型题型，在解题训练的基础上探讨指导策略，提交一份小学数学竞赛解题指导方案。</w:t>
            </w:r>
          </w:p>
        </w:tc>
        <w:tc>
          <w:tcPr>
            <w:tcW w:w="740" w:type="dxa"/>
            <w:vAlign w:val="center"/>
          </w:tcPr>
          <w:p w14:paraId="67E01DD3">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练习</w:t>
            </w:r>
          </w:p>
          <w:p w14:paraId="1BE51D11">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交流</w:t>
            </w:r>
          </w:p>
        </w:tc>
        <w:tc>
          <w:tcPr>
            <w:tcW w:w="3160" w:type="dxa"/>
          </w:tcPr>
          <w:p w14:paraId="3F98E0DB">
            <w:pPr>
              <w:rPr>
                <w:rFonts w:hint="eastAsia" w:ascii="宋体" w:hAnsi="宋体" w:eastAsia="宋体" w:cs="Times New Roman"/>
                <w:color w:val="auto"/>
                <w:szCs w:val="21"/>
              </w:rPr>
            </w:pPr>
            <w:r>
              <w:rPr>
                <w:rFonts w:hint="eastAsia" w:ascii="宋体" w:hAnsi="宋体" w:eastAsia="宋体" w:cs="Times New Roman"/>
                <w:color w:val="auto"/>
                <w:szCs w:val="21"/>
              </w:rPr>
              <w:t>养成严谨的学习态度，掌握科学、严谨的学习方法，树立以学生为主体的教学理念，体会数学文化的魅力，获得积极的小学教学体验。</w:t>
            </w:r>
          </w:p>
        </w:tc>
      </w:tr>
    </w:tbl>
    <w:p w14:paraId="4FD9D05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六、有关说明</w:t>
      </w:r>
    </w:p>
    <w:p w14:paraId="721B0C38">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77C40F0B">
      <w:pPr>
        <w:spacing w:line="360" w:lineRule="auto"/>
        <w:ind w:firstLine="315" w:firstLineChars="150"/>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本课程根据学生作业、课堂讨论、实践环节和学生、教学督导等的反馈，及时对教学中的不足之处进行改进，并在下一轮课程教学中整改完善，确保相应毕业要求指标点达成。</w:t>
      </w:r>
    </w:p>
    <w:p w14:paraId="12B0C665">
      <w:pPr>
        <w:spacing w:line="360" w:lineRule="auto"/>
        <w:ind w:firstLine="527" w:firstLineChars="25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22B7C285">
      <w:pPr>
        <w:spacing w:line="360" w:lineRule="auto"/>
        <w:ind w:firstLine="525" w:firstLineChars="250"/>
        <w:jc w:val="left"/>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周友士．小学数学解题讲义．南京：南京大学出版社，2021．</w:t>
      </w:r>
    </w:p>
    <w:p w14:paraId="7EAE3A22">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7CF9380A">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1.彭林.小学数学解题规律、方法与技巧——巧算.上海：上海社会科学院出版社，2017.</w:t>
      </w:r>
    </w:p>
    <w:p w14:paraId="7FE7C40D">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 xml:space="preserve">2.彭林.小学数学解题规律、方法与技巧——巧解应用题.上海：上海社会科学院出版社，2017. </w:t>
      </w:r>
    </w:p>
    <w:p w14:paraId="795920A1">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3.彭林.小学数学解题规律、方法与技巧——巧妙的解题思路.上海：上海社会科学院出版社，2017.</w:t>
      </w:r>
      <w:r>
        <w:rPr>
          <w:rFonts w:hint="eastAsia"/>
          <w:color w:val="auto"/>
          <w:szCs w:val="21"/>
        </w:rPr>
        <w:t xml:space="preserve"> </w:t>
      </w:r>
    </w:p>
    <w:p w14:paraId="6B45AEB5">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4.展秀婷，展秀芬．小学数学常用解题方法手册．南宁：广西教育出版社，2011．</w:t>
      </w:r>
    </w:p>
    <w:p w14:paraId="6B4C3715">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5.苏教版、人教版小学数学教材.</w:t>
      </w:r>
    </w:p>
    <w:p w14:paraId="65EA1F08">
      <w:pPr>
        <w:spacing w:line="360" w:lineRule="auto"/>
        <w:ind w:firstLine="420" w:firstLineChars="200"/>
        <w:rPr>
          <w:rFonts w:hint="eastAsia" w:ascii="宋体" w:hAnsi="宋体" w:eastAsia="宋体" w:cs="Times New Roman"/>
          <w:color w:val="auto"/>
          <w:szCs w:val="21"/>
        </w:rPr>
      </w:pPr>
    </w:p>
    <w:p w14:paraId="6906EEF0">
      <w:pPr>
        <w:keepNext w:val="0"/>
        <w:keepLines w:val="0"/>
        <w:pageBreakBefore w:val="0"/>
        <w:widowControl w:val="0"/>
        <w:kinsoku/>
        <w:overflowPunct/>
        <w:topLinePunct w:val="0"/>
        <w:autoSpaceDE/>
        <w:autoSpaceDN/>
        <w:bidi w:val="0"/>
        <w:adjustRightInd/>
        <w:snapToGrid/>
        <w:spacing w:line="360" w:lineRule="auto"/>
        <w:ind w:right="1200" w:firstLine="5040" w:firstLineChars="24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执 笔 人：谢国忠</w:t>
      </w:r>
    </w:p>
    <w:p w14:paraId="4A0957CF">
      <w:pPr>
        <w:keepNext w:val="0"/>
        <w:keepLines w:val="0"/>
        <w:pageBreakBefore w:val="0"/>
        <w:widowControl w:val="0"/>
        <w:kinsoku/>
        <w:wordWrap w:val="0"/>
        <w:overflowPunct/>
        <w:topLinePunct w:val="0"/>
        <w:autoSpaceDE/>
        <w:autoSpaceDN/>
        <w:bidi w:val="0"/>
        <w:adjustRightInd/>
        <w:snapToGrid/>
        <w:spacing w:line="360" w:lineRule="auto"/>
        <w:ind w:right="1440" w:firstLine="5040" w:firstLineChars="24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定 人：王 健</w:t>
      </w:r>
    </w:p>
    <w:p w14:paraId="637A8C3E">
      <w:pPr>
        <w:keepNext w:val="0"/>
        <w:keepLines w:val="0"/>
        <w:pageBreakBefore w:val="0"/>
        <w:widowControl w:val="0"/>
        <w:kinsoku/>
        <w:overflowPunct/>
        <w:topLinePunct w:val="0"/>
        <w:autoSpaceDE/>
        <w:autoSpaceDN/>
        <w:bidi w:val="0"/>
        <w:adjustRightInd/>
        <w:snapToGrid/>
        <w:spacing w:line="360" w:lineRule="auto"/>
        <w:ind w:right="1200" w:firstLine="5040" w:firstLineChars="24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批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张志欣</w:t>
      </w:r>
    </w:p>
    <w:p w14:paraId="6F6323E0">
      <w:pPr>
        <w:keepNext w:val="0"/>
        <w:keepLines w:val="0"/>
        <w:pageBreakBefore w:val="0"/>
        <w:widowControl w:val="0"/>
        <w:kinsoku/>
        <w:overflowPunct/>
        <w:topLinePunct w:val="0"/>
        <w:autoSpaceDE/>
        <w:autoSpaceDN/>
        <w:bidi w:val="0"/>
        <w:adjustRightInd/>
        <w:snapToGrid/>
        <w:spacing w:line="360" w:lineRule="auto"/>
        <w:ind w:firstLine="5040" w:firstLineChars="2400"/>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批准时间：2025年7月1日</w:t>
      </w:r>
    </w:p>
    <w:p w14:paraId="49644428">
      <w:pPr>
        <w:rPr>
          <w:rFonts w:hint="eastAsia" w:ascii="等线" w:hAnsi="等线" w:eastAsia="等线" w:cs="等线"/>
          <w:b/>
          <w:bCs/>
          <w:color w:val="auto"/>
          <w:sz w:val="36"/>
          <w:szCs w:val="36"/>
        </w:rPr>
      </w:pPr>
      <w:r>
        <w:rPr>
          <w:rFonts w:hint="eastAsia" w:ascii="等线" w:hAnsi="等线" w:eastAsia="等线" w:cs="等线"/>
          <w:b/>
          <w:bCs/>
          <w:color w:val="auto"/>
          <w:sz w:val="36"/>
          <w:szCs w:val="36"/>
        </w:rPr>
        <w:br w:type="page"/>
      </w:r>
    </w:p>
    <w:p w14:paraId="26978F12">
      <w:pPr>
        <w:spacing w:line="360" w:lineRule="auto"/>
        <w:jc w:val="center"/>
        <w:outlineLvl w:val="0"/>
        <w:rPr>
          <w:rFonts w:hint="eastAsia" w:ascii="Times New Roman" w:hAnsi="Times New Roman" w:eastAsia="宋体" w:cs="Times New Roman"/>
          <w:b/>
          <w:color w:val="auto"/>
          <w:sz w:val="44"/>
          <w:szCs w:val="44"/>
        </w:rPr>
      </w:pPr>
      <w:bookmarkStart w:id="443" w:name="_Toc21945"/>
      <w:bookmarkStart w:id="444" w:name="_Toc22626"/>
      <w:r>
        <w:rPr>
          <w:rFonts w:hint="eastAsia" w:ascii="Times New Roman" w:hAnsi="Times New Roman" w:eastAsia="宋体" w:cs="Times New Roman"/>
          <w:b/>
          <w:color w:val="auto"/>
          <w:sz w:val="44"/>
          <w:szCs w:val="44"/>
        </w:rPr>
        <w:t>《认知实习》课程教学大纲</w:t>
      </w:r>
      <w:bookmarkEnd w:id="443"/>
      <w:bookmarkEnd w:id="444"/>
    </w:p>
    <w:p w14:paraId="1F586588">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w:t>
      </w:r>
      <w:r>
        <w:rPr>
          <w:rFonts w:hint="eastAsia" w:ascii="Times New Roman" w:hAnsi="Times New Roman" w:eastAsia="宋体" w:cs="Times New Roman"/>
          <w:b/>
          <w:bCs/>
          <w:color w:val="auto"/>
          <w:sz w:val="28"/>
          <w:szCs w:val="28"/>
        </w:rPr>
        <w:t>Cognitive Practice</w:t>
      </w:r>
      <w:r>
        <w:rPr>
          <w:rFonts w:ascii="Times New Roman" w:hAnsi="Times New Roman" w:eastAsia="宋体" w:cs="Times New Roman"/>
          <w:b/>
          <w:bCs/>
          <w:color w:val="auto"/>
          <w:sz w:val="28"/>
          <w:szCs w:val="28"/>
        </w:rPr>
        <w:t>）</w:t>
      </w:r>
    </w:p>
    <w:p w14:paraId="1D3BCA88">
      <w:pPr>
        <w:spacing w:line="360" w:lineRule="auto"/>
        <w:jc w:val="center"/>
        <w:rPr>
          <w:rFonts w:ascii="Times New Roman" w:hAnsi="Times New Roman" w:eastAsia="宋体" w:cs="Times New Roman"/>
          <w:bCs/>
          <w:color w:val="auto"/>
          <w:sz w:val="22"/>
          <w:szCs w:val="22"/>
        </w:rPr>
      </w:pPr>
    </w:p>
    <w:p w14:paraId="19D578C2">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课程名称：认知实习</w:t>
      </w:r>
    </w:p>
    <w:p w14:paraId="2D866A8B">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w:t>
      </w:r>
      <w:r>
        <w:rPr>
          <w:rFonts w:hint="eastAsia" w:ascii="宋体" w:hAnsi="宋体" w:eastAsia="宋体" w:cs="Times New Roman"/>
          <w:color w:val="auto"/>
          <w:kern w:val="0"/>
          <w:sz w:val="24"/>
        </w:rPr>
        <w:t>2401066</w:t>
      </w:r>
    </w:p>
    <w:p w14:paraId="18B21597">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分：不计入总学分</w:t>
      </w:r>
    </w:p>
    <w:p w14:paraId="02F2F316">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时：两周</w:t>
      </w:r>
    </w:p>
    <w:p w14:paraId="3D64536E">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先修课程：无</w:t>
      </w:r>
    </w:p>
    <w:p w14:paraId="4CE184E5">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适用专业：小学教育</w:t>
      </w:r>
    </w:p>
    <w:p w14:paraId="02B41F2F">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一、课程简介</w:t>
      </w:r>
    </w:p>
    <w:p w14:paraId="531D0752">
      <w:pPr>
        <w:spacing w:line="360" w:lineRule="auto"/>
        <w:ind w:firstLine="420" w:firstLineChars="200"/>
        <w:jc w:val="lef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认知实习》是师范类专业重要的实践教学环节。本课程通过名师讲座、教学基本功训练、教学观摩等活动，旨在帮助学生建立对教育教学工作的初步认知与实践感知，为后续专业课程的学习奠定坚实基础，初步形成教育教学思维与实践能力体系，培养学生对教育事业的热爱与责任感，逐步具备成为一名合格教育工作者的基本素养。</w:t>
      </w:r>
    </w:p>
    <w:p w14:paraId="1BAEA5F1">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二、课程目标</w:t>
      </w:r>
    </w:p>
    <w:p w14:paraId="1620CE2B">
      <w:pPr>
        <w:keepNext w:val="0"/>
        <w:keepLines w:val="0"/>
        <w:pageBreakBefore w:val="0"/>
        <w:widowControl w:val="0"/>
        <w:kinsoku/>
        <w:wordWrap/>
        <w:overflowPunct/>
        <w:topLinePunct w:val="0"/>
        <w:bidi w:val="0"/>
        <w:snapToGrid/>
        <w:spacing w:line="360" w:lineRule="auto"/>
        <w:ind w:firstLine="422" w:firstLineChars="200"/>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（一）课程具体目标</w:t>
      </w:r>
    </w:p>
    <w:p w14:paraId="03920345">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b/>
          <w:color w:val="auto"/>
          <w:sz w:val="21"/>
          <w:szCs w:val="21"/>
        </w:rPr>
        <w:t>目标</w:t>
      </w:r>
      <w:r>
        <w:rPr>
          <w:rFonts w:ascii="Times New Roman" w:hAnsi="Times New Roman" w:eastAsia="宋体" w:cs="Times New Roman"/>
          <w:b/>
          <w:color w:val="auto"/>
          <w:sz w:val="21"/>
          <w:szCs w:val="21"/>
        </w:rPr>
        <w:t>1.</w:t>
      </w:r>
      <w:r>
        <w:rPr>
          <w:rFonts w:ascii="Times New Roman" w:hAnsi="Times New Roman" w:eastAsia="宋体" w:cs="Times New Roman"/>
          <w:color w:val="auto"/>
          <w:sz w:val="21"/>
          <w:szCs w:val="21"/>
        </w:rPr>
        <w:t>理解前沿教育理念、教学方法及职业素养要求，通过名师讲座及教学观摩，积累</w:t>
      </w:r>
      <w:r>
        <w:rPr>
          <w:rFonts w:hint="eastAsia" w:ascii="Times New Roman" w:hAnsi="Times New Roman" w:eastAsia="宋体" w:cs="Times New Roman"/>
          <w:color w:val="auto"/>
          <w:sz w:val="21"/>
          <w:szCs w:val="21"/>
        </w:rPr>
        <w:t>丰富的</w:t>
      </w:r>
      <w:r>
        <w:rPr>
          <w:rFonts w:ascii="Times New Roman" w:hAnsi="Times New Roman" w:eastAsia="宋体" w:cs="Times New Roman"/>
          <w:color w:val="auto"/>
          <w:sz w:val="21"/>
          <w:szCs w:val="21"/>
        </w:rPr>
        <w:t>教育教学理论知识</w:t>
      </w:r>
      <w:r>
        <w:rPr>
          <w:rFonts w:hint="eastAsia" w:ascii="Times New Roman" w:hAnsi="Times New Roman" w:eastAsia="宋体" w:cs="Times New Roman"/>
          <w:color w:val="auto"/>
          <w:sz w:val="21"/>
          <w:szCs w:val="21"/>
        </w:rPr>
        <w:t>与案例知识，培养教育教学反思能力</w:t>
      </w:r>
      <w:r>
        <w:rPr>
          <w:rFonts w:ascii="Times New Roman" w:hAnsi="Times New Roman" w:eastAsia="宋体" w:cs="Times New Roman"/>
          <w:color w:val="auto"/>
          <w:sz w:val="21"/>
          <w:szCs w:val="21"/>
        </w:rPr>
        <w:t>。</w:t>
      </w:r>
    </w:p>
    <w:p w14:paraId="139411A9">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b/>
          <w:color w:val="auto"/>
          <w:sz w:val="21"/>
          <w:szCs w:val="21"/>
        </w:rPr>
        <w:t>目标2</w:t>
      </w:r>
      <w:r>
        <w:rPr>
          <w:rFonts w:ascii="Times New Roman" w:hAnsi="Times New Roman" w:eastAsia="宋体" w:cs="Times New Roman"/>
          <w:b/>
          <w:color w:val="auto"/>
          <w:sz w:val="21"/>
          <w:szCs w:val="21"/>
        </w:rPr>
        <w:t>.</w:t>
      </w:r>
      <w:r>
        <w:rPr>
          <w:rFonts w:hint="eastAsia" w:ascii="Times New Roman" w:hAnsi="Times New Roman" w:eastAsia="宋体" w:cs="Times New Roman"/>
          <w:color w:val="auto"/>
          <w:sz w:val="21"/>
          <w:szCs w:val="21"/>
        </w:rPr>
        <w:t>学习</w:t>
      </w:r>
      <w:r>
        <w:rPr>
          <w:rFonts w:ascii="Times New Roman" w:hAnsi="Times New Roman" w:eastAsia="宋体" w:cs="Times New Roman"/>
          <w:color w:val="auto"/>
          <w:sz w:val="21"/>
          <w:szCs w:val="21"/>
        </w:rPr>
        <w:t>掌握课堂表达、</w:t>
      </w:r>
      <w:r>
        <w:rPr>
          <w:rFonts w:hint="eastAsia" w:ascii="Times New Roman" w:hAnsi="Times New Roman" w:eastAsia="宋体" w:cs="Times New Roman"/>
          <w:color w:val="auto"/>
          <w:sz w:val="21"/>
          <w:szCs w:val="21"/>
        </w:rPr>
        <w:t>钢笔字、粉笔字</w:t>
      </w:r>
      <w:r>
        <w:rPr>
          <w:rFonts w:ascii="Times New Roman" w:hAnsi="Times New Roman" w:eastAsia="宋体" w:cs="Times New Roman"/>
          <w:color w:val="auto"/>
          <w:sz w:val="21"/>
          <w:szCs w:val="21"/>
        </w:rPr>
        <w:t>书写等教学基本功，在教学基本功训练过程中不断打磨自身教学技能。</w:t>
      </w:r>
    </w:p>
    <w:p w14:paraId="32763E96">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b/>
          <w:color w:val="auto"/>
          <w:sz w:val="21"/>
          <w:szCs w:val="21"/>
        </w:rPr>
        <w:t>目标3</w:t>
      </w:r>
      <w:r>
        <w:rPr>
          <w:rFonts w:ascii="Times New Roman" w:hAnsi="Times New Roman" w:eastAsia="宋体" w:cs="Times New Roman"/>
          <w:b/>
          <w:color w:val="auto"/>
          <w:sz w:val="21"/>
          <w:szCs w:val="21"/>
        </w:rPr>
        <w:t>.</w:t>
      </w:r>
      <w:r>
        <w:rPr>
          <w:rFonts w:ascii="Times New Roman" w:hAnsi="Times New Roman" w:eastAsia="宋体" w:cs="Times New Roman"/>
          <w:color w:val="auto"/>
          <w:sz w:val="21"/>
          <w:szCs w:val="21"/>
        </w:rPr>
        <w:t xml:space="preserve"> 建立对教育教学工作的正确认知与情感认同，培养教育教学思维，增强对教育事业的热爱与责任感，塑造积极向上的</w:t>
      </w:r>
      <w:r>
        <w:rPr>
          <w:rFonts w:hint="eastAsia" w:ascii="Times New Roman" w:hAnsi="Times New Roman" w:eastAsia="宋体" w:cs="Times New Roman"/>
          <w:color w:val="auto"/>
          <w:sz w:val="21"/>
          <w:szCs w:val="21"/>
        </w:rPr>
        <w:t>教师家</w:t>
      </w:r>
      <w:r>
        <w:rPr>
          <w:rFonts w:ascii="Times New Roman" w:hAnsi="Times New Roman" w:eastAsia="宋体" w:cs="Times New Roman"/>
          <w:color w:val="auto"/>
          <w:sz w:val="21"/>
          <w:szCs w:val="21"/>
        </w:rPr>
        <w:t>精神与道德素养，为投身教育事业做好充分的心理与思想准备。</w:t>
      </w:r>
    </w:p>
    <w:p w14:paraId="7D4BD130">
      <w:pPr>
        <w:keepNext w:val="0"/>
        <w:keepLines w:val="0"/>
        <w:pageBreakBefore w:val="0"/>
        <w:widowControl w:val="0"/>
        <w:kinsoku/>
        <w:wordWrap/>
        <w:overflowPunct/>
        <w:topLinePunct w:val="0"/>
        <w:bidi w:val="0"/>
        <w:snapToGrid/>
        <w:spacing w:line="360" w:lineRule="auto"/>
        <w:ind w:firstLine="422" w:firstLineChars="200"/>
        <w:jc w:val="left"/>
        <w:textAlignment w:val="auto"/>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6484"/>
        <w:gridCol w:w="1191"/>
      </w:tblGrid>
      <w:tr w14:paraId="3493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14:paraId="60A51054">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484" w:type="dxa"/>
            <w:vAlign w:val="center"/>
          </w:tcPr>
          <w:p w14:paraId="377043F4">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191" w:type="dxa"/>
            <w:vAlign w:val="center"/>
          </w:tcPr>
          <w:p w14:paraId="68EBAE85">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436CC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14:paraId="0AF59F1D">
            <w:pPr>
              <w:spacing w:line="276"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毕业要求1</w:t>
            </w:r>
          </w:p>
          <w:p w14:paraId="513E488C">
            <w:pPr>
              <w:spacing w:line="276" w:lineRule="auto"/>
              <w:jc w:val="center"/>
              <w:rPr>
                <w:rFonts w:ascii="宋体" w:hAnsi="宋体" w:eastAsia="宋体" w:cs="宋体"/>
                <w:b/>
                <w:bCs/>
                <w:color w:val="auto"/>
                <w:szCs w:val="21"/>
              </w:rPr>
            </w:pPr>
            <w:r>
              <w:rPr>
                <w:rFonts w:hint="eastAsia" w:ascii="宋体" w:hAnsi="宋体" w:eastAsia="宋体" w:cs="宋体"/>
                <w:b/>
                <w:bCs/>
                <w:color w:val="auto"/>
                <w:szCs w:val="21"/>
              </w:rPr>
              <w:t>师德规范</w:t>
            </w:r>
          </w:p>
        </w:tc>
        <w:tc>
          <w:tcPr>
            <w:tcW w:w="6484" w:type="dxa"/>
            <w:vAlign w:val="center"/>
          </w:tcPr>
          <w:p w14:paraId="5D71F62E">
            <w:pPr>
              <w:spacing w:line="276" w:lineRule="auto"/>
              <w:jc w:val="left"/>
              <w:rPr>
                <w:rFonts w:hint="eastAsia" w:ascii="Times New Roman" w:hAnsi="Times New Roman" w:eastAsia="宋体" w:cs="Times New Roman"/>
                <w:color w:val="auto"/>
                <w:szCs w:val="21"/>
                <w:lang w:eastAsia="zh-CN"/>
              </w:rPr>
            </w:pPr>
            <w:r>
              <w:rPr>
                <w:rFonts w:hint="eastAsia" w:ascii="宋体" w:hAnsi="宋体" w:eastAsia="宋体" w:cs="宋体"/>
                <w:color w:val="auto"/>
                <w:kern w:val="0"/>
                <w:szCs w:val="21"/>
                <w:lang w:eastAsia="zh-CN"/>
              </w:rPr>
              <w:t>指标点1-1：【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77FE1BF3">
            <w:pPr>
              <w:spacing w:line="276" w:lineRule="auto"/>
              <w:jc w:val="left"/>
              <w:rPr>
                <w:rFonts w:ascii="Times New Roman" w:hAnsi="Times New Roman" w:eastAsia="宋体" w:cs="Times New Roman"/>
                <w:color w:val="auto"/>
                <w:szCs w:val="21"/>
              </w:rPr>
            </w:pPr>
          </w:p>
          <w:p w14:paraId="6A831FED">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课程目标1</w:t>
            </w:r>
          </w:p>
        </w:tc>
      </w:tr>
      <w:tr w14:paraId="0039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302" w:type="dxa"/>
            <w:vAlign w:val="center"/>
          </w:tcPr>
          <w:p w14:paraId="3E4C3079">
            <w:pPr>
              <w:spacing w:line="276"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毕业要求2</w:t>
            </w:r>
          </w:p>
          <w:p w14:paraId="0BEC71A5">
            <w:pPr>
              <w:spacing w:line="276"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教育情怀</w:t>
            </w:r>
          </w:p>
          <w:p w14:paraId="08D078B3">
            <w:pPr>
              <w:spacing w:line="276" w:lineRule="auto"/>
              <w:jc w:val="center"/>
              <w:rPr>
                <w:rFonts w:ascii="Times New Roman" w:hAnsi="Times New Roman" w:eastAsia="宋体" w:cs="Times New Roman"/>
                <w:b/>
                <w:bCs/>
                <w:color w:val="auto"/>
                <w:szCs w:val="21"/>
              </w:rPr>
            </w:pPr>
          </w:p>
        </w:tc>
        <w:tc>
          <w:tcPr>
            <w:tcW w:w="6484" w:type="dxa"/>
            <w:vAlign w:val="center"/>
          </w:tcPr>
          <w:p w14:paraId="40B30F85">
            <w:pPr>
              <w:spacing w:line="276"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rPr>
              <w:t>指标点</w:t>
            </w:r>
            <w:r>
              <w:rPr>
                <w:rFonts w:hint="eastAsia" w:ascii="宋体" w:hAnsi="宋体" w:cs="宋体"/>
                <w:color w:val="auto"/>
                <w:sz w:val="20"/>
                <w:szCs w:val="20"/>
              </w:rPr>
              <w:t>2-1：</w:t>
            </w:r>
            <w:r>
              <w:rPr>
                <w:rFonts w:hint="eastAsia" w:ascii="宋体" w:hAnsi="宋体" w:eastAsia="宋体" w:cs="Times New Roman"/>
                <w:color w:val="auto"/>
                <w:szCs w:val="21"/>
              </w:rPr>
              <w:t>【职业认同感强】具有家国情怀，乐于从教，热爱教育事业，具有较高的教师职业认同感，认同教师职业的专业性与意义性。</w:t>
            </w:r>
          </w:p>
        </w:tc>
        <w:tc>
          <w:tcPr>
            <w:tcW w:w="1191" w:type="dxa"/>
            <w:vAlign w:val="center"/>
          </w:tcPr>
          <w:p w14:paraId="30672667">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课程目标2</w:t>
            </w:r>
          </w:p>
        </w:tc>
      </w:tr>
    </w:tbl>
    <w:p w14:paraId="2635F391">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7ECDDB37">
      <w:pPr>
        <w:spacing w:line="276"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领会教育对国家、民族与个人的意义，激发投身教育使命感，树立长期从教信念，融入教育强国梦，在实习里感悟教育魅力，增强职业认同与归属。在教育教学观摩和名师讲座中自觉树立文化自信和民族自豪感，了解中华文化的博大精深和独特魅力。</w:t>
      </w:r>
    </w:p>
    <w:p w14:paraId="3A5FB78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2"/>
          <w:szCs w:val="22"/>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1882"/>
        <w:gridCol w:w="1134"/>
        <w:gridCol w:w="3445"/>
        <w:gridCol w:w="1129"/>
        <w:gridCol w:w="684"/>
      </w:tblGrid>
      <w:tr w14:paraId="4E23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Align w:val="center"/>
          </w:tcPr>
          <w:p w14:paraId="05109B46">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69218F1D">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1882" w:type="dxa"/>
            <w:vAlign w:val="center"/>
          </w:tcPr>
          <w:p w14:paraId="477C3EB3">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134" w:type="dxa"/>
            <w:vAlign w:val="center"/>
          </w:tcPr>
          <w:p w14:paraId="047E39D7">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797D944A">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3445" w:type="dxa"/>
            <w:vAlign w:val="center"/>
          </w:tcPr>
          <w:p w14:paraId="61AEDB02">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129" w:type="dxa"/>
            <w:vAlign w:val="center"/>
          </w:tcPr>
          <w:p w14:paraId="0C14CCF2">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实现环节</w:t>
            </w:r>
          </w:p>
        </w:tc>
        <w:tc>
          <w:tcPr>
            <w:tcW w:w="684" w:type="dxa"/>
            <w:vAlign w:val="center"/>
          </w:tcPr>
          <w:p w14:paraId="15072500">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4041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Merge w:val="restart"/>
            <w:vAlign w:val="center"/>
          </w:tcPr>
          <w:p w14:paraId="37F2CEB2">
            <w:pPr>
              <w:spacing w:line="264" w:lineRule="auto"/>
              <w:rPr>
                <w:rFonts w:hint="eastAsia" w:ascii="宋体" w:hAnsi="宋体" w:eastAsia="宋体" w:cs="Times New Roman"/>
                <w:color w:val="auto"/>
                <w:szCs w:val="21"/>
              </w:rPr>
            </w:pPr>
            <w:r>
              <w:rPr>
                <w:rFonts w:hint="eastAsia" w:ascii="宋体" w:hAnsi="宋体" w:eastAsia="宋体" w:cs="宋体"/>
                <w:color w:val="auto"/>
                <w:kern w:val="0"/>
                <w:szCs w:val="21"/>
              </w:rPr>
              <w:t>小学教育教学观摩</w:t>
            </w:r>
          </w:p>
        </w:tc>
        <w:tc>
          <w:tcPr>
            <w:tcW w:w="1882" w:type="dxa"/>
            <w:vAlign w:val="center"/>
          </w:tcPr>
          <w:p w14:paraId="78F05C3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（1）课堂教学观摩</w:t>
            </w:r>
          </w:p>
          <w:p w14:paraId="380E130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（2）教育经典影视作品赏析</w:t>
            </w:r>
          </w:p>
        </w:tc>
        <w:tc>
          <w:tcPr>
            <w:tcW w:w="1134" w:type="dxa"/>
            <w:vAlign w:val="center"/>
          </w:tcPr>
          <w:p w14:paraId="0EFDC3C0">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3445" w:type="dxa"/>
            <w:vAlign w:val="center"/>
          </w:tcPr>
          <w:p w14:paraId="384B510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在课堂教学观摩中，深入理解小学教育教学的核心要素，明晰教师角色重要性，坚定从业信念；赏析教育经典影视作品时，感知教育多元呈现与深远影响，强化教育情怀。内化教育精神品质，将其转化为行动驱力，传承教育精神，并挖掘教育文化内涵，融入教学实践，推动文化传承与创新，为小学教育事业筑牢根基。</w:t>
            </w:r>
          </w:p>
        </w:tc>
        <w:tc>
          <w:tcPr>
            <w:tcW w:w="1129" w:type="dxa"/>
            <w:vAlign w:val="center"/>
          </w:tcPr>
          <w:p w14:paraId="3C71315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案例分析</w:t>
            </w:r>
          </w:p>
          <w:p w14:paraId="5D7DE93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直观教学</w:t>
            </w:r>
          </w:p>
        </w:tc>
        <w:tc>
          <w:tcPr>
            <w:tcW w:w="684" w:type="dxa"/>
            <w:vAlign w:val="center"/>
          </w:tcPr>
          <w:p w14:paraId="42688EF7">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w:t>
            </w:r>
          </w:p>
        </w:tc>
      </w:tr>
      <w:tr w14:paraId="568C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Merge w:val="continue"/>
            <w:vAlign w:val="center"/>
          </w:tcPr>
          <w:p w14:paraId="27D0B2AC">
            <w:pPr>
              <w:spacing w:line="264" w:lineRule="auto"/>
              <w:jc w:val="center"/>
              <w:rPr>
                <w:rFonts w:hint="eastAsia" w:ascii="宋体" w:hAnsi="宋体" w:eastAsia="宋体" w:cs="Times New Roman"/>
                <w:color w:val="auto"/>
                <w:szCs w:val="21"/>
              </w:rPr>
            </w:pPr>
          </w:p>
        </w:tc>
        <w:tc>
          <w:tcPr>
            <w:tcW w:w="8274" w:type="dxa"/>
            <w:gridSpan w:val="5"/>
            <w:vAlign w:val="center"/>
          </w:tcPr>
          <w:p w14:paraId="0C633F9D">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借课堂观摩领会小学教育教学常规，坚定执教信念，明确使命担当；赏教育经典影视，梳理以生为本的教育观，形成立德树人的责任感。</w:t>
            </w:r>
          </w:p>
        </w:tc>
      </w:tr>
      <w:tr w14:paraId="3ED7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Merge w:val="restart"/>
            <w:vAlign w:val="center"/>
          </w:tcPr>
          <w:p w14:paraId="574108AD">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“三字一话”教学基本功训练</w:t>
            </w:r>
          </w:p>
        </w:tc>
        <w:tc>
          <w:tcPr>
            <w:tcW w:w="1882" w:type="dxa"/>
            <w:vAlign w:val="center"/>
          </w:tcPr>
          <w:p w14:paraId="74F6BA39">
            <w:pPr>
              <w:spacing w:line="269" w:lineRule="auto"/>
              <w:jc w:val="left"/>
              <w:rPr>
                <w:rFonts w:hint="eastAsia" w:ascii="宋体" w:hAnsi="宋体" w:eastAsia="宋体" w:cs="Times New Roman"/>
                <w:color w:val="auto"/>
                <w:szCs w:val="21"/>
              </w:rPr>
            </w:pPr>
          </w:p>
          <w:p w14:paraId="385313B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（1）粉笔字训练</w:t>
            </w:r>
          </w:p>
          <w:p w14:paraId="66275839">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（2）钢笔字训练</w:t>
            </w:r>
          </w:p>
          <w:p w14:paraId="0E70644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（3）主题演讲</w:t>
            </w:r>
          </w:p>
          <w:p w14:paraId="08C34B37">
            <w:pPr>
              <w:spacing w:line="269" w:lineRule="auto"/>
              <w:jc w:val="left"/>
              <w:rPr>
                <w:rFonts w:hint="eastAsia" w:ascii="宋体" w:hAnsi="宋体" w:eastAsia="宋体" w:cs="Times New Roman"/>
                <w:color w:val="auto"/>
                <w:szCs w:val="21"/>
              </w:rPr>
            </w:pPr>
          </w:p>
          <w:p w14:paraId="47292D89">
            <w:pPr>
              <w:spacing w:line="269" w:lineRule="auto"/>
              <w:jc w:val="left"/>
              <w:rPr>
                <w:rFonts w:hint="eastAsia" w:ascii="宋体" w:hAnsi="宋体" w:eastAsia="宋体" w:cs="Times New Roman"/>
                <w:color w:val="auto"/>
                <w:szCs w:val="21"/>
              </w:rPr>
            </w:pPr>
          </w:p>
        </w:tc>
        <w:tc>
          <w:tcPr>
            <w:tcW w:w="1134" w:type="dxa"/>
            <w:vAlign w:val="center"/>
          </w:tcPr>
          <w:p w14:paraId="11C4AF39">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3445" w:type="dxa"/>
            <w:vAlign w:val="center"/>
          </w:tcPr>
          <w:p w14:paraId="4182D80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通过粉笔字与钢笔字训练，学生能够熟练掌握汉字书写规范与技巧，粉笔字书写时笔画清晰、结构合理、板面布局美观，钢笔字则达到字体端正、书写流畅、富有美感的水平，显著提升教师基本功中的书写能力，为教学板书和书面交流奠定良好基础。而通过主题演讲训练，学生能够克服怯场心理，具备清晰的逻辑思维与出色的语言表达能力，能够以饱满的情感、恰当的语速语调，围绕教育相关主题展开有深度、有感染力的演讲，增强在教育教学中的沟通与引导能力。</w:t>
            </w:r>
          </w:p>
        </w:tc>
        <w:tc>
          <w:tcPr>
            <w:tcW w:w="1129" w:type="dxa"/>
            <w:vAlign w:val="center"/>
          </w:tcPr>
          <w:p w14:paraId="53A55DF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实践教学</w:t>
            </w:r>
          </w:p>
          <w:p w14:paraId="0A1321D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小组学习</w:t>
            </w:r>
          </w:p>
        </w:tc>
        <w:tc>
          <w:tcPr>
            <w:tcW w:w="684" w:type="dxa"/>
            <w:vAlign w:val="center"/>
          </w:tcPr>
          <w:p w14:paraId="1B058BF9">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w:t>
            </w:r>
          </w:p>
        </w:tc>
      </w:tr>
      <w:tr w14:paraId="654B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Merge w:val="continue"/>
            <w:vAlign w:val="center"/>
          </w:tcPr>
          <w:p w14:paraId="6E61EA00">
            <w:pPr>
              <w:spacing w:line="264" w:lineRule="auto"/>
              <w:jc w:val="center"/>
              <w:rPr>
                <w:rFonts w:hint="eastAsia" w:ascii="宋体" w:hAnsi="宋体" w:eastAsia="宋体" w:cs="Times New Roman"/>
                <w:color w:val="auto"/>
                <w:szCs w:val="21"/>
              </w:rPr>
            </w:pPr>
          </w:p>
        </w:tc>
        <w:tc>
          <w:tcPr>
            <w:tcW w:w="8274" w:type="dxa"/>
            <w:gridSpan w:val="5"/>
            <w:vAlign w:val="center"/>
          </w:tcPr>
          <w:p w14:paraId="3D5AF3E4">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通过钢笔字、粉笔字训练，培养严谨认真、专注执着的学习态度与审美情趣，使其领悟汉字书写背后的文化底蕴，传承中华书法文化。主题演讲中，引导学生树立正确价值观，以自信表达传播正能量，增强社会责任感与教育使命感，塑造积极向上的教育者形象。</w:t>
            </w:r>
          </w:p>
        </w:tc>
      </w:tr>
      <w:tr w14:paraId="259F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Merge w:val="restart"/>
            <w:vAlign w:val="center"/>
          </w:tcPr>
          <w:p w14:paraId="152CAA97">
            <w:pPr>
              <w:spacing w:line="264" w:lineRule="auto"/>
              <w:rPr>
                <w:rFonts w:hint="eastAsia" w:ascii="宋体" w:hAnsi="宋体" w:eastAsia="宋体" w:cs="Times New Roman"/>
                <w:color w:val="auto"/>
                <w:szCs w:val="21"/>
              </w:rPr>
            </w:pPr>
            <w:r>
              <w:rPr>
                <w:rFonts w:hint="eastAsia" w:ascii="宋体" w:hAnsi="宋体" w:eastAsia="宋体" w:cs="Times New Roman"/>
                <w:color w:val="auto"/>
                <w:szCs w:val="21"/>
              </w:rPr>
              <w:t>名师专题讲座</w:t>
            </w:r>
          </w:p>
        </w:tc>
        <w:tc>
          <w:tcPr>
            <w:tcW w:w="1882" w:type="dxa"/>
            <w:vAlign w:val="center"/>
          </w:tcPr>
          <w:p w14:paraId="6D990FE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（1）教育观主题</w:t>
            </w:r>
          </w:p>
          <w:p w14:paraId="240357A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（2）教师职业主题</w:t>
            </w:r>
          </w:p>
          <w:p w14:paraId="2F474404">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（3）教育强国主题</w:t>
            </w:r>
          </w:p>
        </w:tc>
        <w:tc>
          <w:tcPr>
            <w:tcW w:w="1134" w:type="dxa"/>
            <w:vAlign w:val="center"/>
          </w:tcPr>
          <w:p w14:paraId="5C0921D2">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3445" w:type="dxa"/>
            <w:vAlign w:val="center"/>
          </w:tcPr>
          <w:p w14:paraId="6563635B">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在名师专题讲座中，学生能深刻理解并形成科学全面的教育观，明晰教师角色定位与职业道德要求，树立敬业爱生、奉献担当的职业精神，提升职业认同感与归属感。可洞察教育在国家发展战略中的核心地位，激发为教育事业拼搏的热情，积极探索创新教育模式与方法，以助力国家教育现代化进程，为培养德智体美劳全面发展的时代新人而努力。</w:t>
            </w:r>
          </w:p>
        </w:tc>
        <w:tc>
          <w:tcPr>
            <w:tcW w:w="1129" w:type="dxa"/>
            <w:vAlign w:val="center"/>
          </w:tcPr>
          <w:p w14:paraId="30E793B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实践教学</w:t>
            </w:r>
          </w:p>
        </w:tc>
        <w:tc>
          <w:tcPr>
            <w:tcW w:w="684" w:type="dxa"/>
            <w:vAlign w:val="center"/>
          </w:tcPr>
          <w:p w14:paraId="3F1BB943">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w:t>
            </w:r>
          </w:p>
        </w:tc>
      </w:tr>
      <w:tr w14:paraId="7AD8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Merge w:val="continue"/>
            <w:vAlign w:val="center"/>
          </w:tcPr>
          <w:p w14:paraId="65815544">
            <w:pPr>
              <w:spacing w:line="264" w:lineRule="auto"/>
              <w:jc w:val="center"/>
              <w:rPr>
                <w:rFonts w:hint="eastAsia" w:ascii="宋体" w:hAnsi="宋体" w:eastAsia="宋体" w:cs="Times New Roman"/>
                <w:color w:val="auto"/>
                <w:szCs w:val="21"/>
              </w:rPr>
            </w:pPr>
          </w:p>
        </w:tc>
        <w:tc>
          <w:tcPr>
            <w:tcW w:w="8274" w:type="dxa"/>
            <w:gridSpan w:val="5"/>
            <w:vAlign w:val="center"/>
          </w:tcPr>
          <w:p w14:paraId="2DB1034C">
            <w:pPr>
              <w:spacing w:line="269"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 xml:space="preserve"> 通过教育观主题学习，引导学生树立以人为本、全面发展的教育理念，厚植教育情怀。教师职业主题助力学生形成高尚师德与职业操守，增强使命感。教育强国主题则激发学生爱国情与报国志，使其明白教育担当，为教育强国梦努力奋进。</w:t>
            </w:r>
          </w:p>
        </w:tc>
      </w:tr>
    </w:tbl>
    <w:p w14:paraId="2FB6BDBE">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2"/>
          <w:szCs w:val="22"/>
        </w:rPr>
        <w:t>四、目标评价与成绩评定</w:t>
      </w:r>
    </w:p>
    <w:p w14:paraId="1099F7E5">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7DC7C5CF">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764"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1323"/>
        <w:gridCol w:w="984"/>
        <w:gridCol w:w="944"/>
        <w:gridCol w:w="1215"/>
        <w:gridCol w:w="1104"/>
        <w:gridCol w:w="1356"/>
        <w:gridCol w:w="649"/>
      </w:tblGrid>
      <w:tr w14:paraId="07D8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restart"/>
            <w:vAlign w:val="center"/>
          </w:tcPr>
          <w:p w14:paraId="653442A4">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w:t>
            </w:r>
          </w:p>
        </w:tc>
        <w:tc>
          <w:tcPr>
            <w:tcW w:w="6926" w:type="dxa"/>
            <w:gridSpan w:val="6"/>
            <w:vAlign w:val="center"/>
          </w:tcPr>
          <w:p w14:paraId="20ED726F">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评价与成绩评定方法</w:t>
            </w:r>
          </w:p>
        </w:tc>
        <w:tc>
          <w:tcPr>
            <w:tcW w:w="649" w:type="dxa"/>
            <w:vMerge w:val="restart"/>
            <w:vAlign w:val="center"/>
          </w:tcPr>
          <w:p w14:paraId="504BD288">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分值</w:t>
            </w:r>
          </w:p>
        </w:tc>
      </w:tr>
      <w:tr w14:paraId="599D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vAlign w:val="center"/>
          </w:tcPr>
          <w:p w14:paraId="199EE680">
            <w:pPr>
              <w:spacing w:line="240" w:lineRule="auto"/>
              <w:jc w:val="center"/>
              <w:rPr>
                <w:rFonts w:hint="eastAsia" w:ascii="宋体" w:hAnsi="宋体" w:eastAsia="宋体" w:cs="Times New Roman"/>
                <w:color w:val="auto"/>
                <w:sz w:val="21"/>
                <w:szCs w:val="21"/>
              </w:rPr>
            </w:pPr>
          </w:p>
        </w:tc>
        <w:tc>
          <w:tcPr>
            <w:tcW w:w="1323" w:type="dxa"/>
            <w:vAlign w:val="center"/>
          </w:tcPr>
          <w:p w14:paraId="7FFD754B">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教育类视频观看心得</w:t>
            </w:r>
          </w:p>
        </w:tc>
        <w:tc>
          <w:tcPr>
            <w:tcW w:w="984" w:type="dxa"/>
            <w:vAlign w:val="center"/>
          </w:tcPr>
          <w:p w14:paraId="3989B250">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钢笔字</w:t>
            </w:r>
          </w:p>
          <w:p w14:paraId="728A6879">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书写</w:t>
            </w:r>
          </w:p>
        </w:tc>
        <w:tc>
          <w:tcPr>
            <w:tcW w:w="944" w:type="dxa"/>
            <w:vAlign w:val="center"/>
          </w:tcPr>
          <w:p w14:paraId="42D6D9C0">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粉笔字</w:t>
            </w:r>
          </w:p>
          <w:p w14:paraId="476C74E3">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书写</w:t>
            </w:r>
          </w:p>
        </w:tc>
        <w:tc>
          <w:tcPr>
            <w:tcW w:w="1215" w:type="dxa"/>
            <w:vAlign w:val="center"/>
          </w:tcPr>
          <w:p w14:paraId="26CD1603">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主题演讲提纲</w:t>
            </w:r>
          </w:p>
        </w:tc>
        <w:tc>
          <w:tcPr>
            <w:tcW w:w="1104" w:type="dxa"/>
            <w:vAlign w:val="center"/>
          </w:tcPr>
          <w:p w14:paraId="24D239FF">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名师专题讲座记录</w:t>
            </w:r>
          </w:p>
        </w:tc>
        <w:tc>
          <w:tcPr>
            <w:tcW w:w="1356" w:type="dxa"/>
            <w:vAlign w:val="center"/>
          </w:tcPr>
          <w:p w14:paraId="3007BB5D">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认知实习日记和总结</w:t>
            </w:r>
          </w:p>
        </w:tc>
        <w:tc>
          <w:tcPr>
            <w:tcW w:w="649" w:type="dxa"/>
            <w:vMerge w:val="continue"/>
            <w:vAlign w:val="center"/>
          </w:tcPr>
          <w:p w14:paraId="33AB9C74">
            <w:pPr>
              <w:spacing w:line="240" w:lineRule="auto"/>
              <w:jc w:val="center"/>
              <w:rPr>
                <w:rFonts w:hint="eastAsia" w:ascii="宋体" w:hAnsi="宋体" w:eastAsia="宋体" w:cs="Times New Roman"/>
                <w:color w:val="auto"/>
                <w:sz w:val="21"/>
                <w:szCs w:val="21"/>
              </w:rPr>
            </w:pPr>
          </w:p>
        </w:tc>
      </w:tr>
      <w:tr w14:paraId="79E7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89" w:type="dxa"/>
            <w:vAlign w:val="center"/>
          </w:tcPr>
          <w:p w14:paraId="16EB1B9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w:t>
            </w:r>
          </w:p>
        </w:tc>
        <w:tc>
          <w:tcPr>
            <w:tcW w:w="1323" w:type="dxa"/>
            <w:vAlign w:val="center"/>
          </w:tcPr>
          <w:p w14:paraId="548F0A7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r>
              <w:rPr>
                <w:rFonts w:ascii="Arial" w:hAnsi="Arial" w:eastAsia="宋体" w:cs="Arial"/>
                <w:color w:val="auto"/>
                <w:sz w:val="21"/>
                <w:szCs w:val="21"/>
              </w:rPr>
              <w:t>√</w:t>
            </w:r>
          </w:p>
        </w:tc>
        <w:tc>
          <w:tcPr>
            <w:tcW w:w="984" w:type="dxa"/>
            <w:vAlign w:val="center"/>
          </w:tcPr>
          <w:p w14:paraId="0E92169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p>
        </w:tc>
        <w:tc>
          <w:tcPr>
            <w:tcW w:w="944" w:type="dxa"/>
            <w:vAlign w:val="center"/>
          </w:tcPr>
          <w:p w14:paraId="15791C5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p>
        </w:tc>
        <w:tc>
          <w:tcPr>
            <w:tcW w:w="1215" w:type="dxa"/>
            <w:vAlign w:val="center"/>
          </w:tcPr>
          <w:p w14:paraId="623FD5C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p>
        </w:tc>
        <w:tc>
          <w:tcPr>
            <w:tcW w:w="1104" w:type="dxa"/>
            <w:vAlign w:val="center"/>
          </w:tcPr>
          <w:p w14:paraId="45F9B77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p>
        </w:tc>
        <w:tc>
          <w:tcPr>
            <w:tcW w:w="1356" w:type="dxa"/>
            <w:vAlign w:val="center"/>
          </w:tcPr>
          <w:p w14:paraId="17FF5D1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r>
              <w:rPr>
                <w:rFonts w:ascii="Arial" w:hAnsi="Arial" w:eastAsia="宋体" w:cs="Arial"/>
                <w:color w:val="auto"/>
                <w:sz w:val="21"/>
                <w:szCs w:val="21"/>
              </w:rPr>
              <w:t>√</w:t>
            </w:r>
          </w:p>
        </w:tc>
        <w:tc>
          <w:tcPr>
            <w:tcW w:w="649" w:type="dxa"/>
            <w:vAlign w:val="center"/>
          </w:tcPr>
          <w:p w14:paraId="3AA2280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kern w:val="0"/>
                <w:sz w:val="21"/>
                <w:szCs w:val="21"/>
              </w:rPr>
              <w:t>30%</w:t>
            </w:r>
          </w:p>
        </w:tc>
      </w:tr>
      <w:tr w14:paraId="7BEC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Align w:val="center"/>
          </w:tcPr>
          <w:p w14:paraId="3448F32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课程目标2</w:t>
            </w:r>
          </w:p>
        </w:tc>
        <w:tc>
          <w:tcPr>
            <w:tcW w:w="1323" w:type="dxa"/>
            <w:vAlign w:val="center"/>
          </w:tcPr>
          <w:p w14:paraId="6DA623D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p>
        </w:tc>
        <w:tc>
          <w:tcPr>
            <w:tcW w:w="984" w:type="dxa"/>
            <w:vAlign w:val="center"/>
          </w:tcPr>
          <w:p w14:paraId="19B90FA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r>
              <w:rPr>
                <w:rFonts w:ascii="Arial" w:hAnsi="Arial" w:eastAsia="宋体" w:cs="Arial"/>
                <w:color w:val="auto"/>
                <w:sz w:val="21"/>
                <w:szCs w:val="21"/>
              </w:rPr>
              <w:t>√</w:t>
            </w:r>
          </w:p>
        </w:tc>
        <w:tc>
          <w:tcPr>
            <w:tcW w:w="944" w:type="dxa"/>
            <w:vAlign w:val="center"/>
          </w:tcPr>
          <w:p w14:paraId="6B9A1D8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r>
              <w:rPr>
                <w:rFonts w:ascii="Arial" w:hAnsi="Arial" w:eastAsia="宋体" w:cs="Arial"/>
                <w:color w:val="auto"/>
                <w:sz w:val="21"/>
                <w:szCs w:val="21"/>
              </w:rPr>
              <w:t>√</w:t>
            </w:r>
          </w:p>
        </w:tc>
        <w:tc>
          <w:tcPr>
            <w:tcW w:w="1215" w:type="dxa"/>
            <w:vAlign w:val="center"/>
          </w:tcPr>
          <w:p w14:paraId="126CD10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r>
              <w:rPr>
                <w:rFonts w:ascii="Arial" w:hAnsi="Arial" w:eastAsia="宋体" w:cs="Arial"/>
                <w:color w:val="auto"/>
                <w:sz w:val="21"/>
                <w:szCs w:val="21"/>
              </w:rPr>
              <w:t>√</w:t>
            </w:r>
          </w:p>
        </w:tc>
        <w:tc>
          <w:tcPr>
            <w:tcW w:w="1104" w:type="dxa"/>
            <w:vAlign w:val="center"/>
          </w:tcPr>
          <w:p w14:paraId="739B46D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p>
        </w:tc>
        <w:tc>
          <w:tcPr>
            <w:tcW w:w="1356" w:type="dxa"/>
            <w:vAlign w:val="center"/>
          </w:tcPr>
          <w:p w14:paraId="26F89AE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r>
              <w:rPr>
                <w:rFonts w:ascii="Arial" w:hAnsi="Arial" w:eastAsia="宋体" w:cs="Arial"/>
                <w:color w:val="auto"/>
                <w:sz w:val="21"/>
                <w:szCs w:val="21"/>
              </w:rPr>
              <w:t>√</w:t>
            </w:r>
          </w:p>
        </w:tc>
        <w:tc>
          <w:tcPr>
            <w:tcW w:w="649" w:type="dxa"/>
            <w:vAlign w:val="center"/>
          </w:tcPr>
          <w:p w14:paraId="2A5AE41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kern w:val="0"/>
                <w:sz w:val="21"/>
                <w:szCs w:val="21"/>
              </w:rPr>
              <w:t>40%</w:t>
            </w:r>
          </w:p>
        </w:tc>
      </w:tr>
      <w:tr w14:paraId="17F0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Align w:val="center"/>
          </w:tcPr>
          <w:p w14:paraId="4BBAE34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课程目标3</w:t>
            </w:r>
          </w:p>
        </w:tc>
        <w:tc>
          <w:tcPr>
            <w:tcW w:w="1323" w:type="dxa"/>
            <w:vAlign w:val="center"/>
          </w:tcPr>
          <w:p w14:paraId="5BACF2B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p>
        </w:tc>
        <w:tc>
          <w:tcPr>
            <w:tcW w:w="984" w:type="dxa"/>
            <w:vAlign w:val="center"/>
          </w:tcPr>
          <w:p w14:paraId="14E8B9A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p>
        </w:tc>
        <w:tc>
          <w:tcPr>
            <w:tcW w:w="944" w:type="dxa"/>
            <w:vAlign w:val="center"/>
          </w:tcPr>
          <w:p w14:paraId="3F277E6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p>
        </w:tc>
        <w:tc>
          <w:tcPr>
            <w:tcW w:w="1215" w:type="dxa"/>
            <w:vAlign w:val="center"/>
          </w:tcPr>
          <w:p w14:paraId="692938D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p>
        </w:tc>
        <w:tc>
          <w:tcPr>
            <w:tcW w:w="1104" w:type="dxa"/>
            <w:vAlign w:val="center"/>
          </w:tcPr>
          <w:p w14:paraId="6D7680D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r>
              <w:rPr>
                <w:rFonts w:ascii="Arial" w:hAnsi="Arial" w:eastAsia="宋体" w:cs="Arial"/>
                <w:color w:val="auto"/>
                <w:sz w:val="21"/>
                <w:szCs w:val="21"/>
              </w:rPr>
              <w:t>√</w:t>
            </w:r>
          </w:p>
        </w:tc>
        <w:tc>
          <w:tcPr>
            <w:tcW w:w="1356" w:type="dxa"/>
            <w:vAlign w:val="center"/>
          </w:tcPr>
          <w:p w14:paraId="763AD30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r>
              <w:rPr>
                <w:rFonts w:ascii="Arial" w:hAnsi="Arial" w:eastAsia="宋体" w:cs="Arial"/>
                <w:color w:val="auto"/>
                <w:sz w:val="21"/>
                <w:szCs w:val="21"/>
              </w:rPr>
              <w:t>√</w:t>
            </w:r>
          </w:p>
        </w:tc>
        <w:tc>
          <w:tcPr>
            <w:tcW w:w="649" w:type="dxa"/>
            <w:vAlign w:val="center"/>
          </w:tcPr>
          <w:p w14:paraId="49BDF86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kern w:val="0"/>
                <w:sz w:val="21"/>
                <w:szCs w:val="21"/>
              </w:rPr>
              <w:t>30%</w:t>
            </w:r>
          </w:p>
        </w:tc>
      </w:tr>
      <w:tr w14:paraId="3060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Align w:val="center"/>
          </w:tcPr>
          <w:p w14:paraId="76257A0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合计</w:t>
            </w:r>
          </w:p>
        </w:tc>
        <w:tc>
          <w:tcPr>
            <w:tcW w:w="1323" w:type="dxa"/>
            <w:vAlign w:val="center"/>
          </w:tcPr>
          <w:p w14:paraId="16C8254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p>
        </w:tc>
        <w:tc>
          <w:tcPr>
            <w:tcW w:w="984" w:type="dxa"/>
            <w:vAlign w:val="center"/>
          </w:tcPr>
          <w:p w14:paraId="174C006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p>
        </w:tc>
        <w:tc>
          <w:tcPr>
            <w:tcW w:w="944" w:type="dxa"/>
            <w:vAlign w:val="center"/>
          </w:tcPr>
          <w:p w14:paraId="59B8F5F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p>
        </w:tc>
        <w:tc>
          <w:tcPr>
            <w:tcW w:w="1215" w:type="dxa"/>
            <w:vAlign w:val="center"/>
          </w:tcPr>
          <w:p w14:paraId="27C0F08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p>
        </w:tc>
        <w:tc>
          <w:tcPr>
            <w:tcW w:w="1104" w:type="dxa"/>
            <w:vAlign w:val="center"/>
          </w:tcPr>
          <w:p w14:paraId="2FD939A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p>
        </w:tc>
        <w:tc>
          <w:tcPr>
            <w:tcW w:w="1356" w:type="dxa"/>
            <w:vAlign w:val="center"/>
          </w:tcPr>
          <w:p w14:paraId="3B865D4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p>
        </w:tc>
        <w:tc>
          <w:tcPr>
            <w:tcW w:w="649" w:type="dxa"/>
            <w:vAlign w:val="center"/>
          </w:tcPr>
          <w:p w14:paraId="2CB4D51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100</w:t>
            </w:r>
          </w:p>
        </w:tc>
      </w:tr>
    </w:tbl>
    <w:p w14:paraId="0777F3B8">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1FCD8993">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6608"/>
        <w:gridCol w:w="706"/>
      </w:tblGrid>
      <w:tr w14:paraId="7E32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0FFB5DB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608" w:type="dxa"/>
            <w:vAlign w:val="center"/>
          </w:tcPr>
          <w:p w14:paraId="3947641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02D69C33">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2F841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0344ED89">
            <w:pPr>
              <w:spacing w:line="264"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观看教育类视频</w:t>
            </w:r>
          </w:p>
        </w:tc>
        <w:tc>
          <w:tcPr>
            <w:tcW w:w="6608" w:type="dxa"/>
            <w:vAlign w:val="center"/>
          </w:tcPr>
          <w:p w14:paraId="065963FC">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1.理解深度：能够准确理解视频资源所传达的教育理念、教学方法等核心内容，并进行深入分析。</w:t>
            </w:r>
          </w:p>
          <w:p w14:paraId="2E5D6B67">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2.结合实际：心得紧密结合自身认知实习经历或未来教育教学实践，阐述视频内容对自身的启发与应用价值。</w:t>
            </w:r>
          </w:p>
          <w:p w14:paraId="50EE295F">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3.思考与感悟：有独立的思考与感悟，能够对视频中的观点提出自己的见解或疑问，并进行一定的反思。</w:t>
            </w:r>
          </w:p>
          <w:p w14:paraId="5BB5FFBC">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4.文字表达：语言通顺、表达清晰，无明显语病和错别字。</w:t>
            </w:r>
          </w:p>
        </w:tc>
        <w:tc>
          <w:tcPr>
            <w:tcW w:w="0" w:type="auto"/>
            <w:vAlign w:val="center"/>
          </w:tcPr>
          <w:p w14:paraId="7020A5C3">
            <w:pPr>
              <w:jc w:val="center"/>
              <w:rPr>
                <w:rFonts w:ascii="Times New Roman" w:hAnsi="Times New Roman" w:eastAsia="宋体" w:cs="Times New Roman"/>
                <w:color w:val="auto"/>
                <w:szCs w:val="21"/>
              </w:rPr>
            </w:pPr>
            <w:r>
              <w:rPr>
                <w:rFonts w:hint="eastAsia" w:ascii="宋体" w:hAnsi="宋体" w:eastAsia="宋体" w:cs="Times New Roman"/>
                <w:color w:val="auto"/>
                <w:sz w:val="24"/>
              </w:rPr>
              <w:t>10%</w:t>
            </w:r>
          </w:p>
        </w:tc>
      </w:tr>
      <w:tr w14:paraId="7CA7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0CB065C1">
            <w:pPr>
              <w:spacing w:line="264"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钢笔字</w:t>
            </w:r>
          </w:p>
          <w:p w14:paraId="7A149359">
            <w:pPr>
              <w:spacing w:line="264"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书写</w:t>
            </w:r>
          </w:p>
        </w:tc>
        <w:tc>
          <w:tcPr>
            <w:tcW w:w="6608" w:type="dxa"/>
            <w:vAlign w:val="center"/>
          </w:tcPr>
          <w:p w14:paraId="0265A809">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1.书写规范：笔画清晰、笔顺正确，字体结构合理，无错别字、潦草字。符合汉字书写规范要求。</w:t>
            </w:r>
          </w:p>
          <w:p w14:paraId="10EC0790">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2.整体美观：行列整齐，字间距、行间距适中，页面整洁，整体视觉效果舒适。</w:t>
            </w:r>
          </w:p>
          <w:p w14:paraId="49EACBD2">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3.书写速度：在规定时间内完成规定字数，书写速度适中，不影响书写质量。</w:t>
            </w:r>
          </w:p>
          <w:p w14:paraId="4F9A2416">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4.书写风格：字体风格统一，有一定的个性与艺术性，能够展现对书法美感的基本把握。</w:t>
            </w:r>
          </w:p>
        </w:tc>
        <w:tc>
          <w:tcPr>
            <w:tcW w:w="0" w:type="auto"/>
            <w:vAlign w:val="center"/>
          </w:tcPr>
          <w:p w14:paraId="67672FF0">
            <w:pPr>
              <w:jc w:val="center"/>
              <w:rPr>
                <w:rFonts w:ascii="Times New Roman" w:hAnsi="Times New Roman" w:eastAsia="宋体" w:cs="Times New Roman"/>
                <w:color w:val="auto"/>
                <w:szCs w:val="21"/>
              </w:rPr>
            </w:pPr>
            <w:r>
              <w:rPr>
                <w:rFonts w:hint="eastAsia" w:ascii="宋体" w:hAnsi="宋体" w:eastAsia="宋体" w:cs="Times New Roman"/>
                <w:color w:val="auto"/>
                <w:sz w:val="24"/>
              </w:rPr>
              <w:t>20</w:t>
            </w:r>
            <w:r>
              <w:rPr>
                <w:rFonts w:ascii="宋体" w:hAnsi="宋体" w:eastAsia="宋体" w:cs="Times New Roman"/>
                <w:color w:val="auto"/>
                <w:sz w:val="24"/>
              </w:rPr>
              <w:t>%</w:t>
            </w:r>
          </w:p>
        </w:tc>
      </w:tr>
      <w:tr w14:paraId="2D4E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45C4A380">
            <w:pPr>
              <w:spacing w:line="264"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粉笔字</w:t>
            </w:r>
          </w:p>
          <w:p w14:paraId="2E2F9C8C">
            <w:pPr>
              <w:spacing w:line="264"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书写</w:t>
            </w:r>
          </w:p>
        </w:tc>
        <w:tc>
          <w:tcPr>
            <w:tcW w:w="6608" w:type="dxa"/>
            <w:vAlign w:val="center"/>
          </w:tcPr>
          <w:p w14:paraId="73956A11">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1.笔画与结构：粉笔字笔画起止分明、粗细得当，在黑板上能够清晰呈现。字体结构严谨、重心平稳，每个字的间架结构合理。</w:t>
            </w:r>
          </w:p>
          <w:p w14:paraId="46130BC1">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2.书写力度与流畅性： 书写时力度均匀，线条流畅自然，无明显断点或颤抖痕迹。</w:t>
            </w:r>
          </w:p>
          <w:p w14:paraId="63B6D56F">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3.板面布局：在黑板规定区域内书写，排版整齐，字的大小适中、行列整齐。</w:t>
            </w:r>
          </w:p>
          <w:p w14:paraId="7826F9DC">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4.书写熟练程度：能够较为熟练地在黑板上书写，无需频繁停顿思考笔画或结构。</w:t>
            </w:r>
          </w:p>
        </w:tc>
        <w:tc>
          <w:tcPr>
            <w:tcW w:w="0" w:type="auto"/>
            <w:vAlign w:val="center"/>
          </w:tcPr>
          <w:p w14:paraId="0A4C5467">
            <w:pPr>
              <w:jc w:val="center"/>
              <w:rPr>
                <w:rFonts w:ascii="Times New Roman" w:hAnsi="Times New Roman" w:eastAsia="宋体" w:cs="Times New Roman"/>
                <w:color w:val="auto"/>
                <w:szCs w:val="21"/>
              </w:rPr>
            </w:pPr>
            <w:r>
              <w:rPr>
                <w:rFonts w:hint="eastAsia" w:ascii="宋体" w:hAnsi="宋体" w:eastAsia="宋体" w:cs="Times New Roman"/>
                <w:color w:val="auto"/>
                <w:sz w:val="24"/>
              </w:rPr>
              <w:t>20</w:t>
            </w:r>
            <w:r>
              <w:rPr>
                <w:rFonts w:ascii="宋体" w:hAnsi="宋体" w:eastAsia="宋体" w:cs="Times New Roman"/>
                <w:color w:val="auto"/>
                <w:sz w:val="24"/>
              </w:rPr>
              <w:t>%</w:t>
            </w:r>
          </w:p>
        </w:tc>
      </w:tr>
      <w:tr w14:paraId="05E4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3C853AF4">
            <w:pPr>
              <w:spacing w:line="264"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主题演讲</w:t>
            </w:r>
          </w:p>
        </w:tc>
        <w:tc>
          <w:tcPr>
            <w:tcW w:w="6608" w:type="dxa"/>
            <w:vAlign w:val="center"/>
          </w:tcPr>
          <w:p w14:paraId="5E336434">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1.主题明确：演讲主题清晰突出，能够准确概括演讲核心内容，不偏离教育相关主题范围。</w:t>
            </w:r>
          </w:p>
          <w:p w14:paraId="7497F641">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2.逻辑结构：提纲具有清晰的逻辑层次，开场、主体内容和结尾各部分衔接自然，论点与论据合理搭配，能够有条理地展开论述。</w:t>
            </w:r>
          </w:p>
          <w:p w14:paraId="04CF13E1">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3.内容完整性：涵盖演讲所需的关键要素，如主要观点、支撑事例、数据等，内容丰富完整，能够支撑起整个演讲的架构。</w:t>
            </w:r>
          </w:p>
          <w:p w14:paraId="173A4062">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4.创新性： 在观点或论述方式上有一定的创新性，能够展现对主题独特的思考与见解。</w:t>
            </w:r>
          </w:p>
        </w:tc>
        <w:tc>
          <w:tcPr>
            <w:tcW w:w="0" w:type="auto"/>
            <w:vAlign w:val="center"/>
          </w:tcPr>
          <w:p w14:paraId="30C4B86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r>
      <w:tr w14:paraId="709A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20EE3E6B">
            <w:pPr>
              <w:spacing w:line="264"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专题讲座笔记</w:t>
            </w:r>
          </w:p>
        </w:tc>
        <w:tc>
          <w:tcPr>
            <w:tcW w:w="6608" w:type="dxa"/>
            <w:vAlign w:val="center"/>
          </w:tcPr>
          <w:p w14:paraId="6EDD54C7">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讲座笔记记录完整、层次清晰、页面整洁、有反思或心得。</w:t>
            </w:r>
          </w:p>
        </w:tc>
        <w:tc>
          <w:tcPr>
            <w:tcW w:w="0" w:type="auto"/>
            <w:vAlign w:val="center"/>
          </w:tcPr>
          <w:p w14:paraId="3C0A4231">
            <w:pPr>
              <w:jc w:val="center"/>
              <w:rPr>
                <w:rFonts w:ascii="Times New Roman" w:hAnsi="Times New Roman" w:eastAsia="宋体" w:cs="Times New Roman"/>
                <w:color w:val="auto"/>
                <w:szCs w:val="21"/>
              </w:rPr>
            </w:pPr>
            <w:r>
              <w:rPr>
                <w:rFonts w:hint="eastAsia" w:ascii="宋体" w:hAnsi="宋体" w:eastAsia="宋体" w:cs="Times New Roman"/>
                <w:color w:val="auto"/>
                <w:sz w:val="24"/>
              </w:rPr>
              <w:t>15</w:t>
            </w:r>
            <w:r>
              <w:rPr>
                <w:rFonts w:ascii="宋体" w:hAnsi="宋体" w:eastAsia="宋体" w:cs="Times New Roman"/>
                <w:color w:val="auto"/>
                <w:sz w:val="24"/>
              </w:rPr>
              <w:t>%</w:t>
            </w:r>
          </w:p>
        </w:tc>
      </w:tr>
      <w:tr w14:paraId="00B7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63052138">
            <w:pPr>
              <w:spacing w:line="264"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认知实习日记和总结</w:t>
            </w:r>
          </w:p>
        </w:tc>
        <w:tc>
          <w:tcPr>
            <w:tcW w:w="6608" w:type="dxa"/>
            <w:vAlign w:val="center"/>
          </w:tcPr>
          <w:p w14:paraId="56D83D48">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1.记录完整性：每天如实记录实习过程中的重要事件、活动、观察与思考，内容完整无明显遗漏。</w:t>
            </w:r>
          </w:p>
          <w:p w14:paraId="40B3C820">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2.细节与感悟：对实习细节有详细描述，包括实习场景、人物互动等，并能在记录过程中融入自己的感悟、收获与疑问，展现出对实习经历的深度体验与思考。</w:t>
            </w:r>
          </w:p>
          <w:p w14:paraId="4C114CB7">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3.书写规范：文字书写规范、工整，格式统一。</w:t>
            </w:r>
          </w:p>
          <w:p w14:paraId="4EB8E132">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4.全面性：总结涵盖整个认知实习过程的各个方面，包括实习内容、收获体会、自我反思以及对未来学习和职业发展的影响等，内容全面系统。</w:t>
            </w:r>
          </w:p>
          <w:p w14:paraId="25A41767">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5.语言表达：语言流畅、条理清晰，能够准确传达总结意图，无明显语病和错别字。</w:t>
            </w:r>
          </w:p>
        </w:tc>
        <w:tc>
          <w:tcPr>
            <w:tcW w:w="0" w:type="auto"/>
            <w:vAlign w:val="center"/>
          </w:tcPr>
          <w:p w14:paraId="232294E6">
            <w:pPr>
              <w:jc w:val="center"/>
              <w:rPr>
                <w:rFonts w:ascii="Times New Roman" w:hAnsi="Times New Roman" w:eastAsia="宋体" w:cs="Times New Roman"/>
                <w:color w:val="auto"/>
                <w:szCs w:val="21"/>
              </w:rPr>
            </w:pPr>
            <w:r>
              <w:rPr>
                <w:rFonts w:hint="eastAsia" w:ascii="宋体" w:hAnsi="宋体" w:eastAsia="宋体" w:cs="Times New Roman"/>
                <w:color w:val="auto"/>
                <w:sz w:val="24"/>
              </w:rPr>
              <w:t>15%</w:t>
            </w:r>
          </w:p>
        </w:tc>
      </w:tr>
      <w:tr w14:paraId="43C0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08" w:type="dxa"/>
            <w:vAlign w:val="center"/>
          </w:tcPr>
          <w:p w14:paraId="0827731D">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6608" w:type="dxa"/>
            <w:vAlign w:val="center"/>
          </w:tcPr>
          <w:p w14:paraId="6C77C752">
            <w:pPr>
              <w:jc w:val="left"/>
              <w:rPr>
                <w:rFonts w:ascii="Times New Roman" w:hAnsi="Times New Roman" w:eastAsia="宋体" w:cs="Times New Roman"/>
                <w:color w:val="auto"/>
                <w:szCs w:val="21"/>
              </w:rPr>
            </w:pPr>
          </w:p>
        </w:tc>
        <w:tc>
          <w:tcPr>
            <w:tcW w:w="0" w:type="auto"/>
            <w:vAlign w:val="center"/>
          </w:tcPr>
          <w:p w14:paraId="4A268B7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3D90C12E">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754FD7A7">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0F84856B">
      <w:pPr>
        <w:spacing w:before="156" w:beforeLines="50" w:line="360" w:lineRule="auto"/>
        <w:ind w:firstLine="420" w:firstLineChars="200"/>
        <w:jc w:val="left"/>
        <w:rPr>
          <w:rFonts w:hint="eastAsia" w:ascii="Times New Roman" w:hAnsi="Times New Roman" w:eastAsia="宋体" w:cs="Times New Roman"/>
          <w:b/>
          <w:color w:val="auto"/>
          <w:sz w:val="22"/>
          <w:szCs w:val="22"/>
        </w:rPr>
      </w:pPr>
      <w:r>
        <w:rPr>
          <w:rFonts w:ascii="宋体" w:hAnsi="宋体" w:eastAsia="宋体" w:cs="Times New Roman"/>
          <w:color w:val="auto"/>
          <w:szCs w:val="21"/>
        </w:rPr>
        <w:object>
          <v:shape id="_x0000_i1080"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80" DrawAspect="Content" ObjectID="_1468075779" r:id="rId66">
            <o:LockedField>false</o:LockedField>
          </o:OLEObject>
        </w:object>
      </w:r>
      <w:r>
        <w:rPr>
          <w:rFonts w:hint="eastAsia" w:ascii="Times New Roman" w:hAnsi="Times New Roman" w:eastAsia="宋体" w:cs="Times New Roman"/>
          <w:b/>
          <w:color w:val="auto"/>
          <w:sz w:val="22"/>
          <w:szCs w:val="22"/>
        </w:rPr>
        <w:t>五、有关说明</w:t>
      </w:r>
    </w:p>
    <w:p w14:paraId="69FF228D">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7BDD5C67">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1. 提倡改革教学方法，强调应用现代化教学手段，如课件、互联网教学和网络答疑。</w:t>
      </w:r>
    </w:p>
    <w:p w14:paraId="762ECBCF">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2.</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合理安排课时，加强小组讨论等旨在督促学生自主学习的教学环节</w:t>
      </w:r>
      <w:r>
        <w:rPr>
          <w:rFonts w:hint="eastAsia" w:ascii="Times New Roman" w:hAnsi="Times New Roman" w:eastAsia="宋体" w:cs="Times New Roman"/>
          <w:color w:val="auto"/>
          <w:sz w:val="24"/>
        </w:rPr>
        <w:t>，完成理论学习。有条件情况下到小学</w:t>
      </w:r>
      <w:r>
        <w:rPr>
          <w:rFonts w:ascii="Times New Roman" w:hAnsi="Times New Roman" w:eastAsia="宋体" w:cs="Times New Roman"/>
          <w:color w:val="auto"/>
          <w:sz w:val="24"/>
        </w:rPr>
        <w:t>观摩语文教学</w:t>
      </w:r>
      <w:r>
        <w:rPr>
          <w:rFonts w:hint="eastAsia" w:ascii="Times New Roman" w:hAnsi="Times New Roman" w:eastAsia="宋体" w:cs="Times New Roman"/>
          <w:color w:val="auto"/>
          <w:sz w:val="24"/>
        </w:rPr>
        <w:t>，进行现场教学</w:t>
      </w:r>
      <w:r>
        <w:rPr>
          <w:rFonts w:ascii="Times New Roman" w:hAnsi="Times New Roman" w:eastAsia="宋体" w:cs="Times New Roman"/>
          <w:color w:val="auto"/>
          <w:sz w:val="24"/>
        </w:rPr>
        <w:t>。</w:t>
      </w:r>
    </w:p>
    <w:p w14:paraId="4B5B18DC">
      <w:pPr>
        <w:spacing w:line="360" w:lineRule="auto"/>
        <w:ind w:firstLine="480" w:firstLineChars="200"/>
        <w:rPr>
          <w:rFonts w:ascii="Times New Roman" w:hAnsi="Times New Roman" w:eastAsia="宋体" w:cs="Times New Roman"/>
          <w:b/>
          <w:color w:val="auto"/>
          <w:szCs w:val="21"/>
        </w:rPr>
      </w:pPr>
      <w:r>
        <w:rPr>
          <w:rFonts w:ascii="Times New Roman" w:hAnsi="Times New Roman" w:eastAsia="宋体" w:cs="Times New Roman"/>
          <w:color w:val="auto"/>
          <w:sz w:val="24"/>
        </w:rPr>
        <w:t>3．</w:t>
      </w:r>
      <w:r>
        <w:rPr>
          <w:rFonts w:hint="eastAsia" w:ascii="Times New Roman" w:hAnsi="Times New Roman" w:eastAsia="宋体" w:cs="Times New Roman"/>
          <w:color w:val="auto"/>
          <w:sz w:val="24"/>
        </w:rPr>
        <w:t>实习</w:t>
      </w:r>
      <w:r>
        <w:rPr>
          <w:rFonts w:ascii="Times New Roman" w:hAnsi="Times New Roman" w:eastAsia="宋体" w:cs="Times New Roman"/>
          <w:color w:val="auto"/>
          <w:sz w:val="24"/>
        </w:rPr>
        <w:t>内容密切联系</w:t>
      </w:r>
      <w:r>
        <w:rPr>
          <w:rFonts w:hint="eastAsia" w:ascii="Times New Roman" w:hAnsi="Times New Roman" w:eastAsia="宋体" w:cs="Times New Roman"/>
          <w:color w:val="auto"/>
          <w:sz w:val="24"/>
        </w:rPr>
        <w:t>当前</w:t>
      </w:r>
      <w:r>
        <w:rPr>
          <w:rFonts w:ascii="Times New Roman" w:hAnsi="Times New Roman" w:eastAsia="宋体" w:cs="Times New Roman"/>
          <w:color w:val="auto"/>
          <w:sz w:val="24"/>
        </w:rPr>
        <w:t>的社会热点。</w:t>
      </w:r>
    </w:p>
    <w:p w14:paraId="00D582DF">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（二）参考资源</w:t>
      </w:r>
    </w:p>
    <w:p w14:paraId="1A0A5B6A">
      <w:pPr>
        <w:jc w:val="left"/>
        <w:rPr>
          <w:rFonts w:ascii="Times New Roman" w:hAnsi="Times New Roman" w:cs="Times New Roman"/>
          <w:color w:val="auto"/>
        </w:rPr>
      </w:pPr>
      <w:r>
        <w:rPr>
          <w:rFonts w:hint="eastAsia"/>
          <w:color w:val="auto"/>
        </w:rPr>
        <w:t xml:space="preserve">     </w:t>
      </w:r>
      <w:r>
        <w:rPr>
          <w:rFonts w:hint="eastAsia" w:ascii="Times New Roman" w:hAnsi="Times New Roman" w:eastAsia="宋体" w:cs="Times New Roman"/>
          <w:color w:val="auto"/>
          <w:sz w:val="24"/>
        </w:rPr>
        <w:t>1.《放牛班的春天》</w:t>
      </w:r>
      <w:r>
        <w:rPr>
          <w:rFonts w:ascii="Times New Roman" w:hAnsi="Times New Roman" w:cs="Times New Roman"/>
          <w:color w:val="auto"/>
        </w:rPr>
        <w:t>https://www.bilibili.com/video/BV1rZ421M7QS/?spm_id_from=333.337.search-card.all.click</w:t>
      </w:r>
    </w:p>
    <w:p w14:paraId="1A61A00B">
      <w:pPr>
        <w:jc w:val="left"/>
        <w:rPr>
          <w:rFonts w:ascii="Times New Roman" w:hAnsi="Times New Roman" w:eastAsia="宋体" w:cs="Times New Roman"/>
          <w:color w:val="auto"/>
          <w:sz w:val="24"/>
        </w:rPr>
      </w:pPr>
      <w:r>
        <w:rPr>
          <w:rFonts w:hint="eastAsia" w:ascii="Times New Roman" w:hAnsi="Times New Roman" w:cs="Times New Roman"/>
          <w:color w:val="auto"/>
        </w:rPr>
        <w:t xml:space="preserve">     </w:t>
      </w:r>
      <w:r>
        <w:rPr>
          <w:rFonts w:hint="eastAsia" w:ascii="Times New Roman" w:hAnsi="Times New Roman" w:eastAsia="宋体" w:cs="Times New Roman"/>
          <w:color w:val="auto"/>
          <w:sz w:val="24"/>
        </w:rPr>
        <w:t>2.《</w:t>
      </w:r>
      <w:r>
        <w:rPr>
          <w:rFonts w:ascii="Times New Roman" w:hAnsi="Times New Roman" w:eastAsia="宋体" w:cs="Times New Roman"/>
          <w:color w:val="auto"/>
          <w:sz w:val="24"/>
        </w:rPr>
        <w:t>风雨哈佛路</w:t>
      </w:r>
      <w:r>
        <w:rPr>
          <w:rFonts w:hint="eastAsia" w:ascii="Times New Roman" w:hAnsi="Times New Roman" w:eastAsia="宋体" w:cs="Times New Roman"/>
          <w:color w:val="auto"/>
          <w:sz w:val="24"/>
        </w:rPr>
        <w:t>》</w:t>
      </w:r>
    </w:p>
    <w:p w14:paraId="2E457D42">
      <w:pPr>
        <w:jc w:val="left"/>
        <w:rPr>
          <w:rFonts w:ascii="Times New Roman" w:hAnsi="Times New Roman" w:cs="Times New Roman"/>
          <w:color w:val="auto"/>
        </w:rPr>
      </w:pPr>
      <w:r>
        <w:rPr>
          <w:rFonts w:hint="eastAsia" w:ascii="Times New Roman" w:hAnsi="Times New Roman" w:cs="Times New Roman"/>
          <w:color w:val="auto"/>
        </w:rPr>
        <w:t>https://www.bilibili.com/video/BV1w7yWYRESs/?spm_id_from=333.337.search-card.all.click</w:t>
      </w:r>
    </w:p>
    <w:p w14:paraId="3AE31219">
      <w:pPr>
        <w:jc w:val="left"/>
        <w:rPr>
          <w:rFonts w:ascii="Times New Roman" w:hAnsi="Times New Roman" w:cs="Times New Roman"/>
          <w:color w:val="auto"/>
        </w:rPr>
      </w:pPr>
      <w:r>
        <w:rPr>
          <w:rFonts w:hint="eastAsia" w:ascii="Times New Roman" w:hAnsi="Times New Roman" w:cs="Times New Roman"/>
          <w:color w:val="auto"/>
        </w:rPr>
        <w:t xml:space="preserve">     </w:t>
      </w:r>
      <w:r>
        <w:rPr>
          <w:rFonts w:hint="eastAsia" w:ascii="Times New Roman" w:hAnsi="Times New Roman" w:eastAsia="宋体" w:cs="Times New Roman"/>
          <w:color w:val="auto"/>
          <w:sz w:val="24"/>
        </w:rPr>
        <w:t>3.《美丽的大脚》</w:t>
      </w:r>
    </w:p>
    <w:p w14:paraId="343A255B">
      <w:pPr>
        <w:jc w:val="left"/>
        <w:rPr>
          <w:rFonts w:ascii="Times New Roman" w:hAnsi="Times New Roman" w:cs="Times New Roman"/>
          <w:color w:val="auto"/>
        </w:rPr>
      </w:pPr>
      <w:r>
        <w:rPr>
          <w:rFonts w:hint="eastAsia" w:ascii="Times New Roman" w:hAnsi="Times New Roman" w:cs="Times New Roman"/>
          <w:color w:val="auto"/>
        </w:rPr>
        <w:t>https://www.bilibili.com/video/BV1Zu4y1z7DN/?spm_id_from=333.337.search-card.all.click</w:t>
      </w:r>
    </w:p>
    <w:p w14:paraId="35B7F52B">
      <w:pPr>
        <w:ind w:left="525"/>
        <w:jc w:val="left"/>
        <w:rPr>
          <w:rFonts w:ascii="Times New Roman" w:hAnsi="Times New Roman" w:cs="Times New Roman"/>
          <w:color w:val="auto"/>
        </w:rPr>
      </w:pPr>
      <w:r>
        <w:rPr>
          <w:rFonts w:hint="eastAsia" w:ascii="Times New Roman" w:hAnsi="Times New Roman" w:cs="Times New Roman"/>
          <w:color w:val="auto"/>
          <w:szCs w:val="22"/>
        </w:rPr>
        <w:t>4.</w:t>
      </w:r>
      <w:r>
        <w:rPr>
          <w:rFonts w:hint="eastAsia" w:ascii="Times New Roman" w:hAnsi="Times New Roman" w:cs="Times New Roman"/>
          <w:color w:val="auto"/>
        </w:rPr>
        <w:t>《一个都不能少》</w:t>
      </w:r>
    </w:p>
    <w:p w14:paraId="6D4535AE">
      <w:pPr>
        <w:jc w:val="left"/>
        <w:rPr>
          <w:rFonts w:ascii="Times New Roman" w:hAnsi="Times New Roman" w:cs="Times New Roman"/>
          <w:color w:val="auto"/>
        </w:rPr>
      </w:pPr>
      <w:r>
        <w:rPr>
          <w:rFonts w:ascii="Times New Roman" w:hAnsi="Times New Roman" w:cs="Times New Roman"/>
          <w:color w:val="auto"/>
        </w:rPr>
        <w:t>https://www.bilibili.com/video/BV1mo4y1S74L/?spm_id_from=333.337.search-card.all.click</w:t>
      </w:r>
    </w:p>
    <w:p w14:paraId="132943DB">
      <w:pPr>
        <w:ind w:left="525"/>
        <w:jc w:val="left"/>
        <w:rPr>
          <w:rFonts w:ascii="Times New Roman" w:hAnsi="Times New Roman" w:cs="Times New Roman"/>
          <w:color w:val="auto"/>
        </w:rPr>
      </w:pPr>
      <w:r>
        <w:rPr>
          <w:rFonts w:hint="eastAsia" w:ascii="Times New Roman" w:hAnsi="Times New Roman" w:cs="Times New Roman"/>
          <w:color w:val="auto"/>
          <w:szCs w:val="22"/>
        </w:rPr>
        <w:t>5.</w:t>
      </w:r>
      <w:r>
        <w:rPr>
          <w:rFonts w:hint="eastAsia" w:ascii="Times New Roman" w:hAnsi="Times New Roman" w:cs="Times New Roman"/>
          <w:color w:val="auto"/>
        </w:rPr>
        <w:t>《大先生——中国教育名家列传》</w:t>
      </w:r>
    </w:p>
    <w:p w14:paraId="311CF4E9">
      <w:pPr>
        <w:jc w:val="left"/>
        <w:rPr>
          <w:rFonts w:ascii="Times New Roman" w:hAnsi="Times New Roman" w:cs="Times New Roman"/>
          <w:color w:val="auto"/>
        </w:rPr>
      </w:pPr>
      <w:r>
        <w:rPr>
          <w:rFonts w:ascii="Times New Roman" w:hAnsi="Times New Roman" w:cs="Times New Roman"/>
          <w:color w:val="auto"/>
        </w:rPr>
        <w:t>https://tv.cctv.com/2024/09/02/VIDAGbvf42qxA4rNvKWdHujS240902.shtml</w:t>
      </w:r>
    </w:p>
    <w:p w14:paraId="3EEC6C01">
      <w:pPr>
        <w:ind w:left="5880" w:firstLine="420"/>
        <w:rPr>
          <w:rFonts w:hint="eastAsia" w:ascii="宋体" w:hAnsi="宋体" w:eastAsia="宋体" w:cs="宋体"/>
          <w:color w:val="auto"/>
        </w:rPr>
      </w:pPr>
    </w:p>
    <w:p w14:paraId="0EF848A5">
      <w:pPr>
        <w:keepNext w:val="0"/>
        <w:keepLines w:val="0"/>
        <w:pageBreakBefore w:val="0"/>
        <w:widowControl w:val="0"/>
        <w:kinsoku/>
        <w:wordWrap/>
        <w:overflowPunct/>
        <w:topLinePunct w:val="0"/>
        <w:autoSpaceDE/>
        <w:autoSpaceDN/>
        <w:bidi w:val="0"/>
        <w:adjustRightInd/>
        <w:snapToGrid/>
        <w:spacing w:line="360" w:lineRule="auto"/>
        <w:ind w:firstLine="5145" w:firstLineChars="24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执 笔 人：周冬梅</w:t>
      </w:r>
    </w:p>
    <w:p w14:paraId="66079318">
      <w:pPr>
        <w:keepNext w:val="0"/>
        <w:keepLines w:val="0"/>
        <w:pageBreakBefore w:val="0"/>
        <w:widowControl w:val="0"/>
        <w:kinsoku/>
        <w:wordWrap/>
        <w:overflowPunct/>
        <w:topLinePunct w:val="0"/>
        <w:autoSpaceDE/>
        <w:autoSpaceDN/>
        <w:bidi w:val="0"/>
        <w:adjustRightInd/>
        <w:snapToGrid/>
        <w:spacing w:line="360" w:lineRule="auto"/>
        <w:ind w:firstLine="5145" w:firstLineChars="24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审 定 人：王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健</w:t>
      </w:r>
    </w:p>
    <w:p w14:paraId="4BA2DF8D">
      <w:pPr>
        <w:keepNext w:val="0"/>
        <w:keepLines w:val="0"/>
        <w:pageBreakBefore w:val="0"/>
        <w:widowControl w:val="0"/>
        <w:kinsoku/>
        <w:wordWrap/>
        <w:overflowPunct/>
        <w:topLinePunct w:val="0"/>
        <w:autoSpaceDE/>
        <w:autoSpaceDN/>
        <w:bidi w:val="0"/>
        <w:adjustRightInd/>
        <w:snapToGrid/>
        <w:spacing w:line="360" w:lineRule="auto"/>
        <w:ind w:firstLine="5145" w:firstLineChars="24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审 批 人：张志欣</w:t>
      </w:r>
    </w:p>
    <w:p w14:paraId="42670A46">
      <w:pPr>
        <w:keepNext w:val="0"/>
        <w:keepLines w:val="0"/>
        <w:pageBreakBefore w:val="0"/>
        <w:widowControl w:val="0"/>
        <w:kinsoku/>
        <w:wordWrap/>
        <w:overflowPunct/>
        <w:topLinePunct w:val="0"/>
        <w:autoSpaceDE/>
        <w:autoSpaceDN/>
        <w:bidi w:val="0"/>
        <w:adjustRightInd/>
        <w:snapToGrid/>
        <w:spacing w:line="360" w:lineRule="auto"/>
        <w:ind w:firstLine="5145" w:firstLineChars="245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批准时间：2025年7月1日</w:t>
      </w:r>
    </w:p>
    <w:p w14:paraId="06020868">
      <w:pPr>
        <w:rPr>
          <w:rFonts w:hint="eastAsia" w:ascii="等线" w:hAnsi="等线" w:eastAsia="等线" w:cs="等线"/>
          <w:b/>
          <w:bCs/>
          <w:color w:val="auto"/>
          <w:sz w:val="44"/>
          <w:szCs w:val="44"/>
        </w:rPr>
      </w:pPr>
      <w:r>
        <w:rPr>
          <w:rFonts w:hint="eastAsia" w:ascii="等线" w:hAnsi="等线" w:eastAsia="等线" w:cs="等线"/>
          <w:b/>
          <w:bCs/>
          <w:color w:val="auto"/>
          <w:sz w:val="44"/>
          <w:szCs w:val="44"/>
        </w:rPr>
        <w:br w:type="page"/>
      </w:r>
    </w:p>
    <w:p w14:paraId="1709439E">
      <w:pPr>
        <w:spacing w:line="360" w:lineRule="auto"/>
        <w:jc w:val="center"/>
        <w:outlineLvl w:val="0"/>
        <w:rPr>
          <w:rFonts w:hint="eastAsia" w:ascii="Times New Roman" w:hAnsi="Times New Roman" w:eastAsia="宋体" w:cs="Times New Roman"/>
          <w:b/>
          <w:color w:val="auto"/>
          <w:sz w:val="44"/>
          <w:szCs w:val="44"/>
        </w:rPr>
      </w:pPr>
      <w:bookmarkStart w:id="445" w:name="_Toc26705"/>
      <w:bookmarkStart w:id="446" w:name="_Toc23560"/>
      <w:bookmarkStart w:id="447" w:name="_Toc57017207"/>
      <w:bookmarkStart w:id="448" w:name="_Toc57017208"/>
      <w:r>
        <w:rPr>
          <w:rFonts w:hint="eastAsia" w:ascii="Times New Roman" w:hAnsi="Times New Roman" w:eastAsia="宋体" w:cs="Times New Roman"/>
          <w:b/>
          <w:color w:val="auto"/>
          <w:sz w:val="44"/>
          <w:szCs w:val="44"/>
        </w:rPr>
        <w:t>《教育见习I》课程教学大纲</w:t>
      </w:r>
      <w:bookmarkEnd w:id="445"/>
      <w:bookmarkEnd w:id="446"/>
      <w:bookmarkEnd w:id="447"/>
    </w:p>
    <w:p w14:paraId="5973C2F6">
      <w:pPr>
        <w:spacing w:line="360" w:lineRule="auto"/>
        <w:jc w:val="center"/>
        <w:rPr>
          <w:rFonts w:ascii="Times New Roman" w:hAnsi="Times New Roman" w:eastAsia="宋体" w:cs="Times New Roman"/>
          <w:b/>
          <w:color w:val="auto"/>
          <w:sz w:val="28"/>
          <w:szCs w:val="28"/>
        </w:rPr>
      </w:pPr>
      <w:bookmarkStart w:id="449" w:name="_Toc27847454"/>
      <w:r>
        <w:rPr>
          <w:rFonts w:ascii="Times New Roman" w:hAnsi="Times New Roman" w:eastAsia="宋体" w:cs="Times New Roman"/>
          <w:b/>
          <w:bCs/>
          <w:color w:val="auto"/>
          <w:sz w:val="28"/>
          <w:szCs w:val="28"/>
        </w:rPr>
        <w:t>（</w:t>
      </w:r>
      <w:r>
        <w:rPr>
          <w:rFonts w:ascii="Times New Roman" w:hAnsi="Times New Roman" w:eastAsia="黑体" w:cs="Times New Roman"/>
          <w:b/>
          <w:bCs/>
          <w:color w:val="auto"/>
          <w:sz w:val="28"/>
          <w:szCs w:val="28"/>
        </w:rPr>
        <w:t>Educational Probation I</w:t>
      </w:r>
      <w:r>
        <w:rPr>
          <w:rFonts w:ascii="Times New Roman" w:hAnsi="Times New Roman" w:eastAsia="宋体" w:cs="Times New Roman"/>
          <w:b/>
          <w:bCs/>
          <w:color w:val="auto"/>
          <w:sz w:val="28"/>
          <w:szCs w:val="28"/>
        </w:rPr>
        <w:t>）</w:t>
      </w:r>
      <w:bookmarkEnd w:id="449"/>
    </w:p>
    <w:p w14:paraId="490B4AE8">
      <w:pPr>
        <w:spacing w:line="360" w:lineRule="auto"/>
        <w:ind w:firstLine="482" w:firstLineChars="200"/>
        <w:rPr>
          <w:rFonts w:hint="eastAsia" w:ascii="宋体" w:hAnsi="宋体" w:eastAsia="宋体" w:cs="Times New Roman"/>
          <w:b/>
          <w:color w:val="auto"/>
          <w:sz w:val="24"/>
        </w:rPr>
      </w:pPr>
      <w:r>
        <w:rPr>
          <w:rFonts w:hint="eastAsia" w:ascii="宋体" w:hAnsi="宋体" w:eastAsia="宋体" w:cs="Times New Roman"/>
          <w:b/>
          <w:color w:val="auto"/>
          <w:sz w:val="24"/>
        </w:rPr>
        <w:t>课程名称：教育见习</w:t>
      </w:r>
      <w:r>
        <w:rPr>
          <w:rFonts w:ascii="宋体" w:hAnsi="宋体" w:eastAsia="宋体" w:cs="Times New Roman"/>
          <w:b/>
          <w:color w:val="auto"/>
          <w:sz w:val="24"/>
        </w:rPr>
        <w:t>I</w:t>
      </w:r>
    </w:p>
    <w:p w14:paraId="51458391">
      <w:pPr>
        <w:spacing w:line="360" w:lineRule="auto"/>
        <w:ind w:firstLine="482" w:firstLineChars="200"/>
        <w:rPr>
          <w:rFonts w:ascii="宋体" w:hAnsi="Times New Roman" w:eastAsia="宋体" w:cs="Times New Roman"/>
          <w:b/>
          <w:color w:val="auto"/>
          <w:sz w:val="24"/>
        </w:rPr>
      </w:pPr>
      <w:r>
        <w:rPr>
          <w:rFonts w:hint="eastAsia" w:ascii="宋体" w:hAnsi="宋体" w:eastAsia="宋体" w:cs="Times New Roman"/>
          <w:b/>
          <w:bCs/>
          <w:color w:val="auto"/>
          <w:kern w:val="0"/>
          <w:sz w:val="24"/>
        </w:rPr>
        <w:t>课程代码</w:t>
      </w:r>
      <w:r>
        <w:rPr>
          <w:rFonts w:hint="eastAsia" w:ascii="宋体" w:hAnsi="宋体" w:eastAsia="宋体" w:cs="Times New Roman"/>
          <w:b/>
          <w:color w:val="auto"/>
          <w:kern w:val="0"/>
          <w:sz w:val="24"/>
        </w:rPr>
        <w:t>：2401046</w:t>
      </w:r>
    </w:p>
    <w:p w14:paraId="72D530FB">
      <w:pPr>
        <w:spacing w:line="360" w:lineRule="auto"/>
        <w:ind w:firstLine="482" w:firstLineChars="200"/>
        <w:rPr>
          <w:rFonts w:hint="eastAsia" w:ascii="宋体" w:hAnsi="宋体" w:eastAsia="宋体" w:cs="Times New Roman"/>
          <w:color w:val="auto"/>
          <w:kern w:val="0"/>
          <w:sz w:val="24"/>
        </w:rPr>
      </w:pPr>
      <w:r>
        <w:rPr>
          <w:rFonts w:hint="eastAsia" w:ascii="宋体" w:hAnsi="宋体" w:eastAsia="宋体" w:cs="Times New Roman"/>
          <w:b/>
          <w:bCs/>
          <w:color w:val="auto"/>
          <w:kern w:val="0"/>
          <w:sz w:val="24"/>
        </w:rPr>
        <w:t>学</w:t>
      </w:r>
      <w:r>
        <w:rPr>
          <w:rFonts w:ascii="宋体" w:hAnsi="宋体" w:eastAsia="宋体" w:cs="Times New Roman"/>
          <w:b/>
          <w:bCs/>
          <w:color w:val="auto"/>
          <w:kern w:val="0"/>
          <w:sz w:val="24"/>
        </w:rPr>
        <w:t xml:space="preserve">    </w:t>
      </w:r>
      <w:r>
        <w:rPr>
          <w:rFonts w:hint="eastAsia" w:ascii="宋体" w:hAnsi="宋体" w:eastAsia="宋体" w:cs="Times New Roman"/>
          <w:b/>
          <w:bCs/>
          <w:color w:val="auto"/>
          <w:kern w:val="0"/>
          <w:sz w:val="24"/>
        </w:rPr>
        <w:t>分：</w:t>
      </w:r>
      <w:r>
        <w:rPr>
          <w:rFonts w:hint="eastAsia" w:ascii="宋体" w:hAnsi="宋体" w:eastAsia="宋体" w:cs="Times New Roman"/>
          <w:b/>
          <w:color w:val="auto"/>
          <w:kern w:val="0"/>
          <w:sz w:val="24"/>
        </w:rPr>
        <w:t>1</w:t>
      </w:r>
    </w:p>
    <w:p w14:paraId="77C50F2E">
      <w:pPr>
        <w:spacing w:line="360" w:lineRule="auto"/>
        <w:ind w:firstLine="482" w:firstLineChars="200"/>
        <w:rPr>
          <w:rFonts w:ascii="宋体" w:hAnsi="Times New Roman" w:eastAsia="宋体" w:cs="Times New Roman"/>
          <w:color w:val="auto"/>
          <w:kern w:val="0"/>
          <w:sz w:val="24"/>
        </w:rPr>
      </w:pPr>
      <w:r>
        <w:rPr>
          <w:rFonts w:hint="eastAsia" w:ascii="宋体" w:hAnsi="宋体" w:eastAsia="宋体" w:cs="Times New Roman"/>
          <w:b/>
          <w:bCs/>
          <w:color w:val="auto"/>
          <w:kern w:val="0"/>
          <w:sz w:val="24"/>
        </w:rPr>
        <w:t>学</w:t>
      </w:r>
      <w:r>
        <w:rPr>
          <w:rFonts w:ascii="宋体" w:hAnsi="宋体" w:eastAsia="宋体" w:cs="Times New Roman"/>
          <w:b/>
          <w:bCs/>
          <w:color w:val="auto"/>
          <w:kern w:val="0"/>
          <w:sz w:val="24"/>
        </w:rPr>
        <w:t xml:space="preserve">    </w:t>
      </w:r>
      <w:r>
        <w:rPr>
          <w:rFonts w:hint="eastAsia" w:ascii="宋体" w:hAnsi="宋体" w:eastAsia="宋体" w:cs="Times New Roman"/>
          <w:b/>
          <w:bCs/>
          <w:color w:val="auto"/>
          <w:kern w:val="0"/>
          <w:sz w:val="24"/>
        </w:rPr>
        <w:t>时：2周</w:t>
      </w:r>
    </w:p>
    <w:p w14:paraId="5DE45D9B">
      <w:pPr>
        <w:spacing w:line="360" w:lineRule="auto"/>
        <w:ind w:firstLine="482" w:firstLineChars="200"/>
        <w:rPr>
          <w:rFonts w:hint="eastAsia" w:ascii="宋体" w:hAnsi="宋体" w:eastAsia="宋体" w:cs="Times New Roman"/>
          <w:b/>
          <w:bCs/>
          <w:color w:val="auto"/>
          <w:kern w:val="0"/>
          <w:sz w:val="24"/>
        </w:rPr>
      </w:pPr>
      <w:r>
        <w:rPr>
          <w:rFonts w:hint="eastAsia" w:ascii="宋体" w:hAnsi="宋体" w:eastAsia="宋体" w:cs="Times New Roman"/>
          <w:b/>
          <w:bCs/>
          <w:color w:val="auto"/>
          <w:kern w:val="0"/>
          <w:sz w:val="24"/>
        </w:rPr>
        <w:t>先修课程：</w:t>
      </w:r>
      <w:r>
        <w:rPr>
          <w:rFonts w:ascii="宋体" w:hAnsi="宋体" w:eastAsia="宋体" w:cs="Times New Roman"/>
          <w:b/>
          <w:bCs/>
          <w:color w:val="auto"/>
          <w:kern w:val="0"/>
          <w:sz w:val="24"/>
        </w:rPr>
        <w:t>小学心理学、</w:t>
      </w:r>
      <w:r>
        <w:rPr>
          <w:rFonts w:hint="eastAsia" w:ascii="宋体" w:hAnsi="宋体" w:eastAsia="宋体" w:cs="Times New Roman"/>
          <w:b/>
          <w:bCs/>
          <w:color w:val="auto"/>
          <w:kern w:val="0"/>
          <w:sz w:val="24"/>
        </w:rPr>
        <w:t>书</w:t>
      </w:r>
      <w:r>
        <w:rPr>
          <w:rFonts w:ascii="宋体" w:hAnsi="宋体" w:eastAsia="宋体" w:cs="Times New Roman"/>
          <w:b/>
          <w:bCs/>
          <w:color w:val="auto"/>
          <w:kern w:val="0"/>
          <w:sz w:val="24"/>
        </w:rPr>
        <w:t>写技能、教育原理、 教师职业道德，以及部分数学/中文类课程</w:t>
      </w:r>
    </w:p>
    <w:p w14:paraId="1CE7F3EE">
      <w:pPr>
        <w:spacing w:line="360" w:lineRule="auto"/>
        <w:ind w:firstLine="482" w:firstLineChars="200"/>
        <w:rPr>
          <w:rFonts w:hint="eastAsia" w:ascii="宋体" w:hAnsi="宋体" w:eastAsia="宋体" w:cs="Times New Roman"/>
          <w:b/>
          <w:bCs/>
          <w:color w:val="auto"/>
          <w:kern w:val="0"/>
          <w:sz w:val="24"/>
        </w:rPr>
      </w:pPr>
      <w:r>
        <w:rPr>
          <w:rFonts w:hint="eastAsia" w:ascii="宋体" w:hAnsi="宋体" w:eastAsia="宋体" w:cs="Times New Roman"/>
          <w:b/>
          <w:bCs/>
          <w:color w:val="auto"/>
          <w:kern w:val="0"/>
          <w:sz w:val="24"/>
        </w:rPr>
        <w:t>适用专业：小学教育（文）、小学教育（理）</w:t>
      </w:r>
      <w:r>
        <w:rPr>
          <w:rFonts w:ascii="宋体" w:hAnsi="宋体" w:eastAsia="宋体" w:cs="Times New Roman"/>
          <w:b/>
          <w:bCs/>
          <w:color w:val="auto"/>
          <w:kern w:val="0"/>
          <w:sz w:val="24"/>
        </w:rPr>
        <w:t xml:space="preserve"> </w:t>
      </w:r>
    </w:p>
    <w:p w14:paraId="0985A52A">
      <w:pPr>
        <w:spacing w:line="360" w:lineRule="auto"/>
        <w:ind w:firstLine="422" w:firstLineChars="200"/>
        <w:rPr>
          <w:rFonts w:hint="eastAsia" w:ascii="宋体" w:hAnsi="宋体" w:eastAsia="宋体" w:cs="Times New Roman"/>
          <w:b/>
          <w:bCs/>
          <w:color w:val="auto"/>
          <w:kern w:val="0"/>
          <w:sz w:val="21"/>
          <w:szCs w:val="21"/>
        </w:rPr>
      </w:pPr>
    </w:p>
    <w:p w14:paraId="671DFC7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一、课程简介</w:t>
      </w:r>
    </w:p>
    <w:p w14:paraId="046B7AFD">
      <w:pPr>
        <w:spacing w:line="360" w:lineRule="auto"/>
        <w:ind w:firstLine="480" w:firstLineChars="200"/>
        <w:rPr>
          <w:rFonts w:ascii="宋体" w:hAnsi="Times New Roman" w:eastAsia="宋体" w:cs="Times New Roman"/>
          <w:color w:val="auto"/>
          <w:kern w:val="0"/>
          <w:sz w:val="21"/>
          <w:szCs w:val="21"/>
        </w:rPr>
      </w:pPr>
      <w:r>
        <w:rPr>
          <w:rFonts w:hint="eastAsia" w:ascii="宋体" w:hAnsi="宋体" w:eastAsia="宋体" w:cs="Times New Roman"/>
          <w:color w:val="auto"/>
          <w:kern w:val="0"/>
          <w:sz w:val="24"/>
        </w:rPr>
        <w:t>教</w:t>
      </w:r>
      <w:r>
        <w:rPr>
          <w:rFonts w:hint="eastAsia" w:ascii="宋体" w:hAnsi="宋体" w:eastAsia="宋体" w:cs="Times New Roman"/>
          <w:color w:val="auto"/>
          <w:kern w:val="0"/>
          <w:sz w:val="21"/>
          <w:szCs w:val="21"/>
        </w:rPr>
        <w:t>育见习</w:t>
      </w:r>
      <w:r>
        <w:rPr>
          <w:rFonts w:ascii="宋体" w:hAnsi="宋体" w:eastAsia="宋体" w:cs="Times New Roman"/>
          <w:color w:val="auto"/>
          <w:kern w:val="0"/>
          <w:sz w:val="21"/>
          <w:szCs w:val="21"/>
        </w:rPr>
        <w:t>I</w:t>
      </w:r>
      <w:r>
        <w:rPr>
          <w:rFonts w:hint="eastAsia" w:ascii="宋体" w:hAnsi="宋体" w:eastAsia="宋体" w:cs="Times New Roman"/>
          <w:color w:val="auto"/>
          <w:kern w:val="0"/>
          <w:sz w:val="21"/>
          <w:szCs w:val="21"/>
        </w:rPr>
        <w:t>是小学教育专业重要的实践类课程。本课程的任务和目的是使学生充分接触小学日常生活，了解小学教育教学工作的特点，体会教师职业价值，树立从教理想；初步训练听课、评课和小学班主任工作的技能，巩固所学的专业知识和技能；培养研究小学教育教学问题的兴趣，养成正确的专业态度。</w:t>
      </w:r>
    </w:p>
    <w:p w14:paraId="2A59E4E6">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8"/>
          <w:szCs w:val="28"/>
        </w:rPr>
      </w:pPr>
      <w:r>
        <w:rPr>
          <w:rFonts w:hint="eastAsia" w:ascii="Times New Roman" w:hAnsi="Times New Roman" w:eastAsia="宋体" w:cs="Times New Roman"/>
          <w:b/>
          <w:color w:val="auto"/>
          <w:sz w:val="24"/>
          <w:szCs w:val="24"/>
        </w:rPr>
        <w:t>二、课程目标</w:t>
      </w:r>
    </w:p>
    <w:p w14:paraId="55AF0CBE">
      <w:pPr>
        <w:spacing w:line="360" w:lineRule="auto"/>
        <w:ind w:firstLine="422" w:firstLineChars="200"/>
        <w:jc w:val="left"/>
        <w:rPr>
          <w:rFonts w:hint="eastAsia" w:ascii="宋体" w:hAnsi="宋体" w:eastAsia="宋体" w:cs="Times New Roman"/>
          <w:b/>
          <w:bCs/>
          <w:color w:val="auto"/>
          <w:sz w:val="21"/>
          <w:szCs w:val="21"/>
        </w:rPr>
      </w:pPr>
      <w:r>
        <w:rPr>
          <w:rFonts w:hint="eastAsia" w:ascii="宋体" w:hAnsi="宋体" w:eastAsia="宋体" w:cs="Times New Roman"/>
          <w:b/>
          <w:bCs/>
          <w:color w:val="auto"/>
          <w:sz w:val="21"/>
          <w:szCs w:val="21"/>
        </w:rPr>
        <w:t>（一）课程具体目标</w:t>
      </w:r>
    </w:p>
    <w:p w14:paraId="3788AFEA">
      <w:pPr>
        <w:spacing w:line="360" w:lineRule="auto"/>
        <w:ind w:firstLine="420" w:firstLineChars="200"/>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目标</w:t>
      </w:r>
      <w:r>
        <w:rPr>
          <w:rFonts w:ascii="宋体" w:hAnsi="宋体" w:eastAsia="宋体" w:cs="Times New Roman"/>
          <w:color w:val="auto"/>
          <w:sz w:val="21"/>
          <w:szCs w:val="21"/>
        </w:rPr>
        <w:t>1.</w:t>
      </w:r>
      <w:r>
        <w:rPr>
          <w:rFonts w:hint="eastAsia" w:ascii="宋体" w:hAnsi="宋体" w:eastAsia="宋体" w:cs="Times New Roman"/>
          <w:color w:val="auto"/>
          <w:sz w:val="21"/>
          <w:szCs w:val="21"/>
        </w:rPr>
        <w:t>了解小学日常生活，体验教师工作岗位，初步具有教师角色意识，认同教师职业，具有良好的学生观，尊重学生、关心学生，具有从事教师的理想信念。</w:t>
      </w:r>
    </w:p>
    <w:p w14:paraId="11D16426">
      <w:pPr>
        <w:spacing w:line="360" w:lineRule="auto"/>
        <w:ind w:firstLine="420" w:firstLineChars="200"/>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目标</w:t>
      </w:r>
      <w:r>
        <w:rPr>
          <w:rFonts w:ascii="宋体" w:hAnsi="宋体" w:eastAsia="宋体" w:cs="Times New Roman"/>
          <w:color w:val="auto"/>
          <w:sz w:val="21"/>
          <w:szCs w:val="21"/>
        </w:rPr>
        <w:t>2.</w:t>
      </w:r>
      <w:r>
        <w:rPr>
          <w:rFonts w:hint="eastAsia" w:ascii="宋体" w:hAnsi="宋体" w:eastAsia="宋体" w:cs="Times New Roman"/>
          <w:color w:val="auto"/>
          <w:sz w:val="21"/>
          <w:szCs w:val="21"/>
        </w:rPr>
        <w:t>通过课堂教学和班队工作见习，了解小学教学与管理过程，理解所学知识与实践的关系，形成主动研究教育教学问题的意识。了解班级管理与班队活动的内容，认识到小学生德育工作、心理健康教育工作的重要性。</w:t>
      </w:r>
    </w:p>
    <w:p w14:paraId="28FBCBDD">
      <w:pPr>
        <w:spacing w:line="360" w:lineRule="auto"/>
        <w:ind w:firstLine="420" w:firstLineChars="200"/>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目标</w:t>
      </w:r>
      <w:r>
        <w:rPr>
          <w:rFonts w:ascii="宋体" w:hAnsi="宋体" w:eastAsia="宋体" w:cs="Times New Roman"/>
          <w:color w:val="auto"/>
          <w:sz w:val="21"/>
          <w:szCs w:val="21"/>
        </w:rPr>
        <w:t>3.</w:t>
      </w:r>
      <w:r>
        <w:rPr>
          <w:rFonts w:hint="eastAsia" w:ascii="宋体" w:hAnsi="宋体" w:eastAsia="宋体" w:cs="Times New Roman"/>
          <w:color w:val="auto"/>
          <w:sz w:val="21"/>
          <w:szCs w:val="21"/>
        </w:rPr>
        <w:t>通过与小学生相处，了解小学生心理发展的特点，愿意亲近学生，理解学科育人、管理育人、活动育人，建立综合育人的基本观念。</w:t>
      </w:r>
    </w:p>
    <w:p w14:paraId="5EC8B0C1">
      <w:pPr>
        <w:spacing w:line="360" w:lineRule="auto"/>
        <w:ind w:firstLine="420" w:firstLineChars="200"/>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目标</w:t>
      </w:r>
      <w:r>
        <w:rPr>
          <w:rFonts w:ascii="宋体" w:hAnsi="宋体" w:eastAsia="宋体" w:cs="Times New Roman"/>
          <w:color w:val="auto"/>
          <w:sz w:val="21"/>
          <w:szCs w:val="21"/>
        </w:rPr>
        <w:t>4.</w:t>
      </w:r>
      <w:r>
        <w:rPr>
          <w:rFonts w:hint="eastAsia" w:ascii="宋体" w:hAnsi="宋体" w:eastAsia="宋体" w:cs="Times New Roman"/>
          <w:color w:val="auto"/>
          <w:sz w:val="21"/>
          <w:szCs w:val="21"/>
        </w:rPr>
        <w:t>通过分组实习，主动与他人合作学习，主动与指导教师、小学生、学生家长进行积极沟通，了解沟通交流的一些方法。</w:t>
      </w:r>
    </w:p>
    <w:p w14:paraId="5431C34A">
      <w:pPr>
        <w:spacing w:line="360" w:lineRule="auto"/>
        <w:ind w:firstLine="422" w:firstLineChars="200"/>
        <w:jc w:val="left"/>
        <w:rPr>
          <w:rFonts w:hint="eastAsia" w:ascii="宋体" w:hAnsi="宋体" w:eastAsia="宋体" w:cs="Times New Roman"/>
          <w:b/>
          <w:bCs/>
          <w:color w:val="auto"/>
          <w:sz w:val="21"/>
          <w:szCs w:val="21"/>
        </w:rPr>
      </w:pPr>
      <w:r>
        <w:rPr>
          <w:rFonts w:hint="eastAsia" w:ascii="宋体" w:hAnsi="宋体" w:eastAsia="宋体" w:cs="Times New Roman"/>
          <w:b/>
          <w:bCs/>
          <w:color w:val="auto"/>
          <w:sz w:val="21"/>
          <w:szCs w:val="21"/>
        </w:rPr>
        <w:t>（二）课程目标及其对毕业要求指标点的支撑</w:t>
      </w:r>
    </w:p>
    <w:p w14:paraId="141DCC4C">
      <w:pPr>
        <w:spacing w:line="360" w:lineRule="auto"/>
        <w:ind w:firstLine="482" w:firstLineChars="200"/>
        <w:jc w:val="left"/>
        <w:rPr>
          <w:rFonts w:hint="eastAsia" w:ascii="宋体" w:hAnsi="宋体" w:eastAsia="宋体" w:cs="Times New Roman"/>
          <w:b/>
          <w:bCs/>
          <w:color w:val="auto"/>
          <w:sz w:val="24"/>
        </w:rPr>
      </w:pPr>
    </w:p>
    <w:tbl>
      <w:tblPr>
        <w:tblStyle w:val="16"/>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6293"/>
        <w:gridCol w:w="1327"/>
      </w:tblGrid>
      <w:tr w14:paraId="47F3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14:paraId="56332DFD">
            <w:pPr>
              <w:spacing w:line="360"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w:t>
            </w:r>
          </w:p>
        </w:tc>
        <w:tc>
          <w:tcPr>
            <w:tcW w:w="6293" w:type="dxa"/>
            <w:vAlign w:val="center"/>
          </w:tcPr>
          <w:p w14:paraId="04782D76">
            <w:pPr>
              <w:spacing w:line="360"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毕业要求指标点</w:t>
            </w:r>
          </w:p>
        </w:tc>
        <w:tc>
          <w:tcPr>
            <w:tcW w:w="1327" w:type="dxa"/>
            <w:vAlign w:val="center"/>
          </w:tcPr>
          <w:p w14:paraId="1174C696">
            <w:pPr>
              <w:spacing w:line="360"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课程目标</w:t>
            </w:r>
          </w:p>
        </w:tc>
      </w:tr>
      <w:tr w14:paraId="4B51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14:paraId="54B5A891">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毕业要求1</w:t>
            </w:r>
          </w:p>
          <w:p w14:paraId="5810A2BC">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师德规范</w:t>
            </w:r>
          </w:p>
        </w:tc>
        <w:tc>
          <w:tcPr>
            <w:tcW w:w="6293" w:type="dxa"/>
            <w:vAlign w:val="center"/>
          </w:tcPr>
          <w:p w14:paraId="113FDAE5">
            <w:pPr>
              <w:pStyle w:val="14"/>
              <w:shd w:val="clear" w:color="auto" w:fill="FFFFFF"/>
              <w:jc w:val="both"/>
              <w:rPr>
                <w:rFonts w:hint="eastAsia"/>
                <w:color w:val="auto"/>
                <w:sz w:val="21"/>
                <w:szCs w:val="21"/>
              </w:rPr>
            </w:pPr>
            <w:r>
              <w:rPr>
                <w:rFonts w:hint="eastAsia" w:cs="Times New Roman"/>
                <w:color w:val="auto"/>
                <w:spacing w:val="2"/>
                <w:sz w:val="21"/>
                <w:szCs w:val="21"/>
              </w:rPr>
              <w:t>指标点</w:t>
            </w:r>
            <w:r>
              <w:rPr>
                <w:color w:val="auto"/>
                <w:spacing w:val="2"/>
                <w:sz w:val="21"/>
                <w:szCs w:val="21"/>
              </w:rPr>
              <w:t>1-2:</w:t>
            </w:r>
            <w:r>
              <w:rPr>
                <w:rFonts w:hint="eastAsia"/>
                <w:color w:val="auto"/>
                <w:sz w:val="21"/>
                <w:szCs w:val="21"/>
              </w:rPr>
              <w:t xml:space="preserve"> 【职业修养良好】以立德树人为己任，掌握立德树 人的途径和方法，着眼于学生的全面发展，实施素质教育，培养学生的核心素养；理解教师职业道德规范内涵与要求，遵守《新时代中小学教师职业行为十项准则》，依法执教，教育实践中能履行应尽义务，自觉维护学生和自身的合法权益。 </w:t>
            </w:r>
          </w:p>
        </w:tc>
        <w:tc>
          <w:tcPr>
            <w:tcW w:w="1327" w:type="dxa"/>
            <w:vAlign w:val="center"/>
          </w:tcPr>
          <w:p w14:paraId="59BD3970">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w:t>
            </w:r>
            <w:r>
              <w:rPr>
                <w:rFonts w:ascii="宋体" w:hAnsi="宋体" w:eastAsia="宋体" w:cs="Times New Roman"/>
                <w:color w:val="auto"/>
                <w:kern w:val="0"/>
                <w:szCs w:val="21"/>
              </w:rPr>
              <w:t>1</w:t>
            </w:r>
          </w:p>
        </w:tc>
      </w:tr>
      <w:tr w14:paraId="208F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14:paraId="0D830618">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毕业要求2</w:t>
            </w:r>
          </w:p>
          <w:p w14:paraId="768D7C70">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教育情怀</w:t>
            </w:r>
          </w:p>
        </w:tc>
        <w:tc>
          <w:tcPr>
            <w:tcW w:w="6293" w:type="dxa"/>
            <w:vAlign w:val="center"/>
          </w:tcPr>
          <w:p w14:paraId="2CEBDDF5">
            <w:pPr>
              <w:pStyle w:val="14"/>
              <w:shd w:val="clear" w:color="auto" w:fill="FFFFFF"/>
              <w:rPr>
                <w:rFonts w:hint="eastAsia"/>
                <w:color w:val="auto"/>
                <w:sz w:val="21"/>
                <w:szCs w:val="21"/>
              </w:rPr>
            </w:pPr>
            <w:r>
              <w:rPr>
                <w:rFonts w:hint="eastAsia"/>
                <w:color w:val="auto"/>
                <w:spacing w:val="2"/>
                <w:sz w:val="21"/>
                <w:szCs w:val="21"/>
              </w:rPr>
              <w:t>指标点2</w:t>
            </w:r>
            <w:r>
              <w:rPr>
                <w:color w:val="auto"/>
                <w:spacing w:val="2"/>
                <w:sz w:val="21"/>
                <w:szCs w:val="21"/>
              </w:rPr>
              <w:t>-2</w:t>
            </w:r>
            <w:r>
              <w:rPr>
                <w:rFonts w:hint="eastAsia"/>
                <w:color w:val="auto"/>
                <w:spacing w:val="2"/>
                <w:sz w:val="21"/>
                <w:szCs w:val="21"/>
              </w:rPr>
              <w:t>：</w:t>
            </w:r>
            <w:r>
              <w:rPr>
                <w:rFonts w:hint="eastAsia"/>
                <w:color w:val="auto"/>
                <w:sz w:val="21"/>
                <w:szCs w:val="21"/>
              </w:rPr>
              <w:t xml:space="preserve">【仁爱之心深厚】关爱学生，用心从教。具有正确 的儿童观，理解、尊重、关爱、保护学生，以儿童发展为教育的中心。爱岗敬业，在教育实践中能认真履行教育教学职责与班主任工作职责，富有爱心、责任心、工作细心、耐心，做学生学习的促进者、道德品质和创新思维的培养者，奉献祖国的引路人。 </w:t>
            </w:r>
          </w:p>
        </w:tc>
        <w:tc>
          <w:tcPr>
            <w:tcW w:w="1327" w:type="dxa"/>
            <w:vAlign w:val="center"/>
          </w:tcPr>
          <w:p w14:paraId="6FAED0D9">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课程目标2</w:t>
            </w:r>
          </w:p>
        </w:tc>
      </w:tr>
      <w:tr w14:paraId="4DA5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357" w:type="dxa"/>
            <w:vMerge w:val="restart"/>
            <w:vAlign w:val="center"/>
          </w:tcPr>
          <w:p w14:paraId="2C186CBD">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毕业要求4</w:t>
            </w:r>
          </w:p>
          <w:p w14:paraId="4010643B">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教学能力</w:t>
            </w:r>
          </w:p>
        </w:tc>
        <w:tc>
          <w:tcPr>
            <w:tcW w:w="6293" w:type="dxa"/>
            <w:vAlign w:val="center"/>
          </w:tcPr>
          <w:p w14:paraId="4FE1EF8B">
            <w:pPr>
              <w:pStyle w:val="14"/>
              <w:jc w:val="both"/>
              <w:rPr>
                <w:rFonts w:hint="eastAsia" w:eastAsia="宋体"/>
                <w:color w:val="auto"/>
                <w:sz w:val="21"/>
                <w:szCs w:val="21"/>
                <w:lang w:eastAsia="zh-CN"/>
              </w:rPr>
            </w:pPr>
            <w:r>
              <w:rPr>
                <w:rFonts w:hint="eastAsia"/>
                <w:color w:val="auto"/>
                <w:spacing w:val="2"/>
                <w:sz w:val="21"/>
                <w:szCs w:val="21"/>
                <w:lang w:eastAsia="zh-CN"/>
              </w:rPr>
              <w:t>指标点4-2：【教学设计恰当】理解教材的编写逻辑和体系结构，合理掌握不同学段目标与内容的递进关系，具有依据课标进行教学的意识和习惯。能依据单元内容进行整体设计，科学合理地依据教学目标及内容设计。</w:t>
            </w:r>
          </w:p>
        </w:tc>
        <w:tc>
          <w:tcPr>
            <w:tcW w:w="1327" w:type="dxa"/>
            <w:vMerge w:val="restart"/>
            <w:vAlign w:val="center"/>
          </w:tcPr>
          <w:p w14:paraId="29AF859C">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课程目标2</w:t>
            </w:r>
          </w:p>
        </w:tc>
      </w:tr>
      <w:tr w14:paraId="350A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57" w:type="dxa"/>
            <w:vMerge w:val="continue"/>
            <w:vAlign w:val="center"/>
          </w:tcPr>
          <w:p w14:paraId="5DF52B2A">
            <w:pPr>
              <w:spacing w:line="276" w:lineRule="auto"/>
              <w:jc w:val="center"/>
              <w:rPr>
                <w:rFonts w:hint="eastAsia" w:ascii="宋体" w:hAnsi="宋体" w:eastAsia="宋体" w:cs="Times New Roman"/>
                <w:b/>
                <w:bCs/>
                <w:color w:val="auto"/>
                <w:kern w:val="0"/>
                <w:szCs w:val="21"/>
              </w:rPr>
            </w:pPr>
          </w:p>
        </w:tc>
        <w:tc>
          <w:tcPr>
            <w:tcW w:w="6293" w:type="dxa"/>
            <w:vAlign w:val="center"/>
          </w:tcPr>
          <w:p w14:paraId="2185CDD7">
            <w:pPr>
              <w:pStyle w:val="14"/>
              <w:jc w:val="both"/>
              <w:rPr>
                <w:rFonts w:hint="eastAsia" w:eastAsia="宋体"/>
                <w:color w:val="auto"/>
                <w:sz w:val="21"/>
                <w:szCs w:val="21"/>
                <w:lang w:eastAsia="zh-CN"/>
              </w:rPr>
            </w:pPr>
            <w:r>
              <w:rPr>
                <w:rFonts w:hint="eastAsia"/>
                <w:color w:val="auto"/>
                <w:spacing w:val="2"/>
                <w:sz w:val="21"/>
                <w:szCs w:val="21"/>
                <w:lang w:eastAsia="zh-CN"/>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Merge w:val="continue"/>
            <w:vAlign w:val="center"/>
          </w:tcPr>
          <w:p w14:paraId="253673F2">
            <w:pPr>
              <w:spacing w:line="276" w:lineRule="auto"/>
              <w:jc w:val="left"/>
              <w:rPr>
                <w:rFonts w:hint="eastAsia" w:ascii="宋体" w:hAnsi="宋体" w:eastAsia="宋体" w:cs="Times New Roman"/>
                <w:color w:val="auto"/>
                <w:kern w:val="0"/>
                <w:szCs w:val="21"/>
              </w:rPr>
            </w:pPr>
          </w:p>
        </w:tc>
      </w:tr>
      <w:tr w14:paraId="7B29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Merge w:val="restart"/>
            <w:vAlign w:val="center"/>
          </w:tcPr>
          <w:p w14:paraId="78595272">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毕业要求5</w:t>
            </w:r>
          </w:p>
          <w:p w14:paraId="15BCD415">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班级管理</w:t>
            </w:r>
          </w:p>
        </w:tc>
        <w:tc>
          <w:tcPr>
            <w:tcW w:w="6293" w:type="dxa"/>
            <w:vAlign w:val="center"/>
          </w:tcPr>
          <w:p w14:paraId="0820D611">
            <w:pPr>
              <w:pStyle w:val="14"/>
              <w:jc w:val="both"/>
              <w:rPr>
                <w:rFonts w:hint="eastAsia"/>
                <w:color w:val="auto"/>
                <w:sz w:val="21"/>
                <w:szCs w:val="21"/>
              </w:rPr>
            </w:pPr>
            <w:r>
              <w:rPr>
                <w:rFonts w:hint="eastAsia"/>
                <w:color w:val="auto"/>
                <w:spacing w:val="2"/>
                <w:sz w:val="21"/>
                <w:szCs w:val="21"/>
              </w:rPr>
              <w:t>指标点5</w:t>
            </w:r>
            <w:r>
              <w:rPr>
                <w:color w:val="auto"/>
                <w:spacing w:val="2"/>
                <w:sz w:val="21"/>
                <w:szCs w:val="21"/>
              </w:rPr>
              <w:t>-1:</w:t>
            </w:r>
            <w:r>
              <w:rPr>
                <w:rFonts w:hint="eastAsia"/>
                <w:color w:val="auto"/>
                <w:sz w:val="21"/>
                <w:szCs w:val="21"/>
              </w:rPr>
              <w:t xml:space="preserve">【擅长班队管理】具有小学德育工作体验，树立育 人为本、德育为先的理念，熟悉小学德育的基本原理与方法。获得小学班队组织与建设的体验。掌握小学班队组织与建设的工作规律和基本方法，具有班队建设和管理的基本能力。能够在工作实践中，利用技术手段收集学生成长过程的关键信息，建立学生成长电子档案，对学生进行综合素质评价，指导学生成长，关注学生生活，运用德育的理论和方法组织与指导班队活动。 </w:t>
            </w:r>
          </w:p>
        </w:tc>
        <w:tc>
          <w:tcPr>
            <w:tcW w:w="1327" w:type="dxa"/>
            <w:vAlign w:val="center"/>
          </w:tcPr>
          <w:p w14:paraId="6EC0F2A2">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课程目标3</w:t>
            </w:r>
          </w:p>
        </w:tc>
      </w:tr>
      <w:tr w14:paraId="4DAC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Merge w:val="continue"/>
            <w:vAlign w:val="center"/>
          </w:tcPr>
          <w:p w14:paraId="76CA3224">
            <w:pPr>
              <w:spacing w:line="276" w:lineRule="auto"/>
              <w:jc w:val="center"/>
              <w:rPr>
                <w:rFonts w:hint="eastAsia" w:ascii="宋体" w:hAnsi="宋体" w:eastAsia="宋体" w:cs="Times New Roman"/>
                <w:b/>
                <w:bCs/>
                <w:color w:val="auto"/>
                <w:kern w:val="0"/>
                <w:szCs w:val="21"/>
              </w:rPr>
            </w:pPr>
          </w:p>
        </w:tc>
        <w:tc>
          <w:tcPr>
            <w:tcW w:w="6293" w:type="dxa"/>
            <w:vAlign w:val="center"/>
          </w:tcPr>
          <w:p w14:paraId="45F27A00">
            <w:pPr>
              <w:pStyle w:val="14"/>
              <w:rPr>
                <w:rFonts w:hint="eastAsia"/>
                <w:color w:val="auto"/>
                <w:sz w:val="21"/>
                <w:szCs w:val="21"/>
              </w:rPr>
            </w:pPr>
            <w:r>
              <w:rPr>
                <w:rFonts w:hint="eastAsia"/>
                <w:color w:val="auto"/>
                <w:spacing w:val="2"/>
                <w:sz w:val="21"/>
                <w:szCs w:val="21"/>
              </w:rPr>
              <w:t>指标点5</w:t>
            </w:r>
            <w:r>
              <w:rPr>
                <w:color w:val="auto"/>
                <w:spacing w:val="2"/>
                <w:sz w:val="21"/>
                <w:szCs w:val="21"/>
              </w:rPr>
              <w:t>-2:</w:t>
            </w:r>
            <w:r>
              <w:rPr>
                <w:rFonts w:hint="eastAsia"/>
                <w:color w:val="auto"/>
                <w:sz w:val="21"/>
                <w:szCs w:val="21"/>
              </w:rPr>
              <w:t>【重视身心健康教育】了解小学生身体、情感发展 的特性和差异性，包括小学生日常卫生保健、传染病预防、意外 伤害事故处理等相关知识，掌握面临特殊事件发生时保护学生的 基本方法。获得小学心理健康教育指导体验，在教育教学实践中， 参与组织与指导对小学生心理健康教育的科普宣传及心理辅导， 掌握小学心理健康教育的基本方法。</w:t>
            </w:r>
          </w:p>
        </w:tc>
        <w:tc>
          <w:tcPr>
            <w:tcW w:w="1327" w:type="dxa"/>
            <w:vAlign w:val="center"/>
          </w:tcPr>
          <w:p w14:paraId="023F33A3">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课程目标3</w:t>
            </w:r>
          </w:p>
        </w:tc>
      </w:tr>
      <w:tr w14:paraId="3588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Merge w:val="restart"/>
            <w:vAlign w:val="center"/>
          </w:tcPr>
          <w:p w14:paraId="71CFB850">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毕业要求6</w:t>
            </w:r>
          </w:p>
          <w:p w14:paraId="48DEBAE4">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综合育人</w:t>
            </w:r>
          </w:p>
        </w:tc>
        <w:tc>
          <w:tcPr>
            <w:tcW w:w="6293" w:type="dxa"/>
            <w:vAlign w:val="center"/>
          </w:tcPr>
          <w:p w14:paraId="23B490FA">
            <w:pPr>
              <w:pStyle w:val="14"/>
              <w:jc w:val="both"/>
              <w:rPr>
                <w:rFonts w:hint="eastAsia"/>
                <w:color w:val="auto"/>
                <w:sz w:val="21"/>
                <w:szCs w:val="21"/>
              </w:rPr>
            </w:pPr>
            <w:r>
              <w:rPr>
                <w:rFonts w:hint="eastAsia"/>
                <w:color w:val="auto"/>
                <w:spacing w:val="2"/>
                <w:sz w:val="21"/>
                <w:szCs w:val="21"/>
              </w:rPr>
              <w:t>指标点6</w:t>
            </w:r>
            <w:r>
              <w:rPr>
                <w:color w:val="auto"/>
                <w:spacing w:val="2"/>
                <w:sz w:val="21"/>
                <w:szCs w:val="21"/>
              </w:rPr>
              <w:t>-1:</w:t>
            </w:r>
            <w:r>
              <w:rPr>
                <w:rFonts w:hint="eastAsia"/>
                <w:color w:val="auto"/>
                <w:sz w:val="21"/>
                <w:szCs w:val="21"/>
              </w:rPr>
              <w:t>【遵循身心规律】了解不同年龄以及有特殊需要的小学生的身心发展特点和规律、不同年龄小学生学习的特点，掌 握小学生良好行为习惯养成的知识。</w:t>
            </w:r>
          </w:p>
        </w:tc>
        <w:tc>
          <w:tcPr>
            <w:tcW w:w="1327" w:type="dxa"/>
            <w:vAlign w:val="center"/>
          </w:tcPr>
          <w:p w14:paraId="612A799F">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课程目标3</w:t>
            </w:r>
          </w:p>
        </w:tc>
      </w:tr>
      <w:tr w14:paraId="638E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Merge w:val="continue"/>
            <w:vAlign w:val="center"/>
          </w:tcPr>
          <w:p w14:paraId="56B2F587">
            <w:pPr>
              <w:spacing w:line="276" w:lineRule="auto"/>
              <w:jc w:val="center"/>
              <w:rPr>
                <w:rFonts w:hint="eastAsia" w:ascii="宋体" w:hAnsi="宋体" w:eastAsia="宋体" w:cs="Times New Roman"/>
                <w:color w:val="auto"/>
                <w:kern w:val="0"/>
                <w:szCs w:val="21"/>
              </w:rPr>
            </w:pPr>
          </w:p>
        </w:tc>
        <w:tc>
          <w:tcPr>
            <w:tcW w:w="6293" w:type="dxa"/>
            <w:vAlign w:val="center"/>
          </w:tcPr>
          <w:p w14:paraId="2A822D43">
            <w:pPr>
              <w:pStyle w:val="14"/>
              <w:jc w:val="both"/>
              <w:rPr>
                <w:rFonts w:hint="eastAsia"/>
                <w:color w:val="auto"/>
                <w:sz w:val="21"/>
                <w:szCs w:val="21"/>
              </w:rPr>
            </w:pPr>
            <w:r>
              <w:rPr>
                <w:rFonts w:hint="eastAsia"/>
                <w:color w:val="auto"/>
                <w:spacing w:val="2"/>
                <w:sz w:val="21"/>
                <w:szCs w:val="21"/>
              </w:rPr>
              <w:t>指标点6</w:t>
            </w:r>
            <w:r>
              <w:rPr>
                <w:color w:val="auto"/>
                <w:spacing w:val="2"/>
                <w:sz w:val="21"/>
                <w:szCs w:val="21"/>
              </w:rPr>
              <w:t>-2:</w:t>
            </w:r>
            <w:r>
              <w:rPr>
                <w:rFonts w:hint="eastAsia"/>
                <w:color w:val="auto"/>
                <w:sz w:val="21"/>
                <w:szCs w:val="21"/>
              </w:rPr>
              <w:t>【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327" w:type="dxa"/>
            <w:vAlign w:val="center"/>
          </w:tcPr>
          <w:p w14:paraId="5F0F286C">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课程目标1</w:t>
            </w:r>
          </w:p>
        </w:tc>
      </w:tr>
      <w:tr w14:paraId="7C05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Merge w:val="continue"/>
            <w:vAlign w:val="center"/>
          </w:tcPr>
          <w:p w14:paraId="7217F846">
            <w:pPr>
              <w:spacing w:line="276" w:lineRule="auto"/>
              <w:jc w:val="center"/>
              <w:rPr>
                <w:rFonts w:hint="eastAsia" w:ascii="宋体" w:hAnsi="宋体" w:eastAsia="宋体" w:cs="Times New Roman"/>
                <w:color w:val="auto"/>
                <w:kern w:val="0"/>
                <w:szCs w:val="21"/>
              </w:rPr>
            </w:pPr>
          </w:p>
        </w:tc>
        <w:tc>
          <w:tcPr>
            <w:tcW w:w="6293" w:type="dxa"/>
            <w:vAlign w:val="center"/>
          </w:tcPr>
          <w:p w14:paraId="1C9C9556">
            <w:pPr>
              <w:pStyle w:val="14"/>
              <w:jc w:val="both"/>
              <w:rPr>
                <w:rFonts w:hint="eastAsia"/>
                <w:color w:val="auto"/>
                <w:sz w:val="21"/>
                <w:szCs w:val="21"/>
              </w:rPr>
            </w:pPr>
            <w:r>
              <w:rPr>
                <w:rFonts w:hint="eastAsia"/>
                <w:color w:val="auto"/>
                <w:spacing w:val="2"/>
                <w:sz w:val="21"/>
                <w:szCs w:val="21"/>
              </w:rPr>
              <w:t>指标点6</w:t>
            </w:r>
            <w:r>
              <w:rPr>
                <w:color w:val="auto"/>
                <w:spacing w:val="2"/>
                <w:sz w:val="21"/>
                <w:szCs w:val="21"/>
              </w:rPr>
              <w:t>-3:</w:t>
            </w:r>
            <w:r>
              <w:rPr>
                <w:rFonts w:hint="eastAsia"/>
                <w:color w:val="auto"/>
                <w:sz w:val="21"/>
                <w:szCs w:val="21"/>
              </w:rPr>
              <w:t xml:space="preserve"> 【善于文化与活动育人】了解课外活动组织和管理 知识，掌握学校文化和各类课外教育活动的育人内涵和方法，在 教育教学实践中，参与组织主题教育、少先队活动和社团活动， 促进小学生全面、健康发展。</w:t>
            </w:r>
          </w:p>
        </w:tc>
        <w:tc>
          <w:tcPr>
            <w:tcW w:w="1327" w:type="dxa"/>
            <w:vAlign w:val="center"/>
          </w:tcPr>
          <w:p w14:paraId="3E19BA1E">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课程目标2</w:t>
            </w:r>
          </w:p>
        </w:tc>
      </w:tr>
      <w:tr w14:paraId="1A17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14:paraId="07BDE0D9">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毕业要求7</w:t>
            </w:r>
          </w:p>
          <w:p w14:paraId="1A6798C3">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学会反思</w:t>
            </w:r>
          </w:p>
        </w:tc>
        <w:tc>
          <w:tcPr>
            <w:tcW w:w="6293" w:type="dxa"/>
            <w:vAlign w:val="center"/>
          </w:tcPr>
          <w:p w14:paraId="135C1F99">
            <w:pPr>
              <w:pStyle w:val="14"/>
              <w:rPr>
                <w:rFonts w:hint="eastAsia"/>
                <w:color w:val="auto"/>
                <w:sz w:val="21"/>
                <w:szCs w:val="21"/>
              </w:rPr>
            </w:pPr>
            <w:r>
              <w:rPr>
                <w:rFonts w:hint="eastAsia"/>
                <w:color w:val="auto"/>
                <w:spacing w:val="2"/>
                <w:sz w:val="21"/>
                <w:szCs w:val="21"/>
              </w:rPr>
              <w:t>指标点7</w:t>
            </w:r>
            <w:r>
              <w:rPr>
                <w:color w:val="auto"/>
                <w:spacing w:val="2"/>
                <w:sz w:val="21"/>
                <w:szCs w:val="21"/>
              </w:rPr>
              <w:t>-3:</w:t>
            </w:r>
            <w:r>
              <w:rPr>
                <w:rFonts w:hint="eastAsia"/>
                <w:color w:val="auto"/>
                <w:sz w:val="21"/>
                <w:szCs w:val="21"/>
              </w:rPr>
              <w:t xml:space="preserve"> 【反思改进良好】具有反思意识和批判性思维素养， 初步掌握反思方法和技能，具有一定创新意识，掌握收集和挖掘 教育教学实践中的案例、关键事件的方法，不断进行反思，启发 教育教学工作。对在日常学习和教育实践中发现的教育现象和问 题，进行探索和研究，有自己的思考和见解。</w:t>
            </w:r>
          </w:p>
        </w:tc>
        <w:tc>
          <w:tcPr>
            <w:tcW w:w="1327" w:type="dxa"/>
            <w:vAlign w:val="center"/>
          </w:tcPr>
          <w:p w14:paraId="5034F13F">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课程目标2</w:t>
            </w:r>
          </w:p>
        </w:tc>
      </w:tr>
      <w:tr w14:paraId="0858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Merge w:val="restart"/>
            <w:vAlign w:val="center"/>
          </w:tcPr>
          <w:p w14:paraId="1E547C69">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毕业要求8</w:t>
            </w:r>
          </w:p>
          <w:p w14:paraId="2A358B95">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沟通合作</w:t>
            </w:r>
          </w:p>
        </w:tc>
        <w:tc>
          <w:tcPr>
            <w:tcW w:w="6293" w:type="dxa"/>
            <w:vAlign w:val="center"/>
          </w:tcPr>
          <w:p w14:paraId="633898E3">
            <w:pPr>
              <w:pStyle w:val="14"/>
              <w:rPr>
                <w:rFonts w:hint="eastAsia"/>
                <w:color w:val="auto"/>
                <w:sz w:val="21"/>
                <w:szCs w:val="21"/>
              </w:rPr>
            </w:pPr>
            <w:r>
              <w:rPr>
                <w:rFonts w:hint="eastAsia"/>
                <w:color w:val="auto"/>
                <w:spacing w:val="2"/>
                <w:sz w:val="21"/>
                <w:szCs w:val="21"/>
              </w:rPr>
              <w:t>指标点8</w:t>
            </w:r>
            <w:r>
              <w:rPr>
                <w:color w:val="auto"/>
                <w:spacing w:val="2"/>
                <w:sz w:val="21"/>
                <w:szCs w:val="21"/>
              </w:rPr>
              <w:t>-1:</w:t>
            </w:r>
            <w:r>
              <w:rPr>
                <w:rFonts w:hint="eastAsia"/>
                <w:color w:val="auto"/>
                <w:sz w:val="21"/>
                <w:szCs w:val="21"/>
              </w:rPr>
              <w:t xml:space="preserve"> 【善于团队合作】理解学习共同体的本质和价值， 掌握团队协作的基本策略，在课堂学习与教育实践中获得合作学 习体验，形成团队协作精神。</w:t>
            </w:r>
          </w:p>
        </w:tc>
        <w:tc>
          <w:tcPr>
            <w:tcW w:w="1327" w:type="dxa"/>
            <w:vAlign w:val="center"/>
          </w:tcPr>
          <w:p w14:paraId="0D4E1A6E">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课程目标4</w:t>
            </w:r>
          </w:p>
        </w:tc>
      </w:tr>
      <w:tr w14:paraId="0C04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Merge w:val="continue"/>
            <w:vAlign w:val="center"/>
          </w:tcPr>
          <w:p w14:paraId="49EE661A">
            <w:pPr>
              <w:spacing w:line="276" w:lineRule="auto"/>
              <w:jc w:val="center"/>
              <w:rPr>
                <w:rFonts w:hint="eastAsia" w:ascii="宋体" w:hAnsi="宋体" w:eastAsia="宋体" w:cs="Times New Roman"/>
                <w:color w:val="auto"/>
                <w:kern w:val="0"/>
                <w:szCs w:val="21"/>
              </w:rPr>
            </w:pPr>
          </w:p>
        </w:tc>
        <w:tc>
          <w:tcPr>
            <w:tcW w:w="6293" w:type="dxa"/>
            <w:vAlign w:val="center"/>
          </w:tcPr>
          <w:p w14:paraId="59CFD646">
            <w:pPr>
              <w:pStyle w:val="14"/>
              <w:rPr>
                <w:rFonts w:hint="eastAsia"/>
                <w:color w:val="auto"/>
                <w:sz w:val="21"/>
                <w:szCs w:val="21"/>
              </w:rPr>
            </w:pPr>
            <w:r>
              <w:rPr>
                <w:rFonts w:hint="eastAsia"/>
                <w:color w:val="auto"/>
                <w:spacing w:val="2"/>
                <w:sz w:val="21"/>
                <w:szCs w:val="21"/>
              </w:rPr>
              <w:t>指标点8</w:t>
            </w:r>
            <w:r>
              <w:rPr>
                <w:color w:val="auto"/>
                <w:spacing w:val="2"/>
                <w:sz w:val="21"/>
                <w:szCs w:val="21"/>
              </w:rPr>
              <w:t>-2:</w:t>
            </w:r>
            <w:r>
              <w:rPr>
                <w:rFonts w:hint="eastAsia"/>
                <w:color w:val="auto"/>
                <w:sz w:val="21"/>
                <w:szCs w:val="21"/>
              </w:rPr>
              <w:t xml:space="preserve"> 【学会沟通交流】掌握人际沟通合作技能与方法， 在教育教学实践中，能与学生和家长以及同行、同事、专家进行 有效沟通与合作，实现共同发展。</w:t>
            </w:r>
          </w:p>
        </w:tc>
        <w:tc>
          <w:tcPr>
            <w:tcW w:w="1327" w:type="dxa"/>
            <w:vAlign w:val="center"/>
          </w:tcPr>
          <w:p w14:paraId="155C2BAD">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课程目标4</w:t>
            </w:r>
          </w:p>
        </w:tc>
      </w:tr>
    </w:tbl>
    <w:p w14:paraId="1A8DDE5C">
      <w:pPr>
        <w:spacing w:line="360" w:lineRule="auto"/>
        <w:ind w:firstLine="482" w:firstLineChars="200"/>
        <w:jc w:val="left"/>
        <w:rPr>
          <w:rFonts w:hint="eastAsia" w:ascii="宋体" w:hAnsi="宋体" w:eastAsia="宋体" w:cs="Times New Roman"/>
          <w:b/>
          <w:bCs/>
          <w:color w:val="auto"/>
          <w:sz w:val="24"/>
        </w:rPr>
      </w:pPr>
    </w:p>
    <w:p w14:paraId="4F983A93">
      <w:pPr>
        <w:spacing w:line="360" w:lineRule="auto"/>
        <w:ind w:firstLine="422" w:firstLineChars="200"/>
        <w:jc w:val="left"/>
        <w:rPr>
          <w:rFonts w:hint="eastAsia" w:ascii="宋体" w:hAnsi="宋体" w:eastAsia="宋体" w:cs="Times New Roman"/>
          <w:b/>
          <w:bCs/>
          <w:color w:val="auto"/>
          <w:sz w:val="21"/>
          <w:szCs w:val="21"/>
        </w:rPr>
      </w:pPr>
      <w:r>
        <w:rPr>
          <w:rFonts w:hint="eastAsia" w:ascii="宋体" w:hAnsi="宋体" w:eastAsia="宋体" w:cs="Times New Roman"/>
          <w:b/>
          <w:bCs/>
          <w:color w:val="auto"/>
          <w:sz w:val="21"/>
          <w:szCs w:val="21"/>
        </w:rPr>
        <w:t>（三）课程思政目标</w:t>
      </w:r>
    </w:p>
    <w:p w14:paraId="1E0BFA5D">
      <w:pPr>
        <w:spacing w:line="360" w:lineRule="auto"/>
        <w:ind w:firstLine="420" w:firstLineChars="200"/>
        <w:jc w:val="left"/>
        <w:rPr>
          <w:rFonts w:hint="eastAsia" w:ascii="宋体" w:hAnsi="宋体" w:eastAsia="宋体" w:cs="Times New Roman"/>
          <w:color w:val="auto"/>
          <w:szCs w:val="21"/>
        </w:rPr>
      </w:pPr>
      <w:r>
        <w:rPr>
          <w:rFonts w:hint="eastAsia" w:ascii="宋体" w:hAnsi="宋体" w:eastAsia="宋体" w:cs="Times New Roman"/>
          <w:color w:val="auto"/>
          <w:sz w:val="21"/>
          <w:szCs w:val="21"/>
        </w:rPr>
        <w:t>坚定教育理念，增强教育情怀，在工作和实践中善于学习，正确认识教育规律，关心关爱学生，</w:t>
      </w:r>
      <w:r>
        <w:rPr>
          <w:rFonts w:ascii="宋体" w:hAnsi="宋体" w:eastAsia="宋体" w:cs="Times New Roman"/>
          <w:color w:val="auto"/>
          <w:sz w:val="21"/>
          <w:szCs w:val="21"/>
        </w:rPr>
        <w:t>形成学科育人的意识，</w:t>
      </w:r>
      <w:r>
        <w:rPr>
          <w:rFonts w:hint="eastAsia" w:ascii="宋体" w:hAnsi="宋体" w:eastAsia="宋体" w:cs="Times New Roman"/>
          <w:color w:val="auto"/>
          <w:sz w:val="21"/>
          <w:szCs w:val="21"/>
        </w:rPr>
        <w:t>初步</w:t>
      </w:r>
      <w:r>
        <w:rPr>
          <w:rFonts w:ascii="宋体" w:hAnsi="宋体" w:eastAsia="宋体" w:cs="Times New Roman"/>
          <w:color w:val="auto"/>
          <w:sz w:val="21"/>
          <w:szCs w:val="21"/>
        </w:rPr>
        <w:t>掌握</w:t>
      </w:r>
      <w:r>
        <w:rPr>
          <w:rFonts w:hint="eastAsia" w:ascii="宋体" w:hAnsi="宋体" w:eastAsia="宋体" w:cs="Times New Roman"/>
          <w:color w:val="auto"/>
          <w:sz w:val="21"/>
          <w:szCs w:val="21"/>
        </w:rPr>
        <w:t>教书</w:t>
      </w:r>
      <w:r>
        <w:rPr>
          <w:rFonts w:ascii="宋体" w:hAnsi="宋体" w:eastAsia="宋体" w:cs="Times New Roman"/>
          <w:color w:val="auto"/>
          <w:sz w:val="21"/>
          <w:szCs w:val="21"/>
        </w:rPr>
        <w:t>育人的方法。</w:t>
      </w:r>
    </w:p>
    <w:p w14:paraId="4C9076E9">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2"/>
          <w:szCs w:val="22"/>
        </w:rPr>
        <w:t>三、教学内容与预期学习成效</w:t>
      </w:r>
    </w:p>
    <w:tbl>
      <w:tblPr>
        <w:tblStyle w:val="16"/>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2957"/>
        <w:gridCol w:w="1077"/>
        <w:gridCol w:w="2231"/>
        <w:gridCol w:w="1403"/>
        <w:gridCol w:w="442"/>
      </w:tblGrid>
      <w:tr w14:paraId="524B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5D2E9A2A">
            <w:pPr>
              <w:spacing w:line="240" w:lineRule="auto"/>
              <w:jc w:val="center"/>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知识</w:t>
            </w:r>
          </w:p>
          <w:p w14:paraId="5FDD2F13">
            <w:pPr>
              <w:spacing w:line="240" w:lineRule="auto"/>
              <w:jc w:val="center"/>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单元</w:t>
            </w:r>
          </w:p>
        </w:tc>
        <w:tc>
          <w:tcPr>
            <w:tcW w:w="2957" w:type="dxa"/>
            <w:vAlign w:val="center"/>
          </w:tcPr>
          <w:p w14:paraId="4363C25F">
            <w:pPr>
              <w:spacing w:line="240" w:lineRule="auto"/>
              <w:jc w:val="center"/>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知识点</w:t>
            </w:r>
          </w:p>
        </w:tc>
        <w:tc>
          <w:tcPr>
            <w:tcW w:w="1077" w:type="dxa"/>
            <w:vAlign w:val="center"/>
          </w:tcPr>
          <w:p w14:paraId="65248183">
            <w:pPr>
              <w:spacing w:line="240" w:lineRule="auto"/>
              <w:jc w:val="center"/>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对应</w:t>
            </w:r>
          </w:p>
          <w:p w14:paraId="448977F9">
            <w:pPr>
              <w:spacing w:line="240" w:lineRule="auto"/>
              <w:jc w:val="center"/>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课程目标</w:t>
            </w:r>
          </w:p>
        </w:tc>
        <w:tc>
          <w:tcPr>
            <w:tcW w:w="2231" w:type="dxa"/>
            <w:vAlign w:val="center"/>
          </w:tcPr>
          <w:p w14:paraId="68CC6F2F">
            <w:pPr>
              <w:spacing w:line="240" w:lineRule="auto"/>
              <w:jc w:val="center"/>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预期学习成效</w:t>
            </w:r>
          </w:p>
        </w:tc>
        <w:tc>
          <w:tcPr>
            <w:tcW w:w="1403" w:type="dxa"/>
            <w:vAlign w:val="center"/>
          </w:tcPr>
          <w:p w14:paraId="05D25537">
            <w:pPr>
              <w:spacing w:line="240" w:lineRule="auto"/>
              <w:jc w:val="center"/>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实现环节</w:t>
            </w:r>
          </w:p>
        </w:tc>
        <w:tc>
          <w:tcPr>
            <w:tcW w:w="442" w:type="dxa"/>
            <w:vAlign w:val="center"/>
          </w:tcPr>
          <w:p w14:paraId="711BCB1C">
            <w:pPr>
              <w:spacing w:line="240" w:lineRule="auto"/>
              <w:jc w:val="center"/>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学时</w:t>
            </w:r>
          </w:p>
        </w:tc>
      </w:tr>
      <w:tr w14:paraId="0907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4663A274">
            <w:pPr>
              <w:spacing w:line="240" w:lineRule="auto"/>
              <w:jc w:val="center"/>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w:t>
            </w:r>
            <w:r>
              <w:rPr>
                <w:rFonts w:ascii="宋体" w:hAnsi="宋体" w:eastAsia="宋体" w:cs="Times New Roman"/>
                <w:color w:val="auto"/>
                <w:kern w:val="0"/>
                <w:sz w:val="21"/>
                <w:szCs w:val="21"/>
              </w:rPr>
              <w:t>.</w:t>
            </w:r>
            <w:r>
              <w:rPr>
                <w:rFonts w:hint="eastAsia" w:ascii="Times New Roman" w:hAnsi="Times New Roman" w:eastAsia="宋体" w:cs="Times New Roman"/>
                <w:color w:val="auto"/>
                <w:kern w:val="0"/>
                <w:sz w:val="21"/>
                <w:szCs w:val="21"/>
              </w:rPr>
              <w:t>学校考察</w:t>
            </w:r>
          </w:p>
        </w:tc>
        <w:tc>
          <w:tcPr>
            <w:tcW w:w="2957" w:type="dxa"/>
            <w:vAlign w:val="center"/>
          </w:tcPr>
          <w:p w14:paraId="775C0C03">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观察学校空间、师生日常活动，体会学校校园文化和办学理念；聆听学校负责人介绍学校建设情况、教育教学理念、特色文化；采用观察法或访谈法，聚焦一个主题开展教育调查，分析和总结见习学校的教育教学改革情况</w:t>
            </w:r>
            <w:r>
              <w:rPr>
                <w:rFonts w:hint="eastAsia" w:ascii="宋体" w:hAnsi="宋体" w:eastAsia="宋体" w:cs="Times New Roman"/>
                <w:color w:val="auto"/>
                <w:kern w:val="0"/>
                <w:sz w:val="21"/>
                <w:szCs w:val="21"/>
              </w:rPr>
              <w:t>。</w:t>
            </w:r>
          </w:p>
        </w:tc>
        <w:tc>
          <w:tcPr>
            <w:tcW w:w="1077" w:type="dxa"/>
            <w:vAlign w:val="center"/>
          </w:tcPr>
          <w:p w14:paraId="2145C10F">
            <w:pPr>
              <w:spacing w:line="240" w:lineRule="auto"/>
              <w:jc w:val="center"/>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课程目标1、3</w:t>
            </w:r>
          </w:p>
        </w:tc>
        <w:tc>
          <w:tcPr>
            <w:tcW w:w="2231" w:type="dxa"/>
            <w:vAlign w:val="center"/>
          </w:tcPr>
          <w:p w14:paraId="0C0C1A91">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认真考察校园文化，听取学校专题介绍，与指导教师深入交流；完成1份教育调查报告</w:t>
            </w:r>
            <w:r>
              <w:rPr>
                <w:rFonts w:hint="eastAsia" w:ascii="宋体" w:hAnsi="宋体" w:eastAsia="宋体" w:cs="Times New Roman"/>
                <w:color w:val="auto"/>
                <w:kern w:val="0"/>
                <w:sz w:val="21"/>
                <w:szCs w:val="21"/>
              </w:rPr>
              <w:t>，</w:t>
            </w:r>
            <w:r>
              <w:rPr>
                <w:rFonts w:ascii="宋体" w:hAnsi="宋体" w:eastAsia="宋体" w:cs="Times New Roman"/>
                <w:color w:val="auto"/>
                <w:kern w:val="0"/>
                <w:sz w:val="21"/>
                <w:szCs w:val="21"/>
              </w:rPr>
              <w:t>报告内容完整、方法合理，重点突出，数据和内容真实。</w:t>
            </w:r>
          </w:p>
        </w:tc>
        <w:tc>
          <w:tcPr>
            <w:tcW w:w="1403" w:type="dxa"/>
            <w:vAlign w:val="center"/>
          </w:tcPr>
          <w:p w14:paraId="4763F668">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1.跟岗学习</w:t>
            </w:r>
          </w:p>
          <w:p w14:paraId="60F0C36E">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2.交流研讨</w:t>
            </w:r>
          </w:p>
          <w:p w14:paraId="0F863006">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3</w:t>
            </w:r>
            <w:r>
              <w:rPr>
                <w:rFonts w:hint="eastAsia" w:ascii="宋体" w:hAnsi="宋体" w:eastAsia="宋体" w:cs="Times New Roman"/>
                <w:color w:val="auto"/>
                <w:kern w:val="0"/>
                <w:sz w:val="21"/>
                <w:szCs w:val="21"/>
              </w:rPr>
              <w:t>.自主实践</w:t>
            </w:r>
          </w:p>
        </w:tc>
        <w:tc>
          <w:tcPr>
            <w:tcW w:w="442" w:type="dxa"/>
            <w:vAlign w:val="center"/>
          </w:tcPr>
          <w:p w14:paraId="29ED2096">
            <w:pPr>
              <w:spacing w:line="240" w:lineRule="auto"/>
              <w:jc w:val="center"/>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2</w:t>
            </w:r>
            <w:r>
              <w:rPr>
                <w:rFonts w:hint="eastAsia" w:ascii="宋体" w:hAnsi="宋体" w:eastAsia="宋体" w:cs="Times New Roman"/>
                <w:color w:val="auto"/>
                <w:kern w:val="0"/>
                <w:sz w:val="21"/>
                <w:szCs w:val="21"/>
              </w:rPr>
              <w:t>天</w:t>
            </w:r>
          </w:p>
        </w:tc>
      </w:tr>
      <w:tr w14:paraId="6EFD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06" w:type="dxa"/>
            <w:vMerge w:val="continue"/>
            <w:vAlign w:val="center"/>
          </w:tcPr>
          <w:p w14:paraId="0D94BC54">
            <w:pPr>
              <w:spacing w:line="240" w:lineRule="auto"/>
              <w:jc w:val="center"/>
              <w:rPr>
                <w:rFonts w:hint="eastAsia" w:ascii="宋体" w:hAnsi="宋体" w:eastAsia="宋体" w:cs="Times New Roman"/>
                <w:color w:val="auto"/>
                <w:kern w:val="0"/>
                <w:sz w:val="21"/>
                <w:szCs w:val="21"/>
              </w:rPr>
            </w:pPr>
          </w:p>
        </w:tc>
        <w:tc>
          <w:tcPr>
            <w:tcW w:w="8110" w:type="dxa"/>
            <w:gridSpan w:val="5"/>
            <w:vAlign w:val="center"/>
          </w:tcPr>
          <w:p w14:paraId="1E0989EE">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b/>
                <w:color w:val="auto"/>
                <w:kern w:val="0"/>
                <w:sz w:val="21"/>
                <w:szCs w:val="21"/>
              </w:rPr>
              <w:t>课程思政目标：</w:t>
            </w:r>
            <w:r>
              <w:rPr>
                <w:rFonts w:ascii="宋体" w:hAnsi="宋体" w:eastAsia="宋体" w:cs="Times New Roman"/>
                <w:color w:val="auto"/>
                <w:kern w:val="0"/>
                <w:sz w:val="21"/>
                <w:szCs w:val="21"/>
              </w:rPr>
              <w:t>把“立德树人”教育目标融入实践过程中，领悟教师职业的价值，树立职业理想，立志成为有理想信念、有道德情操、有扎实学识、有仁爱之心的好教师。</w:t>
            </w:r>
          </w:p>
        </w:tc>
      </w:tr>
      <w:tr w14:paraId="3A57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03513EE9">
            <w:pPr>
              <w:spacing w:line="240" w:lineRule="auto"/>
              <w:jc w:val="center"/>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w:t>
            </w:r>
            <w:r>
              <w:rPr>
                <w:rFonts w:ascii="宋体" w:hAnsi="宋体" w:eastAsia="宋体" w:cs="Times New Roman"/>
                <w:color w:val="auto"/>
                <w:kern w:val="0"/>
                <w:sz w:val="21"/>
                <w:szCs w:val="21"/>
              </w:rPr>
              <w:t>.</w:t>
            </w:r>
            <w:r>
              <w:rPr>
                <w:rFonts w:hint="eastAsia" w:ascii="Times New Roman" w:hAnsi="Times New Roman" w:eastAsia="宋体" w:cs="Times New Roman"/>
                <w:color w:val="auto"/>
                <w:kern w:val="0"/>
                <w:sz w:val="21"/>
                <w:szCs w:val="21"/>
              </w:rPr>
              <w:t xml:space="preserve"> 教学观摩与研习</w:t>
            </w:r>
          </w:p>
        </w:tc>
        <w:tc>
          <w:tcPr>
            <w:tcW w:w="2957" w:type="dxa"/>
            <w:vAlign w:val="center"/>
          </w:tcPr>
          <w:p w14:paraId="5EE728EA">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认真研读教材，备课，撰写教案，善于运用教学材料钻研教材，设计出形式要素齐全、比较规范合理的教案，认真学习实践导师的教学方法与教学经验。聆听学校优秀教师、优秀班主任(辅导员)工作教育教学经验的介绍。</w:t>
            </w:r>
          </w:p>
        </w:tc>
        <w:tc>
          <w:tcPr>
            <w:tcW w:w="1077" w:type="dxa"/>
            <w:vAlign w:val="center"/>
          </w:tcPr>
          <w:p w14:paraId="651982A8">
            <w:pPr>
              <w:spacing w:line="240" w:lineRule="auto"/>
              <w:jc w:val="center"/>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课程目标1、2</w:t>
            </w:r>
          </w:p>
        </w:tc>
        <w:tc>
          <w:tcPr>
            <w:tcW w:w="2231" w:type="dxa"/>
            <w:vAlign w:val="center"/>
          </w:tcPr>
          <w:p w14:paraId="1EB65C39">
            <w:pPr>
              <w:spacing w:line="240" w:lineRule="auto"/>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1.善于倾听和思考，总结教学观摩心得，能与实践导师进行积极交流；</w:t>
            </w:r>
          </w:p>
          <w:p w14:paraId="54FCAD7B">
            <w:pPr>
              <w:spacing w:line="240" w:lineRule="auto"/>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2.善于运用教学材料钻研教材，设计出形式要素齐全、比较规范合理的教案，认真学习实践导师的教学方法与教学经验。</w:t>
            </w:r>
          </w:p>
          <w:p w14:paraId="7C98190D">
            <w:pPr>
              <w:spacing w:line="240" w:lineRule="auto"/>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3.每天听课2-3节，总听课数不少于10节</w:t>
            </w:r>
            <w:r>
              <w:rPr>
                <w:rFonts w:hint="eastAsia" w:ascii="宋体" w:hAnsi="宋体" w:eastAsia="宋体" w:cs="Times New Roman"/>
                <w:color w:val="auto"/>
                <w:kern w:val="0"/>
                <w:sz w:val="21"/>
                <w:szCs w:val="21"/>
              </w:rPr>
              <w:t>。撰写</w:t>
            </w:r>
            <w:r>
              <w:rPr>
                <w:rFonts w:ascii="宋体" w:hAnsi="宋体" w:eastAsia="宋体" w:cs="Times New Roman"/>
                <w:color w:val="auto"/>
                <w:kern w:val="0"/>
                <w:sz w:val="21"/>
                <w:szCs w:val="21"/>
              </w:rPr>
              <w:t>教案</w:t>
            </w:r>
            <w:r>
              <w:rPr>
                <w:rFonts w:hint="eastAsia" w:ascii="宋体" w:hAnsi="宋体" w:eastAsia="宋体" w:cs="Times New Roman"/>
                <w:color w:val="auto"/>
                <w:kern w:val="0"/>
                <w:sz w:val="21"/>
                <w:szCs w:val="21"/>
              </w:rPr>
              <w:t>1篇。</w:t>
            </w:r>
          </w:p>
        </w:tc>
        <w:tc>
          <w:tcPr>
            <w:tcW w:w="1403" w:type="dxa"/>
            <w:vAlign w:val="center"/>
          </w:tcPr>
          <w:p w14:paraId="720611F6">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1.跟岗学习</w:t>
            </w:r>
          </w:p>
          <w:p w14:paraId="6DEC0F83">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2.交流研讨</w:t>
            </w:r>
          </w:p>
          <w:p w14:paraId="141C0C41">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3</w:t>
            </w:r>
            <w:r>
              <w:rPr>
                <w:rFonts w:hint="eastAsia" w:ascii="宋体" w:hAnsi="宋体" w:eastAsia="宋体" w:cs="Times New Roman"/>
                <w:color w:val="auto"/>
                <w:kern w:val="0"/>
                <w:sz w:val="21"/>
                <w:szCs w:val="21"/>
              </w:rPr>
              <w:t>.自主实践</w:t>
            </w:r>
          </w:p>
        </w:tc>
        <w:tc>
          <w:tcPr>
            <w:tcW w:w="442" w:type="dxa"/>
            <w:vAlign w:val="center"/>
          </w:tcPr>
          <w:p w14:paraId="130ED03D">
            <w:pPr>
              <w:spacing w:line="240" w:lineRule="auto"/>
              <w:jc w:val="center"/>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4天</w:t>
            </w:r>
          </w:p>
        </w:tc>
      </w:tr>
      <w:tr w14:paraId="10B1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206" w:type="dxa"/>
            <w:vMerge w:val="continue"/>
            <w:vAlign w:val="center"/>
          </w:tcPr>
          <w:p w14:paraId="4893EE57">
            <w:pPr>
              <w:spacing w:line="240" w:lineRule="auto"/>
              <w:jc w:val="center"/>
              <w:rPr>
                <w:rFonts w:hint="eastAsia" w:ascii="宋体" w:hAnsi="宋体" w:eastAsia="宋体" w:cs="Times New Roman"/>
                <w:color w:val="auto"/>
                <w:kern w:val="0"/>
                <w:sz w:val="21"/>
                <w:szCs w:val="21"/>
              </w:rPr>
            </w:pPr>
          </w:p>
        </w:tc>
        <w:tc>
          <w:tcPr>
            <w:tcW w:w="8110" w:type="dxa"/>
            <w:gridSpan w:val="5"/>
            <w:vAlign w:val="center"/>
          </w:tcPr>
          <w:p w14:paraId="6E2B5D90">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b/>
                <w:color w:val="auto"/>
                <w:kern w:val="0"/>
                <w:sz w:val="21"/>
                <w:szCs w:val="21"/>
              </w:rPr>
              <w:t>课程思政目标：</w:t>
            </w:r>
            <w:r>
              <w:rPr>
                <w:rFonts w:hint="eastAsia" w:ascii="宋体" w:hAnsi="宋体" w:eastAsia="宋体" w:cs="Times New Roman"/>
                <w:color w:val="auto"/>
                <w:kern w:val="0"/>
                <w:sz w:val="21"/>
                <w:szCs w:val="21"/>
              </w:rPr>
              <w:t>树立辩证统一的思维，能够科学合理的分析和评价教学，吸取教学中的经验与教训；理解教师工作的本质，认同教师工作的科学性和专业性。</w:t>
            </w:r>
          </w:p>
        </w:tc>
      </w:tr>
      <w:tr w14:paraId="2CBA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7E15B171">
            <w:pPr>
              <w:spacing w:line="240" w:lineRule="auto"/>
              <w:jc w:val="center"/>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3</w:t>
            </w:r>
            <w:r>
              <w:rPr>
                <w:rFonts w:ascii="宋体" w:hAnsi="宋体" w:eastAsia="宋体" w:cs="Times New Roman"/>
                <w:color w:val="auto"/>
                <w:kern w:val="0"/>
                <w:sz w:val="21"/>
                <w:szCs w:val="21"/>
              </w:rPr>
              <w:t>.</w:t>
            </w:r>
            <w:r>
              <w:rPr>
                <w:rFonts w:hint="eastAsia" w:ascii="宋体" w:hAnsi="宋体" w:eastAsia="宋体" w:cs="Times New Roman"/>
                <w:color w:val="auto"/>
                <w:kern w:val="0"/>
                <w:sz w:val="21"/>
                <w:szCs w:val="21"/>
              </w:rPr>
              <w:t>班级管理和班队工作见习</w:t>
            </w:r>
          </w:p>
        </w:tc>
        <w:tc>
          <w:tcPr>
            <w:tcW w:w="2957" w:type="dxa"/>
            <w:vAlign w:val="center"/>
          </w:tcPr>
          <w:p w14:paraId="214525DA">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全面观察班级常规管理工作，了解班主任日常工作的内容和方法，主动协助班主任进行班级管理；在班主任指导下尝试组织有主题的班会或班队活动</w:t>
            </w:r>
            <w:r>
              <w:rPr>
                <w:rFonts w:hint="eastAsia" w:ascii="宋体" w:hAnsi="宋体" w:eastAsia="宋体" w:cs="Times New Roman"/>
                <w:color w:val="auto"/>
                <w:kern w:val="0"/>
                <w:sz w:val="21"/>
                <w:szCs w:val="21"/>
              </w:rPr>
              <w:t>。</w:t>
            </w:r>
          </w:p>
        </w:tc>
        <w:tc>
          <w:tcPr>
            <w:tcW w:w="1077" w:type="dxa"/>
            <w:vAlign w:val="center"/>
          </w:tcPr>
          <w:p w14:paraId="74C9E1F3">
            <w:pPr>
              <w:spacing w:line="240" w:lineRule="auto"/>
              <w:jc w:val="center"/>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课程目标1、3、4</w:t>
            </w:r>
          </w:p>
        </w:tc>
        <w:tc>
          <w:tcPr>
            <w:tcW w:w="2231" w:type="dxa"/>
            <w:vAlign w:val="center"/>
          </w:tcPr>
          <w:p w14:paraId="7FEE2B99">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w:t>
            </w:r>
            <w:r>
              <w:rPr>
                <w:rFonts w:ascii="宋体" w:hAnsi="宋体" w:eastAsia="宋体" w:cs="Times New Roman"/>
                <w:color w:val="auto"/>
                <w:kern w:val="0"/>
                <w:sz w:val="21"/>
                <w:szCs w:val="21"/>
              </w:rPr>
              <w:t>.主动与小学生加深交流，掌握小学生生活特点、心理特点；</w:t>
            </w:r>
          </w:p>
          <w:p w14:paraId="6F0B8464">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2.认真观察，主动与实践导师沟通班级管理的经验，善于在管理案例中总结经验与教训。</w:t>
            </w:r>
          </w:p>
          <w:p w14:paraId="27E2DB41">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3.</w:t>
            </w:r>
            <w:r>
              <w:rPr>
                <w:rFonts w:hint="eastAsia" w:ascii="宋体" w:hAnsi="宋体" w:eastAsia="宋体" w:cs="Times New Roman"/>
                <w:color w:val="auto"/>
                <w:kern w:val="0"/>
                <w:sz w:val="21"/>
                <w:szCs w:val="21"/>
              </w:rPr>
              <w:t>完成</w:t>
            </w:r>
            <w:r>
              <w:rPr>
                <w:rFonts w:ascii="宋体" w:hAnsi="宋体" w:eastAsia="宋体" w:cs="Times New Roman"/>
                <w:color w:val="auto"/>
                <w:kern w:val="0"/>
                <w:sz w:val="21"/>
                <w:szCs w:val="21"/>
              </w:rPr>
              <w:t>班队活动观察记录1份。</w:t>
            </w:r>
          </w:p>
        </w:tc>
        <w:tc>
          <w:tcPr>
            <w:tcW w:w="1403" w:type="dxa"/>
            <w:vAlign w:val="center"/>
          </w:tcPr>
          <w:p w14:paraId="450207E2">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1.跟岗学习</w:t>
            </w:r>
          </w:p>
          <w:p w14:paraId="79F53693">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2.交流研讨</w:t>
            </w:r>
          </w:p>
          <w:p w14:paraId="4F3B9E90">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3</w:t>
            </w:r>
            <w:r>
              <w:rPr>
                <w:rFonts w:hint="eastAsia" w:ascii="宋体" w:hAnsi="宋体" w:eastAsia="宋体" w:cs="Times New Roman"/>
                <w:color w:val="auto"/>
                <w:kern w:val="0"/>
                <w:sz w:val="21"/>
                <w:szCs w:val="21"/>
              </w:rPr>
              <w:t>.自主实践</w:t>
            </w:r>
          </w:p>
        </w:tc>
        <w:tc>
          <w:tcPr>
            <w:tcW w:w="442" w:type="dxa"/>
            <w:vAlign w:val="center"/>
          </w:tcPr>
          <w:p w14:paraId="3D3EC936">
            <w:pPr>
              <w:spacing w:line="240" w:lineRule="auto"/>
              <w:jc w:val="center"/>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4天</w:t>
            </w:r>
          </w:p>
        </w:tc>
      </w:tr>
      <w:tr w14:paraId="60A0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206" w:type="dxa"/>
            <w:vMerge w:val="continue"/>
            <w:vAlign w:val="center"/>
          </w:tcPr>
          <w:p w14:paraId="76BA8675">
            <w:pPr>
              <w:spacing w:line="240" w:lineRule="auto"/>
              <w:jc w:val="center"/>
              <w:rPr>
                <w:rFonts w:hint="eastAsia" w:ascii="宋体" w:hAnsi="宋体" w:eastAsia="宋体" w:cs="Times New Roman"/>
                <w:color w:val="auto"/>
                <w:kern w:val="0"/>
                <w:sz w:val="21"/>
                <w:szCs w:val="21"/>
              </w:rPr>
            </w:pPr>
          </w:p>
        </w:tc>
        <w:tc>
          <w:tcPr>
            <w:tcW w:w="8110" w:type="dxa"/>
            <w:gridSpan w:val="5"/>
            <w:vAlign w:val="center"/>
          </w:tcPr>
          <w:p w14:paraId="6CC51AC1">
            <w:pPr>
              <w:spacing w:line="240" w:lineRule="auto"/>
              <w:ind w:firstLine="422" w:firstLineChars="200"/>
              <w:rPr>
                <w:rFonts w:hint="eastAsia" w:ascii="宋体" w:hAnsi="宋体" w:eastAsia="宋体" w:cs="Times New Roman"/>
                <w:b/>
                <w:bCs/>
                <w:color w:val="auto"/>
                <w:kern w:val="0"/>
                <w:sz w:val="21"/>
                <w:szCs w:val="21"/>
              </w:rPr>
            </w:pPr>
            <w:r>
              <w:rPr>
                <w:rFonts w:hint="eastAsia" w:ascii="宋体" w:hAnsi="宋体" w:eastAsia="宋体" w:cs="Times New Roman"/>
                <w:b/>
                <w:bCs/>
                <w:color w:val="auto"/>
                <w:kern w:val="0"/>
                <w:sz w:val="21"/>
                <w:szCs w:val="21"/>
              </w:rPr>
              <w:t>课程思政目标：</w:t>
            </w:r>
            <w:r>
              <w:rPr>
                <w:rFonts w:hint="eastAsia" w:ascii="宋体" w:hAnsi="宋体" w:eastAsia="宋体" w:cs="Times New Roman"/>
                <w:color w:val="auto"/>
                <w:kern w:val="0"/>
                <w:sz w:val="21"/>
                <w:szCs w:val="21"/>
              </w:rPr>
              <w:t>理解培养全面发展的人这一教育理念，认识教育管理、班队活动的育人价值，提高教育修养，增强在教育过程中挖掘各个因素进行教育的意识和能力。</w:t>
            </w:r>
          </w:p>
        </w:tc>
      </w:tr>
    </w:tbl>
    <w:p w14:paraId="2A528D2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2"/>
          <w:szCs w:val="22"/>
        </w:rPr>
        <w:t>四、目标评价与成绩评定</w:t>
      </w:r>
    </w:p>
    <w:p w14:paraId="3BFE0921">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1BB10969">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1273"/>
        <w:gridCol w:w="1268"/>
        <w:gridCol w:w="1661"/>
        <w:gridCol w:w="1843"/>
        <w:gridCol w:w="1255"/>
      </w:tblGrid>
      <w:tr w14:paraId="29BD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Merge w:val="restart"/>
            <w:vAlign w:val="center"/>
          </w:tcPr>
          <w:p w14:paraId="5A385426">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w:t>
            </w:r>
          </w:p>
        </w:tc>
        <w:tc>
          <w:tcPr>
            <w:tcW w:w="6045" w:type="dxa"/>
            <w:gridSpan w:val="4"/>
          </w:tcPr>
          <w:p w14:paraId="3E012BD1">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评价与成绩评定方法</w:t>
            </w:r>
          </w:p>
        </w:tc>
        <w:tc>
          <w:tcPr>
            <w:tcW w:w="1255" w:type="dxa"/>
            <w:vMerge w:val="restart"/>
            <w:vAlign w:val="center"/>
          </w:tcPr>
          <w:p w14:paraId="4DFACDFC">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分值</w:t>
            </w:r>
          </w:p>
        </w:tc>
      </w:tr>
      <w:tr w14:paraId="1D4F0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605" w:type="dxa"/>
            <w:vMerge w:val="continue"/>
            <w:vAlign w:val="center"/>
          </w:tcPr>
          <w:p w14:paraId="59803E10">
            <w:pPr>
              <w:spacing w:line="360" w:lineRule="auto"/>
              <w:jc w:val="center"/>
              <w:rPr>
                <w:rFonts w:hint="eastAsia" w:ascii="宋体" w:hAnsi="宋体" w:eastAsia="宋体" w:cs="Times New Roman"/>
                <w:color w:val="auto"/>
                <w:kern w:val="0"/>
                <w:sz w:val="20"/>
                <w:szCs w:val="21"/>
              </w:rPr>
            </w:pPr>
          </w:p>
        </w:tc>
        <w:tc>
          <w:tcPr>
            <w:tcW w:w="1273" w:type="dxa"/>
            <w:vAlign w:val="center"/>
          </w:tcPr>
          <w:p w14:paraId="27D9CA26">
            <w:pPr>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见习态度</w:t>
            </w:r>
          </w:p>
        </w:tc>
        <w:tc>
          <w:tcPr>
            <w:tcW w:w="1268" w:type="dxa"/>
            <w:vAlign w:val="center"/>
          </w:tcPr>
          <w:p w14:paraId="692CE194">
            <w:pPr>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学校考察</w:t>
            </w:r>
          </w:p>
          <w:p w14:paraId="79D6D96E">
            <w:pPr>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调查报告</w:t>
            </w:r>
          </w:p>
        </w:tc>
        <w:tc>
          <w:tcPr>
            <w:tcW w:w="1661" w:type="dxa"/>
            <w:vAlign w:val="center"/>
          </w:tcPr>
          <w:p w14:paraId="42605C07">
            <w:pPr>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教学工作见习</w:t>
            </w:r>
          </w:p>
        </w:tc>
        <w:tc>
          <w:tcPr>
            <w:tcW w:w="1843" w:type="dxa"/>
            <w:vAlign w:val="center"/>
          </w:tcPr>
          <w:p w14:paraId="05B7572E">
            <w:pPr>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班主任工作见习</w:t>
            </w:r>
          </w:p>
        </w:tc>
        <w:tc>
          <w:tcPr>
            <w:tcW w:w="1255" w:type="dxa"/>
            <w:vMerge w:val="continue"/>
            <w:vAlign w:val="center"/>
          </w:tcPr>
          <w:p w14:paraId="659842FF">
            <w:pPr>
              <w:spacing w:line="360" w:lineRule="auto"/>
              <w:jc w:val="center"/>
              <w:rPr>
                <w:rFonts w:hint="eastAsia" w:ascii="宋体" w:hAnsi="宋体" w:eastAsia="宋体" w:cs="Times New Roman"/>
                <w:color w:val="auto"/>
                <w:kern w:val="0"/>
                <w:sz w:val="20"/>
                <w:szCs w:val="21"/>
              </w:rPr>
            </w:pPr>
          </w:p>
        </w:tc>
      </w:tr>
      <w:tr w14:paraId="74D5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605" w:type="dxa"/>
            <w:vAlign w:val="center"/>
          </w:tcPr>
          <w:p w14:paraId="7CF8747D">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课程目标1</w:t>
            </w:r>
          </w:p>
        </w:tc>
        <w:tc>
          <w:tcPr>
            <w:tcW w:w="1273" w:type="dxa"/>
          </w:tcPr>
          <w:p w14:paraId="6299D652">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68" w:type="dxa"/>
            <w:vAlign w:val="center"/>
          </w:tcPr>
          <w:p w14:paraId="42BFEBD2">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661" w:type="dxa"/>
            <w:vAlign w:val="center"/>
          </w:tcPr>
          <w:p w14:paraId="57C69D92">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843" w:type="dxa"/>
            <w:vAlign w:val="center"/>
          </w:tcPr>
          <w:p w14:paraId="7997D269">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55" w:type="dxa"/>
            <w:vAlign w:val="center"/>
          </w:tcPr>
          <w:p w14:paraId="50700752">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20</w:t>
            </w:r>
          </w:p>
        </w:tc>
      </w:tr>
      <w:tr w14:paraId="59E7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45739E55">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课程目标2</w:t>
            </w:r>
          </w:p>
        </w:tc>
        <w:tc>
          <w:tcPr>
            <w:tcW w:w="1273" w:type="dxa"/>
          </w:tcPr>
          <w:p w14:paraId="7F8DF61F">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68" w:type="dxa"/>
            <w:vAlign w:val="center"/>
          </w:tcPr>
          <w:p w14:paraId="0427FBE6">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661" w:type="dxa"/>
            <w:vAlign w:val="center"/>
          </w:tcPr>
          <w:p w14:paraId="0CF76B1E">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843" w:type="dxa"/>
            <w:vAlign w:val="center"/>
          </w:tcPr>
          <w:p w14:paraId="0AD51918">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55" w:type="dxa"/>
            <w:vAlign w:val="center"/>
          </w:tcPr>
          <w:p w14:paraId="2C30743A">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30</w:t>
            </w:r>
          </w:p>
        </w:tc>
      </w:tr>
      <w:tr w14:paraId="0F08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27BDD75D">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课程目标3</w:t>
            </w:r>
          </w:p>
        </w:tc>
        <w:tc>
          <w:tcPr>
            <w:tcW w:w="1273" w:type="dxa"/>
          </w:tcPr>
          <w:p w14:paraId="38FBC515">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68" w:type="dxa"/>
            <w:vAlign w:val="center"/>
          </w:tcPr>
          <w:p w14:paraId="2DC4763F">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661" w:type="dxa"/>
            <w:vAlign w:val="center"/>
          </w:tcPr>
          <w:p w14:paraId="64F90A87">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843" w:type="dxa"/>
            <w:vAlign w:val="center"/>
          </w:tcPr>
          <w:p w14:paraId="4115CD5C">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55" w:type="dxa"/>
            <w:vAlign w:val="center"/>
          </w:tcPr>
          <w:p w14:paraId="7C7426F9">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30</w:t>
            </w:r>
          </w:p>
        </w:tc>
      </w:tr>
      <w:tr w14:paraId="322D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442E5AEB">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课程目标4</w:t>
            </w:r>
          </w:p>
        </w:tc>
        <w:tc>
          <w:tcPr>
            <w:tcW w:w="1273" w:type="dxa"/>
          </w:tcPr>
          <w:p w14:paraId="4162CDC6">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68" w:type="dxa"/>
          </w:tcPr>
          <w:p w14:paraId="067D0E0F">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661" w:type="dxa"/>
          </w:tcPr>
          <w:p w14:paraId="069102DC">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843" w:type="dxa"/>
          </w:tcPr>
          <w:p w14:paraId="04276840">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55" w:type="dxa"/>
            <w:vAlign w:val="center"/>
          </w:tcPr>
          <w:p w14:paraId="76D706CF">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2</w:t>
            </w:r>
            <w:r>
              <w:rPr>
                <w:rFonts w:ascii="宋体" w:hAnsi="宋体" w:eastAsia="宋体" w:cs="Times New Roman"/>
                <w:color w:val="auto"/>
                <w:kern w:val="0"/>
                <w:sz w:val="20"/>
                <w:szCs w:val="21"/>
              </w:rPr>
              <w:t>0</w:t>
            </w:r>
          </w:p>
        </w:tc>
      </w:tr>
      <w:tr w14:paraId="0526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0A8FCE60">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合计</w:t>
            </w:r>
          </w:p>
        </w:tc>
        <w:tc>
          <w:tcPr>
            <w:tcW w:w="1273" w:type="dxa"/>
          </w:tcPr>
          <w:p w14:paraId="49ECF8DD">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3</w:t>
            </w:r>
            <w:r>
              <w:rPr>
                <w:rFonts w:ascii="宋体" w:hAnsi="宋体" w:eastAsia="宋体" w:cs="Times New Roman"/>
                <w:color w:val="auto"/>
                <w:kern w:val="0"/>
                <w:sz w:val="20"/>
                <w:szCs w:val="21"/>
              </w:rPr>
              <w:t>0</w:t>
            </w:r>
          </w:p>
        </w:tc>
        <w:tc>
          <w:tcPr>
            <w:tcW w:w="1268" w:type="dxa"/>
            <w:vAlign w:val="center"/>
          </w:tcPr>
          <w:p w14:paraId="231414C6">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10</w:t>
            </w:r>
          </w:p>
        </w:tc>
        <w:tc>
          <w:tcPr>
            <w:tcW w:w="1661" w:type="dxa"/>
            <w:vAlign w:val="center"/>
          </w:tcPr>
          <w:p w14:paraId="546DA547">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30</w:t>
            </w:r>
          </w:p>
        </w:tc>
        <w:tc>
          <w:tcPr>
            <w:tcW w:w="1843" w:type="dxa"/>
            <w:vAlign w:val="center"/>
          </w:tcPr>
          <w:p w14:paraId="0D6A7B39">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30</w:t>
            </w:r>
          </w:p>
        </w:tc>
        <w:tc>
          <w:tcPr>
            <w:tcW w:w="1255" w:type="dxa"/>
            <w:vAlign w:val="center"/>
          </w:tcPr>
          <w:p w14:paraId="4905F8CC">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100</w:t>
            </w:r>
          </w:p>
        </w:tc>
      </w:tr>
    </w:tbl>
    <w:p w14:paraId="314A96D5">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158924F3">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6923"/>
        <w:gridCol w:w="682"/>
      </w:tblGrid>
      <w:tr w14:paraId="417A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457" w:type="dxa"/>
            <w:vAlign w:val="center"/>
          </w:tcPr>
          <w:p w14:paraId="4CE39004">
            <w:pPr>
              <w:jc w:val="center"/>
              <w:rPr>
                <w:rFonts w:ascii="Times New Roman" w:hAnsi="Times New Roman" w:eastAsia="宋体" w:cs="Times New Roman"/>
                <w:b/>
                <w:bCs/>
                <w:color w:val="auto"/>
                <w:kern w:val="0"/>
                <w:sz w:val="20"/>
                <w:szCs w:val="21"/>
              </w:rPr>
            </w:pPr>
            <w:r>
              <w:rPr>
                <w:rFonts w:hint="eastAsia" w:ascii="Times New Roman" w:hAnsi="Times New Roman" w:eastAsia="宋体" w:cs="Times New Roman"/>
                <w:b/>
                <w:bCs/>
                <w:color w:val="auto"/>
                <w:kern w:val="0"/>
                <w:sz w:val="20"/>
                <w:szCs w:val="21"/>
              </w:rPr>
              <w:t>评价方式</w:t>
            </w:r>
          </w:p>
        </w:tc>
        <w:tc>
          <w:tcPr>
            <w:tcW w:w="6923" w:type="dxa"/>
            <w:vAlign w:val="center"/>
          </w:tcPr>
          <w:p w14:paraId="5118B9C7">
            <w:pPr>
              <w:jc w:val="center"/>
              <w:rPr>
                <w:rFonts w:ascii="Times New Roman" w:hAnsi="Times New Roman" w:eastAsia="宋体" w:cs="Times New Roman"/>
                <w:b/>
                <w:bCs/>
                <w:color w:val="auto"/>
                <w:kern w:val="0"/>
                <w:sz w:val="20"/>
                <w:szCs w:val="21"/>
              </w:rPr>
            </w:pPr>
            <w:r>
              <w:rPr>
                <w:rFonts w:hint="eastAsia" w:ascii="Times New Roman" w:hAnsi="Times New Roman" w:eastAsia="宋体" w:cs="Times New Roman"/>
                <w:b/>
                <w:bCs/>
                <w:color w:val="auto"/>
                <w:kern w:val="0"/>
                <w:sz w:val="20"/>
                <w:szCs w:val="21"/>
              </w:rPr>
              <w:t>评定细则</w:t>
            </w:r>
          </w:p>
        </w:tc>
        <w:tc>
          <w:tcPr>
            <w:tcW w:w="0" w:type="auto"/>
            <w:vAlign w:val="center"/>
          </w:tcPr>
          <w:p w14:paraId="3C9BD658">
            <w:pPr>
              <w:jc w:val="center"/>
              <w:rPr>
                <w:rFonts w:ascii="Times New Roman" w:hAnsi="Times New Roman" w:eastAsia="宋体" w:cs="Times New Roman"/>
                <w:b/>
                <w:bCs/>
                <w:color w:val="auto"/>
                <w:kern w:val="0"/>
                <w:sz w:val="20"/>
                <w:szCs w:val="21"/>
              </w:rPr>
            </w:pPr>
            <w:r>
              <w:rPr>
                <w:rFonts w:hint="eastAsia" w:ascii="Times New Roman" w:hAnsi="Times New Roman" w:eastAsia="宋体" w:cs="Times New Roman"/>
                <w:b/>
                <w:bCs/>
                <w:color w:val="auto"/>
                <w:kern w:val="0"/>
                <w:sz w:val="20"/>
                <w:szCs w:val="21"/>
              </w:rPr>
              <w:t>占比</w:t>
            </w:r>
          </w:p>
        </w:tc>
      </w:tr>
      <w:tr w14:paraId="6096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457" w:type="dxa"/>
            <w:tcBorders>
              <w:top w:val="single" w:color="auto" w:sz="4" w:space="0"/>
              <w:left w:val="single" w:color="auto" w:sz="4" w:space="0"/>
              <w:bottom w:val="single" w:color="auto" w:sz="4" w:space="0"/>
              <w:right w:val="single" w:color="auto" w:sz="4" w:space="0"/>
            </w:tcBorders>
            <w:vAlign w:val="center"/>
          </w:tcPr>
          <w:p w14:paraId="1C30DA51">
            <w:pPr>
              <w:snapToGrid w:val="0"/>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见习态度</w:t>
            </w:r>
          </w:p>
        </w:tc>
        <w:tc>
          <w:tcPr>
            <w:tcW w:w="6923" w:type="dxa"/>
            <w:tcBorders>
              <w:top w:val="single" w:color="auto" w:sz="4" w:space="0"/>
              <w:left w:val="single" w:color="auto" w:sz="4" w:space="0"/>
              <w:bottom w:val="single" w:color="auto" w:sz="4" w:space="0"/>
              <w:right w:val="single" w:color="auto" w:sz="4" w:space="0"/>
            </w:tcBorders>
            <w:vAlign w:val="center"/>
          </w:tcPr>
          <w:p w14:paraId="19341412">
            <w:pPr>
              <w:snapToGrid w:val="0"/>
              <w:spacing w:line="276" w:lineRule="auto"/>
              <w:rPr>
                <w:rFonts w:hint="eastAsia" w:ascii="宋体" w:hAnsi="宋体" w:eastAsia="宋体" w:cs="Times New Roman"/>
                <w:color w:val="auto"/>
                <w:kern w:val="0"/>
                <w:sz w:val="20"/>
                <w:szCs w:val="21"/>
              </w:rPr>
            </w:pPr>
            <w:r>
              <w:rPr>
                <w:rFonts w:hint="eastAsia" w:ascii="Times New Roman" w:hAnsi="Times New Roman" w:eastAsia="宋体" w:cs="Times New Roman"/>
                <w:color w:val="auto"/>
                <w:kern w:val="0"/>
                <w:sz w:val="20"/>
                <w:szCs w:val="21"/>
              </w:rPr>
              <w:t>根据学生在见习过程中的参与程度、主动学习情况等，结合</w:t>
            </w:r>
            <w:r>
              <w:rPr>
                <w:rFonts w:hint="eastAsia" w:ascii="宋体" w:hAnsi="宋体" w:eastAsia="宋体" w:cs="Times New Roman"/>
                <w:color w:val="auto"/>
                <w:kern w:val="0"/>
                <w:sz w:val="20"/>
                <w:szCs w:val="21"/>
              </w:rPr>
              <w:t>学生小组考勤以及实践导师反馈进行评分。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7DF2A451">
            <w:pPr>
              <w:snapToGrid w:val="0"/>
              <w:spacing w:line="276" w:lineRule="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30%</w:t>
            </w:r>
          </w:p>
        </w:tc>
      </w:tr>
      <w:tr w14:paraId="29D5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457" w:type="dxa"/>
            <w:tcBorders>
              <w:top w:val="single" w:color="auto" w:sz="4" w:space="0"/>
              <w:left w:val="single" w:color="auto" w:sz="4" w:space="0"/>
              <w:bottom w:val="single" w:color="auto" w:sz="4" w:space="0"/>
              <w:right w:val="single" w:color="auto" w:sz="4" w:space="0"/>
            </w:tcBorders>
            <w:vAlign w:val="center"/>
          </w:tcPr>
          <w:p w14:paraId="10F58E7A">
            <w:pPr>
              <w:snapToGrid w:val="0"/>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学校考察</w:t>
            </w:r>
          </w:p>
          <w:p w14:paraId="37679E03">
            <w:pPr>
              <w:snapToGrid w:val="0"/>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调查报告</w:t>
            </w:r>
          </w:p>
        </w:tc>
        <w:tc>
          <w:tcPr>
            <w:tcW w:w="6923" w:type="dxa"/>
            <w:tcBorders>
              <w:top w:val="single" w:color="auto" w:sz="4" w:space="0"/>
              <w:left w:val="single" w:color="auto" w:sz="4" w:space="0"/>
              <w:bottom w:val="single" w:color="auto" w:sz="4" w:space="0"/>
              <w:right w:val="single" w:color="auto" w:sz="4" w:space="0"/>
            </w:tcBorders>
            <w:vAlign w:val="center"/>
          </w:tcPr>
          <w:p w14:paraId="1D259BB4">
            <w:pPr>
              <w:snapToGrid w:val="0"/>
              <w:spacing w:line="276" w:lineRule="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根据考察情况，结合实际认识与思考，撰写教育调查报告。</w:t>
            </w:r>
            <w:r>
              <w:rPr>
                <w:rFonts w:hint="eastAsia" w:ascii="Times New Roman" w:hAnsi="Times New Roman" w:eastAsia="宋体" w:cs="Times New Roman"/>
                <w:color w:val="auto"/>
                <w:kern w:val="0"/>
                <w:sz w:val="20"/>
                <w:szCs w:val="21"/>
              </w:rPr>
              <w:t>选题属于教育领域，问题意识清晰、方法设计可行，资料充实，内容撰写结构合理，形成明确的结论与观点。</w:t>
            </w:r>
            <w:r>
              <w:rPr>
                <w:rFonts w:hint="eastAsia" w:ascii="宋体" w:hAnsi="宋体" w:eastAsia="宋体" w:cs="Times New Roman"/>
                <w:color w:val="auto"/>
                <w:kern w:val="0"/>
                <w:sz w:val="20"/>
                <w:szCs w:val="21"/>
              </w:rPr>
              <w:t>根据学生调查报告写作情况以及实践导师反馈进行评分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46D30E39">
            <w:pPr>
              <w:snapToGrid w:val="0"/>
              <w:spacing w:line="276" w:lineRule="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10%</w:t>
            </w:r>
          </w:p>
        </w:tc>
      </w:tr>
      <w:tr w14:paraId="7E8A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457" w:type="dxa"/>
            <w:tcBorders>
              <w:top w:val="single" w:color="auto" w:sz="4" w:space="0"/>
              <w:left w:val="single" w:color="auto" w:sz="4" w:space="0"/>
              <w:bottom w:val="single" w:color="auto" w:sz="4" w:space="0"/>
              <w:right w:val="single" w:color="auto" w:sz="4" w:space="0"/>
            </w:tcBorders>
            <w:vAlign w:val="center"/>
          </w:tcPr>
          <w:p w14:paraId="7F748B63">
            <w:pPr>
              <w:snapToGrid w:val="0"/>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教学工作</w:t>
            </w:r>
          </w:p>
          <w:p w14:paraId="3514589D">
            <w:pPr>
              <w:snapToGrid w:val="0"/>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见习</w:t>
            </w:r>
          </w:p>
        </w:tc>
        <w:tc>
          <w:tcPr>
            <w:tcW w:w="6923" w:type="dxa"/>
            <w:tcBorders>
              <w:top w:val="single" w:color="auto" w:sz="4" w:space="0"/>
              <w:left w:val="single" w:color="auto" w:sz="4" w:space="0"/>
              <w:bottom w:val="single" w:color="auto" w:sz="4" w:space="0"/>
              <w:right w:val="single" w:color="auto" w:sz="4" w:space="0"/>
            </w:tcBorders>
            <w:vAlign w:val="center"/>
          </w:tcPr>
          <w:p w14:paraId="68985E6B">
            <w:pPr>
              <w:adjustRightInd w:val="0"/>
              <w:snapToGrid w:val="0"/>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认真观摩教学，做好听课记录，善于思考，总结教学经验与心得；与指导教师保持积极交流，虚心请教教学方法与教学经验；教案设计要素完整、表述规范，具备可操作性。</w:t>
            </w:r>
            <w:r>
              <w:rPr>
                <w:rFonts w:hint="eastAsia" w:ascii="宋体" w:hAnsi="宋体" w:eastAsia="宋体" w:cs="Times New Roman"/>
                <w:color w:val="auto"/>
                <w:kern w:val="0"/>
                <w:sz w:val="20"/>
                <w:szCs w:val="21"/>
              </w:rPr>
              <w:t>根据学生教案设计情况以及实践导师反馈进行评分。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386B117A">
            <w:pPr>
              <w:snapToGrid w:val="0"/>
              <w:spacing w:line="276" w:lineRule="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30%</w:t>
            </w:r>
          </w:p>
        </w:tc>
      </w:tr>
      <w:tr w14:paraId="7AFD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457" w:type="dxa"/>
            <w:tcBorders>
              <w:top w:val="single" w:color="auto" w:sz="4" w:space="0"/>
              <w:left w:val="single" w:color="auto" w:sz="4" w:space="0"/>
              <w:bottom w:val="single" w:color="auto" w:sz="4" w:space="0"/>
              <w:right w:val="single" w:color="auto" w:sz="4" w:space="0"/>
            </w:tcBorders>
            <w:vAlign w:val="center"/>
          </w:tcPr>
          <w:p w14:paraId="1B4526FC">
            <w:pPr>
              <w:snapToGrid w:val="0"/>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班主任工作</w:t>
            </w:r>
          </w:p>
          <w:p w14:paraId="46F53F07">
            <w:pPr>
              <w:snapToGrid w:val="0"/>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见习</w:t>
            </w:r>
          </w:p>
        </w:tc>
        <w:tc>
          <w:tcPr>
            <w:tcW w:w="6923" w:type="dxa"/>
            <w:tcBorders>
              <w:top w:val="single" w:color="auto" w:sz="4" w:space="0"/>
              <w:left w:val="single" w:color="auto" w:sz="4" w:space="0"/>
              <w:bottom w:val="single" w:color="auto" w:sz="4" w:space="0"/>
              <w:right w:val="single" w:color="auto" w:sz="4" w:space="0"/>
            </w:tcBorders>
            <w:vAlign w:val="center"/>
          </w:tcPr>
          <w:p w14:paraId="497FD333">
            <w:pPr>
              <w:adjustRightInd w:val="0"/>
              <w:snapToGrid w:val="0"/>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主动与小学生加深交流，掌握小学生心理特点；认真观察，主动与实践导师沟通班级管理的经验，善于在管理案例中总结经验与教训。</w:t>
            </w:r>
            <w:r>
              <w:rPr>
                <w:rFonts w:hint="eastAsia" w:ascii="宋体" w:hAnsi="宋体" w:eastAsia="宋体" w:cs="Times New Roman"/>
                <w:color w:val="auto"/>
                <w:kern w:val="0"/>
                <w:sz w:val="20"/>
                <w:szCs w:val="21"/>
              </w:rPr>
              <w:t>根据学生撰写情况以及实践导师反馈进行评分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47D61555">
            <w:pPr>
              <w:snapToGrid w:val="0"/>
              <w:spacing w:line="276" w:lineRule="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30%</w:t>
            </w:r>
          </w:p>
        </w:tc>
      </w:tr>
      <w:tr w14:paraId="0F80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457" w:type="dxa"/>
            <w:tcBorders>
              <w:top w:val="single" w:color="auto" w:sz="4" w:space="0"/>
              <w:left w:val="single" w:color="auto" w:sz="4" w:space="0"/>
              <w:bottom w:val="single" w:color="auto" w:sz="4" w:space="0"/>
              <w:right w:val="single" w:color="auto" w:sz="4" w:space="0"/>
            </w:tcBorders>
            <w:vAlign w:val="center"/>
          </w:tcPr>
          <w:p w14:paraId="5ED3C513">
            <w:pPr>
              <w:snapToGrid w:val="0"/>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合计</w:t>
            </w:r>
          </w:p>
        </w:tc>
        <w:tc>
          <w:tcPr>
            <w:tcW w:w="7605" w:type="dxa"/>
            <w:gridSpan w:val="2"/>
            <w:tcBorders>
              <w:top w:val="single" w:color="auto" w:sz="4" w:space="0"/>
              <w:left w:val="single" w:color="auto" w:sz="4" w:space="0"/>
              <w:bottom w:val="single" w:color="auto" w:sz="4" w:space="0"/>
              <w:right w:val="single" w:color="auto" w:sz="4" w:space="0"/>
            </w:tcBorders>
            <w:vAlign w:val="center"/>
          </w:tcPr>
          <w:p w14:paraId="7D3C5B1E">
            <w:pPr>
              <w:snapToGrid w:val="0"/>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1</w:t>
            </w:r>
            <w:r>
              <w:rPr>
                <w:rFonts w:ascii="宋体" w:hAnsi="宋体" w:eastAsia="宋体" w:cs="Times New Roman"/>
                <w:color w:val="auto"/>
                <w:kern w:val="0"/>
                <w:sz w:val="20"/>
                <w:szCs w:val="21"/>
              </w:rPr>
              <w:t>00%</w:t>
            </w:r>
          </w:p>
        </w:tc>
      </w:tr>
    </w:tbl>
    <w:p w14:paraId="4EBC1117">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1FE87D51">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1C445F1F">
      <w:pPr>
        <w:spacing w:before="156" w:beforeLines="50" w:line="360" w:lineRule="auto"/>
        <w:ind w:firstLine="420" w:firstLineChars="200"/>
        <w:jc w:val="left"/>
        <w:rPr>
          <w:rFonts w:hint="eastAsia" w:ascii="Times New Roman" w:hAnsi="Times New Roman" w:eastAsia="宋体" w:cs="Times New Roman"/>
          <w:b/>
          <w:color w:val="auto"/>
          <w:sz w:val="24"/>
          <w:szCs w:val="24"/>
        </w:rPr>
      </w:pPr>
      <w:r>
        <w:rPr>
          <w:rFonts w:ascii="宋体" w:hAnsi="宋体" w:eastAsia="宋体" w:cs="Times New Roman"/>
          <w:color w:val="auto"/>
          <w:szCs w:val="21"/>
        </w:rPr>
        <w:object>
          <v:shape id="_x0000_i1081"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81" DrawAspect="Content" ObjectID="_1468075780" r:id="rId67">
            <o:LockedField>false</o:LockedField>
          </o:OLEObject>
        </w:object>
      </w:r>
      <w:r>
        <w:rPr>
          <w:rFonts w:hint="eastAsia" w:ascii="Times New Roman" w:hAnsi="Times New Roman" w:eastAsia="宋体" w:cs="Times New Roman"/>
          <w:b/>
          <w:color w:val="auto"/>
          <w:sz w:val="24"/>
          <w:szCs w:val="24"/>
        </w:rPr>
        <w:t>五、</w:t>
      </w:r>
      <w:bookmarkStart w:id="450" w:name="_Hlk523329700"/>
      <w:bookmarkStart w:id="451" w:name="_Toc31564"/>
      <w:r>
        <w:rPr>
          <w:rFonts w:hint="eastAsia" w:ascii="Times New Roman" w:hAnsi="Times New Roman" w:eastAsia="宋体" w:cs="Times New Roman"/>
          <w:b/>
          <w:color w:val="auto"/>
          <w:sz w:val="24"/>
          <w:szCs w:val="24"/>
        </w:rPr>
        <w:t>有关说明</w:t>
      </w:r>
    </w:p>
    <w:p w14:paraId="0601E4BC">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11B0A3D1">
      <w:pPr>
        <w:spacing w:line="360" w:lineRule="auto"/>
        <w:ind w:firstLine="525" w:firstLineChars="25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本课程根据学生见习情况、实践学校教师的反馈等，及时对教学见习中的不足之处进行改进，并在下一轮课程实施中整改完善，确保相应毕业要求指标点达成。</w:t>
      </w:r>
    </w:p>
    <w:p w14:paraId="40894026">
      <w:pPr>
        <w:spacing w:line="360" w:lineRule="auto"/>
        <w:ind w:firstLine="527" w:firstLineChars="25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6C6EC69F">
      <w:pPr>
        <w:spacing w:line="360" w:lineRule="auto"/>
        <w:ind w:firstLine="525" w:firstLineChars="250"/>
        <w:jc w:val="left"/>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教学见习手册（自编）</w:t>
      </w:r>
    </w:p>
    <w:p w14:paraId="70C6B347">
      <w:pPr>
        <w:spacing w:line="360" w:lineRule="auto"/>
        <w:ind w:firstLine="527" w:firstLineChars="25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bookmarkEnd w:id="450"/>
    <w:p w14:paraId="11D88BD4">
      <w:pPr>
        <w:spacing w:line="360" w:lineRule="auto"/>
        <w:ind w:firstLine="420" w:firstLineChars="200"/>
        <w:rPr>
          <w:rFonts w:hint="eastAsia" w:ascii="宋体" w:hAnsi="宋体" w:eastAsia="宋体" w:cs="Times New Roman"/>
          <w:color w:val="auto"/>
          <w:sz w:val="21"/>
          <w:szCs w:val="21"/>
        </w:rPr>
      </w:pPr>
      <w:r>
        <w:rPr>
          <w:rFonts w:ascii="宋体" w:hAnsi="宋体" w:eastAsia="宋体" w:cs="Times New Roman"/>
          <w:color w:val="auto"/>
          <w:sz w:val="21"/>
          <w:szCs w:val="21"/>
        </w:rPr>
        <w:t>1.</w:t>
      </w:r>
      <w:r>
        <w:rPr>
          <w:rFonts w:hint="eastAsia" w:ascii="宋体" w:hAnsi="宋体" w:eastAsia="宋体" w:cs="Times New Roman"/>
          <w:color w:val="auto"/>
          <w:sz w:val="21"/>
          <w:szCs w:val="21"/>
        </w:rPr>
        <w:t>义务教育小学语文/数学学科课程标准，最新版。</w:t>
      </w:r>
    </w:p>
    <w:p w14:paraId="3B79002F">
      <w:pPr>
        <w:spacing w:line="360" w:lineRule="auto"/>
        <w:ind w:firstLine="420" w:firstLineChars="200"/>
        <w:rPr>
          <w:rFonts w:hint="eastAsia" w:ascii="宋体" w:hAnsi="宋体" w:eastAsia="宋体" w:cs="Times New Roman"/>
          <w:color w:val="auto"/>
          <w:sz w:val="21"/>
          <w:szCs w:val="21"/>
        </w:rPr>
      </w:pPr>
      <w:r>
        <w:rPr>
          <w:rFonts w:ascii="宋体" w:hAnsi="宋体" w:eastAsia="宋体" w:cs="Times New Roman"/>
          <w:color w:val="auto"/>
          <w:sz w:val="21"/>
          <w:szCs w:val="21"/>
        </w:rPr>
        <w:t>2.</w:t>
      </w:r>
      <w:r>
        <w:rPr>
          <w:rFonts w:hint="eastAsia" w:ascii="宋体" w:hAnsi="宋体" w:eastAsia="宋体" w:cs="Times New Roman"/>
          <w:color w:val="auto"/>
          <w:sz w:val="21"/>
          <w:szCs w:val="21"/>
        </w:rPr>
        <w:t>部编版小学语文/数学各年级教材。</w:t>
      </w:r>
    </w:p>
    <w:bookmarkEnd w:id="451"/>
    <w:p w14:paraId="2C08DF72">
      <w:pPr>
        <w:spacing w:line="360" w:lineRule="auto"/>
        <w:ind w:firstLine="420" w:firstLineChars="200"/>
        <w:rPr>
          <w:rFonts w:ascii="宋体" w:hAnsi="Times New Roman" w:eastAsia="宋体" w:cs="Times New Roman"/>
          <w:color w:val="auto"/>
          <w:sz w:val="24"/>
        </w:rPr>
      </w:pPr>
      <w:bookmarkStart w:id="452" w:name="_Toc9564"/>
      <w:r>
        <w:rPr>
          <w:rFonts w:ascii="宋体" w:hAnsi="宋体" w:eastAsia="宋体" w:cs="Times New Roman"/>
          <w:color w:val="auto"/>
          <w:sz w:val="21"/>
          <w:szCs w:val="21"/>
        </w:rPr>
        <w:t>3.</w:t>
      </w:r>
      <w:r>
        <w:rPr>
          <w:rFonts w:hint="eastAsia" w:ascii="宋体" w:hAnsi="宋体" w:eastAsia="宋体" w:cs="Times New Roman"/>
          <w:color w:val="auto"/>
          <w:sz w:val="21"/>
          <w:szCs w:val="21"/>
        </w:rPr>
        <w:t>陈文涛、刘霄主编：《教育实习的实践与创新》，河南大学出版社，</w:t>
      </w:r>
      <w:r>
        <w:rPr>
          <w:rFonts w:ascii="宋体" w:hAnsi="宋体" w:eastAsia="宋体" w:cs="Times New Roman"/>
          <w:color w:val="auto"/>
          <w:sz w:val="21"/>
          <w:szCs w:val="21"/>
        </w:rPr>
        <w:t>2015</w:t>
      </w:r>
      <w:bookmarkEnd w:id="452"/>
    </w:p>
    <w:p w14:paraId="6452D895">
      <w:pPr>
        <w:spacing w:line="360" w:lineRule="auto"/>
        <w:rPr>
          <w:rFonts w:hint="eastAsia" w:ascii="宋体" w:hAnsi="宋体" w:eastAsia="宋体" w:cs="Times New Roman"/>
          <w:color w:val="auto"/>
          <w:sz w:val="24"/>
        </w:rPr>
      </w:pPr>
    </w:p>
    <w:p w14:paraId="594BA55E">
      <w:pPr>
        <w:spacing w:line="360" w:lineRule="auto"/>
        <w:jc w:val="right"/>
        <w:rPr>
          <w:rFonts w:ascii="宋体" w:hAnsi="Times New Roman" w:eastAsia="宋体" w:cs="Times New Roman"/>
          <w:color w:val="auto"/>
          <w:sz w:val="21"/>
          <w:szCs w:val="21"/>
        </w:rPr>
      </w:pPr>
      <w:r>
        <w:rPr>
          <w:rFonts w:ascii="宋体" w:hAnsi="宋体" w:eastAsia="宋体" w:cs="Times New Roman"/>
          <w:color w:val="auto"/>
          <w:sz w:val="24"/>
        </w:rPr>
        <w:t xml:space="preserve">                                          </w:t>
      </w:r>
      <w:r>
        <w:rPr>
          <w:rFonts w:ascii="宋体" w:hAnsi="宋体" w:eastAsia="宋体" w:cs="Times New Roman"/>
          <w:color w:val="auto"/>
          <w:sz w:val="21"/>
          <w:szCs w:val="21"/>
        </w:rPr>
        <w:t xml:space="preserve">  </w:t>
      </w:r>
      <w:r>
        <w:rPr>
          <w:rFonts w:hint="eastAsia" w:ascii="宋体" w:hAnsi="宋体" w:eastAsia="宋体" w:cs="Times New Roman"/>
          <w:color w:val="auto"/>
          <w:sz w:val="21"/>
          <w:szCs w:val="21"/>
        </w:rPr>
        <w:t>执笔人：王雅丽</w:t>
      </w:r>
      <w:r>
        <w:rPr>
          <w:rFonts w:ascii="宋体" w:hAnsi="Times New Roman" w:eastAsia="宋体" w:cs="Times New Roman"/>
          <w:color w:val="auto"/>
          <w:sz w:val="21"/>
          <w:szCs w:val="21"/>
        </w:rPr>
        <w:t xml:space="preserve"> </w:t>
      </w:r>
    </w:p>
    <w:p w14:paraId="4613EDCD">
      <w:pPr>
        <w:spacing w:line="360" w:lineRule="auto"/>
        <w:jc w:val="right"/>
        <w:rPr>
          <w:rFonts w:hint="eastAsia" w:ascii="宋体" w:hAnsi="宋体" w:eastAsia="宋体" w:cs="Times New Roman"/>
          <w:color w:val="auto"/>
          <w:sz w:val="21"/>
          <w:szCs w:val="21"/>
        </w:rPr>
      </w:pPr>
      <w:r>
        <w:rPr>
          <w:rFonts w:ascii="宋体" w:hAnsi="宋体" w:eastAsia="宋体" w:cs="Times New Roman"/>
          <w:color w:val="auto"/>
          <w:sz w:val="21"/>
          <w:szCs w:val="21"/>
        </w:rPr>
        <w:t xml:space="preserve">                                            </w:t>
      </w:r>
      <w:r>
        <w:rPr>
          <w:rFonts w:hint="eastAsia" w:ascii="宋体" w:hAnsi="宋体" w:eastAsia="宋体" w:cs="Times New Roman"/>
          <w:color w:val="auto"/>
          <w:sz w:val="21"/>
          <w:szCs w:val="21"/>
        </w:rPr>
        <w:t>审定人：王</w:t>
      </w:r>
      <w:r>
        <w:rPr>
          <w:rFonts w:hint="eastAsia" w:ascii="宋体" w:hAnsi="宋体" w:eastAsia="宋体" w:cs="Times New Roman"/>
          <w:color w:val="auto"/>
          <w:sz w:val="21"/>
          <w:szCs w:val="21"/>
          <w:lang w:val="en-US" w:eastAsia="zh-CN"/>
        </w:rPr>
        <w:t xml:space="preserve">  </w:t>
      </w:r>
      <w:r>
        <w:rPr>
          <w:rFonts w:hint="eastAsia" w:ascii="宋体" w:hAnsi="宋体" w:eastAsia="宋体" w:cs="Times New Roman"/>
          <w:color w:val="auto"/>
          <w:sz w:val="21"/>
          <w:szCs w:val="21"/>
        </w:rPr>
        <w:t>健</w:t>
      </w:r>
    </w:p>
    <w:p w14:paraId="0596A579">
      <w:pPr>
        <w:spacing w:line="360" w:lineRule="auto"/>
        <w:jc w:val="right"/>
        <w:rPr>
          <w:rFonts w:ascii="宋体" w:hAnsi="Times New Roman" w:eastAsia="宋体" w:cs="Times New Roman"/>
          <w:color w:val="auto"/>
          <w:sz w:val="21"/>
          <w:szCs w:val="21"/>
        </w:rPr>
      </w:pPr>
      <w:r>
        <w:rPr>
          <w:rFonts w:ascii="宋体" w:hAnsi="宋体" w:eastAsia="宋体" w:cs="Times New Roman"/>
          <w:color w:val="auto"/>
          <w:sz w:val="21"/>
          <w:szCs w:val="21"/>
        </w:rPr>
        <w:t xml:space="preserve">                                            </w:t>
      </w:r>
      <w:r>
        <w:rPr>
          <w:rFonts w:hint="eastAsia" w:ascii="宋体" w:hAnsi="宋体" w:eastAsia="宋体" w:cs="Times New Roman"/>
          <w:color w:val="auto"/>
          <w:sz w:val="21"/>
          <w:szCs w:val="21"/>
        </w:rPr>
        <w:t>审批人：张志欣</w:t>
      </w:r>
    </w:p>
    <w:p w14:paraId="7F56B7D1">
      <w:pPr>
        <w:spacing w:line="360" w:lineRule="auto"/>
        <w:jc w:val="right"/>
        <w:rPr>
          <w:rFonts w:hint="eastAsia" w:ascii="宋体" w:hAnsi="宋体" w:eastAsia="宋体" w:cs="Times New Roman"/>
          <w:color w:val="auto"/>
          <w:sz w:val="21"/>
          <w:szCs w:val="21"/>
          <w:lang w:eastAsia="zh-CN"/>
        </w:rPr>
      </w:pPr>
      <w:r>
        <w:rPr>
          <w:rFonts w:ascii="宋体" w:hAnsi="宋体" w:eastAsia="宋体" w:cs="Times New Roman"/>
          <w:color w:val="auto"/>
          <w:sz w:val="21"/>
          <w:szCs w:val="21"/>
        </w:rPr>
        <w:t xml:space="preserve">                                            </w:t>
      </w:r>
      <w:r>
        <w:rPr>
          <w:rFonts w:hint="eastAsia" w:ascii="宋体" w:hAnsi="宋体" w:eastAsia="宋体" w:cs="Times New Roman"/>
          <w:color w:val="auto"/>
          <w:sz w:val="21"/>
          <w:szCs w:val="21"/>
          <w:lang w:eastAsia="zh-CN"/>
        </w:rPr>
        <w:t>批准时间：2025年7月1日</w:t>
      </w:r>
    </w:p>
    <w:p w14:paraId="3CD6DB37">
      <w:pPr>
        <w:rPr>
          <w:rFonts w:hint="eastAsia" w:ascii="宋体" w:hAnsi="宋体" w:eastAsia="宋体" w:cs="Times New Roman"/>
          <w:color w:val="auto"/>
          <w:sz w:val="24"/>
        </w:rPr>
      </w:pPr>
      <w:r>
        <w:rPr>
          <w:rFonts w:hint="eastAsia" w:ascii="宋体" w:hAnsi="宋体" w:eastAsia="宋体" w:cs="Times New Roman"/>
          <w:color w:val="auto"/>
          <w:sz w:val="24"/>
        </w:rPr>
        <w:br w:type="page"/>
      </w:r>
    </w:p>
    <w:p w14:paraId="19A4A46D">
      <w:pPr>
        <w:spacing w:line="360" w:lineRule="auto"/>
        <w:jc w:val="center"/>
        <w:outlineLvl w:val="0"/>
        <w:rPr>
          <w:rFonts w:hint="eastAsia" w:ascii="Times New Roman" w:hAnsi="Times New Roman" w:eastAsia="宋体" w:cs="Times New Roman"/>
          <w:b/>
          <w:color w:val="auto"/>
          <w:sz w:val="44"/>
          <w:szCs w:val="44"/>
        </w:rPr>
      </w:pPr>
      <w:bookmarkStart w:id="453" w:name="_Toc28587"/>
      <w:bookmarkStart w:id="454" w:name="_Toc17574"/>
      <w:r>
        <w:rPr>
          <w:rFonts w:hint="eastAsia" w:ascii="Times New Roman" w:hAnsi="Times New Roman" w:eastAsia="宋体" w:cs="Times New Roman"/>
          <w:b/>
          <w:color w:val="auto"/>
          <w:sz w:val="44"/>
          <w:szCs w:val="44"/>
        </w:rPr>
        <w:t>《教育见习Ⅱ》教学大纲</w:t>
      </w:r>
      <w:bookmarkEnd w:id="448"/>
      <w:bookmarkEnd w:id="453"/>
      <w:bookmarkEnd w:id="454"/>
    </w:p>
    <w:p w14:paraId="5C449C19">
      <w:pPr>
        <w:spacing w:line="360" w:lineRule="auto"/>
        <w:ind w:firstLine="551" w:firstLineChars="196"/>
        <w:jc w:val="center"/>
        <w:rPr>
          <w:rFonts w:ascii="Times New Roman" w:hAnsi="Times New Roman" w:eastAsia="宋体" w:cs="Times New Roman"/>
          <w:b/>
          <w:bCs/>
          <w:color w:val="auto"/>
          <w:sz w:val="28"/>
        </w:rPr>
      </w:pPr>
      <w:r>
        <w:rPr>
          <w:rFonts w:hint="eastAsia" w:ascii="Times New Roman" w:hAnsi="Times New Roman" w:eastAsia="宋体" w:cs="Times New Roman"/>
          <w:b/>
          <w:bCs/>
          <w:color w:val="auto"/>
          <w:sz w:val="28"/>
        </w:rPr>
        <w:t>（Educational Probation Ⅱ）</w:t>
      </w:r>
    </w:p>
    <w:p w14:paraId="1BB91753">
      <w:pPr>
        <w:spacing w:line="360" w:lineRule="auto"/>
        <w:ind w:firstLine="422" w:firstLineChars="200"/>
        <w:rPr>
          <w:rFonts w:hint="eastAsia" w:ascii="宋体" w:hAnsi="宋体" w:eastAsia="宋体" w:cs="Times New Roman"/>
          <w:b/>
          <w:color w:val="auto"/>
          <w:sz w:val="21"/>
          <w:szCs w:val="21"/>
        </w:rPr>
      </w:pPr>
    </w:p>
    <w:p w14:paraId="4F255541">
      <w:pPr>
        <w:spacing w:line="360" w:lineRule="auto"/>
        <w:ind w:firstLine="482" w:firstLineChars="200"/>
        <w:rPr>
          <w:rFonts w:hint="eastAsia" w:ascii="宋体" w:hAnsi="宋体" w:eastAsia="宋体" w:cs="Times New Roman"/>
          <w:b/>
          <w:color w:val="auto"/>
          <w:sz w:val="24"/>
        </w:rPr>
      </w:pPr>
      <w:r>
        <w:rPr>
          <w:rFonts w:hint="eastAsia" w:ascii="宋体" w:hAnsi="宋体" w:eastAsia="宋体" w:cs="Times New Roman"/>
          <w:b/>
          <w:color w:val="auto"/>
          <w:sz w:val="24"/>
        </w:rPr>
        <w:t>课程名称：教育见习</w:t>
      </w:r>
      <w:r>
        <w:rPr>
          <w:rFonts w:ascii="宋体" w:hAnsi="宋体" w:eastAsia="宋体" w:cs="Times New Roman"/>
          <w:b/>
          <w:color w:val="auto"/>
          <w:sz w:val="24"/>
        </w:rPr>
        <w:t>II</w:t>
      </w:r>
    </w:p>
    <w:p w14:paraId="66448736">
      <w:pPr>
        <w:spacing w:line="360" w:lineRule="auto"/>
        <w:ind w:firstLine="482" w:firstLineChars="200"/>
        <w:rPr>
          <w:rFonts w:ascii="宋体" w:hAnsi="Times New Roman" w:eastAsia="宋体" w:cs="Times New Roman"/>
          <w:b/>
          <w:color w:val="auto"/>
          <w:sz w:val="24"/>
        </w:rPr>
      </w:pPr>
      <w:r>
        <w:rPr>
          <w:rFonts w:hint="eastAsia" w:ascii="宋体" w:hAnsi="宋体" w:eastAsia="宋体" w:cs="Times New Roman"/>
          <w:b/>
          <w:bCs/>
          <w:color w:val="auto"/>
          <w:kern w:val="0"/>
          <w:sz w:val="24"/>
        </w:rPr>
        <w:t>课程代码</w:t>
      </w:r>
      <w:r>
        <w:rPr>
          <w:rFonts w:hint="eastAsia" w:ascii="宋体" w:hAnsi="宋体" w:eastAsia="宋体" w:cs="Times New Roman"/>
          <w:b/>
          <w:color w:val="auto"/>
          <w:kern w:val="0"/>
          <w:sz w:val="24"/>
        </w:rPr>
        <w:t>：240104</w:t>
      </w:r>
      <w:r>
        <w:rPr>
          <w:rFonts w:ascii="宋体" w:hAnsi="宋体" w:eastAsia="宋体" w:cs="Times New Roman"/>
          <w:b/>
          <w:color w:val="auto"/>
          <w:kern w:val="0"/>
          <w:sz w:val="24"/>
        </w:rPr>
        <w:t>7</w:t>
      </w:r>
    </w:p>
    <w:p w14:paraId="6E041255">
      <w:pPr>
        <w:spacing w:line="360" w:lineRule="auto"/>
        <w:ind w:firstLine="482" w:firstLineChars="200"/>
        <w:rPr>
          <w:rFonts w:hint="eastAsia" w:ascii="宋体" w:hAnsi="宋体" w:eastAsia="宋体" w:cs="Times New Roman"/>
          <w:color w:val="auto"/>
          <w:kern w:val="0"/>
          <w:sz w:val="24"/>
        </w:rPr>
      </w:pPr>
      <w:r>
        <w:rPr>
          <w:rFonts w:hint="eastAsia" w:ascii="宋体" w:hAnsi="宋体" w:eastAsia="宋体" w:cs="Times New Roman"/>
          <w:b/>
          <w:bCs/>
          <w:color w:val="auto"/>
          <w:kern w:val="0"/>
          <w:sz w:val="24"/>
        </w:rPr>
        <w:t>学</w:t>
      </w:r>
      <w:r>
        <w:rPr>
          <w:rFonts w:ascii="宋体" w:hAnsi="宋体" w:eastAsia="宋体" w:cs="Times New Roman"/>
          <w:b/>
          <w:bCs/>
          <w:color w:val="auto"/>
          <w:kern w:val="0"/>
          <w:sz w:val="24"/>
        </w:rPr>
        <w:t xml:space="preserve">    </w:t>
      </w:r>
      <w:r>
        <w:rPr>
          <w:rFonts w:hint="eastAsia" w:ascii="宋体" w:hAnsi="宋体" w:eastAsia="宋体" w:cs="Times New Roman"/>
          <w:b/>
          <w:bCs/>
          <w:color w:val="auto"/>
          <w:kern w:val="0"/>
          <w:sz w:val="24"/>
        </w:rPr>
        <w:t>分：</w:t>
      </w:r>
      <w:r>
        <w:rPr>
          <w:rFonts w:hint="eastAsia" w:ascii="宋体" w:hAnsi="宋体" w:eastAsia="宋体" w:cs="Times New Roman"/>
          <w:color w:val="auto"/>
          <w:kern w:val="0"/>
          <w:sz w:val="24"/>
        </w:rPr>
        <w:t>1</w:t>
      </w:r>
    </w:p>
    <w:p w14:paraId="2D40406A">
      <w:pPr>
        <w:spacing w:line="360" w:lineRule="auto"/>
        <w:ind w:firstLine="482" w:firstLineChars="200"/>
        <w:rPr>
          <w:rFonts w:ascii="宋体" w:hAnsi="Times New Roman" w:eastAsia="宋体" w:cs="Times New Roman"/>
          <w:color w:val="auto"/>
          <w:kern w:val="0"/>
          <w:sz w:val="24"/>
        </w:rPr>
      </w:pPr>
      <w:r>
        <w:rPr>
          <w:rFonts w:hint="eastAsia" w:ascii="宋体" w:hAnsi="宋体" w:eastAsia="宋体" w:cs="Times New Roman"/>
          <w:b/>
          <w:bCs/>
          <w:color w:val="auto"/>
          <w:kern w:val="0"/>
          <w:sz w:val="24"/>
        </w:rPr>
        <w:t>学</w:t>
      </w:r>
      <w:r>
        <w:rPr>
          <w:rFonts w:ascii="宋体" w:hAnsi="宋体" w:eastAsia="宋体" w:cs="Times New Roman"/>
          <w:b/>
          <w:bCs/>
          <w:color w:val="auto"/>
          <w:kern w:val="0"/>
          <w:sz w:val="24"/>
        </w:rPr>
        <w:t xml:space="preserve">    </w:t>
      </w:r>
      <w:r>
        <w:rPr>
          <w:rFonts w:hint="eastAsia" w:ascii="宋体" w:hAnsi="宋体" w:eastAsia="宋体" w:cs="Times New Roman"/>
          <w:b/>
          <w:bCs/>
          <w:color w:val="auto"/>
          <w:kern w:val="0"/>
          <w:sz w:val="24"/>
        </w:rPr>
        <w:t>时：2周</w:t>
      </w:r>
    </w:p>
    <w:p w14:paraId="14F3EDF7">
      <w:pPr>
        <w:spacing w:line="360" w:lineRule="auto"/>
        <w:ind w:firstLine="482" w:firstLineChars="200"/>
        <w:rPr>
          <w:rFonts w:hint="eastAsia" w:ascii="宋体" w:hAnsi="宋体" w:eastAsia="宋体" w:cs="Times New Roman"/>
          <w:b/>
          <w:bCs/>
          <w:color w:val="auto"/>
          <w:kern w:val="0"/>
          <w:sz w:val="24"/>
        </w:rPr>
      </w:pPr>
      <w:r>
        <w:rPr>
          <w:rFonts w:hint="eastAsia" w:ascii="宋体" w:hAnsi="宋体" w:eastAsia="宋体" w:cs="Times New Roman"/>
          <w:b/>
          <w:bCs/>
          <w:color w:val="auto"/>
          <w:kern w:val="0"/>
          <w:sz w:val="24"/>
        </w:rPr>
        <w:t>先修课程：</w:t>
      </w:r>
      <w:r>
        <w:rPr>
          <w:rFonts w:ascii="宋体" w:hAnsi="宋体" w:eastAsia="宋体" w:cs="Times New Roman"/>
          <w:b/>
          <w:bCs/>
          <w:color w:val="auto"/>
          <w:kern w:val="0"/>
          <w:sz w:val="24"/>
        </w:rPr>
        <w:t>小学心理学、</w:t>
      </w:r>
      <w:r>
        <w:rPr>
          <w:rFonts w:hint="eastAsia" w:ascii="宋体" w:hAnsi="宋体" w:eastAsia="宋体" w:cs="Times New Roman"/>
          <w:b/>
          <w:bCs/>
          <w:color w:val="auto"/>
          <w:kern w:val="0"/>
          <w:sz w:val="24"/>
        </w:rPr>
        <w:t>书</w:t>
      </w:r>
      <w:r>
        <w:rPr>
          <w:rFonts w:ascii="宋体" w:hAnsi="宋体" w:eastAsia="宋体" w:cs="Times New Roman"/>
          <w:b/>
          <w:bCs/>
          <w:color w:val="auto"/>
          <w:kern w:val="0"/>
          <w:sz w:val="24"/>
        </w:rPr>
        <w:t>写技能、教育原理、 教师职业道德，以及部分数学/中文类课程</w:t>
      </w:r>
    </w:p>
    <w:p w14:paraId="6CFCCCD5">
      <w:pPr>
        <w:spacing w:line="360" w:lineRule="auto"/>
        <w:ind w:firstLine="482" w:firstLineChars="200"/>
        <w:rPr>
          <w:rFonts w:hint="eastAsia" w:ascii="宋体" w:hAnsi="宋体" w:eastAsia="宋体" w:cs="Times New Roman"/>
          <w:b/>
          <w:bCs/>
          <w:color w:val="auto"/>
          <w:kern w:val="0"/>
          <w:sz w:val="24"/>
        </w:rPr>
      </w:pPr>
      <w:r>
        <w:rPr>
          <w:rFonts w:hint="eastAsia" w:ascii="宋体" w:hAnsi="宋体" w:eastAsia="宋体" w:cs="Times New Roman"/>
          <w:b/>
          <w:bCs/>
          <w:color w:val="auto"/>
          <w:kern w:val="0"/>
          <w:sz w:val="24"/>
        </w:rPr>
        <w:t>适用专业：小学教育</w:t>
      </w:r>
      <w:r>
        <w:rPr>
          <w:rFonts w:ascii="宋体" w:hAnsi="宋体" w:eastAsia="宋体" w:cs="Times New Roman"/>
          <w:b/>
          <w:bCs/>
          <w:color w:val="auto"/>
          <w:kern w:val="0"/>
          <w:sz w:val="24"/>
        </w:rPr>
        <w:t xml:space="preserve"> </w:t>
      </w:r>
    </w:p>
    <w:p w14:paraId="394AF8BF">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一、课程简介</w:t>
      </w:r>
    </w:p>
    <w:p w14:paraId="0C358A7C">
      <w:pPr>
        <w:spacing w:line="360" w:lineRule="auto"/>
        <w:ind w:firstLine="420" w:firstLineChars="200"/>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教育见习</w:t>
      </w:r>
      <w:r>
        <w:rPr>
          <w:rFonts w:ascii="宋体" w:hAnsi="宋体" w:eastAsia="宋体" w:cs="Times New Roman"/>
          <w:color w:val="auto"/>
          <w:kern w:val="0"/>
          <w:sz w:val="21"/>
          <w:szCs w:val="21"/>
        </w:rPr>
        <w:t>II</w:t>
      </w:r>
      <w:r>
        <w:rPr>
          <w:rFonts w:hint="eastAsia" w:ascii="宋体" w:hAnsi="宋体" w:eastAsia="宋体" w:cs="Times New Roman"/>
          <w:color w:val="auto"/>
          <w:kern w:val="0"/>
          <w:sz w:val="21"/>
          <w:szCs w:val="21"/>
        </w:rPr>
        <w:t>是小学教育专业重要的实践性环节。本课程的任务和目的是通过教育见习，使学生充分接触教育教学实际，</w:t>
      </w:r>
      <w:r>
        <w:rPr>
          <w:rFonts w:ascii="宋体" w:hAnsi="宋体" w:eastAsia="宋体" w:cs="Times New Roman"/>
          <w:color w:val="auto"/>
          <w:kern w:val="0"/>
          <w:sz w:val="21"/>
          <w:szCs w:val="21"/>
        </w:rPr>
        <w:t>适应学校日常生活，熟悉教师岗位职责，增强对教师职业价值和工作复杂性的认识</w:t>
      </w:r>
      <w:r>
        <w:rPr>
          <w:rFonts w:hint="eastAsia" w:ascii="宋体" w:hAnsi="宋体" w:eastAsia="宋体" w:cs="Times New Roman"/>
          <w:color w:val="auto"/>
          <w:kern w:val="0"/>
          <w:sz w:val="21"/>
          <w:szCs w:val="21"/>
        </w:rPr>
        <w:t>；进一步训练学生听课、上课、评课等教学技能、班级管理和班队活动组织的技能，</w:t>
      </w:r>
      <w:r>
        <w:rPr>
          <w:rFonts w:ascii="宋体" w:hAnsi="宋体" w:eastAsia="宋体" w:cs="Times New Roman"/>
          <w:color w:val="auto"/>
          <w:kern w:val="0"/>
          <w:sz w:val="21"/>
          <w:szCs w:val="21"/>
        </w:rPr>
        <w:t>将专业学习与实践学习建立</w:t>
      </w:r>
      <w:r>
        <w:rPr>
          <w:rFonts w:hint="eastAsia" w:ascii="宋体" w:hAnsi="宋体" w:eastAsia="宋体" w:cs="Times New Roman"/>
          <w:color w:val="auto"/>
          <w:kern w:val="0"/>
          <w:sz w:val="21"/>
          <w:szCs w:val="21"/>
        </w:rPr>
        <w:t>紧密</w:t>
      </w:r>
      <w:r>
        <w:rPr>
          <w:rFonts w:ascii="宋体" w:hAnsi="宋体" w:eastAsia="宋体" w:cs="Times New Roman"/>
          <w:color w:val="auto"/>
          <w:kern w:val="0"/>
          <w:sz w:val="21"/>
          <w:szCs w:val="21"/>
        </w:rPr>
        <w:t>联系</w:t>
      </w:r>
      <w:r>
        <w:rPr>
          <w:rFonts w:hint="eastAsia" w:ascii="宋体" w:hAnsi="宋体" w:eastAsia="宋体" w:cs="Times New Roman"/>
          <w:color w:val="auto"/>
          <w:kern w:val="0"/>
          <w:sz w:val="21"/>
          <w:szCs w:val="21"/>
        </w:rPr>
        <w:t>，巩固专业知识和职业技能；培养学生研究小学教育问题的兴趣，提升</w:t>
      </w:r>
      <w:r>
        <w:rPr>
          <w:rFonts w:ascii="宋体" w:hAnsi="宋体" w:eastAsia="宋体" w:cs="Times New Roman"/>
          <w:color w:val="auto"/>
          <w:kern w:val="0"/>
          <w:sz w:val="21"/>
          <w:szCs w:val="21"/>
        </w:rPr>
        <w:t>综合育人的意识</w:t>
      </w:r>
      <w:r>
        <w:rPr>
          <w:rFonts w:hint="eastAsia" w:ascii="宋体" w:hAnsi="宋体" w:eastAsia="宋体" w:cs="Times New Roman"/>
          <w:color w:val="auto"/>
          <w:kern w:val="0"/>
          <w:sz w:val="21"/>
          <w:szCs w:val="21"/>
        </w:rPr>
        <w:t>与能力</w:t>
      </w:r>
      <w:r>
        <w:rPr>
          <w:rFonts w:ascii="宋体" w:hAnsi="宋体" w:eastAsia="宋体" w:cs="Times New Roman"/>
          <w:color w:val="auto"/>
          <w:kern w:val="0"/>
          <w:sz w:val="21"/>
          <w:szCs w:val="21"/>
        </w:rPr>
        <w:t>。</w:t>
      </w:r>
    </w:p>
    <w:p w14:paraId="7D0E7B61">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二、课程目标</w:t>
      </w:r>
    </w:p>
    <w:p w14:paraId="2FA02B41">
      <w:pPr>
        <w:spacing w:line="360" w:lineRule="auto"/>
        <w:ind w:firstLine="422" w:firstLineChars="200"/>
        <w:jc w:val="left"/>
        <w:rPr>
          <w:rFonts w:hint="eastAsia" w:ascii="宋体" w:hAnsi="宋体" w:eastAsia="宋体" w:cs="Times New Roman"/>
          <w:b/>
          <w:bCs/>
          <w:color w:val="auto"/>
          <w:sz w:val="21"/>
          <w:szCs w:val="21"/>
        </w:rPr>
      </w:pPr>
      <w:r>
        <w:rPr>
          <w:rFonts w:hint="eastAsia" w:ascii="宋体" w:hAnsi="宋体" w:eastAsia="宋体" w:cs="Times New Roman"/>
          <w:b/>
          <w:bCs/>
          <w:color w:val="auto"/>
          <w:sz w:val="21"/>
          <w:szCs w:val="21"/>
        </w:rPr>
        <w:t>（一）课程具体目标</w:t>
      </w:r>
    </w:p>
    <w:p w14:paraId="2EA82F8F">
      <w:pPr>
        <w:spacing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目标</w:t>
      </w:r>
      <w:r>
        <w:rPr>
          <w:rFonts w:ascii="宋体" w:hAnsi="宋体" w:eastAsia="宋体" w:cs="Times New Roman"/>
          <w:color w:val="auto"/>
          <w:sz w:val="21"/>
          <w:szCs w:val="21"/>
        </w:rPr>
        <w:t>1.</w:t>
      </w:r>
      <w:r>
        <w:rPr>
          <w:rFonts w:hint="eastAsia" w:ascii="宋体" w:hAnsi="宋体" w:eastAsia="宋体" w:cs="Times New Roman"/>
          <w:color w:val="auto"/>
          <w:sz w:val="21"/>
          <w:szCs w:val="21"/>
        </w:rPr>
        <w:t>通过教育见习</w:t>
      </w:r>
      <w:r>
        <w:rPr>
          <w:rFonts w:ascii="宋体" w:hAnsi="宋体" w:eastAsia="宋体" w:cs="Times New Roman"/>
          <w:color w:val="auto"/>
          <w:sz w:val="21"/>
          <w:szCs w:val="21"/>
        </w:rPr>
        <w:t>II</w:t>
      </w:r>
      <w:r>
        <w:rPr>
          <w:rFonts w:hint="eastAsia" w:ascii="宋体" w:hAnsi="宋体" w:eastAsia="宋体" w:cs="Times New Roman"/>
          <w:color w:val="auto"/>
          <w:sz w:val="21"/>
          <w:szCs w:val="21"/>
        </w:rPr>
        <w:t>，进一步</w:t>
      </w:r>
      <w:r>
        <w:rPr>
          <w:rFonts w:ascii="宋体" w:hAnsi="宋体" w:eastAsia="宋体" w:cs="Times New Roman"/>
          <w:color w:val="auto"/>
          <w:sz w:val="21"/>
          <w:szCs w:val="21"/>
        </w:rPr>
        <w:t>适应学校日常生活，熟悉教师岗位职责，</w:t>
      </w:r>
      <w:r>
        <w:rPr>
          <w:rFonts w:hint="eastAsia" w:ascii="宋体" w:hAnsi="宋体" w:eastAsia="宋体" w:cs="Times New Roman"/>
          <w:color w:val="auto"/>
          <w:sz w:val="21"/>
          <w:szCs w:val="21"/>
        </w:rPr>
        <w:t>体验和感受教师职业的光荣感、幸福感，</w:t>
      </w:r>
      <w:r>
        <w:rPr>
          <w:rFonts w:ascii="宋体" w:hAnsi="宋体" w:eastAsia="宋体" w:cs="Times New Roman"/>
          <w:color w:val="auto"/>
          <w:sz w:val="21"/>
          <w:szCs w:val="21"/>
        </w:rPr>
        <w:t>增强对教师职业</w:t>
      </w:r>
      <w:r>
        <w:rPr>
          <w:rFonts w:hint="eastAsia" w:ascii="宋体" w:hAnsi="宋体" w:eastAsia="宋体" w:cs="Times New Roman"/>
          <w:color w:val="auto"/>
          <w:sz w:val="21"/>
          <w:szCs w:val="21"/>
        </w:rPr>
        <w:t>的责任感，充分认识教师</w:t>
      </w:r>
      <w:r>
        <w:rPr>
          <w:rFonts w:ascii="宋体" w:hAnsi="宋体" w:eastAsia="宋体" w:cs="Times New Roman"/>
          <w:color w:val="auto"/>
          <w:sz w:val="21"/>
          <w:szCs w:val="21"/>
        </w:rPr>
        <w:t>工作</w:t>
      </w:r>
      <w:r>
        <w:rPr>
          <w:rFonts w:hint="eastAsia" w:ascii="宋体" w:hAnsi="宋体" w:eastAsia="宋体" w:cs="Times New Roman"/>
          <w:color w:val="auto"/>
          <w:sz w:val="21"/>
          <w:szCs w:val="21"/>
        </w:rPr>
        <w:t>内容的</w:t>
      </w:r>
      <w:r>
        <w:rPr>
          <w:rFonts w:ascii="宋体" w:hAnsi="宋体" w:eastAsia="宋体" w:cs="Times New Roman"/>
          <w:color w:val="auto"/>
          <w:sz w:val="21"/>
          <w:szCs w:val="21"/>
        </w:rPr>
        <w:t>复杂性</w:t>
      </w:r>
      <w:r>
        <w:rPr>
          <w:rFonts w:hint="eastAsia" w:ascii="宋体" w:hAnsi="宋体" w:eastAsia="宋体" w:cs="Times New Roman"/>
          <w:color w:val="auto"/>
          <w:sz w:val="21"/>
          <w:szCs w:val="21"/>
        </w:rPr>
        <w:t>。</w:t>
      </w:r>
    </w:p>
    <w:p w14:paraId="05355DB7">
      <w:pPr>
        <w:spacing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目标</w:t>
      </w:r>
      <w:r>
        <w:rPr>
          <w:rFonts w:ascii="宋体" w:hAnsi="宋体" w:eastAsia="宋体" w:cs="Times New Roman"/>
          <w:color w:val="auto"/>
          <w:sz w:val="21"/>
          <w:szCs w:val="21"/>
        </w:rPr>
        <w:t>2.</w:t>
      </w:r>
      <w:r>
        <w:rPr>
          <w:rFonts w:hint="eastAsia" w:ascii="宋体" w:hAnsi="宋体" w:eastAsia="宋体" w:cs="Times New Roman"/>
          <w:color w:val="auto"/>
          <w:sz w:val="21"/>
          <w:szCs w:val="21"/>
        </w:rPr>
        <w:t>通过课堂教学和班队工作见习，增进小学教学体验，积累课堂教学和班级管理的经验与方法，进一步了解小学生心理健康教育指导的要求，形成综合育人的意识。</w:t>
      </w:r>
    </w:p>
    <w:p w14:paraId="6B58E402">
      <w:pPr>
        <w:spacing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目标</w:t>
      </w:r>
      <w:r>
        <w:rPr>
          <w:rFonts w:ascii="宋体" w:hAnsi="宋体" w:eastAsia="宋体" w:cs="Times New Roman"/>
          <w:color w:val="auto"/>
          <w:sz w:val="21"/>
          <w:szCs w:val="21"/>
        </w:rPr>
        <w:t>3.</w:t>
      </w:r>
      <w:r>
        <w:rPr>
          <w:rFonts w:hint="eastAsia" w:ascii="宋体" w:hAnsi="宋体" w:eastAsia="宋体" w:cs="Times New Roman"/>
          <w:color w:val="auto"/>
          <w:sz w:val="21"/>
          <w:szCs w:val="21"/>
        </w:rPr>
        <w:t>通过听课、上课等环节，熟悉小学教育工作规律，将</w:t>
      </w:r>
      <w:r>
        <w:rPr>
          <w:rFonts w:ascii="宋体" w:hAnsi="宋体" w:eastAsia="宋体" w:cs="Times New Roman"/>
          <w:color w:val="auto"/>
          <w:sz w:val="21"/>
          <w:szCs w:val="21"/>
        </w:rPr>
        <w:t>专业学习与实践学习建立</w:t>
      </w:r>
      <w:r>
        <w:rPr>
          <w:rFonts w:hint="eastAsia" w:ascii="宋体" w:hAnsi="宋体" w:eastAsia="宋体" w:cs="Times New Roman"/>
          <w:color w:val="auto"/>
          <w:sz w:val="21"/>
          <w:szCs w:val="21"/>
        </w:rPr>
        <w:t>紧密</w:t>
      </w:r>
      <w:r>
        <w:rPr>
          <w:rFonts w:ascii="宋体" w:hAnsi="宋体" w:eastAsia="宋体" w:cs="Times New Roman"/>
          <w:color w:val="auto"/>
          <w:sz w:val="21"/>
          <w:szCs w:val="21"/>
        </w:rPr>
        <w:t>联系，</w:t>
      </w:r>
      <w:r>
        <w:rPr>
          <w:rFonts w:hint="eastAsia" w:ascii="宋体" w:hAnsi="宋体" w:eastAsia="宋体" w:cs="Times New Roman"/>
          <w:color w:val="auto"/>
          <w:sz w:val="21"/>
          <w:szCs w:val="21"/>
        </w:rPr>
        <w:t>初步形成独立编写</w:t>
      </w:r>
      <w:r>
        <w:rPr>
          <w:rFonts w:ascii="宋体" w:hAnsi="宋体" w:eastAsia="宋体" w:cs="Times New Roman"/>
          <w:color w:val="auto"/>
          <w:sz w:val="21"/>
          <w:szCs w:val="21"/>
        </w:rPr>
        <w:t>教案</w:t>
      </w:r>
      <w:r>
        <w:rPr>
          <w:rFonts w:hint="eastAsia" w:ascii="宋体" w:hAnsi="宋体" w:eastAsia="宋体" w:cs="Times New Roman"/>
          <w:color w:val="auto"/>
          <w:sz w:val="21"/>
          <w:szCs w:val="21"/>
        </w:rPr>
        <w:t>和开展教学的能力，主动进行</w:t>
      </w:r>
      <w:r>
        <w:rPr>
          <w:rFonts w:ascii="宋体" w:hAnsi="宋体" w:eastAsia="宋体" w:cs="Times New Roman"/>
          <w:color w:val="auto"/>
          <w:sz w:val="21"/>
          <w:szCs w:val="21"/>
        </w:rPr>
        <w:t>教学反思</w:t>
      </w:r>
      <w:r>
        <w:rPr>
          <w:rFonts w:hint="eastAsia" w:ascii="宋体" w:hAnsi="宋体" w:eastAsia="宋体" w:cs="Times New Roman"/>
          <w:color w:val="auto"/>
          <w:sz w:val="21"/>
          <w:szCs w:val="21"/>
        </w:rPr>
        <w:t>，巩固已学的知识与能力。</w:t>
      </w:r>
    </w:p>
    <w:p w14:paraId="4C301936">
      <w:pPr>
        <w:spacing w:line="360" w:lineRule="auto"/>
        <w:ind w:firstLine="420" w:firstLineChars="200"/>
        <w:rPr>
          <w:rFonts w:hint="eastAsia" w:ascii="宋体" w:hAnsi="宋体" w:eastAsia="宋体" w:cs="Times New Roman"/>
          <w:b/>
          <w:bCs/>
          <w:color w:val="auto"/>
          <w:sz w:val="21"/>
          <w:szCs w:val="21"/>
        </w:rPr>
      </w:pPr>
      <w:r>
        <w:rPr>
          <w:rFonts w:hint="eastAsia" w:ascii="宋体" w:hAnsi="宋体" w:eastAsia="宋体" w:cs="Times New Roman"/>
          <w:color w:val="auto"/>
          <w:sz w:val="21"/>
          <w:szCs w:val="21"/>
        </w:rPr>
        <w:t>目标</w:t>
      </w:r>
      <w:r>
        <w:rPr>
          <w:rFonts w:ascii="宋体" w:hAnsi="宋体" w:eastAsia="宋体" w:cs="Times New Roman"/>
          <w:color w:val="auto"/>
          <w:sz w:val="21"/>
          <w:szCs w:val="21"/>
        </w:rPr>
        <w:t>4.</w:t>
      </w:r>
      <w:r>
        <w:rPr>
          <w:rFonts w:hint="eastAsia" w:ascii="宋体" w:hAnsi="宋体" w:eastAsia="宋体" w:cs="Times New Roman"/>
          <w:color w:val="auto"/>
          <w:sz w:val="21"/>
          <w:szCs w:val="21"/>
        </w:rPr>
        <w:t>通过分组见习，学会与不同的交往对象和谐相处，了解课外活动组织和管理的知识，学会与其他教师、学生、家长沟通的方法，发展沟通合作的意识。</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095"/>
        <w:gridCol w:w="1327"/>
      </w:tblGrid>
      <w:tr w14:paraId="4945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092B8302">
            <w:pPr>
              <w:spacing w:line="360"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w:t>
            </w:r>
          </w:p>
        </w:tc>
        <w:tc>
          <w:tcPr>
            <w:tcW w:w="6095" w:type="dxa"/>
            <w:vAlign w:val="center"/>
          </w:tcPr>
          <w:p w14:paraId="654D8B83">
            <w:pPr>
              <w:spacing w:line="360"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毕业要求指标点</w:t>
            </w:r>
          </w:p>
        </w:tc>
        <w:tc>
          <w:tcPr>
            <w:tcW w:w="1327" w:type="dxa"/>
            <w:vAlign w:val="center"/>
          </w:tcPr>
          <w:p w14:paraId="6AEE0BBC">
            <w:pPr>
              <w:spacing w:line="360"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课程目标</w:t>
            </w:r>
          </w:p>
        </w:tc>
      </w:tr>
      <w:tr w14:paraId="1BEC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7F8AC50D">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毕业要求1</w:t>
            </w:r>
          </w:p>
          <w:p w14:paraId="7C2CF00E">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师德规范</w:t>
            </w:r>
          </w:p>
        </w:tc>
        <w:tc>
          <w:tcPr>
            <w:tcW w:w="6095" w:type="dxa"/>
            <w:vAlign w:val="center"/>
          </w:tcPr>
          <w:p w14:paraId="63024E75">
            <w:pPr>
              <w:pStyle w:val="14"/>
              <w:shd w:val="clear" w:color="auto" w:fill="FFFFFF"/>
              <w:jc w:val="both"/>
              <w:rPr>
                <w:rFonts w:hint="eastAsia"/>
                <w:color w:val="auto"/>
                <w:sz w:val="21"/>
                <w:szCs w:val="21"/>
              </w:rPr>
            </w:pPr>
            <w:r>
              <w:rPr>
                <w:rFonts w:hint="eastAsia" w:cs="Times New Roman"/>
                <w:color w:val="auto"/>
                <w:spacing w:val="2"/>
                <w:sz w:val="21"/>
                <w:szCs w:val="21"/>
              </w:rPr>
              <w:t>指标点</w:t>
            </w:r>
            <w:r>
              <w:rPr>
                <w:color w:val="auto"/>
                <w:spacing w:val="2"/>
                <w:sz w:val="21"/>
                <w:szCs w:val="21"/>
              </w:rPr>
              <w:t>1-2:</w:t>
            </w:r>
            <w:r>
              <w:rPr>
                <w:rFonts w:hint="eastAsia"/>
                <w:color w:val="auto"/>
                <w:sz w:val="21"/>
                <w:szCs w:val="21"/>
              </w:rPr>
              <w:t xml:space="preserve"> 【职业修养良好】以立德树人为己任，掌握立德树 人的途径和方法，着眼于学生的全面发展，实施素质教育，培养学生的核心素养；理解教师职业道德规范内涵与要求，遵守《新时代中小学教师职业行为十项准则》，依法执教，教育实践中能履行应尽义务，自觉维护学生和自身的合法权益。 </w:t>
            </w:r>
          </w:p>
        </w:tc>
        <w:tc>
          <w:tcPr>
            <w:tcW w:w="1327" w:type="dxa"/>
            <w:vAlign w:val="center"/>
          </w:tcPr>
          <w:p w14:paraId="6A88C4A1">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w:t>
            </w:r>
            <w:r>
              <w:rPr>
                <w:rFonts w:ascii="宋体" w:hAnsi="宋体" w:eastAsia="宋体" w:cs="Times New Roman"/>
                <w:color w:val="auto"/>
                <w:kern w:val="0"/>
                <w:szCs w:val="21"/>
              </w:rPr>
              <w:t>1</w:t>
            </w:r>
          </w:p>
        </w:tc>
      </w:tr>
      <w:tr w14:paraId="6AA2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17D26E97">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毕业要求2</w:t>
            </w:r>
          </w:p>
          <w:p w14:paraId="520A1809">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教育情怀</w:t>
            </w:r>
          </w:p>
        </w:tc>
        <w:tc>
          <w:tcPr>
            <w:tcW w:w="6095" w:type="dxa"/>
            <w:vAlign w:val="center"/>
          </w:tcPr>
          <w:p w14:paraId="6848F692">
            <w:pPr>
              <w:pStyle w:val="14"/>
              <w:shd w:val="clear" w:color="auto" w:fill="FFFFFF"/>
              <w:rPr>
                <w:rFonts w:hint="eastAsia"/>
                <w:color w:val="auto"/>
                <w:sz w:val="21"/>
                <w:szCs w:val="21"/>
              </w:rPr>
            </w:pPr>
            <w:r>
              <w:rPr>
                <w:rFonts w:hint="eastAsia"/>
                <w:color w:val="auto"/>
                <w:spacing w:val="2"/>
                <w:sz w:val="21"/>
                <w:szCs w:val="21"/>
              </w:rPr>
              <w:t>指标点2</w:t>
            </w:r>
            <w:r>
              <w:rPr>
                <w:color w:val="auto"/>
                <w:spacing w:val="2"/>
                <w:sz w:val="21"/>
                <w:szCs w:val="21"/>
              </w:rPr>
              <w:t>-2</w:t>
            </w:r>
            <w:r>
              <w:rPr>
                <w:rFonts w:hint="eastAsia"/>
                <w:color w:val="auto"/>
                <w:spacing w:val="2"/>
                <w:sz w:val="21"/>
                <w:szCs w:val="21"/>
              </w:rPr>
              <w:t>：</w:t>
            </w:r>
            <w:r>
              <w:rPr>
                <w:rFonts w:hint="eastAsia"/>
                <w:color w:val="auto"/>
                <w:sz w:val="21"/>
                <w:szCs w:val="21"/>
              </w:rPr>
              <w:t xml:space="preserve">【仁爱之心深厚】关爱学生，用心从教。具有正确 的儿童观，理解、尊重、关爱、保护学生，以儿童发展为教育的中心。爱岗敬业，在教育实践中能认真履行教育教学职责与班主任工作职责，富有爱心、责任心、工作细心、耐心，做学生学习的促进者、道德品质和创新思维的培养者，奉献祖国的引路人。 </w:t>
            </w:r>
          </w:p>
        </w:tc>
        <w:tc>
          <w:tcPr>
            <w:tcW w:w="1327" w:type="dxa"/>
            <w:vAlign w:val="center"/>
          </w:tcPr>
          <w:p w14:paraId="52282F0E">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课程目标2</w:t>
            </w:r>
          </w:p>
        </w:tc>
      </w:tr>
      <w:tr w14:paraId="1EEB9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55" w:type="dxa"/>
            <w:vMerge w:val="restart"/>
            <w:vAlign w:val="center"/>
          </w:tcPr>
          <w:p w14:paraId="77AA0F1C">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毕业要求4</w:t>
            </w:r>
          </w:p>
          <w:p w14:paraId="67F7A22B">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教学能力</w:t>
            </w:r>
          </w:p>
        </w:tc>
        <w:tc>
          <w:tcPr>
            <w:tcW w:w="6095" w:type="dxa"/>
            <w:vAlign w:val="center"/>
          </w:tcPr>
          <w:p w14:paraId="22153C04">
            <w:pPr>
              <w:pStyle w:val="14"/>
              <w:jc w:val="both"/>
              <w:rPr>
                <w:rFonts w:hint="eastAsia" w:eastAsia="宋体"/>
                <w:color w:val="auto"/>
                <w:sz w:val="21"/>
                <w:szCs w:val="21"/>
                <w:lang w:eastAsia="zh-CN"/>
              </w:rPr>
            </w:pPr>
            <w:r>
              <w:rPr>
                <w:rFonts w:hint="eastAsia"/>
                <w:color w:val="auto"/>
                <w:spacing w:val="2"/>
                <w:sz w:val="21"/>
                <w:szCs w:val="21"/>
                <w:lang w:eastAsia="zh-CN"/>
              </w:rPr>
              <w:t>指标点4-2：【教学设计恰当】理解教材的编写逻辑和体系结构，合理掌握不同学段目标与内容的递进关系，具有依据课标进行教学的意识和习惯。能依据单元内容进行整体设计，科学合理地依据教学目标及内容设计。</w:t>
            </w:r>
          </w:p>
        </w:tc>
        <w:tc>
          <w:tcPr>
            <w:tcW w:w="1327" w:type="dxa"/>
            <w:vMerge w:val="restart"/>
            <w:vAlign w:val="center"/>
          </w:tcPr>
          <w:p w14:paraId="23AC2A9D">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课程目标2</w:t>
            </w:r>
          </w:p>
        </w:tc>
      </w:tr>
      <w:tr w14:paraId="6407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55" w:type="dxa"/>
            <w:vMerge w:val="continue"/>
            <w:vAlign w:val="center"/>
          </w:tcPr>
          <w:p w14:paraId="4ED773F0">
            <w:pPr>
              <w:spacing w:line="276" w:lineRule="auto"/>
              <w:jc w:val="center"/>
              <w:rPr>
                <w:rFonts w:hint="eastAsia" w:ascii="宋体" w:hAnsi="宋体" w:eastAsia="宋体" w:cs="Times New Roman"/>
                <w:b/>
                <w:bCs/>
                <w:color w:val="auto"/>
                <w:kern w:val="0"/>
                <w:szCs w:val="21"/>
              </w:rPr>
            </w:pPr>
          </w:p>
        </w:tc>
        <w:tc>
          <w:tcPr>
            <w:tcW w:w="6095" w:type="dxa"/>
            <w:vAlign w:val="center"/>
          </w:tcPr>
          <w:p w14:paraId="3A87981A">
            <w:pPr>
              <w:pStyle w:val="14"/>
              <w:jc w:val="both"/>
              <w:rPr>
                <w:rFonts w:hint="eastAsia" w:eastAsia="宋体"/>
                <w:color w:val="auto"/>
                <w:sz w:val="21"/>
                <w:szCs w:val="21"/>
                <w:lang w:eastAsia="zh-CN"/>
              </w:rPr>
            </w:pPr>
            <w:r>
              <w:rPr>
                <w:rFonts w:hint="eastAsia"/>
                <w:color w:val="auto"/>
                <w:spacing w:val="2"/>
                <w:sz w:val="21"/>
                <w:szCs w:val="21"/>
                <w:lang w:eastAsia="zh-CN"/>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Merge w:val="continue"/>
            <w:vAlign w:val="center"/>
          </w:tcPr>
          <w:p w14:paraId="7EE2F615">
            <w:pPr>
              <w:spacing w:line="276" w:lineRule="auto"/>
              <w:jc w:val="left"/>
              <w:rPr>
                <w:rFonts w:hint="eastAsia" w:ascii="宋体" w:hAnsi="宋体" w:eastAsia="宋体" w:cs="Times New Roman"/>
                <w:color w:val="auto"/>
                <w:kern w:val="0"/>
                <w:szCs w:val="21"/>
              </w:rPr>
            </w:pPr>
          </w:p>
        </w:tc>
      </w:tr>
      <w:tr w14:paraId="1FE6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713B92F3">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毕业要求5</w:t>
            </w:r>
          </w:p>
          <w:p w14:paraId="0EA9FC18">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班级管理</w:t>
            </w:r>
          </w:p>
        </w:tc>
        <w:tc>
          <w:tcPr>
            <w:tcW w:w="6095" w:type="dxa"/>
            <w:vAlign w:val="center"/>
          </w:tcPr>
          <w:p w14:paraId="2A38D486">
            <w:pPr>
              <w:pStyle w:val="14"/>
              <w:jc w:val="both"/>
              <w:rPr>
                <w:rFonts w:hint="eastAsia"/>
                <w:color w:val="auto"/>
                <w:sz w:val="21"/>
                <w:szCs w:val="21"/>
              </w:rPr>
            </w:pPr>
            <w:r>
              <w:rPr>
                <w:rFonts w:hint="eastAsia"/>
                <w:color w:val="auto"/>
                <w:spacing w:val="2"/>
                <w:sz w:val="21"/>
                <w:szCs w:val="21"/>
              </w:rPr>
              <w:t>指标点5</w:t>
            </w:r>
            <w:r>
              <w:rPr>
                <w:color w:val="auto"/>
                <w:spacing w:val="2"/>
                <w:sz w:val="21"/>
                <w:szCs w:val="21"/>
              </w:rPr>
              <w:t>-1:</w:t>
            </w:r>
            <w:r>
              <w:rPr>
                <w:rFonts w:hint="eastAsia"/>
                <w:color w:val="auto"/>
                <w:sz w:val="21"/>
                <w:szCs w:val="21"/>
              </w:rPr>
              <w:t xml:space="preserve">【擅长班队管理】具有小学德育工作体验，树立育 人为本、德育为先的理念，熟悉小学德育的基本原理与方法。获得小学班队组织与建设的体验。掌握小学班队组织与建设的工作规律和基本方法，具有班队建设和管理的基本能力。能够在工作实践中，利用技术手段收集学生成长过程的关键信息，建立学生成长电子档案，对学生进行综合素质评价，指导学生成长，关注学生生活，运用德育的理论和方法组织与指导班队活动。 </w:t>
            </w:r>
          </w:p>
        </w:tc>
        <w:tc>
          <w:tcPr>
            <w:tcW w:w="1327" w:type="dxa"/>
            <w:vAlign w:val="center"/>
          </w:tcPr>
          <w:p w14:paraId="613DEE2C">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课程目标3</w:t>
            </w:r>
          </w:p>
        </w:tc>
      </w:tr>
      <w:tr w14:paraId="160F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79CB2AA3">
            <w:pPr>
              <w:spacing w:line="276" w:lineRule="auto"/>
              <w:jc w:val="center"/>
              <w:rPr>
                <w:rFonts w:hint="eastAsia" w:ascii="宋体" w:hAnsi="宋体" w:eastAsia="宋体" w:cs="Times New Roman"/>
                <w:b/>
                <w:bCs/>
                <w:color w:val="auto"/>
                <w:kern w:val="0"/>
                <w:szCs w:val="21"/>
              </w:rPr>
            </w:pPr>
          </w:p>
        </w:tc>
        <w:tc>
          <w:tcPr>
            <w:tcW w:w="6095" w:type="dxa"/>
            <w:vAlign w:val="center"/>
          </w:tcPr>
          <w:p w14:paraId="022FB471">
            <w:pPr>
              <w:pStyle w:val="14"/>
              <w:rPr>
                <w:rFonts w:hint="eastAsia"/>
                <w:color w:val="auto"/>
                <w:sz w:val="21"/>
                <w:szCs w:val="21"/>
              </w:rPr>
            </w:pPr>
            <w:r>
              <w:rPr>
                <w:rFonts w:hint="eastAsia"/>
                <w:color w:val="auto"/>
                <w:spacing w:val="2"/>
                <w:sz w:val="21"/>
                <w:szCs w:val="21"/>
              </w:rPr>
              <w:t>指标点5</w:t>
            </w:r>
            <w:r>
              <w:rPr>
                <w:color w:val="auto"/>
                <w:spacing w:val="2"/>
                <w:sz w:val="21"/>
                <w:szCs w:val="21"/>
              </w:rPr>
              <w:t>-2:</w:t>
            </w:r>
            <w:r>
              <w:rPr>
                <w:rFonts w:hint="eastAsia"/>
                <w:color w:val="auto"/>
                <w:sz w:val="21"/>
                <w:szCs w:val="21"/>
              </w:rPr>
              <w:t>【重视身心健康教育】了解小学生身体、情感发展 的特性和差异性，包括小学生日常卫生保健、传染病预防、意外 伤害事故处理等相关知识，掌握面临特殊事件发生时保护学生的 基本方法。获得小学心理健康教育指导体验，在教育教学实践中， 参与组织与指导对小学生心理健康教育的科普宣传及心理辅导， 掌握小学心理健康教育的基本方法。</w:t>
            </w:r>
          </w:p>
        </w:tc>
        <w:tc>
          <w:tcPr>
            <w:tcW w:w="1327" w:type="dxa"/>
            <w:vAlign w:val="center"/>
          </w:tcPr>
          <w:p w14:paraId="7B2A0506">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课程目标3</w:t>
            </w:r>
          </w:p>
        </w:tc>
      </w:tr>
      <w:tr w14:paraId="46A46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23019580">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毕业要求6</w:t>
            </w:r>
          </w:p>
          <w:p w14:paraId="74DE2922">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综合育人</w:t>
            </w:r>
          </w:p>
        </w:tc>
        <w:tc>
          <w:tcPr>
            <w:tcW w:w="6095" w:type="dxa"/>
            <w:vAlign w:val="center"/>
          </w:tcPr>
          <w:p w14:paraId="09DCE85A">
            <w:pPr>
              <w:pStyle w:val="14"/>
              <w:jc w:val="both"/>
              <w:rPr>
                <w:rFonts w:hint="eastAsia"/>
                <w:color w:val="auto"/>
                <w:sz w:val="21"/>
                <w:szCs w:val="21"/>
              </w:rPr>
            </w:pPr>
            <w:r>
              <w:rPr>
                <w:rFonts w:hint="eastAsia"/>
                <w:color w:val="auto"/>
                <w:spacing w:val="2"/>
                <w:sz w:val="21"/>
                <w:szCs w:val="21"/>
              </w:rPr>
              <w:t>指标点6</w:t>
            </w:r>
            <w:r>
              <w:rPr>
                <w:color w:val="auto"/>
                <w:spacing w:val="2"/>
                <w:sz w:val="21"/>
                <w:szCs w:val="21"/>
              </w:rPr>
              <w:t>-1:</w:t>
            </w:r>
            <w:r>
              <w:rPr>
                <w:rFonts w:hint="eastAsia"/>
                <w:color w:val="auto"/>
                <w:sz w:val="21"/>
                <w:szCs w:val="21"/>
              </w:rPr>
              <w:t>【遵循身心规律】了解不同年龄以及有特殊需要的小学生的身心发展特点和规律、不同年龄小学生学习的特点，掌 握小学生良好行为习惯养成的知识。</w:t>
            </w:r>
          </w:p>
        </w:tc>
        <w:tc>
          <w:tcPr>
            <w:tcW w:w="1327" w:type="dxa"/>
            <w:vAlign w:val="center"/>
          </w:tcPr>
          <w:p w14:paraId="7ACA86DB">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课程目标3</w:t>
            </w:r>
          </w:p>
        </w:tc>
      </w:tr>
      <w:tr w14:paraId="09D9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2C427624">
            <w:pPr>
              <w:spacing w:line="276" w:lineRule="auto"/>
              <w:jc w:val="center"/>
              <w:rPr>
                <w:rFonts w:hint="eastAsia" w:ascii="宋体" w:hAnsi="宋体" w:eastAsia="宋体" w:cs="Times New Roman"/>
                <w:b/>
                <w:bCs/>
                <w:color w:val="auto"/>
                <w:kern w:val="0"/>
                <w:szCs w:val="21"/>
              </w:rPr>
            </w:pPr>
          </w:p>
        </w:tc>
        <w:tc>
          <w:tcPr>
            <w:tcW w:w="6095" w:type="dxa"/>
            <w:vAlign w:val="center"/>
          </w:tcPr>
          <w:p w14:paraId="0CBB1BF2">
            <w:pPr>
              <w:pStyle w:val="14"/>
              <w:jc w:val="both"/>
              <w:rPr>
                <w:rFonts w:hint="eastAsia"/>
                <w:color w:val="auto"/>
                <w:sz w:val="21"/>
                <w:szCs w:val="21"/>
              </w:rPr>
            </w:pPr>
            <w:r>
              <w:rPr>
                <w:rFonts w:hint="eastAsia"/>
                <w:color w:val="auto"/>
                <w:spacing w:val="2"/>
                <w:sz w:val="21"/>
                <w:szCs w:val="21"/>
              </w:rPr>
              <w:t>指标点6</w:t>
            </w:r>
            <w:r>
              <w:rPr>
                <w:color w:val="auto"/>
                <w:spacing w:val="2"/>
                <w:sz w:val="21"/>
                <w:szCs w:val="21"/>
              </w:rPr>
              <w:t>-2:</w:t>
            </w:r>
            <w:r>
              <w:rPr>
                <w:rFonts w:hint="eastAsia"/>
                <w:color w:val="auto"/>
                <w:sz w:val="21"/>
                <w:szCs w:val="21"/>
              </w:rPr>
              <w:t>【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327" w:type="dxa"/>
            <w:vAlign w:val="center"/>
          </w:tcPr>
          <w:p w14:paraId="012BD6BA">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课程目标1</w:t>
            </w:r>
          </w:p>
        </w:tc>
      </w:tr>
      <w:tr w14:paraId="1ADA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733D518D">
            <w:pPr>
              <w:spacing w:line="276" w:lineRule="auto"/>
              <w:jc w:val="center"/>
              <w:rPr>
                <w:rFonts w:hint="eastAsia" w:ascii="宋体" w:hAnsi="宋体" w:eastAsia="宋体" w:cs="Times New Roman"/>
                <w:b/>
                <w:bCs/>
                <w:color w:val="auto"/>
                <w:kern w:val="0"/>
                <w:szCs w:val="21"/>
              </w:rPr>
            </w:pPr>
          </w:p>
        </w:tc>
        <w:tc>
          <w:tcPr>
            <w:tcW w:w="6095" w:type="dxa"/>
            <w:vAlign w:val="center"/>
          </w:tcPr>
          <w:p w14:paraId="126E9343">
            <w:pPr>
              <w:pStyle w:val="14"/>
              <w:jc w:val="both"/>
              <w:rPr>
                <w:rFonts w:hint="eastAsia"/>
                <w:color w:val="auto"/>
                <w:sz w:val="21"/>
                <w:szCs w:val="21"/>
              </w:rPr>
            </w:pPr>
            <w:r>
              <w:rPr>
                <w:rFonts w:hint="eastAsia"/>
                <w:color w:val="auto"/>
                <w:spacing w:val="2"/>
                <w:sz w:val="21"/>
                <w:szCs w:val="21"/>
              </w:rPr>
              <w:t>指标点6</w:t>
            </w:r>
            <w:r>
              <w:rPr>
                <w:color w:val="auto"/>
                <w:spacing w:val="2"/>
                <w:sz w:val="21"/>
                <w:szCs w:val="21"/>
              </w:rPr>
              <w:t>-3:</w:t>
            </w:r>
            <w:r>
              <w:rPr>
                <w:rFonts w:hint="eastAsia"/>
                <w:color w:val="auto"/>
                <w:sz w:val="21"/>
                <w:szCs w:val="21"/>
              </w:rPr>
              <w:t xml:space="preserve"> 【善于文化与活动育人】了解课外活动组织和管理 知识，掌握学校文化和各类课外教育活动的育人内涵和方法，在 教育教学实践中，参与组织主题教育、少先队活动和社团活动， 促进小学生全面、健康发展。</w:t>
            </w:r>
          </w:p>
        </w:tc>
        <w:tc>
          <w:tcPr>
            <w:tcW w:w="1327" w:type="dxa"/>
            <w:vAlign w:val="center"/>
          </w:tcPr>
          <w:p w14:paraId="371424F7">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课程目标2</w:t>
            </w:r>
          </w:p>
        </w:tc>
      </w:tr>
      <w:tr w14:paraId="4DE60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30F6A8A0">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毕业要求7</w:t>
            </w:r>
          </w:p>
          <w:p w14:paraId="5D4F95C0">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学会反思</w:t>
            </w:r>
          </w:p>
        </w:tc>
        <w:tc>
          <w:tcPr>
            <w:tcW w:w="6095" w:type="dxa"/>
            <w:vAlign w:val="center"/>
          </w:tcPr>
          <w:p w14:paraId="5130DC16">
            <w:pPr>
              <w:pStyle w:val="14"/>
              <w:rPr>
                <w:rFonts w:hint="eastAsia"/>
                <w:color w:val="auto"/>
                <w:sz w:val="21"/>
                <w:szCs w:val="21"/>
              </w:rPr>
            </w:pPr>
            <w:r>
              <w:rPr>
                <w:rFonts w:hint="eastAsia"/>
                <w:color w:val="auto"/>
                <w:spacing w:val="2"/>
                <w:sz w:val="21"/>
                <w:szCs w:val="21"/>
              </w:rPr>
              <w:t>指标点7</w:t>
            </w:r>
            <w:r>
              <w:rPr>
                <w:color w:val="auto"/>
                <w:spacing w:val="2"/>
                <w:sz w:val="21"/>
                <w:szCs w:val="21"/>
              </w:rPr>
              <w:t>-3:</w:t>
            </w:r>
            <w:r>
              <w:rPr>
                <w:rFonts w:hint="eastAsia"/>
                <w:color w:val="auto"/>
                <w:sz w:val="21"/>
                <w:szCs w:val="21"/>
              </w:rPr>
              <w:t xml:space="preserve"> 【反思改进良好】具有反思意识和批判性思维素养， 初步掌握反思方法和技能，具有一定创新意识，掌握收集和挖掘 教育教学实践中的案例、关键事件的方法，不断进行反思，启发 教育教学工作。对在日常学习和教育实践中发现的教育现象和问 题，进行探索和研究，有自己的思考和见解。</w:t>
            </w:r>
          </w:p>
        </w:tc>
        <w:tc>
          <w:tcPr>
            <w:tcW w:w="1327" w:type="dxa"/>
            <w:vAlign w:val="center"/>
          </w:tcPr>
          <w:p w14:paraId="5A782310">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课程目标2</w:t>
            </w:r>
          </w:p>
        </w:tc>
      </w:tr>
      <w:tr w14:paraId="0B42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55F61C63">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毕业要求8</w:t>
            </w:r>
          </w:p>
          <w:p w14:paraId="0D72F0F8">
            <w:pPr>
              <w:spacing w:line="276"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沟通合作</w:t>
            </w:r>
          </w:p>
        </w:tc>
        <w:tc>
          <w:tcPr>
            <w:tcW w:w="6095" w:type="dxa"/>
            <w:vAlign w:val="center"/>
          </w:tcPr>
          <w:p w14:paraId="0D930B66">
            <w:pPr>
              <w:pStyle w:val="14"/>
              <w:rPr>
                <w:rFonts w:hint="eastAsia"/>
                <w:color w:val="auto"/>
                <w:sz w:val="21"/>
                <w:szCs w:val="21"/>
              </w:rPr>
            </w:pPr>
            <w:r>
              <w:rPr>
                <w:rFonts w:hint="eastAsia"/>
                <w:color w:val="auto"/>
                <w:spacing w:val="2"/>
                <w:sz w:val="21"/>
                <w:szCs w:val="21"/>
              </w:rPr>
              <w:t>指标点8</w:t>
            </w:r>
            <w:r>
              <w:rPr>
                <w:color w:val="auto"/>
                <w:spacing w:val="2"/>
                <w:sz w:val="21"/>
                <w:szCs w:val="21"/>
              </w:rPr>
              <w:t>-1:</w:t>
            </w:r>
            <w:r>
              <w:rPr>
                <w:rFonts w:hint="eastAsia"/>
                <w:color w:val="auto"/>
                <w:sz w:val="21"/>
                <w:szCs w:val="21"/>
              </w:rPr>
              <w:t xml:space="preserve"> 【善于团队合作】理解学习共同体的本质和价值， 掌握团队协作的基本策略，在课堂学习与教育实践中获得合作学 习体验，形成团队协作精神。</w:t>
            </w:r>
          </w:p>
        </w:tc>
        <w:tc>
          <w:tcPr>
            <w:tcW w:w="1327" w:type="dxa"/>
            <w:vAlign w:val="center"/>
          </w:tcPr>
          <w:p w14:paraId="5D290F76">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课程目标4</w:t>
            </w:r>
          </w:p>
        </w:tc>
      </w:tr>
      <w:tr w14:paraId="6DB6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24577993">
            <w:pPr>
              <w:spacing w:line="276" w:lineRule="auto"/>
              <w:jc w:val="center"/>
              <w:rPr>
                <w:rFonts w:hint="eastAsia" w:ascii="宋体" w:hAnsi="宋体" w:eastAsia="宋体" w:cs="Times New Roman"/>
                <w:color w:val="auto"/>
                <w:kern w:val="0"/>
                <w:szCs w:val="21"/>
              </w:rPr>
            </w:pPr>
          </w:p>
        </w:tc>
        <w:tc>
          <w:tcPr>
            <w:tcW w:w="6095" w:type="dxa"/>
            <w:vAlign w:val="center"/>
          </w:tcPr>
          <w:p w14:paraId="4ADFBB31">
            <w:pPr>
              <w:pStyle w:val="14"/>
              <w:rPr>
                <w:rFonts w:hint="eastAsia"/>
                <w:color w:val="auto"/>
                <w:sz w:val="21"/>
                <w:szCs w:val="21"/>
              </w:rPr>
            </w:pPr>
            <w:r>
              <w:rPr>
                <w:rFonts w:hint="eastAsia"/>
                <w:color w:val="auto"/>
                <w:spacing w:val="2"/>
                <w:sz w:val="21"/>
                <w:szCs w:val="21"/>
              </w:rPr>
              <w:t>指标点8</w:t>
            </w:r>
            <w:r>
              <w:rPr>
                <w:color w:val="auto"/>
                <w:spacing w:val="2"/>
                <w:sz w:val="21"/>
                <w:szCs w:val="21"/>
              </w:rPr>
              <w:t>-2:</w:t>
            </w:r>
            <w:r>
              <w:rPr>
                <w:rFonts w:hint="eastAsia"/>
                <w:color w:val="auto"/>
                <w:sz w:val="21"/>
                <w:szCs w:val="21"/>
              </w:rPr>
              <w:t xml:space="preserve"> 【学会沟通交流】掌握人际沟通合作技能与方法， 在教育教学实践中，能与学生和家长以及同行、同事、专家进行 有效沟通与合作，实现共同发展。</w:t>
            </w:r>
          </w:p>
        </w:tc>
        <w:tc>
          <w:tcPr>
            <w:tcW w:w="1327" w:type="dxa"/>
            <w:vAlign w:val="center"/>
          </w:tcPr>
          <w:p w14:paraId="041D28E3">
            <w:pPr>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课程目标4</w:t>
            </w:r>
          </w:p>
        </w:tc>
      </w:tr>
    </w:tbl>
    <w:p w14:paraId="2E35752F">
      <w:pPr>
        <w:spacing w:line="360" w:lineRule="auto"/>
        <w:ind w:firstLine="422" w:firstLineChars="200"/>
        <w:jc w:val="left"/>
        <w:rPr>
          <w:rFonts w:hint="eastAsia" w:ascii="宋体" w:hAnsi="宋体" w:eastAsia="宋体" w:cs="Times New Roman"/>
          <w:b/>
          <w:bCs/>
          <w:color w:val="auto"/>
          <w:sz w:val="21"/>
          <w:szCs w:val="21"/>
        </w:rPr>
      </w:pPr>
      <w:r>
        <w:rPr>
          <w:rFonts w:hint="eastAsia" w:ascii="宋体" w:hAnsi="宋体" w:eastAsia="宋体" w:cs="Times New Roman"/>
          <w:b/>
          <w:bCs/>
          <w:color w:val="auto"/>
          <w:sz w:val="21"/>
          <w:szCs w:val="21"/>
        </w:rPr>
        <w:t>（三）课程思政目标</w:t>
      </w:r>
    </w:p>
    <w:p w14:paraId="53DD5B0D">
      <w:pPr>
        <w:spacing w:line="360" w:lineRule="auto"/>
        <w:ind w:firstLine="420" w:firstLineChars="200"/>
        <w:jc w:val="left"/>
        <w:rPr>
          <w:rFonts w:hint="eastAsia" w:ascii="宋体" w:hAnsi="宋体" w:eastAsia="宋体" w:cs="Times New Roman"/>
          <w:color w:val="auto"/>
          <w:szCs w:val="21"/>
        </w:rPr>
      </w:pPr>
      <w:r>
        <w:rPr>
          <w:rFonts w:hint="eastAsia" w:ascii="宋体" w:hAnsi="宋体" w:eastAsia="宋体" w:cs="Times New Roman"/>
          <w:color w:val="auto"/>
          <w:szCs w:val="21"/>
        </w:rPr>
        <w:t>坚定教育理念，增强教育情怀，在工作和实践中善于学习，正确认识教育规律，关心关爱学生，</w:t>
      </w:r>
      <w:r>
        <w:rPr>
          <w:rFonts w:ascii="宋体" w:hAnsi="宋体" w:eastAsia="宋体" w:cs="Times New Roman"/>
          <w:color w:val="auto"/>
          <w:szCs w:val="21"/>
        </w:rPr>
        <w:t>形成学科育人的意识，</w:t>
      </w:r>
      <w:r>
        <w:rPr>
          <w:rFonts w:hint="eastAsia" w:ascii="宋体" w:hAnsi="宋体" w:eastAsia="宋体" w:cs="Times New Roman"/>
          <w:color w:val="auto"/>
          <w:szCs w:val="21"/>
        </w:rPr>
        <w:t>初步</w:t>
      </w:r>
      <w:r>
        <w:rPr>
          <w:rFonts w:ascii="宋体" w:hAnsi="宋体" w:eastAsia="宋体" w:cs="Times New Roman"/>
          <w:color w:val="auto"/>
          <w:szCs w:val="21"/>
        </w:rPr>
        <w:t>掌握</w:t>
      </w:r>
      <w:r>
        <w:rPr>
          <w:rFonts w:hint="eastAsia" w:ascii="宋体" w:hAnsi="宋体" w:eastAsia="宋体" w:cs="Times New Roman"/>
          <w:color w:val="auto"/>
          <w:szCs w:val="21"/>
        </w:rPr>
        <w:t>教书</w:t>
      </w:r>
      <w:r>
        <w:rPr>
          <w:rFonts w:ascii="宋体" w:hAnsi="宋体" w:eastAsia="宋体" w:cs="Times New Roman"/>
          <w:color w:val="auto"/>
          <w:szCs w:val="21"/>
        </w:rPr>
        <w:t>育人的方法。</w:t>
      </w:r>
    </w:p>
    <w:p w14:paraId="6DFADD6F">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宋体" w:hAnsi="宋体" w:eastAsia="宋体" w:cs="Times New Roman"/>
          <w:b/>
          <w:color w:val="auto"/>
          <w:sz w:val="24"/>
        </w:rPr>
      </w:pPr>
      <w:r>
        <w:rPr>
          <w:rFonts w:hint="eastAsia" w:ascii="Times New Roman" w:hAnsi="Times New Roman" w:eastAsia="宋体" w:cs="Times New Roman"/>
          <w:b/>
          <w:color w:val="auto"/>
          <w:sz w:val="22"/>
          <w:szCs w:val="22"/>
        </w:rPr>
        <w:t>三、教学内容与预期学习成效</w:t>
      </w:r>
    </w:p>
    <w:tbl>
      <w:tblPr>
        <w:tblStyle w:val="16"/>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2758"/>
        <w:gridCol w:w="1274"/>
        <w:gridCol w:w="2575"/>
        <w:gridCol w:w="1284"/>
        <w:gridCol w:w="537"/>
      </w:tblGrid>
      <w:tr w14:paraId="3F33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1206" w:type="dxa"/>
            <w:vAlign w:val="center"/>
          </w:tcPr>
          <w:p w14:paraId="4C0DD1C0">
            <w:pPr>
              <w:spacing w:line="240" w:lineRule="auto"/>
              <w:jc w:val="center"/>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知识</w:t>
            </w:r>
          </w:p>
          <w:p w14:paraId="49349847">
            <w:pPr>
              <w:spacing w:line="240" w:lineRule="auto"/>
              <w:jc w:val="center"/>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单元</w:t>
            </w:r>
          </w:p>
        </w:tc>
        <w:tc>
          <w:tcPr>
            <w:tcW w:w="2758" w:type="dxa"/>
            <w:vAlign w:val="center"/>
          </w:tcPr>
          <w:p w14:paraId="01C2BA5B">
            <w:pPr>
              <w:spacing w:line="240" w:lineRule="auto"/>
              <w:jc w:val="center"/>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知识点</w:t>
            </w:r>
          </w:p>
        </w:tc>
        <w:tc>
          <w:tcPr>
            <w:tcW w:w="1274" w:type="dxa"/>
            <w:vAlign w:val="center"/>
          </w:tcPr>
          <w:p w14:paraId="2673F161">
            <w:pPr>
              <w:spacing w:line="240" w:lineRule="auto"/>
              <w:jc w:val="center"/>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对应</w:t>
            </w:r>
          </w:p>
          <w:p w14:paraId="48FFD22F">
            <w:pPr>
              <w:spacing w:line="240" w:lineRule="auto"/>
              <w:jc w:val="center"/>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课程目标</w:t>
            </w:r>
          </w:p>
        </w:tc>
        <w:tc>
          <w:tcPr>
            <w:tcW w:w="2575" w:type="dxa"/>
            <w:vAlign w:val="center"/>
          </w:tcPr>
          <w:p w14:paraId="192F2B8B">
            <w:pPr>
              <w:spacing w:line="240" w:lineRule="auto"/>
              <w:jc w:val="center"/>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预期学习成效</w:t>
            </w:r>
          </w:p>
        </w:tc>
        <w:tc>
          <w:tcPr>
            <w:tcW w:w="1284" w:type="dxa"/>
            <w:vAlign w:val="center"/>
          </w:tcPr>
          <w:p w14:paraId="41A63E80">
            <w:pPr>
              <w:spacing w:line="240" w:lineRule="auto"/>
              <w:jc w:val="center"/>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实现环节</w:t>
            </w:r>
          </w:p>
        </w:tc>
        <w:tc>
          <w:tcPr>
            <w:tcW w:w="537" w:type="dxa"/>
            <w:vAlign w:val="center"/>
          </w:tcPr>
          <w:p w14:paraId="21B88786">
            <w:pPr>
              <w:spacing w:line="240" w:lineRule="auto"/>
              <w:jc w:val="center"/>
              <w:rPr>
                <w:rFonts w:hint="eastAsia" w:ascii="宋体" w:hAnsi="宋体" w:eastAsia="宋体" w:cs="Times New Roman"/>
                <w:b/>
                <w:color w:val="auto"/>
                <w:kern w:val="0"/>
                <w:sz w:val="21"/>
                <w:szCs w:val="21"/>
              </w:rPr>
            </w:pPr>
            <w:r>
              <w:rPr>
                <w:rFonts w:hint="eastAsia" w:ascii="宋体" w:hAnsi="宋体" w:eastAsia="宋体" w:cs="Times New Roman"/>
                <w:b/>
                <w:color w:val="auto"/>
                <w:kern w:val="0"/>
                <w:sz w:val="21"/>
                <w:szCs w:val="21"/>
              </w:rPr>
              <w:t>学时</w:t>
            </w:r>
          </w:p>
        </w:tc>
      </w:tr>
      <w:tr w14:paraId="1422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43B3E622">
            <w:pPr>
              <w:spacing w:line="240" w:lineRule="auto"/>
              <w:jc w:val="center"/>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w:t>
            </w:r>
            <w:r>
              <w:rPr>
                <w:rFonts w:ascii="宋体" w:hAnsi="宋体" w:eastAsia="宋体" w:cs="Times New Roman"/>
                <w:color w:val="auto"/>
                <w:kern w:val="0"/>
                <w:sz w:val="21"/>
                <w:szCs w:val="21"/>
              </w:rPr>
              <w:t>.</w:t>
            </w:r>
            <w:r>
              <w:rPr>
                <w:rFonts w:hint="eastAsia" w:ascii="Times New Roman" w:hAnsi="Times New Roman" w:eastAsia="宋体" w:cs="Times New Roman"/>
                <w:color w:val="auto"/>
                <w:kern w:val="0"/>
                <w:sz w:val="21"/>
                <w:szCs w:val="21"/>
              </w:rPr>
              <w:t>学校考察</w:t>
            </w:r>
          </w:p>
        </w:tc>
        <w:tc>
          <w:tcPr>
            <w:tcW w:w="2758" w:type="dxa"/>
            <w:vAlign w:val="center"/>
          </w:tcPr>
          <w:p w14:paraId="679078D8">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观察学校空间、师生日常活动，体会学校校园文化和办学理念；聆听学校负责人介绍学校建设情况、教育教学理念、特色文化；采用观察法或访谈法，聚焦一个主题开展教育调查，分析和总结见习学校的教育教学改革情况</w:t>
            </w:r>
            <w:r>
              <w:rPr>
                <w:rFonts w:hint="eastAsia" w:ascii="宋体" w:hAnsi="宋体" w:eastAsia="宋体" w:cs="Times New Roman"/>
                <w:color w:val="auto"/>
                <w:kern w:val="0"/>
                <w:sz w:val="21"/>
                <w:szCs w:val="21"/>
              </w:rPr>
              <w:t>。</w:t>
            </w:r>
          </w:p>
        </w:tc>
        <w:tc>
          <w:tcPr>
            <w:tcW w:w="1274" w:type="dxa"/>
            <w:vAlign w:val="center"/>
          </w:tcPr>
          <w:p w14:paraId="2C78F626">
            <w:pPr>
              <w:spacing w:line="240" w:lineRule="auto"/>
              <w:jc w:val="center"/>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课程目标1、3</w:t>
            </w:r>
          </w:p>
        </w:tc>
        <w:tc>
          <w:tcPr>
            <w:tcW w:w="2575" w:type="dxa"/>
            <w:vAlign w:val="center"/>
          </w:tcPr>
          <w:p w14:paraId="3787D710">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认真考察校园文化，听取学校专题介绍，与指导教师深入交流</w:t>
            </w:r>
            <w:r>
              <w:rPr>
                <w:rFonts w:hint="eastAsia" w:ascii="宋体" w:hAnsi="宋体" w:eastAsia="宋体" w:cs="Times New Roman"/>
                <w:color w:val="auto"/>
                <w:kern w:val="0"/>
                <w:sz w:val="21"/>
                <w:szCs w:val="21"/>
              </w:rPr>
              <w:t>，</w:t>
            </w:r>
            <w:r>
              <w:rPr>
                <w:rFonts w:ascii="宋体" w:hAnsi="宋体" w:eastAsia="宋体" w:cs="Times New Roman"/>
                <w:color w:val="auto"/>
                <w:kern w:val="0"/>
                <w:sz w:val="21"/>
                <w:szCs w:val="21"/>
              </w:rPr>
              <w:t>完成1份教育调查报告。调查报告内容完整、方法合理，重点突出，数据和内容真实。</w:t>
            </w:r>
          </w:p>
        </w:tc>
        <w:tc>
          <w:tcPr>
            <w:tcW w:w="1284" w:type="dxa"/>
            <w:vAlign w:val="center"/>
          </w:tcPr>
          <w:p w14:paraId="715250AF">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1.跟岗学习</w:t>
            </w:r>
          </w:p>
          <w:p w14:paraId="7DEE3B89">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2.交流研讨</w:t>
            </w:r>
          </w:p>
          <w:p w14:paraId="376F019D">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3</w:t>
            </w:r>
            <w:r>
              <w:rPr>
                <w:rFonts w:hint="eastAsia" w:ascii="宋体" w:hAnsi="宋体" w:eastAsia="宋体" w:cs="Times New Roman"/>
                <w:color w:val="auto"/>
                <w:kern w:val="0"/>
                <w:sz w:val="21"/>
                <w:szCs w:val="21"/>
              </w:rPr>
              <w:t>.自主实践</w:t>
            </w:r>
          </w:p>
        </w:tc>
        <w:tc>
          <w:tcPr>
            <w:tcW w:w="537" w:type="dxa"/>
            <w:vAlign w:val="center"/>
          </w:tcPr>
          <w:p w14:paraId="389DADD7">
            <w:pPr>
              <w:spacing w:line="240" w:lineRule="auto"/>
              <w:jc w:val="center"/>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2</w:t>
            </w:r>
            <w:r>
              <w:rPr>
                <w:rFonts w:hint="eastAsia" w:ascii="宋体" w:hAnsi="宋体" w:eastAsia="宋体" w:cs="Times New Roman"/>
                <w:color w:val="auto"/>
                <w:kern w:val="0"/>
                <w:sz w:val="21"/>
                <w:szCs w:val="21"/>
              </w:rPr>
              <w:t>天</w:t>
            </w:r>
          </w:p>
        </w:tc>
      </w:tr>
      <w:tr w14:paraId="720D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06" w:type="dxa"/>
            <w:vMerge w:val="continue"/>
            <w:vAlign w:val="center"/>
          </w:tcPr>
          <w:p w14:paraId="1A207D26">
            <w:pPr>
              <w:spacing w:line="240" w:lineRule="auto"/>
              <w:jc w:val="center"/>
              <w:rPr>
                <w:rFonts w:hint="eastAsia" w:ascii="宋体" w:hAnsi="宋体" w:eastAsia="宋体" w:cs="Times New Roman"/>
                <w:color w:val="auto"/>
                <w:kern w:val="0"/>
                <w:sz w:val="21"/>
                <w:szCs w:val="21"/>
              </w:rPr>
            </w:pPr>
          </w:p>
        </w:tc>
        <w:tc>
          <w:tcPr>
            <w:tcW w:w="8428" w:type="dxa"/>
            <w:gridSpan w:val="5"/>
            <w:vAlign w:val="center"/>
          </w:tcPr>
          <w:p w14:paraId="6B6DE595">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b/>
                <w:color w:val="auto"/>
                <w:kern w:val="0"/>
                <w:sz w:val="21"/>
                <w:szCs w:val="21"/>
              </w:rPr>
              <w:t>课程思政目标：</w:t>
            </w:r>
            <w:r>
              <w:rPr>
                <w:rFonts w:ascii="宋体" w:hAnsi="宋体" w:eastAsia="宋体" w:cs="Times New Roman"/>
                <w:color w:val="auto"/>
                <w:kern w:val="0"/>
                <w:sz w:val="21"/>
                <w:szCs w:val="21"/>
              </w:rPr>
              <w:t>把“立德树人”教育目标融入实践过程中，领悟教师职业的价值，树立职业理想，立志成为有理想信念、有道德情操、有扎实学识、有仁爱之心的好教师。</w:t>
            </w:r>
          </w:p>
        </w:tc>
      </w:tr>
      <w:tr w14:paraId="2665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07994F7B">
            <w:pPr>
              <w:spacing w:line="240" w:lineRule="auto"/>
              <w:jc w:val="center"/>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w:t>
            </w:r>
            <w:r>
              <w:rPr>
                <w:rFonts w:ascii="宋体" w:hAnsi="宋体" w:eastAsia="宋体" w:cs="Times New Roman"/>
                <w:color w:val="auto"/>
                <w:kern w:val="0"/>
                <w:sz w:val="21"/>
                <w:szCs w:val="21"/>
              </w:rPr>
              <w:t>.</w:t>
            </w:r>
            <w:r>
              <w:rPr>
                <w:rFonts w:hint="eastAsia" w:ascii="Times New Roman" w:hAnsi="Times New Roman" w:eastAsia="宋体" w:cs="Times New Roman"/>
                <w:color w:val="auto"/>
                <w:kern w:val="0"/>
                <w:sz w:val="21"/>
                <w:szCs w:val="21"/>
              </w:rPr>
              <w:t xml:space="preserve"> 教学观摩与研习</w:t>
            </w:r>
          </w:p>
        </w:tc>
        <w:tc>
          <w:tcPr>
            <w:tcW w:w="2758" w:type="dxa"/>
            <w:vAlign w:val="center"/>
          </w:tcPr>
          <w:p w14:paraId="1F8AD204">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研读教材，备课，撰写教案，在实践导师指导下完成教案</w:t>
            </w:r>
            <w:r>
              <w:rPr>
                <w:rFonts w:hint="eastAsia" w:ascii="宋体" w:hAnsi="宋体" w:eastAsia="宋体" w:cs="Times New Roman"/>
                <w:color w:val="auto"/>
                <w:kern w:val="0"/>
                <w:sz w:val="21"/>
                <w:szCs w:val="21"/>
              </w:rPr>
              <w:t>设计</w:t>
            </w:r>
            <w:r>
              <w:rPr>
                <w:rFonts w:ascii="宋体" w:hAnsi="宋体" w:eastAsia="宋体" w:cs="Times New Roman"/>
                <w:color w:val="auto"/>
                <w:kern w:val="0"/>
                <w:sz w:val="21"/>
                <w:szCs w:val="21"/>
              </w:rPr>
              <w:t>，与导师合作实施教学</w:t>
            </w:r>
            <w:r>
              <w:rPr>
                <w:rFonts w:hint="eastAsia" w:ascii="宋体" w:hAnsi="宋体" w:eastAsia="宋体" w:cs="Times New Roman"/>
                <w:color w:val="auto"/>
                <w:kern w:val="0"/>
                <w:sz w:val="21"/>
                <w:szCs w:val="21"/>
              </w:rPr>
              <w:t>；</w:t>
            </w:r>
          </w:p>
          <w:p w14:paraId="2BA79D00">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了解兼教课程的特点，体验兼教课程的教学过程；</w:t>
            </w:r>
          </w:p>
          <w:p w14:paraId="583ECFA8">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全面体验小学校本课程、校际教研、校园建设等活动。</w:t>
            </w:r>
          </w:p>
        </w:tc>
        <w:tc>
          <w:tcPr>
            <w:tcW w:w="1274" w:type="dxa"/>
            <w:vAlign w:val="center"/>
          </w:tcPr>
          <w:p w14:paraId="7CB144E2">
            <w:pPr>
              <w:spacing w:line="240" w:lineRule="auto"/>
              <w:jc w:val="center"/>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课程目标1、2</w:t>
            </w:r>
          </w:p>
        </w:tc>
        <w:tc>
          <w:tcPr>
            <w:tcW w:w="2575" w:type="dxa"/>
            <w:vAlign w:val="center"/>
          </w:tcPr>
          <w:p w14:paraId="37AC7EAC">
            <w:pPr>
              <w:spacing w:line="240" w:lineRule="auto"/>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w:t>
            </w:r>
            <w:r>
              <w:rPr>
                <w:rFonts w:ascii="宋体" w:hAnsi="宋体" w:eastAsia="宋体" w:cs="Times New Roman"/>
                <w:color w:val="auto"/>
                <w:kern w:val="0"/>
                <w:sz w:val="21"/>
                <w:szCs w:val="21"/>
              </w:rPr>
              <w:t>.善于观察，主动思考与提问，总结教学观摩心得，在实践导师帮助下形成对规范的课堂教学的系统认识；</w:t>
            </w:r>
          </w:p>
          <w:p w14:paraId="6F846DF7">
            <w:pPr>
              <w:spacing w:line="240" w:lineRule="auto"/>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2.能运用教学材料钻研教材，设计出比较规范、具备可操作性的教案；</w:t>
            </w:r>
          </w:p>
          <w:p w14:paraId="467B82A2">
            <w:pPr>
              <w:spacing w:line="240" w:lineRule="auto"/>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3.有主动学习的意识，获得教师专业发展的体验。</w:t>
            </w:r>
          </w:p>
          <w:p w14:paraId="0B4F5BE5">
            <w:pPr>
              <w:spacing w:line="240" w:lineRule="auto"/>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4.每天听课2-3节，见习期总听课数不少于15节</w:t>
            </w:r>
            <w:r>
              <w:rPr>
                <w:rFonts w:hint="eastAsia" w:ascii="宋体" w:hAnsi="宋体" w:eastAsia="宋体" w:cs="Times New Roman"/>
                <w:color w:val="auto"/>
                <w:kern w:val="0"/>
                <w:sz w:val="21"/>
                <w:szCs w:val="21"/>
              </w:rPr>
              <w:t>。撰写</w:t>
            </w:r>
            <w:r>
              <w:rPr>
                <w:rFonts w:ascii="宋体" w:hAnsi="宋体" w:eastAsia="宋体" w:cs="Times New Roman"/>
                <w:color w:val="auto"/>
                <w:kern w:val="0"/>
                <w:sz w:val="21"/>
                <w:szCs w:val="21"/>
              </w:rPr>
              <w:t>教案</w:t>
            </w:r>
            <w:r>
              <w:rPr>
                <w:rFonts w:hint="eastAsia" w:ascii="宋体" w:hAnsi="宋体" w:eastAsia="宋体" w:cs="Times New Roman"/>
                <w:color w:val="auto"/>
                <w:kern w:val="0"/>
                <w:sz w:val="21"/>
                <w:szCs w:val="21"/>
              </w:rPr>
              <w:t>1篇。</w:t>
            </w:r>
          </w:p>
        </w:tc>
        <w:tc>
          <w:tcPr>
            <w:tcW w:w="1284" w:type="dxa"/>
            <w:vAlign w:val="center"/>
          </w:tcPr>
          <w:p w14:paraId="7E8507E6">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1.跟岗学习</w:t>
            </w:r>
          </w:p>
          <w:p w14:paraId="508D0D19">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2.交流研讨</w:t>
            </w:r>
          </w:p>
          <w:p w14:paraId="4E3C4C60">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3</w:t>
            </w:r>
            <w:r>
              <w:rPr>
                <w:rFonts w:hint="eastAsia" w:ascii="宋体" w:hAnsi="宋体" w:eastAsia="宋体" w:cs="Times New Roman"/>
                <w:color w:val="auto"/>
                <w:kern w:val="0"/>
                <w:sz w:val="21"/>
                <w:szCs w:val="21"/>
              </w:rPr>
              <w:t>.自主实践</w:t>
            </w:r>
          </w:p>
        </w:tc>
        <w:tc>
          <w:tcPr>
            <w:tcW w:w="537" w:type="dxa"/>
            <w:vAlign w:val="center"/>
          </w:tcPr>
          <w:p w14:paraId="7A4AE5F9">
            <w:pPr>
              <w:spacing w:line="240" w:lineRule="auto"/>
              <w:jc w:val="center"/>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4天</w:t>
            </w:r>
          </w:p>
        </w:tc>
      </w:tr>
      <w:tr w14:paraId="327C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206" w:type="dxa"/>
            <w:vMerge w:val="continue"/>
            <w:vAlign w:val="center"/>
          </w:tcPr>
          <w:p w14:paraId="1ED00648">
            <w:pPr>
              <w:spacing w:line="240" w:lineRule="auto"/>
              <w:jc w:val="center"/>
              <w:rPr>
                <w:rFonts w:hint="eastAsia" w:ascii="宋体" w:hAnsi="宋体" w:eastAsia="宋体" w:cs="Times New Roman"/>
                <w:color w:val="auto"/>
                <w:kern w:val="0"/>
                <w:sz w:val="21"/>
                <w:szCs w:val="21"/>
              </w:rPr>
            </w:pPr>
          </w:p>
        </w:tc>
        <w:tc>
          <w:tcPr>
            <w:tcW w:w="8428" w:type="dxa"/>
            <w:gridSpan w:val="5"/>
            <w:vAlign w:val="center"/>
          </w:tcPr>
          <w:p w14:paraId="2D8DC2F0">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b/>
                <w:color w:val="auto"/>
                <w:kern w:val="0"/>
                <w:sz w:val="21"/>
                <w:szCs w:val="21"/>
              </w:rPr>
              <w:t>课程思政目标：</w:t>
            </w:r>
            <w:r>
              <w:rPr>
                <w:rFonts w:ascii="宋体" w:hAnsi="宋体" w:eastAsia="宋体" w:cs="Times New Roman"/>
                <w:color w:val="auto"/>
                <w:kern w:val="0"/>
                <w:sz w:val="21"/>
                <w:szCs w:val="21"/>
              </w:rPr>
              <w:t>在教育实践中，充分运用自身所掌握的教育教学方法、学生心理规律，实事求是，从实践中总结发现，增进对所学知识的理解与认识。不忘初心，把立德树人作为教育使命，主动研究教育教学，积极影响小学生的发展。</w:t>
            </w:r>
          </w:p>
        </w:tc>
      </w:tr>
      <w:tr w14:paraId="1314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612F8D10">
            <w:pPr>
              <w:spacing w:line="240" w:lineRule="auto"/>
              <w:jc w:val="center"/>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3</w:t>
            </w:r>
            <w:r>
              <w:rPr>
                <w:rFonts w:ascii="宋体" w:hAnsi="宋体" w:eastAsia="宋体" w:cs="Times New Roman"/>
                <w:color w:val="auto"/>
                <w:kern w:val="0"/>
                <w:sz w:val="21"/>
                <w:szCs w:val="21"/>
              </w:rPr>
              <w:t>.</w:t>
            </w:r>
            <w:r>
              <w:rPr>
                <w:rFonts w:hint="eastAsia" w:ascii="宋体" w:hAnsi="宋体" w:eastAsia="宋体" w:cs="Times New Roman"/>
                <w:color w:val="auto"/>
                <w:kern w:val="0"/>
                <w:sz w:val="21"/>
                <w:szCs w:val="21"/>
              </w:rPr>
              <w:t>班级管理和班队工作见习</w:t>
            </w:r>
          </w:p>
        </w:tc>
        <w:tc>
          <w:tcPr>
            <w:tcW w:w="2758" w:type="dxa"/>
            <w:vAlign w:val="center"/>
          </w:tcPr>
          <w:p w14:paraId="784394D2">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全面观察班级常规管理工作，了解班主任日常工作的内容和方法，协助班主任进行班级管理；在班主任指导下尝试组织有主题的班会或班队活动</w:t>
            </w:r>
            <w:r>
              <w:rPr>
                <w:rFonts w:hint="eastAsia" w:ascii="宋体" w:hAnsi="宋体" w:eastAsia="宋体" w:cs="Times New Roman"/>
                <w:color w:val="auto"/>
                <w:kern w:val="0"/>
                <w:sz w:val="21"/>
                <w:szCs w:val="21"/>
              </w:rPr>
              <w:t>。</w:t>
            </w:r>
          </w:p>
        </w:tc>
        <w:tc>
          <w:tcPr>
            <w:tcW w:w="1274" w:type="dxa"/>
            <w:vAlign w:val="center"/>
          </w:tcPr>
          <w:p w14:paraId="53B13FB6">
            <w:pPr>
              <w:spacing w:line="240" w:lineRule="auto"/>
              <w:jc w:val="center"/>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课程目标1、3、4</w:t>
            </w:r>
          </w:p>
        </w:tc>
        <w:tc>
          <w:tcPr>
            <w:tcW w:w="2575" w:type="dxa"/>
            <w:vAlign w:val="center"/>
          </w:tcPr>
          <w:p w14:paraId="51E61A09">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w:t>
            </w:r>
            <w:r>
              <w:rPr>
                <w:rFonts w:ascii="宋体" w:hAnsi="宋体" w:eastAsia="宋体" w:cs="Times New Roman"/>
                <w:color w:val="auto"/>
                <w:kern w:val="0"/>
                <w:sz w:val="21"/>
                <w:szCs w:val="21"/>
              </w:rPr>
              <w:t>.主动与小学生加深交流，掌握小学生生活特点、心理发展特点；</w:t>
            </w:r>
          </w:p>
          <w:p w14:paraId="03819AD9">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2.认真观察教育实践，与实践导师开展积极的沟通，学习班级管理经验，善于在管理案例中总结教育教学规律。</w:t>
            </w:r>
          </w:p>
          <w:p w14:paraId="1E1E2690">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3.</w:t>
            </w:r>
            <w:r>
              <w:rPr>
                <w:rFonts w:hint="eastAsia" w:ascii="宋体" w:hAnsi="宋体" w:eastAsia="宋体" w:cs="Times New Roman"/>
                <w:color w:val="auto"/>
                <w:kern w:val="0"/>
                <w:sz w:val="21"/>
                <w:szCs w:val="21"/>
              </w:rPr>
              <w:t>完成</w:t>
            </w:r>
            <w:r>
              <w:rPr>
                <w:rFonts w:ascii="宋体" w:hAnsi="宋体" w:eastAsia="宋体" w:cs="Times New Roman"/>
                <w:color w:val="auto"/>
                <w:kern w:val="0"/>
                <w:sz w:val="21"/>
                <w:szCs w:val="21"/>
              </w:rPr>
              <w:t>班队活动观察记录1份。</w:t>
            </w:r>
          </w:p>
        </w:tc>
        <w:tc>
          <w:tcPr>
            <w:tcW w:w="1284" w:type="dxa"/>
            <w:vAlign w:val="center"/>
          </w:tcPr>
          <w:p w14:paraId="05BA30D7">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1.跟岗学习</w:t>
            </w:r>
          </w:p>
          <w:p w14:paraId="52F0695E">
            <w:pPr>
              <w:spacing w:line="240" w:lineRule="auto"/>
              <w:jc w:val="lef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2.交流研讨</w:t>
            </w:r>
          </w:p>
          <w:p w14:paraId="6C071D01">
            <w:pPr>
              <w:spacing w:line="240" w:lineRule="auto"/>
              <w:jc w:val="left"/>
              <w:rPr>
                <w:rFonts w:hint="eastAsia" w:ascii="宋体" w:hAnsi="宋体" w:eastAsia="宋体" w:cs="Times New Roman"/>
                <w:color w:val="auto"/>
                <w:kern w:val="0"/>
                <w:sz w:val="21"/>
                <w:szCs w:val="21"/>
              </w:rPr>
            </w:pPr>
            <w:r>
              <w:rPr>
                <w:rFonts w:ascii="宋体" w:hAnsi="宋体" w:eastAsia="宋体" w:cs="Times New Roman"/>
                <w:color w:val="auto"/>
                <w:kern w:val="0"/>
                <w:sz w:val="21"/>
                <w:szCs w:val="21"/>
              </w:rPr>
              <w:t>3</w:t>
            </w:r>
            <w:r>
              <w:rPr>
                <w:rFonts w:hint="eastAsia" w:ascii="宋体" w:hAnsi="宋体" w:eastAsia="宋体" w:cs="Times New Roman"/>
                <w:color w:val="auto"/>
                <w:kern w:val="0"/>
                <w:sz w:val="21"/>
                <w:szCs w:val="21"/>
              </w:rPr>
              <w:t>.自主实践</w:t>
            </w:r>
          </w:p>
        </w:tc>
        <w:tc>
          <w:tcPr>
            <w:tcW w:w="537" w:type="dxa"/>
            <w:vAlign w:val="center"/>
          </w:tcPr>
          <w:p w14:paraId="67F091BE">
            <w:pPr>
              <w:spacing w:line="240" w:lineRule="auto"/>
              <w:jc w:val="center"/>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4天</w:t>
            </w:r>
          </w:p>
        </w:tc>
      </w:tr>
      <w:tr w14:paraId="5A54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206" w:type="dxa"/>
            <w:vMerge w:val="continue"/>
            <w:vAlign w:val="center"/>
          </w:tcPr>
          <w:p w14:paraId="0425B21D">
            <w:pPr>
              <w:spacing w:line="240" w:lineRule="auto"/>
              <w:jc w:val="center"/>
              <w:rPr>
                <w:rFonts w:hint="eastAsia" w:ascii="宋体" w:hAnsi="宋体" w:eastAsia="宋体" w:cs="Times New Roman"/>
                <w:color w:val="auto"/>
                <w:kern w:val="0"/>
                <w:sz w:val="21"/>
                <w:szCs w:val="21"/>
              </w:rPr>
            </w:pPr>
          </w:p>
        </w:tc>
        <w:tc>
          <w:tcPr>
            <w:tcW w:w="8428" w:type="dxa"/>
            <w:gridSpan w:val="5"/>
            <w:vAlign w:val="center"/>
          </w:tcPr>
          <w:p w14:paraId="352EAA9F">
            <w:pPr>
              <w:spacing w:line="240" w:lineRule="auto"/>
              <w:ind w:firstLine="422" w:firstLineChars="200"/>
              <w:rPr>
                <w:rFonts w:hint="eastAsia" w:ascii="宋体" w:hAnsi="宋体" w:eastAsia="宋体" w:cs="Times New Roman"/>
                <w:b/>
                <w:bCs/>
                <w:color w:val="auto"/>
                <w:kern w:val="0"/>
                <w:sz w:val="21"/>
                <w:szCs w:val="21"/>
              </w:rPr>
            </w:pPr>
            <w:r>
              <w:rPr>
                <w:rFonts w:hint="eastAsia" w:ascii="宋体" w:hAnsi="宋体" w:eastAsia="宋体" w:cs="Times New Roman"/>
                <w:b/>
                <w:bCs/>
                <w:color w:val="auto"/>
                <w:kern w:val="0"/>
                <w:sz w:val="21"/>
                <w:szCs w:val="21"/>
              </w:rPr>
              <w:t>课程思政目标：</w:t>
            </w:r>
            <w:r>
              <w:rPr>
                <w:rFonts w:hint="eastAsia" w:ascii="宋体" w:hAnsi="宋体" w:eastAsia="宋体" w:cs="Times New Roman"/>
                <w:color w:val="auto"/>
                <w:kern w:val="0"/>
                <w:sz w:val="21"/>
                <w:szCs w:val="21"/>
              </w:rPr>
              <w:t>理解培养全面发展的人这一教育理念，认识教育管理、班队活动的育人价值，提高教育修养，增强在教育过程中挖掘各个因素进行教育的意识和能力。</w:t>
            </w:r>
          </w:p>
        </w:tc>
      </w:tr>
    </w:tbl>
    <w:p w14:paraId="117282D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四、目标评价与成绩评定</w:t>
      </w:r>
    </w:p>
    <w:p w14:paraId="71123C0F">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6396F000">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1273"/>
        <w:gridCol w:w="1268"/>
        <w:gridCol w:w="1661"/>
        <w:gridCol w:w="1843"/>
        <w:gridCol w:w="1255"/>
      </w:tblGrid>
      <w:tr w14:paraId="011D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Merge w:val="restart"/>
            <w:vAlign w:val="center"/>
          </w:tcPr>
          <w:p w14:paraId="0C271C16">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w:t>
            </w:r>
          </w:p>
        </w:tc>
        <w:tc>
          <w:tcPr>
            <w:tcW w:w="6045" w:type="dxa"/>
            <w:gridSpan w:val="4"/>
          </w:tcPr>
          <w:p w14:paraId="536D26D2">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评价与成绩评定方法</w:t>
            </w:r>
          </w:p>
        </w:tc>
        <w:tc>
          <w:tcPr>
            <w:tcW w:w="1255" w:type="dxa"/>
            <w:vMerge w:val="restart"/>
            <w:vAlign w:val="center"/>
          </w:tcPr>
          <w:p w14:paraId="1D773449">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分值</w:t>
            </w:r>
          </w:p>
        </w:tc>
      </w:tr>
      <w:tr w14:paraId="193C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605" w:type="dxa"/>
            <w:vMerge w:val="continue"/>
            <w:vAlign w:val="center"/>
          </w:tcPr>
          <w:p w14:paraId="68B1685F">
            <w:pPr>
              <w:spacing w:line="240" w:lineRule="auto"/>
              <w:jc w:val="center"/>
              <w:rPr>
                <w:rFonts w:hint="eastAsia" w:ascii="宋体" w:hAnsi="宋体" w:eastAsia="宋体" w:cs="Times New Roman"/>
                <w:color w:val="auto"/>
                <w:kern w:val="0"/>
                <w:sz w:val="20"/>
                <w:szCs w:val="21"/>
              </w:rPr>
            </w:pPr>
          </w:p>
        </w:tc>
        <w:tc>
          <w:tcPr>
            <w:tcW w:w="1273" w:type="dxa"/>
            <w:vAlign w:val="center"/>
          </w:tcPr>
          <w:p w14:paraId="78FDEAC9">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见习态度</w:t>
            </w:r>
          </w:p>
        </w:tc>
        <w:tc>
          <w:tcPr>
            <w:tcW w:w="1268" w:type="dxa"/>
            <w:vAlign w:val="center"/>
          </w:tcPr>
          <w:p w14:paraId="40252A5D">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学校考察</w:t>
            </w:r>
          </w:p>
          <w:p w14:paraId="6CD709AC">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调查报告</w:t>
            </w:r>
          </w:p>
        </w:tc>
        <w:tc>
          <w:tcPr>
            <w:tcW w:w="1661" w:type="dxa"/>
            <w:vAlign w:val="center"/>
          </w:tcPr>
          <w:p w14:paraId="109B0E2A">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教学工作见习</w:t>
            </w:r>
          </w:p>
        </w:tc>
        <w:tc>
          <w:tcPr>
            <w:tcW w:w="1843" w:type="dxa"/>
            <w:vAlign w:val="center"/>
          </w:tcPr>
          <w:p w14:paraId="277B0C58">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班主任工作见习</w:t>
            </w:r>
          </w:p>
        </w:tc>
        <w:tc>
          <w:tcPr>
            <w:tcW w:w="1255" w:type="dxa"/>
            <w:vMerge w:val="continue"/>
            <w:vAlign w:val="center"/>
          </w:tcPr>
          <w:p w14:paraId="36955074">
            <w:pPr>
              <w:spacing w:line="240" w:lineRule="auto"/>
              <w:jc w:val="center"/>
              <w:rPr>
                <w:rFonts w:hint="eastAsia" w:ascii="宋体" w:hAnsi="宋体" w:eastAsia="宋体" w:cs="Times New Roman"/>
                <w:color w:val="auto"/>
                <w:kern w:val="0"/>
                <w:sz w:val="20"/>
                <w:szCs w:val="21"/>
              </w:rPr>
            </w:pPr>
          </w:p>
        </w:tc>
      </w:tr>
      <w:tr w14:paraId="14B8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605" w:type="dxa"/>
            <w:vAlign w:val="center"/>
          </w:tcPr>
          <w:p w14:paraId="39586C90">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课程目标1</w:t>
            </w:r>
          </w:p>
        </w:tc>
        <w:tc>
          <w:tcPr>
            <w:tcW w:w="1273" w:type="dxa"/>
          </w:tcPr>
          <w:p w14:paraId="1049A6DC">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68" w:type="dxa"/>
            <w:vAlign w:val="center"/>
          </w:tcPr>
          <w:p w14:paraId="7492F187">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661" w:type="dxa"/>
            <w:vAlign w:val="center"/>
          </w:tcPr>
          <w:p w14:paraId="4448BD4E">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843" w:type="dxa"/>
            <w:vAlign w:val="center"/>
          </w:tcPr>
          <w:p w14:paraId="35933D84">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55" w:type="dxa"/>
            <w:vAlign w:val="center"/>
          </w:tcPr>
          <w:p w14:paraId="6CABC52C">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20</w:t>
            </w:r>
          </w:p>
        </w:tc>
      </w:tr>
      <w:tr w14:paraId="33E2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73429F88">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课程目标2</w:t>
            </w:r>
          </w:p>
        </w:tc>
        <w:tc>
          <w:tcPr>
            <w:tcW w:w="1273" w:type="dxa"/>
          </w:tcPr>
          <w:p w14:paraId="5DEF2A3A">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68" w:type="dxa"/>
            <w:vAlign w:val="center"/>
          </w:tcPr>
          <w:p w14:paraId="3B33DCCB">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661" w:type="dxa"/>
            <w:vAlign w:val="center"/>
          </w:tcPr>
          <w:p w14:paraId="4FAA3CE6">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843" w:type="dxa"/>
            <w:vAlign w:val="center"/>
          </w:tcPr>
          <w:p w14:paraId="50EF25A3">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55" w:type="dxa"/>
            <w:vAlign w:val="center"/>
          </w:tcPr>
          <w:p w14:paraId="0183AF24">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30</w:t>
            </w:r>
          </w:p>
        </w:tc>
      </w:tr>
      <w:tr w14:paraId="4A2D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1AD92CE2">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课程目标3</w:t>
            </w:r>
          </w:p>
        </w:tc>
        <w:tc>
          <w:tcPr>
            <w:tcW w:w="1273" w:type="dxa"/>
          </w:tcPr>
          <w:p w14:paraId="189B8740">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68" w:type="dxa"/>
            <w:vAlign w:val="center"/>
          </w:tcPr>
          <w:p w14:paraId="21A0535E">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661" w:type="dxa"/>
            <w:vAlign w:val="center"/>
          </w:tcPr>
          <w:p w14:paraId="1EAB0651">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843" w:type="dxa"/>
            <w:vAlign w:val="center"/>
          </w:tcPr>
          <w:p w14:paraId="221E265C">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55" w:type="dxa"/>
            <w:vAlign w:val="center"/>
          </w:tcPr>
          <w:p w14:paraId="79B259D8">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30</w:t>
            </w:r>
          </w:p>
        </w:tc>
      </w:tr>
      <w:tr w14:paraId="60D3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5396AEAF">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课程目标4</w:t>
            </w:r>
          </w:p>
        </w:tc>
        <w:tc>
          <w:tcPr>
            <w:tcW w:w="1273" w:type="dxa"/>
          </w:tcPr>
          <w:p w14:paraId="56B8527A">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68" w:type="dxa"/>
          </w:tcPr>
          <w:p w14:paraId="78410987">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661" w:type="dxa"/>
          </w:tcPr>
          <w:p w14:paraId="72177FDE">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843" w:type="dxa"/>
          </w:tcPr>
          <w:p w14:paraId="0A91635C">
            <w:pPr>
              <w:spacing w:line="24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55" w:type="dxa"/>
            <w:vAlign w:val="center"/>
          </w:tcPr>
          <w:p w14:paraId="069D6FB5">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2</w:t>
            </w:r>
            <w:r>
              <w:rPr>
                <w:rFonts w:ascii="宋体" w:hAnsi="宋体" w:eastAsia="宋体" w:cs="Times New Roman"/>
                <w:color w:val="auto"/>
                <w:kern w:val="0"/>
                <w:sz w:val="20"/>
                <w:szCs w:val="21"/>
              </w:rPr>
              <w:t>0</w:t>
            </w:r>
          </w:p>
        </w:tc>
      </w:tr>
      <w:tr w14:paraId="1E0E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1D383096">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合计</w:t>
            </w:r>
          </w:p>
        </w:tc>
        <w:tc>
          <w:tcPr>
            <w:tcW w:w="1273" w:type="dxa"/>
          </w:tcPr>
          <w:p w14:paraId="0FACA3BE">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3</w:t>
            </w:r>
            <w:r>
              <w:rPr>
                <w:rFonts w:ascii="宋体" w:hAnsi="宋体" w:eastAsia="宋体" w:cs="Times New Roman"/>
                <w:color w:val="auto"/>
                <w:kern w:val="0"/>
                <w:sz w:val="20"/>
                <w:szCs w:val="21"/>
              </w:rPr>
              <w:t>0</w:t>
            </w:r>
          </w:p>
        </w:tc>
        <w:tc>
          <w:tcPr>
            <w:tcW w:w="1268" w:type="dxa"/>
            <w:vAlign w:val="center"/>
          </w:tcPr>
          <w:p w14:paraId="6D125ACE">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1</w:t>
            </w:r>
            <w:r>
              <w:rPr>
                <w:rFonts w:ascii="宋体" w:hAnsi="宋体" w:eastAsia="宋体" w:cs="Times New Roman"/>
                <w:color w:val="auto"/>
                <w:kern w:val="0"/>
                <w:sz w:val="20"/>
                <w:szCs w:val="21"/>
              </w:rPr>
              <w:t>0</w:t>
            </w:r>
          </w:p>
        </w:tc>
        <w:tc>
          <w:tcPr>
            <w:tcW w:w="1661" w:type="dxa"/>
            <w:vAlign w:val="center"/>
          </w:tcPr>
          <w:p w14:paraId="7432862C">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3</w:t>
            </w:r>
            <w:r>
              <w:rPr>
                <w:rFonts w:ascii="宋体" w:hAnsi="宋体" w:eastAsia="宋体" w:cs="Times New Roman"/>
                <w:color w:val="auto"/>
                <w:kern w:val="0"/>
                <w:sz w:val="20"/>
                <w:szCs w:val="21"/>
              </w:rPr>
              <w:t>0</w:t>
            </w:r>
          </w:p>
        </w:tc>
        <w:tc>
          <w:tcPr>
            <w:tcW w:w="1843" w:type="dxa"/>
            <w:vAlign w:val="center"/>
          </w:tcPr>
          <w:p w14:paraId="51523135">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3</w:t>
            </w:r>
            <w:r>
              <w:rPr>
                <w:rFonts w:ascii="宋体" w:hAnsi="宋体" w:eastAsia="宋体" w:cs="Times New Roman"/>
                <w:color w:val="auto"/>
                <w:kern w:val="0"/>
                <w:sz w:val="20"/>
                <w:szCs w:val="21"/>
              </w:rPr>
              <w:t>0</w:t>
            </w:r>
          </w:p>
        </w:tc>
        <w:tc>
          <w:tcPr>
            <w:tcW w:w="1255" w:type="dxa"/>
            <w:vAlign w:val="center"/>
          </w:tcPr>
          <w:p w14:paraId="59369565">
            <w:pPr>
              <w:spacing w:line="24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100</w:t>
            </w:r>
          </w:p>
        </w:tc>
      </w:tr>
    </w:tbl>
    <w:p w14:paraId="1FFCCBA8">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401DACC5">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109"/>
        <w:gridCol w:w="682"/>
      </w:tblGrid>
      <w:tr w14:paraId="74FC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71" w:type="dxa"/>
            <w:vAlign w:val="center"/>
          </w:tcPr>
          <w:p w14:paraId="5686FA97">
            <w:pPr>
              <w:jc w:val="center"/>
              <w:rPr>
                <w:rFonts w:ascii="Times New Roman" w:hAnsi="Times New Roman" w:eastAsia="宋体" w:cs="Times New Roman"/>
                <w:b/>
                <w:bCs/>
                <w:color w:val="auto"/>
                <w:kern w:val="0"/>
                <w:sz w:val="20"/>
                <w:szCs w:val="21"/>
              </w:rPr>
            </w:pPr>
            <w:r>
              <w:rPr>
                <w:rFonts w:hint="eastAsia" w:ascii="Times New Roman" w:hAnsi="Times New Roman" w:eastAsia="宋体" w:cs="Times New Roman"/>
                <w:b/>
                <w:bCs/>
                <w:color w:val="auto"/>
                <w:kern w:val="0"/>
                <w:sz w:val="20"/>
                <w:szCs w:val="21"/>
              </w:rPr>
              <w:t>评价方式</w:t>
            </w:r>
          </w:p>
        </w:tc>
        <w:tc>
          <w:tcPr>
            <w:tcW w:w="7109" w:type="dxa"/>
            <w:vAlign w:val="center"/>
          </w:tcPr>
          <w:p w14:paraId="13485D08">
            <w:pPr>
              <w:jc w:val="center"/>
              <w:rPr>
                <w:rFonts w:ascii="Times New Roman" w:hAnsi="Times New Roman" w:eastAsia="宋体" w:cs="Times New Roman"/>
                <w:b/>
                <w:bCs/>
                <w:color w:val="auto"/>
                <w:kern w:val="0"/>
                <w:sz w:val="20"/>
                <w:szCs w:val="21"/>
              </w:rPr>
            </w:pPr>
            <w:r>
              <w:rPr>
                <w:rFonts w:hint="eastAsia" w:ascii="Times New Roman" w:hAnsi="Times New Roman" w:eastAsia="宋体" w:cs="Times New Roman"/>
                <w:b/>
                <w:bCs/>
                <w:color w:val="auto"/>
                <w:kern w:val="0"/>
                <w:sz w:val="20"/>
                <w:szCs w:val="21"/>
              </w:rPr>
              <w:t>评定细则</w:t>
            </w:r>
          </w:p>
        </w:tc>
        <w:tc>
          <w:tcPr>
            <w:tcW w:w="0" w:type="auto"/>
            <w:vAlign w:val="center"/>
          </w:tcPr>
          <w:p w14:paraId="5A25BE24">
            <w:pPr>
              <w:jc w:val="center"/>
              <w:rPr>
                <w:rFonts w:ascii="Times New Roman" w:hAnsi="Times New Roman" w:eastAsia="宋体" w:cs="Times New Roman"/>
                <w:b/>
                <w:bCs/>
                <w:color w:val="auto"/>
                <w:kern w:val="0"/>
                <w:sz w:val="20"/>
                <w:szCs w:val="21"/>
              </w:rPr>
            </w:pPr>
            <w:r>
              <w:rPr>
                <w:rFonts w:hint="eastAsia" w:ascii="Times New Roman" w:hAnsi="Times New Roman" w:eastAsia="宋体" w:cs="Times New Roman"/>
                <w:b/>
                <w:bCs/>
                <w:color w:val="auto"/>
                <w:kern w:val="0"/>
                <w:sz w:val="20"/>
                <w:szCs w:val="21"/>
              </w:rPr>
              <w:t>占比</w:t>
            </w:r>
          </w:p>
        </w:tc>
      </w:tr>
      <w:tr w14:paraId="28E5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71" w:type="dxa"/>
            <w:tcBorders>
              <w:top w:val="single" w:color="auto" w:sz="4" w:space="0"/>
              <w:left w:val="single" w:color="auto" w:sz="4" w:space="0"/>
              <w:bottom w:val="single" w:color="auto" w:sz="4" w:space="0"/>
              <w:right w:val="single" w:color="auto" w:sz="4" w:space="0"/>
            </w:tcBorders>
            <w:vAlign w:val="center"/>
          </w:tcPr>
          <w:p w14:paraId="10341748">
            <w:pPr>
              <w:snapToGrid w:val="0"/>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见习态度</w:t>
            </w:r>
          </w:p>
        </w:tc>
        <w:tc>
          <w:tcPr>
            <w:tcW w:w="7109" w:type="dxa"/>
            <w:tcBorders>
              <w:top w:val="single" w:color="auto" w:sz="4" w:space="0"/>
              <w:left w:val="single" w:color="auto" w:sz="4" w:space="0"/>
              <w:bottom w:val="single" w:color="auto" w:sz="4" w:space="0"/>
              <w:right w:val="single" w:color="auto" w:sz="4" w:space="0"/>
            </w:tcBorders>
            <w:vAlign w:val="center"/>
          </w:tcPr>
          <w:p w14:paraId="396DF09C">
            <w:pPr>
              <w:snapToGrid w:val="0"/>
              <w:spacing w:line="276" w:lineRule="auto"/>
              <w:rPr>
                <w:rFonts w:hint="eastAsia" w:ascii="宋体" w:hAnsi="宋体" w:eastAsia="宋体" w:cs="Times New Roman"/>
                <w:color w:val="auto"/>
                <w:kern w:val="0"/>
                <w:sz w:val="20"/>
                <w:szCs w:val="21"/>
              </w:rPr>
            </w:pPr>
            <w:r>
              <w:rPr>
                <w:rFonts w:hint="eastAsia" w:ascii="Times New Roman" w:hAnsi="Times New Roman" w:eastAsia="宋体" w:cs="Times New Roman"/>
                <w:color w:val="auto"/>
                <w:kern w:val="0"/>
                <w:sz w:val="20"/>
                <w:szCs w:val="21"/>
              </w:rPr>
              <w:t>按要求参加见习，思想端正，学习态度积极；主动参与教学和班级管理，能够虚心请教、勤恳好学；与小学生交往热情，关爱小学生；见习总结认真，形成对自身教育实践比较全面客观的认识。结合</w:t>
            </w:r>
            <w:r>
              <w:rPr>
                <w:rFonts w:hint="eastAsia" w:ascii="宋体" w:hAnsi="宋体" w:eastAsia="宋体" w:cs="Times New Roman"/>
                <w:color w:val="auto"/>
                <w:kern w:val="0"/>
                <w:sz w:val="20"/>
                <w:szCs w:val="21"/>
              </w:rPr>
              <w:t>学生小组考勤以及实践导师反馈进行评分。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49B46724">
            <w:pPr>
              <w:snapToGrid w:val="0"/>
              <w:spacing w:line="276" w:lineRule="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30%</w:t>
            </w:r>
          </w:p>
        </w:tc>
      </w:tr>
      <w:tr w14:paraId="05AB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271" w:type="dxa"/>
            <w:tcBorders>
              <w:top w:val="single" w:color="auto" w:sz="4" w:space="0"/>
              <w:left w:val="single" w:color="auto" w:sz="4" w:space="0"/>
              <w:bottom w:val="single" w:color="auto" w:sz="4" w:space="0"/>
              <w:right w:val="single" w:color="auto" w:sz="4" w:space="0"/>
            </w:tcBorders>
            <w:vAlign w:val="center"/>
          </w:tcPr>
          <w:p w14:paraId="0B7B47A7">
            <w:pPr>
              <w:snapToGrid w:val="0"/>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学校考察调查报告</w:t>
            </w:r>
          </w:p>
        </w:tc>
        <w:tc>
          <w:tcPr>
            <w:tcW w:w="7109" w:type="dxa"/>
            <w:tcBorders>
              <w:top w:val="single" w:color="auto" w:sz="4" w:space="0"/>
              <w:left w:val="single" w:color="auto" w:sz="4" w:space="0"/>
              <w:bottom w:val="single" w:color="auto" w:sz="4" w:space="0"/>
              <w:right w:val="single" w:color="auto" w:sz="4" w:space="0"/>
            </w:tcBorders>
            <w:vAlign w:val="center"/>
          </w:tcPr>
          <w:p w14:paraId="13788F0A">
            <w:pPr>
              <w:snapToGrid w:val="0"/>
              <w:spacing w:line="276" w:lineRule="auto"/>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根据考察情况，结合实际认识与思考，撰写教育调查报告。</w:t>
            </w:r>
            <w:r>
              <w:rPr>
                <w:rFonts w:hint="eastAsia" w:ascii="Times New Roman" w:hAnsi="Times New Roman" w:eastAsia="宋体" w:cs="Times New Roman"/>
                <w:color w:val="auto"/>
                <w:kern w:val="0"/>
                <w:sz w:val="20"/>
                <w:szCs w:val="21"/>
              </w:rPr>
              <w:t>题属于教育领域，问题意识清晰、方法设计可行，资料充实，内容撰写结构合理，形成明确的结论与观点。</w:t>
            </w:r>
            <w:r>
              <w:rPr>
                <w:rFonts w:hint="eastAsia" w:ascii="宋体" w:hAnsi="宋体" w:eastAsia="宋体" w:cs="Times New Roman"/>
                <w:color w:val="auto"/>
                <w:kern w:val="0"/>
                <w:sz w:val="20"/>
                <w:szCs w:val="21"/>
              </w:rPr>
              <w:t>根据学生调查报告写作情况以及实践导师反馈进行评分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13141D0C">
            <w:pPr>
              <w:snapToGrid w:val="0"/>
              <w:spacing w:line="276" w:lineRule="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10%</w:t>
            </w:r>
          </w:p>
        </w:tc>
      </w:tr>
      <w:tr w14:paraId="1DB2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71" w:type="dxa"/>
            <w:tcBorders>
              <w:top w:val="single" w:color="auto" w:sz="4" w:space="0"/>
              <w:left w:val="single" w:color="auto" w:sz="4" w:space="0"/>
              <w:bottom w:val="single" w:color="auto" w:sz="4" w:space="0"/>
              <w:right w:val="single" w:color="auto" w:sz="4" w:space="0"/>
            </w:tcBorders>
            <w:vAlign w:val="center"/>
          </w:tcPr>
          <w:p w14:paraId="0C651817">
            <w:pPr>
              <w:snapToGrid w:val="0"/>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教学工作见习</w:t>
            </w:r>
          </w:p>
        </w:tc>
        <w:tc>
          <w:tcPr>
            <w:tcW w:w="7109" w:type="dxa"/>
            <w:tcBorders>
              <w:top w:val="single" w:color="auto" w:sz="4" w:space="0"/>
              <w:left w:val="single" w:color="auto" w:sz="4" w:space="0"/>
              <w:bottom w:val="single" w:color="auto" w:sz="4" w:space="0"/>
              <w:right w:val="single" w:color="auto" w:sz="4" w:space="0"/>
            </w:tcBorders>
            <w:vAlign w:val="center"/>
          </w:tcPr>
          <w:p w14:paraId="1D59F19D">
            <w:pPr>
              <w:adjustRightInd w:val="0"/>
              <w:snapToGrid w:val="0"/>
              <w:rPr>
                <w:rFonts w:ascii="Times New Roman" w:hAnsi="Times New Roman" w:eastAsia="宋体" w:cs="Times New Roman"/>
                <w:color w:val="auto"/>
                <w:kern w:val="0"/>
                <w:sz w:val="20"/>
                <w:szCs w:val="21"/>
              </w:rPr>
            </w:pPr>
            <w:r>
              <w:rPr>
                <w:rFonts w:ascii="Times New Roman" w:hAnsi="Times New Roman" w:eastAsia="宋体" w:cs="Times New Roman"/>
                <w:color w:val="auto"/>
                <w:kern w:val="0"/>
                <w:sz w:val="20"/>
                <w:szCs w:val="21"/>
              </w:rPr>
              <w:t>听课认真，记录完整，深入思考和总结教学，主动向实践导师请教教学方法与教学经验；教案设计要素完整、表述规范，具备可操作性；积极参与教研活动，主动拓宽学科知识范围。</w:t>
            </w:r>
            <w:r>
              <w:rPr>
                <w:rFonts w:hint="eastAsia" w:ascii="宋体" w:hAnsi="宋体" w:eastAsia="宋体" w:cs="Times New Roman"/>
                <w:color w:val="auto"/>
                <w:kern w:val="0"/>
                <w:sz w:val="20"/>
                <w:szCs w:val="21"/>
              </w:rPr>
              <w:t>根据学生教案设计情况以及实践导师反馈进行评分。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1E96E3E9">
            <w:pPr>
              <w:snapToGrid w:val="0"/>
              <w:spacing w:line="276" w:lineRule="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30%</w:t>
            </w:r>
          </w:p>
        </w:tc>
      </w:tr>
      <w:tr w14:paraId="76E5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71" w:type="dxa"/>
            <w:tcBorders>
              <w:top w:val="single" w:color="auto" w:sz="4" w:space="0"/>
              <w:left w:val="single" w:color="auto" w:sz="4" w:space="0"/>
              <w:bottom w:val="single" w:color="auto" w:sz="4" w:space="0"/>
              <w:right w:val="single" w:color="auto" w:sz="4" w:space="0"/>
            </w:tcBorders>
            <w:vAlign w:val="center"/>
          </w:tcPr>
          <w:p w14:paraId="577EAE4A">
            <w:pPr>
              <w:snapToGrid w:val="0"/>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班主任工作见习</w:t>
            </w:r>
          </w:p>
        </w:tc>
        <w:tc>
          <w:tcPr>
            <w:tcW w:w="7109" w:type="dxa"/>
            <w:tcBorders>
              <w:top w:val="single" w:color="auto" w:sz="4" w:space="0"/>
              <w:left w:val="single" w:color="auto" w:sz="4" w:space="0"/>
              <w:bottom w:val="single" w:color="auto" w:sz="4" w:space="0"/>
              <w:right w:val="single" w:color="auto" w:sz="4" w:space="0"/>
            </w:tcBorders>
            <w:vAlign w:val="center"/>
          </w:tcPr>
          <w:p w14:paraId="31F13602">
            <w:pPr>
              <w:rPr>
                <w:rFonts w:ascii="Times New Roman" w:hAnsi="Times New Roman" w:eastAsia="宋体" w:cs="Times New Roman"/>
                <w:color w:val="auto"/>
                <w:kern w:val="0"/>
                <w:sz w:val="20"/>
                <w:szCs w:val="21"/>
              </w:rPr>
            </w:pPr>
            <w:r>
              <w:rPr>
                <w:rFonts w:hint="eastAsia" w:ascii="Times New Roman" w:hAnsi="Times New Roman" w:eastAsia="宋体" w:cs="Times New Roman"/>
                <w:color w:val="auto"/>
                <w:kern w:val="0"/>
                <w:sz w:val="20"/>
                <w:szCs w:val="21"/>
              </w:rPr>
              <w:t>熟悉小学班级管理事务，掌握小学生生活特点、心理特点；主动积累班级管理的经验，善于总结和反思教育管理案例。</w:t>
            </w:r>
            <w:r>
              <w:rPr>
                <w:rFonts w:hint="eastAsia" w:ascii="宋体" w:hAnsi="宋体" w:eastAsia="宋体" w:cs="Times New Roman"/>
                <w:color w:val="auto"/>
                <w:kern w:val="0"/>
                <w:sz w:val="20"/>
                <w:szCs w:val="21"/>
              </w:rPr>
              <w:t>根据学生撰写情况以及实践导师反馈进行评分。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0DB1BE80">
            <w:pPr>
              <w:snapToGrid w:val="0"/>
              <w:spacing w:line="276" w:lineRule="auto"/>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t>30%</w:t>
            </w:r>
          </w:p>
        </w:tc>
      </w:tr>
      <w:tr w14:paraId="2E47F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271" w:type="dxa"/>
            <w:tcBorders>
              <w:top w:val="single" w:color="auto" w:sz="4" w:space="0"/>
              <w:left w:val="single" w:color="auto" w:sz="4" w:space="0"/>
              <w:bottom w:val="single" w:color="auto" w:sz="4" w:space="0"/>
              <w:right w:val="single" w:color="auto" w:sz="4" w:space="0"/>
            </w:tcBorders>
            <w:vAlign w:val="center"/>
          </w:tcPr>
          <w:p w14:paraId="6D6E6E93">
            <w:pPr>
              <w:snapToGrid w:val="0"/>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合计</w:t>
            </w:r>
          </w:p>
        </w:tc>
        <w:tc>
          <w:tcPr>
            <w:tcW w:w="7791" w:type="dxa"/>
            <w:gridSpan w:val="2"/>
            <w:tcBorders>
              <w:top w:val="single" w:color="auto" w:sz="4" w:space="0"/>
              <w:left w:val="single" w:color="auto" w:sz="4" w:space="0"/>
              <w:bottom w:val="single" w:color="auto" w:sz="4" w:space="0"/>
              <w:right w:val="single" w:color="auto" w:sz="4" w:space="0"/>
            </w:tcBorders>
            <w:vAlign w:val="center"/>
          </w:tcPr>
          <w:p w14:paraId="4094FA02">
            <w:pPr>
              <w:snapToGrid w:val="0"/>
              <w:spacing w:line="276"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1</w:t>
            </w:r>
            <w:r>
              <w:rPr>
                <w:rFonts w:ascii="宋体" w:hAnsi="宋体" w:eastAsia="宋体" w:cs="Times New Roman"/>
                <w:color w:val="auto"/>
                <w:kern w:val="0"/>
                <w:sz w:val="20"/>
                <w:szCs w:val="21"/>
              </w:rPr>
              <w:t>00%</w:t>
            </w:r>
          </w:p>
        </w:tc>
      </w:tr>
    </w:tbl>
    <w:p w14:paraId="1A7F1FB2">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19EFA7CA">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291023F8">
      <w:pPr>
        <w:spacing w:line="360" w:lineRule="auto"/>
        <w:ind w:firstLine="411" w:firstLineChars="196"/>
        <w:jc w:val="left"/>
        <w:rPr>
          <w:rFonts w:hint="eastAsia" w:ascii="宋体" w:hAnsi="宋体" w:eastAsia="宋体" w:cs="Times New Roman"/>
          <w:b/>
          <w:color w:val="auto"/>
          <w:sz w:val="24"/>
        </w:rPr>
      </w:pPr>
      <w:r>
        <w:rPr>
          <w:rFonts w:ascii="宋体" w:hAnsi="宋体" w:eastAsia="宋体" w:cs="Times New Roman"/>
          <w:color w:val="auto"/>
          <w:szCs w:val="21"/>
        </w:rPr>
        <w:object>
          <v:shape id="_x0000_i1082"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82" DrawAspect="Content" ObjectID="_1468075781" r:id="rId68">
            <o:LockedField>false</o:LockedField>
          </o:OLEObject>
        </w:object>
      </w:r>
      <w:r>
        <w:rPr>
          <w:rFonts w:hint="eastAsia" w:ascii="宋体" w:hAnsi="宋体" w:eastAsia="宋体" w:cs="Times New Roman"/>
          <w:b/>
          <w:color w:val="auto"/>
          <w:sz w:val="24"/>
        </w:rPr>
        <w:t>六、有关说明</w:t>
      </w:r>
    </w:p>
    <w:p w14:paraId="6B40A188">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2981D758">
      <w:pPr>
        <w:spacing w:line="360" w:lineRule="auto"/>
        <w:ind w:firstLine="525" w:firstLineChars="25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本课程根据学生见习情况、实践学校教师的反馈等，及时对教学见习中的不足之处进行改进，并在下一轮课程实施中整改完善，确保相应毕业要求指标点达成。</w:t>
      </w:r>
    </w:p>
    <w:p w14:paraId="752F0509">
      <w:pPr>
        <w:spacing w:line="360" w:lineRule="auto"/>
        <w:ind w:firstLine="527" w:firstLineChars="25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27E121B5">
      <w:pPr>
        <w:spacing w:line="360" w:lineRule="auto"/>
        <w:ind w:firstLine="525" w:firstLineChars="250"/>
        <w:jc w:val="left"/>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教学见习手册（自编）</w:t>
      </w:r>
    </w:p>
    <w:p w14:paraId="02D6E4EA">
      <w:pPr>
        <w:spacing w:line="360" w:lineRule="auto"/>
        <w:ind w:firstLine="527" w:firstLineChars="25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0918956A">
      <w:pPr>
        <w:spacing w:line="360" w:lineRule="auto"/>
        <w:ind w:firstLine="480" w:firstLineChars="200"/>
        <w:rPr>
          <w:rFonts w:hint="eastAsia" w:ascii="宋体" w:hAnsi="宋体" w:eastAsia="宋体" w:cs="Times New Roman"/>
          <w:color w:val="auto"/>
          <w:sz w:val="24"/>
        </w:rPr>
      </w:pPr>
      <w:r>
        <w:rPr>
          <w:rFonts w:ascii="宋体" w:hAnsi="宋体" w:eastAsia="宋体" w:cs="Times New Roman"/>
          <w:color w:val="auto"/>
          <w:sz w:val="24"/>
        </w:rPr>
        <w:t>1.</w:t>
      </w:r>
      <w:r>
        <w:rPr>
          <w:rFonts w:hint="eastAsia" w:ascii="宋体" w:hAnsi="宋体" w:eastAsia="宋体" w:cs="Times New Roman"/>
          <w:color w:val="auto"/>
          <w:sz w:val="24"/>
        </w:rPr>
        <w:t>义务教育小学语文/数学学科课程标准，最新版。</w:t>
      </w:r>
    </w:p>
    <w:p w14:paraId="0F28C407">
      <w:pPr>
        <w:spacing w:line="360" w:lineRule="auto"/>
        <w:ind w:firstLine="480" w:firstLineChars="200"/>
        <w:rPr>
          <w:rFonts w:hint="eastAsia" w:ascii="宋体" w:hAnsi="宋体" w:eastAsia="宋体" w:cs="Times New Roman"/>
          <w:color w:val="auto"/>
          <w:sz w:val="24"/>
        </w:rPr>
      </w:pPr>
      <w:r>
        <w:rPr>
          <w:rFonts w:ascii="宋体" w:hAnsi="宋体" w:eastAsia="宋体" w:cs="Times New Roman"/>
          <w:color w:val="auto"/>
          <w:sz w:val="24"/>
        </w:rPr>
        <w:t>2.</w:t>
      </w:r>
      <w:r>
        <w:rPr>
          <w:rFonts w:hint="eastAsia" w:ascii="宋体" w:hAnsi="宋体" w:eastAsia="宋体" w:cs="Times New Roman"/>
          <w:color w:val="auto"/>
          <w:sz w:val="24"/>
        </w:rPr>
        <w:t>部编版小学语文/数学各年级教材。</w:t>
      </w:r>
    </w:p>
    <w:p w14:paraId="29F4F3B6">
      <w:pPr>
        <w:spacing w:line="360" w:lineRule="auto"/>
        <w:ind w:firstLine="480" w:firstLineChars="200"/>
        <w:rPr>
          <w:rFonts w:ascii="宋体" w:hAnsi="Times New Roman" w:eastAsia="宋体" w:cs="Times New Roman"/>
          <w:color w:val="auto"/>
          <w:sz w:val="24"/>
        </w:rPr>
      </w:pPr>
      <w:r>
        <w:rPr>
          <w:rFonts w:ascii="宋体" w:hAnsi="宋体" w:eastAsia="宋体" w:cs="Times New Roman"/>
          <w:color w:val="auto"/>
          <w:sz w:val="24"/>
        </w:rPr>
        <w:t>3.</w:t>
      </w:r>
      <w:r>
        <w:rPr>
          <w:rFonts w:hint="eastAsia" w:ascii="宋体" w:hAnsi="宋体" w:eastAsia="宋体" w:cs="Times New Roman"/>
          <w:color w:val="auto"/>
          <w:sz w:val="24"/>
        </w:rPr>
        <w:t>陈文涛、刘霄主编：《教育实习的实践与创新》，河南大学出版社，</w:t>
      </w:r>
      <w:r>
        <w:rPr>
          <w:rFonts w:ascii="宋体" w:hAnsi="宋体" w:eastAsia="宋体" w:cs="Times New Roman"/>
          <w:color w:val="auto"/>
          <w:sz w:val="24"/>
        </w:rPr>
        <w:t>2015</w:t>
      </w:r>
    </w:p>
    <w:p w14:paraId="35365A08">
      <w:pPr>
        <w:spacing w:line="360" w:lineRule="auto"/>
        <w:jc w:val="right"/>
        <w:rPr>
          <w:rFonts w:hint="eastAsia" w:ascii="宋体" w:hAnsi="宋体" w:eastAsia="宋体" w:cs="Times New Roman"/>
          <w:color w:val="auto"/>
          <w:sz w:val="21"/>
          <w:szCs w:val="21"/>
        </w:rPr>
      </w:pPr>
    </w:p>
    <w:p w14:paraId="0128BCFD">
      <w:pPr>
        <w:spacing w:line="360" w:lineRule="auto"/>
        <w:jc w:val="right"/>
        <w:rPr>
          <w:rFonts w:ascii="宋体" w:hAnsi="Times New Roman" w:eastAsia="宋体" w:cs="Times New Roman"/>
          <w:color w:val="auto"/>
          <w:sz w:val="21"/>
          <w:szCs w:val="21"/>
        </w:rPr>
      </w:pPr>
      <w:r>
        <w:rPr>
          <w:rFonts w:ascii="宋体" w:hAnsi="宋体" w:eastAsia="宋体" w:cs="Times New Roman"/>
          <w:color w:val="auto"/>
          <w:sz w:val="21"/>
          <w:szCs w:val="21"/>
        </w:rPr>
        <w:t xml:space="preserve">                                            </w:t>
      </w:r>
      <w:r>
        <w:rPr>
          <w:rFonts w:hint="eastAsia" w:ascii="宋体" w:hAnsi="宋体" w:eastAsia="宋体" w:cs="Times New Roman"/>
          <w:color w:val="auto"/>
          <w:sz w:val="21"/>
          <w:szCs w:val="21"/>
        </w:rPr>
        <w:t>执笔人：王雅丽</w:t>
      </w:r>
      <w:r>
        <w:rPr>
          <w:rFonts w:ascii="宋体" w:hAnsi="Times New Roman" w:eastAsia="宋体" w:cs="Times New Roman"/>
          <w:color w:val="auto"/>
          <w:sz w:val="21"/>
          <w:szCs w:val="21"/>
        </w:rPr>
        <w:t xml:space="preserve"> </w:t>
      </w:r>
    </w:p>
    <w:p w14:paraId="12E6EA1A">
      <w:pPr>
        <w:spacing w:line="360" w:lineRule="auto"/>
        <w:jc w:val="right"/>
        <w:rPr>
          <w:rFonts w:hint="eastAsia" w:ascii="宋体" w:hAnsi="宋体" w:eastAsia="宋体" w:cs="Times New Roman"/>
          <w:color w:val="auto"/>
          <w:sz w:val="21"/>
          <w:szCs w:val="21"/>
        </w:rPr>
      </w:pPr>
      <w:r>
        <w:rPr>
          <w:rFonts w:ascii="宋体" w:hAnsi="宋体" w:eastAsia="宋体" w:cs="Times New Roman"/>
          <w:color w:val="auto"/>
          <w:sz w:val="21"/>
          <w:szCs w:val="21"/>
        </w:rPr>
        <w:t xml:space="preserve">                                            </w:t>
      </w:r>
      <w:r>
        <w:rPr>
          <w:rFonts w:hint="eastAsia" w:ascii="宋体" w:hAnsi="宋体" w:eastAsia="宋体" w:cs="Times New Roman"/>
          <w:color w:val="auto"/>
          <w:sz w:val="21"/>
          <w:szCs w:val="21"/>
        </w:rPr>
        <w:t>审定人：王</w:t>
      </w:r>
      <w:r>
        <w:rPr>
          <w:rFonts w:hint="eastAsia" w:ascii="宋体" w:hAnsi="宋体" w:eastAsia="宋体" w:cs="Times New Roman"/>
          <w:color w:val="auto"/>
          <w:sz w:val="21"/>
          <w:szCs w:val="21"/>
          <w:lang w:val="en-US" w:eastAsia="zh-CN"/>
        </w:rPr>
        <w:t xml:space="preserve">  </w:t>
      </w:r>
      <w:r>
        <w:rPr>
          <w:rFonts w:hint="eastAsia" w:ascii="宋体" w:hAnsi="宋体" w:eastAsia="宋体" w:cs="Times New Roman"/>
          <w:color w:val="auto"/>
          <w:sz w:val="21"/>
          <w:szCs w:val="21"/>
        </w:rPr>
        <w:t>健</w:t>
      </w:r>
    </w:p>
    <w:p w14:paraId="3FAF9B69">
      <w:pPr>
        <w:spacing w:line="360" w:lineRule="auto"/>
        <w:jc w:val="right"/>
        <w:rPr>
          <w:rFonts w:ascii="宋体" w:hAnsi="Times New Roman" w:eastAsia="宋体" w:cs="Times New Roman"/>
          <w:color w:val="auto"/>
          <w:sz w:val="21"/>
          <w:szCs w:val="21"/>
        </w:rPr>
      </w:pPr>
      <w:r>
        <w:rPr>
          <w:rFonts w:ascii="宋体" w:hAnsi="宋体" w:eastAsia="宋体" w:cs="Times New Roman"/>
          <w:color w:val="auto"/>
          <w:sz w:val="21"/>
          <w:szCs w:val="21"/>
        </w:rPr>
        <w:t xml:space="preserve">                                            </w:t>
      </w:r>
      <w:r>
        <w:rPr>
          <w:rFonts w:hint="eastAsia" w:ascii="宋体" w:hAnsi="宋体" w:eastAsia="宋体" w:cs="Times New Roman"/>
          <w:color w:val="auto"/>
          <w:sz w:val="21"/>
          <w:szCs w:val="21"/>
        </w:rPr>
        <w:t>审批人：张志欣</w:t>
      </w:r>
    </w:p>
    <w:p w14:paraId="4EE9DC11">
      <w:pPr>
        <w:spacing w:line="360" w:lineRule="auto"/>
        <w:jc w:val="right"/>
        <w:rPr>
          <w:rFonts w:hint="eastAsia" w:ascii="宋体" w:hAnsi="宋体" w:eastAsia="宋体" w:cs="Times New Roman"/>
          <w:color w:val="auto"/>
          <w:sz w:val="21"/>
          <w:szCs w:val="21"/>
          <w:lang w:eastAsia="zh-CN"/>
        </w:rPr>
      </w:pPr>
      <w:r>
        <w:rPr>
          <w:rFonts w:ascii="宋体" w:hAnsi="宋体" w:eastAsia="宋体" w:cs="Times New Roman"/>
          <w:color w:val="auto"/>
          <w:sz w:val="21"/>
          <w:szCs w:val="21"/>
        </w:rPr>
        <w:t xml:space="preserve">                                            </w:t>
      </w:r>
      <w:r>
        <w:rPr>
          <w:rFonts w:hint="eastAsia" w:ascii="宋体" w:hAnsi="宋体" w:eastAsia="宋体" w:cs="Times New Roman"/>
          <w:color w:val="auto"/>
          <w:sz w:val="21"/>
          <w:szCs w:val="21"/>
          <w:lang w:eastAsia="zh-CN"/>
        </w:rPr>
        <w:t>批准时间：2025年7月1日</w:t>
      </w:r>
    </w:p>
    <w:p w14:paraId="7CAC589B">
      <w:pPr>
        <w:rPr>
          <w:rFonts w:hint="eastAsia" w:ascii="宋体" w:hAnsi="宋体" w:eastAsia="宋体" w:cs="Times New Roman"/>
          <w:color w:val="auto"/>
          <w:sz w:val="24"/>
        </w:rPr>
      </w:pPr>
      <w:r>
        <w:rPr>
          <w:rFonts w:hint="eastAsia" w:ascii="宋体" w:hAnsi="宋体" w:eastAsia="宋体" w:cs="Times New Roman"/>
          <w:color w:val="auto"/>
          <w:sz w:val="24"/>
        </w:rPr>
        <w:br w:type="page"/>
      </w:r>
    </w:p>
    <w:p w14:paraId="7AD029BE">
      <w:pPr>
        <w:spacing w:line="360" w:lineRule="auto"/>
        <w:jc w:val="center"/>
        <w:outlineLvl w:val="0"/>
        <w:rPr>
          <w:rFonts w:hint="eastAsia" w:ascii="Times New Roman" w:hAnsi="Times New Roman" w:eastAsia="宋体" w:cs="Times New Roman"/>
          <w:b/>
          <w:color w:val="auto"/>
          <w:sz w:val="44"/>
          <w:szCs w:val="44"/>
        </w:rPr>
      </w:pPr>
      <w:bookmarkStart w:id="455" w:name="_Toc30028"/>
      <w:bookmarkStart w:id="456" w:name="_Toc23344"/>
      <w:r>
        <w:rPr>
          <w:rFonts w:hint="eastAsia" w:ascii="Times New Roman" w:hAnsi="Times New Roman" w:eastAsia="宋体" w:cs="Times New Roman"/>
          <w:b/>
          <w:color w:val="auto"/>
          <w:sz w:val="44"/>
          <w:szCs w:val="44"/>
        </w:rPr>
        <w:t>《教学实训》课程教学大纲</w:t>
      </w:r>
      <w:bookmarkEnd w:id="455"/>
      <w:bookmarkEnd w:id="456"/>
    </w:p>
    <w:p w14:paraId="1EDE4C8C">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（Teaching Practice）</w:t>
      </w:r>
    </w:p>
    <w:p w14:paraId="512B4756">
      <w:pPr>
        <w:spacing w:line="360" w:lineRule="auto"/>
        <w:jc w:val="center"/>
        <w:rPr>
          <w:rFonts w:ascii="Times New Roman" w:hAnsi="Times New Roman" w:eastAsia="宋体" w:cs="Times New Roman"/>
          <w:bCs/>
          <w:color w:val="auto"/>
          <w:sz w:val="21"/>
          <w:szCs w:val="21"/>
        </w:rPr>
      </w:pPr>
    </w:p>
    <w:p w14:paraId="045C9C17">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课程名称：教学实训</w:t>
      </w:r>
    </w:p>
    <w:p w14:paraId="6FDCDCC5">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w:t>
      </w:r>
      <w:r>
        <w:rPr>
          <w:rFonts w:ascii="Times New Roman" w:hAnsi="Times New Roman" w:eastAsia="宋体" w:cs="Times New Roman"/>
          <w:b/>
          <w:color w:val="auto"/>
          <w:sz w:val="24"/>
          <w:szCs w:val="24"/>
        </w:rPr>
        <w:t>2401067</w:t>
      </w:r>
    </w:p>
    <w:p w14:paraId="070E572C">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w:t>
      </w:r>
      <w:r>
        <w:rPr>
          <w:rFonts w:ascii="Times New Roman" w:hAnsi="Times New Roman" w:eastAsia="宋体" w:cs="Times New Roman"/>
          <w:b/>
          <w:color w:val="auto"/>
          <w:sz w:val="24"/>
          <w:szCs w:val="24"/>
        </w:rPr>
        <w:t xml:space="preserve">    分：1</w:t>
      </w:r>
      <w:r>
        <w:rPr>
          <w:rFonts w:hint="eastAsia" w:ascii="Times New Roman" w:hAnsi="Times New Roman" w:eastAsia="宋体" w:cs="Times New Roman"/>
          <w:b/>
          <w:color w:val="auto"/>
          <w:sz w:val="24"/>
          <w:szCs w:val="24"/>
        </w:rPr>
        <w:t>（不计入总学分）</w:t>
      </w:r>
    </w:p>
    <w:p w14:paraId="4C32F226">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w:t>
      </w:r>
      <w:r>
        <w:rPr>
          <w:rFonts w:ascii="Times New Roman" w:hAnsi="Times New Roman" w:eastAsia="宋体" w:cs="Times New Roman"/>
          <w:b/>
          <w:color w:val="auto"/>
          <w:sz w:val="24"/>
          <w:szCs w:val="24"/>
        </w:rPr>
        <w:t xml:space="preserve">    时：2</w:t>
      </w:r>
      <w:r>
        <w:rPr>
          <w:rFonts w:hint="eastAsia" w:ascii="Times New Roman" w:hAnsi="Times New Roman" w:eastAsia="宋体" w:cs="Times New Roman"/>
          <w:b/>
          <w:color w:val="auto"/>
          <w:sz w:val="24"/>
          <w:szCs w:val="24"/>
        </w:rPr>
        <w:t>周</w:t>
      </w:r>
    </w:p>
    <w:p w14:paraId="59807A5D">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先修课程：无</w:t>
      </w:r>
    </w:p>
    <w:p w14:paraId="30E32478">
      <w:pPr>
        <w:spacing w:line="360" w:lineRule="auto"/>
        <w:ind w:firstLine="482"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适用专业：小学教育</w:t>
      </w:r>
    </w:p>
    <w:p w14:paraId="745F2C98">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一、课程简介</w:t>
      </w:r>
    </w:p>
    <w:p w14:paraId="023EBDA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教学实训是小学教育专业的实践性教学课程。本课程旨在使学生在学习了相关教育理论和学科知识的基础上，掌握小学课堂教学的一般流程和基本技能，具备较强的课堂教学能力，为将来从事小学教学工作做好准备。</w:t>
      </w:r>
    </w:p>
    <w:p w14:paraId="3BFE8204">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color w:val="auto"/>
          <w:sz w:val="24"/>
          <w:szCs w:val="24"/>
        </w:rPr>
        <w:t>二、课程目标</w:t>
      </w:r>
    </w:p>
    <w:p w14:paraId="2DCE9ED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color w:val="auto"/>
          <w:szCs w:val="21"/>
        </w:rPr>
      </w:pPr>
      <w:r>
        <w:rPr>
          <w:rFonts w:hint="eastAsia" w:ascii="宋体" w:hAnsi="宋体" w:eastAsia="宋体" w:cs="Times New Roman"/>
          <w:b/>
          <w:color w:val="auto"/>
          <w:szCs w:val="21"/>
        </w:rPr>
        <w:t>（一）课程具体目标</w:t>
      </w:r>
    </w:p>
    <w:p w14:paraId="6AB037E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w:t>
      </w:r>
      <w:r>
        <w:rPr>
          <w:rFonts w:ascii="Times New Roman" w:hAnsi="Times New Roman" w:eastAsia="宋体" w:cs="Times New Roman"/>
          <w:color w:val="auto"/>
          <w:szCs w:val="21"/>
        </w:rPr>
        <w:t>1.具备依据课程标准理念进行教学设计的能力，能够独立完成教学方案和说课稿</w:t>
      </w:r>
      <w:r>
        <w:rPr>
          <w:rFonts w:hint="eastAsia" w:ascii="Times New Roman" w:hAnsi="Times New Roman" w:eastAsia="宋体" w:cs="Times New Roman"/>
          <w:color w:val="auto"/>
          <w:szCs w:val="21"/>
        </w:rPr>
        <w:t>的撰写</w:t>
      </w:r>
      <w:r>
        <w:rPr>
          <w:rFonts w:ascii="Times New Roman" w:hAnsi="Times New Roman" w:eastAsia="宋体" w:cs="Times New Roman"/>
          <w:color w:val="auto"/>
          <w:szCs w:val="21"/>
        </w:rPr>
        <w:t>。</w:t>
      </w:r>
    </w:p>
    <w:p w14:paraId="055C9F2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w:t>
      </w:r>
      <w:r>
        <w:rPr>
          <w:rFonts w:ascii="Times New Roman" w:hAnsi="Times New Roman" w:eastAsia="宋体" w:cs="Times New Roman"/>
          <w:color w:val="auto"/>
          <w:szCs w:val="21"/>
        </w:rPr>
        <w:t>2.能够依据说课稿和教学方案进行说课和课堂教学，基本掌握说课与课堂教学的基本流程，形成基本的说课与课堂教学技能。</w:t>
      </w:r>
    </w:p>
    <w:p w14:paraId="4D52BB5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w:t>
      </w:r>
      <w:r>
        <w:rPr>
          <w:rFonts w:ascii="Times New Roman" w:hAnsi="Times New Roman" w:eastAsia="宋体" w:cs="Times New Roman"/>
          <w:color w:val="auto"/>
          <w:szCs w:val="21"/>
        </w:rPr>
        <w:t>3.能对自己的说课与课堂教学进行正确的评价</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并作出相应的</w:t>
      </w:r>
      <w:r>
        <w:rPr>
          <w:rFonts w:hint="eastAsia" w:ascii="Times New Roman" w:hAnsi="Times New Roman" w:eastAsia="宋体" w:cs="Times New Roman"/>
          <w:color w:val="auto"/>
          <w:szCs w:val="21"/>
        </w:rPr>
        <w:t>反思和</w:t>
      </w:r>
      <w:r>
        <w:rPr>
          <w:rFonts w:ascii="Times New Roman" w:hAnsi="Times New Roman" w:eastAsia="宋体" w:cs="Times New Roman"/>
          <w:color w:val="auto"/>
          <w:szCs w:val="21"/>
        </w:rPr>
        <w:t>改进，以提升自己的教学能力。</w:t>
      </w:r>
    </w:p>
    <w:p w14:paraId="79EAC5F5">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095"/>
        <w:gridCol w:w="1327"/>
      </w:tblGrid>
      <w:tr w14:paraId="1913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3EB94CC7">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p>
        </w:tc>
        <w:tc>
          <w:tcPr>
            <w:tcW w:w="6095" w:type="dxa"/>
            <w:vAlign w:val="center"/>
          </w:tcPr>
          <w:p w14:paraId="65C34309">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毕业要求指标点</w:t>
            </w:r>
          </w:p>
        </w:tc>
        <w:tc>
          <w:tcPr>
            <w:tcW w:w="1327" w:type="dxa"/>
            <w:vAlign w:val="center"/>
          </w:tcPr>
          <w:p w14:paraId="0EEF9AD2">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课程目标</w:t>
            </w:r>
          </w:p>
        </w:tc>
      </w:tr>
      <w:tr w14:paraId="26A7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39C35DD9">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r>
              <w:rPr>
                <w:rFonts w:ascii="Times New Roman" w:hAnsi="Times New Roman" w:eastAsia="宋体" w:cs="Times New Roman"/>
                <w:b/>
                <w:bCs/>
                <w:color w:val="auto"/>
                <w:szCs w:val="21"/>
              </w:rPr>
              <w:t>4</w:t>
            </w:r>
          </w:p>
          <w:p w14:paraId="0F18E67B">
            <w:pPr>
              <w:spacing w:line="276" w:lineRule="auto"/>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教学能力</w:t>
            </w:r>
          </w:p>
        </w:tc>
        <w:tc>
          <w:tcPr>
            <w:tcW w:w="6095" w:type="dxa"/>
            <w:vAlign w:val="center"/>
          </w:tcPr>
          <w:p w14:paraId="494EAB5D">
            <w:pPr>
              <w:spacing w:line="276" w:lineRule="auto"/>
              <w:jc w:val="left"/>
              <w:rPr>
                <w:rFonts w:hint="eastAsia" w:ascii="宋体" w:hAnsi="宋体" w:eastAsia="宋体" w:cs="Times New Roman"/>
                <w:color w:val="auto"/>
                <w:spacing w:val="2"/>
                <w:kern w:val="0"/>
                <w:szCs w:val="21"/>
              </w:rPr>
            </w:pPr>
            <w:r>
              <w:rPr>
                <w:rFonts w:hint="eastAsia" w:ascii="宋体" w:hAnsi="宋体" w:eastAsia="宋体" w:cs="Times New Roman"/>
                <w:color w:val="auto"/>
                <w:spacing w:val="2"/>
                <w:kern w:val="0"/>
                <w:szCs w:val="21"/>
              </w:rPr>
              <w:t>指标点4-2：【教学设计恰当】理解教材的编写逻辑和体系结构，合理掌握不同学段目标与内容的递进关系，具有依据课标进行教学的意识和习惯。能依据单元内容进行整体设计，科学合理地依据教学目标及内容设计。</w:t>
            </w:r>
          </w:p>
        </w:tc>
        <w:tc>
          <w:tcPr>
            <w:tcW w:w="1327" w:type="dxa"/>
            <w:vAlign w:val="center"/>
          </w:tcPr>
          <w:p w14:paraId="6A10EED7">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1</w:t>
            </w:r>
          </w:p>
        </w:tc>
      </w:tr>
      <w:tr w14:paraId="2FC0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090DA76D">
            <w:pPr>
              <w:spacing w:line="276" w:lineRule="auto"/>
              <w:jc w:val="center"/>
              <w:rPr>
                <w:rFonts w:ascii="Times New Roman" w:hAnsi="Times New Roman" w:eastAsia="宋体" w:cs="Times New Roman"/>
                <w:color w:val="auto"/>
                <w:szCs w:val="21"/>
              </w:rPr>
            </w:pPr>
          </w:p>
        </w:tc>
        <w:tc>
          <w:tcPr>
            <w:tcW w:w="6095" w:type="dxa"/>
            <w:vAlign w:val="center"/>
          </w:tcPr>
          <w:p w14:paraId="6BDCC78D">
            <w:pPr>
              <w:spacing w:line="276" w:lineRule="auto"/>
              <w:jc w:val="left"/>
              <w:rPr>
                <w:rFonts w:hint="eastAsia" w:ascii="宋体" w:hAnsi="宋体" w:eastAsia="宋体" w:cs="Times New Roman"/>
                <w:color w:val="auto"/>
                <w:spacing w:val="2"/>
                <w:kern w:val="0"/>
                <w:szCs w:val="21"/>
                <w:lang w:eastAsia="zh-CN"/>
              </w:rPr>
            </w:pPr>
            <w:r>
              <w:rPr>
                <w:rFonts w:hint="eastAsia" w:ascii="宋体" w:hAnsi="宋体" w:eastAsia="宋体" w:cs="Times New Roman"/>
                <w:color w:val="auto"/>
                <w:spacing w:val="2"/>
                <w:kern w:val="0"/>
                <w:szCs w:val="21"/>
                <w:lang w:eastAsia="zh-CN"/>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0FE06CF4">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2</w:t>
            </w:r>
          </w:p>
        </w:tc>
      </w:tr>
      <w:tr w14:paraId="46E3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672C7D4F">
            <w:pPr>
              <w:spacing w:line="276"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毕业要求</w:t>
            </w:r>
            <w:r>
              <w:rPr>
                <w:rFonts w:ascii="Times New Roman" w:hAnsi="Times New Roman" w:eastAsia="宋体" w:cs="Times New Roman"/>
                <w:b/>
                <w:bCs/>
                <w:color w:val="auto"/>
                <w:szCs w:val="21"/>
              </w:rPr>
              <w:t>7</w:t>
            </w:r>
          </w:p>
          <w:p w14:paraId="075BCC70">
            <w:pPr>
              <w:spacing w:line="276" w:lineRule="auto"/>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学会反思</w:t>
            </w:r>
          </w:p>
        </w:tc>
        <w:tc>
          <w:tcPr>
            <w:tcW w:w="6095" w:type="dxa"/>
            <w:vAlign w:val="center"/>
          </w:tcPr>
          <w:p w14:paraId="67BE86ED">
            <w:pPr>
              <w:spacing w:line="276" w:lineRule="auto"/>
              <w:jc w:val="left"/>
              <w:rPr>
                <w:rFonts w:hint="eastAsia" w:ascii="Times New Roman" w:hAnsi="Times New Roman" w:eastAsia="宋体" w:cs="Times New Roman"/>
                <w:color w:val="auto"/>
                <w:szCs w:val="21"/>
                <w:lang w:eastAsia="zh-CN"/>
              </w:rPr>
            </w:pPr>
            <w:r>
              <w:rPr>
                <w:rFonts w:hint="eastAsia" w:ascii="宋体" w:hAnsi="宋体" w:eastAsia="宋体" w:cs="Times New Roman"/>
                <w:color w:val="auto"/>
                <w:spacing w:val="2"/>
                <w:kern w:val="0"/>
                <w:szCs w:val="21"/>
                <w:lang w:eastAsia="zh-CN"/>
              </w:rPr>
              <w:t>指标点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27" w:type="dxa"/>
            <w:vAlign w:val="center"/>
          </w:tcPr>
          <w:p w14:paraId="134B32AD">
            <w:pPr>
              <w:spacing w:line="276"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课程目标</w:t>
            </w:r>
            <w:r>
              <w:rPr>
                <w:rFonts w:ascii="Times New Roman" w:hAnsi="Times New Roman" w:eastAsia="宋体" w:cs="Times New Roman"/>
                <w:color w:val="auto"/>
                <w:szCs w:val="21"/>
              </w:rPr>
              <w:t>3</w:t>
            </w:r>
          </w:p>
        </w:tc>
      </w:tr>
    </w:tbl>
    <w:p w14:paraId="2FD4F5C9">
      <w:pPr>
        <w:spacing w:before="156" w:beforeLines="50"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（三）课程思政目标</w:t>
      </w:r>
    </w:p>
    <w:p w14:paraId="17E5F01F">
      <w:pPr>
        <w:spacing w:line="360" w:lineRule="auto"/>
        <w:ind w:firstLine="420" w:firstLineChars="200"/>
        <w:jc w:val="left"/>
        <w:rPr>
          <w:rFonts w:hint="eastAsia" w:ascii="宋体" w:hAnsi="宋体" w:eastAsia="宋体" w:cs="Times New Roman"/>
          <w:color w:val="auto"/>
          <w:szCs w:val="21"/>
        </w:rPr>
      </w:pPr>
      <w:r>
        <w:rPr>
          <w:rFonts w:ascii="宋体" w:hAnsi="宋体" w:eastAsia="宋体" w:cs="Times New Roman"/>
          <w:color w:val="auto"/>
          <w:szCs w:val="21"/>
        </w:rPr>
        <w:t>巩固专业思想，树立正确</w:t>
      </w:r>
      <w:r>
        <w:rPr>
          <w:rFonts w:hint="eastAsia" w:ascii="宋体" w:hAnsi="宋体" w:eastAsia="宋体" w:cs="Times New Roman"/>
          <w:color w:val="auto"/>
          <w:szCs w:val="21"/>
        </w:rPr>
        <w:t>的</w:t>
      </w:r>
      <w:r>
        <w:rPr>
          <w:rFonts w:ascii="宋体" w:hAnsi="宋体" w:eastAsia="宋体" w:cs="Times New Roman"/>
          <w:color w:val="auto"/>
          <w:szCs w:val="21"/>
        </w:rPr>
        <w:t>教育</w:t>
      </w:r>
      <w:r>
        <w:rPr>
          <w:rFonts w:hint="eastAsia" w:ascii="宋体" w:hAnsi="宋体" w:eastAsia="宋体" w:cs="Times New Roman"/>
          <w:color w:val="auto"/>
          <w:szCs w:val="21"/>
        </w:rPr>
        <w:t>理</w:t>
      </w:r>
      <w:r>
        <w:rPr>
          <w:rFonts w:ascii="宋体" w:hAnsi="宋体" w:eastAsia="宋体" w:cs="Times New Roman"/>
          <w:color w:val="auto"/>
          <w:szCs w:val="21"/>
        </w:rPr>
        <w:t>念</w:t>
      </w:r>
      <w:r>
        <w:rPr>
          <w:rFonts w:hint="eastAsia" w:ascii="宋体" w:hAnsi="宋体" w:eastAsia="宋体" w:cs="Times New Roman"/>
          <w:color w:val="auto"/>
          <w:szCs w:val="21"/>
        </w:rPr>
        <w:t>；增强</w:t>
      </w:r>
      <w:r>
        <w:rPr>
          <w:rFonts w:ascii="宋体" w:hAnsi="宋体" w:eastAsia="宋体" w:cs="Times New Roman"/>
          <w:color w:val="auto"/>
          <w:szCs w:val="21"/>
        </w:rPr>
        <w:t>社会责任感</w:t>
      </w:r>
      <w:r>
        <w:rPr>
          <w:rFonts w:hint="eastAsia" w:ascii="宋体" w:hAnsi="宋体" w:eastAsia="宋体" w:cs="Times New Roman"/>
          <w:color w:val="auto"/>
          <w:szCs w:val="21"/>
        </w:rPr>
        <w:t>和</w:t>
      </w:r>
      <w:r>
        <w:rPr>
          <w:rFonts w:ascii="宋体" w:hAnsi="宋体" w:eastAsia="宋体" w:cs="Times New Roman"/>
          <w:color w:val="auto"/>
          <w:szCs w:val="21"/>
        </w:rPr>
        <w:t>教育情怀</w:t>
      </w:r>
      <w:r>
        <w:rPr>
          <w:rFonts w:hint="eastAsia" w:ascii="宋体" w:hAnsi="宋体" w:eastAsia="宋体" w:cs="Times New Roman"/>
          <w:color w:val="auto"/>
          <w:szCs w:val="21"/>
        </w:rPr>
        <w:t>，养成虚心、严谨的学习态度，增强</w:t>
      </w:r>
      <w:r>
        <w:rPr>
          <w:rFonts w:ascii="宋体" w:hAnsi="宋体" w:eastAsia="宋体" w:cs="Times New Roman"/>
          <w:color w:val="auto"/>
          <w:szCs w:val="21"/>
        </w:rPr>
        <w:t>团队</w:t>
      </w:r>
      <w:r>
        <w:rPr>
          <w:rFonts w:hint="eastAsia" w:ascii="宋体" w:hAnsi="宋体" w:eastAsia="宋体" w:cs="Times New Roman"/>
          <w:color w:val="auto"/>
          <w:szCs w:val="21"/>
        </w:rPr>
        <w:t>合作意识；</w:t>
      </w:r>
      <w:r>
        <w:rPr>
          <w:rFonts w:ascii="宋体" w:hAnsi="宋体" w:eastAsia="宋体" w:cs="Times New Roman"/>
          <w:color w:val="auto"/>
          <w:szCs w:val="21"/>
        </w:rPr>
        <w:t>形成学科育人的意识，</w:t>
      </w:r>
      <w:r>
        <w:rPr>
          <w:rFonts w:hint="eastAsia" w:ascii="宋体" w:hAnsi="宋体" w:eastAsia="宋体" w:cs="Times New Roman"/>
          <w:color w:val="auto"/>
          <w:szCs w:val="21"/>
        </w:rPr>
        <w:t>初步</w:t>
      </w:r>
      <w:r>
        <w:rPr>
          <w:rFonts w:ascii="宋体" w:hAnsi="宋体" w:eastAsia="宋体" w:cs="Times New Roman"/>
          <w:color w:val="auto"/>
          <w:szCs w:val="21"/>
        </w:rPr>
        <w:t>掌握学科育人的方法。</w:t>
      </w:r>
    </w:p>
    <w:p w14:paraId="6B398F6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三、教学内容与预期学习成效</w:t>
      </w:r>
    </w:p>
    <w:tbl>
      <w:tblPr>
        <w:tblStyle w:val="16"/>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704"/>
        <w:gridCol w:w="1135"/>
        <w:gridCol w:w="3266"/>
        <w:gridCol w:w="1563"/>
        <w:gridCol w:w="442"/>
      </w:tblGrid>
      <w:tr w14:paraId="6605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1A3F60D3">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w:t>
            </w:r>
          </w:p>
          <w:p w14:paraId="0C72429E">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单元</w:t>
            </w:r>
          </w:p>
        </w:tc>
        <w:tc>
          <w:tcPr>
            <w:tcW w:w="1704" w:type="dxa"/>
            <w:vAlign w:val="center"/>
          </w:tcPr>
          <w:p w14:paraId="16725136">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知识点</w:t>
            </w:r>
          </w:p>
        </w:tc>
        <w:tc>
          <w:tcPr>
            <w:tcW w:w="1135" w:type="dxa"/>
            <w:vAlign w:val="center"/>
          </w:tcPr>
          <w:p w14:paraId="3AA245BB">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对应</w:t>
            </w:r>
          </w:p>
          <w:p w14:paraId="7E59EADA">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课程目标</w:t>
            </w:r>
          </w:p>
        </w:tc>
        <w:tc>
          <w:tcPr>
            <w:tcW w:w="3266" w:type="dxa"/>
            <w:vAlign w:val="center"/>
          </w:tcPr>
          <w:p w14:paraId="5A9397D1">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预期学习成效</w:t>
            </w:r>
          </w:p>
        </w:tc>
        <w:tc>
          <w:tcPr>
            <w:tcW w:w="1563" w:type="dxa"/>
            <w:vAlign w:val="center"/>
          </w:tcPr>
          <w:p w14:paraId="6B34190C">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实现环节</w:t>
            </w:r>
          </w:p>
        </w:tc>
        <w:tc>
          <w:tcPr>
            <w:tcW w:w="442" w:type="dxa"/>
            <w:vAlign w:val="center"/>
          </w:tcPr>
          <w:p w14:paraId="48B1BF52">
            <w:pPr>
              <w:spacing w:line="240" w:lineRule="auto"/>
              <w:jc w:val="center"/>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学时</w:t>
            </w:r>
          </w:p>
        </w:tc>
      </w:tr>
      <w:tr w14:paraId="562B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7BC8AEA4">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1</w:t>
            </w:r>
            <w:r>
              <w:rPr>
                <w:rFonts w:ascii="宋体" w:hAnsi="宋体" w:eastAsia="宋体" w:cs="Times New Roman"/>
                <w:color w:val="auto"/>
                <w:sz w:val="21"/>
                <w:szCs w:val="21"/>
              </w:rPr>
              <w:t>.</w:t>
            </w:r>
            <w:r>
              <w:rPr>
                <w:rFonts w:hint="eastAsia"/>
                <w:color w:val="auto"/>
                <w:sz w:val="21"/>
                <w:szCs w:val="21"/>
              </w:rPr>
              <w:t xml:space="preserve"> </w:t>
            </w:r>
            <w:r>
              <w:rPr>
                <w:rFonts w:hint="eastAsia" w:ascii="宋体" w:hAnsi="宋体" w:eastAsia="宋体" w:cs="Times New Roman"/>
                <w:color w:val="auto"/>
                <w:sz w:val="21"/>
                <w:szCs w:val="21"/>
              </w:rPr>
              <w:t>教学设计实训</w:t>
            </w:r>
          </w:p>
        </w:tc>
        <w:tc>
          <w:tcPr>
            <w:tcW w:w="1704" w:type="dxa"/>
            <w:vAlign w:val="center"/>
          </w:tcPr>
          <w:p w14:paraId="5CE0CA8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选择不少于</w:t>
            </w:r>
            <w:r>
              <w:rPr>
                <w:rFonts w:ascii="宋体" w:hAnsi="宋体" w:eastAsia="宋体" w:cs="Times New Roman"/>
                <w:color w:val="auto"/>
                <w:sz w:val="21"/>
                <w:szCs w:val="21"/>
              </w:rPr>
              <w:t>8个小学教学内容，在研读课程标准、认真钻研教材的基础上，进行教学设计。</w:t>
            </w:r>
          </w:p>
        </w:tc>
        <w:tc>
          <w:tcPr>
            <w:tcW w:w="1135" w:type="dxa"/>
            <w:vAlign w:val="center"/>
          </w:tcPr>
          <w:p w14:paraId="36C68E1C">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3266" w:type="dxa"/>
            <w:vAlign w:val="center"/>
          </w:tcPr>
          <w:p w14:paraId="7A46A5AE">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1.完成不少于3个说课稿。</w:t>
            </w:r>
          </w:p>
          <w:p w14:paraId="034EF86E">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2.完成不少于8个教案。</w:t>
            </w:r>
          </w:p>
        </w:tc>
        <w:tc>
          <w:tcPr>
            <w:tcW w:w="1563" w:type="dxa"/>
            <w:vAlign w:val="center"/>
          </w:tcPr>
          <w:p w14:paraId="079D3CF3">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1.集中训练</w:t>
            </w:r>
          </w:p>
          <w:p w14:paraId="3637F77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2.交流研讨</w:t>
            </w:r>
          </w:p>
          <w:p w14:paraId="1C1D821D">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.自主学习</w:t>
            </w:r>
          </w:p>
        </w:tc>
        <w:tc>
          <w:tcPr>
            <w:tcW w:w="442" w:type="dxa"/>
            <w:vAlign w:val="center"/>
          </w:tcPr>
          <w:p w14:paraId="331560B0">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2</w:t>
            </w:r>
            <w:r>
              <w:rPr>
                <w:rFonts w:hint="eastAsia" w:ascii="宋体" w:hAnsi="宋体" w:eastAsia="宋体" w:cs="Times New Roman"/>
                <w:color w:val="auto"/>
                <w:sz w:val="21"/>
                <w:szCs w:val="21"/>
              </w:rPr>
              <w:t>天</w:t>
            </w:r>
          </w:p>
        </w:tc>
      </w:tr>
      <w:tr w14:paraId="2569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06" w:type="dxa"/>
            <w:vMerge w:val="continue"/>
            <w:vAlign w:val="center"/>
          </w:tcPr>
          <w:p w14:paraId="4B60FD4E">
            <w:pPr>
              <w:spacing w:line="240" w:lineRule="auto"/>
              <w:jc w:val="center"/>
              <w:rPr>
                <w:rFonts w:hint="eastAsia" w:ascii="宋体" w:hAnsi="宋体" w:eastAsia="宋体" w:cs="Times New Roman"/>
                <w:color w:val="auto"/>
                <w:sz w:val="21"/>
                <w:szCs w:val="21"/>
              </w:rPr>
            </w:pPr>
          </w:p>
        </w:tc>
        <w:tc>
          <w:tcPr>
            <w:tcW w:w="8110" w:type="dxa"/>
            <w:gridSpan w:val="5"/>
            <w:vAlign w:val="center"/>
          </w:tcPr>
          <w:p w14:paraId="62E279D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巩固专业思想，树立正确的教育理念，增强社会责任感和教育情怀，养成虚心、严谨的学习态度，形成学科育人的意识，初步掌握学科育人的方法。</w:t>
            </w:r>
          </w:p>
        </w:tc>
      </w:tr>
      <w:tr w14:paraId="140B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6" w:type="dxa"/>
            <w:vMerge w:val="restart"/>
            <w:vAlign w:val="center"/>
          </w:tcPr>
          <w:p w14:paraId="5FAB00BB">
            <w:pPr>
              <w:numPr>
                <w:ilvl w:val="0"/>
                <w:numId w:val="0"/>
              </w:numPr>
              <w:spacing w:line="240" w:lineRule="auto"/>
              <w:ind w:leftChars="0"/>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2.</w:t>
            </w:r>
            <w:r>
              <w:rPr>
                <w:rFonts w:hint="eastAsia" w:ascii="宋体" w:hAnsi="宋体" w:eastAsia="宋体" w:cs="Times New Roman"/>
                <w:color w:val="auto"/>
                <w:sz w:val="21"/>
                <w:szCs w:val="21"/>
              </w:rPr>
              <w:t>说课</w:t>
            </w:r>
          </w:p>
          <w:p w14:paraId="4EB70479">
            <w:pPr>
              <w:numPr>
                <w:ilvl w:val="0"/>
                <w:numId w:val="0"/>
              </w:numPr>
              <w:spacing w:line="240" w:lineRule="auto"/>
              <w:ind w:firstLine="210" w:firstLineChars="100"/>
              <w:jc w:val="both"/>
              <w:rPr>
                <w:rFonts w:hint="eastAsia" w:ascii="宋体" w:hAnsi="宋体" w:eastAsia="宋体" w:cs="Times New Roman"/>
                <w:color w:val="auto"/>
                <w:sz w:val="21"/>
                <w:szCs w:val="21"/>
              </w:rPr>
            </w:pPr>
            <w:r>
              <w:rPr>
                <w:rFonts w:hint="eastAsia" w:ascii="宋体" w:hAnsi="宋体" w:eastAsia="宋体" w:cs="Times New Roman"/>
                <w:color w:val="auto"/>
                <w:sz w:val="21"/>
                <w:szCs w:val="21"/>
              </w:rPr>
              <w:t>实训</w:t>
            </w:r>
          </w:p>
        </w:tc>
        <w:tc>
          <w:tcPr>
            <w:tcW w:w="1704" w:type="dxa"/>
            <w:vAlign w:val="center"/>
          </w:tcPr>
          <w:p w14:paraId="5E33858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依据说课稿进行说课训练</w:t>
            </w:r>
          </w:p>
        </w:tc>
        <w:tc>
          <w:tcPr>
            <w:tcW w:w="1135" w:type="dxa"/>
            <w:vAlign w:val="center"/>
          </w:tcPr>
          <w:p w14:paraId="79965146">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3266" w:type="dxa"/>
            <w:vAlign w:val="center"/>
          </w:tcPr>
          <w:p w14:paraId="16B8E457">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提交不少于</w:t>
            </w:r>
            <w:r>
              <w:rPr>
                <w:rFonts w:ascii="宋体" w:hAnsi="宋体" w:eastAsia="宋体" w:cs="Times New Roman"/>
                <w:color w:val="auto"/>
                <w:sz w:val="21"/>
                <w:szCs w:val="21"/>
              </w:rPr>
              <w:t>2个说课视频。</w:t>
            </w:r>
          </w:p>
        </w:tc>
        <w:tc>
          <w:tcPr>
            <w:tcW w:w="1563" w:type="dxa"/>
            <w:vAlign w:val="center"/>
          </w:tcPr>
          <w:p w14:paraId="4E1CA576">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1.集中训练</w:t>
            </w:r>
          </w:p>
          <w:p w14:paraId="3C04812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2.交流研讨</w:t>
            </w:r>
          </w:p>
          <w:p w14:paraId="13DA79A0">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.自主学习</w:t>
            </w:r>
          </w:p>
        </w:tc>
        <w:tc>
          <w:tcPr>
            <w:tcW w:w="442" w:type="dxa"/>
            <w:vAlign w:val="center"/>
          </w:tcPr>
          <w:p w14:paraId="3F78B02A">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2</w:t>
            </w:r>
            <w:r>
              <w:rPr>
                <w:rFonts w:hint="eastAsia" w:ascii="宋体" w:hAnsi="宋体" w:eastAsia="宋体" w:cs="Times New Roman"/>
                <w:color w:val="auto"/>
                <w:sz w:val="21"/>
                <w:szCs w:val="21"/>
              </w:rPr>
              <w:t>天</w:t>
            </w:r>
          </w:p>
        </w:tc>
      </w:tr>
      <w:tr w14:paraId="3B35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206" w:type="dxa"/>
            <w:vMerge w:val="continue"/>
            <w:vAlign w:val="center"/>
          </w:tcPr>
          <w:p w14:paraId="0646C800">
            <w:pPr>
              <w:spacing w:line="240" w:lineRule="auto"/>
              <w:jc w:val="center"/>
              <w:rPr>
                <w:rFonts w:hint="eastAsia" w:ascii="宋体" w:hAnsi="宋体" w:eastAsia="宋体" w:cs="Times New Roman"/>
                <w:color w:val="auto"/>
                <w:sz w:val="21"/>
                <w:szCs w:val="21"/>
              </w:rPr>
            </w:pPr>
          </w:p>
        </w:tc>
        <w:tc>
          <w:tcPr>
            <w:tcW w:w="8110" w:type="dxa"/>
            <w:gridSpan w:val="5"/>
            <w:vAlign w:val="center"/>
          </w:tcPr>
          <w:p w14:paraId="64736D4F">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养成虚心、严谨的学习态度，增强团队合作意识，形成学科育人的意识，初步掌握学科育人的方法。</w:t>
            </w:r>
          </w:p>
        </w:tc>
      </w:tr>
      <w:tr w14:paraId="07F5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206" w:type="dxa"/>
            <w:vMerge w:val="restart"/>
            <w:vAlign w:val="center"/>
          </w:tcPr>
          <w:p w14:paraId="066CE3A5">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3</w:t>
            </w:r>
            <w:r>
              <w:rPr>
                <w:rFonts w:ascii="宋体" w:hAnsi="宋体" w:eastAsia="宋体" w:cs="Times New Roman"/>
                <w:color w:val="auto"/>
                <w:sz w:val="21"/>
                <w:szCs w:val="21"/>
              </w:rPr>
              <w:t>.</w:t>
            </w:r>
            <w:r>
              <w:rPr>
                <w:rFonts w:hint="eastAsia"/>
                <w:color w:val="auto"/>
                <w:sz w:val="21"/>
                <w:szCs w:val="21"/>
              </w:rPr>
              <w:t xml:space="preserve"> 课堂教学实训</w:t>
            </w:r>
          </w:p>
        </w:tc>
        <w:tc>
          <w:tcPr>
            <w:tcW w:w="1704" w:type="dxa"/>
            <w:vAlign w:val="center"/>
          </w:tcPr>
          <w:p w14:paraId="1A65E53E">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依据教学设计进行课堂教学（模拟教学）训练</w:t>
            </w:r>
          </w:p>
        </w:tc>
        <w:tc>
          <w:tcPr>
            <w:tcW w:w="1135" w:type="dxa"/>
            <w:vAlign w:val="center"/>
          </w:tcPr>
          <w:p w14:paraId="52184D1F">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w:t>
            </w:r>
            <w:r>
              <w:rPr>
                <w:rFonts w:ascii="宋体" w:hAnsi="宋体" w:eastAsia="宋体" w:cs="Times New Roman"/>
                <w:color w:val="auto"/>
                <w:sz w:val="21"/>
                <w:szCs w:val="21"/>
              </w:rPr>
              <w:t>1</w:t>
            </w:r>
            <w:r>
              <w:rPr>
                <w:rFonts w:hint="eastAsia" w:ascii="宋体" w:hAnsi="宋体" w:eastAsia="宋体" w:cs="Times New Roman"/>
                <w:color w:val="auto"/>
                <w:sz w:val="21"/>
                <w:szCs w:val="21"/>
              </w:rPr>
              <w:t>、2、3</w:t>
            </w:r>
          </w:p>
        </w:tc>
        <w:tc>
          <w:tcPr>
            <w:tcW w:w="3266" w:type="dxa"/>
            <w:vAlign w:val="center"/>
          </w:tcPr>
          <w:p w14:paraId="095370B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提交不少于</w:t>
            </w:r>
            <w:r>
              <w:rPr>
                <w:rFonts w:ascii="宋体" w:hAnsi="宋体" w:eastAsia="宋体" w:cs="Times New Roman"/>
                <w:color w:val="auto"/>
                <w:sz w:val="21"/>
                <w:szCs w:val="21"/>
              </w:rPr>
              <w:t>5个课堂教学（模拟教学）视频。</w:t>
            </w:r>
          </w:p>
        </w:tc>
        <w:tc>
          <w:tcPr>
            <w:tcW w:w="1563" w:type="dxa"/>
            <w:vAlign w:val="center"/>
          </w:tcPr>
          <w:p w14:paraId="6116BBEB">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1.集中训练</w:t>
            </w:r>
          </w:p>
          <w:p w14:paraId="4034181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2.交流研讨</w:t>
            </w:r>
          </w:p>
          <w:p w14:paraId="298DE009">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.自主学习</w:t>
            </w:r>
          </w:p>
        </w:tc>
        <w:tc>
          <w:tcPr>
            <w:tcW w:w="442" w:type="dxa"/>
            <w:vAlign w:val="center"/>
          </w:tcPr>
          <w:p w14:paraId="42D88865">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5</w:t>
            </w:r>
            <w:r>
              <w:rPr>
                <w:rFonts w:hint="eastAsia" w:ascii="宋体" w:hAnsi="宋体" w:eastAsia="宋体" w:cs="Times New Roman"/>
                <w:color w:val="auto"/>
                <w:sz w:val="21"/>
                <w:szCs w:val="21"/>
              </w:rPr>
              <w:t>天</w:t>
            </w:r>
          </w:p>
        </w:tc>
      </w:tr>
      <w:tr w14:paraId="33FC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206" w:type="dxa"/>
            <w:vMerge w:val="continue"/>
            <w:vAlign w:val="center"/>
          </w:tcPr>
          <w:p w14:paraId="6B0A937E">
            <w:pPr>
              <w:spacing w:line="240" w:lineRule="auto"/>
              <w:jc w:val="center"/>
              <w:rPr>
                <w:rFonts w:hint="eastAsia" w:ascii="宋体" w:hAnsi="宋体" w:eastAsia="宋体" w:cs="Times New Roman"/>
                <w:color w:val="auto"/>
                <w:sz w:val="21"/>
                <w:szCs w:val="21"/>
              </w:rPr>
            </w:pPr>
          </w:p>
        </w:tc>
        <w:tc>
          <w:tcPr>
            <w:tcW w:w="8110" w:type="dxa"/>
            <w:gridSpan w:val="5"/>
            <w:vAlign w:val="center"/>
          </w:tcPr>
          <w:p w14:paraId="0FC92E2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color w:val="auto"/>
                <w:sz w:val="21"/>
                <w:szCs w:val="21"/>
              </w:rPr>
              <w:t>养成虚心、严谨的学习态度，增强团队合作意识，形成学科育人的意识，初步掌握学科育人的方法。</w:t>
            </w:r>
          </w:p>
        </w:tc>
      </w:tr>
      <w:tr w14:paraId="3E099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1206" w:type="dxa"/>
            <w:vMerge w:val="restart"/>
            <w:vAlign w:val="center"/>
          </w:tcPr>
          <w:p w14:paraId="73D0362C">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4</w:t>
            </w:r>
            <w:r>
              <w:rPr>
                <w:rFonts w:ascii="宋体" w:hAnsi="宋体" w:eastAsia="宋体" w:cs="Times New Roman"/>
                <w:color w:val="auto"/>
                <w:sz w:val="21"/>
                <w:szCs w:val="21"/>
              </w:rPr>
              <w:t>.</w:t>
            </w:r>
            <w:r>
              <w:rPr>
                <w:rFonts w:hint="eastAsia"/>
                <w:color w:val="auto"/>
                <w:sz w:val="21"/>
                <w:szCs w:val="21"/>
              </w:rPr>
              <w:t xml:space="preserve"> </w:t>
            </w:r>
            <w:r>
              <w:rPr>
                <w:rFonts w:hint="eastAsia" w:ascii="宋体" w:hAnsi="宋体" w:eastAsia="宋体" w:cs="Times New Roman"/>
                <w:color w:val="auto"/>
                <w:sz w:val="21"/>
                <w:szCs w:val="21"/>
              </w:rPr>
              <w:t>教学实训成果汇报</w:t>
            </w:r>
          </w:p>
        </w:tc>
        <w:tc>
          <w:tcPr>
            <w:tcW w:w="1704" w:type="dxa"/>
            <w:vAlign w:val="center"/>
          </w:tcPr>
          <w:p w14:paraId="15BB39C9">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开展教学实训成果汇报；总结交流教学实训情况</w:t>
            </w:r>
          </w:p>
        </w:tc>
        <w:tc>
          <w:tcPr>
            <w:tcW w:w="1135" w:type="dxa"/>
            <w:vAlign w:val="center"/>
          </w:tcPr>
          <w:p w14:paraId="4AA49AFA">
            <w:pPr>
              <w:spacing w:line="240" w:lineRule="auto"/>
              <w:jc w:val="center"/>
              <w:rPr>
                <w:rFonts w:hint="eastAsia" w:ascii="宋体" w:hAnsi="宋体" w:eastAsia="宋体" w:cs="Times New Roman"/>
                <w:color w:val="auto"/>
                <w:sz w:val="21"/>
                <w:szCs w:val="21"/>
              </w:rPr>
            </w:pPr>
            <w:r>
              <w:rPr>
                <w:rFonts w:hint="eastAsia" w:ascii="宋体" w:hAnsi="宋体" w:eastAsia="宋体" w:cs="Times New Roman"/>
                <w:color w:val="auto"/>
                <w:sz w:val="21"/>
                <w:szCs w:val="21"/>
              </w:rPr>
              <w:t>课程目标1、2、3</w:t>
            </w:r>
          </w:p>
        </w:tc>
        <w:tc>
          <w:tcPr>
            <w:tcW w:w="3266" w:type="dxa"/>
            <w:vAlign w:val="center"/>
          </w:tcPr>
          <w:p w14:paraId="27DA4330">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完成教学实训汇报，提交</w:t>
            </w:r>
            <w:r>
              <w:rPr>
                <w:rFonts w:ascii="宋体" w:hAnsi="宋体" w:eastAsia="宋体" w:cs="Times New Roman"/>
                <w:color w:val="auto"/>
                <w:sz w:val="21"/>
                <w:szCs w:val="21"/>
              </w:rPr>
              <w:t>1份教学实训总结</w:t>
            </w:r>
          </w:p>
        </w:tc>
        <w:tc>
          <w:tcPr>
            <w:tcW w:w="1563" w:type="dxa"/>
            <w:vAlign w:val="center"/>
          </w:tcPr>
          <w:p w14:paraId="7B503E28">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1.成果汇报</w:t>
            </w:r>
          </w:p>
          <w:p w14:paraId="506D8DCD">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2.交流研讨</w:t>
            </w:r>
          </w:p>
          <w:p w14:paraId="15E5C253">
            <w:pPr>
              <w:spacing w:line="240" w:lineRule="auto"/>
              <w:jc w:val="left"/>
              <w:rPr>
                <w:rFonts w:hint="eastAsia" w:ascii="宋体" w:hAnsi="宋体" w:eastAsia="宋体" w:cs="Times New Roman"/>
                <w:color w:val="auto"/>
                <w:sz w:val="21"/>
                <w:szCs w:val="21"/>
              </w:rPr>
            </w:pPr>
            <w:r>
              <w:rPr>
                <w:rFonts w:ascii="宋体" w:hAnsi="宋体" w:eastAsia="宋体" w:cs="Times New Roman"/>
                <w:color w:val="auto"/>
                <w:sz w:val="21"/>
                <w:szCs w:val="21"/>
              </w:rPr>
              <w:t>3</w:t>
            </w:r>
            <w:r>
              <w:rPr>
                <w:rFonts w:hint="eastAsia" w:ascii="宋体" w:hAnsi="宋体" w:eastAsia="宋体" w:cs="Times New Roman"/>
                <w:color w:val="auto"/>
                <w:sz w:val="21"/>
                <w:szCs w:val="21"/>
              </w:rPr>
              <w:t>.自主学习</w:t>
            </w:r>
          </w:p>
        </w:tc>
        <w:tc>
          <w:tcPr>
            <w:tcW w:w="442" w:type="dxa"/>
            <w:vAlign w:val="center"/>
          </w:tcPr>
          <w:p w14:paraId="2A5C9D41">
            <w:pPr>
              <w:spacing w:line="240" w:lineRule="auto"/>
              <w:jc w:val="center"/>
              <w:rPr>
                <w:rFonts w:hint="eastAsia" w:ascii="宋体" w:hAnsi="宋体" w:eastAsia="宋体" w:cs="Times New Roman"/>
                <w:color w:val="auto"/>
                <w:sz w:val="21"/>
                <w:szCs w:val="21"/>
              </w:rPr>
            </w:pPr>
            <w:r>
              <w:rPr>
                <w:rFonts w:ascii="宋体" w:hAnsi="宋体" w:eastAsia="宋体" w:cs="Times New Roman"/>
                <w:color w:val="auto"/>
                <w:sz w:val="21"/>
                <w:szCs w:val="21"/>
              </w:rPr>
              <w:t>1</w:t>
            </w:r>
            <w:r>
              <w:rPr>
                <w:rFonts w:hint="eastAsia" w:ascii="宋体" w:hAnsi="宋体" w:eastAsia="宋体" w:cs="Times New Roman"/>
                <w:color w:val="auto"/>
                <w:sz w:val="21"/>
                <w:szCs w:val="21"/>
              </w:rPr>
              <w:t>天</w:t>
            </w:r>
          </w:p>
        </w:tc>
      </w:tr>
      <w:tr w14:paraId="74D8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11AB1BD5">
            <w:pPr>
              <w:spacing w:line="240" w:lineRule="auto"/>
              <w:jc w:val="center"/>
              <w:rPr>
                <w:rFonts w:hint="eastAsia" w:ascii="宋体" w:hAnsi="宋体" w:eastAsia="宋体" w:cs="Times New Roman"/>
                <w:color w:val="auto"/>
                <w:sz w:val="21"/>
                <w:szCs w:val="21"/>
              </w:rPr>
            </w:pPr>
          </w:p>
        </w:tc>
        <w:tc>
          <w:tcPr>
            <w:tcW w:w="8110" w:type="dxa"/>
            <w:gridSpan w:val="5"/>
            <w:vAlign w:val="center"/>
          </w:tcPr>
          <w:p w14:paraId="6C5786BA">
            <w:pPr>
              <w:spacing w:line="240" w:lineRule="auto"/>
              <w:jc w:val="left"/>
              <w:rPr>
                <w:rFonts w:hint="eastAsia" w:ascii="宋体" w:hAnsi="宋体" w:eastAsia="宋体" w:cs="Times New Roman"/>
                <w:color w:val="auto"/>
                <w:sz w:val="21"/>
                <w:szCs w:val="21"/>
              </w:rPr>
            </w:pPr>
            <w:r>
              <w:rPr>
                <w:rFonts w:hint="eastAsia" w:ascii="宋体" w:hAnsi="宋体" w:eastAsia="宋体" w:cs="Times New Roman"/>
                <w:b/>
                <w:color w:val="auto"/>
                <w:sz w:val="21"/>
                <w:szCs w:val="21"/>
              </w:rPr>
              <w:t>课程思政目标：进一步</w:t>
            </w:r>
            <w:r>
              <w:rPr>
                <w:rFonts w:hint="eastAsia" w:ascii="宋体" w:hAnsi="宋体" w:eastAsia="宋体" w:cs="Times New Roman"/>
                <w:color w:val="auto"/>
                <w:sz w:val="21"/>
                <w:szCs w:val="21"/>
              </w:rPr>
              <w:t>巩固专业思想，增强社会责任感和教育情怀，养成虚心、严谨的学习态度，增强团队合作意识。</w:t>
            </w:r>
          </w:p>
        </w:tc>
      </w:tr>
    </w:tbl>
    <w:p w14:paraId="58343C03">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四、目标评价与成绩评定</w:t>
      </w:r>
    </w:p>
    <w:p w14:paraId="66EF1DA6">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7E514BFB">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247"/>
        <w:gridCol w:w="1247"/>
        <w:gridCol w:w="1248"/>
        <w:gridCol w:w="1247"/>
        <w:gridCol w:w="1248"/>
        <w:gridCol w:w="788"/>
      </w:tblGrid>
      <w:tr w14:paraId="221A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Merge w:val="restart"/>
            <w:vAlign w:val="center"/>
          </w:tcPr>
          <w:p w14:paraId="2844650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1247" w:type="dxa"/>
          </w:tcPr>
          <w:p w14:paraId="62E46B3F">
            <w:pPr>
              <w:spacing w:line="360" w:lineRule="auto"/>
              <w:jc w:val="center"/>
              <w:rPr>
                <w:rFonts w:hint="eastAsia" w:ascii="宋体" w:hAnsi="宋体" w:eastAsia="宋体" w:cs="Times New Roman"/>
                <w:color w:val="auto"/>
                <w:szCs w:val="21"/>
              </w:rPr>
            </w:pPr>
          </w:p>
        </w:tc>
        <w:tc>
          <w:tcPr>
            <w:tcW w:w="4990" w:type="dxa"/>
            <w:gridSpan w:val="4"/>
            <w:vAlign w:val="center"/>
          </w:tcPr>
          <w:p w14:paraId="6FF3487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788" w:type="dxa"/>
            <w:vMerge w:val="restart"/>
            <w:vAlign w:val="center"/>
          </w:tcPr>
          <w:p w14:paraId="632F213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44FB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71" w:type="dxa"/>
            <w:vMerge w:val="continue"/>
            <w:vAlign w:val="center"/>
          </w:tcPr>
          <w:p w14:paraId="630CCF5E">
            <w:pPr>
              <w:spacing w:line="360" w:lineRule="auto"/>
              <w:jc w:val="center"/>
              <w:rPr>
                <w:rFonts w:hint="eastAsia" w:ascii="宋体" w:hAnsi="宋体" w:eastAsia="宋体" w:cs="Times New Roman"/>
                <w:color w:val="auto"/>
                <w:szCs w:val="21"/>
              </w:rPr>
            </w:pPr>
          </w:p>
        </w:tc>
        <w:tc>
          <w:tcPr>
            <w:tcW w:w="1247" w:type="dxa"/>
            <w:vAlign w:val="center"/>
          </w:tcPr>
          <w:p w14:paraId="7D7C22D6">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教学实训</w:t>
            </w:r>
          </w:p>
          <w:p w14:paraId="1E5155D8">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态度</w:t>
            </w:r>
          </w:p>
        </w:tc>
        <w:tc>
          <w:tcPr>
            <w:tcW w:w="1247" w:type="dxa"/>
            <w:vAlign w:val="center"/>
          </w:tcPr>
          <w:p w14:paraId="3156FABD">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教学设计</w:t>
            </w:r>
          </w:p>
          <w:p w14:paraId="70DDF222">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实训</w:t>
            </w:r>
          </w:p>
        </w:tc>
        <w:tc>
          <w:tcPr>
            <w:tcW w:w="1248" w:type="dxa"/>
            <w:vAlign w:val="center"/>
          </w:tcPr>
          <w:p w14:paraId="0D9EFB84">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说课实训</w:t>
            </w:r>
          </w:p>
        </w:tc>
        <w:tc>
          <w:tcPr>
            <w:tcW w:w="1247" w:type="dxa"/>
            <w:vAlign w:val="center"/>
          </w:tcPr>
          <w:p w14:paraId="27239F7E">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课堂教学</w:t>
            </w:r>
          </w:p>
          <w:p w14:paraId="1CAA6284">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实训</w:t>
            </w:r>
          </w:p>
        </w:tc>
        <w:tc>
          <w:tcPr>
            <w:tcW w:w="1248" w:type="dxa"/>
            <w:vAlign w:val="center"/>
          </w:tcPr>
          <w:p w14:paraId="4F922F34">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教学实训</w:t>
            </w:r>
          </w:p>
          <w:p w14:paraId="3629C225">
            <w:pPr>
              <w:spacing w:line="24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成果汇报</w:t>
            </w:r>
          </w:p>
        </w:tc>
        <w:tc>
          <w:tcPr>
            <w:tcW w:w="788" w:type="dxa"/>
            <w:vMerge w:val="continue"/>
            <w:vAlign w:val="center"/>
          </w:tcPr>
          <w:p w14:paraId="7B09E0A0">
            <w:pPr>
              <w:spacing w:line="360" w:lineRule="auto"/>
              <w:jc w:val="center"/>
              <w:rPr>
                <w:rFonts w:hint="eastAsia" w:ascii="宋体" w:hAnsi="宋体" w:eastAsia="宋体" w:cs="Times New Roman"/>
                <w:color w:val="auto"/>
                <w:szCs w:val="21"/>
              </w:rPr>
            </w:pPr>
          </w:p>
        </w:tc>
      </w:tr>
      <w:tr w14:paraId="4ADC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271" w:type="dxa"/>
            <w:vAlign w:val="center"/>
          </w:tcPr>
          <w:p w14:paraId="7A18766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247" w:type="dxa"/>
            <w:vAlign w:val="center"/>
          </w:tcPr>
          <w:p w14:paraId="17847BA9">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47" w:type="dxa"/>
            <w:vAlign w:val="center"/>
          </w:tcPr>
          <w:p w14:paraId="5088B54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48" w:type="dxa"/>
            <w:vAlign w:val="center"/>
          </w:tcPr>
          <w:p w14:paraId="279EFEB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47" w:type="dxa"/>
            <w:vAlign w:val="center"/>
          </w:tcPr>
          <w:p w14:paraId="199EACD7">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48" w:type="dxa"/>
            <w:vAlign w:val="center"/>
          </w:tcPr>
          <w:p w14:paraId="77597F5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788" w:type="dxa"/>
            <w:vAlign w:val="center"/>
          </w:tcPr>
          <w:p w14:paraId="3F76C7C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40</w:t>
            </w:r>
          </w:p>
        </w:tc>
      </w:tr>
      <w:tr w14:paraId="0AB7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7529D9A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247" w:type="dxa"/>
            <w:vAlign w:val="center"/>
          </w:tcPr>
          <w:p w14:paraId="618FEC3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47" w:type="dxa"/>
            <w:vAlign w:val="center"/>
          </w:tcPr>
          <w:p w14:paraId="69656F9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48" w:type="dxa"/>
            <w:vAlign w:val="center"/>
          </w:tcPr>
          <w:p w14:paraId="7375DDF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47" w:type="dxa"/>
            <w:vAlign w:val="center"/>
          </w:tcPr>
          <w:p w14:paraId="0BD2750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48" w:type="dxa"/>
            <w:vAlign w:val="center"/>
          </w:tcPr>
          <w:p w14:paraId="23E13F7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788" w:type="dxa"/>
            <w:vAlign w:val="center"/>
          </w:tcPr>
          <w:p w14:paraId="134CF74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40</w:t>
            </w:r>
          </w:p>
        </w:tc>
      </w:tr>
      <w:tr w14:paraId="2476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4FD1594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1247" w:type="dxa"/>
            <w:vAlign w:val="center"/>
          </w:tcPr>
          <w:p w14:paraId="2D5B67E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47" w:type="dxa"/>
            <w:vAlign w:val="center"/>
          </w:tcPr>
          <w:p w14:paraId="26AD60E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48" w:type="dxa"/>
            <w:vAlign w:val="center"/>
          </w:tcPr>
          <w:p w14:paraId="646B7E4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47" w:type="dxa"/>
            <w:vAlign w:val="center"/>
          </w:tcPr>
          <w:p w14:paraId="0AD7FCA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248" w:type="dxa"/>
            <w:vAlign w:val="center"/>
          </w:tcPr>
          <w:p w14:paraId="1B0549F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788" w:type="dxa"/>
            <w:vAlign w:val="center"/>
          </w:tcPr>
          <w:p w14:paraId="34F48A9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20</w:t>
            </w:r>
          </w:p>
        </w:tc>
      </w:tr>
      <w:tr w14:paraId="658D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6E5D018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247" w:type="dxa"/>
            <w:vAlign w:val="center"/>
          </w:tcPr>
          <w:p w14:paraId="0110099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10</w:t>
            </w:r>
          </w:p>
        </w:tc>
        <w:tc>
          <w:tcPr>
            <w:tcW w:w="1247" w:type="dxa"/>
            <w:vAlign w:val="center"/>
          </w:tcPr>
          <w:p w14:paraId="5F4C70D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20</w:t>
            </w:r>
          </w:p>
        </w:tc>
        <w:tc>
          <w:tcPr>
            <w:tcW w:w="1248" w:type="dxa"/>
            <w:vAlign w:val="center"/>
          </w:tcPr>
          <w:p w14:paraId="1292E96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0</w:t>
            </w:r>
          </w:p>
        </w:tc>
        <w:tc>
          <w:tcPr>
            <w:tcW w:w="1247" w:type="dxa"/>
            <w:vAlign w:val="center"/>
          </w:tcPr>
          <w:p w14:paraId="2910601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0</w:t>
            </w:r>
          </w:p>
        </w:tc>
        <w:tc>
          <w:tcPr>
            <w:tcW w:w="1248" w:type="dxa"/>
            <w:vAlign w:val="center"/>
          </w:tcPr>
          <w:p w14:paraId="744440F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t>10</w:t>
            </w:r>
          </w:p>
        </w:tc>
        <w:tc>
          <w:tcPr>
            <w:tcW w:w="788" w:type="dxa"/>
            <w:vAlign w:val="center"/>
          </w:tcPr>
          <w:p w14:paraId="797DAE1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726775AB">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061A1676">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6525"/>
        <w:gridCol w:w="780"/>
      </w:tblGrid>
      <w:tr w14:paraId="78C8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46" w:type="dxa"/>
            <w:vAlign w:val="center"/>
          </w:tcPr>
          <w:p w14:paraId="7103C3A2">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525" w:type="dxa"/>
            <w:vAlign w:val="center"/>
          </w:tcPr>
          <w:p w14:paraId="3875209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780" w:type="dxa"/>
            <w:vAlign w:val="center"/>
          </w:tcPr>
          <w:p w14:paraId="00708C7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02BE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vAlign w:val="center"/>
          </w:tcPr>
          <w:p w14:paraId="04654489">
            <w:pPr>
              <w:snapToGrid w:val="0"/>
              <w:spacing w:line="276" w:lineRule="auto"/>
              <w:jc w:val="center"/>
              <w:rPr>
                <w:rFonts w:hint="eastAsia" w:ascii="宋体" w:hAnsi="宋体" w:eastAsia="宋体"/>
                <w:color w:val="auto"/>
                <w:szCs w:val="21"/>
              </w:rPr>
            </w:pPr>
            <w:r>
              <w:rPr>
                <w:rFonts w:hint="eastAsia" w:ascii="宋体" w:hAnsi="宋体" w:eastAsia="宋体"/>
                <w:color w:val="auto"/>
                <w:szCs w:val="21"/>
              </w:rPr>
              <w:t>教学实训</w:t>
            </w:r>
          </w:p>
          <w:p w14:paraId="3BE4D2A9">
            <w:pPr>
              <w:snapToGrid w:val="0"/>
              <w:spacing w:line="276" w:lineRule="auto"/>
              <w:jc w:val="center"/>
              <w:rPr>
                <w:rFonts w:hint="eastAsia" w:ascii="宋体" w:hAnsi="宋体" w:eastAsia="宋体"/>
                <w:color w:val="auto"/>
                <w:szCs w:val="21"/>
              </w:rPr>
            </w:pPr>
            <w:r>
              <w:rPr>
                <w:rFonts w:hint="eastAsia" w:ascii="宋体" w:hAnsi="宋体" w:eastAsia="宋体"/>
                <w:color w:val="auto"/>
                <w:szCs w:val="21"/>
              </w:rPr>
              <w:t>态度</w:t>
            </w:r>
          </w:p>
        </w:tc>
        <w:tc>
          <w:tcPr>
            <w:tcW w:w="6525" w:type="dxa"/>
            <w:tcBorders>
              <w:top w:val="single" w:color="auto" w:sz="4" w:space="0"/>
              <w:left w:val="single" w:color="auto" w:sz="4" w:space="0"/>
              <w:bottom w:val="single" w:color="auto" w:sz="4" w:space="0"/>
              <w:right w:val="single" w:color="auto" w:sz="4" w:space="0"/>
            </w:tcBorders>
            <w:vAlign w:val="center"/>
          </w:tcPr>
          <w:p w14:paraId="5472707D">
            <w:pPr>
              <w:snapToGrid w:val="0"/>
              <w:spacing w:line="276" w:lineRule="auto"/>
              <w:rPr>
                <w:rFonts w:hint="eastAsia" w:ascii="宋体" w:hAnsi="宋体" w:eastAsia="宋体"/>
                <w:color w:val="auto"/>
                <w:szCs w:val="21"/>
              </w:rPr>
            </w:pPr>
            <w:r>
              <w:rPr>
                <w:rFonts w:hint="eastAsia" w:ascii="宋体" w:hAnsi="宋体" w:eastAsia="宋体"/>
                <w:color w:val="auto"/>
                <w:szCs w:val="21"/>
              </w:rPr>
              <w:t>根据学生出勤情况及实训</w:t>
            </w:r>
            <w:r>
              <w:rPr>
                <w:rFonts w:ascii="宋体" w:hAnsi="宋体" w:eastAsia="宋体"/>
                <w:color w:val="auto"/>
                <w:szCs w:val="21"/>
              </w:rPr>
              <w:t>态度，</w:t>
            </w:r>
            <w:r>
              <w:rPr>
                <w:rFonts w:hint="eastAsia" w:ascii="宋体" w:hAnsi="宋体" w:eastAsia="宋体"/>
                <w:color w:val="auto"/>
                <w:szCs w:val="21"/>
              </w:rPr>
              <w:t>遵守学校教学常规制度，教学实训手册填写等进行评分。采取学生自主和教师评价相结合的方式。</w:t>
            </w:r>
          </w:p>
        </w:tc>
        <w:tc>
          <w:tcPr>
            <w:tcW w:w="780" w:type="dxa"/>
            <w:tcBorders>
              <w:top w:val="single" w:color="auto" w:sz="4" w:space="0"/>
              <w:left w:val="single" w:color="auto" w:sz="4" w:space="0"/>
              <w:bottom w:val="single" w:color="auto" w:sz="4" w:space="0"/>
              <w:right w:val="single" w:color="auto" w:sz="4" w:space="0"/>
            </w:tcBorders>
            <w:vAlign w:val="center"/>
          </w:tcPr>
          <w:p w14:paraId="4552561C">
            <w:pPr>
              <w:snapToGrid w:val="0"/>
              <w:spacing w:line="276" w:lineRule="auto"/>
              <w:jc w:val="center"/>
              <w:rPr>
                <w:rFonts w:hint="eastAsia" w:ascii="宋体" w:hAnsi="宋体" w:eastAsia="宋体"/>
                <w:color w:val="auto"/>
                <w:szCs w:val="21"/>
              </w:rPr>
            </w:pPr>
            <w:r>
              <w:rPr>
                <w:rFonts w:ascii="宋体" w:hAnsi="宋体" w:eastAsia="宋体"/>
                <w:color w:val="auto"/>
                <w:szCs w:val="21"/>
              </w:rPr>
              <w:t>10%</w:t>
            </w:r>
          </w:p>
        </w:tc>
      </w:tr>
      <w:tr w14:paraId="6C34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vAlign w:val="center"/>
          </w:tcPr>
          <w:p w14:paraId="7A3D3359">
            <w:pPr>
              <w:snapToGrid w:val="0"/>
              <w:spacing w:line="276" w:lineRule="auto"/>
              <w:jc w:val="center"/>
              <w:rPr>
                <w:rFonts w:hint="eastAsia" w:ascii="宋体" w:hAnsi="宋体" w:eastAsia="宋体"/>
                <w:color w:val="auto"/>
                <w:szCs w:val="21"/>
              </w:rPr>
            </w:pPr>
            <w:r>
              <w:rPr>
                <w:rFonts w:hint="eastAsia" w:ascii="宋体" w:hAnsi="宋体" w:eastAsia="宋体"/>
                <w:color w:val="auto"/>
                <w:szCs w:val="21"/>
              </w:rPr>
              <w:t>教学设计</w:t>
            </w:r>
          </w:p>
          <w:p w14:paraId="57303D86">
            <w:pPr>
              <w:snapToGrid w:val="0"/>
              <w:spacing w:line="276" w:lineRule="auto"/>
              <w:jc w:val="center"/>
              <w:rPr>
                <w:rFonts w:hint="eastAsia" w:ascii="宋体" w:hAnsi="宋体" w:eastAsia="宋体"/>
                <w:color w:val="auto"/>
                <w:szCs w:val="21"/>
              </w:rPr>
            </w:pPr>
            <w:r>
              <w:rPr>
                <w:rFonts w:hint="eastAsia" w:ascii="宋体" w:hAnsi="宋体" w:eastAsia="宋体"/>
                <w:color w:val="auto"/>
                <w:szCs w:val="21"/>
              </w:rPr>
              <w:t>实训</w:t>
            </w:r>
          </w:p>
        </w:tc>
        <w:tc>
          <w:tcPr>
            <w:tcW w:w="6525" w:type="dxa"/>
            <w:tcBorders>
              <w:top w:val="single" w:color="auto" w:sz="4" w:space="0"/>
              <w:left w:val="single" w:color="auto" w:sz="4" w:space="0"/>
              <w:bottom w:val="single" w:color="auto" w:sz="4" w:space="0"/>
              <w:right w:val="single" w:color="auto" w:sz="4" w:space="0"/>
            </w:tcBorders>
            <w:vAlign w:val="center"/>
          </w:tcPr>
          <w:p w14:paraId="70B51379">
            <w:pPr>
              <w:snapToGrid w:val="0"/>
              <w:spacing w:line="276" w:lineRule="auto"/>
              <w:rPr>
                <w:rFonts w:hint="eastAsia" w:ascii="宋体" w:hAnsi="宋体" w:eastAsia="宋体"/>
                <w:color w:val="auto"/>
                <w:szCs w:val="21"/>
              </w:rPr>
            </w:pPr>
            <w:r>
              <w:rPr>
                <w:rFonts w:hint="eastAsia" w:ascii="宋体" w:hAnsi="宋体" w:eastAsia="宋体"/>
                <w:color w:val="auto"/>
                <w:szCs w:val="21"/>
              </w:rPr>
              <w:t>根据教学方案、说课稿撰写情况进行评分。采取学生自主和教师评价相结合的方式。</w:t>
            </w:r>
          </w:p>
        </w:tc>
        <w:tc>
          <w:tcPr>
            <w:tcW w:w="780" w:type="dxa"/>
            <w:tcBorders>
              <w:top w:val="single" w:color="auto" w:sz="4" w:space="0"/>
              <w:left w:val="single" w:color="auto" w:sz="4" w:space="0"/>
              <w:bottom w:val="single" w:color="auto" w:sz="4" w:space="0"/>
              <w:right w:val="single" w:color="auto" w:sz="4" w:space="0"/>
            </w:tcBorders>
            <w:vAlign w:val="center"/>
          </w:tcPr>
          <w:p w14:paraId="6DB8F8F9">
            <w:pPr>
              <w:snapToGrid w:val="0"/>
              <w:spacing w:line="276" w:lineRule="auto"/>
              <w:jc w:val="center"/>
              <w:rPr>
                <w:rFonts w:hint="eastAsia" w:ascii="宋体" w:hAnsi="宋体" w:eastAsia="宋体"/>
                <w:color w:val="auto"/>
                <w:szCs w:val="21"/>
              </w:rPr>
            </w:pPr>
            <w:r>
              <w:rPr>
                <w:rFonts w:hint="eastAsia" w:ascii="宋体" w:hAnsi="宋体" w:eastAsia="宋体"/>
                <w:color w:val="auto"/>
                <w:szCs w:val="21"/>
              </w:rPr>
              <w:t>2</w:t>
            </w:r>
            <w:r>
              <w:rPr>
                <w:rFonts w:ascii="宋体" w:hAnsi="宋体" w:eastAsia="宋体"/>
                <w:color w:val="auto"/>
                <w:szCs w:val="21"/>
              </w:rPr>
              <w:t>0%</w:t>
            </w:r>
          </w:p>
        </w:tc>
      </w:tr>
      <w:tr w14:paraId="592C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vAlign w:val="center"/>
          </w:tcPr>
          <w:p w14:paraId="2F108AA1">
            <w:pPr>
              <w:snapToGrid w:val="0"/>
              <w:spacing w:line="276" w:lineRule="auto"/>
              <w:jc w:val="center"/>
              <w:rPr>
                <w:rFonts w:hint="eastAsia" w:ascii="宋体" w:hAnsi="宋体" w:eastAsia="宋体"/>
                <w:color w:val="auto"/>
                <w:szCs w:val="21"/>
              </w:rPr>
            </w:pPr>
            <w:r>
              <w:rPr>
                <w:rFonts w:hint="eastAsia" w:ascii="宋体" w:hAnsi="宋体" w:eastAsia="宋体"/>
                <w:color w:val="auto"/>
                <w:szCs w:val="21"/>
              </w:rPr>
              <w:t>说课实训</w:t>
            </w:r>
          </w:p>
        </w:tc>
        <w:tc>
          <w:tcPr>
            <w:tcW w:w="6525" w:type="dxa"/>
            <w:tcBorders>
              <w:top w:val="single" w:color="auto" w:sz="4" w:space="0"/>
              <w:left w:val="single" w:color="auto" w:sz="4" w:space="0"/>
              <w:bottom w:val="single" w:color="auto" w:sz="4" w:space="0"/>
              <w:right w:val="single" w:color="auto" w:sz="4" w:space="0"/>
            </w:tcBorders>
            <w:vAlign w:val="center"/>
          </w:tcPr>
          <w:p w14:paraId="28A30F71">
            <w:pPr>
              <w:snapToGrid w:val="0"/>
              <w:spacing w:line="276" w:lineRule="auto"/>
              <w:rPr>
                <w:rFonts w:hint="eastAsia" w:ascii="宋体" w:hAnsi="宋体" w:eastAsia="宋体"/>
                <w:color w:val="auto"/>
                <w:szCs w:val="21"/>
              </w:rPr>
            </w:pPr>
            <w:r>
              <w:rPr>
                <w:rFonts w:hint="eastAsia" w:ascii="宋体" w:hAnsi="宋体" w:eastAsia="宋体"/>
                <w:color w:val="auto"/>
                <w:szCs w:val="21"/>
              </w:rPr>
              <w:t>根据说课实际情况进行评分。采取学生自主和教师评价相结合的方式。</w:t>
            </w:r>
          </w:p>
        </w:tc>
        <w:tc>
          <w:tcPr>
            <w:tcW w:w="780" w:type="dxa"/>
            <w:tcBorders>
              <w:top w:val="single" w:color="auto" w:sz="4" w:space="0"/>
              <w:left w:val="single" w:color="auto" w:sz="4" w:space="0"/>
              <w:bottom w:val="single" w:color="auto" w:sz="4" w:space="0"/>
              <w:right w:val="single" w:color="auto" w:sz="4" w:space="0"/>
            </w:tcBorders>
            <w:vAlign w:val="center"/>
          </w:tcPr>
          <w:p w14:paraId="12942A6F">
            <w:pPr>
              <w:snapToGrid w:val="0"/>
              <w:spacing w:line="276" w:lineRule="auto"/>
              <w:jc w:val="center"/>
              <w:rPr>
                <w:rFonts w:hint="eastAsia" w:ascii="宋体" w:hAnsi="宋体" w:eastAsia="宋体"/>
                <w:color w:val="auto"/>
                <w:szCs w:val="21"/>
              </w:rPr>
            </w:pPr>
            <w:r>
              <w:rPr>
                <w:rFonts w:hint="eastAsia" w:ascii="宋体" w:hAnsi="宋体" w:eastAsia="宋体"/>
                <w:color w:val="auto"/>
                <w:szCs w:val="21"/>
              </w:rPr>
              <w:t>2</w:t>
            </w:r>
            <w:r>
              <w:rPr>
                <w:rFonts w:ascii="宋体" w:hAnsi="宋体" w:eastAsia="宋体"/>
                <w:color w:val="auto"/>
                <w:szCs w:val="21"/>
              </w:rPr>
              <w:t>0%</w:t>
            </w:r>
          </w:p>
        </w:tc>
      </w:tr>
      <w:tr w14:paraId="2077F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vAlign w:val="center"/>
          </w:tcPr>
          <w:p w14:paraId="4E2E7192">
            <w:pPr>
              <w:snapToGrid w:val="0"/>
              <w:spacing w:line="276" w:lineRule="auto"/>
              <w:jc w:val="center"/>
              <w:rPr>
                <w:rFonts w:hint="eastAsia" w:ascii="宋体" w:hAnsi="宋体" w:eastAsia="宋体"/>
                <w:color w:val="auto"/>
                <w:szCs w:val="21"/>
              </w:rPr>
            </w:pPr>
            <w:r>
              <w:rPr>
                <w:rFonts w:hint="eastAsia" w:ascii="宋体" w:hAnsi="宋体" w:eastAsia="宋体"/>
                <w:color w:val="auto"/>
                <w:szCs w:val="21"/>
              </w:rPr>
              <w:t>课堂教学</w:t>
            </w:r>
          </w:p>
          <w:p w14:paraId="2174865E">
            <w:pPr>
              <w:snapToGrid w:val="0"/>
              <w:spacing w:line="276" w:lineRule="auto"/>
              <w:jc w:val="center"/>
              <w:rPr>
                <w:rFonts w:hint="eastAsia" w:ascii="宋体" w:hAnsi="宋体" w:eastAsia="宋体"/>
                <w:color w:val="auto"/>
                <w:szCs w:val="21"/>
              </w:rPr>
            </w:pPr>
            <w:r>
              <w:rPr>
                <w:rFonts w:hint="eastAsia" w:ascii="宋体" w:hAnsi="宋体" w:eastAsia="宋体"/>
                <w:color w:val="auto"/>
                <w:szCs w:val="21"/>
              </w:rPr>
              <w:t>实训</w:t>
            </w:r>
          </w:p>
        </w:tc>
        <w:tc>
          <w:tcPr>
            <w:tcW w:w="6525" w:type="dxa"/>
            <w:tcBorders>
              <w:top w:val="single" w:color="auto" w:sz="4" w:space="0"/>
              <w:left w:val="single" w:color="auto" w:sz="4" w:space="0"/>
              <w:bottom w:val="single" w:color="auto" w:sz="4" w:space="0"/>
              <w:right w:val="single" w:color="auto" w:sz="4" w:space="0"/>
            </w:tcBorders>
            <w:vAlign w:val="center"/>
          </w:tcPr>
          <w:p w14:paraId="0E5387D0">
            <w:pPr>
              <w:snapToGrid w:val="0"/>
              <w:spacing w:line="276" w:lineRule="auto"/>
              <w:rPr>
                <w:rFonts w:hint="eastAsia" w:ascii="宋体" w:hAnsi="宋体" w:eastAsia="宋体"/>
                <w:color w:val="auto"/>
                <w:szCs w:val="21"/>
              </w:rPr>
            </w:pPr>
            <w:r>
              <w:rPr>
                <w:rFonts w:hint="eastAsia" w:ascii="宋体" w:hAnsi="宋体" w:eastAsia="宋体"/>
                <w:color w:val="auto"/>
                <w:szCs w:val="21"/>
              </w:rPr>
              <w:t>根据课堂教学（模拟教学）实际情况进行评分。采取学生自主和教师评价相结合的方式。</w:t>
            </w:r>
          </w:p>
        </w:tc>
        <w:tc>
          <w:tcPr>
            <w:tcW w:w="780" w:type="dxa"/>
            <w:tcBorders>
              <w:top w:val="single" w:color="auto" w:sz="4" w:space="0"/>
              <w:left w:val="single" w:color="auto" w:sz="4" w:space="0"/>
              <w:bottom w:val="single" w:color="auto" w:sz="4" w:space="0"/>
              <w:right w:val="single" w:color="auto" w:sz="4" w:space="0"/>
            </w:tcBorders>
            <w:vAlign w:val="center"/>
          </w:tcPr>
          <w:p w14:paraId="358DEADD">
            <w:pPr>
              <w:snapToGrid w:val="0"/>
              <w:spacing w:line="276" w:lineRule="auto"/>
              <w:jc w:val="center"/>
              <w:rPr>
                <w:rFonts w:hint="eastAsia" w:ascii="宋体" w:hAnsi="宋体" w:eastAsia="宋体"/>
                <w:color w:val="auto"/>
                <w:szCs w:val="21"/>
              </w:rPr>
            </w:pPr>
            <w:r>
              <w:rPr>
                <w:rFonts w:ascii="宋体" w:hAnsi="宋体" w:eastAsia="宋体"/>
                <w:color w:val="auto"/>
                <w:szCs w:val="21"/>
              </w:rPr>
              <w:t>40%</w:t>
            </w:r>
          </w:p>
        </w:tc>
      </w:tr>
      <w:tr w14:paraId="62CD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vAlign w:val="center"/>
          </w:tcPr>
          <w:p w14:paraId="3ACF3D9F">
            <w:pPr>
              <w:snapToGrid w:val="0"/>
              <w:spacing w:line="276" w:lineRule="auto"/>
              <w:jc w:val="center"/>
              <w:rPr>
                <w:rFonts w:hint="eastAsia" w:ascii="宋体" w:hAnsi="宋体" w:eastAsia="宋体"/>
                <w:color w:val="auto"/>
                <w:szCs w:val="21"/>
              </w:rPr>
            </w:pPr>
            <w:r>
              <w:rPr>
                <w:rFonts w:hint="eastAsia" w:ascii="宋体" w:hAnsi="宋体" w:eastAsia="宋体"/>
                <w:color w:val="auto"/>
                <w:szCs w:val="21"/>
              </w:rPr>
              <w:t>教学实训</w:t>
            </w:r>
          </w:p>
          <w:p w14:paraId="34873D86">
            <w:pPr>
              <w:snapToGrid w:val="0"/>
              <w:spacing w:line="276" w:lineRule="auto"/>
              <w:jc w:val="center"/>
              <w:rPr>
                <w:rFonts w:hint="eastAsia" w:ascii="宋体" w:hAnsi="宋体" w:eastAsia="宋体"/>
                <w:color w:val="auto"/>
                <w:szCs w:val="21"/>
              </w:rPr>
            </w:pPr>
            <w:r>
              <w:rPr>
                <w:rFonts w:hint="eastAsia" w:ascii="宋体" w:hAnsi="宋体" w:eastAsia="宋体"/>
                <w:color w:val="auto"/>
                <w:szCs w:val="21"/>
              </w:rPr>
              <w:t>成果汇报</w:t>
            </w:r>
          </w:p>
        </w:tc>
        <w:tc>
          <w:tcPr>
            <w:tcW w:w="6525" w:type="dxa"/>
            <w:tcBorders>
              <w:top w:val="single" w:color="auto" w:sz="4" w:space="0"/>
              <w:left w:val="single" w:color="auto" w:sz="4" w:space="0"/>
              <w:bottom w:val="single" w:color="auto" w:sz="4" w:space="0"/>
              <w:right w:val="single" w:color="auto" w:sz="4" w:space="0"/>
            </w:tcBorders>
            <w:vAlign w:val="center"/>
          </w:tcPr>
          <w:p w14:paraId="43501007">
            <w:pPr>
              <w:snapToGrid w:val="0"/>
              <w:spacing w:line="276" w:lineRule="auto"/>
              <w:rPr>
                <w:rFonts w:hint="eastAsia" w:ascii="宋体" w:hAnsi="宋体" w:eastAsia="宋体"/>
                <w:color w:val="auto"/>
                <w:szCs w:val="21"/>
              </w:rPr>
            </w:pPr>
            <w:r>
              <w:rPr>
                <w:rFonts w:hint="eastAsia" w:ascii="宋体" w:hAnsi="宋体" w:eastAsia="宋体"/>
                <w:color w:val="auto"/>
                <w:szCs w:val="21"/>
              </w:rPr>
              <w:t>根据学生的教学实训成果汇报情况进行评分。采取学生自主和教师评价相结合的方式。</w:t>
            </w:r>
          </w:p>
        </w:tc>
        <w:tc>
          <w:tcPr>
            <w:tcW w:w="780" w:type="dxa"/>
            <w:tcBorders>
              <w:top w:val="single" w:color="auto" w:sz="4" w:space="0"/>
              <w:left w:val="single" w:color="auto" w:sz="4" w:space="0"/>
              <w:bottom w:val="single" w:color="auto" w:sz="4" w:space="0"/>
              <w:right w:val="single" w:color="auto" w:sz="4" w:space="0"/>
            </w:tcBorders>
            <w:vAlign w:val="center"/>
          </w:tcPr>
          <w:p w14:paraId="7183A7EB">
            <w:pPr>
              <w:snapToGrid w:val="0"/>
              <w:spacing w:line="276" w:lineRule="auto"/>
              <w:jc w:val="center"/>
              <w:rPr>
                <w:rFonts w:hint="eastAsia" w:ascii="宋体" w:hAnsi="宋体" w:eastAsia="宋体"/>
                <w:color w:val="auto"/>
                <w:szCs w:val="21"/>
              </w:rPr>
            </w:pPr>
            <w:r>
              <w:rPr>
                <w:rFonts w:ascii="宋体" w:hAnsi="宋体" w:eastAsia="宋体"/>
                <w:color w:val="auto"/>
                <w:szCs w:val="21"/>
              </w:rPr>
              <w:t>10%</w:t>
            </w:r>
          </w:p>
        </w:tc>
      </w:tr>
      <w:tr w14:paraId="750B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46" w:type="dxa"/>
            <w:vAlign w:val="center"/>
          </w:tcPr>
          <w:p w14:paraId="0DED450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6525" w:type="dxa"/>
            <w:vAlign w:val="center"/>
          </w:tcPr>
          <w:p w14:paraId="627CC440">
            <w:pPr>
              <w:jc w:val="left"/>
              <w:rPr>
                <w:rFonts w:ascii="Times New Roman" w:hAnsi="Times New Roman" w:eastAsia="宋体" w:cs="Times New Roman"/>
                <w:color w:val="auto"/>
                <w:szCs w:val="21"/>
              </w:rPr>
            </w:pPr>
          </w:p>
        </w:tc>
        <w:tc>
          <w:tcPr>
            <w:tcW w:w="780" w:type="dxa"/>
            <w:vAlign w:val="center"/>
          </w:tcPr>
          <w:p w14:paraId="6781AE6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5AC57160">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639B4644">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720F8196">
      <w:pPr>
        <w:spacing w:before="156" w:beforeLines="50" w:line="360" w:lineRule="auto"/>
        <w:ind w:firstLine="420" w:firstLineChars="200"/>
        <w:jc w:val="left"/>
        <w:rPr>
          <w:rFonts w:hint="eastAsia" w:ascii="Times New Roman" w:hAnsi="Times New Roman" w:eastAsia="宋体" w:cs="Times New Roman"/>
          <w:b/>
          <w:color w:val="auto"/>
          <w:sz w:val="24"/>
          <w:szCs w:val="24"/>
        </w:rPr>
      </w:pPr>
      <w:r>
        <w:rPr>
          <w:rFonts w:ascii="宋体" w:hAnsi="宋体" w:eastAsia="宋体" w:cs="Times New Roman"/>
          <w:color w:val="auto"/>
          <w:szCs w:val="21"/>
        </w:rPr>
        <w:object>
          <v:shape id="_x0000_i1083"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83" DrawAspect="Content" ObjectID="_1468075782" r:id="rId69">
            <o:LockedField>false</o:LockedField>
          </o:OLEObject>
        </w:object>
      </w:r>
      <w:r>
        <w:rPr>
          <w:rFonts w:hint="eastAsia" w:ascii="Times New Roman" w:hAnsi="Times New Roman" w:eastAsia="宋体" w:cs="Times New Roman"/>
          <w:b/>
          <w:color w:val="auto"/>
          <w:sz w:val="24"/>
          <w:szCs w:val="24"/>
        </w:rPr>
        <w:t>五、课内实践</w:t>
      </w:r>
    </w:p>
    <w:p w14:paraId="57EB3AD9">
      <w:pPr>
        <w:spacing w:line="360" w:lineRule="auto"/>
        <w:ind w:firstLine="411" w:firstLineChars="196"/>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无</w:t>
      </w:r>
    </w:p>
    <w:p w14:paraId="763D6B46">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六、有关说明</w:t>
      </w:r>
    </w:p>
    <w:p w14:paraId="2D495178">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70C737F1">
      <w:pPr>
        <w:spacing w:line="360" w:lineRule="auto"/>
        <w:ind w:firstLine="525" w:firstLineChars="25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本课程根据学生实训情况、教学督导反馈等，及时对教学实训中的不足之处进行改进，并在下一轮课程实施中整改完善，确保相应毕业要求指标点达成。</w:t>
      </w:r>
    </w:p>
    <w:p w14:paraId="25BA001B">
      <w:pPr>
        <w:spacing w:line="360" w:lineRule="auto"/>
        <w:ind w:firstLine="527" w:firstLineChars="25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6BA2C07B">
      <w:pPr>
        <w:spacing w:line="360" w:lineRule="auto"/>
        <w:ind w:firstLine="525" w:firstLineChars="250"/>
        <w:jc w:val="left"/>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教学实训手册（自编）</w:t>
      </w:r>
    </w:p>
    <w:p w14:paraId="5DBF231F">
      <w:pPr>
        <w:spacing w:line="360" w:lineRule="auto"/>
        <w:ind w:firstLine="527" w:firstLineChars="25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08B34098">
      <w:pPr>
        <w:spacing w:line="360" w:lineRule="auto"/>
        <w:ind w:firstLine="525" w:firstLineChars="250"/>
        <w:jc w:val="left"/>
        <w:rPr>
          <w:rFonts w:hint="eastAsia" w:ascii="宋体" w:hAnsi="宋体" w:eastAsia="宋体" w:cs="Times New Roman"/>
          <w:color w:val="auto"/>
          <w:szCs w:val="21"/>
        </w:rPr>
      </w:pPr>
      <w:r>
        <w:rPr>
          <w:rFonts w:ascii="宋体" w:hAnsi="宋体" w:eastAsia="宋体" w:cs="Times New Roman"/>
          <w:color w:val="auto"/>
          <w:szCs w:val="21"/>
        </w:rPr>
        <w:t>1．相关学科课程标准</w:t>
      </w:r>
    </w:p>
    <w:p w14:paraId="5FC1C303">
      <w:pPr>
        <w:spacing w:line="360" w:lineRule="auto"/>
        <w:ind w:firstLine="525" w:firstLineChars="250"/>
        <w:jc w:val="left"/>
        <w:rPr>
          <w:rFonts w:hint="eastAsia" w:ascii="宋体" w:hAnsi="宋体" w:eastAsia="宋体" w:cs="Times New Roman"/>
          <w:color w:val="auto"/>
          <w:szCs w:val="21"/>
        </w:rPr>
      </w:pPr>
      <w:r>
        <w:rPr>
          <w:rFonts w:ascii="宋体" w:hAnsi="宋体" w:eastAsia="宋体" w:cs="Times New Roman"/>
          <w:color w:val="auto"/>
          <w:szCs w:val="21"/>
        </w:rPr>
        <w:t>2．相关学科小学各年级教材。</w:t>
      </w:r>
    </w:p>
    <w:p w14:paraId="276321FC">
      <w:pPr>
        <w:keepNext w:val="0"/>
        <w:keepLines w:val="0"/>
        <w:pageBreakBefore w:val="0"/>
        <w:widowControl w:val="0"/>
        <w:kinsoku/>
        <w:overflowPunct/>
        <w:topLinePunct w:val="0"/>
        <w:autoSpaceDE/>
        <w:autoSpaceDN/>
        <w:bidi w:val="0"/>
        <w:adjustRightInd/>
        <w:snapToGrid/>
        <w:spacing w:line="360" w:lineRule="auto"/>
        <w:ind w:right="0"/>
        <w:jc w:val="right"/>
        <w:textAlignment w:val="auto"/>
        <w:rPr>
          <w:color w:val="auto"/>
          <w:szCs w:val="21"/>
        </w:rPr>
      </w:pPr>
    </w:p>
    <w:p w14:paraId="211B767F">
      <w:pPr>
        <w:keepNext w:val="0"/>
        <w:keepLines w:val="0"/>
        <w:pageBreakBefore w:val="0"/>
        <w:widowControl w:val="0"/>
        <w:kinsoku/>
        <w:overflowPunct/>
        <w:topLinePunct w:val="0"/>
        <w:autoSpaceDE/>
        <w:autoSpaceDN/>
        <w:bidi w:val="0"/>
        <w:adjustRightInd/>
        <w:snapToGrid/>
        <w:spacing w:line="360" w:lineRule="auto"/>
        <w:ind w:right="0" w:firstLine="4200" w:firstLineChars="2000"/>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执 笔 人：谢国忠</w:t>
      </w:r>
    </w:p>
    <w:p w14:paraId="359DB796">
      <w:pPr>
        <w:keepNext w:val="0"/>
        <w:keepLines w:val="0"/>
        <w:pageBreakBefore w:val="0"/>
        <w:widowControl w:val="0"/>
        <w:kinsoku/>
        <w:wordWrap w:val="0"/>
        <w:overflowPunct/>
        <w:topLinePunct w:val="0"/>
        <w:autoSpaceDE/>
        <w:autoSpaceDN/>
        <w:bidi w:val="0"/>
        <w:adjustRightInd/>
        <w:snapToGrid/>
        <w:spacing w:line="360" w:lineRule="auto"/>
        <w:ind w:right="0" w:firstLine="4200" w:firstLineChars="2000"/>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定 人：王</w:t>
      </w:r>
      <w:r>
        <w:rPr>
          <w:rFonts w:hint="eastAsia"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rPr>
        <w:t xml:space="preserve"> 健</w:t>
      </w:r>
    </w:p>
    <w:p w14:paraId="7E98B9F9">
      <w:pPr>
        <w:keepNext w:val="0"/>
        <w:keepLines w:val="0"/>
        <w:pageBreakBefore w:val="0"/>
        <w:widowControl w:val="0"/>
        <w:kinsoku/>
        <w:overflowPunct/>
        <w:topLinePunct w:val="0"/>
        <w:autoSpaceDE/>
        <w:autoSpaceDN/>
        <w:bidi w:val="0"/>
        <w:adjustRightInd/>
        <w:snapToGrid/>
        <w:spacing w:line="360" w:lineRule="auto"/>
        <w:ind w:right="0" w:firstLine="4200" w:firstLineChars="2000"/>
        <w:jc w:val="righ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审 批 人：</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张志欣</w:t>
      </w:r>
    </w:p>
    <w:p w14:paraId="44238669">
      <w:pPr>
        <w:keepNext w:val="0"/>
        <w:keepLines w:val="0"/>
        <w:pageBreakBefore w:val="0"/>
        <w:widowControl w:val="0"/>
        <w:kinsoku/>
        <w:overflowPunct/>
        <w:topLinePunct w:val="0"/>
        <w:autoSpaceDE/>
        <w:autoSpaceDN/>
        <w:bidi w:val="0"/>
        <w:adjustRightInd/>
        <w:snapToGrid/>
        <w:spacing w:line="360" w:lineRule="auto"/>
        <w:ind w:right="0" w:firstLine="3780" w:firstLineChars="1800"/>
        <w:jc w:val="right"/>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批准时间：2025年7月1日</w:t>
      </w:r>
    </w:p>
    <w:p w14:paraId="21E834DA">
      <w:pPr>
        <w:rPr>
          <w:rFonts w:ascii="Times New Roman" w:hAnsi="Times New Roman" w:eastAsia="宋体" w:cs="Times New Roman"/>
          <w:color w:val="auto"/>
          <w:szCs w:val="21"/>
        </w:rPr>
      </w:pPr>
      <w:r>
        <w:rPr>
          <w:rFonts w:ascii="Times New Roman" w:hAnsi="Times New Roman" w:eastAsia="宋体" w:cs="Times New Roman"/>
          <w:color w:val="auto"/>
          <w:szCs w:val="21"/>
        </w:rPr>
        <w:br w:type="page"/>
      </w:r>
    </w:p>
    <w:p w14:paraId="64404657">
      <w:pPr>
        <w:spacing w:line="360" w:lineRule="auto"/>
        <w:jc w:val="center"/>
        <w:outlineLvl w:val="0"/>
        <w:rPr>
          <w:color w:val="auto"/>
        </w:rPr>
      </w:pPr>
      <w:bookmarkStart w:id="457" w:name="_Toc7407"/>
      <w:bookmarkStart w:id="458" w:name="_Toc5191"/>
      <w:bookmarkStart w:id="459" w:name="_Toc57017212"/>
      <w:bookmarkStart w:id="460" w:name="_Toc88340369"/>
      <w:r>
        <w:rPr>
          <w:rFonts w:hint="eastAsia" w:ascii="Times New Roman" w:hAnsi="Times New Roman" w:eastAsia="宋体" w:cs="Times New Roman"/>
          <w:b/>
          <w:color w:val="auto"/>
          <w:sz w:val="44"/>
          <w:szCs w:val="44"/>
        </w:rPr>
        <w:t>《教育实习I》课程教学大纲</w:t>
      </w:r>
      <w:bookmarkEnd w:id="457"/>
      <w:bookmarkEnd w:id="458"/>
    </w:p>
    <w:p w14:paraId="10D76BD3">
      <w:pPr>
        <w:spacing w:line="360" w:lineRule="auto"/>
        <w:jc w:val="center"/>
        <w:rPr>
          <w:rFonts w:ascii="Times New Roman" w:hAnsi="Times New Roman" w:eastAsia="宋体" w:cs="Times New Roman"/>
          <w:bCs/>
          <w:color w:val="auto"/>
          <w:sz w:val="30"/>
          <w:szCs w:val="30"/>
        </w:rPr>
      </w:pPr>
      <w:r>
        <w:rPr>
          <w:rFonts w:hint="eastAsia" w:ascii="Times New Roman" w:hAnsi="Times New Roman" w:eastAsia="宋体" w:cs="Times New Roman"/>
          <w:b/>
          <w:bCs/>
          <w:color w:val="auto"/>
          <w:sz w:val="28"/>
          <w:szCs w:val="28"/>
        </w:rPr>
        <w:t>（Educational Practice I）</w:t>
      </w:r>
    </w:p>
    <w:p w14:paraId="63E72A33">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课程名称：教育实习I</w:t>
      </w:r>
    </w:p>
    <w:p w14:paraId="364ACCA8">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课程代码：2401050</w:t>
      </w:r>
    </w:p>
    <w:p w14:paraId="6E9A129C">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学    分：2</w:t>
      </w:r>
    </w:p>
    <w:p w14:paraId="27C8D2C0">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学    时：4周</w:t>
      </w:r>
    </w:p>
    <w:p w14:paraId="5E49CEC3">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先修课程：小学心理学、教育原理、中国教育史、书写技能、普通话训练、课程与教学论、教育心理学、认知实习、教育见习等。</w:t>
      </w:r>
    </w:p>
    <w:p w14:paraId="508E05D3">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适用专业：小学教育</w:t>
      </w:r>
    </w:p>
    <w:p w14:paraId="6AD99AF5">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一、课程简介</w:t>
      </w:r>
    </w:p>
    <w:p w14:paraId="391A9606">
      <w:pPr>
        <w:spacing w:before="156" w:beforeLines="50"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教育实习Ⅰ是小学教育专业重要的实践性环节。本课程旨在为师范生提供将教育理论转化为教育实践的平台。学生在教育实习活动中巩固和加深对教育教学理论知识的理解，磨练专业技能，形成良好的师生观念与教学观念，深厚从事教师职业的情感，初步具有独立从事教育、教学工作和教育科学研究的能力，完成由师范生向一名准教师的转变。</w:t>
      </w:r>
    </w:p>
    <w:p w14:paraId="4BFA491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rPr>
      </w:pPr>
      <w:r>
        <w:rPr>
          <w:rFonts w:hint="eastAsia" w:ascii="Times New Roman" w:hAnsi="Times New Roman" w:eastAsia="宋体" w:cs="Times New Roman"/>
          <w:b/>
          <w:bCs/>
          <w:color w:val="auto"/>
          <w:sz w:val="24"/>
          <w:szCs w:val="24"/>
        </w:rPr>
        <w:t>二</w:t>
      </w:r>
      <w:r>
        <w:rPr>
          <w:rFonts w:hint="eastAsia" w:ascii="Times New Roman" w:hAnsi="Times New Roman" w:eastAsia="宋体" w:cs="Times New Roman"/>
          <w:b/>
          <w:color w:val="auto"/>
          <w:sz w:val="24"/>
          <w:szCs w:val="24"/>
        </w:rPr>
        <w:t>、课程目标</w:t>
      </w:r>
    </w:p>
    <w:p w14:paraId="5BD38459">
      <w:pPr>
        <w:spacing w:line="360" w:lineRule="auto"/>
        <w:ind w:firstLine="422" w:firstLineChars="200"/>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（一）课程具体目标</w:t>
      </w:r>
    </w:p>
    <w:p w14:paraId="5C89279E">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目标1. 在实践中增进对儿童的认识，体验和感受教师职业的光荣感和责任感；接受职业道德教育和训练，自觉加强师德修养，养成和坚定献身小学教育事业的专业信念。</w:t>
      </w:r>
    </w:p>
    <w:p w14:paraId="14C1B7B6">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目标2. 通过课堂教学实习，获得对教育实践情境的认知，将在理论课程中习得的文化科学知识、教育理论知识与实践相融合；进一步理解学科核心素养和学科课程独特的育人功能，在开展教学设计、教学实施、教学评价、教学反思的过程中，提升教育实践能力、学科育人能力和教学研究能力。</w:t>
      </w:r>
    </w:p>
    <w:p w14:paraId="66B17664">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目标3. 通过班队工作实习，进一步体会文化、活动的育人价值，加深理解和综合运用小学班队组织与建设的工作规律与方法，学会处理日常教育教学工作中的突发性事件，具备独立从事班级管理的实践能力。</w:t>
      </w:r>
    </w:p>
    <w:p w14:paraId="4117B9C9">
      <w:pPr>
        <w:spacing w:line="360" w:lineRule="auto"/>
        <w:ind w:firstLine="420" w:firstLineChars="200"/>
        <w:rPr>
          <w:rFonts w:ascii="Times New Roman" w:hAnsi="Times New Roman" w:eastAsia="宋体" w:cs="Times New Roman"/>
          <w:b/>
          <w:bCs/>
          <w:color w:val="auto"/>
          <w:szCs w:val="21"/>
        </w:rPr>
      </w:pPr>
      <w:r>
        <w:rPr>
          <w:rFonts w:hint="eastAsia" w:ascii="Times New Roman" w:hAnsi="Times New Roman" w:eastAsia="宋体" w:cs="Times New Roman"/>
          <w:color w:val="auto"/>
          <w:szCs w:val="21"/>
        </w:rPr>
        <w:t>目标4.了解学校的文化建构、课程设置、教师日常工作的基本流程，认真观察并记录实习学校中有关的教育教学现象，并有针对性的结合相关理论进行反思，习得与教师、学生、家长进行有效沟通技能和方法。</w:t>
      </w:r>
    </w:p>
    <w:p w14:paraId="463F3D98">
      <w:pPr>
        <w:numPr>
          <w:ilvl w:val="0"/>
          <w:numId w:val="40"/>
        </w:numPr>
        <w:spacing w:line="360" w:lineRule="auto"/>
        <w:ind w:firstLine="482" w:firstLineChars="200"/>
        <w:rPr>
          <w:rFonts w:ascii="Times New Roman" w:hAnsi="Times New Roman" w:eastAsia="宋体" w:cs="Times New Roman"/>
          <w:b/>
          <w:bCs/>
          <w:color w:val="auto"/>
          <w:sz w:val="24"/>
          <w:szCs w:val="28"/>
        </w:rPr>
      </w:pPr>
      <w:r>
        <w:rPr>
          <w:rFonts w:hint="eastAsia" w:ascii="Times New Roman" w:hAnsi="Times New Roman" w:eastAsia="宋体" w:cs="Times New Roman"/>
          <w:b/>
          <w:bCs/>
          <w:color w:val="auto"/>
          <w:sz w:val="24"/>
          <w:szCs w:val="28"/>
        </w:rPr>
        <w:t>课程目标与专业毕业要求的关系</w:t>
      </w:r>
    </w:p>
    <w:tbl>
      <w:tblPr>
        <w:tblStyle w:val="15"/>
        <w:tblW w:w="89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6242"/>
        <w:gridCol w:w="1286"/>
      </w:tblGrid>
      <w:tr w14:paraId="1ECD05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20" w:type="dxa"/>
            <w:vAlign w:val="center"/>
          </w:tcPr>
          <w:p w14:paraId="032AC770">
            <w:pPr>
              <w:adjustRightInd w:val="0"/>
              <w:snapToGrid w:val="0"/>
              <w:spacing w:line="276"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毕业要求</w:t>
            </w:r>
          </w:p>
        </w:tc>
        <w:tc>
          <w:tcPr>
            <w:tcW w:w="6242" w:type="dxa"/>
            <w:vAlign w:val="center"/>
          </w:tcPr>
          <w:p w14:paraId="1B31D7A6">
            <w:pPr>
              <w:adjustRightInd w:val="0"/>
              <w:snapToGrid w:val="0"/>
              <w:spacing w:line="276"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毕业要求指标点</w:t>
            </w:r>
          </w:p>
        </w:tc>
        <w:tc>
          <w:tcPr>
            <w:tcW w:w="1286" w:type="dxa"/>
            <w:vAlign w:val="center"/>
          </w:tcPr>
          <w:p w14:paraId="622ACB7B">
            <w:pPr>
              <w:adjustRightInd w:val="0"/>
              <w:snapToGrid w:val="0"/>
              <w:spacing w:line="276" w:lineRule="auto"/>
              <w:rPr>
                <w:rFonts w:hint="eastAsia" w:ascii="宋体" w:hAnsi="宋体" w:eastAsia="宋体" w:cs="Times New Roman"/>
                <w:b/>
                <w:bCs/>
                <w:color w:val="auto"/>
                <w:szCs w:val="21"/>
              </w:rPr>
            </w:pPr>
            <w:r>
              <w:rPr>
                <w:rFonts w:hint="eastAsia" w:ascii="宋体" w:hAnsi="宋体" w:eastAsia="宋体" w:cs="Times New Roman"/>
                <w:b/>
                <w:bCs/>
                <w:color w:val="auto"/>
                <w:szCs w:val="21"/>
              </w:rPr>
              <w:t>课程目标</w:t>
            </w:r>
          </w:p>
        </w:tc>
      </w:tr>
      <w:tr w14:paraId="149651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20" w:type="dxa"/>
            <w:vAlign w:val="center"/>
          </w:tcPr>
          <w:p w14:paraId="3A645454">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毕业要求1</w:t>
            </w:r>
          </w:p>
          <w:p w14:paraId="3603DF9A">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师德规范</w:t>
            </w:r>
          </w:p>
        </w:tc>
        <w:tc>
          <w:tcPr>
            <w:tcW w:w="6242" w:type="dxa"/>
            <w:vAlign w:val="center"/>
          </w:tcPr>
          <w:p w14:paraId="4DA5DC8E">
            <w:pPr>
              <w:adjustRightInd w:val="0"/>
              <w:snapToGrid w:val="0"/>
              <w:spacing w:line="276" w:lineRule="auto"/>
              <w:rPr>
                <w:rFonts w:hint="eastAsia" w:ascii="宋体" w:hAnsi="宋体" w:cs="宋体" w:eastAsiaTheme="minorEastAsia"/>
                <w:color w:val="auto"/>
                <w:szCs w:val="21"/>
                <w:lang w:eastAsia="zh-CN"/>
              </w:rPr>
            </w:pPr>
            <w:r>
              <w:rPr>
                <w:rFonts w:hint="eastAsia" w:ascii="宋体" w:hAnsi="宋体" w:cs="宋体"/>
                <w:color w:val="auto"/>
                <w:szCs w:val="21"/>
                <w:lang w:eastAsia="zh-CN"/>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286" w:type="dxa"/>
            <w:vAlign w:val="center"/>
          </w:tcPr>
          <w:p w14:paraId="6F0B039B">
            <w:pPr>
              <w:adjustRightInd w:val="0"/>
              <w:snapToGrid w:val="0"/>
              <w:spacing w:line="276" w:lineRule="auto"/>
              <w:jc w:val="left"/>
              <w:rPr>
                <w:rFonts w:hint="eastAsia" w:ascii="宋体" w:hAnsi="宋体" w:eastAsia="宋体" w:cs="Times New Roman"/>
                <w:color w:val="auto"/>
                <w:spacing w:val="2"/>
                <w:kern w:val="0"/>
                <w:szCs w:val="21"/>
              </w:rPr>
            </w:pPr>
            <w:r>
              <w:rPr>
                <w:rFonts w:hint="eastAsia" w:ascii="宋体" w:hAnsi="宋体" w:eastAsia="宋体" w:cs="Times New Roman"/>
                <w:color w:val="auto"/>
                <w:spacing w:val="2"/>
                <w:kern w:val="0"/>
                <w:szCs w:val="21"/>
              </w:rPr>
              <w:t>课程目标1</w:t>
            </w:r>
          </w:p>
        </w:tc>
      </w:tr>
      <w:tr w14:paraId="5F736B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20" w:type="dxa"/>
            <w:vAlign w:val="center"/>
          </w:tcPr>
          <w:p w14:paraId="65B660DA">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毕业要求2</w:t>
            </w:r>
          </w:p>
          <w:p w14:paraId="20AE7C0A">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教育情怀</w:t>
            </w:r>
          </w:p>
        </w:tc>
        <w:tc>
          <w:tcPr>
            <w:tcW w:w="6242" w:type="dxa"/>
            <w:vAlign w:val="center"/>
          </w:tcPr>
          <w:p w14:paraId="60D9543D">
            <w:pPr>
              <w:adjustRightInd w:val="0"/>
              <w:snapToGrid w:val="0"/>
              <w:spacing w:line="276" w:lineRule="auto"/>
              <w:rPr>
                <w:rFonts w:hint="eastAsia" w:ascii="宋体" w:hAnsi="宋体" w:cs="宋体"/>
                <w:color w:val="auto"/>
                <w:szCs w:val="21"/>
              </w:rPr>
            </w:pPr>
            <w:r>
              <w:rPr>
                <w:rFonts w:hint="eastAsia" w:ascii="宋体" w:hAnsi="宋体" w:cs="宋体"/>
                <w:color w:val="auto"/>
                <w:kern w:val="0"/>
                <w:szCs w:val="21"/>
              </w:rPr>
              <w:t>指标点</w:t>
            </w:r>
            <w:r>
              <w:rPr>
                <w:rFonts w:hint="eastAsia" w:ascii="宋体" w:hAnsi="宋体" w:cs="宋体"/>
                <w:color w:val="auto"/>
                <w:szCs w:val="21"/>
              </w:rPr>
              <w:t>2-2：【仁爱之心深厚】关爱学生，用心从教。具有正确的儿童观，理解、尊重、关爱、保护学生，以儿童发展为教育的中心。爱岗敬业，在教育实践中能认真履行教育教学职责与班主任工作职责，富有爱心、责任心、工作细心、耐心</w:t>
            </w:r>
            <w:r>
              <w:rPr>
                <w:rFonts w:hint="eastAsia" w:cs="宋体"/>
                <w:color w:val="auto"/>
                <w:szCs w:val="21"/>
              </w:rPr>
              <w:t>，</w:t>
            </w:r>
            <w:r>
              <w:rPr>
                <w:rFonts w:hint="eastAsia" w:cs="宋体"/>
                <w:color w:val="auto"/>
                <w:kern w:val="0"/>
                <w:sz w:val="20"/>
                <w:szCs w:val="20"/>
                <w:lang w:bidi="ar"/>
              </w:rPr>
              <w:t>立志成为</w:t>
            </w:r>
            <w:r>
              <w:rPr>
                <w:rFonts w:hint="eastAsia" w:ascii="宋体" w:hAnsi="宋体" w:cs="宋体"/>
                <w:color w:val="auto"/>
                <w:kern w:val="0"/>
                <w:sz w:val="20"/>
                <w:szCs w:val="20"/>
                <w:lang w:bidi="ar"/>
              </w:rPr>
              <w:t>学生学习的促进者、道德品质和创新思维的培养者，奉献祖国的引路人</w:t>
            </w:r>
            <w:r>
              <w:rPr>
                <w:rFonts w:hint="eastAsia" w:cs="宋体"/>
                <w:color w:val="auto"/>
                <w:kern w:val="0"/>
                <w:sz w:val="20"/>
                <w:szCs w:val="20"/>
                <w:lang w:bidi="ar"/>
              </w:rPr>
              <w:t>。</w:t>
            </w:r>
          </w:p>
        </w:tc>
        <w:tc>
          <w:tcPr>
            <w:tcW w:w="1286" w:type="dxa"/>
            <w:vAlign w:val="center"/>
          </w:tcPr>
          <w:p w14:paraId="0C818261">
            <w:pPr>
              <w:adjustRightInd w:val="0"/>
              <w:snapToGrid w:val="0"/>
              <w:spacing w:line="276" w:lineRule="auto"/>
              <w:jc w:val="left"/>
              <w:rPr>
                <w:rFonts w:hint="eastAsia" w:ascii="宋体" w:hAnsi="宋体" w:eastAsia="宋体" w:cs="Times New Roman"/>
                <w:color w:val="auto"/>
                <w:spacing w:val="2"/>
                <w:kern w:val="0"/>
                <w:szCs w:val="21"/>
              </w:rPr>
            </w:pPr>
            <w:r>
              <w:rPr>
                <w:rFonts w:hint="eastAsia" w:ascii="宋体" w:hAnsi="宋体" w:eastAsia="宋体" w:cs="Times New Roman"/>
                <w:color w:val="auto"/>
                <w:spacing w:val="2"/>
                <w:kern w:val="0"/>
                <w:szCs w:val="21"/>
              </w:rPr>
              <w:t>课程目标1</w:t>
            </w:r>
          </w:p>
        </w:tc>
      </w:tr>
      <w:tr w14:paraId="602859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420" w:type="dxa"/>
            <w:vMerge w:val="restart"/>
            <w:shd w:val="clear" w:color="auto" w:fill="auto"/>
            <w:vAlign w:val="center"/>
          </w:tcPr>
          <w:p w14:paraId="69DDB053">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毕业要求4</w:t>
            </w:r>
          </w:p>
          <w:p w14:paraId="78C2569C">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教学能力</w:t>
            </w:r>
          </w:p>
        </w:tc>
        <w:tc>
          <w:tcPr>
            <w:tcW w:w="6242" w:type="dxa"/>
            <w:shd w:val="clear" w:color="auto" w:fill="auto"/>
            <w:vAlign w:val="center"/>
          </w:tcPr>
          <w:p w14:paraId="3CFE036A">
            <w:pPr>
              <w:adjustRightInd w:val="0"/>
              <w:snapToGrid w:val="0"/>
              <w:spacing w:line="276" w:lineRule="auto"/>
              <w:rPr>
                <w:rFonts w:hint="eastAsia"/>
                <w:color w:val="auto"/>
                <w:szCs w:val="21"/>
              </w:rPr>
            </w:pPr>
            <w:r>
              <w:rPr>
                <w:rFonts w:hint="eastAsia"/>
                <w:color w:val="auto"/>
                <w:kern w:val="0"/>
                <w:szCs w:val="21"/>
              </w:rPr>
              <w:t>指标点4-2：【教学实施与评价科学】掌握小学教师基本功技能，包括书写技能、沟通与表达技能、信息技术运用技能等。获得全面的小学教学体验，掌握学科教学的基本方法与策略，能独立进行教学设计、实施和评价。</w:t>
            </w:r>
          </w:p>
        </w:tc>
        <w:tc>
          <w:tcPr>
            <w:tcW w:w="1286" w:type="dxa"/>
            <w:vMerge w:val="restart"/>
            <w:shd w:val="clear" w:color="auto" w:fill="auto"/>
            <w:vAlign w:val="center"/>
          </w:tcPr>
          <w:p w14:paraId="77D5CD0D">
            <w:pPr>
              <w:adjustRightInd w:val="0"/>
              <w:snapToGrid w:val="0"/>
              <w:spacing w:line="276" w:lineRule="auto"/>
              <w:jc w:val="left"/>
              <w:rPr>
                <w:rFonts w:hint="eastAsia" w:ascii="宋体" w:hAnsi="宋体" w:eastAsia="宋体" w:cs="Times New Roman"/>
                <w:color w:val="auto"/>
                <w:spacing w:val="2"/>
                <w:kern w:val="0"/>
                <w:szCs w:val="21"/>
              </w:rPr>
            </w:pPr>
            <w:r>
              <w:rPr>
                <w:rFonts w:hint="eastAsia" w:ascii="宋体" w:hAnsi="宋体" w:eastAsia="宋体" w:cs="Times New Roman"/>
                <w:color w:val="auto"/>
                <w:spacing w:val="2"/>
                <w:kern w:val="0"/>
                <w:szCs w:val="21"/>
              </w:rPr>
              <w:t>课程目标2</w:t>
            </w:r>
          </w:p>
        </w:tc>
      </w:tr>
      <w:tr w14:paraId="150CD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420" w:type="dxa"/>
            <w:vMerge w:val="continue"/>
            <w:shd w:val="clear" w:color="auto" w:fill="auto"/>
            <w:vAlign w:val="center"/>
          </w:tcPr>
          <w:p w14:paraId="29B6C088">
            <w:pPr>
              <w:adjustRightInd w:val="0"/>
              <w:snapToGrid w:val="0"/>
              <w:spacing w:line="276" w:lineRule="auto"/>
              <w:jc w:val="center"/>
              <w:rPr>
                <w:rFonts w:hint="eastAsia" w:ascii="宋体" w:hAnsi="宋体" w:eastAsia="宋体" w:cs="宋体"/>
                <w:b/>
                <w:color w:val="auto"/>
                <w:szCs w:val="21"/>
              </w:rPr>
            </w:pPr>
          </w:p>
        </w:tc>
        <w:tc>
          <w:tcPr>
            <w:tcW w:w="6242" w:type="dxa"/>
            <w:shd w:val="clear" w:color="auto" w:fill="auto"/>
            <w:vAlign w:val="center"/>
          </w:tcPr>
          <w:p w14:paraId="6304EC7C">
            <w:pPr>
              <w:adjustRightInd w:val="0"/>
              <w:snapToGrid w:val="0"/>
              <w:spacing w:line="276" w:lineRule="auto"/>
              <w:rPr>
                <w:rFonts w:hint="eastAsia"/>
                <w:color w:val="auto"/>
                <w:szCs w:val="21"/>
              </w:rPr>
            </w:pPr>
            <w:r>
              <w:rPr>
                <w:color w:val="auto"/>
                <w:kern w:val="0"/>
                <w:szCs w:val="21"/>
              </w:rPr>
              <w:t>指标</w:t>
            </w:r>
            <w:r>
              <w:rPr>
                <w:rFonts w:hint="eastAsia" w:ascii="宋体" w:hAnsi="宋体" w:eastAsia="宋体" w:cs="Times New Roman"/>
                <w:color w:val="auto"/>
                <w:szCs w:val="21"/>
              </w:rPr>
              <w:t>点4-3：</w:t>
            </w:r>
            <w:r>
              <w:rPr>
                <w:color w:val="auto"/>
                <w:szCs w:val="21"/>
              </w:rPr>
              <w:t>【具备教育研究能力】掌握教育研究的基本方法，结合小学教育教学实践进行研究，具有一定的教学研究能力。</w:t>
            </w:r>
          </w:p>
        </w:tc>
        <w:tc>
          <w:tcPr>
            <w:tcW w:w="1286" w:type="dxa"/>
            <w:vMerge w:val="continue"/>
            <w:shd w:val="clear" w:color="auto" w:fill="auto"/>
            <w:vAlign w:val="center"/>
          </w:tcPr>
          <w:p w14:paraId="4EF12B09">
            <w:pPr>
              <w:adjustRightInd w:val="0"/>
              <w:snapToGrid w:val="0"/>
              <w:spacing w:line="276" w:lineRule="auto"/>
              <w:jc w:val="left"/>
              <w:rPr>
                <w:rFonts w:hint="eastAsia" w:ascii="宋体" w:hAnsi="宋体" w:eastAsia="宋体" w:cs="Times New Roman"/>
                <w:color w:val="auto"/>
                <w:spacing w:val="2"/>
                <w:kern w:val="0"/>
                <w:szCs w:val="21"/>
              </w:rPr>
            </w:pPr>
          </w:p>
        </w:tc>
      </w:tr>
      <w:tr w14:paraId="6835E2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420" w:type="dxa"/>
            <w:vMerge w:val="continue"/>
            <w:shd w:val="clear" w:color="auto" w:fill="auto"/>
            <w:vAlign w:val="center"/>
          </w:tcPr>
          <w:p w14:paraId="28C2A3E3">
            <w:pPr>
              <w:adjustRightInd w:val="0"/>
              <w:snapToGrid w:val="0"/>
              <w:spacing w:line="276" w:lineRule="auto"/>
              <w:jc w:val="center"/>
              <w:rPr>
                <w:rFonts w:hint="eastAsia" w:ascii="宋体" w:hAnsi="宋体" w:eastAsia="宋体" w:cs="宋体"/>
                <w:b/>
                <w:color w:val="auto"/>
                <w:szCs w:val="21"/>
              </w:rPr>
            </w:pPr>
          </w:p>
        </w:tc>
        <w:tc>
          <w:tcPr>
            <w:tcW w:w="6242" w:type="dxa"/>
            <w:shd w:val="clear" w:color="auto" w:fill="auto"/>
            <w:vAlign w:val="center"/>
          </w:tcPr>
          <w:p w14:paraId="433664FA">
            <w:pPr>
              <w:adjustRightInd w:val="0"/>
              <w:snapToGrid w:val="0"/>
              <w:spacing w:line="276" w:lineRule="auto"/>
              <w:rPr>
                <w:rFonts w:hint="eastAsia" w:eastAsiaTheme="minorEastAsia"/>
                <w:color w:val="auto"/>
                <w:szCs w:val="21"/>
                <w:lang w:eastAsia="zh-CN"/>
              </w:rPr>
            </w:pPr>
            <w:r>
              <w:rPr>
                <w:rFonts w:hint="eastAsia"/>
                <w:color w:val="auto"/>
                <w:szCs w:val="21"/>
                <w:lang w:eastAsia="zh-CN"/>
              </w:rPr>
              <w:t>指标点4-4：【具备教学研究能力】掌握教育研究的基本方法，在教育教学实践中，结合小学教育教学实践进行研究，具有一定的教学研究能力。</w:t>
            </w:r>
          </w:p>
          <w:p w14:paraId="18CC9C32">
            <w:pPr>
              <w:adjustRightInd w:val="0"/>
              <w:snapToGrid w:val="0"/>
              <w:spacing w:line="276" w:lineRule="auto"/>
              <w:rPr>
                <w:color w:val="auto"/>
                <w:szCs w:val="21"/>
                <w:lang w:eastAsia="zh"/>
              </w:rPr>
            </w:pPr>
            <w:r>
              <w:rPr>
                <w:rFonts w:hint="eastAsia"/>
                <w:color w:val="auto"/>
                <w:szCs w:val="21"/>
                <w:lang w:eastAsia="zh"/>
              </w:rPr>
              <w:t>在教育教学实践中，结合小学教育教学实践进行研究，具有</w:t>
            </w:r>
          </w:p>
          <w:p w14:paraId="4E160A70">
            <w:pPr>
              <w:adjustRightInd w:val="0"/>
              <w:snapToGrid w:val="0"/>
              <w:spacing w:line="276" w:lineRule="auto"/>
              <w:rPr>
                <w:rFonts w:hint="eastAsia"/>
                <w:color w:val="auto"/>
                <w:kern w:val="0"/>
                <w:szCs w:val="21"/>
              </w:rPr>
            </w:pPr>
            <w:r>
              <w:rPr>
                <w:rFonts w:hint="eastAsia"/>
                <w:color w:val="auto"/>
                <w:szCs w:val="21"/>
                <w:lang w:eastAsia="zh"/>
              </w:rPr>
              <w:t>定的教学研究能力。</w:t>
            </w:r>
          </w:p>
        </w:tc>
        <w:tc>
          <w:tcPr>
            <w:tcW w:w="1286" w:type="dxa"/>
            <w:vMerge w:val="continue"/>
            <w:shd w:val="clear" w:color="auto" w:fill="auto"/>
            <w:vAlign w:val="center"/>
          </w:tcPr>
          <w:p w14:paraId="3E9B55C3">
            <w:pPr>
              <w:adjustRightInd w:val="0"/>
              <w:snapToGrid w:val="0"/>
              <w:spacing w:line="276" w:lineRule="auto"/>
              <w:jc w:val="left"/>
              <w:rPr>
                <w:rFonts w:hint="eastAsia" w:ascii="宋体" w:hAnsi="宋体" w:eastAsia="宋体" w:cs="Times New Roman"/>
                <w:color w:val="auto"/>
                <w:spacing w:val="2"/>
                <w:kern w:val="0"/>
                <w:szCs w:val="21"/>
              </w:rPr>
            </w:pPr>
          </w:p>
        </w:tc>
      </w:tr>
      <w:tr w14:paraId="07DAC2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420" w:type="dxa"/>
            <w:vMerge w:val="restart"/>
            <w:shd w:val="clear" w:color="auto" w:fill="auto"/>
            <w:vAlign w:val="center"/>
          </w:tcPr>
          <w:p w14:paraId="070C7417">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毕业要求5</w:t>
            </w:r>
          </w:p>
          <w:p w14:paraId="03CE530D">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班级管理</w:t>
            </w:r>
          </w:p>
        </w:tc>
        <w:tc>
          <w:tcPr>
            <w:tcW w:w="6242" w:type="dxa"/>
            <w:shd w:val="clear" w:color="auto" w:fill="auto"/>
            <w:vAlign w:val="center"/>
          </w:tcPr>
          <w:p w14:paraId="5A0EA6AA">
            <w:pPr>
              <w:adjustRightInd w:val="0"/>
              <w:snapToGrid w:val="0"/>
              <w:spacing w:line="276" w:lineRule="auto"/>
              <w:rPr>
                <w:rFonts w:hint="eastAsia" w:eastAsiaTheme="minorEastAsia"/>
                <w:color w:val="auto"/>
                <w:kern w:val="0"/>
                <w:szCs w:val="21"/>
                <w:lang w:eastAsia="zh-CN"/>
              </w:rPr>
            </w:pPr>
            <w:r>
              <w:rPr>
                <w:rFonts w:hint="eastAsia"/>
                <w:color w:val="auto"/>
                <w:kern w:val="0"/>
                <w:szCs w:val="21"/>
                <w:lang w:eastAsia="zh-CN"/>
              </w:rPr>
              <w:t>指标点5-1：【擅长班队管理】具有小学德育工作体验，树立育人为本、德育为先的理念，熟悉小学德育的基本原理与方法。获得小学班队组织与建设的体验。掌握小学班队组织与建设的工作规律和基本方法，具有班队建设和管理的基本能力。能够在工作实践中，利用技术手段收集学生成长过程的关键信息，建立学生成长电子档案，对学生进行综合素质评价，指导学生成长，关注学生生活，运用德育的理论和方法组织与指导班队活动。</w:t>
            </w:r>
          </w:p>
        </w:tc>
        <w:tc>
          <w:tcPr>
            <w:tcW w:w="1286" w:type="dxa"/>
            <w:vMerge w:val="restart"/>
            <w:shd w:val="clear" w:color="auto" w:fill="auto"/>
            <w:vAlign w:val="center"/>
          </w:tcPr>
          <w:p w14:paraId="7F1C9DB2">
            <w:pPr>
              <w:adjustRightInd w:val="0"/>
              <w:snapToGrid w:val="0"/>
              <w:spacing w:line="276" w:lineRule="auto"/>
              <w:jc w:val="left"/>
              <w:rPr>
                <w:rFonts w:hint="eastAsia" w:ascii="宋体" w:hAnsi="宋体" w:eastAsia="宋体" w:cs="Times New Roman"/>
                <w:color w:val="auto"/>
                <w:spacing w:val="2"/>
                <w:kern w:val="0"/>
                <w:szCs w:val="21"/>
              </w:rPr>
            </w:pPr>
            <w:r>
              <w:rPr>
                <w:rFonts w:hint="eastAsia" w:ascii="宋体" w:hAnsi="宋体" w:eastAsia="宋体" w:cs="Times New Roman"/>
                <w:color w:val="auto"/>
                <w:spacing w:val="2"/>
                <w:kern w:val="0"/>
                <w:szCs w:val="21"/>
              </w:rPr>
              <w:t>课程目标3</w:t>
            </w:r>
          </w:p>
        </w:tc>
      </w:tr>
      <w:tr w14:paraId="714AB5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420" w:type="dxa"/>
            <w:vMerge w:val="continue"/>
            <w:shd w:val="clear" w:color="auto" w:fill="auto"/>
            <w:vAlign w:val="center"/>
          </w:tcPr>
          <w:p w14:paraId="3014599B">
            <w:pPr>
              <w:adjustRightInd w:val="0"/>
              <w:snapToGrid w:val="0"/>
              <w:spacing w:line="276" w:lineRule="auto"/>
              <w:jc w:val="center"/>
              <w:rPr>
                <w:rFonts w:hint="eastAsia" w:ascii="宋体" w:hAnsi="宋体" w:eastAsia="宋体" w:cs="宋体"/>
                <w:b/>
                <w:color w:val="auto"/>
                <w:szCs w:val="21"/>
              </w:rPr>
            </w:pPr>
          </w:p>
        </w:tc>
        <w:tc>
          <w:tcPr>
            <w:tcW w:w="6242" w:type="dxa"/>
            <w:shd w:val="clear" w:color="auto" w:fill="auto"/>
            <w:vAlign w:val="center"/>
          </w:tcPr>
          <w:p w14:paraId="17BE4B2E">
            <w:pPr>
              <w:adjustRightInd w:val="0"/>
              <w:snapToGrid w:val="0"/>
              <w:spacing w:line="276" w:lineRule="auto"/>
              <w:rPr>
                <w:rFonts w:hint="eastAsia" w:eastAsiaTheme="minorEastAsia"/>
                <w:color w:val="auto"/>
                <w:kern w:val="0"/>
                <w:szCs w:val="21"/>
                <w:lang w:eastAsia="zh-CN"/>
              </w:rPr>
            </w:pPr>
            <w:r>
              <w:rPr>
                <w:rFonts w:hint="eastAsia"/>
                <w:color w:val="auto"/>
                <w:kern w:val="0"/>
                <w:szCs w:val="21"/>
                <w:lang w:eastAsia="zh-CN"/>
              </w:rPr>
              <w:t>指标点5-2：【重视身心健康教育】了解小学生身体、情感发展的特性和差异性，包括小学生日常卫生保健、传染病预防、意外伤害事故处理等相关知识，掌握面临特殊事件发生时保护学生的基本方法。获得小学心理健康教育指导体验，在教育教学实践中，参与组织与指导对小学生心理健康教育的科普宣传及心理辅导，掌握小学心理健康教育的基本方法。</w:t>
            </w:r>
          </w:p>
        </w:tc>
        <w:tc>
          <w:tcPr>
            <w:tcW w:w="1286" w:type="dxa"/>
            <w:vMerge w:val="continue"/>
            <w:shd w:val="clear" w:color="auto" w:fill="auto"/>
            <w:vAlign w:val="center"/>
          </w:tcPr>
          <w:p w14:paraId="7A56DC34">
            <w:pPr>
              <w:adjustRightInd w:val="0"/>
              <w:snapToGrid w:val="0"/>
              <w:spacing w:line="276" w:lineRule="auto"/>
              <w:jc w:val="left"/>
              <w:rPr>
                <w:rFonts w:hint="eastAsia" w:ascii="宋体" w:hAnsi="宋体" w:eastAsia="宋体" w:cs="Times New Roman"/>
                <w:color w:val="auto"/>
                <w:spacing w:val="2"/>
                <w:kern w:val="0"/>
                <w:szCs w:val="21"/>
              </w:rPr>
            </w:pPr>
          </w:p>
        </w:tc>
      </w:tr>
      <w:tr w14:paraId="52A56B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1420" w:type="dxa"/>
            <w:vMerge w:val="restart"/>
            <w:shd w:val="clear" w:color="auto" w:fill="auto"/>
            <w:vAlign w:val="center"/>
          </w:tcPr>
          <w:p w14:paraId="6E76E0D6">
            <w:pPr>
              <w:adjustRightInd w:val="0"/>
              <w:snapToGrid w:val="0"/>
              <w:spacing w:line="276" w:lineRule="auto"/>
              <w:jc w:val="center"/>
              <w:rPr>
                <w:rFonts w:hint="eastAsia" w:ascii="宋体" w:hAnsi="宋体" w:eastAsia="宋体" w:cs="宋体"/>
                <w:b/>
                <w:bCs w:val="0"/>
                <w:color w:val="auto"/>
                <w:szCs w:val="21"/>
              </w:rPr>
            </w:pPr>
            <w:r>
              <w:rPr>
                <w:rFonts w:hint="eastAsia" w:ascii="宋体" w:hAnsi="宋体" w:eastAsia="宋体" w:cs="宋体"/>
                <w:b/>
                <w:bCs w:val="0"/>
                <w:color w:val="auto"/>
                <w:szCs w:val="21"/>
              </w:rPr>
              <w:t>毕业要求6</w:t>
            </w:r>
          </w:p>
          <w:p w14:paraId="619C60C9">
            <w:pPr>
              <w:adjustRightInd w:val="0"/>
              <w:snapToGrid w:val="0"/>
              <w:spacing w:line="276" w:lineRule="auto"/>
              <w:jc w:val="center"/>
              <w:rPr>
                <w:rFonts w:hint="eastAsia" w:ascii="宋体" w:hAnsi="宋体" w:eastAsia="宋体" w:cs="宋体"/>
                <w:b/>
                <w:bCs w:val="0"/>
                <w:color w:val="auto"/>
                <w:szCs w:val="21"/>
              </w:rPr>
            </w:pPr>
            <w:r>
              <w:rPr>
                <w:rFonts w:hint="eastAsia" w:ascii="宋体" w:hAnsi="宋体" w:eastAsia="宋体" w:cs="宋体"/>
                <w:b/>
                <w:bCs w:val="0"/>
                <w:color w:val="auto"/>
                <w:szCs w:val="21"/>
              </w:rPr>
              <w:t>综合育人</w:t>
            </w:r>
          </w:p>
        </w:tc>
        <w:tc>
          <w:tcPr>
            <w:tcW w:w="6242" w:type="dxa"/>
            <w:shd w:val="clear" w:color="auto" w:fill="auto"/>
            <w:vAlign w:val="center"/>
          </w:tcPr>
          <w:p w14:paraId="22FF9AAD">
            <w:pPr>
              <w:adjustRightInd w:val="0"/>
              <w:snapToGrid w:val="0"/>
              <w:spacing w:line="276" w:lineRule="auto"/>
              <w:rPr>
                <w:rFonts w:hint="eastAsia"/>
                <w:color w:val="auto"/>
                <w:kern w:val="0"/>
                <w:szCs w:val="21"/>
              </w:rPr>
            </w:pPr>
            <w:r>
              <w:rPr>
                <w:rFonts w:hint="eastAsia"/>
                <w:color w:val="auto"/>
                <w:kern w:val="0"/>
                <w:szCs w:val="21"/>
              </w:rPr>
              <w:t>指标点6-1：【遵循身心规律】了解不同年龄以及有特殊需要的小学生的身心发展特点和规律、不同年龄小学生学习的特点，掌握小学生良好行为习惯养成的知识。</w:t>
            </w:r>
          </w:p>
        </w:tc>
        <w:tc>
          <w:tcPr>
            <w:tcW w:w="1286" w:type="dxa"/>
            <w:vMerge w:val="restart"/>
            <w:shd w:val="clear" w:color="auto" w:fill="auto"/>
            <w:vAlign w:val="center"/>
          </w:tcPr>
          <w:p w14:paraId="42DDAC2C">
            <w:pPr>
              <w:adjustRightInd w:val="0"/>
              <w:snapToGrid w:val="0"/>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课程目标2</w:t>
            </w:r>
          </w:p>
          <w:p w14:paraId="4D22FF35">
            <w:pPr>
              <w:adjustRightInd w:val="0"/>
              <w:snapToGrid w:val="0"/>
              <w:spacing w:line="276" w:lineRule="auto"/>
              <w:jc w:val="left"/>
              <w:rPr>
                <w:rFonts w:hint="eastAsia" w:ascii="宋体" w:hAnsi="宋体" w:eastAsia="宋体" w:cs="Times New Roman"/>
                <w:color w:val="auto"/>
                <w:spacing w:val="2"/>
                <w:kern w:val="0"/>
                <w:szCs w:val="21"/>
              </w:rPr>
            </w:pPr>
            <w:r>
              <w:rPr>
                <w:rFonts w:hint="eastAsia" w:ascii="宋体" w:hAnsi="宋体" w:eastAsia="宋体" w:cs="Times New Roman"/>
                <w:color w:val="auto"/>
                <w:kern w:val="0"/>
                <w:szCs w:val="21"/>
              </w:rPr>
              <w:t>课程目标3</w:t>
            </w:r>
          </w:p>
        </w:tc>
      </w:tr>
      <w:tr w14:paraId="6BDFD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420" w:type="dxa"/>
            <w:vMerge w:val="continue"/>
            <w:shd w:val="clear" w:color="auto" w:fill="auto"/>
            <w:vAlign w:val="center"/>
          </w:tcPr>
          <w:p w14:paraId="7BF889CF">
            <w:pPr>
              <w:adjustRightInd w:val="0"/>
              <w:snapToGrid w:val="0"/>
              <w:spacing w:line="276" w:lineRule="auto"/>
              <w:jc w:val="center"/>
              <w:rPr>
                <w:rFonts w:hint="eastAsia" w:ascii="宋体" w:hAnsi="宋体" w:eastAsia="宋体" w:cs="宋体"/>
                <w:b/>
                <w:bCs w:val="0"/>
                <w:color w:val="auto"/>
                <w:szCs w:val="21"/>
              </w:rPr>
            </w:pPr>
          </w:p>
        </w:tc>
        <w:tc>
          <w:tcPr>
            <w:tcW w:w="6242" w:type="dxa"/>
            <w:shd w:val="clear" w:color="auto" w:fill="auto"/>
            <w:vAlign w:val="center"/>
          </w:tcPr>
          <w:p w14:paraId="08CBB400">
            <w:pPr>
              <w:adjustRightInd w:val="0"/>
              <w:snapToGrid w:val="0"/>
              <w:spacing w:line="276" w:lineRule="auto"/>
              <w:rPr>
                <w:rFonts w:hint="eastAsia"/>
                <w:color w:val="auto"/>
                <w:kern w:val="0"/>
                <w:szCs w:val="21"/>
              </w:rPr>
            </w:pPr>
            <w:r>
              <w:rPr>
                <w:rFonts w:hint="eastAsia"/>
                <w:color w:val="auto"/>
                <w:kern w:val="0"/>
                <w:szCs w:val="21"/>
              </w:rPr>
              <w:t>指标点6-2：【胜任学科育人】具有教书育人的意识，理解学科核心素养和拟任教学科课程独特的育人功能，在教育教学实践中，具备结合学科教学进行育人的意识与能力，注重学科教学中思想政治教育的渗透。</w:t>
            </w:r>
          </w:p>
        </w:tc>
        <w:tc>
          <w:tcPr>
            <w:tcW w:w="1286" w:type="dxa"/>
            <w:vMerge w:val="continue"/>
            <w:shd w:val="clear" w:color="auto" w:fill="auto"/>
            <w:vAlign w:val="center"/>
          </w:tcPr>
          <w:p w14:paraId="09C529C3">
            <w:pPr>
              <w:adjustRightInd w:val="0"/>
              <w:snapToGrid w:val="0"/>
              <w:spacing w:line="276" w:lineRule="auto"/>
              <w:jc w:val="left"/>
              <w:rPr>
                <w:rFonts w:hint="eastAsia" w:ascii="宋体" w:hAnsi="宋体" w:eastAsia="宋体" w:cs="Times New Roman"/>
                <w:color w:val="auto"/>
                <w:kern w:val="0"/>
                <w:szCs w:val="21"/>
              </w:rPr>
            </w:pPr>
          </w:p>
        </w:tc>
      </w:tr>
      <w:tr w14:paraId="04BA7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420" w:type="dxa"/>
            <w:vMerge w:val="continue"/>
            <w:shd w:val="clear" w:color="auto" w:fill="auto"/>
            <w:vAlign w:val="center"/>
          </w:tcPr>
          <w:p w14:paraId="050BFAFD">
            <w:pPr>
              <w:adjustRightInd w:val="0"/>
              <w:snapToGrid w:val="0"/>
              <w:spacing w:line="276" w:lineRule="auto"/>
              <w:jc w:val="center"/>
              <w:rPr>
                <w:rFonts w:hint="eastAsia" w:ascii="宋体" w:hAnsi="宋体" w:eastAsia="宋体" w:cs="宋体"/>
                <w:b/>
                <w:bCs w:val="0"/>
                <w:color w:val="auto"/>
                <w:szCs w:val="21"/>
              </w:rPr>
            </w:pPr>
          </w:p>
        </w:tc>
        <w:tc>
          <w:tcPr>
            <w:tcW w:w="6242" w:type="dxa"/>
            <w:shd w:val="clear" w:color="auto" w:fill="auto"/>
            <w:vAlign w:val="center"/>
          </w:tcPr>
          <w:p w14:paraId="37A87289">
            <w:pPr>
              <w:adjustRightInd w:val="0"/>
              <w:snapToGrid w:val="0"/>
              <w:spacing w:line="276" w:lineRule="auto"/>
              <w:rPr>
                <w:rFonts w:hint="eastAsia" w:eastAsiaTheme="minorEastAsia"/>
                <w:color w:val="auto"/>
                <w:kern w:val="0"/>
                <w:szCs w:val="21"/>
                <w:lang w:eastAsia="zh-CN"/>
              </w:rPr>
            </w:pPr>
            <w:r>
              <w:rPr>
                <w:rFonts w:hint="eastAsia" w:ascii="宋体" w:hAnsi="宋体" w:cs="宋体"/>
                <w:color w:val="auto"/>
                <w:kern w:val="0"/>
                <w:szCs w:val="21"/>
                <w:lang w:eastAsia="zh-CN"/>
              </w:rPr>
              <w:t>指标点6-3：【善于文化与活动育人】了解课外活动组织和管理知识，掌握学校文化和各类课外教育活动的育人内涵和方法，在教育教学实践中，参与组织主题教育、少先队活动和社团活动，促进小学生全面、健康发展。</w:t>
            </w:r>
          </w:p>
        </w:tc>
        <w:tc>
          <w:tcPr>
            <w:tcW w:w="1286" w:type="dxa"/>
            <w:vMerge w:val="continue"/>
            <w:shd w:val="clear" w:color="auto" w:fill="auto"/>
            <w:vAlign w:val="center"/>
          </w:tcPr>
          <w:p w14:paraId="543EB534">
            <w:pPr>
              <w:adjustRightInd w:val="0"/>
              <w:snapToGrid w:val="0"/>
              <w:spacing w:line="276" w:lineRule="auto"/>
              <w:jc w:val="left"/>
              <w:rPr>
                <w:rFonts w:hint="eastAsia" w:ascii="宋体" w:hAnsi="宋体" w:eastAsia="宋体" w:cs="Times New Roman"/>
                <w:color w:val="auto"/>
                <w:kern w:val="0"/>
                <w:szCs w:val="21"/>
              </w:rPr>
            </w:pPr>
          </w:p>
        </w:tc>
      </w:tr>
      <w:tr w14:paraId="39379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20" w:type="dxa"/>
            <w:vAlign w:val="center"/>
          </w:tcPr>
          <w:p w14:paraId="2F13052D">
            <w:pPr>
              <w:adjustRightInd w:val="0"/>
              <w:snapToGrid w:val="0"/>
              <w:spacing w:line="276" w:lineRule="auto"/>
              <w:jc w:val="center"/>
              <w:rPr>
                <w:rFonts w:hint="eastAsia" w:ascii="宋体" w:hAnsi="宋体" w:eastAsia="宋体" w:cs="宋体"/>
                <w:b/>
                <w:bCs w:val="0"/>
                <w:color w:val="auto"/>
                <w:szCs w:val="21"/>
              </w:rPr>
            </w:pPr>
            <w:r>
              <w:rPr>
                <w:rFonts w:hint="eastAsia" w:ascii="宋体" w:hAnsi="宋体" w:eastAsia="宋体" w:cs="宋体"/>
                <w:b/>
                <w:bCs w:val="0"/>
                <w:color w:val="auto"/>
                <w:szCs w:val="21"/>
              </w:rPr>
              <w:t>毕业要求7</w:t>
            </w:r>
          </w:p>
          <w:p w14:paraId="07BA67C4">
            <w:pPr>
              <w:adjustRightInd w:val="0"/>
              <w:snapToGrid w:val="0"/>
              <w:spacing w:line="276" w:lineRule="auto"/>
              <w:jc w:val="center"/>
              <w:rPr>
                <w:rFonts w:hint="eastAsia" w:ascii="宋体" w:hAnsi="宋体" w:eastAsia="宋体" w:cs="宋体"/>
                <w:b/>
                <w:bCs w:val="0"/>
                <w:color w:val="auto"/>
                <w:szCs w:val="21"/>
              </w:rPr>
            </w:pPr>
            <w:r>
              <w:rPr>
                <w:rFonts w:hint="eastAsia" w:ascii="宋体" w:hAnsi="宋体" w:eastAsia="宋体" w:cs="宋体"/>
                <w:b/>
                <w:bCs w:val="0"/>
                <w:color w:val="auto"/>
                <w:szCs w:val="21"/>
              </w:rPr>
              <w:t>学会反思</w:t>
            </w:r>
          </w:p>
        </w:tc>
        <w:tc>
          <w:tcPr>
            <w:tcW w:w="6242" w:type="dxa"/>
            <w:vAlign w:val="center"/>
          </w:tcPr>
          <w:p w14:paraId="152B8A92">
            <w:pPr>
              <w:adjustRightInd w:val="0"/>
              <w:snapToGrid w:val="0"/>
              <w:spacing w:line="276" w:lineRule="auto"/>
              <w:rPr>
                <w:rFonts w:hint="eastAsia" w:ascii="宋体" w:hAnsi="宋体" w:eastAsia="宋体" w:cs="Times New Roman"/>
                <w:color w:val="auto"/>
                <w:kern w:val="0"/>
                <w:szCs w:val="21"/>
              </w:rPr>
            </w:pPr>
            <w:r>
              <w:rPr>
                <w:rFonts w:hint="eastAsia" w:ascii="宋体" w:hAnsi="宋体" w:eastAsia="宋体" w:cs="Times New Roman"/>
                <w:color w:val="auto"/>
                <w:szCs w:val="21"/>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286" w:type="dxa"/>
            <w:vAlign w:val="center"/>
          </w:tcPr>
          <w:p w14:paraId="426FB7A4">
            <w:pPr>
              <w:adjustRightInd w:val="0"/>
              <w:snapToGrid w:val="0"/>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课程目标2</w:t>
            </w:r>
          </w:p>
          <w:p w14:paraId="52E4D5AF">
            <w:pPr>
              <w:adjustRightInd w:val="0"/>
              <w:snapToGrid w:val="0"/>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课程目标3</w:t>
            </w:r>
          </w:p>
          <w:p w14:paraId="2FE682E0">
            <w:pPr>
              <w:adjustRightInd w:val="0"/>
              <w:snapToGrid w:val="0"/>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课程目标4</w:t>
            </w:r>
          </w:p>
        </w:tc>
      </w:tr>
      <w:tr w14:paraId="2B95CE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420" w:type="dxa"/>
            <w:vMerge w:val="restart"/>
            <w:vAlign w:val="center"/>
          </w:tcPr>
          <w:p w14:paraId="25E40B00">
            <w:pPr>
              <w:adjustRightInd w:val="0"/>
              <w:snapToGrid w:val="0"/>
              <w:spacing w:line="276" w:lineRule="auto"/>
              <w:jc w:val="center"/>
              <w:rPr>
                <w:rFonts w:hint="eastAsia" w:ascii="宋体" w:hAnsi="宋体" w:eastAsia="宋体" w:cs="宋体"/>
                <w:b/>
                <w:bCs w:val="0"/>
                <w:color w:val="auto"/>
                <w:szCs w:val="21"/>
              </w:rPr>
            </w:pPr>
            <w:r>
              <w:rPr>
                <w:rFonts w:hint="eastAsia" w:ascii="宋体" w:hAnsi="宋体" w:eastAsia="宋体" w:cs="宋体"/>
                <w:b/>
                <w:bCs w:val="0"/>
                <w:color w:val="auto"/>
                <w:szCs w:val="21"/>
              </w:rPr>
              <w:t>毕业要求8</w:t>
            </w:r>
          </w:p>
          <w:p w14:paraId="3886C8CE">
            <w:pPr>
              <w:adjustRightInd w:val="0"/>
              <w:snapToGrid w:val="0"/>
              <w:spacing w:line="276" w:lineRule="auto"/>
              <w:jc w:val="center"/>
              <w:rPr>
                <w:rFonts w:hint="eastAsia" w:ascii="宋体" w:hAnsi="宋体" w:eastAsia="宋体" w:cs="宋体"/>
                <w:b/>
                <w:bCs w:val="0"/>
                <w:color w:val="auto"/>
                <w:szCs w:val="21"/>
              </w:rPr>
            </w:pPr>
            <w:r>
              <w:rPr>
                <w:rFonts w:hint="eastAsia" w:ascii="宋体" w:hAnsi="宋体" w:eastAsia="宋体" w:cs="宋体"/>
                <w:b/>
                <w:bCs w:val="0"/>
                <w:color w:val="auto"/>
                <w:szCs w:val="21"/>
              </w:rPr>
              <w:t>沟通能力</w:t>
            </w:r>
          </w:p>
        </w:tc>
        <w:tc>
          <w:tcPr>
            <w:tcW w:w="6242" w:type="dxa"/>
            <w:vAlign w:val="center"/>
          </w:tcPr>
          <w:p w14:paraId="12580415">
            <w:pPr>
              <w:adjustRightInd w:val="0"/>
              <w:snapToGrid w:val="0"/>
              <w:spacing w:line="276" w:lineRule="auto"/>
              <w:rPr>
                <w:rFonts w:hint="eastAsia" w:ascii="宋体" w:hAnsi="宋体" w:eastAsia="宋体" w:cs="Times New Roman"/>
                <w:color w:val="auto"/>
                <w:spacing w:val="2"/>
                <w:kern w:val="0"/>
                <w:szCs w:val="21"/>
                <w:lang w:eastAsia="zh-CN"/>
              </w:rPr>
            </w:pPr>
            <w:r>
              <w:rPr>
                <w:rFonts w:hint="eastAsia" w:ascii="宋体" w:hAnsi="宋体" w:eastAsia="宋体" w:cs="Times New Roman"/>
                <w:color w:val="auto"/>
                <w:szCs w:val="21"/>
                <w:lang w:eastAsia="zh-CN"/>
              </w:rPr>
              <w:t>指标点8-1：【善于团队合作】理解学习共同体的本质和价值，掌握团队协作的基本策略，在课堂学习与教育实践中获得合作学习体验，形成团队协作精神。</w:t>
            </w:r>
          </w:p>
        </w:tc>
        <w:tc>
          <w:tcPr>
            <w:tcW w:w="1286" w:type="dxa"/>
            <w:vMerge w:val="restart"/>
            <w:vAlign w:val="center"/>
          </w:tcPr>
          <w:p w14:paraId="55A16468">
            <w:pPr>
              <w:shd w:val="clear" w:color="auto" w:fill="FFFFFF"/>
              <w:adjustRightInd w:val="0"/>
              <w:snapToGrid w:val="0"/>
              <w:spacing w:line="276" w:lineRule="auto"/>
              <w:jc w:val="left"/>
              <w:rPr>
                <w:rFonts w:ascii="Times New Roman" w:hAnsi="Times New Roman" w:eastAsia="宋体" w:cs="Times New Roman"/>
                <w:color w:val="auto"/>
                <w:szCs w:val="23"/>
              </w:rPr>
            </w:pPr>
            <w:r>
              <w:rPr>
                <w:rFonts w:hint="eastAsia" w:ascii="Times New Roman" w:hAnsi="Times New Roman" w:eastAsia="宋体" w:cs="Times New Roman"/>
                <w:color w:val="auto"/>
                <w:szCs w:val="23"/>
              </w:rPr>
              <w:t>课程目标4</w:t>
            </w:r>
          </w:p>
        </w:tc>
      </w:tr>
      <w:tr w14:paraId="26790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420" w:type="dxa"/>
            <w:vMerge w:val="continue"/>
            <w:vAlign w:val="center"/>
          </w:tcPr>
          <w:p w14:paraId="43DA5222">
            <w:pPr>
              <w:adjustRightInd w:val="0"/>
              <w:snapToGrid w:val="0"/>
              <w:spacing w:line="276" w:lineRule="auto"/>
              <w:jc w:val="center"/>
              <w:rPr>
                <w:rFonts w:hint="eastAsia" w:ascii="宋体" w:hAnsi="宋体" w:eastAsia="宋体" w:cs="宋体"/>
                <w:color w:val="auto"/>
                <w:szCs w:val="21"/>
              </w:rPr>
            </w:pPr>
          </w:p>
        </w:tc>
        <w:tc>
          <w:tcPr>
            <w:tcW w:w="6242" w:type="dxa"/>
            <w:vAlign w:val="center"/>
          </w:tcPr>
          <w:p w14:paraId="298DCC3A">
            <w:pPr>
              <w:adjustRightInd w:val="0"/>
              <w:snapToGrid w:val="0"/>
              <w:spacing w:line="276" w:lineRule="auto"/>
              <w:rPr>
                <w:rFonts w:hint="eastAsia" w:ascii="宋体" w:hAnsi="宋体" w:eastAsia="宋体" w:cs="Times New Roman"/>
                <w:color w:val="auto"/>
                <w:szCs w:val="21"/>
              </w:rPr>
            </w:pPr>
            <w:r>
              <w:rPr>
                <w:rFonts w:hint="eastAsia" w:ascii="宋体" w:hAnsi="宋体" w:eastAsia="宋体" w:cs="Times New Roman"/>
                <w:color w:val="auto"/>
                <w:szCs w:val="21"/>
              </w:rPr>
              <w:t>指标点8-2：【学会沟通交流】掌握人际沟通合作技能与方法，能与学生和家长以及同行、同事、专家进行有效沟通与合作，实现共同发展。</w:t>
            </w:r>
          </w:p>
        </w:tc>
        <w:tc>
          <w:tcPr>
            <w:tcW w:w="1286" w:type="dxa"/>
            <w:vMerge w:val="continue"/>
            <w:vAlign w:val="center"/>
          </w:tcPr>
          <w:p w14:paraId="3FE099CC">
            <w:pPr>
              <w:shd w:val="clear" w:color="auto" w:fill="FFFFFF"/>
              <w:adjustRightInd w:val="0"/>
              <w:snapToGrid w:val="0"/>
              <w:spacing w:line="276" w:lineRule="auto"/>
              <w:jc w:val="left"/>
              <w:rPr>
                <w:rFonts w:hint="eastAsia" w:ascii="Times New Roman" w:hAnsi="Times New Roman" w:eastAsia="宋体" w:cs="Times New Roman"/>
                <w:color w:val="auto"/>
                <w:szCs w:val="23"/>
              </w:rPr>
            </w:pPr>
          </w:p>
        </w:tc>
      </w:tr>
    </w:tbl>
    <w:p w14:paraId="2D16AA12">
      <w:pPr>
        <w:spacing w:line="360" w:lineRule="auto"/>
        <w:ind w:firstLine="422" w:firstLineChars="200"/>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（三）课程思政目标</w:t>
      </w:r>
    </w:p>
    <w:p w14:paraId="59874430">
      <w:pPr>
        <w:spacing w:line="360" w:lineRule="auto"/>
        <w:ind w:firstLine="420" w:firstLineChars="20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自觉践行社会主义核心价值观，进一步领会立德树人根本任务，增强学科育人、文化育人、活动育人意识；在实践中增进对儿童的认识，体验和感受教师职业的光荣感和责任感；接受职业道德教育和训练，自觉加强师德修养，养成和坚定献身小学教育事业的专业信念。</w:t>
      </w:r>
    </w:p>
    <w:p w14:paraId="354FC28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三、</w:t>
      </w:r>
      <w:r>
        <w:rPr>
          <w:rFonts w:hint="eastAsia" w:ascii="Times New Roman" w:hAnsi="Times New Roman" w:eastAsia="宋体" w:cs="Times New Roman"/>
          <w:b/>
          <w:color w:val="auto"/>
          <w:sz w:val="24"/>
          <w:szCs w:val="24"/>
        </w:rPr>
        <w:t>教学内容与预期学习成效</w:t>
      </w:r>
    </w:p>
    <w:tbl>
      <w:tblPr>
        <w:tblStyle w:val="16"/>
        <w:tblpPr w:leftFromText="181" w:rightFromText="181" w:vertAnchor="text" w:horzAnchor="page" w:tblpX="1424" w:tblpY="1"/>
        <w:tblOverlap w:val="never"/>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2676"/>
        <w:gridCol w:w="1250"/>
        <w:gridCol w:w="3325"/>
        <w:gridCol w:w="867"/>
        <w:gridCol w:w="438"/>
      </w:tblGrid>
      <w:tr w14:paraId="55B6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4FE572E7">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3075EFEB">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2676" w:type="dxa"/>
            <w:vAlign w:val="center"/>
          </w:tcPr>
          <w:p w14:paraId="3781E8B5">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250" w:type="dxa"/>
            <w:vAlign w:val="center"/>
          </w:tcPr>
          <w:p w14:paraId="0DC93588">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7B176AB5">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3325" w:type="dxa"/>
            <w:vAlign w:val="center"/>
          </w:tcPr>
          <w:p w14:paraId="4C65ACD2">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867" w:type="dxa"/>
            <w:vAlign w:val="center"/>
          </w:tcPr>
          <w:p w14:paraId="73A3D2EC">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w:t>
            </w:r>
          </w:p>
          <w:p w14:paraId="6EDF9161">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环节</w:t>
            </w:r>
          </w:p>
        </w:tc>
        <w:tc>
          <w:tcPr>
            <w:tcW w:w="438" w:type="dxa"/>
            <w:vAlign w:val="center"/>
          </w:tcPr>
          <w:p w14:paraId="11D93AF0">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2159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626469E8">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1.课堂教学实习</w:t>
            </w:r>
          </w:p>
        </w:tc>
        <w:tc>
          <w:tcPr>
            <w:tcW w:w="2676" w:type="dxa"/>
            <w:vAlign w:val="center"/>
          </w:tcPr>
          <w:p w14:paraId="413FC9DD">
            <w:pPr>
              <w:adjustRightInd w:val="0"/>
              <w:snapToGrid w:val="0"/>
              <w:spacing w:line="312" w:lineRule="auto"/>
              <w:jc w:val="left"/>
              <w:rPr>
                <w:rFonts w:hint="eastAsia" w:ascii="宋体" w:hAnsi="宋体" w:eastAsia="宋体" w:cs="Times New Roman"/>
                <w:color w:val="auto"/>
                <w:szCs w:val="21"/>
              </w:rPr>
            </w:pPr>
            <w:r>
              <w:rPr>
                <w:rFonts w:ascii="宋体" w:hAnsi="宋体" w:eastAsia="宋体" w:cs="Times New Roman"/>
                <w:color w:val="auto"/>
                <w:szCs w:val="21"/>
              </w:rPr>
              <w:t>在实习学校指导</w:t>
            </w:r>
            <w:r>
              <w:rPr>
                <w:rFonts w:hint="eastAsia" w:ascii="宋体" w:hAnsi="宋体" w:eastAsia="宋体" w:cs="Times New Roman"/>
                <w:color w:val="auto"/>
                <w:szCs w:val="21"/>
              </w:rPr>
              <w:t>教</w:t>
            </w:r>
            <w:r>
              <w:rPr>
                <w:rFonts w:ascii="宋体" w:hAnsi="宋体" w:eastAsia="宋体" w:cs="Times New Roman"/>
                <w:color w:val="auto"/>
                <w:szCs w:val="21"/>
              </w:rPr>
              <w:t>师和本校带队老师的指导下，从事备课、上课、听课、评课、说课、课后辅导、批改作业与讲评、组织第二课堂活动、课件制作等教学工作实践。</w:t>
            </w:r>
          </w:p>
        </w:tc>
        <w:tc>
          <w:tcPr>
            <w:tcW w:w="1250" w:type="dxa"/>
            <w:vAlign w:val="center"/>
          </w:tcPr>
          <w:p w14:paraId="4730024B">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课程目标1、2、4</w:t>
            </w:r>
          </w:p>
        </w:tc>
        <w:tc>
          <w:tcPr>
            <w:tcW w:w="3325" w:type="dxa"/>
            <w:vAlign w:val="center"/>
          </w:tcPr>
          <w:p w14:paraId="17D4DD60">
            <w:pPr>
              <w:adjustRightInd w:val="0"/>
              <w:snapToGrid w:val="0"/>
              <w:spacing w:line="312" w:lineRule="auto"/>
              <w:jc w:val="left"/>
              <w:rPr>
                <w:rFonts w:hint="eastAsia" w:ascii="宋体" w:hAnsi="宋体" w:eastAsia="宋体" w:cs="Times New Roman"/>
                <w:color w:val="auto"/>
                <w:szCs w:val="21"/>
              </w:rPr>
            </w:pPr>
            <w:r>
              <w:rPr>
                <w:rFonts w:ascii="宋体" w:hAnsi="宋体" w:eastAsia="宋体" w:cs="Times New Roman"/>
                <w:color w:val="auto"/>
                <w:szCs w:val="21"/>
              </w:rPr>
              <w:t>1.</w:t>
            </w:r>
            <w:r>
              <w:rPr>
                <w:rFonts w:hint="eastAsia" w:ascii="宋体" w:hAnsi="宋体" w:eastAsia="宋体" w:cs="Times New Roman"/>
                <w:color w:val="auto"/>
                <w:szCs w:val="21"/>
              </w:rPr>
              <w:t>每个实习生按照实习计划认真备课，独立编写教案，在上课前三天将教案递交指导师审阅，并通过反复试教再正式上课。要求保质保量地完成教学任务；</w:t>
            </w:r>
          </w:p>
          <w:p w14:paraId="5C3D7574">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2.听课不少于20节，并做好听课记录、评课记录、反思等相关材料，提交听课记录10节；</w:t>
            </w:r>
          </w:p>
          <w:p w14:paraId="3CCFCB37">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3.设计教案4份，试教至少4次，留有过程性材料。</w:t>
            </w:r>
          </w:p>
        </w:tc>
        <w:tc>
          <w:tcPr>
            <w:tcW w:w="867" w:type="dxa"/>
            <w:vAlign w:val="center"/>
          </w:tcPr>
          <w:p w14:paraId="0AB3E249">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1.编写教案</w:t>
            </w:r>
          </w:p>
          <w:p w14:paraId="31FCD42D">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2.上课</w:t>
            </w:r>
          </w:p>
          <w:p w14:paraId="4B648B07">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3.听课</w:t>
            </w:r>
          </w:p>
          <w:p w14:paraId="6B366CB9">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4.评课</w:t>
            </w:r>
          </w:p>
          <w:p w14:paraId="21F5E59A">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5.教学反思</w:t>
            </w:r>
          </w:p>
          <w:p w14:paraId="71760A1A">
            <w:pPr>
              <w:adjustRightInd w:val="0"/>
              <w:snapToGrid w:val="0"/>
              <w:spacing w:line="312" w:lineRule="auto"/>
              <w:jc w:val="left"/>
              <w:rPr>
                <w:rFonts w:hint="eastAsia" w:ascii="宋体" w:hAnsi="宋体" w:eastAsia="宋体" w:cs="Times New Roman"/>
                <w:color w:val="auto"/>
                <w:szCs w:val="21"/>
              </w:rPr>
            </w:pPr>
          </w:p>
        </w:tc>
        <w:tc>
          <w:tcPr>
            <w:tcW w:w="438" w:type="dxa"/>
            <w:vAlign w:val="center"/>
          </w:tcPr>
          <w:p w14:paraId="586E7A62">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80</w:t>
            </w:r>
          </w:p>
        </w:tc>
      </w:tr>
      <w:tr w14:paraId="1448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12F3254F">
            <w:pPr>
              <w:adjustRightInd w:val="0"/>
              <w:snapToGrid w:val="0"/>
              <w:spacing w:line="312" w:lineRule="auto"/>
              <w:jc w:val="center"/>
              <w:rPr>
                <w:rFonts w:hint="eastAsia" w:ascii="宋体" w:hAnsi="宋体" w:eastAsia="宋体" w:cs="Times New Roman"/>
                <w:color w:val="auto"/>
                <w:szCs w:val="21"/>
              </w:rPr>
            </w:pPr>
          </w:p>
        </w:tc>
        <w:tc>
          <w:tcPr>
            <w:tcW w:w="8556" w:type="dxa"/>
            <w:gridSpan w:val="5"/>
            <w:vAlign w:val="center"/>
          </w:tcPr>
          <w:p w14:paraId="14EAF1BD">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自觉践行社会主义核心价值观，进一步领会立德树人根本任务，增强学科育人的意识；在实践中增进对儿童的认识，体验和感受教师职业的光荣感和责任感；接受职业道德教育和训练，自觉加强师德修养，养成和坚定献身小学教育事业的专业信念。</w:t>
            </w:r>
          </w:p>
        </w:tc>
      </w:tr>
      <w:tr w14:paraId="12E5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3EAEDDFC">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2.班队工作实习</w:t>
            </w:r>
          </w:p>
        </w:tc>
        <w:tc>
          <w:tcPr>
            <w:tcW w:w="2676" w:type="dxa"/>
            <w:vAlign w:val="center"/>
          </w:tcPr>
          <w:p w14:paraId="5586D1EE">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（1）在班主任和辅导员的指导下，根据班队计划，学做学生的思想工作，从事日常管理和组织班队活动等工作；</w:t>
            </w:r>
          </w:p>
          <w:p w14:paraId="303078F2">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（2）主动配合实习学校开展各项活动。</w:t>
            </w:r>
          </w:p>
        </w:tc>
        <w:tc>
          <w:tcPr>
            <w:tcW w:w="1250" w:type="dxa"/>
            <w:vAlign w:val="center"/>
          </w:tcPr>
          <w:p w14:paraId="4E9C9B74">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课程目标1、3、4</w:t>
            </w:r>
          </w:p>
        </w:tc>
        <w:tc>
          <w:tcPr>
            <w:tcW w:w="3325" w:type="dxa"/>
            <w:vAlign w:val="center"/>
          </w:tcPr>
          <w:p w14:paraId="69048C2D">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1.做好班队活动或班级管理观察记录4份；</w:t>
            </w:r>
          </w:p>
          <w:p w14:paraId="6E828EC9">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2.设计主题班会或班队活动2份，实施至少1次。</w:t>
            </w:r>
          </w:p>
        </w:tc>
        <w:tc>
          <w:tcPr>
            <w:tcW w:w="867" w:type="dxa"/>
            <w:vAlign w:val="center"/>
          </w:tcPr>
          <w:p w14:paraId="21AC9933">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1.班队活动</w:t>
            </w:r>
          </w:p>
          <w:p w14:paraId="757E0DD2">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2.班级日常管理</w:t>
            </w:r>
          </w:p>
        </w:tc>
        <w:tc>
          <w:tcPr>
            <w:tcW w:w="438" w:type="dxa"/>
            <w:vAlign w:val="center"/>
          </w:tcPr>
          <w:p w14:paraId="7FE51863">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60</w:t>
            </w:r>
          </w:p>
        </w:tc>
      </w:tr>
      <w:tr w14:paraId="41E7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42" w:type="dxa"/>
            <w:vMerge w:val="continue"/>
            <w:vAlign w:val="center"/>
          </w:tcPr>
          <w:p w14:paraId="0B2FDD83">
            <w:pPr>
              <w:adjustRightInd w:val="0"/>
              <w:snapToGrid w:val="0"/>
              <w:spacing w:line="312" w:lineRule="auto"/>
              <w:jc w:val="center"/>
              <w:rPr>
                <w:rFonts w:hint="eastAsia" w:ascii="宋体" w:hAnsi="宋体" w:eastAsia="宋体" w:cs="Times New Roman"/>
                <w:color w:val="auto"/>
                <w:szCs w:val="21"/>
              </w:rPr>
            </w:pPr>
          </w:p>
        </w:tc>
        <w:tc>
          <w:tcPr>
            <w:tcW w:w="8556" w:type="dxa"/>
            <w:gridSpan w:val="5"/>
            <w:vAlign w:val="center"/>
          </w:tcPr>
          <w:p w14:paraId="46518F01">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bCs/>
                <w:color w:val="auto"/>
                <w:szCs w:val="21"/>
              </w:rPr>
              <w:t>自觉践行社会主义核心价值观，进一步领会立德树人根本任务，增强文化育人、活动育人的意识；在实践中增进对儿童的认识，体验和感受教师职业的光荣感和责任感；接受职业道德教育和训练，自觉加强师德修养，养成和坚定献身小学教育事业的专业信念。</w:t>
            </w:r>
          </w:p>
        </w:tc>
      </w:tr>
      <w:tr w14:paraId="2A69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7C021132">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3教育调查</w:t>
            </w:r>
          </w:p>
        </w:tc>
        <w:tc>
          <w:tcPr>
            <w:tcW w:w="2676" w:type="dxa"/>
            <w:vAlign w:val="center"/>
          </w:tcPr>
          <w:p w14:paraId="765AA12C">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（1）了解实习学校的历史、现状及贯彻党的教育方针和政策的情况。</w:t>
            </w:r>
          </w:p>
          <w:p w14:paraId="0DE6187D">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（2）调查优秀教师的先进事迹、教育教学经验及教育改革的情况。</w:t>
            </w:r>
          </w:p>
          <w:p w14:paraId="4F461E7E">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（3）研究教育对象的思想情况、心理特点、学习态度和方法、知识结构和智能水平等德智体美劳情况。</w:t>
            </w:r>
          </w:p>
        </w:tc>
        <w:tc>
          <w:tcPr>
            <w:tcW w:w="1250" w:type="dxa"/>
            <w:vAlign w:val="center"/>
          </w:tcPr>
          <w:p w14:paraId="500CB29F">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课程目标1、2、3、4</w:t>
            </w:r>
          </w:p>
        </w:tc>
        <w:tc>
          <w:tcPr>
            <w:tcW w:w="3325" w:type="dxa"/>
            <w:vAlign w:val="center"/>
          </w:tcPr>
          <w:p w14:paraId="122D585A">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结合以上调查的开展，撰写教育调查报告1份。</w:t>
            </w:r>
          </w:p>
        </w:tc>
        <w:tc>
          <w:tcPr>
            <w:tcW w:w="867" w:type="dxa"/>
            <w:vAlign w:val="center"/>
          </w:tcPr>
          <w:p w14:paraId="70A33F52">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教育调查</w:t>
            </w:r>
          </w:p>
        </w:tc>
        <w:tc>
          <w:tcPr>
            <w:tcW w:w="438" w:type="dxa"/>
            <w:vAlign w:val="center"/>
          </w:tcPr>
          <w:p w14:paraId="41C129B2">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568B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282312FD">
            <w:pPr>
              <w:spacing w:line="264" w:lineRule="auto"/>
              <w:jc w:val="center"/>
              <w:rPr>
                <w:rFonts w:hint="eastAsia" w:ascii="宋体" w:hAnsi="宋体" w:eastAsia="宋体" w:cs="Times New Roman"/>
                <w:color w:val="auto"/>
                <w:szCs w:val="21"/>
              </w:rPr>
            </w:pPr>
          </w:p>
        </w:tc>
        <w:tc>
          <w:tcPr>
            <w:tcW w:w="8556" w:type="dxa"/>
            <w:gridSpan w:val="5"/>
            <w:vAlign w:val="center"/>
          </w:tcPr>
          <w:p w14:paraId="649C2D87">
            <w:pPr>
              <w:spacing w:line="312"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bCs/>
                <w:color w:val="auto"/>
                <w:szCs w:val="21"/>
              </w:rPr>
              <w:t>自觉践行社会主义核心价值观，进一步领会立德树人根本任务，增强学科育人、文化育人、活动育人意识；在实践中增进对儿童的认识，体验和感受教师职业的光荣感和责任感；接受职业道德教育和训练，自觉加强师德修养，养成和坚定献身小学教育事业的专业信念。</w:t>
            </w:r>
          </w:p>
        </w:tc>
      </w:tr>
    </w:tbl>
    <w:p w14:paraId="41EE7BA4">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四、目标评价与成绩评定</w:t>
      </w:r>
    </w:p>
    <w:p w14:paraId="750A0928">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1D0E47C8">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525"/>
        <w:gridCol w:w="1608"/>
        <w:gridCol w:w="1767"/>
        <w:gridCol w:w="1520"/>
        <w:gridCol w:w="1140"/>
      </w:tblGrid>
      <w:tr w14:paraId="4F49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restart"/>
            <w:vAlign w:val="center"/>
          </w:tcPr>
          <w:p w14:paraId="262ABD7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6420" w:type="dxa"/>
            <w:gridSpan w:val="4"/>
            <w:vAlign w:val="center"/>
          </w:tcPr>
          <w:p w14:paraId="50B2C31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140" w:type="dxa"/>
            <w:vMerge w:val="restart"/>
            <w:vAlign w:val="center"/>
          </w:tcPr>
          <w:p w14:paraId="74F3FD4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71C23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continue"/>
            <w:vAlign w:val="center"/>
          </w:tcPr>
          <w:p w14:paraId="58B330ED">
            <w:pPr>
              <w:spacing w:line="360" w:lineRule="auto"/>
              <w:jc w:val="center"/>
              <w:rPr>
                <w:rFonts w:hint="eastAsia" w:ascii="宋体" w:hAnsi="宋体" w:eastAsia="宋体" w:cs="Times New Roman"/>
                <w:color w:val="auto"/>
                <w:szCs w:val="21"/>
              </w:rPr>
            </w:pPr>
          </w:p>
        </w:tc>
        <w:tc>
          <w:tcPr>
            <w:tcW w:w="1525" w:type="dxa"/>
            <w:vAlign w:val="center"/>
          </w:tcPr>
          <w:p w14:paraId="6D68D9B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平时成绩</w:t>
            </w:r>
          </w:p>
        </w:tc>
        <w:tc>
          <w:tcPr>
            <w:tcW w:w="1608" w:type="dxa"/>
            <w:vAlign w:val="center"/>
          </w:tcPr>
          <w:p w14:paraId="6A748D8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课堂教学实习</w:t>
            </w:r>
          </w:p>
        </w:tc>
        <w:tc>
          <w:tcPr>
            <w:tcW w:w="1767" w:type="dxa"/>
            <w:vAlign w:val="center"/>
          </w:tcPr>
          <w:p w14:paraId="14675F3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班主任工作实习</w:t>
            </w:r>
          </w:p>
        </w:tc>
        <w:tc>
          <w:tcPr>
            <w:tcW w:w="1520" w:type="dxa"/>
            <w:vAlign w:val="center"/>
          </w:tcPr>
          <w:p w14:paraId="5CBCD0F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教育调查报告</w:t>
            </w:r>
          </w:p>
        </w:tc>
        <w:tc>
          <w:tcPr>
            <w:tcW w:w="1140" w:type="dxa"/>
            <w:vMerge w:val="continue"/>
            <w:vAlign w:val="center"/>
          </w:tcPr>
          <w:p w14:paraId="52AA7E75">
            <w:pPr>
              <w:spacing w:line="360" w:lineRule="auto"/>
              <w:jc w:val="center"/>
              <w:rPr>
                <w:rFonts w:hint="eastAsia" w:ascii="宋体" w:hAnsi="宋体" w:eastAsia="宋体" w:cs="Times New Roman"/>
                <w:color w:val="auto"/>
                <w:szCs w:val="21"/>
              </w:rPr>
            </w:pPr>
          </w:p>
        </w:tc>
      </w:tr>
      <w:tr w14:paraId="06D1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426CD44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525" w:type="dxa"/>
            <w:vAlign w:val="center"/>
          </w:tcPr>
          <w:p w14:paraId="6419720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08" w:type="dxa"/>
            <w:shd w:val="clear" w:color="auto" w:fill="auto"/>
            <w:vAlign w:val="center"/>
          </w:tcPr>
          <w:p w14:paraId="3F3756A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767" w:type="dxa"/>
            <w:shd w:val="clear" w:color="auto" w:fill="auto"/>
            <w:vAlign w:val="center"/>
          </w:tcPr>
          <w:p w14:paraId="4903E05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520" w:type="dxa"/>
            <w:shd w:val="clear" w:color="auto" w:fill="auto"/>
            <w:vAlign w:val="center"/>
          </w:tcPr>
          <w:p w14:paraId="34C15E3D">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40" w:type="dxa"/>
            <w:vAlign w:val="center"/>
          </w:tcPr>
          <w:p w14:paraId="794929B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24747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28BD40B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525" w:type="dxa"/>
            <w:vAlign w:val="center"/>
          </w:tcPr>
          <w:p w14:paraId="7F687EC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08" w:type="dxa"/>
            <w:shd w:val="clear" w:color="auto" w:fill="auto"/>
            <w:vAlign w:val="center"/>
          </w:tcPr>
          <w:p w14:paraId="66D3768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767" w:type="dxa"/>
            <w:shd w:val="clear" w:color="auto" w:fill="auto"/>
            <w:vAlign w:val="center"/>
          </w:tcPr>
          <w:p w14:paraId="5976C660">
            <w:pPr>
              <w:spacing w:line="360" w:lineRule="auto"/>
              <w:jc w:val="center"/>
              <w:rPr>
                <w:rFonts w:hint="eastAsia" w:ascii="宋体" w:hAnsi="宋体" w:eastAsia="宋体" w:cs="Times New Roman"/>
                <w:color w:val="auto"/>
                <w:szCs w:val="21"/>
              </w:rPr>
            </w:pPr>
          </w:p>
        </w:tc>
        <w:tc>
          <w:tcPr>
            <w:tcW w:w="1520" w:type="dxa"/>
            <w:shd w:val="clear" w:color="auto" w:fill="auto"/>
            <w:vAlign w:val="center"/>
          </w:tcPr>
          <w:p w14:paraId="3CA52698">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40" w:type="dxa"/>
            <w:vAlign w:val="center"/>
          </w:tcPr>
          <w:p w14:paraId="26C6674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4604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2235CE0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1525" w:type="dxa"/>
            <w:vAlign w:val="center"/>
          </w:tcPr>
          <w:p w14:paraId="052D89C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08" w:type="dxa"/>
            <w:shd w:val="clear" w:color="auto" w:fill="auto"/>
            <w:vAlign w:val="center"/>
          </w:tcPr>
          <w:p w14:paraId="3F0C8492">
            <w:pPr>
              <w:spacing w:line="360" w:lineRule="auto"/>
              <w:jc w:val="center"/>
              <w:rPr>
                <w:rFonts w:hint="eastAsia" w:ascii="宋体" w:hAnsi="宋体" w:eastAsia="宋体" w:cs="Times New Roman"/>
                <w:color w:val="auto"/>
                <w:szCs w:val="21"/>
              </w:rPr>
            </w:pPr>
          </w:p>
        </w:tc>
        <w:tc>
          <w:tcPr>
            <w:tcW w:w="1767" w:type="dxa"/>
            <w:shd w:val="clear" w:color="auto" w:fill="auto"/>
            <w:vAlign w:val="center"/>
          </w:tcPr>
          <w:p w14:paraId="5E469B9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520" w:type="dxa"/>
            <w:shd w:val="clear" w:color="auto" w:fill="auto"/>
            <w:vAlign w:val="center"/>
          </w:tcPr>
          <w:p w14:paraId="55CD00A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40" w:type="dxa"/>
            <w:vAlign w:val="center"/>
          </w:tcPr>
          <w:p w14:paraId="349EAAA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71AC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458D658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课程目标4</w:t>
            </w:r>
          </w:p>
        </w:tc>
        <w:tc>
          <w:tcPr>
            <w:tcW w:w="1525" w:type="dxa"/>
            <w:vAlign w:val="center"/>
          </w:tcPr>
          <w:p w14:paraId="5C7DEC59">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08" w:type="dxa"/>
            <w:shd w:val="clear" w:color="auto" w:fill="auto"/>
            <w:vAlign w:val="center"/>
          </w:tcPr>
          <w:p w14:paraId="65E1048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767" w:type="dxa"/>
            <w:shd w:val="clear" w:color="auto" w:fill="auto"/>
            <w:vAlign w:val="center"/>
          </w:tcPr>
          <w:p w14:paraId="04775BA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520" w:type="dxa"/>
            <w:shd w:val="clear" w:color="auto" w:fill="auto"/>
            <w:vAlign w:val="center"/>
          </w:tcPr>
          <w:p w14:paraId="7202E5E2">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40" w:type="dxa"/>
            <w:vAlign w:val="center"/>
          </w:tcPr>
          <w:p w14:paraId="743A0A5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14CE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77C4BA4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525" w:type="dxa"/>
            <w:vAlign w:val="center"/>
          </w:tcPr>
          <w:p w14:paraId="512B1494">
            <w:pPr>
              <w:spacing w:line="360" w:lineRule="auto"/>
              <w:jc w:val="center"/>
              <w:rPr>
                <w:rFonts w:hint="eastAsia" w:ascii="宋体" w:hAnsi="宋体" w:eastAsia="宋体" w:cs="Times New Roman"/>
                <w:color w:val="auto"/>
                <w:szCs w:val="21"/>
              </w:rPr>
            </w:pPr>
          </w:p>
        </w:tc>
        <w:tc>
          <w:tcPr>
            <w:tcW w:w="1608" w:type="dxa"/>
            <w:vAlign w:val="center"/>
          </w:tcPr>
          <w:p w14:paraId="7CC1430F">
            <w:pPr>
              <w:spacing w:line="360" w:lineRule="auto"/>
              <w:jc w:val="center"/>
              <w:rPr>
                <w:rFonts w:hint="eastAsia" w:ascii="宋体" w:hAnsi="宋体" w:eastAsia="宋体" w:cs="Times New Roman"/>
                <w:color w:val="auto"/>
                <w:szCs w:val="21"/>
              </w:rPr>
            </w:pPr>
          </w:p>
        </w:tc>
        <w:tc>
          <w:tcPr>
            <w:tcW w:w="1767" w:type="dxa"/>
            <w:vAlign w:val="center"/>
          </w:tcPr>
          <w:p w14:paraId="1D3699BA">
            <w:pPr>
              <w:spacing w:line="360" w:lineRule="auto"/>
              <w:jc w:val="center"/>
              <w:rPr>
                <w:rFonts w:hint="eastAsia" w:ascii="宋体" w:hAnsi="宋体" w:eastAsia="宋体" w:cs="Times New Roman"/>
                <w:color w:val="auto"/>
                <w:szCs w:val="21"/>
              </w:rPr>
            </w:pPr>
          </w:p>
        </w:tc>
        <w:tc>
          <w:tcPr>
            <w:tcW w:w="1520" w:type="dxa"/>
            <w:vAlign w:val="center"/>
          </w:tcPr>
          <w:p w14:paraId="52B43109">
            <w:pPr>
              <w:spacing w:line="360" w:lineRule="auto"/>
              <w:jc w:val="center"/>
              <w:rPr>
                <w:rFonts w:hint="eastAsia" w:ascii="宋体" w:hAnsi="宋体" w:eastAsia="宋体" w:cs="Times New Roman"/>
                <w:color w:val="auto"/>
                <w:szCs w:val="21"/>
              </w:rPr>
            </w:pPr>
          </w:p>
        </w:tc>
        <w:tc>
          <w:tcPr>
            <w:tcW w:w="1140" w:type="dxa"/>
            <w:vAlign w:val="center"/>
          </w:tcPr>
          <w:p w14:paraId="65CA168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50A4FC2A">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646AC8C6">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8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1136"/>
      </w:tblGrid>
      <w:tr w14:paraId="32AF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FEAC3F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5C6C393C">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1136" w:type="dxa"/>
            <w:vAlign w:val="center"/>
          </w:tcPr>
          <w:p w14:paraId="3EDCAB95">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4D95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90924B4">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7141" w:type="dxa"/>
            <w:vAlign w:val="center"/>
          </w:tcPr>
          <w:p w14:paraId="3ED1B687">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学生出勤情况及工作态度，遵守实习学校规章制度，各类实习报告填写等。依据学生的出勤情况，平时工作的进展情况，实习任务完成情况，实习日记、听课记录等实习手册填写等进行评价。</w:t>
            </w:r>
          </w:p>
        </w:tc>
        <w:tc>
          <w:tcPr>
            <w:tcW w:w="1136" w:type="dxa"/>
            <w:vAlign w:val="center"/>
          </w:tcPr>
          <w:p w14:paraId="0E54282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w:t>
            </w:r>
          </w:p>
        </w:tc>
      </w:tr>
      <w:tr w14:paraId="7D29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06CA33F5">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课堂教学实习</w:t>
            </w:r>
          </w:p>
        </w:tc>
        <w:tc>
          <w:tcPr>
            <w:tcW w:w="7141" w:type="dxa"/>
            <w:shd w:val="clear" w:color="auto" w:fill="auto"/>
            <w:vAlign w:val="center"/>
          </w:tcPr>
          <w:p w14:paraId="1637FD05">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根据学科填写课堂听课记录，并能做出评价，同时在指导教师指导下写出教案，并能实施。由实习学校学科指导教师根据学生的听课、批改作业、课堂评价及试教情况进行评价。</w:t>
            </w:r>
          </w:p>
        </w:tc>
        <w:tc>
          <w:tcPr>
            <w:tcW w:w="1136" w:type="dxa"/>
            <w:shd w:val="clear" w:color="auto" w:fill="auto"/>
            <w:vAlign w:val="center"/>
          </w:tcPr>
          <w:p w14:paraId="7CF2797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40%</w:t>
            </w:r>
          </w:p>
        </w:tc>
      </w:tr>
      <w:tr w14:paraId="4072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42364A4E">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班主任工作实习</w:t>
            </w:r>
          </w:p>
        </w:tc>
        <w:tc>
          <w:tcPr>
            <w:tcW w:w="7141" w:type="dxa"/>
            <w:shd w:val="clear" w:color="auto" w:fill="auto"/>
            <w:vAlign w:val="center"/>
          </w:tcPr>
          <w:p w14:paraId="37CD5FE3">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根据实习班主任（少先队）工作情况。由实习学校班主任指导教师根据学生在校的班主任实习工作评价，对学生一日常规、思品课及与小学生互动中表现的学生观以及学生工作的能力进行评价。</w:t>
            </w:r>
          </w:p>
        </w:tc>
        <w:tc>
          <w:tcPr>
            <w:tcW w:w="1136" w:type="dxa"/>
            <w:shd w:val="clear" w:color="auto" w:fill="auto"/>
            <w:vAlign w:val="center"/>
          </w:tcPr>
          <w:p w14:paraId="5CE4613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w:t>
            </w:r>
          </w:p>
        </w:tc>
      </w:tr>
      <w:tr w14:paraId="3CDD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11E71F3A">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教育调查报告</w:t>
            </w:r>
          </w:p>
        </w:tc>
        <w:tc>
          <w:tcPr>
            <w:tcW w:w="7141" w:type="dxa"/>
            <w:shd w:val="clear" w:color="auto" w:fill="auto"/>
            <w:vAlign w:val="center"/>
          </w:tcPr>
          <w:p w14:paraId="6AA5C1EB">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学生根据对实习学校的调查研究，结合文献检索及查阅资料，写出调查报告。本校带队教师根据调查报告内容是否符合教育实习要求，能否就学校中的教育现象展开调查，内容是否明确，方法是否正确，条理是否清楚，是否有自己的观点等进行评价。</w:t>
            </w:r>
          </w:p>
        </w:tc>
        <w:tc>
          <w:tcPr>
            <w:tcW w:w="1136" w:type="dxa"/>
            <w:shd w:val="clear" w:color="auto" w:fill="auto"/>
            <w:vAlign w:val="center"/>
          </w:tcPr>
          <w:p w14:paraId="740D4A0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09B2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7A128C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7141" w:type="dxa"/>
            <w:vAlign w:val="center"/>
          </w:tcPr>
          <w:p w14:paraId="4CA66DC0">
            <w:pPr>
              <w:jc w:val="left"/>
              <w:rPr>
                <w:rFonts w:ascii="Times New Roman" w:hAnsi="Times New Roman" w:eastAsia="宋体" w:cs="Times New Roman"/>
                <w:color w:val="auto"/>
                <w:szCs w:val="21"/>
              </w:rPr>
            </w:pPr>
          </w:p>
        </w:tc>
        <w:tc>
          <w:tcPr>
            <w:tcW w:w="1136" w:type="dxa"/>
            <w:vAlign w:val="center"/>
          </w:tcPr>
          <w:p w14:paraId="27CD4A9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2669BC32">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41657F37">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6DCE2B88">
      <w:pPr>
        <w:spacing w:line="336" w:lineRule="auto"/>
        <w:ind w:firstLine="420" w:firstLineChars="200"/>
        <w:rPr>
          <w:rFonts w:hint="eastAsia" w:ascii="宋体" w:hAnsi="宋体" w:eastAsia="宋体" w:cs="Times New Roman"/>
          <w:b/>
          <w:color w:val="auto"/>
          <w:sz w:val="24"/>
          <w:szCs w:val="24"/>
        </w:rPr>
      </w:pPr>
      <w:r>
        <w:rPr>
          <w:rFonts w:ascii="宋体" w:hAnsi="宋体" w:eastAsia="宋体" w:cs="Times New Roman"/>
          <w:color w:val="auto"/>
          <w:szCs w:val="21"/>
        </w:rPr>
        <w:object>
          <v:shape id="_x0000_i1084"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84" DrawAspect="Content" ObjectID="_1468075783" r:id="rId70">
            <o:LockedField>false</o:LockedField>
          </o:OLEObject>
        </w:object>
      </w:r>
      <w:r>
        <w:rPr>
          <w:rFonts w:hint="eastAsia" w:ascii="Times New Roman" w:hAnsi="Times New Roman" w:eastAsia="宋体" w:cs="Times New Roman"/>
          <w:b/>
          <w:color w:val="auto"/>
          <w:sz w:val="24"/>
          <w:szCs w:val="24"/>
          <w:lang w:val="en-US" w:eastAsia="zh-CN"/>
        </w:rPr>
        <w:t>五、课程参考书</w:t>
      </w:r>
    </w:p>
    <w:p w14:paraId="1968F659">
      <w:pPr>
        <w:spacing w:line="336" w:lineRule="auto"/>
        <w:ind w:firstLine="440" w:firstLineChars="200"/>
        <w:rPr>
          <w:rFonts w:hint="eastAsia" w:ascii="宋体" w:hAnsi="宋体" w:eastAsia="宋体" w:cs="Times New Roman"/>
          <w:bCs/>
          <w:color w:val="auto"/>
          <w:sz w:val="22"/>
          <w:szCs w:val="22"/>
          <w:lang w:val="en-US" w:eastAsia="zh-CN"/>
        </w:rPr>
      </w:pPr>
      <w:r>
        <w:rPr>
          <w:rFonts w:hint="eastAsia" w:ascii="宋体" w:hAnsi="宋体" w:eastAsia="宋体" w:cs="Times New Roman"/>
          <w:bCs/>
          <w:color w:val="auto"/>
          <w:sz w:val="22"/>
          <w:szCs w:val="22"/>
        </w:rPr>
        <w:t>1．义务教育各学科课程标准，2022</w:t>
      </w:r>
      <w:r>
        <w:rPr>
          <w:rFonts w:hint="eastAsia" w:ascii="宋体" w:hAnsi="宋体" w:eastAsia="宋体" w:cs="Times New Roman"/>
          <w:bCs/>
          <w:color w:val="auto"/>
          <w:sz w:val="22"/>
          <w:szCs w:val="22"/>
          <w:lang w:val="en-US" w:eastAsia="zh-CN"/>
        </w:rPr>
        <w:t>.</w:t>
      </w:r>
    </w:p>
    <w:p w14:paraId="6ABF6435">
      <w:pPr>
        <w:spacing w:line="336" w:lineRule="auto"/>
        <w:ind w:firstLine="440" w:firstLineChars="200"/>
        <w:rPr>
          <w:rFonts w:hint="eastAsia" w:ascii="宋体" w:hAnsi="宋体" w:eastAsia="宋体" w:cs="Times New Roman"/>
          <w:bCs/>
          <w:color w:val="auto"/>
          <w:sz w:val="22"/>
          <w:szCs w:val="22"/>
        </w:rPr>
      </w:pPr>
      <w:r>
        <w:rPr>
          <w:rFonts w:hint="eastAsia" w:ascii="宋体" w:hAnsi="宋体" w:eastAsia="宋体" w:cs="Times New Roman"/>
          <w:bCs/>
          <w:color w:val="auto"/>
          <w:sz w:val="22"/>
          <w:szCs w:val="22"/>
        </w:rPr>
        <w:t>2．部编版小学各年级教材</w:t>
      </w:r>
    </w:p>
    <w:p w14:paraId="4B744814">
      <w:pPr>
        <w:spacing w:line="336" w:lineRule="auto"/>
        <w:ind w:firstLine="440" w:firstLineChars="200"/>
        <w:rPr>
          <w:rFonts w:hint="eastAsia" w:ascii="宋体" w:hAnsi="宋体" w:eastAsia="宋体" w:cs="Times New Roman"/>
          <w:bCs/>
          <w:color w:val="auto"/>
          <w:sz w:val="22"/>
          <w:szCs w:val="22"/>
        </w:rPr>
      </w:pPr>
      <w:r>
        <w:rPr>
          <w:rFonts w:hint="eastAsia" w:ascii="宋体" w:hAnsi="宋体" w:eastAsia="宋体" w:cs="Times New Roman"/>
          <w:bCs/>
          <w:color w:val="auto"/>
          <w:sz w:val="22"/>
          <w:szCs w:val="22"/>
        </w:rPr>
        <w:t>3．苗凤华．教育实习指南．科学出版社，2018.</w:t>
      </w:r>
    </w:p>
    <w:p w14:paraId="5493F5FB">
      <w:pPr>
        <w:spacing w:line="336" w:lineRule="auto"/>
        <w:ind w:firstLine="440" w:firstLineChars="200"/>
        <w:rPr>
          <w:rFonts w:hint="eastAsia" w:ascii="宋体" w:hAnsi="宋体" w:eastAsia="宋体" w:cs="Times New Roman"/>
          <w:color w:val="auto"/>
          <w:kern w:val="0"/>
          <w:sz w:val="24"/>
          <w:szCs w:val="21"/>
        </w:rPr>
      </w:pPr>
      <w:r>
        <w:rPr>
          <w:rFonts w:hint="eastAsia" w:ascii="宋体" w:hAnsi="宋体" w:eastAsia="宋体" w:cs="Times New Roman"/>
          <w:bCs/>
          <w:color w:val="auto"/>
          <w:sz w:val="22"/>
          <w:szCs w:val="22"/>
        </w:rPr>
        <w:t>4. 侯宏业，薛微微.小学教育实习手册.南京大学出版社，2021</w:t>
      </w:r>
      <w:r>
        <w:rPr>
          <w:rFonts w:hint="eastAsia" w:ascii="宋体" w:hAnsi="宋体" w:eastAsia="宋体" w:cs="Times New Roman"/>
          <w:bCs/>
          <w:color w:val="auto"/>
          <w:sz w:val="24"/>
        </w:rPr>
        <w:t>.</w:t>
      </w:r>
    </w:p>
    <w:p w14:paraId="4B508822">
      <w:pPr>
        <w:autoSpaceDE w:val="0"/>
        <w:autoSpaceDN w:val="0"/>
        <w:adjustRightInd w:val="0"/>
        <w:spacing w:line="360" w:lineRule="auto"/>
        <w:jc w:val="right"/>
        <w:rPr>
          <w:rFonts w:hint="eastAsia" w:ascii="宋体" w:hAnsi="宋体" w:eastAsia="宋体" w:cs="Times New Roman"/>
          <w:color w:val="auto"/>
          <w:kern w:val="0"/>
          <w:sz w:val="21"/>
          <w:szCs w:val="18"/>
        </w:rPr>
      </w:pPr>
      <w:r>
        <w:rPr>
          <w:rFonts w:ascii="宋体" w:hAnsi="宋体" w:eastAsia="宋体" w:cs="Times New Roman"/>
          <w:color w:val="auto"/>
          <w:kern w:val="0"/>
          <w:sz w:val="21"/>
          <w:szCs w:val="18"/>
        </w:rPr>
        <w:t>执笔人：</w:t>
      </w:r>
      <w:r>
        <w:rPr>
          <w:rFonts w:hint="eastAsia" w:ascii="宋体" w:hAnsi="宋体" w:eastAsia="宋体" w:cs="Times New Roman"/>
          <w:color w:val="auto"/>
          <w:kern w:val="0"/>
          <w:sz w:val="21"/>
          <w:szCs w:val="18"/>
        </w:rPr>
        <w:t>姚玉香</w:t>
      </w:r>
    </w:p>
    <w:p w14:paraId="6B83540B">
      <w:pPr>
        <w:autoSpaceDE w:val="0"/>
        <w:autoSpaceDN w:val="0"/>
        <w:adjustRightInd w:val="0"/>
        <w:spacing w:line="360" w:lineRule="auto"/>
        <w:jc w:val="right"/>
        <w:rPr>
          <w:rFonts w:hint="eastAsia" w:ascii="宋体" w:hAnsi="宋体" w:eastAsia="宋体" w:cs="Times New Roman"/>
          <w:color w:val="auto"/>
          <w:kern w:val="0"/>
          <w:sz w:val="21"/>
          <w:szCs w:val="18"/>
        </w:rPr>
      </w:pPr>
      <w:r>
        <w:rPr>
          <w:rFonts w:hint="eastAsia" w:ascii="宋体" w:hAnsi="宋体" w:eastAsia="宋体" w:cs="Times New Roman"/>
          <w:color w:val="auto"/>
          <w:kern w:val="0"/>
          <w:sz w:val="21"/>
          <w:szCs w:val="18"/>
        </w:rPr>
        <w:t>审定人：王  健</w:t>
      </w:r>
    </w:p>
    <w:p w14:paraId="283C2614">
      <w:pPr>
        <w:autoSpaceDE w:val="0"/>
        <w:autoSpaceDN w:val="0"/>
        <w:adjustRightInd w:val="0"/>
        <w:spacing w:line="360" w:lineRule="auto"/>
        <w:jc w:val="right"/>
        <w:rPr>
          <w:rFonts w:hint="eastAsia" w:ascii="宋体" w:hAnsi="宋体" w:eastAsia="宋体" w:cs="Times New Roman"/>
          <w:color w:val="auto"/>
          <w:kern w:val="0"/>
          <w:sz w:val="21"/>
          <w:szCs w:val="18"/>
        </w:rPr>
      </w:pPr>
      <w:r>
        <w:rPr>
          <w:rFonts w:hint="eastAsia" w:ascii="宋体" w:hAnsi="宋体" w:eastAsia="宋体" w:cs="Times New Roman"/>
          <w:color w:val="auto"/>
          <w:kern w:val="0"/>
          <w:sz w:val="21"/>
          <w:szCs w:val="18"/>
        </w:rPr>
        <w:t>审批人：张志欣</w:t>
      </w:r>
    </w:p>
    <w:p w14:paraId="268D9F50">
      <w:pPr>
        <w:jc w:val="right"/>
        <w:rPr>
          <w:rFonts w:hint="eastAsia" w:ascii="宋体" w:hAnsi="宋体" w:eastAsia="宋体" w:cs="Times New Roman"/>
          <w:color w:val="auto"/>
          <w:kern w:val="0"/>
          <w:sz w:val="21"/>
          <w:szCs w:val="18"/>
          <w:lang w:eastAsia="zh-CN"/>
        </w:rPr>
      </w:pPr>
      <w:r>
        <w:rPr>
          <w:rFonts w:hint="eastAsia" w:ascii="宋体" w:hAnsi="宋体" w:eastAsia="宋体" w:cs="Times New Roman"/>
          <w:color w:val="auto"/>
          <w:kern w:val="0"/>
          <w:sz w:val="21"/>
          <w:szCs w:val="18"/>
          <w:lang w:eastAsia="zh-CN"/>
        </w:rPr>
        <w:t>批准时间：2025年7月1日</w:t>
      </w:r>
    </w:p>
    <w:p w14:paraId="222595EF">
      <w:pPr>
        <w:rPr>
          <w:rFonts w:hint="eastAsia" w:ascii="宋体" w:hAnsi="宋体" w:eastAsia="宋体" w:cs="Times New Roman"/>
          <w:color w:val="auto"/>
          <w:kern w:val="0"/>
          <w:sz w:val="24"/>
          <w:szCs w:val="21"/>
        </w:rPr>
      </w:pPr>
      <w:r>
        <w:rPr>
          <w:rFonts w:hint="eastAsia" w:ascii="宋体" w:hAnsi="宋体" w:eastAsia="宋体" w:cs="Times New Roman"/>
          <w:color w:val="auto"/>
          <w:kern w:val="0"/>
          <w:sz w:val="24"/>
          <w:szCs w:val="21"/>
        </w:rPr>
        <w:br w:type="page"/>
      </w:r>
    </w:p>
    <w:p w14:paraId="1B064EBC">
      <w:pPr>
        <w:spacing w:line="360" w:lineRule="auto"/>
        <w:jc w:val="center"/>
        <w:outlineLvl w:val="0"/>
        <w:rPr>
          <w:rFonts w:hint="eastAsia" w:ascii="Times New Roman" w:hAnsi="Times New Roman" w:eastAsia="宋体" w:cs="Times New Roman"/>
          <w:b/>
          <w:color w:val="auto"/>
          <w:sz w:val="44"/>
          <w:szCs w:val="44"/>
        </w:rPr>
      </w:pPr>
      <w:bookmarkStart w:id="461" w:name="_Toc88424559"/>
      <w:bookmarkStart w:id="462" w:name="_Toc4930"/>
      <w:bookmarkStart w:id="463" w:name="_Toc24598"/>
      <w:r>
        <w:rPr>
          <w:rFonts w:hint="eastAsia" w:ascii="Times New Roman" w:hAnsi="Times New Roman" w:eastAsia="宋体" w:cs="Times New Roman"/>
          <w:b/>
          <w:color w:val="auto"/>
          <w:sz w:val="44"/>
          <w:szCs w:val="44"/>
        </w:rPr>
        <w:t>《教育研习》课程教学大纲</w:t>
      </w:r>
      <w:bookmarkEnd w:id="461"/>
      <w:bookmarkEnd w:id="462"/>
      <w:bookmarkEnd w:id="463"/>
    </w:p>
    <w:p w14:paraId="5C0739D1">
      <w:pPr>
        <w:spacing w:line="360" w:lineRule="auto"/>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w:t>
      </w:r>
      <w:r>
        <w:rPr>
          <w:rFonts w:ascii="Times New Roman" w:hAnsi="Times New Roman" w:eastAsia="黑体" w:cs="Times New Roman"/>
          <w:b/>
          <w:bCs/>
          <w:color w:val="auto"/>
          <w:sz w:val="28"/>
          <w:szCs w:val="28"/>
        </w:rPr>
        <w:t>Research in Education</w:t>
      </w:r>
      <w:r>
        <w:rPr>
          <w:rFonts w:ascii="Times New Roman" w:hAnsi="Times New Roman" w:eastAsia="宋体" w:cs="Times New Roman"/>
          <w:b/>
          <w:bCs/>
          <w:color w:val="auto"/>
          <w:sz w:val="28"/>
          <w:szCs w:val="28"/>
        </w:rPr>
        <w:t>）</w:t>
      </w:r>
    </w:p>
    <w:p w14:paraId="1C41F79F">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1"/>
          <w:szCs w:val="21"/>
          <w:lang w:val="en-US" w:eastAsia="zh-CN"/>
        </w:rPr>
      </w:pPr>
    </w:p>
    <w:p w14:paraId="52D97F39">
      <w:pPr>
        <w:spacing w:line="360" w:lineRule="auto"/>
        <w:ind w:firstLine="482" w:firstLineChars="200"/>
        <w:rPr>
          <w:rFonts w:hint="default" w:ascii="宋体" w:hAnsi="宋体" w:eastAsia="宋体" w:cs="Times New Roman"/>
          <w:b/>
          <w:bCs/>
          <w:color w:val="auto"/>
          <w:kern w:val="0"/>
          <w:sz w:val="24"/>
          <w:szCs w:val="24"/>
          <w:lang w:val="en-US" w:eastAsia="zh-CN"/>
        </w:rPr>
      </w:pPr>
      <w:r>
        <w:rPr>
          <w:rFonts w:hint="eastAsia" w:ascii="宋体" w:hAnsi="宋体" w:eastAsia="宋体" w:cs="Times New Roman"/>
          <w:b/>
          <w:bCs/>
          <w:color w:val="auto"/>
          <w:kern w:val="0"/>
          <w:sz w:val="24"/>
          <w:szCs w:val="24"/>
          <w:lang w:val="en-US" w:eastAsia="zh-CN"/>
        </w:rPr>
        <w:t>课程名称：教育研习</w:t>
      </w:r>
    </w:p>
    <w:p w14:paraId="29C5496F">
      <w:pPr>
        <w:spacing w:line="360" w:lineRule="auto"/>
        <w:ind w:firstLine="482" w:firstLineChars="200"/>
        <w:rPr>
          <w:rFonts w:ascii="宋体" w:hAnsi="Times New Roman" w:eastAsia="宋体" w:cs="Times New Roman"/>
          <w:b/>
          <w:bCs/>
          <w:color w:val="auto"/>
          <w:sz w:val="24"/>
          <w:szCs w:val="24"/>
        </w:rPr>
      </w:pPr>
      <w:r>
        <w:rPr>
          <w:rFonts w:hint="eastAsia" w:ascii="宋体" w:hAnsi="宋体" w:eastAsia="宋体" w:cs="Times New Roman"/>
          <w:b/>
          <w:bCs/>
          <w:color w:val="auto"/>
          <w:kern w:val="0"/>
          <w:sz w:val="24"/>
          <w:szCs w:val="24"/>
        </w:rPr>
        <w:t>课程代码：24010</w:t>
      </w:r>
      <w:r>
        <w:rPr>
          <w:rFonts w:ascii="宋体" w:hAnsi="宋体" w:eastAsia="宋体" w:cs="Times New Roman"/>
          <w:b/>
          <w:bCs/>
          <w:color w:val="auto"/>
          <w:kern w:val="0"/>
          <w:sz w:val="24"/>
          <w:szCs w:val="24"/>
        </w:rPr>
        <w:t>68</w:t>
      </w:r>
    </w:p>
    <w:p w14:paraId="109EE36C">
      <w:pPr>
        <w:spacing w:line="360" w:lineRule="auto"/>
        <w:ind w:firstLine="482" w:firstLineChars="200"/>
        <w:rPr>
          <w:rFonts w:hint="eastAsia" w:ascii="宋体" w:hAnsi="宋体" w:eastAsia="宋体" w:cs="Times New Roman"/>
          <w:b/>
          <w:bCs/>
          <w:color w:val="auto"/>
          <w:kern w:val="0"/>
          <w:sz w:val="24"/>
          <w:szCs w:val="24"/>
        </w:rPr>
      </w:pPr>
      <w:r>
        <w:rPr>
          <w:rFonts w:hint="eastAsia" w:ascii="宋体" w:hAnsi="宋体" w:eastAsia="宋体" w:cs="Times New Roman"/>
          <w:b/>
          <w:bCs/>
          <w:color w:val="auto"/>
          <w:kern w:val="0"/>
          <w:sz w:val="24"/>
          <w:szCs w:val="24"/>
        </w:rPr>
        <w:t>学</w:t>
      </w:r>
      <w:r>
        <w:rPr>
          <w:rFonts w:ascii="宋体" w:hAnsi="宋体" w:eastAsia="宋体" w:cs="Times New Roman"/>
          <w:b/>
          <w:bCs/>
          <w:color w:val="auto"/>
          <w:kern w:val="0"/>
          <w:sz w:val="24"/>
          <w:szCs w:val="24"/>
        </w:rPr>
        <w:t xml:space="preserve">    </w:t>
      </w:r>
      <w:r>
        <w:rPr>
          <w:rFonts w:hint="eastAsia" w:ascii="宋体" w:hAnsi="宋体" w:eastAsia="宋体" w:cs="Times New Roman"/>
          <w:b/>
          <w:bCs/>
          <w:color w:val="auto"/>
          <w:kern w:val="0"/>
          <w:sz w:val="24"/>
          <w:szCs w:val="24"/>
        </w:rPr>
        <w:t>分：1</w:t>
      </w:r>
    </w:p>
    <w:p w14:paraId="3A874D46">
      <w:pPr>
        <w:spacing w:line="360" w:lineRule="auto"/>
        <w:ind w:firstLine="482" w:firstLineChars="200"/>
        <w:rPr>
          <w:rFonts w:ascii="宋体" w:hAnsi="Times New Roman" w:eastAsia="宋体" w:cs="Times New Roman"/>
          <w:b/>
          <w:bCs/>
          <w:color w:val="auto"/>
          <w:kern w:val="0"/>
          <w:sz w:val="24"/>
          <w:szCs w:val="24"/>
        </w:rPr>
      </w:pPr>
      <w:r>
        <w:rPr>
          <w:rFonts w:hint="eastAsia" w:ascii="宋体" w:hAnsi="宋体" w:eastAsia="宋体" w:cs="Times New Roman"/>
          <w:b/>
          <w:bCs/>
          <w:color w:val="auto"/>
          <w:kern w:val="0"/>
          <w:sz w:val="24"/>
          <w:szCs w:val="24"/>
        </w:rPr>
        <w:t>学</w:t>
      </w:r>
      <w:r>
        <w:rPr>
          <w:rFonts w:ascii="宋体" w:hAnsi="宋体" w:eastAsia="宋体" w:cs="Times New Roman"/>
          <w:b/>
          <w:bCs/>
          <w:color w:val="auto"/>
          <w:kern w:val="0"/>
          <w:sz w:val="24"/>
          <w:szCs w:val="24"/>
        </w:rPr>
        <w:t xml:space="preserve">    </w:t>
      </w:r>
      <w:r>
        <w:rPr>
          <w:rFonts w:hint="eastAsia" w:ascii="宋体" w:hAnsi="宋体" w:eastAsia="宋体" w:cs="Times New Roman"/>
          <w:b/>
          <w:bCs/>
          <w:color w:val="auto"/>
          <w:kern w:val="0"/>
          <w:sz w:val="24"/>
          <w:szCs w:val="24"/>
        </w:rPr>
        <w:t>时：2周</w:t>
      </w:r>
    </w:p>
    <w:p w14:paraId="73AC4241">
      <w:pPr>
        <w:spacing w:line="360" w:lineRule="auto"/>
        <w:ind w:firstLine="482" w:firstLineChars="200"/>
        <w:rPr>
          <w:rFonts w:ascii="宋体" w:hAnsi="Times New Roman" w:eastAsia="宋体" w:cs="Times New Roman"/>
          <w:b/>
          <w:bCs/>
          <w:color w:val="auto"/>
          <w:sz w:val="24"/>
          <w:szCs w:val="24"/>
        </w:rPr>
      </w:pPr>
      <w:r>
        <w:rPr>
          <w:rFonts w:hint="eastAsia" w:ascii="宋体" w:hAnsi="宋体" w:eastAsia="宋体" w:cs="Times New Roman"/>
          <w:b/>
          <w:bCs/>
          <w:color w:val="auto"/>
          <w:kern w:val="0"/>
          <w:sz w:val="24"/>
          <w:szCs w:val="24"/>
        </w:rPr>
        <w:t>先修课程：</w:t>
      </w:r>
      <w:r>
        <w:rPr>
          <w:rFonts w:ascii="宋体" w:hAnsi="宋体" w:eastAsia="宋体" w:cs="Times New Roman"/>
          <w:b/>
          <w:bCs/>
          <w:color w:val="auto"/>
          <w:kern w:val="0"/>
          <w:sz w:val="24"/>
          <w:szCs w:val="24"/>
        </w:rPr>
        <w:t>现代教育技术、教育哲学、教育社会学，以及部分数学/中文类课程</w:t>
      </w:r>
      <w:r>
        <w:rPr>
          <w:rFonts w:hint="eastAsia" w:ascii="宋体" w:hAnsi="宋体" w:eastAsia="宋体" w:cs="Times New Roman"/>
          <w:b/>
          <w:bCs/>
          <w:color w:val="auto"/>
          <w:kern w:val="0"/>
          <w:sz w:val="24"/>
          <w:szCs w:val="24"/>
        </w:rPr>
        <w:t>、教育研习Ⅰ、教育研习Ⅱ、教学实训等。</w:t>
      </w:r>
    </w:p>
    <w:p w14:paraId="3276B0EC">
      <w:pPr>
        <w:spacing w:line="360" w:lineRule="auto"/>
        <w:ind w:firstLine="482" w:firstLineChars="200"/>
        <w:rPr>
          <w:rFonts w:hint="eastAsia" w:ascii="宋体" w:hAnsi="宋体" w:eastAsia="宋体" w:cs="Times New Roman"/>
          <w:b/>
          <w:bCs/>
          <w:color w:val="auto"/>
          <w:kern w:val="0"/>
          <w:szCs w:val="21"/>
        </w:rPr>
      </w:pPr>
      <w:r>
        <w:rPr>
          <w:rFonts w:hint="eastAsia" w:ascii="宋体" w:hAnsi="宋体" w:eastAsia="宋体" w:cs="Times New Roman"/>
          <w:b/>
          <w:bCs/>
          <w:color w:val="auto"/>
          <w:kern w:val="0"/>
          <w:sz w:val="24"/>
          <w:szCs w:val="24"/>
        </w:rPr>
        <w:t>适用专业：小学教育</w:t>
      </w:r>
    </w:p>
    <w:p w14:paraId="3C28AFD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一、课程简介</w:t>
      </w:r>
    </w:p>
    <w:p w14:paraId="1E36B1EC">
      <w:pPr>
        <w:numPr>
          <w:ilvl w:val="0"/>
          <w:numId w:val="0"/>
        </w:numPr>
        <w:spacing w:line="360" w:lineRule="auto"/>
        <w:ind w:firstLine="420" w:firstLineChars="200"/>
        <w:rPr>
          <w:rFonts w:hint="eastAsia" w:ascii="华文楷体" w:hAnsi="华文楷体" w:eastAsia="华文楷体" w:cs="宋体"/>
          <w:color w:val="auto"/>
          <w:kern w:val="0"/>
          <w:sz w:val="16"/>
          <w:szCs w:val="16"/>
        </w:rPr>
      </w:pPr>
      <w:r>
        <w:rPr>
          <w:rFonts w:hint="eastAsia" w:ascii="宋体" w:hAnsi="宋体" w:eastAsia="宋体" w:cs="Times New Roman"/>
          <w:color w:val="auto"/>
          <w:kern w:val="0"/>
          <w:szCs w:val="21"/>
        </w:rPr>
        <w:t>教育研习是小学教育专业集中实践教学的一门可成。本课程的任务和目的是使学生全面获得教育教学体验，对教师职</w:t>
      </w:r>
      <w:r>
        <w:rPr>
          <w:rFonts w:ascii="宋体" w:hAnsi="宋体" w:eastAsia="宋体" w:cs="Times New Roman"/>
          <w:color w:val="auto"/>
          <w:kern w:val="0"/>
          <w:szCs w:val="21"/>
        </w:rPr>
        <w:t>业的专业化过程中出现的有关问题进行分析、探讨和研究，在理论和实践的互动中提高反思能力和研究能力，进而提升自己的职业技能水平，以便更好地适应将来的教师工作。它是以实践为基础、以研究为主要特点的学习活动，贯穿在“实践中研究、在研究中实践”这一基本原则。</w:t>
      </w:r>
      <w:r>
        <w:rPr>
          <w:rFonts w:hint="eastAsia" w:ascii="宋体" w:hAnsi="宋体" w:eastAsia="宋体" w:cs="Times New Roman"/>
          <w:color w:val="auto"/>
          <w:kern w:val="0"/>
          <w:szCs w:val="21"/>
        </w:rPr>
        <w:t>建立正确的教学评价观、团队协作观，坚持综合育人、全面发展的教育理念。</w:t>
      </w:r>
    </w:p>
    <w:p w14:paraId="33546195">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360" w:lineRule="auto"/>
        <w:ind w:leftChars="0"/>
        <w:jc w:val="left"/>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二、课程目标</w:t>
      </w:r>
    </w:p>
    <w:p w14:paraId="261092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left"/>
        <w:textAlignment w:val="auto"/>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（一）课程具体目标</w:t>
      </w:r>
    </w:p>
    <w:p w14:paraId="47306978">
      <w:pPr>
        <w:spacing w:line="360" w:lineRule="auto"/>
        <w:ind w:firstLine="420" w:firstLineChars="200"/>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目标</w:t>
      </w:r>
      <w:r>
        <w:rPr>
          <w:rFonts w:ascii="宋体" w:hAnsi="宋体" w:eastAsia="宋体" w:cs="Times New Roman"/>
          <w:color w:val="auto"/>
          <w:sz w:val="21"/>
          <w:szCs w:val="21"/>
        </w:rPr>
        <w:t xml:space="preserve">1. </w:t>
      </w:r>
      <w:r>
        <w:rPr>
          <w:rFonts w:hint="eastAsia" w:ascii="宋体" w:hAnsi="宋体" w:eastAsia="宋体" w:cs="Times New Roman"/>
          <w:color w:val="auto"/>
          <w:sz w:val="21"/>
          <w:szCs w:val="21"/>
        </w:rPr>
        <w:t>通过教育研习，初步掌握反思方法与技能，具有一定创新意识，能够运用批判性思维方法</w:t>
      </w:r>
      <w:r>
        <w:rPr>
          <w:rFonts w:ascii="宋体" w:hAnsi="宋体" w:eastAsia="宋体" w:cs="Times New Roman"/>
          <w:color w:val="auto"/>
          <w:sz w:val="21"/>
          <w:szCs w:val="21"/>
        </w:rPr>
        <w:t>发现、分析和解决教育</w:t>
      </w:r>
      <w:r>
        <w:rPr>
          <w:rFonts w:hint="eastAsia" w:ascii="宋体" w:hAnsi="宋体" w:eastAsia="宋体" w:cs="Times New Roman"/>
          <w:color w:val="auto"/>
          <w:sz w:val="21"/>
          <w:szCs w:val="21"/>
        </w:rPr>
        <w:t>学习和</w:t>
      </w:r>
      <w:r>
        <w:rPr>
          <w:rFonts w:ascii="宋体" w:hAnsi="宋体" w:eastAsia="宋体" w:cs="Times New Roman"/>
          <w:color w:val="auto"/>
          <w:sz w:val="21"/>
          <w:szCs w:val="21"/>
        </w:rPr>
        <w:t>研习过程中小学教育教学中存在的实际问题。</w:t>
      </w:r>
    </w:p>
    <w:p w14:paraId="274B005B">
      <w:pPr>
        <w:spacing w:line="360" w:lineRule="auto"/>
        <w:ind w:firstLine="420" w:firstLineChars="200"/>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目标</w:t>
      </w:r>
      <w:r>
        <w:rPr>
          <w:rFonts w:ascii="宋体" w:hAnsi="宋体" w:eastAsia="宋体" w:cs="Times New Roman"/>
          <w:color w:val="auto"/>
          <w:sz w:val="21"/>
          <w:szCs w:val="21"/>
        </w:rPr>
        <w:t>2.</w:t>
      </w:r>
      <w:r>
        <w:rPr>
          <w:rFonts w:hint="eastAsia"/>
          <w:color w:val="auto"/>
          <w:sz w:val="21"/>
          <w:szCs w:val="21"/>
        </w:rPr>
        <w:t xml:space="preserve"> </w:t>
      </w:r>
      <w:r>
        <w:rPr>
          <w:rFonts w:hint="eastAsia" w:ascii="宋体" w:hAnsi="宋体" w:eastAsia="宋体" w:cs="Times New Roman"/>
          <w:color w:val="auto"/>
          <w:sz w:val="21"/>
          <w:szCs w:val="21"/>
        </w:rPr>
        <w:t>通过现场评课学会运用教育科研的基本方法，去分析和解决小学教育教学中出现的各种现实问题，掌握学科教学必备的知识与技能，在教材研读和教学设计上具备基本能力，乐于钻研教育教学问题。</w:t>
      </w:r>
    </w:p>
    <w:p w14:paraId="03595BC9">
      <w:pPr>
        <w:spacing w:line="360" w:lineRule="auto"/>
        <w:ind w:firstLine="420" w:firstLineChars="200"/>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目标</w:t>
      </w:r>
      <w:r>
        <w:rPr>
          <w:rFonts w:ascii="宋体" w:hAnsi="宋体" w:eastAsia="宋体" w:cs="Times New Roman"/>
          <w:color w:val="auto"/>
          <w:sz w:val="21"/>
          <w:szCs w:val="21"/>
        </w:rPr>
        <w:t>3.</w:t>
      </w:r>
      <w:r>
        <w:rPr>
          <w:rFonts w:hint="eastAsia"/>
          <w:color w:val="auto"/>
          <w:sz w:val="21"/>
          <w:szCs w:val="21"/>
        </w:rPr>
        <w:t xml:space="preserve"> </w:t>
      </w:r>
      <w:r>
        <w:rPr>
          <w:rFonts w:hint="eastAsia" w:ascii="宋体" w:hAnsi="宋体" w:eastAsia="宋体" w:cs="Times New Roman"/>
          <w:color w:val="auto"/>
          <w:sz w:val="21"/>
          <w:szCs w:val="21"/>
        </w:rPr>
        <w:t>通过课堂教学和班队工作研习，使学生加深理解和综合运用所学的文化科学知识、教育理论知识和技能，初步掌握科学的教育教学方法和小学班队组织与建设的工作规律与方法，培养从事教学教育教学工作和班队建设与管理的能力。</w:t>
      </w:r>
    </w:p>
    <w:p w14:paraId="1622CE64">
      <w:pPr>
        <w:spacing w:line="360" w:lineRule="auto"/>
        <w:ind w:firstLine="420" w:firstLineChars="200"/>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目标</w:t>
      </w:r>
      <w:r>
        <w:rPr>
          <w:rFonts w:ascii="宋体" w:hAnsi="宋体" w:eastAsia="宋体" w:cs="Times New Roman"/>
          <w:color w:val="auto"/>
          <w:sz w:val="21"/>
          <w:szCs w:val="21"/>
        </w:rPr>
        <w:t>4.</w:t>
      </w:r>
      <w:r>
        <w:rPr>
          <w:rFonts w:hint="eastAsia"/>
          <w:color w:val="auto"/>
          <w:sz w:val="21"/>
          <w:szCs w:val="21"/>
        </w:rPr>
        <w:t xml:space="preserve"> </w:t>
      </w:r>
      <w:r>
        <w:rPr>
          <w:rFonts w:hint="eastAsia" w:ascii="宋体" w:hAnsi="宋体" w:eastAsia="宋体" w:cs="Times New Roman"/>
          <w:color w:val="auto"/>
          <w:sz w:val="21"/>
          <w:szCs w:val="21"/>
        </w:rPr>
        <w:t>通过教育研习</w:t>
      </w:r>
      <w:r>
        <w:rPr>
          <w:rFonts w:ascii="宋体" w:hAnsi="宋体" w:eastAsia="宋体" w:cs="Times New Roman"/>
          <w:color w:val="auto"/>
          <w:sz w:val="21"/>
          <w:szCs w:val="21"/>
        </w:rPr>
        <w:t>，使学生初步掌握小学教育工作规律，了解当前小学教育、教学改革动态，为今后投身教育改革和教育科研工作，提高教育教学质量打下基础。</w:t>
      </w:r>
    </w:p>
    <w:p w14:paraId="505497C9">
      <w:pPr>
        <w:spacing w:before="156" w:beforeLines="50" w:after="156" w:afterLines="50" w:line="360" w:lineRule="auto"/>
        <w:ind w:firstLine="442" w:firstLineChars="200"/>
        <w:jc w:val="left"/>
        <w:rPr>
          <w:rFonts w:ascii="Times New Roman" w:hAnsi="Times New Roman" w:eastAsia="宋体" w:cs="Times New Roman"/>
          <w:b/>
          <w:bCs/>
          <w:color w:val="auto"/>
          <w:sz w:val="22"/>
          <w:szCs w:val="22"/>
        </w:rPr>
      </w:pPr>
      <w:r>
        <w:rPr>
          <w:rFonts w:hint="eastAsia" w:ascii="Times New Roman" w:hAnsi="Times New Roman" w:eastAsia="宋体" w:cs="Times New Roman"/>
          <w:b/>
          <w:bCs/>
          <w:color w:val="auto"/>
          <w:sz w:val="22"/>
          <w:szCs w:val="22"/>
        </w:rPr>
        <w:t>（二）课程目标及其对毕业要求指标点的支撑</w:t>
      </w:r>
    </w:p>
    <w:tbl>
      <w:tblPr>
        <w:tblStyle w:val="1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6326"/>
        <w:gridCol w:w="1191"/>
      </w:tblGrid>
      <w:tr w14:paraId="5EB5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584FE278">
            <w:pPr>
              <w:spacing w:line="360" w:lineRule="auto"/>
              <w:jc w:val="center"/>
              <w:rPr>
                <w:rFonts w:ascii="Times New Roman" w:hAnsi="Times New Roman" w:eastAsia="宋体" w:cs="Times New Roman"/>
                <w:b/>
                <w:bCs/>
                <w:color w:val="auto"/>
                <w:kern w:val="0"/>
                <w:szCs w:val="22"/>
              </w:rPr>
            </w:pPr>
            <w:r>
              <w:rPr>
                <w:rFonts w:hint="eastAsia" w:ascii="Times New Roman" w:hAnsi="Times New Roman" w:eastAsia="宋体" w:cs="Times New Roman"/>
                <w:b/>
                <w:bCs/>
                <w:color w:val="auto"/>
                <w:kern w:val="0"/>
                <w:szCs w:val="22"/>
              </w:rPr>
              <w:t>毕业要求</w:t>
            </w:r>
          </w:p>
        </w:tc>
        <w:tc>
          <w:tcPr>
            <w:tcW w:w="6326" w:type="dxa"/>
            <w:vAlign w:val="center"/>
          </w:tcPr>
          <w:p w14:paraId="0BAFF761">
            <w:pPr>
              <w:spacing w:line="360" w:lineRule="auto"/>
              <w:jc w:val="center"/>
              <w:rPr>
                <w:rFonts w:ascii="Times New Roman" w:hAnsi="Times New Roman" w:eastAsia="宋体" w:cs="Times New Roman"/>
                <w:b/>
                <w:bCs/>
                <w:color w:val="auto"/>
                <w:kern w:val="0"/>
                <w:szCs w:val="22"/>
              </w:rPr>
            </w:pPr>
            <w:r>
              <w:rPr>
                <w:rFonts w:hint="eastAsia" w:ascii="Times New Roman" w:hAnsi="Times New Roman" w:eastAsia="宋体" w:cs="Times New Roman"/>
                <w:b/>
                <w:bCs/>
                <w:color w:val="auto"/>
                <w:kern w:val="0"/>
                <w:szCs w:val="22"/>
              </w:rPr>
              <w:t>毕业要求指标点</w:t>
            </w:r>
          </w:p>
        </w:tc>
        <w:tc>
          <w:tcPr>
            <w:tcW w:w="1191" w:type="dxa"/>
            <w:vAlign w:val="center"/>
          </w:tcPr>
          <w:p w14:paraId="78B1F949">
            <w:pPr>
              <w:spacing w:line="360" w:lineRule="auto"/>
              <w:jc w:val="center"/>
              <w:rPr>
                <w:rFonts w:ascii="Times New Roman" w:hAnsi="Times New Roman" w:eastAsia="宋体" w:cs="Times New Roman"/>
                <w:b/>
                <w:bCs/>
                <w:color w:val="auto"/>
                <w:kern w:val="0"/>
                <w:szCs w:val="22"/>
              </w:rPr>
            </w:pPr>
            <w:r>
              <w:rPr>
                <w:rFonts w:hint="eastAsia" w:ascii="Times New Roman" w:hAnsi="Times New Roman" w:eastAsia="宋体" w:cs="Times New Roman"/>
                <w:b/>
                <w:bCs/>
                <w:color w:val="auto"/>
                <w:kern w:val="0"/>
                <w:szCs w:val="22"/>
              </w:rPr>
              <w:t>课程目标</w:t>
            </w:r>
          </w:p>
        </w:tc>
      </w:tr>
      <w:tr w14:paraId="1520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1E646410">
            <w:pPr>
              <w:spacing w:line="276" w:lineRule="auto"/>
              <w:jc w:val="center"/>
              <w:rPr>
                <w:rFonts w:hint="eastAsia" w:ascii="Times New Roman" w:hAnsi="Times New Roman" w:eastAsia="宋体" w:cs="Times New Roman"/>
                <w:b/>
                <w:bCs/>
                <w:color w:val="auto"/>
                <w:kern w:val="0"/>
                <w:szCs w:val="22"/>
              </w:rPr>
            </w:pPr>
            <w:r>
              <w:rPr>
                <w:rFonts w:hint="eastAsia" w:ascii="Times New Roman" w:hAnsi="Times New Roman" w:eastAsia="宋体" w:cs="Times New Roman"/>
                <w:b/>
                <w:bCs/>
                <w:color w:val="auto"/>
                <w:kern w:val="0"/>
                <w:szCs w:val="22"/>
              </w:rPr>
              <w:t>毕业要求 4</w:t>
            </w:r>
          </w:p>
          <w:p w14:paraId="6DC1D655">
            <w:pPr>
              <w:spacing w:line="276" w:lineRule="auto"/>
              <w:jc w:val="center"/>
              <w:rPr>
                <w:rFonts w:ascii="Times New Roman" w:hAnsi="Times New Roman" w:eastAsia="宋体" w:cs="Times New Roman"/>
                <w:b/>
                <w:bCs/>
                <w:color w:val="auto"/>
                <w:kern w:val="0"/>
                <w:szCs w:val="22"/>
              </w:rPr>
            </w:pPr>
            <w:r>
              <w:rPr>
                <w:rFonts w:hint="eastAsia" w:ascii="Times New Roman" w:hAnsi="Times New Roman" w:eastAsia="宋体" w:cs="Times New Roman"/>
                <w:b/>
                <w:bCs/>
                <w:color w:val="auto"/>
                <w:kern w:val="0"/>
                <w:szCs w:val="22"/>
              </w:rPr>
              <w:t>教学能力</w:t>
            </w:r>
          </w:p>
        </w:tc>
        <w:tc>
          <w:tcPr>
            <w:tcW w:w="6326" w:type="dxa"/>
            <w:vAlign w:val="center"/>
          </w:tcPr>
          <w:p w14:paraId="40487E4E">
            <w:pPr>
              <w:spacing w:line="276" w:lineRule="auto"/>
              <w:jc w:val="left"/>
              <w:rPr>
                <w:rFonts w:ascii="Times New Roman" w:hAnsi="Times New Roman" w:eastAsia="宋体" w:cs="Times New Roman"/>
                <w:color w:val="auto"/>
                <w:kern w:val="0"/>
                <w:szCs w:val="22"/>
              </w:rPr>
            </w:pPr>
            <w:r>
              <w:rPr>
                <w:rFonts w:hint="eastAsia" w:ascii="Times New Roman" w:hAnsi="Times New Roman" w:eastAsia="宋体" w:cs="Times New Roman"/>
                <w:color w:val="auto"/>
                <w:kern w:val="0"/>
                <w:szCs w:val="22"/>
              </w:rPr>
              <w:t>指标点4-4：【</w:t>
            </w:r>
            <w:r>
              <w:rPr>
                <w:rFonts w:hint="eastAsia" w:ascii="Times New Roman" w:hAnsi="Times New Roman" w:eastAsia="宋体" w:cs="Times New Roman"/>
                <w:color w:val="auto"/>
                <w:kern w:val="0"/>
                <w:szCs w:val="22"/>
                <w:lang w:eastAsia="zh"/>
              </w:rPr>
              <w:t>具备</w:t>
            </w:r>
            <w:r>
              <w:rPr>
                <w:rFonts w:hint="eastAsia" w:ascii="Times New Roman" w:hAnsi="Times New Roman" w:eastAsia="宋体" w:cs="Times New Roman"/>
                <w:color w:val="auto"/>
                <w:kern w:val="0"/>
                <w:szCs w:val="22"/>
              </w:rPr>
              <w:t>教学研究能力】掌握教育研究的基本方法，</w:t>
            </w:r>
            <w:r>
              <w:rPr>
                <w:rFonts w:hint="eastAsia" w:ascii="Times New Roman" w:hAnsi="Times New Roman" w:eastAsia="宋体" w:cs="Times New Roman"/>
                <w:color w:val="auto"/>
                <w:kern w:val="0"/>
                <w:szCs w:val="22"/>
                <w:lang w:eastAsia="zh"/>
              </w:rPr>
              <w:t>在教育教学实践中</w:t>
            </w:r>
            <w:r>
              <w:rPr>
                <w:rFonts w:hint="eastAsia" w:ascii="Times New Roman" w:hAnsi="Times New Roman" w:eastAsia="宋体" w:cs="Times New Roman"/>
                <w:color w:val="auto"/>
                <w:kern w:val="0"/>
                <w:szCs w:val="22"/>
              </w:rPr>
              <w:t>结合小学教育教学实践进行研究，具有一定的教学研究能力。</w:t>
            </w:r>
          </w:p>
        </w:tc>
        <w:tc>
          <w:tcPr>
            <w:tcW w:w="1191" w:type="dxa"/>
            <w:vAlign w:val="center"/>
          </w:tcPr>
          <w:p w14:paraId="382240E4">
            <w:pPr>
              <w:spacing w:line="276" w:lineRule="auto"/>
              <w:jc w:val="center"/>
              <w:rPr>
                <w:rFonts w:ascii="Times New Roman" w:hAnsi="Times New Roman" w:eastAsia="宋体" w:cs="Times New Roman"/>
                <w:color w:val="auto"/>
                <w:kern w:val="0"/>
                <w:szCs w:val="22"/>
              </w:rPr>
            </w:pPr>
            <w:r>
              <w:rPr>
                <w:rFonts w:hint="eastAsia" w:ascii="Times New Roman" w:hAnsi="Times New Roman" w:eastAsia="宋体" w:cs="Times New Roman"/>
                <w:color w:val="auto"/>
                <w:kern w:val="0"/>
                <w:szCs w:val="22"/>
              </w:rPr>
              <w:t>课程目标2、4</w:t>
            </w:r>
          </w:p>
        </w:tc>
      </w:tr>
      <w:tr w14:paraId="4219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7146CCFC">
            <w:pPr>
              <w:spacing w:line="276" w:lineRule="auto"/>
              <w:jc w:val="center"/>
              <w:rPr>
                <w:rFonts w:hint="eastAsia" w:ascii="Times New Roman" w:hAnsi="Times New Roman" w:eastAsia="宋体" w:cs="Times New Roman"/>
                <w:b/>
                <w:bCs/>
                <w:color w:val="auto"/>
                <w:kern w:val="0"/>
                <w:szCs w:val="22"/>
              </w:rPr>
            </w:pPr>
            <w:r>
              <w:rPr>
                <w:rFonts w:hint="eastAsia" w:ascii="Times New Roman" w:hAnsi="Times New Roman" w:eastAsia="宋体" w:cs="Times New Roman"/>
                <w:b/>
                <w:bCs/>
                <w:color w:val="auto"/>
                <w:kern w:val="0"/>
                <w:szCs w:val="22"/>
              </w:rPr>
              <w:t>毕业要求7</w:t>
            </w:r>
          </w:p>
          <w:p w14:paraId="106D5784">
            <w:pPr>
              <w:spacing w:line="276" w:lineRule="auto"/>
              <w:jc w:val="center"/>
              <w:rPr>
                <w:rFonts w:ascii="Times New Roman" w:hAnsi="Times New Roman" w:eastAsia="宋体" w:cs="Times New Roman"/>
                <w:b/>
                <w:bCs/>
                <w:color w:val="auto"/>
                <w:kern w:val="0"/>
                <w:szCs w:val="22"/>
              </w:rPr>
            </w:pPr>
            <w:r>
              <w:rPr>
                <w:rFonts w:hint="eastAsia" w:ascii="Times New Roman" w:hAnsi="Times New Roman" w:eastAsia="宋体" w:cs="Times New Roman"/>
                <w:b/>
                <w:bCs/>
                <w:color w:val="auto"/>
                <w:kern w:val="0"/>
                <w:szCs w:val="22"/>
              </w:rPr>
              <w:t>学会反思</w:t>
            </w:r>
          </w:p>
        </w:tc>
        <w:tc>
          <w:tcPr>
            <w:tcW w:w="6326" w:type="dxa"/>
            <w:vAlign w:val="center"/>
          </w:tcPr>
          <w:p w14:paraId="4DC30B1D">
            <w:pPr>
              <w:spacing w:line="276" w:lineRule="auto"/>
              <w:jc w:val="left"/>
              <w:rPr>
                <w:rFonts w:ascii="Times New Roman" w:hAnsi="Times New Roman" w:eastAsia="宋体" w:cs="Times New Roman"/>
                <w:color w:val="auto"/>
                <w:kern w:val="0"/>
                <w:szCs w:val="22"/>
              </w:rPr>
            </w:pPr>
            <w:r>
              <w:rPr>
                <w:rFonts w:hint="eastAsia" w:ascii="宋体" w:hAnsi="宋体" w:eastAsia="宋体" w:cs="Times New Roman"/>
                <w:color w:val="auto"/>
                <w:spacing w:val="2"/>
                <w:kern w:val="0"/>
                <w:szCs w:val="22"/>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191" w:type="dxa"/>
            <w:vAlign w:val="center"/>
          </w:tcPr>
          <w:p w14:paraId="4E8E3F29">
            <w:pPr>
              <w:spacing w:line="276" w:lineRule="auto"/>
              <w:jc w:val="center"/>
              <w:rPr>
                <w:rFonts w:ascii="Times New Roman" w:hAnsi="Times New Roman" w:eastAsia="宋体" w:cs="Times New Roman"/>
                <w:color w:val="auto"/>
                <w:kern w:val="0"/>
                <w:szCs w:val="22"/>
              </w:rPr>
            </w:pPr>
            <w:r>
              <w:rPr>
                <w:rFonts w:hint="eastAsia" w:ascii="Times New Roman" w:hAnsi="Times New Roman" w:eastAsia="宋体" w:cs="Times New Roman"/>
                <w:color w:val="auto"/>
                <w:kern w:val="0"/>
                <w:szCs w:val="22"/>
              </w:rPr>
              <w:t>课程目标1</w:t>
            </w:r>
          </w:p>
        </w:tc>
      </w:tr>
      <w:tr w14:paraId="7C02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1B59AAB8">
            <w:pPr>
              <w:spacing w:line="276" w:lineRule="auto"/>
              <w:jc w:val="center"/>
              <w:rPr>
                <w:rFonts w:hint="eastAsia" w:ascii="Times New Roman" w:hAnsi="Times New Roman" w:eastAsia="宋体" w:cs="Times New Roman"/>
                <w:b/>
                <w:bCs/>
                <w:color w:val="auto"/>
                <w:kern w:val="0"/>
                <w:szCs w:val="22"/>
              </w:rPr>
            </w:pPr>
            <w:r>
              <w:rPr>
                <w:rFonts w:hint="eastAsia" w:ascii="Times New Roman" w:hAnsi="Times New Roman" w:eastAsia="宋体" w:cs="Times New Roman"/>
                <w:b/>
                <w:bCs/>
                <w:color w:val="auto"/>
                <w:kern w:val="0"/>
                <w:szCs w:val="22"/>
              </w:rPr>
              <w:t>毕业要求8</w:t>
            </w:r>
          </w:p>
          <w:p w14:paraId="77294D21">
            <w:pPr>
              <w:spacing w:line="276" w:lineRule="auto"/>
              <w:jc w:val="center"/>
              <w:rPr>
                <w:rFonts w:ascii="Times New Roman" w:hAnsi="Times New Roman" w:eastAsia="宋体" w:cs="Times New Roman"/>
                <w:b/>
                <w:bCs/>
                <w:color w:val="auto"/>
                <w:kern w:val="0"/>
                <w:szCs w:val="22"/>
              </w:rPr>
            </w:pPr>
            <w:r>
              <w:rPr>
                <w:rFonts w:hint="eastAsia" w:ascii="Times New Roman" w:hAnsi="Times New Roman" w:eastAsia="宋体" w:cs="Times New Roman"/>
                <w:b/>
                <w:bCs/>
                <w:color w:val="auto"/>
                <w:kern w:val="0"/>
                <w:szCs w:val="22"/>
              </w:rPr>
              <w:t>沟通合作</w:t>
            </w:r>
          </w:p>
        </w:tc>
        <w:tc>
          <w:tcPr>
            <w:tcW w:w="6326" w:type="dxa"/>
            <w:vAlign w:val="center"/>
          </w:tcPr>
          <w:p w14:paraId="0680D7CA">
            <w:pPr>
              <w:spacing w:line="276" w:lineRule="auto"/>
              <w:jc w:val="left"/>
              <w:rPr>
                <w:rFonts w:hint="eastAsia" w:ascii="Times New Roman" w:hAnsi="Times New Roman" w:eastAsia="宋体" w:cs="Times New Roman"/>
                <w:color w:val="auto"/>
                <w:kern w:val="0"/>
                <w:szCs w:val="22"/>
                <w:lang w:eastAsia="zh-CN"/>
              </w:rPr>
            </w:pPr>
            <w:r>
              <w:rPr>
                <w:rFonts w:hint="eastAsia" w:ascii="宋体" w:hAnsi="宋体" w:eastAsia="宋体" w:cs="Times New Roman"/>
                <w:color w:val="auto"/>
                <w:spacing w:val="2"/>
                <w:kern w:val="0"/>
                <w:szCs w:val="22"/>
                <w:lang w:eastAsia="zh-CN"/>
              </w:rPr>
              <w:t>指标点8-1：【善于团队合作】理解学习共同体的本质和价值，掌握团队协作的基本策略，在课堂学习与教育实践中获得合作学习体验，形成团队协作精神。</w:t>
            </w:r>
          </w:p>
        </w:tc>
        <w:tc>
          <w:tcPr>
            <w:tcW w:w="1191" w:type="dxa"/>
            <w:vAlign w:val="center"/>
          </w:tcPr>
          <w:p w14:paraId="17E309F9">
            <w:pPr>
              <w:spacing w:line="276" w:lineRule="auto"/>
              <w:jc w:val="center"/>
              <w:rPr>
                <w:rFonts w:ascii="Times New Roman" w:hAnsi="Times New Roman" w:eastAsia="宋体" w:cs="Times New Roman"/>
                <w:color w:val="auto"/>
                <w:kern w:val="0"/>
                <w:szCs w:val="22"/>
              </w:rPr>
            </w:pPr>
            <w:r>
              <w:rPr>
                <w:rFonts w:hint="eastAsia" w:ascii="Times New Roman" w:hAnsi="Times New Roman" w:eastAsia="宋体" w:cs="Times New Roman"/>
                <w:color w:val="auto"/>
                <w:kern w:val="0"/>
                <w:szCs w:val="22"/>
              </w:rPr>
              <w:t>课程目标3</w:t>
            </w:r>
          </w:p>
        </w:tc>
      </w:tr>
    </w:tbl>
    <w:p w14:paraId="7D9DF70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lang w:val="en-US" w:eastAsia="zh-CN"/>
        </w:rPr>
      </w:pPr>
      <w:r>
        <w:rPr>
          <w:rFonts w:hint="eastAsia" w:ascii="Times New Roman" w:hAnsi="Times New Roman" w:eastAsia="宋体" w:cs="Times New Roman"/>
          <w:b/>
          <w:color w:val="auto"/>
          <w:sz w:val="22"/>
          <w:szCs w:val="22"/>
          <w:lang w:val="en-US" w:eastAsia="zh-CN"/>
        </w:rPr>
        <w:t>三、教学内容与预期学习成效</w:t>
      </w:r>
    </w:p>
    <w:tbl>
      <w:tblPr>
        <w:tblStyle w:val="1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998"/>
      </w:tblGrid>
      <w:tr w14:paraId="52EA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01B2435">
            <w:pPr>
              <w:spacing w:line="240" w:lineRule="auto"/>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知识</w:t>
            </w:r>
          </w:p>
          <w:p w14:paraId="1C48DC8C">
            <w:pPr>
              <w:spacing w:line="240" w:lineRule="auto"/>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单元</w:t>
            </w:r>
          </w:p>
        </w:tc>
        <w:tc>
          <w:tcPr>
            <w:tcW w:w="1701" w:type="dxa"/>
            <w:vAlign w:val="center"/>
          </w:tcPr>
          <w:p w14:paraId="3241B1CA">
            <w:pPr>
              <w:spacing w:line="240" w:lineRule="auto"/>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知识点</w:t>
            </w:r>
          </w:p>
        </w:tc>
        <w:tc>
          <w:tcPr>
            <w:tcW w:w="1134" w:type="dxa"/>
            <w:vAlign w:val="center"/>
          </w:tcPr>
          <w:p w14:paraId="1D4E5E70">
            <w:pPr>
              <w:spacing w:line="240" w:lineRule="auto"/>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对应</w:t>
            </w:r>
          </w:p>
          <w:p w14:paraId="6289B02C">
            <w:pPr>
              <w:spacing w:line="240" w:lineRule="auto"/>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课程目标</w:t>
            </w:r>
          </w:p>
        </w:tc>
        <w:tc>
          <w:tcPr>
            <w:tcW w:w="3260" w:type="dxa"/>
            <w:vAlign w:val="center"/>
          </w:tcPr>
          <w:p w14:paraId="57387EBF">
            <w:pPr>
              <w:spacing w:line="240" w:lineRule="auto"/>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要求</w:t>
            </w:r>
          </w:p>
        </w:tc>
        <w:tc>
          <w:tcPr>
            <w:tcW w:w="1998" w:type="dxa"/>
            <w:vAlign w:val="center"/>
          </w:tcPr>
          <w:p w14:paraId="2D633B68">
            <w:pPr>
              <w:spacing w:line="240" w:lineRule="auto"/>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预期学习成效</w:t>
            </w:r>
          </w:p>
        </w:tc>
      </w:tr>
      <w:tr w14:paraId="079B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4ADEAFE">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1教学工作研习</w:t>
            </w:r>
          </w:p>
        </w:tc>
        <w:tc>
          <w:tcPr>
            <w:tcW w:w="1701" w:type="dxa"/>
            <w:vAlign w:val="center"/>
          </w:tcPr>
          <w:p w14:paraId="6F1CCD64">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（1）教学设计文本研习</w:t>
            </w:r>
          </w:p>
          <w:p w14:paraId="3F005B3B">
            <w:pPr>
              <w:spacing w:line="24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（2）课堂教学观察研习</w:t>
            </w:r>
          </w:p>
        </w:tc>
        <w:tc>
          <w:tcPr>
            <w:tcW w:w="1134" w:type="dxa"/>
            <w:vAlign w:val="center"/>
          </w:tcPr>
          <w:p w14:paraId="0BB8C17A">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课程目标2、3</w:t>
            </w:r>
          </w:p>
        </w:tc>
        <w:tc>
          <w:tcPr>
            <w:tcW w:w="3260" w:type="dxa"/>
            <w:vAlign w:val="center"/>
          </w:tcPr>
          <w:p w14:paraId="49E30D08">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（1）掌握并钻研小学语文（数学）课程标准，分析研读相关教材，按照大纲要求结合事宜，认真研习教学设计文本。</w:t>
            </w:r>
          </w:p>
          <w:p w14:paraId="2677D016">
            <w:pPr>
              <w:spacing w:line="24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（2）听课不少于15节课，并做好听课记录、评课记录、反思等材料，其中提交听课记录10节，评课记录2节，认真研习教学理念与方法。</w:t>
            </w:r>
          </w:p>
          <w:p w14:paraId="5D76B036">
            <w:pPr>
              <w:spacing w:line="24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（3）以分组形式充分准备全面、深入、客观评价研讨对象，主动邀请指导教师参与，虚心接受指导教师意见。</w:t>
            </w:r>
          </w:p>
        </w:tc>
        <w:tc>
          <w:tcPr>
            <w:tcW w:w="1998" w:type="dxa"/>
            <w:vAlign w:val="center"/>
          </w:tcPr>
          <w:p w14:paraId="2D52E7C0">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（1）学会分析和评价教学设计文本，能发现教学设计文本中的不足并提出改进措施。</w:t>
            </w:r>
          </w:p>
          <w:p w14:paraId="60918C50">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（2）能够通过观摩课堂，对教师的教学理念和方法给出恰当的评估。</w:t>
            </w:r>
          </w:p>
          <w:p w14:paraId="4AC0B18D">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（3）能够初步掌握教学研究的基本原理和方法，教学研究能力得到提高</w:t>
            </w:r>
          </w:p>
          <w:p w14:paraId="5D685BEB">
            <w:pPr>
              <w:spacing w:line="240" w:lineRule="auto"/>
              <w:jc w:val="center"/>
              <w:rPr>
                <w:rFonts w:hint="eastAsia" w:ascii="宋体" w:hAnsi="宋体" w:eastAsia="宋体" w:cs="宋体"/>
                <w:color w:val="auto"/>
                <w:kern w:val="0"/>
                <w:sz w:val="21"/>
                <w:szCs w:val="21"/>
              </w:rPr>
            </w:pPr>
          </w:p>
        </w:tc>
      </w:tr>
      <w:tr w14:paraId="3DF4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4BC8E76">
            <w:pPr>
              <w:spacing w:line="240" w:lineRule="auto"/>
              <w:jc w:val="center"/>
              <w:rPr>
                <w:rFonts w:hint="eastAsia" w:ascii="宋体" w:hAnsi="宋体" w:eastAsia="宋体" w:cs="宋体"/>
                <w:color w:val="auto"/>
                <w:kern w:val="0"/>
                <w:sz w:val="21"/>
                <w:szCs w:val="21"/>
              </w:rPr>
            </w:pPr>
          </w:p>
        </w:tc>
        <w:tc>
          <w:tcPr>
            <w:tcW w:w="8093" w:type="dxa"/>
            <w:gridSpan w:val="4"/>
            <w:vAlign w:val="center"/>
          </w:tcPr>
          <w:p w14:paraId="30B229A6">
            <w:pPr>
              <w:spacing w:line="240" w:lineRule="auto"/>
              <w:jc w:val="left"/>
              <w:rPr>
                <w:rFonts w:hint="eastAsia" w:ascii="宋体" w:hAnsi="宋体" w:eastAsia="宋体" w:cs="宋体"/>
                <w:color w:val="auto"/>
                <w:kern w:val="0"/>
                <w:sz w:val="21"/>
                <w:szCs w:val="21"/>
              </w:rPr>
            </w:pPr>
            <w:r>
              <w:rPr>
                <w:rFonts w:hint="eastAsia" w:ascii="宋体" w:hAnsi="宋体" w:eastAsia="宋体" w:cs="宋体"/>
                <w:b/>
                <w:color w:val="auto"/>
                <w:kern w:val="0"/>
                <w:sz w:val="21"/>
                <w:szCs w:val="21"/>
              </w:rPr>
              <w:t>课程思政目标：</w:t>
            </w:r>
            <w:r>
              <w:rPr>
                <w:rFonts w:hint="eastAsia" w:ascii="宋体" w:hAnsi="宋体" w:eastAsia="宋体" w:cs="宋体"/>
                <w:color w:val="auto"/>
                <w:kern w:val="0"/>
                <w:sz w:val="21"/>
                <w:szCs w:val="21"/>
              </w:rPr>
              <w:t>把“立德树人”教育目标融入实践过程中，领悟教师职业的价值，树立职业理想，立志成为有理想信念、有道德情操、有扎实学识、有仁爱之心的好教师。</w:t>
            </w:r>
          </w:p>
        </w:tc>
      </w:tr>
      <w:tr w14:paraId="38C6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88DAE06">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2.班主任工作研习</w:t>
            </w:r>
          </w:p>
        </w:tc>
        <w:tc>
          <w:tcPr>
            <w:tcW w:w="1701" w:type="dxa"/>
            <w:vAlign w:val="center"/>
          </w:tcPr>
          <w:p w14:paraId="1E59FABE">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（1）优秀班主任成长经验研习</w:t>
            </w:r>
          </w:p>
          <w:p w14:paraId="7CF50756">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（2）班主任各班级管理方法研习</w:t>
            </w:r>
          </w:p>
          <w:p w14:paraId="5F2776E9">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（3）主题班会研习</w:t>
            </w:r>
          </w:p>
          <w:p w14:paraId="0809AE7A">
            <w:pPr>
              <w:spacing w:line="240" w:lineRule="auto"/>
              <w:jc w:val="left"/>
              <w:rPr>
                <w:rFonts w:hint="eastAsia" w:ascii="宋体" w:hAnsi="宋体" w:eastAsia="宋体" w:cs="宋体"/>
                <w:color w:val="auto"/>
                <w:kern w:val="0"/>
                <w:sz w:val="21"/>
                <w:szCs w:val="21"/>
              </w:rPr>
            </w:pPr>
          </w:p>
        </w:tc>
        <w:tc>
          <w:tcPr>
            <w:tcW w:w="1134" w:type="dxa"/>
            <w:vAlign w:val="center"/>
          </w:tcPr>
          <w:p w14:paraId="76772C06">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课程目标1、3、4</w:t>
            </w:r>
          </w:p>
        </w:tc>
        <w:tc>
          <w:tcPr>
            <w:tcW w:w="3260" w:type="dxa"/>
            <w:vAlign w:val="center"/>
          </w:tcPr>
          <w:p w14:paraId="54E0DABD">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（1）研习生根据研习学校的工作安排和原班主任工作计划，制定班主任工作研习计划，计划需经过原班主任同意后执行。</w:t>
            </w:r>
          </w:p>
          <w:p w14:paraId="5134688A">
            <w:pPr>
              <w:spacing w:line="24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（2）研习生需虚心向原班主任学习，听取原班主任对个人成长经历经验、研习班级基本情况、学生思想和学习情况的介绍。</w:t>
            </w:r>
          </w:p>
          <w:p w14:paraId="629B54D7">
            <w:pPr>
              <w:spacing w:line="24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（3）研习生在研习期间需参加至少2次主题班会，1个班级管理案例或少先队（班队）工作案例分析，了解主题班会的策划、组织和管理。</w:t>
            </w:r>
          </w:p>
          <w:p w14:paraId="7C12ACB8">
            <w:pPr>
              <w:spacing w:line="24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（4）研习生需每天深入班级，了解原班主任如何开展日常管理工作，如何处理班级发生的突发事件，维护班级正常的教学秩序。</w:t>
            </w:r>
          </w:p>
          <w:p w14:paraId="064BB0CC">
            <w:pPr>
              <w:spacing w:line="24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（5）研习生在需要的时候应协助原班主任做好班主任日常管理工作。</w:t>
            </w:r>
          </w:p>
        </w:tc>
        <w:tc>
          <w:tcPr>
            <w:tcW w:w="1998" w:type="dxa"/>
            <w:vAlign w:val="center"/>
          </w:tcPr>
          <w:p w14:paraId="20CA36C9">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（1）能够通过优秀班主任成长经历获得具有启发性的思考，对班主任成长过程和成长规律具有一定的理性认识。</w:t>
            </w:r>
          </w:p>
          <w:p w14:paraId="08A48B19">
            <w:pPr>
              <w:spacing w:line="24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（2）学会通过多种方法对班主任日常管理工作成效、主题班会成效进行评估，能够反思日常管理工作和主题班会中的问题并提出改进措施。</w:t>
            </w:r>
          </w:p>
          <w:p w14:paraId="5B647AC6">
            <w:pPr>
              <w:spacing w:line="24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（3）掌握班主任工作的一般规律和方法，初步具备班级管理能力。</w:t>
            </w:r>
          </w:p>
        </w:tc>
      </w:tr>
      <w:tr w14:paraId="730A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041E760">
            <w:pPr>
              <w:spacing w:line="240" w:lineRule="auto"/>
              <w:jc w:val="center"/>
              <w:rPr>
                <w:rFonts w:hint="eastAsia" w:ascii="宋体" w:hAnsi="宋体" w:eastAsia="宋体" w:cs="宋体"/>
                <w:color w:val="auto"/>
                <w:kern w:val="0"/>
                <w:sz w:val="21"/>
                <w:szCs w:val="21"/>
              </w:rPr>
            </w:pPr>
          </w:p>
        </w:tc>
        <w:tc>
          <w:tcPr>
            <w:tcW w:w="8093" w:type="dxa"/>
            <w:gridSpan w:val="4"/>
            <w:vAlign w:val="center"/>
          </w:tcPr>
          <w:p w14:paraId="3B56265E">
            <w:pPr>
              <w:spacing w:line="240" w:lineRule="auto"/>
              <w:jc w:val="left"/>
              <w:rPr>
                <w:rFonts w:hint="eastAsia" w:ascii="宋体" w:hAnsi="宋体" w:eastAsia="宋体" w:cs="宋体"/>
                <w:color w:val="auto"/>
                <w:kern w:val="0"/>
                <w:sz w:val="21"/>
                <w:szCs w:val="21"/>
              </w:rPr>
            </w:pPr>
            <w:r>
              <w:rPr>
                <w:rFonts w:hint="eastAsia" w:ascii="宋体" w:hAnsi="宋体" w:eastAsia="宋体" w:cs="宋体"/>
                <w:b/>
                <w:color w:val="auto"/>
                <w:kern w:val="0"/>
                <w:sz w:val="21"/>
                <w:szCs w:val="21"/>
              </w:rPr>
              <w:t>课程思政目标：</w:t>
            </w:r>
            <w:r>
              <w:rPr>
                <w:rFonts w:hint="eastAsia" w:ascii="宋体" w:hAnsi="宋体" w:eastAsia="宋体" w:cs="宋体"/>
                <w:color w:val="auto"/>
                <w:kern w:val="0"/>
                <w:sz w:val="21"/>
                <w:szCs w:val="21"/>
              </w:rPr>
              <w:t>在教育实践中，坚持科学正确的教育观、学生观，充分尊重学生心理规律，实事求是，将理论知识与实践知识相结合，增进对专业的认知与认同。把立德树人作为教育使命，主动研究教育教学问题。</w:t>
            </w:r>
          </w:p>
        </w:tc>
      </w:tr>
      <w:tr w14:paraId="43AD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B616486">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3.教育教学调研</w:t>
            </w:r>
          </w:p>
        </w:tc>
        <w:tc>
          <w:tcPr>
            <w:tcW w:w="1701" w:type="dxa"/>
            <w:vAlign w:val="center"/>
          </w:tcPr>
          <w:p w14:paraId="625A5699">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选其一</w:t>
            </w:r>
          </w:p>
          <w:p w14:paraId="3EB91767">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（1）小学教育教学改革情况</w:t>
            </w:r>
          </w:p>
          <w:p w14:paraId="5DC3B2DE">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（2）小学生素质教育实施情况。</w:t>
            </w:r>
          </w:p>
          <w:p w14:paraId="37B1D06E">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（3）小学生思想、心理问题、行为问题等</w:t>
            </w:r>
          </w:p>
          <w:p w14:paraId="00DA186F">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（3）小学教师队伍建设、专业发展、教学方法、设计等状况。</w:t>
            </w:r>
          </w:p>
        </w:tc>
        <w:tc>
          <w:tcPr>
            <w:tcW w:w="1134" w:type="dxa"/>
            <w:vAlign w:val="center"/>
          </w:tcPr>
          <w:p w14:paraId="49E80389">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课程目标1、2、3、4</w:t>
            </w:r>
          </w:p>
        </w:tc>
        <w:tc>
          <w:tcPr>
            <w:tcW w:w="3260" w:type="dxa"/>
            <w:vAlign w:val="center"/>
          </w:tcPr>
          <w:p w14:paraId="64DC74DD">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（1）根据任务点选择其中一个主题撰写调查报告</w:t>
            </w:r>
          </w:p>
          <w:p w14:paraId="787C1C45">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（2）研习生认真设计问卷调查或访谈提纲。分组讨论问卷和访谈应包括那哪些内容和相关指标</w:t>
            </w:r>
          </w:p>
          <w:p w14:paraId="5B8B68A1">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（3）研习生需要使用信息技术工具对调查数据进行整理分析，得出相关结论，并撰写调查报告。</w:t>
            </w:r>
          </w:p>
        </w:tc>
        <w:tc>
          <w:tcPr>
            <w:tcW w:w="1998" w:type="dxa"/>
            <w:vAlign w:val="center"/>
          </w:tcPr>
          <w:p w14:paraId="0E39D390">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（1）学会在教育教学实践中发现有价值的问题，具有问题意思和反思精神。</w:t>
            </w:r>
          </w:p>
          <w:p w14:paraId="5B760471">
            <w:pPr>
              <w:spacing w:line="24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（2）学会调查问卷、制作访谈，能够通过多种方法对相关问题进行调查，学会撰写调研报告。</w:t>
            </w:r>
          </w:p>
          <w:p w14:paraId="4EEBB5E0">
            <w:pPr>
              <w:spacing w:line="24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（3）学会与他人有效合作，共同展开教学研讨活动。</w:t>
            </w:r>
          </w:p>
        </w:tc>
      </w:tr>
      <w:tr w14:paraId="65BA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882A940">
            <w:pPr>
              <w:spacing w:line="240" w:lineRule="auto"/>
              <w:jc w:val="center"/>
              <w:rPr>
                <w:rFonts w:hint="eastAsia" w:ascii="宋体" w:hAnsi="宋体" w:eastAsia="宋体" w:cs="宋体"/>
                <w:color w:val="auto"/>
                <w:kern w:val="0"/>
                <w:sz w:val="21"/>
                <w:szCs w:val="21"/>
              </w:rPr>
            </w:pPr>
          </w:p>
        </w:tc>
        <w:tc>
          <w:tcPr>
            <w:tcW w:w="8093" w:type="dxa"/>
            <w:gridSpan w:val="4"/>
            <w:vAlign w:val="center"/>
          </w:tcPr>
          <w:p w14:paraId="77A3E5F9">
            <w:pPr>
              <w:spacing w:line="240" w:lineRule="auto"/>
              <w:jc w:val="left"/>
              <w:rPr>
                <w:rFonts w:hint="eastAsia" w:ascii="宋体" w:hAnsi="宋体" w:eastAsia="宋体" w:cs="宋体"/>
                <w:color w:val="auto"/>
                <w:kern w:val="0"/>
                <w:sz w:val="21"/>
                <w:szCs w:val="21"/>
              </w:rPr>
            </w:pPr>
            <w:r>
              <w:rPr>
                <w:rFonts w:hint="eastAsia" w:ascii="宋体" w:hAnsi="宋体" w:eastAsia="宋体" w:cs="宋体"/>
                <w:b/>
                <w:color w:val="auto"/>
                <w:kern w:val="0"/>
                <w:sz w:val="21"/>
                <w:szCs w:val="21"/>
              </w:rPr>
              <w:t>课程思政目标：</w:t>
            </w:r>
            <w:r>
              <w:rPr>
                <w:rFonts w:hint="eastAsia" w:ascii="宋体" w:hAnsi="宋体" w:eastAsia="宋体" w:cs="宋体"/>
                <w:color w:val="auto"/>
                <w:kern w:val="0"/>
                <w:sz w:val="21"/>
                <w:szCs w:val="21"/>
              </w:rPr>
              <w:t>了解学生、教学等问题，促进学生在知识、技能与思想政治素养方面的协同发展，培养德智体美劳全面发展的社会主义建设者和接班人。</w:t>
            </w:r>
          </w:p>
        </w:tc>
      </w:tr>
      <w:tr w14:paraId="7314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AFF50E7">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4.教育与人的发展</w:t>
            </w:r>
          </w:p>
        </w:tc>
        <w:tc>
          <w:tcPr>
            <w:tcW w:w="1701" w:type="dxa"/>
            <w:vAlign w:val="center"/>
          </w:tcPr>
          <w:p w14:paraId="6FCF8CC6">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（1）研习经验交流、成果展览；</w:t>
            </w:r>
          </w:p>
          <w:p w14:paraId="0858867D">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（2）召开专业教育实习交流会 </w:t>
            </w:r>
          </w:p>
        </w:tc>
        <w:tc>
          <w:tcPr>
            <w:tcW w:w="1134" w:type="dxa"/>
            <w:vAlign w:val="center"/>
          </w:tcPr>
          <w:p w14:paraId="472C14F2">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课程目标1、2、3、4</w:t>
            </w:r>
          </w:p>
        </w:tc>
        <w:tc>
          <w:tcPr>
            <w:tcW w:w="3260" w:type="dxa"/>
            <w:vAlign w:val="center"/>
          </w:tcPr>
          <w:p w14:paraId="012C4FD9">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（1）以班级为单位，对研习总结、评课记录、教学后记、教学案例进行研习。</w:t>
            </w:r>
          </w:p>
          <w:p w14:paraId="1BFFF9B2">
            <w:pPr>
              <w:spacing w:line="24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（2）进行教育研习总结，提交图文并茂PPT一份。</w:t>
            </w:r>
          </w:p>
        </w:tc>
        <w:tc>
          <w:tcPr>
            <w:tcW w:w="1998" w:type="dxa"/>
            <w:vAlign w:val="center"/>
          </w:tcPr>
          <w:p w14:paraId="461AEE8B">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（1）学会用反思和批判思维总结教育研习收获与成果。</w:t>
            </w:r>
          </w:p>
          <w:p w14:paraId="123E176A">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（2）掌握与他人交流和合作的技巧和能力。</w:t>
            </w:r>
          </w:p>
        </w:tc>
      </w:tr>
      <w:tr w14:paraId="15B6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52BA832">
            <w:pPr>
              <w:spacing w:line="240" w:lineRule="auto"/>
              <w:jc w:val="center"/>
              <w:rPr>
                <w:rFonts w:hint="eastAsia" w:ascii="宋体" w:hAnsi="宋体" w:eastAsia="宋体" w:cs="宋体"/>
                <w:color w:val="auto"/>
                <w:kern w:val="0"/>
                <w:sz w:val="21"/>
                <w:szCs w:val="21"/>
              </w:rPr>
            </w:pPr>
          </w:p>
        </w:tc>
        <w:tc>
          <w:tcPr>
            <w:tcW w:w="8093" w:type="dxa"/>
            <w:gridSpan w:val="4"/>
            <w:vAlign w:val="center"/>
          </w:tcPr>
          <w:p w14:paraId="76E04B52">
            <w:pPr>
              <w:spacing w:line="240" w:lineRule="auto"/>
              <w:jc w:val="left"/>
              <w:rPr>
                <w:rFonts w:hint="eastAsia" w:ascii="宋体" w:hAnsi="宋体" w:eastAsia="宋体" w:cs="宋体"/>
                <w:color w:val="auto"/>
                <w:kern w:val="0"/>
                <w:sz w:val="21"/>
                <w:szCs w:val="21"/>
              </w:rPr>
            </w:pPr>
            <w:r>
              <w:rPr>
                <w:rFonts w:hint="eastAsia" w:ascii="宋体" w:hAnsi="宋体" w:eastAsia="宋体" w:cs="宋体"/>
                <w:b/>
                <w:color w:val="auto"/>
                <w:kern w:val="0"/>
                <w:sz w:val="21"/>
                <w:szCs w:val="21"/>
              </w:rPr>
              <w:t>课程思政目标：</w:t>
            </w:r>
            <w:r>
              <w:rPr>
                <w:rFonts w:hint="eastAsia" w:ascii="宋体" w:hAnsi="宋体" w:eastAsia="宋体" w:cs="宋体"/>
                <w:color w:val="auto"/>
                <w:kern w:val="0"/>
                <w:sz w:val="21"/>
                <w:szCs w:val="21"/>
              </w:rPr>
              <w:t>理解培养全面发展的人这一教育理念，认识教育管理、班队活动的育人价值，提高教育修养，增强在教育过程中挖掘各个因素进行教育的意识和能力。</w:t>
            </w:r>
          </w:p>
        </w:tc>
      </w:tr>
    </w:tbl>
    <w:p w14:paraId="12222B6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四、目标评价与成绩评定</w:t>
      </w:r>
    </w:p>
    <w:p w14:paraId="43E7B874">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2B9C1029">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251"/>
        <w:gridCol w:w="1276"/>
        <w:gridCol w:w="1559"/>
        <w:gridCol w:w="1134"/>
        <w:gridCol w:w="1134"/>
        <w:gridCol w:w="788"/>
      </w:tblGrid>
      <w:tr w14:paraId="3EC1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restart"/>
            <w:vAlign w:val="center"/>
          </w:tcPr>
          <w:p w14:paraId="255E7387">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w:t>
            </w:r>
          </w:p>
        </w:tc>
        <w:tc>
          <w:tcPr>
            <w:tcW w:w="6354" w:type="dxa"/>
            <w:gridSpan w:val="5"/>
            <w:vAlign w:val="center"/>
          </w:tcPr>
          <w:p w14:paraId="3382BD2A">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评价与成绩评定方法</w:t>
            </w:r>
          </w:p>
        </w:tc>
        <w:tc>
          <w:tcPr>
            <w:tcW w:w="788" w:type="dxa"/>
            <w:vMerge w:val="restart"/>
            <w:vAlign w:val="center"/>
          </w:tcPr>
          <w:p w14:paraId="399FB3CC">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分值</w:t>
            </w:r>
          </w:p>
        </w:tc>
      </w:tr>
      <w:tr w14:paraId="07FA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vAlign w:val="center"/>
          </w:tcPr>
          <w:p w14:paraId="1E91A3E2">
            <w:pPr>
              <w:spacing w:line="360" w:lineRule="auto"/>
              <w:jc w:val="center"/>
              <w:rPr>
                <w:rFonts w:hint="eastAsia" w:ascii="宋体" w:hAnsi="宋体" w:eastAsia="宋体" w:cs="Times New Roman"/>
                <w:color w:val="auto"/>
                <w:kern w:val="0"/>
                <w:sz w:val="20"/>
                <w:szCs w:val="21"/>
              </w:rPr>
            </w:pPr>
          </w:p>
        </w:tc>
        <w:tc>
          <w:tcPr>
            <w:tcW w:w="1251" w:type="dxa"/>
            <w:vAlign w:val="center"/>
          </w:tcPr>
          <w:p w14:paraId="5448D2EB">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平时成绩</w:t>
            </w:r>
          </w:p>
        </w:tc>
        <w:tc>
          <w:tcPr>
            <w:tcW w:w="1276" w:type="dxa"/>
            <w:vAlign w:val="center"/>
          </w:tcPr>
          <w:p w14:paraId="08D05598">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调查报告</w:t>
            </w:r>
          </w:p>
        </w:tc>
        <w:tc>
          <w:tcPr>
            <w:tcW w:w="1559" w:type="dxa"/>
            <w:vAlign w:val="center"/>
          </w:tcPr>
          <w:p w14:paraId="3B7061FD">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班主任工作</w:t>
            </w:r>
          </w:p>
        </w:tc>
        <w:tc>
          <w:tcPr>
            <w:tcW w:w="1134" w:type="dxa"/>
            <w:vAlign w:val="center"/>
          </w:tcPr>
          <w:p w14:paraId="616C0279">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教学工作</w:t>
            </w:r>
          </w:p>
        </w:tc>
        <w:tc>
          <w:tcPr>
            <w:tcW w:w="1134" w:type="dxa"/>
            <w:vAlign w:val="center"/>
          </w:tcPr>
          <w:p w14:paraId="07A7B473">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研习态度</w:t>
            </w:r>
          </w:p>
        </w:tc>
        <w:tc>
          <w:tcPr>
            <w:tcW w:w="788" w:type="dxa"/>
            <w:vMerge w:val="continue"/>
            <w:vAlign w:val="center"/>
          </w:tcPr>
          <w:p w14:paraId="47C2671C">
            <w:pPr>
              <w:spacing w:line="360" w:lineRule="auto"/>
              <w:jc w:val="center"/>
              <w:rPr>
                <w:rFonts w:hint="eastAsia" w:ascii="宋体" w:hAnsi="宋体" w:eastAsia="宋体" w:cs="Times New Roman"/>
                <w:color w:val="auto"/>
                <w:kern w:val="0"/>
                <w:sz w:val="20"/>
                <w:szCs w:val="21"/>
              </w:rPr>
            </w:pPr>
          </w:p>
        </w:tc>
      </w:tr>
      <w:tr w14:paraId="3581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2E4184F0">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课程目标1</w:t>
            </w:r>
          </w:p>
        </w:tc>
        <w:tc>
          <w:tcPr>
            <w:tcW w:w="1251" w:type="dxa"/>
            <w:vAlign w:val="center"/>
          </w:tcPr>
          <w:p w14:paraId="2295A99B">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76" w:type="dxa"/>
            <w:vAlign w:val="center"/>
          </w:tcPr>
          <w:p w14:paraId="62985E8C">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559" w:type="dxa"/>
            <w:vAlign w:val="center"/>
          </w:tcPr>
          <w:p w14:paraId="0A700664">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134" w:type="dxa"/>
            <w:vAlign w:val="center"/>
          </w:tcPr>
          <w:p w14:paraId="06B1E287">
            <w:pPr>
              <w:spacing w:line="360" w:lineRule="auto"/>
              <w:jc w:val="center"/>
              <w:rPr>
                <w:rFonts w:hint="eastAsia" w:ascii="宋体" w:hAnsi="宋体" w:eastAsia="宋体" w:cs="Times New Roman"/>
                <w:color w:val="auto"/>
                <w:kern w:val="0"/>
                <w:sz w:val="20"/>
                <w:szCs w:val="21"/>
              </w:rPr>
            </w:pPr>
          </w:p>
        </w:tc>
        <w:tc>
          <w:tcPr>
            <w:tcW w:w="1134" w:type="dxa"/>
            <w:vAlign w:val="center"/>
          </w:tcPr>
          <w:p w14:paraId="714C115C">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788" w:type="dxa"/>
            <w:vAlign w:val="center"/>
          </w:tcPr>
          <w:p w14:paraId="0E42D8BB">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20</w:t>
            </w:r>
          </w:p>
        </w:tc>
      </w:tr>
      <w:tr w14:paraId="348C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3A1D4620">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课程目标2</w:t>
            </w:r>
          </w:p>
        </w:tc>
        <w:tc>
          <w:tcPr>
            <w:tcW w:w="1251" w:type="dxa"/>
            <w:vAlign w:val="center"/>
          </w:tcPr>
          <w:p w14:paraId="10180BD3">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76" w:type="dxa"/>
            <w:vAlign w:val="center"/>
          </w:tcPr>
          <w:p w14:paraId="058A5B19">
            <w:pPr>
              <w:spacing w:line="360" w:lineRule="auto"/>
              <w:jc w:val="center"/>
              <w:rPr>
                <w:rFonts w:hint="eastAsia" w:ascii="宋体" w:hAnsi="宋体" w:eastAsia="宋体" w:cs="Times New Roman"/>
                <w:color w:val="auto"/>
                <w:kern w:val="0"/>
                <w:sz w:val="20"/>
                <w:szCs w:val="21"/>
              </w:rPr>
            </w:pPr>
          </w:p>
        </w:tc>
        <w:tc>
          <w:tcPr>
            <w:tcW w:w="1559" w:type="dxa"/>
            <w:vAlign w:val="center"/>
          </w:tcPr>
          <w:p w14:paraId="27D57F76">
            <w:pPr>
              <w:spacing w:line="360" w:lineRule="auto"/>
              <w:jc w:val="center"/>
              <w:rPr>
                <w:rFonts w:hint="eastAsia" w:ascii="宋体" w:hAnsi="宋体" w:eastAsia="宋体" w:cs="Times New Roman"/>
                <w:color w:val="auto"/>
                <w:kern w:val="0"/>
                <w:sz w:val="20"/>
                <w:szCs w:val="21"/>
              </w:rPr>
            </w:pPr>
          </w:p>
        </w:tc>
        <w:tc>
          <w:tcPr>
            <w:tcW w:w="1134" w:type="dxa"/>
            <w:vAlign w:val="center"/>
          </w:tcPr>
          <w:p w14:paraId="4487A03E">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134" w:type="dxa"/>
            <w:vAlign w:val="center"/>
          </w:tcPr>
          <w:p w14:paraId="221B4437">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788" w:type="dxa"/>
            <w:vAlign w:val="center"/>
          </w:tcPr>
          <w:p w14:paraId="0B14B5B8">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20</w:t>
            </w:r>
          </w:p>
        </w:tc>
      </w:tr>
      <w:tr w14:paraId="47F3E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7C2C9902">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课程目标3</w:t>
            </w:r>
          </w:p>
        </w:tc>
        <w:tc>
          <w:tcPr>
            <w:tcW w:w="1251" w:type="dxa"/>
            <w:vAlign w:val="center"/>
          </w:tcPr>
          <w:p w14:paraId="55F6DAE2">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76" w:type="dxa"/>
            <w:vAlign w:val="center"/>
          </w:tcPr>
          <w:p w14:paraId="7A38055C">
            <w:pPr>
              <w:spacing w:line="360" w:lineRule="auto"/>
              <w:jc w:val="center"/>
              <w:rPr>
                <w:rFonts w:hint="eastAsia" w:ascii="宋体" w:hAnsi="宋体" w:eastAsia="宋体" w:cs="Times New Roman"/>
                <w:color w:val="auto"/>
                <w:kern w:val="0"/>
                <w:sz w:val="20"/>
                <w:szCs w:val="21"/>
              </w:rPr>
            </w:pPr>
          </w:p>
        </w:tc>
        <w:tc>
          <w:tcPr>
            <w:tcW w:w="1559" w:type="dxa"/>
            <w:vAlign w:val="center"/>
          </w:tcPr>
          <w:p w14:paraId="5232A4E3">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134" w:type="dxa"/>
            <w:vAlign w:val="center"/>
          </w:tcPr>
          <w:p w14:paraId="7BEC8C13">
            <w:pPr>
              <w:spacing w:line="360" w:lineRule="auto"/>
              <w:jc w:val="center"/>
              <w:rPr>
                <w:rFonts w:hint="eastAsia" w:ascii="宋体" w:hAnsi="宋体" w:eastAsia="宋体" w:cs="Times New Roman"/>
                <w:color w:val="auto"/>
                <w:kern w:val="0"/>
                <w:sz w:val="20"/>
                <w:szCs w:val="21"/>
              </w:rPr>
            </w:pPr>
          </w:p>
        </w:tc>
        <w:tc>
          <w:tcPr>
            <w:tcW w:w="1134" w:type="dxa"/>
            <w:vAlign w:val="center"/>
          </w:tcPr>
          <w:p w14:paraId="3CC6BF85">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788" w:type="dxa"/>
            <w:vAlign w:val="center"/>
          </w:tcPr>
          <w:p w14:paraId="2FAE2CA8">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30</w:t>
            </w:r>
          </w:p>
        </w:tc>
      </w:tr>
      <w:tr w14:paraId="4DAD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73C93D17">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课程目标4</w:t>
            </w:r>
          </w:p>
        </w:tc>
        <w:tc>
          <w:tcPr>
            <w:tcW w:w="1251" w:type="dxa"/>
            <w:vAlign w:val="center"/>
          </w:tcPr>
          <w:p w14:paraId="0A399771">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276" w:type="dxa"/>
            <w:vAlign w:val="center"/>
          </w:tcPr>
          <w:p w14:paraId="5E7375BC">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559" w:type="dxa"/>
            <w:vAlign w:val="center"/>
          </w:tcPr>
          <w:p w14:paraId="0E78832B">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134" w:type="dxa"/>
            <w:vAlign w:val="center"/>
          </w:tcPr>
          <w:p w14:paraId="404CC23E">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1134" w:type="dxa"/>
            <w:vAlign w:val="center"/>
          </w:tcPr>
          <w:p w14:paraId="5BC49226">
            <w:pPr>
              <w:spacing w:line="360" w:lineRule="auto"/>
              <w:jc w:val="center"/>
              <w:rPr>
                <w:rFonts w:hint="eastAsia" w:ascii="宋体" w:hAnsi="宋体" w:eastAsia="宋体" w:cs="Times New Roman"/>
                <w:color w:val="auto"/>
                <w:kern w:val="0"/>
                <w:sz w:val="20"/>
                <w:szCs w:val="21"/>
              </w:rPr>
            </w:pPr>
            <w:r>
              <w:rPr>
                <w:rFonts w:ascii="宋体" w:hAnsi="宋体" w:eastAsia="宋体" w:cs="Times New Roman"/>
                <w:color w:val="auto"/>
                <w:kern w:val="0"/>
                <w:sz w:val="20"/>
                <w:szCs w:val="21"/>
              </w:rPr>
              <w:sym w:font="Wingdings 2" w:char="F050"/>
            </w:r>
          </w:p>
        </w:tc>
        <w:tc>
          <w:tcPr>
            <w:tcW w:w="788" w:type="dxa"/>
            <w:vAlign w:val="center"/>
          </w:tcPr>
          <w:p w14:paraId="1F279C8A">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30</w:t>
            </w:r>
          </w:p>
        </w:tc>
      </w:tr>
      <w:tr w14:paraId="2F20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05CCEA5F">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合计</w:t>
            </w:r>
          </w:p>
        </w:tc>
        <w:tc>
          <w:tcPr>
            <w:tcW w:w="1251" w:type="dxa"/>
            <w:vAlign w:val="center"/>
          </w:tcPr>
          <w:p w14:paraId="2147E27B">
            <w:pPr>
              <w:spacing w:line="360" w:lineRule="auto"/>
              <w:jc w:val="center"/>
              <w:rPr>
                <w:rFonts w:hint="eastAsia" w:ascii="宋体" w:hAnsi="宋体" w:eastAsia="宋体" w:cs="Times New Roman"/>
                <w:color w:val="auto"/>
                <w:kern w:val="0"/>
                <w:sz w:val="20"/>
                <w:szCs w:val="21"/>
              </w:rPr>
            </w:pPr>
          </w:p>
        </w:tc>
        <w:tc>
          <w:tcPr>
            <w:tcW w:w="1276" w:type="dxa"/>
            <w:vAlign w:val="center"/>
          </w:tcPr>
          <w:p w14:paraId="5DC8435A">
            <w:pPr>
              <w:spacing w:line="360" w:lineRule="auto"/>
              <w:jc w:val="center"/>
              <w:rPr>
                <w:rFonts w:hint="eastAsia" w:ascii="宋体" w:hAnsi="宋体" w:eastAsia="宋体" w:cs="Times New Roman"/>
                <w:color w:val="auto"/>
                <w:kern w:val="0"/>
                <w:sz w:val="20"/>
                <w:szCs w:val="21"/>
              </w:rPr>
            </w:pPr>
          </w:p>
        </w:tc>
        <w:tc>
          <w:tcPr>
            <w:tcW w:w="1559" w:type="dxa"/>
            <w:vAlign w:val="center"/>
          </w:tcPr>
          <w:p w14:paraId="66CCB626">
            <w:pPr>
              <w:spacing w:line="360" w:lineRule="auto"/>
              <w:jc w:val="center"/>
              <w:rPr>
                <w:rFonts w:hint="eastAsia" w:ascii="宋体" w:hAnsi="宋体" w:eastAsia="宋体" w:cs="Times New Roman"/>
                <w:color w:val="auto"/>
                <w:kern w:val="0"/>
                <w:sz w:val="20"/>
                <w:szCs w:val="21"/>
              </w:rPr>
            </w:pPr>
          </w:p>
        </w:tc>
        <w:tc>
          <w:tcPr>
            <w:tcW w:w="1134" w:type="dxa"/>
            <w:vAlign w:val="center"/>
          </w:tcPr>
          <w:p w14:paraId="5674C391">
            <w:pPr>
              <w:spacing w:line="360" w:lineRule="auto"/>
              <w:jc w:val="center"/>
              <w:rPr>
                <w:rFonts w:hint="eastAsia" w:ascii="宋体" w:hAnsi="宋体" w:eastAsia="宋体" w:cs="Times New Roman"/>
                <w:color w:val="auto"/>
                <w:kern w:val="0"/>
                <w:sz w:val="20"/>
                <w:szCs w:val="21"/>
              </w:rPr>
            </w:pPr>
          </w:p>
        </w:tc>
        <w:tc>
          <w:tcPr>
            <w:tcW w:w="1134" w:type="dxa"/>
            <w:vAlign w:val="center"/>
          </w:tcPr>
          <w:p w14:paraId="587F83DE">
            <w:pPr>
              <w:spacing w:line="360" w:lineRule="auto"/>
              <w:jc w:val="center"/>
              <w:rPr>
                <w:rFonts w:hint="eastAsia" w:ascii="宋体" w:hAnsi="宋体" w:eastAsia="宋体" w:cs="Times New Roman"/>
                <w:color w:val="auto"/>
                <w:kern w:val="0"/>
                <w:sz w:val="20"/>
                <w:szCs w:val="21"/>
              </w:rPr>
            </w:pPr>
          </w:p>
        </w:tc>
        <w:tc>
          <w:tcPr>
            <w:tcW w:w="788" w:type="dxa"/>
            <w:vAlign w:val="center"/>
          </w:tcPr>
          <w:p w14:paraId="2EF2AE98">
            <w:pPr>
              <w:spacing w:line="360" w:lineRule="auto"/>
              <w:jc w:val="center"/>
              <w:rPr>
                <w:rFonts w:hint="eastAsia" w:ascii="宋体" w:hAnsi="宋体" w:eastAsia="宋体" w:cs="Times New Roman"/>
                <w:color w:val="auto"/>
                <w:kern w:val="0"/>
                <w:sz w:val="20"/>
                <w:szCs w:val="21"/>
              </w:rPr>
            </w:pPr>
            <w:r>
              <w:rPr>
                <w:rFonts w:hint="eastAsia" w:ascii="宋体" w:hAnsi="宋体" w:eastAsia="宋体" w:cs="Times New Roman"/>
                <w:color w:val="auto"/>
                <w:kern w:val="0"/>
                <w:sz w:val="20"/>
                <w:szCs w:val="21"/>
              </w:rPr>
              <w:t>100</w:t>
            </w:r>
          </w:p>
        </w:tc>
      </w:tr>
    </w:tbl>
    <w:p w14:paraId="1A574714">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214E9C64">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p w14:paraId="5FD25ECD">
      <w:pPr>
        <w:spacing w:line="360" w:lineRule="auto"/>
        <w:ind w:firstLine="420" w:firstLineChars="200"/>
        <w:jc w:val="left"/>
        <w:rPr>
          <w:rFonts w:ascii="Times New Roman" w:hAnsi="Times New Roman" w:eastAsia="宋体" w:cs="Times New Roman"/>
          <w:color w:val="auto"/>
          <w:szCs w:val="21"/>
        </w:rPr>
      </w:pPr>
      <w:r>
        <w:rPr>
          <w:rFonts w:ascii="Times New Roman" w:hAnsi="Times New Roman" w:eastAsia="宋体" w:cs="Times New Roman"/>
          <w:color w:val="auto"/>
          <w:szCs w:val="21"/>
        </w:rPr>
        <w:t>1. 本课程设计成绩分优、良、中、及格和不及格五个档次。</w:t>
      </w:r>
    </w:p>
    <w:p w14:paraId="248BBA56">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课程设计考核方式：采用研习平时表现、研习报告、教学工作研习、班主任工作研习、教育研习态度五个部分组成。</w:t>
      </w:r>
    </w:p>
    <w:p w14:paraId="1F78433F">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其中，</w:t>
      </w:r>
      <w:r>
        <w:rPr>
          <w:rFonts w:ascii="Times New Roman" w:hAnsi="Times New Roman" w:eastAsia="宋体" w:cs="Times New Roman"/>
          <w:color w:val="auto"/>
          <w:szCs w:val="21"/>
        </w:rPr>
        <w:t>平时</w:t>
      </w:r>
      <w:r>
        <w:rPr>
          <w:rFonts w:hint="eastAsia" w:ascii="Times New Roman" w:hAnsi="Times New Roman" w:eastAsia="宋体" w:cs="Times New Roman"/>
          <w:color w:val="auto"/>
          <w:szCs w:val="21"/>
        </w:rPr>
        <w:t>表现的</w:t>
      </w:r>
      <w:r>
        <w:rPr>
          <w:rFonts w:ascii="Times New Roman" w:hAnsi="Times New Roman" w:eastAsia="宋体" w:cs="Times New Roman"/>
          <w:color w:val="auto"/>
          <w:szCs w:val="21"/>
        </w:rPr>
        <w:t>成绩由我校</w:t>
      </w:r>
      <w:r>
        <w:rPr>
          <w:rFonts w:hint="eastAsia" w:ascii="Times New Roman" w:hAnsi="Times New Roman" w:eastAsia="宋体" w:cs="Times New Roman"/>
          <w:color w:val="auto"/>
          <w:szCs w:val="21"/>
        </w:rPr>
        <w:t>学业导师综合研习</w:t>
      </w:r>
      <w:r>
        <w:rPr>
          <w:rFonts w:ascii="Times New Roman" w:hAnsi="Times New Roman" w:eastAsia="宋体" w:cs="Times New Roman"/>
          <w:color w:val="auto"/>
          <w:szCs w:val="21"/>
        </w:rPr>
        <w:t>手册</w:t>
      </w:r>
      <w:r>
        <w:rPr>
          <w:rFonts w:hint="eastAsia" w:ascii="Times New Roman" w:hAnsi="Times New Roman" w:eastAsia="宋体" w:cs="Times New Roman"/>
          <w:color w:val="auto"/>
          <w:szCs w:val="21"/>
        </w:rPr>
        <w:t>完成情况、实践导师反馈情况和日常巡视情况</w:t>
      </w:r>
      <w:r>
        <w:rPr>
          <w:rFonts w:ascii="Times New Roman" w:hAnsi="Times New Roman" w:eastAsia="宋体" w:cs="Times New Roman"/>
          <w:color w:val="auto"/>
          <w:szCs w:val="21"/>
        </w:rPr>
        <w:t>进行考核</w:t>
      </w:r>
      <w:r>
        <w:rPr>
          <w:rFonts w:hint="eastAsia" w:ascii="Times New Roman" w:hAnsi="Times New Roman" w:eastAsia="宋体" w:cs="Times New Roman"/>
          <w:color w:val="auto"/>
          <w:szCs w:val="21"/>
        </w:rPr>
        <w:t>评估，满分</w:t>
      </w:r>
      <w:r>
        <w:rPr>
          <w:rFonts w:ascii="Times New Roman" w:hAnsi="Times New Roman" w:eastAsia="宋体" w:cs="Times New Roman"/>
          <w:color w:val="auto"/>
          <w:szCs w:val="21"/>
        </w:rPr>
        <w:t>100</w:t>
      </w:r>
      <w:r>
        <w:rPr>
          <w:rFonts w:hint="eastAsia" w:ascii="Times New Roman" w:hAnsi="Times New Roman" w:eastAsia="宋体" w:cs="Times New Roman"/>
          <w:color w:val="auto"/>
          <w:szCs w:val="21"/>
        </w:rPr>
        <w:t>分；</w:t>
      </w:r>
    </w:p>
    <w:p w14:paraId="63B87EBB">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调查报告、教学工作研习、班主任工作研习、教育研习态度合计满分1</w:t>
      </w:r>
      <w:r>
        <w:rPr>
          <w:rFonts w:ascii="Times New Roman" w:hAnsi="Times New Roman" w:eastAsia="宋体" w:cs="Times New Roman"/>
          <w:color w:val="auto"/>
          <w:szCs w:val="21"/>
        </w:rPr>
        <w:t>00</w:t>
      </w:r>
      <w:r>
        <w:rPr>
          <w:rFonts w:hint="eastAsia" w:ascii="Times New Roman" w:hAnsi="Times New Roman" w:eastAsia="宋体" w:cs="Times New Roman"/>
          <w:color w:val="auto"/>
          <w:szCs w:val="21"/>
        </w:rPr>
        <w:t>分，调查报告成绩占比1</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教学工作</w:t>
      </w:r>
      <w:r>
        <w:rPr>
          <w:rFonts w:hint="eastAsia" w:ascii="Times New Roman" w:hAnsi="Times New Roman" w:eastAsia="宋体" w:cs="Times New Roman"/>
          <w:color w:val="auto"/>
          <w:szCs w:val="21"/>
        </w:rPr>
        <w:t>成绩占比3</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班主任工作</w:t>
      </w:r>
      <w:r>
        <w:rPr>
          <w:rFonts w:hint="eastAsia" w:ascii="Times New Roman" w:hAnsi="Times New Roman" w:eastAsia="宋体" w:cs="Times New Roman"/>
          <w:color w:val="auto"/>
          <w:szCs w:val="21"/>
        </w:rPr>
        <w:t>成绩占比3</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，教育研习态度占比3</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w:t>
      </w:r>
    </w:p>
    <w:p w14:paraId="37E2CAA3">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课程总评成绩=平时成绩</w:t>
      </w:r>
      <w:r>
        <w:rPr>
          <w:rFonts w:ascii="Times New Roman" w:hAnsi="Times New Roman" w:eastAsia="宋体" w:cs="Times New Roman"/>
          <w:color w:val="auto"/>
          <w:szCs w:val="21"/>
        </w:rPr>
        <w:t>30%+</w:t>
      </w:r>
      <w:r>
        <w:rPr>
          <w:rFonts w:hint="eastAsia" w:ascii="Times New Roman" w:hAnsi="Times New Roman" w:eastAsia="宋体" w:cs="Times New Roman"/>
          <w:color w:val="auto"/>
          <w:szCs w:val="21"/>
        </w:rPr>
        <w:t>（报告+教学工作+班主任工作+研习态度）</w:t>
      </w:r>
      <w:r>
        <w:rPr>
          <w:rFonts w:ascii="Times New Roman" w:hAnsi="Times New Roman" w:eastAsia="宋体" w:cs="Times New Roman"/>
          <w:color w:val="auto"/>
          <w:szCs w:val="21"/>
        </w:rPr>
        <w:t>70%</w:t>
      </w:r>
    </w:p>
    <w:p w14:paraId="1284AEFA">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具体</w:t>
      </w:r>
      <w:r>
        <w:rPr>
          <w:rFonts w:hint="eastAsia" w:ascii="Times New Roman" w:hAnsi="Times New Roman" w:eastAsia="宋体" w:cs="Times New Roman"/>
          <w:color w:val="auto"/>
          <w:sz w:val="24"/>
        </w:rPr>
        <w:t>考核</w:t>
      </w:r>
      <w:r>
        <w:rPr>
          <w:rFonts w:ascii="Times New Roman" w:hAnsi="Times New Roman" w:eastAsia="宋体" w:cs="Times New Roman"/>
          <w:color w:val="auto"/>
          <w:sz w:val="24"/>
        </w:rPr>
        <w:t>内容和比例</w:t>
      </w:r>
      <w:r>
        <w:rPr>
          <w:rFonts w:hint="eastAsia" w:ascii="Times New Roman" w:hAnsi="Times New Roman" w:eastAsia="宋体" w:cs="Times New Roman"/>
          <w:color w:val="auto"/>
          <w:sz w:val="24"/>
        </w:rPr>
        <w:t>如表所示。</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2890"/>
        <w:gridCol w:w="3681"/>
        <w:gridCol w:w="810"/>
      </w:tblGrid>
      <w:tr w14:paraId="3B65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69" w:type="pct"/>
            <w:tcBorders>
              <w:top w:val="single" w:color="auto" w:sz="4" w:space="0"/>
              <w:left w:val="single" w:color="auto" w:sz="4" w:space="0"/>
              <w:bottom w:val="single" w:color="auto" w:sz="4" w:space="0"/>
              <w:right w:val="single" w:color="auto" w:sz="4" w:space="0"/>
            </w:tcBorders>
            <w:shd w:val="clear" w:color="auto" w:fill="FFFFFF"/>
            <w:vAlign w:val="center"/>
          </w:tcPr>
          <w:p w14:paraId="0739658B">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评价方式</w:t>
            </w:r>
          </w:p>
        </w:tc>
        <w:tc>
          <w:tcPr>
            <w:tcW w:w="1695" w:type="pct"/>
            <w:tcBorders>
              <w:top w:val="single" w:color="auto" w:sz="4" w:space="0"/>
              <w:left w:val="single" w:color="auto" w:sz="4" w:space="0"/>
              <w:bottom w:val="single" w:color="auto" w:sz="4" w:space="0"/>
              <w:right w:val="single" w:color="auto" w:sz="4" w:space="0"/>
            </w:tcBorders>
            <w:shd w:val="clear" w:color="auto" w:fill="FFFFFF"/>
            <w:vAlign w:val="center"/>
          </w:tcPr>
          <w:p w14:paraId="3FF94C3B">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考核/评价环节</w:t>
            </w:r>
          </w:p>
        </w:tc>
        <w:tc>
          <w:tcPr>
            <w:tcW w:w="2159" w:type="pct"/>
            <w:tcBorders>
              <w:top w:val="single" w:color="auto" w:sz="4" w:space="0"/>
              <w:left w:val="single" w:color="auto" w:sz="4" w:space="0"/>
              <w:bottom w:val="single" w:color="auto" w:sz="4" w:space="0"/>
              <w:right w:val="single" w:color="auto" w:sz="4" w:space="0"/>
            </w:tcBorders>
            <w:shd w:val="clear" w:color="auto" w:fill="FFFFFF"/>
            <w:vAlign w:val="center"/>
          </w:tcPr>
          <w:p w14:paraId="59EE38E4">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考核/评价细则</w:t>
            </w:r>
          </w:p>
        </w:tc>
        <w:tc>
          <w:tcPr>
            <w:tcW w:w="475" w:type="pct"/>
            <w:tcBorders>
              <w:top w:val="single" w:color="auto" w:sz="4" w:space="0"/>
              <w:left w:val="single" w:color="auto" w:sz="4" w:space="0"/>
              <w:bottom w:val="single" w:color="auto" w:sz="4" w:space="0"/>
              <w:right w:val="single" w:color="auto" w:sz="4" w:space="0"/>
            </w:tcBorders>
            <w:shd w:val="clear" w:color="auto" w:fill="FFFFFF"/>
            <w:vAlign w:val="center"/>
          </w:tcPr>
          <w:p w14:paraId="23096B48">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权重</w:t>
            </w:r>
          </w:p>
        </w:tc>
      </w:tr>
      <w:tr w14:paraId="5CAD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669" w:type="pct"/>
            <w:tcBorders>
              <w:top w:val="single" w:color="auto" w:sz="4" w:space="0"/>
              <w:left w:val="single" w:color="auto" w:sz="4" w:space="0"/>
              <w:bottom w:val="single" w:color="auto" w:sz="4" w:space="0"/>
              <w:right w:val="single" w:color="auto" w:sz="4" w:space="0"/>
            </w:tcBorders>
            <w:vAlign w:val="center"/>
          </w:tcPr>
          <w:p w14:paraId="3BD036D1">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平时成绩</w:t>
            </w:r>
          </w:p>
        </w:tc>
        <w:tc>
          <w:tcPr>
            <w:tcW w:w="1695" w:type="pct"/>
            <w:tcBorders>
              <w:top w:val="single" w:color="auto" w:sz="4" w:space="0"/>
              <w:left w:val="single" w:color="auto" w:sz="4" w:space="0"/>
              <w:bottom w:val="single" w:color="auto" w:sz="4" w:space="0"/>
              <w:right w:val="single" w:color="auto" w:sz="4" w:space="0"/>
            </w:tcBorders>
            <w:vAlign w:val="center"/>
          </w:tcPr>
          <w:p w14:paraId="3DD3BA7B">
            <w:pP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学生出勤情况</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遵守规章制度情况，各类研习报告材料填写情况</w:t>
            </w:r>
          </w:p>
        </w:tc>
        <w:tc>
          <w:tcPr>
            <w:tcW w:w="2159" w:type="pct"/>
            <w:tcBorders>
              <w:top w:val="single" w:color="auto" w:sz="4" w:space="0"/>
              <w:left w:val="single" w:color="auto" w:sz="4" w:space="0"/>
              <w:bottom w:val="single" w:color="auto" w:sz="4" w:space="0"/>
              <w:right w:val="single" w:color="auto" w:sz="4" w:space="0"/>
            </w:tcBorders>
            <w:vAlign w:val="center"/>
          </w:tcPr>
          <w:p w14:paraId="7EA5D041">
            <w:pP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按时</w:t>
            </w:r>
            <w:r>
              <w:rPr>
                <w:rFonts w:ascii="Times New Roman" w:hAnsi="Times New Roman" w:eastAsia="宋体" w:cs="Times New Roman"/>
                <w:color w:val="auto"/>
                <w:sz w:val="21"/>
                <w:szCs w:val="21"/>
              </w:rPr>
              <w:t>出勤</w:t>
            </w:r>
            <w:r>
              <w:rPr>
                <w:rFonts w:hint="eastAsia" w:ascii="Times New Roman" w:hAnsi="Times New Roman" w:eastAsia="宋体" w:cs="Times New Roman"/>
                <w:color w:val="auto"/>
                <w:sz w:val="21"/>
                <w:szCs w:val="21"/>
              </w:rPr>
              <w:t>，遵照研习学校安排开展研习，研习相关材料填写认真规范</w:t>
            </w:r>
            <w:r>
              <w:rPr>
                <w:rFonts w:ascii="Times New Roman" w:hAnsi="Times New Roman" w:eastAsia="宋体" w:cs="Times New Roman"/>
                <w:color w:val="auto"/>
                <w:sz w:val="21"/>
                <w:szCs w:val="21"/>
              </w:rPr>
              <w:t>。</w:t>
            </w:r>
          </w:p>
        </w:tc>
        <w:tc>
          <w:tcPr>
            <w:tcW w:w="475" w:type="pct"/>
            <w:tcBorders>
              <w:top w:val="single" w:color="auto" w:sz="4" w:space="0"/>
              <w:left w:val="single" w:color="auto" w:sz="4" w:space="0"/>
              <w:bottom w:val="single" w:color="auto" w:sz="4" w:space="0"/>
              <w:right w:val="single" w:color="auto" w:sz="4" w:space="0"/>
            </w:tcBorders>
            <w:vAlign w:val="center"/>
          </w:tcPr>
          <w:p w14:paraId="3A334A12">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30%</w:t>
            </w:r>
          </w:p>
        </w:tc>
      </w:tr>
      <w:tr w14:paraId="456F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9" w:type="pct"/>
            <w:tcBorders>
              <w:top w:val="single" w:color="auto" w:sz="4" w:space="0"/>
              <w:left w:val="single" w:color="auto" w:sz="4" w:space="0"/>
              <w:bottom w:val="single" w:color="auto" w:sz="4" w:space="0"/>
              <w:right w:val="single" w:color="auto" w:sz="4" w:space="0"/>
            </w:tcBorders>
            <w:vAlign w:val="center"/>
          </w:tcPr>
          <w:p w14:paraId="02C12450">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调查报告</w:t>
            </w:r>
          </w:p>
        </w:tc>
        <w:tc>
          <w:tcPr>
            <w:tcW w:w="1695" w:type="pct"/>
            <w:tcBorders>
              <w:top w:val="single" w:color="auto" w:sz="4" w:space="0"/>
              <w:left w:val="single" w:color="auto" w:sz="4" w:space="0"/>
              <w:bottom w:val="single" w:color="auto" w:sz="4" w:space="0"/>
              <w:right w:val="single" w:color="auto" w:sz="4" w:space="0"/>
            </w:tcBorders>
            <w:vAlign w:val="center"/>
          </w:tcPr>
          <w:p w14:paraId="469AC86F">
            <w:pP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对研习学校开展研习研究，结合</w:t>
            </w:r>
            <w:r>
              <w:rPr>
                <w:rFonts w:ascii="Times New Roman" w:hAnsi="Times New Roman" w:eastAsia="宋体" w:cs="Times New Roman"/>
                <w:color w:val="auto"/>
                <w:sz w:val="21"/>
                <w:szCs w:val="21"/>
              </w:rPr>
              <w:t>文献资料</w:t>
            </w:r>
            <w:r>
              <w:rPr>
                <w:rFonts w:hint="eastAsia" w:ascii="Times New Roman" w:hAnsi="Times New Roman" w:eastAsia="宋体" w:cs="Times New Roman"/>
                <w:color w:val="auto"/>
                <w:sz w:val="21"/>
                <w:szCs w:val="21"/>
              </w:rPr>
              <w:t>，完成调查报告</w:t>
            </w:r>
          </w:p>
        </w:tc>
        <w:tc>
          <w:tcPr>
            <w:tcW w:w="2159" w:type="pct"/>
            <w:tcBorders>
              <w:top w:val="single" w:color="auto" w:sz="4" w:space="0"/>
              <w:left w:val="single" w:color="auto" w:sz="4" w:space="0"/>
              <w:bottom w:val="single" w:color="auto" w:sz="4" w:space="0"/>
              <w:right w:val="single" w:color="auto" w:sz="4" w:space="0"/>
            </w:tcBorders>
            <w:vAlign w:val="center"/>
          </w:tcPr>
          <w:p w14:paraId="3B082D15">
            <w:pP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选题属于教育领域，问题意识清晰、方法设计可行，资料充实，内容撰写结构合理，形成明确的结论与观点。</w:t>
            </w:r>
          </w:p>
        </w:tc>
        <w:tc>
          <w:tcPr>
            <w:tcW w:w="475" w:type="pct"/>
            <w:tcBorders>
              <w:top w:val="single" w:color="auto" w:sz="4" w:space="0"/>
              <w:left w:val="single" w:color="auto" w:sz="4" w:space="0"/>
              <w:bottom w:val="single" w:color="auto" w:sz="4" w:space="0"/>
              <w:right w:val="single" w:color="auto" w:sz="4" w:space="0"/>
            </w:tcBorders>
            <w:vAlign w:val="center"/>
          </w:tcPr>
          <w:p w14:paraId="43B6588B">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w:t>
            </w:r>
          </w:p>
        </w:tc>
      </w:tr>
      <w:tr w14:paraId="6C42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9" w:type="pct"/>
            <w:tcBorders>
              <w:top w:val="single" w:color="auto" w:sz="4" w:space="0"/>
              <w:left w:val="single" w:color="auto" w:sz="4" w:space="0"/>
              <w:bottom w:val="single" w:color="auto" w:sz="4" w:space="0"/>
              <w:right w:val="single" w:color="auto" w:sz="4" w:space="0"/>
            </w:tcBorders>
            <w:vAlign w:val="center"/>
          </w:tcPr>
          <w:p w14:paraId="671F04FB">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教学工作研习</w:t>
            </w:r>
          </w:p>
        </w:tc>
        <w:tc>
          <w:tcPr>
            <w:tcW w:w="1695" w:type="pct"/>
            <w:tcBorders>
              <w:top w:val="single" w:color="auto" w:sz="4" w:space="0"/>
              <w:left w:val="single" w:color="auto" w:sz="4" w:space="0"/>
              <w:bottom w:val="single" w:color="auto" w:sz="4" w:space="0"/>
              <w:right w:val="single" w:color="auto" w:sz="4" w:space="0"/>
            </w:tcBorders>
            <w:vAlign w:val="center"/>
          </w:tcPr>
          <w:p w14:paraId="2C0F0626">
            <w:pP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进行教学观摩，撰写教学设计，了解兼教课程和多个课型的教学设计；参与评课等教研活动</w:t>
            </w:r>
          </w:p>
        </w:tc>
        <w:tc>
          <w:tcPr>
            <w:tcW w:w="2159" w:type="pct"/>
            <w:tcBorders>
              <w:top w:val="single" w:color="auto" w:sz="4" w:space="0"/>
              <w:left w:val="single" w:color="auto" w:sz="4" w:space="0"/>
              <w:bottom w:val="single" w:color="auto" w:sz="4" w:space="0"/>
              <w:right w:val="single" w:color="auto" w:sz="4" w:space="0"/>
            </w:tcBorders>
            <w:vAlign w:val="center"/>
          </w:tcPr>
          <w:p w14:paraId="576BA809">
            <w:pP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全面认识教学过程，熟练进行教学设计，教案规范合理，具备教学的体验；</w:t>
            </w:r>
          </w:p>
          <w:p w14:paraId="581A3F01">
            <w:pP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积极参与教研活动，积极了解其他相关学科知识，主动拓宽知识范围。</w:t>
            </w:r>
          </w:p>
        </w:tc>
        <w:tc>
          <w:tcPr>
            <w:tcW w:w="475" w:type="pct"/>
            <w:tcBorders>
              <w:top w:val="single" w:color="auto" w:sz="4" w:space="0"/>
              <w:left w:val="single" w:color="auto" w:sz="4" w:space="0"/>
              <w:bottom w:val="single" w:color="auto" w:sz="4" w:space="0"/>
              <w:right w:val="single" w:color="auto" w:sz="4" w:space="0"/>
            </w:tcBorders>
            <w:vAlign w:val="center"/>
          </w:tcPr>
          <w:p w14:paraId="01EFEC1F">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21%</w:t>
            </w:r>
          </w:p>
        </w:tc>
      </w:tr>
      <w:tr w14:paraId="5587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669" w:type="pct"/>
            <w:tcBorders>
              <w:top w:val="single" w:color="auto" w:sz="4" w:space="0"/>
              <w:left w:val="single" w:color="auto" w:sz="4" w:space="0"/>
              <w:bottom w:val="single" w:color="auto" w:sz="4" w:space="0"/>
              <w:right w:val="single" w:color="auto" w:sz="4" w:space="0"/>
            </w:tcBorders>
            <w:vAlign w:val="center"/>
          </w:tcPr>
          <w:p w14:paraId="40728DB2">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班主任工作研习</w:t>
            </w:r>
          </w:p>
        </w:tc>
        <w:tc>
          <w:tcPr>
            <w:tcW w:w="1695" w:type="pct"/>
            <w:tcBorders>
              <w:top w:val="single" w:color="auto" w:sz="4" w:space="0"/>
              <w:left w:val="single" w:color="auto" w:sz="4" w:space="0"/>
              <w:bottom w:val="single" w:color="auto" w:sz="4" w:space="0"/>
              <w:right w:val="single" w:color="auto" w:sz="4" w:space="0"/>
            </w:tcBorders>
            <w:vAlign w:val="center"/>
          </w:tcPr>
          <w:p w14:paraId="05B2AAD4">
            <w:pP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研习班主任（少先队）工作情况</w:t>
            </w:r>
          </w:p>
        </w:tc>
        <w:tc>
          <w:tcPr>
            <w:tcW w:w="2159" w:type="pct"/>
            <w:tcBorders>
              <w:top w:val="single" w:color="auto" w:sz="4" w:space="0"/>
              <w:left w:val="single" w:color="auto" w:sz="4" w:space="0"/>
              <w:bottom w:val="single" w:color="auto" w:sz="4" w:space="0"/>
              <w:right w:val="single" w:color="auto" w:sz="4" w:space="0"/>
            </w:tcBorders>
            <w:vAlign w:val="center"/>
          </w:tcPr>
          <w:p w14:paraId="32502D3B">
            <w:pP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熟悉小学班级管理事务，掌握小学生心理特点；</w:t>
            </w:r>
          </w:p>
          <w:p w14:paraId="48E3FC56">
            <w:pP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主动积累班级管理的经验，建立管理育人的观念。</w:t>
            </w:r>
          </w:p>
        </w:tc>
        <w:tc>
          <w:tcPr>
            <w:tcW w:w="475" w:type="pct"/>
            <w:tcBorders>
              <w:top w:val="single" w:color="auto" w:sz="4" w:space="0"/>
              <w:left w:val="single" w:color="auto" w:sz="4" w:space="0"/>
              <w:bottom w:val="single" w:color="auto" w:sz="4" w:space="0"/>
              <w:right w:val="single" w:color="auto" w:sz="4" w:space="0"/>
            </w:tcBorders>
            <w:vAlign w:val="center"/>
          </w:tcPr>
          <w:p w14:paraId="6D544927">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21%</w:t>
            </w:r>
          </w:p>
        </w:tc>
      </w:tr>
      <w:tr w14:paraId="0A0D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669" w:type="pct"/>
            <w:tcBorders>
              <w:top w:val="single" w:color="auto" w:sz="4" w:space="0"/>
              <w:left w:val="single" w:color="auto" w:sz="4" w:space="0"/>
              <w:bottom w:val="single" w:color="auto" w:sz="4" w:space="0"/>
              <w:right w:val="single" w:color="auto" w:sz="4" w:space="0"/>
            </w:tcBorders>
            <w:vAlign w:val="center"/>
          </w:tcPr>
          <w:p w14:paraId="44E7D954">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教育研习态度</w:t>
            </w:r>
          </w:p>
        </w:tc>
        <w:tc>
          <w:tcPr>
            <w:tcW w:w="1695" w:type="pct"/>
            <w:tcBorders>
              <w:top w:val="single" w:color="auto" w:sz="4" w:space="0"/>
              <w:left w:val="single" w:color="auto" w:sz="4" w:space="0"/>
              <w:bottom w:val="single" w:color="auto" w:sz="4" w:space="0"/>
              <w:right w:val="single" w:color="auto" w:sz="4" w:space="0"/>
            </w:tcBorders>
            <w:vAlign w:val="center"/>
          </w:tcPr>
          <w:p w14:paraId="0D894116">
            <w:pP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研习过程中的参与程度、主动学习情况等</w:t>
            </w:r>
          </w:p>
        </w:tc>
        <w:tc>
          <w:tcPr>
            <w:tcW w:w="2159" w:type="pct"/>
            <w:tcBorders>
              <w:top w:val="single" w:color="auto" w:sz="4" w:space="0"/>
              <w:left w:val="single" w:color="auto" w:sz="4" w:space="0"/>
              <w:bottom w:val="single" w:color="auto" w:sz="4" w:space="0"/>
              <w:right w:val="single" w:color="auto" w:sz="4" w:space="0"/>
            </w:tcBorders>
            <w:vAlign w:val="center"/>
          </w:tcPr>
          <w:p w14:paraId="6592AD1A">
            <w:pP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按要求参加研习，思想端正，学习态度积极；主动参与教学和班级管理，能够虚心请教、勤恳好学；与小学生交往热情，关爱小学生；研习总结认真，形成对自身教育实践比较全面客观的认识。</w:t>
            </w:r>
          </w:p>
        </w:tc>
        <w:tc>
          <w:tcPr>
            <w:tcW w:w="475" w:type="pct"/>
            <w:tcBorders>
              <w:top w:val="single" w:color="auto" w:sz="4" w:space="0"/>
              <w:left w:val="single" w:color="auto" w:sz="4" w:space="0"/>
              <w:bottom w:val="single" w:color="auto" w:sz="4" w:space="0"/>
              <w:right w:val="single" w:color="auto" w:sz="4" w:space="0"/>
            </w:tcBorders>
            <w:vAlign w:val="center"/>
          </w:tcPr>
          <w:p w14:paraId="47079C8E">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w:t>
            </w:r>
            <w:r>
              <w:rPr>
                <w:rFonts w:ascii="Times New Roman" w:hAnsi="Times New Roman" w:eastAsia="宋体" w:cs="Times New Roman"/>
                <w:color w:val="auto"/>
                <w:sz w:val="21"/>
                <w:szCs w:val="21"/>
              </w:rPr>
              <w:t>1%</w:t>
            </w:r>
          </w:p>
        </w:tc>
      </w:tr>
    </w:tbl>
    <w:p w14:paraId="54751895">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五、研习实施</w:t>
      </w:r>
    </w:p>
    <w:p w14:paraId="2B3CF554">
      <w:pPr>
        <w:spacing w:line="360" w:lineRule="auto"/>
        <w:ind w:firstLine="420" w:firstLineChars="20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（一）研习要求</w:t>
      </w:r>
    </w:p>
    <w:p w14:paraId="5C9C7241">
      <w:pPr>
        <w:spacing w:line="360" w:lineRule="auto"/>
        <w:ind w:firstLine="420" w:firstLineChars="20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1.遵守研习学校各项规章制度，不迟到，不早退，虚心接受研习学校领导、指导教师的指导。</w:t>
      </w:r>
    </w:p>
    <w:p w14:paraId="78D8002D">
      <w:pPr>
        <w:spacing w:line="360" w:lineRule="auto"/>
        <w:ind w:firstLine="420" w:firstLineChars="20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2.文明礼貌，为人师表，爱护学生，尊重研习学校的师生员工，积极协助研习学校教师做力所能及的工作。</w:t>
      </w:r>
    </w:p>
    <w:p w14:paraId="118BB304">
      <w:pPr>
        <w:spacing w:line="360" w:lineRule="auto"/>
        <w:ind w:firstLine="420" w:firstLineChars="20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3.同学之间团结友爱，注意安全。认真完成各项研习任务，做好每次的研习笔记，认真填写《小学教育专业学生研习手册》。</w:t>
      </w:r>
    </w:p>
    <w:p w14:paraId="375F4CE3">
      <w:pPr>
        <w:spacing w:line="360" w:lineRule="auto"/>
        <w:ind w:firstLine="420" w:firstLineChars="20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4.研习组长负责与研习学校领导的联系以及研习活动的组织、考勤工作。所有学生必须全程参加研习活动，不得无故缺席。</w:t>
      </w:r>
    </w:p>
    <w:p w14:paraId="5E156F4A">
      <w:pPr>
        <w:spacing w:line="360" w:lineRule="auto"/>
        <w:ind w:firstLine="420" w:firstLineChars="200"/>
        <w:rPr>
          <w:rFonts w:ascii="Times New Roman" w:hAnsi="Times New Roman" w:eastAsia="宋体" w:cs="Times New Roman"/>
          <w:b/>
          <w:color w:val="auto"/>
          <w:sz w:val="21"/>
          <w:szCs w:val="21"/>
        </w:rPr>
      </w:pPr>
      <w:r>
        <w:rPr>
          <w:rFonts w:hint="eastAsia" w:ascii="Times New Roman" w:hAnsi="Times New Roman" w:eastAsia="宋体" w:cs="Times New Roman"/>
          <w:bCs/>
          <w:color w:val="auto"/>
          <w:sz w:val="21"/>
          <w:szCs w:val="21"/>
        </w:rPr>
        <w:t>（二）</w:t>
      </w:r>
      <w:r>
        <w:rPr>
          <w:rFonts w:ascii="Times New Roman" w:hAnsi="Times New Roman" w:eastAsia="宋体" w:cs="Times New Roman"/>
          <w:bCs/>
          <w:color w:val="auto"/>
          <w:sz w:val="21"/>
          <w:szCs w:val="21"/>
        </w:rPr>
        <w:t>主要</w:t>
      </w:r>
      <w:r>
        <w:rPr>
          <w:rFonts w:hint="eastAsia" w:ascii="Times New Roman" w:hAnsi="Times New Roman" w:eastAsia="宋体" w:cs="Times New Roman"/>
          <w:bCs/>
          <w:color w:val="auto"/>
          <w:sz w:val="21"/>
          <w:szCs w:val="21"/>
        </w:rPr>
        <w:t>教学</w:t>
      </w:r>
      <w:r>
        <w:rPr>
          <w:rFonts w:ascii="Times New Roman" w:hAnsi="Times New Roman" w:eastAsia="宋体" w:cs="Times New Roman"/>
          <w:bCs/>
          <w:color w:val="auto"/>
          <w:sz w:val="21"/>
          <w:szCs w:val="21"/>
        </w:rPr>
        <w:t>环节</w:t>
      </w:r>
      <w:r>
        <w:rPr>
          <w:rFonts w:hint="eastAsia" w:ascii="Times New Roman" w:hAnsi="Times New Roman" w:eastAsia="宋体" w:cs="Times New Roman"/>
          <w:bCs/>
          <w:color w:val="auto"/>
          <w:sz w:val="21"/>
          <w:szCs w:val="21"/>
        </w:rPr>
        <w:t>的</w:t>
      </w:r>
      <w:r>
        <w:rPr>
          <w:rFonts w:ascii="Times New Roman" w:hAnsi="Times New Roman" w:eastAsia="宋体" w:cs="Times New Roman"/>
          <w:bCs/>
          <w:color w:val="auto"/>
          <w:sz w:val="21"/>
          <w:szCs w:val="21"/>
        </w:rPr>
        <w:t>质量要求</w:t>
      </w:r>
      <w:r>
        <w:rPr>
          <w:rFonts w:hint="eastAsia" w:ascii="Times New Roman" w:hAnsi="Times New Roman" w:eastAsia="宋体" w:cs="Times New Roman"/>
          <w:bCs/>
          <w:color w:val="auto"/>
          <w:sz w:val="21"/>
          <w:szCs w:val="21"/>
        </w:rPr>
        <w:t>如表所示</w:t>
      </w:r>
    </w:p>
    <w:tbl>
      <w:tblPr>
        <w:tblStyle w:val="15"/>
        <w:tblW w:w="93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431"/>
        <w:gridCol w:w="7005"/>
      </w:tblGrid>
      <w:tr w14:paraId="059D81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301" w:type="dxa"/>
            <w:gridSpan w:val="2"/>
            <w:vAlign w:val="center"/>
          </w:tcPr>
          <w:p w14:paraId="775B4704">
            <w:pPr>
              <w:snapToGrid w:val="0"/>
              <w:jc w:val="center"/>
              <w:rPr>
                <w:rFonts w:ascii="Times New Roman" w:hAnsi="Times New Roman" w:eastAsia="宋体" w:cs="Times New Roman"/>
                <w:b/>
                <w:bCs/>
                <w:color w:val="auto"/>
              </w:rPr>
            </w:pPr>
            <w:r>
              <w:rPr>
                <w:rFonts w:ascii="Times New Roman" w:hAnsi="Times New Roman" w:eastAsia="宋体" w:cs="Times New Roman"/>
                <w:b/>
                <w:bCs/>
                <w:color w:val="auto"/>
              </w:rPr>
              <w:t>主要</w:t>
            </w:r>
            <w:r>
              <w:rPr>
                <w:rFonts w:hint="eastAsia" w:ascii="Times New Roman" w:hAnsi="Times New Roman" w:eastAsia="宋体" w:cs="Times New Roman"/>
                <w:b/>
                <w:bCs/>
                <w:color w:val="auto"/>
              </w:rPr>
              <w:t>教学</w:t>
            </w:r>
            <w:r>
              <w:rPr>
                <w:rFonts w:ascii="Times New Roman" w:hAnsi="Times New Roman" w:eastAsia="宋体" w:cs="Times New Roman"/>
                <w:b/>
                <w:bCs/>
                <w:color w:val="auto"/>
              </w:rPr>
              <w:t>环节</w:t>
            </w:r>
          </w:p>
        </w:tc>
        <w:tc>
          <w:tcPr>
            <w:tcW w:w="7005" w:type="dxa"/>
            <w:vAlign w:val="center"/>
          </w:tcPr>
          <w:p w14:paraId="03C05C31">
            <w:pPr>
              <w:snapToGrid w:val="0"/>
              <w:jc w:val="center"/>
              <w:rPr>
                <w:rFonts w:ascii="Times New Roman" w:hAnsi="Times New Roman" w:eastAsia="宋体" w:cs="Times New Roman"/>
                <w:b/>
                <w:bCs/>
                <w:color w:val="auto"/>
              </w:rPr>
            </w:pPr>
            <w:r>
              <w:rPr>
                <w:rFonts w:ascii="Times New Roman" w:hAnsi="Times New Roman" w:eastAsia="宋体" w:cs="Times New Roman"/>
                <w:b/>
                <w:bCs/>
                <w:color w:val="auto"/>
              </w:rPr>
              <w:t>质量要求</w:t>
            </w:r>
          </w:p>
        </w:tc>
      </w:tr>
      <w:tr w14:paraId="43511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70" w:type="dxa"/>
            <w:vMerge w:val="restart"/>
            <w:vAlign w:val="center"/>
          </w:tcPr>
          <w:p w14:paraId="067C9EE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准备</w:t>
            </w:r>
          </w:p>
          <w:p w14:paraId="75E7DFBF">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阶段</w:t>
            </w:r>
          </w:p>
        </w:tc>
        <w:tc>
          <w:tcPr>
            <w:tcW w:w="1431" w:type="dxa"/>
            <w:vAlign w:val="center"/>
          </w:tcPr>
          <w:p w14:paraId="5B7FA390">
            <w:pPr>
              <w:rPr>
                <w:rFonts w:ascii="Times New Roman" w:hAnsi="Times New Roman" w:eastAsia="宋体" w:cs="Times New Roman"/>
                <w:color w:val="auto"/>
                <w:szCs w:val="21"/>
              </w:rPr>
            </w:pPr>
            <w:r>
              <w:rPr>
                <w:rFonts w:ascii="Times New Roman" w:hAnsi="Times New Roman" w:eastAsia="宋体" w:cs="Times New Roman"/>
                <w:color w:val="auto"/>
                <w:szCs w:val="21"/>
              </w:rPr>
              <w:t>1.实践计划</w:t>
            </w:r>
          </w:p>
        </w:tc>
        <w:tc>
          <w:tcPr>
            <w:tcW w:w="7005" w:type="dxa"/>
            <w:vAlign w:val="center"/>
          </w:tcPr>
          <w:p w14:paraId="4AB2AAD9">
            <w:pPr>
              <w:rPr>
                <w:rFonts w:ascii="Times New Roman" w:hAnsi="Times New Roman" w:eastAsia="宋体" w:cs="Times New Roman"/>
                <w:color w:val="auto"/>
                <w:szCs w:val="21"/>
              </w:rPr>
            </w:pPr>
            <w:r>
              <w:rPr>
                <w:rFonts w:ascii="Times New Roman" w:hAnsi="Times New Roman" w:eastAsia="宋体" w:cs="Times New Roman"/>
                <w:color w:val="auto"/>
                <w:szCs w:val="21"/>
              </w:rPr>
              <w:t>根据学校要求及专业人才培养方案制定详实可行的</w:t>
            </w:r>
            <w:r>
              <w:rPr>
                <w:rFonts w:hint="eastAsia" w:ascii="Times New Roman" w:hAnsi="Times New Roman" w:eastAsia="宋体" w:cs="Times New Roman"/>
                <w:color w:val="auto"/>
                <w:szCs w:val="21"/>
              </w:rPr>
              <w:t>研习</w:t>
            </w:r>
            <w:r>
              <w:rPr>
                <w:rFonts w:ascii="Times New Roman" w:hAnsi="Times New Roman" w:eastAsia="宋体" w:cs="Times New Roman"/>
                <w:color w:val="auto"/>
                <w:szCs w:val="21"/>
              </w:rPr>
              <w:t>计划</w:t>
            </w:r>
            <w:r>
              <w:rPr>
                <w:rFonts w:hint="eastAsia" w:ascii="Times New Roman" w:hAnsi="Times New Roman" w:eastAsia="宋体" w:cs="Times New Roman"/>
                <w:color w:val="auto"/>
                <w:szCs w:val="21"/>
              </w:rPr>
              <w:t>，选择相应的研习学校，并</w:t>
            </w:r>
            <w:r>
              <w:rPr>
                <w:rFonts w:ascii="Times New Roman" w:hAnsi="Times New Roman" w:eastAsia="宋体" w:cs="Times New Roman"/>
                <w:color w:val="auto"/>
                <w:szCs w:val="21"/>
              </w:rPr>
              <w:t>在</w:t>
            </w:r>
            <w:r>
              <w:rPr>
                <w:rFonts w:hint="eastAsia" w:ascii="Times New Roman" w:hAnsi="Times New Roman" w:eastAsia="宋体" w:cs="Times New Roman"/>
                <w:color w:val="auto"/>
                <w:szCs w:val="21"/>
              </w:rPr>
              <w:t>研习开始前制定研习方案</w:t>
            </w:r>
            <w:r>
              <w:rPr>
                <w:rFonts w:ascii="Times New Roman" w:hAnsi="Times New Roman" w:eastAsia="宋体" w:cs="Times New Roman"/>
                <w:color w:val="auto"/>
                <w:szCs w:val="21"/>
              </w:rPr>
              <w:t>。</w:t>
            </w:r>
          </w:p>
        </w:tc>
      </w:tr>
      <w:tr w14:paraId="5BE55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0" w:type="dxa"/>
            <w:vMerge w:val="continue"/>
            <w:vAlign w:val="center"/>
          </w:tcPr>
          <w:p w14:paraId="18067330">
            <w:pPr>
              <w:jc w:val="center"/>
              <w:rPr>
                <w:rFonts w:ascii="Times New Roman" w:hAnsi="Times New Roman" w:eastAsia="宋体" w:cs="Times New Roman"/>
                <w:color w:val="auto"/>
                <w:szCs w:val="21"/>
              </w:rPr>
            </w:pPr>
          </w:p>
        </w:tc>
        <w:tc>
          <w:tcPr>
            <w:tcW w:w="1431" w:type="dxa"/>
            <w:vAlign w:val="center"/>
          </w:tcPr>
          <w:p w14:paraId="4A7DBCC6">
            <w:pPr>
              <w:snapToGrid w:val="0"/>
              <w:rPr>
                <w:rFonts w:ascii="Times New Roman" w:hAnsi="Times New Roman" w:eastAsia="宋体" w:cs="Times New Roman"/>
                <w:color w:val="auto"/>
                <w:szCs w:val="21"/>
              </w:rPr>
            </w:pPr>
            <w:r>
              <w:rPr>
                <w:rFonts w:ascii="Times New Roman" w:hAnsi="Times New Roman" w:eastAsia="宋体" w:cs="Times New Roman"/>
                <w:color w:val="auto"/>
                <w:szCs w:val="21"/>
              </w:rPr>
              <w:t>2.指导老师</w:t>
            </w:r>
          </w:p>
        </w:tc>
        <w:tc>
          <w:tcPr>
            <w:tcW w:w="7005" w:type="dxa"/>
            <w:vAlign w:val="center"/>
          </w:tcPr>
          <w:p w14:paraId="54BFC495">
            <w:pPr>
              <w:snapToGrid w:val="0"/>
              <w:rPr>
                <w:rFonts w:ascii="Times New Roman" w:hAnsi="Times New Roman" w:eastAsia="宋体" w:cs="Times New Roman"/>
                <w:color w:val="auto"/>
                <w:szCs w:val="21"/>
              </w:rPr>
            </w:pPr>
            <w:r>
              <w:rPr>
                <w:rFonts w:ascii="Times New Roman" w:hAnsi="Times New Roman" w:eastAsia="宋体" w:cs="Times New Roman"/>
                <w:color w:val="auto"/>
                <w:szCs w:val="21"/>
              </w:rPr>
              <w:t>指导教师</w:t>
            </w:r>
            <w:r>
              <w:rPr>
                <w:rFonts w:hint="eastAsia" w:ascii="Times New Roman" w:hAnsi="Times New Roman" w:eastAsia="宋体" w:cs="Times New Roman"/>
                <w:color w:val="auto"/>
                <w:szCs w:val="21"/>
              </w:rPr>
              <w:t>应</w:t>
            </w:r>
            <w:r>
              <w:rPr>
                <w:rFonts w:ascii="Times New Roman" w:hAnsi="Times New Roman" w:eastAsia="宋体" w:cs="Times New Roman"/>
                <w:color w:val="auto"/>
                <w:szCs w:val="21"/>
              </w:rPr>
              <w:t>具备扎实的理论知识和丰富的实践经验</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指导教师</w:t>
            </w:r>
            <w:r>
              <w:rPr>
                <w:rFonts w:hint="eastAsia" w:ascii="Times New Roman" w:hAnsi="Times New Roman" w:eastAsia="宋体" w:cs="Times New Roman"/>
                <w:color w:val="auto"/>
                <w:szCs w:val="21"/>
              </w:rPr>
              <w:t>在研习开始前开好研习动员大会，提出相应研习要求</w:t>
            </w:r>
            <w:r>
              <w:rPr>
                <w:rFonts w:ascii="Times New Roman" w:hAnsi="Times New Roman" w:eastAsia="宋体" w:cs="Times New Roman"/>
                <w:color w:val="auto"/>
                <w:szCs w:val="21"/>
              </w:rPr>
              <w:t>。</w:t>
            </w:r>
          </w:p>
        </w:tc>
      </w:tr>
      <w:tr w14:paraId="0395D4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70" w:type="dxa"/>
            <w:vMerge w:val="continue"/>
            <w:vAlign w:val="center"/>
          </w:tcPr>
          <w:p w14:paraId="08E0E4CC">
            <w:pPr>
              <w:jc w:val="center"/>
              <w:rPr>
                <w:rFonts w:ascii="Times New Roman" w:hAnsi="Times New Roman" w:eastAsia="宋体" w:cs="Times New Roman"/>
                <w:color w:val="auto"/>
                <w:szCs w:val="21"/>
              </w:rPr>
            </w:pPr>
          </w:p>
        </w:tc>
        <w:tc>
          <w:tcPr>
            <w:tcW w:w="1431" w:type="dxa"/>
            <w:vAlign w:val="center"/>
          </w:tcPr>
          <w:p w14:paraId="36B618C3">
            <w:pPr>
              <w:snapToGrid w:val="0"/>
              <w:rPr>
                <w:rFonts w:ascii="Times New Roman" w:hAnsi="Times New Roman" w:eastAsia="宋体" w:cs="Times New Roman"/>
                <w:color w:val="auto"/>
                <w:szCs w:val="21"/>
              </w:rPr>
            </w:pPr>
            <w:r>
              <w:rPr>
                <w:rFonts w:ascii="Times New Roman" w:hAnsi="Times New Roman" w:eastAsia="宋体" w:cs="Times New Roman"/>
                <w:color w:val="auto"/>
                <w:szCs w:val="21"/>
              </w:rPr>
              <w:t>3.组织管理</w:t>
            </w:r>
          </w:p>
        </w:tc>
        <w:tc>
          <w:tcPr>
            <w:tcW w:w="7005" w:type="dxa"/>
            <w:vAlign w:val="center"/>
          </w:tcPr>
          <w:p w14:paraId="02E0C297">
            <w:pPr>
              <w:snapToGrid w:val="0"/>
              <w:rPr>
                <w:rFonts w:ascii="Times New Roman" w:hAnsi="Times New Roman" w:eastAsia="宋体" w:cs="Times New Roman"/>
                <w:color w:val="auto"/>
                <w:szCs w:val="21"/>
              </w:rPr>
            </w:pPr>
            <w:r>
              <w:rPr>
                <w:rFonts w:hint="eastAsia" w:ascii="Times New Roman" w:hAnsi="Times New Roman" w:eastAsia="宋体" w:cs="Times New Roman"/>
                <w:color w:val="auto"/>
                <w:szCs w:val="21"/>
              </w:rPr>
              <w:t>做好学生的分组工作，强调小组成员之间的合作沟通，对每位同学都提出明确的研习纪律和责任。</w:t>
            </w:r>
          </w:p>
        </w:tc>
      </w:tr>
      <w:tr w14:paraId="51FE03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70" w:type="dxa"/>
            <w:vMerge w:val="restart"/>
            <w:vAlign w:val="center"/>
          </w:tcPr>
          <w:p w14:paraId="2613794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实施</w:t>
            </w:r>
          </w:p>
          <w:p w14:paraId="54216218">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阶段</w:t>
            </w:r>
          </w:p>
        </w:tc>
        <w:tc>
          <w:tcPr>
            <w:tcW w:w="1431" w:type="dxa"/>
            <w:vAlign w:val="center"/>
          </w:tcPr>
          <w:p w14:paraId="1FBD093A">
            <w:pPr>
              <w:rPr>
                <w:rFonts w:ascii="Times New Roman" w:hAnsi="Times New Roman" w:eastAsia="宋体" w:cs="Times New Roman"/>
                <w:color w:val="auto"/>
                <w:szCs w:val="21"/>
              </w:rPr>
            </w:pPr>
            <w:r>
              <w:rPr>
                <w:rFonts w:ascii="Times New Roman" w:hAnsi="Times New Roman" w:eastAsia="宋体" w:cs="Times New Roman"/>
                <w:color w:val="auto"/>
                <w:szCs w:val="21"/>
              </w:rPr>
              <w:t>1.计划执行</w:t>
            </w:r>
          </w:p>
        </w:tc>
        <w:tc>
          <w:tcPr>
            <w:tcW w:w="7005" w:type="dxa"/>
            <w:vAlign w:val="center"/>
          </w:tcPr>
          <w:p w14:paraId="3217B16A">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按照研习计划在校内和校外研习</w:t>
            </w:r>
            <w:r>
              <w:rPr>
                <w:rFonts w:ascii="Times New Roman" w:hAnsi="Times New Roman" w:eastAsia="宋体" w:cs="Times New Roman"/>
                <w:color w:val="auto"/>
                <w:szCs w:val="21"/>
              </w:rPr>
              <w:t xml:space="preserve">。 </w:t>
            </w:r>
          </w:p>
        </w:tc>
      </w:tr>
      <w:tr w14:paraId="18E02C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continue"/>
            <w:vAlign w:val="center"/>
          </w:tcPr>
          <w:p w14:paraId="18EA7651">
            <w:pPr>
              <w:jc w:val="center"/>
              <w:rPr>
                <w:rFonts w:ascii="Times New Roman" w:hAnsi="Times New Roman" w:eastAsia="宋体" w:cs="Times New Roman"/>
                <w:color w:val="auto"/>
                <w:szCs w:val="21"/>
              </w:rPr>
            </w:pPr>
          </w:p>
        </w:tc>
        <w:tc>
          <w:tcPr>
            <w:tcW w:w="1431" w:type="dxa"/>
            <w:vAlign w:val="center"/>
          </w:tcPr>
          <w:p w14:paraId="75C9D09F">
            <w:pPr>
              <w:snapToGrid w:val="0"/>
              <w:rPr>
                <w:rFonts w:ascii="Times New Roman" w:hAnsi="Times New Roman" w:eastAsia="宋体" w:cs="Times New Roman"/>
                <w:color w:val="auto"/>
                <w:szCs w:val="21"/>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过程</w:t>
            </w:r>
            <w:r>
              <w:rPr>
                <w:rFonts w:ascii="Times New Roman" w:hAnsi="Times New Roman" w:eastAsia="宋体" w:cs="Times New Roman"/>
                <w:color w:val="auto"/>
                <w:szCs w:val="21"/>
              </w:rPr>
              <w:t>指导</w:t>
            </w:r>
          </w:p>
        </w:tc>
        <w:tc>
          <w:tcPr>
            <w:tcW w:w="7005" w:type="dxa"/>
            <w:vAlign w:val="center"/>
          </w:tcPr>
          <w:p w14:paraId="5A5563BD">
            <w:pPr>
              <w:snapToGrid w:val="0"/>
              <w:rPr>
                <w:rFonts w:ascii="Times New Roman" w:hAnsi="Times New Roman" w:eastAsia="宋体" w:cs="Times New Roman"/>
                <w:color w:val="auto"/>
                <w:szCs w:val="21"/>
              </w:rPr>
            </w:pPr>
            <w:r>
              <w:rPr>
                <w:rFonts w:hint="eastAsia" w:ascii="Times New Roman" w:hAnsi="Times New Roman" w:eastAsia="宋体" w:cs="Times New Roman"/>
                <w:color w:val="auto"/>
                <w:szCs w:val="21"/>
              </w:rPr>
              <w:t>指导教师及时了解学生在校内和校外研习情况。</w:t>
            </w:r>
          </w:p>
        </w:tc>
      </w:tr>
      <w:tr w14:paraId="0384FB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870" w:type="dxa"/>
            <w:vMerge w:val="continue"/>
            <w:vAlign w:val="center"/>
          </w:tcPr>
          <w:p w14:paraId="6B232722">
            <w:pPr>
              <w:jc w:val="center"/>
              <w:rPr>
                <w:rFonts w:ascii="Times New Roman" w:hAnsi="Times New Roman" w:eastAsia="宋体" w:cs="Times New Roman"/>
                <w:color w:val="auto"/>
                <w:szCs w:val="21"/>
              </w:rPr>
            </w:pPr>
          </w:p>
        </w:tc>
        <w:tc>
          <w:tcPr>
            <w:tcW w:w="1431" w:type="dxa"/>
            <w:vAlign w:val="center"/>
          </w:tcPr>
          <w:p w14:paraId="3EA136D1">
            <w:pPr>
              <w:snapToGrid w:val="0"/>
              <w:rPr>
                <w:rFonts w:ascii="Times New Roman" w:hAnsi="Times New Roman" w:eastAsia="宋体" w:cs="Times New Roman"/>
                <w:color w:val="auto"/>
                <w:szCs w:val="21"/>
              </w:rPr>
            </w:pPr>
            <w:r>
              <w:rPr>
                <w:rFonts w:ascii="Times New Roman" w:hAnsi="Times New Roman" w:eastAsia="宋体" w:cs="Times New Roman"/>
                <w:color w:val="auto"/>
                <w:szCs w:val="21"/>
              </w:rPr>
              <w:t>3.学生管理</w:t>
            </w:r>
          </w:p>
        </w:tc>
        <w:tc>
          <w:tcPr>
            <w:tcW w:w="7005" w:type="dxa"/>
            <w:vAlign w:val="center"/>
          </w:tcPr>
          <w:p w14:paraId="49C0C651">
            <w:pPr>
              <w:snapToGrid w:val="0"/>
              <w:rPr>
                <w:rFonts w:ascii="Times New Roman" w:hAnsi="Times New Roman" w:eastAsia="宋体" w:cs="Times New Roman"/>
                <w:color w:val="auto"/>
                <w:szCs w:val="21"/>
              </w:rPr>
            </w:pPr>
            <w:r>
              <w:rPr>
                <w:rFonts w:ascii="Times New Roman" w:hAnsi="Times New Roman" w:eastAsia="宋体" w:cs="Times New Roman"/>
                <w:color w:val="auto"/>
                <w:szCs w:val="21"/>
              </w:rPr>
              <w:t>严格进行考勤，认真记录</w:t>
            </w:r>
            <w:r>
              <w:rPr>
                <w:rFonts w:hint="eastAsia" w:ascii="Times New Roman" w:hAnsi="Times New Roman" w:eastAsia="宋体" w:cs="Times New Roman"/>
                <w:color w:val="auto"/>
                <w:szCs w:val="21"/>
              </w:rPr>
              <w:t>学生工作</w:t>
            </w:r>
            <w:r>
              <w:rPr>
                <w:rFonts w:ascii="Times New Roman" w:hAnsi="Times New Roman" w:eastAsia="宋体" w:cs="Times New Roman"/>
                <w:color w:val="auto"/>
                <w:szCs w:val="21"/>
              </w:rPr>
              <w:t>情况；对迟到、早退和无故缺勤等违纪情况及时处理。</w:t>
            </w:r>
          </w:p>
        </w:tc>
      </w:tr>
      <w:tr w14:paraId="1DDAA9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continue"/>
            <w:vAlign w:val="center"/>
          </w:tcPr>
          <w:p w14:paraId="1FBDA4CC">
            <w:pPr>
              <w:jc w:val="center"/>
              <w:rPr>
                <w:rFonts w:ascii="Times New Roman" w:hAnsi="Times New Roman" w:eastAsia="宋体" w:cs="Times New Roman"/>
                <w:color w:val="auto"/>
                <w:szCs w:val="21"/>
              </w:rPr>
            </w:pPr>
          </w:p>
        </w:tc>
        <w:tc>
          <w:tcPr>
            <w:tcW w:w="1431" w:type="dxa"/>
            <w:vAlign w:val="center"/>
          </w:tcPr>
          <w:p w14:paraId="4967E31A">
            <w:pPr>
              <w:snapToGrid w:val="0"/>
              <w:rPr>
                <w:rFonts w:ascii="Times New Roman" w:hAnsi="Times New Roman" w:eastAsia="宋体" w:cs="Times New Roman"/>
                <w:color w:val="auto"/>
                <w:szCs w:val="21"/>
              </w:rPr>
            </w:pPr>
            <w:r>
              <w:rPr>
                <w:rFonts w:ascii="Times New Roman" w:hAnsi="Times New Roman" w:eastAsia="宋体" w:cs="Times New Roman"/>
                <w:color w:val="auto"/>
                <w:szCs w:val="21"/>
              </w:rPr>
              <w:t>4.教学检查</w:t>
            </w:r>
          </w:p>
        </w:tc>
        <w:tc>
          <w:tcPr>
            <w:tcW w:w="7005" w:type="dxa"/>
            <w:vAlign w:val="center"/>
          </w:tcPr>
          <w:p w14:paraId="318030BE">
            <w:pPr>
              <w:snapToGrid w:val="0"/>
              <w:rPr>
                <w:rFonts w:ascii="Times New Roman" w:hAnsi="Times New Roman" w:eastAsia="宋体" w:cs="Times New Roman"/>
                <w:color w:val="auto"/>
                <w:szCs w:val="21"/>
              </w:rPr>
            </w:pPr>
            <w:r>
              <w:rPr>
                <w:rFonts w:ascii="Times New Roman" w:hAnsi="Times New Roman" w:eastAsia="宋体" w:cs="Times New Roman"/>
                <w:color w:val="auto"/>
                <w:szCs w:val="21"/>
              </w:rPr>
              <w:t>学院有计划地开展督导检查，并及时反馈检查情况。</w:t>
            </w:r>
          </w:p>
        </w:tc>
      </w:tr>
      <w:tr w14:paraId="796119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restart"/>
            <w:vAlign w:val="center"/>
          </w:tcPr>
          <w:p w14:paraId="68AF754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总结</w:t>
            </w:r>
          </w:p>
          <w:p w14:paraId="2E332406">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考核</w:t>
            </w:r>
          </w:p>
        </w:tc>
        <w:tc>
          <w:tcPr>
            <w:tcW w:w="1431" w:type="dxa"/>
            <w:vAlign w:val="center"/>
          </w:tcPr>
          <w:p w14:paraId="7AF9BDFD">
            <w:pPr>
              <w:rPr>
                <w:rFonts w:ascii="Times New Roman" w:hAnsi="Times New Roman" w:eastAsia="宋体" w:cs="Times New Roman"/>
                <w:color w:val="auto"/>
                <w:szCs w:val="21"/>
              </w:rPr>
            </w:pPr>
            <w:r>
              <w:rPr>
                <w:rFonts w:ascii="Times New Roman" w:hAnsi="Times New Roman" w:eastAsia="宋体" w:cs="Times New Roman"/>
                <w:color w:val="auto"/>
                <w:szCs w:val="21"/>
              </w:rPr>
              <w:t>1.</w:t>
            </w:r>
            <w:r>
              <w:rPr>
                <w:rFonts w:hint="eastAsia" w:ascii="Times New Roman" w:hAnsi="Times New Roman" w:eastAsia="宋体" w:cs="Times New Roman"/>
                <w:color w:val="auto"/>
                <w:szCs w:val="21"/>
              </w:rPr>
              <w:t>研习</w:t>
            </w:r>
            <w:r>
              <w:rPr>
                <w:rFonts w:ascii="Times New Roman" w:hAnsi="Times New Roman" w:eastAsia="宋体" w:cs="Times New Roman"/>
                <w:color w:val="auto"/>
                <w:szCs w:val="21"/>
              </w:rPr>
              <w:t>报告</w:t>
            </w:r>
          </w:p>
        </w:tc>
        <w:tc>
          <w:tcPr>
            <w:tcW w:w="7005" w:type="dxa"/>
            <w:vAlign w:val="center"/>
          </w:tcPr>
          <w:p w14:paraId="59FA7B82">
            <w:pPr>
              <w:rPr>
                <w:rFonts w:ascii="Times New Roman" w:hAnsi="Times New Roman" w:eastAsia="宋体" w:cs="Times New Roman"/>
                <w:color w:val="auto"/>
                <w:szCs w:val="21"/>
              </w:rPr>
            </w:pPr>
            <w:r>
              <w:rPr>
                <w:rFonts w:ascii="Times New Roman" w:hAnsi="Times New Roman" w:eastAsia="宋体" w:cs="Times New Roman"/>
                <w:color w:val="auto"/>
                <w:szCs w:val="21"/>
              </w:rPr>
              <w:t>结束后，及时按要求</w:t>
            </w:r>
            <w:r>
              <w:rPr>
                <w:rFonts w:hint="eastAsia" w:ascii="Times New Roman" w:hAnsi="Times New Roman" w:eastAsia="宋体" w:cs="Times New Roman"/>
                <w:color w:val="auto"/>
                <w:szCs w:val="21"/>
              </w:rPr>
              <w:t>教育叙事、教育研习手册和研习考核表</w:t>
            </w:r>
            <w:r>
              <w:rPr>
                <w:rFonts w:ascii="Times New Roman" w:hAnsi="Times New Roman" w:eastAsia="宋体" w:cs="Times New Roman"/>
                <w:color w:val="auto"/>
                <w:szCs w:val="21"/>
              </w:rPr>
              <w:t>。</w:t>
            </w:r>
          </w:p>
        </w:tc>
      </w:tr>
      <w:tr w14:paraId="4FCDF3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70" w:type="dxa"/>
            <w:vMerge w:val="continue"/>
            <w:vAlign w:val="center"/>
          </w:tcPr>
          <w:p w14:paraId="1D2D2C16">
            <w:pPr>
              <w:rPr>
                <w:rFonts w:ascii="Times New Roman" w:hAnsi="Times New Roman" w:eastAsia="宋体" w:cs="Times New Roman"/>
                <w:color w:val="auto"/>
                <w:szCs w:val="21"/>
              </w:rPr>
            </w:pPr>
          </w:p>
        </w:tc>
        <w:tc>
          <w:tcPr>
            <w:tcW w:w="1431" w:type="dxa"/>
            <w:vAlign w:val="center"/>
          </w:tcPr>
          <w:p w14:paraId="69011371">
            <w:pPr>
              <w:snapToGrid w:val="0"/>
              <w:rPr>
                <w:rFonts w:ascii="Times New Roman" w:hAnsi="Times New Roman" w:eastAsia="宋体" w:cs="Times New Roman"/>
                <w:color w:val="auto"/>
                <w:szCs w:val="21"/>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成绩</w:t>
            </w:r>
            <w:r>
              <w:rPr>
                <w:rFonts w:ascii="Times New Roman" w:hAnsi="Times New Roman" w:eastAsia="宋体" w:cs="Times New Roman"/>
                <w:color w:val="auto"/>
                <w:szCs w:val="21"/>
              </w:rPr>
              <w:t>考核</w:t>
            </w:r>
          </w:p>
        </w:tc>
        <w:tc>
          <w:tcPr>
            <w:tcW w:w="7005" w:type="dxa"/>
            <w:vAlign w:val="center"/>
          </w:tcPr>
          <w:p w14:paraId="6953D2E1">
            <w:pPr>
              <w:snapToGrid w:val="0"/>
              <w:rPr>
                <w:rFonts w:ascii="Times New Roman" w:hAnsi="Times New Roman" w:eastAsia="宋体" w:cs="Times New Roman"/>
                <w:color w:val="auto"/>
                <w:szCs w:val="21"/>
              </w:rPr>
            </w:pPr>
            <w:r>
              <w:rPr>
                <w:rFonts w:ascii="Times New Roman" w:hAnsi="Times New Roman" w:eastAsia="宋体" w:cs="Times New Roman"/>
                <w:color w:val="auto"/>
                <w:szCs w:val="21"/>
              </w:rPr>
              <w:t>根据考核内容及要求对每位学生</w:t>
            </w:r>
            <w:r>
              <w:rPr>
                <w:rFonts w:hint="eastAsia" w:ascii="Times New Roman" w:hAnsi="Times New Roman" w:eastAsia="宋体" w:cs="Times New Roman"/>
                <w:color w:val="auto"/>
                <w:szCs w:val="21"/>
              </w:rPr>
              <w:t>研习情况</w:t>
            </w:r>
            <w:r>
              <w:rPr>
                <w:rFonts w:ascii="Times New Roman" w:hAnsi="Times New Roman" w:eastAsia="宋体" w:cs="Times New Roman"/>
                <w:color w:val="auto"/>
                <w:szCs w:val="21"/>
              </w:rPr>
              <w:t>进行考核，合理评价，并按照学校有关规定登记成绩。</w:t>
            </w:r>
          </w:p>
        </w:tc>
      </w:tr>
      <w:tr w14:paraId="58854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continue"/>
            <w:vAlign w:val="center"/>
          </w:tcPr>
          <w:p w14:paraId="2AF425D5">
            <w:pPr>
              <w:rPr>
                <w:rFonts w:ascii="Times New Roman" w:hAnsi="Times New Roman" w:eastAsia="宋体" w:cs="Times New Roman"/>
                <w:color w:val="auto"/>
                <w:szCs w:val="21"/>
              </w:rPr>
            </w:pPr>
          </w:p>
        </w:tc>
        <w:tc>
          <w:tcPr>
            <w:tcW w:w="1431" w:type="dxa"/>
            <w:vAlign w:val="center"/>
          </w:tcPr>
          <w:p w14:paraId="735C19BE">
            <w:pPr>
              <w:snapToGrid w:val="0"/>
              <w:rPr>
                <w:rFonts w:ascii="Times New Roman" w:hAnsi="Times New Roman" w:eastAsia="宋体" w:cs="Times New Roman"/>
                <w:color w:val="auto"/>
                <w:szCs w:val="21"/>
              </w:rPr>
            </w:pPr>
            <w:r>
              <w:rPr>
                <w:rFonts w:ascii="Times New Roman" w:hAnsi="Times New Roman" w:eastAsia="宋体" w:cs="Times New Roman"/>
                <w:color w:val="auto"/>
                <w:szCs w:val="21"/>
              </w:rPr>
              <w:t>3.总结归档</w:t>
            </w:r>
          </w:p>
        </w:tc>
        <w:tc>
          <w:tcPr>
            <w:tcW w:w="7005" w:type="dxa"/>
            <w:vAlign w:val="center"/>
          </w:tcPr>
          <w:p w14:paraId="2F548529">
            <w:pPr>
              <w:snapToGrid w:val="0"/>
              <w:rPr>
                <w:rFonts w:ascii="Times New Roman" w:hAnsi="Times New Roman" w:eastAsia="宋体" w:cs="Times New Roman"/>
                <w:color w:val="auto"/>
                <w:szCs w:val="21"/>
              </w:rPr>
            </w:pPr>
            <w:r>
              <w:rPr>
                <w:rFonts w:ascii="Times New Roman" w:hAnsi="Times New Roman" w:eastAsia="宋体" w:cs="Times New Roman"/>
                <w:color w:val="auto"/>
                <w:szCs w:val="21"/>
              </w:rPr>
              <w:t>及时总结交流经验与体会，按要求做好材料归档。</w:t>
            </w:r>
          </w:p>
        </w:tc>
      </w:tr>
    </w:tbl>
    <w:p w14:paraId="0C3CBD63">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lang w:val="en-US" w:eastAsia="zh-CN"/>
        </w:rPr>
      </w:pPr>
      <w:r>
        <w:rPr>
          <w:rFonts w:hint="eastAsia" w:ascii="Times New Roman" w:hAnsi="Times New Roman" w:eastAsia="宋体" w:cs="Times New Roman"/>
          <w:b/>
          <w:color w:val="auto"/>
          <w:sz w:val="22"/>
          <w:szCs w:val="22"/>
          <w:lang w:val="en-US" w:eastAsia="zh-CN"/>
        </w:rPr>
        <w:t>六、课程考核</w:t>
      </w:r>
    </w:p>
    <w:p w14:paraId="113A3DFC">
      <w:pPr>
        <w:spacing w:line="360" w:lineRule="auto"/>
        <w:ind w:firstLine="482" w:firstLineChars="200"/>
        <w:rPr>
          <w:rFonts w:ascii="Times New Roman" w:hAnsi="Times New Roman" w:eastAsia="宋体" w:cs="Times New Roman"/>
          <w:b/>
          <w:color w:val="auto"/>
          <w:sz w:val="24"/>
        </w:rPr>
      </w:pPr>
      <w:r>
        <w:rPr>
          <w:rFonts w:hint="eastAsia" w:ascii="Times New Roman" w:hAnsi="Times New Roman" w:eastAsia="宋体" w:cs="Times New Roman"/>
          <w:b/>
          <w:color w:val="auto"/>
          <w:sz w:val="24"/>
        </w:rPr>
        <w:t>（一）</w:t>
      </w:r>
      <w:r>
        <w:rPr>
          <w:rFonts w:ascii="Times New Roman" w:hAnsi="Times New Roman" w:eastAsia="宋体" w:cs="Times New Roman"/>
          <w:b/>
          <w:color w:val="auto"/>
          <w:sz w:val="24"/>
        </w:rPr>
        <w:t>考核资料要求</w:t>
      </w:r>
    </w:p>
    <w:p w14:paraId="026896CF">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1.教育研习手册填写完整。</w:t>
      </w:r>
    </w:p>
    <w:p w14:paraId="016E47C3">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2.教育研习案例分析报告一份。</w:t>
      </w:r>
    </w:p>
    <w:p w14:paraId="7EC3BF08">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3.</w:t>
      </w:r>
      <w:r>
        <w:rPr>
          <w:rFonts w:hint="eastAsia" w:ascii="Times New Roman" w:hAnsi="Times New Roman" w:eastAsia="宋体" w:cs="Times New Roman"/>
          <w:color w:val="auto"/>
          <w:sz w:val="24"/>
        </w:rPr>
        <w:t>教育研习总结P</w:t>
      </w:r>
      <w:r>
        <w:rPr>
          <w:rFonts w:ascii="Times New Roman" w:hAnsi="Times New Roman" w:eastAsia="宋体" w:cs="Times New Roman"/>
          <w:color w:val="auto"/>
          <w:sz w:val="24"/>
        </w:rPr>
        <w:t>PT</w:t>
      </w:r>
      <w:r>
        <w:rPr>
          <w:rFonts w:hint="eastAsia" w:ascii="Times New Roman" w:hAnsi="Times New Roman" w:eastAsia="宋体" w:cs="Times New Roman"/>
          <w:color w:val="auto"/>
          <w:sz w:val="24"/>
        </w:rPr>
        <w:t>一份。</w:t>
      </w:r>
    </w:p>
    <w:p w14:paraId="368499C6">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4</w:t>
      </w:r>
      <w:r>
        <w:rPr>
          <w:rFonts w:hint="eastAsia" w:ascii="Times New Roman" w:hAnsi="Times New Roman" w:eastAsia="宋体" w:cs="Times New Roman"/>
          <w:color w:val="auto"/>
          <w:sz w:val="24"/>
        </w:rPr>
        <w:t>.教育研习鉴定表每人一份，</w:t>
      </w:r>
      <w:r>
        <w:rPr>
          <w:rFonts w:ascii="Times New Roman" w:hAnsi="Times New Roman" w:eastAsia="宋体" w:cs="Times New Roman"/>
          <w:color w:val="auto"/>
          <w:sz w:val="24"/>
        </w:rPr>
        <w:t>有</w:t>
      </w:r>
      <w:r>
        <w:rPr>
          <w:rFonts w:hint="eastAsia" w:ascii="Times New Roman" w:hAnsi="Times New Roman" w:eastAsia="宋体" w:cs="Times New Roman"/>
          <w:color w:val="auto"/>
          <w:sz w:val="24"/>
        </w:rPr>
        <w:t>研习</w:t>
      </w:r>
      <w:r>
        <w:rPr>
          <w:rFonts w:ascii="Times New Roman" w:hAnsi="Times New Roman" w:eastAsia="宋体" w:cs="Times New Roman"/>
          <w:color w:val="auto"/>
          <w:sz w:val="24"/>
        </w:rPr>
        <w:t>学校</w:t>
      </w:r>
      <w:r>
        <w:rPr>
          <w:rFonts w:hint="eastAsia" w:ascii="Times New Roman" w:hAnsi="Times New Roman" w:eastAsia="宋体" w:cs="Times New Roman"/>
          <w:color w:val="auto"/>
          <w:sz w:val="24"/>
        </w:rPr>
        <w:t>实践导师</w:t>
      </w:r>
      <w:r>
        <w:rPr>
          <w:rFonts w:ascii="Times New Roman" w:hAnsi="Times New Roman" w:eastAsia="宋体" w:cs="Times New Roman"/>
          <w:color w:val="auto"/>
          <w:sz w:val="24"/>
        </w:rPr>
        <w:t>和班主任的评语及打分，并有</w:t>
      </w:r>
      <w:r>
        <w:rPr>
          <w:rFonts w:hint="eastAsia" w:ascii="Times New Roman" w:hAnsi="Times New Roman" w:eastAsia="宋体" w:cs="Times New Roman"/>
          <w:color w:val="auto"/>
          <w:sz w:val="24"/>
        </w:rPr>
        <w:t>研习</w:t>
      </w:r>
      <w:r>
        <w:rPr>
          <w:rFonts w:ascii="Times New Roman" w:hAnsi="Times New Roman" w:eastAsia="宋体" w:cs="Times New Roman"/>
          <w:color w:val="auto"/>
          <w:sz w:val="24"/>
        </w:rPr>
        <w:t>学校的意见</w:t>
      </w:r>
      <w:r>
        <w:rPr>
          <w:rFonts w:hint="eastAsia" w:ascii="Times New Roman" w:hAnsi="Times New Roman" w:eastAsia="宋体" w:cs="Times New Roman"/>
          <w:color w:val="auto"/>
          <w:sz w:val="24"/>
        </w:rPr>
        <w:t>和</w:t>
      </w:r>
      <w:r>
        <w:rPr>
          <w:rFonts w:ascii="Times New Roman" w:hAnsi="Times New Roman" w:eastAsia="宋体" w:cs="Times New Roman"/>
          <w:color w:val="auto"/>
          <w:sz w:val="24"/>
        </w:rPr>
        <w:t>本校指导教师的</w:t>
      </w:r>
      <w:r>
        <w:rPr>
          <w:rFonts w:hint="eastAsia" w:ascii="Times New Roman" w:hAnsi="Times New Roman" w:eastAsia="宋体" w:cs="Times New Roman"/>
          <w:color w:val="auto"/>
          <w:sz w:val="24"/>
        </w:rPr>
        <w:t>评语评分</w:t>
      </w:r>
      <w:r>
        <w:rPr>
          <w:rFonts w:ascii="Times New Roman" w:hAnsi="Times New Roman" w:eastAsia="宋体" w:cs="Times New Roman"/>
          <w:color w:val="auto"/>
          <w:sz w:val="24"/>
        </w:rPr>
        <w:t>及签字。</w:t>
      </w:r>
    </w:p>
    <w:p w14:paraId="180C221D">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（二）课程目标达成度计算方法</w:t>
      </w:r>
    </w:p>
    <w:p w14:paraId="24857C91">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52E95D51">
      <w:pPr>
        <w:spacing w:before="156" w:beforeLines="50" w:line="360" w:lineRule="auto"/>
        <w:ind w:firstLine="420" w:firstLineChars="200"/>
        <w:jc w:val="left"/>
        <w:rPr>
          <w:rFonts w:hint="eastAsia" w:ascii="Times New Roman" w:hAnsi="Times New Roman" w:eastAsia="宋体" w:cs="Times New Roman"/>
          <w:b/>
          <w:color w:val="auto"/>
          <w:sz w:val="22"/>
          <w:szCs w:val="22"/>
          <w:lang w:val="en-US" w:eastAsia="zh-CN"/>
        </w:rPr>
      </w:pPr>
      <w:r>
        <w:rPr>
          <w:rFonts w:ascii="宋体" w:hAnsi="宋体" w:eastAsia="宋体" w:cs="Times New Roman"/>
          <w:color w:val="auto"/>
          <w:szCs w:val="21"/>
        </w:rPr>
        <w:object>
          <v:shape id="_x0000_i1085"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85" DrawAspect="Content" ObjectID="_1468075784" r:id="rId71">
            <o:LockedField>false</o:LockedField>
          </o:OLEObject>
        </w:object>
      </w:r>
      <w:r>
        <w:rPr>
          <w:rFonts w:hint="eastAsia" w:ascii="Times New Roman" w:hAnsi="Times New Roman" w:eastAsia="宋体" w:cs="Times New Roman"/>
          <w:b/>
          <w:color w:val="auto"/>
          <w:sz w:val="22"/>
          <w:szCs w:val="22"/>
          <w:lang w:val="en-US" w:eastAsia="zh-CN"/>
        </w:rPr>
        <w:t>七、有关说明</w:t>
      </w:r>
    </w:p>
    <w:p w14:paraId="5DADDEB1">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72450636">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根据学生研习情况、研习学校反馈、学生作业、见习态度、调查报告、文本研读情况及时发现和改进教学中的不足之处，确保相应毕业要求指标点达成。</w:t>
      </w:r>
    </w:p>
    <w:p w14:paraId="3AB15D1B">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414DAA60">
      <w:pPr>
        <w:spacing w:line="336" w:lineRule="auto"/>
        <w:ind w:firstLine="420" w:firstLineChars="200"/>
        <w:rPr>
          <w:rFonts w:ascii="Times New Roman" w:hAnsi="Times New Roman" w:eastAsia="宋体" w:cs="Times New Roman"/>
          <w:bCs/>
          <w:color w:val="auto"/>
          <w:szCs w:val="21"/>
        </w:rPr>
      </w:pPr>
      <w:r>
        <w:rPr>
          <w:rFonts w:ascii="Times New Roman" w:hAnsi="Times New Roman" w:eastAsia="宋体" w:cs="Times New Roman"/>
          <w:bCs/>
          <w:color w:val="auto"/>
          <w:szCs w:val="21"/>
        </w:rPr>
        <w:t>1.</w:t>
      </w:r>
      <w:r>
        <w:rPr>
          <w:rFonts w:hint="eastAsia" w:ascii="Times New Roman" w:hAnsi="Times New Roman" w:eastAsia="宋体" w:cs="Times New Roman"/>
          <w:bCs/>
          <w:color w:val="auto"/>
          <w:szCs w:val="21"/>
        </w:rPr>
        <w:t>义务教育小学语文/数学学科课程标准，最新版。</w:t>
      </w:r>
    </w:p>
    <w:p w14:paraId="5B8E0F59">
      <w:pPr>
        <w:spacing w:line="336" w:lineRule="auto"/>
        <w:ind w:firstLine="420" w:firstLineChars="200"/>
        <w:rPr>
          <w:rFonts w:ascii="Times New Roman" w:hAnsi="Times New Roman" w:eastAsia="宋体" w:cs="Times New Roman"/>
          <w:bCs/>
          <w:color w:val="auto"/>
          <w:szCs w:val="21"/>
        </w:rPr>
      </w:pPr>
      <w:r>
        <w:rPr>
          <w:rFonts w:ascii="Times New Roman" w:hAnsi="Times New Roman" w:eastAsia="宋体" w:cs="Times New Roman"/>
          <w:bCs/>
          <w:color w:val="auto"/>
          <w:szCs w:val="21"/>
        </w:rPr>
        <w:t>2.</w:t>
      </w:r>
      <w:r>
        <w:rPr>
          <w:rFonts w:hint="eastAsia" w:ascii="Times New Roman" w:hAnsi="Times New Roman" w:eastAsia="宋体" w:cs="Times New Roman"/>
          <w:bCs/>
          <w:color w:val="auto"/>
          <w:szCs w:val="21"/>
        </w:rPr>
        <w:t>部编版小学语文/数学各年级教材。</w:t>
      </w:r>
    </w:p>
    <w:p w14:paraId="73EFA770">
      <w:pPr>
        <w:spacing w:line="336" w:lineRule="auto"/>
        <w:ind w:firstLine="420" w:firstLineChars="200"/>
        <w:rPr>
          <w:rFonts w:ascii="Times New Roman" w:hAnsi="Times New Roman" w:eastAsia="宋体" w:cs="Times New Roman"/>
          <w:bCs/>
          <w:color w:val="auto"/>
          <w:szCs w:val="21"/>
        </w:rPr>
      </w:pPr>
      <w:r>
        <w:rPr>
          <w:rFonts w:ascii="Times New Roman" w:hAnsi="Times New Roman" w:eastAsia="宋体" w:cs="Times New Roman"/>
          <w:bCs/>
          <w:color w:val="auto"/>
          <w:szCs w:val="21"/>
        </w:rPr>
        <w:t>3.《中小学教育专业见习实习研习实用手册》，金建生、刘雄英编著, 上海 交大出版社，2020年12月.</w:t>
      </w:r>
    </w:p>
    <w:p w14:paraId="4BF77949">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w:t>
      </w:r>
      <w:r>
        <w:rPr>
          <w:rFonts w:ascii="Times New Roman" w:hAnsi="Times New Roman" w:eastAsia="宋体" w:cs="Times New Roman"/>
          <w:bCs/>
          <w:color w:val="auto"/>
          <w:szCs w:val="21"/>
        </w:rPr>
        <w:t>.陈国庆等编著. 教育研究方法[M].武汉：华中师范大学出版社，2018.</w:t>
      </w:r>
    </w:p>
    <w:p w14:paraId="6FF4BA43">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ascii="宋体" w:hAnsi="Times New Roman" w:eastAsia="宋体" w:cs="Times New Roman"/>
          <w:color w:val="auto"/>
          <w:sz w:val="21"/>
          <w:szCs w:val="21"/>
        </w:rPr>
      </w:pPr>
      <w:r>
        <w:rPr>
          <w:rFonts w:ascii="宋体" w:hAnsi="宋体" w:eastAsia="宋体" w:cs="Times New Roman"/>
          <w:color w:val="auto"/>
          <w:sz w:val="24"/>
        </w:rPr>
        <w:t xml:space="preserve">                                           </w:t>
      </w:r>
      <w:r>
        <w:rPr>
          <w:rFonts w:ascii="宋体" w:hAnsi="宋体" w:eastAsia="宋体" w:cs="Times New Roman"/>
          <w:color w:val="auto"/>
          <w:sz w:val="21"/>
          <w:szCs w:val="21"/>
        </w:rPr>
        <w:t xml:space="preserve"> </w:t>
      </w:r>
      <w:r>
        <w:rPr>
          <w:rFonts w:hint="eastAsia" w:ascii="宋体" w:hAnsi="宋体" w:eastAsia="宋体" w:cs="Times New Roman"/>
          <w:color w:val="auto"/>
          <w:sz w:val="21"/>
          <w:szCs w:val="21"/>
        </w:rPr>
        <w:t>执笔人：</w:t>
      </w:r>
      <w:r>
        <w:rPr>
          <w:rFonts w:ascii="宋体" w:hAnsi="Times New Roman" w:eastAsia="宋体" w:cs="Times New Roman"/>
          <w:color w:val="auto"/>
          <w:sz w:val="21"/>
          <w:szCs w:val="21"/>
        </w:rPr>
        <w:t xml:space="preserve"> </w:t>
      </w:r>
      <w:r>
        <w:rPr>
          <w:rFonts w:hint="eastAsia" w:ascii="宋体" w:hAnsi="Times New Roman" w:eastAsia="宋体" w:cs="Times New Roman"/>
          <w:color w:val="auto"/>
          <w:sz w:val="21"/>
          <w:szCs w:val="21"/>
        </w:rPr>
        <w:t xml:space="preserve">刘 </w:t>
      </w:r>
      <w:r>
        <w:rPr>
          <w:rFonts w:hint="eastAsia" w:ascii="宋体" w:hAnsi="Times New Roman" w:eastAsia="宋体" w:cs="Times New Roman"/>
          <w:color w:val="auto"/>
          <w:sz w:val="21"/>
          <w:szCs w:val="21"/>
          <w:lang w:val="en-US" w:eastAsia="zh-CN"/>
        </w:rPr>
        <w:t xml:space="preserve"> </w:t>
      </w:r>
      <w:r>
        <w:rPr>
          <w:rFonts w:hint="eastAsia" w:ascii="宋体" w:hAnsi="Times New Roman" w:eastAsia="宋体" w:cs="Times New Roman"/>
          <w:color w:val="auto"/>
          <w:sz w:val="21"/>
          <w:szCs w:val="21"/>
        </w:rPr>
        <w:t>丽</w:t>
      </w:r>
    </w:p>
    <w:p w14:paraId="1A9A86E4">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宋体" w:hAnsi="宋体" w:eastAsia="宋体" w:cs="Times New Roman"/>
          <w:color w:val="auto"/>
          <w:sz w:val="21"/>
          <w:szCs w:val="21"/>
        </w:rPr>
      </w:pPr>
      <w:r>
        <w:rPr>
          <w:rFonts w:ascii="宋体" w:hAnsi="宋体" w:eastAsia="宋体" w:cs="Times New Roman"/>
          <w:color w:val="auto"/>
          <w:sz w:val="21"/>
          <w:szCs w:val="21"/>
        </w:rPr>
        <w:t xml:space="preserve">                                            </w:t>
      </w:r>
      <w:r>
        <w:rPr>
          <w:rFonts w:hint="eastAsia" w:ascii="宋体" w:hAnsi="宋体" w:eastAsia="宋体" w:cs="Times New Roman"/>
          <w:color w:val="auto"/>
          <w:sz w:val="21"/>
          <w:szCs w:val="21"/>
        </w:rPr>
        <w:t>审定人：</w:t>
      </w:r>
      <w:r>
        <w:rPr>
          <w:rFonts w:ascii="宋体" w:hAnsi="宋体" w:eastAsia="宋体" w:cs="Times New Roman"/>
          <w:color w:val="auto"/>
          <w:sz w:val="21"/>
          <w:szCs w:val="21"/>
        </w:rPr>
        <w:t xml:space="preserve"> </w:t>
      </w:r>
      <w:r>
        <w:rPr>
          <w:rFonts w:hint="eastAsia" w:ascii="宋体" w:hAnsi="宋体" w:eastAsia="宋体" w:cs="Times New Roman"/>
          <w:color w:val="auto"/>
          <w:sz w:val="21"/>
          <w:szCs w:val="21"/>
        </w:rPr>
        <w:t>王</w:t>
      </w:r>
      <w:r>
        <w:rPr>
          <w:rFonts w:hint="eastAsia" w:ascii="宋体" w:hAnsi="宋体" w:eastAsia="宋体" w:cs="Times New Roman"/>
          <w:color w:val="auto"/>
          <w:sz w:val="21"/>
          <w:szCs w:val="21"/>
          <w:lang w:val="en-US" w:eastAsia="zh-CN"/>
        </w:rPr>
        <w:t xml:space="preserve">  </w:t>
      </w:r>
      <w:r>
        <w:rPr>
          <w:rFonts w:hint="eastAsia" w:ascii="宋体" w:hAnsi="宋体" w:eastAsia="宋体" w:cs="Times New Roman"/>
          <w:color w:val="auto"/>
          <w:sz w:val="21"/>
          <w:szCs w:val="21"/>
        </w:rPr>
        <w:t>健</w:t>
      </w:r>
    </w:p>
    <w:p w14:paraId="353597B2">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ascii="宋体" w:hAnsi="Times New Roman" w:eastAsia="宋体" w:cs="Times New Roman"/>
          <w:color w:val="auto"/>
          <w:sz w:val="21"/>
          <w:szCs w:val="21"/>
        </w:rPr>
      </w:pPr>
      <w:r>
        <w:rPr>
          <w:rFonts w:ascii="宋体" w:hAnsi="宋体" w:eastAsia="宋体" w:cs="Times New Roman"/>
          <w:color w:val="auto"/>
          <w:sz w:val="21"/>
          <w:szCs w:val="21"/>
        </w:rPr>
        <w:t xml:space="preserve">                                            </w:t>
      </w:r>
      <w:r>
        <w:rPr>
          <w:rFonts w:hint="eastAsia" w:ascii="宋体" w:hAnsi="宋体" w:eastAsia="宋体" w:cs="Times New Roman"/>
          <w:color w:val="auto"/>
          <w:sz w:val="21"/>
          <w:szCs w:val="21"/>
        </w:rPr>
        <w:t>审批人：</w:t>
      </w:r>
      <w:r>
        <w:rPr>
          <w:rFonts w:ascii="宋体" w:hAnsi="Times New Roman" w:eastAsia="宋体" w:cs="Times New Roman"/>
          <w:color w:val="auto"/>
          <w:sz w:val="21"/>
          <w:szCs w:val="21"/>
        </w:rPr>
        <w:t xml:space="preserve"> </w:t>
      </w:r>
      <w:r>
        <w:rPr>
          <w:rFonts w:hint="eastAsia" w:ascii="宋体" w:hAnsi="Times New Roman" w:eastAsia="宋体" w:cs="Times New Roman"/>
          <w:color w:val="auto"/>
          <w:sz w:val="21"/>
          <w:szCs w:val="21"/>
        </w:rPr>
        <w:t>张志欣</w:t>
      </w:r>
    </w:p>
    <w:p w14:paraId="64094A59">
      <w:pPr>
        <w:keepNext w:val="0"/>
        <w:keepLines w:val="0"/>
        <w:pageBreakBefore w:val="0"/>
        <w:widowControl w:val="0"/>
        <w:kinsoku/>
        <w:wordWrap/>
        <w:overflowPunct/>
        <w:topLinePunct w:val="0"/>
        <w:autoSpaceDE/>
        <w:autoSpaceDN/>
        <w:bidi w:val="0"/>
        <w:spacing w:line="360" w:lineRule="auto"/>
        <w:jc w:val="right"/>
        <w:textAlignment w:val="auto"/>
        <w:rPr>
          <w:rFonts w:hint="eastAsia" w:ascii="宋体" w:hAnsi="宋体" w:eastAsia="宋体" w:cs="Times New Roman"/>
          <w:color w:val="auto"/>
          <w:sz w:val="21"/>
          <w:szCs w:val="21"/>
          <w:lang w:eastAsia="zh-CN"/>
        </w:rPr>
      </w:pPr>
      <w:r>
        <w:rPr>
          <w:rFonts w:ascii="宋体" w:hAnsi="宋体" w:eastAsia="宋体" w:cs="Times New Roman"/>
          <w:color w:val="auto"/>
          <w:sz w:val="21"/>
          <w:szCs w:val="21"/>
        </w:rPr>
        <w:t xml:space="preserve">                                           </w:t>
      </w:r>
      <w:r>
        <w:rPr>
          <w:rFonts w:hint="eastAsia" w:ascii="宋体" w:hAnsi="宋体" w:eastAsia="宋体" w:cs="Times New Roman"/>
          <w:color w:val="auto"/>
          <w:sz w:val="21"/>
          <w:szCs w:val="21"/>
          <w:lang w:eastAsia="zh-CN"/>
        </w:rPr>
        <w:t>批准时间：2025年7月1日</w:t>
      </w:r>
    </w:p>
    <w:p w14:paraId="53762B7F">
      <w:pPr>
        <w:rPr>
          <w:rFonts w:hint="eastAsia" w:ascii="宋体" w:hAnsi="宋体" w:eastAsia="宋体" w:cs="Times New Roman"/>
          <w:color w:val="auto"/>
          <w:sz w:val="24"/>
        </w:rPr>
      </w:pPr>
      <w:r>
        <w:rPr>
          <w:rFonts w:hint="eastAsia" w:ascii="宋体" w:hAnsi="宋体" w:eastAsia="宋体" w:cs="Times New Roman"/>
          <w:color w:val="auto"/>
          <w:sz w:val="24"/>
        </w:rPr>
        <w:br w:type="page"/>
      </w:r>
    </w:p>
    <w:p w14:paraId="776F87F1">
      <w:pPr>
        <w:spacing w:line="360" w:lineRule="auto"/>
        <w:jc w:val="center"/>
        <w:outlineLvl w:val="0"/>
        <w:rPr>
          <w:rFonts w:hint="eastAsia" w:ascii="Times New Roman" w:hAnsi="Times New Roman" w:eastAsia="宋体" w:cs="Times New Roman"/>
          <w:b/>
          <w:color w:val="auto"/>
          <w:sz w:val="44"/>
          <w:szCs w:val="44"/>
        </w:rPr>
      </w:pPr>
      <w:bookmarkStart w:id="464" w:name="_Toc8561"/>
      <w:bookmarkStart w:id="465" w:name="_Toc30333"/>
      <w:r>
        <w:rPr>
          <w:rFonts w:hint="eastAsia" w:ascii="Times New Roman" w:hAnsi="Times New Roman" w:eastAsia="宋体" w:cs="Times New Roman"/>
          <w:b/>
          <w:color w:val="auto"/>
          <w:sz w:val="44"/>
          <w:szCs w:val="44"/>
        </w:rPr>
        <w:t>《教育实习II》课程教学大纲</w:t>
      </w:r>
      <w:bookmarkEnd w:id="464"/>
      <w:bookmarkEnd w:id="465"/>
    </w:p>
    <w:p w14:paraId="0CBF1C78">
      <w:pPr>
        <w:spacing w:line="360" w:lineRule="auto"/>
        <w:jc w:val="center"/>
        <w:rPr>
          <w:rFonts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rPr>
        <w:t>（Educational Practice II）</w:t>
      </w:r>
    </w:p>
    <w:p w14:paraId="44BD276D">
      <w:pPr>
        <w:spacing w:line="360" w:lineRule="auto"/>
        <w:ind w:firstLine="422" w:firstLineChars="200"/>
        <w:jc w:val="left"/>
        <w:rPr>
          <w:rFonts w:hint="eastAsia" w:ascii="Times New Roman" w:hAnsi="Times New Roman" w:eastAsia="宋体" w:cs="Times New Roman"/>
          <w:b/>
          <w:color w:val="auto"/>
          <w:sz w:val="21"/>
          <w:szCs w:val="21"/>
        </w:rPr>
      </w:pPr>
    </w:p>
    <w:p w14:paraId="6235D801">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课程名称：教育实习II</w:t>
      </w:r>
    </w:p>
    <w:p w14:paraId="46AC92F4">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课程代码：2401051</w:t>
      </w:r>
    </w:p>
    <w:p w14:paraId="658E71DB">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学    分：2</w:t>
      </w:r>
    </w:p>
    <w:p w14:paraId="24B2C8E2">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学    时：8周</w:t>
      </w:r>
    </w:p>
    <w:p w14:paraId="79D15646">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先修课程：小学心理学、教育原理、中国教育史、书写技能、普通话训练、课程与教学论、教育心理学、教育见习Ⅰ、教育见习Ⅱ、教育实习Ⅰ等。</w:t>
      </w:r>
    </w:p>
    <w:p w14:paraId="6EE7A2E7">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适用专业：小学教育</w:t>
      </w:r>
    </w:p>
    <w:p w14:paraId="77BA5C9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一、课程简介</w:t>
      </w:r>
    </w:p>
    <w:p w14:paraId="437FC648">
      <w:pPr>
        <w:spacing w:before="156" w:beforeLines="50"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教育实习Ⅱ是小学教育专业重要的实践性环节。本课程的任务和目的是通过本次教育实习，学生能在活动中实现教学体验深刻化，教师角色的丰富化，专业与教育知识的情境化，教学基本技能的程序化，提升独立从事教学、班级管理及科研的能力，增强专业认同感，完成由师范生向一名准教师的转变。</w:t>
      </w:r>
    </w:p>
    <w:p w14:paraId="17E698E4">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二、课程目标</w:t>
      </w:r>
    </w:p>
    <w:p w14:paraId="0484296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（一）课程具体目标</w:t>
      </w:r>
    </w:p>
    <w:p w14:paraId="5D357F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目标1. 通过参与式的实习，深刻了解小学生和小学教育工作，增强教育职业认同感，坚定献身小学教育事业的专业信念。</w:t>
      </w:r>
    </w:p>
    <w:p w14:paraId="6857203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目标2. 在实习指导老师的指导下，进一步发展教学设计、教学实施、教学评价及教学反思能力。</w:t>
      </w:r>
    </w:p>
    <w:p w14:paraId="717C7E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目标3. 通过参与班级管理活动，深入了解小学生班级管理的基本方法和规律，学会处理日常教育教学工作中的突发性事件，具备独立从事班级管理的实践能力和智慧，理解小学生德育途径，增强小学生心理健康教育意识。</w:t>
      </w:r>
    </w:p>
    <w:p w14:paraId="501A6D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s="Times New Roman"/>
          <w:b/>
          <w:bCs/>
          <w:color w:val="auto"/>
          <w:szCs w:val="21"/>
        </w:rPr>
      </w:pPr>
      <w:r>
        <w:rPr>
          <w:rFonts w:hint="eastAsia" w:ascii="Times New Roman" w:hAnsi="Times New Roman" w:eastAsia="宋体" w:cs="Times New Roman"/>
          <w:color w:val="auto"/>
          <w:szCs w:val="21"/>
        </w:rPr>
        <w:t>目标4.了解学校的文化建构、课程设置、教师日常工作的基本流程，认真观察并记录实习学校中有关的教育教学现象，并有针对性的结合相关理论进行反思，并习得与教师、学生、家长进行有效沟通技能和方法。</w:t>
      </w:r>
    </w:p>
    <w:p w14:paraId="20E68883">
      <w:pPr>
        <w:numPr>
          <w:ilvl w:val="0"/>
          <w:numId w:val="0"/>
        </w:numPr>
        <w:spacing w:line="360" w:lineRule="auto"/>
        <w:ind w:firstLine="422" w:firstLineChars="200"/>
        <w:rPr>
          <w:rFonts w:ascii="Times New Roman" w:hAnsi="Times New Roman" w:eastAsia="宋体" w:cs="Times New Roman"/>
          <w:b/>
          <w:bCs/>
          <w:color w:val="auto"/>
          <w:sz w:val="21"/>
          <w:szCs w:val="22"/>
        </w:rPr>
      </w:pPr>
      <w:r>
        <w:rPr>
          <w:rFonts w:hint="eastAsia" w:ascii="Times New Roman" w:hAnsi="Times New Roman" w:eastAsia="宋体" w:cs="Times New Roman"/>
          <w:b/>
          <w:bCs/>
          <w:color w:val="auto"/>
          <w:sz w:val="21"/>
          <w:szCs w:val="22"/>
          <w:lang w:eastAsia="zh-CN"/>
        </w:rPr>
        <w:t>（</w:t>
      </w:r>
      <w:r>
        <w:rPr>
          <w:rFonts w:hint="eastAsia" w:ascii="Times New Roman" w:hAnsi="Times New Roman" w:eastAsia="宋体" w:cs="Times New Roman"/>
          <w:b/>
          <w:bCs/>
          <w:color w:val="auto"/>
          <w:sz w:val="21"/>
          <w:szCs w:val="22"/>
          <w:lang w:val="en-US" w:eastAsia="zh-CN"/>
        </w:rPr>
        <w:t>二</w:t>
      </w:r>
      <w:r>
        <w:rPr>
          <w:rFonts w:hint="eastAsia" w:ascii="Times New Roman" w:hAnsi="Times New Roman" w:eastAsia="宋体" w:cs="Times New Roman"/>
          <w:b/>
          <w:bCs/>
          <w:color w:val="auto"/>
          <w:sz w:val="21"/>
          <w:szCs w:val="22"/>
          <w:lang w:eastAsia="zh-CN"/>
        </w:rPr>
        <w:t>）</w:t>
      </w:r>
      <w:r>
        <w:rPr>
          <w:rFonts w:hint="eastAsia" w:ascii="Times New Roman" w:hAnsi="Times New Roman" w:eastAsia="宋体" w:cs="Times New Roman"/>
          <w:b/>
          <w:bCs/>
          <w:color w:val="auto"/>
          <w:sz w:val="21"/>
          <w:szCs w:val="22"/>
        </w:rPr>
        <w:t>课程目标与专业毕业要求的关系</w:t>
      </w:r>
    </w:p>
    <w:tbl>
      <w:tblPr>
        <w:tblStyle w:val="15"/>
        <w:tblW w:w="89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6283"/>
        <w:gridCol w:w="1286"/>
      </w:tblGrid>
      <w:tr w14:paraId="22E7E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79" w:type="dxa"/>
            <w:vAlign w:val="center"/>
          </w:tcPr>
          <w:p w14:paraId="470FBCFE">
            <w:pPr>
              <w:adjustRightInd w:val="0"/>
              <w:snapToGrid w:val="0"/>
              <w:spacing w:line="276"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毕业要求</w:t>
            </w:r>
          </w:p>
        </w:tc>
        <w:tc>
          <w:tcPr>
            <w:tcW w:w="6283" w:type="dxa"/>
            <w:vAlign w:val="center"/>
          </w:tcPr>
          <w:p w14:paraId="41D226FA">
            <w:pPr>
              <w:adjustRightInd w:val="0"/>
              <w:snapToGrid w:val="0"/>
              <w:spacing w:line="276"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毕业要求指标点</w:t>
            </w:r>
          </w:p>
        </w:tc>
        <w:tc>
          <w:tcPr>
            <w:tcW w:w="1286" w:type="dxa"/>
            <w:vAlign w:val="center"/>
          </w:tcPr>
          <w:p w14:paraId="362E2255">
            <w:pPr>
              <w:adjustRightInd w:val="0"/>
              <w:snapToGrid w:val="0"/>
              <w:spacing w:line="276" w:lineRule="auto"/>
              <w:rPr>
                <w:rFonts w:hint="eastAsia" w:ascii="宋体" w:hAnsi="宋体" w:eastAsia="宋体" w:cs="Times New Roman"/>
                <w:b/>
                <w:bCs/>
                <w:color w:val="auto"/>
                <w:szCs w:val="21"/>
              </w:rPr>
            </w:pPr>
            <w:r>
              <w:rPr>
                <w:rFonts w:hint="eastAsia" w:ascii="宋体" w:hAnsi="宋体" w:eastAsia="宋体" w:cs="Times New Roman"/>
                <w:b/>
                <w:bCs/>
                <w:color w:val="auto"/>
                <w:szCs w:val="21"/>
              </w:rPr>
              <w:t>课程目标</w:t>
            </w:r>
          </w:p>
        </w:tc>
      </w:tr>
      <w:tr w14:paraId="18031E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79" w:type="dxa"/>
            <w:vAlign w:val="center"/>
          </w:tcPr>
          <w:p w14:paraId="353EA935">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毕业要求1</w:t>
            </w:r>
          </w:p>
          <w:p w14:paraId="3FEE36D6">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师德规范</w:t>
            </w:r>
          </w:p>
        </w:tc>
        <w:tc>
          <w:tcPr>
            <w:tcW w:w="6283" w:type="dxa"/>
            <w:vAlign w:val="center"/>
          </w:tcPr>
          <w:p w14:paraId="30BA8EC1">
            <w:pPr>
              <w:adjustRightInd w:val="0"/>
              <w:snapToGrid w:val="0"/>
              <w:spacing w:line="276" w:lineRule="auto"/>
              <w:rPr>
                <w:rFonts w:hint="eastAsia" w:ascii="宋体" w:hAnsi="宋体" w:cs="宋体" w:eastAsiaTheme="minorEastAsia"/>
                <w:color w:val="auto"/>
                <w:szCs w:val="21"/>
                <w:lang w:eastAsia="zh-CN"/>
              </w:rPr>
            </w:pPr>
            <w:r>
              <w:rPr>
                <w:rFonts w:hint="eastAsia" w:ascii="宋体" w:hAnsi="宋体" w:cs="宋体"/>
                <w:color w:val="auto"/>
                <w:szCs w:val="21"/>
                <w:lang w:eastAsia="zh-CN"/>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286" w:type="dxa"/>
            <w:vAlign w:val="center"/>
          </w:tcPr>
          <w:p w14:paraId="000341E2">
            <w:pPr>
              <w:adjustRightInd w:val="0"/>
              <w:snapToGrid w:val="0"/>
              <w:spacing w:line="276" w:lineRule="auto"/>
              <w:jc w:val="left"/>
              <w:rPr>
                <w:rFonts w:hint="eastAsia" w:ascii="宋体" w:hAnsi="宋体" w:eastAsia="宋体" w:cs="Times New Roman"/>
                <w:color w:val="auto"/>
                <w:spacing w:val="2"/>
                <w:kern w:val="0"/>
                <w:szCs w:val="21"/>
              </w:rPr>
            </w:pPr>
            <w:r>
              <w:rPr>
                <w:rFonts w:hint="eastAsia" w:ascii="宋体" w:hAnsi="宋体" w:eastAsia="宋体" w:cs="Times New Roman"/>
                <w:color w:val="auto"/>
                <w:spacing w:val="2"/>
                <w:kern w:val="0"/>
                <w:szCs w:val="21"/>
              </w:rPr>
              <w:t>课程目标1</w:t>
            </w:r>
          </w:p>
        </w:tc>
      </w:tr>
      <w:tr w14:paraId="240F0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79" w:type="dxa"/>
            <w:vAlign w:val="center"/>
          </w:tcPr>
          <w:p w14:paraId="4AAEF181">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毕业要求2</w:t>
            </w:r>
          </w:p>
          <w:p w14:paraId="3473AEA1">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教育情怀</w:t>
            </w:r>
          </w:p>
        </w:tc>
        <w:tc>
          <w:tcPr>
            <w:tcW w:w="6283" w:type="dxa"/>
            <w:vAlign w:val="center"/>
          </w:tcPr>
          <w:p w14:paraId="54FF20AB">
            <w:pPr>
              <w:adjustRightInd w:val="0"/>
              <w:snapToGrid w:val="0"/>
              <w:spacing w:line="276" w:lineRule="auto"/>
              <w:rPr>
                <w:rFonts w:hint="eastAsia" w:ascii="宋体" w:hAnsi="宋体" w:cs="宋体"/>
                <w:color w:val="auto"/>
                <w:szCs w:val="21"/>
              </w:rPr>
            </w:pPr>
            <w:r>
              <w:rPr>
                <w:rFonts w:hint="eastAsia" w:ascii="宋体" w:hAnsi="宋体" w:cs="宋体"/>
                <w:color w:val="auto"/>
                <w:kern w:val="0"/>
                <w:szCs w:val="21"/>
              </w:rPr>
              <w:t>指标点</w:t>
            </w:r>
            <w:r>
              <w:rPr>
                <w:rFonts w:hint="eastAsia" w:ascii="宋体" w:hAnsi="宋体" w:cs="宋体"/>
                <w:color w:val="auto"/>
                <w:szCs w:val="21"/>
              </w:rPr>
              <w:t>2-2：【仁爱之心深厚】关爱学生，用心从教。具有正确的儿童观，理解、尊重、关爱、保护学生，以儿童发展为教育的中心。爱岗敬业，在教育实践中能认真履行教育教学职责与班主任工作职责，富有爱心、责任心、工作细心、耐心</w:t>
            </w:r>
            <w:r>
              <w:rPr>
                <w:rFonts w:hint="eastAsia" w:cs="宋体"/>
                <w:color w:val="auto"/>
                <w:szCs w:val="21"/>
              </w:rPr>
              <w:t>，</w:t>
            </w:r>
            <w:r>
              <w:rPr>
                <w:rFonts w:hint="eastAsia" w:cs="宋体"/>
                <w:color w:val="auto"/>
                <w:kern w:val="0"/>
                <w:sz w:val="20"/>
                <w:szCs w:val="20"/>
                <w:lang w:bidi="ar"/>
              </w:rPr>
              <w:t>立志成为</w:t>
            </w:r>
            <w:r>
              <w:rPr>
                <w:rFonts w:hint="eastAsia" w:ascii="宋体" w:hAnsi="宋体" w:cs="宋体"/>
                <w:color w:val="auto"/>
                <w:kern w:val="0"/>
                <w:sz w:val="20"/>
                <w:szCs w:val="20"/>
                <w:lang w:bidi="ar"/>
              </w:rPr>
              <w:t>学生学习的促进者、道德品质和创新思维的培养者，奉献祖国的引路人</w:t>
            </w:r>
            <w:r>
              <w:rPr>
                <w:rFonts w:hint="eastAsia" w:cs="宋体"/>
                <w:color w:val="auto"/>
                <w:kern w:val="0"/>
                <w:sz w:val="20"/>
                <w:szCs w:val="20"/>
                <w:lang w:bidi="ar"/>
              </w:rPr>
              <w:t>。</w:t>
            </w:r>
          </w:p>
        </w:tc>
        <w:tc>
          <w:tcPr>
            <w:tcW w:w="1286" w:type="dxa"/>
            <w:vAlign w:val="center"/>
          </w:tcPr>
          <w:p w14:paraId="5A951337">
            <w:pPr>
              <w:adjustRightInd w:val="0"/>
              <w:snapToGrid w:val="0"/>
              <w:spacing w:line="276" w:lineRule="auto"/>
              <w:jc w:val="left"/>
              <w:rPr>
                <w:rFonts w:hint="eastAsia" w:ascii="宋体" w:hAnsi="宋体" w:eastAsia="宋体" w:cs="Times New Roman"/>
                <w:color w:val="auto"/>
                <w:spacing w:val="2"/>
                <w:kern w:val="0"/>
                <w:szCs w:val="21"/>
              </w:rPr>
            </w:pPr>
            <w:r>
              <w:rPr>
                <w:rFonts w:hint="eastAsia" w:ascii="宋体" w:hAnsi="宋体" w:eastAsia="宋体" w:cs="Times New Roman"/>
                <w:color w:val="auto"/>
                <w:spacing w:val="2"/>
                <w:kern w:val="0"/>
                <w:szCs w:val="21"/>
              </w:rPr>
              <w:t>课程目标1</w:t>
            </w:r>
          </w:p>
        </w:tc>
      </w:tr>
      <w:tr w14:paraId="7D9BA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79" w:type="dxa"/>
            <w:shd w:val="clear" w:color="auto" w:fill="auto"/>
            <w:vAlign w:val="center"/>
          </w:tcPr>
          <w:p w14:paraId="70D952DC">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毕业要求4</w:t>
            </w:r>
          </w:p>
          <w:p w14:paraId="5C4CBB28">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教学能力</w:t>
            </w:r>
          </w:p>
        </w:tc>
        <w:tc>
          <w:tcPr>
            <w:tcW w:w="6283" w:type="dxa"/>
            <w:shd w:val="clear" w:color="auto" w:fill="auto"/>
            <w:vAlign w:val="center"/>
          </w:tcPr>
          <w:p w14:paraId="06B4C37A">
            <w:pPr>
              <w:adjustRightInd w:val="0"/>
              <w:snapToGrid w:val="0"/>
              <w:spacing w:line="276" w:lineRule="auto"/>
              <w:rPr>
                <w:color w:val="auto"/>
                <w:kern w:val="0"/>
                <w:szCs w:val="21"/>
              </w:rPr>
            </w:pPr>
            <w:r>
              <w:rPr>
                <w:rFonts w:hint="eastAsia"/>
                <w:color w:val="auto"/>
                <w:kern w:val="0"/>
                <w:szCs w:val="21"/>
              </w:rPr>
              <w:t>指标点4-2：【教学实施与评价科学】掌握小学教师基本功技能，包括书写技能、沟通与表达技能、信息技术运用技能等。获得全面的小学教学体验，掌握学科教学的基本方法与策略，能独立进行教学设计、实施和评价。</w:t>
            </w:r>
          </w:p>
          <w:p w14:paraId="5FBBDFE8">
            <w:pPr>
              <w:adjustRightInd w:val="0"/>
              <w:snapToGrid w:val="0"/>
              <w:spacing w:line="276" w:lineRule="auto"/>
              <w:rPr>
                <w:color w:val="auto"/>
                <w:szCs w:val="21"/>
              </w:rPr>
            </w:pPr>
            <w:r>
              <w:rPr>
                <w:color w:val="auto"/>
                <w:kern w:val="0"/>
                <w:szCs w:val="21"/>
              </w:rPr>
              <w:t>指标</w:t>
            </w:r>
            <w:r>
              <w:rPr>
                <w:rFonts w:hint="eastAsia" w:ascii="宋体" w:hAnsi="宋体" w:eastAsia="宋体" w:cs="Times New Roman"/>
                <w:color w:val="auto"/>
                <w:szCs w:val="21"/>
              </w:rPr>
              <w:t>点4-3：</w:t>
            </w:r>
            <w:r>
              <w:rPr>
                <w:color w:val="auto"/>
                <w:szCs w:val="21"/>
              </w:rPr>
              <w:t>【具备教育研究能力】掌握教育研究的基本方法，结合小学教育教学实践进行研究，具有一定的教学研究能力。</w:t>
            </w:r>
          </w:p>
          <w:p w14:paraId="4589B726">
            <w:pPr>
              <w:adjustRightInd w:val="0"/>
              <w:snapToGrid w:val="0"/>
              <w:spacing w:line="276" w:lineRule="auto"/>
              <w:rPr>
                <w:rFonts w:hint="eastAsia" w:eastAsiaTheme="minorEastAsia"/>
                <w:color w:val="auto"/>
                <w:szCs w:val="21"/>
                <w:lang w:eastAsia="zh-CN"/>
              </w:rPr>
            </w:pPr>
            <w:r>
              <w:rPr>
                <w:rFonts w:hint="eastAsia"/>
                <w:color w:val="auto"/>
                <w:szCs w:val="21"/>
                <w:lang w:eastAsia="zh-CN"/>
              </w:rPr>
              <w:t>指标点4-4：【具备教学研究能力】掌握教育研究的基本方法，在教育教学实践中，结合小学教育教学实践进行研究，具有一定的教学研究能力。</w:t>
            </w:r>
          </w:p>
          <w:p w14:paraId="4F440DE9">
            <w:pPr>
              <w:adjustRightInd w:val="0"/>
              <w:snapToGrid w:val="0"/>
              <w:spacing w:line="276" w:lineRule="auto"/>
              <w:rPr>
                <w:color w:val="auto"/>
                <w:szCs w:val="21"/>
                <w:lang w:eastAsia="zh"/>
              </w:rPr>
            </w:pPr>
            <w:r>
              <w:rPr>
                <w:rFonts w:hint="eastAsia"/>
                <w:color w:val="auto"/>
                <w:szCs w:val="21"/>
                <w:lang w:eastAsia="zh"/>
              </w:rPr>
              <w:t>在教育教学实践中，结合小学教育教学实践进行研究，具有</w:t>
            </w:r>
          </w:p>
          <w:p w14:paraId="00D68D13">
            <w:pPr>
              <w:adjustRightInd w:val="0"/>
              <w:snapToGrid w:val="0"/>
              <w:spacing w:line="276" w:lineRule="auto"/>
              <w:rPr>
                <w:color w:val="auto"/>
                <w:szCs w:val="21"/>
                <w:lang w:eastAsia="zh"/>
              </w:rPr>
            </w:pPr>
            <w:r>
              <w:rPr>
                <w:rFonts w:hint="eastAsia"/>
                <w:color w:val="auto"/>
                <w:szCs w:val="21"/>
                <w:lang w:eastAsia="zh"/>
              </w:rPr>
              <w:t>定的教学研究能力。</w:t>
            </w:r>
          </w:p>
        </w:tc>
        <w:tc>
          <w:tcPr>
            <w:tcW w:w="1286" w:type="dxa"/>
            <w:shd w:val="clear" w:color="auto" w:fill="auto"/>
            <w:vAlign w:val="center"/>
          </w:tcPr>
          <w:p w14:paraId="41EEB4D2">
            <w:pPr>
              <w:adjustRightInd w:val="0"/>
              <w:snapToGrid w:val="0"/>
              <w:spacing w:line="276" w:lineRule="auto"/>
              <w:jc w:val="left"/>
              <w:rPr>
                <w:rFonts w:hint="eastAsia" w:ascii="宋体" w:hAnsi="宋体" w:eastAsia="宋体" w:cs="Times New Roman"/>
                <w:color w:val="auto"/>
                <w:spacing w:val="2"/>
                <w:kern w:val="0"/>
                <w:szCs w:val="21"/>
              </w:rPr>
            </w:pPr>
            <w:r>
              <w:rPr>
                <w:rFonts w:hint="eastAsia" w:ascii="宋体" w:hAnsi="宋体" w:eastAsia="宋体" w:cs="Times New Roman"/>
                <w:color w:val="auto"/>
                <w:spacing w:val="2"/>
                <w:kern w:val="0"/>
                <w:szCs w:val="21"/>
              </w:rPr>
              <w:t>课程目标2</w:t>
            </w:r>
          </w:p>
        </w:tc>
      </w:tr>
      <w:tr w14:paraId="2A25D9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79" w:type="dxa"/>
            <w:shd w:val="clear" w:color="auto" w:fill="auto"/>
            <w:vAlign w:val="center"/>
          </w:tcPr>
          <w:p w14:paraId="579BC4A9">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毕业要求5</w:t>
            </w:r>
          </w:p>
          <w:p w14:paraId="0DD46DFA">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班级管理</w:t>
            </w:r>
          </w:p>
        </w:tc>
        <w:tc>
          <w:tcPr>
            <w:tcW w:w="6283" w:type="dxa"/>
            <w:shd w:val="clear" w:color="auto" w:fill="auto"/>
            <w:vAlign w:val="center"/>
          </w:tcPr>
          <w:p w14:paraId="298BB67C">
            <w:pPr>
              <w:adjustRightInd w:val="0"/>
              <w:snapToGrid w:val="0"/>
              <w:spacing w:line="276" w:lineRule="auto"/>
              <w:rPr>
                <w:rFonts w:hint="eastAsia" w:eastAsiaTheme="minorEastAsia"/>
                <w:color w:val="auto"/>
                <w:kern w:val="0"/>
                <w:szCs w:val="21"/>
                <w:lang w:eastAsia="zh-CN"/>
              </w:rPr>
            </w:pPr>
            <w:r>
              <w:rPr>
                <w:rFonts w:hint="eastAsia"/>
                <w:color w:val="auto"/>
                <w:kern w:val="0"/>
                <w:szCs w:val="21"/>
                <w:lang w:eastAsia="zh-CN"/>
              </w:rPr>
              <w:t>指标点5-1：【擅长班队管理】具有小学德育工作体验，树立育人为本、德育为先的理念，熟悉小学德育的基本原理与方法。获得小学班队组织与建设的体验。掌握小学班队组织与建设的工作规律和基本方法，具有班队建设和管理的基本能力。能够在工作实践中，利用技术手段收集学生成长过程的关键信息，建立学生成长电子档案，对学生进行综合素质评价，指导学生成长，关注学生生活，运用德育的理论和方法组织与指导班队活动。</w:t>
            </w:r>
          </w:p>
          <w:p w14:paraId="6FE48265">
            <w:pPr>
              <w:adjustRightInd w:val="0"/>
              <w:snapToGrid w:val="0"/>
              <w:spacing w:line="276" w:lineRule="auto"/>
              <w:rPr>
                <w:rFonts w:hint="eastAsia" w:eastAsiaTheme="minorEastAsia"/>
                <w:color w:val="auto"/>
                <w:kern w:val="0"/>
                <w:szCs w:val="21"/>
                <w:lang w:eastAsia="zh-CN"/>
              </w:rPr>
            </w:pPr>
            <w:r>
              <w:rPr>
                <w:rFonts w:hint="eastAsia"/>
                <w:color w:val="auto"/>
                <w:kern w:val="0"/>
                <w:szCs w:val="21"/>
                <w:lang w:eastAsia="zh-CN"/>
              </w:rPr>
              <w:t>指标点5-2：【重视身心健康教育】了解小学生身体、情感发展的特性和差异性，包括小学生日常卫生保健、传染病预防、意外伤害事故处理等相关知识，掌握面临特殊事件发生时保护学生的基本方法。获得小学心理健康教育指导体验，在教育教学实践中，参与组织与指导对小学生心理健康教育的科普宣传及心理辅导，掌握小学心理健康教育的基本方法。</w:t>
            </w:r>
          </w:p>
        </w:tc>
        <w:tc>
          <w:tcPr>
            <w:tcW w:w="1286" w:type="dxa"/>
            <w:shd w:val="clear" w:color="auto" w:fill="auto"/>
            <w:vAlign w:val="center"/>
          </w:tcPr>
          <w:p w14:paraId="2C6B443E">
            <w:pPr>
              <w:adjustRightInd w:val="0"/>
              <w:snapToGrid w:val="0"/>
              <w:spacing w:line="276" w:lineRule="auto"/>
              <w:jc w:val="left"/>
              <w:rPr>
                <w:rFonts w:hint="eastAsia" w:ascii="宋体" w:hAnsi="宋体" w:eastAsia="宋体" w:cs="Times New Roman"/>
                <w:color w:val="auto"/>
                <w:spacing w:val="2"/>
                <w:kern w:val="0"/>
                <w:szCs w:val="21"/>
              </w:rPr>
            </w:pPr>
            <w:r>
              <w:rPr>
                <w:rFonts w:hint="eastAsia" w:ascii="宋体" w:hAnsi="宋体" w:eastAsia="宋体" w:cs="Times New Roman"/>
                <w:color w:val="auto"/>
                <w:spacing w:val="2"/>
                <w:kern w:val="0"/>
                <w:szCs w:val="21"/>
              </w:rPr>
              <w:t>课程目标3</w:t>
            </w:r>
          </w:p>
        </w:tc>
      </w:tr>
      <w:tr w14:paraId="19CD3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79" w:type="dxa"/>
            <w:shd w:val="clear" w:color="auto" w:fill="auto"/>
            <w:vAlign w:val="center"/>
          </w:tcPr>
          <w:p w14:paraId="09183764">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毕业要求6</w:t>
            </w:r>
          </w:p>
          <w:p w14:paraId="0111B526">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综合育人</w:t>
            </w:r>
          </w:p>
        </w:tc>
        <w:tc>
          <w:tcPr>
            <w:tcW w:w="6283" w:type="dxa"/>
            <w:shd w:val="clear" w:color="auto" w:fill="auto"/>
            <w:vAlign w:val="center"/>
          </w:tcPr>
          <w:p w14:paraId="1F5F20AA">
            <w:pPr>
              <w:adjustRightInd w:val="0"/>
              <w:snapToGrid w:val="0"/>
              <w:spacing w:line="276" w:lineRule="auto"/>
              <w:rPr>
                <w:color w:val="auto"/>
                <w:kern w:val="0"/>
                <w:szCs w:val="21"/>
              </w:rPr>
            </w:pPr>
            <w:r>
              <w:rPr>
                <w:rFonts w:hint="eastAsia"/>
                <w:color w:val="auto"/>
                <w:kern w:val="0"/>
                <w:szCs w:val="21"/>
              </w:rPr>
              <w:t>指标点6-1：【遵循身心规律】了解不同年龄以及有特殊需要的小学生的身心发展特点和规律、不同年龄小学生学习的特点，掌握小学生良好行为习惯养成的知识。</w:t>
            </w:r>
          </w:p>
          <w:p w14:paraId="1F74D388">
            <w:pPr>
              <w:adjustRightInd w:val="0"/>
              <w:snapToGrid w:val="0"/>
              <w:spacing w:line="276" w:lineRule="auto"/>
              <w:rPr>
                <w:color w:val="auto"/>
                <w:kern w:val="0"/>
                <w:szCs w:val="21"/>
              </w:rPr>
            </w:pPr>
            <w:r>
              <w:rPr>
                <w:rFonts w:hint="eastAsia"/>
                <w:color w:val="auto"/>
                <w:kern w:val="0"/>
                <w:szCs w:val="21"/>
              </w:rPr>
              <w:t>指标点6-2：【胜任学科育人】具有教书育人的意识，理解学科核心素养和拟任教学科课程独特的育人功能，在教育教学实践中，具备结合学科教学进行育人的意识与能力，注重学科教学中思想政治教育的渗透。</w:t>
            </w:r>
          </w:p>
          <w:p w14:paraId="5FE3C91B">
            <w:pPr>
              <w:adjustRightInd w:val="0"/>
              <w:snapToGrid w:val="0"/>
              <w:spacing w:line="276" w:lineRule="auto"/>
              <w:rPr>
                <w:rFonts w:hint="eastAsia" w:eastAsiaTheme="minorEastAsia"/>
                <w:color w:val="auto"/>
                <w:kern w:val="0"/>
                <w:szCs w:val="21"/>
                <w:lang w:eastAsia="zh-CN"/>
              </w:rPr>
            </w:pPr>
            <w:r>
              <w:rPr>
                <w:rFonts w:hint="eastAsia" w:ascii="宋体" w:hAnsi="宋体" w:cs="宋体"/>
                <w:color w:val="auto"/>
                <w:kern w:val="0"/>
                <w:szCs w:val="21"/>
                <w:lang w:eastAsia="zh-CN"/>
              </w:rPr>
              <w:t>指标点6-3：【善于文化与活动育人】了解课外活动组织和管理知识，掌握学校文化和各类课外教育活动的育人内涵和方法，在教育教学实践中，参与组织主题教育、少先队活动和社团活动，促进小学生全面、健康发展。</w:t>
            </w:r>
          </w:p>
        </w:tc>
        <w:tc>
          <w:tcPr>
            <w:tcW w:w="1286" w:type="dxa"/>
            <w:shd w:val="clear" w:color="auto" w:fill="auto"/>
            <w:vAlign w:val="center"/>
          </w:tcPr>
          <w:p w14:paraId="40A6F7F3">
            <w:pPr>
              <w:adjustRightInd w:val="0"/>
              <w:snapToGrid w:val="0"/>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课程目标2</w:t>
            </w:r>
          </w:p>
          <w:p w14:paraId="6082ED0F">
            <w:pPr>
              <w:adjustRightInd w:val="0"/>
              <w:snapToGrid w:val="0"/>
              <w:spacing w:line="276" w:lineRule="auto"/>
              <w:jc w:val="left"/>
              <w:rPr>
                <w:rFonts w:hint="eastAsia" w:ascii="宋体" w:hAnsi="宋体" w:eastAsia="宋体" w:cs="Times New Roman"/>
                <w:color w:val="auto"/>
                <w:spacing w:val="2"/>
                <w:kern w:val="0"/>
                <w:szCs w:val="21"/>
              </w:rPr>
            </w:pPr>
            <w:r>
              <w:rPr>
                <w:rFonts w:hint="eastAsia" w:ascii="宋体" w:hAnsi="宋体" w:eastAsia="宋体" w:cs="Times New Roman"/>
                <w:color w:val="auto"/>
                <w:kern w:val="0"/>
                <w:szCs w:val="21"/>
              </w:rPr>
              <w:t>课程目标3</w:t>
            </w:r>
          </w:p>
        </w:tc>
      </w:tr>
      <w:tr w14:paraId="124908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379" w:type="dxa"/>
            <w:vAlign w:val="center"/>
          </w:tcPr>
          <w:p w14:paraId="702051C7">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毕业要求7</w:t>
            </w:r>
          </w:p>
          <w:p w14:paraId="22EE2652">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学会反思</w:t>
            </w:r>
          </w:p>
        </w:tc>
        <w:tc>
          <w:tcPr>
            <w:tcW w:w="6283" w:type="dxa"/>
            <w:vAlign w:val="center"/>
          </w:tcPr>
          <w:p w14:paraId="2540E857">
            <w:pPr>
              <w:adjustRightInd w:val="0"/>
              <w:snapToGrid w:val="0"/>
              <w:spacing w:line="276" w:lineRule="auto"/>
              <w:rPr>
                <w:rFonts w:hint="eastAsia" w:ascii="宋体" w:hAnsi="宋体" w:eastAsia="宋体" w:cs="Times New Roman"/>
                <w:color w:val="auto"/>
                <w:kern w:val="0"/>
                <w:szCs w:val="21"/>
              </w:rPr>
            </w:pPr>
            <w:r>
              <w:rPr>
                <w:rFonts w:hint="eastAsia" w:ascii="宋体" w:hAnsi="宋体" w:eastAsia="宋体" w:cs="Times New Roman"/>
                <w:color w:val="auto"/>
                <w:szCs w:val="21"/>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286" w:type="dxa"/>
            <w:vAlign w:val="center"/>
          </w:tcPr>
          <w:p w14:paraId="461E0F32">
            <w:pPr>
              <w:adjustRightInd w:val="0"/>
              <w:snapToGrid w:val="0"/>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课程目标2</w:t>
            </w:r>
          </w:p>
          <w:p w14:paraId="0A39D6D8">
            <w:pPr>
              <w:adjustRightInd w:val="0"/>
              <w:snapToGrid w:val="0"/>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课程目标3</w:t>
            </w:r>
          </w:p>
          <w:p w14:paraId="67F3E299">
            <w:pPr>
              <w:adjustRightInd w:val="0"/>
              <w:snapToGrid w:val="0"/>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课程目标4</w:t>
            </w:r>
          </w:p>
        </w:tc>
      </w:tr>
      <w:tr w14:paraId="5B5B1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9" w:type="dxa"/>
            <w:vAlign w:val="center"/>
          </w:tcPr>
          <w:p w14:paraId="16D37AA9">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毕业要求8</w:t>
            </w:r>
          </w:p>
          <w:p w14:paraId="4A155DD1">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沟通能力</w:t>
            </w:r>
          </w:p>
        </w:tc>
        <w:tc>
          <w:tcPr>
            <w:tcW w:w="6283" w:type="dxa"/>
            <w:vAlign w:val="center"/>
          </w:tcPr>
          <w:p w14:paraId="30BCEC26">
            <w:pPr>
              <w:adjustRightInd w:val="0"/>
              <w:snapToGrid w:val="0"/>
              <w:spacing w:line="276" w:lineRule="auto"/>
              <w:rPr>
                <w:rFonts w:hint="eastAsia" w:ascii="宋体" w:hAnsi="宋体" w:eastAsia="宋体" w:cs="Times New Roman"/>
                <w:color w:val="auto"/>
                <w:szCs w:val="21"/>
                <w:lang w:eastAsia="zh-CN"/>
              </w:rPr>
            </w:pPr>
            <w:r>
              <w:rPr>
                <w:rFonts w:hint="eastAsia" w:ascii="宋体" w:hAnsi="宋体" w:eastAsia="宋体" w:cs="Times New Roman"/>
                <w:color w:val="auto"/>
                <w:szCs w:val="21"/>
                <w:lang w:eastAsia="zh-CN"/>
              </w:rPr>
              <w:t>指标点8-1：【善于团队合作】理解学习共同体的本质和价值，掌握团队协作的基本策略，在课堂学习与教育实践中获得合作学习体验，形成团队协作精神。</w:t>
            </w:r>
          </w:p>
          <w:p w14:paraId="5ABC43BF">
            <w:pPr>
              <w:adjustRightInd w:val="0"/>
              <w:snapToGrid w:val="0"/>
              <w:spacing w:line="276" w:lineRule="auto"/>
              <w:rPr>
                <w:rFonts w:hint="eastAsia" w:ascii="宋体" w:hAnsi="宋体" w:eastAsia="宋体" w:cs="Times New Roman"/>
                <w:color w:val="auto"/>
                <w:spacing w:val="2"/>
                <w:kern w:val="0"/>
                <w:szCs w:val="21"/>
              </w:rPr>
            </w:pPr>
            <w:r>
              <w:rPr>
                <w:rFonts w:hint="eastAsia" w:ascii="宋体" w:hAnsi="宋体" w:eastAsia="宋体" w:cs="Times New Roman"/>
                <w:color w:val="auto"/>
                <w:szCs w:val="21"/>
              </w:rPr>
              <w:t>指标点8-2：【学会沟通交流】掌握人际沟通合作技能与方法，能与学生和家长以及同行、同事、专家进行有效沟通与合作，实现共同发展。</w:t>
            </w:r>
          </w:p>
        </w:tc>
        <w:tc>
          <w:tcPr>
            <w:tcW w:w="1286" w:type="dxa"/>
            <w:vAlign w:val="center"/>
          </w:tcPr>
          <w:p w14:paraId="037FDD58">
            <w:pPr>
              <w:shd w:val="clear" w:color="auto" w:fill="FFFFFF"/>
              <w:adjustRightInd w:val="0"/>
              <w:snapToGrid w:val="0"/>
              <w:spacing w:line="276" w:lineRule="auto"/>
              <w:jc w:val="left"/>
              <w:rPr>
                <w:rFonts w:ascii="Times New Roman" w:hAnsi="Times New Roman" w:eastAsia="宋体" w:cs="Times New Roman"/>
                <w:color w:val="auto"/>
                <w:szCs w:val="23"/>
              </w:rPr>
            </w:pPr>
            <w:r>
              <w:rPr>
                <w:rFonts w:hint="eastAsia" w:ascii="Times New Roman" w:hAnsi="Times New Roman" w:eastAsia="宋体" w:cs="Times New Roman"/>
                <w:color w:val="auto"/>
                <w:szCs w:val="23"/>
              </w:rPr>
              <w:t>课程目标4</w:t>
            </w:r>
          </w:p>
        </w:tc>
      </w:tr>
    </w:tbl>
    <w:p w14:paraId="51523F47">
      <w:pPr>
        <w:spacing w:line="360" w:lineRule="auto"/>
        <w:ind w:firstLine="422" w:firstLineChars="200"/>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（三）课程思政目标</w:t>
      </w:r>
    </w:p>
    <w:p w14:paraId="5B527037">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自觉践行社会主义核心价值观，进一步领会立德树人根本任务，增强学科育人、文化育人、活动育人意识；通过参与式的实习，深刻了解小学生和小学教育工作，增强教育职业认同感，坚定献身小学教育事业的专业信念。</w:t>
      </w:r>
    </w:p>
    <w:p w14:paraId="04A7DDA1">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三、教学内容与预期学习成效</w:t>
      </w:r>
    </w:p>
    <w:tbl>
      <w:tblPr>
        <w:tblStyle w:val="16"/>
        <w:tblpPr w:leftFromText="181" w:rightFromText="181" w:vertAnchor="text" w:horzAnchor="page" w:tblpX="1424" w:tblpY="1"/>
        <w:tblOverlap w:val="never"/>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2644"/>
        <w:gridCol w:w="1238"/>
        <w:gridCol w:w="2707"/>
        <w:gridCol w:w="1441"/>
        <w:gridCol w:w="531"/>
      </w:tblGrid>
      <w:tr w14:paraId="5DA1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36EE0F54">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w:t>
            </w:r>
          </w:p>
          <w:p w14:paraId="65CED8F0">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单元</w:t>
            </w:r>
          </w:p>
        </w:tc>
        <w:tc>
          <w:tcPr>
            <w:tcW w:w="2644" w:type="dxa"/>
            <w:vAlign w:val="center"/>
          </w:tcPr>
          <w:p w14:paraId="4B655DB5">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知识点</w:t>
            </w:r>
          </w:p>
        </w:tc>
        <w:tc>
          <w:tcPr>
            <w:tcW w:w="1238" w:type="dxa"/>
            <w:vAlign w:val="center"/>
          </w:tcPr>
          <w:p w14:paraId="0AC8BF86">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对应</w:t>
            </w:r>
          </w:p>
          <w:p w14:paraId="52683831">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课程目标</w:t>
            </w:r>
          </w:p>
        </w:tc>
        <w:tc>
          <w:tcPr>
            <w:tcW w:w="2707" w:type="dxa"/>
            <w:vAlign w:val="center"/>
          </w:tcPr>
          <w:p w14:paraId="034098B4">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441" w:type="dxa"/>
            <w:vAlign w:val="center"/>
          </w:tcPr>
          <w:p w14:paraId="602EF041">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实现</w:t>
            </w:r>
          </w:p>
          <w:p w14:paraId="03C3D6AB">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环节</w:t>
            </w:r>
          </w:p>
        </w:tc>
        <w:tc>
          <w:tcPr>
            <w:tcW w:w="531" w:type="dxa"/>
            <w:vAlign w:val="center"/>
          </w:tcPr>
          <w:p w14:paraId="0B0F1B91">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学时</w:t>
            </w:r>
          </w:p>
        </w:tc>
      </w:tr>
      <w:tr w14:paraId="36D7F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Merge w:val="restart"/>
            <w:vAlign w:val="center"/>
          </w:tcPr>
          <w:p w14:paraId="0D635677">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1.课堂教学实习</w:t>
            </w:r>
          </w:p>
        </w:tc>
        <w:tc>
          <w:tcPr>
            <w:tcW w:w="2644" w:type="dxa"/>
            <w:vAlign w:val="center"/>
          </w:tcPr>
          <w:p w14:paraId="36F8C68F">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备课与教学设计；</w:t>
            </w:r>
          </w:p>
          <w:p w14:paraId="00E61FB0">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w:t>
            </w:r>
            <w:r>
              <w:rPr>
                <w:rFonts w:ascii="宋体" w:hAnsi="宋体" w:eastAsia="宋体" w:cs="Times New Roman"/>
                <w:color w:val="auto"/>
                <w:szCs w:val="21"/>
              </w:rPr>
              <w:t>说课；</w:t>
            </w:r>
          </w:p>
          <w:p w14:paraId="175A5E35">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w:t>
            </w:r>
            <w:r>
              <w:rPr>
                <w:rFonts w:ascii="宋体" w:hAnsi="宋体" w:eastAsia="宋体" w:cs="Times New Roman"/>
                <w:color w:val="auto"/>
                <w:szCs w:val="21"/>
              </w:rPr>
              <w:t>试讲与磨课；</w:t>
            </w:r>
          </w:p>
          <w:p w14:paraId="00DCE4BC">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w:t>
            </w:r>
            <w:r>
              <w:rPr>
                <w:rFonts w:ascii="宋体" w:hAnsi="宋体" w:eastAsia="宋体" w:cs="Times New Roman"/>
                <w:color w:val="auto"/>
                <w:szCs w:val="21"/>
              </w:rPr>
              <w:t>上课；</w:t>
            </w:r>
          </w:p>
          <w:p w14:paraId="353FB83B">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w:t>
            </w:r>
            <w:r>
              <w:rPr>
                <w:rFonts w:ascii="宋体" w:hAnsi="宋体" w:eastAsia="宋体" w:cs="Times New Roman"/>
                <w:color w:val="auto"/>
                <w:szCs w:val="21"/>
              </w:rPr>
              <w:t>教育教学评价；</w:t>
            </w:r>
          </w:p>
          <w:p w14:paraId="688B8CE8">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（6）</w:t>
            </w:r>
            <w:r>
              <w:rPr>
                <w:rFonts w:ascii="宋体" w:hAnsi="宋体" w:eastAsia="宋体" w:cs="Times New Roman"/>
                <w:color w:val="auto"/>
                <w:szCs w:val="21"/>
              </w:rPr>
              <w:t>参加教研活动。</w:t>
            </w:r>
          </w:p>
        </w:tc>
        <w:tc>
          <w:tcPr>
            <w:tcW w:w="1238" w:type="dxa"/>
            <w:vAlign w:val="center"/>
          </w:tcPr>
          <w:p w14:paraId="4CA98955">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课程目标1、2、4</w:t>
            </w:r>
          </w:p>
        </w:tc>
        <w:tc>
          <w:tcPr>
            <w:tcW w:w="2707" w:type="dxa"/>
            <w:vAlign w:val="center"/>
          </w:tcPr>
          <w:p w14:paraId="1F064EAF">
            <w:pPr>
              <w:adjustRightInd w:val="0"/>
              <w:snapToGrid w:val="0"/>
              <w:spacing w:line="312" w:lineRule="auto"/>
              <w:jc w:val="left"/>
              <w:rPr>
                <w:rFonts w:hint="eastAsia" w:ascii="宋体" w:hAnsi="宋体" w:eastAsia="宋体" w:cs="Times New Roman"/>
                <w:color w:val="auto"/>
                <w:szCs w:val="21"/>
              </w:rPr>
            </w:pPr>
            <w:r>
              <w:rPr>
                <w:rFonts w:ascii="宋体" w:hAnsi="宋体" w:eastAsia="宋体" w:cs="Times New Roman"/>
                <w:color w:val="auto"/>
                <w:szCs w:val="21"/>
              </w:rPr>
              <w:t>1.</w:t>
            </w:r>
            <w:r>
              <w:rPr>
                <w:rFonts w:hint="eastAsia" w:ascii="宋体" w:hAnsi="宋体" w:eastAsia="宋体" w:cs="Times New Roman"/>
                <w:color w:val="auto"/>
                <w:szCs w:val="21"/>
              </w:rPr>
              <w:t>每个实习生按照实习计划认真备课，独立编写教案，在上课前三天将教案递交指导师审阅，并通过反复试教再正式上课。要求保质保量地完成教学任务；</w:t>
            </w:r>
          </w:p>
          <w:p w14:paraId="50054A05">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2.听课不少于40节，并做好听课记录、评课记录、反思等相关材料，提交课堂实录20节；</w:t>
            </w:r>
          </w:p>
          <w:p w14:paraId="75F56F5D">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3.说课稿4份；教育教学评价（试卷）1份；</w:t>
            </w:r>
          </w:p>
          <w:p w14:paraId="63BE42E9">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4.参与或组织评课活动，交教研活动记录1篇。</w:t>
            </w:r>
          </w:p>
        </w:tc>
        <w:tc>
          <w:tcPr>
            <w:tcW w:w="1441" w:type="dxa"/>
            <w:vAlign w:val="center"/>
          </w:tcPr>
          <w:p w14:paraId="1519D5DD">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1.编写教案</w:t>
            </w:r>
          </w:p>
          <w:p w14:paraId="1B2E445F">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2.说课上课</w:t>
            </w:r>
          </w:p>
          <w:p w14:paraId="5901B61E">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3.听课</w:t>
            </w:r>
          </w:p>
          <w:p w14:paraId="31B49349">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4.评课</w:t>
            </w:r>
          </w:p>
          <w:p w14:paraId="7783310E">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5.教学反思</w:t>
            </w:r>
          </w:p>
          <w:p w14:paraId="7EFDE89C">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6.评阅作业试卷</w:t>
            </w:r>
          </w:p>
          <w:p w14:paraId="6DD192B1">
            <w:pPr>
              <w:adjustRightInd w:val="0"/>
              <w:snapToGrid w:val="0"/>
              <w:spacing w:line="312" w:lineRule="auto"/>
              <w:jc w:val="left"/>
              <w:rPr>
                <w:rFonts w:hint="eastAsia" w:ascii="宋体" w:hAnsi="宋体" w:eastAsia="宋体" w:cs="Times New Roman"/>
                <w:color w:val="auto"/>
                <w:szCs w:val="21"/>
              </w:rPr>
            </w:pPr>
          </w:p>
        </w:tc>
        <w:tc>
          <w:tcPr>
            <w:tcW w:w="531" w:type="dxa"/>
            <w:vAlign w:val="center"/>
          </w:tcPr>
          <w:p w14:paraId="1BF59168">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160</w:t>
            </w:r>
          </w:p>
        </w:tc>
      </w:tr>
      <w:tr w14:paraId="7C69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Merge w:val="continue"/>
            <w:vAlign w:val="center"/>
          </w:tcPr>
          <w:p w14:paraId="15E115B8">
            <w:pPr>
              <w:adjustRightInd w:val="0"/>
              <w:snapToGrid w:val="0"/>
              <w:spacing w:line="312" w:lineRule="auto"/>
              <w:jc w:val="center"/>
              <w:rPr>
                <w:rFonts w:hint="eastAsia" w:ascii="宋体" w:hAnsi="宋体" w:eastAsia="宋体" w:cs="Times New Roman"/>
                <w:color w:val="auto"/>
                <w:szCs w:val="21"/>
              </w:rPr>
            </w:pPr>
          </w:p>
        </w:tc>
        <w:tc>
          <w:tcPr>
            <w:tcW w:w="8561" w:type="dxa"/>
            <w:gridSpan w:val="5"/>
            <w:vAlign w:val="center"/>
          </w:tcPr>
          <w:p w14:paraId="770B0271">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自觉践行社会主义核心价值观，进一步领会立德树人根本任务，增强学科育人的意识；在实践中增进对儿童的认识，体验和感受教师职业的光荣感和责任感，坚定献身小学教育事业的专业信念。</w:t>
            </w:r>
          </w:p>
        </w:tc>
      </w:tr>
      <w:tr w14:paraId="3A01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Merge w:val="restart"/>
            <w:vAlign w:val="center"/>
          </w:tcPr>
          <w:p w14:paraId="79EB72AC">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2.班队工作实习</w:t>
            </w:r>
          </w:p>
        </w:tc>
        <w:tc>
          <w:tcPr>
            <w:tcW w:w="2644" w:type="dxa"/>
            <w:vAlign w:val="center"/>
          </w:tcPr>
          <w:p w14:paraId="589B39AD">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（1）拟订班队方案；</w:t>
            </w:r>
          </w:p>
          <w:p w14:paraId="5600922A">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 xml:space="preserve">（2）召开主题班会； </w:t>
            </w:r>
          </w:p>
          <w:p w14:paraId="6EF439CF">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（3）开展班队活动；</w:t>
            </w:r>
          </w:p>
          <w:p w14:paraId="2A5AB143">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（4）组织课外活动；</w:t>
            </w:r>
          </w:p>
          <w:p w14:paraId="744F22F1">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（5）掌握个别谈话技能；</w:t>
            </w:r>
          </w:p>
          <w:p w14:paraId="1AFC5BF5">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（6）学会家校合作。</w:t>
            </w:r>
          </w:p>
        </w:tc>
        <w:tc>
          <w:tcPr>
            <w:tcW w:w="1238" w:type="dxa"/>
            <w:vAlign w:val="center"/>
          </w:tcPr>
          <w:p w14:paraId="5E6088C3">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课程目标1、3、4</w:t>
            </w:r>
          </w:p>
        </w:tc>
        <w:tc>
          <w:tcPr>
            <w:tcW w:w="2707" w:type="dxa"/>
            <w:vAlign w:val="center"/>
          </w:tcPr>
          <w:p w14:paraId="386B9AF9">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1.班级活动方案1个；</w:t>
            </w:r>
          </w:p>
          <w:p w14:paraId="13251F25">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2.少先队活动方案1份；</w:t>
            </w:r>
          </w:p>
          <w:p w14:paraId="12289C5F">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3.学生典型个案分析1篇；</w:t>
            </w:r>
          </w:p>
          <w:p w14:paraId="3B039864">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4.家校沟通记录1份。</w:t>
            </w:r>
          </w:p>
        </w:tc>
        <w:tc>
          <w:tcPr>
            <w:tcW w:w="1441" w:type="dxa"/>
            <w:vAlign w:val="center"/>
          </w:tcPr>
          <w:p w14:paraId="13FA10CB">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1.班队活动</w:t>
            </w:r>
          </w:p>
          <w:p w14:paraId="7B62F4C3">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2.班级日常管理</w:t>
            </w:r>
          </w:p>
        </w:tc>
        <w:tc>
          <w:tcPr>
            <w:tcW w:w="531" w:type="dxa"/>
            <w:vAlign w:val="center"/>
          </w:tcPr>
          <w:p w14:paraId="1E54E5D0">
            <w:pPr>
              <w:adjustRightInd w:val="0"/>
              <w:snapToGrid w:val="0"/>
              <w:spacing w:line="312"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120</w:t>
            </w:r>
          </w:p>
        </w:tc>
      </w:tr>
      <w:tr w14:paraId="3EEE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37" w:type="dxa"/>
            <w:vMerge w:val="continue"/>
            <w:vAlign w:val="center"/>
          </w:tcPr>
          <w:p w14:paraId="560A9EB8">
            <w:pPr>
              <w:adjustRightInd w:val="0"/>
              <w:snapToGrid w:val="0"/>
              <w:spacing w:line="312" w:lineRule="auto"/>
              <w:jc w:val="center"/>
              <w:rPr>
                <w:rFonts w:hint="eastAsia" w:ascii="宋体" w:hAnsi="宋体" w:eastAsia="宋体" w:cs="Times New Roman"/>
                <w:color w:val="auto"/>
                <w:szCs w:val="21"/>
              </w:rPr>
            </w:pPr>
          </w:p>
        </w:tc>
        <w:tc>
          <w:tcPr>
            <w:tcW w:w="8561" w:type="dxa"/>
            <w:gridSpan w:val="5"/>
            <w:vAlign w:val="center"/>
          </w:tcPr>
          <w:p w14:paraId="7077CC89">
            <w:pPr>
              <w:adjustRightInd w:val="0"/>
              <w:snapToGrid w:val="0"/>
              <w:spacing w:line="312"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bCs/>
                <w:color w:val="auto"/>
                <w:szCs w:val="21"/>
              </w:rPr>
              <w:t>自觉践行社会主义核心价值观，进一步领会立德树人根本任务，增强文化育人、活动育人的意识；在实践中增进对儿童的认识，体验和感受教师职业的光荣感和责任感；坚定献身小学教育事业的专业信念。</w:t>
            </w:r>
          </w:p>
        </w:tc>
      </w:tr>
      <w:tr w14:paraId="7B1C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Merge w:val="restart"/>
            <w:vAlign w:val="center"/>
          </w:tcPr>
          <w:p w14:paraId="6377403D">
            <w:pPr>
              <w:spacing w:line="264"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3.实习成果汇报</w:t>
            </w:r>
          </w:p>
        </w:tc>
        <w:tc>
          <w:tcPr>
            <w:tcW w:w="2644" w:type="dxa"/>
            <w:vAlign w:val="center"/>
          </w:tcPr>
          <w:p w14:paraId="70E8606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（1）上实习汇报课；</w:t>
            </w:r>
          </w:p>
          <w:p w14:paraId="1DC6BC50">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（2）上班活动课</w:t>
            </w:r>
          </w:p>
          <w:p w14:paraId="6C3316C3">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（3）做好教育调查。</w:t>
            </w:r>
          </w:p>
        </w:tc>
        <w:tc>
          <w:tcPr>
            <w:tcW w:w="1238" w:type="dxa"/>
            <w:vAlign w:val="center"/>
          </w:tcPr>
          <w:p w14:paraId="7EFD1E89">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课程目标1、2、3、4</w:t>
            </w:r>
          </w:p>
        </w:tc>
        <w:tc>
          <w:tcPr>
            <w:tcW w:w="2707" w:type="dxa"/>
            <w:vAlign w:val="center"/>
          </w:tcPr>
          <w:p w14:paraId="4F897CF5">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提交汇报课教学活动设计、班队活动设计各1份，提供实习教学视频不少于4个（按要求上传系统）；提交调查报告1份。</w:t>
            </w:r>
          </w:p>
        </w:tc>
        <w:tc>
          <w:tcPr>
            <w:tcW w:w="1441" w:type="dxa"/>
            <w:vAlign w:val="center"/>
          </w:tcPr>
          <w:p w14:paraId="688BA156">
            <w:pPr>
              <w:numPr>
                <w:ilvl w:val="0"/>
                <w:numId w:val="41"/>
              </w:num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课堂教学</w:t>
            </w:r>
          </w:p>
          <w:p w14:paraId="4FB95461">
            <w:pPr>
              <w:numPr>
                <w:ilvl w:val="0"/>
                <w:numId w:val="41"/>
              </w:num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班队活动</w:t>
            </w:r>
          </w:p>
          <w:p w14:paraId="13E6FBE9">
            <w:pPr>
              <w:spacing w:line="269"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3.教育调查</w:t>
            </w:r>
          </w:p>
        </w:tc>
        <w:tc>
          <w:tcPr>
            <w:tcW w:w="531" w:type="dxa"/>
            <w:vAlign w:val="center"/>
          </w:tcPr>
          <w:p w14:paraId="1F5AD7FD">
            <w:pPr>
              <w:spacing w:line="269"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40</w:t>
            </w:r>
          </w:p>
        </w:tc>
      </w:tr>
      <w:tr w14:paraId="1E7C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Merge w:val="continue"/>
            <w:vAlign w:val="center"/>
          </w:tcPr>
          <w:p w14:paraId="1892775D">
            <w:pPr>
              <w:spacing w:line="264" w:lineRule="auto"/>
              <w:jc w:val="center"/>
              <w:rPr>
                <w:rFonts w:hint="eastAsia" w:ascii="宋体" w:hAnsi="宋体" w:eastAsia="宋体" w:cs="Times New Roman"/>
                <w:color w:val="auto"/>
                <w:szCs w:val="21"/>
              </w:rPr>
            </w:pPr>
          </w:p>
        </w:tc>
        <w:tc>
          <w:tcPr>
            <w:tcW w:w="8561" w:type="dxa"/>
            <w:gridSpan w:val="5"/>
            <w:vAlign w:val="center"/>
          </w:tcPr>
          <w:p w14:paraId="45F9E2C2">
            <w:pPr>
              <w:spacing w:line="312" w:lineRule="auto"/>
              <w:jc w:val="left"/>
              <w:rPr>
                <w:rFonts w:hint="eastAsia"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bCs/>
                <w:color w:val="auto"/>
                <w:szCs w:val="21"/>
              </w:rPr>
              <w:t>自觉践行社会主义核心价值观，进一步领会立德树人根本任务，增强学科育人、文化育人、活动育人意识；在实践中增进对儿童的认识，体验和感受教师职业的光荣感和责任感；坚定献身小学教育事业的专业信念。</w:t>
            </w:r>
          </w:p>
        </w:tc>
      </w:tr>
    </w:tbl>
    <w:p w14:paraId="3B9957E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四、目标评价与成绩评定</w:t>
      </w:r>
    </w:p>
    <w:p w14:paraId="04CEB714">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0952328A">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525"/>
        <w:gridCol w:w="1608"/>
        <w:gridCol w:w="1800"/>
        <w:gridCol w:w="1487"/>
        <w:gridCol w:w="1140"/>
      </w:tblGrid>
      <w:tr w14:paraId="46BC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restart"/>
            <w:vAlign w:val="center"/>
          </w:tcPr>
          <w:p w14:paraId="3B7C360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6420" w:type="dxa"/>
            <w:gridSpan w:val="4"/>
            <w:vAlign w:val="center"/>
          </w:tcPr>
          <w:p w14:paraId="27329D4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140" w:type="dxa"/>
            <w:vMerge w:val="restart"/>
            <w:vAlign w:val="center"/>
          </w:tcPr>
          <w:p w14:paraId="5BC8F06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2575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continue"/>
            <w:vAlign w:val="center"/>
          </w:tcPr>
          <w:p w14:paraId="4AE9E9AF">
            <w:pPr>
              <w:spacing w:line="360" w:lineRule="auto"/>
              <w:jc w:val="center"/>
              <w:rPr>
                <w:rFonts w:hint="eastAsia" w:ascii="宋体" w:hAnsi="宋体" w:eastAsia="宋体" w:cs="Times New Roman"/>
                <w:color w:val="auto"/>
                <w:szCs w:val="21"/>
              </w:rPr>
            </w:pPr>
          </w:p>
        </w:tc>
        <w:tc>
          <w:tcPr>
            <w:tcW w:w="1525" w:type="dxa"/>
            <w:vAlign w:val="center"/>
          </w:tcPr>
          <w:p w14:paraId="0AB6CB1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平时成绩</w:t>
            </w:r>
          </w:p>
        </w:tc>
        <w:tc>
          <w:tcPr>
            <w:tcW w:w="1608" w:type="dxa"/>
            <w:vAlign w:val="center"/>
          </w:tcPr>
          <w:p w14:paraId="21994BF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课堂教学实习</w:t>
            </w:r>
          </w:p>
        </w:tc>
        <w:tc>
          <w:tcPr>
            <w:tcW w:w="1800" w:type="dxa"/>
            <w:vAlign w:val="center"/>
          </w:tcPr>
          <w:p w14:paraId="110498E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班主任工作实习</w:t>
            </w:r>
          </w:p>
        </w:tc>
        <w:tc>
          <w:tcPr>
            <w:tcW w:w="1487" w:type="dxa"/>
            <w:vAlign w:val="center"/>
          </w:tcPr>
          <w:p w14:paraId="7869A828">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实习成果汇报</w:t>
            </w:r>
          </w:p>
        </w:tc>
        <w:tc>
          <w:tcPr>
            <w:tcW w:w="1140" w:type="dxa"/>
            <w:vMerge w:val="continue"/>
            <w:vAlign w:val="center"/>
          </w:tcPr>
          <w:p w14:paraId="0864FE1F">
            <w:pPr>
              <w:spacing w:line="360" w:lineRule="auto"/>
              <w:jc w:val="center"/>
              <w:rPr>
                <w:rFonts w:hint="eastAsia" w:ascii="宋体" w:hAnsi="宋体" w:eastAsia="宋体" w:cs="Times New Roman"/>
                <w:color w:val="auto"/>
                <w:szCs w:val="21"/>
              </w:rPr>
            </w:pPr>
          </w:p>
        </w:tc>
      </w:tr>
      <w:tr w14:paraId="0B29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2BC2110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1525" w:type="dxa"/>
            <w:vAlign w:val="center"/>
          </w:tcPr>
          <w:p w14:paraId="4F1535F4">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08" w:type="dxa"/>
            <w:shd w:val="clear" w:color="auto" w:fill="auto"/>
            <w:vAlign w:val="center"/>
          </w:tcPr>
          <w:p w14:paraId="7BC3B2B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800" w:type="dxa"/>
            <w:shd w:val="clear" w:color="auto" w:fill="auto"/>
            <w:vAlign w:val="center"/>
          </w:tcPr>
          <w:p w14:paraId="1DAD32D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87" w:type="dxa"/>
            <w:shd w:val="clear" w:color="auto" w:fill="auto"/>
            <w:vAlign w:val="center"/>
          </w:tcPr>
          <w:p w14:paraId="18831EEC">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40" w:type="dxa"/>
            <w:vAlign w:val="center"/>
          </w:tcPr>
          <w:p w14:paraId="7945F08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108B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5E15B41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1525" w:type="dxa"/>
            <w:vAlign w:val="center"/>
          </w:tcPr>
          <w:p w14:paraId="01AA3D7C">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08" w:type="dxa"/>
            <w:shd w:val="clear" w:color="auto" w:fill="auto"/>
            <w:vAlign w:val="center"/>
          </w:tcPr>
          <w:p w14:paraId="7B0565D5">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800" w:type="dxa"/>
            <w:shd w:val="clear" w:color="auto" w:fill="auto"/>
            <w:vAlign w:val="center"/>
          </w:tcPr>
          <w:p w14:paraId="19208788">
            <w:pPr>
              <w:spacing w:line="360" w:lineRule="auto"/>
              <w:jc w:val="center"/>
              <w:rPr>
                <w:rFonts w:hint="eastAsia" w:ascii="宋体" w:hAnsi="宋体" w:eastAsia="宋体" w:cs="Times New Roman"/>
                <w:color w:val="auto"/>
                <w:szCs w:val="21"/>
              </w:rPr>
            </w:pPr>
          </w:p>
        </w:tc>
        <w:tc>
          <w:tcPr>
            <w:tcW w:w="1487" w:type="dxa"/>
            <w:shd w:val="clear" w:color="auto" w:fill="auto"/>
            <w:vAlign w:val="center"/>
          </w:tcPr>
          <w:p w14:paraId="0FFC21A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40" w:type="dxa"/>
            <w:vAlign w:val="center"/>
          </w:tcPr>
          <w:p w14:paraId="56A4EFA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25F9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4D6FEFE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1525" w:type="dxa"/>
            <w:vAlign w:val="center"/>
          </w:tcPr>
          <w:p w14:paraId="5A52750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08" w:type="dxa"/>
            <w:shd w:val="clear" w:color="auto" w:fill="auto"/>
            <w:vAlign w:val="center"/>
          </w:tcPr>
          <w:p w14:paraId="2861B6FD">
            <w:pPr>
              <w:spacing w:line="360" w:lineRule="auto"/>
              <w:jc w:val="center"/>
              <w:rPr>
                <w:rFonts w:hint="eastAsia" w:ascii="宋体" w:hAnsi="宋体" w:eastAsia="宋体" w:cs="Times New Roman"/>
                <w:color w:val="auto"/>
                <w:szCs w:val="21"/>
              </w:rPr>
            </w:pPr>
          </w:p>
        </w:tc>
        <w:tc>
          <w:tcPr>
            <w:tcW w:w="1800" w:type="dxa"/>
            <w:shd w:val="clear" w:color="auto" w:fill="auto"/>
            <w:vAlign w:val="center"/>
          </w:tcPr>
          <w:p w14:paraId="47B5C906">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87" w:type="dxa"/>
            <w:shd w:val="clear" w:color="auto" w:fill="auto"/>
            <w:vAlign w:val="center"/>
          </w:tcPr>
          <w:p w14:paraId="23EDBF1A">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40" w:type="dxa"/>
            <w:vAlign w:val="center"/>
          </w:tcPr>
          <w:p w14:paraId="72C90CB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30</w:t>
            </w:r>
          </w:p>
        </w:tc>
      </w:tr>
      <w:tr w14:paraId="237E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66503CD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课程目标4</w:t>
            </w:r>
          </w:p>
        </w:tc>
        <w:tc>
          <w:tcPr>
            <w:tcW w:w="1525" w:type="dxa"/>
            <w:vAlign w:val="center"/>
          </w:tcPr>
          <w:p w14:paraId="2F3A745F">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608" w:type="dxa"/>
            <w:shd w:val="clear" w:color="auto" w:fill="auto"/>
            <w:vAlign w:val="center"/>
          </w:tcPr>
          <w:p w14:paraId="708F34CE">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800" w:type="dxa"/>
            <w:shd w:val="clear" w:color="auto" w:fill="auto"/>
            <w:vAlign w:val="center"/>
          </w:tcPr>
          <w:p w14:paraId="40E9A9F0">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487" w:type="dxa"/>
            <w:shd w:val="clear" w:color="auto" w:fill="auto"/>
            <w:vAlign w:val="center"/>
          </w:tcPr>
          <w:p w14:paraId="5F2933A1">
            <w:pPr>
              <w:spacing w:line="360" w:lineRule="auto"/>
              <w:jc w:val="center"/>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40" w:type="dxa"/>
            <w:vAlign w:val="center"/>
          </w:tcPr>
          <w:p w14:paraId="4AAE805A">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20</w:t>
            </w:r>
          </w:p>
        </w:tc>
      </w:tr>
      <w:tr w14:paraId="0EFD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566BBB3F">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1525" w:type="dxa"/>
            <w:vAlign w:val="center"/>
          </w:tcPr>
          <w:p w14:paraId="7DFB4F9A">
            <w:pPr>
              <w:spacing w:line="360" w:lineRule="auto"/>
              <w:jc w:val="center"/>
              <w:rPr>
                <w:rFonts w:hint="eastAsia" w:ascii="宋体" w:hAnsi="宋体" w:eastAsia="宋体" w:cs="Times New Roman"/>
                <w:color w:val="auto"/>
                <w:szCs w:val="21"/>
              </w:rPr>
            </w:pPr>
          </w:p>
        </w:tc>
        <w:tc>
          <w:tcPr>
            <w:tcW w:w="1608" w:type="dxa"/>
            <w:vAlign w:val="center"/>
          </w:tcPr>
          <w:p w14:paraId="2D29C07B">
            <w:pPr>
              <w:spacing w:line="360" w:lineRule="auto"/>
              <w:jc w:val="center"/>
              <w:rPr>
                <w:rFonts w:hint="eastAsia" w:ascii="宋体" w:hAnsi="宋体" w:eastAsia="宋体" w:cs="Times New Roman"/>
                <w:color w:val="auto"/>
                <w:szCs w:val="21"/>
              </w:rPr>
            </w:pPr>
          </w:p>
        </w:tc>
        <w:tc>
          <w:tcPr>
            <w:tcW w:w="1800" w:type="dxa"/>
            <w:vAlign w:val="center"/>
          </w:tcPr>
          <w:p w14:paraId="35C9FA23">
            <w:pPr>
              <w:spacing w:line="360" w:lineRule="auto"/>
              <w:jc w:val="center"/>
              <w:rPr>
                <w:rFonts w:hint="eastAsia" w:ascii="宋体" w:hAnsi="宋体" w:eastAsia="宋体" w:cs="Times New Roman"/>
                <w:color w:val="auto"/>
                <w:szCs w:val="21"/>
              </w:rPr>
            </w:pPr>
          </w:p>
        </w:tc>
        <w:tc>
          <w:tcPr>
            <w:tcW w:w="1487" w:type="dxa"/>
            <w:vAlign w:val="center"/>
          </w:tcPr>
          <w:p w14:paraId="208DE72F">
            <w:pPr>
              <w:spacing w:line="360" w:lineRule="auto"/>
              <w:jc w:val="center"/>
              <w:rPr>
                <w:rFonts w:hint="eastAsia" w:ascii="宋体" w:hAnsi="宋体" w:eastAsia="宋体" w:cs="Times New Roman"/>
                <w:color w:val="auto"/>
                <w:szCs w:val="21"/>
              </w:rPr>
            </w:pPr>
          </w:p>
        </w:tc>
        <w:tc>
          <w:tcPr>
            <w:tcW w:w="1140" w:type="dxa"/>
            <w:vAlign w:val="center"/>
          </w:tcPr>
          <w:p w14:paraId="7EEAC11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3ED1A740">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0C0A1307">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8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7140"/>
        <w:gridCol w:w="734"/>
      </w:tblGrid>
      <w:tr w14:paraId="25A5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Align w:val="center"/>
          </w:tcPr>
          <w:p w14:paraId="0962892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0" w:type="dxa"/>
            <w:vAlign w:val="center"/>
          </w:tcPr>
          <w:p w14:paraId="2434D78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734" w:type="dxa"/>
            <w:vAlign w:val="center"/>
          </w:tcPr>
          <w:p w14:paraId="1A3CB2D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0215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Align w:val="center"/>
          </w:tcPr>
          <w:p w14:paraId="4EC6A3C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平时作业</w:t>
            </w:r>
          </w:p>
        </w:tc>
        <w:tc>
          <w:tcPr>
            <w:tcW w:w="7140" w:type="dxa"/>
            <w:vAlign w:val="center"/>
          </w:tcPr>
          <w:p w14:paraId="3586D899">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学生出勤情况及工作态度，遵守实习学校规章制度，各类实习报告填写等。依据学生的出勤情况，平时工作的进展情况，实习任务完成情况，实习日记、听课记录等实习手册填写等进行评价。</w:t>
            </w:r>
          </w:p>
        </w:tc>
        <w:tc>
          <w:tcPr>
            <w:tcW w:w="734" w:type="dxa"/>
            <w:vAlign w:val="center"/>
          </w:tcPr>
          <w:p w14:paraId="1130395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w:t>
            </w:r>
          </w:p>
        </w:tc>
      </w:tr>
      <w:tr w14:paraId="5819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shd w:val="clear" w:color="auto" w:fill="auto"/>
            <w:vAlign w:val="center"/>
          </w:tcPr>
          <w:p w14:paraId="7CD5938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课堂教学实习</w:t>
            </w:r>
          </w:p>
        </w:tc>
        <w:tc>
          <w:tcPr>
            <w:tcW w:w="7140" w:type="dxa"/>
            <w:shd w:val="clear" w:color="auto" w:fill="auto"/>
            <w:vAlign w:val="center"/>
          </w:tcPr>
          <w:p w14:paraId="2889784A">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根据学科填写课堂听课记录，并能做出评价，同时在指导教师指导下写出教案，并能实施。由实习学校学科指导教师根据学生的听课、批改作业、课堂评价及试教情况进行评价。</w:t>
            </w:r>
          </w:p>
        </w:tc>
        <w:tc>
          <w:tcPr>
            <w:tcW w:w="734" w:type="dxa"/>
            <w:shd w:val="clear" w:color="auto" w:fill="auto"/>
            <w:vAlign w:val="center"/>
          </w:tcPr>
          <w:p w14:paraId="3CD87BF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w:t>
            </w:r>
          </w:p>
        </w:tc>
      </w:tr>
      <w:tr w14:paraId="090F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shd w:val="clear" w:color="auto" w:fill="auto"/>
            <w:vAlign w:val="center"/>
          </w:tcPr>
          <w:p w14:paraId="1726A520">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班主任</w:t>
            </w:r>
          </w:p>
          <w:p w14:paraId="5D0D29B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工作实习</w:t>
            </w:r>
          </w:p>
        </w:tc>
        <w:tc>
          <w:tcPr>
            <w:tcW w:w="7140" w:type="dxa"/>
            <w:shd w:val="clear" w:color="auto" w:fill="auto"/>
            <w:vAlign w:val="center"/>
          </w:tcPr>
          <w:p w14:paraId="5D062CBE">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根据实习班主任（少先队）工作情况。由实习学校班主任指导教师根据学生在校的班主任实习工作评价，对学生一日常规、思品课及与小学生互动中表现的学生观以及学生工作的能力进行评价。</w:t>
            </w:r>
          </w:p>
        </w:tc>
        <w:tc>
          <w:tcPr>
            <w:tcW w:w="734" w:type="dxa"/>
            <w:shd w:val="clear" w:color="auto" w:fill="auto"/>
            <w:vAlign w:val="center"/>
          </w:tcPr>
          <w:p w14:paraId="50EF580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w:t>
            </w:r>
          </w:p>
        </w:tc>
      </w:tr>
      <w:tr w14:paraId="40C4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shd w:val="clear" w:color="auto" w:fill="auto"/>
            <w:vAlign w:val="center"/>
          </w:tcPr>
          <w:p w14:paraId="4464180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教育调查报告</w:t>
            </w:r>
          </w:p>
        </w:tc>
        <w:tc>
          <w:tcPr>
            <w:tcW w:w="7140" w:type="dxa"/>
            <w:shd w:val="clear" w:color="auto" w:fill="auto"/>
            <w:vAlign w:val="center"/>
          </w:tcPr>
          <w:p w14:paraId="4EFBA6A7">
            <w:pPr>
              <w:widowControl/>
              <w:spacing w:line="264" w:lineRule="auto"/>
              <w:jc w:val="left"/>
              <w:rPr>
                <w:rFonts w:ascii="Times New Roman" w:hAnsi="Times New Roman" w:eastAsia="宋体" w:cs="Times New Roman"/>
                <w:color w:val="auto"/>
                <w:szCs w:val="21"/>
              </w:rPr>
            </w:pPr>
            <w:r>
              <w:rPr>
                <w:rFonts w:hint="eastAsia" w:ascii="宋体" w:hAnsi="宋体" w:eastAsia="宋体" w:cs="宋体"/>
                <w:color w:val="auto"/>
                <w:kern w:val="0"/>
                <w:szCs w:val="21"/>
                <w:lang w:bidi="ar"/>
              </w:rPr>
              <w:t>学生根据对实习学校的调查研究，结合文献检索及查阅资料，写出调查报告。本校带队教师根据调查报告内容是否符合教育实习要求，能否就学校中的教育现象展开调查，内容是否明确，方法是否正确，条理是否清楚，是否有自己的观点等进行评价。</w:t>
            </w:r>
          </w:p>
        </w:tc>
        <w:tc>
          <w:tcPr>
            <w:tcW w:w="734" w:type="dxa"/>
            <w:shd w:val="clear" w:color="auto" w:fill="auto"/>
            <w:vAlign w:val="center"/>
          </w:tcPr>
          <w:p w14:paraId="27353F2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w:t>
            </w:r>
          </w:p>
        </w:tc>
      </w:tr>
      <w:tr w14:paraId="1EC9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078" w:type="dxa"/>
            <w:vAlign w:val="center"/>
          </w:tcPr>
          <w:p w14:paraId="3FF9DEAC">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7140" w:type="dxa"/>
            <w:vAlign w:val="center"/>
          </w:tcPr>
          <w:p w14:paraId="6FE04127">
            <w:pPr>
              <w:jc w:val="left"/>
              <w:rPr>
                <w:rFonts w:ascii="Times New Roman" w:hAnsi="Times New Roman" w:eastAsia="宋体" w:cs="Times New Roman"/>
                <w:color w:val="auto"/>
                <w:szCs w:val="21"/>
              </w:rPr>
            </w:pPr>
          </w:p>
        </w:tc>
        <w:tc>
          <w:tcPr>
            <w:tcW w:w="734" w:type="dxa"/>
            <w:vAlign w:val="center"/>
          </w:tcPr>
          <w:p w14:paraId="093058C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3359B51A">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13857AE4">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02C84B82">
      <w:pPr>
        <w:spacing w:line="336" w:lineRule="auto"/>
        <w:ind w:firstLine="420" w:firstLineChars="200"/>
        <w:rPr>
          <w:rFonts w:hint="eastAsia" w:ascii="Times New Roman" w:hAnsi="Times New Roman" w:eastAsia="宋体" w:cs="Times New Roman"/>
          <w:b/>
          <w:color w:val="auto"/>
          <w:sz w:val="24"/>
          <w:szCs w:val="24"/>
          <w:lang w:val="en-US" w:eastAsia="zh-CN"/>
        </w:rPr>
      </w:pPr>
      <w:r>
        <w:rPr>
          <w:rFonts w:ascii="宋体" w:hAnsi="宋体" w:eastAsia="宋体" w:cs="Times New Roman"/>
          <w:color w:val="auto"/>
          <w:szCs w:val="21"/>
        </w:rPr>
        <w:object>
          <v:shape id="_x0000_i1086"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86" DrawAspect="Content" ObjectID="_1468075785" r:id="rId72">
            <o:LockedField>false</o:LockedField>
          </o:OLEObject>
        </w:object>
      </w:r>
      <w:r>
        <w:rPr>
          <w:rFonts w:hint="eastAsia" w:ascii="Times New Roman" w:hAnsi="Times New Roman" w:eastAsia="宋体" w:cs="Times New Roman"/>
          <w:b/>
          <w:color w:val="auto"/>
          <w:sz w:val="24"/>
          <w:szCs w:val="24"/>
          <w:lang w:val="en-US" w:eastAsia="zh-CN"/>
        </w:rPr>
        <w:t>五、课程参考书</w:t>
      </w:r>
    </w:p>
    <w:p w14:paraId="59056310">
      <w:pPr>
        <w:spacing w:line="336" w:lineRule="auto"/>
        <w:ind w:firstLine="420" w:firstLineChars="200"/>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1．义务教育各学科课程标准，2022</w:t>
      </w:r>
    </w:p>
    <w:p w14:paraId="3EB6366E">
      <w:pPr>
        <w:spacing w:line="336" w:lineRule="auto"/>
        <w:ind w:firstLine="420" w:firstLineChars="200"/>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2．部编版小学各年级教材。</w:t>
      </w:r>
    </w:p>
    <w:p w14:paraId="6F52EDBA">
      <w:pPr>
        <w:spacing w:line="336" w:lineRule="auto"/>
        <w:ind w:firstLine="420" w:firstLineChars="200"/>
        <w:rPr>
          <w:rFonts w:hint="eastAsia" w:ascii="宋体" w:hAnsi="宋体" w:eastAsia="宋体" w:cs="Times New Roman"/>
          <w:bCs/>
          <w:color w:val="auto"/>
          <w:sz w:val="21"/>
          <w:szCs w:val="21"/>
        </w:rPr>
      </w:pPr>
      <w:r>
        <w:rPr>
          <w:rFonts w:hint="eastAsia" w:ascii="宋体" w:hAnsi="宋体" w:eastAsia="宋体" w:cs="Times New Roman"/>
          <w:bCs/>
          <w:color w:val="auto"/>
          <w:sz w:val="21"/>
          <w:szCs w:val="21"/>
        </w:rPr>
        <w:t>3．苗凤华．教育实习指南．科学出版社，2018.</w:t>
      </w:r>
    </w:p>
    <w:p w14:paraId="5B76FB9E">
      <w:pPr>
        <w:spacing w:line="336" w:lineRule="auto"/>
        <w:ind w:firstLine="420" w:firstLineChars="200"/>
        <w:rPr>
          <w:rFonts w:hint="eastAsia" w:ascii="宋体" w:hAnsi="宋体" w:eastAsia="宋体" w:cs="Times New Roman"/>
          <w:color w:val="auto"/>
          <w:kern w:val="0"/>
          <w:sz w:val="24"/>
          <w:szCs w:val="21"/>
        </w:rPr>
      </w:pPr>
      <w:r>
        <w:rPr>
          <w:rFonts w:hint="eastAsia" w:ascii="宋体" w:hAnsi="宋体" w:eastAsia="宋体" w:cs="Times New Roman"/>
          <w:bCs/>
          <w:color w:val="auto"/>
          <w:sz w:val="21"/>
          <w:szCs w:val="21"/>
        </w:rPr>
        <w:t>4. 侯宏业，薛微微.小学教育实习手册.南京大学出版社，2021</w:t>
      </w:r>
      <w:r>
        <w:rPr>
          <w:rFonts w:hint="eastAsia" w:ascii="宋体" w:hAnsi="宋体" w:eastAsia="宋体" w:cs="Times New Roman"/>
          <w:bCs/>
          <w:color w:val="auto"/>
          <w:sz w:val="24"/>
        </w:rPr>
        <w:t>.</w:t>
      </w:r>
    </w:p>
    <w:p w14:paraId="7E9FD0C2">
      <w:pPr>
        <w:autoSpaceDE w:val="0"/>
        <w:autoSpaceDN w:val="0"/>
        <w:adjustRightInd w:val="0"/>
        <w:spacing w:line="360" w:lineRule="auto"/>
        <w:jc w:val="right"/>
        <w:rPr>
          <w:rFonts w:hint="eastAsia" w:ascii="宋体" w:hAnsi="宋体" w:eastAsia="宋体" w:cs="Times New Roman"/>
          <w:color w:val="auto"/>
          <w:kern w:val="0"/>
          <w:sz w:val="21"/>
          <w:szCs w:val="18"/>
        </w:rPr>
      </w:pPr>
      <w:r>
        <w:rPr>
          <w:rFonts w:hint="eastAsia" w:ascii="宋体" w:hAnsi="宋体" w:eastAsia="宋体" w:cs="Times New Roman"/>
          <w:color w:val="auto"/>
          <w:kern w:val="0"/>
          <w:sz w:val="24"/>
          <w:szCs w:val="21"/>
        </w:rPr>
        <w:t xml:space="preserve">                                                  </w:t>
      </w:r>
      <w:r>
        <w:rPr>
          <w:rFonts w:hint="eastAsia" w:ascii="宋体" w:hAnsi="宋体" w:eastAsia="宋体" w:cs="Times New Roman"/>
          <w:color w:val="auto"/>
          <w:kern w:val="0"/>
          <w:sz w:val="21"/>
          <w:szCs w:val="18"/>
        </w:rPr>
        <w:t xml:space="preserve">     执笔人：姚玉香</w:t>
      </w:r>
    </w:p>
    <w:p w14:paraId="5418A60D">
      <w:pPr>
        <w:autoSpaceDE w:val="0"/>
        <w:autoSpaceDN w:val="0"/>
        <w:adjustRightInd w:val="0"/>
        <w:spacing w:line="360" w:lineRule="auto"/>
        <w:jc w:val="right"/>
        <w:rPr>
          <w:rFonts w:hint="eastAsia" w:ascii="宋体" w:hAnsi="宋体" w:eastAsia="宋体" w:cs="Times New Roman"/>
          <w:color w:val="auto"/>
          <w:kern w:val="0"/>
          <w:sz w:val="21"/>
          <w:szCs w:val="18"/>
        </w:rPr>
      </w:pPr>
      <w:r>
        <w:rPr>
          <w:rFonts w:hint="eastAsia" w:ascii="宋体" w:hAnsi="宋体" w:eastAsia="宋体" w:cs="Times New Roman"/>
          <w:color w:val="auto"/>
          <w:kern w:val="0"/>
          <w:sz w:val="21"/>
          <w:szCs w:val="18"/>
        </w:rPr>
        <w:t xml:space="preserve">                                                       审定人：王  健</w:t>
      </w:r>
    </w:p>
    <w:p w14:paraId="50A71910">
      <w:pPr>
        <w:autoSpaceDE w:val="0"/>
        <w:autoSpaceDN w:val="0"/>
        <w:adjustRightInd w:val="0"/>
        <w:spacing w:line="360" w:lineRule="auto"/>
        <w:jc w:val="right"/>
        <w:rPr>
          <w:rFonts w:hint="eastAsia" w:ascii="宋体" w:hAnsi="宋体" w:eastAsia="宋体" w:cs="Times New Roman"/>
          <w:color w:val="auto"/>
          <w:kern w:val="0"/>
          <w:sz w:val="21"/>
          <w:szCs w:val="18"/>
        </w:rPr>
      </w:pPr>
      <w:r>
        <w:rPr>
          <w:rFonts w:hint="eastAsia" w:ascii="宋体" w:hAnsi="宋体" w:eastAsia="宋体" w:cs="Times New Roman"/>
          <w:color w:val="auto"/>
          <w:kern w:val="0"/>
          <w:sz w:val="21"/>
          <w:szCs w:val="18"/>
        </w:rPr>
        <w:t>审批人：张志欣</w:t>
      </w:r>
    </w:p>
    <w:p w14:paraId="35795A92">
      <w:pPr>
        <w:jc w:val="right"/>
        <w:rPr>
          <w:rFonts w:hint="eastAsia" w:ascii="宋体" w:hAnsi="宋体" w:eastAsia="宋体" w:cs="Times New Roman"/>
          <w:color w:val="auto"/>
          <w:kern w:val="0"/>
          <w:sz w:val="21"/>
          <w:szCs w:val="18"/>
          <w:lang w:eastAsia="zh-CN"/>
        </w:rPr>
      </w:pPr>
      <w:r>
        <w:rPr>
          <w:rFonts w:hint="eastAsia" w:ascii="宋体" w:hAnsi="宋体" w:eastAsia="宋体" w:cs="Times New Roman"/>
          <w:color w:val="auto"/>
          <w:kern w:val="0"/>
          <w:sz w:val="21"/>
          <w:szCs w:val="18"/>
          <w:lang w:eastAsia="zh-CN"/>
        </w:rPr>
        <w:t>批准时间：2025年7月1日</w:t>
      </w:r>
    </w:p>
    <w:p w14:paraId="0B947220">
      <w:pPr>
        <w:rPr>
          <w:rFonts w:hint="eastAsia" w:ascii="宋体" w:hAnsi="宋体" w:eastAsia="宋体" w:cs="Times New Roman"/>
          <w:color w:val="auto"/>
          <w:kern w:val="0"/>
          <w:sz w:val="24"/>
          <w:szCs w:val="21"/>
        </w:rPr>
      </w:pPr>
      <w:r>
        <w:rPr>
          <w:rFonts w:hint="eastAsia" w:ascii="宋体" w:hAnsi="宋体" w:eastAsia="宋体" w:cs="Times New Roman"/>
          <w:color w:val="auto"/>
          <w:kern w:val="0"/>
          <w:sz w:val="24"/>
          <w:szCs w:val="21"/>
        </w:rPr>
        <w:br w:type="page"/>
      </w:r>
    </w:p>
    <w:p w14:paraId="58EAFC5B">
      <w:pPr>
        <w:jc w:val="right"/>
        <w:rPr>
          <w:rFonts w:hint="eastAsia" w:ascii="宋体" w:hAnsi="宋体" w:eastAsia="宋体" w:cs="Times New Roman"/>
          <w:color w:val="auto"/>
          <w:kern w:val="0"/>
          <w:sz w:val="24"/>
          <w:szCs w:val="21"/>
        </w:rPr>
      </w:pPr>
    </w:p>
    <w:p w14:paraId="49E01AE1">
      <w:pPr>
        <w:spacing w:line="360" w:lineRule="auto"/>
        <w:jc w:val="center"/>
        <w:outlineLvl w:val="0"/>
        <w:rPr>
          <w:rFonts w:ascii="Times New Roman" w:hAnsi="Times New Roman" w:eastAsia="宋体" w:cs="Times New Roman"/>
          <w:b/>
          <w:bCs/>
          <w:color w:val="auto"/>
          <w:sz w:val="30"/>
        </w:rPr>
      </w:pPr>
      <w:bookmarkStart w:id="466" w:name="_Toc4217"/>
      <w:bookmarkStart w:id="467" w:name="_Toc18869"/>
      <w:r>
        <w:rPr>
          <w:rFonts w:hint="eastAsia" w:ascii="Times New Roman" w:hAnsi="Times New Roman" w:eastAsia="宋体" w:cs="Times New Roman"/>
          <w:b/>
          <w:color w:val="auto"/>
          <w:sz w:val="44"/>
          <w:szCs w:val="44"/>
        </w:rPr>
        <w:t>《毕业论文》课程教学大纲</w:t>
      </w:r>
      <w:bookmarkEnd w:id="466"/>
      <w:bookmarkEnd w:id="467"/>
    </w:p>
    <w:p w14:paraId="35741230">
      <w:pPr>
        <w:spacing w:line="360" w:lineRule="auto"/>
        <w:jc w:val="center"/>
        <w:rPr>
          <w:rFonts w:ascii="Times New Roman" w:hAnsi="Times New Roman" w:eastAsia="宋体" w:cs="Times New Roman"/>
          <w:b/>
          <w:bCs/>
          <w:color w:val="auto"/>
          <w:sz w:val="28"/>
        </w:rPr>
      </w:pPr>
      <w:r>
        <w:rPr>
          <w:rFonts w:ascii="Times New Roman" w:hAnsi="Times New Roman" w:eastAsia="宋体" w:cs="Times New Roman"/>
          <w:b/>
          <w:bCs/>
          <w:color w:val="auto"/>
          <w:sz w:val="28"/>
        </w:rPr>
        <w:t>（Graduation T</w:t>
      </w:r>
      <w:r>
        <w:rPr>
          <w:rFonts w:hint="eastAsia" w:ascii="Times New Roman" w:hAnsi="Times New Roman" w:eastAsia="宋体" w:cs="Times New Roman"/>
          <w:b/>
          <w:bCs/>
          <w:color w:val="auto"/>
          <w:sz w:val="28"/>
        </w:rPr>
        <w:t>hesis</w:t>
      </w:r>
      <w:r>
        <w:rPr>
          <w:rFonts w:ascii="Times New Roman" w:hAnsi="Times New Roman" w:eastAsia="宋体" w:cs="Times New Roman"/>
          <w:b/>
          <w:bCs/>
          <w:color w:val="auto"/>
          <w:sz w:val="28"/>
        </w:rPr>
        <w:t>）</w:t>
      </w:r>
    </w:p>
    <w:p w14:paraId="40EA9D38">
      <w:pPr>
        <w:spacing w:line="360" w:lineRule="auto"/>
        <w:ind w:firstLine="422" w:firstLineChars="200"/>
        <w:jc w:val="left"/>
        <w:rPr>
          <w:rFonts w:ascii="Times New Roman" w:hAnsi="Times New Roman" w:eastAsia="宋体" w:cs="Times New Roman"/>
          <w:b/>
          <w:color w:val="auto"/>
          <w:sz w:val="21"/>
          <w:szCs w:val="21"/>
        </w:rPr>
      </w:pPr>
    </w:p>
    <w:p w14:paraId="039E48C3">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课程名称：毕业论文</w:t>
      </w:r>
    </w:p>
    <w:p w14:paraId="6A5A0507">
      <w:pPr>
        <w:spacing w:line="360" w:lineRule="auto"/>
        <w:ind w:firstLine="482" w:firstLineChars="200"/>
        <w:jc w:val="left"/>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课程代码：2401052</w:t>
      </w:r>
    </w:p>
    <w:p w14:paraId="1A7FD37C">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分：8</w:t>
      </w:r>
    </w:p>
    <w:p w14:paraId="34E0EBC7">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 xml:space="preserve">学 </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时：8周</w:t>
      </w:r>
    </w:p>
    <w:p w14:paraId="33C1FFD2">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先修课程：小学教育专业人才培养方案中的所有其他课程</w:t>
      </w:r>
    </w:p>
    <w:p w14:paraId="347FDC8D">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适用专业：小学教育</w:t>
      </w:r>
    </w:p>
    <w:p w14:paraId="44ACB4A6">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lang w:val="en-US" w:eastAsia="zh-CN"/>
        </w:rPr>
      </w:pPr>
      <w:r>
        <w:rPr>
          <w:rFonts w:hint="eastAsia" w:ascii="Times New Roman" w:hAnsi="Times New Roman" w:eastAsia="宋体" w:cs="Times New Roman"/>
          <w:b/>
          <w:color w:val="auto"/>
          <w:sz w:val="22"/>
          <w:szCs w:val="22"/>
          <w:lang w:val="en-US" w:eastAsia="zh-CN"/>
        </w:rPr>
        <w:t>一、课程简介</w:t>
      </w:r>
    </w:p>
    <w:p w14:paraId="309B0ABD">
      <w:pPr>
        <w:autoSpaceDE w:val="0"/>
        <w:autoSpaceDN w:val="0"/>
        <w:adjustRightInd w:val="0"/>
        <w:spacing w:line="348" w:lineRule="auto"/>
        <w:ind w:firstLine="420" w:firstLineChars="200"/>
        <w:jc w:val="left"/>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毕业论文工作是学生综合运用所学的基础理论、基本知识和基本技能，分析和解决教育教学、社会实践中的实际问题的实践锻炼过程，也是学生在校学习期间学习成果的综合性总结，是整个人才培养过程中不可或缺的重要环节，对于培养学生的科学研究能力、创新能力具有重要意义。</w:t>
      </w:r>
    </w:p>
    <w:p w14:paraId="46F7C49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lang w:val="en-US" w:eastAsia="zh-CN"/>
        </w:rPr>
      </w:pPr>
      <w:r>
        <w:rPr>
          <w:rFonts w:hint="eastAsia" w:ascii="Times New Roman" w:hAnsi="Times New Roman" w:eastAsia="宋体" w:cs="Times New Roman"/>
          <w:b/>
          <w:color w:val="auto"/>
          <w:sz w:val="22"/>
          <w:szCs w:val="22"/>
          <w:lang w:val="en-US" w:eastAsia="zh-CN"/>
        </w:rPr>
        <w:t>二、课程目标</w:t>
      </w:r>
    </w:p>
    <w:p w14:paraId="2A3E673F">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（一）课程具体目标</w:t>
      </w:r>
    </w:p>
    <w:p w14:paraId="370B95CF">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目标</w:t>
      </w:r>
      <w:r>
        <w:rPr>
          <w:rFonts w:ascii="Times New Roman" w:hAnsi="Times New Roman" w:eastAsia="宋体" w:cs="Times New Roman"/>
          <w:b/>
          <w:bCs/>
          <w:color w:val="auto"/>
          <w:szCs w:val="21"/>
        </w:rPr>
        <w:t>1.</w:t>
      </w:r>
      <w:r>
        <w:rPr>
          <w:rFonts w:hint="eastAsia" w:ascii="Times New Roman" w:hAnsi="Times New Roman" w:eastAsia="宋体" w:cs="Times New Roman"/>
          <w:color w:val="auto"/>
          <w:szCs w:val="21"/>
        </w:rPr>
        <w:t xml:space="preserve"> 通过大量的文献阅读，结合以往课程中教学观摩、教育见习实习等经验，进一步综合已学习的小学教育教学基本理论及学科教学知识等，确定有价值的研究问题，制定科学的研究计划，在导师指导下，独立完成毕业论文的撰写。</w:t>
      </w:r>
    </w:p>
    <w:p w14:paraId="527EE956">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目标2</w:t>
      </w:r>
      <w:r>
        <w:rPr>
          <w:rFonts w:ascii="Times New Roman" w:hAnsi="Times New Roman" w:eastAsia="宋体" w:cs="Times New Roman"/>
          <w:b/>
          <w:bCs/>
          <w:color w:val="auto"/>
          <w:szCs w:val="21"/>
        </w:rPr>
        <w:t xml:space="preserve">. </w:t>
      </w:r>
      <w:r>
        <w:rPr>
          <w:rFonts w:hint="eastAsia" w:ascii="Times New Roman" w:hAnsi="Times New Roman" w:eastAsia="宋体" w:cs="Times New Roman"/>
          <w:color w:val="auto"/>
          <w:szCs w:val="21"/>
        </w:rPr>
        <w:t>能够运用较科学的研究方法，设计逻辑清晰的研究过程，批判性分析小学教育、教学的问题，培养严谨的思维品质，提高反思意识以及综合分析问题、解决问题的能力。</w:t>
      </w:r>
    </w:p>
    <w:p w14:paraId="69CA587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目标3.</w:t>
      </w:r>
      <w:r>
        <w:rPr>
          <w:rFonts w:ascii="Times New Roman" w:hAnsi="Times New Roman" w:eastAsia="宋体" w:cs="Times New Roman"/>
          <w:b/>
          <w:bCs/>
          <w:color w:val="auto"/>
          <w:szCs w:val="21"/>
        </w:rPr>
        <w:t xml:space="preserve"> </w:t>
      </w:r>
      <w:r>
        <w:rPr>
          <w:rFonts w:hint="eastAsia" w:ascii="Times New Roman" w:hAnsi="Times New Roman" w:eastAsia="宋体" w:cs="Times New Roman"/>
          <w:color w:val="auto"/>
          <w:szCs w:val="21"/>
        </w:rPr>
        <w:t>掌握信息获取和处理等方面的方法，具备阅读理解、语言与文字表达、交流沟通的技能，提升人际沟通能力。</w:t>
      </w:r>
    </w:p>
    <w:p w14:paraId="12B1A1D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 xml:space="preserve">目标4. </w:t>
      </w:r>
      <w:r>
        <w:rPr>
          <w:rFonts w:hint="eastAsia" w:ascii="Times New Roman" w:hAnsi="Times New Roman" w:eastAsia="宋体" w:cs="Times New Roman"/>
          <w:color w:val="auto"/>
          <w:szCs w:val="21"/>
        </w:rPr>
        <w:t>理解教育研究的准则和规范，能够遵守研究伦理，恪守学术道德。</w:t>
      </w:r>
    </w:p>
    <w:p w14:paraId="439B1E5B">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5"/>
        <w:tblW w:w="89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6225"/>
        <w:gridCol w:w="1286"/>
      </w:tblGrid>
      <w:tr w14:paraId="16D098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37" w:type="dxa"/>
            <w:vAlign w:val="center"/>
          </w:tcPr>
          <w:p w14:paraId="30E8740F">
            <w:pPr>
              <w:adjustRightInd w:val="0"/>
              <w:snapToGrid w:val="0"/>
              <w:spacing w:line="276"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毕业要求</w:t>
            </w:r>
          </w:p>
        </w:tc>
        <w:tc>
          <w:tcPr>
            <w:tcW w:w="6225" w:type="dxa"/>
            <w:vAlign w:val="center"/>
          </w:tcPr>
          <w:p w14:paraId="60B9259C">
            <w:pPr>
              <w:adjustRightInd w:val="0"/>
              <w:snapToGrid w:val="0"/>
              <w:spacing w:line="276" w:lineRule="auto"/>
              <w:jc w:val="center"/>
              <w:rPr>
                <w:rFonts w:hint="eastAsia" w:ascii="宋体" w:hAnsi="宋体" w:eastAsia="宋体" w:cs="Times New Roman"/>
                <w:b/>
                <w:bCs/>
                <w:color w:val="auto"/>
                <w:szCs w:val="21"/>
              </w:rPr>
            </w:pPr>
            <w:r>
              <w:rPr>
                <w:rFonts w:hint="eastAsia" w:ascii="宋体" w:hAnsi="宋体" w:eastAsia="宋体" w:cs="Times New Roman"/>
                <w:b/>
                <w:bCs/>
                <w:color w:val="auto"/>
                <w:szCs w:val="21"/>
              </w:rPr>
              <w:t>毕业要求指标点</w:t>
            </w:r>
          </w:p>
        </w:tc>
        <w:tc>
          <w:tcPr>
            <w:tcW w:w="1286" w:type="dxa"/>
            <w:vAlign w:val="center"/>
          </w:tcPr>
          <w:p w14:paraId="39E4BA6C">
            <w:pPr>
              <w:adjustRightInd w:val="0"/>
              <w:snapToGrid w:val="0"/>
              <w:spacing w:line="276" w:lineRule="auto"/>
              <w:rPr>
                <w:rFonts w:hint="eastAsia" w:ascii="宋体" w:hAnsi="宋体" w:eastAsia="宋体" w:cs="Times New Roman"/>
                <w:b/>
                <w:bCs/>
                <w:color w:val="auto"/>
                <w:szCs w:val="21"/>
              </w:rPr>
            </w:pPr>
            <w:r>
              <w:rPr>
                <w:rFonts w:hint="eastAsia" w:ascii="宋体" w:hAnsi="宋体" w:eastAsia="宋体" w:cs="Times New Roman"/>
                <w:b/>
                <w:bCs/>
                <w:color w:val="auto"/>
                <w:szCs w:val="21"/>
              </w:rPr>
              <w:t>课程目标</w:t>
            </w:r>
          </w:p>
        </w:tc>
      </w:tr>
      <w:tr w14:paraId="4AB296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37" w:type="dxa"/>
            <w:vAlign w:val="center"/>
          </w:tcPr>
          <w:p w14:paraId="5B783DF8">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毕业要求1</w:t>
            </w:r>
          </w:p>
          <w:p w14:paraId="2EEE4583">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师德规范</w:t>
            </w:r>
          </w:p>
        </w:tc>
        <w:tc>
          <w:tcPr>
            <w:tcW w:w="6225" w:type="dxa"/>
            <w:vAlign w:val="center"/>
          </w:tcPr>
          <w:p w14:paraId="05ED7415">
            <w:pPr>
              <w:adjustRightInd w:val="0"/>
              <w:snapToGrid w:val="0"/>
              <w:spacing w:line="276" w:lineRule="auto"/>
              <w:rPr>
                <w:rFonts w:hint="eastAsia" w:ascii="宋体" w:hAnsi="宋体" w:eastAsia="宋体" w:cs="Times New Roman"/>
                <w:color w:val="auto"/>
                <w:kern w:val="0"/>
                <w:szCs w:val="21"/>
              </w:rPr>
            </w:pPr>
            <w:r>
              <w:rPr>
                <w:rFonts w:hint="eastAsia" w:ascii="宋体" w:hAnsi="宋体" w:cs="宋体"/>
                <w:color w:val="auto"/>
                <w:kern w:val="0"/>
                <w:szCs w:val="21"/>
              </w:rPr>
              <w:t>指标点</w:t>
            </w:r>
            <w:r>
              <w:rPr>
                <w:rFonts w:hint="eastAsia" w:ascii="宋体" w:hAnsi="宋体" w:cs="宋体"/>
                <w:color w:val="auto"/>
                <w:szCs w:val="21"/>
              </w:rPr>
              <w:t>1-1：【理想信念坚定】了解我国国情及国际局势，深刻理解新时代中国特色社会主义思想内涵</w:t>
            </w:r>
            <w:r>
              <w:rPr>
                <w:rFonts w:hint="eastAsia" w:cs="宋体"/>
                <w:color w:val="auto"/>
                <w:szCs w:val="21"/>
              </w:rPr>
              <w:t>；</w:t>
            </w:r>
            <w:r>
              <w:rPr>
                <w:rFonts w:hint="eastAsia" w:ascii="宋体" w:hAnsi="宋体" w:cs="宋体"/>
                <w:color w:val="auto"/>
                <w:szCs w:val="21"/>
              </w:rPr>
              <w:t>认同中国特色社会主义，贯彻党的教育方针，自觉践行社会主义核心价值观</w:t>
            </w:r>
            <w:r>
              <w:rPr>
                <w:rFonts w:hint="eastAsia" w:cs="宋体"/>
                <w:color w:val="auto"/>
                <w:szCs w:val="21"/>
              </w:rPr>
              <w:t>；认同教师劳动的价值，</w:t>
            </w:r>
            <w:r>
              <w:rPr>
                <w:rFonts w:hint="eastAsia" w:ascii="宋体" w:hAnsi="宋体" w:cs="宋体"/>
                <w:color w:val="auto"/>
                <w:szCs w:val="21"/>
              </w:rPr>
              <w:t>树立职业理想，立志成为有理想信念、有道德情操、有扎实学识、有仁爱之心受学生爱戴的好老师。</w:t>
            </w:r>
          </w:p>
        </w:tc>
        <w:tc>
          <w:tcPr>
            <w:tcW w:w="1286" w:type="dxa"/>
            <w:vAlign w:val="center"/>
          </w:tcPr>
          <w:p w14:paraId="018AF3AB">
            <w:pPr>
              <w:adjustRightInd w:val="0"/>
              <w:snapToGrid w:val="0"/>
              <w:spacing w:line="276" w:lineRule="auto"/>
              <w:jc w:val="left"/>
              <w:rPr>
                <w:rFonts w:hint="eastAsia" w:ascii="宋体" w:hAnsi="宋体" w:eastAsia="宋体" w:cs="Times New Roman"/>
                <w:color w:val="auto"/>
                <w:spacing w:val="2"/>
                <w:kern w:val="0"/>
                <w:szCs w:val="21"/>
              </w:rPr>
            </w:pPr>
            <w:r>
              <w:rPr>
                <w:rFonts w:hint="eastAsia" w:ascii="宋体" w:hAnsi="宋体" w:eastAsia="宋体" w:cs="Times New Roman"/>
                <w:color w:val="auto"/>
                <w:spacing w:val="2"/>
                <w:kern w:val="0"/>
                <w:szCs w:val="21"/>
              </w:rPr>
              <w:t>课程目标4</w:t>
            </w:r>
          </w:p>
        </w:tc>
      </w:tr>
      <w:tr w14:paraId="130646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37" w:type="dxa"/>
            <w:shd w:val="clear" w:color="auto" w:fill="auto"/>
            <w:vAlign w:val="center"/>
          </w:tcPr>
          <w:p w14:paraId="404F17DA">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毕业要求4</w:t>
            </w:r>
          </w:p>
          <w:p w14:paraId="3552D70B">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教学能力</w:t>
            </w:r>
          </w:p>
        </w:tc>
        <w:tc>
          <w:tcPr>
            <w:tcW w:w="6225" w:type="dxa"/>
            <w:shd w:val="clear" w:color="auto" w:fill="auto"/>
            <w:vAlign w:val="center"/>
          </w:tcPr>
          <w:p w14:paraId="46109A76">
            <w:pPr>
              <w:adjustRightInd w:val="0"/>
              <w:snapToGrid w:val="0"/>
              <w:spacing w:line="276" w:lineRule="auto"/>
              <w:rPr>
                <w:rFonts w:hint="eastAsia" w:eastAsia="宋体"/>
                <w:color w:val="auto"/>
                <w:kern w:val="0"/>
                <w:szCs w:val="21"/>
                <w:lang w:eastAsia="zh-CN"/>
              </w:rPr>
            </w:pPr>
            <w:r>
              <w:rPr>
                <w:rFonts w:hint="eastAsia" w:eastAsia="宋体"/>
                <w:color w:val="auto"/>
                <w:kern w:val="0"/>
                <w:szCs w:val="21"/>
                <w:lang w:eastAsia="zh-CN"/>
              </w:rPr>
              <w:t>指标点4-4：【具备教学研究能力】掌握教育研究的基本方法，在教育教学实践中，结合小学教育教学实践进行研究，具有一定的教学研究能力。</w:t>
            </w:r>
          </w:p>
          <w:p w14:paraId="06027611">
            <w:pPr>
              <w:adjustRightInd w:val="0"/>
              <w:snapToGrid w:val="0"/>
              <w:spacing w:line="276" w:lineRule="auto"/>
              <w:rPr>
                <w:rFonts w:eastAsia="宋体"/>
                <w:color w:val="auto"/>
                <w:kern w:val="0"/>
                <w:szCs w:val="21"/>
                <w:lang w:eastAsia="zh"/>
              </w:rPr>
            </w:pPr>
            <w:r>
              <w:rPr>
                <w:rFonts w:hint="eastAsia" w:eastAsia="宋体"/>
                <w:color w:val="auto"/>
                <w:kern w:val="0"/>
                <w:szCs w:val="21"/>
                <w:lang w:eastAsia="zh"/>
              </w:rPr>
              <w:t>在教育教学实践中，结合小学教育教学实践进行研究，具有</w:t>
            </w:r>
          </w:p>
          <w:p w14:paraId="27780B72">
            <w:pPr>
              <w:adjustRightInd w:val="0"/>
              <w:snapToGrid w:val="0"/>
              <w:spacing w:line="276" w:lineRule="auto"/>
              <w:rPr>
                <w:rFonts w:eastAsia="宋体"/>
                <w:color w:val="auto"/>
                <w:kern w:val="0"/>
                <w:szCs w:val="21"/>
                <w:lang w:eastAsia="zh"/>
              </w:rPr>
            </w:pPr>
            <w:r>
              <w:rPr>
                <w:rFonts w:hint="eastAsia" w:eastAsia="宋体"/>
                <w:color w:val="auto"/>
                <w:kern w:val="0"/>
                <w:szCs w:val="21"/>
                <w:lang w:eastAsia="zh"/>
              </w:rPr>
              <w:t>定的教学研究能力。</w:t>
            </w:r>
          </w:p>
        </w:tc>
        <w:tc>
          <w:tcPr>
            <w:tcW w:w="1286" w:type="dxa"/>
            <w:shd w:val="clear" w:color="auto" w:fill="auto"/>
            <w:vAlign w:val="center"/>
          </w:tcPr>
          <w:p w14:paraId="435BE0C4">
            <w:pPr>
              <w:adjustRightInd w:val="0"/>
              <w:snapToGrid w:val="0"/>
              <w:spacing w:line="276" w:lineRule="auto"/>
              <w:jc w:val="left"/>
              <w:rPr>
                <w:rFonts w:hint="eastAsia" w:ascii="宋体" w:hAnsi="宋体" w:eastAsia="宋体" w:cs="Times New Roman"/>
                <w:color w:val="auto"/>
                <w:spacing w:val="2"/>
                <w:kern w:val="0"/>
                <w:szCs w:val="21"/>
              </w:rPr>
            </w:pPr>
            <w:r>
              <w:rPr>
                <w:rFonts w:hint="eastAsia" w:ascii="宋体" w:hAnsi="宋体" w:eastAsia="宋体" w:cs="Times New Roman"/>
                <w:color w:val="auto"/>
                <w:spacing w:val="2"/>
                <w:kern w:val="0"/>
                <w:szCs w:val="21"/>
              </w:rPr>
              <w:t>课程目标1</w:t>
            </w:r>
          </w:p>
          <w:p w14:paraId="36CA9C91">
            <w:pPr>
              <w:adjustRightInd w:val="0"/>
              <w:snapToGrid w:val="0"/>
              <w:spacing w:line="276" w:lineRule="auto"/>
              <w:jc w:val="left"/>
              <w:rPr>
                <w:rFonts w:hint="eastAsia" w:ascii="宋体" w:hAnsi="宋体" w:eastAsia="宋体" w:cs="Times New Roman"/>
                <w:color w:val="auto"/>
                <w:spacing w:val="2"/>
                <w:kern w:val="0"/>
                <w:szCs w:val="21"/>
              </w:rPr>
            </w:pPr>
            <w:r>
              <w:rPr>
                <w:rFonts w:hint="eastAsia" w:ascii="宋体" w:hAnsi="宋体" w:eastAsia="宋体" w:cs="Times New Roman"/>
                <w:color w:val="auto"/>
                <w:spacing w:val="2"/>
                <w:kern w:val="0"/>
                <w:szCs w:val="21"/>
              </w:rPr>
              <w:t>课程目标2</w:t>
            </w:r>
          </w:p>
          <w:p w14:paraId="15E52698">
            <w:pPr>
              <w:adjustRightInd w:val="0"/>
              <w:snapToGrid w:val="0"/>
              <w:spacing w:line="276" w:lineRule="auto"/>
              <w:jc w:val="left"/>
              <w:rPr>
                <w:rFonts w:hint="eastAsia" w:ascii="宋体" w:hAnsi="宋体" w:eastAsia="宋体" w:cs="Times New Roman"/>
                <w:color w:val="auto"/>
                <w:spacing w:val="2"/>
                <w:kern w:val="0"/>
                <w:szCs w:val="21"/>
              </w:rPr>
            </w:pPr>
            <w:r>
              <w:rPr>
                <w:rFonts w:hint="eastAsia" w:ascii="宋体" w:hAnsi="宋体" w:eastAsia="宋体" w:cs="Times New Roman"/>
                <w:color w:val="auto"/>
                <w:spacing w:val="2"/>
                <w:kern w:val="0"/>
                <w:szCs w:val="21"/>
              </w:rPr>
              <w:t>课程目标3</w:t>
            </w:r>
          </w:p>
        </w:tc>
      </w:tr>
      <w:tr w14:paraId="5E15DC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37" w:type="dxa"/>
            <w:vAlign w:val="center"/>
          </w:tcPr>
          <w:p w14:paraId="72C68A58">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毕业要求7</w:t>
            </w:r>
          </w:p>
          <w:p w14:paraId="45B63805">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学会反思</w:t>
            </w:r>
          </w:p>
        </w:tc>
        <w:tc>
          <w:tcPr>
            <w:tcW w:w="6225" w:type="dxa"/>
            <w:vAlign w:val="center"/>
          </w:tcPr>
          <w:p w14:paraId="7A9000F0">
            <w:pPr>
              <w:adjustRightInd w:val="0"/>
              <w:snapToGrid w:val="0"/>
              <w:spacing w:line="276" w:lineRule="auto"/>
              <w:rPr>
                <w:rFonts w:hint="eastAsia" w:ascii="宋体" w:hAnsi="宋体" w:eastAsia="宋体" w:cs="Times New Roman"/>
                <w:color w:val="auto"/>
                <w:szCs w:val="21"/>
                <w:lang w:eastAsia="zh-CN"/>
              </w:rPr>
            </w:pPr>
            <w:r>
              <w:rPr>
                <w:rFonts w:hint="eastAsia" w:ascii="宋体" w:hAnsi="宋体" w:eastAsia="宋体" w:cs="宋体"/>
                <w:color w:val="auto"/>
                <w:kern w:val="0"/>
                <w:szCs w:val="21"/>
                <w:lang w:eastAsia="zh-CN"/>
              </w:rPr>
              <w:t>指标点7-1：【教育视野开阔】积极关注基础教育领域的国内外交流进展，了解国内外基础教育改革发展的动态，具有宽广的教育视野，能够主动适应新时代和教育发展需求。</w:t>
            </w:r>
          </w:p>
          <w:p w14:paraId="0180F153">
            <w:pPr>
              <w:adjustRightInd w:val="0"/>
              <w:snapToGrid w:val="0"/>
              <w:spacing w:line="276" w:lineRule="auto"/>
              <w:rPr>
                <w:rFonts w:hint="eastAsia" w:ascii="宋体" w:hAnsi="宋体" w:eastAsia="宋体" w:cs="Times New Roman"/>
                <w:color w:val="auto"/>
                <w:kern w:val="0"/>
                <w:szCs w:val="21"/>
              </w:rPr>
            </w:pPr>
            <w:r>
              <w:rPr>
                <w:rFonts w:hint="eastAsia" w:ascii="宋体" w:hAnsi="宋体" w:eastAsia="宋体" w:cs="Times New Roman"/>
                <w:color w:val="auto"/>
                <w:szCs w:val="21"/>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286" w:type="dxa"/>
            <w:vAlign w:val="center"/>
          </w:tcPr>
          <w:p w14:paraId="4AB6B3A0">
            <w:pPr>
              <w:adjustRightInd w:val="0"/>
              <w:snapToGrid w:val="0"/>
              <w:spacing w:line="276" w:lineRule="auto"/>
              <w:jc w:val="left"/>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课程目标2</w:t>
            </w:r>
          </w:p>
        </w:tc>
      </w:tr>
      <w:tr w14:paraId="2830D5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37" w:type="dxa"/>
            <w:vAlign w:val="center"/>
          </w:tcPr>
          <w:p w14:paraId="07CBAF61">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毕业要求8</w:t>
            </w:r>
          </w:p>
          <w:p w14:paraId="2C13CB12">
            <w:pPr>
              <w:adjustRightInd w:val="0"/>
              <w:snapToGrid w:val="0"/>
              <w:spacing w:line="276" w:lineRule="auto"/>
              <w:jc w:val="center"/>
              <w:rPr>
                <w:rFonts w:hint="eastAsia" w:ascii="宋体" w:hAnsi="宋体" w:eastAsia="宋体" w:cs="宋体"/>
                <w:b/>
                <w:color w:val="auto"/>
                <w:szCs w:val="21"/>
              </w:rPr>
            </w:pPr>
            <w:r>
              <w:rPr>
                <w:rFonts w:hint="eastAsia" w:ascii="宋体" w:hAnsi="宋体" w:eastAsia="宋体" w:cs="宋体"/>
                <w:b/>
                <w:color w:val="auto"/>
                <w:szCs w:val="21"/>
              </w:rPr>
              <w:t>沟通能力</w:t>
            </w:r>
          </w:p>
        </w:tc>
        <w:tc>
          <w:tcPr>
            <w:tcW w:w="6225" w:type="dxa"/>
            <w:vAlign w:val="center"/>
          </w:tcPr>
          <w:p w14:paraId="0E62392D">
            <w:pPr>
              <w:adjustRightInd w:val="0"/>
              <w:snapToGrid w:val="0"/>
              <w:spacing w:line="276" w:lineRule="auto"/>
              <w:rPr>
                <w:rFonts w:hint="eastAsia" w:ascii="宋体" w:hAnsi="宋体" w:eastAsia="宋体" w:cs="Times New Roman"/>
                <w:color w:val="auto"/>
                <w:spacing w:val="2"/>
                <w:kern w:val="0"/>
                <w:szCs w:val="21"/>
              </w:rPr>
            </w:pPr>
            <w:r>
              <w:rPr>
                <w:rFonts w:hint="eastAsia" w:ascii="宋体" w:hAnsi="宋体" w:eastAsia="宋体" w:cs="Times New Roman"/>
                <w:color w:val="auto"/>
                <w:szCs w:val="21"/>
              </w:rPr>
              <w:t>指标点8-2：【学会沟通交流】掌握人际沟通合作技能与方法，能与学生和家长以及同行、同事、专家进行有效沟通与合作，实现共同发展。</w:t>
            </w:r>
          </w:p>
        </w:tc>
        <w:tc>
          <w:tcPr>
            <w:tcW w:w="1286" w:type="dxa"/>
            <w:vAlign w:val="center"/>
          </w:tcPr>
          <w:p w14:paraId="69381956">
            <w:pPr>
              <w:shd w:val="clear" w:color="auto" w:fill="FFFFFF"/>
              <w:adjustRightInd w:val="0"/>
              <w:snapToGrid w:val="0"/>
              <w:spacing w:line="276" w:lineRule="auto"/>
              <w:jc w:val="left"/>
              <w:rPr>
                <w:rFonts w:ascii="Times New Roman" w:hAnsi="Times New Roman" w:eastAsia="宋体" w:cs="Times New Roman"/>
                <w:color w:val="auto"/>
                <w:szCs w:val="23"/>
              </w:rPr>
            </w:pPr>
            <w:r>
              <w:rPr>
                <w:rFonts w:hint="eastAsia" w:ascii="Times New Roman" w:hAnsi="Times New Roman" w:eastAsia="宋体" w:cs="Times New Roman"/>
                <w:color w:val="auto"/>
                <w:szCs w:val="23"/>
              </w:rPr>
              <w:t>课程目标3</w:t>
            </w:r>
          </w:p>
        </w:tc>
      </w:tr>
    </w:tbl>
    <w:p w14:paraId="747F5B38">
      <w:pPr>
        <w:adjustRightInd w:val="0"/>
        <w:snapToGrid w:val="0"/>
        <w:spacing w:before="156" w:beforeLines="50" w:line="360" w:lineRule="auto"/>
        <w:jc w:val="left"/>
        <w:rPr>
          <w:rFonts w:hint="eastAsia" w:ascii="宋体" w:hAnsi="宋体" w:eastAsia="宋体" w:cs="Times New Roman"/>
          <w:b/>
          <w:color w:val="auto"/>
          <w:sz w:val="24"/>
        </w:rPr>
      </w:pPr>
      <w:r>
        <w:rPr>
          <w:rFonts w:hint="eastAsia" w:ascii="宋体" w:hAnsi="宋体" w:eastAsia="宋体" w:cs="Times New Roman"/>
          <w:b/>
          <w:color w:val="auto"/>
          <w:szCs w:val="21"/>
        </w:rPr>
        <w:t>（三）课程思政目标</w:t>
      </w:r>
    </w:p>
    <w:p w14:paraId="54DB7139">
      <w:pPr>
        <w:adjustRightInd w:val="0"/>
        <w:snapToGrid w:val="0"/>
        <w:spacing w:line="348"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坚定理想信念，自觉践行社会主义核心价值观；坚守学术道德和科研伦理，践行学术规范，让学术道德和科学精神内化于心、外化于行，自觉维护风清气正、严谨求是的科研环境。</w:t>
      </w:r>
    </w:p>
    <w:p w14:paraId="0193778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lang w:val="en-US" w:eastAsia="zh-CN"/>
        </w:rPr>
      </w:pPr>
      <w:r>
        <w:rPr>
          <w:rFonts w:hint="eastAsia" w:ascii="Times New Roman" w:hAnsi="Times New Roman" w:eastAsia="宋体" w:cs="Times New Roman"/>
          <w:b/>
          <w:color w:val="auto"/>
          <w:sz w:val="22"/>
          <w:szCs w:val="22"/>
          <w:lang w:val="en-US" w:eastAsia="zh-CN"/>
        </w:rPr>
        <w:t>三、教学内容与预期学习成效</w:t>
      </w:r>
    </w:p>
    <w:tbl>
      <w:tblPr>
        <w:tblStyle w:val="16"/>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531"/>
        <w:gridCol w:w="1304"/>
        <w:gridCol w:w="3372"/>
        <w:gridCol w:w="1516"/>
        <w:gridCol w:w="451"/>
      </w:tblGrid>
      <w:tr w14:paraId="11F9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15DCF30">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知识</w:t>
            </w:r>
          </w:p>
          <w:p w14:paraId="56E2270D">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单元</w:t>
            </w:r>
          </w:p>
        </w:tc>
        <w:tc>
          <w:tcPr>
            <w:tcW w:w="1531" w:type="dxa"/>
            <w:vAlign w:val="center"/>
          </w:tcPr>
          <w:p w14:paraId="3D00EF0F">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知识点</w:t>
            </w:r>
          </w:p>
        </w:tc>
        <w:tc>
          <w:tcPr>
            <w:tcW w:w="1304" w:type="dxa"/>
            <w:vAlign w:val="center"/>
          </w:tcPr>
          <w:p w14:paraId="67DFDFA0">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对应</w:t>
            </w:r>
          </w:p>
          <w:p w14:paraId="1292DA6A">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课程目标</w:t>
            </w:r>
          </w:p>
        </w:tc>
        <w:tc>
          <w:tcPr>
            <w:tcW w:w="3372" w:type="dxa"/>
            <w:vAlign w:val="center"/>
          </w:tcPr>
          <w:p w14:paraId="26D1CD75">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预期学习成效</w:t>
            </w:r>
          </w:p>
        </w:tc>
        <w:tc>
          <w:tcPr>
            <w:tcW w:w="1516" w:type="dxa"/>
            <w:vAlign w:val="center"/>
          </w:tcPr>
          <w:p w14:paraId="59C3B6C7">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实现环节</w:t>
            </w:r>
          </w:p>
        </w:tc>
        <w:tc>
          <w:tcPr>
            <w:tcW w:w="451" w:type="dxa"/>
            <w:vAlign w:val="center"/>
          </w:tcPr>
          <w:p w14:paraId="4447CFC0">
            <w:pPr>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学时</w:t>
            </w:r>
          </w:p>
        </w:tc>
      </w:tr>
      <w:tr w14:paraId="0AC2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A6C615F">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1.选题</w:t>
            </w:r>
          </w:p>
        </w:tc>
        <w:tc>
          <w:tcPr>
            <w:tcW w:w="1531" w:type="dxa"/>
            <w:vAlign w:val="center"/>
          </w:tcPr>
          <w:p w14:paraId="6AE03D78">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（1）毕业论文写作动员</w:t>
            </w:r>
          </w:p>
          <w:p w14:paraId="37A31B22">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（2）学生选题，并填写毕业论文选题申报表</w:t>
            </w:r>
          </w:p>
          <w:p w14:paraId="0754A89E">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（3）文献检索</w:t>
            </w:r>
          </w:p>
        </w:tc>
        <w:tc>
          <w:tcPr>
            <w:tcW w:w="1304" w:type="dxa"/>
            <w:vAlign w:val="center"/>
          </w:tcPr>
          <w:p w14:paraId="55D570E4">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w:t>
            </w:r>
          </w:p>
          <w:p w14:paraId="7858BD35">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3372" w:type="dxa"/>
            <w:vAlign w:val="center"/>
          </w:tcPr>
          <w:p w14:paraId="7F5F870C">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1.明确毕业论文的重要性，选定指导教师；</w:t>
            </w:r>
          </w:p>
          <w:p w14:paraId="0ECCCDAD">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2.与指导老师协商确定论文题目；</w:t>
            </w:r>
          </w:p>
          <w:p w14:paraId="61FB1221">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3.题目确定后，按要求填报毕业论文选题申报表，并上传至学校毕业论文（设计）系统；</w:t>
            </w:r>
          </w:p>
          <w:p w14:paraId="77F3633D">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4.在指导教师指导下进行文献检索，撰写文献综述。</w:t>
            </w:r>
          </w:p>
        </w:tc>
        <w:tc>
          <w:tcPr>
            <w:tcW w:w="1516" w:type="dxa"/>
            <w:vAlign w:val="center"/>
          </w:tcPr>
          <w:p w14:paraId="4F33008A">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1.选题申报表</w:t>
            </w:r>
          </w:p>
          <w:p w14:paraId="72A87ED4">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2.文献综述</w:t>
            </w:r>
          </w:p>
        </w:tc>
        <w:tc>
          <w:tcPr>
            <w:tcW w:w="451" w:type="dxa"/>
            <w:vAlign w:val="center"/>
          </w:tcPr>
          <w:p w14:paraId="45167CE8">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r>
      <w:tr w14:paraId="6ABE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98F32B9">
            <w:pPr>
              <w:spacing w:line="240" w:lineRule="auto"/>
              <w:jc w:val="center"/>
              <w:rPr>
                <w:rFonts w:hint="eastAsia" w:ascii="宋体" w:hAnsi="宋体" w:eastAsia="宋体" w:cs="宋体"/>
                <w:color w:val="auto"/>
                <w:sz w:val="21"/>
                <w:szCs w:val="21"/>
              </w:rPr>
            </w:pPr>
          </w:p>
        </w:tc>
        <w:tc>
          <w:tcPr>
            <w:tcW w:w="8174" w:type="dxa"/>
            <w:gridSpan w:val="5"/>
            <w:vAlign w:val="center"/>
          </w:tcPr>
          <w:p w14:paraId="3599DCF7">
            <w:pPr>
              <w:spacing w:line="240" w:lineRule="auto"/>
              <w:jc w:val="left"/>
              <w:rPr>
                <w:rFonts w:hint="eastAsia" w:ascii="宋体" w:hAnsi="宋体" w:eastAsia="宋体" w:cs="宋体"/>
                <w:color w:val="auto"/>
                <w:sz w:val="21"/>
                <w:szCs w:val="21"/>
              </w:rPr>
            </w:pPr>
            <w:r>
              <w:rPr>
                <w:rFonts w:hint="eastAsia" w:ascii="宋体" w:hAnsi="宋体" w:eastAsia="宋体" w:cs="宋体"/>
                <w:bCs/>
                <w:color w:val="auto"/>
                <w:sz w:val="21"/>
                <w:szCs w:val="21"/>
              </w:rPr>
              <w:t>以习近平总书记关于教育工作的重要论述为指导，理解毕业论文写作的价值和意义；坚持“立德树人”，树立正确的世界观、价值观和人生观；热爱小学教育，理解基础教育改革的意义，具有一定的创新意识，学会发现和分析教育实践中的问题和基础教育改革的热点和难点问题。</w:t>
            </w:r>
          </w:p>
        </w:tc>
      </w:tr>
      <w:tr w14:paraId="1077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53C0CB8">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2.开题</w:t>
            </w:r>
          </w:p>
        </w:tc>
        <w:tc>
          <w:tcPr>
            <w:tcW w:w="1531" w:type="dxa"/>
            <w:vAlign w:val="center"/>
          </w:tcPr>
          <w:p w14:paraId="5BC0C336">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（1）教师下达毕业论文任务书</w:t>
            </w:r>
          </w:p>
          <w:p w14:paraId="0D0DDCB1">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（2）撰写开题报告</w:t>
            </w:r>
          </w:p>
          <w:p w14:paraId="67D81F41">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（3）开题报告会</w:t>
            </w:r>
          </w:p>
        </w:tc>
        <w:tc>
          <w:tcPr>
            <w:tcW w:w="1304" w:type="dxa"/>
            <w:vAlign w:val="center"/>
          </w:tcPr>
          <w:p w14:paraId="69340037">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w:t>
            </w:r>
          </w:p>
          <w:p w14:paraId="0AF924A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3372" w:type="dxa"/>
            <w:vAlign w:val="center"/>
          </w:tcPr>
          <w:p w14:paraId="12FF2ED9">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1.学习领会任务书，明确内容、任务和目标、研究进度及基本要求等；</w:t>
            </w:r>
          </w:p>
          <w:p w14:paraId="62B5060F">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2.写出开题报告，做好开题准备；</w:t>
            </w:r>
          </w:p>
          <w:p w14:paraId="55B65560">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3.参加开题答辩，根据答辩会上老师的意见进行修改，将修改后的开题报告上传至系统。</w:t>
            </w:r>
          </w:p>
        </w:tc>
        <w:tc>
          <w:tcPr>
            <w:tcW w:w="1516" w:type="dxa"/>
            <w:vAlign w:val="center"/>
          </w:tcPr>
          <w:p w14:paraId="4EF61B3E">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1.开题报告</w:t>
            </w:r>
          </w:p>
        </w:tc>
        <w:tc>
          <w:tcPr>
            <w:tcW w:w="451" w:type="dxa"/>
            <w:vAlign w:val="center"/>
          </w:tcPr>
          <w:p w14:paraId="527FEB6B">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r>
      <w:tr w14:paraId="093B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D31717C">
            <w:pPr>
              <w:spacing w:line="240" w:lineRule="auto"/>
              <w:jc w:val="center"/>
              <w:rPr>
                <w:rFonts w:hint="eastAsia" w:ascii="宋体" w:hAnsi="宋体" w:eastAsia="宋体" w:cs="宋体"/>
                <w:color w:val="auto"/>
                <w:sz w:val="21"/>
                <w:szCs w:val="21"/>
              </w:rPr>
            </w:pPr>
          </w:p>
        </w:tc>
        <w:tc>
          <w:tcPr>
            <w:tcW w:w="8174" w:type="dxa"/>
            <w:gridSpan w:val="5"/>
            <w:vAlign w:val="center"/>
          </w:tcPr>
          <w:p w14:paraId="7CDB6EEB">
            <w:pPr>
              <w:spacing w:line="240" w:lineRule="auto"/>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z w:val="21"/>
                <w:szCs w:val="21"/>
              </w:rPr>
              <w:t>坚定理想信念，自觉践行社会主义核心价值观；虚心学习，实事求是；坚守学术道德和科研伦理，践行学术规范。</w:t>
            </w:r>
          </w:p>
        </w:tc>
      </w:tr>
      <w:tr w14:paraId="42E84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066DA18">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3.研究</w:t>
            </w:r>
          </w:p>
          <w:p w14:paraId="44C9ABD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实施</w:t>
            </w:r>
          </w:p>
        </w:tc>
        <w:tc>
          <w:tcPr>
            <w:tcW w:w="1531" w:type="dxa"/>
            <w:vAlign w:val="center"/>
          </w:tcPr>
          <w:p w14:paraId="07D1A715">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（1）研究方法的具体运用</w:t>
            </w:r>
          </w:p>
          <w:p w14:paraId="1103738C">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（2）数据的分析及整理</w:t>
            </w:r>
          </w:p>
        </w:tc>
        <w:tc>
          <w:tcPr>
            <w:tcW w:w="1304" w:type="dxa"/>
            <w:vAlign w:val="center"/>
          </w:tcPr>
          <w:p w14:paraId="4C748E10">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w:t>
            </w:r>
          </w:p>
          <w:p w14:paraId="2E7ACB3D">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1、2、3、4</w:t>
            </w:r>
          </w:p>
        </w:tc>
        <w:tc>
          <w:tcPr>
            <w:tcW w:w="3372" w:type="dxa"/>
            <w:vAlign w:val="center"/>
          </w:tcPr>
          <w:p w14:paraId="37D3AB51">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1.根据研究计划，通过既定的研究方法，规范科学合理地展开研究；</w:t>
            </w:r>
          </w:p>
          <w:p w14:paraId="4E601931">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2.对研究中搜集的数据进行分析整理；</w:t>
            </w:r>
          </w:p>
          <w:p w14:paraId="57B353AD">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3.在过程中及时与导师沟通。</w:t>
            </w:r>
          </w:p>
        </w:tc>
        <w:tc>
          <w:tcPr>
            <w:tcW w:w="1516" w:type="dxa"/>
            <w:vAlign w:val="center"/>
          </w:tcPr>
          <w:p w14:paraId="159DFCC0">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1.研究过程性资料</w:t>
            </w:r>
          </w:p>
        </w:tc>
        <w:tc>
          <w:tcPr>
            <w:tcW w:w="451" w:type="dxa"/>
            <w:vAlign w:val="center"/>
          </w:tcPr>
          <w:p w14:paraId="68F6109D">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r>
      <w:tr w14:paraId="7108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2EF58CB">
            <w:pPr>
              <w:spacing w:line="240" w:lineRule="auto"/>
              <w:jc w:val="center"/>
              <w:rPr>
                <w:rFonts w:hint="eastAsia" w:ascii="宋体" w:hAnsi="宋体" w:eastAsia="宋体" w:cs="宋体"/>
                <w:color w:val="auto"/>
                <w:sz w:val="21"/>
                <w:szCs w:val="21"/>
              </w:rPr>
            </w:pPr>
          </w:p>
        </w:tc>
        <w:tc>
          <w:tcPr>
            <w:tcW w:w="8174" w:type="dxa"/>
            <w:gridSpan w:val="5"/>
            <w:vAlign w:val="center"/>
          </w:tcPr>
          <w:p w14:paraId="132E448E">
            <w:pPr>
              <w:spacing w:line="240" w:lineRule="auto"/>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z w:val="21"/>
                <w:szCs w:val="21"/>
              </w:rPr>
              <w:t>坚定理想信念，自觉践行社会主义核心价值观；虚心学习，实事求是；坚守学术道德和科研伦理，践行学术规范，增强批判创新精神，形成科学严谨的工作作风。</w:t>
            </w:r>
          </w:p>
        </w:tc>
      </w:tr>
      <w:tr w14:paraId="22AE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9191D7A">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4.论文</w:t>
            </w:r>
          </w:p>
          <w:p w14:paraId="538CC28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撰写</w:t>
            </w:r>
          </w:p>
        </w:tc>
        <w:tc>
          <w:tcPr>
            <w:tcW w:w="1531" w:type="dxa"/>
            <w:vAlign w:val="center"/>
          </w:tcPr>
          <w:p w14:paraId="5A0FED4A">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（1）毕业论文的基本构成要素</w:t>
            </w:r>
          </w:p>
          <w:p w14:paraId="300F22D3">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（2）毕业论文写作方法</w:t>
            </w:r>
          </w:p>
          <w:p w14:paraId="4FB7C48E">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（3）毕业论文撰写规范</w:t>
            </w:r>
          </w:p>
        </w:tc>
        <w:tc>
          <w:tcPr>
            <w:tcW w:w="1304" w:type="dxa"/>
            <w:vAlign w:val="center"/>
          </w:tcPr>
          <w:p w14:paraId="57FC5580">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w:t>
            </w:r>
          </w:p>
          <w:p w14:paraId="0668E825">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1、2、3、4</w:t>
            </w:r>
          </w:p>
        </w:tc>
        <w:tc>
          <w:tcPr>
            <w:tcW w:w="3372" w:type="dxa"/>
            <w:vAlign w:val="center"/>
          </w:tcPr>
          <w:p w14:paraId="019E825A">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1.在教师的指导下按照毕业论文的基本构成要素和《常州工学院毕业设计说明书（论文）基本构成及要求》撰写毕业论文文本，完成一稿、二稿、三稿和定稿，并交指导教师修改、审定。同时上传至系统。</w:t>
            </w:r>
          </w:p>
          <w:p w14:paraId="38FB5EEF">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（2）在论文撰写过程中，学生每周填写周进展情况，反思自己在写作过程中遇到的问题等，并完成中期检查表。</w:t>
            </w:r>
          </w:p>
          <w:p w14:paraId="1E75BF0F">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（3）学生论文定稿完成后，按相关要求打印装订上交。</w:t>
            </w:r>
          </w:p>
        </w:tc>
        <w:tc>
          <w:tcPr>
            <w:tcW w:w="1516" w:type="dxa"/>
            <w:vAlign w:val="center"/>
          </w:tcPr>
          <w:p w14:paraId="262F654A">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1.中期检查表</w:t>
            </w:r>
          </w:p>
          <w:p w14:paraId="034D7C43">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2.论文一稿、二稿、三稿、定稿</w:t>
            </w:r>
          </w:p>
        </w:tc>
        <w:tc>
          <w:tcPr>
            <w:tcW w:w="451" w:type="dxa"/>
            <w:vAlign w:val="center"/>
          </w:tcPr>
          <w:p w14:paraId="4EA4C88B">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14:paraId="2A72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3785DD6">
            <w:pPr>
              <w:spacing w:line="240" w:lineRule="auto"/>
              <w:jc w:val="center"/>
              <w:rPr>
                <w:rFonts w:hint="eastAsia" w:ascii="宋体" w:hAnsi="宋体" w:eastAsia="宋体" w:cs="宋体"/>
                <w:color w:val="auto"/>
                <w:sz w:val="21"/>
                <w:szCs w:val="21"/>
              </w:rPr>
            </w:pPr>
          </w:p>
        </w:tc>
        <w:tc>
          <w:tcPr>
            <w:tcW w:w="8174" w:type="dxa"/>
            <w:gridSpan w:val="5"/>
            <w:vAlign w:val="center"/>
          </w:tcPr>
          <w:p w14:paraId="0BB49989">
            <w:pPr>
              <w:spacing w:line="240" w:lineRule="auto"/>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bCs/>
                <w:color w:val="auto"/>
                <w:sz w:val="21"/>
                <w:szCs w:val="21"/>
              </w:rPr>
              <w:t>增强</w:t>
            </w:r>
            <w:r>
              <w:rPr>
                <w:rFonts w:hint="eastAsia" w:ascii="宋体" w:hAnsi="宋体" w:eastAsia="宋体" w:cs="宋体"/>
                <w:color w:val="auto"/>
                <w:sz w:val="21"/>
                <w:szCs w:val="21"/>
              </w:rPr>
              <w:t>培养投身基础教育科学研究的责任感和使命感；形成诚信务实、脚踏实地、实事求是的科研素养；遵守学术规范，恪守学术诚信。</w:t>
            </w:r>
          </w:p>
        </w:tc>
      </w:tr>
      <w:tr w14:paraId="4786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2E80456">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5.答辩</w:t>
            </w:r>
          </w:p>
        </w:tc>
        <w:tc>
          <w:tcPr>
            <w:tcW w:w="1531" w:type="dxa"/>
            <w:vAlign w:val="center"/>
          </w:tcPr>
          <w:p w14:paraId="69FB114F">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（1）论文评阅</w:t>
            </w:r>
          </w:p>
          <w:p w14:paraId="5FD3FB22">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（2）论文答辩</w:t>
            </w:r>
          </w:p>
        </w:tc>
        <w:tc>
          <w:tcPr>
            <w:tcW w:w="1304" w:type="dxa"/>
            <w:vAlign w:val="center"/>
          </w:tcPr>
          <w:p w14:paraId="625635B8">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课程目标1、2、3、4</w:t>
            </w:r>
          </w:p>
        </w:tc>
        <w:tc>
          <w:tcPr>
            <w:tcW w:w="3372" w:type="dxa"/>
            <w:vAlign w:val="center"/>
          </w:tcPr>
          <w:p w14:paraId="2057C30A">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1.定稿论文交由指导教师和评阅教师分别进行审阅，写出评语和评分后交给答辩小组。</w:t>
            </w:r>
          </w:p>
          <w:p w14:paraId="61E21F63">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（2）参加答辩，报告毕业论文主要内容，并回答答辩小组成员提出的问题。</w:t>
            </w:r>
          </w:p>
        </w:tc>
        <w:tc>
          <w:tcPr>
            <w:tcW w:w="1516" w:type="dxa"/>
            <w:vAlign w:val="center"/>
          </w:tcPr>
          <w:p w14:paraId="3ADB011E">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1.答辩记录</w:t>
            </w:r>
          </w:p>
          <w:p w14:paraId="7EC6A1CE">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2.答辩情况登记表</w:t>
            </w:r>
          </w:p>
          <w:p w14:paraId="253A47BC">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3.论文最终稿</w:t>
            </w:r>
          </w:p>
        </w:tc>
        <w:tc>
          <w:tcPr>
            <w:tcW w:w="451" w:type="dxa"/>
            <w:vAlign w:val="center"/>
          </w:tcPr>
          <w:p w14:paraId="47DEC05A">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r>
      <w:tr w14:paraId="2485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EADF0D8">
            <w:pPr>
              <w:spacing w:line="240" w:lineRule="auto"/>
              <w:jc w:val="center"/>
              <w:rPr>
                <w:rFonts w:hint="eastAsia" w:ascii="宋体" w:hAnsi="宋体" w:eastAsia="宋体" w:cs="宋体"/>
                <w:color w:val="auto"/>
                <w:sz w:val="21"/>
                <w:szCs w:val="21"/>
              </w:rPr>
            </w:pPr>
          </w:p>
        </w:tc>
        <w:tc>
          <w:tcPr>
            <w:tcW w:w="8174" w:type="dxa"/>
            <w:gridSpan w:val="5"/>
            <w:vAlign w:val="center"/>
          </w:tcPr>
          <w:p w14:paraId="71FD7BDD">
            <w:pPr>
              <w:spacing w:line="240" w:lineRule="auto"/>
              <w:jc w:val="left"/>
              <w:rPr>
                <w:rFonts w:hint="eastAsia" w:ascii="宋体" w:hAnsi="宋体" w:eastAsia="宋体" w:cs="宋体"/>
                <w:color w:val="auto"/>
                <w:sz w:val="21"/>
                <w:szCs w:val="21"/>
              </w:rPr>
            </w:pPr>
            <w:r>
              <w:rPr>
                <w:rFonts w:hint="eastAsia" w:ascii="宋体" w:hAnsi="宋体" w:eastAsia="宋体" w:cs="宋体"/>
                <w:b/>
                <w:color w:val="auto"/>
                <w:sz w:val="21"/>
                <w:szCs w:val="21"/>
              </w:rPr>
              <w:t>课程思政目标：</w:t>
            </w:r>
            <w:r>
              <w:rPr>
                <w:rFonts w:hint="eastAsia" w:ascii="宋体" w:hAnsi="宋体" w:eastAsia="宋体" w:cs="宋体"/>
                <w:color w:val="auto"/>
                <w:sz w:val="21"/>
                <w:szCs w:val="21"/>
              </w:rPr>
              <w:t>虚心学习，实事求是，形成诚信务实、脚踏实地、实事求是的科研素养。</w:t>
            </w:r>
          </w:p>
        </w:tc>
      </w:tr>
    </w:tbl>
    <w:p w14:paraId="138BA1F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left"/>
        <w:textAlignment w:val="auto"/>
        <w:rPr>
          <w:rFonts w:hint="eastAsia" w:ascii="Times New Roman" w:hAnsi="Times New Roman" w:eastAsia="宋体" w:cs="Times New Roman"/>
          <w:b/>
          <w:color w:val="auto"/>
          <w:sz w:val="22"/>
          <w:szCs w:val="22"/>
          <w:lang w:val="en-US" w:eastAsia="zh-CN"/>
        </w:rPr>
      </w:pPr>
      <w:r>
        <w:rPr>
          <w:rFonts w:hint="eastAsia" w:ascii="Times New Roman" w:hAnsi="Times New Roman" w:eastAsia="宋体" w:cs="Times New Roman"/>
          <w:b/>
          <w:color w:val="auto"/>
          <w:sz w:val="22"/>
          <w:szCs w:val="22"/>
          <w:lang w:val="en-US" w:eastAsia="zh-CN"/>
        </w:rPr>
        <w:t>四、目标评价与成绩评定</w:t>
      </w:r>
    </w:p>
    <w:p w14:paraId="6ED03D64">
      <w:pPr>
        <w:spacing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45D010ED">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w:t>
      </w:r>
      <w:r>
        <w:rPr>
          <w:rFonts w:hint="eastAsia" w:ascii="Times New Roman" w:hAnsi="Times New Roman" w:eastAsia="宋体" w:cs="Times New Roman"/>
          <w:color w:val="auto"/>
          <w:szCs w:val="21"/>
          <w:lang w:eastAsia="zh-CN"/>
        </w:rPr>
        <w:t>如下表所示</w:t>
      </w:r>
      <w:r>
        <w:rPr>
          <w:rFonts w:ascii="Times New Roman" w:hAnsi="Times New Roman" w:eastAsia="宋体" w:cs="Times New Roman"/>
          <w:color w:val="auto"/>
          <w:szCs w:val="21"/>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3493"/>
        <w:gridCol w:w="2675"/>
        <w:gridCol w:w="1125"/>
      </w:tblGrid>
      <w:tr w14:paraId="1F34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04CBACB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w:t>
            </w:r>
          </w:p>
        </w:tc>
        <w:tc>
          <w:tcPr>
            <w:tcW w:w="6168" w:type="dxa"/>
            <w:gridSpan w:val="2"/>
            <w:vAlign w:val="center"/>
          </w:tcPr>
          <w:p w14:paraId="14AE0F8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125" w:type="dxa"/>
            <w:vMerge w:val="restart"/>
            <w:vAlign w:val="center"/>
          </w:tcPr>
          <w:p w14:paraId="7495504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分值</w:t>
            </w:r>
          </w:p>
        </w:tc>
      </w:tr>
      <w:tr w14:paraId="7DDB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4402C82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3493" w:type="dxa"/>
            <w:vAlign w:val="center"/>
          </w:tcPr>
          <w:p w14:paraId="39C4579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毕业论文</w:t>
            </w:r>
          </w:p>
        </w:tc>
        <w:tc>
          <w:tcPr>
            <w:tcW w:w="2675" w:type="dxa"/>
            <w:vAlign w:val="center"/>
          </w:tcPr>
          <w:p w14:paraId="3C60AE7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论文答辩</w:t>
            </w:r>
          </w:p>
        </w:tc>
        <w:tc>
          <w:tcPr>
            <w:tcW w:w="1125" w:type="dxa"/>
            <w:vMerge w:val="continue"/>
            <w:vAlign w:val="center"/>
          </w:tcPr>
          <w:p w14:paraId="6411118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r>
      <w:tr w14:paraId="1AD0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5F400A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课程目标1</w:t>
            </w:r>
          </w:p>
        </w:tc>
        <w:tc>
          <w:tcPr>
            <w:tcW w:w="3493" w:type="dxa"/>
            <w:vAlign w:val="center"/>
          </w:tcPr>
          <w:p w14:paraId="0CCA58B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675" w:type="dxa"/>
            <w:vAlign w:val="center"/>
          </w:tcPr>
          <w:p w14:paraId="49B95D7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25" w:type="dxa"/>
            <w:vAlign w:val="center"/>
          </w:tcPr>
          <w:p w14:paraId="6743459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35</w:t>
            </w:r>
          </w:p>
        </w:tc>
      </w:tr>
      <w:tr w14:paraId="3FB0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37E52B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课程目标2</w:t>
            </w:r>
          </w:p>
        </w:tc>
        <w:tc>
          <w:tcPr>
            <w:tcW w:w="3493" w:type="dxa"/>
            <w:vAlign w:val="center"/>
          </w:tcPr>
          <w:p w14:paraId="30377B4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675" w:type="dxa"/>
            <w:vAlign w:val="center"/>
          </w:tcPr>
          <w:p w14:paraId="5B818CB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25" w:type="dxa"/>
            <w:vAlign w:val="center"/>
          </w:tcPr>
          <w:p w14:paraId="13FF2EB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35</w:t>
            </w:r>
          </w:p>
        </w:tc>
      </w:tr>
      <w:tr w14:paraId="4E15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0414EB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课程目标3</w:t>
            </w:r>
          </w:p>
        </w:tc>
        <w:tc>
          <w:tcPr>
            <w:tcW w:w="3493" w:type="dxa"/>
            <w:vAlign w:val="center"/>
          </w:tcPr>
          <w:p w14:paraId="1475740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2675" w:type="dxa"/>
            <w:vAlign w:val="center"/>
          </w:tcPr>
          <w:p w14:paraId="78F04D1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1125" w:type="dxa"/>
            <w:vAlign w:val="center"/>
          </w:tcPr>
          <w:p w14:paraId="35CB29F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15</w:t>
            </w:r>
          </w:p>
        </w:tc>
      </w:tr>
      <w:tr w14:paraId="663E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EC59F5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课程目标4</w:t>
            </w:r>
          </w:p>
        </w:tc>
        <w:tc>
          <w:tcPr>
            <w:tcW w:w="3493" w:type="dxa"/>
            <w:vAlign w:val="center"/>
          </w:tcPr>
          <w:p w14:paraId="1E7E20A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ascii="宋体" w:hAnsi="宋体" w:eastAsia="宋体" w:cs="Times New Roman"/>
                <w:color w:val="auto"/>
                <w:szCs w:val="21"/>
              </w:rPr>
              <w:sym w:font="Wingdings 2" w:char="F050"/>
            </w:r>
          </w:p>
        </w:tc>
        <w:tc>
          <w:tcPr>
            <w:tcW w:w="2675" w:type="dxa"/>
            <w:vAlign w:val="center"/>
          </w:tcPr>
          <w:p w14:paraId="67B65C0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1125" w:type="dxa"/>
            <w:vAlign w:val="center"/>
          </w:tcPr>
          <w:p w14:paraId="59F6A5A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15</w:t>
            </w:r>
          </w:p>
        </w:tc>
      </w:tr>
      <w:tr w14:paraId="2BA8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0" w:type="auto"/>
            <w:vAlign w:val="center"/>
          </w:tcPr>
          <w:p w14:paraId="73D386B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3493" w:type="dxa"/>
            <w:vAlign w:val="center"/>
          </w:tcPr>
          <w:p w14:paraId="14E4FDA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2675" w:type="dxa"/>
            <w:vAlign w:val="center"/>
          </w:tcPr>
          <w:p w14:paraId="2FE3558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p>
        </w:tc>
        <w:tc>
          <w:tcPr>
            <w:tcW w:w="1125" w:type="dxa"/>
            <w:vAlign w:val="center"/>
          </w:tcPr>
          <w:p w14:paraId="3F549A1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100</w:t>
            </w:r>
          </w:p>
        </w:tc>
      </w:tr>
    </w:tbl>
    <w:p w14:paraId="77BEC141">
      <w:pPr>
        <w:spacing w:before="156" w:beforeLines="50" w:line="360" w:lineRule="auto"/>
        <w:ind w:firstLine="422" w:firstLineChars="200"/>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6C08D09F">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w:t>
      </w:r>
      <w:r>
        <w:rPr>
          <w:rFonts w:hint="eastAsia" w:ascii="Times New Roman" w:hAnsi="Times New Roman" w:eastAsia="宋体" w:cs="Times New Roman"/>
          <w:color w:val="auto"/>
          <w:szCs w:val="21"/>
          <w:lang w:eastAsia="zh-CN"/>
        </w:rPr>
        <w:t>如下表所示。</w:t>
      </w:r>
    </w:p>
    <w:tbl>
      <w:tblPr>
        <w:tblStyle w:val="16"/>
        <w:tblW w:w="8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6925"/>
        <w:gridCol w:w="750"/>
      </w:tblGrid>
      <w:tr w14:paraId="40ED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Align w:val="center"/>
          </w:tcPr>
          <w:p w14:paraId="73DE46C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6925" w:type="dxa"/>
            <w:vAlign w:val="center"/>
          </w:tcPr>
          <w:p w14:paraId="314E77D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750" w:type="dxa"/>
            <w:vAlign w:val="center"/>
          </w:tcPr>
          <w:p w14:paraId="2A595A63">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2E1E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Align w:val="center"/>
          </w:tcPr>
          <w:p w14:paraId="6D9D0FB4">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毕业论文</w:t>
            </w:r>
          </w:p>
        </w:tc>
        <w:tc>
          <w:tcPr>
            <w:tcW w:w="6925" w:type="dxa"/>
            <w:vAlign w:val="center"/>
          </w:tcPr>
          <w:p w14:paraId="3D70657A">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由指导教师和评阅教师对学生的毕业论文进行评价。</w:t>
            </w:r>
          </w:p>
          <w:p w14:paraId="1BF1C12E">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指导教师着重从学生的日常表现、独立工作能力和论文完成质量等方面给出考核评语和评定成绩（百分制），评阅成绩占毕业论文的60%；</w:t>
            </w:r>
          </w:p>
          <w:p w14:paraId="248CBC9B">
            <w:pPr>
              <w:spacing w:line="264"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评阅教师着重从毕业设计选题的意义和价值、论文的工作量和难度、学生论文完成的水平、论文的撰写质量等方面进行考评，并给出考核评语和评定成绩（百分制），评阅成绩占毕业论文的40%</w:t>
            </w:r>
          </w:p>
        </w:tc>
        <w:tc>
          <w:tcPr>
            <w:tcW w:w="750" w:type="dxa"/>
            <w:vAlign w:val="center"/>
          </w:tcPr>
          <w:p w14:paraId="462C574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0BBE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Align w:val="center"/>
          </w:tcPr>
          <w:p w14:paraId="578D499C">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t>论文答辩</w:t>
            </w:r>
          </w:p>
        </w:tc>
        <w:tc>
          <w:tcPr>
            <w:tcW w:w="6925" w:type="dxa"/>
            <w:vAlign w:val="center"/>
          </w:tcPr>
          <w:p w14:paraId="624DD46A">
            <w:pPr>
              <w:widowControl/>
              <w:spacing w:line="264" w:lineRule="auto"/>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由答辩委员会针对论文整体情况、学生陈述问题的清楚程度以及对专家提出问题的回答情况给出评阅成绩（百分制）。</w:t>
            </w:r>
          </w:p>
        </w:tc>
        <w:tc>
          <w:tcPr>
            <w:tcW w:w="750" w:type="dxa"/>
            <w:vAlign w:val="center"/>
          </w:tcPr>
          <w:p w14:paraId="5EDAD22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r>
      <w:tr w14:paraId="77B1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082" w:type="dxa"/>
            <w:vAlign w:val="center"/>
          </w:tcPr>
          <w:p w14:paraId="1474B9BC">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6925" w:type="dxa"/>
            <w:vAlign w:val="center"/>
          </w:tcPr>
          <w:p w14:paraId="5D061598">
            <w:pPr>
              <w:jc w:val="left"/>
              <w:rPr>
                <w:rFonts w:ascii="Times New Roman" w:hAnsi="Times New Roman" w:eastAsia="宋体" w:cs="Times New Roman"/>
                <w:color w:val="auto"/>
                <w:szCs w:val="21"/>
              </w:rPr>
            </w:pPr>
          </w:p>
        </w:tc>
        <w:tc>
          <w:tcPr>
            <w:tcW w:w="750" w:type="dxa"/>
            <w:vAlign w:val="center"/>
          </w:tcPr>
          <w:p w14:paraId="4D77602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72FFC5B2">
      <w:pPr>
        <w:spacing w:line="360" w:lineRule="auto"/>
        <w:ind w:firstLine="422" w:firstLineChars="200"/>
        <w:jc w:val="left"/>
        <w:rPr>
          <w:rFonts w:hint="eastAsia"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59502F7B">
      <w:pPr>
        <w:spacing w:line="360" w:lineRule="auto"/>
        <w:ind w:firstLine="411" w:firstLineChars="196"/>
        <w:jc w:val="left"/>
        <w:rPr>
          <w:rFonts w:hint="eastAsia"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743A5839">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Times New Roman" w:hAnsi="Times New Roman" w:eastAsia="宋体" w:cs="Times New Roman"/>
          <w:b/>
          <w:color w:val="auto"/>
          <w:sz w:val="22"/>
          <w:szCs w:val="22"/>
          <w:lang w:val="en-US" w:eastAsia="zh-CN"/>
        </w:rPr>
      </w:pPr>
      <w:r>
        <w:rPr>
          <w:rFonts w:ascii="宋体" w:hAnsi="宋体" w:eastAsia="宋体" w:cs="Times New Roman"/>
          <w:color w:val="auto"/>
          <w:szCs w:val="21"/>
        </w:rPr>
        <w:object>
          <v:shape id="_x0000_i1087" o:spt="75" type="#_x0000_t75" style="height:25.1pt;width:404.55pt;" o:ole="t" filled="f" o:preferrelative="t" stroked="f" coordsize="21600,21600">
            <v:path/>
            <v:fill on="f" focussize="0,0"/>
            <v:stroke on="f" joinstyle="miter"/>
            <v:imagedata r:id="rId10" o:title=""/>
            <o:lock v:ext="edit" aspectratio="t"/>
            <w10:wrap type="none"/>
            <w10:anchorlock/>
          </v:shape>
          <o:OLEObject Type="Embed" ProgID="Equation.3" ShapeID="_x0000_i1087" DrawAspect="Content" ObjectID="_1468075786" r:id="rId73">
            <o:LockedField>false</o:LockedField>
          </o:OLEObject>
        </w:object>
      </w:r>
      <w:r>
        <w:rPr>
          <w:rFonts w:hint="eastAsia" w:ascii="Times New Roman" w:hAnsi="Times New Roman" w:eastAsia="宋体" w:cs="Times New Roman"/>
          <w:b/>
          <w:color w:val="auto"/>
          <w:sz w:val="22"/>
          <w:szCs w:val="22"/>
          <w:lang w:val="en-US" w:eastAsia="zh-CN"/>
        </w:rPr>
        <w:t>五、有关说明</w:t>
      </w:r>
    </w:p>
    <w:p w14:paraId="7D577B0A">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2018240C">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根据学生选题情况、论文写作过程中的情况、论文质量、答辩情况等，及时对毕业论文过程中的不足之处进行改进，并在下一轮教学中整改完善，确保相应毕业要求指标点的达成。</w:t>
      </w:r>
    </w:p>
    <w:p w14:paraId="592BAC1C">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7B76A082">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张肇丰.从实践到文本 中小学教师科研写作方法导论（第3版）.上海：华东师范大学出版社，2021.</w:t>
      </w:r>
    </w:p>
    <w:p w14:paraId="10F8A27A">
      <w:pPr>
        <w:keepNext w:val="0"/>
        <w:keepLines w:val="0"/>
        <w:pageBreakBefore w:val="0"/>
        <w:widowControl w:val="0"/>
        <w:tabs>
          <w:tab w:val="left" w:pos="374"/>
        </w:tabs>
        <w:kinsoku/>
        <w:wordWrap/>
        <w:overflowPunct/>
        <w:topLinePunct w:val="0"/>
        <w:autoSpaceDE/>
        <w:autoSpaceDN/>
        <w:bidi w:val="0"/>
        <w:adjustRightInd/>
        <w:snapToGrid/>
        <w:spacing w:line="312" w:lineRule="auto"/>
        <w:ind w:firstLine="422" w:firstLineChars="200"/>
        <w:jc w:val="left"/>
        <w:textAlignment w:val="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2D7DD08D">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1.常州工学院毕业设计（论文）工作管理办法</w:t>
      </w:r>
    </w:p>
    <w:p w14:paraId="4EB68DD5">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2.常州工学院教育与人文学院小学教育专业毕业论文指导书</w:t>
      </w:r>
    </w:p>
    <w:p w14:paraId="4C6C11B3">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rPr>
      </w:pPr>
      <w:r>
        <w:rPr>
          <w:rFonts w:hint="eastAsia" w:ascii="Times New Roman" w:hAnsi="Times New Roman" w:eastAsia="宋体" w:cs="Times New Roman"/>
          <w:bCs/>
          <w:color w:val="auto"/>
          <w:szCs w:val="21"/>
        </w:rPr>
        <w:t>3.其他资料由各指导教师根据题目给定</w:t>
      </w:r>
    </w:p>
    <w:bookmarkEnd w:id="459"/>
    <w:bookmarkEnd w:id="460"/>
    <w:p w14:paraId="3A48D4D7">
      <w:pPr>
        <w:keepNext w:val="0"/>
        <w:keepLines w:val="0"/>
        <w:pageBreakBefore w:val="0"/>
        <w:widowControl w:val="0"/>
        <w:kinsoku/>
        <w:wordWrap/>
        <w:overflowPunct/>
        <w:topLinePunct w:val="0"/>
        <w:autoSpaceDE/>
        <w:autoSpaceDN/>
        <w:bidi w:val="0"/>
        <w:adjustRightInd/>
        <w:snapToGrid/>
        <w:spacing w:line="240" w:lineRule="auto"/>
        <w:ind w:right="0"/>
        <w:jc w:val="righ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执 笔 人： 姚玉香</w:t>
      </w:r>
    </w:p>
    <w:p w14:paraId="5B9F375D">
      <w:pPr>
        <w:keepNext w:val="0"/>
        <w:keepLines w:val="0"/>
        <w:pageBreakBefore w:val="0"/>
        <w:widowControl w:val="0"/>
        <w:kinsoku/>
        <w:wordWrap/>
        <w:overflowPunct/>
        <w:topLinePunct w:val="0"/>
        <w:autoSpaceDE/>
        <w:autoSpaceDN/>
        <w:bidi w:val="0"/>
        <w:adjustRightInd/>
        <w:snapToGrid/>
        <w:spacing w:line="240" w:lineRule="auto"/>
        <w:ind w:right="0"/>
        <w:jc w:val="righ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审 定 人： 王  健</w:t>
      </w:r>
    </w:p>
    <w:p w14:paraId="4E72D652">
      <w:pPr>
        <w:keepNext w:val="0"/>
        <w:keepLines w:val="0"/>
        <w:pageBreakBefore w:val="0"/>
        <w:widowControl w:val="0"/>
        <w:kinsoku/>
        <w:wordWrap/>
        <w:overflowPunct/>
        <w:topLinePunct w:val="0"/>
        <w:autoSpaceDE/>
        <w:autoSpaceDN/>
        <w:bidi w:val="0"/>
        <w:adjustRightInd/>
        <w:snapToGrid/>
        <w:spacing w:line="240" w:lineRule="auto"/>
        <w:ind w:right="0"/>
        <w:jc w:val="righ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审 批 人： 张志欣</w:t>
      </w:r>
    </w:p>
    <w:p w14:paraId="39A9A74E">
      <w:pPr>
        <w:keepNext w:val="0"/>
        <w:keepLines w:val="0"/>
        <w:pageBreakBefore w:val="0"/>
        <w:widowControl w:val="0"/>
        <w:kinsoku/>
        <w:wordWrap/>
        <w:overflowPunct/>
        <w:topLinePunct w:val="0"/>
        <w:autoSpaceDE/>
        <w:autoSpaceDN/>
        <w:bidi w:val="0"/>
        <w:adjustRightInd/>
        <w:snapToGrid/>
        <w:spacing w:line="240" w:lineRule="auto"/>
        <w:ind w:right="0"/>
        <w:jc w:val="right"/>
        <w:textAlignment w:val="auto"/>
        <w:rPr>
          <w:rFonts w:hint="eastAsia" w:ascii="等线" w:hAnsi="等线" w:eastAsia="等线" w:cs="等线"/>
          <w:b/>
          <w:bCs/>
          <w:color w:val="auto"/>
          <w:sz w:val="44"/>
          <w:szCs w:val="44"/>
        </w:rPr>
      </w:pPr>
      <w:r>
        <w:rPr>
          <w:rFonts w:hint="eastAsia" w:ascii="Times New Roman" w:hAnsi="Times New Roman" w:eastAsia="宋体" w:cs="Times New Roman"/>
          <w:color w:val="auto"/>
          <w:sz w:val="21"/>
          <w:szCs w:val="21"/>
          <w:lang w:val="en-US" w:eastAsia="zh-CN"/>
        </w:rPr>
        <w:t>批准时间：2025年7月1日</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6FF" w:usb1="420024FF" w:usb2="02000000" w:usb3="00000000" w:csb0="2000019F" w:csb1="00000000"/>
  </w:font>
  <w:font w:name="-webkit-standar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203" w:usb1="288F0000" w:usb2="00000006" w:usb3="00000000" w:csb0="00040001" w:csb1="00000000"/>
  </w:font>
  <w:font w:name="方正书宋_GBK">
    <w:altName w:val="微软雅黑"/>
    <w:panose1 w:val="00000000000000000000"/>
    <w:charset w:val="86"/>
    <w:family w:val="auto"/>
    <w:pitch w:val="default"/>
    <w:sig w:usb0="00000000" w:usb1="00000000" w:usb2="00082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0CBF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3D43B">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34667">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A434667">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C0139">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DCD40">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CBFCFD">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CCBFCFD">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FB60A">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783BEF">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7783BEF">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96333"/>
    <w:multiLevelType w:val="singleLevel"/>
    <w:tmpl w:val="89796333"/>
    <w:lvl w:ilvl="0" w:tentative="0">
      <w:start w:val="4"/>
      <w:numFmt w:val="chineseCounting"/>
      <w:suff w:val="nothing"/>
      <w:lvlText w:val="（%1）"/>
      <w:lvlJc w:val="left"/>
      <w:rPr>
        <w:rFonts w:hint="eastAsia"/>
      </w:rPr>
    </w:lvl>
  </w:abstractNum>
  <w:abstractNum w:abstractNumId="1">
    <w:nsid w:val="8B7EFE20"/>
    <w:multiLevelType w:val="singleLevel"/>
    <w:tmpl w:val="8B7EFE20"/>
    <w:lvl w:ilvl="0" w:tentative="0">
      <w:start w:val="1"/>
      <w:numFmt w:val="decimal"/>
      <w:suff w:val="nothing"/>
      <w:lvlText w:val="（%1）"/>
      <w:lvlJc w:val="left"/>
    </w:lvl>
  </w:abstractNum>
  <w:abstractNum w:abstractNumId="2">
    <w:nsid w:val="8C6D6CD6"/>
    <w:multiLevelType w:val="singleLevel"/>
    <w:tmpl w:val="8C6D6CD6"/>
    <w:lvl w:ilvl="0" w:tentative="0">
      <w:start w:val="1"/>
      <w:numFmt w:val="decimal"/>
      <w:lvlText w:val="%1."/>
      <w:lvlJc w:val="left"/>
      <w:pPr>
        <w:tabs>
          <w:tab w:val="left" w:pos="312"/>
        </w:tabs>
      </w:pPr>
    </w:lvl>
  </w:abstractNum>
  <w:abstractNum w:abstractNumId="3">
    <w:nsid w:val="96B481ED"/>
    <w:multiLevelType w:val="singleLevel"/>
    <w:tmpl w:val="96B481ED"/>
    <w:lvl w:ilvl="0" w:tentative="0">
      <w:start w:val="1"/>
      <w:numFmt w:val="decimal"/>
      <w:suff w:val="nothing"/>
      <w:lvlText w:val="（%1）"/>
      <w:lvlJc w:val="left"/>
    </w:lvl>
  </w:abstractNum>
  <w:abstractNum w:abstractNumId="4">
    <w:nsid w:val="99E0A1C7"/>
    <w:multiLevelType w:val="singleLevel"/>
    <w:tmpl w:val="99E0A1C7"/>
    <w:lvl w:ilvl="0" w:tentative="0">
      <w:start w:val="1"/>
      <w:numFmt w:val="decimal"/>
      <w:suff w:val="nothing"/>
      <w:lvlText w:val="%1、"/>
      <w:lvlJc w:val="left"/>
    </w:lvl>
  </w:abstractNum>
  <w:abstractNum w:abstractNumId="5">
    <w:nsid w:val="9AD7572B"/>
    <w:multiLevelType w:val="singleLevel"/>
    <w:tmpl w:val="9AD7572B"/>
    <w:lvl w:ilvl="0" w:tentative="0">
      <w:start w:val="1"/>
      <w:numFmt w:val="decimal"/>
      <w:lvlText w:val="%1."/>
      <w:lvlJc w:val="left"/>
      <w:pPr>
        <w:tabs>
          <w:tab w:val="left" w:pos="312"/>
        </w:tabs>
      </w:pPr>
    </w:lvl>
  </w:abstractNum>
  <w:abstractNum w:abstractNumId="6">
    <w:nsid w:val="AA3F8CA6"/>
    <w:multiLevelType w:val="singleLevel"/>
    <w:tmpl w:val="AA3F8CA6"/>
    <w:lvl w:ilvl="0" w:tentative="0">
      <w:start w:val="1"/>
      <w:numFmt w:val="decimal"/>
      <w:suff w:val="nothing"/>
      <w:lvlText w:val="（%1）"/>
      <w:lvlJc w:val="left"/>
    </w:lvl>
  </w:abstractNum>
  <w:abstractNum w:abstractNumId="7">
    <w:nsid w:val="B8042C75"/>
    <w:multiLevelType w:val="singleLevel"/>
    <w:tmpl w:val="B8042C75"/>
    <w:lvl w:ilvl="0" w:tentative="0">
      <w:start w:val="1"/>
      <w:numFmt w:val="decimal"/>
      <w:suff w:val="nothing"/>
      <w:lvlText w:val="%1、"/>
      <w:lvlJc w:val="left"/>
    </w:lvl>
  </w:abstractNum>
  <w:abstractNum w:abstractNumId="8">
    <w:nsid w:val="C5B6D39B"/>
    <w:multiLevelType w:val="singleLevel"/>
    <w:tmpl w:val="C5B6D39B"/>
    <w:lvl w:ilvl="0" w:tentative="0">
      <w:start w:val="1"/>
      <w:numFmt w:val="decimal"/>
      <w:suff w:val="nothing"/>
      <w:lvlText w:val="%1、"/>
      <w:lvlJc w:val="left"/>
    </w:lvl>
  </w:abstractNum>
  <w:abstractNum w:abstractNumId="9">
    <w:nsid w:val="C9423CA1"/>
    <w:multiLevelType w:val="singleLevel"/>
    <w:tmpl w:val="C9423CA1"/>
    <w:lvl w:ilvl="0" w:tentative="0">
      <w:start w:val="1"/>
      <w:numFmt w:val="decimal"/>
      <w:lvlText w:val="%1."/>
      <w:lvlJc w:val="left"/>
      <w:pPr>
        <w:tabs>
          <w:tab w:val="left" w:pos="312"/>
        </w:tabs>
      </w:pPr>
    </w:lvl>
  </w:abstractNum>
  <w:abstractNum w:abstractNumId="10">
    <w:nsid w:val="CF39D1F0"/>
    <w:multiLevelType w:val="singleLevel"/>
    <w:tmpl w:val="CF39D1F0"/>
    <w:lvl w:ilvl="0" w:tentative="0">
      <w:start w:val="1"/>
      <w:numFmt w:val="decimal"/>
      <w:suff w:val="nothing"/>
      <w:lvlText w:val="（%1）"/>
      <w:lvlJc w:val="left"/>
    </w:lvl>
  </w:abstractNum>
  <w:abstractNum w:abstractNumId="11">
    <w:nsid w:val="CF7EC5A9"/>
    <w:multiLevelType w:val="singleLevel"/>
    <w:tmpl w:val="CF7EC5A9"/>
    <w:lvl w:ilvl="0" w:tentative="0">
      <w:start w:val="3"/>
      <w:numFmt w:val="chineseCounting"/>
      <w:suff w:val="nothing"/>
      <w:lvlText w:val="%1、"/>
      <w:lvlJc w:val="left"/>
      <w:rPr>
        <w:rFonts w:hint="eastAsia"/>
      </w:rPr>
    </w:lvl>
  </w:abstractNum>
  <w:abstractNum w:abstractNumId="12">
    <w:nsid w:val="D331A6FB"/>
    <w:multiLevelType w:val="singleLevel"/>
    <w:tmpl w:val="D331A6FB"/>
    <w:lvl w:ilvl="0" w:tentative="0">
      <w:start w:val="1"/>
      <w:numFmt w:val="decimal"/>
      <w:suff w:val="nothing"/>
      <w:lvlText w:val="%1、"/>
      <w:lvlJc w:val="left"/>
    </w:lvl>
  </w:abstractNum>
  <w:abstractNum w:abstractNumId="13">
    <w:nsid w:val="D692B9DB"/>
    <w:multiLevelType w:val="singleLevel"/>
    <w:tmpl w:val="D692B9DB"/>
    <w:lvl w:ilvl="0" w:tentative="0">
      <w:start w:val="1"/>
      <w:numFmt w:val="decimal"/>
      <w:suff w:val="space"/>
      <w:lvlText w:val="%1."/>
      <w:lvlJc w:val="left"/>
    </w:lvl>
  </w:abstractNum>
  <w:abstractNum w:abstractNumId="14">
    <w:nsid w:val="EDE8D889"/>
    <w:multiLevelType w:val="singleLevel"/>
    <w:tmpl w:val="EDE8D889"/>
    <w:lvl w:ilvl="0" w:tentative="0">
      <w:start w:val="1"/>
      <w:numFmt w:val="decimal"/>
      <w:lvlText w:val="%1."/>
      <w:lvlJc w:val="left"/>
      <w:pPr>
        <w:tabs>
          <w:tab w:val="left" w:pos="312"/>
        </w:tabs>
      </w:pPr>
    </w:lvl>
  </w:abstractNum>
  <w:abstractNum w:abstractNumId="15">
    <w:nsid w:val="EE18C20E"/>
    <w:multiLevelType w:val="singleLevel"/>
    <w:tmpl w:val="EE18C20E"/>
    <w:lvl w:ilvl="0" w:tentative="0">
      <w:start w:val="1"/>
      <w:numFmt w:val="decimal"/>
      <w:suff w:val="space"/>
      <w:lvlText w:val="%1."/>
      <w:lvlJc w:val="left"/>
    </w:lvl>
  </w:abstractNum>
  <w:abstractNum w:abstractNumId="16">
    <w:nsid w:val="EF3FA2B3"/>
    <w:multiLevelType w:val="singleLevel"/>
    <w:tmpl w:val="EF3FA2B3"/>
    <w:lvl w:ilvl="0" w:tentative="0">
      <w:start w:val="1"/>
      <w:numFmt w:val="decimal"/>
      <w:lvlText w:val="%1."/>
      <w:lvlJc w:val="left"/>
      <w:pPr>
        <w:tabs>
          <w:tab w:val="left" w:pos="312"/>
        </w:tabs>
      </w:pPr>
    </w:lvl>
  </w:abstractNum>
  <w:abstractNum w:abstractNumId="17">
    <w:nsid w:val="F51E7177"/>
    <w:multiLevelType w:val="singleLevel"/>
    <w:tmpl w:val="F51E7177"/>
    <w:lvl w:ilvl="0" w:tentative="0">
      <w:start w:val="1"/>
      <w:numFmt w:val="decimal"/>
      <w:lvlText w:val="%1."/>
      <w:lvlJc w:val="left"/>
      <w:pPr>
        <w:tabs>
          <w:tab w:val="left" w:pos="312"/>
        </w:tabs>
      </w:pPr>
    </w:lvl>
  </w:abstractNum>
  <w:abstractNum w:abstractNumId="18">
    <w:nsid w:val="0386C207"/>
    <w:multiLevelType w:val="singleLevel"/>
    <w:tmpl w:val="0386C207"/>
    <w:lvl w:ilvl="0" w:tentative="0">
      <w:start w:val="1"/>
      <w:numFmt w:val="decimal"/>
      <w:lvlText w:val="%1."/>
      <w:lvlJc w:val="left"/>
      <w:pPr>
        <w:tabs>
          <w:tab w:val="left" w:pos="312"/>
        </w:tabs>
      </w:pPr>
    </w:lvl>
  </w:abstractNum>
  <w:abstractNum w:abstractNumId="19">
    <w:nsid w:val="06600E1E"/>
    <w:multiLevelType w:val="singleLevel"/>
    <w:tmpl w:val="06600E1E"/>
    <w:lvl w:ilvl="0" w:tentative="0">
      <w:start w:val="1"/>
      <w:numFmt w:val="decimal"/>
      <w:lvlText w:val="%1."/>
      <w:lvlJc w:val="left"/>
      <w:pPr>
        <w:tabs>
          <w:tab w:val="left" w:pos="312"/>
        </w:tabs>
      </w:pPr>
    </w:lvl>
  </w:abstractNum>
  <w:abstractNum w:abstractNumId="20">
    <w:nsid w:val="1DD63913"/>
    <w:multiLevelType w:val="singleLevel"/>
    <w:tmpl w:val="1DD63913"/>
    <w:lvl w:ilvl="0" w:tentative="0">
      <w:start w:val="3"/>
      <w:numFmt w:val="chineseCounting"/>
      <w:suff w:val="nothing"/>
      <w:lvlText w:val="%1、"/>
      <w:lvlJc w:val="left"/>
      <w:rPr>
        <w:rFonts w:hint="eastAsia"/>
      </w:rPr>
    </w:lvl>
  </w:abstractNum>
  <w:abstractNum w:abstractNumId="21">
    <w:nsid w:val="2406C1B6"/>
    <w:multiLevelType w:val="singleLevel"/>
    <w:tmpl w:val="2406C1B6"/>
    <w:lvl w:ilvl="0" w:tentative="0">
      <w:start w:val="1"/>
      <w:numFmt w:val="decimal"/>
      <w:suff w:val="nothing"/>
      <w:lvlText w:val="（%1）"/>
      <w:lvlJc w:val="left"/>
    </w:lvl>
  </w:abstractNum>
  <w:abstractNum w:abstractNumId="22">
    <w:nsid w:val="25C3EB84"/>
    <w:multiLevelType w:val="singleLevel"/>
    <w:tmpl w:val="25C3EB84"/>
    <w:lvl w:ilvl="0" w:tentative="0">
      <w:start w:val="1"/>
      <w:numFmt w:val="decimal"/>
      <w:lvlText w:val="%1."/>
      <w:lvlJc w:val="left"/>
      <w:pPr>
        <w:tabs>
          <w:tab w:val="left" w:pos="312"/>
        </w:tabs>
      </w:pPr>
    </w:lvl>
  </w:abstractNum>
  <w:abstractNum w:abstractNumId="23">
    <w:nsid w:val="2F01D5D8"/>
    <w:multiLevelType w:val="singleLevel"/>
    <w:tmpl w:val="2F01D5D8"/>
    <w:lvl w:ilvl="0" w:tentative="0">
      <w:start w:val="1"/>
      <w:numFmt w:val="decimal"/>
      <w:suff w:val="nothing"/>
      <w:lvlText w:val="%1、"/>
      <w:lvlJc w:val="left"/>
    </w:lvl>
  </w:abstractNum>
  <w:abstractNum w:abstractNumId="24">
    <w:nsid w:val="300E5A4C"/>
    <w:multiLevelType w:val="singleLevel"/>
    <w:tmpl w:val="300E5A4C"/>
    <w:lvl w:ilvl="0" w:tentative="0">
      <w:start w:val="1"/>
      <w:numFmt w:val="chineseCounting"/>
      <w:suff w:val="nothing"/>
      <w:lvlText w:val="%1、"/>
      <w:lvlJc w:val="left"/>
      <w:rPr>
        <w:rFonts w:hint="eastAsia"/>
      </w:rPr>
    </w:lvl>
  </w:abstractNum>
  <w:abstractNum w:abstractNumId="25">
    <w:nsid w:val="32F00CEA"/>
    <w:multiLevelType w:val="singleLevel"/>
    <w:tmpl w:val="32F00CEA"/>
    <w:lvl w:ilvl="0" w:tentative="0">
      <w:start w:val="1"/>
      <w:numFmt w:val="decimal"/>
      <w:suff w:val="nothing"/>
      <w:lvlText w:val="%1、"/>
      <w:lvlJc w:val="left"/>
    </w:lvl>
  </w:abstractNum>
  <w:abstractNum w:abstractNumId="26">
    <w:nsid w:val="36AEB368"/>
    <w:multiLevelType w:val="singleLevel"/>
    <w:tmpl w:val="36AEB368"/>
    <w:lvl w:ilvl="0" w:tentative="0">
      <w:start w:val="1"/>
      <w:numFmt w:val="decimal"/>
      <w:lvlText w:val="%1."/>
      <w:lvlJc w:val="left"/>
      <w:pPr>
        <w:tabs>
          <w:tab w:val="left" w:pos="312"/>
        </w:tabs>
      </w:pPr>
    </w:lvl>
  </w:abstractNum>
  <w:abstractNum w:abstractNumId="27">
    <w:nsid w:val="3F3C2B2E"/>
    <w:multiLevelType w:val="multilevel"/>
    <w:tmpl w:val="3F3C2B2E"/>
    <w:lvl w:ilvl="0" w:tentative="0">
      <w:start w:val="2"/>
      <w:numFmt w:val="japaneseCounting"/>
      <w:lvlText w:val="%1、"/>
      <w:lvlJc w:val="left"/>
      <w:pPr>
        <w:ind w:left="420" w:hanging="4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43889757"/>
    <w:multiLevelType w:val="singleLevel"/>
    <w:tmpl w:val="43889757"/>
    <w:lvl w:ilvl="0" w:tentative="0">
      <w:start w:val="1"/>
      <w:numFmt w:val="decimal"/>
      <w:suff w:val="nothing"/>
      <w:lvlText w:val="（%1）"/>
      <w:lvlJc w:val="left"/>
    </w:lvl>
  </w:abstractNum>
  <w:abstractNum w:abstractNumId="29">
    <w:nsid w:val="45674FB3"/>
    <w:multiLevelType w:val="multilevel"/>
    <w:tmpl w:val="45674FB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468C8BD2"/>
    <w:multiLevelType w:val="singleLevel"/>
    <w:tmpl w:val="468C8BD2"/>
    <w:lvl w:ilvl="0" w:tentative="0">
      <w:start w:val="1"/>
      <w:numFmt w:val="decimal"/>
      <w:suff w:val="nothing"/>
      <w:lvlText w:val="（%1）"/>
      <w:lvlJc w:val="left"/>
    </w:lvl>
  </w:abstractNum>
  <w:abstractNum w:abstractNumId="31">
    <w:nsid w:val="4DFA5D9C"/>
    <w:multiLevelType w:val="singleLevel"/>
    <w:tmpl w:val="4DFA5D9C"/>
    <w:lvl w:ilvl="0" w:tentative="0">
      <w:start w:val="2"/>
      <w:numFmt w:val="chineseCounting"/>
      <w:suff w:val="nothing"/>
      <w:lvlText w:val="（%1）"/>
      <w:lvlJc w:val="left"/>
      <w:rPr>
        <w:rFonts w:hint="eastAsia"/>
      </w:rPr>
    </w:lvl>
  </w:abstractNum>
  <w:abstractNum w:abstractNumId="32">
    <w:nsid w:val="53730CC6"/>
    <w:multiLevelType w:val="singleLevel"/>
    <w:tmpl w:val="53730CC6"/>
    <w:lvl w:ilvl="0" w:tentative="0">
      <w:start w:val="1"/>
      <w:numFmt w:val="decimal"/>
      <w:suff w:val="nothing"/>
      <w:lvlText w:val="（%1）"/>
      <w:lvlJc w:val="left"/>
    </w:lvl>
  </w:abstractNum>
  <w:abstractNum w:abstractNumId="33">
    <w:nsid w:val="5C2791C2"/>
    <w:multiLevelType w:val="singleLevel"/>
    <w:tmpl w:val="5C2791C2"/>
    <w:lvl w:ilvl="0" w:tentative="0">
      <w:start w:val="1"/>
      <w:numFmt w:val="decimal"/>
      <w:suff w:val="nothing"/>
      <w:lvlText w:val="%1、"/>
      <w:lvlJc w:val="left"/>
    </w:lvl>
  </w:abstractNum>
  <w:abstractNum w:abstractNumId="34">
    <w:nsid w:val="5EB1EC58"/>
    <w:multiLevelType w:val="singleLevel"/>
    <w:tmpl w:val="5EB1EC58"/>
    <w:lvl w:ilvl="0" w:tentative="0">
      <w:start w:val="1"/>
      <w:numFmt w:val="decimal"/>
      <w:suff w:val="nothing"/>
      <w:lvlText w:val="（%1）"/>
      <w:lvlJc w:val="left"/>
    </w:lvl>
  </w:abstractNum>
  <w:abstractNum w:abstractNumId="35">
    <w:nsid w:val="5FB1098B"/>
    <w:multiLevelType w:val="singleLevel"/>
    <w:tmpl w:val="5FB1098B"/>
    <w:lvl w:ilvl="0" w:tentative="0">
      <w:start w:val="2"/>
      <w:numFmt w:val="chineseCounting"/>
      <w:suff w:val="nothing"/>
      <w:lvlText w:val="（%1）"/>
      <w:lvlJc w:val="left"/>
      <w:rPr>
        <w:rFonts w:hint="eastAsia"/>
      </w:rPr>
    </w:lvl>
  </w:abstractNum>
  <w:abstractNum w:abstractNumId="36">
    <w:nsid w:val="606D2A83"/>
    <w:multiLevelType w:val="singleLevel"/>
    <w:tmpl w:val="606D2A83"/>
    <w:lvl w:ilvl="0" w:tentative="0">
      <w:start w:val="1"/>
      <w:numFmt w:val="decimal"/>
      <w:suff w:val="nothing"/>
      <w:lvlText w:val="（%1）"/>
      <w:lvlJc w:val="left"/>
    </w:lvl>
  </w:abstractNum>
  <w:abstractNum w:abstractNumId="37">
    <w:nsid w:val="63364F8F"/>
    <w:multiLevelType w:val="singleLevel"/>
    <w:tmpl w:val="63364F8F"/>
    <w:lvl w:ilvl="0" w:tentative="0">
      <w:start w:val="1"/>
      <w:numFmt w:val="chineseCounting"/>
      <w:suff w:val="nothing"/>
      <w:lvlText w:val="%1、"/>
      <w:lvlJc w:val="left"/>
      <w:rPr>
        <w:rFonts w:hint="eastAsia"/>
      </w:rPr>
    </w:lvl>
  </w:abstractNum>
  <w:abstractNum w:abstractNumId="38">
    <w:nsid w:val="66676E43"/>
    <w:multiLevelType w:val="singleLevel"/>
    <w:tmpl w:val="66676E43"/>
    <w:lvl w:ilvl="0" w:tentative="0">
      <w:start w:val="2"/>
      <w:numFmt w:val="chineseCounting"/>
      <w:suff w:val="nothing"/>
      <w:lvlText w:val="（%1）"/>
      <w:lvlJc w:val="left"/>
      <w:rPr>
        <w:rFonts w:hint="eastAsia"/>
      </w:rPr>
    </w:lvl>
  </w:abstractNum>
  <w:abstractNum w:abstractNumId="39">
    <w:nsid w:val="70BE6B66"/>
    <w:multiLevelType w:val="singleLevel"/>
    <w:tmpl w:val="70BE6B66"/>
    <w:lvl w:ilvl="0" w:tentative="0">
      <w:start w:val="2"/>
      <w:numFmt w:val="chineseCounting"/>
      <w:suff w:val="nothing"/>
      <w:lvlText w:val="（%1）"/>
      <w:lvlJc w:val="left"/>
      <w:rPr>
        <w:rFonts w:hint="eastAsia"/>
      </w:rPr>
    </w:lvl>
  </w:abstractNum>
  <w:abstractNum w:abstractNumId="40">
    <w:nsid w:val="74365B1F"/>
    <w:multiLevelType w:val="singleLevel"/>
    <w:tmpl w:val="74365B1F"/>
    <w:lvl w:ilvl="0" w:tentative="0">
      <w:start w:val="1"/>
      <w:numFmt w:val="decimal"/>
      <w:lvlText w:val="%1."/>
      <w:lvlJc w:val="left"/>
      <w:pPr>
        <w:tabs>
          <w:tab w:val="left" w:pos="312"/>
        </w:tabs>
      </w:pPr>
    </w:lvl>
  </w:abstractNum>
  <w:num w:numId="1">
    <w:abstractNumId w:val="40"/>
  </w:num>
  <w:num w:numId="2">
    <w:abstractNumId w:val="14"/>
  </w:num>
  <w:num w:numId="3">
    <w:abstractNumId w:val="26"/>
  </w:num>
  <w:num w:numId="4">
    <w:abstractNumId w:val="5"/>
  </w:num>
  <w:num w:numId="5">
    <w:abstractNumId w:val="18"/>
  </w:num>
  <w:num w:numId="6">
    <w:abstractNumId w:val="9"/>
  </w:num>
  <w:num w:numId="7">
    <w:abstractNumId w:val="16"/>
  </w:num>
  <w:num w:numId="8">
    <w:abstractNumId w:val="20"/>
  </w:num>
  <w:num w:numId="9">
    <w:abstractNumId w:val="24"/>
  </w:num>
  <w:num w:numId="10">
    <w:abstractNumId w:val="36"/>
  </w:num>
  <w:num w:numId="11">
    <w:abstractNumId w:val="27"/>
  </w:num>
  <w:num w:numId="12">
    <w:abstractNumId w:val="0"/>
  </w:num>
  <w:num w:numId="13">
    <w:abstractNumId w:val="35"/>
  </w:num>
  <w:num w:numId="14">
    <w:abstractNumId w:val="11"/>
  </w:num>
  <w:num w:numId="15">
    <w:abstractNumId w:val="34"/>
  </w:num>
  <w:num w:numId="16">
    <w:abstractNumId w:val="10"/>
  </w:num>
  <w:num w:numId="17">
    <w:abstractNumId w:val="1"/>
  </w:num>
  <w:num w:numId="18">
    <w:abstractNumId w:val="31"/>
  </w:num>
  <w:num w:numId="19">
    <w:abstractNumId w:val="13"/>
  </w:num>
  <w:num w:numId="20">
    <w:abstractNumId w:val="6"/>
  </w:num>
  <w:num w:numId="21">
    <w:abstractNumId w:val="28"/>
  </w:num>
  <w:num w:numId="22">
    <w:abstractNumId w:val="30"/>
  </w:num>
  <w:num w:numId="23">
    <w:abstractNumId w:val="3"/>
  </w:num>
  <w:num w:numId="24">
    <w:abstractNumId w:val="32"/>
  </w:num>
  <w:num w:numId="25">
    <w:abstractNumId w:val="37"/>
  </w:num>
  <w:num w:numId="26">
    <w:abstractNumId w:val="22"/>
  </w:num>
  <w:num w:numId="27">
    <w:abstractNumId w:val="17"/>
  </w:num>
  <w:num w:numId="28">
    <w:abstractNumId w:val="19"/>
  </w:num>
  <w:num w:numId="29">
    <w:abstractNumId w:val="15"/>
  </w:num>
  <w:num w:numId="30">
    <w:abstractNumId w:val="38"/>
  </w:num>
  <w:num w:numId="31">
    <w:abstractNumId w:val="23"/>
  </w:num>
  <w:num w:numId="32">
    <w:abstractNumId w:val="8"/>
  </w:num>
  <w:num w:numId="33">
    <w:abstractNumId w:val="4"/>
  </w:num>
  <w:num w:numId="34">
    <w:abstractNumId w:val="12"/>
  </w:num>
  <w:num w:numId="35">
    <w:abstractNumId w:val="25"/>
  </w:num>
  <w:num w:numId="36">
    <w:abstractNumId w:val="7"/>
  </w:num>
  <w:num w:numId="37">
    <w:abstractNumId w:val="33"/>
  </w:num>
  <w:num w:numId="38">
    <w:abstractNumId w:val="29"/>
  </w:num>
  <w:num w:numId="39">
    <w:abstractNumId w:val="21"/>
  </w:num>
  <w:num w:numId="40">
    <w:abstractNumId w:val="39"/>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U5NjY1NzkxOTQwZjIyNWY0ODVhMzdkNjQ5MzlhZjcifQ=="/>
  </w:docVars>
  <w:rsids>
    <w:rsidRoot w:val="770800B2"/>
    <w:rsid w:val="00366013"/>
    <w:rsid w:val="00412546"/>
    <w:rsid w:val="005C7292"/>
    <w:rsid w:val="006B2D4F"/>
    <w:rsid w:val="008277EE"/>
    <w:rsid w:val="00844A16"/>
    <w:rsid w:val="008E075D"/>
    <w:rsid w:val="009A38E3"/>
    <w:rsid w:val="00AA5169"/>
    <w:rsid w:val="00C37F83"/>
    <w:rsid w:val="00CA737F"/>
    <w:rsid w:val="00CA76C0"/>
    <w:rsid w:val="00ED14A9"/>
    <w:rsid w:val="00F30D3F"/>
    <w:rsid w:val="00F954BF"/>
    <w:rsid w:val="012F4605"/>
    <w:rsid w:val="01CE360C"/>
    <w:rsid w:val="021A0F51"/>
    <w:rsid w:val="02922699"/>
    <w:rsid w:val="037E0008"/>
    <w:rsid w:val="09C676BC"/>
    <w:rsid w:val="0C513AF7"/>
    <w:rsid w:val="0CF0407D"/>
    <w:rsid w:val="0D4279D0"/>
    <w:rsid w:val="0F9F0794"/>
    <w:rsid w:val="11194878"/>
    <w:rsid w:val="1153597C"/>
    <w:rsid w:val="11B60016"/>
    <w:rsid w:val="12834530"/>
    <w:rsid w:val="130C52F4"/>
    <w:rsid w:val="151E112D"/>
    <w:rsid w:val="19D379B8"/>
    <w:rsid w:val="1A3C2A66"/>
    <w:rsid w:val="1BBD37A7"/>
    <w:rsid w:val="1C6F468F"/>
    <w:rsid w:val="1D381902"/>
    <w:rsid w:val="1FAA7074"/>
    <w:rsid w:val="1FB81613"/>
    <w:rsid w:val="202D37ED"/>
    <w:rsid w:val="209D2ACD"/>
    <w:rsid w:val="217741BA"/>
    <w:rsid w:val="218050AF"/>
    <w:rsid w:val="21923048"/>
    <w:rsid w:val="21B6506B"/>
    <w:rsid w:val="221319E2"/>
    <w:rsid w:val="22ED2986"/>
    <w:rsid w:val="23FC6C77"/>
    <w:rsid w:val="2515733E"/>
    <w:rsid w:val="268A35E6"/>
    <w:rsid w:val="28722A91"/>
    <w:rsid w:val="28A5058E"/>
    <w:rsid w:val="29233D8C"/>
    <w:rsid w:val="29247D45"/>
    <w:rsid w:val="293F2551"/>
    <w:rsid w:val="29464FE3"/>
    <w:rsid w:val="29BD7D60"/>
    <w:rsid w:val="2CD81986"/>
    <w:rsid w:val="2F4F4479"/>
    <w:rsid w:val="2FF50D80"/>
    <w:rsid w:val="3069477A"/>
    <w:rsid w:val="312045E5"/>
    <w:rsid w:val="324A28DD"/>
    <w:rsid w:val="32BA6148"/>
    <w:rsid w:val="33770055"/>
    <w:rsid w:val="338E4DE3"/>
    <w:rsid w:val="35005D78"/>
    <w:rsid w:val="38BB7B3D"/>
    <w:rsid w:val="39900FC9"/>
    <w:rsid w:val="3A2A56F9"/>
    <w:rsid w:val="3A7E52C6"/>
    <w:rsid w:val="3AB54A7A"/>
    <w:rsid w:val="3AC21333"/>
    <w:rsid w:val="3AFD443D"/>
    <w:rsid w:val="3BEFB366"/>
    <w:rsid w:val="3E2846F0"/>
    <w:rsid w:val="405D0D61"/>
    <w:rsid w:val="405D662B"/>
    <w:rsid w:val="40A853C2"/>
    <w:rsid w:val="417B51AA"/>
    <w:rsid w:val="42255D7C"/>
    <w:rsid w:val="463321AD"/>
    <w:rsid w:val="46792C47"/>
    <w:rsid w:val="47FF5DA9"/>
    <w:rsid w:val="481F1F88"/>
    <w:rsid w:val="497526AF"/>
    <w:rsid w:val="4B3B0297"/>
    <w:rsid w:val="4B6E5BCE"/>
    <w:rsid w:val="4E886971"/>
    <w:rsid w:val="4F781E8C"/>
    <w:rsid w:val="502923A9"/>
    <w:rsid w:val="50E505FE"/>
    <w:rsid w:val="51164A46"/>
    <w:rsid w:val="52C15030"/>
    <w:rsid w:val="577675F9"/>
    <w:rsid w:val="57FD3876"/>
    <w:rsid w:val="5A545D61"/>
    <w:rsid w:val="5AF10435"/>
    <w:rsid w:val="5B2C4088"/>
    <w:rsid w:val="5C594DF3"/>
    <w:rsid w:val="5EEC2714"/>
    <w:rsid w:val="5EFD42DE"/>
    <w:rsid w:val="5F7F4C52"/>
    <w:rsid w:val="60DF7E71"/>
    <w:rsid w:val="64760052"/>
    <w:rsid w:val="67246185"/>
    <w:rsid w:val="69232583"/>
    <w:rsid w:val="69D01878"/>
    <w:rsid w:val="6B193742"/>
    <w:rsid w:val="6B4248B7"/>
    <w:rsid w:val="6BA22313"/>
    <w:rsid w:val="6CC0739D"/>
    <w:rsid w:val="6D1312C0"/>
    <w:rsid w:val="6FD656EC"/>
    <w:rsid w:val="7115208A"/>
    <w:rsid w:val="726050FF"/>
    <w:rsid w:val="7275610E"/>
    <w:rsid w:val="751704D5"/>
    <w:rsid w:val="759D21DD"/>
    <w:rsid w:val="770800B2"/>
    <w:rsid w:val="790B2908"/>
    <w:rsid w:val="79273BFA"/>
    <w:rsid w:val="799F5983"/>
    <w:rsid w:val="79AE4579"/>
    <w:rsid w:val="7B51165F"/>
    <w:rsid w:val="7C0D5F13"/>
    <w:rsid w:val="7CBC4D8D"/>
    <w:rsid w:val="7DE885C8"/>
    <w:rsid w:val="7DF73BA3"/>
    <w:rsid w:val="7E5417E8"/>
    <w:rsid w:val="7F632957"/>
    <w:rsid w:val="DCEF9BD9"/>
    <w:rsid w:val="DEFFC4F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3"/>
    <w:link w:val="31"/>
    <w:qFormat/>
    <w:uiPriority w:val="0"/>
    <w:pPr>
      <w:keepNext/>
      <w:keepLines/>
      <w:spacing w:before="340" w:after="330" w:line="576" w:lineRule="auto"/>
    </w:pPr>
    <w:rPr>
      <w:kern w:val="44"/>
      <w:sz w:val="44"/>
    </w:rPr>
  </w:style>
  <w:style w:type="paragraph" w:styleId="4">
    <w:name w:val="heading 2"/>
    <w:basedOn w:val="1"/>
    <w:next w:val="1"/>
    <w:qFormat/>
    <w:uiPriority w:val="0"/>
    <w:pPr>
      <w:keepNext/>
      <w:keepLines/>
      <w:spacing w:before="260" w:after="260" w:line="416" w:lineRule="auto"/>
      <w:jc w:val="center"/>
      <w:outlineLvl w:val="1"/>
    </w:pPr>
    <w:rPr>
      <w:rFonts w:ascii="等线 Light" w:hAnsi="等线 Light" w:eastAsia="等线 Light"/>
      <w:b/>
      <w:bCs/>
      <w:sz w:val="32"/>
      <w:szCs w:val="32"/>
    </w:rPr>
  </w:style>
  <w:style w:type="paragraph" w:styleId="5">
    <w:name w:val="heading 5"/>
    <w:basedOn w:val="1"/>
    <w:qFormat/>
    <w:uiPriority w:val="9"/>
    <w:pPr>
      <w:widowControl/>
      <w:spacing w:before="100" w:beforeAutospacing="1" w:after="100" w:afterAutospacing="1"/>
      <w:jc w:val="left"/>
      <w:outlineLvl w:val="4"/>
    </w:pPr>
    <w:rPr>
      <w:rFonts w:ascii="宋体" w:hAnsi="宋体" w:eastAsia="宋体" w:cs="宋体"/>
      <w:b/>
      <w:bCs/>
      <w:kern w:val="0"/>
      <w:sz w:val="20"/>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43"/>
    <w:qFormat/>
    <w:uiPriority w:val="0"/>
    <w:pPr>
      <w:spacing w:before="240" w:after="60"/>
      <w:jc w:val="center"/>
      <w:outlineLvl w:val="0"/>
    </w:pPr>
    <w:rPr>
      <w:rFonts w:asciiTheme="majorHAnsi" w:hAnsiTheme="majorHAnsi" w:eastAsiaTheme="majorEastAsia" w:cstheme="majorBidi"/>
      <w:b/>
      <w:bCs/>
      <w:sz w:val="32"/>
      <w:szCs w:val="32"/>
    </w:rPr>
  </w:style>
  <w:style w:type="paragraph" w:styleId="6">
    <w:name w:val="Body Text"/>
    <w:basedOn w:val="1"/>
    <w:qFormat/>
    <w:uiPriority w:val="0"/>
    <w:pPr>
      <w:spacing w:after="120"/>
    </w:pPr>
    <w:rPr>
      <w:rFonts w:ascii="Book Antiqua" w:hAnsi="Book Antiqua" w:eastAsia="宋体" w:cs="Times New Roman"/>
      <w:sz w:val="24"/>
    </w:rPr>
  </w:style>
  <w:style w:type="paragraph" w:styleId="7">
    <w:name w:val="Body Text Indent"/>
    <w:basedOn w:val="1"/>
    <w:qFormat/>
    <w:uiPriority w:val="0"/>
    <w:pPr>
      <w:spacing w:line="360" w:lineRule="auto"/>
      <w:ind w:firstLine="420" w:firstLineChars="200"/>
    </w:pPr>
    <w:rPr>
      <w:rFonts w:ascii="Calibri" w:hAnsi="Calibri" w:eastAsia="宋体" w:cs="Times New Roman"/>
      <w:lang w:val="zh-CN"/>
    </w:rPr>
  </w:style>
  <w:style w:type="paragraph" w:styleId="8">
    <w:name w:val="toc 3"/>
    <w:basedOn w:val="1"/>
    <w:next w:val="1"/>
    <w:qFormat/>
    <w:uiPriority w:val="0"/>
    <w:pPr>
      <w:ind w:left="840" w:leftChars="400"/>
    </w:pPr>
  </w:style>
  <w:style w:type="paragraph" w:styleId="9">
    <w:name w:val="Plain Text"/>
    <w:basedOn w:val="1"/>
    <w:qFormat/>
    <w:uiPriority w:val="0"/>
    <w:rPr>
      <w:rFonts w:ascii="宋体" w:hAnsi="Courier New" w:eastAsia="宋体" w:cs="Times New Roman"/>
      <w:szCs w:val="21"/>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link w:val="41"/>
    <w:qFormat/>
    <w:uiPriority w:val="0"/>
    <w:pPr>
      <w:tabs>
        <w:tab w:val="center" w:pos="4153"/>
        <w:tab w:val="right" w:pos="8306"/>
      </w:tabs>
      <w:snapToGrid w:val="0"/>
      <w:jc w:val="center"/>
    </w:pPr>
    <w:rPr>
      <w:sz w:val="18"/>
      <w:szCs w:val="18"/>
    </w:rPr>
  </w:style>
  <w:style w:type="paragraph" w:styleId="12">
    <w:name w:val="toc 1"/>
    <w:basedOn w:val="1"/>
    <w:next w:val="1"/>
    <w:unhideWhenUsed/>
    <w:qFormat/>
    <w:uiPriority w:val="39"/>
    <w:pPr>
      <w:tabs>
        <w:tab w:val="right" w:leader="dot" w:pos="8296"/>
      </w:tabs>
      <w:spacing w:before="120" w:after="120"/>
      <w:jc w:val="left"/>
    </w:pPr>
    <w:rPr>
      <w:rFonts w:eastAsiaTheme="minorHAnsi"/>
      <w:b/>
      <w:bCs/>
      <w:caps/>
      <w:sz w:val="20"/>
      <w:szCs w:val="20"/>
    </w:rPr>
  </w:style>
  <w:style w:type="paragraph" w:styleId="13">
    <w:name w:val="toc 2"/>
    <w:basedOn w:val="1"/>
    <w:next w:val="1"/>
    <w:qFormat/>
    <w:uiPriority w:val="0"/>
    <w:pPr>
      <w:ind w:left="420" w:leftChars="200"/>
    </w:pPr>
  </w:style>
  <w:style w:type="paragraph" w:styleId="14">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bCs/>
    </w:rPr>
  </w:style>
  <w:style w:type="character" w:styleId="19">
    <w:name w:val="Hyperlink"/>
    <w:basedOn w:val="17"/>
    <w:unhideWhenUsed/>
    <w:qFormat/>
    <w:uiPriority w:val="99"/>
    <w:rPr>
      <w:color w:val="0026E5" w:themeColor="hyperlink"/>
      <w:u w:val="single"/>
      <w14:textFill>
        <w14:solidFill>
          <w14:schemeClr w14:val="hlink"/>
        </w14:solidFill>
      </w14:textFill>
    </w:rPr>
  </w:style>
  <w:style w:type="table" w:customStyle="1" w:styleId="20">
    <w:name w:val="网格型16"/>
    <w:basedOn w:val="15"/>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网格型17"/>
    <w:basedOn w:val="15"/>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
    <w:name w:val="网格型18"/>
    <w:basedOn w:val="15"/>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
    <w:name w:val="网格型19"/>
    <w:basedOn w:val="15"/>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
    <w:name w:val="网格型20"/>
    <w:basedOn w:val="15"/>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
    <w:name w:val="网格型21"/>
    <w:basedOn w:val="15"/>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
    <w:name w:val="网格型22"/>
    <w:basedOn w:val="15"/>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
    <w:name w:val="网格型23"/>
    <w:basedOn w:val="15"/>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
    <w:name w:val="网格型24"/>
    <w:basedOn w:val="15"/>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
    <w:name w:val="网格型25"/>
    <w:basedOn w:val="15"/>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2"/>
    <w:basedOn w:val="15"/>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
    <w:name w:val="标题 1 字符"/>
    <w:link w:val="2"/>
    <w:qFormat/>
    <w:uiPriority w:val="0"/>
    <w:rPr>
      <w:b/>
      <w:kern w:val="44"/>
      <w:sz w:val="44"/>
    </w:rPr>
  </w:style>
  <w:style w:type="paragraph" w:customStyle="1" w:styleId="32">
    <w:name w:val="列出段落1"/>
    <w:basedOn w:val="1"/>
    <w:qFormat/>
    <w:uiPriority w:val="99"/>
    <w:pPr>
      <w:ind w:firstLine="420" w:firstLineChars="200"/>
    </w:pPr>
    <w:rPr>
      <w:rFonts w:ascii="Calibri" w:hAnsi="Calibri" w:eastAsia="宋体" w:cs="Times New Roman"/>
    </w:rPr>
  </w:style>
  <w:style w:type="paragraph" w:customStyle="1" w:styleId="33">
    <w:name w:val="Table Text"/>
    <w:basedOn w:val="1"/>
    <w:semiHidden/>
    <w:qFormat/>
    <w:uiPriority w:val="0"/>
    <w:pPr>
      <w:widowControl/>
      <w:kinsoku w:val="0"/>
      <w:autoSpaceDE w:val="0"/>
      <w:autoSpaceDN w:val="0"/>
      <w:adjustRightInd w:val="0"/>
      <w:snapToGrid w:val="0"/>
      <w:jc w:val="left"/>
      <w:textAlignment w:val="baseline"/>
    </w:pPr>
    <w:rPr>
      <w:rFonts w:ascii="仿宋" w:hAnsi="仿宋" w:eastAsia="仿宋" w:cs="仿宋"/>
      <w:snapToGrid w:val="0"/>
      <w:color w:val="000000"/>
      <w:kern w:val="0"/>
      <w:sz w:val="30"/>
      <w:szCs w:val="30"/>
      <w:lang w:eastAsia="en-US"/>
    </w:rPr>
  </w:style>
  <w:style w:type="table" w:customStyle="1" w:styleId="34">
    <w:name w:val="Table Normal"/>
    <w:unhideWhenUsed/>
    <w:qFormat/>
    <w:uiPriority w:val="0"/>
    <w:tblPr>
      <w:tblCellMar>
        <w:top w:w="0" w:type="dxa"/>
        <w:left w:w="0" w:type="dxa"/>
        <w:bottom w:w="0" w:type="dxa"/>
        <w:right w:w="0" w:type="dxa"/>
      </w:tblCellMar>
    </w:tblPr>
  </w:style>
  <w:style w:type="table" w:customStyle="1" w:styleId="35">
    <w:name w:val="网格型1"/>
    <w:basedOn w:val="15"/>
    <w:autoRedefine/>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6">
    <w:name w:val="在表格内文字"/>
    <w:basedOn w:val="1"/>
    <w:autoRedefine/>
    <w:qFormat/>
    <w:uiPriority w:val="0"/>
    <w:rPr>
      <w:rFonts w:ascii="Times New Roman" w:hAnsi="Times New Roman" w:eastAsia="楷体" w:cs="Times New Roman"/>
    </w:rPr>
  </w:style>
  <w:style w:type="paragraph" w:styleId="37">
    <w:name w:val="List Paragraph"/>
    <w:basedOn w:val="1"/>
    <w:autoRedefine/>
    <w:qFormat/>
    <w:uiPriority w:val="34"/>
    <w:pPr>
      <w:ind w:firstLine="420" w:firstLineChars="200"/>
    </w:pPr>
    <w:rPr>
      <w:rFonts w:ascii="Times New Roman" w:hAnsi="Times New Roman" w:eastAsia="宋体" w:cs="Times New Roman"/>
    </w:rPr>
  </w:style>
  <w:style w:type="paragraph" w:customStyle="1" w:styleId="38">
    <w:name w:val="First Paragraph"/>
    <w:basedOn w:val="6"/>
    <w:next w:val="6"/>
    <w:qFormat/>
    <w:uiPriority w:val="0"/>
  </w:style>
  <w:style w:type="paragraph" w:customStyle="1" w:styleId="39">
    <w:name w:val="Compact"/>
    <w:basedOn w:val="6"/>
    <w:qFormat/>
    <w:uiPriority w:val="0"/>
    <w:pPr>
      <w:spacing w:before="36" w:after="36"/>
    </w:pPr>
  </w:style>
  <w:style w:type="table" w:customStyle="1" w:styleId="40">
    <w:name w:val="Table"/>
    <w:semiHidden/>
    <w:unhideWhenUsed/>
    <w:qFormat/>
    <w:uiPriority w:val="0"/>
    <w:pPr>
      <w:spacing w:after="200"/>
    </w:pPr>
    <w:rPr>
      <w:sz w:val="24"/>
      <w:szCs w:val="24"/>
      <w:lang w:eastAsia="en-US"/>
    </w:rPr>
    <w:tblPr>
      <w:tblCellMar>
        <w:top w:w="0" w:type="dxa"/>
        <w:left w:w="108" w:type="dxa"/>
        <w:bottom w:w="0" w:type="dxa"/>
        <w:right w:w="108" w:type="dxa"/>
      </w:tblCellMar>
    </w:tblPr>
    <w:tblStylePr w:type="firstRow">
      <w:tcPr>
        <w:tcBorders>
          <w:bottom w:val="single" w:color="auto" w:sz="0" w:space="0"/>
        </w:tcBorders>
        <w:vAlign w:val="bottom"/>
      </w:tcPr>
    </w:tblStylePr>
  </w:style>
  <w:style w:type="character" w:customStyle="1" w:styleId="41">
    <w:name w:val="页眉 字符"/>
    <w:basedOn w:val="17"/>
    <w:link w:val="11"/>
    <w:qFormat/>
    <w:uiPriority w:val="0"/>
    <w:rPr>
      <w:kern w:val="2"/>
      <w:sz w:val="18"/>
      <w:szCs w:val="18"/>
    </w:rPr>
  </w:style>
  <w:style w:type="table" w:customStyle="1" w:styleId="42">
    <w:name w:val="网格型3"/>
    <w:basedOn w:val="15"/>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3">
    <w:name w:val="标题 字符"/>
    <w:basedOn w:val="17"/>
    <w:link w:val="3"/>
    <w:qFormat/>
    <w:uiPriority w:val="0"/>
    <w:rPr>
      <w:rFonts w:asciiTheme="majorHAnsi" w:hAnsiTheme="majorHAnsi" w:eastAsiaTheme="majorEastAsia" w:cstheme="majorBidi"/>
      <w:b/>
      <w:bCs/>
      <w:kern w:val="2"/>
      <w:sz w:val="32"/>
      <w:szCs w:val="32"/>
    </w:rPr>
  </w:style>
  <w:style w:type="table" w:customStyle="1" w:styleId="44">
    <w:name w:val="网格型4"/>
    <w:basedOn w:val="15"/>
    <w:qFormat/>
    <w:uiPriority w:val="9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
    <w:name w:val="网格型5"/>
    <w:basedOn w:val="15"/>
    <w:qFormat/>
    <w:uiPriority w:val="9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
    <w:name w:val="网格型6"/>
    <w:basedOn w:val="15"/>
    <w:qFormat/>
    <w:uiPriority w:val="9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font-symbol"/>
    <w:basedOn w:val="17"/>
    <w:qFormat/>
    <w:uiPriority w:val="0"/>
  </w:style>
  <w:style w:type="character" w:customStyle="1" w:styleId="48">
    <w:name w:val="mord"/>
    <w:basedOn w:val="17"/>
    <w:qFormat/>
    <w:uiPriority w:val="0"/>
  </w:style>
  <w:style w:type="paragraph" w:customStyle="1" w:styleId="49">
    <w:name w:val="Default"/>
    <w:autoRedefine/>
    <w:unhideWhenUsed/>
    <w:qFormat/>
    <w:uiPriority w:val="99"/>
    <w:pPr>
      <w:widowControl w:val="0"/>
      <w:autoSpaceDE w:val="0"/>
      <w:autoSpaceDN w:val="0"/>
      <w:adjustRightInd w:val="0"/>
    </w:pPr>
    <w:rPr>
      <w:rFonts w:hint="eastAsia" w:ascii="黑体" w:hAnsi="黑体" w:eastAsia="黑体" w:cs="Times New Roman"/>
      <w:color w:val="00000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7" Type="http://schemas.openxmlformats.org/officeDocument/2006/relationships/fontTable" Target="fontTable.xml"/><Relationship Id="rId76" Type="http://schemas.openxmlformats.org/officeDocument/2006/relationships/customXml" Target="../customXml/item2.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oleObject" Target="embeddings/oleObject62.bin"/><Relationship Id="rId72" Type="http://schemas.openxmlformats.org/officeDocument/2006/relationships/oleObject" Target="embeddings/oleObject61.bin"/><Relationship Id="rId71" Type="http://schemas.openxmlformats.org/officeDocument/2006/relationships/oleObject" Target="embeddings/oleObject60.bin"/><Relationship Id="rId70" Type="http://schemas.openxmlformats.org/officeDocument/2006/relationships/oleObject" Target="embeddings/oleObject59.bin"/><Relationship Id="rId7" Type="http://schemas.openxmlformats.org/officeDocument/2006/relationships/footer" Target="footer5.xml"/><Relationship Id="rId69" Type="http://schemas.openxmlformats.org/officeDocument/2006/relationships/oleObject" Target="embeddings/oleObject58.bin"/><Relationship Id="rId68" Type="http://schemas.openxmlformats.org/officeDocument/2006/relationships/oleObject" Target="embeddings/oleObject57.bin"/><Relationship Id="rId67" Type="http://schemas.openxmlformats.org/officeDocument/2006/relationships/oleObject" Target="embeddings/oleObject56.bin"/><Relationship Id="rId66" Type="http://schemas.openxmlformats.org/officeDocument/2006/relationships/oleObject" Target="embeddings/oleObject55.bin"/><Relationship Id="rId65" Type="http://schemas.openxmlformats.org/officeDocument/2006/relationships/oleObject" Target="embeddings/oleObject54.bin"/><Relationship Id="rId64" Type="http://schemas.openxmlformats.org/officeDocument/2006/relationships/oleObject" Target="embeddings/oleObject53.bin"/><Relationship Id="rId63" Type="http://schemas.openxmlformats.org/officeDocument/2006/relationships/oleObject" Target="embeddings/oleObject52.bin"/><Relationship Id="rId62" Type="http://schemas.openxmlformats.org/officeDocument/2006/relationships/oleObject" Target="embeddings/oleObject51.bin"/><Relationship Id="rId61" Type="http://schemas.openxmlformats.org/officeDocument/2006/relationships/oleObject" Target="embeddings/oleObject50.bin"/><Relationship Id="rId60" Type="http://schemas.openxmlformats.org/officeDocument/2006/relationships/oleObject" Target="embeddings/oleObject49.bin"/><Relationship Id="rId6" Type="http://schemas.openxmlformats.org/officeDocument/2006/relationships/footer" Target="footer4.xml"/><Relationship Id="rId59" Type="http://schemas.openxmlformats.org/officeDocument/2006/relationships/oleObject" Target="embeddings/oleObject48.bin"/><Relationship Id="rId58" Type="http://schemas.openxmlformats.org/officeDocument/2006/relationships/oleObject" Target="embeddings/oleObject47.bin"/><Relationship Id="rId57" Type="http://schemas.openxmlformats.org/officeDocument/2006/relationships/oleObject" Target="embeddings/oleObject46.bin"/><Relationship Id="rId56" Type="http://schemas.openxmlformats.org/officeDocument/2006/relationships/oleObject" Target="embeddings/oleObject45.bin"/><Relationship Id="rId55" Type="http://schemas.openxmlformats.org/officeDocument/2006/relationships/oleObject" Target="embeddings/oleObject44.bin"/><Relationship Id="rId54" Type="http://schemas.openxmlformats.org/officeDocument/2006/relationships/oleObject" Target="embeddings/oleObject43.bin"/><Relationship Id="rId53" Type="http://schemas.openxmlformats.org/officeDocument/2006/relationships/oleObject" Target="embeddings/oleObject42.bin"/><Relationship Id="rId52" Type="http://schemas.openxmlformats.org/officeDocument/2006/relationships/oleObject" Target="embeddings/oleObject41.bin"/><Relationship Id="rId51" Type="http://schemas.openxmlformats.org/officeDocument/2006/relationships/oleObject" Target="embeddings/oleObject40.bin"/><Relationship Id="rId50" Type="http://schemas.openxmlformats.org/officeDocument/2006/relationships/oleObject" Target="embeddings/oleObject39.bin"/><Relationship Id="rId5" Type="http://schemas.openxmlformats.org/officeDocument/2006/relationships/footer" Target="footer3.xml"/><Relationship Id="rId49" Type="http://schemas.openxmlformats.org/officeDocument/2006/relationships/oleObject" Target="embeddings/oleObject38.bin"/><Relationship Id="rId48" Type="http://schemas.openxmlformats.org/officeDocument/2006/relationships/oleObject" Target="embeddings/oleObject37.bin"/><Relationship Id="rId47" Type="http://schemas.openxmlformats.org/officeDocument/2006/relationships/oleObject" Target="embeddings/oleObject36.bin"/><Relationship Id="rId46" Type="http://schemas.openxmlformats.org/officeDocument/2006/relationships/oleObject" Target="embeddings/oleObject35.bin"/><Relationship Id="rId45" Type="http://schemas.openxmlformats.org/officeDocument/2006/relationships/oleObject" Target="embeddings/oleObject34.bin"/><Relationship Id="rId44" Type="http://schemas.openxmlformats.org/officeDocument/2006/relationships/oleObject" Target="embeddings/oleObject33.bin"/><Relationship Id="rId43" Type="http://schemas.openxmlformats.org/officeDocument/2006/relationships/oleObject" Target="embeddings/oleObject32.bin"/><Relationship Id="rId42" Type="http://schemas.openxmlformats.org/officeDocument/2006/relationships/oleObject" Target="embeddings/oleObject31.bin"/><Relationship Id="rId41" Type="http://schemas.openxmlformats.org/officeDocument/2006/relationships/oleObject" Target="embeddings/oleObject30.bin"/><Relationship Id="rId40" Type="http://schemas.openxmlformats.org/officeDocument/2006/relationships/oleObject" Target="embeddings/oleObject29.bin"/><Relationship Id="rId4" Type="http://schemas.openxmlformats.org/officeDocument/2006/relationships/footer" Target="footer2.xml"/><Relationship Id="rId39" Type="http://schemas.openxmlformats.org/officeDocument/2006/relationships/oleObject" Target="embeddings/oleObject28.bin"/><Relationship Id="rId38" Type="http://schemas.openxmlformats.org/officeDocument/2006/relationships/oleObject" Target="embeddings/oleObject27.bin"/><Relationship Id="rId37" Type="http://schemas.openxmlformats.org/officeDocument/2006/relationships/oleObject" Target="embeddings/oleObject26.bin"/><Relationship Id="rId36" Type="http://schemas.openxmlformats.org/officeDocument/2006/relationships/oleObject" Target="embeddings/oleObject25.bin"/><Relationship Id="rId35" Type="http://schemas.openxmlformats.org/officeDocument/2006/relationships/oleObject" Target="embeddings/oleObject24.bin"/><Relationship Id="rId34" Type="http://schemas.openxmlformats.org/officeDocument/2006/relationships/oleObject" Target="embeddings/oleObject23.bin"/><Relationship Id="rId33" Type="http://schemas.openxmlformats.org/officeDocument/2006/relationships/oleObject" Target="embeddings/oleObject22.bin"/><Relationship Id="rId32" Type="http://schemas.openxmlformats.org/officeDocument/2006/relationships/oleObject" Target="embeddings/oleObject21.bin"/><Relationship Id="rId31" Type="http://schemas.openxmlformats.org/officeDocument/2006/relationships/oleObject" Target="embeddings/oleObject20.bin"/><Relationship Id="rId30" Type="http://schemas.openxmlformats.org/officeDocument/2006/relationships/oleObject" Target="embeddings/oleObject19.bin"/><Relationship Id="rId3" Type="http://schemas.openxmlformats.org/officeDocument/2006/relationships/footer" Target="footer1.xml"/><Relationship Id="rId29" Type="http://schemas.openxmlformats.org/officeDocument/2006/relationships/oleObject" Target="embeddings/oleObject18.bin"/><Relationship Id="rId28" Type="http://schemas.openxmlformats.org/officeDocument/2006/relationships/oleObject" Target="embeddings/oleObject17.bin"/><Relationship Id="rId27" Type="http://schemas.openxmlformats.org/officeDocument/2006/relationships/oleObject" Target="embeddings/oleObject16.bin"/><Relationship Id="rId26" Type="http://schemas.openxmlformats.org/officeDocument/2006/relationships/oleObject" Target="embeddings/oleObject15.bin"/><Relationship Id="rId25" Type="http://schemas.openxmlformats.org/officeDocument/2006/relationships/oleObject" Target="embeddings/oleObject14.bin"/><Relationship Id="rId24" Type="http://schemas.openxmlformats.org/officeDocument/2006/relationships/oleObject" Target="embeddings/oleObject13.bin"/><Relationship Id="rId23" Type="http://schemas.openxmlformats.org/officeDocument/2006/relationships/oleObject" Target="embeddings/oleObject12.bin"/><Relationship Id="rId22" Type="http://schemas.openxmlformats.org/officeDocument/2006/relationships/oleObject" Target="embeddings/oleObject11.bin"/><Relationship Id="rId21" Type="http://schemas.openxmlformats.org/officeDocument/2006/relationships/oleObject" Target="embeddings/oleObject10.bin"/><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oleObject" Target="embeddings/oleObject9.bin"/><Relationship Id="rId18" Type="http://schemas.openxmlformats.org/officeDocument/2006/relationships/image" Target="media/image2.jpeg"/><Relationship Id="rId17" Type="http://schemas.openxmlformats.org/officeDocument/2006/relationships/oleObject" Target="embeddings/oleObject8.bin"/><Relationship Id="rId16" Type="http://schemas.openxmlformats.org/officeDocument/2006/relationships/oleObject" Target="embeddings/oleObject7.bin"/><Relationship Id="rId15" Type="http://schemas.openxmlformats.org/officeDocument/2006/relationships/oleObject" Target="embeddings/oleObject6.bin"/><Relationship Id="rId14" Type="http://schemas.openxmlformats.org/officeDocument/2006/relationships/oleObject" Target="embeddings/oleObject5.bin"/><Relationship Id="rId13" Type="http://schemas.openxmlformats.org/officeDocument/2006/relationships/oleObject" Target="embeddings/oleObject4.bin"/><Relationship Id="rId12" Type="http://schemas.openxmlformats.org/officeDocument/2006/relationships/oleObject" Target="embeddings/oleObject3.bin"/><Relationship Id="rId11" Type="http://schemas.openxmlformats.org/officeDocument/2006/relationships/oleObject" Target="embeddings/oleObject2.bin"/><Relationship Id="rId10" Type="http://schemas.openxmlformats.org/officeDocument/2006/relationships/image" Target="media/image1.w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1B7B03-362B-49AF-B56C-C69FFC0F8350}">
  <ds:schemaRefs/>
</ds:datastoreItem>
</file>

<file path=docProps/app.xml><?xml version="1.0" encoding="utf-8"?>
<Properties xmlns="http://schemas.openxmlformats.org/officeDocument/2006/extended-properties" xmlns:vt="http://schemas.openxmlformats.org/officeDocument/2006/docPropsVTypes">
  <Template>Normal.dotm</Template>
  <Pages>481</Pages>
  <Words>3812</Words>
  <Characters>4060</Characters>
  <Lines>2746</Lines>
  <Paragraphs>773</Paragraphs>
  <TotalTime>2</TotalTime>
  <ScaleCrop>false</ScaleCrop>
  <LinksUpToDate>false</LinksUpToDate>
  <CharactersWithSpaces>4358</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2025-04-23T08:24:00Z</dcterms:created>
  <dc:creator>WPS_1667044259</dc:creator>
  <cp:lastModifiedBy>靖南栀子</cp:lastModifiedBy>
  <dcterms:modified xsi:type="dcterms:W3CDTF">2025-10-14T07:45:38Z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651D998B86DB4A8CBDB6DE8E10BF4D24_13</vt:lpwstr>
  </property>
  <property fmtid="{D5CDD505-2E9C-101B-9397-08002B2CF9AE}" pid="4" name="KSOTemplateDocerSaveRecord">
    <vt:lpwstr>eyJoZGlkIjoiMzEwNTM5NzYwMDRjMzkwZTVkZjY2ODkwMGIxNGU0OTUiLCJ1c2VySWQiOiIyODE3NzkyMzgifQ==</vt:lpwstr>
  </property>
</Properties>
</file>